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5C344" w14:textId="67134981" w:rsidR="00C94AA5" w:rsidRPr="005952C0" w:rsidRDefault="00353273" w:rsidP="00F8425F">
      <w:pPr>
        <w:pStyle w:val="Title"/>
        <w:jc w:val="left"/>
        <w:rPr>
          <w:lang w:val="en-GB"/>
        </w:rPr>
      </w:pPr>
      <w:r w:rsidRPr="005952C0">
        <w:rPr>
          <w:lang w:val="en-GB"/>
        </w:rPr>
        <w:t>Online water-use feedback: household user interest, savings and implications</w:t>
      </w:r>
    </w:p>
    <w:p w14:paraId="32E6B0CF" w14:textId="42C778C7" w:rsidR="00C94AA5" w:rsidRPr="005952C0" w:rsidRDefault="00353273" w:rsidP="00B120F3">
      <w:pPr>
        <w:pStyle w:val="Authors"/>
        <w:rPr>
          <w:lang w:val="en-GB"/>
        </w:rPr>
      </w:pPr>
      <w:r w:rsidRPr="005952C0">
        <w:rPr>
          <w:lang w:val="en-GB"/>
        </w:rPr>
        <w:t>Ariane Liu</w:t>
      </w:r>
      <w:r w:rsidRPr="005952C0">
        <w:rPr>
          <w:vertAlign w:val="superscript"/>
          <w:lang w:val="en-GB"/>
        </w:rPr>
        <w:t>1</w:t>
      </w:r>
      <w:r w:rsidRPr="005952C0">
        <w:rPr>
          <w:lang w:val="en-GB"/>
        </w:rPr>
        <w:t>*, Damien Giurco</w:t>
      </w:r>
      <w:r w:rsidRPr="005952C0">
        <w:rPr>
          <w:vertAlign w:val="superscript"/>
          <w:lang w:val="en-GB"/>
        </w:rPr>
        <w:t>1</w:t>
      </w:r>
      <w:r w:rsidRPr="005952C0">
        <w:rPr>
          <w:lang w:val="en-GB"/>
        </w:rPr>
        <w:t>, Pierre Mukheibir</w:t>
      </w:r>
      <w:r w:rsidRPr="005952C0">
        <w:rPr>
          <w:vertAlign w:val="superscript"/>
          <w:lang w:val="en-GB"/>
        </w:rPr>
        <w:t>1</w:t>
      </w:r>
      <w:r w:rsidRPr="005952C0">
        <w:rPr>
          <w:lang w:val="en-GB"/>
        </w:rPr>
        <w:t>, Steve Mohr</w:t>
      </w:r>
      <w:r w:rsidRPr="005952C0">
        <w:rPr>
          <w:vertAlign w:val="superscript"/>
          <w:lang w:val="en-GB"/>
        </w:rPr>
        <w:t>1</w:t>
      </w:r>
      <w:r w:rsidRPr="005952C0">
        <w:rPr>
          <w:lang w:val="en-GB"/>
        </w:rPr>
        <w:t>, Graeme Watkins</w:t>
      </w:r>
      <w:r w:rsidRPr="005952C0">
        <w:rPr>
          <w:vertAlign w:val="superscript"/>
          <w:lang w:val="en-GB"/>
        </w:rPr>
        <w:t>2</w:t>
      </w:r>
      <w:r w:rsidRPr="005952C0">
        <w:rPr>
          <w:lang w:val="en-GB"/>
        </w:rPr>
        <w:t>, Stuart White</w:t>
      </w:r>
      <w:r w:rsidRPr="005952C0">
        <w:rPr>
          <w:vertAlign w:val="superscript"/>
          <w:lang w:val="en-GB"/>
        </w:rPr>
        <w:t>1</w:t>
      </w:r>
    </w:p>
    <w:p w14:paraId="70FC651E" w14:textId="3055E12D" w:rsidR="00C94AA5" w:rsidRPr="005952C0" w:rsidRDefault="008A6077" w:rsidP="00B719C8">
      <w:pPr>
        <w:pStyle w:val="Affiliation"/>
        <w:rPr>
          <w:lang w:val="en-GB"/>
        </w:rPr>
      </w:pPr>
      <w:r w:rsidRPr="005952C0">
        <w:rPr>
          <w:vertAlign w:val="superscript"/>
          <w:lang w:val="en-GB"/>
        </w:rPr>
        <w:t>1</w:t>
      </w:r>
      <w:r w:rsidR="00353273" w:rsidRPr="005952C0">
        <w:rPr>
          <w:lang w:val="en-GB"/>
        </w:rPr>
        <w:t>University of Technology Sydney, Institute for Sustainable Futures, Sydney, NSW, Australia.</w:t>
      </w:r>
    </w:p>
    <w:p w14:paraId="515725E1" w14:textId="39CE8975" w:rsidR="00DE3F91" w:rsidRPr="005952C0" w:rsidRDefault="00545B6C" w:rsidP="00353273">
      <w:pPr>
        <w:pStyle w:val="Affiliation"/>
        <w:rPr>
          <w:lang w:val="en-GB"/>
        </w:rPr>
      </w:pPr>
      <w:r w:rsidRPr="005952C0">
        <w:rPr>
          <w:vertAlign w:val="superscript"/>
          <w:lang w:val="en-GB"/>
        </w:rPr>
        <w:t>2</w:t>
      </w:r>
      <w:r w:rsidR="00353273" w:rsidRPr="005952C0">
        <w:rPr>
          <w:lang w:val="en-GB"/>
        </w:rPr>
        <w:t>MidCoast Water, Taree, NSW, Australia.</w:t>
      </w:r>
    </w:p>
    <w:p w14:paraId="5614852F" w14:textId="4E97226F" w:rsidR="00DE3F91" w:rsidRPr="005952C0" w:rsidRDefault="008A6077" w:rsidP="003137C3">
      <w:pPr>
        <w:pStyle w:val="Affiliation"/>
        <w:rPr>
          <w:lang w:val="en-GB"/>
        </w:rPr>
      </w:pPr>
      <w:r w:rsidRPr="005952C0">
        <w:rPr>
          <w:lang w:val="en-GB"/>
        </w:rPr>
        <w:t>Correspond</w:t>
      </w:r>
      <w:r w:rsidR="00DE3F91" w:rsidRPr="005952C0">
        <w:rPr>
          <w:lang w:val="en-GB"/>
        </w:rPr>
        <w:t>ing</w:t>
      </w:r>
      <w:r w:rsidRPr="005952C0">
        <w:rPr>
          <w:lang w:val="en-GB"/>
        </w:rPr>
        <w:t xml:space="preserve"> </w:t>
      </w:r>
      <w:r w:rsidR="006F662E" w:rsidRPr="005952C0">
        <w:rPr>
          <w:lang w:val="en-GB"/>
        </w:rPr>
        <w:t>author:</w:t>
      </w:r>
      <w:r w:rsidRPr="005952C0">
        <w:rPr>
          <w:lang w:val="en-GB"/>
        </w:rPr>
        <w:t xml:space="preserve"> </w:t>
      </w:r>
      <w:r w:rsidR="00353273" w:rsidRPr="005952C0">
        <w:rPr>
          <w:lang w:val="en-GB"/>
        </w:rPr>
        <w:t>Ariane Liu</w:t>
      </w:r>
      <w:r w:rsidR="008E4CFE">
        <w:rPr>
          <w:lang w:val="en-GB"/>
        </w:rPr>
        <w:t xml:space="preserve">. Email: </w:t>
      </w:r>
      <w:hyperlink r:id="rId8" w:history="1">
        <w:r w:rsidR="00353273" w:rsidRPr="005952C0">
          <w:rPr>
            <w:rStyle w:val="Hyperlink"/>
            <w:lang w:val="en-GB"/>
          </w:rPr>
          <w:t>Ariane.Liu@uts.edu.au</w:t>
        </w:r>
      </w:hyperlink>
      <w:r w:rsidR="008E4CFE">
        <w:rPr>
          <w:lang w:val="en-GB"/>
        </w:rPr>
        <w:t>, Tel.: +61 2 9514 4950.</w:t>
      </w:r>
      <w:r w:rsidR="00DE3F91" w:rsidRPr="005952C0">
        <w:rPr>
          <w:lang w:val="en-GB"/>
        </w:rPr>
        <w:t xml:space="preserve"> </w:t>
      </w:r>
    </w:p>
    <w:p w14:paraId="6A9C6262" w14:textId="03F41290" w:rsidR="00C94AA5" w:rsidRDefault="00C94AA5" w:rsidP="00F8425F">
      <w:pPr>
        <w:pStyle w:val="KeyPoints"/>
        <w:rPr>
          <w:lang w:val="en-GB"/>
        </w:rPr>
      </w:pPr>
    </w:p>
    <w:p w14:paraId="6442AEEE" w14:textId="1719D59F" w:rsidR="00CB6C62" w:rsidRPr="005952C0" w:rsidRDefault="00CB6C62" w:rsidP="00F8425F">
      <w:pPr>
        <w:pStyle w:val="KeyPoints"/>
        <w:rPr>
          <w:lang w:val="en-GB"/>
        </w:rPr>
      </w:pPr>
      <w:r>
        <w:rPr>
          <w:lang w:val="en-GB"/>
        </w:rPr>
        <w:t xml:space="preserve">This work was supported by the Australian Research Council under </w:t>
      </w:r>
      <w:r w:rsidRPr="005952C0">
        <w:rPr>
          <w:bCs/>
          <w:lang w:val="en-GB"/>
        </w:rPr>
        <w:t>L</w:t>
      </w:r>
      <w:r>
        <w:rPr>
          <w:bCs/>
          <w:lang w:val="en-GB"/>
        </w:rPr>
        <w:t xml:space="preserve">inkage </w:t>
      </w:r>
      <w:r w:rsidRPr="005952C0">
        <w:rPr>
          <w:bCs/>
          <w:lang w:val="en-GB"/>
        </w:rPr>
        <w:t>P</w:t>
      </w:r>
      <w:r>
        <w:rPr>
          <w:bCs/>
          <w:lang w:val="en-GB"/>
        </w:rPr>
        <w:t>roject 110200767</w:t>
      </w:r>
      <w:r w:rsidRPr="005952C0">
        <w:rPr>
          <w:bCs/>
          <w:lang w:val="en-GB"/>
        </w:rPr>
        <w:t>.</w:t>
      </w:r>
    </w:p>
    <w:p w14:paraId="5C03B4CB" w14:textId="77777777" w:rsidR="00B719C8" w:rsidRPr="005952C0" w:rsidRDefault="00B719C8">
      <w:pPr>
        <w:rPr>
          <w:color w:val="00B0F0"/>
          <w:lang w:val="en-GB"/>
        </w:rPr>
      </w:pPr>
      <w:r w:rsidRPr="005952C0">
        <w:rPr>
          <w:lang w:val="en-GB"/>
        </w:rPr>
        <w:br w:type="page"/>
      </w:r>
    </w:p>
    <w:p w14:paraId="2659CCE1" w14:textId="77777777" w:rsidR="002F3B11" w:rsidRPr="005952C0" w:rsidRDefault="008A6077" w:rsidP="00C81368">
      <w:pPr>
        <w:pStyle w:val="Heading-Main"/>
        <w:rPr>
          <w:lang w:val="en-GB"/>
        </w:rPr>
      </w:pPr>
      <w:r w:rsidRPr="005952C0">
        <w:rPr>
          <w:lang w:val="en-GB"/>
        </w:rPr>
        <w:lastRenderedPageBreak/>
        <w:t>Abstract</w:t>
      </w:r>
    </w:p>
    <w:p w14:paraId="44F1B4DC" w14:textId="75064670" w:rsidR="0060397A" w:rsidRDefault="0060397A" w:rsidP="00DE3F91">
      <w:pPr>
        <w:pStyle w:val="Abstract"/>
        <w:rPr>
          <w:lang w:val="en-GB"/>
        </w:rPr>
      </w:pPr>
      <w:r w:rsidRPr="004D6755">
        <w:rPr>
          <w:lang w:val="en-GB"/>
        </w:rPr>
        <w:t xml:space="preserve">This </w:t>
      </w:r>
      <w:r>
        <w:rPr>
          <w:lang w:val="en-GB"/>
        </w:rPr>
        <w:t>paper</w:t>
      </w:r>
      <w:r w:rsidRPr="004D6755">
        <w:rPr>
          <w:lang w:val="en-GB"/>
        </w:rPr>
        <w:t xml:space="preserve"> </w:t>
      </w:r>
      <w:r w:rsidR="003866DB">
        <w:rPr>
          <w:lang w:val="en-GB"/>
        </w:rPr>
        <w:t xml:space="preserve">reports </w:t>
      </w:r>
      <w:r w:rsidR="00C46E60">
        <w:rPr>
          <w:lang w:val="en-GB"/>
        </w:rPr>
        <w:t xml:space="preserve">on the </w:t>
      </w:r>
      <w:r w:rsidR="00A60B86">
        <w:rPr>
          <w:lang w:val="en-GB"/>
        </w:rPr>
        <w:t>short and long</w:t>
      </w:r>
      <w:r w:rsidR="00BC1A62">
        <w:rPr>
          <w:lang w:val="en-GB"/>
        </w:rPr>
        <w:t>-</w:t>
      </w:r>
      <w:r w:rsidR="00A60B86">
        <w:rPr>
          <w:lang w:val="en-GB"/>
        </w:rPr>
        <w:t>term</w:t>
      </w:r>
      <w:r w:rsidR="00C46E60">
        <w:rPr>
          <w:lang w:val="en-GB"/>
        </w:rPr>
        <w:t xml:space="preserve"> impacts </w:t>
      </w:r>
      <w:r w:rsidR="00A60B86">
        <w:rPr>
          <w:lang w:val="en-GB"/>
        </w:rPr>
        <w:t xml:space="preserve">of </w:t>
      </w:r>
      <w:r w:rsidR="003866DB">
        <w:rPr>
          <w:lang w:val="en-GB"/>
        </w:rPr>
        <w:t xml:space="preserve">online water-use feedback provided via </w:t>
      </w:r>
      <w:r w:rsidR="00A60B86">
        <w:rPr>
          <w:lang w:val="en-GB"/>
        </w:rPr>
        <w:t xml:space="preserve">a </w:t>
      </w:r>
      <w:r>
        <w:rPr>
          <w:lang w:val="en-GB"/>
        </w:rPr>
        <w:t xml:space="preserve">smart metering trial </w:t>
      </w:r>
      <w:r w:rsidR="00A60B86">
        <w:rPr>
          <w:lang w:val="en-GB"/>
        </w:rPr>
        <w:t>involving</w:t>
      </w:r>
      <w:r>
        <w:rPr>
          <w:lang w:val="en-GB"/>
        </w:rPr>
        <w:t xml:space="preserve"> </w:t>
      </w:r>
      <w:r w:rsidRPr="005952C0">
        <w:rPr>
          <w:lang w:val="en-GB"/>
        </w:rPr>
        <w:t>120 households in New South Wales, Australia</w:t>
      </w:r>
      <w:r w:rsidR="00A60B86">
        <w:rPr>
          <w:lang w:val="en-GB"/>
        </w:rPr>
        <w:t>. Ne</w:t>
      </w:r>
      <w:r w:rsidRPr="005952C0">
        <w:rPr>
          <w:lang w:val="en-GB"/>
        </w:rPr>
        <w:t xml:space="preserve">ar-real time </w:t>
      </w:r>
      <w:r w:rsidR="00A60B86">
        <w:rPr>
          <w:lang w:val="en-GB"/>
        </w:rPr>
        <w:t xml:space="preserve">water consumption </w:t>
      </w:r>
      <w:r w:rsidRPr="005952C0">
        <w:rPr>
          <w:lang w:val="en-GB"/>
        </w:rPr>
        <w:t xml:space="preserve">feedback was provided </w:t>
      </w:r>
      <w:r w:rsidR="00A60B86">
        <w:rPr>
          <w:lang w:val="en-GB"/>
        </w:rPr>
        <w:t xml:space="preserve">via an online portal </w:t>
      </w:r>
      <w:r w:rsidRPr="005952C0">
        <w:rPr>
          <w:lang w:val="en-GB"/>
        </w:rPr>
        <w:t>to half of the sample</w:t>
      </w:r>
      <w:r w:rsidR="00A60B86">
        <w:rPr>
          <w:lang w:val="en-GB"/>
        </w:rPr>
        <w:t xml:space="preserve">. </w:t>
      </w:r>
      <w:r w:rsidR="003866DB">
        <w:rPr>
          <w:lang w:val="en-GB"/>
        </w:rPr>
        <w:t xml:space="preserve">Water consumption was </w:t>
      </w:r>
      <w:r w:rsidR="00C46E60">
        <w:rPr>
          <w:lang w:val="en-GB"/>
        </w:rPr>
        <w:t xml:space="preserve">uniquely </w:t>
      </w:r>
      <w:r w:rsidR="003866DB">
        <w:rPr>
          <w:lang w:val="en-GB"/>
        </w:rPr>
        <w:t xml:space="preserve">analysed one year pre- and post-intervention, and in conjunction with login data. </w:t>
      </w:r>
      <w:r w:rsidR="00A60B86">
        <w:rPr>
          <w:lang w:val="en-GB"/>
        </w:rPr>
        <w:t xml:space="preserve">During one year </w:t>
      </w:r>
      <w:r w:rsidR="003866DB">
        <w:rPr>
          <w:lang w:val="en-GB"/>
        </w:rPr>
        <w:t xml:space="preserve">of available access, </w:t>
      </w:r>
      <w:r w:rsidRPr="005952C0">
        <w:rPr>
          <w:lang w:val="en-GB"/>
        </w:rPr>
        <w:t xml:space="preserve">the intervention group saved an </w:t>
      </w:r>
      <w:r w:rsidR="003866DB">
        <w:rPr>
          <w:lang w:val="en-GB"/>
        </w:rPr>
        <w:t xml:space="preserve">overall </w:t>
      </w:r>
      <w:r w:rsidRPr="005952C0">
        <w:rPr>
          <w:lang w:val="en-GB"/>
        </w:rPr>
        <w:t>average of 24.1 litres per household per day (L/hh/d) (4.2%).</w:t>
      </w:r>
      <w:r w:rsidR="00A60B86" w:rsidRPr="00A60B86">
        <w:rPr>
          <w:lang w:val="en-GB"/>
        </w:rPr>
        <w:t xml:space="preserve"> </w:t>
      </w:r>
      <w:r w:rsidR="003866DB">
        <w:rPr>
          <w:lang w:val="en-GB"/>
        </w:rPr>
        <w:t>R</w:t>
      </w:r>
      <w:r w:rsidR="00A60B86" w:rsidRPr="005952C0">
        <w:rPr>
          <w:lang w:val="en-GB"/>
        </w:rPr>
        <w:t>egression analysis showed th</w:t>
      </w:r>
      <w:r w:rsidR="00A60B86">
        <w:rPr>
          <w:lang w:val="en-GB"/>
        </w:rPr>
        <w:t xml:space="preserve">e </w:t>
      </w:r>
      <w:r w:rsidR="00A60B86" w:rsidRPr="005952C0">
        <w:rPr>
          <w:lang w:val="en-GB"/>
        </w:rPr>
        <w:t xml:space="preserve">significant savings </w:t>
      </w:r>
      <w:r w:rsidR="00A60B86">
        <w:rPr>
          <w:lang w:val="en-GB"/>
        </w:rPr>
        <w:t>of</w:t>
      </w:r>
      <w:r w:rsidR="00A60B86" w:rsidRPr="005952C0">
        <w:rPr>
          <w:lang w:val="en-GB"/>
        </w:rPr>
        <w:t xml:space="preserve"> active users related </w:t>
      </w:r>
      <w:r w:rsidR="00A60B86">
        <w:rPr>
          <w:lang w:val="en-GB"/>
        </w:rPr>
        <w:t xml:space="preserve">specifically </w:t>
      </w:r>
      <w:r w:rsidR="00A60B86" w:rsidRPr="005952C0">
        <w:rPr>
          <w:lang w:val="en-GB"/>
        </w:rPr>
        <w:t>to portal login activity</w:t>
      </w:r>
      <w:r w:rsidR="00A60B86">
        <w:rPr>
          <w:lang w:val="en-GB"/>
        </w:rPr>
        <w:t>. S</w:t>
      </w:r>
      <w:r w:rsidR="00A60B86" w:rsidRPr="005952C0">
        <w:rPr>
          <w:lang w:val="en-GB"/>
        </w:rPr>
        <w:t xml:space="preserve">ignificant short-term effects persisted for 42 days, averaging at 63.1 L/hh/d. The article </w:t>
      </w:r>
      <w:r w:rsidR="003866DB">
        <w:rPr>
          <w:lang w:val="en-GB"/>
        </w:rPr>
        <w:t>discusses</w:t>
      </w:r>
      <w:r w:rsidR="00A60B86" w:rsidRPr="005952C0">
        <w:rPr>
          <w:lang w:val="en-GB"/>
        </w:rPr>
        <w:t xml:space="preserve"> the implications for research</w:t>
      </w:r>
      <w:r w:rsidR="00C46E60">
        <w:rPr>
          <w:lang w:val="en-GB"/>
        </w:rPr>
        <w:t xml:space="preserve"> and practice, including a consideration of how, in </w:t>
      </w:r>
      <w:r w:rsidR="003866DB">
        <w:rPr>
          <w:lang w:val="en-GB"/>
        </w:rPr>
        <w:t xml:space="preserve">addition to </w:t>
      </w:r>
      <w:r w:rsidR="003866DB" w:rsidRPr="005952C0">
        <w:rPr>
          <w:lang w:val="en-GB"/>
        </w:rPr>
        <w:t>prov</w:t>
      </w:r>
      <w:r w:rsidR="003866DB">
        <w:rPr>
          <w:lang w:val="en-GB"/>
        </w:rPr>
        <w:t>iding</w:t>
      </w:r>
      <w:r w:rsidR="00C46E60">
        <w:rPr>
          <w:lang w:val="en-GB"/>
        </w:rPr>
        <w:t xml:space="preserve"> ongoing access</w:t>
      </w:r>
      <w:r w:rsidR="003866DB">
        <w:rPr>
          <w:lang w:val="en-GB"/>
        </w:rPr>
        <w:t>,</w:t>
      </w:r>
      <w:r w:rsidR="003866DB" w:rsidRPr="005952C0">
        <w:rPr>
          <w:lang w:val="en-GB"/>
        </w:rPr>
        <w:t xml:space="preserve"> </w:t>
      </w:r>
      <w:r w:rsidR="00A60B86" w:rsidRPr="005952C0">
        <w:rPr>
          <w:lang w:val="en-GB"/>
        </w:rPr>
        <w:t>online portal</w:t>
      </w:r>
      <w:r w:rsidR="003866DB">
        <w:rPr>
          <w:lang w:val="en-GB"/>
        </w:rPr>
        <w:t>s</w:t>
      </w:r>
      <w:r w:rsidR="00A60B86" w:rsidRPr="005952C0">
        <w:rPr>
          <w:lang w:val="en-GB"/>
        </w:rPr>
        <w:t xml:space="preserve"> </w:t>
      </w:r>
      <w:r w:rsidR="00C46E60">
        <w:rPr>
          <w:lang w:val="en-GB"/>
        </w:rPr>
        <w:t>could</w:t>
      </w:r>
      <w:r w:rsidR="00A60B86" w:rsidRPr="005952C0">
        <w:rPr>
          <w:lang w:val="en-GB"/>
        </w:rPr>
        <w:t xml:space="preserve"> be leveraged further by water authorities to help meet urgent short-term supply constraints such as in drought.</w:t>
      </w:r>
    </w:p>
    <w:p w14:paraId="54D20404" w14:textId="69FE4D68" w:rsidR="0060397A" w:rsidRDefault="0060397A" w:rsidP="00DE3F91">
      <w:pPr>
        <w:pStyle w:val="Abstract"/>
        <w:rPr>
          <w:lang w:val="en-GB"/>
        </w:rPr>
      </w:pPr>
    </w:p>
    <w:p w14:paraId="5AF3FAE8" w14:textId="449DD0FA" w:rsidR="00175E7C" w:rsidRDefault="00175E7C" w:rsidP="00DE3F91">
      <w:pPr>
        <w:pStyle w:val="Abstract"/>
        <w:rPr>
          <w:lang w:val="en-GB"/>
        </w:rPr>
      </w:pPr>
      <w:r w:rsidRPr="00175E7C">
        <w:rPr>
          <w:b/>
          <w:lang w:val="en-GB"/>
        </w:rPr>
        <w:t>Key words</w:t>
      </w:r>
      <w:r w:rsidRPr="00175E7C">
        <w:rPr>
          <w:b/>
          <w:lang w:val="en-GB"/>
        </w:rPr>
        <w:br/>
      </w:r>
      <w:r w:rsidRPr="00175E7C">
        <w:rPr>
          <w:lang w:val="en-GB"/>
        </w:rPr>
        <w:t xml:space="preserve">Sustainable urban water management; Water demand management; </w:t>
      </w:r>
      <w:r>
        <w:rPr>
          <w:lang w:val="en-GB"/>
        </w:rPr>
        <w:t xml:space="preserve">Education; </w:t>
      </w:r>
      <w:r w:rsidRPr="00175E7C">
        <w:rPr>
          <w:lang w:val="en-GB"/>
        </w:rPr>
        <w:t>Innovation; Metering; Monitoring.</w:t>
      </w:r>
    </w:p>
    <w:p w14:paraId="16209284" w14:textId="77777777" w:rsidR="00175E7C" w:rsidRPr="00175E7C" w:rsidRDefault="00175E7C" w:rsidP="00DE3F91">
      <w:pPr>
        <w:pStyle w:val="Abstract"/>
        <w:rPr>
          <w:b/>
          <w:lang w:val="en-GB"/>
        </w:rPr>
      </w:pPr>
    </w:p>
    <w:p w14:paraId="13B98F38" w14:textId="77777777" w:rsidR="001A2DF3" w:rsidRDefault="001A2DF3">
      <w:pPr>
        <w:rPr>
          <w:rFonts w:eastAsia="Times New Roman"/>
          <w:b/>
          <w:bCs/>
          <w:kern w:val="28"/>
          <w:sz w:val="24"/>
          <w:szCs w:val="24"/>
          <w:lang w:val="en-GB"/>
        </w:rPr>
      </w:pPr>
      <w:r>
        <w:rPr>
          <w:lang w:val="en-GB"/>
        </w:rPr>
        <w:br w:type="page"/>
      </w:r>
    </w:p>
    <w:p w14:paraId="16752E20" w14:textId="0B559509" w:rsidR="002F3B11" w:rsidRPr="005952C0" w:rsidRDefault="002F3B11" w:rsidP="00C81368">
      <w:pPr>
        <w:pStyle w:val="Heading-Main"/>
        <w:rPr>
          <w:lang w:val="en-GB"/>
        </w:rPr>
      </w:pPr>
      <w:r w:rsidRPr="005952C0">
        <w:rPr>
          <w:lang w:val="en-GB"/>
        </w:rPr>
        <w:lastRenderedPageBreak/>
        <w:t>1</w:t>
      </w:r>
      <w:r w:rsidR="003363F3">
        <w:rPr>
          <w:lang w:val="en-GB"/>
        </w:rPr>
        <w:t>.</w:t>
      </w:r>
      <w:r w:rsidRPr="005952C0">
        <w:rPr>
          <w:lang w:val="en-GB"/>
        </w:rPr>
        <w:t xml:space="preserve"> Introduction</w:t>
      </w:r>
    </w:p>
    <w:p w14:paraId="64B53B21" w14:textId="6FBF2C3D" w:rsidR="00A0373F" w:rsidRPr="005952C0" w:rsidRDefault="00A0373F" w:rsidP="005952C0">
      <w:pPr>
        <w:pStyle w:val="Text"/>
        <w:ind w:firstLine="0"/>
        <w:rPr>
          <w:lang w:val="en-GB"/>
        </w:rPr>
      </w:pPr>
      <w:r w:rsidRPr="005952C0">
        <w:rPr>
          <w:lang w:val="en-GB"/>
        </w:rPr>
        <w:t>Water resources management has seen a generational shift from a focus on su</w:t>
      </w:r>
      <w:r w:rsidR="000533BE" w:rsidRPr="005952C0">
        <w:rPr>
          <w:lang w:val="en-GB"/>
        </w:rPr>
        <w:t>pply</w:t>
      </w:r>
      <w:r w:rsidR="003B741B">
        <w:rPr>
          <w:lang w:val="en-GB"/>
        </w:rPr>
        <w:t>-</w:t>
      </w:r>
      <w:r w:rsidR="000533BE" w:rsidRPr="005952C0">
        <w:rPr>
          <w:lang w:val="en-GB"/>
        </w:rPr>
        <w:t>side augmentation towards</w:t>
      </w:r>
      <w:r w:rsidRPr="005952C0">
        <w:rPr>
          <w:lang w:val="en-GB"/>
        </w:rPr>
        <w:t xml:space="preserve"> greater consideration of demand-side options to me</w:t>
      </w:r>
      <w:r w:rsidR="000533BE" w:rsidRPr="005952C0">
        <w:rPr>
          <w:lang w:val="en-GB"/>
        </w:rPr>
        <w:t xml:space="preserve">et projected demands for water </w:t>
      </w:r>
      <w:r w:rsidR="0029187D">
        <w:rPr>
          <w:lang w:val="en-GB"/>
        </w:rPr>
        <w:t>(</w:t>
      </w:r>
      <w:r w:rsidRPr="00990E74">
        <w:rPr>
          <w:lang w:val="en-GB"/>
        </w:rPr>
        <w:t>Turner et al., 2008</w:t>
      </w:r>
      <w:r w:rsidR="0029187D">
        <w:rPr>
          <w:lang w:val="en-GB"/>
        </w:rPr>
        <w:t>)</w:t>
      </w:r>
      <w:r w:rsidRPr="00990E74">
        <w:rPr>
          <w:lang w:val="en-GB"/>
        </w:rPr>
        <w:t>.</w:t>
      </w:r>
      <w:r w:rsidRPr="005952C0">
        <w:rPr>
          <w:lang w:val="en-GB"/>
        </w:rPr>
        <w:t xml:space="preserve"> The search for effective demand management policies is of particular interest to water authorities under water stress, either seeking to delay supply augmentations or facing water shortages including drought. </w:t>
      </w:r>
      <w:r w:rsidR="001A2DF3">
        <w:rPr>
          <w:lang w:val="en-GB"/>
        </w:rPr>
        <w:t>While new</w:t>
      </w:r>
      <w:r w:rsidR="001A2DF3" w:rsidRPr="005952C0">
        <w:rPr>
          <w:lang w:val="en-GB"/>
        </w:rPr>
        <w:t xml:space="preserve"> </w:t>
      </w:r>
      <w:r w:rsidRPr="005952C0">
        <w:rPr>
          <w:lang w:val="en-GB"/>
        </w:rPr>
        <w:t xml:space="preserve">technologies may offer hopeful promises, the interactive </w:t>
      </w:r>
      <w:r w:rsidR="00190354" w:rsidRPr="005952C0">
        <w:rPr>
          <w:lang w:val="en-GB"/>
        </w:rPr>
        <w:t>behavio</w:t>
      </w:r>
      <w:r w:rsidR="005952C0">
        <w:rPr>
          <w:lang w:val="en-GB"/>
        </w:rPr>
        <w:t>u</w:t>
      </w:r>
      <w:r w:rsidR="00190354" w:rsidRPr="005952C0">
        <w:rPr>
          <w:lang w:val="en-GB"/>
        </w:rPr>
        <w:t>rs</w:t>
      </w:r>
      <w:r w:rsidRPr="005952C0">
        <w:rPr>
          <w:lang w:val="en-GB"/>
        </w:rPr>
        <w:t xml:space="preserve"> of users </w:t>
      </w:r>
      <w:r w:rsidR="00190354" w:rsidRPr="005952C0">
        <w:rPr>
          <w:lang w:val="en-GB"/>
        </w:rPr>
        <w:t>have</w:t>
      </w:r>
      <w:r w:rsidRPr="005952C0">
        <w:rPr>
          <w:lang w:val="en-GB"/>
        </w:rPr>
        <w:t xml:space="preserve"> been </w:t>
      </w:r>
      <w:r w:rsidR="00190354" w:rsidRPr="005952C0">
        <w:rPr>
          <w:lang w:val="en-GB"/>
        </w:rPr>
        <w:t>recogni</w:t>
      </w:r>
      <w:r w:rsidR="00CB6C62">
        <w:rPr>
          <w:lang w:val="en-GB"/>
        </w:rPr>
        <w:t>s</w:t>
      </w:r>
      <w:r w:rsidR="00190354" w:rsidRPr="005952C0">
        <w:rPr>
          <w:lang w:val="en-GB"/>
        </w:rPr>
        <w:t>ed</w:t>
      </w:r>
      <w:r w:rsidRPr="005952C0">
        <w:rPr>
          <w:lang w:val="en-GB"/>
        </w:rPr>
        <w:t xml:space="preserve"> as equally influential in ultimately determining impacts on </w:t>
      </w:r>
      <w:r w:rsidR="000533BE" w:rsidRPr="005952C0">
        <w:rPr>
          <w:lang w:val="en-GB"/>
        </w:rPr>
        <w:t xml:space="preserve">water consumption </w:t>
      </w:r>
      <w:r w:rsidR="0029187D">
        <w:rPr>
          <w:lang w:val="en-GB"/>
        </w:rPr>
        <w:t>(</w:t>
      </w:r>
      <w:r w:rsidRPr="00990E74">
        <w:rPr>
          <w:lang w:val="en-GB"/>
        </w:rPr>
        <w:t>Beal et al., 2013; Stewart et al., 2013</w:t>
      </w:r>
      <w:r w:rsidR="0029187D">
        <w:rPr>
          <w:lang w:val="en-GB"/>
        </w:rPr>
        <w:t>)</w:t>
      </w:r>
      <w:r w:rsidRPr="00990E74">
        <w:rPr>
          <w:lang w:val="en-GB"/>
        </w:rPr>
        <w:t>.</w:t>
      </w:r>
      <w:r w:rsidRPr="005952C0">
        <w:rPr>
          <w:lang w:val="en-GB"/>
        </w:rPr>
        <w:t xml:space="preserve">  </w:t>
      </w:r>
    </w:p>
    <w:p w14:paraId="17AA3BF4" w14:textId="6691D2CE" w:rsidR="00A0373F" w:rsidRPr="005952C0" w:rsidRDefault="00A0373F" w:rsidP="005952C0">
      <w:pPr>
        <w:pStyle w:val="Text"/>
        <w:ind w:firstLine="0"/>
        <w:rPr>
          <w:lang w:val="en-GB"/>
        </w:rPr>
      </w:pPr>
      <w:r w:rsidRPr="005952C0">
        <w:rPr>
          <w:lang w:val="en-GB"/>
        </w:rPr>
        <w:t>Smart water metering presents new opportunities for improved collection</w:t>
      </w:r>
      <w:r w:rsidR="003B741B">
        <w:rPr>
          <w:lang w:val="en-GB"/>
        </w:rPr>
        <w:t xml:space="preserve">, </w:t>
      </w:r>
      <w:r w:rsidRPr="005952C0">
        <w:rPr>
          <w:lang w:val="en-GB"/>
        </w:rPr>
        <w:t>analysis and communication of water consumption data to monitor and manage usage</w:t>
      </w:r>
      <w:r w:rsidR="004B2AC5">
        <w:rPr>
          <w:lang w:val="en-GB"/>
        </w:rPr>
        <w:t xml:space="preserve"> (Cole and Stewart, 2013)</w:t>
      </w:r>
      <w:r w:rsidRPr="005952C0">
        <w:rPr>
          <w:lang w:val="en-GB"/>
        </w:rPr>
        <w:t>. Despite rapid growth in the market</w:t>
      </w:r>
      <w:r w:rsidR="003B741B">
        <w:rPr>
          <w:lang w:val="en-GB"/>
        </w:rPr>
        <w:t xml:space="preserve">, </w:t>
      </w:r>
      <w:r w:rsidRPr="005952C0">
        <w:rPr>
          <w:lang w:val="en-GB"/>
        </w:rPr>
        <w:t>including in Australia</w:t>
      </w:r>
      <w:r w:rsidR="000533BE" w:rsidRPr="005952C0">
        <w:rPr>
          <w:lang w:val="en-GB"/>
        </w:rPr>
        <w:t xml:space="preserve"> </w:t>
      </w:r>
      <w:r w:rsidR="0029187D">
        <w:rPr>
          <w:lang w:val="en-GB"/>
        </w:rPr>
        <w:t>(</w:t>
      </w:r>
      <w:r w:rsidRPr="00990E74">
        <w:rPr>
          <w:lang w:val="en-GB"/>
        </w:rPr>
        <w:t>Beal and Flynn,</w:t>
      </w:r>
      <w:r w:rsidR="000533BE" w:rsidRPr="00990E74">
        <w:rPr>
          <w:lang w:val="en-GB"/>
        </w:rPr>
        <w:t xml:space="preserve"> 2015</w:t>
      </w:r>
      <w:r w:rsidR="0029187D">
        <w:rPr>
          <w:lang w:val="en-GB"/>
        </w:rPr>
        <w:t>)</w:t>
      </w:r>
      <w:r w:rsidRPr="005952C0">
        <w:rPr>
          <w:lang w:val="en-GB"/>
        </w:rPr>
        <w:t xml:space="preserve">, the extension of smart water metering to incorporate household feedback is lagging behind these wider deployments </w:t>
      </w:r>
      <w:r w:rsidR="0029187D">
        <w:rPr>
          <w:lang w:val="en-GB"/>
        </w:rPr>
        <w:t>(</w:t>
      </w:r>
      <w:r w:rsidRPr="00990E74">
        <w:rPr>
          <w:lang w:val="en-GB"/>
        </w:rPr>
        <w:t>Boyle</w:t>
      </w:r>
      <w:r w:rsidR="00190354" w:rsidRPr="00990E74">
        <w:rPr>
          <w:lang w:val="en-GB"/>
        </w:rPr>
        <w:t xml:space="preserve"> et al., 2013; Liu et al., 2015</w:t>
      </w:r>
      <w:r w:rsidR="0029187D">
        <w:rPr>
          <w:lang w:val="en-GB"/>
        </w:rPr>
        <w:t>)</w:t>
      </w:r>
      <w:r w:rsidRPr="005952C0">
        <w:rPr>
          <w:lang w:val="en-GB"/>
        </w:rPr>
        <w:t xml:space="preserve">. </w:t>
      </w:r>
      <w:r w:rsidR="00BC1A62">
        <w:rPr>
          <w:lang w:val="en-GB"/>
        </w:rPr>
        <w:t xml:space="preserve">Yet </w:t>
      </w:r>
      <w:r w:rsidRPr="005952C0">
        <w:rPr>
          <w:lang w:val="en-GB"/>
        </w:rPr>
        <w:t>a variety of advanced information and communication technologies exist which c</w:t>
      </w:r>
      <w:r w:rsidR="003B741B">
        <w:rPr>
          <w:lang w:val="en-GB"/>
        </w:rPr>
        <w:t xml:space="preserve">ould </w:t>
      </w:r>
      <w:r w:rsidRPr="005952C0">
        <w:rPr>
          <w:lang w:val="en-GB"/>
        </w:rPr>
        <w:t>communicate feedback far beyond</w:t>
      </w:r>
      <w:r w:rsidR="00FD6DE7">
        <w:rPr>
          <w:lang w:val="en-GB"/>
        </w:rPr>
        <w:t xml:space="preserve"> general</w:t>
      </w:r>
      <w:r w:rsidRPr="005952C0">
        <w:rPr>
          <w:lang w:val="en-GB"/>
        </w:rPr>
        <w:t xml:space="preserve"> current </w:t>
      </w:r>
      <w:r w:rsidR="00190354" w:rsidRPr="005952C0">
        <w:rPr>
          <w:lang w:val="en-GB"/>
        </w:rPr>
        <w:t>practice</w:t>
      </w:r>
      <w:r w:rsidRPr="005952C0">
        <w:rPr>
          <w:lang w:val="en-GB"/>
        </w:rPr>
        <w:t>.</w:t>
      </w:r>
    </w:p>
    <w:p w14:paraId="78CAC6BF" w14:textId="155EA259" w:rsidR="00A0373F" w:rsidRPr="005952C0" w:rsidRDefault="00A0373F" w:rsidP="005952C0">
      <w:pPr>
        <w:pStyle w:val="Text"/>
        <w:ind w:firstLine="0"/>
        <w:rPr>
          <w:lang w:val="en-GB"/>
        </w:rPr>
      </w:pPr>
      <w:r w:rsidRPr="005952C0">
        <w:rPr>
          <w:lang w:val="en-GB"/>
        </w:rPr>
        <w:t>The internet provides a convenient platform to convey consumption information to end-consumers</w:t>
      </w:r>
      <w:r w:rsidR="003B741B">
        <w:rPr>
          <w:lang w:val="en-GB"/>
        </w:rPr>
        <w:t xml:space="preserve"> and water resources </w:t>
      </w:r>
      <w:r w:rsidRPr="005952C0">
        <w:rPr>
          <w:lang w:val="en-GB"/>
        </w:rPr>
        <w:t>managers</w:t>
      </w:r>
      <w:r w:rsidR="003B741B">
        <w:rPr>
          <w:lang w:val="en-GB"/>
        </w:rPr>
        <w:t>.</w:t>
      </w:r>
      <w:r w:rsidRPr="005952C0">
        <w:rPr>
          <w:lang w:val="en-GB"/>
        </w:rPr>
        <w:t xml:space="preserve"> Online portals can provide </w:t>
      </w:r>
      <w:r w:rsidR="003B741B">
        <w:rPr>
          <w:lang w:val="en-GB"/>
        </w:rPr>
        <w:t xml:space="preserve">household water-use </w:t>
      </w:r>
      <w:r w:rsidRPr="005952C0">
        <w:rPr>
          <w:lang w:val="en-GB"/>
        </w:rPr>
        <w:t>feedback in near real-time</w:t>
      </w:r>
      <w:r w:rsidR="003B741B">
        <w:rPr>
          <w:lang w:val="en-GB"/>
        </w:rPr>
        <w:t>,</w:t>
      </w:r>
      <w:r w:rsidRPr="005952C0">
        <w:rPr>
          <w:lang w:val="en-GB"/>
        </w:rPr>
        <w:t xml:space="preserve"> </w:t>
      </w:r>
      <w:r w:rsidR="003B741B">
        <w:rPr>
          <w:lang w:val="en-GB"/>
        </w:rPr>
        <w:t xml:space="preserve">further </w:t>
      </w:r>
      <w:r w:rsidRPr="005952C0">
        <w:rPr>
          <w:lang w:val="en-GB"/>
        </w:rPr>
        <w:t>enhanced with additional features or information, such as on how to save</w:t>
      </w:r>
      <w:r w:rsidR="003B741B">
        <w:rPr>
          <w:lang w:val="en-GB"/>
        </w:rPr>
        <w:t xml:space="preserve">. </w:t>
      </w:r>
      <w:r w:rsidRPr="005952C0">
        <w:rPr>
          <w:lang w:val="en-GB"/>
        </w:rPr>
        <w:t xml:space="preserve">Online </w:t>
      </w:r>
      <w:r w:rsidR="00E819AC" w:rsidRPr="005952C0">
        <w:rPr>
          <w:lang w:val="en-GB"/>
        </w:rPr>
        <w:t>portals</w:t>
      </w:r>
      <w:r w:rsidRPr="005952C0">
        <w:rPr>
          <w:lang w:val="en-GB"/>
        </w:rPr>
        <w:t xml:space="preserve"> offer </w:t>
      </w:r>
      <w:r w:rsidR="003B741B">
        <w:rPr>
          <w:lang w:val="en-GB"/>
        </w:rPr>
        <w:t>distinct</w:t>
      </w:r>
      <w:r w:rsidR="003B741B" w:rsidRPr="005952C0">
        <w:rPr>
          <w:lang w:val="en-GB"/>
        </w:rPr>
        <w:t xml:space="preserve"> </w:t>
      </w:r>
      <w:r w:rsidRPr="005952C0">
        <w:rPr>
          <w:lang w:val="en-GB"/>
        </w:rPr>
        <w:t>advantage</w:t>
      </w:r>
      <w:r w:rsidR="004D631B" w:rsidRPr="005952C0">
        <w:rPr>
          <w:lang w:val="en-GB"/>
        </w:rPr>
        <w:t xml:space="preserve">s over </w:t>
      </w:r>
      <w:r w:rsidR="003B741B">
        <w:rPr>
          <w:lang w:val="en-GB"/>
        </w:rPr>
        <w:t>alternative</w:t>
      </w:r>
      <w:r w:rsidR="00E819AC" w:rsidRPr="005952C0">
        <w:rPr>
          <w:lang w:val="en-GB"/>
        </w:rPr>
        <w:t xml:space="preserve"> </w:t>
      </w:r>
      <w:r w:rsidR="004D631B" w:rsidRPr="005952C0">
        <w:rPr>
          <w:lang w:val="en-GB"/>
        </w:rPr>
        <w:t>mediums (in-home displays, paper reports)</w:t>
      </w:r>
      <w:r w:rsidR="00D42852">
        <w:rPr>
          <w:lang w:val="en-GB"/>
        </w:rPr>
        <w:t>, including</w:t>
      </w:r>
      <w:r w:rsidR="003B741B">
        <w:rPr>
          <w:lang w:val="en-GB"/>
        </w:rPr>
        <w:t xml:space="preserve"> </w:t>
      </w:r>
      <w:r w:rsidRPr="005952C0">
        <w:rPr>
          <w:lang w:val="en-GB"/>
        </w:rPr>
        <w:t>access via any web-enabled device at the convenience of users</w:t>
      </w:r>
      <w:r w:rsidR="00FD6DE7">
        <w:rPr>
          <w:lang w:val="en-GB"/>
        </w:rPr>
        <w:t>,</w:t>
      </w:r>
      <w:r w:rsidR="001A2DF3">
        <w:rPr>
          <w:lang w:val="en-GB"/>
        </w:rPr>
        <w:t xml:space="preserve"> a</w:t>
      </w:r>
      <w:r w:rsidRPr="005952C0">
        <w:rPr>
          <w:lang w:val="en-GB"/>
        </w:rPr>
        <w:t>t or outside the home, and interactivity with other</w:t>
      </w:r>
      <w:r w:rsidR="001A2DF3">
        <w:rPr>
          <w:lang w:val="en-GB"/>
        </w:rPr>
        <w:t xml:space="preserve">s. </w:t>
      </w:r>
      <w:r w:rsidRPr="005952C0">
        <w:rPr>
          <w:lang w:val="en-GB"/>
        </w:rPr>
        <w:t xml:space="preserve"> </w:t>
      </w:r>
    </w:p>
    <w:p w14:paraId="163775B1" w14:textId="77A49CB1" w:rsidR="00A0373F" w:rsidRPr="005952C0" w:rsidRDefault="00F55B8F" w:rsidP="005952C0">
      <w:pPr>
        <w:pStyle w:val="Text"/>
        <w:ind w:firstLine="0"/>
        <w:rPr>
          <w:lang w:val="en-GB"/>
        </w:rPr>
      </w:pPr>
      <w:r>
        <w:rPr>
          <w:lang w:val="en-GB"/>
        </w:rPr>
        <w:t>R</w:t>
      </w:r>
      <w:r w:rsidR="00A0373F" w:rsidRPr="005952C0">
        <w:rPr>
          <w:lang w:val="en-GB"/>
        </w:rPr>
        <w:t xml:space="preserve">esearch particularly investigating the impacts and usage of online </w:t>
      </w:r>
      <w:r>
        <w:rPr>
          <w:lang w:val="en-GB"/>
        </w:rPr>
        <w:t xml:space="preserve">water-use </w:t>
      </w:r>
      <w:r w:rsidR="00A0373F" w:rsidRPr="005952C0">
        <w:rPr>
          <w:lang w:val="en-GB"/>
        </w:rPr>
        <w:t xml:space="preserve">feedback </w:t>
      </w:r>
      <w:r w:rsidR="004D631B" w:rsidRPr="005952C0">
        <w:rPr>
          <w:lang w:val="en-GB"/>
        </w:rPr>
        <w:t>via</w:t>
      </w:r>
      <w:r>
        <w:rPr>
          <w:lang w:val="en-GB"/>
        </w:rPr>
        <w:t xml:space="preserve"> smart water metering and</w:t>
      </w:r>
      <w:r w:rsidR="004D631B" w:rsidRPr="005952C0">
        <w:rPr>
          <w:lang w:val="en-GB"/>
        </w:rPr>
        <w:t xml:space="preserve"> the internet </w:t>
      </w:r>
      <w:r w:rsidR="00A0373F" w:rsidRPr="005952C0">
        <w:rPr>
          <w:lang w:val="en-GB"/>
        </w:rPr>
        <w:t xml:space="preserve">remains very scarce. </w:t>
      </w:r>
      <w:r w:rsidR="00F85DAB">
        <w:rPr>
          <w:lang w:val="en-GB"/>
        </w:rPr>
        <w:t>However,</w:t>
      </w:r>
      <w:r w:rsidR="00276317">
        <w:rPr>
          <w:lang w:val="en-GB"/>
        </w:rPr>
        <w:t xml:space="preserve"> </w:t>
      </w:r>
      <w:r w:rsidR="002A26FB">
        <w:rPr>
          <w:lang w:val="en-GB"/>
        </w:rPr>
        <w:t xml:space="preserve">online feedback systems are more commonplace for energy, with comparatively </w:t>
      </w:r>
      <w:r w:rsidR="00276317">
        <w:rPr>
          <w:lang w:val="en-GB"/>
        </w:rPr>
        <w:t xml:space="preserve">more </w:t>
      </w:r>
      <w:r w:rsidR="002A26FB">
        <w:rPr>
          <w:lang w:val="en-GB"/>
        </w:rPr>
        <w:t>research having</w:t>
      </w:r>
      <w:r w:rsidR="00276317">
        <w:rPr>
          <w:lang w:val="en-GB"/>
        </w:rPr>
        <w:t xml:space="preserve"> been </w:t>
      </w:r>
      <w:r w:rsidR="00C27930">
        <w:rPr>
          <w:lang w:val="en-GB"/>
        </w:rPr>
        <w:t>undertaken</w:t>
      </w:r>
      <w:r w:rsidR="00276317">
        <w:rPr>
          <w:lang w:val="en-GB"/>
        </w:rPr>
        <w:t xml:space="preserve"> </w:t>
      </w:r>
      <w:r w:rsidR="002A26FB">
        <w:rPr>
          <w:lang w:val="en-GB"/>
        </w:rPr>
        <w:t xml:space="preserve">in the sector </w:t>
      </w:r>
      <w:r w:rsidR="00276317">
        <w:rPr>
          <w:lang w:val="en-GB"/>
        </w:rPr>
        <w:t xml:space="preserve">(e.g. Schleich et al. </w:t>
      </w:r>
      <w:r w:rsidR="00A84DCB">
        <w:rPr>
          <w:lang w:val="en-GB"/>
        </w:rPr>
        <w:t>2011</w:t>
      </w:r>
      <w:r w:rsidR="00276317">
        <w:rPr>
          <w:lang w:val="en-GB"/>
        </w:rPr>
        <w:t xml:space="preserve">). </w:t>
      </w:r>
      <w:r w:rsidR="00A0373F" w:rsidRPr="005952C0">
        <w:rPr>
          <w:lang w:val="en-GB"/>
        </w:rPr>
        <w:t xml:space="preserve">Understanding householders’ </w:t>
      </w:r>
      <w:r w:rsidR="003B741B" w:rsidRPr="005952C0">
        <w:rPr>
          <w:lang w:val="en-GB"/>
        </w:rPr>
        <w:t>us</w:t>
      </w:r>
      <w:r w:rsidR="003B741B">
        <w:rPr>
          <w:lang w:val="en-GB"/>
        </w:rPr>
        <w:t>age</w:t>
      </w:r>
      <w:r w:rsidR="003B741B" w:rsidRPr="005952C0">
        <w:rPr>
          <w:lang w:val="en-GB"/>
        </w:rPr>
        <w:t xml:space="preserve"> </w:t>
      </w:r>
      <w:r w:rsidR="00A0373F" w:rsidRPr="005952C0">
        <w:rPr>
          <w:lang w:val="en-GB"/>
        </w:rPr>
        <w:t xml:space="preserve">of </w:t>
      </w:r>
      <w:r w:rsidR="00A81615">
        <w:rPr>
          <w:lang w:val="en-GB"/>
        </w:rPr>
        <w:t xml:space="preserve">new </w:t>
      </w:r>
      <w:r w:rsidR="00A0373F" w:rsidRPr="005952C0">
        <w:rPr>
          <w:lang w:val="en-GB"/>
        </w:rPr>
        <w:t xml:space="preserve">feedback </w:t>
      </w:r>
      <w:r w:rsidR="001A2DF3">
        <w:rPr>
          <w:lang w:val="en-GB"/>
        </w:rPr>
        <w:t xml:space="preserve">technologies </w:t>
      </w:r>
      <w:r w:rsidR="00A0373F" w:rsidRPr="005952C0">
        <w:rPr>
          <w:lang w:val="en-GB"/>
        </w:rPr>
        <w:t xml:space="preserve">is important as water utilities remain reluctant to invest time and financial resources without confidence </w:t>
      </w:r>
      <w:r w:rsidR="001A2DF3">
        <w:rPr>
          <w:lang w:val="en-GB"/>
        </w:rPr>
        <w:t>in their value. U</w:t>
      </w:r>
      <w:r w:rsidR="00A0373F" w:rsidRPr="005952C0">
        <w:rPr>
          <w:lang w:val="en-GB"/>
        </w:rPr>
        <w:t xml:space="preserve">tilities </w:t>
      </w:r>
      <w:r w:rsidR="001A2DF3">
        <w:rPr>
          <w:lang w:val="en-GB"/>
        </w:rPr>
        <w:t xml:space="preserve">also </w:t>
      </w:r>
      <w:r w:rsidR="00A0373F" w:rsidRPr="005952C0">
        <w:rPr>
          <w:lang w:val="en-GB"/>
        </w:rPr>
        <w:t xml:space="preserve">need to understand the likely impacts of detailed feedback on water consumption patterns and </w:t>
      </w:r>
      <w:r w:rsidR="005952C0" w:rsidRPr="005952C0">
        <w:rPr>
          <w:lang w:val="en-GB"/>
        </w:rPr>
        <w:t>behaviours</w:t>
      </w:r>
      <w:r w:rsidR="00A0373F" w:rsidRPr="005952C0">
        <w:rPr>
          <w:lang w:val="en-GB"/>
        </w:rPr>
        <w:t xml:space="preserve"> and the</w:t>
      </w:r>
      <w:r w:rsidR="001A2DF3">
        <w:rPr>
          <w:lang w:val="en-GB"/>
        </w:rPr>
        <w:t>ir</w:t>
      </w:r>
      <w:r w:rsidR="00A0373F" w:rsidRPr="005952C0">
        <w:rPr>
          <w:lang w:val="en-GB"/>
        </w:rPr>
        <w:t xml:space="preserve"> potential contribution towards improved water resources management.</w:t>
      </w:r>
    </w:p>
    <w:p w14:paraId="573E06DE" w14:textId="047FF8A0" w:rsidR="00A0373F" w:rsidRPr="005952C0" w:rsidRDefault="00BC1A62" w:rsidP="005952C0">
      <w:pPr>
        <w:pStyle w:val="Text"/>
        <w:ind w:firstLine="0"/>
        <w:rPr>
          <w:lang w:val="en-GB"/>
        </w:rPr>
      </w:pPr>
      <w:r w:rsidRPr="005952C0">
        <w:rPr>
          <w:lang w:val="en-GB"/>
        </w:rPr>
        <w:t xml:space="preserve">In this study, smart water meters were installed </w:t>
      </w:r>
      <w:r>
        <w:rPr>
          <w:lang w:val="en-GB"/>
        </w:rPr>
        <w:t>at</w:t>
      </w:r>
      <w:r w:rsidRPr="005952C0">
        <w:rPr>
          <w:lang w:val="en-GB"/>
        </w:rPr>
        <w:t xml:space="preserve"> 120 </w:t>
      </w:r>
      <w:r>
        <w:rPr>
          <w:lang w:val="en-GB"/>
        </w:rPr>
        <w:t>households</w:t>
      </w:r>
      <w:r w:rsidRPr="005952C0">
        <w:rPr>
          <w:lang w:val="en-GB"/>
        </w:rPr>
        <w:t xml:space="preserve"> </w:t>
      </w:r>
      <w:r>
        <w:rPr>
          <w:lang w:val="en-GB"/>
        </w:rPr>
        <w:t xml:space="preserve">in </w:t>
      </w:r>
      <w:r w:rsidRPr="005952C0">
        <w:rPr>
          <w:lang w:val="en-GB"/>
        </w:rPr>
        <w:t>New South Wales (NSW)</w:t>
      </w:r>
      <w:r>
        <w:rPr>
          <w:lang w:val="en-GB"/>
        </w:rPr>
        <w:t xml:space="preserve">, Australia. </w:t>
      </w:r>
      <w:r w:rsidR="00A0373F" w:rsidRPr="005952C0">
        <w:rPr>
          <w:lang w:val="en-GB"/>
        </w:rPr>
        <w:t xml:space="preserve">This paper reports on the impact of </w:t>
      </w:r>
      <w:r>
        <w:rPr>
          <w:lang w:val="en-GB"/>
        </w:rPr>
        <w:t xml:space="preserve">householder </w:t>
      </w:r>
      <w:r w:rsidR="00A0373F" w:rsidRPr="005952C0">
        <w:rPr>
          <w:lang w:val="en-GB"/>
        </w:rPr>
        <w:t xml:space="preserve">access to </w:t>
      </w:r>
      <w:r w:rsidR="004534C6">
        <w:rPr>
          <w:lang w:val="en-GB"/>
        </w:rPr>
        <w:t>the</w:t>
      </w:r>
      <w:r w:rsidR="004534C6" w:rsidRPr="005952C0">
        <w:rPr>
          <w:lang w:val="en-GB"/>
        </w:rPr>
        <w:t xml:space="preserve"> </w:t>
      </w:r>
      <w:r w:rsidR="00A0373F" w:rsidRPr="005952C0">
        <w:rPr>
          <w:lang w:val="en-GB"/>
        </w:rPr>
        <w:t xml:space="preserve">custom-built online portal, My Home Our Water (MHOW), which provides detailed </w:t>
      </w:r>
      <w:r w:rsidR="00F55B8F">
        <w:rPr>
          <w:lang w:val="en-GB"/>
        </w:rPr>
        <w:t xml:space="preserve">household water-use </w:t>
      </w:r>
      <w:r w:rsidR="00A0373F" w:rsidRPr="005952C0">
        <w:rPr>
          <w:lang w:val="en-GB"/>
        </w:rPr>
        <w:t xml:space="preserve">feedback in near real-time. </w:t>
      </w:r>
    </w:p>
    <w:p w14:paraId="019A4958" w14:textId="77777777" w:rsidR="00A0373F" w:rsidRPr="005952C0" w:rsidRDefault="00A0373F" w:rsidP="005952C0">
      <w:pPr>
        <w:pStyle w:val="Text"/>
        <w:ind w:firstLine="0"/>
        <w:rPr>
          <w:lang w:val="en-GB"/>
        </w:rPr>
      </w:pPr>
      <w:r w:rsidRPr="005952C0">
        <w:rPr>
          <w:lang w:val="en-GB"/>
        </w:rPr>
        <w:t>The key objectives of this research are to:</w:t>
      </w:r>
    </w:p>
    <w:p w14:paraId="16FC6E84" w14:textId="4C072536" w:rsidR="00A0373F" w:rsidRPr="005952C0" w:rsidRDefault="00A0373F" w:rsidP="005952C0">
      <w:pPr>
        <w:pStyle w:val="Text"/>
        <w:ind w:firstLine="0"/>
        <w:rPr>
          <w:lang w:val="en-GB"/>
        </w:rPr>
      </w:pPr>
      <w:r w:rsidRPr="005952C0">
        <w:rPr>
          <w:lang w:val="en-GB"/>
        </w:rPr>
        <w:t>1)</w:t>
      </w:r>
      <w:r w:rsidRPr="005952C0">
        <w:rPr>
          <w:lang w:val="en-GB"/>
        </w:rPr>
        <w:tab/>
        <w:t xml:space="preserve">Determine </w:t>
      </w:r>
      <w:r w:rsidR="00874C3F" w:rsidRPr="005952C0">
        <w:rPr>
          <w:lang w:val="en-GB"/>
        </w:rPr>
        <w:t xml:space="preserve">MHOW portal </w:t>
      </w:r>
      <w:r w:rsidRPr="005952C0">
        <w:rPr>
          <w:lang w:val="en-GB"/>
        </w:rPr>
        <w:t xml:space="preserve">use </w:t>
      </w:r>
      <w:r w:rsidR="00874C3F">
        <w:rPr>
          <w:lang w:val="en-GB"/>
        </w:rPr>
        <w:t>(i.e.</w:t>
      </w:r>
      <w:r w:rsidRPr="005952C0">
        <w:rPr>
          <w:lang w:val="en-GB"/>
        </w:rPr>
        <w:t xml:space="preserve"> logins and </w:t>
      </w:r>
      <w:r w:rsidR="00874C3F">
        <w:rPr>
          <w:lang w:val="en-GB"/>
        </w:rPr>
        <w:t xml:space="preserve">use of specific </w:t>
      </w:r>
      <w:r w:rsidRPr="005952C0">
        <w:rPr>
          <w:lang w:val="en-GB"/>
        </w:rPr>
        <w:t>features</w:t>
      </w:r>
      <w:r w:rsidR="00874C3F">
        <w:rPr>
          <w:lang w:val="en-GB"/>
        </w:rPr>
        <w:t>)</w:t>
      </w:r>
      <w:r w:rsidRPr="005952C0">
        <w:rPr>
          <w:lang w:val="en-GB"/>
        </w:rPr>
        <w:t xml:space="preserve">. </w:t>
      </w:r>
    </w:p>
    <w:p w14:paraId="6D28849C" w14:textId="492B72A4" w:rsidR="00A0373F" w:rsidRPr="005952C0" w:rsidRDefault="00A0373F" w:rsidP="005952C0">
      <w:pPr>
        <w:pStyle w:val="Text"/>
        <w:ind w:firstLine="0"/>
        <w:rPr>
          <w:lang w:val="en-GB"/>
        </w:rPr>
      </w:pPr>
      <w:r w:rsidRPr="005952C0">
        <w:rPr>
          <w:lang w:val="en-GB"/>
        </w:rPr>
        <w:t>2)</w:t>
      </w:r>
      <w:r w:rsidRPr="005952C0">
        <w:rPr>
          <w:lang w:val="en-GB"/>
        </w:rPr>
        <w:tab/>
        <w:t xml:space="preserve">Compare longer term water consumption between the intervention and control groups during </w:t>
      </w:r>
      <w:r w:rsidR="00A81615">
        <w:rPr>
          <w:lang w:val="en-GB"/>
        </w:rPr>
        <w:t>one</w:t>
      </w:r>
      <w:r w:rsidRPr="005952C0">
        <w:rPr>
          <w:lang w:val="en-GB"/>
        </w:rPr>
        <w:t xml:space="preserve"> year pre- and post-intervention.</w:t>
      </w:r>
    </w:p>
    <w:p w14:paraId="46744507" w14:textId="22D9D83E" w:rsidR="00A0373F" w:rsidRPr="005952C0" w:rsidRDefault="00A0373F" w:rsidP="005952C0">
      <w:pPr>
        <w:pStyle w:val="Text"/>
        <w:ind w:firstLine="0"/>
        <w:rPr>
          <w:lang w:val="en-GB"/>
        </w:rPr>
      </w:pPr>
      <w:r w:rsidRPr="005952C0">
        <w:rPr>
          <w:lang w:val="en-GB"/>
        </w:rPr>
        <w:t>3)</w:t>
      </w:r>
      <w:r w:rsidRPr="005952C0">
        <w:rPr>
          <w:lang w:val="en-GB"/>
        </w:rPr>
        <w:tab/>
        <w:t>Evaluate the water-savings potential of actual access to MHOW by comparing changes in relative water consumption of active portal users against the control group.</w:t>
      </w:r>
    </w:p>
    <w:p w14:paraId="7588F26F" w14:textId="1A49941F" w:rsidR="00A0373F" w:rsidRPr="005952C0" w:rsidRDefault="00A0373F" w:rsidP="005952C0">
      <w:pPr>
        <w:pStyle w:val="Text"/>
        <w:ind w:firstLine="0"/>
        <w:rPr>
          <w:lang w:val="en-GB"/>
        </w:rPr>
      </w:pPr>
      <w:r w:rsidRPr="005952C0">
        <w:rPr>
          <w:lang w:val="en-GB"/>
        </w:rPr>
        <w:t>4)</w:t>
      </w:r>
      <w:r w:rsidRPr="005952C0">
        <w:rPr>
          <w:lang w:val="en-GB"/>
        </w:rPr>
        <w:tab/>
      </w:r>
      <w:r w:rsidR="005952C0">
        <w:rPr>
          <w:lang w:val="en-GB"/>
        </w:rPr>
        <w:t>Analyse</w:t>
      </w:r>
      <w:r w:rsidRPr="005952C0">
        <w:rPr>
          <w:lang w:val="en-GB"/>
        </w:rPr>
        <w:t xml:space="preserve"> how household water</w:t>
      </w:r>
      <w:r w:rsidR="00BC1A62">
        <w:rPr>
          <w:lang w:val="en-GB"/>
        </w:rPr>
        <w:t>-</w:t>
      </w:r>
      <w:r w:rsidRPr="005952C0">
        <w:rPr>
          <w:lang w:val="en-GB"/>
        </w:rPr>
        <w:t xml:space="preserve">savings vary according to portal logins over time. </w:t>
      </w:r>
    </w:p>
    <w:p w14:paraId="21C984D0" w14:textId="77777777" w:rsidR="00A0373F" w:rsidRPr="005952C0" w:rsidRDefault="00A0373F" w:rsidP="005952C0">
      <w:pPr>
        <w:pStyle w:val="Text"/>
        <w:ind w:firstLine="0"/>
        <w:rPr>
          <w:lang w:val="en-GB"/>
        </w:rPr>
      </w:pPr>
      <w:r w:rsidRPr="005952C0">
        <w:rPr>
          <w:lang w:val="en-GB"/>
        </w:rPr>
        <w:t xml:space="preserve">The research outcomes provide water authorities and governing bodies with empirical and qualitative evidence on the impacts of online household water consumption feedback. </w:t>
      </w:r>
    </w:p>
    <w:p w14:paraId="23EF8A69" w14:textId="7F912D8F" w:rsidR="007D218D" w:rsidRDefault="00A0373F" w:rsidP="00A515CD">
      <w:pPr>
        <w:pStyle w:val="Text"/>
        <w:ind w:firstLine="0"/>
        <w:rPr>
          <w:b/>
          <w:bCs/>
          <w:kern w:val="28"/>
          <w:lang w:val="en-GB"/>
        </w:rPr>
      </w:pPr>
      <w:r w:rsidRPr="005952C0">
        <w:rPr>
          <w:lang w:val="en-GB"/>
        </w:rPr>
        <w:lastRenderedPageBreak/>
        <w:t xml:space="preserve">Section 2 describes the theoretical background of the study. Section 3 </w:t>
      </w:r>
      <w:r w:rsidR="00A81615" w:rsidRPr="005952C0">
        <w:rPr>
          <w:lang w:val="en-GB"/>
        </w:rPr>
        <w:t>de</w:t>
      </w:r>
      <w:r w:rsidR="00A81615">
        <w:rPr>
          <w:lang w:val="en-GB"/>
        </w:rPr>
        <w:t>tails</w:t>
      </w:r>
      <w:r w:rsidR="00A81615" w:rsidRPr="005952C0">
        <w:rPr>
          <w:lang w:val="en-GB"/>
        </w:rPr>
        <w:t xml:space="preserve"> </w:t>
      </w:r>
      <w:r w:rsidRPr="005952C0">
        <w:rPr>
          <w:lang w:val="en-GB"/>
        </w:rPr>
        <w:t>the trial</w:t>
      </w:r>
      <w:r w:rsidR="00874C3F">
        <w:rPr>
          <w:lang w:val="en-GB"/>
        </w:rPr>
        <w:t xml:space="preserve">. </w:t>
      </w:r>
      <w:r w:rsidRPr="005952C0">
        <w:rPr>
          <w:lang w:val="en-GB"/>
        </w:rPr>
        <w:t>Section 4 presents the results</w:t>
      </w:r>
      <w:r w:rsidR="00BC1A62">
        <w:rPr>
          <w:lang w:val="en-GB"/>
        </w:rPr>
        <w:t>. S</w:t>
      </w:r>
      <w:r w:rsidRPr="005952C0">
        <w:rPr>
          <w:lang w:val="en-GB"/>
        </w:rPr>
        <w:t>ection 5 discuss</w:t>
      </w:r>
      <w:r w:rsidR="00874C3F">
        <w:rPr>
          <w:lang w:val="en-GB"/>
        </w:rPr>
        <w:t>es</w:t>
      </w:r>
      <w:r w:rsidRPr="005952C0">
        <w:rPr>
          <w:lang w:val="en-GB"/>
        </w:rPr>
        <w:t xml:space="preserve"> study limitations and implications.  </w:t>
      </w:r>
    </w:p>
    <w:p w14:paraId="7A8760A4" w14:textId="3D5ACD4F" w:rsidR="002F3B11" w:rsidRPr="005952C0" w:rsidRDefault="00A0373F" w:rsidP="00C81368">
      <w:pPr>
        <w:pStyle w:val="Heading-Main"/>
        <w:rPr>
          <w:lang w:val="en-GB"/>
        </w:rPr>
      </w:pPr>
      <w:r w:rsidRPr="005952C0">
        <w:rPr>
          <w:lang w:val="en-GB"/>
        </w:rPr>
        <w:t>2</w:t>
      </w:r>
      <w:r w:rsidR="003363F3">
        <w:rPr>
          <w:lang w:val="en-GB"/>
        </w:rPr>
        <w:t>.</w:t>
      </w:r>
      <w:r w:rsidRPr="005952C0">
        <w:rPr>
          <w:lang w:val="en-GB"/>
        </w:rPr>
        <w:t xml:space="preserve"> Theoretical background</w:t>
      </w:r>
    </w:p>
    <w:p w14:paraId="2E67C5E5" w14:textId="36A1A4AF" w:rsidR="00A0373F" w:rsidRPr="003363F3" w:rsidRDefault="00A0373F" w:rsidP="005952C0">
      <w:pPr>
        <w:pStyle w:val="Heading-Secondary"/>
        <w:ind w:left="0"/>
        <w:rPr>
          <w:b/>
          <w:i/>
          <w:lang w:val="en-GB"/>
        </w:rPr>
      </w:pPr>
      <w:r w:rsidRPr="003363F3">
        <w:rPr>
          <w:b/>
          <w:i/>
          <w:lang w:val="en-GB"/>
        </w:rPr>
        <w:t>2.</w:t>
      </w:r>
      <w:r w:rsidR="00BC1A62" w:rsidRPr="003363F3">
        <w:rPr>
          <w:b/>
          <w:i/>
          <w:lang w:val="en-GB"/>
        </w:rPr>
        <w:t xml:space="preserve">1 </w:t>
      </w:r>
      <w:r w:rsidRPr="003363F3">
        <w:rPr>
          <w:b/>
          <w:i/>
          <w:lang w:val="en-GB"/>
        </w:rPr>
        <w:t xml:space="preserve">How feedback works </w:t>
      </w:r>
    </w:p>
    <w:p w14:paraId="016F1CBD" w14:textId="4965E044" w:rsidR="00A0373F" w:rsidRPr="00990E74" w:rsidRDefault="00A0373F" w:rsidP="005952C0">
      <w:pPr>
        <w:pStyle w:val="Text"/>
        <w:ind w:firstLine="0"/>
        <w:rPr>
          <w:lang w:val="en-GB"/>
        </w:rPr>
      </w:pPr>
      <w:r w:rsidRPr="005952C0">
        <w:rPr>
          <w:lang w:val="en-GB"/>
        </w:rPr>
        <w:t xml:space="preserve">Literature on consumption feedback proposes </w:t>
      </w:r>
      <w:r w:rsidR="0038696D">
        <w:rPr>
          <w:lang w:val="en-GB"/>
        </w:rPr>
        <w:t xml:space="preserve">various </w:t>
      </w:r>
      <w:r w:rsidRPr="005952C0">
        <w:rPr>
          <w:lang w:val="en-GB"/>
        </w:rPr>
        <w:t xml:space="preserve">theoretical mechanisms by which feedback might change consumption </w:t>
      </w:r>
      <w:r w:rsidR="005952C0">
        <w:rPr>
          <w:lang w:val="en-GB"/>
        </w:rPr>
        <w:t>behaviour</w:t>
      </w:r>
      <w:r w:rsidR="00190354" w:rsidRPr="005952C0">
        <w:rPr>
          <w:lang w:val="en-GB"/>
        </w:rPr>
        <w:t>s</w:t>
      </w:r>
      <w:r w:rsidRPr="005952C0">
        <w:rPr>
          <w:lang w:val="en-GB"/>
        </w:rPr>
        <w:t xml:space="preserve">. The ‘information-deficit’ model of rational </w:t>
      </w:r>
      <w:r w:rsidR="005952C0">
        <w:rPr>
          <w:lang w:val="en-GB"/>
        </w:rPr>
        <w:t>behaviour</w:t>
      </w:r>
      <w:r w:rsidR="000533BE" w:rsidRPr="005952C0">
        <w:rPr>
          <w:lang w:val="en-GB"/>
        </w:rPr>
        <w:t xml:space="preserve"> </w:t>
      </w:r>
      <w:r w:rsidR="0029187D">
        <w:rPr>
          <w:lang w:val="en-GB"/>
        </w:rPr>
        <w:t>(</w:t>
      </w:r>
      <w:r w:rsidRPr="00990E74">
        <w:rPr>
          <w:lang w:val="en-GB"/>
        </w:rPr>
        <w:t>Burgess et al., 1998; Wilhite and Ling, 1995</w:t>
      </w:r>
      <w:r w:rsidR="0029187D">
        <w:rPr>
          <w:lang w:val="en-GB"/>
        </w:rPr>
        <w:t>)</w:t>
      </w:r>
      <w:r w:rsidRPr="005952C0">
        <w:rPr>
          <w:lang w:val="en-GB"/>
        </w:rPr>
        <w:t xml:space="preserve"> suggests </w:t>
      </w:r>
      <w:r w:rsidR="003E3802" w:rsidRPr="005952C0">
        <w:rPr>
          <w:lang w:val="en-GB"/>
        </w:rPr>
        <w:t xml:space="preserve">new information </w:t>
      </w:r>
      <w:r w:rsidR="003E3802">
        <w:rPr>
          <w:lang w:val="en-GB"/>
        </w:rPr>
        <w:t xml:space="preserve">will lead </w:t>
      </w:r>
      <w:r w:rsidRPr="005952C0">
        <w:rPr>
          <w:lang w:val="en-GB"/>
        </w:rPr>
        <w:t xml:space="preserve">imperfectly informed consumers </w:t>
      </w:r>
      <w:r w:rsidR="003E3802">
        <w:rPr>
          <w:lang w:val="en-GB"/>
        </w:rPr>
        <w:t>to</w:t>
      </w:r>
      <w:r w:rsidRPr="005952C0">
        <w:rPr>
          <w:lang w:val="en-GB"/>
        </w:rPr>
        <w:t xml:space="preserve"> systematically evaluate alternative courses of action and respond in a way that pursues their self-interest. </w:t>
      </w:r>
      <w:r w:rsidR="0038696D">
        <w:rPr>
          <w:lang w:val="en-GB"/>
        </w:rPr>
        <w:t>This</w:t>
      </w:r>
      <w:r w:rsidRPr="005952C0">
        <w:rPr>
          <w:lang w:val="en-GB"/>
        </w:rPr>
        <w:t xml:space="preserve"> </w:t>
      </w:r>
      <w:r w:rsidR="0038696D" w:rsidRPr="005952C0">
        <w:rPr>
          <w:lang w:val="en-GB"/>
        </w:rPr>
        <w:t>assume</w:t>
      </w:r>
      <w:r w:rsidR="0038696D">
        <w:rPr>
          <w:lang w:val="en-GB"/>
        </w:rPr>
        <w:t>s</w:t>
      </w:r>
      <w:r w:rsidR="0038696D" w:rsidRPr="005952C0">
        <w:rPr>
          <w:lang w:val="en-GB"/>
        </w:rPr>
        <w:t xml:space="preserve"> </w:t>
      </w:r>
      <w:r w:rsidRPr="005952C0">
        <w:rPr>
          <w:lang w:val="en-GB"/>
        </w:rPr>
        <w:t xml:space="preserve">householders will revise their consumption </w:t>
      </w:r>
      <w:r w:rsidR="005952C0">
        <w:rPr>
          <w:lang w:val="en-GB"/>
        </w:rPr>
        <w:t>behaviour</w:t>
      </w:r>
      <w:r w:rsidR="00190354" w:rsidRPr="005952C0">
        <w:rPr>
          <w:lang w:val="en-GB"/>
        </w:rPr>
        <w:t>s</w:t>
      </w:r>
      <w:r w:rsidRPr="005952C0">
        <w:rPr>
          <w:lang w:val="en-GB"/>
        </w:rPr>
        <w:t xml:space="preserve"> or upgrade appliances to pursue financial (or other) gains. </w:t>
      </w:r>
      <w:r w:rsidR="003E3802" w:rsidRPr="005952C0">
        <w:rPr>
          <w:lang w:val="en-GB"/>
        </w:rPr>
        <w:t>Attitude-</w:t>
      </w:r>
      <w:r w:rsidR="003E3802">
        <w:rPr>
          <w:lang w:val="en-GB"/>
        </w:rPr>
        <w:t>behaviour</w:t>
      </w:r>
      <w:r w:rsidR="00FD6DE7">
        <w:rPr>
          <w:lang w:val="en-GB"/>
        </w:rPr>
        <w:t xml:space="preserve"> models (e.g. </w:t>
      </w:r>
      <w:r w:rsidR="003E3802" w:rsidRPr="005952C0">
        <w:rPr>
          <w:lang w:val="en-GB"/>
        </w:rPr>
        <w:t xml:space="preserve">Theory of Planned </w:t>
      </w:r>
      <w:r w:rsidR="003E3802" w:rsidRPr="00990E74">
        <w:rPr>
          <w:lang w:val="en-GB"/>
        </w:rPr>
        <w:t>Behaviour</w:t>
      </w:r>
      <w:r w:rsidR="00FD6DE7">
        <w:rPr>
          <w:lang w:val="en-GB"/>
        </w:rPr>
        <w:t>)</w:t>
      </w:r>
      <w:r w:rsidR="003E3802" w:rsidRPr="00990E74">
        <w:rPr>
          <w:lang w:val="en-GB"/>
        </w:rPr>
        <w:t xml:space="preserve">, suggest feedback may specifically change consumers’ attitudes towards their consumption, </w:t>
      </w:r>
      <w:r w:rsidR="00FD6DE7">
        <w:rPr>
          <w:lang w:val="en-GB"/>
        </w:rPr>
        <w:t>leading</w:t>
      </w:r>
      <w:r w:rsidR="003E3802" w:rsidRPr="00990E74">
        <w:rPr>
          <w:lang w:val="en-GB"/>
        </w:rPr>
        <w:t xml:space="preserve"> to changed b</w:t>
      </w:r>
      <w:r w:rsidR="00FD6DE7">
        <w:rPr>
          <w:lang w:val="en-GB"/>
        </w:rPr>
        <w:t xml:space="preserve">ehavioural intentions, </w:t>
      </w:r>
      <w:r w:rsidR="003E3802" w:rsidRPr="00990E74">
        <w:rPr>
          <w:lang w:val="en-GB"/>
        </w:rPr>
        <w:t>then behaviours.</w:t>
      </w:r>
      <w:r w:rsidR="003E3802">
        <w:rPr>
          <w:lang w:val="en-GB"/>
        </w:rPr>
        <w:t xml:space="preserve"> However, a</w:t>
      </w:r>
      <w:r w:rsidRPr="00990E74">
        <w:rPr>
          <w:lang w:val="en-GB"/>
        </w:rPr>
        <w:t>pplied literature repeatedly reports an attitude-</w:t>
      </w:r>
      <w:r w:rsidR="005952C0" w:rsidRPr="00990E74">
        <w:rPr>
          <w:lang w:val="en-GB"/>
        </w:rPr>
        <w:t>behaviour</w:t>
      </w:r>
      <w:r w:rsidRPr="00990E74">
        <w:rPr>
          <w:lang w:val="en-GB"/>
        </w:rPr>
        <w:t xml:space="preserve"> or attitude-action ga</w:t>
      </w:r>
      <w:r w:rsidR="00FD6DE7">
        <w:rPr>
          <w:lang w:val="en-GB"/>
        </w:rPr>
        <w:t>p</w:t>
      </w:r>
      <w:r w:rsidRPr="00990E74">
        <w:rPr>
          <w:lang w:val="en-GB"/>
        </w:rPr>
        <w:t xml:space="preserve"> and actual consumption </w:t>
      </w:r>
      <w:r w:rsidR="005952C0" w:rsidRPr="00990E74">
        <w:rPr>
          <w:lang w:val="en-GB"/>
        </w:rPr>
        <w:t>behaviour</w:t>
      </w:r>
      <w:r w:rsidR="00190354" w:rsidRPr="00990E74">
        <w:rPr>
          <w:lang w:val="en-GB"/>
        </w:rPr>
        <w:t>s</w:t>
      </w:r>
      <w:r w:rsidRPr="00990E74">
        <w:rPr>
          <w:lang w:val="en-GB"/>
        </w:rPr>
        <w:t xml:space="preserve"> not conform</w:t>
      </w:r>
      <w:r w:rsidR="003E3802">
        <w:rPr>
          <w:lang w:val="en-GB"/>
        </w:rPr>
        <w:t>ing</w:t>
      </w:r>
      <w:r w:rsidRPr="00990E74">
        <w:rPr>
          <w:lang w:val="en-GB"/>
        </w:rPr>
        <w:t xml:space="preserve"> to</w:t>
      </w:r>
      <w:r w:rsidR="000533BE" w:rsidRPr="00990E74">
        <w:rPr>
          <w:lang w:val="en-GB"/>
        </w:rPr>
        <w:t xml:space="preserve"> attitudes or intentions </w:t>
      </w:r>
      <w:r w:rsidR="0029187D">
        <w:rPr>
          <w:lang w:val="en-GB"/>
        </w:rPr>
        <w:t>(</w:t>
      </w:r>
      <w:r w:rsidR="000533BE" w:rsidRPr="00990E74">
        <w:rPr>
          <w:lang w:val="en-GB"/>
        </w:rPr>
        <w:t>Kollmuss and Agyeman, 2002</w:t>
      </w:r>
      <w:r w:rsidR="0029187D">
        <w:rPr>
          <w:lang w:val="en-GB"/>
        </w:rPr>
        <w:t>)</w:t>
      </w:r>
      <w:r w:rsidRPr="00990E74">
        <w:rPr>
          <w:lang w:val="en-GB"/>
        </w:rPr>
        <w:t xml:space="preserve">. </w:t>
      </w:r>
      <w:r w:rsidR="003E3802">
        <w:rPr>
          <w:lang w:val="en-GB"/>
        </w:rPr>
        <w:t>I</w:t>
      </w:r>
      <w:r w:rsidRPr="00990E74">
        <w:rPr>
          <w:lang w:val="en-GB"/>
        </w:rPr>
        <w:t xml:space="preserve">mpacts of feedback on consumption may be moderated by various other </w:t>
      </w:r>
      <w:r w:rsidR="00FD6DE7">
        <w:rPr>
          <w:lang w:val="en-GB"/>
        </w:rPr>
        <w:t xml:space="preserve">‘non-rational’ </w:t>
      </w:r>
      <w:r w:rsidRPr="00990E74">
        <w:rPr>
          <w:lang w:val="en-GB"/>
        </w:rPr>
        <w:t>influences</w:t>
      </w:r>
      <w:r w:rsidR="00FD6DE7">
        <w:rPr>
          <w:lang w:val="en-GB"/>
        </w:rPr>
        <w:t>,</w:t>
      </w:r>
      <w:r w:rsidRPr="00990E74">
        <w:rPr>
          <w:lang w:val="en-GB"/>
        </w:rPr>
        <w:t xml:space="preserve"> </w:t>
      </w:r>
      <w:r w:rsidR="00FD6DE7">
        <w:rPr>
          <w:lang w:val="en-GB"/>
        </w:rPr>
        <w:t>including consumers’</w:t>
      </w:r>
      <w:r w:rsidR="003E3802" w:rsidRPr="005952C0">
        <w:rPr>
          <w:lang w:val="en-GB"/>
        </w:rPr>
        <w:t xml:space="preserve"> cognitive limitations to process and evaluate information and alternatives, and act accordingly</w:t>
      </w:r>
      <w:r w:rsidR="00FD6DE7">
        <w:rPr>
          <w:lang w:val="en-GB"/>
        </w:rPr>
        <w:t>; unconscious responses</w:t>
      </w:r>
      <w:r w:rsidR="003E3802" w:rsidRPr="005952C0">
        <w:rPr>
          <w:lang w:val="en-GB"/>
        </w:rPr>
        <w:t>, with automaticity</w:t>
      </w:r>
      <w:r w:rsidR="00FD6DE7">
        <w:rPr>
          <w:lang w:val="en-GB"/>
        </w:rPr>
        <w:t xml:space="preserve">, </w:t>
      </w:r>
      <w:r w:rsidR="003E3802" w:rsidRPr="005952C0">
        <w:rPr>
          <w:lang w:val="en-GB"/>
        </w:rPr>
        <w:t xml:space="preserve">using mental short-cuts </w:t>
      </w:r>
      <w:r w:rsidR="003E3802">
        <w:rPr>
          <w:lang w:val="en-GB"/>
        </w:rPr>
        <w:t>including</w:t>
      </w:r>
      <w:r w:rsidR="003E3802" w:rsidRPr="005952C0">
        <w:rPr>
          <w:lang w:val="en-GB"/>
        </w:rPr>
        <w:t xml:space="preserve"> habits and routines, as well as emotionally </w:t>
      </w:r>
      <w:r w:rsidR="003E3802">
        <w:rPr>
          <w:lang w:val="en-GB"/>
        </w:rPr>
        <w:t>(</w:t>
      </w:r>
      <w:r w:rsidR="003E3802" w:rsidRPr="00990E74">
        <w:rPr>
          <w:lang w:val="en-GB"/>
        </w:rPr>
        <w:t>Jackson, 2005</w:t>
      </w:r>
      <w:r w:rsidR="003E3802">
        <w:rPr>
          <w:lang w:val="en-GB"/>
        </w:rPr>
        <w:t>)</w:t>
      </w:r>
      <w:r w:rsidR="003E3802" w:rsidRPr="00990E74">
        <w:rPr>
          <w:lang w:val="en-GB"/>
        </w:rPr>
        <w:t>.</w:t>
      </w:r>
    </w:p>
    <w:p w14:paraId="12D5000C" w14:textId="79BF7E06" w:rsidR="00A0373F" w:rsidRPr="005952C0" w:rsidRDefault="00226C3B" w:rsidP="005952C0">
      <w:pPr>
        <w:pStyle w:val="Text"/>
        <w:ind w:firstLine="0"/>
        <w:rPr>
          <w:lang w:val="en-GB"/>
        </w:rPr>
      </w:pPr>
      <w:r>
        <w:rPr>
          <w:lang w:val="en-GB"/>
        </w:rPr>
        <w:t xml:space="preserve">Current approaches to feedback </w:t>
      </w:r>
      <w:r w:rsidR="00FD6DE7">
        <w:rPr>
          <w:lang w:val="en-GB"/>
        </w:rPr>
        <w:t xml:space="preserve">nevertheless </w:t>
      </w:r>
      <w:r>
        <w:rPr>
          <w:lang w:val="en-GB"/>
        </w:rPr>
        <w:t xml:space="preserve">highlight a </w:t>
      </w:r>
      <w:r w:rsidR="00A0373F" w:rsidRPr="005952C0">
        <w:rPr>
          <w:lang w:val="en-GB"/>
        </w:rPr>
        <w:t>role for educa</w:t>
      </w:r>
      <w:r w:rsidR="00FD6DE7">
        <w:rPr>
          <w:lang w:val="en-GB"/>
        </w:rPr>
        <w:t>tion to i</w:t>
      </w:r>
      <w:r w:rsidR="00A0373F" w:rsidRPr="005952C0">
        <w:rPr>
          <w:lang w:val="en-GB"/>
        </w:rPr>
        <w:t>ncreas</w:t>
      </w:r>
      <w:r w:rsidR="00FD6DE7">
        <w:rPr>
          <w:lang w:val="en-GB"/>
        </w:rPr>
        <w:t>e consumer</w:t>
      </w:r>
      <w:r w:rsidR="00A0373F" w:rsidRPr="005952C0">
        <w:rPr>
          <w:lang w:val="en-GB"/>
        </w:rPr>
        <w:t xml:space="preserve"> awareness </w:t>
      </w:r>
      <w:r w:rsidR="00FD6DE7">
        <w:rPr>
          <w:lang w:val="en-GB"/>
        </w:rPr>
        <w:t xml:space="preserve">and </w:t>
      </w:r>
      <w:r w:rsidR="00A0373F" w:rsidRPr="005952C0">
        <w:rPr>
          <w:lang w:val="en-GB"/>
        </w:rPr>
        <w:t xml:space="preserve">inform </w:t>
      </w:r>
      <w:r w:rsidR="00FD6DE7">
        <w:rPr>
          <w:lang w:val="en-GB"/>
        </w:rPr>
        <w:t xml:space="preserve">consumption </w:t>
      </w:r>
      <w:r w:rsidR="005952C0">
        <w:rPr>
          <w:lang w:val="en-GB"/>
        </w:rPr>
        <w:t>behaviour</w:t>
      </w:r>
      <w:r w:rsidR="00190354" w:rsidRPr="005952C0">
        <w:rPr>
          <w:lang w:val="en-GB"/>
        </w:rPr>
        <w:t>s</w:t>
      </w:r>
      <w:r w:rsidR="00A0373F" w:rsidRPr="005952C0">
        <w:rPr>
          <w:lang w:val="en-GB"/>
        </w:rPr>
        <w:t xml:space="preserve">. </w:t>
      </w:r>
      <w:r w:rsidR="00FD6DE7">
        <w:rPr>
          <w:lang w:val="en-GB"/>
        </w:rPr>
        <w:t xml:space="preserve">Here, </w:t>
      </w:r>
      <w:r w:rsidR="00A0373F" w:rsidRPr="005952C0">
        <w:rPr>
          <w:lang w:val="en-GB"/>
        </w:rPr>
        <w:t>approaches to feedback can vary widely</w:t>
      </w:r>
      <w:r w:rsidR="003E3802">
        <w:rPr>
          <w:lang w:val="en-GB"/>
        </w:rPr>
        <w:t xml:space="preserve"> </w:t>
      </w:r>
      <w:r w:rsidR="00A0373F" w:rsidRPr="005952C0">
        <w:rPr>
          <w:lang w:val="en-GB"/>
        </w:rPr>
        <w:t>in terms of content, medium</w:t>
      </w:r>
      <w:r w:rsidR="00FD6DE7">
        <w:rPr>
          <w:lang w:val="en-GB"/>
        </w:rPr>
        <w:t xml:space="preserve">, </w:t>
      </w:r>
      <w:r w:rsidR="00A0373F" w:rsidRPr="005952C0">
        <w:rPr>
          <w:lang w:val="en-GB"/>
        </w:rPr>
        <w:t>frequency</w:t>
      </w:r>
      <w:r w:rsidR="003E3802">
        <w:rPr>
          <w:lang w:val="en-GB"/>
        </w:rPr>
        <w:t xml:space="preserve">, </w:t>
      </w:r>
      <w:r w:rsidR="00A0373F" w:rsidRPr="005952C0">
        <w:rPr>
          <w:lang w:val="en-GB"/>
        </w:rPr>
        <w:t>duration, and context</w:t>
      </w:r>
      <w:r w:rsidR="00FD6DE7">
        <w:rPr>
          <w:lang w:val="en-GB"/>
        </w:rPr>
        <w:t>, all which can shape impacts</w:t>
      </w:r>
      <w:r w:rsidR="003E3802">
        <w:rPr>
          <w:lang w:val="en-GB"/>
        </w:rPr>
        <w:t xml:space="preserve"> (</w:t>
      </w:r>
      <w:r w:rsidR="003E3802" w:rsidRPr="00990E74">
        <w:rPr>
          <w:lang w:val="en-GB"/>
        </w:rPr>
        <w:t>Liu et al.</w:t>
      </w:r>
      <w:r w:rsidR="003E3802">
        <w:rPr>
          <w:lang w:val="en-GB"/>
        </w:rPr>
        <w:t xml:space="preserve">, </w:t>
      </w:r>
      <w:r w:rsidR="003E3802" w:rsidRPr="00990E74">
        <w:rPr>
          <w:lang w:val="en-GB"/>
        </w:rPr>
        <w:t>2015</w:t>
      </w:r>
      <w:r w:rsidR="003E3802">
        <w:rPr>
          <w:lang w:val="en-GB"/>
        </w:rPr>
        <w:t xml:space="preserve">). </w:t>
      </w:r>
      <w:r w:rsidR="00A0373F" w:rsidRPr="00990E74">
        <w:rPr>
          <w:lang w:val="en-GB"/>
        </w:rPr>
        <w:t>A mix of feedback strategies</w:t>
      </w:r>
      <w:r w:rsidR="00A0373F" w:rsidRPr="005952C0">
        <w:rPr>
          <w:lang w:val="en-GB"/>
        </w:rPr>
        <w:t xml:space="preserve"> may achieve greater impact</w:t>
      </w:r>
      <w:r>
        <w:rPr>
          <w:lang w:val="en-GB"/>
        </w:rPr>
        <w:t>s</w:t>
      </w:r>
      <w:r w:rsidR="00A0373F" w:rsidRPr="005952C0">
        <w:rPr>
          <w:lang w:val="en-GB"/>
        </w:rPr>
        <w:t xml:space="preserve"> by targeting different mechanisms. </w:t>
      </w:r>
      <w:r w:rsidR="00A0373F" w:rsidRPr="00990E74">
        <w:rPr>
          <w:lang w:val="en-GB"/>
        </w:rPr>
        <w:t>Bonin</w:t>
      </w:r>
      <w:r w:rsidR="000533BE" w:rsidRPr="00990E74">
        <w:rPr>
          <w:lang w:val="en-GB"/>
        </w:rPr>
        <w:t xml:space="preserve">o et al. </w:t>
      </w:r>
      <w:r w:rsidR="0029187D">
        <w:rPr>
          <w:lang w:val="en-GB"/>
        </w:rPr>
        <w:t>(</w:t>
      </w:r>
      <w:r w:rsidR="000533BE" w:rsidRPr="00990E74">
        <w:rPr>
          <w:lang w:val="en-GB"/>
        </w:rPr>
        <w:t>2012</w:t>
      </w:r>
      <w:r w:rsidR="0029187D">
        <w:rPr>
          <w:lang w:val="en-GB"/>
        </w:rPr>
        <w:t>)</w:t>
      </w:r>
      <w:r w:rsidR="00A0373F" w:rsidRPr="00990E74">
        <w:rPr>
          <w:lang w:val="en-GB"/>
        </w:rPr>
        <w:t xml:space="preserve"> distinguish between antecedent and consequent strategies</w:t>
      </w:r>
      <w:r w:rsidR="00FD6DE7">
        <w:rPr>
          <w:lang w:val="en-GB"/>
        </w:rPr>
        <w:t>. The</w:t>
      </w:r>
      <w:r w:rsidR="00F93D28">
        <w:rPr>
          <w:lang w:val="en-GB"/>
        </w:rPr>
        <w:t xml:space="preserve"> </w:t>
      </w:r>
      <w:r w:rsidR="00A0373F" w:rsidRPr="00990E74">
        <w:rPr>
          <w:lang w:val="en-GB"/>
        </w:rPr>
        <w:t xml:space="preserve">former aim to induce user </w:t>
      </w:r>
      <w:r w:rsidR="005952C0" w:rsidRPr="00990E74">
        <w:rPr>
          <w:lang w:val="en-GB"/>
        </w:rPr>
        <w:t>behaviour</w:t>
      </w:r>
      <w:r w:rsidR="00190354" w:rsidRPr="00990E74">
        <w:rPr>
          <w:lang w:val="en-GB"/>
        </w:rPr>
        <w:t>s</w:t>
      </w:r>
      <w:r w:rsidR="00FD6DE7">
        <w:rPr>
          <w:lang w:val="en-GB"/>
        </w:rPr>
        <w:t xml:space="preserve">. The </w:t>
      </w:r>
      <w:r w:rsidR="00A0373F" w:rsidRPr="00990E74">
        <w:rPr>
          <w:lang w:val="en-GB"/>
        </w:rPr>
        <w:t xml:space="preserve">latter inform users after the </w:t>
      </w:r>
      <w:r w:rsidR="005952C0" w:rsidRPr="00990E74">
        <w:rPr>
          <w:lang w:val="en-GB"/>
        </w:rPr>
        <w:t>behaviour</w:t>
      </w:r>
      <w:r w:rsidR="00A0373F" w:rsidRPr="00990E74">
        <w:rPr>
          <w:lang w:val="en-GB"/>
        </w:rPr>
        <w:t xml:space="preserve"> has occurred. So, rather than simply providing (previous) consumption information, additional strategies such as goal</w:t>
      </w:r>
      <w:r>
        <w:rPr>
          <w:lang w:val="en-GB"/>
        </w:rPr>
        <w:t>-</w:t>
      </w:r>
      <w:r w:rsidR="00A0373F" w:rsidRPr="00990E74">
        <w:rPr>
          <w:lang w:val="en-GB"/>
        </w:rPr>
        <w:t xml:space="preserve">setting via a target or budget can be introduced in parallel. Greater levels of information detail (e.g. end-use resolution, fine grained time steps, or tailored advice) may also help consumers identify water-saving </w:t>
      </w:r>
      <w:r w:rsidR="005952C0" w:rsidRPr="00990E74">
        <w:rPr>
          <w:lang w:val="en-GB"/>
        </w:rPr>
        <w:t>behaviour</w:t>
      </w:r>
      <w:r w:rsidR="00190354" w:rsidRPr="00990E74">
        <w:rPr>
          <w:lang w:val="en-GB"/>
        </w:rPr>
        <w:t>s</w:t>
      </w:r>
      <w:r w:rsidR="00A0373F" w:rsidRPr="00990E74">
        <w:rPr>
          <w:lang w:val="en-GB"/>
        </w:rPr>
        <w:t xml:space="preserve"> (Fielding et al., 2013; Liu et al., 2013).</w:t>
      </w:r>
      <w:r w:rsidR="00A0373F" w:rsidRPr="005952C0">
        <w:rPr>
          <w:lang w:val="en-GB"/>
        </w:rPr>
        <w:t xml:space="preserve"> In each case, </w:t>
      </w:r>
      <w:r>
        <w:rPr>
          <w:lang w:val="en-GB"/>
        </w:rPr>
        <w:t xml:space="preserve">feedback </w:t>
      </w:r>
      <w:r w:rsidR="00A0373F" w:rsidRPr="005952C0">
        <w:rPr>
          <w:lang w:val="en-GB"/>
        </w:rPr>
        <w:t>design and provision</w:t>
      </w:r>
      <w:r w:rsidR="00620A08">
        <w:rPr>
          <w:lang w:val="en-GB"/>
        </w:rPr>
        <w:t xml:space="preserve"> choices</w:t>
      </w:r>
      <w:r w:rsidR="00A0373F" w:rsidRPr="005952C0">
        <w:rPr>
          <w:lang w:val="en-GB"/>
        </w:rPr>
        <w:t xml:space="preserve"> involve varying underlying assumptions as to how feedback might work and target different methods of informing consumers of their consumption </w:t>
      </w:r>
      <w:r w:rsidR="005952C0">
        <w:rPr>
          <w:lang w:val="en-GB"/>
        </w:rPr>
        <w:t>behaviour</w:t>
      </w:r>
      <w:r w:rsidR="00190354" w:rsidRPr="005952C0">
        <w:rPr>
          <w:lang w:val="en-GB"/>
        </w:rPr>
        <w:t>s</w:t>
      </w:r>
      <w:r w:rsidR="00A0373F" w:rsidRPr="005952C0">
        <w:rPr>
          <w:lang w:val="en-GB"/>
        </w:rPr>
        <w:t xml:space="preserve">. </w:t>
      </w:r>
      <w:r w:rsidR="00620A08">
        <w:rPr>
          <w:lang w:val="en-GB"/>
        </w:rPr>
        <w:t xml:space="preserve">Here, online mediums can uniquely target various mechanisms using </w:t>
      </w:r>
      <w:r w:rsidR="00A0373F" w:rsidRPr="005952C0">
        <w:rPr>
          <w:lang w:val="en-GB"/>
        </w:rPr>
        <w:t>multiple</w:t>
      </w:r>
      <w:r w:rsidR="00620A08">
        <w:rPr>
          <w:lang w:val="en-GB"/>
        </w:rPr>
        <w:t xml:space="preserve"> functions</w:t>
      </w:r>
      <w:r w:rsidR="00D42852">
        <w:rPr>
          <w:lang w:val="en-GB"/>
        </w:rPr>
        <w:t>, strategies</w:t>
      </w:r>
      <w:r w:rsidR="00620A08">
        <w:rPr>
          <w:lang w:val="en-GB"/>
        </w:rPr>
        <w:t xml:space="preserve"> and</w:t>
      </w:r>
      <w:r w:rsidR="00A0373F" w:rsidRPr="005952C0">
        <w:rPr>
          <w:lang w:val="en-GB"/>
        </w:rPr>
        <w:t xml:space="preserve"> representations of data</w:t>
      </w:r>
      <w:r w:rsidR="00620A08">
        <w:rPr>
          <w:lang w:val="en-GB"/>
        </w:rPr>
        <w:t xml:space="preserve"> to inform customer behaviours</w:t>
      </w:r>
      <w:r w:rsidR="00A0373F" w:rsidRPr="005952C0">
        <w:rPr>
          <w:lang w:val="en-GB"/>
        </w:rPr>
        <w:t xml:space="preserve">. </w:t>
      </w:r>
    </w:p>
    <w:p w14:paraId="106F935B" w14:textId="7DD2FE0F" w:rsidR="00A0373F" w:rsidRPr="003363F3" w:rsidRDefault="00A0373F" w:rsidP="005952C0">
      <w:pPr>
        <w:pStyle w:val="Heading-Secondary"/>
        <w:ind w:left="0"/>
        <w:rPr>
          <w:b/>
          <w:i/>
          <w:lang w:val="en-GB"/>
        </w:rPr>
      </w:pPr>
      <w:r w:rsidRPr="003363F3">
        <w:rPr>
          <w:b/>
          <w:i/>
          <w:lang w:val="en-GB"/>
        </w:rPr>
        <w:t>2.</w:t>
      </w:r>
      <w:r w:rsidR="00746741" w:rsidRPr="003363F3">
        <w:rPr>
          <w:b/>
          <w:i/>
          <w:lang w:val="en-GB"/>
        </w:rPr>
        <w:t>2</w:t>
      </w:r>
      <w:r w:rsidR="00BC1A62" w:rsidRPr="003363F3">
        <w:rPr>
          <w:b/>
          <w:i/>
          <w:lang w:val="en-GB"/>
        </w:rPr>
        <w:t xml:space="preserve"> </w:t>
      </w:r>
      <w:r w:rsidRPr="003363F3">
        <w:rPr>
          <w:b/>
          <w:i/>
          <w:lang w:val="en-GB"/>
        </w:rPr>
        <w:t xml:space="preserve">Impacts over time </w:t>
      </w:r>
    </w:p>
    <w:p w14:paraId="2374D4BA" w14:textId="4252B1DA" w:rsidR="00A0373F" w:rsidRPr="005952C0" w:rsidRDefault="00D2761E" w:rsidP="005952C0">
      <w:pPr>
        <w:pStyle w:val="Text"/>
        <w:ind w:firstLine="0"/>
        <w:rPr>
          <w:lang w:val="en-GB"/>
        </w:rPr>
      </w:pPr>
      <w:r>
        <w:rPr>
          <w:lang w:val="en-GB"/>
        </w:rPr>
        <w:t>T</w:t>
      </w:r>
      <w:r w:rsidR="00A0373F" w:rsidRPr="005952C0">
        <w:rPr>
          <w:lang w:val="en-GB"/>
        </w:rPr>
        <w:t xml:space="preserve">he Technology Acceptance Model </w:t>
      </w:r>
      <w:r>
        <w:rPr>
          <w:lang w:val="en-GB"/>
        </w:rPr>
        <w:t xml:space="preserve">suggests </w:t>
      </w:r>
      <w:r w:rsidR="00A0373F" w:rsidRPr="005952C0">
        <w:rPr>
          <w:lang w:val="en-GB"/>
        </w:rPr>
        <w:t>usage of a technology</w:t>
      </w:r>
      <w:r>
        <w:rPr>
          <w:lang w:val="en-GB"/>
        </w:rPr>
        <w:t xml:space="preserve"> </w:t>
      </w:r>
      <w:r w:rsidR="00A0373F" w:rsidRPr="005952C0">
        <w:rPr>
          <w:lang w:val="en-GB"/>
        </w:rPr>
        <w:t xml:space="preserve">will depend on its acceptance, defined as a function of its ‘Perceived Usefulness’ </w:t>
      </w:r>
      <w:r w:rsidR="000533BE" w:rsidRPr="005952C0">
        <w:rPr>
          <w:lang w:val="en-GB"/>
        </w:rPr>
        <w:t xml:space="preserve">and ‘Perceived Ease of Use’ </w:t>
      </w:r>
      <w:r w:rsidR="0029187D">
        <w:rPr>
          <w:lang w:val="en-GB"/>
        </w:rPr>
        <w:t>(</w:t>
      </w:r>
      <w:r w:rsidR="00A0373F" w:rsidRPr="00990E74">
        <w:rPr>
          <w:lang w:val="en-GB"/>
        </w:rPr>
        <w:t>Davis, 1986</w:t>
      </w:r>
      <w:r w:rsidR="0029187D">
        <w:rPr>
          <w:lang w:val="en-GB"/>
        </w:rPr>
        <w:t>)</w:t>
      </w:r>
      <w:r w:rsidR="00A0373F" w:rsidRPr="00990E74">
        <w:rPr>
          <w:lang w:val="en-GB"/>
        </w:rPr>
        <w:t>. Relating to this</w:t>
      </w:r>
      <w:r>
        <w:rPr>
          <w:lang w:val="en-GB"/>
        </w:rPr>
        <w:t xml:space="preserve">, </w:t>
      </w:r>
      <w:r w:rsidR="00A0373F" w:rsidRPr="00990E74">
        <w:rPr>
          <w:lang w:val="en-GB"/>
        </w:rPr>
        <w:t xml:space="preserve">Martinez-Torres et al. </w:t>
      </w:r>
      <w:r w:rsidR="0029187D">
        <w:rPr>
          <w:lang w:val="en-GB"/>
        </w:rPr>
        <w:t>(</w:t>
      </w:r>
      <w:r w:rsidR="000533BE" w:rsidRPr="00990E74">
        <w:rPr>
          <w:lang w:val="en-GB"/>
        </w:rPr>
        <w:t>2008</w:t>
      </w:r>
      <w:r w:rsidR="0029187D">
        <w:rPr>
          <w:lang w:val="en-GB"/>
        </w:rPr>
        <w:t>)</w:t>
      </w:r>
      <w:r w:rsidR="00A0373F" w:rsidRPr="00990E74">
        <w:rPr>
          <w:lang w:val="en-GB"/>
        </w:rPr>
        <w:t xml:space="preserve"> distin</w:t>
      </w:r>
      <w:r>
        <w:rPr>
          <w:lang w:val="en-GB"/>
        </w:rPr>
        <w:t>guish</w:t>
      </w:r>
      <w:r w:rsidR="00A0373F" w:rsidRPr="00990E74">
        <w:rPr>
          <w:lang w:val="en-GB"/>
        </w:rPr>
        <w:t xml:space="preserve"> between first use and continued use as a measure of </w:t>
      </w:r>
      <w:r w:rsidR="00BC1A62">
        <w:rPr>
          <w:lang w:val="en-GB"/>
        </w:rPr>
        <w:t>long-term</w:t>
      </w:r>
      <w:r w:rsidR="00A0373F" w:rsidRPr="00990E74">
        <w:rPr>
          <w:lang w:val="en-GB"/>
        </w:rPr>
        <w:t xml:space="preserve"> success. Therefore</w:t>
      </w:r>
      <w:r w:rsidR="00A0373F" w:rsidRPr="005952C0">
        <w:rPr>
          <w:lang w:val="en-GB"/>
        </w:rPr>
        <w:t xml:space="preserve">, initial and continued </w:t>
      </w:r>
      <w:r w:rsidR="00A0373F" w:rsidRPr="00A515CD">
        <w:rPr>
          <w:i/>
          <w:lang w:val="en-GB"/>
        </w:rPr>
        <w:t>usage</w:t>
      </w:r>
      <w:r w:rsidR="00A0373F" w:rsidRPr="005952C0">
        <w:rPr>
          <w:lang w:val="en-GB"/>
        </w:rPr>
        <w:t xml:space="preserve"> of an online feedback portal may vary according to </w:t>
      </w:r>
      <w:r w:rsidR="00226C3B">
        <w:rPr>
          <w:lang w:val="en-GB"/>
        </w:rPr>
        <w:t xml:space="preserve">householder </w:t>
      </w:r>
      <w:r w:rsidR="00A0373F" w:rsidRPr="005952C0">
        <w:rPr>
          <w:lang w:val="en-GB"/>
        </w:rPr>
        <w:t>acceptance</w:t>
      </w:r>
      <w:r>
        <w:rPr>
          <w:lang w:val="en-GB"/>
        </w:rPr>
        <w:t xml:space="preserve">; and </w:t>
      </w:r>
      <w:r w:rsidR="00A0373F" w:rsidRPr="005952C0">
        <w:rPr>
          <w:lang w:val="en-GB"/>
        </w:rPr>
        <w:t>actual (</w:t>
      </w:r>
      <w:r w:rsidR="005952C0">
        <w:rPr>
          <w:lang w:val="en-GB"/>
        </w:rPr>
        <w:t>behaviour</w:t>
      </w:r>
      <w:r w:rsidR="00190354" w:rsidRPr="005952C0">
        <w:rPr>
          <w:lang w:val="en-GB"/>
        </w:rPr>
        <w:t>al</w:t>
      </w:r>
      <w:r w:rsidR="00A0373F" w:rsidRPr="005952C0">
        <w:rPr>
          <w:lang w:val="en-GB"/>
        </w:rPr>
        <w:t xml:space="preserve">) </w:t>
      </w:r>
      <w:r w:rsidR="00A0373F" w:rsidRPr="00A515CD">
        <w:rPr>
          <w:i/>
          <w:lang w:val="en-GB"/>
        </w:rPr>
        <w:t>responses</w:t>
      </w:r>
      <w:r w:rsidR="00A0373F" w:rsidRPr="005952C0">
        <w:rPr>
          <w:lang w:val="en-GB"/>
        </w:rPr>
        <w:t xml:space="preserve"> to feedback may </w:t>
      </w:r>
      <w:r w:rsidR="00D42852" w:rsidRPr="005952C0">
        <w:rPr>
          <w:lang w:val="en-GB"/>
        </w:rPr>
        <w:t>a</w:t>
      </w:r>
      <w:r w:rsidR="00C36D4C">
        <w:rPr>
          <w:lang w:val="en-GB"/>
        </w:rPr>
        <w:t>lso</w:t>
      </w:r>
      <w:r w:rsidR="00D42852" w:rsidRPr="005952C0">
        <w:rPr>
          <w:lang w:val="en-GB"/>
        </w:rPr>
        <w:t xml:space="preserve"> </w:t>
      </w:r>
      <w:r w:rsidR="00A0373F" w:rsidRPr="005952C0">
        <w:rPr>
          <w:lang w:val="en-GB"/>
        </w:rPr>
        <w:t xml:space="preserve">vary over time. </w:t>
      </w:r>
      <w:r>
        <w:rPr>
          <w:lang w:val="en-GB"/>
        </w:rPr>
        <w:t>H</w:t>
      </w:r>
      <w:r w:rsidR="00A0373F" w:rsidRPr="005952C0">
        <w:rPr>
          <w:lang w:val="en-GB"/>
        </w:rPr>
        <w:t>ousehold water</w:t>
      </w:r>
      <w:r>
        <w:rPr>
          <w:lang w:val="en-GB"/>
        </w:rPr>
        <w:t>-savings m</w:t>
      </w:r>
      <w:r w:rsidR="00A0373F" w:rsidRPr="005952C0">
        <w:rPr>
          <w:lang w:val="en-GB"/>
        </w:rPr>
        <w:t xml:space="preserve">ay </w:t>
      </w:r>
      <w:r w:rsidR="00C36D4C">
        <w:rPr>
          <w:lang w:val="en-GB"/>
        </w:rPr>
        <w:t xml:space="preserve">particularly </w:t>
      </w:r>
      <w:r w:rsidR="00A0373F" w:rsidRPr="005952C0">
        <w:rPr>
          <w:lang w:val="en-GB"/>
        </w:rPr>
        <w:t xml:space="preserve">be linked to actual </w:t>
      </w:r>
      <w:r w:rsidR="005128A5">
        <w:rPr>
          <w:lang w:val="en-GB"/>
        </w:rPr>
        <w:t xml:space="preserve">portal </w:t>
      </w:r>
      <w:r w:rsidR="00A0373F" w:rsidRPr="005952C0">
        <w:rPr>
          <w:lang w:val="en-GB"/>
        </w:rPr>
        <w:t>usage and exposure to feedback via specific acts of logging</w:t>
      </w:r>
      <w:r w:rsidR="005128A5">
        <w:rPr>
          <w:lang w:val="en-GB"/>
        </w:rPr>
        <w:t xml:space="preserve"> on. </w:t>
      </w:r>
      <w:r w:rsidR="00A0373F" w:rsidRPr="005952C0">
        <w:rPr>
          <w:lang w:val="en-GB"/>
        </w:rPr>
        <w:t xml:space="preserve">  </w:t>
      </w:r>
    </w:p>
    <w:p w14:paraId="5411AA6A" w14:textId="63980372" w:rsidR="00A0373F" w:rsidRPr="005952C0" w:rsidRDefault="00A0373F" w:rsidP="005952C0">
      <w:pPr>
        <w:pStyle w:val="Text"/>
        <w:ind w:firstLine="0"/>
        <w:rPr>
          <w:lang w:val="en-GB"/>
        </w:rPr>
      </w:pPr>
      <w:r w:rsidRPr="005952C0">
        <w:rPr>
          <w:lang w:val="en-GB"/>
        </w:rPr>
        <w:t xml:space="preserve">Various studies have </w:t>
      </w:r>
      <w:r w:rsidR="005128A5">
        <w:rPr>
          <w:lang w:val="en-GB"/>
        </w:rPr>
        <w:t>signalled</w:t>
      </w:r>
      <w:r w:rsidRPr="005952C0">
        <w:rPr>
          <w:lang w:val="en-GB"/>
        </w:rPr>
        <w:t xml:space="preserve"> rebound-effects, in which initial consumption savings return to pre-intervention levels over time. Possible explanations can be found in studies involving energy </w:t>
      </w:r>
      <w:r w:rsidRPr="005952C0">
        <w:rPr>
          <w:lang w:val="en-GB"/>
        </w:rPr>
        <w:lastRenderedPageBreak/>
        <w:t xml:space="preserve">in-home displays which reported information fatigue, with devices ‘fading into the background’; </w:t>
      </w:r>
      <w:r w:rsidR="00746741">
        <w:rPr>
          <w:lang w:val="en-GB"/>
        </w:rPr>
        <w:t xml:space="preserve">with </w:t>
      </w:r>
      <w:r w:rsidRPr="005952C0">
        <w:rPr>
          <w:lang w:val="en-GB"/>
        </w:rPr>
        <w:t>household users described as simply losing ent</w:t>
      </w:r>
      <w:r w:rsidR="000533BE" w:rsidRPr="005952C0">
        <w:rPr>
          <w:lang w:val="en-GB"/>
        </w:rPr>
        <w:t xml:space="preserve">husiasm and interest over </w:t>
      </w:r>
      <w:r w:rsidR="000533BE" w:rsidRPr="00990E74">
        <w:rPr>
          <w:lang w:val="en-GB"/>
        </w:rPr>
        <w:t xml:space="preserve">time </w:t>
      </w:r>
      <w:r w:rsidR="0029187D">
        <w:rPr>
          <w:lang w:val="en-GB"/>
        </w:rPr>
        <w:t>(</w:t>
      </w:r>
      <w:r w:rsidRPr="00990E74">
        <w:rPr>
          <w:lang w:val="en-GB"/>
        </w:rPr>
        <w:t>Faruqui et al., 2010</w:t>
      </w:r>
      <w:r w:rsidR="0029187D">
        <w:rPr>
          <w:lang w:val="en-GB"/>
        </w:rPr>
        <w:t>)</w:t>
      </w:r>
      <w:r w:rsidRPr="00990E74">
        <w:rPr>
          <w:lang w:val="en-GB"/>
        </w:rPr>
        <w:t>.</w:t>
      </w:r>
      <w:r w:rsidRPr="005952C0">
        <w:rPr>
          <w:lang w:val="en-GB"/>
        </w:rPr>
        <w:t xml:space="preserve"> However, overall empirical results on the persistence of feedback effect</w:t>
      </w:r>
      <w:r w:rsidR="00C36D4C">
        <w:rPr>
          <w:lang w:val="en-GB"/>
        </w:rPr>
        <w:t>s</w:t>
      </w:r>
      <w:r w:rsidRPr="005952C0">
        <w:rPr>
          <w:lang w:val="en-GB"/>
        </w:rPr>
        <w:t xml:space="preserve"> </w:t>
      </w:r>
      <w:r w:rsidR="00B710EE" w:rsidRPr="005952C0">
        <w:rPr>
          <w:lang w:val="en-GB"/>
        </w:rPr>
        <w:t xml:space="preserve">are mixed in the energy sector </w:t>
      </w:r>
      <w:r w:rsidR="0029187D">
        <w:rPr>
          <w:lang w:val="en-GB"/>
        </w:rPr>
        <w:t>(</w:t>
      </w:r>
      <w:r w:rsidRPr="00990E74">
        <w:rPr>
          <w:lang w:val="en-GB"/>
        </w:rPr>
        <w:t>Schleich et al</w:t>
      </w:r>
      <w:r w:rsidR="00B710EE" w:rsidRPr="00990E74">
        <w:rPr>
          <w:lang w:val="en-GB"/>
        </w:rPr>
        <w:t>.,</w:t>
      </w:r>
      <w:r w:rsidR="000533BE" w:rsidRPr="00990E74">
        <w:rPr>
          <w:lang w:val="en-GB"/>
        </w:rPr>
        <w:t xml:space="preserve"> </w:t>
      </w:r>
      <w:r w:rsidRPr="00990E74">
        <w:rPr>
          <w:lang w:val="en-GB"/>
        </w:rPr>
        <w:t>2011</w:t>
      </w:r>
      <w:r w:rsidR="0029187D">
        <w:rPr>
          <w:lang w:val="en-GB"/>
        </w:rPr>
        <w:t>)</w:t>
      </w:r>
      <w:r w:rsidRPr="00990E74">
        <w:rPr>
          <w:lang w:val="en-GB"/>
        </w:rPr>
        <w:t xml:space="preserve">. More </w:t>
      </w:r>
      <w:r w:rsidR="00BC1A62">
        <w:rPr>
          <w:lang w:val="en-GB"/>
        </w:rPr>
        <w:t>long-term</w:t>
      </w:r>
      <w:r w:rsidRPr="00990E74">
        <w:rPr>
          <w:lang w:val="en-GB"/>
        </w:rPr>
        <w:t xml:space="preserve"> research has particularly been called for, noting most residential energy feedback studies lasted less than </w:t>
      </w:r>
      <w:r w:rsidR="005128A5">
        <w:rPr>
          <w:lang w:val="en-GB"/>
        </w:rPr>
        <w:t>four</w:t>
      </w:r>
      <w:r w:rsidR="005128A5" w:rsidRPr="00990E74">
        <w:rPr>
          <w:lang w:val="en-GB"/>
        </w:rPr>
        <w:t xml:space="preserve"> </w:t>
      </w:r>
      <w:r w:rsidRPr="00990E74">
        <w:rPr>
          <w:lang w:val="en-GB"/>
        </w:rPr>
        <w:t xml:space="preserve">months </w:t>
      </w:r>
      <w:r w:rsidR="00B710EE" w:rsidRPr="00990E74">
        <w:rPr>
          <w:lang w:val="en-GB"/>
        </w:rPr>
        <w:t xml:space="preserve">(and many much less) </w:t>
      </w:r>
      <w:r w:rsidR="0029187D">
        <w:rPr>
          <w:lang w:val="en-GB"/>
        </w:rPr>
        <w:t>(</w:t>
      </w:r>
      <w:r w:rsidRPr="00990E74">
        <w:rPr>
          <w:lang w:val="en-GB"/>
        </w:rPr>
        <w:t>Van Dam et al.</w:t>
      </w:r>
      <w:r w:rsidR="00B710EE" w:rsidRPr="00990E74">
        <w:rPr>
          <w:lang w:val="en-GB"/>
        </w:rPr>
        <w:t>, 2010</w:t>
      </w:r>
      <w:r w:rsidR="0029187D">
        <w:rPr>
          <w:lang w:val="en-GB"/>
        </w:rPr>
        <w:t>)</w:t>
      </w:r>
      <w:r w:rsidR="00746741">
        <w:rPr>
          <w:lang w:val="en-GB"/>
        </w:rPr>
        <w:t xml:space="preserve">. </w:t>
      </w:r>
      <w:r w:rsidRPr="00990E74">
        <w:rPr>
          <w:lang w:val="en-GB"/>
        </w:rPr>
        <w:t xml:space="preserve">Buchanan </w:t>
      </w:r>
      <w:r w:rsidR="0029187D">
        <w:rPr>
          <w:lang w:val="en-GB"/>
        </w:rPr>
        <w:t>(</w:t>
      </w:r>
      <w:r w:rsidRPr="00990E74">
        <w:rPr>
          <w:lang w:val="en-GB"/>
        </w:rPr>
        <w:t>2014</w:t>
      </w:r>
      <w:r w:rsidR="0029187D">
        <w:rPr>
          <w:lang w:val="en-GB"/>
        </w:rPr>
        <w:t>)</w:t>
      </w:r>
      <w:r w:rsidRPr="005952C0">
        <w:rPr>
          <w:lang w:val="en-GB"/>
        </w:rPr>
        <w:t xml:space="preserve"> </w:t>
      </w:r>
      <w:r w:rsidR="00C36D4C">
        <w:rPr>
          <w:lang w:val="en-GB"/>
        </w:rPr>
        <w:t xml:space="preserve">also </w:t>
      </w:r>
      <w:r w:rsidRPr="005952C0">
        <w:rPr>
          <w:lang w:val="en-GB"/>
        </w:rPr>
        <w:t>elucidat</w:t>
      </w:r>
      <w:r w:rsidR="00746741">
        <w:rPr>
          <w:lang w:val="en-GB"/>
        </w:rPr>
        <w:t>ed</w:t>
      </w:r>
      <w:r w:rsidRPr="005952C0">
        <w:rPr>
          <w:lang w:val="en-GB"/>
        </w:rPr>
        <w:t xml:space="preserve"> </w:t>
      </w:r>
      <w:r w:rsidR="00F55B8F">
        <w:rPr>
          <w:lang w:val="en-GB"/>
        </w:rPr>
        <w:t>‘</w:t>
      </w:r>
      <w:r w:rsidRPr="005952C0">
        <w:rPr>
          <w:lang w:val="en-GB"/>
        </w:rPr>
        <w:t xml:space="preserve">it is crucial that data is collected over a long enough period of time to control for initial novelty effects and to allow for </w:t>
      </w:r>
      <w:r w:rsidR="00BC1A62">
        <w:rPr>
          <w:lang w:val="en-GB"/>
        </w:rPr>
        <w:t>long-term</w:t>
      </w:r>
      <w:r w:rsidRPr="005952C0">
        <w:rPr>
          <w:lang w:val="en-GB"/>
        </w:rPr>
        <w:t xml:space="preserve"> energy use adjustments to be revealed</w:t>
      </w:r>
      <w:r w:rsidR="00F55B8F">
        <w:rPr>
          <w:lang w:val="en-GB"/>
        </w:rPr>
        <w:t>’</w:t>
      </w:r>
      <w:r w:rsidRPr="005952C0">
        <w:rPr>
          <w:lang w:val="en-GB"/>
        </w:rPr>
        <w:t>. The same need generally applies to the water sector</w:t>
      </w:r>
      <w:r w:rsidR="00746741">
        <w:rPr>
          <w:lang w:val="en-GB"/>
        </w:rPr>
        <w:t xml:space="preserve">, </w:t>
      </w:r>
      <w:r w:rsidRPr="005952C0">
        <w:rPr>
          <w:lang w:val="en-GB"/>
        </w:rPr>
        <w:t xml:space="preserve">specifically across different types of feedback mediums. </w:t>
      </w:r>
    </w:p>
    <w:p w14:paraId="44C3879A" w14:textId="48DE9BF6" w:rsidR="00A0373F" w:rsidRPr="005952C0" w:rsidRDefault="00746741" w:rsidP="005952C0">
      <w:pPr>
        <w:pStyle w:val="Text"/>
        <w:ind w:firstLine="0"/>
        <w:rPr>
          <w:lang w:val="en-GB"/>
        </w:rPr>
      </w:pPr>
      <w:r>
        <w:rPr>
          <w:lang w:val="en-GB"/>
        </w:rPr>
        <w:t>I</w:t>
      </w:r>
      <w:r w:rsidRPr="005952C0">
        <w:rPr>
          <w:lang w:val="en-GB"/>
        </w:rPr>
        <w:t>n the water sector</w:t>
      </w:r>
      <w:r>
        <w:rPr>
          <w:lang w:val="en-GB"/>
        </w:rPr>
        <w:t>, l</w:t>
      </w:r>
      <w:r w:rsidR="00A0373F" w:rsidRPr="005952C0">
        <w:rPr>
          <w:lang w:val="en-GB"/>
        </w:rPr>
        <w:t xml:space="preserve">imited longer term analysis of alternative feedback mediums has also shown mixed results on the persistence of savings. </w:t>
      </w:r>
      <w:r w:rsidR="005128A5">
        <w:rPr>
          <w:lang w:val="en-GB"/>
        </w:rPr>
        <w:t>I</w:t>
      </w:r>
      <w:r w:rsidR="00A0373F" w:rsidRPr="005952C0">
        <w:rPr>
          <w:lang w:val="en-GB"/>
        </w:rPr>
        <w:t xml:space="preserve">nterventions </w:t>
      </w:r>
      <w:r>
        <w:rPr>
          <w:lang w:val="en-GB"/>
        </w:rPr>
        <w:t xml:space="preserve">using </w:t>
      </w:r>
      <w:r w:rsidR="00A0373F" w:rsidRPr="005952C0">
        <w:rPr>
          <w:lang w:val="en-GB"/>
        </w:rPr>
        <w:t>paper-based feedback mechanisms found short-term reductions which did not continue in the long</w:t>
      </w:r>
      <w:r>
        <w:rPr>
          <w:lang w:val="en-GB"/>
        </w:rPr>
        <w:t>-</w:t>
      </w:r>
      <w:r w:rsidR="00A0373F" w:rsidRPr="005952C0">
        <w:rPr>
          <w:lang w:val="en-GB"/>
        </w:rPr>
        <w:t>term, part</w:t>
      </w:r>
      <w:r w:rsidR="00B710EE" w:rsidRPr="005952C0">
        <w:rPr>
          <w:lang w:val="en-GB"/>
        </w:rPr>
        <w:t xml:space="preserve">icularly after feedback </w:t>
      </w:r>
      <w:r w:rsidR="00B710EE" w:rsidRPr="00990E74">
        <w:rPr>
          <w:lang w:val="en-GB"/>
        </w:rPr>
        <w:t xml:space="preserve">ceased </w:t>
      </w:r>
      <w:r w:rsidR="0029187D">
        <w:rPr>
          <w:lang w:val="en-GB"/>
        </w:rPr>
        <w:t>(</w:t>
      </w:r>
      <w:r w:rsidR="00A0373F" w:rsidRPr="00990E74">
        <w:rPr>
          <w:lang w:val="en-GB"/>
        </w:rPr>
        <w:t>Fielding et al., 2013; Li</w:t>
      </w:r>
      <w:r w:rsidR="00190354" w:rsidRPr="00990E74">
        <w:rPr>
          <w:lang w:val="en-GB"/>
        </w:rPr>
        <w:t>u et al., 2016</w:t>
      </w:r>
      <w:r w:rsidR="0029187D">
        <w:rPr>
          <w:lang w:val="en-GB"/>
        </w:rPr>
        <w:t>)</w:t>
      </w:r>
      <w:r w:rsidR="00A0373F" w:rsidRPr="00990E74">
        <w:rPr>
          <w:lang w:val="en-GB"/>
        </w:rPr>
        <w:t xml:space="preserve">. By contrast, Davies et al. </w:t>
      </w:r>
      <w:r w:rsidR="0029187D">
        <w:rPr>
          <w:lang w:val="en-GB"/>
        </w:rPr>
        <w:t>(</w:t>
      </w:r>
      <w:r w:rsidR="00B710EE" w:rsidRPr="00990E74">
        <w:rPr>
          <w:lang w:val="en-GB"/>
        </w:rPr>
        <w:t>2014</w:t>
      </w:r>
      <w:r w:rsidR="0029187D">
        <w:rPr>
          <w:lang w:val="en-GB"/>
        </w:rPr>
        <w:t>)</w:t>
      </w:r>
      <w:r w:rsidR="00A0373F" w:rsidRPr="00990E74">
        <w:rPr>
          <w:lang w:val="en-GB"/>
        </w:rPr>
        <w:t xml:space="preserve"> recen</w:t>
      </w:r>
      <w:r w:rsidR="00A0373F" w:rsidRPr="005952C0">
        <w:rPr>
          <w:lang w:val="en-GB"/>
        </w:rPr>
        <w:t xml:space="preserve">tly reported long-term </w:t>
      </w:r>
      <w:r w:rsidR="005128A5">
        <w:rPr>
          <w:lang w:val="en-GB"/>
        </w:rPr>
        <w:t xml:space="preserve">water </w:t>
      </w:r>
      <w:r w:rsidR="00A0373F" w:rsidRPr="005952C0">
        <w:rPr>
          <w:lang w:val="en-GB"/>
        </w:rPr>
        <w:t xml:space="preserve">savings </w:t>
      </w:r>
      <w:r w:rsidR="004D631B" w:rsidRPr="005952C0">
        <w:rPr>
          <w:lang w:val="en-GB"/>
        </w:rPr>
        <w:t>via an in-home display</w:t>
      </w:r>
      <w:r w:rsidR="00A0373F" w:rsidRPr="005952C0">
        <w:rPr>
          <w:lang w:val="en-GB"/>
        </w:rPr>
        <w:t xml:space="preserve"> measured over </w:t>
      </w:r>
      <w:r>
        <w:rPr>
          <w:lang w:val="en-GB"/>
        </w:rPr>
        <w:t>five</w:t>
      </w:r>
      <w:r w:rsidR="00A0373F" w:rsidRPr="005952C0">
        <w:rPr>
          <w:lang w:val="en-GB"/>
        </w:rPr>
        <w:t xml:space="preserve"> years. </w:t>
      </w:r>
    </w:p>
    <w:p w14:paraId="1C35EE12" w14:textId="3ED3781F" w:rsidR="00A0373F" w:rsidRPr="005952C0" w:rsidRDefault="005128A5" w:rsidP="005952C0">
      <w:pPr>
        <w:pStyle w:val="Text"/>
        <w:ind w:firstLine="0"/>
        <w:rPr>
          <w:lang w:val="en-GB"/>
        </w:rPr>
      </w:pPr>
      <w:r>
        <w:rPr>
          <w:lang w:val="en-GB"/>
        </w:rPr>
        <w:t>R</w:t>
      </w:r>
      <w:r w:rsidR="00A0373F" w:rsidRPr="005952C0">
        <w:rPr>
          <w:lang w:val="en-GB"/>
        </w:rPr>
        <w:t>egarding online water-use feedback, an early</w:t>
      </w:r>
      <w:r w:rsidR="00746741">
        <w:rPr>
          <w:lang w:val="en-GB"/>
        </w:rPr>
        <w:t xml:space="preserve"> smart metering</w:t>
      </w:r>
      <w:r w:rsidR="00A0373F" w:rsidRPr="005952C0">
        <w:rPr>
          <w:lang w:val="en-GB"/>
        </w:rPr>
        <w:t xml:space="preserve"> study in Dubuque, US, also involv</w:t>
      </w:r>
      <w:r w:rsidR="00C47C89">
        <w:rPr>
          <w:lang w:val="en-GB"/>
        </w:rPr>
        <w:t>ing</w:t>
      </w:r>
      <w:r w:rsidR="00A0373F" w:rsidRPr="005952C0">
        <w:rPr>
          <w:lang w:val="en-GB"/>
        </w:rPr>
        <w:t xml:space="preserve"> an online portal, measured 6.6% </w:t>
      </w:r>
      <w:r>
        <w:rPr>
          <w:lang w:val="en-GB"/>
        </w:rPr>
        <w:t xml:space="preserve">water-savings </w:t>
      </w:r>
      <w:r w:rsidR="00A0373F" w:rsidRPr="005952C0">
        <w:rPr>
          <w:lang w:val="en-GB"/>
        </w:rPr>
        <w:t xml:space="preserve">over </w:t>
      </w:r>
      <w:r>
        <w:rPr>
          <w:lang w:val="en-GB"/>
        </w:rPr>
        <w:t>nine</w:t>
      </w:r>
      <w:r w:rsidRPr="005952C0">
        <w:rPr>
          <w:lang w:val="en-GB"/>
        </w:rPr>
        <w:t xml:space="preserve"> </w:t>
      </w:r>
      <w:r w:rsidR="00A0373F" w:rsidRPr="005952C0">
        <w:rPr>
          <w:lang w:val="en-GB"/>
        </w:rPr>
        <w:t>weeks among participan</w:t>
      </w:r>
      <w:r w:rsidR="00B710EE" w:rsidRPr="005952C0">
        <w:rPr>
          <w:lang w:val="en-GB"/>
        </w:rPr>
        <w:t xml:space="preserve">ts relative to a control group </w:t>
      </w:r>
      <w:r w:rsidR="0029187D">
        <w:rPr>
          <w:lang w:val="en-GB"/>
        </w:rPr>
        <w:t>(</w:t>
      </w:r>
      <w:r w:rsidR="00A0373F" w:rsidRPr="00990E74">
        <w:rPr>
          <w:lang w:val="en-GB"/>
        </w:rPr>
        <w:t>Erickson et al., 2012</w:t>
      </w:r>
      <w:r w:rsidR="0029187D">
        <w:rPr>
          <w:lang w:val="en-GB"/>
        </w:rPr>
        <w:t>)</w:t>
      </w:r>
      <w:r w:rsidR="00A0373F" w:rsidRPr="00990E74">
        <w:rPr>
          <w:lang w:val="en-GB"/>
        </w:rPr>
        <w:t>. The study extrapolated savings for one year on the basis of these short</w:t>
      </w:r>
      <w:r w:rsidR="00BC1A62">
        <w:rPr>
          <w:lang w:val="en-GB"/>
        </w:rPr>
        <w:t>-</w:t>
      </w:r>
      <w:r w:rsidR="00A0373F" w:rsidRPr="00990E74">
        <w:rPr>
          <w:lang w:val="en-GB"/>
        </w:rPr>
        <w:t>term impacts</w:t>
      </w:r>
      <w:r w:rsidR="00746741">
        <w:rPr>
          <w:lang w:val="en-GB"/>
        </w:rPr>
        <w:t>. Yet,</w:t>
      </w:r>
      <w:r w:rsidR="00A0373F" w:rsidRPr="00990E74">
        <w:rPr>
          <w:lang w:val="en-GB"/>
        </w:rPr>
        <w:t xml:space="preserve"> </w:t>
      </w:r>
      <w:r>
        <w:rPr>
          <w:lang w:val="en-GB"/>
        </w:rPr>
        <w:t xml:space="preserve">without </w:t>
      </w:r>
      <w:r w:rsidR="00A0373F" w:rsidRPr="005952C0">
        <w:rPr>
          <w:lang w:val="en-GB"/>
        </w:rPr>
        <w:t>understanding how savings</w:t>
      </w:r>
      <w:r w:rsidR="00746741">
        <w:rPr>
          <w:lang w:val="en-GB"/>
        </w:rPr>
        <w:t xml:space="preserve"> </w:t>
      </w:r>
      <w:r w:rsidR="00A0373F" w:rsidRPr="005952C0">
        <w:rPr>
          <w:lang w:val="en-GB"/>
        </w:rPr>
        <w:t>vary over time</w:t>
      </w:r>
      <w:r w:rsidR="00746741">
        <w:rPr>
          <w:lang w:val="en-GB"/>
        </w:rPr>
        <w:t>,</w:t>
      </w:r>
      <w:r w:rsidR="00A0373F" w:rsidRPr="005952C0">
        <w:rPr>
          <w:lang w:val="en-GB"/>
        </w:rPr>
        <w:t xml:space="preserve"> it may have been </w:t>
      </w:r>
      <w:r w:rsidR="00746741">
        <w:rPr>
          <w:lang w:val="en-GB"/>
        </w:rPr>
        <w:t>un</w:t>
      </w:r>
      <w:r w:rsidR="00A0373F" w:rsidRPr="005952C0">
        <w:rPr>
          <w:lang w:val="en-GB"/>
        </w:rPr>
        <w:t>reasonable to assume the same savings would continue. Other similar projects involving online water</w:t>
      </w:r>
      <w:r>
        <w:rPr>
          <w:lang w:val="en-GB"/>
        </w:rPr>
        <w:t>-use feedback</w:t>
      </w:r>
      <w:r w:rsidR="00A0373F" w:rsidRPr="005952C0">
        <w:rPr>
          <w:lang w:val="en-GB"/>
        </w:rPr>
        <w:t xml:space="preserve"> portals are currently being developed or deployed elsewhere. However, </w:t>
      </w:r>
      <w:r w:rsidR="00C47C89">
        <w:rPr>
          <w:lang w:val="en-GB"/>
        </w:rPr>
        <w:t xml:space="preserve">with these projects </w:t>
      </w:r>
      <w:r w:rsidR="00A0373F" w:rsidRPr="005952C0">
        <w:rPr>
          <w:lang w:val="en-GB"/>
        </w:rPr>
        <w:t xml:space="preserve">either in their infancy, or their results not reported publicly, more work is required to understand impacts of online feedback over time. </w:t>
      </w:r>
    </w:p>
    <w:p w14:paraId="5BFAFB2F" w14:textId="1A27840E" w:rsidR="00A0373F" w:rsidRPr="005952C0" w:rsidRDefault="00A0373F" w:rsidP="005952C0">
      <w:pPr>
        <w:pStyle w:val="Text"/>
        <w:ind w:firstLine="0"/>
        <w:rPr>
          <w:lang w:val="en-GB"/>
        </w:rPr>
      </w:pPr>
      <w:r w:rsidRPr="005952C0">
        <w:rPr>
          <w:lang w:val="en-GB"/>
        </w:rPr>
        <w:t>In modelling post-drought ‘bounce-back’ in water consumption</w:t>
      </w:r>
      <w:r w:rsidRPr="00990E74">
        <w:rPr>
          <w:lang w:val="en-GB"/>
        </w:rPr>
        <w:t>, Giurco et al.</w:t>
      </w:r>
      <w:r w:rsidR="00B710EE" w:rsidRPr="00990E74">
        <w:rPr>
          <w:lang w:val="en-GB"/>
        </w:rPr>
        <w:t xml:space="preserve"> </w:t>
      </w:r>
      <w:r w:rsidR="0029187D">
        <w:rPr>
          <w:lang w:val="en-GB"/>
        </w:rPr>
        <w:t>(</w:t>
      </w:r>
      <w:r w:rsidRPr="00990E74">
        <w:rPr>
          <w:lang w:val="en-GB"/>
        </w:rPr>
        <w:t>2013</w:t>
      </w:r>
      <w:r w:rsidR="0029187D">
        <w:rPr>
          <w:lang w:val="en-GB"/>
        </w:rPr>
        <w:t>)</w:t>
      </w:r>
      <w:r w:rsidRPr="00990E74">
        <w:rPr>
          <w:lang w:val="en-GB"/>
        </w:rPr>
        <w:t xml:space="preserve"> suggested</w:t>
      </w:r>
      <w:r w:rsidRPr="005952C0">
        <w:rPr>
          <w:lang w:val="en-GB"/>
        </w:rPr>
        <w:t xml:space="preserve"> that while water usage </w:t>
      </w:r>
      <w:r w:rsidR="005952C0">
        <w:rPr>
          <w:lang w:val="en-GB"/>
        </w:rPr>
        <w:t>behaviour</w:t>
      </w:r>
      <w:r w:rsidR="00190354" w:rsidRPr="005952C0">
        <w:rPr>
          <w:lang w:val="en-GB"/>
        </w:rPr>
        <w:t>s</w:t>
      </w:r>
      <w:r w:rsidRPr="005952C0">
        <w:rPr>
          <w:lang w:val="en-GB"/>
        </w:rPr>
        <w:t xml:space="preserve"> (e.g. shower length) may relax after water-use restrictions are lifted, an accelerated installation of efficient appliances (e.g. water-efficient shower heads) can help limit this effect. Therefore</w:t>
      </w:r>
      <w:r w:rsidR="00E819AC" w:rsidRPr="005952C0">
        <w:rPr>
          <w:lang w:val="en-GB"/>
        </w:rPr>
        <w:t>,</w:t>
      </w:r>
      <w:r w:rsidRPr="005952C0">
        <w:rPr>
          <w:lang w:val="en-GB"/>
        </w:rPr>
        <w:t xml:space="preserve"> the persistence of water-savings impacts through feedback may also depend on w</w:t>
      </w:r>
      <w:r w:rsidR="00D01F11" w:rsidRPr="005952C0">
        <w:rPr>
          <w:lang w:val="en-GB"/>
        </w:rPr>
        <w:t xml:space="preserve">hether they derive from </w:t>
      </w:r>
      <w:r w:rsidR="005952C0">
        <w:rPr>
          <w:lang w:val="en-GB"/>
        </w:rPr>
        <w:t>behaviour</w:t>
      </w:r>
      <w:r w:rsidRPr="005952C0">
        <w:rPr>
          <w:lang w:val="en-GB"/>
        </w:rPr>
        <w:t xml:space="preserve"> change or water-efficient appliance</w:t>
      </w:r>
      <w:r w:rsidR="00C36D4C">
        <w:rPr>
          <w:lang w:val="en-GB"/>
        </w:rPr>
        <w:t xml:space="preserve"> installations</w:t>
      </w:r>
      <w:r w:rsidRPr="005952C0">
        <w:rPr>
          <w:lang w:val="en-GB"/>
        </w:rPr>
        <w:t xml:space="preserve">. </w:t>
      </w:r>
    </w:p>
    <w:p w14:paraId="46832153" w14:textId="7901C0B5" w:rsidR="00A0373F" w:rsidRPr="005952C0" w:rsidRDefault="00A0373F" w:rsidP="005952C0">
      <w:pPr>
        <w:pStyle w:val="Text"/>
        <w:ind w:firstLine="0"/>
        <w:rPr>
          <w:lang w:val="en-GB"/>
        </w:rPr>
      </w:pPr>
      <w:r w:rsidRPr="005952C0">
        <w:rPr>
          <w:lang w:val="en-GB"/>
        </w:rPr>
        <w:t>Based on available literature, reductions through an online household feedback portal may only be short-lived, with consumers reverting to</w:t>
      </w:r>
      <w:r w:rsidR="00C47C89">
        <w:rPr>
          <w:lang w:val="en-GB"/>
        </w:rPr>
        <w:t>wards</w:t>
      </w:r>
      <w:r w:rsidRPr="005952C0">
        <w:rPr>
          <w:lang w:val="en-GB"/>
        </w:rPr>
        <w:t xml:space="preserve"> pre-intervention </w:t>
      </w:r>
      <w:r w:rsidR="005952C0">
        <w:rPr>
          <w:lang w:val="en-GB"/>
        </w:rPr>
        <w:t>behaviour</w:t>
      </w:r>
      <w:r w:rsidR="00190354" w:rsidRPr="005952C0">
        <w:rPr>
          <w:lang w:val="en-GB"/>
        </w:rPr>
        <w:t>s</w:t>
      </w:r>
      <w:r w:rsidRPr="005952C0">
        <w:rPr>
          <w:lang w:val="en-GB"/>
        </w:rPr>
        <w:t xml:space="preserve"> and consumption levels over time. This may depend on portal usage and hence the continuity of </w:t>
      </w:r>
      <w:r w:rsidR="00C36D4C">
        <w:rPr>
          <w:lang w:val="en-GB"/>
        </w:rPr>
        <w:t>engagement with</w:t>
      </w:r>
      <w:r w:rsidRPr="005952C0">
        <w:rPr>
          <w:lang w:val="en-GB"/>
        </w:rPr>
        <w:t xml:space="preserve"> available feedback. While the longer term impacts of water-used feedback interventions generally require further investigation, especially more work is required to understand the role and impact of online feedback mechanisms over time and relative to portal usage.  </w:t>
      </w:r>
    </w:p>
    <w:p w14:paraId="2FA25288" w14:textId="30118022" w:rsidR="00A0373F" w:rsidRPr="003363F3" w:rsidRDefault="00A0373F" w:rsidP="005952C0">
      <w:pPr>
        <w:pStyle w:val="Heading-Secondary"/>
        <w:ind w:left="0"/>
        <w:rPr>
          <w:b/>
          <w:i/>
          <w:lang w:val="en-GB"/>
        </w:rPr>
      </w:pPr>
      <w:r w:rsidRPr="003363F3">
        <w:rPr>
          <w:b/>
          <w:i/>
          <w:lang w:val="en-GB"/>
        </w:rPr>
        <w:t>2.</w:t>
      </w:r>
      <w:r w:rsidR="00746741" w:rsidRPr="003363F3">
        <w:rPr>
          <w:b/>
          <w:i/>
          <w:lang w:val="en-GB"/>
        </w:rPr>
        <w:t>3</w:t>
      </w:r>
      <w:r w:rsidR="00BC1A62" w:rsidRPr="003363F3">
        <w:rPr>
          <w:b/>
          <w:i/>
          <w:lang w:val="en-GB"/>
        </w:rPr>
        <w:t xml:space="preserve"> </w:t>
      </w:r>
      <w:r w:rsidR="00746741" w:rsidRPr="003363F3">
        <w:rPr>
          <w:b/>
          <w:i/>
          <w:lang w:val="en-GB"/>
        </w:rPr>
        <w:t>E</w:t>
      </w:r>
      <w:r w:rsidRPr="003363F3">
        <w:rPr>
          <w:b/>
          <w:i/>
          <w:lang w:val="en-GB"/>
        </w:rPr>
        <w:t xml:space="preserve">valuation methodologies </w:t>
      </w:r>
    </w:p>
    <w:p w14:paraId="0144FC09" w14:textId="4AB3C794" w:rsidR="00A0373F" w:rsidRPr="005952C0" w:rsidRDefault="00A0373F" w:rsidP="005952C0">
      <w:pPr>
        <w:pStyle w:val="Text"/>
        <w:ind w:firstLine="0"/>
        <w:rPr>
          <w:lang w:val="en-GB"/>
        </w:rPr>
      </w:pPr>
      <w:r w:rsidRPr="005952C0">
        <w:rPr>
          <w:lang w:val="en-GB"/>
        </w:rPr>
        <w:t>Analyses of impacts of feedback on household consumption vary widely in terms of the methodologies applied. Naturally, some differences in evaluation methodologies arise from the study design and associated limitations</w:t>
      </w:r>
      <w:r w:rsidR="00746741">
        <w:rPr>
          <w:lang w:val="en-GB"/>
        </w:rPr>
        <w:t xml:space="preserve"> (e.g. </w:t>
      </w:r>
      <w:r w:rsidRPr="005952C0">
        <w:rPr>
          <w:lang w:val="en-GB"/>
        </w:rPr>
        <w:t>control group</w:t>
      </w:r>
      <w:r w:rsidR="00746741">
        <w:rPr>
          <w:lang w:val="en-GB"/>
        </w:rPr>
        <w:t xml:space="preserve"> availability</w:t>
      </w:r>
      <w:r w:rsidRPr="005952C0">
        <w:rPr>
          <w:lang w:val="en-GB"/>
        </w:rPr>
        <w:t>; and sample sizes</w:t>
      </w:r>
      <w:r w:rsidR="00746741">
        <w:rPr>
          <w:lang w:val="en-GB"/>
        </w:rPr>
        <w:t>)</w:t>
      </w:r>
      <w:r w:rsidRPr="005952C0">
        <w:rPr>
          <w:lang w:val="en-GB"/>
        </w:rPr>
        <w:t>. Some studies adopted a pre-post design, only reporting descriptive stat</w:t>
      </w:r>
      <w:r w:rsidR="00B710EE" w:rsidRPr="005952C0">
        <w:rPr>
          <w:lang w:val="en-GB"/>
        </w:rPr>
        <w:t xml:space="preserve">istics at the end of the </w:t>
      </w:r>
      <w:r w:rsidR="00B710EE" w:rsidRPr="00990E74">
        <w:rPr>
          <w:lang w:val="en-GB"/>
        </w:rPr>
        <w:t xml:space="preserve">trial </w:t>
      </w:r>
      <w:r w:rsidR="0029187D">
        <w:rPr>
          <w:lang w:val="en-GB"/>
        </w:rPr>
        <w:t>(</w:t>
      </w:r>
      <w:r w:rsidRPr="00990E74">
        <w:rPr>
          <w:lang w:val="en-GB"/>
        </w:rPr>
        <w:t xml:space="preserve">Erickson et al., 2012; Petersen et al., 2007); and such approaches may lack the robustness of other studies which additionally report inferential statistics. There is also a tendency to </w:t>
      </w:r>
      <w:r w:rsidR="005952C0" w:rsidRPr="00990E74">
        <w:rPr>
          <w:lang w:val="en-GB"/>
        </w:rPr>
        <w:t>analyse</w:t>
      </w:r>
      <w:r w:rsidRPr="00990E74">
        <w:rPr>
          <w:lang w:val="en-GB"/>
        </w:rPr>
        <w:t xml:space="preserve"> how</w:t>
      </w:r>
      <w:r w:rsidR="00746741">
        <w:rPr>
          <w:lang w:val="en-GB"/>
        </w:rPr>
        <w:t xml:space="preserve"> participants’</w:t>
      </w:r>
      <w:r w:rsidRPr="00990E74">
        <w:rPr>
          <w:lang w:val="en-GB"/>
        </w:rPr>
        <w:t xml:space="preserve"> consumption changed from when the feedback</w:t>
      </w:r>
      <w:r w:rsidR="00746741">
        <w:rPr>
          <w:lang w:val="en-GB"/>
        </w:rPr>
        <w:t xml:space="preserve"> </w:t>
      </w:r>
      <w:r w:rsidRPr="00990E74">
        <w:rPr>
          <w:lang w:val="en-GB"/>
        </w:rPr>
        <w:t xml:space="preserve">began for </w:t>
      </w:r>
      <w:r w:rsidR="00746741">
        <w:rPr>
          <w:lang w:val="en-GB"/>
        </w:rPr>
        <w:t xml:space="preserve">an </w:t>
      </w:r>
      <w:r w:rsidRPr="00990E74">
        <w:rPr>
          <w:lang w:val="en-GB"/>
        </w:rPr>
        <w:t>aggregate</w:t>
      </w:r>
      <w:r w:rsidR="00746741">
        <w:rPr>
          <w:lang w:val="en-GB"/>
        </w:rPr>
        <w:t>d trial</w:t>
      </w:r>
      <w:r w:rsidRPr="00990E74">
        <w:rPr>
          <w:lang w:val="en-GB"/>
        </w:rPr>
        <w:t xml:space="preserve"> period, </w:t>
      </w:r>
      <w:r w:rsidR="00746741">
        <w:rPr>
          <w:lang w:val="en-GB"/>
        </w:rPr>
        <w:t xml:space="preserve">sometimes </w:t>
      </w:r>
      <w:r w:rsidRPr="00990E74">
        <w:rPr>
          <w:lang w:val="en-GB"/>
        </w:rPr>
        <w:t xml:space="preserve">just several weeks (e.g. Erickson et al., 2012). In general, there is little </w:t>
      </w:r>
      <w:r w:rsidRPr="00990E74">
        <w:rPr>
          <w:lang w:val="en-GB"/>
        </w:rPr>
        <w:lastRenderedPageBreak/>
        <w:t>analys</w:t>
      </w:r>
      <w:r w:rsidR="00746741">
        <w:rPr>
          <w:lang w:val="en-GB"/>
        </w:rPr>
        <w:t>i</w:t>
      </w:r>
      <w:r w:rsidRPr="00990E74">
        <w:rPr>
          <w:lang w:val="en-GB"/>
        </w:rPr>
        <w:t>s of how impacts on consumption change over time</w:t>
      </w:r>
      <w:r w:rsidR="00746741">
        <w:rPr>
          <w:lang w:val="en-GB"/>
        </w:rPr>
        <w:t xml:space="preserve">; </w:t>
      </w:r>
      <w:r w:rsidRPr="00990E74">
        <w:rPr>
          <w:lang w:val="en-GB"/>
        </w:rPr>
        <w:t>particularly immediately after actual access to feedback (rather than just after</w:t>
      </w:r>
      <w:r w:rsidRPr="005952C0">
        <w:rPr>
          <w:lang w:val="en-GB"/>
        </w:rPr>
        <w:t xml:space="preserve"> access is granted, but not necessarily </w:t>
      </w:r>
      <w:r w:rsidR="00B710EE" w:rsidRPr="005952C0">
        <w:rPr>
          <w:lang w:val="en-GB"/>
        </w:rPr>
        <w:t>utili</w:t>
      </w:r>
      <w:r w:rsidR="00CB6C62">
        <w:rPr>
          <w:lang w:val="en-GB"/>
        </w:rPr>
        <w:t>s</w:t>
      </w:r>
      <w:r w:rsidR="00B710EE" w:rsidRPr="005952C0">
        <w:rPr>
          <w:lang w:val="en-GB"/>
        </w:rPr>
        <w:t>ed</w:t>
      </w:r>
      <w:r w:rsidRPr="005952C0">
        <w:rPr>
          <w:lang w:val="en-GB"/>
        </w:rPr>
        <w:t xml:space="preserve">). This also </w:t>
      </w:r>
      <w:r w:rsidR="00746741">
        <w:rPr>
          <w:lang w:val="en-GB"/>
        </w:rPr>
        <w:t xml:space="preserve">applies to studies </w:t>
      </w:r>
      <w:r w:rsidRPr="005952C0">
        <w:rPr>
          <w:lang w:val="en-GB"/>
        </w:rPr>
        <w:t xml:space="preserve">involving an online portal. </w:t>
      </w:r>
    </w:p>
    <w:p w14:paraId="21FD069D" w14:textId="72D68CAF" w:rsidR="00217B96" w:rsidRDefault="00217B96" w:rsidP="005952C0">
      <w:pPr>
        <w:pStyle w:val="Text"/>
        <w:ind w:firstLine="0"/>
        <w:rPr>
          <w:lang w:val="en-GB"/>
        </w:rPr>
      </w:pPr>
      <w:r>
        <w:rPr>
          <w:lang w:val="en-GB"/>
        </w:rPr>
        <w:t xml:space="preserve">In summary, longer term evaluations are required to understand the persistence of water-savings via online water-use feedback. The </w:t>
      </w:r>
      <w:r w:rsidRPr="005952C0">
        <w:rPr>
          <w:lang w:val="en-GB"/>
        </w:rPr>
        <w:t>relationship between water-savings and actual engagement w</w:t>
      </w:r>
      <w:r>
        <w:rPr>
          <w:lang w:val="en-GB"/>
        </w:rPr>
        <w:t xml:space="preserve">ith online water-use feedback also requires investigation.   </w:t>
      </w:r>
    </w:p>
    <w:p w14:paraId="769DCBEF" w14:textId="60BD478F" w:rsidR="00FD6DE7" w:rsidRPr="005952C0" w:rsidRDefault="00FD6DE7" w:rsidP="005952C0">
      <w:pPr>
        <w:pStyle w:val="Text"/>
        <w:ind w:firstLine="0"/>
        <w:rPr>
          <w:lang w:val="en-GB"/>
        </w:rPr>
      </w:pPr>
    </w:p>
    <w:p w14:paraId="6888E72E" w14:textId="0CF5B9F3" w:rsidR="002F3B11" w:rsidRPr="005952C0" w:rsidRDefault="002F3B11" w:rsidP="00C81368">
      <w:pPr>
        <w:pStyle w:val="Heading-Main"/>
        <w:rPr>
          <w:lang w:val="en-GB"/>
        </w:rPr>
      </w:pPr>
      <w:r w:rsidRPr="005952C0">
        <w:rPr>
          <w:lang w:val="en-GB"/>
        </w:rPr>
        <w:t>3</w:t>
      </w:r>
      <w:r w:rsidR="003363F3">
        <w:rPr>
          <w:lang w:val="en-GB"/>
        </w:rPr>
        <w:t>.</w:t>
      </w:r>
      <w:r w:rsidRPr="005952C0">
        <w:rPr>
          <w:lang w:val="en-GB"/>
        </w:rPr>
        <w:t xml:space="preserve"> </w:t>
      </w:r>
      <w:r w:rsidR="00D84B1B" w:rsidRPr="005952C0">
        <w:rPr>
          <w:lang w:val="en-GB"/>
        </w:rPr>
        <w:t>Material and methods</w:t>
      </w:r>
    </w:p>
    <w:p w14:paraId="0238A21C" w14:textId="77777777" w:rsidR="00D84B1B" w:rsidRPr="003363F3" w:rsidRDefault="00D84B1B" w:rsidP="005952C0">
      <w:pPr>
        <w:pStyle w:val="Heading-Secondary"/>
        <w:ind w:left="0"/>
        <w:rPr>
          <w:b/>
          <w:i/>
          <w:lang w:val="en-GB"/>
        </w:rPr>
      </w:pPr>
      <w:r w:rsidRPr="003363F3">
        <w:rPr>
          <w:b/>
          <w:i/>
          <w:lang w:val="en-GB"/>
        </w:rPr>
        <w:t xml:space="preserve">3.1 Study context </w:t>
      </w:r>
    </w:p>
    <w:p w14:paraId="51AFB1C9" w14:textId="067CAE5F" w:rsidR="00D84B1B" w:rsidRPr="005952C0" w:rsidRDefault="00D84B1B" w:rsidP="005952C0">
      <w:pPr>
        <w:pStyle w:val="Text"/>
        <w:ind w:firstLine="0"/>
        <w:rPr>
          <w:lang w:val="en-GB"/>
        </w:rPr>
      </w:pPr>
      <w:r w:rsidRPr="005952C0">
        <w:rPr>
          <w:lang w:val="en-GB"/>
        </w:rPr>
        <w:t>The study was conducted within the local government areas of the Greater Taree City Council and the Great Lakes, approximately 320 kilometres north of Sydney, Australia, where some 37,000 households are supplied by MidCoast Water (MCW). MCW currently operates five water supply systems in the area</w:t>
      </w:r>
      <w:r w:rsidR="00C36D4C">
        <w:rPr>
          <w:lang w:val="en-GB"/>
        </w:rPr>
        <w:t>. F</w:t>
      </w:r>
      <w:r w:rsidRPr="005952C0">
        <w:rPr>
          <w:lang w:val="en-GB"/>
        </w:rPr>
        <w:t xml:space="preserve">acing projected demand from 50,000 households by 2050 </w:t>
      </w:r>
      <w:r w:rsidR="0029187D">
        <w:rPr>
          <w:lang w:val="en-GB"/>
        </w:rPr>
        <w:t>(</w:t>
      </w:r>
      <w:r w:rsidR="00B710EE" w:rsidRPr="00990E74">
        <w:rPr>
          <w:lang w:val="en-GB"/>
        </w:rPr>
        <w:t>MidCoast Water, 2015</w:t>
      </w:r>
      <w:r w:rsidR="0029187D">
        <w:rPr>
          <w:lang w:val="en-GB"/>
        </w:rPr>
        <w:t>)</w:t>
      </w:r>
      <w:r w:rsidR="004E5870">
        <w:rPr>
          <w:lang w:val="en-GB"/>
        </w:rPr>
        <w:t>,</w:t>
      </w:r>
      <w:r w:rsidRPr="00990E74">
        <w:rPr>
          <w:lang w:val="en-GB"/>
        </w:rPr>
        <w:t xml:space="preserve"> </w:t>
      </w:r>
      <w:r w:rsidR="00C36D4C">
        <w:rPr>
          <w:lang w:val="en-GB"/>
        </w:rPr>
        <w:t xml:space="preserve">MCW is </w:t>
      </w:r>
      <w:r w:rsidRPr="005952C0">
        <w:rPr>
          <w:lang w:val="en-GB"/>
        </w:rPr>
        <w:t>in pursuit of greater efficiencies in both water supply and use to defer capital expenditure on new infrastructure. It is within this context that the potential role for residential smart water metering and the provision of detailed water-use information via an online portal is explored.</w:t>
      </w:r>
    </w:p>
    <w:p w14:paraId="5C444CE7" w14:textId="77777777" w:rsidR="00D84B1B" w:rsidRPr="00B26C30" w:rsidRDefault="00D84B1B" w:rsidP="005952C0">
      <w:pPr>
        <w:pStyle w:val="Text"/>
        <w:ind w:firstLine="0"/>
        <w:rPr>
          <w:b/>
          <w:i/>
          <w:lang w:val="en-GB"/>
        </w:rPr>
      </w:pPr>
      <w:r w:rsidRPr="00B26C30">
        <w:rPr>
          <w:b/>
          <w:i/>
          <w:lang w:val="en-GB"/>
        </w:rPr>
        <w:t xml:space="preserve">3.2 Study design overview </w:t>
      </w:r>
    </w:p>
    <w:p w14:paraId="43472571" w14:textId="56000877" w:rsidR="00D84B1B" w:rsidRPr="005952C0" w:rsidRDefault="00D84B1B" w:rsidP="005952C0">
      <w:pPr>
        <w:pStyle w:val="Text"/>
        <w:ind w:firstLine="0"/>
        <w:rPr>
          <w:lang w:val="en-GB"/>
        </w:rPr>
      </w:pPr>
      <w:r w:rsidRPr="005952C0">
        <w:rPr>
          <w:lang w:val="en-GB"/>
        </w:rPr>
        <w:t xml:space="preserve">120 households were recruited into the study which involved an intervention and control group. </w:t>
      </w:r>
      <w:r w:rsidR="00B32AD2">
        <w:rPr>
          <w:lang w:val="en-GB"/>
        </w:rPr>
        <w:t>I</w:t>
      </w:r>
      <w:r w:rsidRPr="005952C0">
        <w:rPr>
          <w:lang w:val="en-GB"/>
        </w:rPr>
        <w:t xml:space="preserve">nstallation of Outpost WASP loggers </w:t>
      </w:r>
      <w:r w:rsidR="00B32AD2">
        <w:rPr>
          <w:lang w:val="en-GB"/>
        </w:rPr>
        <w:t xml:space="preserve">ensued </w:t>
      </w:r>
      <w:r w:rsidRPr="005952C0">
        <w:rPr>
          <w:lang w:val="en-GB"/>
        </w:rPr>
        <w:t>at the</w:t>
      </w:r>
      <w:r w:rsidR="00B93AB9">
        <w:rPr>
          <w:lang w:val="en-GB"/>
        </w:rPr>
        <w:t xml:space="preserve">se </w:t>
      </w:r>
      <w:r w:rsidRPr="005952C0">
        <w:rPr>
          <w:lang w:val="en-GB"/>
        </w:rPr>
        <w:t>residences</w:t>
      </w:r>
      <w:r w:rsidR="00B93AB9">
        <w:rPr>
          <w:lang w:val="en-GB"/>
        </w:rPr>
        <w:t xml:space="preserve"> in late </w:t>
      </w:r>
      <w:r w:rsidRPr="005952C0">
        <w:rPr>
          <w:lang w:val="en-GB"/>
        </w:rPr>
        <w:t xml:space="preserve">2012 </w:t>
      </w:r>
      <w:r w:rsidR="00575635">
        <w:rPr>
          <w:lang w:val="en-GB"/>
        </w:rPr>
        <w:t>to</w:t>
      </w:r>
      <w:r w:rsidRPr="005952C0">
        <w:rPr>
          <w:lang w:val="en-GB"/>
        </w:rPr>
        <w:t xml:space="preserve"> collect </w:t>
      </w:r>
      <w:r w:rsidR="00034B6C">
        <w:rPr>
          <w:lang w:val="en-GB"/>
        </w:rPr>
        <w:t xml:space="preserve">household </w:t>
      </w:r>
      <w:r w:rsidRPr="005952C0">
        <w:rPr>
          <w:lang w:val="en-GB"/>
        </w:rPr>
        <w:t xml:space="preserve">baseline </w:t>
      </w:r>
      <w:r w:rsidR="00034B6C">
        <w:rPr>
          <w:lang w:val="en-GB"/>
        </w:rPr>
        <w:t xml:space="preserve">usage </w:t>
      </w:r>
      <w:r w:rsidRPr="005952C0">
        <w:rPr>
          <w:lang w:val="en-GB"/>
        </w:rPr>
        <w:t xml:space="preserve">data throughout 2013 at 1 minute intervals and </w:t>
      </w:r>
      <w:r w:rsidR="00034B6C">
        <w:rPr>
          <w:lang w:val="en-GB"/>
        </w:rPr>
        <w:t xml:space="preserve">to </w:t>
      </w:r>
      <w:r w:rsidRPr="005952C0">
        <w:rPr>
          <w:lang w:val="en-GB"/>
        </w:rPr>
        <w:t>transmit overnight via the internal SIM card and 2G mobile phone network. Due to transmission issues</w:t>
      </w:r>
      <w:r w:rsidR="00575635">
        <w:rPr>
          <w:lang w:val="en-GB"/>
        </w:rPr>
        <w:t>,</w:t>
      </w:r>
      <w:r w:rsidRPr="005952C0">
        <w:rPr>
          <w:lang w:val="en-GB"/>
        </w:rPr>
        <w:t xml:space="preserve"> all were replaced with 3G. After installation, baseline surveys were distributed to collect additional data on the householders and their water consumption. In parallel during the baseline year, MHOW was developed as the online intervention medium. </w:t>
      </w:r>
    </w:p>
    <w:p w14:paraId="1B742CA1" w14:textId="5A51A275" w:rsidR="00D84B1B" w:rsidRPr="005952C0" w:rsidRDefault="00D84B1B" w:rsidP="005952C0">
      <w:pPr>
        <w:pStyle w:val="Text"/>
        <w:ind w:firstLine="0"/>
        <w:rPr>
          <w:lang w:val="en-GB"/>
        </w:rPr>
      </w:pPr>
      <w:r w:rsidRPr="005952C0">
        <w:rPr>
          <w:lang w:val="en-GB"/>
        </w:rPr>
        <w:t xml:space="preserve">The main study hypothesis was that intervention group </w:t>
      </w:r>
      <w:r w:rsidR="00B32AD2" w:rsidRPr="005952C0">
        <w:rPr>
          <w:lang w:val="en-GB"/>
        </w:rPr>
        <w:t xml:space="preserve">households </w:t>
      </w:r>
      <w:r w:rsidRPr="005952C0">
        <w:rPr>
          <w:lang w:val="en-GB"/>
        </w:rPr>
        <w:t>(i.e. with access to M</w:t>
      </w:r>
      <w:r w:rsidR="00E44147">
        <w:rPr>
          <w:lang w:val="en-GB"/>
        </w:rPr>
        <w:t>HOW</w:t>
      </w:r>
      <w:r w:rsidRPr="005952C0">
        <w:rPr>
          <w:lang w:val="en-GB"/>
        </w:rPr>
        <w:t xml:space="preserve">) would show </w:t>
      </w:r>
      <w:r w:rsidR="00B93AB9">
        <w:rPr>
          <w:lang w:val="en-GB"/>
        </w:rPr>
        <w:t xml:space="preserve">water-savings </w:t>
      </w:r>
      <w:r w:rsidR="00B32AD2" w:rsidRPr="00B32AD2">
        <w:rPr>
          <w:lang w:val="en-GB"/>
        </w:rPr>
        <w:t xml:space="preserve">relative </w:t>
      </w:r>
      <w:r w:rsidRPr="005952C0">
        <w:rPr>
          <w:lang w:val="en-GB"/>
        </w:rPr>
        <w:t xml:space="preserve">to the control group. In addition, it was hypothesised that intervention group households would achieve greater reductions immediately following access to MHOW; and that measured savings would decrease with time from </w:t>
      </w:r>
      <w:r w:rsidR="00575635">
        <w:rPr>
          <w:lang w:val="en-GB"/>
        </w:rPr>
        <w:t xml:space="preserve">each </w:t>
      </w:r>
      <w:r w:rsidRPr="005952C0">
        <w:rPr>
          <w:lang w:val="en-GB"/>
        </w:rPr>
        <w:t>household</w:t>
      </w:r>
      <w:r w:rsidR="00575635">
        <w:rPr>
          <w:lang w:val="en-GB"/>
        </w:rPr>
        <w:t>’</w:t>
      </w:r>
      <w:r w:rsidRPr="005952C0">
        <w:rPr>
          <w:lang w:val="en-GB"/>
        </w:rPr>
        <w:t xml:space="preserve">s last login.  </w:t>
      </w:r>
    </w:p>
    <w:p w14:paraId="52E0E864" w14:textId="77777777" w:rsidR="00D84B1B" w:rsidRPr="003363F3" w:rsidRDefault="00D84B1B" w:rsidP="005952C0">
      <w:pPr>
        <w:pStyle w:val="Text"/>
        <w:ind w:firstLine="0"/>
        <w:rPr>
          <w:b/>
          <w:i/>
          <w:lang w:val="en-GB"/>
        </w:rPr>
      </w:pPr>
      <w:r w:rsidRPr="003363F3">
        <w:rPr>
          <w:b/>
          <w:i/>
          <w:lang w:val="en-GB"/>
        </w:rPr>
        <w:t xml:space="preserve">3.3 Study participants </w:t>
      </w:r>
    </w:p>
    <w:p w14:paraId="19401E3F" w14:textId="6DC58335" w:rsidR="00D84B1B" w:rsidRPr="005952C0" w:rsidRDefault="00D84B1B" w:rsidP="005952C0">
      <w:pPr>
        <w:pStyle w:val="Text"/>
        <w:ind w:firstLine="0"/>
        <w:rPr>
          <w:lang w:val="en-GB"/>
        </w:rPr>
      </w:pPr>
      <w:r w:rsidRPr="005952C0">
        <w:rPr>
          <w:lang w:val="en-GB"/>
        </w:rPr>
        <w:t xml:space="preserve">The 120 participants were recruited from six towns in the region, namely, Taree, Wingham, Forster, Tuncurry, Tinonee and Cundletown. Recruitment was via informed consent and targeted households whose water consumption over the previous year was in the 50th to 75th percentile of users, </w:t>
      </w:r>
      <w:r w:rsidR="00C354E5">
        <w:rPr>
          <w:lang w:val="en-GB"/>
        </w:rPr>
        <w:t xml:space="preserve">and </w:t>
      </w:r>
      <w:r w:rsidRPr="005952C0">
        <w:rPr>
          <w:lang w:val="en-GB"/>
        </w:rPr>
        <w:t>w</w:t>
      </w:r>
      <w:r w:rsidR="00C354E5">
        <w:rPr>
          <w:lang w:val="en-GB"/>
        </w:rPr>
        <w:t xml:space="preserve">ith </w:t>
      </w:r>
      <w:r w:rsidRPr="005952C0">
        <w:rPr>
          <w:lang w:val="en-GB"/>
        </w:rPr>
        <w:t>a meter capable of digital pulsed output</w:t>
      </w:r>
      <w:r w:rsidR="00A27CEE">
        <w:rPr>
          <w:rStyle w:val="FootnoteReference"/>
          <w:lang w:val="en-GB"/>
        </w:rPr>
        <w:footnoteReference w:id="1"/>
      </w:r>
      <w:r w:rsidRPr="005952C0">
        <w:rPr>
          <w:lang w:val="en-GB"/>
        </w:rPr>
        <w:t xml:space="preserve">. A multi-staged process of </w:t>
      </w:r>
      <w:r w:rsidR="00F55B8F">
        <w:rPr>
          <w:lang w:val="en-GB"/>
        </w:rPr>
        <w:t xml:space="preserve">invitation </w:t>
      </w:r>
      <w:r w:rsidRPr="005952C0">
        <w:rPr>
          <w:lang w:val="en-GB"/>
        </w:rPr>
        <w:t>letters was used</w:t>
      </w:r>
      <w:r w:rsidR="00FD0B6E">
        <w:rPr>
          <w:lang w:val="en-GB"/>
        </w:rPr>
        <w:t xml:space="preserve"> requiring </w:t>
      </w:r>
      <w:r w:rsidRPr="005952C0">
        <w:rPr>
          <w:lang w:val="en-GB"/>
        </w:rPr>
        <w:t>agree</w:t>
      </w:r>
      <w:r w:rsidR="00FD0B6E">
        <w:rPr>
          <w:lang w:val="en-GB"/>
        </w:rPr>
        <w:t>ment</w:t>
      </w:r>
      <w:r w:rsidRPr="005952C0">
        <w:rPr>
          <w:lang w:val="en-GB"/>
        </w:rPr>
        <w:t xml:space="preserve"> to a smart water meter </w:t>
      </w:r>
      <w:r w:rsidR="00FD0B6E">
        <w:rPr>
          <w:lang w:val="en-GB"/>
        </w:rPr>
        <w:t xml:space="preserve">installation </w:t>
      </w:r>
      <w:r w:rsidR="00B32AD2">
        <w:rPr>
          <w:lang w:val="en-GB"/>
        </w:rPr>
        <w:t>to</w:t>
      </w:r>
      <w:r w:rsidRPr="005952C0">
        <w:rPr>
          <w:lang w:val="en-GB"/>
        </w:rPr>
        <w:t xml:space="preserve"> collect water usage data more frequently</w:t>
      </w:r>
      <w:r w:rsidR="00C36D4C">
        <w:rPr>
          <w:lang w:val="en-GB"/>
        </w:rPr>
        <w:t>,</w:t>
      </w:r>
      <w:r w:rsidRPr="005952C0">
        <w:rPr>
          <w:lang w:val="en-GB"/>
        </w:rPr>
        <w:t xml:space="preserve"> and online provision of more detailed </w:t>
      </w:r>
      <w:r w:rsidR="00FD0B6E">
        <w:rPr>
          <w:lang w:val="en-GB"/>
        </w:rPr>
        <w:t xml:space="preserve">water-use </w:t>
      </w:r>
      <w:r w:rsidRPr="005952C0">
        <w:rPr>
          <w:lang w:val="en-GB"/>
        </w:rPr>
        <w:t xml:space="preserve">feedback. </w:t>
      </w:r>
      <w:r w:rsidR="00C354E5">
        <w:rPr>
          <w:lang w:val="en-GB"/>
        </w:rPr>
        <w:t xml:space="preserve">Further details </w:t>
      </w:r>
      <w:r w:rsidR="00C354E5">
        <w:rPr>
          <w:lang w:val="en-GB"/>
        </w:rPr>
        <w:lastRenderedPageBreak/>
        <w:t xml:space="preserve">of the </w:t>
      </w:r>
      <w:r w:rsidR="00575635">
        <w:rPr>
          <w:lang w:val="en-GB"/>
        </w:rPr>
        <w:t>study</w:t>
      </w:r>
      <w:r w:rsidR="00C354E5">
        <w:rPr>
          <w:lang w:val="en-GB"/>
        </w:rPr>
        <w:t xml:space="preserve"> </w:t>
      </w:r>
      <w:r w:rsidR="00655397">
        <w:rPr>
          <w:lang w:val="en-GB"/>
        </w:rPr>
        <w:t xml:space="preserve">area, </w:t>
      </w:r>
      <w:r w:rsidR="00C354E5">
        <w:rPr>
          <w:lang w:val="en-GB"/>
        </w:rPr>
        <w:t>household</w:t>
      </w:r>
      <w:r w:rsidR="00575635">
        <w:rPr>
          <w:lang w:val="en-GB"/>
        </w:rPr>
        <w:t>s</w:t>
      </w:r>
      <w:r w:rsidR="00C354E5">
        <w:rPr>
          <w:lang w:val="en-GB"/>
        </w:rPr>
        <w:t xml:space="preserve"> and </w:t>
      </w:r>
      <w:r w:rsidR="00575635">
        <w:rPr>
          <w:lang w:val="en-GB"/>
        </w:rPr>
        <w:t xml:space="preserve">their </w:t>
      </w:r>
      <w:r w:rsidR="00C354E5">
        <w:rPr>
          <w:lang w:val="en-GB"/>
        </w:rPr>
        <w:t>s</w:t>
      </w:r>
      <w:r w:rsidR="00067764">
        <w:rPr>
          <w:lang w:val="en-GB"/>
        </w:rPr>
        <w:t xml:space="preserve">ocio-demographic information </w:t>
      </w:r>
      <w:r w:rsidR="00C354E5">
        <w:rPr>
          <w:lang w:val="en-GB"/>
        </w:rPr>
        <w:t>are</w:t>
      </w:r>
      <w:r w:rsidR="00067764">
        <w:rPr>
          <w:lang w:val="en-GB"/>
        </w:rPr>
        <w:t xml:space="preserve"> provided in </w:t>
      </w:r>
      <w:r w:rsidR="00B640DC">
        <w:rPr>
          <w:lang w:val="en-GB"/>
        </w:rPr>
        <w:t>Supplementary Material 1</w:t>
      </w:r>
      <w:r w:rsidR="00067764">
        <w:rPr>
          <w:lang w:val="en-GB"/>
        </w:rPr>
        <w:t>.</w:t>
      </w:r>
    </w:p>
    <w:p w14:paraId="087FB9B9" w14:textId="77777777" w:rsidR="00D84B1B" w:rsidRPr="003363F3" w:rsidRDefault="00D84B1B" w:rsidP="005952C0">
      <w:pPr>
        <w:pStyle w:val="Text"/>
        <w:ind w:firstLine="0"/>
        <w:rPr>
          <w:b/>
          <w:i/>
          <w:lang w:val="en-GB"/>
        </w:rPr>
      </w:pPr>
      <w:r w:rsidRPr="003363F3">
        <w:rPr>
          <w:b/>
          <w:i/>
          <w:lang w:val="en-GB"/>
        </w:rPr>
        <w:t>3.4 Intervention groups</w:t>
      </w:r>
    </w:p>
    <w:p w14:paraId="2704AAAD" w14:textId="57F6A92B" w:rsidR="00D84B1B" w:rsidRPr="005952C0" w:rsidRDefault="00D84B1B" w:rsidP="005952C0">
      <w:pPr>
        <w:pStyle w:val="Text"/>
        <w:ind w:firstLine="0"/>
        <w:rPr>
          <w:lang w:val="en-GB"/>
        </w:rPr>
      </w:pPr>
      <w:r w:rsidRPr="005952C0">
        <w:rPr>
          <w:lang w:val="en-GB"/>
        </w:rPr>
        <w:t xml:space="preserve">After </w:t>
      </w:r>
      <w:r w:rsidR="003D0EE9">
        <w:rPr>
          <w:lang w:val="en-GB"/>
        </w:rPr>
        <w:t xml:space="preserve">the smart meters had been in place for </w:t>
      </w:r>
      <w:r w:rsidRPr="005952C0">
        <w:rPr>
          <w:lang w:val="en-GB"/>
        </w:rPr>
        <w:t xml:space="preserve">one year, </w:t>
      </w:r>
      <w:r w:rsidR="003D0EE9">
        <w:rPr>
          <w:lang w:val="en-GB"/>
        </w:rPr>
        <w:t xml:space="preserve">and prior to the intervention, </w:t>
      </w:r>
      <w:r w:rsidRPr="005952C0">
        <w:rPr>
          <w:lang w:val="en-GB"/>
        </w:rPr>
        <w:t>households were randomly assigned to the intervention or control group (each N=60). A matched pairs design was applied t</w:t>
      </w:r>
      <w:r w:rsidR="00FD0B6E">
        <w:rPr>
          <w:lang w:val="en-GB"/>
        </w:rPr>
        <w:t xml:space="preserve">aking </w:t>
      </w:r>
      <w:r w:rsidR="00E33EC9">
        <w:rPr>
          <w:lang w:val="en-GB"/>
        </w:rPr>
        <w:t xml:space="preserve">2013 </w:t>
      </w:r>
      <w:r w:rsidRPr="005952C0">
        <w:rPr>
          <w:lang w:val="en-GB"/>
        </w:rPr>
        <w:t>water consumption</w:t>
      </w:r>
      <w:r w:rsidR="003D0EE9">
        <w:rPr>
          <w:lang w:val="en-GB"/>
        </w:rPr>
        <w:t xml:space="preserve"> (collected via the existing meters)</w:t>
      </w:r>
      <w:r w:rsidRPr="005952C0">
        <w:rPr>
          <w:lang w:val="en-GB"/>
        </w:rPr>
        <w:t xml:space="preserve">, household occupancy and specific locality (town) into consideration and </w:t>
      </w:r>
      <w:r w:rsidR="00FD0B6E" w:rsidRPr="005952C0">
        <w:rPr>
          <w:lang w:val="en-GB"/>
        </w:rPr>
        <w:t>ensur</w:t>
      </w:r>
      <w:r w:rsidR="00FD0B6E">
        <w:rPr>
          <w:lang w:val="en-GB"/>
        </w:rPr>
        <w:t>ing</w:t>
      </w:r>
      <w:r w:rsidR="00FD0B6E" w:rsidRPr="005952C0">
        <w:rPr>
          <w:lang w:val="en-GB"/>
        </w:rPr>
        <w:t xml:space="preserve"> </w:t>
      </w:r>
      <w:r w:rsidRPr="005952C0">
        <w:rPr>
          <w:lang w:val="en-GB"/>
        </w:rPr>
        <w:t>broadly similar study subgroups. After establishing the matched pairs, households without internet access were assigned to the control group for the sake of resource efficiency (i.e. to first provide access to households with internet access given the moderate overall sample size)</w:t>
      </w:r>
      <w:r w:rsidR="00AB4F92">
        <w:rPr>
          <w:rStyle w:val="FootnoteReference"/>
          <w:lang w:val="en-GB"/>
        </w:rPr>
        <w:footnoteReference w:id="2"/>
      </w:r>
      <w:r w:rsidRPr="005952C0">
        <w:rPr>
          <w:lang w:val="en-GB"/>
        </w:rPr>
        <w:t xml:space="preserve">. </w:t>
      </w:r>
      <w:r w:rsidR="00FD0B6E">
        <w:rPr>
          <w:lang w:val="en-GB"/>
        </w:rPr>
        <w:t>S</w:t>
      </w:r>
      <w:r w:rsidRPr="005952C0">
        <w:rPr>
          <w:lang w:val="en-GB"/>
        </w:rPr>
        <w:t>everal households with technical issues (data transmission) were</w:t>
      </w:r>
      <w:r w:rsidR="00FD0B6E">
        <w:rPr>
          <w:lang w:val="en-GB"/>
        </w:rPr>
        <w:t xml:space="preserve"> also</w:t>
      </w:r>
      <w:r w:rsidRPr="005952C0">
        <w:rPr>
          <w:lang w:val="en-GB"/>
        </w:rPr>
        <w:t xml:space="preserve"> assigned to the control group, </w:t>
      </w:r>
      <w:r w:rsidR="00FD0B6E">
        <w:rPr>
          <w:lang w:val="en-GB"/>
        </w:rPr>
        <w:t>as their consumption data was</w:t>
      </w:r>
      <w:r w:rsidR="00FF25DE">
        <w:rPr>
          <w:lang w:val="en-GB"/>
        </w:rPr>
        <w:t xml:space="preserve"> not </w:t>
      </w:r>
      <w:r w:rsidR="00FD0B6E">
        <w:rPr>
          <w:lang w:val="en-GB"/>
        </w:rPr>
        <w:t>available for v</w:t>
      </w:r>
      <w:r w:rsidRPr="005952C0">
        <w:rPr>
          <w:lang w:val="en-GB"/>
        </w:rPr>
        <w:t>iew</w:t>
      </w:r>
      <w:r w:rsidR="00FD0B6E">
        <w:rPr>
          <w:lang w:val="en-GB"/>
        </w:rPr>
        <w:t>ing.</w:t>
      </w:r>
      <w:r w:rsidRPr="005952C0">
        <w:rPr>
          <w:lang w:val="en-GB"/>
        </w:rPr>
        <w:t xml:space="preserve"> A further balance was attempted in the assignment of households for which baseline survey data was available. </w:t>
      </w:r>
    </w:p>
    <w:p w14:paraId="791478B9" w14:textId="2CC4BC13" w:rsidR="00D84B1B" w:rsidRPr="005952C0" w:rsidRDefault="00D84B1B" w:rsidP="005952C0">
      <w:pPr>
        <w:pStyle w:val="Text"/>
        <w:ind w:firstLine="0"/>
        <w:rPr>
          <w:lang w:val="en-GB"/>
        </w:rPr>
      </w:pPr>
      <w:r w:rsidRPr="005952C0">
        <w:rPr>
          <w:lang w:val="en-GB"/>
        </w:rPr>
        <w:t xml:space="preserve">Independent t-tests confirmed no statistically significant difference between the ensuing intervention and control groups in terms of average </w:t>
      </w:r>
      <w:r w:rsidR="00E33EC9">
        <w:rPr>
          <w:lang w:val="en-GB"/>
        </w:rPr>
        <w:t xml:space="preserve">2013 </w:t>
      </w:r>
      <w:r w:rsidRPr="005952C0">
        <w:rPr>
          <w:lang w:val="en-GB"/>
        </w:rPr>
        <w:t xml:space="preserve">consumption, household occupancy or locality. Average </w:t>
      </w:r>
      <w:r w:rsidR="00E33EC9">
        <w:rPr>
          <w:lang w:val="en-GB"/>
        </w:rPr>
        <w:t>2013</w:t>
      </w:r>
      <w:r w:rsidR="0082427C">
        <w:rPr>
          <w:lang w:val="en-GB"/>
        </w:rPr>
        <w:t xml:space="preserve"> </w:t>
      </w:r>
      <w:r w:rsidRPr="005952C0">
        <w:rPr>
          <w:lang w:val="en-GB"/>
        </w:rPr>
        <w:t xml:space="preserve">consumption was 602 L/hh/d (SD = 251) for the intervention group, and 571 L/hh/d (SD = 242) for the control group (t = 0.692; df = 118; p = 0.490). </w:t>
      </w:r>
      <w:r w:rsidR="00FF25DE">
        <w:rPr>
          <w:lang w:val="en-GB"/>
        </w:rPr>
        <w:t>A</w:t>
      </w:r>
      <w:r w:rsidRPr="005952C0">
        <w:rPr>
          <w:lang w:val="en-GB"/>
        </w:rPr>
        <w:t>verage occupancy was 2.84 (SD = 1.41), and 2.71 occupants (SD = 1.35), respectively, for the 55 intervention and 49 control group households for which baseline survey data was available (t = 0.449; df = 102; p = 0.654). A Fisher’s Exact Test showed furthermore that the intervention and control groups did not differ in the</w:t>
      </w:r>
      <w:r w:rsidR="00C36D4C">
        <w:rPr>
          <w:lang w:val="en-GB"/>
        </w:rPr>
        <w:t xml:space="preserve"> localities of their </w:t>
      </w:r>
      <w:r w:rsidRPr="005952C0">
        <w:rPr>
          <w:lang w:val="en-GB"/>
        </w:rPr>
        <w:t>household</w:t>
      </w:r>
      <w:r w:rsidR="00C36D4C">
        <w:rPr>
          <w:lang w:val="en-GB"/>
        </w:rPr>
        <w:t xml:space="preserve">s </w:t>
      </w:r>
      <w:r w:rsidRPr="005952C0">
        <w:rPr>
          <w:lang w:val="en-GB"/>
        </w:rPr>
        <w:t xml:space="preserve">(Fisher’s exact test, p = 0.345).   </w:t>
      </w:r>
    </w:p>
    <w:p w14:paraId="21685528" w14:textId="47B1B182" w:rsidR="00D84B1B" w:rsidRPr="003363F3" w:rsidRDefault="00D84B1B" w:rsidP="005952C0">
      <w:pPr>
        <w:pStyle w:val="Text"/>
        <w:ind w:firstLine="0"/>
        <w:rPr>
          <w:i/>
          <w:lang w:val="en-GB"/>
        </w:rPr>
      </w:pPr>
      <w:r w:rsidRPr="003363F3">
        <w:rPr>
          <w:i/>
          <w:lang w:val="en-GB"/>
        </w:rPr>
        <w:t xml:space="preserve">3.4.1 </w:t>
      </w:r>
      <w:r w:rsidR="00256DD8" w:rsidRPr="003363F3">
        <w:rPr>
          <w:i/>
          <w:lang w:val="en-GB"/>
        </w:rPr>
        <w:t>MHOW</w:t>
      </w:r>
      <w:r w:rsidRPr="003363F3">
        <w:rPr>
          <w:i/>
          <w:lang w:val="en-GB"/>
        </w:rPr>
        <w:t xml:space="preserve"> </w:t>
      </w:r>
    </w:p>
    <w:p w14:paraId="03D258A5" w14:textId="4E847DD3" w:rsidR="00960698" w:rsidRDefault="00D84B1B" w:rsidP="005952C0">
      <w:pPr>
        <w:pStyle w:val="Text"/>
        <w:ind w:firstLine="0"/>
        <w:rPr>
          <w:lang w:val="en-GB"/>
        </w:rPr>
      </w:pPr>
      <w:r w:rsidRPr="005952C0">
        <w:rPr>
          <w:lang w:val="en-GB"/>
        </w:rPr>
        <w:t xml:space="preserve">During the baseline period, MHOW was developed between the Institute for Sustainable Futures, </w:t>
      </w:r>
      <w:r w:rsidR="00FF25DE">
        <w:rPr>
          <w:lang w:val="en-GB"/>
        </w:rPr>
        <w:t>MCW</w:t>
      </w:r>
      <w:r w:rsidRPr="005952C0">
        <w:rPr>
          <w:lang w:val="en-GB"/>
        </w:rPr>
        <w:t xml:space="preserve"> and Outpost Central. The interface design was published under the terms of the Creative Commons Attribution-ShareAlike 3.0 Australia Licence, which allows the freedom to share and adapt the work (see </w:t>
      </w:r>
      <w:hyperlink r:id="rId9" w:history="1">
        <w:r w:rsidRPr="005952C0">
          <w:rPr>
            <w:lang w:val="en-GB"/>
          </w:rPr>
          <w:t>https://creativecommons.org/licenses/by-sa/3.0/au/</w:t>
        </w:r>
      </w:hyperlink>
      <w:r w:rsidRPr="005952C0">
        <w:rPr>
          <w:lang w:val="en-GB"/>
        </w:rPr>
        <w:t xml:space="preserve">). Since the portal was specifically created to serve as a customer interface for householders to view and track their water consumption, professional design services were enlisted </w:t>
      </w:r>
      <w:r w:rsidR="00FF25DE">
        <w:rPr>
          <w:lang w:val="en-GB"/>
        </w:rPr>
        <w:t>for</w:t>
      </w:r>
      <w:r w:rsidRPr="005952C0">
        <w:rPr>
          <w:lang w:val="en-GB"/>
        </w:rPr>
        <w:t xml:space="preserve"> a visually appealing communication style for residential customers (rather than water utility </w:t>
      </w:r>
      <w:r w:rsidR="00A81615">
        <w:rPr>
          <w:lang w:val="en-GB"/>
        </w:rPr>
        <w:t xml:space="preserve">or commercial </w:t>
      </w:r>
      <w:r w:rsidRPr="005952C0">
        <w:rPr>
          <w:lang w:val="en-GB"/>
        </w:rPr>
        <w:t xml:space="preserve">operators, which </w:t>
      </w:r>
      <w:r w:rsidR="00A81615">
        <w:rPr>
          <w:lang w:val="en-GB"/>
        </w:rPr>
        <w:t xml:space="preserve">a </w:t>
      </w:r>
      <w:r w:rsidRPr="005952C0">
        <w:rPr>
          <w:lang w:val="en-GB"/>
        </w:rPr>
        <w:t xml:space="preserve">previously available </w:t>
      </w:r>
      <w:r w:rsidR="00A81615">
        <w:rPr>
          <w:lang w:val="en-GB"/>
        </w:rPr>
        <w:t>portal t</w:t>
      </w:r>
      <w:r w:rsidRPr="005952C0">
        <w:rPr>
          <w:lang w:val="en-GB"/>
        </w:rPr>
        <w:t xml:space="preserve">argeted). </w:t>
      </w:r>
      <w:r w:rsidR="00A81615">
        <w:rPr>
          <w:lang w:val="en-GB"/>
        </w:rPr>
        <w:t>Various</w:t>
      </w:r>
      <w:r w:rsidR="00A81615" w:rsidRPr="005952C0">
        <w:rPr>
          <w:lang w:val="en-GB"/>
        </w:rPr>
        <w:t xml:space="preserve"> </w:t>
      </w:r>
      <w:r w:rsidRPr="005952C0">
        <w:rPr>
          <w:lang w:val="en-GB"/>
        </w:rPr>
        <w:t>MHOW screen</w:t>
      </w:r>
      <w:r w:rsidR="00FF25DE">
        <w:rPr>
          <w:lang w:val="en-GB"/>
        </w:rPr>
        <w:t>s are</w:t>
      </w:r>
      <w:r w:rsidRPr="005952C0">
        <w:rPr>
          <w:lang w:val="en-GB"/>
        </w:rPr>
        <w:t xml:space="preserve"> shown in Fig</w:t>
      </w:r>
      <w:r w:rsidR="008A368A" w:rsidRPr="005952C0">
        <w:rPr>
          <w:lang w:val="en-GB"/>
        </w:rPr>
        <w:t>ure</w:t>
      </w:r>
      <w:r w:rsidRPr="005952C0">
        <w:rPr>
          <w:lang w:val="en-GB"/>
        </w:rPr>
        <w:t xml:space="preserve"> </w:t>
      </w:r>
      <w:r w:rsidR="00960698">
        <w:rPr>
          <w:lang w:val="en-GB"/>
        </w:rPr>
        <w:t>1</w:t>
      </w:r>
      <w:r w:rsidRPr="005952C0">
        <w:rPr>
          <w:lang w:val="en-GB"/>
        </w:rPr>
        <w:t>.</w:t>
      </w:r>
    </w:p>
    <w:p w14:paraId="3537D273" w14:textId="3D278D30" w:rsidR="00D84B1B" w:rsidRPr="005952C0" w:rsidRDefault="00923C54" w:rsidP="005952C0">
      <w:pPr>
        <w:pStyle w:val="Text"/>
        <w:ind w:firstLine="0"/>
        <w:rPr>
          <w:lang w:val="en-GB"/>
        </w:rPr>
      </w:pPr>
      <w:r>
        <w:rPr>
          <w:lang w:val="en-GB"/>
        </w:rPr>
        <w:t>The</w:t>
      </w:r>
      <w:r w:rsidR="00D84B1B" w:rsidRPr="005952C0">
        <w:rPr>
          <w:lang w:val="en-GB"/>
        </w:rPr>
        <w:t xml:space="preserve"> portal </w:t>
      </w:r>
      <w:r>
        <w:rPr>
          <w:lang w:val="en-GB"/>
        </w:rPr>
        <w:t>provides</w:t>
      </w:r>
      <w:r w:rsidRPr="005952C0">
        <w:rPr>
          <w:lang w:val="en-GB"/>
        </w:rPr>
        <w:t xml:space="preserve"> </w:t>
      </w:r>
      <w:r w:rsidR="00D84B1B" w:rsidRPr="005952C0">
        <w:rPr>
          <w:lang w:val="en-GB"/>
        </w:rPr>
        <w:t xml:space="preserve">customisable displays of historical water use, comparisons with others, a water-budget feature, access to various usage alerts, and an interactive water-saving pledges facility. The portal therefore </w:t>
      </w:r>
      <w:r>
        <w:rPr>
          <w:lang w:val="en-GB"/>
        </w:rPr>
        <w:t>incorporat</w:t>
      </w:r>
      <w:r w:rsidRPr="005952C0">
        <w:rPr>
          <w:lang w:val="en-GB"/>
        </w:rPr>
        <w:t xml:space="preserve">ed </w:t>
      </w:r>
      <w:r w:rsidR="00D84B1B" w:rsidRPr="005952C0">
        <w:rPr>
          <w:lang w:val="en-GB"/>
        </w:rPr>
        <w:t xml:space="preserve">a variety of feedback strategies. </w:t>
      </w:r>
      <w:r w:rsidR="00256DD8">
        <w:rPr>
          <w:lang w:val="en-GB"/>
        </w:rPr>
        <w:t xml:space="preserve">A detailed list of features is provided in </w:t>
      </w:r>
      <w:r w:rsidR="00256DD8" w:rsidRPr="00821FB2">
        <w:rPr>
          <w:lang w:val="en-GB"/>
        </w:rPr>
        <w:t>Supplementary Material</w:t>
      </w:r>
      <w:r w:rsidR="00B640DC" w:rsidRPr="00A515CD">
        <w:rPr>
          <w:lang w:val="en-GB"/>
        </w:rPr>
        <w:t xml:space="preserve"> 2</w:t>
      </w:r>
      <w:r w:rsidR="00256DD8" w:rsidRPr="00821FB2">
        <w:rPr>
          <w:lang w:val="en-GB"/>
        </w:rPr>
        <w:t>.</w:t>
      </w:r>
      <w:r w:rsidR="00256DD8">
        <w:rPr>
          <w:lang w:val="en-GB"/>
        </w:rPr>
        <w:t xml:space="preserve"> </w:t>
      </w:r>
    </w:p>
    <w:p w14:paraId="1E399C2B" w14:textId="77777777" w:rsidR="00D84B1B" w:rsidRPr="003363F3" w:rsidRDefault="00D84B1B" w:rsidP="005952C0">
      <w:pPr>
        <w:pStyle w:val="Text"/>
        <w:ind w:firstLine="0"/>
        <w:rPr>
          <w:i/>
          <w:lang w:val="en-GB"/>
        </w:rPr>
      </w:pPr>
      <w:r w:rsidRPr="003363F3">
        <w:rPr>
          <w:i/>
          <w:lang w:val="en-GB"/>
        </w:rPr>
        <w:t xml:space="preserve">3.4.2 Intervention </w:t>
      </w:r>
    </w:p>
    <w:p w14:paraId="2328ED7F" w14:textId="126FFC7F" w:rsidR="00D84B1B" w:rsidRPr="005952C0" w:rsidRDefault="00D84B1B" w:rsidP="005952C0">
      <w:pPr>
        <w:pStyle w:val="Text"/>
        <w:ind w:firstLine="0"/>
        <w:rPr>
          <w:lang w:val="en-GB"/>
        </w:rPr>
      </w:pPr>
      <w:r w:rsidRPr="005952C0">
        <w:rPr>
          <w:lang w:val="en-GB"/>
        </w:rPr>
        <w:t xml:space="preserve">From </w:t>
      </w:r>
      <w:r w:rsidR="00E33EC9">
        <w:rPr>
          <w:lang w:val="en-GB"/>
        </w:rPr>
        <w:t xml:space="preserve">7 </w:t>
      </w:r>
      <w:r w:rsidRPr="005952C0">
        <w:rPr>
          <w:lang w:val="en-GB"/>
        </w:rPr>
        <w:t xml:space="preserve">January </w:t>
      </w:r>
      <w:r w:rsidR="00E33EC9" w:rsidRPr="005952C0">
        <w:rPr>
          <w:lang w:val="en-GB"/>
        </w:rPr>
        <w:t>201</w:t>
      </w:r>
      <w:r w:rsidR="00E33EC9">
        <w:rPr>
          <w:lang w:val="en-GB"/>
        </w:rPr>
        <w:t>4</w:t>
      </w:r>
      <w:r w:rsidR="00E33EC9" w:rsidRPr="005952C0">
        <w:rPr>
          <w:lang w:val="en-GB"/>
        </w:rPr>
        <w:t xml:space="preserve"> </w:t>
      </w:r>
      <w:r w:rsidRPr="005952C0">
        <w:rPr>
          <w:lang w:val="en-GB"/>
        </w:rPr>
        <w:t xml:space="preserve">onwards, the intervention group </w:t>
      </w:r>
      <w:r w:rsidR="00960698">
        <w:rPr>
          <w:lang w:val="en-GB"/>
        </w:rPr>
        <w:t>was</w:t>
      </w:r>
      <w:r w:rsidRPr="005952C0">
        <w:rPr>
          <w:lang w:val="en-GB"/>
        </w:rPr>
        <w:t xml:space="preserve"> granted access to MHOW. </w:t>
      </w:r>
      <w:r w:rsidR="00960698">
        <w:rPr>
          <w:lang w:val="en-GB"/>
        </w:rPr>
        <w:t>An</w:t>
      </w:r>
      <w:r w:rsidRPr="005952C0">
        <w:rPr>
          <w:lang w:val="en-GB"/>
        </w:rPr>
        <w:t xml:space="preserve"> information pack </w:t>
      </w:r>
      <w:r w:rsidR="00960698">
        <w:rPr>
          <w:lang w:val="en-GB"/>
        </w:rPr>
        <w:t xml:space="preserve">was mailed </w:t>
      </w:r>
      <w:r w:rsidRPr="005952C0">
        <w:rPr>
          <w:lang w:val="en-GB"/>
        </w:rPr>
        <w:t>contain</w:t>
      </w:r>
      <w:r w:rsidR="00FF25DE">
        <w:rPr>
          <w:lang w:val="en-GB"/>
        </w:rPr>
        <w:t>ing</w:t>
      </w:r>
      <w:r w:rsidRPr="005952C0">
        <w:rPr>
          <w:lang w:val="en-GB"/>
        </w:rPr>
        <w:t xml:space="preserve"> a letter, project information sheet</w:t>
      </w:r>
      <w:r w:rsidR="00960698">
        <w:rPr>
          <w:lang w:val="en-GB"/>
        </w:rPr>
        <w:t xml:space="preserve">, </w:t>
      </w:r>
      <w:r w:rsidRPr="005952C0">
        <w:rPr>
          <w:lang w:val="en-GB"/>
        </w:rPr>
        <w:t>a fold-out brochure explaining the portal’s key features</w:t>
      </w:r>
      <w:r w:rsidR="00960698">
        <w:rPr>
          <w:lang w:val="en-GB"/>
        </w:rPr>
        <w:t>, and a</w:t>
      </w:r>
      <w:r w:rsidRPr="005952C0">
        <w:rPr>
          <w:lang w:val="en-GB"/>
        </w:rPr>
        <w:t xml:space="preserve"> magnetic postcard as a handy reference to the customer’s unique login details. The username was printed on a sticker affixed to the postcard</w:t>
      </w:r>
      <w:r w:rsidR="00960698">
        <w:rPr>
          <w:lang w:val="en-GB"/>
        </w:rPr>
        <w:t xml:space="preserve">. However, </w:t>
      </w:r>
      <w:r w:rsidRPr="005952C0">
        <w:rPr>
          <w:lang w:val="en-GB"/>
        </w:rPr>
        <w:t xml:space="preserve">the password sticker was sent via separate mail to improve customer security.  </w:t>
      </w:r>
    </w:p>
    <w:p w14:paraId="742BECBD" w14:textId="6D365493" w:rsidR="00D84B1B" w:rsidRPr="005952C0" w:rsidRDefault="00D84B1B" w:rsidP="005952C0">
      <w:pPr>
        <w:pStyle w:val="Text"/>
        <w:ind w:firstLine="0"/>
        <w:rPr>
          <w:lang w:val="en-GB"/>
        </w:rPr>
      </w:pPr>
      <w:r w:rsidRPr="005952C0">
        <w:rPr>
          <w:lang w:val="en-GB"/>
        </w:rPr>
        <w:lastRenderedPageBreak/>
        <w:t>Some communication issues were experienced initially with some loggers failing to transmit and a consequent unavailability of new data for householders to view via MHOW. Therefore login reminders were put on hold until these issues were rectified. After logger issues were resolved, either via replacements or switching to the 3G network, postcard reminders were delivered to all intervention group households in September 2014 to encourage logon</w:t>
      </w:r>
      <w:r w:rsidR="00960698">
        <w:rPr>
          <w:lang w:val="en-GB"/>
        </w:rPr>
        <w:t>s</w:t>
      </w:r>
      <w:r w:rsidRPr="005952C0">
        <w:rPr>
          <w:lang w:val="en-GB"/>
        </w:rPr>
        <w:t xml:space="preserve"> to the portal. Finally, an email reminder was sent in October </w:t>
      </w:r>
      <w:r w:rsidR="00E33EC9" w:rsidRPr="005952C0">
        <w:rPr>
          <w:lang w:val="en-GB"/>
        </w:rPr>
        <w:t>201</w:t>
      </w:r>
      <w:r w:rsidR="00E33EC9">
        <w:rPr>
          <w:lang w:val="en-GB"/>
        </w:rPr>
        <w:t>4</w:t>
      </w:r>
      <w:r w:rsidR="00E33EC9" w:rsidRPr="005952C0">
        <w:rPr>
          <w:lang w:val="en-GB"/>
        </w:rPr>
        <w:t xml:space="preserve"> </w:t>
      </w:r>
      <w:r w:rsidRPr="005952C0">
        <w:rPr>
          <w:lang w:val="en-GB"/>
        </w:rPr>
        <w:t xml:space="preserve">to 51 out of the 60 households for which an email address had been provided. </w:t>
      </w:r>
    </w:p>
    <w:p w14:paraId="5425F310" w14:textId="77777777" w:rsidR="00D84B1B" w:rsidRPr="003363F3" w:rsidRDefault="00D84B1B" w:rsidP="005952C0">
      <w:pPr>
        <w:pStyle w:val="Text"/>
        <w:ind w:firstLine="0"/>
        <w:rPr>
          <w:b/>
          <w:i/>
          <w:lang w:val="en-GB"/>
        </w:rPr>
      </w:pPr>
      <w:r w:rsidRPr="003363F3">
        <w:rPr>
          <w:b/>
          <w:i/>
          <w:lang w:val="en-GB"/>
        </w:rPr>
        <w:t xml:space="preserve">3.5 Data collection </w:t>
      </w:r>
    </w:p>
    <w:p w14:paraId="4EEA95F0" w14:textId="653BC854" w:rsidR="00D84B1B" w:rsidRPr="005952C0" w:rsidRDefault="00D84B1B" w:rsidP="005952C0">
      <w:pPr>
        <w:pStyle w:val="Text"/>
        <w:ind w:firstLine="0"/>
        <w:rPr>
          <w:lang w:val="en-GB"/>
        </w:rPr>
      </w:pPr>
      <w:r w:rsidRPr="005952C0">
        <w:rPr>
          <w:lang w:val="en-GB"/>
        </w:rPr>
        <w:t>Data collection followed a mixed methods approach involving both quantitative and qualitative data. Consumption data was collected via the smart water meters throughout the trial. Initially loggers were set to log usage at 1 minute intervals, however, during the trial a few were adjusted to 5 minute intervals to preserve battery life and increase the reliability of daily data transmission. Quarterly billing data was also collected</w:t>
      </w:r>
      <w:r w:rsidR="00352FAE">
        <w:rPr>
          <w:lang w:val="en-GB"/>
        </w:rPr>
        <w:t xml:space="preserve"> using conventional meters</w:t>
      </w:r>
      <w:r w:rsidRPr="005952C0">
        <w:rPr>
          <w:lang w:val="en-GB"/>
        </w:rPr>
        <w:t xml:space="preserve">, as per MCW’s regular billing cycles. </w:t>
      </w:r>
    </w:p>
    <w:p w14:paraId="1886EBF6" w14:textId="58576D55" w:rsidR="00D84B1B" w:rsidRPr="005952C0" w:rsidRDefault="00D84B1B" w:rsidP="005952C0">
      <w:pPr>
        <w:pStyle w:val="Text"/>
        <w:ind w:firstLine="0"/>
        <w:rPr>
          <w:lang w:val="en-GB"/>
        </w:rPr>
      </w:pPr>
      <w:r w:rsidRPr="005952C0">
        <w:rPr>
          <w:lang w:val="en-GB"/>
        </w:rPr>
        <w:t>Householders were requested to complete a paper</w:t>
      </w:r>
      <w:r w:rsidR="004E5870">
        <w:rPr>
          <w:lang w:val="en-GB"/>
        </w:rPr>
        <w:t>-</w:t>
      </w:r>
      <w:r w:rsidRPr="005952C0">
        <w:rPr>
          <w:lang w:val="en-GB"/>
        </w:rPr>
        <w:t>based baseline survey in November/December 2012</w:t>
      </w:r>
      <w:r w:rsidR="00960698">
        <w:rPr>
          <w:lang w:val="en-GB"/>
        </w:rPr>
        <w:t>. N</w:t>
      </w:r>
      <w:r w:rsidRPr="005952C0">
        <w:rPr>
          <w:lang w:val="en-GB"/>
        </w:rPr>
        <w:t>on-respondents</w:t>
      </w:r>
      <w:r w:rsidR="00960698">
        <w:rPr>
          <w:lang w:val="en-GB"/>
        </w:rPr>
        <w:t xml:space="preserve"> were followed up on</w:t>
      </w:r>
      <w:r w:rsidRPr="005952C0">
        <w:rPr>
          <w:lang w:val="en-GB"/>
        </w:rPr>
        <w:t xml:space="preserve"> in January 2013. The survey collected information on the households’ water appliance stock, water-related practices, attitudes towards conservation and new technologies, information preferences and demographics. To encourage participation, a $50 AUD incentive was offered to </w:t>
      </w:r>
      <w:r w:rsidR="00960698">
        <w:rPr>
          <w:lang w:val="en-GB"/>
        </w:rPr>
        <w:t>respondents</w:t>
      </w:r>
      <w:r w:rsidRPr="005952C0">
        <w:rPr>
          <w:lang w:val="en-GB"/>
        </w:rPr>
        <w:t xml:space="preserve">. </w:t>
      </w:r>
    </w:p>
    <w:p w14:paraId="0B16F2B2" w14:textId="14F9BD4B" w:rsidR="00D84B1B" w:rsidRPr="005952C0" w:rsidRDefault="00D84B1B" w:rsidP="005952C0">
      <w:pPr>
        <w:pStyle w:val="Text"/>
        <w:ind w:firstLine="0"/>
        <w:rPr>
          <w:lang w:val="en-GB"/>
        </w:rPr>
      </w:pPr>
      <w:r w:rsidRPr="005952C0">
        <w:rPr>
          <w:lang w:val="en-GB"/>
        </w:rPr>
        <w:t>A short online survey was additionally administered to portal users using a series of web light-boxes for completion at first login</w:t>
      </w:r>
      <w:r w:rsidR="00960698">
        <w:rPr>
          <w:lang w:val="en-GB"/>
        </w:rPr>
        <w:t xml:space="preserve"> and </w:t>
      </w:r>
      <w:r w:rsidRPr="005952C0">
        <w:rPr>
          <w:lang w:val="en-GB"/>
        </w:rPr>
        <w:t>immediately prior to access to household consumption information</w:t>
      </w:r>
      <w:r w:rsidR="00960698">
        <w:rPr>
          <w:lang w:val="en-GB"/>
        </w:rPr>
        <w:t>. This survey</w:t>
      </w:r>
      <w:r w:rsidRPr="005952C0">
        <w:rPr>
          <w:lang w:val="en-GB"/>
        </w:rPr>
        <w:t xml:space="preserve"> captured householders’ water-use awareness and confidence in their awareness, interests, and intentions and perceptions of potential ability to save. Analysis of this data is presented in </w:t>
      </w:r>
      <w:r w:rsidRPr="00990E74">
        <w:rPr>
          <w:lang w:val="en-GB"/>
        </w:rPr>
        <w:t>Liu et al.</w:t>
      </w:r>
      <w:r w:rsidR="00B710EE" w:rsidRPr="00990E74">
        <w:rPr>
          <w:lang w:val="en-GB"/>
        </w:rPr>
        <w:t xml:space="preserve"> </w:t>
      </w:r>
      <w:r w:rsidR="0029187D">
        <w:rPr>
          <w:lang w:val="en-GB"/>
        </w:rPr>
        <w:t>(</w:t>
      </w:r>
      <w:r w:rsidRPr="00990E74">
        <w:rPr>
          <w:lang w:val="en-GB"/>
        </w:rPr>
        <w:t>2014</w:t>
      </w:r>
      <w:r w:rsidR="0029187D">
        <w:rPr>
          <w:lang w:val="en-GB"/>
        </w:rPr>
        <w:t>)</w:t>
      </w:r>
      <w:r w:rsidRPr="005952C0">
        <w:rPr>
          <w:lang w:val="en-GB"/>
        </w:rPr>
        <w:t xml:space="preserve">. Users </w:t>
      </w:r>
      <w:r w:rsidR="00960698">
        <w:rPr>
          <w:lang w:val="en-GB"/>
        </w:rPr>
        <w:t>could</w:t>
      </w:r>
      <w:r w:rsidRPr="005952C0">
        <w:rPr>
          <w:lang w:val="en-GB"/>
        </w:rPr>
        <w:t xml:space="preserve"> option</w:t>
      </w:r>
      <w:r w:rsidR="00960698">
        <w:rPr>
          <w:lang w:val="en-GB"/>
        </w:rPr>
        <w:t>ally</w:t>
      </w:r>
      <w:r w:rsidRPr="005952C0">
        <w:rPr>
          <w:lang w:val="en-GB"/>
        </w:rPr>
        <w:t xml:space="preserve"> register for various usage alerts and/or to set a monthly water budget (or return to these features at a later date). </w:t>
      </w:r>
    </w:p>
    <w:p w14:paraId="0A693E3B" w14:textId="3A1A89F5" w:rsidR="00D84B1B" w:rsidRPr="005952C0" w:rsidRDefault="00D84B1B" w:rsidP="005952C0">
      <w:pPr>
        <w:pStyle w:val="Text"/>
        <w:ind w:firstLine="0"/>
        <w:rPr>
          <w:lang w:val="en-GB"/>
        </w:rPr>
      </w:pPr>
      <w:r w:rsidRPr="005952C0">
        <w:rPr>
          <w:lang w:val="en-GB"/>
        </w:rPr>
        <w:t>User cha</w:t>
      </w:r>
      <w:r w:rsidR="00990E74">
        <w:rPr>
          <w:lang w:val="en-GB"/>
        </w:rPr>
        <w:t>nge logs and Google Analytics</w:t>
      </w:r>
      <w:r w:rsidR="00990E74" w:rsidRPr="005952C0">
        <w:rPr>
          <w:lang w:val="en-GB"/>
        </w:rPr>
        <w:t>™</w:t>
      </w:r>
      <w:r w:rsidRPr="005952C0">
        <w:rPr>
          <w:lang w:val="en-GB"/>
        </w:rPr>
        <w:t xml:space="preserve"> were set up to collect data on householder interactions with</w:t>
      </w:r>
      <w:r w:rsidR="00990E74">
        <w:rPr>
          <w:lang w:val="en-GB"/>
        </w:rPr>
        <w:t xml:space="preserve"> the portal. Google Analytics</w:t>
      </w:r>
      <w:r w:rsidR="00990E74" w:rsidRPr="005952C0">
        <w:rPr>
          <w:lang w:val="en-GB"/>
        </w:rPr>
        <w:t>™</w:t>
      </w:r>
      <w:r w:rsidRPr="005952C0">
        <w:rPr>
          <w:lang w:val="en-GB"/>
        </w:rPr>
        <w:t xml:space="preserve"> was used to track portal logins, page views and time spent within the portal. The user change logs recorded responses to the first login survey </w:t>
      </w:r>
      <w:r w:rsidR="006F20C1">
        <w:rPr>
          <w:lang w:val="en-GB"/>
        </w:rPr>
        <w:t xml:space="preserve">and </w:t>
      </w:r>
      <w:r w:rsidRPr="005952C0">
        <w:rPr>
          <w:lang w:val="en-GB"/>
        </w:rPr>
        <w:t xml:space="preserve">registrations for the various alerts, pledges, and profile settings. </w:t>
      </w:r>
    </w:p>
    <w:p w14:paraId="2D688E66" w14:textId="272B4BE1" w:rsidR="00D84B1B" w:rsidRPr="005952C0" w:rsidRDefault="00D84B1B" w:rsidP="005952C0">
      <w:pPr>
        <w:pStyle w:val="Text"/>
        <w:ind w:firstLine="0"/>
        <w:rPr>
          <w:lang w:val="en-GB"/>
        </w:rPr>
      </w:pPr>
      <w:r w:rsidRPr="005952C0">
        <w:rPr>
          <w:lang w:val="en-GB"/>
        </w:rPr>
        <w:t>This paper focuses on the impacts of the portal in terms of portal usage using the change logs and Google Analytics</w:t>
      </w:r>
      <w:r w:rsidR="00990E74" w:rsidRPr="005952C0">
        <w:rPr>
          <w:lang w:val="en-GB"/>
        </w:rPr>
        <w:t>™</w:t>
      </w:r>
      <w:r w:rsidRPr="005952C0">
        <w:rPr>
          <w:lang w:val="en-GB"/>
        </w:rPr>
        <w:t xml:space="preserve"> data; and the quantitative impacts on consumption by </w:t>
      </w:r>
      <w:r w:rsidR="005952C0" w:rsidRPr="005952C0">
        <w:rPr>
          <w:lang w:val="en-GB"/>
        </w:rPr>
        <w:t>analysing</w:t>
      </w:r>
      <w:r w:rsidRPr="005952C0">
        <w:rPr>
          <w:lang w:val="en-GB"/>
        </w:rPr>
        <w:t xml:space="preserve"> the smart meter data in conjunction with the portal login data.</w:t>
      </w:r>
    </w:p>
    <w:p w14:paraId="6EB77176" w14:textId="15E4594F" w:rsidR="002F3B11" w:rsidRPr="005952C0" w:rsidRDefault="002F3B11" w:rsidP="00C81368">
      <w:pPr>
        <w:pStyle w:val="Heading-Main"/>
        <w:rPr>
          <w:lang w:val="en-GB"/>
        </w:rPr>
      </w:pPr>
      <w:r w:rsidRPr="005952C0">
        <w:rPr>
          <w:lang w:val="en-GB"/>
        </w:rPr>
        <w:t>4</w:t>
      </w:r>
      <w:r w:rsidR="003363F3">
        <w:rPr>
          <w:lang w:val="en-GB"/>
        </w:rPr>
        <w:t>.</w:t>
      </w:r>
      <w:r w:rsidRPr="005952C0">
        <w:rPr>
          <w:lang w:val="en-GB"/>
        </w:rPr>
        <w:t xml:space="preserve"> Results</w:t>
      </w:r>
    </w:p>
    <w:p w14:paraId="574A44CE" w14:textId="77777777" w:rsidR="00D84B1B" w:rsidRPr="003363F3" w:rsidRDefault="00D84B1B" w:rsidP="005952C0">
      <w:pPr>
        <w:pStyle w:val="Text"/>
        <w:ind w:firstLine="0"/>
        <w:rPr>
          <w:b/>
          <w:i/>
          <w:lang w:val="en-GB"/>
        </w:rPr>
      </w:pPr>
      <w:r w:rsidRPr="003363F3">
        <w:rPr>
          <w:b/>
          <w:i/>
          <w:lang w:val="en-GB"/>
        </w:rPr>
        <w:t xml:space="preserve">4.1 MHOW portal usage </w:t>
      </w:r>
    </w:p>
    <w:p w14:paraId="13B059EF" w14:textId="3D951264" w:rsidR="00D84B1B" w:rsidRPr="005952C0" w:rsidRDefault="00D84B1B" w:rsidP="005952C0">
      <w:pPr>
        <w:pStyle w:val="Text"/>
        <w:ind w:firstLine="0"/>
        <w:rPr>
          <w:lang w:val="en-GB"/>
        </w:rPr>
      </w:pPr>
      <w:r w:rsidRPr="005952C0">
        <w:rPr>
          <w:lang w:val="en-GB"/>
        </w:rPr>
        <w:t xml:space="preserve">Portal usage data </w:t>
      </w:r>
      <w:r w:rsidR="005952C0" w:rsidRPr="005952C0">
        <w:rPr>
          <w:lang w:val="en-GB"/>
        </w:rPr>
        <w:t>signalled</w:t>
      </w:r>
      <w:r w:rsidRPr="005952C0">
        <w:rPr>
          <w:lang w:val="en-GB"/>
        </w:rPr>
        <w:t xml:space="preserve"> a first key challenge was getting householders to take the initial step of actually logging on to MHOW for a first time. Out of the 60 intervention group households, 20 attempted to log on; and only 17 (28%) actually proceeded to view t</w:t>
      </w:r>
      <w:r w:rsidR="00B539A2" w:rsidRPr="005952C0">
        <w:rPr>
          <w:lang w:val="en-GB"/>
        </w:rPr>
        <w:t>heir water</w:t>
      </w:r>
      <w:r w:rsidR="00216CF3">
        <w:rPr>
          <w:lang w:val="en-GB"/>
        </w:rPr>
        <w:t>-</w:t>
      </w:r>
      <w:r w:rsidR="00B539A2" w:rsidRPr="005952C0">
        <w:rPr>
          <w:lang w:val="en-GB"/>
        </w:rPr>
        <w:t>use dat</w:t>
      </w:r>
      <w:r w:rsidR="00F14AA4" w:rsidRPr="005952C0">
        <w:rPr>
          <w:lang w:val="en-GB"/>
        </w:rPr>
        <w:t>a.</w:t>
      </w:r>
      <w:r w:rsidR="00216CF3">
        <w:rPr>
          <w:rStyle w:val="FootnoteReference"/>
          <w:lang w:val="en-GB"/>
        </w:rPr>
        <w:footnoteReference w:id="3"/>
      </w:r>
      <w:r w:rsidR="00F14AA4" w:rsidRPr="005952C0">
        <w:rPr>
          <w:lang w:val="en-GB"/>
        </w:rPr>
        <w:t xml:space="preserve"> </w:t>
      </w:r>
      <w:r w:rsidR="002D24D2">
        <w:rPr>
          <w:lang w:val="en-GB"/>
        </w:rPr>
        <w:t>Site r</w:t>
      </w:r>
      <w:r w:rsidRPr="005952C0">
        <w:rPr>
          <w:lang w:val="en-GB"/>
        </w:rPr>
        <w:t>evisits proved to be a further challenge</w:t>
      </w:r>
      <w:r w:rsidR="00216CF3">
        <w:rPr>
          <w:lang w:val="en-GB"/>
        </w:rPr>
        <w:t>. H</w:t>
      </w:r>
      <w:r w:rsidRPr="005952C0">
        <w:rPr>
          <w:lang w:val="en-GB"/>
        </w:rPr>
        <w:t>alf of the user households only logged on once</w:t>
      </w:r>
      <w:r w:rsidR="00216CF3">
        <w:rPr>
          <w:lang w:val="en-GB"/>
        </w:rPr>
        <w:t>; o</w:t>
      </w:r>
      <w:r w:rsidRPr="005952C0">
        <w:rPr>
          <w:lang w:val="en-GB"/>
        </w:rPr>
        <w:t xml:space="preserve">ne quarter logged in just twice. </w:t>
      </w:r>
      <w:r w:rsidR="00216CF3">
        <w:rPr>
          <w:lang w:val="en-GB"/>
        </w:rPr>
        <w:t>However, a</w:t>
      </w:r>
      <w:r w:rsidRPr="005952C0">
        <w:rPr>
          <w:lang w:val="en-GB"/>
        </w:rPr>
        <w:t xml:space="preserve"> couple of households used the portal every few months; and a couple of </w:t>
      </w:r>
      <w:r w:rsidR="00352FAE">
        <w:rPr>
          <w:lang w:val="en-GB"/>
        </w:rPr>
        <w:t xml:space="preserve">other </w:t>
      </w:r>
      <w:r w:rsidRPr="005952C0">
        <w:rPr>
          <w:lang w:val="en-GB"/>
        </w:rPr>
        <w:t xml:space="preserve">users logged in relatively frequently (i.e. once or twice every few weeks). </w:t>
      </w:r>
    </w:p>
    <w:p w14:paraId="3D9A29A3" w14:textId="5DC1EF3A" w:rsidR="00D84B1B" w:rsidRPr="005952C0" w:rsidRDefault="006F20C1" w:rsidP="005952C0">
      <w:pPr>
        <w:pStyle w:val="Text"/>
        <w:ind w:firstLine="0"/>
        <w:rPr>
          <w:lang w:val="en-GB"/>
        </w:rPr>
      </w:pPr>
      <w:r>
        <w:rPr>
          <w:lang w:val="en-GB"/>
        </w:rPr>
        <w:lastRenderedPageBreak/>
        <w:t>The</w:t>
      </w:r>
      <w:r w:rsidR="00D84B1B" w:rsidRPr="005952C0">
        <w:rPr>
          <w:lang w:val="en-GB"/>
        </w:rPr>
        <w:t xml:space="preserve"> Google Analytics</w:t>
      </w:r>
      <w:r w:rsidR="00990E74" w:rsidRPr="005952C0">
        <w:rPr>
          <w:lang w:val="en-GB"/>
        </w:rPr>
        <w:t>™</w:t>
      </w:r>
      <w:r w:rsidR="00990E74">
        <w:rPr>
          <w:lang w:val="en-GB"/>
        </w:rPr>
        <w:t xml:space="preserve"> </w:t>
      </w:r>
      <w:r>
        <w:rPr>
          <w:lang w:val="en-GB"/>
        </w:rPr>
        <w:t xml:space="preserve">data </w:t>
      </w:r>
      <w:r w:rsidR="00D84B1B" w:rsidRPr="005952C0">
        <w:rPr>
          <w:lang w:val="en-GB"/>
        </w:rPr>
        <w:t>recorded where active users spent their time in the portal</w:t>
      </w:r>
      <w:r w:rsidR="002D24D2">
        <w:rPr>
          <w:lang w:val="en-GB"/>
        </w:rPr>
        <w:t xml:space="preserve">. During </w:t>
      </w:r>
      <w:r w:rsidR="00D84B1B" w:rsidRPr="005952C0">
        <w:rPr>
          <w:lang w:val="en-GB"/>
        </w:rPr>
        <w:t>the first year of access</w:t>
      </w:r>
      <w:r w:rsidR="002D24D2">
        <w:rPr>
          <w:lang w:val="en-GB"/>
        </w:rPr>
        <w:t xml:space="preserve">, </w:t>
      </w:r>
      <w:r w:rsidR="00D84B1B" w:rsidRPr="005952C0">
        <w:rPr>
          <w:lang w:val="en-GB"/>
        </w:rPr>
        <w:t xml:space="preserve">the dashboard was viewed most (103 times; 41%), followed by the ‘My Usage’ page (75 times; 30%) and ‘My Profile’ page (42 views; 17%). </w:t>
      </w:r>
      <w:r w:rsidR="002D24D2">
        <w:rPr>
          <w:lang w:val="en-GB"/>
        </w:rPr>
        <w:t>Regarding time spent</w:t>
      </w:r>
      <w:r w:rsidR="00D84B1B" w:rsidRPr="005952C0">
        <w:rPr>
          <w:lang w:val="en-GB"/>
        </w:rPr>
        <w:t xml:space="preserve"> on each page</w:t>
      </w:r>
      <w:r w:rsidR="002D24D2">
        <w:rPr>
          <w:lang w:val="en-GB"/>
        </w:rPr>
        <w:t>,</w:t>
      </w:r>
      <w:r w:rsidR="00D84B1B" w:rsidRPr="005952C0">
        <w:rPr>
          <w:lang w:val="en-GB"/>
        </w:rPr>
        <w:t xml:space="preserve"> ‘My Usage’ came top (1806 minutes; 59%), followed by the ‘Dashboard’ (626 minutes; 20%). Comparatively little time was spent on ‘Ways to Save’ or engaging with ‘My Pledges’</w:t>
      </w:r>
      <w:r w:rsidR="002D24D2">
        <w:rPr>
          <w:lang w:val="en-GB"/>
        </w:rPr>
        <w:t xml:space="preserve">. </w:t>
      </w:r>
    </w:p>
    <w:p w14:paraId="382C3465" w14:textId="304552F5" w:rsidR="00B539A2" w:rsidRPr="005952C0" w:rsidRDefault="00B539A2" w:rsidP="005952C0">
      <w:pPr>
        <w:pStyle w:val="Text"/>
        <w:ind w:firstLine="0"/>
        <w:rPr>
          <w:lang w:val="en-GB"/>
        </w:rPr>
      </w:pPr>
      <w:r w:rsidRPr="005952C0">
        <w:rPr>
          <w:lang w:val="en-GB"/>
        </w:rPr>
        <w:t>Water usage alerts were very popular</w:t>
      </w:r>
      <w:r w:rsidR="002D24D2">
        <w:rPr>
          <w:lang w:val="en-GB"/>
        </w:rPr>
        <w:t xml:space="preserve">, </w:t>
      </w:r>
      <w:r w:rsidRPr="005952C0">
        <w:rPr>
          <w:lang w:val="en-GB"/>
        </w:rPr>
        <w:t xml:space="preserve">with 15 out of 18 </w:t>
      </w:r>
      <w:r w:rsidR="007D218D">
        <w:rPr>
          <w:lang w:val="en-GB"/>
        </w:rPr>
        <w:t xml:space="preserve">user </w:t>
      </w:r>
      <w:r w:rsidRPr="005952C0">
        <w:rPr>
          <w:lang w:val="en-GB"/>
        </w:rPr>
        <w:t>households (83%) signing up for one or more kinds.</w:t>
      </w:r>
      <w:r w:rsidR="00216CF3">
        <w:rPr>
          <w:rStyle w:val="FootnoteReference"/>
          <w:lang w:val="en-GB"/>
        </w:rPr>
        <w:footnoteReference w:id="4"/>
      </w:r>
      <w:r w:rsidRPr="005952C0">
        <w:rPr>
          <w:lang w:val="en-GB"/>
        </w:rPr>
        <w:t xml:space="preserve"> Only three user households did not take advantage of the opportunity to </w:t>
      </w:r>
      <w:r w:rsidR="006F20C1">
        <w:rPr>
          <w:lang w:val="en-GB"/>
        </w:rPr>
        <w:t>receive</w:t>
      </w:r>
      <w:r w:rsidRPr="005952C0">
        <w:rPr>
          <w:lang w:val="en-GB"/>
        </w:rPr>
        <w:t xml:space="preserve"> alerts. Among the alert</w:t>
      </w:r>
      <w:r w:rsidR="006F20C1">
        <w:rPr>
          <w:lang w:val="en-GB"/>
        </w:rPr>
        <w:t>s</w:t>
      </w:r>
      <w:r w:rsidRPr="005952C0">
        <w:rPr>
          <w:lang w:val="en-GB"/>
        </w:rPr>
        <w:t xml:space="preserve"> options, portal users showed particularly strong interest in ‘leak alerts’ (78%). There was also significant interest in ‘water budget alerts’ (50%), which were activated once 80% of a household user’s self-determined budget for water was consumed. By contrast, there was relatively low interest in ‘neighbour alerts’ which were activated when a user’s consumption </w:t>
      </w:r>
      <w:r w:rsidR="00216CF3">
        <w:rPr>
          <w:lang w:val="en-GB"/>
        </w:rPr>
        <w:t>exceeded</w:t>
      </w:r>
      <w:r w:rsidRPr="005952C0">
        <w:rPr>
          <w:lang w:val="en-GB"/>
        </w:rPr>
        <w:t xml:space="preserve"> 80% of its neighbours (22%). </w:t>
      </w:r>
      <w:r w:rsidR="00216CF3">
        <w:rPr>
          <w:lang w:val="en-GB"/>
        </w:rPr>
        <w:t>Regarding</w:t>
      </w:r>
      <w:r w:rsidRPr="005952C0">
        <w:rPr>
          <w:lang w:val="en-GB"/>
        </w:rPr>
        <w:t xml:space="preserve"> communication medium</w:t>
      </w:r>
      <w:r w:rsidR="00216CF3">
        <w:rPr>
          <w:lang w:val="en-GB"/>
        </w:rPr>
        <w:t>s</w:t>
      </w:r>
      <w:r w:rsidRPr="005952C0">
        <w:rPr>
          <w:lang w:val="en-GB"/>
        </w:rPr>
        <w:t xml:space="preserve">, email alerts were generally preferred over SMS. A variety of sign-up patterns were also noted varying between mediums and alert types. For example, some users selected all three alert types for one communication mode; both email and SMS for the same type of alert; or only leak or budget alerts. </w:t>
      </w:r>
    </w:p>
    <w:p w14:paraId="12E2D4B2" w14:textId="6D226F02" w:rsidR="00B539A2" w:rsidRPr="005952C0" w:rsidRDefault="00B539A2" w:rsidP="005952C0">
      <w:pPr>
        <w:pStyle w:val="Text"/>
        <w:ind w:firstLine="0"/>
        <w:rPr>
          <w:lang w:val="en-GB"/>
        </w:rPr>
      </w:pPr>
      <w:r w:rsidRPr="005952C0">
        <w:rPr>
          <w:lang w:val="en-GB"/>
        </w:rPr>
        <w:t xml:space="preserve">Importantly, by registering for usage alerts, participant householders would remain alerted to high water usage even if they did not </w:t>
      </w:r>
      <w:r w:rsidR="007D218D">
        <w:rPr>
          <w:lang w:val="en-GB"/>
        </w:rPr>
        <w:t xml:space="preserve">continue to </w:t>
      </w:r>
      <w:r w:rsidRPr="005952C0">
        <w:rPr>
          <w:lang w:val="en-GB"/>
        </w:rPr>
        <w:t xml:space="preserve">use the portal regularly. Analysis of a three-month sample log of alerts showed nine users (50%) received </w:t>
      </w:r>
      <w:r w:rsidR="007D218D">
        <w:rPr>
          <w:lang w:val="en-GB"/>
        </w:rPr>
        <w:t xml:space="preserve">at least one </w:t>
      </w:r>
      <w:r w:rsidRPr="005952C0">
        <w:rPr>
          <w:lang w:val="en-GB"/>
        </w:rPr>
        <w:t xml:space="preserve">alert. </w:t>
      </w:r>
      <w:r w:rsidR="007D218D">
        <w:rPr>
          <w:lang w:val="en-GB"/>
        </w:rPr>
        <w:t>E</w:t>
      </w:r>
      <w:r w:rsidRPr="005952C0">
        <w:rPr>
          <w:lang w:val="en-GB"/>
        </w:rPr>
        <w:t>ight households received leak alerts (44%), four received budget alerts (22%), and two received neighbour alerts (11%). Some received multiple alert types almost simultaneously, demonstrat</w:t>
      </w:r>
      <w:r w:rsidR="007D218D">
        <w:rPr>
          <w:lang w:val="en-GB"/>
        </w:rPr>
        <w:t>ing</w:t>
      </w:r>
      <w:r w:rsidRPr="005952C0">
        <w:rPr>
          <w:lang w:val="en-GB"/>
        </w:rPr>
        <w:t xml:space="preserve"> the interrelationships between the alerts. That is, a leak can cause water use to exceed a user’s monthly budget and to activate the neighbour alert if use becomes relatively high.</w:t>
      </w:r>
    </w:p>
    <w:p w14:paraId="23066783" w14:textId="77777777" w:rsidR="00B539A2" w:rsidRPr="003363F3" w:rsidRDefault="00B539A2" w:rsidP="005952C0">
      <w:pPr>
        <w:pStyle w:val="Text"/>
        <w:ind w:firstLine="0"/>
        <w:rPr>
          <w:b/>
          <w:i/>
          <w:lang w:val="en-GB"/>
        </w:rPr>
      </w:pPr>
      <w:r w:rsidRPr="003363F3">
        <w:rPr>
          <w:b/>
          <w:i/>
          <w:lang w:val="en-GB"/>
        </w:rPr>
        <w:t xml:space="preserve">4.2 Smart meter data preparation and analysis </w:t>
      </w:r>
    </w:p>
    <w:p w14:paraId="1CD492DA" w14:textId="4C312C07" w:rsidR="00B539A2" w:rsidRPr="005952C0" w:rsidRDefault="00B539A2" w:rsidP="005952C0">
      <w:pPr>
        <w:pStyle w:val="Text"/>
        <w:ind w:firstLine="0"/>
        <w:rPr>
          <w:lang w:val="en-GB"/>
        </w:rPr>
      </w:pPr>
      <w:r w:rsidRPr="005952C0">
        <w:rPr>
          <w:lang w:val="en-GB"/>
        </w:rPr>
        <w:t xml:space="preserve">Smart meter data logged at either 1 or 5 minute time-steps for </w:t>
      </w:r>
      <w:r w:rsidR="00E33EC9">
        <w:rPr>
          <w:lang w:val="en-GB"/>
        </w:rPr>
        <w:t xml:space="preserve">7 </w:t>
      </w:r>
      <w:r w:rsidRPr="005952C0">
        <w:rPr>
          <w:lang w:val="en-GB"/>
        </w:rPr>
        <w:t xml:space="preserve">January 2013 to </w:t>
      </w:r>
      <w:r w:rsidR="00E33EC9">
        <w:rPr>
          <w:lang w:val="en-GB"/>
        </w:rPr>
        <w:t xml:space="preserve">7 </w:t>
      </w:r>
      <w:r w:rsidRPr="005952C0">
        <w:rPr>
          <w:lang w:val="en-GB"/>
        </w:rPr>
        <w:t xml:space="preserve">January 2015 was downloaded in bulk </w:t>
      </w:r>
      <w:r w:rsidR="00216CF3">
        <w:rPr>
          <w:lang w:val="en-GB"/>
        </w:rPr>
        <w:t>as</w:t>
      </w:r>
      <w:r w:rsidRPr="005952C0">
        <w:rPr>
          <w:lang w:val="en-GB"/>
        </w:rPr>
        <w:t xml:space="preserve"> csv files for analysis in R (3.1.2) and Python (2.7.6). The two years of data were then checked for consistency with quarterly billing data records collected via conventional water meters.</w:t>
      </w:r>
      <w:r w:rsidR="009948EA">
        <w:rPr>
          <w:lang w:val="en-GB"/>
        </w:rPr>
        <w:t xml:space="preserve"> </w:t>
      </w:r>
      <w:r w:rsidRPr="005952C0">
        <w:rPr>
          <w:lang w:val="en-GB"/>
        </w:rPr>
        <w:t xml:space="preserve">Raw consumption values were aggregated to 30 minute periods for more manageable analysis and cleaned to remove implausible values. Outliers were defined as either (i) days for which less than 80% of the 48 half hourly records existed; or (ii) days where consumption was greater than 3 standard deviations above the mean. This process of data checking produced a ‘cleaned’ smart water meter dataset. </w:t>
      </w:r>
      <w:r w:rsidR="00C354E5">
        <w:rPr>
          <w:lang w:val="en-GB"/>
        </w:rPr>
        <w:t>I</w:t>
      </w:r>
      <w:r w:rsidRPr="005952C0">
        <w:rPr>
          <w:lang w:val="en-GB"/>
        </w:rPr>
        <w:t>mportantly</w:t>
      </w:r>
      <w:r w:rsidR="00C354E5">
        <w:rPr>
          <w:lang w:val="en-GB"/>
        </w:rPr>
        <w:t>,</w:t>
      </w:r>
      <w:r w:rsidRPr="005952C0">
        <w:rPr>
          <w:lang w:val="en-GB"/>
        </w:rPr>
        <w:t xml:space="preserve"> the cleaned smart meter and billing data records generally </w:t>
      </w:r>
      <w:r w:rsidRPr="00821FB2">
        <w:rPr>
          <w:lang w:val="en-GB"/>
        </w:rPr>
        <w:t>aligned</w:t>
      </w:r>
      <w:r w:rsidR="00091B5E" w:rsidRPr="00821FB2">
        <w:rPr>
          <w:lang w:val="en-GB"/>
        </w:rPr>
        <w:t xml:space="preserve"> (see </w:t>
      </w:r>
      <w:r w:rsidR="00256DD8" w:rsidRPr="00821FB2">
        <w:rPr>
          <w:lang w:val="en-GB"/>
        </w:rPr>
        <w:t>Supplementary Material</w:t>
      </w:r>
      <w:r w:rsidR="00B640DC" w:rsidRPr="00A515CD">
        <w:rPr>
          <w:lang w:val="en-GB"/>
        </w:rPr>
        <w:t xml:space="preserve"> 3</w:t>
      </w:r>
      <w:r w:rsidR="00091B5E" w:rsidRPr="00821FB2">
        <w:rPr>
          <w:lang w:val="en-GB"/>
        </w:rPr>
        <w:t>)</w:t>
      </w:r>
      <w:r w:rsidR="00C354E5" w:rsidRPr="00821FB2">
        <w:rPr>
          <w:lang w:val="en-GB"/>
        </w:rPr>
        <w:t>.</w:t>
      </w:r>
      <w:r w:rsidR="00C354E5">
        <w:rPr>
          <w:lang w:val="en-GB"/>
        </w:rPr>
        <w:t xml:space="preserve"> </w:t>
      </w:r>
      <w:r w:rsidRPr="005952C0">
        <w:rPr>
          <w:lang w:val="en-GB"/>
        </w:rPr>
        <w:t>To estimate water</w:t>
      </w:r>
      <w:r w:rsidR="00BC1A62">
        <w:rPr>
          <w:lang w:val="en-GB"/>
        </w:rPr>
        <w:t>-</w:t>
      </w:r>
      <w:r w:rsidRPr="005952C0">
        <w:rPr>
          <w:lang w:val="en-GB"/>
        </w:rPr>
        <w:t xml:space="preserve">savings, quantitative analysis was performed on both the raw and cleaned smart water meter datasets. </w:t>
      </w:r>
      <w:r w:rsidR="00534F7C">
        <w:rPr>
          <w:lang w:val="en-GB"/>
        </w:rPr>
        <w:t>A</w:t>
      </w:r>
      <w:r w:rsidRPr="005952C0">
        <w:rPr>
          <w:lang w:val="en-GB"/>
        </w:rPr>
        <w:t>ll results on the raw data were insignificant</w:t>
      </w:r>
      <w:r w:rsidR="00C70BCE">
        <w:rPr>
          <w:lang w:val="en-GB"/>
        </w:rPr>
        <w:t>. T</w:t>
      </w:r>
      <w:r w:rsidRPr="005952C0">
        <w:rPr>
          <w:lang w:val="en-GB"/>
        </w:rPr>
        <w:t>herefore, all data presented are based on the cleaned smart meter data.</w:t>
      </w:r>
    </w:p>
    <w:p w14:paraId="22126D2B" w14:textId="7D2B5C9D" w:rsidR="00B539A2" w:rsidRPr="005952C0" w:rsidRDefault="00B539A2" w:rsidP="005952C0">
      <w:pPr>
        <w:pStyle w:val="Text"/>
        <w:ind w:firstLine="0"/>
        <w:rPr>
          <w:lang w:val="en-GB"/>
        </w:rPr>
      </w:pPr>
      <w:r w:rsidRPr="005952C0">
        <w:rPr>
          <w:lang w:val="en-GB"/>
        </w:rPr>
        <w:t xml:space="preserve">Descriptive statistics were performed to compare water consumption for </w:t>
      </w:r>
      <w:r w:rsidR="00E33EC9">
        <w:rPr>
          <w:lang w:val="en-GB"/>
        </w:rPr>
        <w:t xml:space="preserve">the </w:t>
      </w:r>
      <w:r w:rsidRPr="005952C0">
        <w:rPr>
          <w:lang w:val="en-GB"/>
        </w:rPr>
        <w:t>one year pre- and one year post</w:t>
      </w:r>
      <w:r w:rsidR="00E33EC9">
        <w:rPr>
          <w:lang w:val="en-GB"/>
        </w:rPr>
        <w:t>-</w:t>
      </w:r>
      <w:r w:rsidRPr="005952C0">
        <w:rPr>
          <w:lang w:val="en-GB"/>
        </w:rPr>
        <w:t>intervention between the intervention and control group</w:t>
      </w:r>
      <w:r w:rsidR="004E5870">
        <w:rPr>
          <w:lang w:val="en-GB"/>
        </w:rPr>
        <w:t>s</w:t>
      </w:r>
      <w:r w:rsidRPr="005952C0">
        <w:rPr>
          <w:lang w:val="en-GB"/>
        </w:rPr>
        <w:t xml:space="preserve">. As not all intervention group households used MHOW, a distinction was drawn between ‘active’ and ‘inactive’ participants, depending on whether or not individual households actually logged in and used the portal. A Welch’s t-test was used to test for the statistical significance of differences. Analysis of the overall intervention group was therefore complemented with separate comparisons for the </w:t>
      </w:r>
      <w:r w:rsidRPr="005952C0">
        <w:rPr>
          <w:lang w:val="en-GB"/>
        </w:rPr>
        <w:lastRenderedPageBreak/>
        <w:t xml:space="preserve">active and inactive intervention group participants with the overall control group. Ordinary Least Squares (OLS) regression analysis was subsequently performed to </w:t>
      </w:r>
      <w:r w:rsidR="005952C0">
        <w:rPr>
          <w:lang w:val="en-GB"/>
        </w:rPr>
        <w:t>analyse</w:t>
      </w:r>
      <w:r w:rsidRPr="005952C0">
        <w:rPr>
          <w:lang w:val="en-GB"/>
        </w:rPr>
        <w:t xml:space="preserve"> the impacts on daily household water consumption of logging on to MHOW. </w:t>
      </w:r>
    </w:p>
    <w:p w14:paraId="37F2D866" w14:textId="35BDC54B" w:rsidR="00B539A2" w:rsidRPr="003363F3" w:rsidRDefault="00B539A2" w:rsidP="005952C0">
      <w:pPr>
        <w:pStyle w:val="Text"/>
        <w:ind w:firstLine="0"/>
        <w:rPr>
          <w:b/>
          <w:i/>
          <w:lang w:val="en-GB"/>
        </w:rPr>
      </w:pPr>
      <w:r w:rsidRPr="003363F3">
        <w:rPr>
          <w:b/>
          <w:i/>
          <w:lang w:val="en-GB"/>
        </w:rPr>
        <w:t xml:space="preserve">4.3 Impacts over one year post-intervention  </w:t>
      </w:r>
    </w:p>
    <w:p w14:paraId="7A64895B" w14:textId="038CE59B" w:rsidR="00B539A2" w:rsidRPr="005952C0" w:rsidRDefault="00B539A2" w:rsidP="005952C0">
      <w:pPr>
        <w:pStyle w:val="Text"/>
        <w:ind w:firstLine="0"/>
        <w:rPr>
          <w:lang w:val="en-GB"/>
        </w:rPr>
      </w:pPr>
      <w:r w:rsidRPr="005952C0">
        <w:rPr>
          <w:lang w:val="en-GB"/>
        </w:rPr>
        <w:t xml:space="preserve">During the </w:t>
      </w:r>
      <w:r w:rsidR="00E33EC9">
        <w:rPr>
          <w:lang w:val="en-GB"/>
        </w:rPr>
        <w:t>pre-intervention</w:t>
      </w:r>
      <w:r w:rsidR="00E33EC9" w:rsidRPr="005952C0">
        <w:rPr>
          <w:lang w:val="en-GB"/>
        </w:rPr>
        <w:t xml:space="preserve"> </w:t>
      </w:r>
      <w:r w:rsidRPr="005952C0">
        <w:rPr>
          <w:lang w:val="en-GB"/>
        </w:rPr>
        <w:t>year</w:t>
      </w:r>
      <w:r w:rsidR="003B4F6D">
        <w:rPr>
          <w:lang w:val="en-GB"/>
        </w:rPr>
        <w:t xml:space="preserve"> (7 January 2013-6 January 2014)</w:t>
      </w:r>
      <w:r w:rsidRPr="005952C0">
        <w:rPr>
          <w:lang w:val="en-GB"/>
        </w:rPr>
        <w:t>,</w:t>
      </w:r>
      <w:r w:rsidR="00E33EC9">
        <w:rPr>
          <w:lang w:val="en-GB"/>
        </w:rPr>
        <w:t xml:space="preserve"> and excluding sample drop-outs,</w:t>
      </w:r>
      <w:r w:rsidR="003B4F6D">
        <w:rPr>
          <w:lang w:val="en-GB"/>
        </w:rPr>
        <w:t xml:space="preserve"> the smart meter data showed</w:t>
      </w:r>
      <w:r w:rsidRPr="005952C0">
        <w:rPr>
          <w:lang w:val="en-GB"/>
        </w:rPr>
        <w:t xml:space="preserve"> intervention group households consumed an average of 571.7 L/hh/d, while the control group consumed a slightly lower average of 548.1 L/hh/d. Compared to the pre-intervention year, water consumption had decreased in the intervention group by 41.9 L/hh/d (7.3%) to 529.8 L/hh/d. Consumption decreased less steeply in the control group by 17.8 L/hh/d (3.3%) to 530.3 L/hh/d. Therefore, the intervention group achieved a significant overall average saving of 24.1±13.6 L/hh/d (4.2%) relative to the control group. </w:t>
      </w:r>
    </w:p>
    <w:p w14:paraId="7DF6731F" w14:textId="0D7ABFFB" w:rsidR="00B539A2" w:rsidRPr="005952C0" w:rsidRDefault="00B539A2" w:rsidP="005952C0">
      <w:pPr>
        <w:pStyle w:val="Text"/>
        <w:ind w:firstLine="0"/>
        <w:rPr>
          <w:lang w:val="en-GB"/>
        </w:rPr>
      </w:pPr>
      <w:r w:rsidRPr="005952C0">
        <w:rPr>
          <w:lang w:val="en-GB"/>
        </w:rPr>
        <w:t xml:space="preserve">A Welch’s unequal variances t-test performed on the mean daily consumption data of each of the intervention and control group households divided into pre- and post-intervention periods of 365 days either side of the intervention date (7 January 2014) </w:t>
      </w:r>
      <w:r w:rsidR="00D347C5" w:rsidRPr="005952C0">
        <w:rPr>
          <w:lang w:val="en-GB"/>
        </w:rPr>
        <w:t>signalled</w:t>
      </w:r>
      <w:r w:rsidRPr="005952C0">
        <w:rPr>
          <w:lang w:val="en-GB"/>
        </w:rPr>
        <w:t xml:space="preserve"> these average daily savings were highly significant (Welch’s t = 3.47, df = 720, p = 0&lt;0.001). </w:t>
      </w:r>
    </w:p>
    <w:p w14:paraId="72AB7142" w14:textId="15A67623" w:rsidR="00B539A2" w:rsidRPr="005952C0" w:rsidRDefault="007011C4" w:rsidP="005952C0">
      <w:pPr>
        <w:pStyle w:val="Text"/>
        <w:ind w:firstLine="0"/>
        <w:rPr>
          <w:lang w:val="en-GB"/>
        </w:rPr>
      </w:pPr>
      <w:r>
        <w:rPr>
          <w:lang w:val="en-GB"/>
        </w:rPr>
        <w:t>T</w:t>
      </w:r>
      <w:r w:rsidR="00B539A2" w:rsidRPr="005952C0">
        <w:rPr>
          <w:lang w:val="en-GB"/>
        </w:rPr>
        <w:t xml:space="preserve">he user change log showed that 17 (28%) </w:t>
      </w:r>
      <w:r w:rsidRPr="005952C0">
        <w:rPr>
          <w:lang w:val="en-GB"/>
        </w:rPr>
        <w:t xml:space="preserve">of the 60 intervention group households </w:t>
      </w:r>
      <w:r w:rsidR="00B539A2" w:rsidRPr="005952C0">
        <w:rPr>
          <w:lang w:val="en-GB"/>
        </w:rPr>
        <w:t xml:space="preserve">appeared to have actually logged onto MHOW and accessed their consumption information on one or more occasions. Additional analysis on the resulting subgroups of active versus inactive participants and relative to the pre-intervention period showed absolute consumption savings among active participants (20.3±19.7 L/hh/d or 3.7%) were slightly lower than among inactive participants (25.7±14.6 L/hh/d or 4.4%). This suggested that the chosen period of comparison of an entire year post-intervention against one year pre-intervention was too long relative to the actual persistence of significant </w:t>
      </w:r>
      <w:r w:rsidR="00534F7C">
        <w:rPr>
          <w:lang w:val="en-GB"/>
        </w:rPr>
        <w:t xml:space="preserve">savings </w:t>
      </w:r>
      <w:r w:rsidR="00B539A2" w:rsidRPr="005952C0">
        <w:rPr>
          <w:lang w:val="en-GB"/>
        </w:rPr>
        <w:t xml:space="preserve">effects of logins. Therefore </w:t>
      </w:r>
      <w:r w:rsidR="00534F7C">
        <w:rPr>
          <w:lang w:val="en-GB"/>
        </w:rPr>
        <w:t>additional</w:t>
      </w:r>
      <w:r w:rsidR="00B539A2" w:rsidRPr="005952C0">
        <w:rPr>
          <w:lang w:val="en-GB"/>
        </w:rPr>
        <w:t xml:space="preserve"> regression analysis was required to explore the impacts of portal usage over time. </w:t>
      </w:r>
    </w:p>
    <w:p w14:paraId="3624DAB4" w14:textId="77777777" w:rsidR="00B539A2" w:rsidRPr="003363F3" w:rsidRDefault="00B539A2" w:rsidP="005952C0">
      <w:pPr>
        <w:pStyle w:val="Text"/>
        <w:ind w:firstLine="0"/>
        <w:rPr>
          <w:b/>
          <w:i/>
          <w:lang w:val="en-GB"/>
        </w:rPr>
      </w:pPr>
      <w:r w:rsidRPr="003363F3">
        <w:rPr>
          <w:b/>
          <w:i/>
          <w:lang w:val="en-GB"/>
        </w:rPr>
        <w:t>4.4 Regression analysis</w:t>
      </w:r>
    </w:p>
    <w:p w14:paraId="3EE6EA41" w14:textId="073690C5" w:rsidR="00B539A2" w:rsidRDefault="00B539A2" w:rsidP="005952C0">
      <w:pPr>
        <w:pStyle w:val="Text"/>
        <w:ind w:firstLine="0"/>
        <w:rPr>
          <w:lang w:val="en-GB"/>
        </w:rPr>
      </w:pPr>
      <w:r w:rsidRPr="005952C0">
        <w:rPr>
          <w:lang w:val="en-GB"/>
        </w:rPr>
        <w:t xml:space="preserve">This section presents the results of the OLS regression analyses used to estimate </w:t>
      </w:r>
      <w:r w:rsidR="00534F7C">
        <w:rPr>
          <w:lang w:val="en-GB"/>
        </w:rPr>
        <w:t xml:space="preserve">water-savings </w:t>
      </w:r>
      <w:r w:rsidRPr="005952C0">
        <w:rPr>
          <w:lang w:val="en-GB"/>
        </w:rPr>
        <w:t>relative to portal logins and the</w:t>
      </w:r>
      <w:r w:rsidR="00534F7C">
        <w:rPr>
          <w:lang w:val="en-GB"/>
        </w:rPr>
        <w:t>ir</w:t>
      </w:r>
      <w:r w:rsidRPr="005952C0">
        <w:rPr>
          <w:lang w:val="en-GB"/>
        </w:rPr>
        <w:t xml:space="preserve"> duration over time. The</w:t>
      </w:r>
      <w:r w:rsidR="00352FAE">
        <w:rPr>
          <w:lang w:val="en-GB"/>
        </w:rPr>
        <w:t>se</w:t>
      </w:r>
      <w:r w:rsidRPr="005952C0">
        <w:rPr>
          <w:lang w:val="en-GB"/>
        </w:rPr>
        <w:t xml:space="preserve"> analyses make use of all logins made by active household</w:t>
      </w:r>
      <w:r w:rsidR="00534F7C">
        <w:rPr>
          <w:lang w:val="en-GB"/>
        </w:rPr>
        <w:t>s</w:t>
      </w:r>
      <w:r w:rsidRPr="005952C0">
        <w:rPr>
          <w:lang w:val="en-GB"/>
        </w:rPr>
        <w:t>. A first set of regressions estimated the presence of savings among active participants relative to controls over time and explored their underlying functional structure. A second set of regressions estimated short</w:t>
      </w:r>
      <w:r w:rsidR="00BC1A62">
        <w:rPr>
          <w:lang w:val="en-GB"/>
        </w:rPr>
        <w:t>-</w:t>
      </w:r>
      <w:r w:rsidRPr="005952C0">
        <w:rPr>
          <w:lang w:val="en-GB"/>
        </w:rPr>
        <w:t xml:space="preserve"> and </w:t>
      </w:r>
      <w:r w:rsidR="00BC1A62">
        <w:rPr>
          <w:lang w:val="en-GB"/>
        </w:rPr>
        <w:t>long-term</w:t>
      </w:r>
      <w:r w:rsidRPr="005952C0">
        <w:rPr>
          <w:lang w:val="en-GB"/>
        </w:rPr>
        <w:t xml:space="preserve"> savings and the duration of these impacts relative to when households last logged in to MHOW. </w:t>
      </w:r>
    </w:p>
    <w:p w14:paraId="1A1B8D11" w14:textId="6350F2FE" w:rsidR="00E070A5" w:rsidRDefault="00534F7C" w:rsidP="00E070A5">
      <w:pPr>
        <w:pStyle w:val="Text"/>
        <w:ind w:firstLine="0"/>
        <w:rPr>
          <w:lang w:val="en-GB"/>
        </w:rPr>
      </w:pPr>
      <w:r>
        <w:rPr>
          <w:lang w:val="en-GB"/>
        </w:rPr>
        <w:t xml:space="preserve">Details of the regression analyses are provided in </w:t>
      </w:r>
      <w:r w:rsidRPr="00821FB2">
        <w:rPr>
          <w:lang w:val="en-GB"/>
        </w:rPr>
        <w:t>Supplementary Materials</w:t>
      </w:r>
      <w:r w:rsidR="00B640DC" w:rsidRPr="00821FB2">
        <w:rPr>
          <w:lang w:val="en-GB"/>
        </w:rPr>
        <w:t xml:space="preserve"> 4</w:t>
      </w:r>
      <w:r w:rsidR="00E070A5" w:rsidRPr="00821FB2">
        <w:rPr>
          <w:lang w:val="en-GB"/>
        </w:rPr>
        <w:t>. Table</w:t>
      </w:r>
      <w:r w:rsidR="005C6AA9">
        <w:rPr>
          <w:lang w:val="en-GB"/>
        </w:rPr>
        <w:t xml:space="preserve"> 1</w:t>
      </w:r>
      <w:r w:rsidR="00E070A5" w:rsidRPr="005952C0">
        <w:rPr>
          <w:lang w:val="en-GB"/>
        </w:rPr>
        <w:t xml:space="preserve"> shows this first set of regression results, which estimate water</w:t>
      </w:r>
      <w:r w:rsidR="00E070A5">
        <w:rPr>
          <w:lang w:val="en-GB"/>
        </w:rPr>
        <w:t>-</w:t>
      </w:r>
      <w:r w:rsidR="00E070A5" w:rsidRPr="005952C0">
        <w:rPr>
          <w:lang w:val="en-GB"/>
        </w:rPr>
        <w:t>savings of active participants relative to controls for ranges of days that incorporate when households last logged on. For example, active participant households that logged on to MHOW, saved an average of 54.1±37.9 L/hh/d relative to the control group, when their last login was between 0 and 14 days ago. Savings achieved by active users relative to controls continued to be statistically significant at the 95% confidence level for each period up to 42 days after logging in to MHOW, after which the difference in household water consumption generally became insignificant for subsequent ranges of time, and it is assumed that any significant savings or losses in the period after 70 days were caused by noise.</w:t>
      </w:r>
    </w:p>
    <w:p w14:paraId="713C11AB" w14:textId="77E9DB43" w:rsidR="00E070A5" w:rsidRPr="005952C0" w:rsidRDefault="00E070A5" w:rsidP="00E070A5">
      <w:pPr>
        <w:pStyle w:val="Text"/>
        <w:ind w:firstLine="0"/>
        <w:rPr>
          <w:lang w:val="en-GB"/>
        </w:rPr>
      </w:pPr>
      <w:r>
        <w:rPr>
          <w:lang w:val="en-GB"/>
        </w:rPr>
        <w:t xml:space="preserve">A second set of regression results </w:t>
      </w:r>
      <w:r w:rsidRPr="005952C0">
        <w:rPr>
          <w:lang w:val="en-GB"/>
        </w:rPr>
        <w:t>distinguish</w:t>
      </w:r>
      <w:r>
        <w:rPr>
          <w:lang w:val="en-GB"/>
        </w:rPr>
        <w:t>ed</w:t>
      </w:r>
      <w:r w:rsidRPr="005952C0">
        <w:rPr>
          <w:lang w:val="en-GB"/>
        </w:rPr>
        <w:t xml:space="preserve"> between short</w:t>
      </w:r>
      <w:r>
        <w:rPr>
          <w:lang w:val="en-GB"/>
        </w:rPr>
        <w:t>-</w:t>
      </w:r>
      <w:r w:rsidRPr="005952C0">
        <w:rPr>
          <w:lang w:val="en-GB"/>
        </w:rPr>
        <w:t xml:space="preserve"> and </w:t>
      </w:r>
      <w:r>
        <w:rPr>
          <w:lang w:val="en-GB"/>
        </w:rPr>
        <w:t>long-term</w:t>
      </w:r>
      <w:r w:rsidRPr="005952C0">
        <w:rPr>
          <w:lang w:val="en-GB"/>
        </w:rPr>
        <w:t xml:space="preserve"> impacts</w:t>
      </w:r>
      <w:r>
        <w:rPr>
          <w:lang w:val="en-GB"/>
        </w:rPr>
        <w:t xml:space="preserve">, estimating impacts </w:t>
      </w:r>
      <w:r w:rsidRPr="005952C0">
        <w:rPr>
          <w:lang w:val="en-GB"/>
        </w:rPr>
        <w:t>relative to when households last logged on</w:t>
      </w:r>
      <w:r>
        <w:rPr>
          <w:lang w:val="en-GB"/>
        </w:rPr>
        <w:t xml:space="preserve">. </w:t>
      </w:r>
      <w:r w:rsidRPr="005952C0">
        <w:rPr>
          <w:lang w:val="en-GB"/>
        </w:rPr>
        <w:t>Short</w:t>
      </w:r>
      <w:r>
        <w:rPr>
          <w:lang w:val="en-GB"/>
        </w:rPr>
        <w:t>-</w:t>
      </w:r>
      <w:r w:rsidRPr="005952C0">
        <w:rPr>
          <w:lang w:val="en-GB"/>
        </w:rPr>
        <w:t xml:space="preserve">term savings are estimated </w:t>
      </w:r>
      <w:r w:rsidRPr="005952C0">
        <w:rPr>
          <w:lang w:val="en-GB"/>
        </w:rPr>
        <w:lastRenderedPageBreak/>
        <w:t xml:space="preserve">by IntvDateDummy_Xshort, which measures relative daily household savings within X days of last logging on. </w:t>
      </w:r>
      <w:r>
        <w:rPr>
          <w:lang w:val="en-GB"/>
        </w:rPr>
        <w:t>Long-term</w:t>
      </w:r>
      <w:r w:rsidRPr="005952C0">
        <w:rPr>
          <w:lang w:val="en-GB"/>
        </w:rPr>
        <w:t xml:space="preserve"> savings are estimated by IntvDateDummy_Xlong, which measures additional savings lasting beyond X days. Based on the previous set of savings estimates over time a significant effect of logging onto MHOW last</w:t>
      </w:r>
      <w:r>
        <w:rPr>
          <w:lang w:val="en-GB"/>
        </w:rPr>
        <w:t>ed</w:t>
      </w:r>
      <w:r w:rsidRPr="005952C0">
        <w:rPr>
          <w:lang w:val="en-GB"/>
        </w:rPr>
        <w:t xml:space="preserve"> 42 days. </w:t>
      </w:r>
      <w:r>
        <w:rPr>
          <w:lang w:val="en-GB"/>
        </w:rPr>
        <w:t xml:space="preserve">Regression results for X = 42 estimate </w:t>
      </w:r>
      <w:r w:rsidRPr="005952C0">
        <w:rPr>
          <w:lang w:val="en-GB"/>
        </w:rPr>
        <w:t xml:space="preserve">average savings across the 42 day period of 63.1 ± 27.4 L/hh/d. The </w:t>
      </w:r>
      <w:r>
        <w:rPr>
          <w:lang w:val="en-GB"/>
        </w:rPr>
        <w:t>long-term</w:t>
      </w:r>
      <w:r w:rsidRPr="005952C0">
        <w:rPr>
          <w:lang w:val="en-GB"/>
        </w:rPr>
        <w:t xml:space="preserve"> savings parameter estimates for IntvDateDummy_Xlong were statistically insignificant. Th</w:t>
      </w:r>
      <w:r>
        <w:rPr>
          <w:lang w:val="en-GB"/>
        </w:rPr>
        <w:t xml:space="preserve">is </w:t>
      </w:r>
      <w:r w:rsidRPr="005952C0">
        <w:rPr>
          <w:lang w:val="en-GB"/>
        </w:rPr>
        <w:t>suggest</w:t>
      </w:r>
      <w:r>
        <w:rPr>
          <w:lang w:val="en-GB"/>
        </w:rPr>
        <w:t>s</w:t>
      </w:r>
      <w:r w:rsidRPr="005952C0">
        <w:rPr>
          <w:lang w:val="en-GB"/>
        </w:rPr>
        <w:t xml:space="preserve"> that (significant short</w:t>
      </w:r>
      <w:r>
        <w:rPr>
          <w:lang w:val="en-GB"/>
        </w:rPr>
        <w:t>-</w:t>
      </w:r>
      <w:r w:rsidRPr="005952C0">
        <w:rPr>
          <w:lang w:val="en-GB"/>
        </w:rPr>
        <w:t xml:space="preserve">term) consumption savings were approximately consistent for up to 42 days, after which savings underwent a step-change and became noise.    </w:t>
      </w:r>
    </w:p>
    <w:p w14:paraId="06BD3324" w14:textId="77777777" w:rsidR="00534F7C" w:rsidRDefault="00534F7C" w:rsidP="005952C0">
      <w:pPr>
        <w:pStyle w:val="Text"/>
        <w:ind w:firstLine="0"/>
        <w:rPr>
          <w:lang w:val="en-GB"/>
        </w:rPr>
      </w:pPr>
    </w:p>
    <w:p w14:paraId="69D87446" w14:textId="753FEE6C" w:rsidR="002F3B11" w:rsidRPr="005952C0" w:rsidRDefault="002F3B11" w:rsidP="00C81368">
      <w:pPr>
        <w:pStyle w:val="Heading-Main"/>
        <w:rPr>
          <w:lang w:val="en-GB"/>
        </w:rPr>
      </w:pPr>
      <w:r w:rsidRPr="005952C0">
        <w:rPr>
          <w:lang w:val="en-GB"/>
        </w:rPr>
        <w:t>5</w:t>
      </w:r>
      <w:r w:rsidR="003363F3">
        <w:rPr>
          <w:lang w:val="en-GB"/>
        </w:rPr>
        <w:t>.</w:t>
      </w:r>
      <w:r w:rsidRPr="005952C0">
        <w:rPr>
          <w:lang w:val="en-GB"/>
        </w:rPr>
        <w:t xml:space="preserve"> </w:t>
      </w:r>
      <w:r w:rsidR="000B6282" w:rsidRPr="005952C0">
        <w:rPr>
          <w:lang w:val="en-GB"/>
        </w:rPr>
        <w:t>Discussion and c</w:t>
      </w:r>
      <w:r w:rsidRPr="005952C0">
        <w:rPr>
          <w:lang w:val="en-GB"/>
        </w:rPr>
        <w:t>onclusions</w:t>
      </w:r>
    </w:p>
    <w:p w14:paraId="263577CE" w14:textId="77777777" w:rsidR="000B6282" w:rsidRPr="003363F3" w:rsidRDefault="000B6282" w:rsidP="005952C0">
      <w:pPr>
        <w:pStyle w:val="Text"/>
        <w:ind w:firstLine="0"/>
        <w:rPr>
          <w:b/>
          <w:i/>
          <w:lang w:val="en-GB"/>
        </w:rPr>
      </w:pPr>
      <w:r w:rsidRPr="003363F3">
        <w:rPr>
          <w:b/>
          <w:i/>
          <w:lang w:val="en-GB"/>
        </w:rPr>
        <w:t xml:space="preserve">5.1. Discussion and implications </w:t>
      </w:r>
    </w:p>
    <w:p w14:paraId="6C41F35F" w14:textId="7E9713ED" w:rsidR="000B6282" w:rsidRPr="005952C0" w:rsidRDefault="000B6282" w:rsidP="005952C0">
      <w:pPr>
        <w:pStyle w:val="Text"/>
        <w:ind w:firstLine="0"/>
        <w:rPr>
          <w:lang w:val="en-GB"/>
        </w:rPr>
      </w:pPr>
      <w:r w:rsidRPr="005952C0">
        <w:rPr>
          <w:lang w:val="en-GB"/>
        </w:rPr>
        <w:t>Th</w:t>
      </w:r>
      <w:r w:rsidR="007011C4">
        <w:rPr>
          <w:lang w:val="en-GB"/>
        </w:rPr>
        <w:t>is</w:t>
      </w:r>
      <w:r w:rsidRPr="005952C0">
        <w:rPr>
          <w:lang w:val="en-GB"/>
        </w:rPr>
        <w:t xml:space="preserve"> research </w:t>
      </w:r>
      <w:r w:rsidR="007011C4">
        <w:rPr>
          <w:lang w:val="en-GB"/>
        </w:rPr>
        <w:t>aimed</w:t>
      </w:r>
      <w:r w:rsidRPr="005952C0">
        <w:rPr>
          <w:lang w:val="en-GB"/>
        </w:rPr>
        <w:t xml:space="preserve"> to explore use of the MHOW </w:t>
      </w:r>
      <w:r w:rsidR="007011C4">
        <w:rPr>
          <w:lang w:val="en-GB"/>
        </w:rPr>
        <w:t xml:space="preserve">online household water-use feedback </w:t>
      </w:r>
      <w:r w:rsidRPr="005952C0">
        <w:rPr>
          <w:lang w:val="en-GB"/>
        </w:rPr>
        <w:t xml:space="preserve">portal, and </w:t>
      </w:r>
      <w:r w:rsidR="005952C0">
        <w:rPr>
          <w:lang w:val="en-GB"/>
        </w:rPr>
        <w:t>analyse</w:t>
      </w:r>
      <w:r w:rsidRPr="005952C0">
        <w:rPr>
          <w:lang w:val="en-GB"/>
        </w:rPr>
        <w:t xml:space="preserve"> the longer term quantitative impacts of provi</w:t>
      </w:r>
      <w:r w:rsidR="007011C4">
        <w:rPr>
          <w:lang w:val="en-GB"/>
        </w:rPr>
        <w:t>ding</w:t>
      </w:r>
      <w:r w:rsidRPr="005952C0">
        <w:rPr>
          <w:lang w:val="en-GB"/>
        </w:rPr>
        <w:t xml:space="preserve"> access, including how water-savings vary with portal logins over time.</w:t>
      </w:r>
    </w:p>
    <w:p w14:paraId="3922860A" w14:textId="12D7A03C" w:rsidR="000B6282" w:rsidRPr="005952C0" w:rsidRDefault="000B6282" w:rsidP="005952C0">
      <w:pPr>
        <w:pStyle w:val="Text"/>
        <w:ind w:firstLine="0"/>
        <w:rPr>
          <w:lang w:val="en-GB"/>
        </w:rPr>
      </w:pPr>
      <w:r w:rsidRPr="005952C0">
        <w:rPr>
          <w:lang w:val="en-GB"/>
        </w:rPr>
        <w:t xml:space="preserve">Results showed significant savings among the intervention group (with access to MHOW) relative to the control group, using data collected one year pre- and post-intervention. </w:t>
      </w:r>
      <w:r w:rsidR="007011C4">
        <w:rPr>
          <w:lang w:val="en-GB"/>
        </w:rPr>
        <w:t>Additional</w:t>
      </w:r>
      <w:r w:rsidRPr="005952C0">
        <w:rPr>
          <w:lang w:val="en-GB"/>
        </w:rPr>
        <w:t xml:space="preserve"> OLS regression</w:t>
      </w:r>
      <w:r w:rsidR="007011C4">
        <w:rPr>
          <w:lang w:val="en-GB"/>
        </w:rPr>
        <w:t xml:space="preserve"> result</w:t>
      </w:r>
      <w:r w:rsidRPr="005952C0">
        <w:rPr>
          <w:lang w:val="en-GB"/>
        </w:rPr>
        <w:t>s indicated that the magnitude of the</w:t>
      </w:r>
      <w:r w:rsidR="007011C4">
        <w:rPr>
          <w:lang w:val="en-GB"/>
        </w:rPr>
        <w:t>se</w:t>
      </w:r>
      <w:r w:rsidRPr="005952C0">
        <w:rPr>
          <w:lang w:val="en-GB"/>
        </w:rPr>
        <w:t xml:space="preserve"> savings varied significantly over time</w:t>
      </w:r>
      <w:r w:rsidR="007011C4">
        <w:rPr>
          <w:lang w:val="en-GB"/>
        </w:rPr>
        <w:t xml:space="preserve">, which </w:t>
      </w:r>
      <w:r w:rsidRPr="005952C0">
        <w:rPr>
          <w:lang w:val="en-GB"/>
        </w:rPr>
        <w:t>highlighted the importance of accounting for the actual engagement of householders with feedback interventions</w:t>
      </w:r>
      <w:r w:rsidR="007011C4">
        <w:rPr>
          <w:lang w:val="en-GB"/>
        </w:rPr>
        <w:t xml:space="preserve"> (i.e. </w:t>
      </w:r>
      <w:r w:rsidRPr="005952C0">
        <w:rPr>
          <w:lang w:val="en-GB"/>
        </w:rPr>
        <w:t>log</w:t>
      </w:r>
      <w:r w:rsidR="007011C4">
        <w:rPr>
          <w:lang w:val="en-GB"/>
        </w:rPr>
        <w:t xml:space="preserve">ins </w:t>
      </w:r>
      <w:r w:rsidRPr="005952C0">
        <w:rPr>
          <w:lang w:val="en-GB"/>
        </w:rPr>
        <w:t>to access</w:t>
      </w:r>
      <w:r w:rsidR="007011C4">
        <w:rPr>
          <w:lang w:val="en-GB"/>
        </w:rPr>
        <w:t xml:space="preserve"> </w:t>
      </w:r>
      <w:r w:rsidRPr="005952C0">
        <w:rPr>
          <w:lang w:val="en-GB"/>
        </w:rPr>
        <w:t>feedback</w:t>
      </w:r>
      <w:r w:rsidR="007011C4">
        <w:rPr>
          <w:lang w:val="en-GB"/>
        </w:rPr>
        <w:t>)</w:t>
      </w:r>
      <w:r w:rsidRPr="005952C0">
        <w:rPr>
          <w:lang w:val="en-GB"/>
        </w:rPr>
        <w:t xml:space="preserve">. </w:t>
      </w:r>
    </w:p>
    <w:p w14:paraId="7C7CF124" w14:textId="752AE906" w:rsidR="000B6282" w:rsidRPr="005952C0" w:rsidRDefault="000B6282" w:rsidP="005952C0">
      <w:pPr>
        <w:pStyle w:val="Text"/>
        <w:ind w:firstLine="0"/>
        <w:rPr>
          <w:lang w:val="en-GB"/>
        </w:rPr>
      </w:pPr>
      <w:r w:rsidRPr="005952C0">
        <w:rPr>
          <w:lang w:val="en-GB"/>
        </w:rPr>
        <w:t xml:space="preserve">Another important contribution </w:t>
      </w:r>
      <w:r w:rsidR="00807C30">
        <w:rPr>
          <w:lang w:val="en-GB"/>
        </w:rPr>
        <w:t xml:space="preserve">is </w:t>
      </w:r>
      <w:r w:rsidR="007011C4">
        <w:rPr>
          <w:lang w:val="en-GB"/>
        </w:rPr>
        <w:t>the</w:t>
      </w:r>
      <w:r w:rsidRPr="005952C0">
        <w:rPr>
          <w:lang w:val="en-GB"/>
        </w:rPr>
        <w:t xml:space="preserve"> elevation </w:t>
      </w:r>
      <w:r w:rsidR="00807C30">
        <w:rPr>
          <w:lang w:val="en-GB"/>
        </w:rPr>
        <w:t xml:space="preserve">to </w:t>
      </w:r>
      <w:r w:rsidRPr="005952C0">
        <w:rPr>
          <w:lang w:val="en-GB"/>
        </w:rPr>
        <w:t xml:space="preserve">discussion of evaluation methods </w:t>
      </w:r>
      <w:r w:rsidR="00807C30">
        <w:rPr>
          <w:lang w:val="en-GB"/>
        </w:rPr>
        <w:t xml:space="preserve">used to calculate </w:t>
      </w:r>
      <w:r w:rsidR="00352FAE">
        <w:rPr>
          <w:lang w:val="en-GB"/>
        </w:rPr>
        <w:t xml:space="preserve">the </w:t>
      </w:r>
      <w:r w:rsidRPr="005952C0">
        <w:rPr>
          <w:lang w:val="en-GB"/>
        </w:rPr>
        <w:t xml:space="preserve">savings impacts </w:t>
      </w:r>
      <w:r w:rsidR="00807C30">
        <w:rPr>
          <w:lang w:val="en-GB"/>
        </w:rPr>
        <w:t>of</w:t>
      </w:r>
      <w:r w:rsidR="00807C30" w:rsidRPr="005952C0">
        <w:rPr>
          <w:lang w:val="en-GB"/>
        </w:rPr>
        <w:t xml:space="preserve"> </w:t>
      </w:r>
      <w:r w:rsidRPr="005952C0">
        <w:rPr>
          <w:lang w:val="en-GB"/>
        </w:rPr>
        <w:t>feedback interventions. Generally greater caution needs to be exercised</w:t>
      </w:r>
      <w:r w:rsidR="00807C30">
        <w:rPr>
          <w:lang w:val="en-GB"/>
        </w:rPr>
        <w:t xml:space="preserve"> as t</w:t>
      </w:r>
      <w:r w:rsidRPr="005952C0">
        <w:rPr>
          <w:lang w:val="en-GB"/>
        </w:rPr>
        <w:t xml:space="preserve">his work demonstrated that comparing an entire intervention group against the entire control group can be simplistic, </w:t>
      </w:r>
      <w:r w:rsidR="00807C30">
        <w:rPr>
          <w:lang w:val="en-GB"/>
        </w:rPr>
        <w:t>because</w:t>
      </w:r>
      <w:r w:rsidR="00807C30" w:rsidRPr="005952C0">
        <w:rPr>
          <w:lang w:val="en-GB"/>
        </w:rPr>
        <w:t xml:space="preserve"> </w:t>
      </w:r>
      <w:r w:rsidRPr="005952C0">
        <w:rPr>
          <w:lang w:val="en-GB"/>
        </w:rPr>
        <w:t xml:space="preserve">not all intervention group households may actually experience the intervention (i.e. logon and access their consumption information). </w:t>
      </w:r>
      <w:r w:rsidR="00807C30">
        <w:rPr>
          <w:lang w:val="en-GB"/>
        </w:rPr>
        <w:t>Here, t</w:t>
      </w:r>
      <w:r w:rsidRPr="005952C0">
        <w:rPr>
          <w:lang w:val="en-GB"/>
        </w:rPr>
        <w:t>his paper took a</w:t>
      </w:r>
      <w:r w:rsidR="00807C30">
        <w:rPr>
          <w:lang w:val="en-GB"/>
        </w:rPr>
        <w:t>n important</w:t>
      </w:r>
      <w:r w:rsidRPr="005952C0">
        <w:rPr>
          <w:lang w:val="en-GB"/>
        </w:rPr>
        <w:t xml:space="preserve"> first step </w:t>
      </w:r>
      <w:r w:rsidR="00807C30">
        <w:rPr>
          <w:lang w:val="en-GB"/>
        </w:rPr>
        <w:t xml:space="preserve">by </w:t>
      </w:r>
      <w:r w:rsidRPr="005952C0">
        <w:rPr>
          <w:lang w:val="en-GB"/>
        </w:rPr>
        <w:t>mak</w:t>
      </w:r>
      <w:r w:rsidR="00807C30">
        <w:rPr>
          <w:lang w:val="en-GB"/>
        </w:rPr>
        <w:t>ing</w:t>
      </w:r>
      <w:r w:rsidRPr="005952C0">
        <w:rPr>
          <w:lang w:val="en-GB"/>
        </w:rPr>
        <w:t xml:space="preserve"> use of login data</w:t>
      </w:r>
      <w:r w:rsidR="00D806EA">
        <w:rPr>
          <w:lang w:val="en-GB"/>
        </w:rPr>
        <w:t>,</w:t>
      </w:r>
      <w:r w:rsidRPr="005952C0">
        <w:rPr>
          <w:lang w:val="en-GB"/>
        </w:rPr>
        <w:t xml:space="preserve"> capturing which households actually logged on and when</w:t>
      </w:r>
      <w:r w:rsidR="00D806EA">
        <w:rPr>
          <w:lang w:val="en-GB"/>
        </w:rPr>
        <w:t>,</w:t>
      </w:r>
      <w:r w:rsidR="00807C30">
        <w:rPr>
          <w:lang w:val="en-GB"/>
        </w:rPr>
        <w:t xml:space="preserve"> to assess impacts</w:t>
      </w:r>
      <w:r w:rsidRPr="005952C0">
        <w:rPr>
          <w:lang w:val="en-GB"/>
        </w:rPr>
        <w:t xml:space="preserve">. </w:t>
      </w:r>
    </w:p>
    <w:p w14:paraId="603BE52B" w14:textId="0171BA3B" w:rsidR="000B6282" w:rsidRPr="005952C0" w:rsidRDefault="000B6282" w:rsidP="005952C0">
      <w:pPr>
        <w:pStyle w:val="Text"/>
        <w:ind w:firstLine="0"/>
        <w:rPr>
          <w:lang w:val="en-GB"/>
        </w:rPr>
      </w:pPr>
      <w:r w:rsidRPr="005952C0">
        <w:rPr>
          <w:lang w:val="en-GB"/>
        </w:rPr>
        <w:t xml:space="preserve">Since the literature on household resource consumption feedback calls for more </w:t>
      </w:r>
      <w:r w:rsidR="00BC1A62">
        <w:rPr>
          <w:lang w:val="en-GB"/>
        </w:rPr>
        <w:t>long-term</w:t>
      </w:r>
      <w:r w:rsidRPr="005952C0">
        <w:rPr>
          <w:lang w:val="en-GB"/>
        </w:rPr>
        <w:t xml:space="preserve"> studies of impacts, another important contribution of the MHOW study lies in its collection and analysis of household water consumption data for one year pre- and one year post-intervention. The results showed that impacts varied significantly with time, and it could be inaccurate to simply extrapolate savings calculations based on very short intervention studies, as done </w:t>
      </w:r>
      <w:r w:rsidR="00D806EA">
        <w:rPr>
          <w:lang w:val="en-GB"/>
        </w:rPr>
        <w:t>elsewhere</w:t>
      </w:r>
      <w:r w:rsidRPr="005952C0">
        <w:rPr>
          <w:lang w:val="en-GB"/>
        </w:rPr>
        <w:t xml:space="preserve">. </w:t>
      </w:r>
    </w:p>
    <w:p w14:paraId="74D37C75" w14:textId="4F511472" w:rsidR="000B6282" w:rsidRPr="005952C0" w:rsidRDefault="000B6282" w:rsidP="005952C0">
      <w:pPr>
        <w:pStyle w:val="Text"/>
        <w:ind w:firstLine="0"/>
        <w:rPr>
          <w:lang w:val="en-GB"/>
        </w:rPr>
      </w:pPr>
      <w:r w:rsidRPr="005952C0">
        <w:rPr>
          <w:lang w:val="en-GB"/>
        </w:rPr>
        <w:t>Results indicated that access to MHOW reduced household water consumption significantly in the short</w:t>
      </w:r>
      <w:r w:rsidR="00BC1A62">
        <w:rPr>
          <w:lang w:val="en-GB"/>
        </w:rPr>
        <w:t>-</w:t>
      </w:r>
      <w:r w:rsidRPr="005952C0">
        <w:rPr>
          <w:lang w:val="en-GB"/>
        </w:rPr>
        <w:t>term, with significant effects lasting up to 42 days (</w:t>
      </w:r>
      <w:r w:rsidR="007F7F7D">
        <w:rPr>
          <w:lang w:val="en-GB"/>
        </w:rPr>
        <w:t>six</w:t>
      </w:r>
      <w:r w:rsidRPr="005952C0">
        <w:rPr>
          <w:lang w:val="en-GB"/>
        </w:rPr>
        <w:t xml:space="preserve"> weeks). </w:t>
      </w:r>
      <w:r w:rsidR="00925598" w:rsidRPr="005952C0">
        <w:rPr>
          <w:lang w:val="en-GB"/>
        </w:rPr>
        <w:t>However, s</w:t>
      </w:r>
      <w:r w:rsidRPr="005952C0">
        <w:rPr>
          <w:lang w:val="en-GB"/>
        </w:rPr>
        <w:t xml:space="preserve">ignificant </w:t>
      </w:r>
      <w:r w:rsidR="00BC1A62">
        <w:rPr>
          <w:lang w:val="en-GB"/>
        </w:rPr>
        <w:t>long-term</w:t>
      </w:r>
      <w:r w:rsidRPr="005952C0">
        <w:rPr>
          <w:lang w:val="en-GB"/>
        </w:rPr>
        <w:t xml:space="preserve"> effects of </w:t>
      </w:r>
      <w:r w:rsidR="00925598" w:rsidRPr="005952C0">
        <w:rPr>
          <w:lang w:val="en-GB"/>
        </w:rPr>
        <w:t xml:space="preserve">specific acts of </w:t>
      </w:r>
      <w:r w:rsidRPr="005952C0">
        <w:rPr>
          <w:lang w:val="en-GB"/>
        </w:rPr>
        <w:t>logging on to the portal were not detected. Rather, highly significant short</w:t>
      </w:r>
      <w:r w:rsidR="00BC1A62">
        <w:rPr>
          <w:lang w:val="en-GB"/>
        </w:rPr>
        <w:t>-</w:t>
      </w:r>
      <w:r w:rsidRPr="005952C0">
        <w:rPr>
          <w:lang w:val="en-GB"/>
        </w:rPr>
        <w:t xml:space="preserve">term effects led to the appearance of longer term significance (among the intervention group relative to the control group, though not between active and inactive participants), even when spread over one year. These results lend support to findings of rebound effects after paper-based water-use feedback interventions </w:t>
      </w:r>
      <w:r w:rsidRPr="00990E74">
        <w:rPr>
          <w:lang w:val="en-GB"/>
        </w:rPr>
        <w:t xml:space="preserve">ceased </w:t>
      </w:r>
      <w:r w:rsidR="0029187D">
        <w:rPr>
          <w:lang w:val="en-GB"/>
        </w:rPr>
        <w:t>(</w:t>
      </w:r>
      <w:r w:rsidR="00FB2BBF" w:rsidRPr="00990E74">
        <w:rPr>
          <w:lang w:val="en-GB"/>
        </w:rPr>
        <w:t>Fielding et al., 2013</w:t>
      </w:r>
      <w:r w:rsidR="0029187D">
        <w:rPr>
          <w:lang w:val="en-GB"/>
        </w:rPr>
        <w:t>)</w:t>
      </w:r>
      <w:r w:rsidR="00FB2BBF" w:rsidRPr="00990E74">
        <w:rPr>
          <w:lang w:val="en-GB"/>
        </w:rPr>
        <w:t>.</w:t>
      </w:r>
      <w:r w:rsidR="00FB2BBF" w:rsidRPr="005952C0">
        <w:rPr>
          <w:lang w:val="en-GB"/>
        </w:rPr>
        <w:t xml:space="preserve">  </w:t>
      </w:r>
    </w:p>
    <w:p w14:paraId="27E88990" w14:textId="748A2889" w:rsidR="00807C30" w:rsidRDefault="000B6282" w:rsidP="005952C0">
      <w:pPr>
        <w:pStyle w:val="Text"/>
        <w:ind w:firstLine="0"/>
        <w:rPr>
          <w:lang w:val="en-GB"/>
        </w:rPr>
      </w:pPr>
      <w:r w:rsidRPr="005952C0">
        <w:rPr>
          <w:lang w:val="en-GB"/>
        </w:rPr>
        <w:t>A key policy implication of these research results for urban water policy makers is that access to online household water-use feedback via smart water metering can be an effective means of reducing household water demand among active users, particularly in the short</w:t>
      </w:r>
      <w:r w:rsidR="00BC1A62">
        <w:rPr>
          <w:lang w:val="en-GB"/>
        </w:rPr>
        <w:t>-</w:t>
      </w:r>
      <w:r w:rsidRPr="005952C0">
        <w:rPr>
          <w:lang w:val="en-GB"/>
        </w:rPr>
        <w:t xml:space="preserve">term. </w:t>
      </w:r>
      <w:r w:rsidR="00807C30">
        <w:rPr>
          <w:lang w:val="en-GB"/>
        </w:rPr>
        <w:t xml:space="preserve">However, </w:t>
      </w:r>
      <w:r w:rsidR="00807C30" w:rsidRPr="005952C0">
        <w:rPr>
          <w:lang w:val="en-GB"/>
        </w:rPr>
        <w:lastRenderedPageBreak/>
        <w:t>to achieve greater impacts, policymakers will have to consider how to better engage household</w:t>
      </w:r>
      <w:r w:rsidR="00D806EA">
        <w:rPr>
          <w:lang w:val="en-GB"/>
        </w:rPr>
        <w:t>ers</w:t>
      </w:r>
      <w:r w:rsidR="00807C30">
        <w:rPr>
          <w:lang w:val="en-GB"/>
        </w:rPr>
        <w:t xml:space="preserve">, since only one-third </w:t>
      </w:r>
      <w:r w:rsidR="00D806EA">
        <w:rPr>
          <w:lang w:val="en-GB"/>
        </w:rPr>
        <w:t xml:space="preserve">used </w:t>
      </w:r>
      <w:r w:rsidR="00807C30">
        <w:rPr>
          <w:lang w:val="en-GB"/>
        </w:rPr>
        <w:t xml:space="preserve">MHOW, </w:t>
      </w:r>
      <w:r w:rsidRPr="005952C0">
        <w:rPr>
          <w:lang w:val="en-GB"/>
        </w:rPr>
        <w:t xml:space="preserve">which </w:t>
      </w:r>
      <w:r w:rsidR="00352FAE">
        <w:rPr>
          <w:lang w:val="en-GB"/>
        </w:rPr>
        <w:t xml:space="preserve">also </w:t>
      </w:r>
      <w:r w:rsidRPr="005952C0">
        <w:rPr>
          <w:lang w:val="en-GB"/>
        </w:rPr>
        <w:t>corroborates the US</w:t>
      </w:r>
      <w:r w:rsidR="00740AD1">
        <w:rPr>
          <w:lang w:val="en-GB"/>
        </w:rPr>
        <w:t>-</w:t>
      </w:r>
      <w:r w:rsidRPr="005952C0">
        <w:rPr>
          <w:lang w:val="en-GB"/>
        </w:rPr>
        <w:t>based finding</w:t>
      </w:r>
      <w:r w:rsidR="00D806EA">
        <w:rPr>
          <w:lang w:val="en-GB"/>
        </w:rPr>
        <w:t>s (</w:t>
      </w:r>
      <w:r w:rsidRPr="00990E74">
        <w:rPr>
          <w:lang w:val="en-GB"/>
        </w:rPr>
        <w:fldChar w:fldCharType="begin" w:fldLock="1"/>
      </w:r>
      <w:r w:rsidR="0029187D">
        <w:rPr>
          <w:lang w:val="en-GB"/>
        </w:rPr>
        <w:instrText>ADDIN CSL_CITATION { "citationItems" : [ { "id" : "ITEM-1", "itemData" : { "ISBN" : "9781450310154", "abstract" : "Association for Computing Machinery", "author" : [ { "dropping-particle" : "", "family" : "Erickson", "given" : "Thomas", "non-dropping-particle" : "", "parse-names" : false, "suffix" : "" }, { "dropping-particle" : "", "family" : "Podlaseck", "given" : "Mark E", "non-dropping-particle" : "", "parse-names" : false, "suffix" : "" }, { "dropping-particle" : "", "family" : "Sahu", "given" : "Sambit", "non-dropping-particle" : "", "parse-names" : false, "suffix" : "" }, { "dropping-particle" : "", "family" : "Dai", "given" : "Jing D", "non-dropping-particle" : "", "parse-names" : false, "suffix" : "" }, { "dropping-particle" : "", "family" : "Chao", "given" : "Tian", "non-dropping-particle" : "", "parse-names" : false, "suffix" : "" }, { "dropping-particle" : "", "family" : "Naphade", "given" : "Milind", "non-dropping-particle" : "", "parse-names" : false, "suffix" : "" } ], "container-title" : "CHI 2012, May 5-10, 2012, Austin Texas, USA.", "id" : "ITEM-1", "issued" : { "date-parts" : [ [ "2012" ] ] }, "page" : "675-684", "publisher" : "ACM", "title" : "The Dubuque Water Portal: evaluation of the uptake, use and impact of residential water consumption feedback", "type" : "paper-conference" }, "uris" : [ "http://www.mendeley.com/documents/?uuid=d123d9b9-92c4-4f19-be74-2a7376b1225e" ] } ], "mendeley" : { "formattedCitation" : "(Erickson et al., 2012)", "manualFormatting" : "Erickson et al. (2012)", "plainTextFormattedCitation" : "(Erickson et al., 2012)", "previouslyFormattedCitation" : "(Erickson et al., 2012)" }, "properties" : { "noteIndex" : 0 }, "schema" : "https://github.com/citation-style-language/schema/raw/master/csl-citation.json" }</w:instrText>
      </w:r>
      <w:r w:rsidRPr="00990E74">
        <w:rPr>
          <w:lang w:val="en-GB"/>
        </w:rPr>
        <w:fldChar w:fldCharType="separate"/>
      </w:r>
      <w:r w:rsidRPr="00990E74">
        <w:rPr>
          <w:noProof/>
          <w:lang w:val="en-GB"/>
        </w:rPr>
        <w:t>Erickson et al.</w:t>
      </w:r>
      <w:r w:rsidR="00D806EA">
        <w:rPr>
          <w:noProof/>
          <w:lang w:val="en-GB"/>
        </w:rPr>
        <w:t xml:space="preserve">, </w:t>
      </w:r>
      <w:r w:rsidRPr="00990E74">
        <w:rPr>
          <w:noProof/>
          <w:lang w:val="en-GB"/>
        </w:rPr>
        <w:t>2012</w:t>
      </w:r>
      <w:r w:rsidR="0029187D">
        <w:rPr>
          <w:noProof/>
          <w:lang w:val="en-GB"/>
        </w:rPr>
        <w:t>)</w:t>
      </w:r>
      <w:r w:rsidRPr="00990E74">
        <w:rPr>
          <w:lang w:val="en-GB"/>
        </w:rPr>
        <w:fldChar w:fldCharType="end"/>
      </w:r>
      <w:r w:rsidR="00807C30">
        <w:rPr>
          <w:lang w:val="en-GB"/>
        </w:rPr>
        <w:t xml:space="preserve">. </w:t>
      </w:r>
    </w:p>
    <w:p w14:paraId="5CCE6385" w14:textId="7B1A37E1" w:rsidR="000B6282" w:rsidRPr="005952C0" w:rsidRDefault="00807C30" w:rsidP="005952C0">
      <w:pPr>
        <w:pStyle w:val="Text"/>
        <w:ind w:firstLine="0"/>
        <w:rPr>
          <w:lang w:val="en-GB"/>
        </w:rPr>
      </w:pPr>
      <w:r>
        <w:rPr>
          <w:lang w:val="en-GB"/>
        </w:rPr>
        <w:t>T</w:t>
      </w:r>
      <w:r w:rsidR="000B6282" w:rsidRPr="005952C0">
        <w:rPr>
          <w:lang w:val="en-GB"/>
        </w:rPr>
        <w:t xml:space="preserve">he context may </w:t>
      </w:r>
      <w:r w:rsidR="007A3663">
        <w:rPr>
          <w:lang w:val="en-GB"/>
        </w:rPr>
        <w:t xml:space="preserve">be </w:t>
      </w:r>
      <w:r w:rsidR="000B6282" w:rsidRPr="005952C0">
        <w:rPr>
          <w:lang w:val="en-GB"/>
        </w:rPr>
        <w:t>of particular importance</w:t>
      </w:r>
      <w:r>
        <w:rPr>
          <w:lang w:val="en-GB"/>
        </w:rPr>
        <w:t xml:space="preserve"> (</w:t>
      </w:r>
      <w:r w:rsidRPr="00990E74">
        <w:rPr>
          <w:lang w:val="en-GB"/>
        </w:rPr>
        <w:fldChar w:fldCharType="begin" w:fldLock="1"/>
      </w:r>
      <w:r>
        <w:rPr>
          <w:lang w:val="en-GB"/>
        </w:rPr>
        <w:instrText>ADDIN CSL_CITATION { "citationItems" : [ { "id" : "ITEM-1", "itemData" : { "DOI" : "10.1016/j.resconrec.2015.05.008", "author" : [ { "dropping-particle" : "", "family" : "Liu", "given" : "Ariane", "non-dropping-particle" : "", "parse-names" : false, "suffix" : "" }, { "dropping-particle" : "", "family" : "Giurco", "given" : "Damien", "non-dropping-particle" : "", "parse-names" : false, "suffix" : "" }, { "dropping-particle" : "", "family" : "Mukheibir", "given" : "Pierre", "non-dropping-particle" : "", "parse-names" : false, "suffix" : "" } ], "container-title" : "Resources, Conservation &amp; Recycling", "id" : "ITEM-1", "issued" : { "date-parts" : [ [ "2015" ] ] }, "page" : "29-46", "title" : "Motivating metrics for household water-use feedback", "type" : "article-journal", "volume" : "103" }, "uris" : [ "http://www.mendeley.com/documents/?uuid=dce92170-50f3-4d1f-a6e5-7daf26c9af18" ] } ], "mendeley" : { "formattedCitation" : "(Liu et al., 2015)", "manualFormatting" : "Liu et al., 2015)", "plainTextFormattedCitation" : "(Liu et al., 2015)", "previouslyFormattedCitation" : "(Liu et al., 2015a)" }, "properties" : { "noteIndex" : 0 }, "schema" : "https://github.com/citation-style-language/schema/raw/master/csl-citation.json" }</w:instrText>
      </w:r>
      <w:r w:rsidRPr="00990E74">
        <w:rPr>
          <w:lang w:val="en-GB"/>
        </w:rPr>
        <w:fldChar w:fldCharType="separate"/>
      </w:r>
      <w:r w:rsidRPr="00990E74">
        <w:rPr>
          <w:noProof/>
          <w:lang w:val="en-GB"/>
        </w:rPr>
        <w:t>Liu et al.</w:t>
      </w:r>
      <w:r>
        <w:rPr>
          <w:noProof/>
          <w:lang w:val="en-GB"/>
        </w:rPr>
        <w:t xml:space="preserve">, </w:t>
      </w:r>
      <w:r w:rsidRPr="00990E74">
        <w:rPr>
          <w:noProof/>
          <w:lang w:val="en-GB"/>
        </w:rPr>
        <w:t>2015</w:t>
      </w:r>
      <w:r>
        <w:rPr>
          <w:noProof/>
          <w:lang w:val="en-GB"/>
        </w:rPr>
        <w:t>)</w:t>
      </w:r>
      <w:r w:rsidRPr="00990E74">
        <w:rPr>
          <w:lang w:val="en-GB"/>
        </w:rPr>
        <w:fldChar w:fldCharType="end"/>
      </w:r>
      <w:r w:rsidR="000B6282" w:rsidRPr="005952C0">
        <w:rPr>
          <w:lang w:val="en-GB"/>
        </w:rPr>
        <w:t>. For example, different water pricing conditions or the application of water-use restrictions in times of drought</w:t>
      </w:r>
      <w:r w:rsidR="00A86827">
        <w:rPr>
          <w:lang w:val="en-GB"/>
        </w:rPr>
        <w:t>,</w:t>
      </w:r>
      <w:r w:rsidR="000B6282" w:rsidRPr="005952C0">
        <w:rPr>
          <w:lang w:val="en-GB"/>
        </w:rPr>
        <w:t xml:space="preserve"> which incentivise or enforce conservation</w:t>
      </w:r>
      <w:r w:rsidR="00A86827">
        <w:rPr>
          <w:lang w:val="en-GB"/>
        </w:rPr>
        <w:t>,</w:t>
      </w:r>
      <w:r w:rsidR="000B6282" w:rsidRPr="005952C0">
        <w:rPr>
          <w:lang w:val="en-GB"/>
        </w:rPr>
        <w:t xml:space="preserve"> </w:t>
      </w:r>
      <w:r w:rsidR="00A86827">
        <w:rPr>
          <w:lang w:val="en-GB"/>
        </w:rPr>
        <w:t>could</w:t>
      </w:r>
      <w:r w:rsidR="00A86827" w:rsidRPr="005952C0">
        <w:rPr>
          <w:lang w:val="en-GB"/>
        </w:rPr>
        <w:t xml:space="preserve"> </w:t>
      </w:r>
      <w:r w:rsidR="000B6282" w:rsidRPr="005952C0">
        <w:rPr>
          <w:lang w:val="en-GB"/>
        </w:rPr>
        <w:t xml:space="preserve">raise the attractiveness of this technology. The short-term savings following actual logons particularly suggest MHOW as an effective approach in times of water crisis in which individual information via a portal could be promoted alongside awareness campaigns via other media. </w:t>
      </w:r>
    </w:p>
    <w:p w14:paraId="74CCD9FA" w14:textId="451C02FA" w:rsidR="000B6282" w:rsidRPr="005952C0" w:rsidRDefault="000B6282" w:rsidP="005952C0">
      <w:pPr>
        <w:pStyle w:val="Text"/>
        <w:ind w:firstLine="0"/>
        <w:rPr>
          <w:lang w:val="en-GB"/>
        </w:rPr>
      </w:pPr>
      <w:r w:rsidRPr="005952C0">
        <w:rPr>
          <w:lang w:val="en-GB"/>
        </w:rPr>
        <w:t xml:space="preserve">Specific enhancements to the </w:t>
      </w:r>
      <w:r w:rsidR="00A86827">
        <w:rPr>
          <w:lang w:val="en-GB"/>
        </w:rPr>
        <w:t xml:space="preserve">portal </w:t>
      </w:r>
      <w:r w:rsidRPr="005952C0">
        <w:rPr>
          <w:lang w:val="en-GB"/>
        </w:rPr>
        <w:t xml:space="preserve">design and wider program could improve its overall acceptance, usage, and impacts. </w:t>
      </w:r>
      <w:r w:rsidR="00D806EA">
        <w:rPr>
          <w:lang w:val="en-GB"/>
        </w:rPr>
        <w:t xml:space="preserve">While the </w:t>
      </w:r>
      <w:r w:rsidRPr="005952C0">
        <w:rPr>
          <w:lang w:val="en-GB"/>
        </w:rPr>
        <w:t xml:space="preserve">MHOW study </w:t>
      </w:r>
      <w:r w:rsidR="00A86827">
        <w:rPr>
          <w:lang w:val="en-GB"/>
        </w:rPr>
        <w:t>involved</w:t>
      </w:r>
      <w:r w:rsidR="00A86827" w:rsidRPr="005952C0">
        <w:rPr>
          <w:lang w:val="en-GB"/>
        </w:rPr>
        <w:t xml:space="preserve"> </w:t>
      </w:r>
      <w:r w:rsidRPr="005952C0">
        <w:rPr>
          <w:lang w:val="en-GB"/>
        </w:rPr>
        <w:t>a relatively low engagement strategy</w:t>
      </w:r>
      <w:r w:rsidR="00D806EA">
        <w:rPr>
          <w:lang w:val="en-GB"/>
        </w:rPr>
        <w:t>, a</w:t>
      </w:r>
      <w:r w:rsidRPr="005952C0">
        <w:rPr>
          <w:lang w:val="en-GB"/>
        </w:rPr>
        <w:t xml:space="preserve"> more highly visible launch or marketing communication efforts might have created additional engage</w:t>
      </w:r>
      <w:r w:rsidR="00A86827">
        <w:rPr>
          <w:lang w:val="en-GB"/>
        </w:rPr>
        <w:t>ment</w:t>
      </w:r>
      <w:r w:rsidR="00D806EA">
        <w:rPr>
          <w:lang w:val="en-GB"/>
        </w:rPr>
        <w:t>.</w:t>
      </w:r>
    </w:p>
    <w:p w14:paraId="71D344E7" w14:textId="77777777" w:rsidR="000B6282" w:rsidRPr="003363F3" w:rsidRDefault="000B6282" w:rsidP="005952C0">
      <w:pPr>
        <w:pStyle w:val="Text"/>
        <w:ind w:firstLine="0"/>
        <w:rPr>
          <w:b/>
          <w:i/>
          <w:lang w:val="en-GB"/>
        </w:rPr>
      </w:pPr>
      <w:r w:rsidRPr="003363F3">
        <w:rPr>
          <w:b/>
          <w:i/>
          <w:lang w:val="en-GB"/>
        </w:rPr>
        <w:t xml:space="preserve">5.2 Study limitations </w:t>
      </w:r>
    </w:p>
    <w:p w14:paraId="51074023" w14:textId="2C637E47" w:rsidR="000B6282" w:rsidRPr="005952C0" w:rsidRDefault="000B6282" w:rsidP="005952C0">
      <w:pPr>
        <w:pStyle w:val="Text"/>
        <w:ind w:firstLine="0"/>
        <w:rPr>
          <w:lang w:val="en-GB"/>
        </w:rPr>
      </w:pPr>
      <w:r w:rsidRPr="005952C0">
        <w:rPr>
          <w:lang w:val="en-GB"/>
        </w:rPr>
        <w:t xml:space="preserve">The MHOW study </w:t>
      </w:r>
      <w:r w:rsidR="00740AD1" w:rsidRPr="005952C0">
        <w:rPr>
          <w:lang w:val="en-GB"/>
        </w:rPr>
        <w:t>ha</w:t>
      </w:r>
      <w:r w:rsidR="00740AD1">
        <w:rPr>
          <w:lang w:val="en-GB"/>
        </w:rPr>
        <w:t>d</w:t>
      </w:r>
      <w:r w:rsidR="00740AD1" w:rsidRPr="005952C0">
        <w:rPr>
          <w:lang w:val="en-GB"/>
        </w:rPr>
        <w:t xml:space="preserve"> </w:t>
      </w:r>
      <w:r w:rsidR="00F06353">
        <w:rPr>
          <w:lang w:val="en-GB"/>
        </w:rPr>
        <w:t>several</w:t>
      </w:r>
      <w:r w:rsidRPr="005952C0">
        <w:rPr>
          <w:lang w:val="en-GB"/>
        </w:rPr>
        <w:t xml:space="preserve"> limitations. </w:t>
      </w:r>
      <w:r w:rsidR="00A86827">
        <w:rPr>
          <w:lang w:val="en-GB"/>
        </w:rPr>
        <w:t>Various</w:t>
      </w:r>
      <w:r w:rsidRPr="005952C0">
        <w:rPr>
          <w:lang w:val="en-GB"/>
        </w:rPr>
        <w:t xml:space="preserve"> technical issues were experienced </w:t>
      </w:r>
      <w:r w:rsidR="0044130A">
        <w:rPr>
          <w:lang w:val="en-GB"/>
        </w:rPr>
        <w:t>and</w:t>
      </w:r>
      <w:r w:rsidRPr="005952C0">
        <w:rPr>
          <w:lang w:val="en-GB"/>
        </w:rPr>
        <w:t xml:space="preserve"> </w:t>
      </w:r>
      <w:r w:rsidR="00A86827">
        <w:rPr>
          <w:lang w:val="en-GB"/>
        </w:rPr>
        <w:t xml:space="preserve">only </w:t>
      </w:r>
      <w:r w:rsidRPr="005952C0">
        <w:rPr>
          <w:lang w:val="en-GB"/>
        </w:rPr>
        <w:t xml:space="preserve">rectified </w:t>
      </w:r>
      <w:r w:rsidR="0044130A" w:rsidRPr="005952C0">
        <w:rPr>
          <w:lang w:val="en-GB"/>
        </w:rPr>
        <w:t xml:space="preserve">later </w:t>
      </w:r>
      <w:r w:rsidRPr="005952C0">
        <w:rPr>
          <w:lang w:val="en-GB"/>
        </w:rPr>
        <w:t xml:space="preserve">during the trial. </w:t>
      </w:r>
      <w:r w:rsidR="00A86827">
        <w:rPr>
          <w:lang w:val="en-GB"/>
        </w:rPr>
        <w:t>Logger c</w:t>
      </w:r>
      <w:r w:rsidRPr="005952C0">
        <w:rPr>
          <w:lang w:val="en-GB"/>
        </w:rPr>
        <w:t>ommunication issues initially meant data could not always be uploaded as scheduled. This may have impact</w:t>
      </w:r>
      <w:r w:rsidR="00F06353">
        <w:rPr>
          <w:lang w:val="en-GB"/>
        </w:rPr>
        <w:t>ed</w:t>
      </w:r>
      <w:r w:rsidRPr="005952C0">
        <w:rPr>
          <w:lang w:val="en-GB"/>
        </w:rPr>
        <w:t xml:space="preserve"> portal usage </w:t>
      </w:r>
      <w:r w:rsidR="00F06353" w:rsidRPr="005952C0">
        <w:rPr>
          <w:lang w:val="en-GB"/>
        </w:rPr>
        <w:t>negative</w:t>
      </w:r>
      <w:r w:rsidR="00F06353">
        <w:rPr>
          <w:lang w:val="en-GB"/>
        </w:rPr>
        <w:t>ly</w:t>
      </w:r>
      <w:r w:rsidR="00F06353" w:rsidRPr="005952C0">
        <w:rPr>
          <w:lang w:val="en-GB"/>
        </w:rPr>
        <w:t xml:space="preserve"> </w:t>
      </w:r>
      <w:r w:rsidR="00A86827">
        <w:rPr>
          <w:lang w:val="en-GB"/>
        </w:rPr>
        <w:t>with</w:t>
      </w:r>
      <w:r w:rsidRPr="005952C0">
        <w:rPr>
          <w:lang w:val="en-GB"/>
        </w:rPr>
        <w:t xml:space="preserve"> updated data </w:t>
      </w:r>
      <w:r w:rsidR="0044130A">
        <w:rPr>
          <w:lang w:val="en-GB"/>
        </w:rPr>
        <w:t>un</w:t>
      </w:r>
      <w:r w:rsidRPr="005952C0">
        <w:rPr>
          <w:lang w:val="en-GB"/>
        </w:rPr>
        <w:t xml:space="preserve">available </w:t>
      </w:r>
      <w:r w:rsidR="0044130A">
        <w:rPr>
          <w:lang w:val="en-GB"/>
        </w:rPr>
        <w:t xml:space="preserve">for </w:t>
      </w:r>
      <w:r w:rsidRPr="005952C0">
        <w:rPr>
          <w:lang w:val="en-GB"/>
        </w:rPr>
        <w:t>view</w:t>
      </w:r>
      <w:r w:rsidR="0044130A">
        <w:rPr>
          <w:lang w:val="en-GB"/>
        </w:rPr>
        <w:t>ing</w:t>
      </w:r>
      <w:r w:rsidRPr="005952C0">
        <w:rPr>
          <w:lang w:val="en-GB"/>
        </w:rPr>
        <w:t xml:space="preserve">. </w:t>
      </w:r>
      <w:r w:rsidR="0044130A">
        <w:rPr>
          <w:lang w:val="en-GB"/>
        </w:rPr>
        <w:t>Postal and email l</w:t>
      </w:r>
      <w:r w:rsidRPr="005952C0">
        <w:rPr>
          <w:lang w:val="en-GB"/>
        </w:rPr>
        <w:t xml:space="preserve">ogin reminders </w:t>
      </w:r>
      <w:r w:rsidR="0044130A">
        <w:rPr>
          <w:lang w:val="en-GB"/>
        </w:rPr>
        <w:t>were consequently delayed. I</w:t>
      </w:r>
      <w:r w:rsidRPr="005952C0">
        <w:rPr>
          <w:lang w:val="en-GB"/>
        </w:rPr>
        <w:t xml:space="preserve">nitial issues </w:t>
      </w:r>
      <w:r w:rsidR="0044130A">
        <w:rPr>
          <w:lang w:val="en-GB"/>
        </w:rPr>
        <w:t xml:space="preserve">were also experienced </w:t>
      </w:r>
      <w:r w:rsidRPr="005952C0">
        <w:rPr>
          <w:lang w:val="en-GB"/>
        </w:rPr>
        <w:t xml:space="preserve">with alerts not being sent. </w:t>
      </w:r>
      <w:r w:rsidR="00A86827">
        <w:rPr>
          <w:lang w:val="en-GB"/>
        </w:rPr>
        <w:t>I</w:t>
      </w:r>
      <w:r w:rsidRPr="005952C0">
        <w:rPr>
          <w:lang w:val="en-GB"/>
        </w:rPr>
        <w:t>t is</w:t>
      </w:r>
      <w:r w:rsidR="0044130A">
        <w:rPr>
          <w:lang w:val="en-GB"/>
        </w:rPr>
        <w:t>,</w:t>
      </w:r>
      <w:r w:rsidRPr="005952C0">
        <w:rPr>
          <w:lang w:val="en-GB"/>
        </w:rPr>
        <w:t xml:space="preserve"> </w:t>
      </w:r>
      <w:r w:rsidR="0044130A">
        <w:rPr>
          <w:lang w:val="en-GB"/>
        </w:rPr>
        <w:t>therefore, plausible</w:t>
      </w:r>
      <w:r w:rsidRPr="005952C0">
        <w:rPr>
          <w:lang w:val="en-GB"/>
        </w:rPr>
        <w:t xml:space="preserve"> that the </w:t>
      </w:r>
      <w:r w:rsidR="0044130A" w:rsidRPr="005952C0">
        <w:rPr>
          <w:lang w:val="en-GB"/>
        </w:rPr>
        <w:t>us</w:t>
      </w:r>
      <w:r w:rsidR="0044130A">
        <w:rPr>
          <w:lang w:val="en-GB"/>
        </w:rPr>
        <w:t>age</w:t>
      </w:r>
      <w:r w:rsidR="0044130A" w:rsidRPr="005952C0">
        <w:rPr>
          <w:lang w:val="en-GB"/>
        </w:rPr>
        <w:t xml:space="preserve"> </w:t>
      </w:r>
      <w:r w:rsidRPr="005952C0">
        <w:rPr>
          <w:lang w:val="en-GB"/>
        </w:rPr>
        <w:t xml:space="preserve">and impacts of MHOW </w:t>
      </w:r>
      <w:r w:rsidR="00A86827">
        <w:rPr>
          <w:lang w:val="en-GB"/>
        </w:rPr>
        <w:t xml:space="preserve">could </w:t>
      </w:r>
      <w:r w:rsidR="00F06353">
        <w:rPr>
          <w:lang w:val="en-GB"/>
        </w:rPr>
        <w:t xml:space="preserve">potentially </w:t>
      </w:r>
      <w:r w:rsidR="00A86827">
        <w:rPr>
          <w:lang w:val="en-GB"/>
        </w:rPr>
        <w:t>be</w:t>
      </w:r>
      <w:r w:rsidRPr="005952C0">
        <w:rPr>
          <w:lang w:val="en-GB"/>
        </w:rPr>
        <w:t xml:space="preserve"> greater than experienced in this trial</w:t>
      </w:r>
      <w:r w:rsidR="00A86827">
        <w:rPr>
          <w:lang w:val="en-GB"/>
        </w:rPr>
        <w:t xml:space="preserve">. </w:t>
      </w:r>
      <w:r w:rsidR="0044130A">
        <w:rPr>
          <w:lang w:val="en-GB"/>
        </w:rPr>
        <w:t>At the same time,</w:t>
      </w:r>
      <w:r w:rsidRPr="005952C0">
        <w:rPr>
          <w:lang w:val="en-GB"/>
        </w:rPr>
        <w:t xml:space="preserve"> the particular </w:t>
      </w:r>
      <w:r w:rsidR="00A86827">
        <w:rPr>
          <w:lang w:val="en-GB"/>
        </w:rPr>
        <w:t xml:space="preserve">(voluntary) </w:t>
      </w:r>
      <w:r w:rsidRPr="005952C0">
        <w:rPr>
          <w:lang w:val="en-GB"/>
        </w:rPr>
        <w:t xml:space="preserve">sample may have had greater interest in the opportunity to receive online feedback and </w:t>
      </w:r>
      <w:r w:rsidR="0044130A">
        <w:rPr>
          <w:lang w:val="en-GB"/>
        </w:rPr>
        <w:t>been</w:t>
      </w:r>
      <w:r w:rsidRPr="005952C0">
        <w:rPr>
          <w:lang w:val="en-GB"/>
        </w:rPr>
        <w:t xml:space="preserve"> more forgiving of the initial technical issues</w:t>
      </w:r>
      <w:r w:rsidR="0044130A">
        <w:rPr>
          <w:lang w:val="en-GB"/>
        </w:rPr>
        <w:t>.</w:t>
      </w:r>
    </w:p>
    <w:p w14:paraId="1E34600D" w14:textId="77777777" w:rsidR="000B6282" w:rsidRPr="003363F3" w:rsidRDefault="000B6282" w:rsidP="005952C0">
      <w:pPr>
        <w:pStyle w:val="Text"/>
        <w:ind w:firstLine="0"/>
        <w:rPr>
          <w:b/>
          <w:i/>
          <w:lang w:val="en-GB"/>
        </w:rPr>
      </w:pPr>
      <w:r w:rsidRPr="003363F3">
        <w:rPr>
          <w:b/>
          <w:i/>
          <w:lang w:val="en-GB"/>
        </w:rPr>
        <w:t xml:space="preserve">5.3 Implications for future research </w:t>
      </w:r>
    </w:p>
    <w:p w14:paraId="1DC2476F" w14:textId="720E5665" w:rsidR="000B6282" w:rsidRPr="00990E74" w:rsidRDefault="000B6282" w:rsidP="005952C0">
      <w:pPr>
        <w:pStyle w:val="Text"/>
        <w:ind w:firstLine="0"/>
        <w:rPr>
          <w:lang w:val="en-GB"/>
        </w:rPr>
      </w:pPr>
      <w:r w:rsidRPr="005952C0">
        <w:rPr>
          <w:lang w:val="en-GB"/>
        </w:rPr>
        <w:t>Further research on the role for online household water-use feedback portals is required</w:t>
      </w:r>
      <w:r w:rsidR="007F602A">
        <w:rPr>
          <w:lang w:val="en-GB"/>
        </w:rPr>
        <w:t xml:space="preserve">. </w:t>
      </w:r>
      <w:r w:rsidRPr="005952C0">
        <w:rPr>
          <w:lang w:val="en-GB"/>
        </w:rPr>
        <w:t>First, more work is needed to understand how to promote engagement</w:t>
      </w:r>
      <w:r w:rsidR="00740AD1">
        <w:rPr>
          <w:lang w:val="en-GB"/>
        </w:rPr>
        <w:t xml:space="preserve"> and what are </w:t>
      </w:r>
      <w:r w:rsidRPr="005952C0">
        <w:rPr>
          <w:lang w:val="en-GB"/>
        </w:rPr>
        <w:t xml:space="preserve">the reasons for </w:t>
      </w:r>
      <w:r w:rsidR="00BB4D5C">
        <w:rPr>
          <w:lang w:val="en-GB"/>
        </w:rPr>
        <w:t xml:space="preserve">user </w:t>
      </w:r>
      <w:r w:rsidR="0044130A">
        <w:rPr>
          <w:lang w:val="en-GB"/>
        </w:rPr>
        <w:t>inactivity</w:t>
      </w:r>
      <w:r w:rsidRPr="005952C0">
        <w:rPr>
          <w:lang w:val="en-GB"/>
        </w:rPr>
        <w:t xml:space="preserve">. </w:t>
      </w:r>
      <w:r w:rsidR="009C03C3">
        <w:rPr>
          <w:lang w:val="en-GB"/>
        </w:rPr>
        <w:t>Perhaps</w:t>
      </w:r>
      <w:r w:rsidRPr="005952C0">
        <w:rPr>
          <w:lang w:val="en-GB"/>
        </w:rPr>
        <w:t xml:space="preserve"> specific barriers can be overcome to reach certain </w:t>
      </w:r>
      <w:r w:rsidR="00A86827">
        <w:rPr>
          <w:lang w:val="en-GB"/>
        </w:rPr>
        <w:t xml:space="preserve">population </w:t>
      </w:r>
      <w:r w:rsidRPr="005952C0">
        <w:rPr>
          <w:lang w:val="en-GB"/>
        </w:rPr>
        <w:t xml:space="preserve">segments. </w:t>
      </w:r>
      <w:r w:rsidR="009C03C3">
        <w:rPr>
          <w:lang w:val="en-GB"/>
        </w:rPr>
        <w:t xml:space="preserve">Alternative </w:t>
      </w:r>
      <w:r w:rsidRPr="005952C0">
        <w:rPr>
          <w:lang w:val="en-GB"/>
        </w:rPr>
        <w:t>mediums might be required. To illustrate, regist</w:t>
      </w:r>
      <w:r w:rsidR="007F602A">
        <w:rPr>
          <w:lang w:val="en-GB"/>
        </w:rPr>
        <w:t>ration</w:t>
      </w:r>
      <w:r w:rsidRPr="005952C0">
        <w:rPr>
          <w:lang w:val="en-GB"/>
        </w:rPr>
        <w:t xml:space="preserve"> for alerts by </w:t>
      </w:r>
      <w:r w:rsidR="00BB4D5C">
        <w:rPr>
          <w:lang w:val="en-GB"/>
        </w:rPr>
        <w:t>phone (</w:t>
      </w:r>
      <w:r w:rsidRPr="005952C0">
        <w:rPr>
          <w:lang w:val="en-GB"/>
        </w:rPr>
        <w:t>rather than</w:t>
      </w:r>
      <w:r w:rsidR="00B21A74">
        <w:rPr>
          <w:lang w:val="en-GB"/>
        </w:rPr>
        <w:t xml:space="preserve"> </w:t>
      </w:r>
      <w:r w:rsidR="00BB4D5C">
        <w:rPr>
          <w:lang w:val="en-GB"/>
        </w:rPr>
        <w:t>online</w:t>
      </w:r>
      <w:r w:rsidRPr="005952C0">
        <w:rPr>
          <w:lang w:val="en-GB"/>
        </w:rPr>
        <w:t xml:space="preserve">) </w:t>
      </w:r>
      <w:r w:rsidR="003A129A">
        <w:rPr>
          <w:lang w:val="en-GB"/>
        </w:rPr>
        <w:t xml:space="preserve">helped to </w:t>
      </w:r>
      <w:r w:rsidR="00BB4D5C">
        <w:rPr>
          <w:lang w:val="en-GB"/>
        </w:rPr>
        <w:t>increase</w:t>
      </w:r>
      <w:r w:rsidRPr="005952C0">
        <w:rPr>
          <w:lang w:val="en-GB"/>
        </w:rPr>
        <w:t xml:space="preserve"> participa</w:t>
      </w:r>
      <w:r w:rsidR="007F602A">
        <w:rPr>
          <w:lang w:val="en-GB"/>
        </w:rPr>
        <w:t>tion</w:t>
      </w:r>
      <w:r w:rsidRPr="005952C0">
        <w:rPr>
          <w:lang w:val="en-GB"/>
        </w:rPr>
        <w:t xml:space="preserve">. </w:t>
      </w:r>
      <w:r w:rsidR="00BB4D5C">
        <w:rPr>
          <w:lang w:val="en-GB"/>
        </w:rPr>
        <w:t>S</w:t>
      </w:r>
      <w:r w:rsidRPr="005952C0">
        <w:rPr>
          <w:lang w:val="en-GB"/>
        </w:rPr>
        <w:t xml:space="preserve">timulating </w:t>
      </w:r>
      <w:r w:rsidR="00BB4D5C">
        <w:rPr>
          <w:lang w:val="en-GB"/>
        </w:rPr>
        <w:t xml:space="preserve">users’ </w:t>
      </w:r>
      <w:r w:rsidRPr="005952C0">
        <w:rPr>
          <w:lang w:val="en-GB"/>
        </w:rPr>
        <w:t>engagement also remains challeng</w:t>
      </w:r>
      <w:r w:rsidR="00740AD1">
        <w:rPr>
          <w:lang w:val="en-GB"/>
        </w:rPr>
        <w:t>ing</w:t>
      </w:r>
      <w:r w:rsidRPr="005952C0">
        <w:rPr>
          <w:lang w:val="en-GB"/>
        </w:rPr>
        <w:t xml:space="preserve">. </w:t>
      </w:r>
      <w:r w:rsidR="006867F0">
        <w:rPr>
          <w:lang w:val="en-GB"/>
        </w:rPr>
        <w:t>Most</w:t>
      </w:r>
      <w:r w:rsidRPr="005952C0">
        <w:rPr>
          <w:lang w:val="en-GB"/>
        </w:rPr>
        <w:t xml:space="preserve"> users logged in relatively infrequently </w:t>
      </w:r>
      <w:r w:rsidR="007F602A">
        <w:rPr>
          <w:lang w:val="en-GB"/>
        </w:rPr>
        <w:t xml:space="preserve">during </w:t>
      </w:r>
      <w:r w:rsidRPr="005952C0">
        <w:rPr>
          <w:lang w:val="en-GB"/>
        </w:rPr>
        <w:t>the first year</w:t>
      </w:r>
      <w:r w:rsidR="007F602A">
        <w:rPr>
          <w:lang w:val="en-GB"/>
        </w:rPr>
        <w:t xml:space="preserve">. </w:t>
      </w:r>
      <w:r w:rsidR="006867F0">
        <w:rPr>
          <w:lang w:val="en-GB"/>
        </w:rPr>
        <w:t>T</w:t>
      </w:r>
      <w:r w:rsidRPr="005952C0">
        <w:rPr>
          <w:lang w:val="en-GB"/>
        </w:rPr>
        <w:t xml:space="preserve">he interactive ‘My Budget’ and ‘My Pledges’ features </w:t>
      </w:r>
      <w:r w:rsidR="007F602A">
        <w:rPr>
          <w:lang w:val="en-GB"/>
        </w:rPr>
        <w:t>targeted</w:t>
      </w:r>
      <w:r w:rsidRPr="005952C0">
        <w:rPr>
          <w:lang w:val="en-GB"/>
        </w:rPr>
        <w:t xml:space="preserve"> antecedent strategies of goal</w:t>
      </w:r>
      <w:r w:rsidR="00226C3B">
        <w:rPr>
          <w:lang w:val="en-GB"/>
        </w:rPr>
        <w:t>-</w:t>
      </w:r>
      <w:r w:rsidRPr="005952C0">
        <w:rPr>
          <w:lang w:val="en-GB"/>
        </w:rPr>
        <w:t xml:space="preserve">setting </w:t>
      </w:r>
      <w:r w:rsidR="007F602A">
        <w:rPr>
          <w:lang w:val="en-GB"/>
        </w:rPr>
        <w:t xml:space="preserve">and </w:t>
      </w:r>
      <w:r w:rsidRPr="005952C0">
        <w:rPr>
          <w:lang w:val="en-GB"/>
        </w:rPr>
        <w:t>commitments</w:t>
      </w:r>
      <w:r w:rsidR="006867F0">
        <w:rPr>
          <w:lang w:val="en-GB"/>
        </w:rPr>
        <w:t xml:space="preserve">, but were </w:t>
      </w:r>
      <w:r w:rsidRPr="005952C0">
        <w:rPr>
          <w:lang w:val="en-GB"/>
        </w:rPr>
        <w:t xml:space="preserve">only </w:t>
      </w:r>
      <w:r w:rsidR="006867F0">
        <w:rPr>
          <w:lang w:val="en-GB"/>
        </w:rPr>
        <w:t xml:space="preserve">used </w:t>
      </w:r>
      <w:r w:rsidRPr="005952C0">
        <w:rPr>
          <w:lang w:val="en-GB"/>
        </w:rPr>
        <w:t>by a minority</w:t>
      </w:r>
      <w:r w:rsidR="006867F0">
        <w:rPr>
          <w:lang w:val="en-GB"/>
        </w:rPr>
        <w:t xml:space="preserve">. </w:t>
      </w:r>
      <w:r w:rsidRPr="005952C0">
        <w:rPr>
          <w:lang w:val="en-GB"/>
        </w:rPr>
        <w:t xml:space="preserve">The question therefore remains as to other ways to motivate </w:t>
      </w:r>
      <w:r w:rsidRPr="00990E74">
        <w:rPr>
          <w:lang w:val="en-GB"/>
        </w:rPr>
        <w:t xml:space="preserve">interest </w:t>
      </w:r>
      <w:r w:rsidRPr="00990E74">
        <w:rPr>
          <w:lang w:val="en-GB"/>
        </w:rPr>
        <w:fldChar w:fldCharType="begin" w:fldLock="1"/>
      </w:r>
      <w:r w:rsidR="00807C30">
        <w:rPr>
          <w:lang w:val="en-GB"/>
        </w:rPr>
        <w:instrText>ADDIN CSL_CITATION { "citationItems" : [ { "id" : "ITEM-1", "itemData" : { "DOI" : "10.1016/j.resconrec.2015.05.008", "author" : [ { "dropping-particle" : "", "family" : "Liu", "given" : "Ariane", "non-dropping-particle" : "", "parse-names" : false, "suffix" : "" }, { "dropping-particle" : "", "family" : "Giurco", "given" : "Damien", "non-dropping-particle" : "", "parse-names" : false, "suffix" : "" }, { "dropping-particle" : "", "family" : "Mukheibir", "given" : "Pierre", "non-dropping-particle" : "", "parse-names" : false, "suffix" : "" } ], "container-title" : "Resources, Conservation &amp; Recycling", "id" : "ITEM-1", "issued" : { "date-parts" : [ [ "2015" ] ] }, "page" : "29-46", "title" : "Motivating metrics for household water-use feedback", "type" : "article-journal", "volume" : "103" }, "uris" : [ "http://www.mendeley.com/documents/?uuid=dce92170-50f3-4d1f-a6e5-7daf26c9af18" ] } ], "mendeley" : { "formattedCitation" : "(Liu et al., 2015)", "manualFormatting" : "(Liu et al., 2015)", "plainTextFormattedCitation" : "(Liu et al., 2015)", "previouslyFormattedCitation" : "(Liu et al., 2015a)" }, "properties" : { "noteIndex" : 0 }, "schema" : "https://github.com/citation-style-language/schema/raw/master/csl-citation.json" }</w:instrText>
      </w:r>
      <w:r w:rsidRPr="00990E74">
        <w:rPr>
          <w:lang w:val="en-GB"/>
        </w:rPr>
        <w:fldChar w:fldCharType="separate"/>
      </w:r>
      <w:r w:rsidR="0029187D">
        <w:rPr>
          <w:noProof/>
          <w:lang w:val="en-GB"/>
        </w:rPr>
        <w:t>(</w:t>
      </w:r>
      <w:r w:rsidRPr="00990E74">
        <w:rPr>
          <w:noProof/>
          <w:lang w:val="en-GB"/>
        </w:rPr>
        <w:t>Liu et al.</w:t>
      </w:r>
      <w:r w:rsidR="00FB2BBF" w:rsidRPr="00990E74">
        <w:rPr>
          <w:noProof/>
          <w:lang w:val="en-GB"/>
        </w:rPr>
        <w:t>,</w:t>
      </w:r>
      <w:r w:rsidRPr="00990E74">
        <w:rPr>
          <w:noProof/>
          <w:lang w:val="en-GB"/>
        </w:rPr>
        <w:t xml:space="preserve"> 2015</w:t>
      </w:r>
      <w:r w:rsidR="0029187D">
        <w:rPr>
          <w:noProof/>
          <w:lang w:val="en-GB"/>
        </w:rPr>
        <w:t>)</w:t>
      </w:r>
      <w:r w:rsidRPr="00990E74">
        <w:rPr>
          <w:lang w:val="en-GB"/>
        </w:rPr>
        <w:fldChar w:fldCharType="end"/>
      </w:r>
      <w:r w:rsidRPr="00990E74">
        <w:rPr>
          <w:lang w:val="en-GB"/>
        </w:rPr>
        <w:t xml:space="preserve"> and engage users</w:t>
      </w:r>
      <w:r w:rsidR="007F602A">
        <w:rPr>
          <w:lang w:val="en-GB"/>
        </w:rPr>
        <w:t xml:space="preserve">, including </w:t>
      </w:r>
      <w:r w:rsidRPr="00990E74">
        <w:rPr>
          <w:lang w:val="en-GB"/>
        </w:rPr>
        <w:t xml:space="preserve">gamification </w:t>
      </w:r>
      <w:r w:rsidR="006867F0">
        <w:rPr>
          <w:lang w:val="en-GB"/>
        </w:rPr>
        <w:t>or</w:t>
      </w:r>
      <w:r w:rsidR="006867F0" w:rsidRPr="00990E74">
        <w:rPr>
          <w:lang w:val="en-GB"/>
        </w:rPr>
        <w:t xml:space="preserve"> </w:t>
      </w:r>
      <w:r w:rsidRPr="00990E74">
        <w:rPr>
          <w:lang w:val="en-GB"/>
        </w:rPr>
        <w:t>social networking functions (</w:t>
      </w:r>
      <w:r w:rsidRPr="00990E74">
        <w:rPr>
          <w:lang w:val="en-GB"/>
        </w:rPr>
        <w:fldChar w:fldCharType="begin" w:fldLock="1"/>
      </w:r>
      <w:r w:rsidR="00807C30">
        <w:rPr>
          <w:lang w:val="en-GB"/>
        </w:rPr>
        <w:instrText>ADDIN CSL_CITATION { "citationItems" : [ { "id" : "ITEM-1", "itemData" : { "ISBN" : "9781450310154", "abstract" : "Association for Computing Machinery", "author" : [ { "dropping-particle" : "", "family" : "Erickson", "given" : "Thomas", "non-dropping-particle" : "", "parse-names" : false, "suffix" : "" }, { "dropping-particle" : "", "family" : "Podlaseck", "given" : "Mark E", "non-dropping-particle" : "", "parse-names" : false, "suffix" : "" }, { "dropping-particle" : "", "family" : "Sahu", "given" : "Sambit", "non-dropping-particle" : "", "parse-names" : false, "suffix" : "" }, { "dropping-particle" : "", "family" : "Dai", "given" : "Jing D", "non-dropping-particle" : "", "parse-names" : false, "suffix" : "" }, { "dropping-particle" : "", "family" : "Chao", "given" : "Tian", "non-dropping-particle" : "", "parse-names" : false, "suffix" : "" }, { "dropping-particle" : "", "family" : "Naphade", "given" : "Milind", "non-dropping-particle" : "", "parse-names" : false, "suffix" : "" } ], "container-title" : "CHI 2012, May 5-10, 2012, Austin Texas, USA.", "id" : "ITEM-1", "issued" : { "date-parts" : [ [ "2012" ] ] }, "page" : "675-684", "publisher" : "ACM", "title" : "The Dubuque Water Portal: evaluation of the uptake, use and impact of residential water consumption feedback", "type" : "paper-conference" }, "uris" : [ "http://www.mendeley.com/documents/?uuid=d123d9b9-92c4-4f19-be74-2a7376b1225e" ] } ], "mendeley" : { "formattedCitation" : "(Erickson et al., 2012)", "manualFormatting" : "Erickson et al. (2012))", "plainTextFormattedCitation" : "(Erickson et al., 2012)", "previouslyFormattedCitation" : "(Erickson et al., 2012)" }, "properties" : { "noteIndex" : 0 }, "schema" : "https://github.com/citation-style-language/schema/raw/master/csl-citation.json" }</w:instrText>
      </w:r>
      <w:r w:rsidRPr="00990E74">
        <w:rPr>
          <w:lang w:val="en-GB"/>
        </w:rPr>
        <w:fldChar w:fldCharType="separate"/>
      </w:r>
      <w:r w:rsidRPr="00990E74">
        <w:rPr>
          <w:noProof/>
          <w:lang w:val="en-GB"/>
        </w:rPr>
        <w:t>Erickson et al.</w:t>
      </w:r>
      <w:r w:rsidR="007F602A">
        <w:rPr>
          <w:noProof/>
          <w:lang w:val="en-GB"/>
        </w:rPr>
        <w:t>,</w:t>
      </w:r>
      <w:r w:rsidRPr="00990E74">
        <w:rPr>
          <w:noProof/>
          <w:lang w:val="en-GB"/>
        </w:rPr>
        <w:t>2012)</w:t>
      </w:r>
      <w:r w:rsidRPr="00990E74">
        <w:rPr>
          <w:lang w:val="en-GB"/>
        </w:rPr>
        <w:fldChar w:fldCharType="end"/>
      </w:r>
      <w:r w:rsidR="00352FAE">
        <w:rPr>
          <w:lang w:val="en-GB"/>
        </w:rPr>
        <w:t xml:space="preserve">, or involving end-users in the design. </w:t>
      </w:r>
      <w:r w:rsidRPr="00990E74">
        <w:rPr>
          <w:lang w:val="en-GB"/>
        </w:rPr>
        <w:t xml:space="preserve"> </w:t>
      </w:r>
    </w:p>
    <w:p w14:paraId="413B3AA7" w14:textId="10C6BE81" w:rsidR="000B6282" w:rsidRPr="005952C0" w:rsidRDefault="000B6282" w:rsidP="005952C0">
      <w:pPr>
        <w:pStyle w:val="Text"/>
        <w:ind w:firstLine="0"/>
        <w:rPr>
          <w:lang w:val="en-GB"/>
        </w:rPr>
      </w:pPr>
      <w:r w:rsidRPr="005952C0">
        <w:rPr>
          <w:lang w:val="en-GB"/>
        </w:rPr>
        <w:t>A secon</w:t>
      </w:r>
      <w:r w:rsidR="00285646" w:rsidRPr="005952C0">
        <w:rPr>
          <w:lang w:val="en-GB"/>
        </w:rPr>
        <w:t xml:space="preserve">d question relates to where </w:t>
      </w:r>
      <w:r w:rsidRPr="005952C0">
        <w:rPr>
          <w:lang w:val="en-GB"/>
        </w:rPr>
        <w:t>MHOW</w:t>
      </w:r>
      <w:r w:rsidR="00740AD1">
        <w:rPr>
          <w:lang w:val="en-GB"/>
        </w:rPr>
        <w:t>-</w:t>
      </w:r>
      <w:r w:rsidRPr="005952C0">
        <w:rPr>
          <w:lang w:val="en-GB"/>
        </w:rPr>
        <w:t xml:space="preserve">type feedback technology might be of most use; especially </w:t>
      </w:r>
      <w:r w:rsidR="00F23F1D">
        <w:rPr>
          <w:lang w:val="en-GB"/>
        </w:rPr>
        <w:t>if</w:t>
      </w:r>
      <w:r w:rsidR="00F23F1D" w:rsidRPr="005952C0">
        <w:rPr>
          <w:lang w:val="en-GB"/>
        </w:rPr>
        <w:t xml:space="preserve"> </w:t>
      </w:r>
      <w:r w:rsidRPr="005952C0">
        <w:rPr>
          <w:lang w:val="en-GB"/>
        </w:rPr>
        <w:t xml:space="preserve">continuous and widespread engagement </w:t>
      </w:r>
      <w:r w:rsidR="007D25E1" w:rsidRPr="005952C0">
        <w:rPr>
          <w:lang w:val="en-GB"/>
        </w:rPr>
        <w:t>are challenging</w:t>
      </w:r>
      <w:r w:rsidRPr="005952C0">
        <w:rPr>
          <w:lang w:val="en-GB"/>
        </w:rPr>
        <w:t>.</w:t>
      </w:r>
      <w:r w:rsidR="006867F0" w:rsidRPr="006867F0">
        <w:rPr>
          <w:lang w:val="en-GB"/>
        </w:rPr>
        <w:t xml:space="preserve"> </w:t>
      </w:r>
      <w:r w:rsidR="006867F0">
        <w:rPr>
          <w:lang w:val="en-GB"/>
        </w:rPr>
        <w:t xml:space="preserve">Further research </w:t>
      </w:r>
      <w:r w:rsidR="007F602A">
        <w:rPr>
          <w:lang w:val="en-GB"/>
        </w:rPr>
        <w:t xml:space="preserve">should </w:t>
      </w:r>
      <w:r w:rsidRPr="005952C0">
        <w:rPr>
          <w:lang w:val="en-GB"/>
        </w:rPr>
        <w:t xml:space="preserve">explore the specific role </w:t>
      </w:r>
      <w:r w:rsidR="00740AD1">
        <w:rPr>
          <w:lang w:val="en-GB"/>
        </w:rPr>
        <w:t xml:space="preserve">for </w:t>
      </w:r>
      <w:r w:rsidRPr="005952C0">
        <w:rPr>
          <w:lang w:val="en-GB"/>
        </w:rPr>
        <w:t xml:space="preserve">MHOW </w:t>
      </w:r>
      <w:r w:rsidR="007D25E1" w:rsidRPr="005952C0">
        <w:rPr>
          <w:lang w:val="en-GB"/>
        </w:rPr>
        <w:t xml:space="preserve">under supply constraints (e.g. </w:t>
      </w:r>
      <w:r w:rsidRPr="005952C0">
        <w:rPr>
          <w:lang w:val="en-GB"/>
        </w:rPr>
        <w:t>drought</w:t>
      </w:r>
      <w:r w:rsidR="007D25E1" w:rsidRPr="005952C0">
        <w:rPr>
          <w:lang w:val="en-GB"/>
        </w:rPr>
        <w:t>)</w:t>
      </w:r>
      <w:r w:rsidR="006867F0">
        <w:rPr>
          <w:lang w:val="en-GB"/>
        </w:rPr>
        <w:t>. I</w:t>
      </w:r>
      <w:r w:rsidRPr="005952C0">
        <w:rPr>
          <w:lang w:val="en-GB"/>
        </w:rPr>
        <w:t>deally</w:t>
      </w:r>
      <w:r w:rsidR="007F602A">
        <w:rPr>
          <w:lang w:val="en-GB"/>
        </w:rPr>
        <w:t>,</w:t>
      </w:r>
      <w:r w:rsidRPr="005952C0">
        <w:rPr>
          <w:lang w:val="en-GB"/>
        </w:rPr>
        <w:t xml:space="preserve"> </w:t>
      </w:r>
      <w:r w:rsidR="006867F0">
        <w:rPr>
          <w:lang w:val="en-GB"/>
        </w:rPr>
        <w:t xml:space="preserve">this should be undertaken with </w:t>
      </w:r>
      <w:r w:rsidRPr="005952C0">
        <w:rPr>
          <w:lang w:val="en-GB"/>
        </w:rPr>
        <w:t>a large</w:t>
      </w:r>
      <w:r w:rsidR="00882F9C">
        <w:rPr>
          <w:lang w:val="en-GB"/>
        </w:rPr>
        <w:t>-</w:t>
      </w:r>
      <w:r w:rsidRPr="005952C0">
        <w:rPr>
          <w:lang w:val="en-GB"/>
        </w:rPr>
        <w:t>scale deployment</w:t>
      </w:r>
      <w:r w:rsidR="007D25E1" w:rsidRPr="005952C0">
        <w:rPr>
          <w:lang w:val="en-GB"/>
        </w:rPr>
        <w:t xml:space="preserve"> with varying approaches to engagement that replicates</w:t>
      </w:r>
      <w:r w:rsidR="00925598" w:rsidRPr="005952C0">
        <w:rPr>
          <w:lang w:val="en-GB"/>
        </w:rPr>
        <w:t xml:space="preserve"> the analysis in this study</w:t>
      </w:r>
      <w:r w:rsidR="007D25E1" w:rsidRPr="005952C0">
        <w:rPr>
          <w:lang w:val="en-GB"/>
        </w:rPr>
        <w:t xml:space="preserve"> and </w:t>
      </w:r>
      <w:r w:rsidRPr="005952C0">
        <w:rPr>
          <w:lang w:val="en-GB"/>
        </w:rPr>
        <w:t>explore</w:t>
      </w:r>
      <w:r w:rsidR="007D25E1" w:rsidRPr="005952C0">
        <w:rPr>
          <w:lang w:val="en-GB"/>
        </w:rPr>
        <w:t>s</w:t>
      </w:r>
      <w:r w:rsidRPr="005952C0">
        <w:rPr>
          <w:lang w:val="en-GB"/>
        </w:rPr>
        <w:t xml:space="preserve"> impacts with a wider demographic.</w:t>
      </w:r>
    </w:p>
    <w:p w14:paraId="1845DD88" w14:textId="1FBA9447" w:rsidR="000B6282" w:rsidRPr="005952C0" w:rsidRDefault="000B6282" w:rsidP="005952C0">
      <w:pPr>
        <w:pStyle w:val="Text"/>
        <w:ind w:firstLine="0"/>
        <w:rPr>
          <w:lang w:val="en-GB"/>
        </w:rPr>
      </w:pPr>
      <w:r w:rsidRPr="005952C0">
        <w:rPr>
          <w:lang w:val="en-GB"/>
        </w:rPr>
        <w:t>A third opportunity lies in</w:t>
      </w:r>
      <w:r w:rsidR="00F06353">
        <w:rPr>
          <w:lang w:val="en-GB"/>
        </w:rPr>
        <w:t xml:space="preserve"> expanding </w:t>
      </w:r>
      <w:r w:rsidRPr="005952C0">
        <w:rPr>
          <w:lang w:val="en-GB"/>
        </w:rPr>
        <w:t>MHOW into an integrated household online platform incorporat</w:t>
      </w:r>
      <w:r w:rsidR="00740AD1">
        <w:rPr>
          <w:lang w:val="en-GB"/>
        </w:rPr>
        <w:t>ing</w:t>
      </w:r>
      <w:r w:rsidRPr="005952C0">
        <w:rPr>
          <w:lang w:val="en-GB"/>
        </w:rPr>
        <w:t xml:space="preserve"> </w:t>
      </w:r>
      <w:r w:rsidR="00740AD1">
        <w:rPr>
          <w:lang w:val="en-GB"/>
        </w:rPr>
        <w:t xml:space="preserve">other </w:t>
      </w:r>
      <w:r w:rsidRPr="005952C0">
        <w:rPr>
          <w:lang w:val="en-GB"/>
        </w:rPr>
        <w:t>relevant data (e.g. weather data), other forms of consumption feedback (e.g. household energy) and/or with additional practical functions (e.g. billing</w:t>
      </w:r>
      <w:r w:rsidR="00352FAE">
        <w:rPr>
          <w:lang w:val="en-GB"/>
        </w:rPr>
        <w:t>; other water-related services</w:t>
      </w:r>
      <w:r w:rsidRPr="005952C0">
        <w:rPr>
          <w:lang w:val="en-GB"/>
        </w:rPr>
        <w:t xml:space="preserve">). Greater technology acceptance, participation and responses among household </w:t>
      </w:r>
      <w:r w:rsidRPr="005952C0">
        <w:rPr>
          <w:lang w:val="en-GB"/>
        </w:rPr>
        <w:lastRenderedPageBreak/>
        <w:t>consumers may</w:t>
      </w:r>
      <w:r w:rsidR="0060018E">
        <w:rPr>
          <w:lang w:val="en-GB"/>
        </w:rPr>
        <w:t>,</w:t>
      </w:r>
      <w:r w:rsidRPr="005952C0">
        <w:rPr>
          <w:lang w:val="en-GB"/>
        </w:rPr>
        <w:t xml:space="preserve"> </w:t>
      </w:r>
      <w:r w:rsidR="0060018E">
        <w:rPr>
          <w:lang w:val="en-GB"/>
        </w:rPr>
        <w:t xml:space="preserve">therefore, </w:t>
      </w:r>
      <w:r w:rsidRPr="005952C0">
        <w:rPr>
          <w:lang w:val="en-GB"/>
        </w:rPr>
        <w:t>be promoted by suitably increasing the levels of information</w:t>
      </w:r>
      <w:r w:rsidR="00285646" w:rsidRPr="005952C0">
        <w:rPr>
          <w:lang w:val="en-GB"/>
        </w:rPr>
        <w:t xml:space="preserve">, </w:t>
      </w:r>
      <w:r w:rsidRPr="005952C0">
        <w:rPr>
          <w:lang w:val="en-GB"/>
        </w:rPr>
        <w:t xml:space="preserve">functionality </w:t>
      </w:r>
      <w:r w:rsidR="00285646" w:rsidRPr="005952C0">
        <w:rPr>
          <w:lang w:val="en-GB"/>
        </w:rPr>
        <w:t xml:space="preserve">and interactivity </w:t>
      </w:r>
      <w:r w:rsidRPr="005952C0">
        <w:rPr>
          <w:lang w:val="en-GB"/>
        </w:rPr>
        <w:t xml:space="preserve">provided. </w:t>
      </w:r>
    </w:p>
    <w:p w14:paraId="4B505B1C" w14:textId="77777777" w:rsidR="000B6282" w:rsidRPr="00B26C30" w:rsidRDefault="000B6282" w:rsidP="005952C0">
      <w:pPr>
        <w:pStyle w:val="Text"/>
        <w:ind w:firstLine="0"/>
        <w:rPr>
          <w:b/>
          <w:i/>
          <w:lang w:val="en-GB"/>
        </w:rPr>
      </w:pPr>
      <w:r w:rsidRPr="00B26C30">
        <w:rPr>
          <w:b/>
          <w:i/>
          <w:lang w:val="en-GB"/>
        </w:rPr>
        <w:t xml:space="preserve">5.4 Conclusion </w:t>
      </w:r>
    </w:p>
    <w:p w14:paraId="64C41D8E" w14:textId="53D7181F" w:rsidR="000B6282" w:rsidRPr="005952C0" w:rsidRDefault="000B6282" w:rsidP="005952C0">
      <w:pPr>
        <w:pStyle w:val="Text"/>
        <w:ind w:firstLine="0"/>
        <w:rPr>
          <w:lang w:val="en-GB"/>
        </w:rPr>
      </w:pPr>
      <w:r w:rsidRPr="005952C0">
        <w:rPr>
          <w:lang w:val="en-GB"/>
        </w:rPr>
        <w:t>In th</w:t>
      </w:r>
      <w:r w:rsidR="006867F0">
        <w:rPr>
          <w:lang w:val="en-GB"/>
        </w:rPr>
        <w:t>is</w:t>
      </w:r>
      <w:r w:rsidRPr="005952C0">
        <w:rPr>
          <w:lang w:val="en-GB"/>
        </w:rPr>
        <w:t xml:space="preserve"> study, </w:t>
      </w:r>
      <w:r w:rsidR="00E819AC" w:rsidRPr="005952C0">
        <w:rPr>
          <w:lang w:val="en-GB"/>
        </w:rPr>
        <w:t xml:space="preserve">the </w:t>
      </w:r>
      <w:r w:rsidRPr="005952C0">
        <w:rPr>
          <w:lang w:val="en-GB"/>
        </w:rPr>
        <w:t xml:space="preserve">MHOW </w:t>
      </w:r>
      <w:r w:rsidR="00E819AC" w:rsidRPr="005952C0">
        <w:rPr>
          <w:lang w:val="en-GB"/>
        </w:rPr>
        <w:t xml:space="preserve">online portal </w:t>
      </w:r>
      <w:r w:rsidRPr="005952C0">
        <w:rPr>
          <w:lang w:val="en-GB"/>
        </w:rPr>
        <w:t xml:space="preserve">was used to provide detailed online water consumption feedback to householders in near real-time. The analysis of impacts using </w:t>
      </w:r>
      <w:r w:rsidR="006867F0">
        <w:rPr>
          <w:lang w:val="en-GB"/>
        </w:rPr>
        <w:t xml:space="preserve">smart meter </w:t>
      </w:r>
      <w:r w:rsidRPr="005952C0">
        <w:rPr>
          <w:lang w:val="en-GB"/>
        </w:rPr>
        <w:t xml:space="preserve">data collected for one year pre- and one-year post intervention contributed towards wider calls for longer term research into consumption feedback. Analysis of </w:t>
      </w:r>
      <w:r w:rsidR="00E819AC" w:rsidRPr="005952C0">
        <w:rPr>
          <w:lang w:val="en-GB"/>
        </w:rPr>
        <w:t xml:space="preserve">smart water meter data for </w:t>
      </w:r>
      <w:r w:rsidRPr="005952C0">
        <w:rPr>
          <w:lang w:val="en-GB"/>
        </w:rPr>
        <w:t xml:space="preserve">water-savings with portal login data further enabled a novel exploration of the duration of impacts. The results showed </w:t>
      </w:r>
      <w:r w:rsidR="007F602A">
        <w:rPr>
          <w:lang w:val="en-GB"/>
        </w:rPr>
        <w:t>a</w:t>
      </w:r>
      <w:r w:rsidRPr="005952C0">
        <w:rPr>
          <w:lang w:val="en-GB"/>
        </w:rPr>
        <w:t>ctive portal users achieved significant water-savings relative to the control group in the short</w:t>
      </w:r>
      <w:r w:rsidR="00BC1A62">
        <w:rPr>
          <w:lang w:val="en-GB"/>
        </w:rPr>
        <w:t>-</w:t>
      </w:r>
      <w:r w:rsidRPr="005952C0">
        <w:rPr>
          <w:lang w:val="en-GB"/>
        </w:rPr>
        <w:t>term (i.e</w:t>
      </w:r>
      <w:r w:rsidR="00285646" w:rsidRPr="005952C0">
        <w:rPr>
          <w:lang w:val="en-GB"/>
        </w:rPr>
        <w:t>. lasting</w:t>
      </w:r>
      <w:r w:rsidRPr="005952C0">
        <w:rPr>
          <w:lang w:val="en-GB"/>
        </w:rPr>
        <w:t xml:space="preserve">. </w:t>
      </w:r>
      <w:r w:rsidR="007F7F7D">
        <w:rPr>
          <w:lang w:val="en-GB"/>
        </w:rPr>
        <w:t>six</w:t>
      </w:r>
      <w:r w:rsidR="007F7F7D" w:rsidRPr="005952C0">
        <w:rPr>
          <w:lang w:val="en-GB"/>
        </w:rPr>
        <w:t xml:space="preserve"> </w:t>
      </w:r>
      <w:r w:rsidRPr="005952C0">
        <w:rPr>
          <w:lang w:val="en-GB"/>
        </w:rPr>
        <w:t>weeks) following specific acts of logging on to the portal.</w:t>
      </w:r>
      <w:r w:rsidR="00E819AC" w:rsidRPr="005952C0">
        <w:rPr>
          <w:lang w:val="en-GB"/>
        </w:rPr>
        <w:t xml:space="preserve"> This result suggests</w:t>
      </w:r>
      <w:r w:rsidR="00285646" w:rsidRPr="005952C0">
        <w:rPr>
          <w:lang w:val="en-GB"/>
        </w:rPr>
        <w:t xml:space="preserve"> that, in addition to providing ongoing consumption data </w:t>
      </w:r>
      <w:r w:rsidR="000F4169">
        <w:rPr>
          <w:lang w:val="en-GB"/>
        </w:rPr>
        <w:t xml:space="preserve">available </w:t>
      </w:r>
      <w:r w:rsidR="00285646" w:rsidRPr="005952C0">
        <w:rPr>
          <w:lang w:val="en-GB"/>
        </w:rPr>
        <w:t xml:space="preserve">for households to access whenever required, water-use feedback provision via the MHOW online portal could have a particularly important role to play under </w:t>
      </w:r>
      <w:r w:rsidR="006A360F" w:rsidRPr="005952C0">
        <w:rPr>
          <w:lang w:val="en-GB"/>
        </w:rPr>
        <w:t xml:space="preserve">urgent </w:t>
      </w:r>
      <w:r w:rsidR="00285646" w:rsidRPr="005952C0">
        <w:rPr>
          <w:lang w:val="en-GB"/>
        </w:rPr>
        <w:t xml:space="preserve">short-term supply constraints </w:t>
      </w:r>
      <w:r w:rsidR="00740AD1">
        <w:rPr>
          <w:lang w:val="en-GB"/>
        </w:rPr>
        <w:t>(</w:t>
      </w:r>
      <w:r w:rsidR="00285646" w:rsidRPr="005952C0">
        <w:rPr>
          <w:lang w:val="en-GB"/>
        </w:rPr>
        <w:t>e.g. drought</w:t>
      </w:r>
      <w:r w:rsidR="00740AD1">
        <w:rPr>
          <w:lang w:val="en-GB"/>
        </w:rPr>
        <w:t>)</w:t>
      </w:r>
      <w:r w:rsidR="00285646" w:rsidRPr="005952C0">
        <w:rPr>
          <w:lang w:val="en-GB"/>
        </w:rPr>
        <w:t xml:space="preserve">. </w:t>
      </w:r>
    </w:p>
    <w:p w14:paraId="52AECF5D" w14:textId="6BC3C31B" w:rsidR="000B6282" w:rsidRPr="005952C0" w:rsidRDefault="000B6282" w:rsidP="005952C0">
      <w:pPr>
        <w:pStyle w:val="Text"/>
        <w:ind w:firstLine="0"/>
        <w:rPr>
          <w:lang w:val="en-GB"/>
        </w:rPr>
      </w:pPr>
      <w:r w:rsidRPr="005952C0">
        <w:rPr>
          <w:lang w:val="en-GB"/>
        </w:rPr>
        <w:t xml:space="preserve">More extensive and continuous engagement remains a key challenge for </w:t>
      </w:r>
      <w:r w:rsidR="008A43EC" w:rsidRPr="005952C0">
        <w:rPr>
          <w:lang w:val="en-GB"/>
        </w:rPr>
        <w:t xml:space="preserve">water utilities and </w:t>
      </w:r>
      <w:r w:rsidRPr="005952C0">
        <w:rPr>
          <w:lang w:val="en-GB"/>
        </w:rPr>
        <w:t>policy makers and future research is n</w:t>
      </w:r>
      <w:r w:rsidR="008A43EC" w:rsidRPr="005952C0">
        <w:rPr>
          <w:lang w:val="en-GB"/>
        </w:rPr>
        <w:t>eeded to maximi</w:t>
      </w:r>
      <w:r w:rsidR="00CB6C62">
        <w:rPr>
          <w:lang w:val="en-GB"/>
        </w:rPr>
        <w:t>s</w:t>
      </w:r>
      <w:r w:rsidR="008A43EC" w:rsidRPr="005952C0">
        <w:rPr>
          <w:lang w:val="en-GB"/>
        </w:rPr>
        <w:t xml:space="preserve">e the </w:t>
      </w:r>
      <w:r w:rsidRPr="005952C0">
        <w:rPr>
          <w:lang w:val="en-GB"/>
        </w:rPr>
        <w:t xml:space="preserve">involvement of end-customers in the opportunities for improved water-use management afforded by the age of smart water metering. Further research is specifically required in terms of promoting household user engagement, understanding the potential role for online feedback portals in varying contexts (e.g. drought) and in </w:t>
      </w:r>
      <w:r w:rsidR="008A43EC" w:rsidRPr="005952C0">
        <w:rPr>
          <w:lang w:val="en-GB"/>
        </w:rPr>
        <w:t xml:space="preserve">suitably expanding online portal functionality. </w:t>
      </w:r>
    </w:p>
    <w:p w14:paraId="1746E33C" w14:textId="77777777" w:rsidR="000B6282" w:rsidRPr="005952C0" w:rsidRDefault="000B6282" w:rsidP="00F8425F">
      <w:pPr>
        <w:pStyle w:val="Text"/>
        <w:ind w:firstLine="0"/>
        <w:rPr>
          <w:lang w:val="en-GB"/>
        </w:rPr>
      </w:pPr>
    </w:p>
    <w:p w14:paraId="73F80CAB" w14:textId="382C0642" w:rsidR="00B120F3" w:rsidRPr="005952C0" w:rsidRDefault="00735311" w:rsidP="00C81368">
      <w:pPr>
        <w:pStyle w:val="Heading-Main"/>
        <w:rPr>
          <w:lang w:val="en-GB"/>
        </w:rPr>
      </w:pPr>
      <w:r w:rsidRPr="005952C0">
        <w:rPr>
          <w:lang w:val="en-GB"/>
        </w:rPr>
        <w:t>Acknowledgments</w:t>
      </w:r>
    </w:p>
    <w:p w14:paraId="3F8F791C" w14:textId="23BF4C0D" w:rsidR="00C55B7A" w:rsidRPr="00DF73BB" w:rsidRDefault="000B6282" w:rsidP="00B120F3">
      <w:pPr>
        <w:pStyle w:val="Text"/>
        <w:ind w:firstLine="0"/>
        <w:rPr>
          <w:lang w:val="en-GB"/>
        </w:rPr>
      </w:pPr>
      <w:r w:rsidRPr="005952C0">
        <w:rPr>
          <w:bCs/>
          <w:lang w:val="en-GB"/>
        </w:rPr>
        <w:t xml:space="preserve">This research was supported </w:t>
      </w:r>
      <w:r w:rsidR="0044130A">
        <w:rPr>
          <w:bCs/>
          <w:lang w:val="en-GB"/>
        </w:rPr>
        <w:t>by</w:t>
      </w:r>
      <w:r w:rsidR="0044130A" w:rsidRPr="005952C0">
        <w:rPr>
          <w:bCs/>
          <w:lang w:val="en-GB"/>
        </w:rPr>
        <w:t xml:space="preserve"> </w:t>
      </w:r>
      <w:r w:rsidRPr="005952C0">
        <w:rPr>
          <w:bCs/>
          <w:lang w:val="en-GB"/>
        </w:rPr>
        <w:t>the Australian Research Council’s Linkage Projects funding scheme (LP110200767). The authors thank Chenxi Zeng (MidCoast Water), and James Riddell and Robert Yin (Outpost Central)</w:t>
      </w:r>
      <w:r w:rsidR="0044130A">
        <w:rPr>
          <w:bCs/>
          <w:lang w:val="en-GB"/>
        </w:rPr>
        <w:t xml:space="preserve"> and the household study participants</w:t>
      </w:r>
      <w:r w:rsidRPr="005952C0">
        <w:rPr>
          <w:bCs/>
          <w:lang w:val="en-GB"/>
        </w:rPr>
        <w:t xml:space="preserve"> for their collaboration. Thanks are also due to Thomas Boyle and Candice Delaney (ISF) for contributions to the study and portal design and Ian Chong for design work. </w:t>
      </w:r>
    </w:p>
    <w:p w14:paraId="2449693D" w14:textId="77777777" w:rsidR="00C55B7A" w:rsidRDefault="00C55B7A" w:rsidP="00F8425F">
      <w:pPr>
        <w:pStyle w:val="Heading-Main"/>
        <w:rPr>
          <w:lang w:val="en-GB"/>
        </w:rPr>
      </w:pPr>
    </w:p>
    <w:p w14:paraId="3F7A60D9" w14:textId="5491E933" w:rsidR="00C55B7A" w:rsidRPr="00F8425F" w:rsidRDefault="00C55B7A" w:rsidP="00F8425F">
      <w:pPr>
        <w:pStyle w:val="Heading-Main"/>
        <w:rPr>
          <w:lang w:val="en-GB"/>
        </w:rPr>
      </w:pPr>
      <w:r w:rsidRPr="00F8425F">
        <w:rPr>
          <w:lang w:val="en-GB"/>
        </w:rPr>
        <w:t>Disclosure statement</w:t>
      </w:r>
    </w:p>
    <w:p w14:paraId="1C9F3F90" w14:textId="3F84CD27" w:rsidR="00C55B7A" w:rsidRPr="00F8425F" w:rsidRDefault="00C55B7A" w:rsidP="00C55B7A">
      <w:pPr>
        <w:rPr>
          <w:rFonts w:eastAsia="Times New Roman"/>
          <w:bCs/>
          <w:sz w:val="24"/>
          <w:szCs w:val="24"/>
          <w:lang w:val="en-GB"/>
        </w:rPr>
      </w:pPr>
      <w:r>
        <w:rPr>
          <w:rFonts w:eastAsia="Times New Roman"/>
          <w:bCs/>
          <w:sz w:val="24"/>
          <w:szCs w:val="24"/>
          <w:lang w:val="en-GB"/>
        </w:rPr>
        <w:t>The authors declare n</w:t>
      </w:r>
      <w:r w:rsidRPr="00F8425F">
        <w:rPr>
          <w:rFonts w:eastAsia="Times New Roman"/>
          <w:bCs/>
          <w:sz w:val="24"/>
          <w:szCs w:val="24"/>
          <w:lang w:val="en-GB"/>
        </w:rPr>
        <w:t>o potential conflict o</w:t>
      </w:r>
      <w:r>
        <w:rPr>
          <w:rFonts w:eastAsia="Times New Roman"/>
          <w:bCs/>
          <w:sz w:val="24"/>
          <w:szCs w:val="24"/>
          <w:lang w:val="en-GB"/>
        </w:rPr>
        <w:t xml:space="preserve">f interest. </w:t>
      </w:r>
    </w:p>
    <w:p w14:paraId="27ACBBA0" w14:textId="77777777" w:rsidR="00C55B7A" w:rsidRPr="005952C0" w:rsidRDefault="00C55B7A" w:rsidP="00B120F3">
      <w:pPr>
        <w:pStyle w:val="Text"/>
        <w:ind w:firstLine="0"/>
        <w:rPr>
          <w:bCs/>
          <w:lang w:val="en-GB"/>
        </w:rPr>
      </w:pPr>
    </w:p>
    <w:p w14:paraId="5A91F46B" w14:textId="1120D0B7" w:rsidR="008A6077" w:rsidRPr="005952C0" w:rsidRDefault="00B120F3" w:rsidP="00C81368">
      <w:pPr>
        <w:pStyle w:val="Heading-Main"/>
        <w:rPr>
          <w:lang w:val="en-GB"/>
        </w:rPr>
      </w:pPr>
      <w:r w:rsidRPr="005952C0">
        <w:rPr>
          <w:lang w:val="en-GB"/>
        </w:rPr>
        <w:t>References</w:t>
      </w:r>
    </w:p>
    <w:p w14:paraId="1D311E03" w14:textId="7DC53D2B" w:rsidR="000B6282" w:rsidRPr="005952C0" w:rsidRDefault="000B6282" w:rsidP="000B6282">
      <w:pPr>
        <w:pStyle w:val="Reference"/>
        <w:rPr>
          <w:bCs/>
          <w:kern w:val="28"/>
          <w:lang w:val="en-GB"/>
        </w:rPr>
      </w:pPr>
      <w:r w:rsidRPr="005952C0">
        <w:rPr>
          <w:bCs/>
          <w:kern w:val="28"/>
          <w:lang w:val="en-GB"/>
        </w:rPr>
        <w:t xml:space="preserve">Beal, C.D., and Flynn </w:t>
      </w:r>
      <w:r w:rsidR="002D2A9A" w:rsidRPr="005952C0">
        <w:rPr>
          <w:bCs/>
          <w:kern w:val="28"/>
          <w:lang w:val="en-GB"/>
        </w:rPr>
        <w:t>J.</w:t>
      </w:r>
      <w:r w:rsidR="002D2A9A">
        <w:rPr>
          <w:bCs/>
          <w:kern w:val="28"/>
          <w:lang w:val="en-GB"/>
        </w:rPr>
        <w:t>,</w:t>
      </w:r>
      <w:r w:rsidR="002D2A9A" w:rsidRPr="005952C0">
        <w:rPr>
          <w:bCs/>
          <w:kern w:val="28"/>
          <w:lang w:val="en-GB"/>
        </w:rPr>
        <w:t xml:space="preserve"> </w:t>
      </w:r>
      <w:r w:rsidR="002D2A9A">
        <w:rPr>
          <w:bCs/>
          <w:kern w:val="28"/>
          <w:lang w:val="en-GB"/>
        </w:rPr>
        <w:t>2015.</w:t>
      </w:r>
      <w:r w:rsidRPr="005952C0">
        <w:rPr>
          <w:bCs/>
          <w:kern w:val="28"/>
          <w:lang w:val="en-GB"/>
        </w:rPr>
        <w:t xml:space="preserve"> Toward the digital water age: Survey and case studies of Australian water utility smart-metering programs. Util. Policy</w:t>
      </w:r>
      <w:r w:rsidR="00CC1435">
        <w:rPr>
          <w:bCs/>
          <w:kern w:val="28"/>
          <w:lang w:val="en-GB"/>
        </w:rPr>
        <w:t>.</w:t>
      </w:r>
      <w:r w:rsidRPr="005952C0">
        <w:rPr>
          <w:bCs/>
          <w:kern w:val="28"/>
          <w:lang w:val="en-GB"/>
        </w:rPr>
        <w:t xml:space="preserve"> 32, 29–37. doi:10.1016/j.jup.2014.12.006</w:t>
      </w:r>
      <w:r w:rsidR="006A6BFA">
        <w:rPr>
          <w:bCs/>
          <w:kern w:val="28"/>
          <w:lang w:val="en-GB"/>
        </w:rPr>
        <w:t>.</w:t>
      </w:r>
    </w:p>
    <w:p w14:paraId="005916AF" w14:textId="73D208FA" w:rsidR="000B6282" w:rsidRPr="005952C0" w:rsidRDefault="000B6282" w:rsidP="000B6282">
      <w:pPr>
        <w:pStyle w:val="Reference"/>
        <w:rPr>
          <w:bCs/>
          <w:kern w:val="28"/>
          <w:lang w:val="en-GB"/>
        </w:rPr>
      </w:pPr>
      <w:r w:rsidRPr="005952C0">
        <w:rPr>
          <w:bCs/>
          <w:kern w:val="28"/>
          <w:lang w:val="en-GB"/>
        </w:rPr>
        <w:t xml:space="preserve">Beal, C.D., </w:t>
      </w:r>
      <w:r w:rsidR="00B31115">
        <w:rPr>
          <w:bCs/>
          <w:kern w:val="28"/>
          <w:lang w:val="en-GB"/>
        </w:rPr>
        <w:t>et al</w:t>
      </w:r>
      <w:r w:rsidR="002D2A9A" w:rsidRPr="005952C0">
        <w:rPr>
          <w:bCs/>
          <w:kern w:val="28"/>
          <w:lang w:val="en-GB"/>
        </w:rPr>
        <w:t>.</w:t>
      </w:r>
      <w:r w:rsidR="002D2A9A">
        <w:rPr>
          <w:bCs/>
          <w:kern w:val="28"/>
          <w:lang w:val="en-GB"/>
        </w:rPr>
        <w:t xml:space="preserve">, </w:t>
      </w:r>
      <w:r w:rsidRPr="005952C0">
        <w:rPr>
          <w:bCs/>
          <w:kern w:val="28"/>
          <w:lang w:val="en-GB"/>
        </w:rPr>
        <w:t>2013</w:t>
      </w:r>
      <w:r w:rsidR="002D2A9A">
        <w:rPr>
          <w:bCs/>
          <w:kern w:val="28"/>
          <w:lang w:val="en-GB"/>
        </w:rPr>
        <w:t>.</w:t>
      </w:r>
      <w:r w:rsidRPr="005952C0">
        <w:rPr>
          <w:bCs/>
          <w:kern w:val="28"/>
          <w:lang w:val="en-GB"/>
        </w:rPr>
        <w:t xml:space="preserve"> Mind or machine? Examining the drivers of residential water end-use efficiency. Water J. Aust. Water Assoc. 40</w:t>
      </w:r>
      <w:r w:rsidR="006A6BFA">
        <w:rPr>
          <w:bCs/>
          <w:kern w:val="28"/>
          <w:lang w:val="en-GB"/>
        </w:rPr>
        <w:t xml:space="preserve"> (3)</w:t>
      </w:r>
      <w:r w:rsidRPr="005952C0">
        <w:rPr>
          <w:bCs/>
          <w:kern w:val="28"/>
          <w:lang w:val="en-GB"/>
        </w:rPr>
        <w:t>, 66–70.</w:t>
      </w:r>
    </w:p>
    <w:p w14:paraId="74C7F6E3" w14:textId="7BC7481D" w:rsidR="000B6282" w:rsidRPr="005952C0" w:rsidRDefault="00DB6D5A" w:rsidP="000B6282">
      <w:pPr>
        <w:pStyle w:val="Reference"/>
        <w:rPr>
          <w:bCs/>
          <w:kern w:val="28"/>
          <w:lang w:val="en-GB"/>
        </w:rPr>
      </w:pPr>
      <w:r w:rsidRPr="005952C0">
        <w:rPr>
          <w:bCs/>
          <w:kern w:val="28"/>
          <w:lang w:val="en-GB"/>
        </w:rPr>
        <w:t xml:space="preserve">Bonino, D., </w:t>
      </w:r>
      <w:r w:rsidR="00D81E5B" w:rsidRPr="005952C0">
        <w:rPr>
          <w:bCs/>
          <w:kern w:val="28"/>
          <w:lang w:val="en-GB"/>
        </w:rPr>
        <w:t>Corno,</w:t>
      </w:r>
      <w:r w:rsidR="000B6282" w:rsidRPr="005952C0">
        <w:rPr>
          <w:bCs/>
          <w:kern w:val="28"/>
          <w:lang w:val="en-GB"/>
        </w:rPr>
        <w:t xml:space="preserve"> </w:t>
      </w:r>
      <w:r w:rsidR="002D2A9A" w:rsidRPr="005952C0">
        <w:rPr>
          <w:bCs/>
          <w:kern w:val="28"/>
          <w:lang w:val="en-GB"/>
        </w:rPr>
        <w:t>F.</w:t>
      </w:r>
      <w:r w:rsidR="002D2A9A">
        <w:rPr>
          <w:bCs/>
          <w:kern w:val="28"/>
          <w:lang w:val="en-GB"/>
        </w:rPr>
        <w:t>,</w:t>
      </w:r>
      <w:r w:rsidR="002D2A9A" w:rsidRPr="005952C0">
        <w:rPr>
          <w:bCs/>
          <w:kern w:val="28"/>
          <w:lang w:val="en-GB"/>
        </w:rPr>
        <w:t xml:space="preserve"> </w:t>
      </w:r>
      <w:r w:rsidRPr="005952C0">
        <w:rPr>
          <w:bCs/>
          <w:kern w:val="28"/>
          <w:lang w:val="en-GB"/>
        </w:rPr>
        <w:t>and De Russis</w:t>
      </w:r>
      <w:r w:rsidR="002D2A9A">
        <w:rPr>
          <w:bCs/>
          <w:kern w:val="28"/>
          <w:lang w:val="en-GB"/>
        </w:rPr>
        <w:t>,</w:t>
      </w:r>
      <w:r w:rsidR="000B6282" w:rsidRPr="005952C0">
        <w:rPr>
          <w:bCs/>
          <w:kern w:val="28"/>
          <w:lang w:val="en-GB"/>
        </w:rPr>
        <w:t xml:space="preserve"> </w:t>
      </w:r>
      <w:r w:rsidR="002D2A9A" w:rsidRPr="005952C0">
        <w:rPr>
          <w:bCs/>
          <w:kern w:val="28"/>
          <w:lang w:val="en-GB"/>
        </w:rPr>
        <w:t>L.</w:t>
      </w:r>
      <w:r w:rsidR="002D2A9A">
        <w:rPr>
          <w:bCs/>
          <w:kern w:val="28"/>
          <w:lang w:val="en-GB"/>
        </w:rPr>
        <w:t xml:space="preserve">, </w:t>
      </w:r>
      <w:r w:rsidR="000B6282" w:rsidRPr="005952C0">
        <w:rPr>
          <w:bCs/>
          <w:kern w:val="28"/>
          <w:lang w:val="en-GB"/>
        </w:rPr>
        <w:t>2012</w:t>
      </w:r>
      <w:r w:rsidR="002D2A9A">
        <w:rPr>
          <w:bCs/>
          <w:kern w:val="28"/>
          <w:lang w:val="en-GB"/>
        </w:rPr>
        <w:t>.</w:t>
      </w:r>
      <w:r w:rsidR="000B6282" w:rsidRPr="005952C0">
        <w:rPr>
          <w:bCs/>
          <w:kern w:val="28"/>
          <w:lang w:val="en-GB"/>
        </w:rPr>
        <w:t xml:space="preserve"> Home energy consumption feedback: a user survey. Energy Build. 47, 383–393. doi:10.1016/j.enbuild.2011.12.017</w:t>
      </w:r>
    </w:p>
    <w:p w14:paraId="36574EF7" w14:textId="20AB16FF" w:rsidR="000B6282" w:rsidRDefault="000B6282" w:rsidP="000B6282">
      <w:pPr>
        <w:pStyle w:val="Reference"/>
        <w:rPr>
          <w:bCs/>
          <w:kern w:val="28"/>
          <w:lang w:val="en-GB"/>
        </w:rPr>
      </w:pPr>
      <w:r w:rsidRPr="005952C0">
        <w:rPr>
          <w:bCs/>
          <w:kern w:val="28"/>
          <w:lang w:val="en-GB"/>
        </w:rPr>
        <w:lastRenderedPageBreak/>
        <w:t xml:space="preserve">Boyle, T., </w:t>
      </w:r>
      <w:r w:rsidR="00B31115">
        <w:rPr>
          <w:bCs/>
          <w:kern w:val="28"/>
          <w:lang w:val="en-GB"/>
        </w:rPr>
        <w:t>et al</w:t>
      </w:r>
      <w:r w:rsidR="002D2A9A" w:rsidRPr="005952C0">
        <w:rPr>
          <w:bCs/>
          <w:kern w:val="28"/>
          <w:lang w:val="en-GB"/>
        </w:rPr>
        <w:t>.</w:t>
      </w:r>
      <w:r w:rsidR="002D2A9A">
        <w:rPr>
          <w:bCs/>
          <w:kern w:val="28"/>
          <w:lang w:val="en-GB"/>
        </w:rPr>
        <w:t xml:space="preserve">, </w:t>
      </w:r>
      <w:r w:rsidRPr="005952C0">
        <w:rPr>
          <w:bCs/>
          <w:kern w:val="28"/>
          <w:lang w:val="en-GB"/>
        </w:rPr>
        <w:t>2013</w:t>
      </w:r>
      <w:r w:rsidR="002D2A9A">
        <w:rPr>
          <w:bCs/>
          <w:kern w:val="28"/>
          <w:lang w:val="en-GB"/>
        </w:rPr>
        <w:t>.</w:t>
      </w:r>
      <w:r w:rsidRPr="005952C0">
        <w:rPr>
          <w:bCs/>
          <w:kern w:val="28"/>
          <w:lang w:val="en-GB"/>
        </w:rPr>
        <w:t xml:space="preserve"> Intelligent metering for urban water: a review. Water 5</w:t>
      </w:r>
      <w:r w:rsidR="004B2AC5">
        <w:rPr>
          <w:bCs/>
          <w:kern w:val="28"/>
          <w:lang w:val="en-GB"/>
        </w:rPr>
        <w:t xml:space="preserve"> (3)</w:t>
      </w:r>
      <w:r w:rsidRPr="005952C0">
        <w:rPr>
          <w:bCs/>
          <w:kern w:val="28"/>
          <w:lang w:val="en-GB"/>
        </w:rPr>
        <w:t>, 1052–1081. doi:10.3390/w5031052</w:t>
      </w:r>
      <w:r w:rsidR="006A6BFA">
        <w:rPr>
          <w:bCs/>
          <w:kern w:val="28"/>
          <w:lang w:val="en-GB"/>
        </w:rPr>
        <w:t>.</w:t>
      </w:r>
    </w:p>
    <w:p w14:paraId="55B12681" w14:textId="6E77858A" w:rsidR="004B2AC5" w:rsidRPr="005952C0" w:rsidRDefault="004B2AC5" w:rsidP="000B6282">
      <w:pPr>
        <w:pStyle w:val="Reference"/>
        <w:rPr>
          <w:bCs/>
          <w:kern w:val="28"/>
          <w:lang w:val="en-GB"/>
        </w:rPr>
      </w:pPr>
      <w:r>
        <w:rPr>
          <w:bCs/>
          <w:kern w:val="28"/>
          <w:lang w:val="en-GB"/>
        </w:rPr>
        <w:t>Cole, G., and Stewart</w:t>
      </w:r>
      <w:r w:rsidR="002D2A9A">
        <w:rPr>
          <w:bCs/>
          <w:kern w:val="28"/>
          <w:lang w:val="en-GB"/>
        </w:rPr>
        <w:t>,</w:t>
      </w:r>
      <w:r>
        <w:rPr>
          <w:bCs/>
          <w:kern w:val="28"/>
          <w:lang w:val="en-GB"/>
        </w:rPr>
        <w:t xml:space="preserve"> </w:t>
      </w:r>
      <w:r w:rsidR="002D2A9A">
        <w:rPr>
          <w:bCs/>
          <w:kern w:val="28"/>
          <w:lang w:val="en-GB"/>
        </w:rPr>
        <w:t>R., 2013.</w:t>
      </w:r>
      <w:r>
        <w:rPr>
          <w:bCs/>
          <w:kern w:val="28"/>
          <w:lang w:val="en-GB"/>
        </w:rPr>
        <w:t xml:space="preserve"> Smart meter enabled disaggregation of urban peak water demand: precursor to effective urban water planning. Urban Water J</w:t>
      </w:r>
      <w:r w:rsidR="00A51C28">
        <w:rPr>
          <w:bCs/>
          <w:kern w:val="28"/>
          <w:lang w:val="en-GB"/>
        </w:rPr>
        <w:t xml:space="preserve">. </w:t>
      </w:r>
      <w:r>
        <w:rPr>
          <w:bCs/>
          <w:kern w:val="28"/>
          <w:lang w:val="en-GB"/>
        </w:rPr>
        <w:t>10 (3), 174</w:t>
      </w:r>
      <w:r w:rsidRPr="005952C0">
        <w:rPr>
          <w:bCs/>
          <w:kern w:val="28"/>
          <w:lang w:val="en-GB"/>
        </w:rPr>
        <w:t>–</w:t>
      </w:r>
      <w:r>
        <w:rPr>
          <w:bCs/>
          <w:kern w:val="28"/>
          <w:lang w:val="en-GB"/>
        </w:rPr>
        <w:t xml:space="preserve">194. doi: </w:t>
      </w:r>
      <w:r w:rsidRPr="004B2AC5">
        <w:rPr>
          <w:bCs/>
          <w:kern w:val="28"/>
          <w:lang w:val="en-GB"/>
        </w:rPr>
        <w:t>10.1080/1573062X.2012.716446</w:t>
      </w:r>
      <w:r w:rsidR="006A6BFA">
        <w:rPr>
          <w:bCs/>
          <w:kern w:val="28"/>
          <w:lang w:val="en-GB"/>
        </w:rPr>
        <w:t>.</w:t>
      </w:r>
    </w:p>
    <w:p w14:paraId="4E7D1C31" w14:textId="7189820A" w:rsidR="000B6282" w:rsidRPr="005952C0" w:rsidRDefault="000B6282" w:rsidP="000B6282">
      <w:pPr>
        <w:pStyle w:val="Reference"/>
        <w:rPr>
          <w:bCs/>
          <w:kern w:val="28"/>
          <w:lang w:val="en-GB"/>
        </w:rPr>
      </w:pPr>
      <w:r w:rsidRPr="005952C0">
        <w:rPr>
          <w:bCs/>
          <w:kern w:val="28"/>
          <w:lang w:val="en-GB"/>
        </w:rPr>
        <w:t xml:space="preserve">Burgess, J., Harrison, </w:t>
      </w:r>
      <w:r w:rsidR="002D2A9A" w:rsidRPr="005952C0">
        <w:rPr>
          <w:bCs/>
          <w:kern w:val="28"/>
          <w:lang w:val="en-GB"/>
        </w:rPr>
        <w:t>C.</w:t>
      </w:r>
      <w:r w:rsidR="002D2A9A">
        <w:rPr>
          <w:bCs/>
          <w:kern w:val="28"/>
          <w:lang w:val="en-GB"/>
        </w:rPr>
        <w:t>,</w:t>
      </w:r>
      <w:r w:rsidR="002D2A9A" w:rsidRPr="005952C0">
        <w:rPr>
          <w:bCs/>
          <w:kern w:val="28"/>
          <w:lang w:val="en-GB"/>
        </w:rPr>
        <w:t xml:space="preserve"> </w:t>
      </w:r>
      <w:r w:rsidR="001E1698" w:rsidRPr="005952C0">
        <w:rPr>
          <w:bCs/>
          <w:kern w:val="28"/>
          <w:lang w:val="en-GB"/>
        </w:rPr>
        <w:t>and Filius</w:t>
      </w:r>
      <w:r w:rsidR="002D2A9A">
        <w:rPr>
          <w:bCs/>
          <w:kern w:val="28"/>
          <w:lang w:val="en-GB"/>
        </w:rPr>
        <w:t>,</w:t>
      </w:r>
      <w:r w:rsidRPr="005952C0">
        <w:rPr>
          <w:bCs/>
          <w:kern w:val="28"/>
          <w:lang w:val="en-GB"/>
        </w:rPr>
        <w:t xml:space="preserve"> </w:t>
      </w:r>
      <w:r w:rsidR="002D2A9A" w:rsidRPr="005952C0">
        <w:rPr>
          <w:bCs/>
          <w:kern w:val="28"/>
          <w:lang w:val="en-GB"/>
        </w:rPr>
        <w:t>P.</w:t>
      </w:r>
      <w:r w:rsidR="002D2A9A">
        <w:rPr>
          <w:bCs/>
          <w:kern w:val="28"/>
          <w:lang w:val="en-GB"/>
        </w:rPr>
        <w:t>,</w:t>
      </w:r>
      <w:r w:rsidR="002D2A9A" w:rsidRPr="005952C0">
        <w:rPr>
          <w:bCs/>
          <w:kern w:val="28"/>
          <w:lang w:val="en-GB"/>
        </w:rPr>
        <w:t xml:space="preserve"> </w:t>
      </w:r>
      <w:r w:rsidRPr="005952C0">
        <w:rPr>
          <w:bCs/>
          <w:kern w:val="28"/>
          <w:lang w:val="en-GB"/>
        </w:rPr>
        <w:t>1998. Environmental communication and the cultural politics of environmental citizenship. Environ. Plan. A</w:t>
      </w:r>
      <w:r w:rsidR="00CC1435">
        <w:rPr>
          <w:bCs/>
          <w:kern w:val="28"/>
          <w:lang w:val="en-GB"/>
        </w:rPr>
        <w:t>.</w:t>
      </w:r>
      <w:r w:rsidRPr="005952C0">
        <w:rPr>
          <w:bCs/>
          <w:kern w:val="28"/>
          <w:lang w:val="en-GB"/>
        </w:rPr>
        <w:t xml:space="preserve"> 30</w:t>
      </w:r>
      <w:r w:rsidR="006A6BFA">
        <w:rPr>
          <w:bCs/>
          <w:kern w:val="28"/>
          <w:lang w:val="en-GB"/>
        </w:rPr>
        <w:t xml:space="preserve"> (8)</w:t>
      </w:r>
      <w:r w:rsidRPr="005952C0">
        <w:rPr>
          <w:bCs/>
          <w:kern w:val="28"/>
          <w:lang w:val="en-GB"/>
        </w:rPr>
        <w:t>, 1445–1460. doi:10.1068/a301445</w:t>
      </w:r>
      <w:r w:rsidR="006A6BFA">
        <w:rPr>
          <w:bCs/>
          <w:kern w:val="28"/>
          <w:lang w:val="en-GB"/>
        </w:rPr>
        <w:t>.</w:t>
      </w:r>
    </w:p>
    <w:p w14:paraId="30AF6210" w14:textId="43FB7CC4" w:rsidR="000B6282" w:rsidRPr="005952C0" w:rsidRDefault="000B6282" w:rsidP="000B6282">
      <w:pPr>
        <w:pStyle w:val="Reference"/>
        <w:rPr>
          <w:bCs/>
          <w:kern w:val="28"/>
          <w:lang w:val="en-GB"/>
        </w:rPr>
      </w:pPr>
      <w:r w:rsidRPr="005952C0">
        <w:rPr>
          <w:bCs/>
          <w:kern w:val="28"/>
          <w:lang w:val="en-GB"/>
        </w:rPr>
        <w:t xml:space="preserve">Davies, K., </w:t>
      </w:r>
      <w:r w:rsidR="00B31115">
        <w:rPr>
          <w:bCs/>
          <w:kern w:val="28"/>
          <w:lang w:val="en-GB"/>
        </w:rPr>
        <w:t>et al</w:t>
      </w:r>
      <w:r w:rsidR="002D2A9A" w:rsidRPr="005952C0">
        <w:rPr>
          <w:bCs/>
          <w:kern w:val="28"/>
          <w:lang w:val="en-GB"/>
        </w:rPr>
        <w:t>.</w:t>
      </w:r>
      <w:r w:rsidR="002D2A9A">
        <w:rPr>
          <w:bCs/>
          <w:kern w:val="28"/>
          <w:lang w:val="en-GB"/>
        </w:rPr>
        <w:t>,</w:t>
      </w:r>
      <w:r w:rsidR="002D2A9A" w:rsidRPr="005952C0">
        <w:rPr>
          <w:bCs/>
          <w:kern w:val="28"/>
          <w:lang w:val="en-GB"/>
        </w:rPr>
        <w:t xml:space="preserve"> </w:t>
      </w:r>
      <w:r w:rsidRPr="005952C0">
        <w:rPr>
          <w:bCs/>
          <w:kern w:val="28"/>
          <w:lang w:val="en-GB"/>
        </w:rPr>
        <w:t>2014</w:t>
      </w:r>
      <w:r w:rsidR="002D2A9A">
        <w:rPr>
          <w:bCs/>
          <w:kern w:val="28"/>
          <w:lang w:val="en-GB"/>
        </w:rPr>
        <w:t>.</w:t>
      </w:r>
      <w:r w:rsidRPr="005952C0">
        <w:rPr>
          <w:bCs/>
          <w:kern w:val="28"/>
          <w:lang w:val="en-GB"/>
        </w:rPr>
        <w:t xml:space="preserve"> Water-saving impacts of smart meter technology: an empirical 5 year, whole-of-community study in Sydney, Australia. Water Resour. Res. 50, 7348–58. doi:10.1002/2014WR015812.</w:t>
      </w:r>
    </w:p>
    <w:p w14:paraId="5351C69E" w14:textId="252EE632" w:rsidR="000B6282" w:rsidRPr="005952C0" w:rsidRDefault="001E1698" w:rsidP="000B6282">
      <w:pPr>
        <w:pStyle w:val="Reference"/>
        <w:rPr>
          <w:bCs/>
          <w:kern w:val="28"/>
          <w:lang w:val="en-GB"/>
        </w:rPr>
      </w:pPr>
      <w:r w:rsidRPr="005952C0">
        <w:rPr>
          <w:bCs/>
          <w:kern w:val="28"/>
          <w:lang w:val="en-GB"/>
        </w:rPr>
        <w:t>Davis, F.D.</w:t>
      </w:r>
      <w:r w:rsidR="001E1475">
        <w:rPr>
          <w:bCs/>
          <w:kern w:val="28"/>
          <w:lang w:val="en-GB"/>
        </w:rPr>
        <w:t>,</w:t>
      </w:r>
      <w:r w:rsidR="000B6282" w:rsidRPr="005952C0">
        <w:rPr>
          <w:bCs/>
          <w:kern w:val="28"/>
          <w:lang w:val="en-GB"/>
        </w:rPr>
        <w:t xml:space="preserve"> 1986</w:t>
      </w:r>
      <w:r w:rsidR="00F85DAB">
        <w:rPr>
          <w:bCs/>
          <w:kern w:val="28"/>
          <w:lang w:val="en-GB"/>
        </w:rPr>
        <w:t>.</w:t>
      </w:r>
      <w:r w:rsidR="000B6282" w:rsidRPr="005952C0">
        <w:rPr>
          <w:bCs/>
          <w:kern w:val="28"/>
          <w:lang w:val="en-GB"/>
        </w:rPr>
        <w:t xml:space="preserve"> A Technology Acceptance Model for Empirically Testing New End-User Information Systems: Theory and Results. Massachusetts Institute of Technology.</w:t>
      </w:r>
    </w:p>
    <w:p w14:paraId="6B84ABC4" w14:textId="50D9EE37" w:rsidR="000B6282" w:rsidRPr="005952C0" w:rsidRDefault="000B6282" w:rsidP="000B6282">
      <w:pPr>
        <w:pStyle w:val="Reference"/>
        <w:rPr>
          <w:bCs/>
          <w:kern w:val="28"/>
          <w:lang w:val="en-GB"/>
        </w:rPr>
      </w:pPr>
      <w:r w:rsidRPr="005952C0">
        <w:rPr>
          <w:bCs/>
          <w:kern w:val="28"/>
          <w:lang w:val="en-GB"/>
        </w:rPr>
        <w:t xml:space="preserve">Erickson, T., </w:t>
      </w:r>
      <w:r w:rsidR="00B31115">
        <w:rPr>
          <w:bCs/>
          <w:kern w:val="28"/>
          <w:lang w:val="en-GB"/>
        </w:rPr>
        <w:t>et al</w:t>
      </w:r>
      <w:r w:rsidR="002D2A9A" w:rsidRPr="005952C0">
        <w:rPr>
          <w:bCs/>
          <w:kern w:val="28"/>
          <w:lang w:val="en-GB"/>
        </w:rPr>
        <w:t>.</w:t>
      </w:r>
      <w:r w:rsidR="002D2A9A">
        <w:rPr>
          <w:bCs/>
          <w:kern w:val="28"/>
          <w:lang w:val="en-GB"/>
        </w:rPr>
        <w:t>,</w:t>
      </w:r>
      <w:r w:rsidR="002D2A9A" w:rsidRPr="005952C0">
        <w:rPr>
          <w:bCs/>
          <w:kern w:val="28"/>
          <w:lang w:val="en-GB"/>
        </w:rPr>
        <w:t xml:space="preserve"> </w:t>
      </w:r>
      <w:r w:rsidRPr="005952C0">
        <w:rPr>
          <w:bCs/>
          <w:kern w:val="28"/>
          <w:lang w:val="en-GB"/>
        </w:rPr>
        <w:t>2012</w:t>
      </w:r>
      <w:r w:rsidR="002D2A9A">
        <w:rPr>
          <w:bCs/>
          <w:kern w:val="28"/>
          <w:lang w:val="en-GB"/>
        </w:rPr>
        <w:t>.</w:t>
      </w:r>
      <w:r w:rsidRPr="005952C0">
        <w:rPr>
          <w:bCs/>
          <w:kern w:val="28"/>
          <w:lang w:val="en-GB"/>
        </w:rPr>
        <w:t xml:space="preserve"> The Dubuque Water Portal: evaluation of the uptake, use and impact of residential water consumption feedback, in: CHI 2012, May 5-10, 2012, Austin Texas, USA. ACM, 675–684.</w:t>
      </w:r>
    </w:p>
    <w:p w14:paraId="5BBE605C" w14:textId="5394A472" w:rsidR="000B6282" w:rsidRPr="005952C0" w:rsidRDefault="000B6282" w:rsidP="000B6282">
      <w:pPr>
        <w:pStyle w:val="Reference"/>
        <w:rPr>
          <w:bCs/>
          <w:kern w:val="28"/>
          <w:lang w:val="en-GB"/>
        </w:rPr>
      </w:pPr>
      <w:r w:rsidRPr="005952C0">
        <w:rPr>
          <w:bCs/>
          <w:kern w:val="28"/>
          <w:lang w:val="en-GB"/>
        </w:rPr>
        <w:t>Faruqui, A., Sergici,</w:t>
      </w:r>
      <w:r w:rsidR="001E1698" w:rsidRPr="005952C0">
        <w:rPr>
          <w:bCs/>
          <w:kern w:val="28"/>
          <w:lang w:val="en-GB"/>
        </w:rPr>
        <w:t xml:space="preserve"> </w:t>
      </w:r>
      <w:r w:rsidR="002D2A9A" w:rsidRPr="005952C0">
        <w:rPr>
          <w:bCs/>
          <w:kern w:val="28"/>
          <w:lang w:val="en-GB"/>
        </w:rPr>
        <w:t>S.</w:t>
      </w:r>
      <w:r w:rsidR="002D2A9A">
        <w:rPr>
          <w:bCs/>
          <w:kern w:val="28"/>
          <w:lang w:val="en-GB"/>
        </w:rPr>
        <w:t>,</w:t>
      </w:r>
      <w:r w:rsidR="002D2A9A" w:rsidRPr="005952C0">
        <w:rPr>
          <w:bCs/>
          <w:kern w:val="28"/>
          <w:lang w:val="en-GB"/>
        </w:rPr>
        <w:t xml:space="preserve"> </w:t>
      </w:r>
      <w:r w:rsidR="001E1698" w:rsidRPr="005952C0">
        <w:rPr>
          <w:bCs/>
          <w:kern w:val="28"/>
          <w:lang w:val="en-GB"/>
        </w:rPr>
        <w:t>and</w:t>
      </w:r>
      <w:r w:rsidRPr="005952C0">
        <w:rPr>
          <w:bCs/>
          <w:kern w:val="28"/>
          <w:lang w:val="en-GB"/>
        </w:rPr>
        <w:t xml:space="preserve"> Sharif</w:t>
      </w:r>
      <w:r w:rsidR="002D2A9A">
        <w:rPr>
          <w:bCs/>
          <w:kern w:val="28"/>
          <w:lang w:val="en-GB"/>
        </w:rPr>
        <w:t>,</w:t>
      </w:r>
      <w:r w:rsidRPr="005952C0">
        <w:rPr>
          <w:bCs/>
          <w:kern w:val="28"/>
          <w:lang w:val="en-GB"/>
        </w:rPr>
        <w:t xml:space="preserve"> </w:t>
      </w:r>
      <w:r w:rsidR="002D2A9A" w:rsidRPr="005952C0">
        <w:rPr>
          <w:bCs/>
          <w:kern w:val="28"/>
          <w:lang w:val="en-GB"/>
        </w:rPr>
        <w:t>A.</w:t>
      </w:r>
      <w:r w:rsidR="002D2A9A">
        <w:rPr>
          <w:bCs/>
          <w:kern w:val="28"/>
          <w:lang w:val="en-GB"/>
        </w:rPr>
        <w:t>,</w:t>
      </w:r>
      <w:r w:rsidR="002D2A9A" w:rsidRPr="005952C0">
        <w:rPr>
          <w:bCs/>
          <w:kern w:val="28"/>
          <w:lang w:val="en-GB"/>
        </w:rPr>
        <w:t xml:space="preserve"> </w:t>
      </w:r>
      <w:r w:rsidRPr="005952C0">
        <w:rPr>
          <w:bCs/>
          <w:kern w:val="28"/>
          <w:lang w:val="en-GB"/>
        </w:rPr>
        <w:t>2010</w:t>
      </w:r>
      <w:r w:rsidR="002D2A9A">
        <w:rPr>
          <w:bCs/>
          <w:kern w:val="28"/>
          <w:lang w:val="en-GB"/>
        </w:rPr>
        <w:t>.</w:t>
      </w:r>
      <w:r w:rsidRPr="005952C0">
        <w:rPr>
          <w:bCs/>
          <w:kern w:val="28"/>
          <w:lang w:val="en-GB"/>
        </w:rPr>
        <w:t xml:space="preserve"> The impact of informational feedback on energy consumption</w:t>
      </w:r>
      <w:r w:rsidR="00F85DAB">
        <w:rPr>
          <w:bCs/>
          <w:kern w:val="28"/>
          <w:lang w:val="en-GB"/>
        </w:rPr>
        <w:t>—</w:t>
      </w:r>
      <w:r w:rsidRPr="005952C0">
        <w:rPr>
          <w:bCs/>
          <w:kern w:val="28"/>
          <w:lang w:val="en-GB"/>
        </w:rPr>
        <w:t>a survey of the experimental evidence. Energy 35</w:t>
      </w:r>
      <w:r w:rsidR="006A6BFA">
        <w:rPr>
          <w:bCs/>
          <w:kern w:val="28"/>
          <w:lang w:val="en-GB"/>
        </w:rPr>
        <w:t xml:space="preserve"> (4)</w:t>
      </w:r>
      <w:r w:rsidRPr="005952C0">
        <w:rPr>
          <w:bCs/>
          <w:kern w:val="28"/>
          <w:lang w:val="en-GB"/>
        </w:rPr>
        <w:t>, 1598–1608. doi:10.1016/j.energy.2009.07.042</w:t>
      </w:r>
      <w:r w:rsidR="006A6BFA">
        <w:rPr>
          <w:bCs/>
          <w:kern w:val="28"/>
          <w:lang w:val="en-GB"/>
        </w:rPr>
        <w:t>.</w:t>
      </w:r>
    </w:p>
    <w:p w14:paraId="3183983E" w14:textId="3956007A" w:rsidR="000B6282" w:rsidRPr="005952C0" w:rsidRDefault="000B6282" w:rsidP="000B6282">
      <w:pPr>
        <w:pStyle w:val="Reference"/>
        <w:rPr>
          <w:bCs/>
          <w:kern w:val="28"/>
          <w:lang w:val="en-GB"/>
        </w:rPr>
      </w:pPr>
      <w:r w:rsidRPr="005952C0">
        <w:rPr>
          <w:bCs/>
          <w:kern w:val="28"/>
          <w:lang w:val="en-GB"/>
        </w:rPr>
        <w:t xml:space="preserve">Fielding, K.S., </w:t>
      </w:r>
      <w:r w:rsidR="00B31115">
        <w:rPr>
          <w:bCs/>
          <w:kern w:val="28"/>
          <w:lang w:val="en-GB"/>
        </w:rPr>
        <w:t>et al</w:t>
      </w:r>
      <w:r w:rsidR="002D2A9A" w:rsidRPr="005952C0">
        <w:rPr>
          <w:bCs/>
          <w:kern w:val="28"/>
          <w:lang w:val="en-GB"/>
        </w:rPr>
        <w:t>.</w:t>
      </w:r>
      <w:r w:rsidR="002D2A9A">
        <w:rPr>
          <w:bCs/>
          <w:kern w:val="28"/>
          <w:lang w:val="en-GB"/>
        </w:rPr>
        <w:t xml:space="preserve">, </w:t>
      </w:r>
      <w:r w:rsidRPr="005952C0">
        <w:rPr>
          <w:bCs/>
          <w:kern w:val="28"/>
          <w:lang w:val="en-GB"/>
        </w:rPr>
        <w:t>2013</w:t>
      </w:r>
      <w:r w:rsidR="002D2A9A">
        <w:rPr>
          <w:bCs/>
          <w:kern w:val="28"/>
          <w:lang w:val="en-GB"/>
        </w:rPr>
        <w:t>.</w:t>
      </w:r>
      <w:r w:rsidRPr="005952C0">
        <w:rPr>
          <w:bCs/>
          <w:kern w:val="28"/>
          <w:lang w:val="en-GB"/>
        </w:rPr>
        <w:t xml:space="preserve"> An experimental test of voluntary strategies to promote urban water demand management. J. Environ. Manage. 114, 343–351. doi:10.1016/j.jenvman.2012.10.027</w:t>
      </w:r>
      <w:r w:rsidR="006A6BFA">
        <w:rPr>
          <w:bCs/>
          <w:kern w:val="28"/>
          <w:lang w:val="en-GB"/>
        </w:rPr>
        <w:t>.</w:t>
      </w:r>
    </w:p>
    <w:p w14:paraId="20744ECD" w14:textId="1B77386B" w:rsidR="000B6282" w:rsidRPr="005952C0" w:rsidRDefault="000B6282" w:rsidP="000B6282">
      <w:pPr>
        <w:pStyle w:val="Reference"/>
        <w:rPr>
          <w:bCs/>
          <w:kern w:val="28"/>
          <w:lang w:val="en-GB"/>
        </w:rPr>
      </w:pPr>
      <w:r w:rsidRPr="005952C0">
        <w:rPr>
          <w:bCs/>
          <w:kern w:val="28"/>
          <w:lang w:val="en-GB"/>
        </w:rPr>
        <w:t xml:space="preserve">Giurco, D., </w:t>
      </w:r>
      <w:r w:rsidR="00B31115">
        <w:rPr>
          <w:bCs/>
          <w:kern w:val="28"/>
          <w:lang w:val="en-GB"/>
        </w:rPr>
        <w:t>et al</w:t>
      </w:r>
      <w:r w:rsidR="002D2A9A" w:rsidRPr="005952C0">
        <w:rPr>
          <w:bCs/>
          <w:kern w:val="28"/>
          <w:lang w:val="en-GB"/>
        </w:rPr>
        <w:t>.</w:t>
      </w:r>
      <w:r w:rsidR="002D2A9A">
        <w:rPr>
          <w:bCs/>
          <w:kern w:val="28"/>
          <w:lang w:val="en-GB"/>
        </w:rPr>
        <w:t xml:space="preserve">, </w:t>
      </w:r>
      <w:r w:rsidRPr="005952C0">
        <w:rPr>
          <w:bCs/>
          <w:kern w:val="28"/>
          <w:lang w:val="en-GB"/>
        </w:rPr>
        <w:t>2013</w:t>
      </w:r>
      <w:r w:rsidR="002D2A9A">
        <w:rPr>
          <w:bCs/>
          <w:kern w:val="28"/>
          <w:lang w:val="en-GB"/>
        </w:rPr>
        <w:t>.</w:t>
      </w:r>
      <w:r w:rsidRPr="005952C0">
        <w:rPr>
          <w:bCs/>
          <w:kern w:val="28"/>
          <w:lang w:val="en-GB"/>
        </w:rPr>
        <w:t xml:space="preserve"> Modelling bounce-back in water consumption post-drought. Water J. Aust. Water Assoc. 40</w:t>
      </w:r>
      <w:r w:rsidR="00A51C28">
        <w:rPr>
          <w:bCs/>
          <w:kern w:val="28"/>
          <w:lang w:val="en-GB"/>
        </w:rPr>
        <w:t xml:space="preserve"> (5)</w:t>
      </w:r>
      <w:r w:rsidRPr="005952C0">
        <w:rPr>
          <w:bCs/>
          <w:kern w:val="28"/>
          <w:lang w:val="en-GB"/>
        </w:rPr>
        <w:t>, 79–84.</w:t>
      </w:r>
    </w:p>
    <w:p w14:paraId="28FFE4DE" w14:textId="47BC2F05" w:rsidR="000B6282" w:rsidRPr="005952C0" w:rsidRDefault="001E1698" w:rsidP="000B6282">
      <w:pPr>
        <w:pStyle w:val="Reference"/>
        <w:rPr>
          <w:bCs/>
          <w:kern w:val="28"/>
          <w:lang w:val="en-GB"/>
        </w:rPr>
      </w:pPr>
      <w:r w:rsidRPr="005952C0">
        <w:rPr>
          <w:bCs/>
          <w:kern w:val="28"/>
          <w:lang w:val="en-GB"/>
        </w:rPr>
        <w:t>Jackson, T.</w:t>
      </w:r>
      <w:r w:rsidR="002D2A9A">
        <w:rPr>
          <w:bCs/>
          <w:kern w:val="28"/>
          <w:lang w:val="en-GB"/>
        </w:rPr>
        <w:t xml:space="preserve">, </w:t>
      </w:r>
      <w:r w:rsidR="000B6282" w:rsidRPr="005952C0">
        <w:rPr>
          <w:bCs/>
          <w:kern w:val="28"/>
          <w:lang w:val="en-GB"/>
        </w:rPr>
        <w:t>2005</w:t>
      </w:r>
      <w:r w:rsidR="002D2A9A">
        <w:rPr>
          <w:bCs/>
          <w:kern w:val="28"/>
          <w:lang w:val="en-GB"/>
        </w:rPr>
        <w:t>.</w:t>
      </w:r>
      <w:r w:rsidR="000B6282" w:rsidRPr="005952C0">
        <w:rPr>
          <w:bCs/>
          <w:kern w:val="28"/>
          <w:lang w:val="en-GB"/>
        </w:rPr>
        <w:t xml:space="preserve"> Motivating Sustainable Consumption: A review of evidence on consumer behaviour and behavioural change. Centre for Environmental Strategy, University of Surrey, Guildford.</w:t>
      </w:r>
    </w:p>
    <w:p w14:paraId="7BFBDCAE" w14:textId="5E61A26B" w:rsidR="000B6282" w:rsidRPr="005952C0" w:rsidRDefault="00D81E5B" w:rsidP="000B6282">
      <w:pPr>
        <w:pStyle w:val="Reference"/>
        <w:rPr>
          <w:bCs/>
          <w:kern w:val="28"/>
          <w:lang w:val="en-GB"/>
        </w:rPr>
      </w:pPr>
      <w:r w:rsidRPr="005952C0">
        <w:rPr>
          <w:bCs/>
          <w:kern w:val="28"/>
          <w:lang w:val="en-GB"/>
        </w:rPr>
        <w:t>Kollmuss, A., and</w:t>
      </w:r>
      <w:r w:rsidR="000B6282" w:rsidRPr="005952C0">
        <w:rPr>
          <w:bCs/>
          <w:kern w:val="28"/>
          <w:lang w:val="en-GB"/>
        </w:rPr>
        <w:t xml:space="preserve"> </w:t>
      </w:r>
      <w:r w:rsidR="00190354" w:rsidRPr="005952C0">
        <w:rPr>
          <w:bCs/>
          <w:kern w:val="28"/>
          <w:lang w:val="en-GB"/>
        </w:rPr>
        <w:t>Agyeman</w:t>
      </w:r>
      <w:r w:rsidR="002D2A9A">
        <w:rPr>
          <w:bCs/>
          <w:kern w:val="28"/>
          <w:lang w:val="en-GB"/>
        </w:rPr>
        <w:t xml:space="preserve">, J., </w:t>
      </w:r>
      <w:r w:rsidR="000B6282" w:rsidRPr="005952C0">
        <w:rPr>
          <w:bCs/>
          <w:kern w:val="28"/>
          <w:lang w:val="en-GB"/>
        </w:rPr>
        <w:t>2002</w:t>
      </w:r>
      <w:r w:rsidR="002D2A9A">
        <w:rPr>
          <w:bCs/>
          <w:kern w:val="28"/>
          <w:lang w:val="en-GB"/>
        </w:rPr>
        <w:t>.</w:t>
      </w:r>
      <w:r w:rsidR="000B6282" w:rsidRPr="005952C0">
        <w:rPr>
          <w:bCs/>
          <w:kern w:val="28"/>
          <w:lang w:val="en-GB"/>
        </w:rPr>
        <w:t xml:space="preserve"> Mind the gap: Why do people act environmentally and what are the barriers to pro-environmental behaviour? Environ. Educ. Res. 8, 239–260. doi:10.1080/1350462022014540</w:t>
      </w:r>
      <w:r w:rsidR="006A6BFA">
        <w:rPr>
          <w:bCs/>
          <w:kern w:val="28"/>
          <w:lang w:val="en-GB"/>
        </w:rPr>
        <w:t>.</w:t>
      </w:r>
    </w:p>
    <w:p w14:paraId="7560F6F5" w14:textId="24D18BED" w:rsidR="00267E50" w:rsidRPr="005952C0" w:rsidRDefault="00267E50" w:rsidP="00267E50">
      <w:pPr>
        <w:pStyle w:val="Reference"/>
        <w:rPr>
          <w:bCs/>
          <w:kern w:val="28"/>
          <w:lang w:val="en-GB"/>
        </w:rPr>
      </w:pPr>
      <w:r w:rsidRPr="005952C0">
        <w:rPr>
          <w:bCs/>
          <w:kern w:val="28"/>
          <w:lang w:val="en-GB"/>
        </w:rPr>
        <w:t xml:space="preserve">Liu, A., </w:t>
      </w:r>
      <w:r w:rsidR="00B31115">
        <w:rPr>
          <w:bCs/>
          <w:kern w:val="28"/>
          <w:lang w:val="en-GB"/>
        </w:rPr>
        <w:t>et al</w:t>
      </w:r>
      <w:r>
        <w:rPr>
          <w:bCs/>
          <w:kern w:val="28"/>
          <w:lang w:val="en-GB"/>
        </w:rPr>
        <w:t>., 2</w:t>
      </w:r>
      <w:r w:rsidRPr="005952C0">
        <w:rPr>
          <w:bCs/>
          <w:kern w:val="28"/>
          <w:lang w:val="en-GB"/>
        </w:rPr>
        <w:t>013</w:t>
      </w:r>
      <w:r>
        <w:rPr>
          <w:bCs/>
          <w:kern w:val="28"/>
          <w:lang w:val="en-GB"/>
        </w:rPr>
        <w:t>.</w:t>
      </w:r>
      <w:r w:rsidRPr="005952C0">
        <w:rPr>
          <w:bCs/>
          <w:kern w:val="28"/>
          <w:lang w:val="en-GB"/>
        </w:rPr>
        <w:t xml:space="preserve"> Smart metering and billing: Information to guide household water consumption. Water J. Aust. Water Assoc. 40</w:t>
      </w:r>
      <w:r>
        <w:rPr>
          <w:bCs/>
          <w:kern w:val="28"/>
          <w:lang w:val="en-GB"/>
        </w:rPr>
        <w:t xml:space="preserve"> (5)</w:t>
      </w:r>
      <w:r w:rsidRPr="005952C0">
        <w:rPr>
          <w:bCs/>
          <w:kern w:val="28"/>
          <w:lang w:val="en-GB"/>
        </w:rPr>
        <w:t>, 73–77.</w:t>
      </w:r>
    </w:p>
    <w:p w14:paraId="084DFCB8" w14:textId="15F1C856" w:rsidR="000B6282" w:rsidRPr="005952C0" w:rsidRDefault="000B6282" w:rsidP="000B6282">
      <w:pPr>
        <w:pStyle w:val="Reference"/>
        <w:rPr>
          <w:bCs/>
          <w:kern w:val="28"/>
          <w:lang w:val="en-GB"/>
        </w:rPr>
      </w:pPr>
      <w:r w:rsidRPr="005952C0">
        <w:rPr>
          <w:bCs/>
          <w:kern w:val="28"/>
          <w:lang w:val="en-GB"/>
        </w:rPr>
        <w:t xml:space="preserve">Liu, A., </w:t>
      </w:r>
      <w:r w:rsidR="00DB60D0" w:rsidRPr="005952C0">
        <w:rPr>
          <w:bCs/>
          <w:kern w:val="28"/>
          <w:lang w:val="en-GB"/>
        </w:rPr>
        <w:t>Giurco</w:t>
      </w:r>
      <w:r w:rsidR="00D81E5B" w:rsidRPr="005952C0">
        <w:rPr>
          <w:bCs/>
          <w:kern w:val="28"/>
          <w:lang w:val="en-GB"/>
        </w:rPr>
        <w:t>,</w:t>
      </w:r>
      <w:r w:rsidR="00DB60D0" w:rsidRPr="005952C0">
        <w:rPr>
          <w:bCs/>
          <w:kern w:val="28"/>
          <w:lang w:val="en-GB"/>
        </w:rPr>
        <w:t xml:space="preserve"> </w:t>
      </w:r>
      <w:r w:rsidR="002D2A9A" w:rsidRPr="005952C0">
        <w:rPr>
          <w:bCs/>
          <w:kern w:val="28"/>
          <w:lang w:val="en-GB"/>
        </w:rPr>
        <w:t>D.</w:t>
      </w:r>
      <w:r w:rsidR="002D2A9A">
        <w:rPr>
          <w:bCs/>
          <w:kern w:val="28"/>
          <w:lang w:val="en-GB"/>
        </w:rPr>
        <w:t>,</w:t>
      </w:r>
      <w:r w:rsidR="002D2A9A" w:rsidRPr="005952C0">
        <w:rPr>
          <w:bCs/>
          <w:kern w:val="28"/>
          <w:lang w:val="en-GB"/>
        </w:rPr>
        <w:t xml:space="preserve"> </w:t>
      </w:r>
      <w:r w:rsidR="00DB60D0" w:rsidRPr="005952C0">
        <w:rPr>
          <w:bCs/>
          <w:kern w:val="28"/>
          <w:lang w:val="en-GB"/>
        </w:rPr>
        <w:t>and</w:t>
      </w:r>
      <w:r w:rsidRPr="005952C0">
        <w:rPr>
          <w:bCs/>
          <w:kern w:val="28"/>
          <w:lang w:val="en-GB"/>
        </w:rPr>
        <w:t xml:space="preserve"> Mukheibir</w:t>
      </w:r>
      <w:r w:rsidR="002D2A9A">
        <w:rPr>
          <w:bCs/>
          <w:kern w:val="28"/>
          <w:lang w:val="en-GB"/>
        </w:rPr>
        <w:t>,</w:t>
      </w:r>
      <w:r w:rsidR="00DB60D0" w:rsidRPr="005952C0">
        <w:rPr>
          <w:bCs/>
          <w:kern w:val="28"/>
          <w:lang w:val="en-GB"/>
        </w:rPr>
        <w:t xml:space="preserve"> </w:t>
      </w:r>
      <w:r w:rsidR="002D2A9A">
        <w:rPr>
          <w:bCs/>
          <w:kern w:val="28"/>
          <w:lang w:val="en-GB"/>
        </w:rPr>
        <w:t xml:space="preserve">P., </w:t>
      </w:r>
      <w:r w:rsidRPr="005952C0">
        <w:rPr>
          <w:bCs/>
          <w:kern w:val="28"/>
          <w:lang w:val="en-GB"/>
        </w:rPr>
        <w:t>2014</w:t>
      </w:r>
      <w:r w:rsidR="002D2A9A">
        <w:rPr>
          <w:bCs/>
          <w:kern w:val="28"/>
          <w:lang w:val="en-GB"/>
        </w:rPr>
        <w:t>.</w:t>
      </w:r>
      <w:r w:rsidRPr="005952C0">
        <w:rPr>
          <w:bCs/>
          <w:kern w:val="28"/>
          <w:lang w:val="en-GB"/>
        </w:rPr>
        <w:t xml:space="preserve"> Online household water portal: User interactions and perceptions of water use, in: Book of Abstracts, 2014 SWGIC, Smart Water Grid International Conference, 25-27 November, 2014. Incheon, South Korea, 102–8.</w:t>
      </w:r>
    </w:p>
    <w:p w14:paraId="32E4DBE9" w14:textId="33FDB187" w:rsidR="000B6282" w:rsidRPr="005952C0" w:rsidRDefault="00DB60D0" w:rsidP="000B6282">
      <w:pPr>
        <w:pStyle w:val="Reference"/>
        <w:rPr>
          <w:bCs/>
          <w:kern w:val="28"/>
          <w:lang w:val="en-GB"/>
        </w:rPr>
      </w:pPr>
      <w:r w:rsidRPr="005952C0">
        <w:rPr>
          <w:bCs/>
          <w:kern w:val="28"/>
          <w:lang w:val="en-GB"/>
        </w:rPr>
        <w:t>Liu, A., Giurco</w:t>
      </w:r>
      <w:r w:rsidR="00D81E5B" w:rsidRPr="005952C0">
        <w:rPr>
          <w:bCs/>
          <w:kern w:val="28"/>
          <w:lang w:val="en-GB"/>
        </w:rPr>
        <w:t>,</w:t>
      </w:r>
      <w:r w:rsidRPr="005952C0">
        <w:rPr>
          <w:bCs/>
          <w:kern w:val="28"/>
          <w:lang w:val="en-GB"/>
        </w:rPr>
        <w:t xml:space="preserve"> </w:t>
      </w:r>
      <w:r w:rsidR="002D2A9A" w:rsidRPr="005952C0">
        <w:rPr>
          <w:bCs/>
          <w:kern w:val="28"/>
          <w:lang w:val="en-GB"/>
        </w:rPr>
        <w:t>D.</w:t>
      </w:r>
      <w:r w:rsidR="002D2A9A">
        <w:rPr>
          <w:bCs/>
          <w:kern w:val="28"/>
          <w:lang w:val="en-GB"/>
        </w:rPr>
        <w:t>,</w:t>
      </w:r>
      <w:r w:rsidR="002D2A9A" w:rsidRPr="005952C0">
        <w:rPr>
          <w:bCs/>
          <w:kern w:val="28"/>
          <w:lang w:val="en-GB"/>
        </w:rPr>
        <w:t xml:space="preserve"> </w:t>
      </w:r>
      <w:r w:rsidRPr="005952C0">
        <w:rPr>
          <w:bCs/>
          <w:kern w:val="28"/>
          <w:lang w:val="en-GB"/>
        </w:rPr>
        <w:t xml:space="preserve">and </w:t>
      </w:r>
      <w:r w:rsidRPr="00F8425F">
        <w:rPr>
          <w:bCs/>
          <w:kern w:val="28"/>
          <w:lang w:val="en-GB"/>
        </w:rPr>
        <w:t>Mukheibir</w:t>
      </w:r>
      <w:r w:rsidR="002D2A9A">
        <w:rPr>
          <w:bCs/>
          <w:kern w:val="28"/>
          <w:lang w:val="en-GB"/>
        </w:rPr>
        <w:t>,</w:t>
      </w:r>
      <w:r w:rsidRPr="00F8425F">
        <w:rPr>
          <w:bCs/>
          <w:kern w:val="28"/>
          <w:lang w:val="en-GB"/>
        </w:rPr>
        <w:t xml:space="preserve"> </w:t>
      </w:r>
      <w:r w:rsidR="002D2A9A" w:rsidRPr="005952C0">
        <w:rPr>
          <w:bCs/>
          <w:kern w:val="28"/>
          <w:lang w:val="en-GB"/>
        </w:rPr>
        <w:t>P.</w:t>
      </w:r>
      <w:r w:rsidR="002D2A9A">
        <w:rPr>
          <w:bCs/>
          <w:kern w:val="28"/>
          <w:lang w:val="en-GB"/>
        </w:rPr>
        <w:t xml:space="preserve">, </w:t>
      </w:r>
      <w:r w:rsidR="00190354" w:rsidRPr="00F8425F">
        <w:rPr>
          <w:bCs/>
          <w:kern w:val="28"/>
          <w:lang w:val="en-GB"/>
        </w:rPr>
        <w:t>2015</w:t>
      </w:r>
      <w:r w:rsidR="002D2A9A">
        <w:rPr>
          <w:bCs/>
          <w:kern w:val="28"/>
          <w:lang w:val="en-GB"/>
        </w:rPr>
        <w:t>.</w:t>
      </w:r>
      <w:r w:rsidR="000B6282" w:rsidRPr="00F8425F">
        <w:rPr>
          <w:bCs/>
          <w:kern w:val="28"/>
          <w:lang w:val="en-GB"/>
        </w:rPr>
        <w:t xml:space="preserve"> Motivating metrics for household water-use feedback. Resour. Conserv. Recycl.</w:t>
      </w:r>
      <w:r w:rsidR="004B2AC5">
        <w:rPr>
          <w:bCs/>
          <w:kern w:val="28"/>
          <w:lang w:val="en-GB"/>
        </w:rPr>
        <w:t xml:space="preserve"> 103, 29</w:t>
      </w:r>
      <w:r w:rsidR="004B2AC5" w:rsidRPr="005952C0">
        <w:rPr>
          <w:bCs/>
          <w:kern w:val="28"/>
          <w:lang w:val="en-GB"/>
        </w:rPr>
        <w:t>–</w:t>
      </w:r>
      <w:r w:rsidR="004B2AC5">
        <w:rPr>
          <w:bCs/>
          <w:kern w:val="28"/>
          <w:lang w:val="en-GB"/>
        </w:rPr>
        <w:t>46.</w:t>
      </w:r>
      <w:r w:rsidR="00D81E5B" w:rsidRPr="005952C0">
        <w:rPr>
          <w:bCs/>
          <w:kern w:val="28"/>
          <w:lang w:val="en-GB"/>
        </w:rPr>
        <w:t xml:space="preserve"> doi:10.1016/j.resconrec.2015.05.008</w:t>
      </w:r>
      <w:r w:rsidR="006A6BFA">
        <w:rPr>
          <w:bCs/>
          <w:kern w:val="28"/>
          <w:lang w:val="en-GB"/>
        </w:rPr>
        <w:t>.</w:t>
      </w:r>
    </w:p>
    <w:p w14:paraId="10D554E9" w14:textId="6E16C168" w:rsidR="000B6282" w:rsidRPr="005952C0" w:rsidRDefault="00DB60D0" w:rsidP="000B6282">
      <w:pPr>
        <w:pStyle w:val="Reference"/>
        <w:rPr>
          <w:bCs/>
          <w:kern w:val="28"/>
          <w:lang w:val="en-GB"/>
        </w:rPr>
      </w:pPr>
      <w:r w:rsidRPr="005952C0">
        <w:rPr>
          <w:bCs/>
          <w:kern w:val="28"/>
          <w:lang w:val="en-GB"/>
        </w:rPr>
        <w:t>Liu, A., Giurco</w:t>
      </w:r>
      <w:r w:rsidR="00D81E5B" w:rsidRPr="005952C0">
        <w:rPr>
          <w:bCs/>
          <w:kern w:val="28"/>
          <w:lang w:val="en-GB"/>
        </w:rPr>
        <w:t>,</w:t>
      </w:r>
      <w:r w:rsidRPr="005952C0">
        <w:rPr>
          <w:bCs/>
          <w:kern w:val="28"/>
          <w:lang w:val="en-GB"/>
        </w:rPr>
        <w:t xml:space="preserve"> </w:t>
      </w:r>
      <w:r w:rsidR="002D2A9A" w:rsidRPr="005952C0">
        <w:rPr>
          <w:bCs/>
          <w:kern w:val="28"/>
          <w:lang w:val="en-GB"/>
        </w:rPr>
        <w:t>D.</w:t>
      </w:r>
      <w:r w:rsidR="002D2A9A">
        <w:rPr>
          <w:bCs/>
          <w:kern w:val="28"/>
          <w:lang w:val="en-GB"/>
        </w:rPr>
        <w:t>,</w:t>
      </w:r>
      <w:r w:rsidR="002D2A9A" w:rsidRPr="005952C0">
        <w:rPr>
          <w:bCs/>
          <w:kern w:val="28"/>
          <w:lang w:val="en-GB"/>
        </w:rPr>
        <w:t xml:space="preserve"> </w:t>
      </w:r>
      <w:r w:rsidRPr="005952C0">
        <w:rPr>
          <w:bCs/>
          <w:kern w:val="28"/>
          <w:lang w:val="en-GB"/>
        </w:rPr>
        <w:t xml:space="preserve">and </w:t>
      </w:r>
      <w:r w:rsidR="002D2A9A">
        <w:rPr>
          <w:bCs/>
          <w:kern w:val="28"/>
          <w:lang w:val="en-GB"/>
        </w:rPr>
        <w:t xml:space="preserve">Mukheibir, </w:t>
      </w:r>
      <w:r w:rsidR="002D2A9A" w:rsidRPr="005952C0">
        <w:rPr>
          <w:bCs/>
          <w:kern w:val="28"/>
          <w:lang w:val="en-GB"/>
        </w:rPr>
        <w:t>P.</w:t>
      </w:r>
      <w:r w:rsidR="002D2A9A">
        <w:rPr>
          <w:bCs/>
          <w:kern w:val="28"/>
          <w:lang w:val="en-GB"/>
        </w:rPr>
        <w:t>,</w:t>
      </w:r>
      <w:r w:rsidR="002D2A9A" w:rsidRPr="005952C0">
        <w:rPr>
          <w:bCs/>
          <w:kern w:val="28"/>
          <w:lang w:val="en-GB"/>
        </w:rPr>
        <w:t xml:space="preserve"> </w:t>
      </w:r>
      <w:r w:rsidR="00190354" w:rsidRPr="005952C0">
        <w:rPr>
          <w:bCs/>
          <w:kern w:val="28"/>
          <w:lang w:val="en-GB"/>
        </w:rPr>
        <w:t>2016</w:t>
      </w:r>
      <w:r w:rsidR="002D2A9A">
        <w:rPr>
          <w:bCs/>
          <w:kern w:val="28"/>
          <w:lang w:val="en-GB"/>
        </w:rPr>
        <w:t>.</w:t>
      </w:r>
      <w:r w:rsidR="000B6282" w:rsidRPr="005952C0">
        <w:rPr>
          <w:bCs/>
          <w:kern w:val="28"/>
          <w:lang w:val="en-GB"/>
        </w:rPr>
        <w:t xml:space="preserve"> Urban water conservation through customised water and end-use information.</w:t>
      </w:r>
      <w:r w:rsidR="00D81E5B" w:rsidRPr="005952C0">
        <w:rPr>
          <w:bCs/>
          <w:kern w:val="28"/>
          <w:lang w:val="en-GB"/>
        </w:rPr>
        <w:t xml:space="preserve"> J. Clean. Prod. 112, 3164–3175. doi:10.1016/j.jclepro.2015.10.002</w:t>
      </w:r>
      <w:r w:rsidR="006A6BFA">
        <w:rPr>
          <w:bCs/>
          <w:kern w:val="28"/>
          <w:lang w:val="en-GB"/>
        </w:rPr>
        <w:t>.</w:t>
      </w:r>
    </w:p>
    <w:p w14:paraId="70B38127" w14:textId="7F3D9257" w:rsidR="000B6282" w:rsidRPr="005952C0" w:rsidRDefault="000B6282" w:rsidP="000B6282">
      <w:pPr>
        <w:pStyle w:val="Reference"/>
        <w:rPr>
          <w:bCs/>
          <w:kern w:val="28"/>
          <w:lang w:val="en-GB"/>
        </w:rPr>
      </w:pPr>
      <w:r w:rsidRPr="005952C0">
        <w:rPr>
          <w:bCs/>
          <w:kern w:val="28"/>
          <w:lang w:val="en-GB"/>
        </w:rPr>
        <w:lastRenderedPageBreak/>
        <w:t xml:space="preserve">Martinez-Torres, M.R., </w:t>
      </w:r>
      <w:r w:rsidR="00B31115">
        <w:rPr>
          <w:bCs/>
          <w:kern w:val="28"/>
          <w:lang w:val="en-GB"/>
        </w:rPr>
        <w:t>et al</w:t>
      </w:r>
      <w:r w:rsidR="002D2A9A" w:rsidRPr="005952C0">
        <w:rPr>
          <w:bCs/>
          <w:kern w:val="28"/>
          <w:lang w:val="en-GB"/>
        </w:rPr>
        <w:t>.</w:t>
      </w:r>
      <w:r w:rsidR="002D2A9A">
        <w:rPr>
          <w:bCs/>
          <w:kern w:val="28"/>
          <w:lang w:val="en-GB"/>
        </w:rPr>
        <w:t>,</w:t>
      </w:r>
      <w:r w:rsidR="002D2A9A" w:rsidRPr="005952C0">
        <w:rPr>
          <w:bCs/>
          <w:kern w:val="28"/>
          <w:lang w:val="en-GB"/>
        </w:rPr>
        <w:t xml:space="preserve"> </w:t>
      </w:r>
      <w:r w:rsidRPr="005952C0">
        <w:rPr>
          <w:bCs/>
          <w:kern w:val="28"/>
          <w:lang w:val="en-GB"/>
        </w:rPr>
        <w:t>2008</w:t>
      </w:r>
      <w:r w:rsidR="00F85DAB">
        <w:rPr>
          <w:bCs/>
          <w:kern w:val="28"/>
          <w:lang w:val="en-GB"/>
        </w:rPr>
        <w:t>.</w:t>
      </w:r>
      <w:r w:rsidRPr="005952C0">
        <w:rPr>
          <w:bCs/>
          <w:kern w:val="28"/>
          <w:lang w:val="en-GB"/>
        </w:rPr>
        <w:t xml:space="preserve"> A technological acceptance of e-learning tools used in practical and laboratory teaching, according to the European higher education area. Behav. Inf. Technol. 27</w:t>
      </w:r>
      <w:r w:rsidR="006A6BFA">
        <w:rPr>
          <w:bCs/>
          <w:kern w:val="28"/>
          <w:lang w:val="en-GB"/>
        </w:rPr>
        <w:t xml:space="preserve"> (6)</w:t>
      </w:r>
      <w:r w:rsidRPr="005952C0">
        <w:rPr>
          <w:bCs/>
          <w:kern w:val="28"/>
          <w:lang w:val="en-GB"/>
        </w:rPr>
        <w:t>, 495–505. doi:10.1080/01449290600958965</w:t>
      </w:r>
      <w:r w:rsidR="006A6BFA">
        <w:rPr>
          <w:bCs/>
          <w:kern w:val="28"/>
          <w:lang w:val="en-GB"/>
        </w:rPr>
        <w:t>.</w:t>
      </w:r>
    </w:p>
    <w:p w14:paraId="316EB0E0" w14:textId="507BAA71" w:rsidR="000B6282" w:rsidRPr="005952C0" w:rsidRDefault="00DB60D0" w:rsidP="000B6282">
      <w:pPr>
        <w:pStyle w:val="Reference"/>
        <w:rPr>
          <w:bCs/>
          <w:kern w:val="28"/>
          <w:lang w:val="en-GB"/>
        </w:rPr>
      </w:pPr>
      <w:r w:rsidRPr="005952C0">
        <w:rPr>
          <w:bCs/>
          <w:kern w:val="28"/>
          <w:lang w:val="en-GB"/>
        </w:rPr>
        <w:t>MidCoast Water</w:t>
      </w:r>
      <w:r w:rsidR="00F85DAB">
        <w:rPr>
          <w:bCs/>
          <w:kern w:val="28"/>
          <w:lang w:val="en-GB"/>
        </w:rPr>
        <w:t>,</w:t>
      </w:r>
      <w:r w:rsidRPr="005952C0">
        <w:rPr>
          <w:bCs/>
          <w:kern w:val="28"/>
          <w:lang w:val="en-GB"/>
        </w:rPr>
        <w:t xml:space="preserve"> </w:t>
      </w:r>
      <w:r w:rsidR="000B6282" w:rsidRPr="005952C0">
        <w:rPr>
          <w:bCs/>
          <w:kern w:val="28"/>
          <w:lang w:val="en-GB"/>
        </w:rPr>
        <w:t>2015</w:t>
      </w:r>
      <w:r w:rsidR="00F85DAB">
        <w:rPr>
          <w:bCs/>
          <w:kern w:val="28"/>
          <w:lang w:val="en-GB"/>
        </w:rPr>
        <w:t>.</w:t>
      </w:r>
      <w:r w:rsidR="00F85DAB" w:rsidRPr="005952C0">
        <w:rPr>
          <w:bCs/>
          <w:kern w:val="28"/>
          <w:lang w:val="en-GB"/>
        </w:rPr>
        <w:t xml:space="preserve"> </w:t>
      </w:r>
      <w:r w:rsidR="000B6282" w:rsidRPr="005952C0">
        <w:rPr>
          <w:bCs/>
          <w:kern w:val="28"/>
          <w:lang w:val="en-GB"/>
        </w:rPr>
        <w:t xml:space="preserve">MidCoast Water water supplies. </w:t>
      </w:r>
      <w:r w:rsidR="00D81E5B" w:rsidRPr="005952C0">
        <w:rPr>
          <w:bCs/>
          <w:kern w:val="28"/>
          <w:lang w:val="en-GB"/>
        </w:rPr>
        <w:t>Available</w:t>
      </w:r>
      <w:r w:rsidR="002D2A9A">
        <w:rPr>
          <w:bCs/>
          <w:kern w:val="28"/>
          <w:lang w:val="en-GB"/>
        </w:rPr>
        <w:t xml:space="preserve"> from</w:t>
      </w:r>
      <w:r w:rsidR="00D81E5B" w:rsidRPr="005952C0">
        <w:rPr>
          <w:bCs/>
          <w:kern w:val="28"/>
          <w:lang w:val="en-GB"/>
        </w:rPr>
        <w:t xml:space="preserve">: </w:t>
      </w:r>
      <w:r w:rsidR="000B6282" w:rsidRPr="005952C0">
        <w:rPr>
          <w:bCs/>
          <w:kern w:val="28"/>
          <w:lang w:val="en-GB"/>
        </w:rPr>
        <w:t xml:space="preserve"> </w:t>
      </w:r>
      <w:hyperlink r:id="rId10" w:history="1">
        <w:r w:rsidR="00D81E5B" w:rsidRPr="005952C0">
          <w:rPr>
            <w:rStyle w:val="Hyperlink"/>
            <w:bCs/>
            <w:kern w:val="28"/>
            <w:lang w:val="en-GB"/>
          </w:rPr>
          <w:t>http://www.midcoastwater.com.au/site/water-supplies</w:t>
        </w:r>
      </w:hyperlink>
      <w:r w:rsidR="002D2A9A">
        <w:rPr>
          <w:bCs/>
          <w:kern w:val="28"/>
          <w:lang w:val="en-GB"/>
        </w:rPr>
        <w:t xml:space="preserve"> [A</w:t>
      </w:r>
      <w:r w:rsidR="00D81E5B" w:rsidRPr="005952C0">
        <w:rPr>
          <w:bCs/>
          <w:kern w:val="28"/>
          <w:lang w:val="en-GB"/>
        </w:rPr>
        <w:t xml:space="preserve">ccessed </w:t>
      </w:r>
      <w:r w:rsidR="000B6282" w:rsidRPr="005952C0">
        <w:rPr>
          <w:bCs/>
          <w:kern w:val="28"/>
          <w:lang w:val="en-GB"/>
        </w:rPr>
        <w:t>22</w:t>
      </w:r>
      <w:r w:rsidR="00D81E5B" w:rsidRPr="005952C0">
        <w:rPr>
          <w:bCs/>
          <w:kern w:val="28"/>
          <w:lang w:val="en-GB"/>
        </w:rPr>
        <w:t xml:space="preserve"> Jun</w:t>
      </w:r>
      <w:r w:rsidR="002D2A9A">
        <w:rPr>
          <w:bCs/>
          <w:kern w:val="28"/>
          <w:lang w:val="en-GB"/>
        </w:rPr>
        <w:t>e</w:t>
      </w:r>
      <w:r w:rsidR="00D81E5B" w:rsidRPr="005952C0">
        <w:rPr>
          <w:bCs/>
          <w:kern w:val="28"/>
          <w:lang w:val="en-GB"/>
        </w:rPr>
        <w:t xml:space="preserve"> 20</w:t>
      </w:r>
      <w:r w:rsidR="000B6282" w:rsidRPr="005952C0">
        <w:rPr>
          <w:bCs/>
          <w:kern w:val="28"/>
          <w:lang w:val="en-GB"/>
        </w:rPr>
        <w:t>15</w:t>
      </w:r>
      <w:r w:rsidR="00D81E5B" w:rsidRPr="005952C0">
        <w:rPr>
          <w:bCs/>
          <w:kern w:val="28"/>
          <w:lang w:val="en-GB"/>
        </w:rPr>
        <w:t>]</w:t>
      </w:r>
      <w:r w:rsidR="000B6282" w:rsidRPr="005952C0">
        <w:rPr>
          <w:bCs/>
          <w:kern w:val="28"/>
          <w:lang w:val="en-GB"/>
        </w:rPr>
        <w:t>.</w:t>
      </w:r>
    </w:p>
    <w:p w14:paraId="7E845704" w14:textId="205577FD" w:rsidR="000B6282" w:rsidRPr="005952C0" w:rsidRDefault="000B6282" w:rsidP="000B6282">
      <w:pPr>
        <w:pStyle w:val="Reference"/>
        <w:rPr>
          <w:bCs/>
          <w:kern w:val="28"/>
          <w:lang w:val="en-GB"/>
        </w:rPr>
      </w:pPr>
      <w:r w:rsidRPr="005952C0">
        <w:rPr>
          <w:bCs/>
          <w:kern w:val="28"/>
          <w:lang w:val="en-GB"/>
        </w:rPr>
        <w:t xml:space="preserve">Petersen, J.E., </w:t>
      </w:r>
      <w:r w:rsidR="00B31115">
        <w:rPr>
          <w:bCs/>
          <w:kern w:val="28"/>
          <w:lang w:val="en-GB"/>
        </w:rPr>
        <w:t>et al</w:t>
      </w:r>
      <w:r w:rsidR="002D2A9A" w:rsidRPr="005952C0">
        <w:rPr>
          <w:bCs/>
          <w:kern w:val="28"/>
          <w:lang w:val="en-GB"/>
        </w:rPr>
        <w:t>.</w:t>
      </w:r>
      <w:r w:rsidR="00457DB9">
        <w:rPr>
          <w:bCs/>
          <w:kern w:val="28"/>
          <w:lang w:val="en-GB"/>
        </w:rPr>
        <w:t>,</w:t>
      </w:r>
      <w:r w:rsidR="00457DB9" w:rsidRPr="005952C0">
        <w:rPr>
          <w:bCs/>
          <w:kern w:val="28"/>
          <w:lang w:val="en-GB"/>
        </w:rPr>
        <w:t xml:space="preserve"> </w:t>
      </w:r>
      <w:r w:rsidR="00457DB9">
        <w:rPr>
          <w:bCs/>
          <w:kern w:val="28"/>
          <w:lang w:val="en-GB"/>
        </w:rPr>
        <w:t>2007.</w:t>
      </w:r>
      <w:r w:rsidRPr="005952C0">
        <w:rPr>
          <w:bCs/>
          <w:kern w:val="28"/>
          <w:lang w:val="en-GB"/>
        </w:rPr>
        <w:t xml:space="preserve"> Dormitory residents reduce electricity consumption when exposed to real-time visual feedback and incentives. Int. J. Sustain. High. Educ. 8</w:t>
      </w:r>
      <w:r w:rsidR="00C11171">
        <w:rPr>
          <w:bCs/>
          <w:kern w:val="28"/>
          <w:lang w:val="en-GB"/>
        </w:rPr>
        <w:t xml:space="preserve"> (1)</w:t>
      </w:r>
      <w:r w:rsidRPr="005952C0">
        <w:rPr>
          <w:bCs/>
          <w:kern w:val="28"/>
          <w:lang w:val="en-GB"/>
        </w:rPr>
        <w:t>, 16–33. doi:10.1108/14676370710717562</w:t>
      </w:r>
      <w:r w:rsidR="006A6BFA">
        <w:rPr>
          <w:bCs/>
          <w:kern w:val="28"/>
          <w:lang w:val="en-GB"/>
        </w:rPr>
        <w:t>.</w:t>
      </w:r>
    </w:p>
    <w:p w14:paraId="360B25E5" w14:textId="6C5575C7" w:rsidR="000B6282" w:rsidRPr="005952C0" w:rsidRDefault="000B6282" w:rsidP="000B6282">
      <w:pPr>
        <w:pStyle w:val="Reference"/>
        <w:rPr>
          <w:bCs/>
          <w:kern w:val="28"/>
          <w:lang w:val="en-GB"/>
        </w:rPr>
      </w:pPr>
      <w:r w:rsidRPr="005952C0">
        <w:rPr>
          <w:bCs/>
          <w:kern w:val="28"/>
          <w:lang w:val="en-GB"/>
        </w:rPr>
        <w:t xml:space="preserve">Schleich, J., </w:t>
      </w:r>
      <w:r w:rsidR="00B31115">
        <w:rPr>
          <w:bCs/>
          <w:kern w:val="28"/>
          <w:lang w:val="en-GB"/>
        </w:rPr>
        <w:t>et al</w:t>
      </w:r>
      <w:r w:rsidR="00457DB9" w:rsidRPr="005952C0">
        <w:rPr>
          <w:bCs/>
          <w:kern w:val="28"/>
          <w:lang w:val="en-GB"/>
        </w:rPr>
        <w:t>.</w:t>
      </w:r>
      <w:r w:rsidR="00457DB9">
        <w:rPr>
          <w:bCs/>
          <w:kern w:val="28"/>
          <w:lang w:val="en-GB"/>
        </w:rPr>
        <w:t xml:space="preserve">, </w:t>
      </w:r>
      <w:r w:rsidRPr="005952C0">
        <w:rPr>
          <w:bCs/>
          <w:kern w:val="28"/>
          <w:lang w:val="en-GB"/>
        </w:rPr>
        <w:t>2011</w:t>
      </w:r>
      <w:r w:rsidR="00457DB9">
        <w:rPr>
          <w:bCs/>
          <w:kern w:val="28"/>
          <w:lang w:val="en-GB"/>
        </w:rPr>
        <w:t>.</w:t>
      </w:r>
      <w:r w:rsidRPr="005952C0">
        <w:rPr>
          <w:bCs/>
          <w:kern w:val="28"/>
          <w:lang w:val="en-GB"/>
        </w:rPr>
        <w:t xml:space="preserve"> Smart metering in Germany and Austria</w:t>
      </w:r>
      <w:r w:rsidR="005E0573">
        <w:rPr>
          <w:bCs/>
          <w:kern w:val="28"/>
          <w:lang w:val="en-GB"/>
        </w:rPr>
        <w:t>:</w:t>
      </w:r>
      <w:r w:rsidRPr="005952C0">
        <w:rPr>
          <w:bCs/>
          <w:kern w:val="28"/>
          <w:lang w:val="en-GB"/>
        </w:rPr>
        <w:t xml:space="preserve"> results of providing feedback information in a field trial. Work. Pap. </w:t>
      </w:r>
      <w:r w:rsidR="005E0573">
        <w:rPr>
          <w:bCs/>
          <w:kern w:val="28"/>
          <w:lang w:val="en-GB"/>
        </w:rPr>
        <w:t>S6/2011</w:t>
      </w:r>
      <w:r w:rsidRPr="005952C0">
        <w:rPr>
          <w:bCs/>
          <w:kern w:val="28"/>
          <w:lang w:val="en-GB"/>
        </w:rPr>
        <w:t>.</w:t>
      </w:r>
    </w:p>
    <w:p w14:paraId="64B99C2E" w14:textId="08F3C176" w:rsidR="000B6282" w:rsidRPr="005952C0" w:rsidRDefault="000B6282" w:rsidP="000B6282">
      <w:pPr>
        <w:pStyle w:val="Reference"/>
        <w:rPr>
          <w:bCs/>
          <w:kern w:val="28"/>
          <w:lang w:val="en-GB"/>
        </w:rPr>
      </w:pPr>
      <w:r w:rsidRPr="005952C0">
        <w:rPr>
          <w:bCs/>
          <w:kern w:val="28"/>
          <w:lang w:val="en-GB"/>
        </w:rPr>
        <w:t xml:space="preserve">Stewart, R.A., </w:t>
      </w:r>
      <w:r w:rsidR="00B31115">
        <w:rPr>
          <w:bCs/>
          <w:kern w:val="28"/>
          <w:lang w:val="en-GB"/>
        </w:rPr>
        <w:t>et al</w:t>
      </w:r>
      <w:r w:rsidR="00457DB9" w:rsidRPr="005952C0">
        <w:rPr>
          <w:bCs/>
          <w:kern w:val="28"/>
          <w:lang w:val="en-GB"/>
        </w:rPr>
        <w:t>.</w:t>
      </w:r>
      <w:r w:rsidR="00457DB9">
        <w:rPr>
          <w:bCs/>
          <w:kern w:val="28"/>
          <w:lang w:val="en-GB"/>
        </w:rPr>
        <w:t xml:space="preserve">, </w:t>
      </w:r>
      <w:r w:rsidR="008A368A" w:rsidRPr="005952C0">
        <w:rPr>
          <w:bCs/>
          <w:kern w:val="28"/>
          <w:lang w:val="en-GB"/>
        </w:rPr>
        <w:t>2013</w:t>
      </w:r>
      <w:r w:rsidR="00457DB9">
        <w:rPr>
          <w:bCs/>
          <w:kern w:val="28"/>
          <w:lang w:val="en-GB"/>
        </w:rPr>
        <w:t>.</w:t>
      </w:r>
      <w:r w:rsidRPr="005952C0">
        <w:rPr>
          <w:bCs/>
          <w:kern w:val="28"/>
          <w:lang w:val="en-GB"/>
        </w:rPr>
        <w:t xml:space="preserve"> Showering behavioural response to alarming visual display monitors: longitudinal mixed method study. Behav. Inf. Technol. 32</w:t>
      </w:r>
      <w:r w:rsidR="00BF1F89">
        <w:rPr>
          <w:bCs/>
          <w:kern w:val="28"/>
          <w:lang w:val="en-GB"/>
        </w:rPr>
        <w:t xml:space="preserve"> (7)</w:t>
      </w:r>
      <w:r w:rsidRPr="005952C0">
        <w:rPr>
          <w:bCs/>
          <w:kern w:val="28"/>
          <w:lang w:val="en-GB"/>
        </w:rPr>
        <w:t>, 695–711. doi:10.1080/0144929X.2011.577195</w:t>
      </w:r>
      <w:r w:rsidR="006A6BFA">
        <w:rPr>
          <w:bCs/>
          <w:kern w:val="28"/>
          <w:lang w:val="en-GB"/>
        </w:rPr>
        <w:t>.</w:t>
      </w:r>
    </w:p>
    <w:p w14:paraId="3FA97052" w14:textId="5E9A0A60" w:rsidR="000B6282" w:rsidRPr="005952C0" w:rsidRDefault="000B6282" w:rsidP="000B6282">
      <w:pPr>
        <w:pStyle w:val="Reference"/>
        <w:rPr>
          <w:bCs/>
          <w:kern w:val="28"/>
          <w:lang w:val="en-GB"/>
        </w:rPr>
      </w:pPr>
      <w:r w:rsidRPr="005952C0">
        <w:rPr>
          <w:bCs/>
          <w:kern w:val="28"/>
          <w:lang w:val="en-GB"/>
        </w:rPr>
        <w:t xml:space="preserve">Turner, A., </w:t>
      </w:r>
      <w:r w:rsidR="00B31115">
        <w:rPr>
          <w:bCs/>
          <w:kern w:val="28"/>
          <w:lang w:val="en-GB"/>
        </w:rPr>
        <w:t>et al</w:t>
      </w:r>
      <w:r w:rsidR="00457DB9" w:rsidRPr="005952C0">
        <w:rPr>
          <w:bCs/>
          <w:kern w:val="28"/>
          <w:lang w:val="en-GB"/>
        </w:rPr>
        <w:t>.</w:t>
      </w:r>
      <w:r w:rsidR="00457DB9">
        <w:rPr>
          <w:bCs/>
          <w:kern w:val="28"/>
          <w:lang w:val="en-GB"/>
        </w:rPr>
        <w:t>,</w:t>
      </w:r>
      <w:r w:rsidR="00457DB9" w:rsidRPr="005952C0">
        <w:rPr>
          <w:bCs/>
          <w:kern w:val="28"/>
          <w:lang w:val="en-GB"/>
        </w:rPr>
        <w:t xml:space="preserve"> </w:t>
      </w:r>
      <w:r w:rsidRPr="005952C0">
        <w:rPr>
          <w:bCs/>
          <w:kern w:val="28"/>
          <w:lang w:val="en-GB"/>
        </w:rPr>
        <w:t>2008</w:t>
      </w:r>
      <w:r w:rsidR="00457DB9">
        <w:rPr>
          <w:bCs/>
          <w:kern w:val="28"/>
          <w:lang w:val="en-GB"/>
        </w:rPr>
        <w:t>.</w:t>
      </w:r>
      <w:r w:rsidRPr="005952C0">
        <w:rPr>
          <w:bCs/>
          <w:kern w:val="28"/>
          <w:lang w:val="en-GB"/>
        </w:rPr>
        <w:t xml:space="preserve"> Guide to Demand Management. </w:t>
      </w:r>
      <w:r w:rsidR="007A3663">
        <w:rPr>
          <w:bCs/>
          <w:kern w:val="28"/>
          <w:lang w:val="en-GB"/>
        </w:rPr>
        <w:t xml:space="preserve">Prepared for </w:t>
      </w:r>
      <w:r w:rsidR="007A3663" w:rsidRPr="005952C0">
        <w:rPr>
          <w:bCs/>
          <w:kern w:val="28"/>
          <w:lang w:val="en-GB"/>
        </w:rPr>
        <w:t>Water Services Association of Australia, Sydney</w:t>
      </w:r>
      <w:r w:rsidR="007A3663">
        <w:rPr>
          <w:bCs/>
          <w:kern w:val="28"/>
          <w:lang w:val="en-GB"/>
        </w:rPr>
        <w:t xml:space="preserve"> by the UTS Institute for Sustainable Futures</w:t>
      </w:r>
      <w:r w:rsidRPr="005952C0">
        <w:rPr>
          <w:bCs/>
          <w:kern w:val="28"/>
          <w:lang w:val="en-GB"/>
        </w:rPr>
        <w:t>.</w:t>
      </w:r>
    </w:p>
    <w:p w14:paraId="6246CAEF" w14:textId="568CFEEF" w:rsidR="000B6282" w:rsidRPr="005952C0" w:rsidRDefault="000B6282" w:rsidP="000B6282">
      <w:pPr>
        <w:pStyle w:val="Reference"/>
        <w:rPr>
          <w:bCs/>
          <w:kern w:val="28"/>
          <w:lang w:val="en-GB"/>
        </w:rPr>
      </w:pPr>
      <w:r w:rsidRPr="005952C0">
        <w:rPr>
          <w:bCs/>
          <w:kern w:val="28"/>
          <w:lang w:val="en-GB"/>
        </w:rPr>
        <w:t xml:space="preserve">Van Dam, S.S., Bakker, </w:t>
      </w:r>
      <w:r w:rsidR="00457DB9" w:rsidRPr="005952C0">
        <w:rPr>
          <w:bCs/>
          <w:kern w:val="28"/>
          <w:lang w:val="en-GB"/>
        </w:rPr>
        <w:t>C.A.</w:t>
      </w:r>
      <w:r w:rsidR="00457DB9">
        <w:rPr>
          <w:bCs/>
          <w:kern w:val="28"/>
          <w:lang w:val="en-GB"/>
        </w:rPr>
        <w:t>,</w:t>
      </w:r>
      <w:r w:rsidR="00457DB9" w:rsidRPr="005952C0">
        <w:rPr>
          <w:bCs/>
          <w:kern w:val="28"/>
          <w:lang w:val="en-GB"/>
        </w:rPr>
        <w:t xml:space="preserve"> </w:t>
      </w:r>
      <w:r w:rsidR="00CC7EE9" w:rsidRPr="005952C0">
        <w:rPr>
          <w:bCs/>
          <w:kern w:val="28"/>
          <w:lang w:val="en-GB"/>
        </w:rPr>
        <w:t>and van Hal</w:t>
      </w:r>
      <w:r w:rsidR="00457DB9">
        <w:rPr>
          <w:bCs/>
          <w:kern w:val="28"/>
          <w:lang w:val="en-GB"/>
        </w:rPr>
        <w:t>,</w:t>
      </w:r>
      <w:r w:rsidRPr="005952C0">
        <w:rPr>
          <w:bCs/>
          <w:kern w:val="28"/>
          <w:lang w:val="en-GB"/>
        </w:rPr>
        <w:t xml:space="preserve"> </w:t>
      </w:r>
      <w:r w:rsidR="00457DB9" w:rsidRPr="005952C0">
        <w:rPr>
          <w:bCs/>
          <w:kern w:val="28"/>
          <w:lang w:val="en-GB"/>
        </w:rPr>
        <w:t>J.D.M.</w:t>
      </w:r>
      <w:r w:rsidR="00457DB9">
        <w:rPr>
          <w:bCs/>
          <w:kern w:val="28"/>
          <w:lang w:val="en-GB"/>
        </w:rPr>
        <w:t xml:space="preserve">, </w:t>
      </w:r>
      <w:r w:rsidRPr="005952C0">
        <w:rPr>
          <w:bCs/>
          <w:kern w:val="28"/>
          <w:lang w:val="en-GB"/>
        </w:rPr>
        <w:t>2010</w:t>
      </w:r>
      <w:r w:rsidR="00457DB9">
        <w:rPr>
          <w:bCs/>
          <w:kern w:val="28"/>
          <w:lang w:val="en-GB"/>
        </w:rPr>
        <w:t>.</w:t>
      </w:r>
      <w:r w:rsidRPr="005952C0">
        <w:rPr>
          <w:bCs/>
          <w:kern w:val="28"/>
          <w:lang w:val="en-GB"/>
        </w:rPr>
        <w:t xml:space="preserve"> Home energy monitors: impact over the medium-term. Build. Res. Inf. 38</w:t>
      </w:r>
      <w:r w:rsidR="00924481">
        <w:rPr>
          <w:bCs/>
          <w:kern w:val="28"/>
          <w:lang w:val="en-GB"/>
        </w:rPr>
        <w:t xml:space="preserve"> (5)</w:t>
      </w:r>
      <w:r w:rsidRPr="005952C0">
        <w:rPr>
          <w:bCs/>
          <w:kern w:val="28"/>
          <w:lang w:val="en-GB"/>
        </w:rPr>
        <w:t>, 458–469. doi:10.1080/09613218.2010.494832</w:t>
      </w:r>
      <w:r w:rsidR="006A6BFA">
        <w:rPr>
          <w:bCs/>
          <w:kern w:val="28"/>
          <w:lang w:val="en-GB"/>
        </w:rPr>
        <w:t>.</w:t>
      </w:r>
    </w:p>
    <w:p w14:paraId="3AEBB072" w14:textId="7A1CEC8A" w:rsidR="00067764" w:rsidRDefault="000B6282" w:rsidP="0097459C">
      <w:pPr>
        <w:pStyle w:val="Reference"/>
        <w:rPr>
          <w:bCs/>
          <w:kern w:val="28"/>
          <w:lang w:val="en-GB"/>
        </w:rPr>
      </w:pPr>
      <w:r w:rsidRPr="005952C0">
        <w:rPr>
          <w:bCs/>
          <w:kern w:val="28"/>
          <w:lang w:val="en-GB"/>
        </w:rPr>
        <w:t>Wilhite, H.,</w:t>
      </w:r>
      <w:r w:rsidR="00CC7EE9" w:rsidRPr="005952C0">
        <w:rPr>
          <w:bCs/>
          <w:kern w:val="28"/>
          <w:lang w:val="en-GB"/>
        </w:rPr>
        <w:t xml:space="preserve"> and</w:t>
      </w:r>
      <w:r w:rsidRPr="005952C0">
        <w:rPr>
          <w:bCs/>
          <w:kern w:val="28"/>
          <w:lang w:val="en-GB"/>
        </w:rPr>
        <w:t xml:space="preserve"> Ling</w:t>
      </w:r>
      <w:r w:rsidR="00457DB9">
        <w:rPr>
          <w:bCs/>
          <w:kern w:val="28"/>
          <w:lang w:val="en-GB"/>
        </w:rPr>
        <w:t>,</w:t>
      </w:r>
      <w:r w:rsidRPr="005952C0">
        <w:rPr>
          <w:bCs/>
          <w:kern w:val="28"/>
          <w:lang w:val="en-GB"/>
        </w:rPr>
        <w:t xml:space="preserve"> </w:t>
      </w:r>
      <w:r w:rsidR="00457DB9" w:rsidRPr="005952C0">
        <w:rPr>
          <w:bCs/>
          <w:kern w:val="28"/>
          <w:lang w:val="en-GB"/>
        </w:rPr>
        <w:t>R.</w:t>
      </w:r>
      <w:r w:rsidR="00457DB9">
        <w:rPr>
          <w:bCs/>
          <w:kern w:val="28"/>
          <w:lang w:val="en-GB"/>
        </w:rPr>
        <w:t xml:space="preserve">, </w:t>
      </w:r>
      <w:r w:rsidRPr="005952C0">
        <w:rPr>
          <w:bCs/>
          <w:kern w:val="28"/>
          <w:lang w:val="en-GB"/>
        </w:rPr>
        <w:t>1995</w:t>
      </w:r>
      <w:r w:rsidR="00457DB9">
        <w:rPr>
          <w:bCs/>
          <w:kern w:val="28"/>
          <w:lang w:val="en-GB"/>
        </w:rPr>
        <w:t>.</w:t>
      </w:r>
      <w:r w:rsidRPr="005952C0">
        <w:rPr>
          <w:bCs/>
          <w:kern w:val="28"/>
          <w:lang w:val="en-GB"/>
        </w:rPr>
        <w:t xml:space="preserve"> Measured energy savings from a more informative energy bill. Energy Build. 22, 145–155.</w:t>
      </w:r>
    </w:p>
    <w:p w14:paraId="0AEFC01C" w14:textId="77777777" w:rsidR="0016630E" w:rsidRDefault="0016630E">
      <w:pPr>
        <w:rPr>
          <w:rFonts w:eastAsia="Times New Roman"/>
          <w:b/>
          <w:bCs/>
          <w:kern w:val="28"/>
          <w:sz w:val="24"/>
          <w:szCs w:val="24"/>
          <w:lang w:val="en-GB"/>
        </w:rPr>
      </w:pPr>
      <w:r>
        <w:rPr>
          <w:b/>
          <w:bCs/>
          <w:kern w:val="28"/>
          <w:lang w:val="en-GB"/>
        </w:rPr>
        <w:br w:type="page"/>
      </w:r>
    </w:p>
    <w:p w14:paraId="582F1F19" w14:textId="21BEE4D3" w:rsidR="00095650" w:rsidRDefault="00095650" w:rsidP="00095650">
      <w:pPr>
        <w:rPr>
          <w:lang w:val="en-GB"/>
        </w:rPr>
      </w:pPr>
      <w:r w:rsidRPr="005952C0">
        <w:rPr>
          <w:b/>
          <w:lang w:val="en-GB"/>
        </w:rPr>
        <w:lastRenderedPageBreak/>
        <w:t xml:space="preserve">Table </w:t>
      </w:r>
      <w:r>
        <w:rPr>
          <w:b/>
          <w:lang w:val="en-GB"/>
        </w:rPr>
        <w:t>1</w:t>
      </w:r>
      <w:r w:rsidRPr="005952C0">
        <w:rPr>
          <w:b/>
          <w:lang w:val="en-GB"/>
        </w:rPr>
        <w:t>.</w:t>
      </w:r>
      <w:r w:rsidRPr="005952C0">
        <w:rPr>
          <w:lang w:val="en-GB"/>
        </w:rPr>
        <w:t xml:space="preserve"> Water consumption savings relative to when households last logged in to MHOW</w:t>
      </w:r>
      <w:r w:rsidR="003C4B45">
        <w:rPr>
          <w:lang w:val="en-GB"/>
        </w:rPr>
        <w:t>: significant effects last up to 42 days.</w:t>
      </w:r>
    </w:p>
    <w:p w14:paraId="22C8F254" w14:textId="77777777" w:rsidR="00095650" w:rsidRPr="005952C0" w:rsidRDefault="00095650" w:rsidP="00095650">
      <w:pPr>
        <w:rPr>
          <w:lang w:val="en-GB"/>
        </w:rPr>
      </w:pPr>
    </w:p>
    <w:tbl>
      <w:tblPr>
        <w:tblStyle w:val="TableGrid"/>
        <w:tblW w:w="6757" w:type="dxa"/>
        <w:tblLayout w:type="fixed"/>
        <w:tblLook w:val="04A0" w:firstRow="1" w:lastRow="0" w:firstColumn="1" w:lastColumn="0" w:noHBand="0" w:noVBand="1"/>
      </w:tblPr>
      <w:tblGrid>
        <w:gridCol w:w="2094"/>
        <w:gridCol w:w="991"/>
        <w:gridCol w:w="1368"/>
        <w:gridCol w:w="1302"/>
        <w:gridCol w:w="1002"/>
      </w:tblGrid>
      <w:tr w:rsidR="00095650" w:rsidRPr="005952C0" w14:paraId="08ABE364" w14:textId="77777777" w:rsidTr="00700A0E">
        <w:tc>
          <w:tcPr>
            <w:tcW w:w="3085" w:type="dxa"/>
            <w:gridSpan w:val="2"/>
          </w:tcPr>
          <w:p w14:paraId="120537BE" w14:textId="77777777" w:rsidR="00095650" w:rsidRPr="005952C0" w:rsidRDefault="00095650" w:rsidP="00700A0E">
            <w:pPr>
              <w:rPr>
                <w:sz w:val="18"/>
                <w:lang w:val="en-GB"/>
              </w:rPr>
            </w:pPr>
            <w:r w:rsidRPr="005952C0">
              <w:rPr>
                <w:sz w:val="18"/>
                <w:lang w:val="en-GB"/>
              </w:rPr>
              <w:t>Term</w:t>
            </w:r>
          </w:p>
        </w:tc>
        <w:tc>
          <w:tcPr>
            <w:tcW w:w="1368" w:type="dxa"/>
          </w:tcPr>
          <w:p w14:paraId="6D38227A" w14:textId="42AB628B" w:rsidR="00095650" w:rsidRPr="005952C0" w:rsidRDefault="00095650" w:rsidP="00700A0E">
            <w:pPr>
              <w:rPr>
                <w:sz w:val="18"/>
                <w:lang w:val="en-GB"/>
              </w:rPr>
            </w:pPr>
            <w:r>
              <w:rPr>
                <w:sz w:val="18"/>
                <w:lang w:val="en-GB"/>
              </w:rPr>
              <w:t>Parameter estimates</w:t>
            </w:r>
            <w:r w:rsidRPr="005952C0">
              <w:rPr>
                <w:sz w:val="18"/>
                <w:lang w:val="en-GB"/>
              </w:rPr>
              <w:t xml:space="preserve"> (L/hh/d)</w:t>
            </w:r>
          </w:p>
        </w:tc>
        <w:tc>
          <w:tcPr>
            <w:tcW w:w="1302" w:type="dxa"/>
          </w:tcPr>
          <w:p w14:paraId="1D8F93D7" w14:textId="77777777" w:rsidR="00095650" w:rsidRPr="005952C0" w:rsidRDefault="00095650" w:rsidP="00700A0E">
            <w:pPr>
              <w:rPr>
                <w:sz w:val="18"/>
                <w:lang w:val="en-GB"/>
              </w:rPr>
            </w:pPr>
            <w:r w:rsidRPr="005952C0">
              <w:rPr>
                <w:sz w:val="18"/>
                <w:lang w:val="en-GB"/>
              </w:rPr>
              <w:t>Confidence %</w:t>
            </w:r>
          </w:p>
        </w:tc>
        <w:tc>
          <w:tcPr>
            <w:tcW w:w="1002" w:type="dxa"/>
          </w:tcPr>
          <w:p w14:paraId="282759C7" w14:textId="77777777" w:rsidR="00095650" w:rsidRPr="005952C0" w:rsidRDefault="00095650" w:rsidP="00700A0E">
            <w:pPr>
              <w:rPr>
                <w:sz w:val="18"/>
                <w:lang w:val="en-GB"/>
              </w:rPr>
            </w:pPr>
            <w:r w:rsidRPr="005952C0">
              <w:rPr>
                <w:sz w:val="18"/>
                <w:lang w:val="en-GB"/>
              </w:rPr>
              <w:t>P value %</w:t>
            </w:r>
          </w:p>
        </w:tc>
      </w:tr>
      <w:tr w:rsidR="00095650" w:rsidRPr="005952C0" w14:paraId="55F437A0" w14:textId="77777777" w:rsidTr="00700A0E">
        <w:tc>
          <w:tcPr>
            <w:tcW w:w="3085" w:type="dxa"/>
            <w:gridSpan w:val="2"/>
          </w:tcPr>
          <w:p w14:paraId="453F1A5E" w14:textId="7640FAC7" w:rsidR="00095650" w:rsidRPr="005952C0" w:rsidRDefault="00095650" w:rsidP="00700A0E">
            <w:pPr>
              <w:rPr>
                <w:sz w:val="18"/>
                <w:lang w:val="en-GB"/>
              </w:rPr>
            </w:pPr>
            <w:r>
              <w:rPr>
                <w:sz w:val="18"/>
                <w:lang w:val="en-GB"/>
              </w:rPr>
              <w:t>(</w:t>
            </w:r>
            <w:r w:rsidRPr="005952C0">
              <w:rPr>
                <w:sz w:val="18"/>
                <w:lang w:val="en-GB"/>
              </w:rPr>
              <w:t>Intercept</w:t>
            </w:r>
            <w:r>
              <w:rPr>
                <w:sz w:val="18"/>
                <w:lang w:val="en-GB"/>
              </w:rPr>
              <w:t>)</w:t>
            </w:r>
          </w:p>
        </w:tc>
        <w:tc>
          <w:tcPr>
            <w:tcW w:w="1368" w:type="dxa"/>
            <w:vAlign w:val="bottom"/>
          </w:tcPr>
          <w:p w14:paraId="20E353FA" w14:textId="77777777" w:rsidR="00095650" w:rsidRPr="005952C0" w:rsidRDefault="00095650" w:rsidP="00B26C30">
            <w:pPr>
              <w:rPr>
                <w:rFonts w:cstheme="minorHAnsi"/>
                <w:color w:val="000000"/>
                <w:sz w:val="18"/>
                <w:szCs w:val="18"/>
                <w:lang w:val="en-GB"/>
              </w:rPr>
            </w:pPr>
            <w:r w:rsidRPr="005952C0">
              <w:rPr>
                <w:rFonts w:cstheme="minorHAnsi"/>
                <w:color w:val="000000"/>
                <w:sz w:val="18"/>
                <w:szCs w:val="18"/>
                <w:lang w:val="en-GB"/>
              </w:rPr>
              <w:t>150.5±43.8</w:t>
            </w:r>
          </w:p>
        </w:tc>
        <w:tc>
          <w:tcPr>
            <w:tcW w:w="1302" w:type="dxa"/>
            <w:vAlign w:val="bottom"/>
          </w:tcPr>
          <w:p w14:paraId="4C1970C4"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99.99</w:t>
            </w:r>
          </w:p>
        </w:tc>
        <w:tc>
          <w:tcPr>
            <w:tcW w:w="1002" w:type="dxa"/>
            <w:vAlign w:val="bottom"/>
          </w:tcPr>
          <w:p w14:paraId="0707EBF8" w14:textId="23939F6E" w:rsidR="00095650" w:rsidRPr="005952C0" w:rsidRDefault="00095650" w:rsidP="00B26C30">
            <w:pPr>
              <w:rPr>
                <w:rFonts w:cstheme="minorHAnsi"/>
                <w:sz w:val="18"/>
                <w:szCs w:val="18"/>
                <w:lang w:val="en-GB"/>
              </w:rPr>
            </w:pPr>
            <w:r w:rsidRPr="005952C0">
              <w:rPr>
                <w:rFonts w:cstheme="minorHAnsi"/>
                <w:color w:val="000000"/>
                <w:sz w:val="18"/>
                <w:szCs w:val="18"/>
                <w:lang w:val="en-GB"/>
              </w:rPr>
              <w:t>&lt;0.01</w:t>
            </w:r>
            <w:r w:rsidR="003C4B45">
              <w:rPr>
                <w:rFonts w:cstheme="minorHAnsi"/>
                <w:color w:val="000000"/>
                <w:sz w:val="18"/>
                <w:szCs w:val="18"/>
                <w:lang w:val="en-GB"/>
              </w:rPr>
              <w:t>***</w:t>
            </w:r>
          </w:p>
        </w:tc>
      </w:tr>
      <w:tr w:rsidR="00095650" w:rsidRPr="005952C0" w14:paraId="5FD20058" w14:textId="77777777" w:rsidTr="00700A0E">
        <w:tc>
          <w:tcPr>
            <w:tcW w:w="3085" w:type="dxa"/>
            <w:gridSpan w:val="2"/>
          </w:tcPr>
          <w:p w14:paraId="1506C740" w14:textId="43F04470" w:rsidR="00095650" w:rsidRPr="005952C0" w:rsidRDefault="00095650" w:rsidP="003C4B45">
            <w:pPr>
              <w:rPr>
                <w:sz w:val="18"/>
                <w:lang w:val="en-GB"/>
              </w:rPr>
            </w:pPr>
            <w:r w:rsidRPr="005952C0">
              <w:rPr>
                <w:sz w:val="18"/>
                <w:lang w:val="en-GB"/>
              </w:rPr>
              <w:t>Av</w:t>
            </w:r>
            <w:r w:rsidR="003C4B45">
              <w:rPr>
                <w:sz w:val="18"/>
                <w:lang w:val="en-GB"/>
              </w:rPr>
              <w:t>era</w:t>
            </w:r>
            <w:r w:rsidRPr="005952C0">
              <w:rPr>
                <w:sz w:val="18"/>
                <w:lang w:val="en-GB"/>
              </w:rPr>
              <w:t>g</w:t>
            </w:r>
            <w:r w:rsidR="003C4B45">
              <w:rPr>
                <w:sz w:val="18"/>
                <w:lang w:val="en-GB"/>
              </w:rPr>
              <w:t>e</w:t>
            </w:r>
            <w:r w:rsidRPr="005952C0">
              <w:rPr>
                <w:sz w:val="18"/>
                <w:lang w:val="en-GB"/>
              </w:rPr>
              <w:t xml:space="preserve"> Control Consumption</w:t>
            </w:r>
          </w:p>
        </w:tc>
        <w:tc>
          <w:tcPr>
            <w:tcW w:w="1368" w:type="dxa"/>
            <w:vAlign w:val="bottom"/>
          </w:tcPr>
          <w:p w14:paraId="401698B9" w14:textId="77777777" w:rsidR="00095650" w:rsidRPr="005952C0" w:rsidRDefault="00095650" w:rsidP="00B26C30">
            <w:pPr>
              <w:rPr>
                <w:rFonts w:cstheme="minorHAnsi"/>
                <w:color w:val="000000"/>
                <w:sz w:val="18"/>
                <w:szCs w:val="18"/>
                <w:lang w:val="en-GB"/>
              </w:rPr>
            </w:pPr>
            <w:r w:rsidRPr="005952C0">
              <w:rPr>
                <w:rFonts w:cstheme="minorHAnsi"/>
                <w:color w:val="000000"/>
                <w:sz w:val="18"/>
                <w:szCs w:val="18"/>
                <w:lang w:val="en-GB"/>
              </w:rPr>
              <w:t>0.7±0.1</w:t>
            </w:r>
          </w:p>
        </w:tc>
        <w:tc>
          <w:tcPr>
            <w:tcW w:w="1302" w:type="dxa"/>
            <w:vAlign w:val="bottom"/>
          </w:tcPr>
          <w:p w14:paraId="3DEDCD12"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99.99</w:t>
            </w:r>
          </w:p>
        </w:tc>
        <w:tc>
          <w:tcPr>
            <w:tcW w:w="1002" w:type="dxa"/>
            <w:vAlign w:val="bottom"/>
          </w:tcPr>
          <w:p w14:paraId="66E0F98A" w14:textId="71581700" w:rsidR="00095650" w:rsidRPr="005952C0" w:rsidRDefault="00095650" w:rsidP="00B26C30">
            <w:pPr>
              <w:rPr>
                <w:rFonts w:cstheme="minorHAnsi"/>
                <w:sz w:val="18"/>
                <w:szCs w:val="18"/>
                <w:lang w:val="en-GB"/>
              </w:rPr>
            </w:pPr>
            <w:r w:rsidRPr="005952C0">
              <w:rPr>
                <w:rFonts w:cstheme="minorHAnsi"/>
                <w:color w:val="000000"/>
                <w:sz w:val="18"/>
                <w:szCs w:val="18"/>
                <w:lang w:val="en-GB"/>
              </w:rPr>
              <w:t>&lt;0.01</w:t>
            </w:r>
            <w:r w:rsidR="003C4B45">
              <w:rPr>
                <w:rFonts w:cstheme="minorHAnsi"/>
                <w:color w:val="000000"/>
                <w:sz w:val="18"/>
                <w:szCs w:val="18"/>
                <w:lang w:val="en-GB"/>
              </w:rPr>
              <w:t>***</w:t>
            </w:r>
          </w:p>
        </w:tc>
      </w:tr>
      <w:tr w:rsidR="00095650" w:rsidRPr="005952C0" w14:paraId="20E1D397" w14:textId="77777777" w:rsidTr="00700A0E">
        <w:tc>
          <w:tcPr>
            <w:tcW w:w="2094" w:type="dxa"/>
            <w:vMerge w:val="restart"/>
          </w:tcPr>
          <w:p w14:paraId="16640850" w14:textId="77777777" w:rsidR="00095650" w:rsidRPr="005952C0" w:rsidRDefault="00095650" w:rsidP="00700A0E">
            <w:pPr>
              <w:rPr>
                <w:sz w:val="18"/>
                <w:lang w:val="en-GB"/>
              </w:rPr>
            </w:pPr>
            <w:r w:rsidRPr="005952C0">
              <w:rPr>
                <w:sz w:val="18"/>
                <w:lang w:val="en-GB"/>
              </w:rPr>
              <w:t>Active Participant Consumption (for last login range of days)</w:t>
            </w:r>
          </w:p>
        </w:tc>
        <w:tc>
          <w:tcPr>
            <w:tcW w:w="991" w:type="dxa"/>
            <w:vAlign w:val="center"/>
          </w:tcPr>
          <w:p w14:paraId="169F9E76" w14:textId="77777777" w:rsidR="00095650" w:rsidRPr="00B26C30" w:rsidRDefault="00095650" w:rsidP="00700A0E">
            <w:pPr>
              <w:rPr>
                <w:b/>
                <w:sz w:val="18"/>
                <w:lang w:val="en-GB"/>
              </w:rPr>
            </w:pPr>
            <w:r w:rsidRPr="00B26C30">
              <w:rPr>
                <w:b/>
                <w:sz w:val="18"/>
                <w:lang w:val="en-GB"/>
              </w:rPr>
              <w:t>(0,14]</w:t>
            </w:r>
          </w:p>
        </w:tc>
        <w:tc>
          <w:tcPr>
            <w:tcW w:w="1368" w:type="dxa"/>
            <w:vAlign w:val="bottom"/>
          </w:tcPr>
          <w:p w14:paraId="048ECD98"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-54.1±37.9</w:t>
            </w:r>
          </w:p>
        </w:tc>
        <w:tc>
          <w:tcPr>
            <w:tcW w:w="1302" w:type="dxa"/>
            <w:vAlign w:val="bottom"/>
          </w:tcPr>
          <w:p w14:paraId="7571E096"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99.49</w:t>
            </w:r>
          </w:p>
        </w:tc>
        <w:tc>
          <w:tcPr>
            <w:tcW w:w="1002" w:type="dxa"/>
            <w:vAlign w:val="bottom"/>
          </w:tcPr>
          <w:p w14:paraId="2CC1C651" w14:textId="5B77453F" w:rsidR="00095650" w:rsidRPr="00B26C30" w:rsidRDefault="00095650" w:rsidP="00B26C30">
            <w:pPr>
              <w:rPr>
                <w:rFonts w:cstheme="minorHAnsi"/>
                <w:b/>
                <w:sz w:val="18"/>
                <w:szCs w:val="18"/>
                <w:lang w:val="en-GB"/>
              </w:rPr>
            </w:pPr>
            <w:r w:rsidRPr="00B26C30">
              <w:rPr>
                <w:rFonts w:cstheme="minorHAnsi"/>
                <w:b/>
                <w:color w:val="000000"/>
                <w:sz w:val="18"/>
                <w:szCs w:val="18"/>
                <w:lang w:val="en-GB"/>
              </w:rPr>
              <w:t>0.52</w:t>
            </w:r>
            <w:r w:rsidR="003C4B45" w:rsidRPr="00B26C30">
              <w:rPr>
                <w:rFonts w:cstheme="minorHAnsi"/>
                <w:b/>
                <w:color w:val="000000"/>
                <w:sz w:val="18"/>
                <w:szCs w:val="18"/>
                <w:lang w:val="en-GB"/>
              </w:rPr>
              <w:t>**</w:t>
            </w:r>
          </w:p>
        </w:tc>
      </w:tr>
      <w:tr w:rsidR="00095650" w:rsidRPr="005952C0" w14:paraId="6DC11C94" w14:textId="77777777" w:rsidTr="00700A0E">
        <w:tc>
          <w:tcPr>
            <w:tcW w:w="2094" w:type="dxa"/>
            <w:vMerge/>
            <w:textDirection w:val="btLr"/>
          </w:tcPr>
          <w:p w14:paraId="127F0A3F" w14:textId="77777777" w:rsidR="00095650" w:rsidRPr="005952C0" w:rsidRDefault="00095650" w:rsidP="00700A0E">
            <w:pPr>
              <w:ind w:left="113" w:right="113"/>
              <w:rPr>
                <w:sz w:val="18"/>
                <w:lang w:val="en-GB"/>
              </w:rPr>
            </w:pPr>
          </w:p>
        </w:tc>
        <w:tc>
          <w:tcPr>
            <w:tcW w:w="991" w:type="dxa"/>
            <w:vAlign w:val="center"/>
          </w:tcPr>
          <w:p w14:paraId="2EB8C3D1" w14:textId="77777777" w:rsidR="00095650" w:rsidRPr="00B26C30" w:rsidRDefault="00095650" w:rsidP="00700A0E">
            <w:pPr>
              <w:rPr>
                <w:b/>
                <w:sz w:val="18"/>
                <w:lang w:val="en-GB"/>
              </w:rPr>
            </w:pPr>
            <w:r w:rsidRPr="00B26C30">
              <w:rPr>
                <w:b/>
                <w:sz w:val="18"/>
                <w:lang w:val="en-GB"/>
              </w:rPr>
              <w:t>(14,28]</w:t>
            </w:r>
          </w:p>
        </w:tc>
        <w:tc>
          <w:tcPr>
            <w:tcW w:w="1368" w:type="dxa"/>
            <w:vAlign w:val="bottom"/>
          </w:tcPr>
          <w:p w14:paraId="013CF3DC"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-68.3±47.1</w:t>
            </w:r>
          </w:p>
        </w:tc>
        <w:tc>
          <w:tcPr>
            <w:tcW w:w="1302" w:type="dxa"/>
            <w:vAlign w:val="bottom"/>
          </w:tcPr>
          <w:p w14:paraId="1A63E49D"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99.55</w:t>
            </w:r>
          </w:p>
        </w:tc>
        <w:tc>
          <w:tcPr>
            <w:tcW w:w="1002" w:type="dxa"/>
            <w:vAlign w:val="bottom"/>
          </w:tcPr>
          <w:p w14:paraId="05461C87" w14:textId="09A87175" w:rsidR="00095650" w:rsidRPr="00B26C30" w:rsidRDefault="00095650" w:rsidP="00B26C30">
            <w:pPr>
              <w:rPr>
                <w:rFonts w:cstheme="minorHAnsi"/>
                <w:b/>
                <w:sz w:val="18"/>
                <w:szCs w:val="18"/>
                <w:lang w:val="en-GB"/>
              </w:rPr>
            </w:pPr>
            <w:r w:rsidRPr="00B26C30">
              <w:rPr>
                <w:rFonts w:cstheme="minorHAnsi"/>
                <w:b/>
                <w:color w:val="000000"/>
                <w:sz w:val="18"/>
                <w:szCs w:val="18"/>
                <w:lang w:val="en-GB"/>
              </w:rPr>
              <w:t>0.45</w:t>
            </w:r>
            <w:r w:rsidR="003C4B45" w:rsidRPr="00B26C30">
              <w:rPr>
                <w:rFonts w:cstheme="minorHAnsi"/>
                <w:b/>
                <w:color w:val="000000"/>
                <w:sz w:val="18"/>
                <w:szCs w:val="18"/>
                <w:lang w:val="en-GB"/>
              </w:rPr>
              <w:t>**</w:t>
            </w:r>
          </w:p>
        </w:tc>
      </w:tr>
      <w:tr w:rsidR="00095650" w:rsidRPr="005952C0" w14:paraId="485EBF2A" w14:textId="77777777" w:rsidTr="00700A0E">
        <w:tc>
          <w:tcPr>
            <w:tcW w:w="2094" w:type="dxa"/>
            <w:vMerge/>
          </w:tcPr>
          <w:p w14:paraId="24723E6F" w14:textId="77777777" w:rsidR="00095650" w:rsidRPr="005952C0" w:rsidRDefault="00095650" w:rsidP="00700A0E">
            <w:pPr>
              <w:rPr>
                <w:sz w:val="18"/>
                <w:lang w:val="en-GB"/>
              </w:rPr>
            </w:pPr>
          </w:p>
        </w:tc>
        <w:tc>
          <w:tcPr>
            <w:tcW w:w="991" w:type="dxa"/>
            <w:vAlign w:val="center"/>
          </w:tcPr>
          <w:p w14:paraId="4DD1F054" w14:textId="7B111124" w:rsidR="00095650" w:rsidRPr="00B26C30" w:rsidRDefault="00095650" w:rsidP="00700A0E">
            <w:pPr>
              <w:rPr>
                <w:b/>
                <w:sz w:val="18"/>
                <w:lang w:val="en-GB"/>
              </w:rPr>
            </w:pPr>
            <w:r w:rsidRPr="00B26C30">
              <w:rPr>
                <w:b/>
                <w:sz w:val="18"/>
                <w:lang w:val="en-GB"/>
              </w:rPr>
              <w:t>(28,42]</w:t>
            </w:r>
          </w:p>
        </w:tc>
        <w:tc>
          <w:tcPr>
            <w:tcW w:w="1368" w:type="dxa"/>
            <w:vAlign w:val="bottom"/>
          </w:tcPr>
          <w:p w14:paraId="09FDB5B6"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-57.6±48.0</w:t>
            </w:r>
          </w:p>
        </w:tc>
        <w:tc>
          <w:tcPr>
            <w:tcW w:w="1302" w:type="dxa"/>
            <w:vAlign w:val="bottom"/>
          </w:tcPr>
          <w:p w14:paraId="6530CFDF" w14:textId="77777777" w:rsidR="00095650" w:rsidRPr="00B26C30" w:rsidRDefault="00095650" w:rsidP="00B26C30">
            <w:pPr>
              <w:rPr>
                <w:rFonts w:cstheme="minorHAnsi"/>
                <w:b/>
                <w:sz w:val="18"/>
                <w:szCs w:val="18"/>
                <w:lang w:val="en-GB"/>
              </w:rPr>
            </w:pPr>
            <w:r w:rsidRPr="00B26C30">
              <w:rPr>
                <w:rFonts w:cstheme="minorHAnsi"/>
                <w:b/>
                <w:color w:val="000000"/>
                <w:sz w:val="18"/>
                <w:szCs w:val="18"/>
                <w:lang w:val="en-GB"/>
              </w:rPr>
              <w:t>98.11</w:t>
            </w:r>
          </w:p>
        </w:tc>
        <w:tc>
          <w:tcPr>
            <w:tcW w:w="1002" w:type="dxa"/>
            <w:vAlign w:val="bottom"/>
          </w:tcPr>
          <w:p w14:paraId="1CA3862A" w14:textId="1E155ABD" w:rsidR="00095650" w:rsidRPr="00B26C30" w:rsidRDefault="00095650" w:rsidP="00B26C30">
            <w:pPr>
              <w:rPr>
                <w:rFonts w:cstheme="minorHAnsi"/>
                <w:b/>
                <w:sz w:val="18"/>
                <w:szCs w:val="18"/>
                <w:lang w:val="en-GB"/>
              </w:rPr>
            </w:pPr>
            <w:r w:rsidRPr="00B26C30">
              <w:rPr>
                <w:rFonts w:cstheme="minorHAnsi"/>
                <w:b/>
                <w:color w:val="000000"/>
                <w:sz w:val="18"/>
                <w:szCs w:val="18"/>
                <w:lang w:val="en-GB"/>
              </w:rPr>
              <w:t>1.89</w:t>
            </w:r>
            <w:r w:rsidR="003C4B45" w:rsidRPr="00B26C30">
              <w:rPr>
                <w:rFonts w:cstheme="minorHAnsi"/>
                <w:b/>
                <w:color w:val="000000"/>
                <w:sz w:val="18"/>
                <w:szCs w:val="18"/>
                <w:lang w:val="en-GB"/>
              </w:rPr>
              <w:t>*</w:t>
            </w:r>
          </w:p>
        </w:tc>
      </w:tr>
      <w:tr w:rsidR="00095650" w:rsidRPr="005952C0" w14:paraId="00539CCF" w14:textId="77777777" w:rsidTr="00700A0E">
        <w:trPr>
          <w:trHeight w:val="74"/>
        </w:trPr>
        <w:tc>
          <w:tcPr>
            <w:tcW w:w="2094" w:type="dxa"/>
            <w:vMerge/>
          </w:tcPr>
          <w:p w14:paraId="75D89A27" w14:textId="77777777" w:rsidR="00095650" w:rsidRPr="005952C0" w:rsidRDefault="00095650" w:rsidP="00700A0E">
            <w:pPr>
              <w:rPr>
                <w:sz w:val="18"/>
                <w:highlight w:val="green"/>
                <w:lang w:val="en-GB"/>
              </w:rPr>
            </w:pPr>
          </w:p>
        </w:tc>
        <w:tc>
          <w:tcPr>
            <w:tcW w:w="991" w:type="dxa"/>
            <w:vAlign w:val="center"/>
          </w:tcPr>
          <w:p w14:paraId="119EB997" w14:textId="77777777" w:rsidR="00095650" w:rsidRPr="005952C0" w:rsidRDefault="00095650" w:rsidP="00700A0E">
            <w:pPr>
              <w:rPr>
                <w:sz w:val="18"/>
                <w:lang w:val="en-GB"/>
              </w:rPr>
            </w:pPr>
            <w:r w:rsidRPr="005952C0">
              <w:rPr>
                <w:sz w:val="18"/>
                <w:lang w:val="en-GB"/>
              </w:rPr>
              <w:t>(42,56]</w:t>
            </w:r>
          </w:p>
        </w:tc>
        <w:tc>
          <w:tcPr>
            <w:tcW w:w="1368" w:type="dxa"/>
            <w:vAlign w:val="bottom"/>
          </w:tcPr>
          <w:p w14:paraId="11428D3B"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-18.0±50.1</w:t>
            </w:r>
          </w:p>
        </w:tc>
        <w:tc>
          <w:tcPr>
            <w:tcW w:w="1302" w:type="dxa"/>
            <w:vAlign w:val="bottom"/>
          </w:tcPr>
          <w:p w14:paraId="4130CCD3"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51.79</w:t>
            </w:r>
          </w:p>
        </w:tc>
        <w:tc>
          <w:tcPr>
            <w:tcW w:w="1002" w:type="dxa"/>
            <w:vAlign w:val="bottom"/>
          </w:tcPr>
          <w:p w14:paraId="082EA3EE"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48.21</w:t>
            </w:r>
          </w:p>
        </w:tc>
      </w:tr>
      <w:tr w:rsidR="00095650" w:rsidRPr="005952C0" w14:paraId="326E9938" w14:textId="77777777" w:rsidTr="00700A0E">
        <w:tc>
          <w:tcPr>
            <w:tcW w:w="2094" w:type="dxa"/>
            <w:vMerge/>
          </w:tcPr>
          <w:p w14:paraId="22B35F48" w14:textId="77777777" w:rsidR="00095650" w:rsidRPr="005952C0" w:rsidRDefault="00095650" w:rsidP="00700A0E">
            <w:pPr>
              <w:rPr>
                <w:sz w:val="18"/>
                <w:highlight w:val="green"/>
                <w:lang w:val="en-GB"/>
              </w:rPr>
            </w:pPr>
          </w:p>
        </w:tc>
        <w:tc>
          <w:tcPr>
            <w:tcW w:w="991" w:type="dxa"/>
            <w:vAlign w:val="center"/>
          </w:tcPr>
          <w:p w14:paraId="565B1BD5" w14:textId="77777777" w:rsidR="00095650" w:rsidRPr="005952C0" w:rsidRDefault="00095650" w:rsidP="00700A0E">
            <w:pPr>
              <w:rPr>
                <w:sz w:val="18"/>
                <w:lang w:val="en-GB"/>
              </w:rPr>
            </w:pPr>
            <w:r w:rsidRPr="005952C0">
              <w:rPr>
                <w:sz w:val="18"/>
                <w:lang w:val="en-GB"/>
              </w:rPr>
              <w:t>(56,70]</w:t>
            </w:r>
          </w:p>
        </w:tc>
        <w:tc>
          <w:tcPr>
            <w:tcW w:w="1368" w:type="dxa"/>
            <w:vAlign w:val="bottom"/>
          </w:tcPr>
          <w:p w14:paraId="004797F8"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-20.5±51.6</w:t>
            </w:r>
          </w:p>
        </w:tc>
        <w:tc>
          <w:tcPr>
            <w:tcW w:w="1302" w:type="dxa"/>
            <w:vAlign w:val="bottom"/>
          </w:tcPr>
          <w:p w14:paraId="559DB38C"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56.42</w:t>
            </w:r>
          </w:p>
        </w:tc>
        <w:tc>
          <w:tcPr>
            <w:tcW w:w="1002" w:type="dxa"/>
            <w:vAlign w:val="bottom"/>
          </w:tcPr>
          <w:p w14:paraId="1DFDF361"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43.58</w:t>
            </w:r>
          </w:p>
        </w:tc>
      </w:tr>
      <w:tr w:rsidR="00095650" w:rsidRPr="005952C0" w14:paraId="10424B36" w14:textId="77777777" w:rsidTr="00700A0E">
        <w:tc>
          <w:tcPr>
            <w:tcW w:w="2094" w:type="dxa"/>
            <w:vMerge/>
          </w:tcPr>
          <w:p w14:paraId="57F8D009" w14:textId="77777777" w:rsidR="00095650" w:rsidRPr="005952C0" w:rsidRDefault="00095650" w:rsidP="00700A0E">
            <w:pPr>
              <w:rPr>
                <w:sz w:val="18"/>
                <w:highlight w:val="green"/>
                <w:lang w:val="en-GB"/>
              </w:rPr>
            </w:pPr>
          </w:p>
        </w:tc>
        <w:tc>
          <w:tcPr>
            <w:tcW w:w="991" w:type="dxa"/>
            <w:vAlign w:val="center"/>
          </w:tcPr>
          <w:p w14:paraId="7F51C92D" w14:textId="77777777" w:rsidR="00095650" w:rsidRPr="005952C0" w:rsidRDefault="00095650" w:rsidP="00700A0E">
            <w:pPr>
              <w:rPr>
                <w:sz w:val="18"/>
                <w:highlight w:val="green"/>
                <w:lang w:val="en-GB"/>
              </w:rPr>
            </w:pPr>
            <w:r w:rsidRPr="005952C0">
              <w:rPr>
                <w:sz w:val="18"/>
                <w:lang w:val="en-GB"/>
              </w:rPr>
              <w:t>(70,84]</w:t>
            </w:r>
          </w:p>
        </w:tc>
        <w:tc>
          <w:tcPr>
            <w:tcW w:w="1368" w:type="dxa"/>
            <w:vAlign w:val="bottom"/>
          </w:tcPr>
          <w:p w14:paraId="7F9FB05D" w14:textId="77777777" w:rsidR="00095650" w:rsidRPr="005952C0" w:rsidRDefault="00095650" w:rsidP="00B26C30">
            <w:pPr>
              <w:rPr>
                <w:rFonts w:cstheme="minorHAnsi"/>
                <w:sz w:val="18"/>
                <w:szCs w:val="18"/>
                <w:highlight w:val="green"/>
                <w:lang w:val="en-GB"/>
              </w:rPr>
            </w:pPr>
            <w:r w:rsidRPr="005952C0">
              <w:rPr>
                <w:rFonts w:cstheme="minorHAnsi"/>
                <w:color w:val="000000"/>
                <w:sz w:val="18"/>
                <w:szCs w:val="18"/>
                <w:lang w:val="en-GB"/>
              </w:rPr>
              <w:t>26.1±55.2</w:t>
            </w:r>
          </w:p>
        </w:tc>
        <w:tc>
          <w:tcPr>
            <w:tcW w:w="1302" w:type="dxa"/>
            <w:vAlign w:val="bottom"/>
          </w:tcPr>
          <w:p w14:paraId="2C3DEB14" w14:textId="77777777" w:rsidR="00095650" w:rsidRPr="005952C0" w:rsidRDefault="00095650" w:rsidP="00B26C30">
            <w:pPr>
              <w:rPr>
                <w:rFonts w:cstheme="minorHAnsi"/>
                <w:sz w:val="18"/>
                <w:szCs w:val="18"/>
                <w:highlight w:val="green"/>
                <w:lang w:val="en-GB"/>
              </w:rPr>
            </w:pPr>
            <w:r w:rsidRPr="005952C0">
              <w:rPr>
                <w:rFonts w:cstheme="minorHAnsi"/>
                <w:color w:val="000000"/>
                <w:sz w:val="18"/>
                <w:szCs w:val="18"/>
                <w:lang w:val="en-GB"/>
              </w:rPr>
              <w:t>64.64</w:t>
            </w:r>
          </w:p>
        </w:tc>
        <w:tc>
          <w:tcPr>
            <w:tcW w:w="1002" w:type="dxa"/>
            <w:vAlign w:val="bottom"/>
          </w:tcPr>
          <w:p w14:paraId="5E702B84"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35.36</w:t>
            </w:r>
          </w:p>
        </w:tc>
      </w:tr>
      <w:tr w:rsidR="00095650" w:rsidRPr="005952C0" w14:paraId="58ABA18A" w14:textId="77777777" w:rsidTr="00700A0E">
        <w:tc>
          <w:tcPr>
            <w:tcW w:w="2094" w:type="dxa"/>
            <w:vMerge/>
          </w:tcPr>
          <w:p w14:paraId="5A4C0B71" w14:textId="77777777" w:rsidR="00095650" w:rsidRPr="005952C0" w:rsidRDefault="00095650" w:rsidP="00700A0E">
            <w:pPr>
              <w:rPr>
                <w:sz w:val="18"/>
                <w:lang w:val="en-GB"/>
              </w:rPr>
            </w:pPr>
          </w:p>
        </w:tc>
        <w:tc>
          <w:tcPr>
            <w:tcW w:w="991" w:type="dxa"/>
            <w:vAlign w:val="center"/>
          </w:tcPr>
          <w:p w14:paraId="325FCA10" w14:textId="77777777" w:rsidR="00095650" w:rsidRPr="005952C0" w:rsidRDefault="00095650" w:rsidP="00700A0E">
            <w:pPr>
              <w:rPr>
                <w:sz w:val="18"/>
                <w:lang w:val="en-GB"/>
              </w:rPr>
            </w:pPr>
            <w:r w:rsidRPr="005952C0">
              <w:rPr>
                <w:sz w:val="18"/>
                <w:lang w:val="en-GB"/>
              </w:rPr>
              <w:t>(84,98]</w:t>
            </w:r>
          </w:p>
        </w:tc>
        <w:tc>
          <w:tcPr>
            <w:tcW w:w="1368" w:type="dxa"/>
            <w:vAlign w:val="bottom"/>
          </w:tcPr>
          <w:p w14:paraId="1FD7A3C0"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-45.7±58.2</w:t>
            </w:r>
          </w:p>
        </w:tc>
        <w:tc>
          <w:tcPr>
            <w:tcW w:w="1302" w:type="dxa"/>
            <w:vAlign w:val="bottom"/>
          </w:tcPr>
          <w:p w14:paraId="2EB1D1B8"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87.63</w:t>
            </w:r>
          </w:p>
        </w:tc>
        <w:tc>
          <w:tcPr>
            <w:tcW w:w="1002" w:type="dxa"/>
            <w:vAlign w:val="bottom"/>
          </w:tcPr>
          <w:p w14:paraId="76C758EE"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12.37</w:t>
            </w:r>
          </w:p>
        </w:tc>
      </w:tr>
      <w:tr w:rsidR="00095650" w:rsidRPr="005952C0" w14:paraId="0CDAD3FF" w14:textId="77777777" w:rsidTr="00700A0E">
        <w:tc>
          <w:tcPr>
            <w:tcW w:w="2094" w:type="dxa"/>
            <w:vMerge/>
          </w:tcPr>
          <w:p w14:paraId="4B61075F" w14:textId="77777777" w:rsidR="00095650" w:rsidRPr="005952C0" w:rsidRDefault="00095650" w:rsidP="00700A0E">
            <w:pPr>
              <w:rPr>
                <w:sz w:val="18"/>
                <w:lang w:val="en-GB"/>
              </w:rPr>
            </w:pPr>
          </w:p>
        </w:tc>
        <w:tc>
          <w:tcPr>
            <w:tcW w:w="991" w:type="dxa"/>
            <w:vAlign w:val="center"/>
          </w:tcPr>
          <w:p w14:paraId="646491FD" w14:textId="77777777" w:rsidR="00095650" w:rsidRPr="005952C0" w:rsidRDefault="00095650" w:rsidP="00700A0E">
            <w:pPr>
              <w:rPr>
                <w:sz w:val="18"/>
                <w:lang w:val="en-GB"/>
              </w:rPr>
            </w:pPr>
            <w:r w:rsidRPr="005952C0">
              <w:rPr>
                <w:rFonts w:cstheme="minorHAnsi"/>
                <w:color w:val="000000"/>
                <w:sz w:val="18"/>
                <w:szCs w:val="18"/>
                <w:lang w:val="en-GB"/>
              </w:rPr>
              <w:t>(98,112]</w:t>
            </w:r>
          </w:p>
        </w:tc>
        <w:tc>
          <w:tcPr>
            <w:tcW w:w="1368" w:type="dxa"/>
            <w:vAlign w:val="bottom"/>
          </w:tcPr>
          <w:p w14:paraId="014185E2"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-39.3±58.4</w:t>
            </w:r>
          </w:p>
        </w:tc>
        <w:tc>
          <w:tcPr>
            <w:tcW w:w="1302" w:type="dxa"/>
            <w:vAlign w:val="bottom"/>
          </w:tcPr>
          <w:p w14:paraId="49B9E2F4"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81.30</w:t>
            </w:r>
          </w:p>
        </w:tc>
        <w:tc>
          <w:tcPr>
            <w:tcW w:w="1002" w:type="dxa"/>
            <w:vAlign w:val="bottom"/>
          </w:tcPr>
          <w:p w14:paraId="7B4478CA"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18.71</w:t>
            </w:r>
          </w:p>
        </w:tc>
      </w:tr>
      <w:tr w:rsidR="00095650" w:rsidRPr="005952C0" w14:paraId="2630BB1B" w14:textId="77777777" w:rsidTr="00700A0E">
        <w:tc>
          <w:tcPr>
            <w:tcW w:w="2094" w:type="dxa"/>
            <w:vMerge/>
          </w:tcPr>
          <w:p w14:paraId="4203A5CB" w14:textId="77777777" w:rsidR="00095650" w:rsidRPr="005952C0" w:rsidRDefault="00095650" w:rsidP="00700A0E">
            <w:pPr>
              <w:rPr>
                <w:sz w:val="18"/>
                <w:lang w:val="en-GB"/>
              </w:rPr>
            </w:pPr>
          </w:p>
        </w:tc>
        <w:tc>
          <w:tcPr>
            <w:tcW w:w="991" w:type="dxa"/>
            <w:vAlign w:val="center"/>
          </w:tcPr>
          <w:p w14:paraId="20FC3384"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(112,126]</w:t>
            </w:r>
          </w:p>
        </w:tc>
        <w:tc>
          <w:tcPr>
            <w:tcW w:w="1368" w:type="dxa"/>
            <w:vAlign w:val="bottom"/>
          </w:tcPr>
          <w:p w14:paraId="06510F78"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-86.4±60.2</w:t>
            </w:r>
          </w:p>
        </w:tc>
        <w:tc>
          <w:tcPr>
            <w:tcW w:w="1302" w:type="dxa"/>
            <w:vAlign w:val="bottom"/>
          </w:tcPr>
          <w:p w14:paraId="6ECB3121"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99.51</w:t>
            </w:r>
          </w:p>
        </w:tc>
        <w:tc>
          <w:tcPr>
            <w:tcW w:w="1002" w:type="dxa"/>
            <w:vAlign w:val="bottom"/>
          </w:tcPr>
          <w:p w14:paraId="0428A438" w14:textId="3446D835" w:rsidR="00095650" w:rsidRPr="005952C0" w:rsidRDefault="00095650" w:rsidP="00B26C30">
            <w:pPr>
              <w:rPr>
                <w:rFonts w:cstheme="minorHAnsi"/>
                <w:sz w:val="18"/>
                <w:szCs w:val="18"/>
                <w:lang w:val="en-GB"/>
              </w:rPr>
            </w:pPr>
            <w:r w:rsidRPr="005952C0">
              <w:rPr>
                <w:rFonts w:cstheme="minorHAnsi"/>
                <w:color w:val="000000"/>
                <w:sz w:val="18"/>
                <w:szCs w:val="18"/>
                <w:lang w:val="en-GB"/>
              </w:rPr>
              <w:t>0.49</w:t>
            </w:r>
            <w:r w:rsidR="003C4B45">
              <w:rPr>
                <w:rFonts w:cstheme="minorHAnsi"/>
                <w:color w:val="000000"/>
                <w:sz w:val="18"/>
                <w:szCs w:val="18"/>
                <w:lang w:val="en-GB"/>
              </w:rPr>
              <w:t>**</w:t>
            </w:r>
          </w:p>
        </w:tc>
      </w:tr>
      <w:tr w:rsidR="00095650" w:rsidRPr="005952C0" w14:paraId="22D18F44" w14:textId="77777777" w:rsidTr="00700A0E">
        <w:tc>
          <w:tcPr>
            <w:tcW w:w="2094" w:type="dxa"/>
            <w:vMerge/>
          </w:tcPr>
          <w:p w14:paraId="3686CE94" w14:textId="77777777" w:rsidR="00095650" w:rsidRPr="005952C0" w:rsidRDefault="00095650" w:rsidP="00700A0E">
            <w:pPr>
              <w:rPr>
                <w:sz w:val="18"/>
                <w:lang w:val="en-GB"/>
              </w:rPr>
            </w:pPr>
          </w:p>
        </w:tc>
        <w:tc>
          <w:tcPr>
            <w:tcW w:w="991" w:type="dxa"/>
            <w:vAlign w:val="center"/>
          </w:tcPr>
          <w:p w14:paraId="6CAFE073"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(126,140]</w:t>
            </w:r>
          </w:p>
        </w:tc>
        <w:tc>
          <w:tcPr>
            <w:tcW w:w="1368" w:type="dxa"/>
            <w:vAlign w:val="bottom"/>
          </w:tcPr>
          <w:p w14:paraId="32429011"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-43.9±67.1</w:t>
            </w:r>
          </w:p>
        </w:tc>
        <w:tc>
          <w:tcPr>
            <w:tcW w:w="1302" w:type="dxa"/>
            <w:vAlign w:val="bottom"/>
          </w:tcPr>
          <w:p w14:paraId="3E9DB26B"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80.01</w:t>
            </w:r>
          </w:p>
        </w:tc>
        <w:tc>
          <w:tcPr>
            <w:tcW w:w="1002" w:type="dxa"/>
            <w:vAlign w:val="bottom"/>
          </w:tcPr>
          <w:p w14:paraId="42D28F55"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19.99</w:t>
            </w:r>
          </w:p>
        </w:tc>
      </w:tr>
      <w:tr w:rsidR="00095650" w:rsidRPr="005952C0" w14:paraId="12C686A6" w14:textId="77777777" w:rsidTr="00700A0E">
        <w:tc>
          <w:tcPr>
            <w:tcW w:w="2094" w:type="dxa"/>
            <w:vMerge/>
          </w:tcPr>
          <w:p w14:paraId="5C71DFF2" w14:textId="77777777" w:rsidR="00095650" w:rsidRPr="005952C0" w:rsidRDefault="00095650" w:rsidP="00700A0E">
            <w:pPr>
              <w:rPr>
                <w:sz w:val="18"/>
                <w:lang w:val="en-GB"/>
              </w:rPr>
            </w:pPr>
          </w:p>
        </w:tc>
        <w:tc>
          <w:tcPr>
            <w:tcW w:w="991" w:type="dxa"/>
            <w:vAlign w:val="center"/>
          </w:tcPr>
          <w:p w14:paraId="17A92241"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(140,154]</w:t>
            </w:r>
          </w:p>
        </w:tc>
        <w:tc>
          <w:tcPr>
            <w:tcW w:w="1368" w:type="dxa"/>
            <w:vAlign w:val="bottom"/>
          </w:tcPr>
          <w:p w14:paraId="4E93DB33"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-91.3±70.9</w:t>
            </w:r>
          </w:p>
        </w:tc>
        <w:tc>
          <w:tcPr>
            <w:tcW w:w="1302" w:type="dxa"/>
            <w:vAlign w:val="bottom"/>
          </w:tcPr>
          <w:p w14:paraId="194D073A"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98.84</w:t>
            </w:r>
          </w:p>
        </w:tc>
        <w:tc>
          <w:tcPr>
            <w:tcW w:w="1002" w:type="dxa"/>
            <w:vAlign w:val="bottom"/>
          </w:tcPr>
          <w:p w14:paraId="3B1AEB6D"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1.16</w:t>
            </w:r>
          </w:p>
        </w:tc>
      </w:tr>
      <w:tr w:rsidR="00095650" w:rsidRPr="005952C0" w14:paraId="14B3E11F" w14:textId="77777777" w:rsidTr="00700A0E">
        <w:tc>
          <w:tcPr>
            <w:tcW w:w="2094" w:type="dxa"/>
            <w:vMerge/>
          </w:tcPr>
          <w:p w14:paraId="65283DCF" w14:textId="77777777" w:rsidR="00095650" w:rsidRPr="005952C0" w:rsidRDefault="00095650" w:rsidP="00700A0E">
            <w:pPr>
              <w:rPr>
                <w:sz w:val="18"/>
                <w:lang w:val="en-GB"/>
              </w:rPr>
            </w:pPr>
          </w:p>
        </w:tc>
        <w:tc>
          <w:tcPr>
            <w:tcW w:w="991" w:type="dxa"/>
            <w:vAlign w:val="center"/>
          </w:tcPr>
          <w:p w14:paraId="53D80E2E" w14:textId="77777777" w:rsidR="00095650" w:rsidRPr="005952C0" w:rsidRDefault="00095650" w:rsidP="00700A0E">
            <w:pPr>
              <w:rPr>
                <w:rFonts w:cstheme="minorHAnsi"/>
                <w:color w:val="000000"/>
                <w:sz w:val="18"/>
                <w:szCs w:val="18"/>
                <w:lang w:val="en-GB"/>
              </w:rPr>
            </w:pPr>
            <w:r w:rsidRPr="005952C0">
              <w:rPr>
                <w:rFonts w:cstheme="minorHAnsi"/>
                <w:color w:val="000000"/>
                <w:sz w:val="18"/>
                <w:szCs w:val="18"/>
                <w:lang w:val="en-GB"/>
              </w:rPr>
              <w:t>(154,182]</w:t>
            </w:r>
          </w:p>
        </w:tc>
        <w:tc>
          <w:tcPr>
            <w:tcW w:w="1368" w:type="dxa"/>
            <w:vAlign w:val="bottom"/>
          </w:tcPr>
          <w:p w14:paraId="22A4EEB4"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1.7±49.9</w:t>
            </w:r>
          </w:p>
        </w:tc>
        <w:tc>
          <w:tcPr>
            <w:tcW w:w="1302" w:type="dxa"/>
            <w:vAlign w:val="bottom"/>
          </w:tcPr>
          <w:p w14:paraId="2C6629C3"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5.31</w:t>
            </w:r>
          </w:p>
        </w:tc>
        <w:tc>
          <w:tcPr>
            <w:tcW w:w="1002" w:type="dxa"/>
            <w:vAlign w:val="bottom"/>
          </w:tcPr>
          <w:p w14:paraId="665CE46C"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94.69</w:t>
            </w:r>
          </w:p>
        </w:tc>
      </w:tr>
      <w:tr w:rsidR="00095650" w:rsidRPr="005952C0" w14:paraId="4A429771" w14:textId="77777777" w:rsidTr="00700A0E">
        <w:tc>
          <w:tcPr>
            <w:tcW w:w="2094" w:type="dxa"/>
            <w:vMerge/>
          </w:tcPr>
          <w:p w14:paraId="53D02C97" w14:textId="77777777" w:rsidR="00095650" w:rsidRPr="005952C0" w:rsidRDefault="00095650" w:rsidP="00700A0E">
            <w:pPr>
              <w:rPr>
                <w:sz w:val="18"/>
                <w:lang w:val="en-GB"/>
              </w:rPr>
            </w:pPr>
          </w:p>
        </w:tc>
        <w:tc>
          <w:tcPr>
            <w:tcW w:w="991" w:type="dxa"/>
            <w:vAlign w:val="center"/>
          </w:tcPr>
          <w:p w14:paraId="744B7DE2"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(182,210]</w:t>
            </w:r>
          </w:p>
        </w:tc>
        <w:tc>
          <w:tcPr>
            <w:tcW w:w="1368" w:type="dxa"/>
            <w:vAlign w:val="bottom"/>
          </w:tcPr>
          <w:p w14:paraId="0F294FED"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37.3±51.0</w:t>
            </w:r>
          </w:p>
        </w:tc>
        <w:tc>
          <w:tcPr>
            <w:tcW w:w="1302" w:type="dxa"/>
            <w:vAlign w:val="bottom"/>
          </w:tcPr>
          <w:p w14:paraId="3EEBDE23"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84.85</w:t>
            </w:r>
          </w:p>
        </w:tc>
        <w:tc>
          <w:tcPr>
            <w:tcW w:w="1002" w:type="dxa"/>
            <w:vAlign w:val="bottom"/>
          </w:tcPr>
          <w:p w14:paraId="79B5B08A"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15.15</w:t>
            </w:r>
          </w:p>
        </w:tc>
      </w:tr>
      <w:tr w:rsidR="00095650" w:rsidRPr="005952C0" w14:paraId="680C0BA3" w14:textId="77777777" w:rsidTr="00700A0E">
        <w:tc>
          <w:tcPr>
            <w:tcW w:w="2094" w:type="dxa"/>
            <w:vMerge/>
          </w:tcPr>
          <w:p w14:paraId="77B8A6E2" w14:textId="77777777" w:rsidR="00095650" w:rsidRPr="005952C0" w:rsidRDefault="00095650" w:rsidP="00700A0E">
            <w:pPr>
              <w:rPr>
                <w:sz w:val="18"/>
                <w:lang w:val="en-GB"/>
              </w:rPr>
            </w:pPr>
          </w:p>
        </w:tc>
        <w:tc>
          <w:tcPr>
            <w:tcW w:w="991" w:type="dxa"/>
            <w:vAlign w:val="center"/>
          </w:tcPr>
          <w:p w14:paraId="01E72E55"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(210,252]</w:t>
            </w:r>
          </w:p>
        </w:tc>
        <w:tc>
          <w:tcPr>
            <w:tcW w:w="1368" w:type="dxa"/>
            <w:vAlign w:val="bottom"/>
          </w:tcPr>
          <w:p w14:paraId="1CE91A85"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-5.7±50.1</w:t>
            </w:r>
          </w:p>
        </w:tc>
        <w:tc>
          <w:tcPr>
            <w:tcW w:w="1302" w:type="dxa"/>
            <w:vAlign w:val="bottom"/>
          </w:tcPr>
          <w:p w14:paraId="35AB172B"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17.56</w:t>
            </w:r>
          </w:p>
        </w:tc>
        <w:tc>
          <w:tcPr>
            <w:tcW w:w="1002" w:type="dxa"/>
            <w:vAlign w:val="bottom"/>
          </w:tcPr>
          <w:p w14:paraId="7FA49599"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82.44</w:t>
            </w:r>
          </w:p>
        </w:tc>
      </w:tr>
      <w:tr w:rsidR="00095650" w:rsidRPr="005952C0" w14:paraId="126F865F" w14:textId="77777777" w:rsidTr="00700A0E">
        <w:tc>
          <w:tcPr>
            <w:tcW w:w="2094" w:type="dxa"/>
            <w:vMerge/>
          </w:tcPr>
          <w:p w14:paraId="31274C33" w14:textId="77777777" w:rsidR="00095650" w:rsidRPr="005952C0" w:rsidRDefault="00095650" w:rsidP="00700A0E">
            <w:pPr>
              <w:rPr>
                <w:sz w:val="18"/>
                <w:lang w:val="en-GB"/>
              </w:rPr>
            </w:pPr>
          </w:p>
        </w:tc>
        <w:tc>
          <w:tcPr>
            <w:tcW w:w="991" w:type="dxa"/>
            <w:vAlign w:val="center"/>
          </w:tcPr>
          <w:p w14:paraId="4BA30E27"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(252,294]</w:t>
            </w:r>
          </w:p>
        </w:tc>
        <w:tc>
          <w:tcPr>
            <w:tcW w:w="1368" w:type="dxa"/>
            <w:vAlign w:val="bottom"/>
          </w:tcPr>
          <w:p w14:paraId="4962CEE6"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227.7±58.6</w:t>
            </w:r>
          </w:p>
        </w:tc>
        <w:tc>
          <w:tcPr>
            <w:tcW w:w="1302" w:type="dxa"/>
            <w:vAlign w:val="bottom"/>
          </w:tcPr>
          <w:p w14:paraId="6EA83A7F"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99.99</w:t>
            </w:r>
          </w:p>
        </w:tc>
        <w:tc>
          <w:tcPr>
            <w:tcW w:w="1002" w:type="dxa"/>
            <w:vAlign w:val="bottom"/>
          </w:tcPr>
          <w:p w14:paraId="46D91E63" w14:textId="1CE1310A" w:rsidR="00095650" w:rsidRPr="005952C0" w:rsidRDefault="00095650" w:rsidP="00B26C30">
            <w:pPr>
              <w:rPr>
                <w:rFonts w:cstheme="minorHAnsi"/>
                <w:sz w:val="18"/>
                <w:szCs w:val="18"/>
                <w:lang w:val="en-GB"/>
              </w:rPr>
            </w:pPr>
            <w:r w:rsidRPr="005952C0">
              <w:rPr>
                <w:rFonts w:cstheme="minorHAnsi"/>
                <w:color w:val="000000"/>
                <w:sz w:val="18"/>
                <w:szCs w:val="18"/>
                <w:lang w:val="en-GB"/>
              </w:rPr>
              <w:t>&lt;0.01</w:t>
            </w:r>
            <w:r w:rsidR="003C4B45">
              <w:rPr>
                <w:rFonts w:cstheme="minorHAnsi"/>
                <w:color w:val="000000"/>
                <w:sz w:val="18"/>
                <w:szCs w:val="18"/>
                <w:lang w:val="en-GB"/>
              </w:rPr>
              <w:t>***</w:t>
            </w:r>
          </w:p>
        </w:tc>
      </w:tr>
      <w:tr w:rsidR="00095650" w:rsidRPr="005952C0" w14:paraId="13C3698C" w14:textId="77777777" w:rsidTr="00700A0E">
        <w:tc>
          <w:tcPr>
            <w:tcW w:w="2094" w:type="dxa"/>
            <w:vMerge/>
          </w:tcPr>
          <w:p w14:paraId="5B82AC26" w14:textId="77777777" w:rsidR="00095650" w:rsidRPr="005952C0" w:rsidRDefault="00095650" w:rsidP="00700A0E">
            <w:pPr>
              <w:rPr>
                <w:sz w:val="18"/>
                <w:lang w:val="en-GB"/>
              </w:rPr>
            </w:pPr>
          </w:p>
        </w:tc>
        <w:tc>
          <w:tcPr>
            <w:tcW w:w="991" w:type="dxa"/>
            <w:vAlign w:val="center"/>
          </w:tcPr>
          <w:p w14:paraId="3F130C24" w14:textId="77777777" w:rsidR="00095650" w:rsidRPr="005952C0" w:rsidRDefault="00095650" w:rsidP="00700A0E">
            <w:pPr>
              <w:rPr>
                <w:rFonts w:cstheme="minorHAnsi"/>
                <w:sz w:val="18"/>
                <w:szCs w:val="18"/>
                <w:lang w:val="en-GB"/>
              </w:rPr>
            </w:pPr>
            <w:r w:rsidRPr="005952C0">
              <w:rPr>
                <w:rFonts w:cstheme="minorHAnsi"/>
                <w:color w:val="000000"/>
                <w:sz w:val="18"/>
                <w:szCs w:val="18"/>
                <w:lang w:val="en-GB"/>
              </w:rPr>
              <w:t>(294,336]</w:t>
            </w:r>
          </w:p>
        </w:tc>
        <w:tc>
          <w:tcPr>
            <w:tcW w:w="1368" w:type="dxa"/>
            <w:vAlign w:val="bottom"/>
          </w:tcPr>
          <w:p w14:paraId="58C58EDA"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83.7±60.3</w:t>
            </w:r>
          </w:p>
        </w:tc>
        <w:tc>
          <w:tcPr>
            <w:tcW w:w="1302" w:type="dxa"/>
            <w:vAlign w:val="bottom"/>
          </w:tcPr>
          <w:p w14:paraId="2E062FDE"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99.35</w:t>
            </w:r>
          </w:p>
        </w:tc>
        <w:tc>
          <w:tcPr>
            <w:tcW w:w="1002" w:type="dxa"/>
            <w:vAlign w:val="bottom"/>
          </w:tcPr>
          <w:p w14:paraId="3E6715FD" w14:textId="77777777" w:rsidR="00095650" w:rsidRPr="005952C0" w:rsidRDefault="00095650" w:rsidP="00B26C30">
            <w:pPr>
              <w:rPr>
                <w:rFonts w:cstheme="minorHAnsi"/>
                <w:sz w:val="18"/>
                <w:szCs w:val="18"/>
                <w:lang w:val="en-GB"/>
              </w:rPr>
            </w:pPr>
            <w:r w:rsidRPr="005952C0">
              <w:rPr>
                <w:rFonts w:cstheme="minorHAnsi"/>
                <w:color w:val="000000"/>
                <w:sz w:val="18"/>
                <w:szCs w:val="18"/>
                <w:lang w:val="en-GB"/>
              </w:rPr>
              <w:t>0.65</w:t>
            </w:r>
          </w:p>
        </w:tc>
      </w:tr>
      <w:tr w:rsidR="00095650" w:rsidRPr="005952C0" w14:paraId="78B3E8E1" w14:textId="77777777" w:rsidTr="00700A0E">
        <w:tc>
          <w:tcPr>
            <w:tcW w:w="2094" w:type="dxa"/>
            <w:vMerge/>
          </w:tcPr>
          <w:p w14:paraId="4AB4E325" w14:textId="77777777" w:rsidR="00095650" w:rsidRPr="005952C0" w:rsidRDefault="00095650" w:rsidP="00700A0E">
            <w:pPr>
              <w:rPr>
                <w:sz w:val="18"/>
                <w:lang w:val="en-GB"/>
              </w:rPr>
            </w:pPr>
          </w:p>
        </w:tc>
        <w:tc>
          <w:tcPr>
            <w:tcW w:w="991" w:type="dxa"/>
            <w:vAlign w:val="center"/>
          </w:tcPr>
          <w:p w14:paraId="187AE0A1" w14:textId="77777777" w:rsidR="00095650" w:rsidRPr="005952C0" w:rsidRDefault="00095650" w:rsidP="00700A0E">
            <w:pPr>
              <w:rPr>
                <w:rFonts w:cstheme="minorHAnsi"/>
                <w:color w:val="000000"/>
                <w:sz w:val="18"/>
                <w:szCs w:val="18"/>
                <w:lang w:val="en-GB"/>
              </w:rPr>
            </w:pPr>
            <w:r w:rsidRPr="005952C0">
              <w:rPr>
                <w:rFonts w:cstheme="minorHAnsi"/>
                <w:color w:val="000000"/>
                <w:sz w:val="18"/>
                <w:szCs w:val="18"/>
                <w:lang w:val="en-GB"/>
              </w:rPr>
              <w:t>(336,378]</w:t>
            </w:r>
          </w:p>
        </w:tc>
        <w:tc>
          <w:tcPr>
            <w:tcW w:w="1368" w:type="dxa"/>
            <w:vAlign w:val="bottom"/>
          </w:tcPr>
          <w:p w14:paraId="3D084054" w14:textId="77777777" w:rsidR="00095650" w:rsidRPr="005952C0" w:rsidRDefault="00095650" w:rsidP="00B26C30">
            <w:pPr>
              <w:rPr>
                <w:rFonts w:cstheme="minorHAnsi"/>
                <w:color w:val="000000"/>
                <w:sz w:val="18"/>
                <w:szCs w:val="18"/>
                <w:lang w:val="en-GB"/>
              </w:rPr>
            </w:pPr>
            <w:r w:rsidRPr="005952C0">
              <w:rPr>
                <w:rFonts w:cstheme="minorHAnsi"/>
                <w:color w:val="000000"/>
                <w:sz w:val="18"/>
                <w:szCs w:val="18"/>
                <w:lang w:val="en-GB"/>
              </w:rPr>
              <w:t>63.4±78.1</w:t>
            </w:r>
          </w:p>
        </w:tc>
        <w:tc>
          <w:tcPr>
            <w:tcW w:w="1302" w:type="dxa"/>
            <w:vAlign w:val="bottom"/>
          </w:tcPr>
          <w:p w14:paraId="0098A711" w14:textId="77777777" w:rsidR="00095650" w:rsidRPr="005952C0" w:rsidRDefault="00095650" w:rsidP="00B26C30">
            <w:pPr>
              <w:rPr>
                <w:rFonts w:cstheme="minorHAnsi"/>
                <w:color w:val="000000"/>
                <w:sz w:val="18"/>
                <w:szCs w:val="18"/>
                <w:lang w:val="en-GB"/>
              </w:rPr>
            </w:pPr>
            <w:r w:rsidRPr="005952C0">
              <w:rPr>
                <w:rFonts w:cstheme="minorHAnsi"/>
                <w:color w:val="000000"/>
                <w:sz w:val="18"/>
                <w:szCs w:val="18"/>
                <w:lang w:val="en-GB"/>
              </w:rPr>
              <w:t>88.83</w:t>
            </w:r>
          </w:p>
        </w:tc>
        <w:tc>
          <w:tcPr>
            <w:tcW w:w="1002" w:type="dxa"/>
            <w:vAlign w:val="bottom"/>
          </w:tcPr>
          <w:p w14:paraId="7B4DF4C3" w14:textId="77777777" w:rsidR="00095650" w:rsidRPr="005952C0" w:rsidRDefault="00095650" w:rsidP="00B26C30">
            <w:pPr>
              <w:rPr>
                <w:rFonts w:cstheme="minorHAnsi"/>
                <w:color w:val="000000"/>
                <w:sz w:val="18"/>
                <w:szCs w:val="18"/>
                <w:lang w:val="en-GB"/>
              </w:rPr>
            </w:pPr>
            <w:r w:rsidRPr="005952C0">
              <w:rPr>
                <w:rFonts w:cstheme="minorHAnsi"/>
                <w:color w:val="000000"/>
                <w:sz w:val="18"/>
                <w:szCs w:val="18"/>
                <w:lang w:val="en-GB"/>
              </w:rPr>
              <w:t>11.17</w:t>
            </w:r>
          </w:p>
        </w:tc>
      </w:tr>
    </w:tbl>
    <w:p w14:paraId="35E188B3" w14:textId="77777777" w:rsidR="00095650" w:rsidRDefault="00095650" w:rsidP="00095650">
      <w:pPr>
        <w:rPr>
          <w:i/>
          <w:lang w:val="en-GB"/>
        </w:rPr>
      </w:pPr>
      <w:r w:rsidRPr="005952C0">
        <w:rPr>
          <w:i/>
          <w:lang w:val="en-GB"/>
        </w:rPr>
        <w:t xml:space="preserve">Note: The last login range of days (0,14] means households that last logged on to MHOW somewhere between 0 and 14 days ago (inclusive). </w:t>
      </w:r>
    </w:p>
    <w:p w14:paraId="5BA659AD" w14:textId="704F7B97" w:rsidR="001361E3" w:rsidRDefault="00F627B3" w:rsidP="001361E3">
      <w:pPr>
        <w:rPr>
          <w:i/>
          <w:lang w:val="en-GB"/>
        </w:rPr>
      </w:pPr>
      <w:r>
        <w:rPr>
          <w:i/>
          <w:lang w:val="en-GB"/>
        </w:rPr>
        <w:t>Depende</w:t>
      </w:r>
      <w:r w:rsidR="001361E3">
        <w:rPr>
          <w:i/>
          <w:lang w:val="en-GB"/>
        </w:rPr>
        <w:t xml:space="preserve">nt variable: Active participant consumption on a given day.  </w:t>
      </w:r>
    </w:p>
    <w:p w14:paraId="17CB2847" w14:textId="34454246" w:rsidR="001361E3" w:rsidRDefault="001361E3" w:rsidP="001361E3">
      <w:pPr>
        <w:rPr>
          <w:i/>
          <w:lang w:val="en-GB"/>
        </w:rPr>
      </w:pPr>
      <w:r>
        <w:rPr>
          <w:i/>
          <w:lang w:val="en-GB"/>
        </w:rPr>
        <w:t>Model: (Intercept), Average control group consumption, range_0_14, range_14_28, range_28_42, …, range_336_378 (where range_X_Y are 0, 1 dummy variables for specific periods of time incorporating when households last logged in)</w:t>
      </w:r>
      <w:r w:rsidR="00F627B3">
        <w:rPr>
          <w:i/>
          <w:lang w:val="en-GB"/>
        </w:rPr>
        <w:t>.</w:t>
      </w:r>
    </w:p>
    <w:p w14:paraId="67D4EAE1" w14:textId="77777777" w:rsidR="001361E3" w:rsidRDefault="001361E3" w:rsidP="001361E3">
      <w:pPr>
        <w:rPr>
          <w:lang w:val="en-GB"/>
        </w:rPr>
      </w:pPr>
      <w:r w:rsidRPr="00095650">
        <w:rPr>
          <w:i/>
          <w:lang w:val="en-GB"/>
        </w:rPr>
        <w:t xml:space="preserve">* </w:t>
      </w:r>
      <w:r>
        <w:rPr>
          <w:lang w:val="en-GB"/>
        </w:rPr>
        <w:t xml:space="preserve">p &lt; 0.05, ** p , 0.01, *** p , 0.001. </w:t>
      </w:r>
    </w:p>
    <w:p w14:paraId="28F9F7B3" w14:textId="7C90D773" w:rsidR="00095650" w:rsidRPr="00095650" w:rsidRDefault="00095650" w:rsidP="00095650">
      <w:pPr>
        <w:rPr>
          <w:i/>
          <w:lang w:val="en-GB"/>
        </w:rPr>
      </w:pPr>
    </w:p>
    <w:p w14:paraId="33323DA9" w14:textId="59C8CA0E" w:rsidR="00BA3360" w:rsidRDefault="00BA3360">
      <w:pPr>
        <w:rPr>
          <w:lang w:val="en-GB"/>
        </w:rPr>
      </w:pPr>
      <w:r>
        <w:rPr>
          <w:lang w:val="en-GB"/>
        </w:rPr>
        <w:br w:type="page"/>
      </w:r>
    </w:p>
    <w:p w14:paraId="1B426D56" w14:textId="77777777" w:rsidR="00095650" w:rsidRDefault="00095650">
      <w:pPr>
        <w:rPr>
          <w:rFonts w:eastAsia="Times New Roman"/>
          <w:sz w:val="24"/>
          <w:szCs w:val="24"/>
          <w:lang w:val="en-GB"/>
        </w:rPr>
      </w:pPr>
    </w:p>
    <w:p w14:paraId="1D88EC35" w14:textId="34DAEFFB" w:rsidR="00BA3360" w:rsidRPr="00A515CD" w:rsidRDefault="00BA3360" w:rsidP="00A515CD">
      <w:pPr>
        <w:rPr>
          <w:b/>
          <w:lang w:val="en-GB"/>
        </w:rPr>
      </w:pPr>
      <w:r w:rsidRPr="00A515CD">
        <w:rPr>
          <w:b/>
          <w:sz w:val="24"/>
          <w:lang w:val="en-GB"/>
        </w:rPr>
        <w:t xml:space="preserve">Figure captions </w:t>
      </w:r>
    </w:p>
    <w:p w14:paraId="4FBD949C" w14:textId="5DC38ACF" w:rsidR="00B640DC" w:rsidRDefault="00BA3360" w:rsidP="00F8425F">
      <w:pPr>
        <w:pStyle w:val="Text"/>
        <w:ind w:firstLine="0"/>
        <w:rPr>
          <w:sz w:val="20"/>
          <w:lang w:val="en-GB"/>
        </w:rPr>
      </w:pPr>
      <w:r w:rsidRPr="005952C0">
        <w:rPr>
          <w:b/>
          <w:sz w:val="20"/>
          <w:lang w:val="en-GB"/>
        </w:rPr>
        <w:t>Figure 1.</w:t>
      </w:r>
      <w:r w:rsidRPr="005952C0">
        <w:rPr>
          <w:sz w:val="20"/>
          <w:lang w:val="en-GB"/>
        </w:rPr>
        <w:t xml:space="preserve"> </w:t>
      </w:r>
      <w:r w:rsidR="00B640DC" w:rsidRPr="00B640DC">
        <w:rPr>
          <w:sz w:val="20"/>
          <w:lang w:val="en-GB"/>
        </w:rPr>
        <w:t>M</w:t>
      </w:r>
      <w:r w:rsidR="00E44147">
        <w:rPr>
          <w:sz w:val="20"/>
          <w:lang w:val="en-GB"/>
        </w:rPr>
        <w:t>HOW</w:t>
      </w:r>
      <w:r w:rsidR="00B640DC" w:rsidRPr="00B640DC">
        <w:rPr>
          <w:sz w:val="20"/>
          <w:lang w:val="en-GB"/>
        </w:rPr>
        <w:t xml:space="preserve"> online portal – Dashboard, My Usage, and Ways to Save screens.</w:t>
      </w:r>
      <w:r w:rsidRPr="005952C0">
        <w:rPr>
          <w:sz w:val="20"/>
          <w:lang w:val="en-GB"/>
        </w:rPr>
        <w:t xml:space="preserve"> </w:t>
      </w:r>
    </w:p>
    <w:p w14:paraId="5A78E7F7" w14:textId="77777777" w:rsidR="00E070A5" w:rsidRPr="005952C0" w:rsidRDefault="00E070A5" w:rsidP="00A515CD">
      <w:pPr>
        <w:pStyle w:val="Reference"/>
        <w:ind w:left="0" w:firstLine="0"/>
        <w:rPr>
          <w:bCs/>
          <w:kern w:val="28"/>
          <w:lang w:val="en-GB"/>
        </w:rPr>
      </w:pPr>
      <w:bookmarkStart w:id="0" w:name="_GoBack"/>
      <w:bookmarkEnd w:id="0"/>
    </w:p>
    <w:sectPr w:rsidR="00E070A5" w:rsidRPr="005952C0" w:rsidSect="0068004B">
      <w:footerReference w:type="default" r:id="rId11"/>
      <w:headerReference w:type="firs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DF660" w14:textId="77777777" w:rsidR="00A31692" w:rsidRDefault="00A31692" w:rsidP="000379AB">
      <w:r>
        <w:separator/>
      </w:r>
    </w:p>
  </w:endnote>
  <w:endnote w:type="continuationSeparator" w:id="0">
    <w:p w14:paraId="0A1AFC50" w14:textId="77777777" w:rsidR="00A31692" w:rsidRDefault="00A31692" w:rsidP="0003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D28E" w14:textId="2FE9AD18" w:rsidR="002D2A9A" w:rsidRDefault="002D2A9A" w:rsidP="00B719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4D11F" w14:textId="77777777" w:rsidR="00A31692" w:rsidRDefault="00A31692" w:rsidP="000379AB">
      <w:r>
        <w:separator/>
      </w:r>
    </w:p>
  </w:footnote>
  <w:footnote w:type="continuationSeparator" w:id="0">
    <w:p w14:paraId="4FBD92AC" w14:textId="77777777" w:rsidR="00A31692" w:rsidRDefault="00A31692" w:rsidP="000379AB">
      <w:r>
        <w:continuationSeparator/>
      </w:r>
    </w:p>
  </w:footnote>
  <w:footnote w:id="1">
    <w:p w14:paraId="4D4774E6" w14:textId="50D53565" w:rsidR="00A27CEE" w:rsidRPr="00B26C30" w:rsidRDefault="00A27CEE">
      <w:pPr>
        <w:pStyle w:val="FootnoteText"/>
        <w:rPr>
          <w:lang w:val="en-AU"/>
        </w:rPr>
      </w:pPr>
      <w:r>
        <w:rPr>
          <w:rStyle w:val="FootnoteReference"/>
        </w:rPr>
        <w:footnoteRef/>
      </w:r>
      <w:r>
        <w:t xml:space="preserve"> </w:t>
      </w:r>
      <w:r w:rsidR="008322F1">
        <w:t xml:space="preserve">The existing </w:t>
      </w:r>
      <w:r>
        <w:rPr>
          <w:lang w:val="en-AU"/>
        </w:rPr>
        <w:t xml:space="preserve">Elster </w:t>
      </w:r>
      <w:r w:rsidR="008322F1">
        <w:rPr>
          <w:lang w:val="en-AU"/>
        </w:rPr>
        <w:t xml:space="preserve">V100 </w:t>
      </w:r>
      <w:r>
        <w:rPr>
          <w:lang w:val="en-AU"/>
        </w:rPr>
        <w:t>meters</w:t>
      </w:r>
      <w:r w:rsidR="00034B6C">
        <w:rPr>
          <w:lang w:val="en-AU"/>
        </w:rPr>
        <w:t xml:space="preserve"> were</w:t>
      </w:r>
      <w:r>
        <w:rPr>
          <w:lang w:val="en-AU"/>
        </w:rPr>
        <w:t xml:space="preserve"> </w:t>
      </w:r>
      <w:r w:rsidR="008322F1">
        <w:rPr>
          <w:lang w:val="en-AU"/>
        </w:rPr>
        <w:t xml:space="preserve">20mm </w:t>
      </w:r>
      <w:r>
        <w:rPr>
          <w:lang w:val="en-AU"/>
        </w:rPr>
        <w:t xml:space="preserve">helical vane </w:t>
      </w:r>
      <w:r w:rsidR="008322F1">
        <w:rPr>
          <w:lang w:val="en-AU"/>
        </w:rPr>
        <w:t xml:space="preserve">(mechanical device) </w:t>
      </w:r>
      <w:r>
        <w:rPr>
          <w:lang w:val="en-AU"/>
        </w:rPr>
        <w:t xml:space="preserve">meters </w:t>
      </w:r>
      <w:r w:rsidR="00034B6C">
        <w:rPr>
          <w:lang w:val="en-AU"/>
        </w:rPr>
        <w:t>with</w:t>
      </w:r>
      <w:r>
        <w:rPr>
          <w:lang w:val="en-AU"/>
        </w:rPr>
        <w:t xml:space="preserve"> 0.5L</w:t>
      </w:r>
      <w:r w:rsidR="00540B00">
        <w:rPr>
          <w:lang w:val="en-AU"/>
        </w:rPr>
        <w:t>/</w:t>
      </w:r>
      <w:r>
        <w:rPr>
          <w:lang w:val="en-AU"/>
        </w:rPr>
        <w:t>pulse</w:t>
      </w:r>
      <w:r w:rsidR="00096A1C">
        <w:rPr>
          <w:lang w:val="en-AU"/>
        </w:rPr>
        <w:t xml:space="preserve">, </w:t>
      </w:r>
      <w:r w:rsidR="008322F1">
        <w:rPr>
          <w:lang w:val="en-AU"/>
        </w:rPr>
        <w:t>4x4</w:t>
      </w:r>
      <w:r w:rsidR="00BC56CC">
        <w:rPr>
          <w:lang w:val="en-AU"/>
        </w:rPr>
        <w:t xml:space="preserve"> number wheel counters</w:t>
      </w:r>
      <w:r w:rsidR="00096A1C">
        <w:rPr>
          <w:lang w:val="en-AU"/>
        </w:rPr>
        <w:t xml:space="preserve">, </w:t>
      </w:r>
      <w:r w:rsidR="00E44147">
        <w:rPr>
          <w:lang w:val="en-AU"/>
        </w:rPr>
        <w:t xml:space="preserve">and </w:t>
      </w:r>
      <w:r w:rsidR="00BC56CC">
        <w:rPr>
          <w:lang w:val="en-AU"/>
        </w:rPr>
        <w:t>a backflow check valve for the potable water supply</w:t>
      </w:r>
      <w:r w:rsidR="00E44147">
        <w:rPr>
          <w:lang w:val="en-AU"/>
        </w:rPr>
        <w:t xml:space="preserve">; </w:t>
      </w:r>
      <w:r w:rsidR="00034B6C">
        <w:rPr>
          <w:lang w:val="en-AU"/>
        </w:rPr>
        <w:t>compliant with the metrological and technical requirements of NMI R49-1 and AS 3565.1.</w:t>
      </w:r>
      <w:r w:rsidR="00BC56CC">
        <w:rPr>
          <w:lang w:val="en-AU"/>
        </w:rPr>
        <w:t xml:space="preserve"> These</w:t>
      </w:r>
      <w:r w:rsidR="008322F1">
        <w:rPr>
          <w:lang w:val="en-AU"/>
        </w:rPr>
        <w:t xml:space="preserve"> </w:t>
      </w:r>
      <w:r w:rsidR="00096A1C">
        <w:rPr>
          <w:lang w:val="en-AU"/>
        </w:rPr>
        <w:t xml:space="preserve">meters </w:t>
      </w:r>
      <w:r w:rsidR="008322F1">
        <w:rPr>
          <w:lang w:val="en-AU"/>
        </w:rPr>
        <w:t xml:space="preserve">typically last 15 years or 3,500kL. </w:t>
      </w:r>
      <w:r w:rsidR="00BC56CC">
        <w:rPr>
          <w:lang w:val="en-AU"/>
        </w:rPr>
        <w:t>Since</w:t>
      </w:r>
      <w:r w:rsidR="008322F1">
        <w:rPr>
          <w:lang w:val="en-AU"/>
        </w:rPr>
        <w:t xml:space="preserve"> most were low age </w:t>
      </w:r>
      <w:r w:rsidR="00034B6C">
        <w:rPr>
          <w:lang w:val="en-AU"/>
        </w:rPr>
        <w:t>(either manufactured in 2009 or 2010</w:t>
      </w:r>
      <w:r w:rsidR="00BC56CC">
        <w:rPr>
          <w:lang w:val="en-AU"/>
        </w:rPr>
        <w:t>)</w:t>
      </w:r>
      <w:r w:rsidR="008322F1">
        <w:rPr>
          <w:lang w:val="en-AU"/>
        </w:rPr>
        <w:t xml:space="preserve"> with few kilolitres on the dial</w:t>
      </w:r>
      <w:r w:rsidR="00BC56CC">
        <w:rPr>
          <w:lang w:val="en-AU"/>
        </w:rPr>
        <w:t xml:space="preserve">, </w:t>
      </w:r>
      <w:r w:rsidR="008322F1">
        <w:rPr>
          <w:lang w:val="en-AU"/>
        </w:rPr>
        <w:t>measurement error was unlikely to be an issue.</w:t>
      </w:r>
    </w:p>
  </w:footnote>
  <w:footnote w:id="2">
    <w:p w14:paraId="34A774BC" w14:textId="0F204F38" w:rsidR="00AB4F92" w:rsidRPr="00B26C30" w:rsidRDefault="00AB4F92">
      <w:pPr>
        <w:pStyle w:val="FootnoteText"/>
        <w:rPr>
          <w:lang w:val="en-AU"/>
        </w:rPr>
      </w:pPr>
      <w:r>
        <w:rPr>
          <w:rStyle w:val="FootnoteReference"/>
        </w:rPr>
        <w:footnoteRef/>
      </w:r>
      <w:r>
        <w:t xml:space="preserve"> In retrospect, i</w:t>
      </w:r>
      <w:r>
        <w:rPr>
          <w:lang w:val="en-AU"/>
        </w:rPr>
        <w:t>nternet access could have been required for study participation.</w:t>
      </w:r>
    </w:p>
  </w:footnote>
  <w:footnote w:id="3">
    <w:p w14:paraId="3ADE05F6" w14:textId="152BAB2A" w:rsidR="002D2A9A" w:rsidRPr="00F8425F" w:rsidRDefault="002D2A9A">
      <w:pPr>
        <w:pStyle w:val="FootnoteText"/>
        <w:rPr>
          <w:lang w:val="en-AU"/>
        </w:rPr>
      </w:pPr>
      <w:r>
        <w:rPr>
          <w:rStyle w:val="FootnoteReference"/>
        </w:rPr>
        <w:footnoteRef/>
      </w:r>
      <w:r>
        <w:t xml:space="preserve"> </w:t>
      </w:r>
      <w:r>
        <w:rPr>
          <w:lang w:val="en-GB"/>
        </w:rPr>
        <w:t>O</w:t>
      </w:r>
      <w:r w:rsidRPr="005952C0">
        <w:rPr>
          <w:lang w:val="en-GB"/>
        </w:rPr>
        <w:t xml:space="preserve">ne additional household responded to an offer to have alerts set up </w:t>
      </w:r>
      <w:r>
        <w:rPr>
          <w:lang w:val="en-GB"/>
        </w:rPr>
        <w:t xml:space="preserve">by </w:t>
      </w:r>
      <w:r w:rsidRPr="005952C0">
        <w:rPr>
          <w:lang w:val="en-GB"/>
        </w:rPr>
        <w:t>call</w:t>
      </w:r>
      <w:r>
        <w:rPr>
          <w:lang w:val="en-GB"/>
        </w:rPr>
        <w:t>ing</w:t>
      </w:r>
      <w:r w:rsidRPr="005952C0">
        <w:rPr>
          <w:lang w:val="en-GB"/>
        </w:rPr>
        <w:t xml:space="preserve"> MCW’s Customer Service, rather than by logging on to the portal, so this household’s registration for alerts is included in th</w:t>
      </w:r>
      <w:r>
        <w:rPr>
          <w:lang w:val="en-GB"/>
        </w:rPr>
        <w:t>is</w:t>
      </w:r>
      <w:r w:rsidRPr="005952C0">
        <w:rPr>
          <w:lang w:val="en-GB"/>
        </w:rPr>
        <w:t xml:space="preserve"> analysis</w:t>
      </w:r>
      <w:r>
        <w:rPr>
          <w:lang w:val="en-GB"/>
        </w:rPr>
        <w:t xml:space="preserve">. </w:t>
      </w:r>
    </w:p>
  </w:footnote>
  <w:footnote w:id="4">
    <w:p w14:paraId="1ECC646A" w14:textId="409B8588" w:rsidR="002D2A9A" w:rsidRPr="00F8425F" w:rsidRDefault="002D2A9A">
      <w:pPr>
        <w:pStyle w:val="FootnoteText"/>
        <w:rPr>
          <w:lang w:val="en-AU"/>
        </w:rPr>
      </w:pPr>
      <w:r>
        <w:rPr>
          <w:rStyle w:val="FootnoteReference"/>
        </w:rPr>
        <w:footnoteRef/>
      </w:r>
      <w:r>
        <w:t xml:space="preserve"> </w:t>
      </w:r>
      <w:r>
        <w:rPr>
          <w:lang w:val="en-GB"/>
        </w:rPr>
        <w:t>T</w:t>
      </w:r>
      <w:r w:rsidRPr="005952C0">
        <w:rPr>
          <w:lang w:val="en-GB"/>
        </w:rPr>
        <w:t>his data includes the household that registered for alerts by c</w:t>
      </w:r>
      <w:r>
        <w:rPr>
          <w:lang w:val="en-GB"/>
        </w:rPr>
        <w:t>alling</w:t>
      </w:r>
      <w:r w:rsidRPr="005952C0">
        <w:rPr>
          <w:lang w:val="en-GB"/>
        </w:rPr>
        <w:t xml:space="preserve"> M</w:t>
      </w:r>
      <w:r>
        <w:rPr>
          <w:lang w:val="en-GB"/>
        </w:rPr>
        <w:t xml:space="preserve">CW.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5CCC" w14:textId="2816AD77" w:rsidR="002D2A9A" w:rsidRDefault="002D2A9A" w:rsidP="00E31404">
    <w:pPr>
      <w:pStyle w:val="Header"/>
      <w:jc w:val="center"/>
    </w:pPr>
    <w:r>
      <w:t xml:space="preserve">Confidential manuscript submitted to </w:t>
    </w:r>
    <w:r>
      <w:rPr>
        <w:i/>
      </w:rPr>
      <w:t xml:space="preserve">replace this text with name of </w:t>
    </w:r>
    <w:r w:rsidRPr="007778ED">
      <w:rPr>
        <w:i/>
      </w:rPr>
      <w:t>AGU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200658"/>
    <w:multiLevelType w:val="hybridMultilevel"/>
    <w:tmpl w:val="7BC6DF54"/>
    <w:lvl w:ilvl="0" w:tplc="D0F874F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12769"/>
    <w:multiLevelType w:val="hybridMultilevel"/>
    <w:tmpl w:val="890C35AE"/>
    <w:lvl w:ilvl="0" w:tplc="767A9D8C">
      <w:start w:val="54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C8F3549"/>
    <w:multiLevelType w:val="hybridMultilevel"/>
    <w:tmpl w:val="E6EA4E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370B1"/>
    <w:multiLevelType w:val="hybridMultilevel"/>
    <w:tmpl w:val="FF8EA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17DE3"/>
    <w:multiLevelType w:val="hybridMultilevel"/>
    <w:tmpl w:val="610A4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34696"/>
    <w:multiLevelType w:val="hybridMultilevel"/>
    <w:tmpl w:val="7AF4433E"/>
    <w:lvl w:ilvl="0" w:tplc="5BE26C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1"/>
  </w:num>
  <w:num w:numId="2">
    <w:abstractNumId w:val="0"/>
  </w:num>
  <w:num w:numId="3">
    <w:abstractNumId w:val="14"/>
  </w:num>
  <w:num w:numId="4">
    <w:abstractNumId w:val="6"/>
  </w:num>
  <w:num w:numId="5">
    <w:abstractNumId w:val="7"/>
  </w:num>
  <w:num w:numId="6">
    <w:abstractNumId w:val="9"/>
  </w:num>
  <w:num w:numId="7">
    <w:abstractNumId w:val="11"/>
  </w:num>
  <w:num w:numId="8">
    <w:abstractNumId w:val="12"/>
  </w:num>
  <w:num w:numId="9">
    <w:abstractNumId w:val="3"/>
  </w:num>
  <w:num w:numId="10">
    <w:abstractNumId w:val="13"/>
  </w:num>
  <w:num w:numId="11">
    <w:abstractNumId w:val="4"/>
  </w:num>
  <w:num w:numId="12">
    <w:abstractNumId w:val="10"/>
  </w:num>
  <w:num w:numId="13">
    <w:abstractNumId w:val="5"/>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77"/>
    <w:rsid w:val="00011864"/>
    <w:rsid w:val="000155F4"/>
    <w:rsid w:val="00031829"/>
    <w:rsid w:val="00034B6C"/>
    <w:rsid w:val="000379AB"/>
    <w:rsid w:val="000533BE"/>
    <w:rsid w:val="00067764"/>
    <w:rsid w:val="00083B1F"/>
    <w:rsid w:val="00091B5E"/>
    <w:rsid w:val="00095650"/>
    <w:rsid w:val="00096A1C"/>
    <w:rsid w:val="000B6282"/>
    <w:rsid w:val="000F4169"/>
    <w:rsid w:val="00100710"/>
    <w:rsid w:val="00120229"/>
    <w:rsid w:val="00122E9E"/>
    <w:rsid w:val="001361E3"/>
    <w:rsid w:val="0015293C"/>
    <w:rsid w:val="0016630E"/>
    <w:rsid w:val="00175E7C"/>
    <w:rsid w:val="00185066"/>
    <w:rsid w:val="00190354"/>
    <w:rsid w:val="001A2DF3"/>
    <w:rsid w:val="001A2EF7"/>
    <w:rsid w:val="001B4EF4"/>
    <w:rsid w:val="001C2B0D"/>
    <w:rsid w:val="001D4627"/>
    <w:rsid w:val="001E1475"/>
    <w:rsid w:val="001E1698"/>
    <w:rsid w:val="002024FF"/>
    <w:rsid w:val="002112B8"/>
    <w:rsid w:val="00216CF3"/>
    <w:rsid w:val="00217B96"/>
    <w:rsid w:val="00226C3B"/>
    <w:rsid w:val="00250927"/>
    <w:rsid w:val="00256DD8"/>
    <w:rsid w:val="00267E50"/>
    <w:rsid w:val="00276317"/>
    <w:rsid w:val="00285646"/>
    <w:rsid w:val="0029187D"/>
    <w:rsid w:val="002A26FB"/>
    <w:rsid w:val="002A339E"/>
    <w:rsid w:val="002A4B6B"/>
    <w:rsid w:val="002B6F74"/>
    <w:rsid w:val="002C0809"/>
    <w:rsid w:val="002C3263"/>
    <w:rsid w:val="002D24D2"/>
    <w:rsid w:val="002D2A9A"/>
    <w:rsid w:val="002E4BF8"/>
    <w:rsid w:val="002F2289"/>
    <w:rsid w:val="002F3B11"/>
    <w:rsid w:val="00310CD4"/>
    <w:rsid w:val="003137C3"/>
    <w:rsid w:val="00321596"/>
    <w:rsid w:val="0032558C"/>
    <w:rsid w:val="003363F3"/>
    <w:rsid w:val="00337DD4"/>
    <w:rsid w:val="00352FAE"/>
    <w:rsid w:val="00353273"/>
    <w:rsid w:val="00365EA3"/>
    <w:rsid w:val="00373AD1"/>
    <w:rsid w:val="0037466A"/>
    <w:rsid w:val="003866DB"/>
    <w:rsid w:val="0038696D"/>
    <w:rsid w:val="00397BDF"/>
    <w:rsid w:val="003A129A"/>
    <w:rsid w:val="003B4F6D"/>
    <w:rsid w:val="003B741B"/>
    <w:rsid w:val="003C30DD"/>
    <w:rsid w:val="003C31F5"/>
    <w:rsid w:val="003C4B45"/>
    <w:rsid w:val="003D0EE9"/>
    <w:rsid w:val="003D7F9E"/>
    <w:rsid w:val="003E0ECA"/>
    <w:rsid w:val="003E2CDC"/>
    <w:rsid w:val="003E3802"/>
    <w:rsid w:val="003E660A"/>
    <w:rsid w:val="003F199B"/>
    <w:rsid w:val="00400425"/>
    <w:rsid w:val="004009A6"/>
    <w:rsid w:val="0044130A"/>
    <w:rsid w:val="004534C6"/>
    <w:rsid w:val="00457DB9"/>
    <w:rsid w:val="00472852"/>
    <w:rsid w:val="004B2AC5"/>
    <w:rsid w:val="004D3F2D"/>
    <w:rsid w:val="004D631B"/>
    <w:rsid w:val="004D6755"/>
    <w:rsid w:val="004E1C98"/>
    <w:rsid w:val="004E5870"/>
    <w:rsid w:val="00501172"/>
    <w:rsid w:val="00505799"/>
    <w:rsid w:val="005128A5"/>
    <w:rsid w:val="005167EA"/>
    <w:rsid w:val="00524B02"/>
    <w:rsid w:val="00534F7C"/>
    <w:rsid w:val="005358D5"/>
    <w:rsid w:val="00540B00"/>
    <w:rsid w:val="00545B6C"/>
    <w:rsid w:val="0054709C"/>
    <w:rsid w:val="00566A94"/>
    <w:rsid w:val="00575635"/>
    <w:rsid w:val="005841DA"/>
    <w:rsid w:val="005952C0"/>
    <w:rsid w:val="005C42E0"/>
    <w:rsid w:val="005C6AA9"/>
    <w:rsid w:val="005E0573"/>
    <w:rsid w:val="0060018E"/>
    <w:rsid w:val="006024D2"/>
    <w:rsid w:val="0060397A"/>
    <w:rsid w:val="00603F9A"/>
    <w:rsid w:val="00615A5A"/>
    <w:rsid w:val="00620A08"/>
    <w:rsid w:val="0063353B"/>
    <w:rsid w:val="00655397"/>
    <w:rsid w:val="0068004B"/>
    <w:rsid w:val="006867F0"/>
    <w:rsid w:val="006A360F"/>
    <w:rsid w:val="006A6BFA"/>
    <w:rsid w:val="006F20C1"/>
    <w:rsid w:val="006F662E"/>
    <w:rsid w:val="007011C4"/>
    <w:rsid w:val="00706327"/>
    <w:rsid w:val="00735311"/>
    <w:rsid w:val="00737B30"/>
    <w:rsid w:val="00740AD1"/>
    <w:rsid w:val="00746741"/>
    <w:rsid w:val="00747C67"/>
    <w:rsid w:val="00756F96"/>
    <w:rsid w:val="007778ED"/>
    <w:rsid w:val="00793FF0"/>
    <w:rsid w:val="007A3663"/>
    <w:rsid w:val="007B5577"/>
    <w:rsid w:val="007D218D"/>
    <w:rsid w:val="007D25E1"/>
    <w:rsid w:val="007F3759"/>
    <w:rsid w:val="007F602A"/>
    <w:rsid w:val="007F7F7D"/>
    <w:rsid w:val="00807C30"/>
    <w:rsid w:val="00813315"/>
    <w:rsid w:val="00821FB2"/>
    <w:rsid w:val="0082427C"/>
    <w:rsid w:val="008322F1"/>
    <w:rsid w:val="00841531"/>
    <w:rsid w:val="00855B07"/>
    <w:rsid w:val="0087160B"/>
    <w:rsid w:val="00874C3F"/>
    <w:rsid w:val="00882F9C"/>
    <w:rsid w:val="008930C5"/>
    <w:rsid w:val="008A368A"/>
    <w:rsid w:val="008A43EC"/>
    <w:rsid w:val="008A6077"/>
    <w:rsid w:val="008C157B"/>
    <w:rsid w:val="008E4CFE"/>
    <w:rsid w:val="009011C5"/>
    <w:rsid w:val="00923C54"/>
    <w:rsid w:val="00924481"/>
    <w:rsid w:val="00925598"/>
    <w:rsid w:val="00960698"/>
    <w:rsid w:val="0097459C"/>
    <w:rsid w:val="00975D9D"/>
    <w:rsid w:val="00990E74"/>
    <w:rsid w:val="009948EA"/>
    <w:rsid w:val="009C03C3"/>
    <w:rsid w:val="00A0373F"/>
    <w:rsid w:val="00A113A3"/>
    <w:rsid w:val="00A27CEE"/>
    <w:rsid w:val="00A31692"/>
    <w:rsid w:val="00A474EA"/>
    <w:rsid w:val="00A47F16"/>
    <w:rsid w:val="00A515CD"/>
    <w:rsid w:val="00A51C28"/>
    <w:rsid w:val="00A60B86"/>
    <w:rsid w:val="00A62A1C"/>
    <w:rsid w:val="00A66AE3"/>
    <w:rsid w:val="00A81615"/>
    <w:rsid w:val="00A84DCB"/>
    <w:rsid w:val="00A86827"/>
    <w:rsid w:val="00AA7604"/>
    <w:rsid w:val="00AB4F92"/>
    <w:rsid w:val="00AB6DDD"/>
    <w:rsid w:val="00AF33DA"/>
    <w:rsid w:val="00AF64B9"/>
    <w:rsid w:val="00B01798"/>
    <w:rsid w:val="00B120F3"/>
    <w:rsid w:val="00B21A74"/>
    <w:rsid w:val="00B26C30"/>
    <w:rsid w:val="00B30A97"/>
    <w:rsid w:val="00B31115"/>
    <w:rsid w:val="00B32AD2"/>
    <w:rsid w:val="00B539A2"/>
    <w:rsid w:val="00B640DC"/>
    <w:rsid w:val="00B710EE"/>
    <w:rsid w:val="00B719C8"/>
    <w:rsid w:val="00B83F9D"/>
    <w:rsid w:val="00B93AB9"/>
    <w:rsid w:val="00BA3360"/>
    <w:rsid w:val="00BB4D5C"/>
    <w:rsid w:val="00BB6112"/>
    <w:rsid w:val="00BC1A62"/>
    <w:rsid w:val="00BC56CC"/>
    <w:rsid w:val="00BD7A7E"/>
    <w:rsid w:val="00BE277D"/>
    <w:rsid w:val="00BF0028"/>
    <w:rsid w:val="00BF1F89"/>
    <w:rsid w:val="00C10819"/>
    <w:rsid w:val="00C11171"/>
    <w:rsid w:val="00C12BF8"/>
    <w:rsid w:val="00C200A4"/>
    <w:rsid w:val="00C27930"/>
    <w:rsid w:val="00C354E5"/>
    <w:rsid w:val="00C36D4C"/>
    <w:rsid w:val="00C46E60"/>
    <w:rsid w:val="00C47C89"/>
    <w:rsid w:val="00C55B7A"/>
    <w:rsid w:val="00C62C98"/>
    <w:rsid w:val="00C70BCE"/>
    <w:rsid w:val="00C81368"/>
    <w:rsid w:val="00C81692"/>
    <w:rsid w:val="00C874AA"/>
    <w:rsid w:val="00C94AA5"/>
    <w:rsid w:val="00CB6C62"/>
    <w:rsid w:val="00CB7BED"/>
    <w:rsid w:val="00CC1435"/>
    <w:rsid w:val="00CC7EE9"/>
    <w:rsid w:val="00CF161B"/>
    <w:rsid w:val="00D01F11"/>
    <w:rsid w:val="00D0469D"/>
    <w:rsid w:val="00D2761E"/>
    <w:rsid w:val="00D347C5"/>
    <w:rsid w:val="00D42852"/>
    <w:rsid w:val="00D4729A"/>
    <w:rsid w:val="00D7130F"/>
    <w:rsid w:val="00D806EA"/>
    <w:rsid w:val="00D81E5B"/>
    <w:rsid w:val="00D84B1B"/>
    <w:rsid w:val="00D94839"/>
    <w:rsid w:val="00DA50C6"/>
    <w:rsid w:val="00DB076C"/>
    <w:rsid w:val="00DB60D0"/>
    <w:rsid w:val="00DB6D5A"/>
    <w:rsid w:val="00DE3F91"/>
    <w:rsid w:val="00DF73BB"/>
    <w:rsid w:val="00E070A5"/>
    <w:rsid w:val="00E22857"/>
    <w:rsid w:val="00E30D81"/>
    <w:rsid w:val="00E31404"/>
    <w:rsid w:val="00E33EC9"/>
    <w:rsid w:val="00E423DE"/>
    <w:rsid w:val="00E44147"/>
    <w:rsid w:val="00E664DF"/>
    <w:rsid w:val="00E67B96"/>
    <w:rsid w:val="00E819AC"/>
    <w:rsid w:val="00E86F54"/>
    <w:rsid w:val="00EB19A0"/>
    <w:rsid w:val="00EC1CAF"/>
    <w:rsid w:val="00ED4806"/>
    <w:rsid w:val="00EE1EA7"/>
    <w:rsid w:val="00EF3742"/>
    <w:rsid w:val="00F06353"/>
    <w:rsid w:val="00F14AA4"/>
    <w:rsid w:val="00F21080"/>
    <w:rsid w:val="00F23F1D"/>
    <w:rsid w:val="00F430A4"/>
    <w:rsid w:val="00F47FAD"/>
    <w:rsid w:val="00F55B8F"/>
    <w:rsid w:val="00F627B3"/>
    <w:rsid w:val="00F8425F"/>
    <w:rsid w:val="00F85DAB"/>
    <w:rsid w:val="00F93D28"/>
    <w:rsid w:val="00FB2BBF"/>
    <w:rsid w:val="00FC32B8"/>
    <w:rsid w:val="00FD0B6E"/>
    <w:rsid w:val="00FD6DE7"/>
    <w:rsid w:val="00FF25DE"/>
    <w:rsid w:val="00FF323D"/>
    <w:rsid w:val="00FF6D1A"/>
    <w:rsid w:val="1ACF9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9C9FC"/>
  <w14:defaultImageDpi w14:val="300"/>
  <w15:docId w15:val="{8A76AFE4-9F46-4521-957E-FFA95065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6077"/>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0425"/>
    <w:pPr>
      <w:contextualSpacing/>
      <w:jc w:val="center"/>
    </w:pPr>
    <w:rPr>
      <w:rFonts w:eastAsiaTheme="majorEastAsia" w:cstheme="majorBidi"/>
      <w:b/>
      <w:spacing w:val="-10"/>
      <w:kern w:val="28"/>
      <w:sz w:val="28"/>
      <w:szCs w:val="56"/>
    </w:rPr>
  </w:style>
  <w:style w:type="paragraph" w:customStyle="1" w:styleId="Reference">
    <w:name w:val="Reference"/>
    <w:basedOn w:val="Normal"/>
    <w:rsid w:val="008A6077"/>
    <w:pPr>
      <w:spacing w:before="120"/>
      <w:ind w:left="720" w:hanging="720"/>
    </w:pPr>
    <w:rPr>
      <w:rFonts w:eastAsia="Times New Roman"/>
      <w:sz w:val="24"/>
      <w:szCs w:val="24"/>
    </w:rPr>
  </w:style>
  <w:style w:type="paragraph" w:styleId="Header">
    <w:name w:val="header"/>
    <w:basedOn w:val="Normal"/>
    <w:link w:val="HeaderChar"/>
    <w:uiPriority w:val="99"/>
    <w:unhideWhenUsed/>
    <w:rsid w:val="000379AB"/>
    <w:pPr>
      <w:tabs>
        <w:tab w:val="center" w:pos="4680"/>
        <w:tab w:val="right" w:pos="9360"/>
      </w:tabs>
    </w:pPr>
  </w:style>
  <w:style w:type="paragraph" w:customStyle="1" w:styleId="Heading-Secondary">
    <w:name w:val="Heading-Secondary"/>
    <w:basedOn w:val="Heading-Main"/>
    <w:qFormat/>
    <w:rsid w:val="00C81368"/>
    <w:pPr>
      <w:ind w:left="720"/>
    </w:pPr>
    <w:rPr>
      <w:b w:val="0"/>
    </w:rPr>
  </w:style>
  <w:style w:type="paragraph" w:customStyle="1" w:styleId="Authors">
    <w:name w:val="Authors"/>
    <w:basedOn w:val="Normal"/>
    <w:rsid w:val="00B120F3"/>
    <w:pPr>
      <w:spacing w:before="120" w:after="360"/>
    </w:pPr>
    <w:rPr>
      <w:rFonts w:eastAsia="Times New Roman"/>
      <w:b/>
      <w:sz w:val="24"/>
      <w:szCs w:val="24"/>
    </w:rPr>
  </w:style>
  <w:style w:type="paragraph" w:customStyle="1" w:styleId="Text">
    <w:name w:val="Text"/>
    <w:basedOn w:val="Normal"/>
    <w:rsid w:val="008A6077"/>
    <w:pPr>
      <w:spacing w:before="120"/>
      <w:ind w:firstLine="720"/>
    </w:pPr>
    <w:rPr>
      <w:rFonts w:eastAsia="Times New Roman"/>
      <w:sz w:val="24"/>
      <w:szCs w:val="24"/>
    </w:rPr>
  </w:style>
  <w:style w:type="paragraph" w:customStyle="1" w:styleId="FigureorTableCaption">
    <w:name w:val="Figure or Table Caption"/>
    <w:basedOn w:val="Normal"/>
    <w:rsid w:val="008A6077"/>
    <w:pPr>
      <w:keepNext/>
      <w:spacing w:before="240"/>
      <w:outlineLvl w:val="0"/>
    </w:pPr>
    <w:rPr>
      <w:rFonts w:eastAsia="Times New Roman"/>
      <w:kern w:val="28"/>
      <w:sz w:val="24"/>
      <w:szCs w:val="24"/>
    </w:rPr>
  </w:style>
  <w:style w:type="character" w:customStyle="1" w:styleId="HeaderChar">
    <w:name w:val="Header Char"/>
    <w:basedOn w:val="DefaultParagraphFont"/>
    <w:link w:val="Header"/>
    <w:uiPriority w:val="99"/>
    <w:rsid w:val="000379AB"/>
    <w:rPr>
      <w:rFonts w:ascii="Times New Roman" w:eastAsia="Calibri" w:hAnsi="Times New Roman" w:cs="Times New Roman"/>
      <w:sz w:val="20"/>
      <w:szCs w:val="20"/>
    </w:rPr>
  </w:style>
  <w:style w:type="character" w:styleId="Hyperlink">
    <w:name w:val="Hyperlink"/>
    <w:uiPriority w:val="99"/>
    <w:rsid w:val="008A6077"/>
    <w:rPr>
      <w:color w:val="0000FF"/>
      <w:u w:val="single"/>
    </w:rPr>
  </w:style>
  <w:style w:type="paragraph" w:customStyle="1" w:styleId="Heading-Main">
    <w:name w:val="Heading-Main"/>
    <w:basedOn w:val="Normal"/>
    <w:rsid w:val="005358D5"/>
    <w:pPr>
      <w:keepNext/>
      <w:spacing w:before="240" w:after="120"/>
      <w:outlineLvl w:val="0"/>
    </w:pPr>
    <w:rPr>
      <w:rFonts w:eastAsia="Times New Roman"/>
      <w:b/>
      <w:bCs/>
      <w:kern w:val="28"/>
      <w:sz w:val="24"/>
      <w:szCs w:val="24"/>
    </w:rPr>
  </w:style>
  <w:style w:type="paragraph" w:customStyle="1" w:styleId="Affiliation">
    <w:name w:val="Affiliation"/>
    <w:basedOn w:val="Text"/>
    <w:qFormat/>
    <w:rsid w:val="00B719C8"/>
    <w:pPr>
      <w:ind w:firstLine="0"/>
    </w:pPr>
  </w:style>
  <w:style w:type="paragraph" w:customStyle="1" w:styleId="KeyPoints">
    <w:name w:val="Key Points"/>
    <w:basedOn w:val="Normal"/>
    <w:rsid w:val="008A6077"/>
    <w:pPr>
      <w:spacing w:before="120"/>
    </w:pPr>
    <w:rPr>
      <w:rFonts w:eastAsia="Times New Roman"/>
      <w:sz w:val="24"/>
      <w:szCs w:val="24"/>
    </w:rPr>
  </w:style>
  <w:style w:type="paragraph" w:customStyle="1" w:styleId="Abstract">
    <w:name w:val="Abstract"/>
    <w:basedOn w:val="Normal"/>
    <w:qFormat/>
    <w:rsid w:val="00400425"/>
    <w:pPr>
      <w:spacing w:before="120"/>
    </w:pPr>
    <w:rPr>
      <w:rFonts w:eastAsia="Times New Roman"/>
      <w:sz w:val="24"/>
      <w:szCs w:val="24"/>
    </w:rPr>
  </w:style>
  <w:style w:type="character" w:customStyle="1" w:styleId="TitleChar">
    <w:name w:val="Title Char"/>
    <w:basedOn w:val="DefaultParagraphFont"/>
    <w:link w:val="Title"/>
    <w:uiPriority w:val="10"/>
    <w:rsid w:val="00400425"/>
    <w:rPr>
      <w:rFonts w:ascii="Times New Roman" w:eastAsiaTheme="majorEastAsia" w:hAnsi="Times New Roman" w:cstheme="majorBidi"/>
      <w:b/>
      <w:spacing w:val="-10"/>
      <w:kern w:val="28"/>
      <w:sz w:val="28"/>
      <w:szCs w:val="56"/>
    </w:rPr>
  </w:style>
  <w:style w:type="paragraph" w:customStyle="1" w:styleId="Note">
    <w:name w:val="Note"/>
    <w:basedOn w:val="Normal"/>
    <w:qFormat/>
    <w:rsid w:val="0037466A"/>
    <w:pPr>
      <w:spacing w:before="240" w:after="240"/>
    </w:pPr>
    <w:rPr>
      <w:color w:val="00B0F0"/>
    </w:rPr>
  </w:style>
  <w:style w:type="paragraph" w:styleId="NormalWeb">
    <w:name w:val="Normal (Web)"/>
    <w:basedOn w:val="Normal"/>
    <w:uiPriority w:val="99"/>
    <w:semiHidden/>
    <w:unhideWhenUsed/>
    <w:rsid w:val="002F3B11"/>
    <w:rPr>
      <w:sz w:val="24"/>
      <w:szCs w:val="24"/>
    </w:rPr>
  </w:style>
  <w:style w:type="paragraph" w:styleId="Footer">
    <w:name w:val="footer"/>
    <w:basedOn w:val="Normal"/>
    <w:link w:val="FooterChar"/>
    <w:uiPriority w:val="99"/>
    <w:unhideWhenUsed/>
    <w:rsid w:val="000379AB"/>
    <w:pPr>
      <w:tabs>
        <w:tab w:val="center" w:pos="4680"/>
        <w:tab w:val="right" w:pos="9360"/>
      </w:tabs>
    </w:pPr>
  </w:style>
  <w:style w:type="character" w:customStyle="1" w:styleId="FooterChar">
    <w:name w:val="Footer Char"/>
    <w:basedOn w:val="DefaultParagraphFont"/>
    <w:link w:val="Footer"/>
    <w:uiPriority w:val="99"/>
    <w:rsid w:val="000379AB"/>
    <w:rPr>
      <w:rFonts w:ascii="Times New Roman" w:eastAsia="Calibri" w:hAnsi="Times New Roman" w:cs="Times New Roman"/>
      <w:sz w:val="20"/>
      <w:szCs w:val="20"/>
    </w:rPr>
  </w:style>
  <w:style w:type="paragraph" w:styleId="NoSpacing">
    <w:name w:val="No Spacing"/>
    <w:uiPriority w:val="1"/>
    <w:qFormat/>
    <w:rsid w:val="00D84B1B"/>
    <w:rPr>
      <w:sz w:val="22"/>
      <w:szCs w:val="22"/>
      <w:lang w:val="en-AU"/>
    </w:rPr>
  </w:style>
  <w:style w:type="paragraph" w:styleId="BalloonText">
    <w:name w:val="Balloon Text"/>
    <w:basedOn w:val="Normal"/>
    <w:link w:val="BalloonTextChar"/>
    <w:uiPriority w:val="99"/>
    <w:semiHidden/>
    <w:unhideWhenUsed/>
    <w:rsid w:val="00D84B1B"/>
    <w:rPr>
      <w:rFonts w:ascii="Tahoma" w:hAnsi="Tahoma" w:cs="Tahoma"/>
      <w:sz w:val="16"/>
      <w:szCs w:val="16"/>
    </w:rPr>
  </w:style>
  <w:style w:type="character" w:customStyle="1" w:styleId="BalloonTextChar">
    <w:name w:val="Balloon Text Char"/>
    <w:basedOn w:val="DefaultParagraphFont"/>
    <w:link w:val="BalloonText"/>
    <w:uiPriority w:val="99"/>
    <w:semiHidden/>
    <w:rsid w:val="00D84B1B"/>
    <w:rPr>
      <w:rFonts w:ascii="Tahoma" w:eastAsia="Calibri" w:hAnsi="Tahoma" w:cs="Tahoma"/>
      <w:sz w:val="16"/>
      <w:szCs w:val="16"/>
    </w:rPr>
  </w:style>
  <w:style w:type="table" w:styleId="TableGrid">
    <w:name w:val="Table Grid"/>
    <w:basedOn w:val="TableNormal"/>
    <w:uiPriority w:val="59"/>
    <w:rsid w:val="00D84B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39A2"/>
  </w:style>
  <w:style w:type="character" w:customStyle="1" w:styleId="FootnoteTextChar">
    <w:name w:val="Footnote Text Char"/>
    <w:basedOn w:val="DefaultParagraphFont"/>
    <w:link w:val="FootnoteText"/>
    <w:uiPriority w:val="99"/>
    <w:semiHidden/>
    <w:rsid w:val="00B539A2"/>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539A2"/>
    <w:rPr>
      <w:vertAlign w:val="superscript"/>
    </w:rPr>
  </w:style>
  <w:style w:type="paragraph" w:styleId="ListParagraph">
    <w:name w:val="List Paragraph"/>
    <w:basedOn w:val="Normal"/>
    <w:uiPriority w:val="34"/>
    <w:qFormat/>
    <w:rsid w:val="00B539A2"/>
    <w:pPr>
      <w:spacing w:after="200" w:line="276" w:lineRule="auto"/>
      <w:ind w:left="720"/>
      <w:contextualSpacing/>
    </w:pPr>
    <w:rPr>
      <w:rFonts w:asciiTheme="minorHAnsi" w:eastAsiaTheme="minorHAnsi" w:hAnsiTheme="minorHAnsi" w:cstheme="minorBidi"/>
      <w:sz w:val="22"/>
      <w:szCs w:val="22"/>
      <w:lang w:val="en-AU"/>
    </w:rPr>
  </w:style>
  <w:style w:type="character" w:styleId="LineNumber">
    <w:name w:val="line number"/>
    <w:basedOn w:val="DefaultParagraphFont"/>
    <w:uiPriority w:val="99"/>
    <w:semiHidden/>
    <w:unhideWhenUsed/>
    <w:rsid w:val="0031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08731">
      <w:bodyDiv w:val="1"/>
      <w:marLeft w:val="0"/>
      <w:marRight w:val="0"/>
      <w:marTop w:val="0"/>
      <w:marBottom w:val="0"/>
      <w:divBdr>
        <w:top w:val="none" w:sz="0" w:space="0" w:color="auto"/>
        <w:left w:val="none" w:sz="0" w:space="0" w:color="auto"/>
        <w:bottom w:val="none" w:sz="0" w:space="0" w:color="auto"/>
        <w:right w:val="none" w:sz="0" w:space="0" w:color="auto"/>
      </w:divBdr>
    </w:div>
    <w:div w:id="293872568">
      <w:bodyDiv w:val="1"/>
      <w:marLeft w:val="0"/>
      <w:marRight w:val="0"/>
      <w:marTop w:val="0"/>
      <w:marBottom w:val="0"/>
      <w:divBdr>
        <w:top w:val="none" w:sz="0" w:space="0" w:color="auto"/>
        <w:left w:val="none" w:sz="0" w:space="0" w:color="auto"/>
        <w:bottom w:val="none" w:sz="0" w:space="0" w:color="auto"/>
        <w:right w:val="none" w:sz="0" w:space="0" w:color="auto"/>
      </w:divBdr>
      <w:divsChild>
        <w:div w:id="281234839">
          <w:marLeft w:val="0"/>
          <w:marRight w:val="0"/>
          <w:marTop w:val="0"/>
          <w:marBottom w:val="0"/>
          <w:divBdr>
            <w:top w:val="none" w:sz="0" w:space="0" w:color="auto"/>
            <w:left w:val="none" w:sz="0" w:space="0" w:color="auto"/>
            <w:bottom w:val="none" w:sz="0" w:space="0" w:color="auto"/>
            <w:right w:val="none" w:sz="0" w:space="0" w:color="auto"/>
          </w:divBdr>
        </w:div>
        <w:div w:id="1211189917">
          <w:marLeft w:val="0"/>
          <w:marRight w:val="0"/>
          <w:marTop w:val="0"/>
          <w:marBottom w:val="0"/>
          <w:divBdr>
            <w:top w:val="none" w:sz="0" w:space="0" w:color="auto"/>
            <w:left w:val="none" w:sz="0" w:space="0" w:color="auto"/>
            <w:bottom w:val="none" w:sz="0" w:space="0" w:color="auto"/>
            <w:right w:val="none" w:sz="0" w:space="0" w:color="auto"/>
          </w:divBdr>
        </w:div>
      </w:divsChild>
    </w:div>
    <w:div w:id="345134175">
      <w:bodyDiv w:val="1"/>
      <w:marLeft w:val="0"/>
      <w:marRight w:val="0"/>
      <w:marTop w:val="0"/>
      <w:marBottom w:val="0"/>
      <w:divBdr>
        <w:top w:val="none" w:sz="0" w:space="0" w:color="auto"/>
        <w:left w:val="none" w:sz="0" w:space="0" w:color="auto"/>
        <w:bottom w:val="none" w:sz="0" w:space="0" w:color="auto"/>
        <w:right w:val="none" w:sz="0" w:space="0" w:color="auto"/>
      </w:divBdr>
    </w:div>
    <w:div w:id="704406528">
      <w:bodyDiv w:val="1"/>
      <w:marLeft w:val="0"/>
      <w:marRight w:val="0"/>
      <w:marTop w:val="0"/>
      <w:marBottom w:val="0"/>
      <w:divBdr>
        <w:top w:val="none" w:sz="0" w:space="0" w:color="auto"/>
        <w:left w:val="none" w:sz="0" w:space="0" w:color="auto"/>
        <w:bottom w:val="none" w:sz="0" w:space="0" w:color="auto"/>
        <w:right w:val="none" w:sz="0" w:space="0" w:color="auto"/>
      </w:divBdr>
    </w:div>
    <w:div w:id="812676312">
      <w:bodyDiv w:val="1"/>
      <w:marLeft w:val="0"/>
      <w:marRight w:val="0"/>
      <w:marTop w:val="0"/>
      <w:marBottom w:val="0"/>
      <w:divBdr>
        <w:top w:val="none" w:sz="0" w:space="0" w:color="auto"/>
        <w:left w:val="none" w:sz="0" w:space="0" w:color="auto"/>
        <w:bottom w:val="none" w:sz="0" w:space="0" w:color="auto"/>
        <w:right w:val="none" w:sz="0" w:space="0" w:color="auto"/>
      </w:divBdr>
    </w:div>
    <w:div w:id="877201397">
      <w:bodyDiv w:val="1"/>
      <w:marLeft w:val="0"/>
      <w:marRight w:val="0"/>
      <w:marTop w:val="0"/>
      <w:marBottom w:val="0"/>
      <w:divBdr>
        <w:top w:val="none" w:sz="0" w:space="0" w:color="auto"/>
        <w:left w:val="none" w:sz="0" w:space="0" w:color="auto"/>
        <w:bottom w:val="none" w:sz="0" w:space="0" w:color="auto"/>
        <w:right w:val="none" w:sz="0" w:space="0" w:color="auto"/>
      </w:divBdr>
    </w:div>
    <w:div w:id="1017734784">
      <w:bodyDiv w:val="1"/>
      <w:marLeft w:val="0"/>
      <w:marRight w:val="0"/>
      <w:marTop w:val="0"/>
      <w:marBottom w:val="0"/>
      <w:divBdr>
        <w:top w:val="none" w:sz="0" w:space="0" w:color="auto"/>
        <w:left w:val="none" w:sz="0" w:space="0" w:color="auto"/>
        <w:bottom w:val="none" w:sz="0" w:space="0" w:color="auto"/>
        <w:right w:val="none" w:sz="0" w:space="0" w:color="auto"/>
      </w:divBdr>
    </w:div>
    <w:div w:id="1254120579">
      <w:bodyDiv w:val="1"/>
      <w:marLeft w:val="0"/>
      <w:marRight w:val="0"/>
      <w:marTop w:val="0"/>
      <w:marBottom w:val="0"/>
      <w:divBdr>
        <w:top w:val="none" w:sz="0" w:space="0" w:color="auto"/>
        <w:left w:val="none" w:sz="0" w:space="0" w:color="auto"/>
        <w:bottom w:val="none" w:sz="0" w:space="0" w:color="auto"/>
        <w:right w:val="none" w:sz="0" w:space="0" w:color="auto"/>
      </w:divBdr>
    </w:div>
    <w:div w:id="1524050897">
      <w:bodyDiv w:val="1"/>
      <w:marLeft w:val="0"/>
      <w:marRight w:val="0"/>
      <w:marTop w:val="0"/>
      <w:marBottom w:val="0"/>
      <w:divBdr>
        <w:top w:val="none" w:sz="0" w:space="0" w:color="auto"/>
        <w:left w:val="none" w:sz="0" w:space="0" w:color="auto"/>
        <w:bottom w:val="none" w:sz="0" w:space="0" w:color="auto"/>
        <w:right w:val="none" w:sz="0" w:space="0" w:color="auto"/>
      </w:divBdr>
    </w:div>
    <w:div w:id="1572689984">
      <w:bodyDiv w:val="1"/>
      <w:marLeft w:val="0"/>
      <w:marRight w:val="0"/>
      <w:marTop w:val="0"/>
      <w:marBottom w:val="0"/>
      <w:divBdr>
        <w:top w:val="none" w:sz="0" w:space="0" w:color="auto"/>
        <w:left w:val="none" w:sz="0" w:space="0" w:color="auto"/>
        <w:bottom w:val="none" w:sz="0" w:space="0" w:color="auto"/>
        <w:right w:val="none" w:sz="0" w:space="0" w:color="auto"/>
      </w:divBdr>
    </w:div>
    <w:div w:id="1653018542">
      <w:bodyDiv w:val="1"/>
      <w:marLeft w:val="0"/>
      <w:marRight w:val="0"/>
      <w:marTop w:val="0"/>
      <w:marBottom w:val="0"/>
      <w:divBdr>
        <w:top w:val="none" w:sz="0" w:space="0" w:color="auto"/>
        <w:left w:val="none" w:sz="0" w:space="0" w:color="auto"/>
        <w:bottom w:val="none" w:sz="0" w:space="0" w:color="auto"/>
        <w:right w:val="none" w:sz="0" w:space="0" w:color="auto"/>
      </w:divBdr>
    </w:div>
    <w:div w:id="1699696663">
      <w:bodyDiv w:val="1"/>
      <w:marLeft w:val="0"/>
      <w:marRight w:val="0"/>
      <w:marTop w:val="0"/>
      <w:marBottom w:val="0"/>
      <w:divBdr>
        <w:top w:val="none" w:sz="0" w:space="0" w:color="auto"/>
        <w:left w:val="none" w:sz="0" w:space="0" w:color="auto"/>
        <w:bottom w:val="none" w:sz="0" w:space="0" w:color="auto"/>
        <w:right w:val="none" w:sz="0" w:space="0" w:color="auto"/>
      </w:divBdr>
    </w:div>
    <w:div w:id="1858538578">
      <w:bodyDiv w:val="1"/>
      <w:marLeft w:val="0"/>
      <w:marRight w:val="0"/>
      <w:marTop w:val="0"/>
      <w:marBottom w:val="0"/>
      <w:divBdr>
        <w:top w:val="none" w:sz="0" w:space="0" w:color="auto"/>
        <w:left w:val="none" w:sz="0" w:space="0" w:color="auto"/>
        <w:bottom w:val="none" w:sz="0" w:space="0" w:color="auto"/>
        <w:right w:val="none" w:sz="0" w:space="0" w:color="auto"/>
      </w:divBdr>
    </w:div>
    <w:div w:id="2086684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ane.Liu@uts.edu.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dcoastwater.com.au/site/water-supplies" TargetMode="External"/><Relationship Id="rId4" Type="http://schemas.openxmlformats.org/officeDocument/2006/relationships/settings" Target="settings.xml"/><Relationship Id="rId9" Type="http://schemas.openxmlformats.org/officeDocument/2006/relationships/hyperlink" Target="https://creativecommons.org/licenses/by-sa/3.0/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85C7D5-2A4F-4D80-96D4-49853981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7618</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50941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Liu</dc:creator>
  <cp:lastModifiedBy>Ariane Liu</cp:lastModifiedBy>
  <cp:revision>4</cp:revision>
  <cp:lastPrinted>2016-11-01T01:49:00Z</cp:lastPrinted>
  <dcterms:created xsi:type="dcterms:W3CDTF">2016-11-08T08:50:00Z</dcterms:created>
  <dcterms:modified xsi:type="dcterms:W3CDTF">2016-11-08T08:56:00Z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ariane.liu@isf.uts.edu.au@www.mendeley.com</vt:lpwstr>
  </property>
  <property fmtid="{D5CDD505-2E9C-101B-9397-08002B2CF9AE}" pid="4" name="Mendeley Citation Style_1">
    <vt:lpwstr>http://www.zotero.org/styles/utilities-policy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http://www.zotero.org/styles/journal-of-cleaner-production</vt:lpwstr>
  </property>
  <property fmtid="{D5CDD505-2E9C-101B-9397-08002B2CF9AE}" pid="14" name="Mendeley Recent Style Name 4_1">
    <vt:lpwstr>Journal of Cleaner Production</vt:lpwstr>
  </property>
  <property fmtid="{D5CDD505-2E9C-101B-9397-08002B2CF9AE}" pid="15" name="Mendeley Recent Style Id 5_1">
    <vt:lpwstr>http://www.zotero.org/styles/journal-of-environmental-management</vt:lpwstr>
  </property>
  <property fmtid="{D5CDD505-2E9C-101B-9397-08002B2CF9AE}" pid="16" name="Mendeley Recent Style Name 5_1">
    <vt:lpwstr>Journal of Environmental Management</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http://www.zotero.org/styles/utilities-policy</vt:lpwstr>
  </property>
  <property fmtid="{D5CDD505-2E9C-101B-9397-08002B2CF9AE}" pid="24" name="Mendeley Recent Style Name 9_1">
    <vt:lpwstr>Utilities Policy</vt:lpwstr>
  </property>
</Properties>
</file>