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CBE48" w14:textId="77777777" w:rsidR="006F5C0A" w:rsidRDefault="005226B0">
      <w:pPr>
        <w:spacing w:line="360" w:lineRule="auto"/>
      </w:pPr>
      <w:bookmarkStart w:id="0" w:name="_GoBack"/>
      <w:bookmarkEnd w:id="0"/>
      <w:r>
        <w:t>Full Title: Injury epidemiology of tennis players at the 2011 to 2016 Australian Open Grand Slam</w:t>
      </w:r>
    </w:p>
    <w:p w14:paraId="7D3C8B32" w14:textId="77777777" w:rsidR="006F5C0A" w:rsidRDefault="006F5C0A">
      <w:pPr>
        <w:spacing w:line="360" w:lineRule="auto"/>
      </w:pPr>
    </w:p>
    <w:p w14:paraId="16B50277" w14:textId="77777777" w:rsidR="006F5C0A" w:rsidRDefault="005226B0">
      <w:pPr>
        <w:spacing w:line="360" w:lineRule="auto"/>
        <w:outlineLvl w:val="0"/>
      </w:pPr>
      <w:r>
        <w:t>Submission Type:</w:t>
      </w:r>
      <w:r>
        <w:rPr>
          <w:b/>
        </w:rPr>
        <w:t xml:space="preserve"> </w:t>
      </w:r>
      <w:r>
        <w:t>Original Research</w:t>
      </w:r>
    </w:p>
    <w:p w14:paraId="392C481A" w14:textId="77777777" w:rsidR="006F5C0A" w:rsidRDefault="006F5C0A">
      <w:pPr>
        <w:spacing w:line="360" w:lineRule="auto"/>
      </w:pPr>
    </w:p>
    <w:p w14:paraId="72D6E21D" w14:textId="41F5D527" w:rsidR="006F5C0A" w:rsidRDefault="005226B0">
      <w:pPr>
        <w:spacing w:line="360" w:lineRule="auto"/>
        <w:outlineLvl w:val="0"/>
        <w:rPr>
          <w:vertAlign w:val="superscript"/>
        </w:rPr>
      </w:pPr>
      <w:r>
        <w:t>Authors:  Danielle T. Gescheit</w:t>
      </w:r>
      <w:r>
        <w:rPr>
          <w:vertAlign w:val="superscript"/>
        </w:rPr>
        <w:t>1,2</w:t>
      </w:r>
      <w:r>
        <w:t xml:space="preserve">, </w:t>
      </w:r>
      <w:r w:rsidR="00AC3685">
        <w:t>Stuart J. Cormack</w:t>
      </w:r>
      <w:r w:rsidR="00AC3685">
        <w:rPr>
          <w:vertAlign w:val="superscript"/>
        </w:rPr>
        <w:t>1</w:t>
      </w:r>
      <w:r w:rsidR="00AC3685">
        <w:t xml:space="preserve">, </w:t>
      </w:r>
      <w:r>
        <w:t>Rob Duffield</w:t>
      </w:r>
      <w:r>
        <w:rPr>
          <w:vertAlign w:val="superscript"/>
        </w:rPr>
        <w:t>3</w:t>
      </w:r>
      <w:r w:rsidR="00AC3685">
        <w:t>,</w:t>
      </w:r>
      <w:r>
        <w:t xml:space="preserve">  </w:t>
      </w:r>
      <w:r w:rsidR="00570E7C">
        <w:t>Stephanie Kovalchik</w:t>
      </w:r>
      <w:r w:rsidR="00570E7C">
        <w:rPr>
          <w:vertAlign w:val="superscript"/>
        </w:rPr>
        <w:t>2</w:t>
      </w:r>
      <w:r w:rsidR="00313EA0">
        <w:rPr>
          <w:vertAlign w:val="superscript"/>
        </w:rPr>
        <w:t>,4</w:t>
      </w:r>
      <w:r w:rsidR="00570E7C">
        <w:t xml:space="preserve">, </w:t>
      </w:r>
      <w:r w:rsidR="002F5059">
        <w:t>Tim O. Wood</w:t>
      </w:r>
      <w:r w:rsidR="002F5059">
        <w:rPr>
          <w:vertAlign w:val="superscript"/>
        </w:rPr>
        <w:t>5</w:t>
      </w:r>
      <w:r w:rsidR="002F5059">
        <w:t>, Melanie Omizzolo</w:t>
      </w:r>
      <w:r w:rsidR="002F5059">
        <w:rPr>
          <w:vertAlign w:val="superscript"/>
        </w:rPr>
        <w:t>5</w:t>
      </w:r>
      <w:r w:rsidR="002F5059">
        <w:t xml:space="preserve">, </w:t>
      </w:r>
      <w:r>
        <w:t>Machar Reid</w:t>
      </w:r>
      <w:r>
        <w:rPr>
          <w:vertAlign w:val="superscript"/>
        </w:rPr>
        <w:t>2</w:t>
      </w:r>
    </w:p>
    <w:p w14:paraId="38AD561E" w14:textId="77777777" w:rsidR="006F5C0A" w:rsidRDefault="006F5C0A">
      <w:pPr>
        <w:tabs>
          <w:tab w:val="left" w:pos="2694"/>
        </w:tabs>
        <w:spacing w:line="360" w:lineRule="auto"/>
      </w:pPr>
    </w:p>
    <w:p w14:paraId="6CCD7FCF" w14:textId="77777777" w:rsidR="006F5C0A" w:rsidRDefault="005226B0">
      <w:pPr>
        <w:tabs>
          <w:tab w:val="left" w:pos="2694"/>
        </w:tabs>
        <w:spacing w:line="360" w:lineRule="auto"/>
      </w:pPr>
      <w:r>
        <w:t xml:space="preserve">Institutional Affiliation: </w:t>
      </w:r>
      <w:r>
        <w:tab/>
        <w:t xml:space="preserve"> </w:t>
      </w:r>
    </w:p>
    <w:p w14:paraId="22AD09E8" w14:textId="77777777" w:rsidR="006F5C0A" w:rsidRDefault="005226B0">
      <w:pPr>
        <w:pStyle w:val="ListParagraph"/>
        <w:numPr>
          <w:ilvl w:val="0"/>
          <w:numId w:val="2"/>
        </w:numPr>
        <w:tabs>
          <w:tab w:val="left" w:pos="2694"/>
          <w:tab w:val="left" w:pos="3119"/>
        </w:tabs>
        <w:spacing w:after="200" w:line="360" w:lineRule="auto"/>
        <w:rPr>
          <w:rFonts w:ascii="Times New Roman" w:hAnsi="Times New Roman" w:cs="Times New Roman"/>
        </w:rPr>
      </w:pPr>
      <w:r>
        <w:rPr>
          <w:rFonts w:ascii="Times New Roman" w:hAnsi="Times New Roman" w:cs="Times New Roman"/>
        </w:rPr>
        <w:t>School of Exercise Science, Australian Catholic University, Fitzroy, VIC, Australia</w:t>
      </w:r>
      <w:r>
        <w:rPr>
          <w:rFonts w:ascii="Times New Roman" w:hAnsi="Times New Roman" w:cs="Times New Roman"/>
        </w:rPr>
        <w:tab/>
      </w:r>
    </w:p>
    <w:p w14:paraId="6361DDB9" w14:textId="6F5364FA" w:rsidR="006F5C0A" w:rsidRDefault="005226B0">
      <w:pPr>
        <w:pStyle w:val="ListParagraph"/>
        <w:numPr>
          <w:ilvl w:val="0"/>
          <w:numId w:val="2"/>
        </w:numPr>
        <w:tabs>
          <w:tab w:val="left" w:pos="2694"/>
          <w:tab w:val="left" w:pos="3119"/>
        </w:tabs>
        <w:spacing w:after="200" w:line="360" w:lineRule="auto"/>
        <w:rPr>
          <w:rFonts w:ascii="Times New Roman" w:hAnsi="Times New Roman" w:cs="Times New Roman"/>
        </w:rPr>
      </w:pPr>
      <w:r>
        <w:rPr>
          <w:rFonts w:ascii="Times New Roman" w:hAnsi="Times New Roman" w:cs="Times New Roman"/>
        </w:rPr>
        <w:lastRenderedPageBreak/>
        <w:t xml:space="preserve">Game Insight Group, Tennis Australia, Melbourne, </w:t>
      </w:r>
      <w:r w:rsidR="00090716">
        <w:rPr>
          <w:rFonts w:ascii="Times New Roman" w:hAnsi="Times New Roman" w:cs="Times New Roman"/>
        </w:rPr>
        <w:t>VIC,</w:t>
      </w:r>
      <w:r>
        <w:rPr>
          <w:rFonts w:ascii="Times New Roman" w:hAnsi="Times New Roman" w:cs="Times New Roman"/>
        </w:rPr>
        <w:t xml:space="preserve"> Australia</w:t>
      </w:r>
    </w:p>
    <w:p w14:paraId="3C83F73F" w14:textId="77777777" w:rsidR="006F5C0A" w:rsidRDefault="005226B0">
      <w:pPr>
        <w:pStyle w:val="ListParagraph"/>
        <w:numPr>
          <w:ilvl w:val="0"/>
          <w:numId w:val="2"/>
        </w:numPr>
        <w:tabs>
          <w:tab w:val="left" w:pos="2694"/>
          <w:tab w:val="left" w:pos="3119"/>
        </w:tabs>
        <w:spacing w:after="200" w:line="360" w:lineRule="auto"/>
        <w:rPr>
          <w:rFonts w:ascii="Times New Roman" w:hAnsi="Times New Roman" w:cs="Times New Roman"/>
        </w:rPr>
      </w:pPr>
      <w:r>
        <w:rPr>
          <w:rFonts w:ascii="Times New Roman" w:hAnsi="Times New Roman" w:cs="Times New Roman"/>
        </w:rPr>
        <w:t>Sport and Exercise Discipline Group, Faculty of Health, University of Technology Sydney, Moore Park, NSW, Australia</w:t>
      </w:r>
    </w:p>
    <w:p w14:paraId="2DB0FB16" w14:textId="77777777" w:rsidR="00313EA0" w:rsidRDefault="00313EA0">
      <w:pPr>
        <w:pStyle w:val="ListParagraph"/>
        <w:numPr>
          <w:ilvl w:val="0"/>
          <w:numId w:val="2"/>
        </w:numPr>
        <w:tabs>
          <w:tab w:val="left" w:pos="2694"/>
          <w:tab w:val="left" w:pos="3119"/>
        </w:tabs>
        <w:spacing w:after="200" w:line="360" w:lineRule="auto"/>
        <w:rPr>
          <w:rFonts w:ascii="Times New Roman" w:hAnsi="Times New Roman" w:cs="Times New Roman"/>
        </w:rPr>
      </w:pPr>
      <w:r>
        <w:rPr>
          <w:rFonts w:ascii="Times New Roman" w:hAnsi="Times New Roman" w:cs="Times New Roman"/>
        </w:rPr>
        <w:t>Institute of Sport, Exercise and Active Living, Victoria University, VIC, Australia</w:t>
      </w:r>
    </w:p>
    <w:p w14:paraId="66800A59" w14:textId="28BD6912" w:rsidR="002F5059" w:rsidRDefault="002F5059">
      <w:pPr>
        <w:pStyle w:val="ListParagraph"/>
        <w:numPr>
          <w:ilvl w:val="0"/>
          <w:numId w:val="2"/>
        </w:numPr>
        <w:tabs>
          <w:tab w:val="left" w:pos="2694"/>
          <w:tab w:val="left" w:pos="3119"/>
        </w:tabs>
        <w:spacing w:after="200" w:line="360" w:lineRule="auto"/>
        <w:rPr>
          <w:rFonts w:ascii="Times New Roman" w:hAnsi="Times New Roman" w:cs="Times New Roman"/>
        </w:rPr>
      </w:pPr>
      <w:r>
        <w:rPr>
          <w:rFonts w:ascii="Times New Roman" w:hAnsi="Times New Roman" w:cs="Times New Roman"/>
        </w:rPr>
        <w:t>Performance, Tennis Australia, Melbourne, VIC, Australia</w:t>
      </w:r>
    </w:p>
    <w:p w14:paraId="23C3A171" w14:textId="2A1F07C6" w:rsidR="006F5C0A" w:rsidRDefault="005226B0">
      <w:pPr>
        <w:tabs>
          <w:tab w:val="left" w:pos="2694"/>
          <w:tab w:val="left" w:pos="3119"/>
        </w:tabs>
        <w:spacing w:line="360" w:lineRule="auto"/>
      </w:pPr>
      <w:r>
        <w:tab/>
        <w:t xml:space="preserve"> </w:t>
      </w:r>
      <w:r>
        <w:tab/>
      </w:r>
    </w:p>
    <w:p w14:paraId="23152B84" w14:textId="77777777" w:rsidR="006F5C0A" w:rsidRDefault="005226B0">
      <w:pPr>
        <w:tabs>
          <w:tab w:val="left" w:pos="2694"/>
        </w:tabs>
        <w:spacing w:line="360" w:lineRule="auto"/>
      </w:pPr>
      <w:r>
        <w:t xml:space="preserve">Corresponding Author: </w:t>
      </w:r>
      <w:r>
        <w:tab/>
        <w:t xml:space="preserve"> </w:t>
      </w:r>
    </w:p>
    <w:p w14:paraId="7E333B05" w14:textId="77777777" w:rsidR="006F5C0A" w:rsidRDefault="005226B0">
      <w:pPr>
        <w:pStyle w:val="ListParagraph"/>
        <w:spacing w:line="360" w:lineRule="auto"/>
        <w:ind w:left="0"/>
        <w:rPr>
          <w:rFonts w:ascii="Times New Roman" w:hAnsi="Times New Roman" w:cs="Times New Roman"/>
        </w:rPr>
      </w:pPr>
      <w:r>
        <w:rPr>
          <w:rFonts w:ascii="Times New Roman" w:hAnsi="Times New Roman" w:cs="Times New Roman"/>
          <w:b/>
        </w:rPr>
        <w:t>Name</w:t>
      </w:r>
      <w:r>
        <w:rPr>
          <w:rFonts w:ascii="Times New Roman" w:hAnsi="Times New Roman" w:cs="Times New Roman"/>
        </w:rPr>
        <w:t>: Danielle T. Gescheit</w:t>
      </w:r>
    </w:p>
    <w:p w14:paraId="0E6C2761" w14:textId="77777777" w:rsidR="006F5C0A" w:rsidRDefault="005226B0">
      <w:pPr>
        <w:pStyle w:val="ListParagraph"/>
        <w:spacing w:line="360" w:lineRule="auto"/>
        <w:ind w:left="0"/>
        <w:rPr>
          <w:rFonts w:ascii="Times New Roman" w:hAnsi="Times New Roman" w:cs="Times New Roman"/>
        </w:rPr>
      </w:pPr>
      <w:r>
        <w:rPr>
          <w:rFonts w:ascii="Times New Roman" w:hAnsi="Times New Roman" w:cs="Times New Roman"/>
          <w:b/>
        </w:rPr>
        <w:t>Postal address</w:t>
      </w:r>
      <w:r>
        <w:rPr>
          <w:rFonts w:ascii="Times New Roman" w:hAnsi="Times New Roman" w:cs="Times New Roman"/>
        </w:rPr>
        <w:t>: Private Bag 6060, Richmond South, VIC, Australia 3121</w:t>
      </w:r>
    </w:p>
    <w:p w14:paraId="662F71C1" w14:textId="77777777" w:rsidR="006F5C0A" w:rsidRDefault="005226B0">
      <w:pPr>
        <w:pStyle w:val="ListParagraph"/>
        <w:spacing w:line="360" w:lineRule="auto"/>
        <w:ind w:left="0"/>
        <w:outlineLvl w:val="0"/>
      </w:pPr>
      <w:r>
        <w:rPr>
          <w:rFonts w:ascii="Times New Roman" w:hAnsi="Times New Roman" w:cs="Times New Roman"/>
          <w:b/>
        </w:rPr>
        <w:t>Email:</w:t>
      </w:r>
      <w:r>
        <w:rPr>
          <w:rFonts w:ascii="Times New Roman" w:hAnsi="Times New Roman" w:cs="Times New Roman"/>
        </w:rPr>
        <w:t xml:space="preserve"> </w:t>
      </w:r>
      <w:hyperlink r:id="rId9">
        <w:r>
          <w:rPr>
            <w:rStyle w:val="InternetLink"/>
            <w:rFonts w:ascii="Times New Roman" w:hAnsi="Times New Roman" w:cs="Times New Roman"/>
          </w:rPr>
          <w:t>dgescheit@tennis.com.au</w:t>
        </w:r>
      </w:hyperlink>
    </w:p>
    <w:p w14:paraId="452BD7D3" w14:textId="77777777" w:rsidR="006F5C0A" w:rsidRDefault="005226B0">
      <w:pPr>
        <w:pStyle w:val="ListParagraph"/>
        <w:spacing w:line="360" w:lineRule="auto"/>
        <w:ind w:left="0"/>
        <w:outlineLvl w:val="0"/>
        <w:rPr>
          <w:rFonts w:ascii="Times New Roman" w:hAnsi="Times New Roman" w:cs="Times New Roman"/>
        </w:rPr>
      </w:pPr>
      <w:r>
        <w:rPr>
          <w:rFonts w:ascii="Times New Roman" w:hAnsi="Times New Roman" w:cs="Times New Roman"/>
          <w:b/>
        </w:rPr>
        <w:lastRenderedPageBreak/>
        <w:t xml:space="preserve">Phone: </w:t>
      </w:r>
      <w:r>
        <w:rPr>
          <w:rFonts w:ascii="Times New Roman" w:hAnsi="Times New Roman" w:cs="Times New Roman"/>
        </w:rPr>
        <w:t>+61 3 9914 4338</w:t>
      </w:r>
    </w:p>
    <w:p w14:paraId="3E0383E8" w14:textId="77777777" w:rsidR="006F5C0A" w:rsidRDefault="005226B0">
      <w:pPr>
        <w:tabs>
          <w:tab w:val="left" w:pos="2694"/>
        </w:tabs>
        <w:spacing w:line="360" w:lineRule="auto"/>
      </w:pPr>
      <w:r>
        <w:tab/>
        <w:t xml:space="preserve"> </w:t>
      </w:r>
    </w:p>
    <w:p w14:paraId="27E83559" w14:textId="77777777" w:rsidR="006F5C0A" w:rsidRDefault="006F5C0A">
      <w:pPr>
        <w:tabs>
          <w:tab w:val="left" w:pos="2694"/>
        </w:tabs>
        <w:spacing w:line="360" w:lineRule="auto"/>
      </w:pPr>
    </w:p>
    <w:p w14:paraId="1253578C" w14:textId="77777777" w:rsidR="006F5C0A" w:rsidRDefault="005226B0">
      <w:pPr>
        <w:tabs>
          <w:tab w:val="left" w:pos="2694"/>
        </w:tabs>
        <w:spacing w:line="360" w:lineRule="auto"/>
        <w:outlineLvl w:val="0"/>
      </w:pPr>
      <w:r>
        <w:t>Running Head: Australian Open tennis injury epidemiology</w:t>
      </w:r>
    </w:p>
    <w:p w14:paraId="225262E3" w14:textId="26C1C390" w:rsidR="006F5C0A" w:rsidRDefault="001D3C94">
      <w:pPr>
        <w:tabs>
          <w:tab w:val="left" w:pos="2694"/>
        </w:tabs>
        <w:spacing w:line="360" w:lineRule="auto"/>
      </w:pPr>
      <w:r>
        <w:t>Abstract Word Count: 2</w:t>
      </w:r>
      <w:r w:rsidR="00AE02CA">
        <w:t>34</w:t>
      </w:r>
    </w:p>
    <w:p w14:paraId="4DA86DD0" w14:textId="4B5566C1" w:rsidR="006F5C0A" w:rsidRDefault="00FA4292">
      <w:pPr>
        <w:tabs>
          <w:tab w:val="left" w:pos="2694"/>
        </w:tabs>
        <w:spacing w:line="360" w:lineRule="auto"/>
      </w:pPr>
      <w:r>
        <w:t>Text-only Word Count: 2,</w:t>
      </w:r>
      <w:r w:rsidR="00AC0816">
        <w:t>9</w:t>
      </w:r>
      <w:r w:rsidR="001A6133">
        <w:t>74</w:t>
      </w:r>
    </w:p>
    <w:p w14:paraId="5189AC1D" w14:textId="77777777" w:rsidR="006F5C0A" w:rsidRDefault="005226B0">
      <w:pPr>
        <w:tabs>
          <w:tab w:val="left" w:pos="2694"/>
        </w:tabs>
        <w:spacing w:line="360" w:lineRule="auto"/>
      </w:pPr>
      <w:r>
        <w:t xml:space="preserve">Number of Tables: </w:t>
      </w:r>
      <w:r w:rsidR="00887CA4">
        <w:t>2</w:t>
      </w:r>
    </w:p>
    <w:p w14:paraId="299CAF6D" w14:textId="77777777" w:rsidR="006F5C0A" w:rsidRDefault="005226B0">
      <w:pPr>
        <w:spacing w:line="360" w:lineRule="auto"/>
      </w:pPr>
      <w:r>
        <w:t>Number of Figures: 3</w:t>
      </w:r>
    </w:p>
    <w:p w14:paraId="7B02A8BC" w14:textId="77777777" w:rsidR="00887CA4" w:rsidRDefault="00887CA4">
      <w:pPr>
        <w:spacing w:line="360" w:lineRule="auto"/>
        <w:rPr>
          <w:b/>
        </w:rPr>
      </w:pPr>
      <w:r>
        <w:t>Number of Supplementary Tables: 4</w:t>
      </w:r>
    </w:p>
    <w:p w14:paraId="301020B8" w14:textId="77777777" w:rsidR="006F5C0A" w:rsidRDefault="006F5C0A">
      <w:pPr>
        <w:spacing w:line="480" w:lineRule="auto"/>
        <w:rPr>
          <w:b/>
        </w:rPr>
      </w:pPr>
    </w:p>
    <w:p w14:paraId="75C40663" w14:textId="77777777" w:rsidR="00AC3685" w:rsidRDefault="00AC3685">
      <w:pPr>
        <w:spacing w:line="480" w:lineRule="auto"/>
        <w:rPr>
          <w:b/>
        </w:rPr>
      </w:pPr>
    </w:p>
    <w:p w14:paraId="7C35F21B" w14:textId="77777777" w:rsidR="006F5C0A" w:rsidRDefault="005226B0">
      <w:pPr>
        <w:spacing w:line="480" w:lineRule="auto"/>
        <w:outlineLvl w:val="0"/>
        <w:rPr>
          <w:b/>
        </w:rPr>
      </w:pPr>
      <w:r>
        <w:rPr>
          <w:b/>
        </w:rPr>
        <w:t>Abstract</w:t>
      </w:r>
    </w:p>
    <w:p w14:paraId="3C95F69C" w14:textId="12B27704" w:rsidR="006F5C0A" w:rsidRDefault="005226B0">
      <w:pPr>
        <w:spacing w:line="480" w:lineRule="auto"/>
      </w:pPr>
      <w:r>
        <w:rPr>
          <w:b/>
        </w:rPr>
        <w:t xml:space="preserve">Aim: </w:t>
      </w:r>
      <w:r>
        <w:t xml:space="preserve">To examine the epidemiology and </w:t>
      </w:r>
      <w:r w:rsidR="00373DCC">
        <w:t>in-event treatment frequency</w:t>
      </w:r>
      <w:r>
        <w:t xml:space="preserve"> of injury at the</w:t>
      </w:r>
      <w:r w:rsidR="004A2359">
        <w:t xml:space="preserve"> 2011-2016</w:t>
      </w:r>
      <w:r>
        <w:t xml:space="preserve"> A</w:t>
      </w:r>
      <w:r w:rsidR="005A7CE3">
        <w:t xml:space="preserve">ustralian </w:t>
      </w:r>
      <w:r>
        <w:t>O</w:t>
      </w:r>
      <w:r w:rsidR="005A7CE3">
        <w:t>pen</w:t>
      </w:r>
      <w:r w:rsidR="00601637">
        <w:t xml:space="preserve"> tournaments</w:t>
      </w:r>
      <w:r>
        <w:t xml:space="preserve">. </w:t>
      </w:r>
      <w:r>
        <w:rPr>
          <w:b/>
        </w:rPr>
        <w:t xml:space="preserve">Methods: </w:t>
      </w:r>
      <w:r w:rsidR="004F4A5F">
        <w:t>Injury incidence was defined as a medical consultation by a</w:t>
      </w:r>
      <w:r w:rsidR="00D83E11">
        <w:t xml:space="preserve"> tournament </w:t>
      </w:r>
      <w:r w:rsidR="004F4A5F">
        <w:t xml:space="preserve">physician, and </w:t>
      </w:r>
      <w:r w:rsidR="00373DCC">
        <w:t>in-event treatment frequency</w:t>
      </w:r>
      <w:r w:rsidR="004F4A5F">
        <w:t xml:space="preserve"> as the m</w:t>
      </w:r>
      <w:r>
        <w:t>ean total number of follow-up medical/physiotheraphy consultations (2013-2016</w:t>
      </w:r>
      <w:r w:rsidR="00601637">
        <w:t xml:space="preserve"> tournaments only</w:t>
      </w:r>
      <w:r>
        <w:t xml:space="preserve">). Data were collated by </w:t>
      </w:r>
      <w:r w:rsidR="00B2117E">
        <w:lastRenderedPageBreak/>
        <w:t>sex</w:t>
      </w:r>
      <w:r>
        <w:t>, injury region and type and reported as frequencies per 10,000 game exposures. I</w:t>
      </w:r>
      <w:r>
        <w:rPr>
          <w:rFonts w:eastAsia="MS Gothic"/>
          <w:color w:val="000000"/>
        </w:rPr>
        <w:t>ncidence rates</w:t>
      </w:r>
      <w:r w:rsidR="009958D9">
        <w:rPr>
          <w:rFonts w:eastAsia="MS Gothic"/>
          <w:color w:val="000000"/>
        </w:rPr>
        <w:t xml:space="preserve"> </w:t>
      </w:r>
      <w:r>
        <w:rPr>
          <w:rFonts w:eastAsia="MS Gothic"/>
          <w:color w:val="000000"/>
        </w:rPr>
        <w:t>±</w:t>
      </w:r>
      <w:r w:rsidR="009958D9">
        <w:rPr>
          <w:rFonts w:eastAsia="MS Gothic"/>
          <w:color w:val="000000"/>
        </w:rPr>
        <w:t xml:space="preserve"> </w:t>
      </w:r>
      <w:r>
        <w:rPr>
          <w:rFonts w:eastAsia="MS Gothic"/>
          <w:color w:val="000000"/>
        </w:rPr>
        <w:t xml:space="preserve">95% confidence intervals and rate ratios were used to test effects for injury, </w:t>
      </w:r>
      <w:r w:rsidR="00B2117E">
        <w:rPr>
          <w:rFonts w:eastAsia="MS Gothic"/>
          <w:color w:val="000000"/>
        </w:rPr>
        <w:t>sex</w:t>
      </w:r>
      <w:r>
        <w:rPr>
          <w:rFonts w:eastAsia="MS Gothic"/>
          <w:color w:val="000000"/>
        </w:rPr>
        <w:t xml:space="preserve"> and year. </w:t>
      </w:r>
      <w:r>
        <w:rPr>
          <w:rFonts w:eastAsia="MS Gothic"/>
          <w:b/>
          <w:color w:val="000000"/>
        </w:rPr>
        <w:t xml:space="preserve">Results: </w:t>
      </w:r>
      <w:r>
        <w:rPr>
          <w:rFonts w:eastAsia="MS Gothic"/>
          <w:color w:val="000000"/>
        </w:rPr>
        <w:t>Female players experienced more injuries than male players (201.7</w:t>
      </w:r>
      <w:r w:rsidR="00601637">
        <w:rPr>
          <w:rFonts w:eastAsia="MS Gothic"/>
          <w:color w:val="000000"/>
        </w:rPr>
        <w:t xml:space="preserve"> </w:t>
      </w:r>
      <w:r>
        <w:rPr>
          <w:rFonts w:eastAsia="MS Gothic"/>
          <w:color w:val="000000"/>
        </w:rPr>
        <w:t>vs</w:t>
      </w:r>
      <w:r w:rsidR="00601637">
        <w:rPr>
          <w:rFonts w:eastAsia="MS Gothic"/>
          <w:color w:val="000000"/>
        </w:rPr>
        <w:t xml:space="preserve"> </w:t>
      </w:r>
      <w:r>
        <w:rPr>
          <w:rFonts w:eastAsia="MS Gothic"/>
          <w:color w:val="000000"/>
        </w:rPr>
        <w:t>148.6). The shoulder (5.1±1.1 injuries per year), foot (3.2±1.1), wrist (3.1±1.5) and knee (3.1±1.1) were the most commonly injured regions among females. Knee (3.5±1.6) , ankle (2.3±1.3) and thigh (2.3±1.5) were</w:t>
      </w:r>
      <w:r w:rsidR="0057462C">
        <w:rPr>
          <w:rFonts w:eastAsia="MS Gothic"/>
          <w:color w:val="000000"/>
        </w:rPr>
        <w:t xml:space="preserve"> the</w:t>
      </w:r>
      <w:r>
        <w:rPr>
          <w:rFonts w:eastAsia="MS Gothic"/>
          <w:color w:val="000000"/>
        </w:rPr>
        <w:t xml:space="preserve"> most prevalent</w:t>
      </w:r>
      <w:r w:rsidR="00983823">
        <w:rPr>
          <w:rFonts w:eastAsia="MS Gothic"/>
          <w:color w:val="000000"/>
        </w:rPr>
        <w:t xml:space="preserve"> </w:t>
      </w:r>
      <w:r>
        <w:rPr>
          <w:rFonts w:eastAsia="MS Gothic"/>
          <w:color w:val="000000"/>
        </w:rPr>
        <w:t>male</w:t>
      </w:r>
      <w:r w:rsidR="00983823">
        <w:rPr>
          <w:rFonts w:eastAsia="MS Gothic"/>
          <w:color w:val="000000"/>
        </w:rPr>
        <w:t xml:space="preserve"> injuries</w:t>
      </w:r>
      <w:r>
        <w:rPr>
          <w:rFonts w:eastAsia="MS Gothic"/>
          <w:color w:val="000000"/>
        </w:rPr>
        <w:t xml:space="preserve">. Upper arm injuries and </w:t>
      </w:r>
      <w:r w:rsidR="00373DCC">
        <w:t>in-event treatment frequency</w:t>
      </w:r>
      <w:r>
        <w:rPr>
          <w:rFonts w:eastAsia="MS Gothic"/>
          <w:color w:val="000000"/>
        </w:rPr>
        <w:t xml:space="preserve"> increased by </w:t>
      </w:r>
      <w:r>
        <w:rPr>
          <w:rFonts w:ascii="Symbol" w:eastAsia="Symbol" w:hAnsi="Symbol" w:cs="Symbol"/>
          <w:color w:val="000000"/>
        </w:rPr>
        <w:t></w:t>
      </w:r>
      <w:r>
        <w:rPr>
          <w:rFonts w:eastAsia="MS Gothic"/>
          <w:color w:val="000000"/>
        </w:rPr>
        <w:t xml:space="preserve">2.4 </w:t>
      </w:r>
      <w:r w:rsidR="00106DBB">
        <w:rPr>
          <w:rFonts w:eastAsia="MS Gothic"/>
          <w:color w:val="000000"/>
        </w:rPr>
        <w:t>times i</w:t>
      </w:r>
      <w:r>
        <w:rPr>
          <w:rFonts w:eastAsia="MS Gothic"/>
          <w:color w:val="000000"/>
        </w:rPr>
        <w:t xml:space="preserve">n both </w:t>
      </w:r>
      <w:r w:rsidR="00106DBB">
        <w:rPr>
          <w:rFonts w:eastAsia="MS Gothic"/>
          <w:color w:val="000000"/>
        </w:rPr>
        <w:t>sexes</w:t>
      </w:r>
      <w:r>
        <w:rPr>
          <w:rFonts w:eastAsia="MS Gothic"/>
          <w:color w:val="000000"/>
        </w:rPr>
        <w:t xml:space="preserve"> over </w:t>
      </w:r>
      <w:r w:rsidR="00224827">
        <w:rPr>
          <w:rFonts w:eastAsia="MS Gothic"/>
          <w:color w:val="000000"/>
        </w:rPr>
        <w:t>the 5-</w:t>
      </w:r>
      <w:r w:rsidR="00224827">
        <w:rPr>
          <w:rFonts w:eastAsia="MS Gothic"/>
          <w:color w:val="000000"/>
        </w:rPr>
        <w:lastRenderedPageBreak/>
        <w:t>year period</w:t>
      </w:r>
      <w:r>
        <w:rPr>
          <w:rFonts w:eastAsia="MS Gothic"/>
          <w:color w:val="000000"/>
        </w:rPr>
        <w:t>. Muscle injuries were most frequent. There was a &gt;2</w:t>
      </w:r>
      <w:r w:rsidR="00D155AF">
        <w:rPr>
          <w:rFonts w:eastAsia="MS Gothic"/>
          <w:color w:val="000000"/>
        </w:rPr>
        <w:t>.0</w:t>
      </w:r>
      <w:r w:rsidR="00106DBB">
        <w:rPr>
          <w:rFonts w:eastAsia="MS Gothic"/>
          <w:color w:val="000000"/>
        </w:rPr>
        <w:t xml:space="preserve"> fold</w:t>
      </w:r>
      <w:r>
        <w:rPr>
          <w:rFonts w:eastAsia="MS Gothic"/>
          <w:color w:val="000000"/>
        </w:rPr>
        <w:t xml:space="preserve"> increase in </w:t>
      </w:r>
      <w:r w:rsidR="00224827">
        <w:rPr>
          <w:rFonts w:eastAsia="MS Gothic"/>
          <w:color w:val="000000"/>
        </w:rPr>
        <w:t>men and women with</w:t>
      </w:r>
      <w:r>
        <w:rPr>
          <w:rFonts w:eastAsia="MS Gothic"/>
          <w:color w:val="000000"/>
        </w:rPr>
        <w:t xml:space="preserve"> stress fractures over </w:t>
      </w:r>
      <w:r w:rsidR="00224827">
        <w:rPr>
          <w:rFonts w:eastAsia="MS Gothic"/>
          <w:color w:val="000000"/>
        </w:rPr>
        <w:t>the 5-year period</w:t>
      </w:r>
      <w:r>
        <w:rPr>
          <w:rFonts w:eastAsia="MS Gothic"/>
          <w:color w:val="000000"/>
        </w:rPr>
        <w:t>. The torso</w:t>
      </w:r>
      <w:r w:rsidR="00F5038E">
        <w:rPr>
          <w:rFonts w:eastAsia="MS Gothic"/>
          <w:color w:val="000000"/>
        </w:rPr>
        <w:t xml:space="preserve"> </w:t>
      </w:r>
      <w:r>
        <w:rPr>
          <w:rFonts w:eastAsia="MS Gothic"/>
          <w:color w:val="000000"/>
        </w:rPr>
        <w:t>region</w:t>
      </w:r>
      <w:r w:rsidR="00AE02CA">
        <w:rPr>
          <w:rFonts w:eastAsia="MS Gothic"/>
          <w:color w:val="000000"/>
        </w:rPr>
        <w:t xml:space="preserve">, including  the </w:t>
      </w:r>
      <w:r w:rsidR="00AE02CA">
        <w:t>neck, thoracic spine, trunk and abdominal, lumbar spine, hip and groin, pelvis/buttock,</w:t>
      </w:r>
      <w:r w:rsidR="00AE02CA">
        <w:rPr>
          <w:rFonts w:eastAsia="MS Gothic"/>
          <w:color w:val="000000"/>
        </w:rPr>
        <w:t xml:space="preserve"> </w:t>
      </w:r>
      <w:r>
        <w:rPr>
          <w:rFonts w:eastAsia="MS Gothic"/>
          <w:color w:val="000000"/>
        </w:rPr>
        <w:t xml:space="preserve">attracted high </w:t>
      </w:r>
      <w:r w:rsidR="00983823">
        <w:t>in-event treatment frequencies</w:t>
      </w:r>
      <w:r>
        <w:rPr>
          <w:rFonts w:eastAsia="MS Gothic"/>
          <w:color w:val="000000"/>
        </w:rPr>
        <w:t xml:space="preserve"> in both </w:t>
      </w:r>
      <w:r w:rsidR="00B2117E">
        <w:rPr>
          <w:rFonts w:eastAsia="MS Gothic"/>
          <w:color w:val="000000"/>
        </w:rPr>
        <w:t>sexes</w:t>
      </w:r>
      <w:r>
        <w:rPr>
          <w:rFonts w:eastAsia="MS Gothic"/>
          <w:color w:val="000000"/>
        </w:rPr>
        <w:t xml:space="preserve">. </w:t>
      </w:r>
      <w:r>
        <w:rPr>
          <w:rFonts w:eastAsia="MS Gothic"/>
          <w:b/>
          <w:color w:val="000000"/>
        </w:rPr>
        <w:t>Conclusion:</w:t>
      </w:r>
      <w:r w:rsidR="00125F5D">
        <w:rPr>
          <w:rFonts w:eastAsia="MS Gothic"/>
          <w:b/>
          <w:color w:val="000000"/>
        </w:rPr>
        <w:t xml:space="preserve"> </w:t>
      </w:r>
      <w:r>
        <w:rPr>
          <w:rFonts w:eastAsia="MS Gothic"/>
          <w:color w:val="000000"/>
        </w:rPr>
        <w:t>Upper and lower</w:t>
      </w:r>
      <w:r w:rsidR="00D541D6">
        <w:rPr>
          <w:rFonts w:eastAsia="MS Gothic"/>
          <w:color w:val="000000"/>
        </w:rPr>
        <w:t xml:space="preserve"> extremity injuries </w:t>
      </w:r>
      <w:r>
        <w:rPr>
          <w:rFonts w:eastAsia="MS Gothic"/>
          <w:color w:val="000000"/>
        </w:rPr>
        <w:t>affected females while lower limb injuries were more prominent in m</w:t>
      </w:r>
      <w:r w:rsidR="00125F5D">
        <w:rPr>
          <w:rFonts w:eastAsia="MS Gothic"/>
          <w:color w:val="000000"/>
        </w:rPr>
        <w:t>ales</w:t>
      </w:r>
      <w:r>
        <w:rPr>
          <w:rFonts w:eastAsia="MS Gothic"/>
          <w:color w:val="000000"/>
        </w:rPr>
        <w:t>. The</w:t>
      </w:r>
      <w:r w:rsidR="00224827">
        <w:rPr>
          <w:rFonts w:eastAsia="MS Gothic"/>
          <w:color w:val="000000"/>
        </w:rPr>
        <w:t>re was an increasing rate of in-event treatements of upper limb and torso</w:t>
      </w:r>
      <w:r w:rsidR="00AE02CA">
        <w:rPr>
          <w:rFonts w:eastAsia="MS Gothic"/>
          <w:color w:val="000000"/>
        </w:rPr>
        <w:t xml:space="preserve"> </w:t>
      </w:r>
      <w:r w:rsidR="00224827">
        <w:rPr>
          <w:rFonts w:eastAsia="MS Gothic"/>
          <w:color w:val="000000"/>
        </w:rPr>
        <w:t>injuries as well as stress fractures</w:t>
      </w:r>
      <w:r w:rsidR="00601637">
        <w:rPr>
          <w:rFonts w:eastAsia="MS Gothic"/>
          <w:color w:val="000000"/>
        </w:rPr>
        <w:t xml:space="preserve"> during the observation period</w:t>
      </w:r>
      <w:r w:rsidR="00224827">
        <w:rPr>
          <w:rFonts w:eastAsia="MS Gothic"/>
          <w:color w:val="000000"/>
        </w:rPr>
        <w:t>.</w:t>
      </w:r>
      <w:r>
        <w:rPr>
          <w:rFonts w:eastAsia="MS Gothic"/>
          <w:color w:val="000000"/>
        </w:rPr>
        <w:t xml:space="preserve"> </w:t>
      </w:r>
    </w:p>
    <w:p w14:paraId="6022A1CD" w14:textId="77777777" w:rsidR="00AC3685" w:rsidRDefault="00AC3685">
      <w:pPr>
        <w:spacing w:line="480" w:lineRule="auto"/>
        <w:outlineLvl w:val="0"/>
        <w:rPr>
          <w:b/>
        </w:rPr>
      </w:pPr>
    </w:p>
    <w:p w14:paraId="5B7D20DE" w14:textId="77777777" w:rsidR="001453D5" w:rsidRDefault="001453D5">
      <w:pPr>
        <w:spacing w:line="480" w:lineRule="auto"/>
        <w:outlineLvl w:val="0"/>
        <w:rPr>
          <w:b/>
        </w:rPr>
      </w:pPr>
    </w:p>
    <w:p w14:paraId="489A5A48" w14:textId="77777777" w:rsidR="001453D5" w:rsidRDefault="001453D5">
      <w:pPr>
        <w:spacing w:line="480" w:lineRule="auto"/>
        <w:outlineLvl w:val="0"/>
        <w:rPr>
          <w:b/>
        </w:rPr>
      </w:pPr>
    </w:p>
    <w:p w14:paraId="6DB6178C" w14:textId="77777777" w:rsidR="001453D5" w:rsidRDefault="001453D5">
      <w:pPr>
        <w:spacing w:line="480" w:lineRule="auto"/>
        <w:outlineLvl w:val="0"/>
        <w:rPr>
          <w:b/>
        </w:rPr>
      </w:pPr>
    </w:p>
    <w:p w14:paraId="2EF0674E" w14:textId="0C3F0F88" w:rsidR="006F5C0A" w:rsidRDefault="005226B0">
      <w:pPr>
        <w:spacing w:line="480" w:lineRule="auto"/>
        <w:outlineLvl w:val="0"/>
        <w:rPr>
          <w:b/>
        </w:rPr>
      </w:pPr>
      <w:r>
        <w:rPr>
          <w:b/>
        </w:rPr>
        <w:t>Introduction</w:t>
      </w:r>
    </w:p>
    <w:p w14:paraId="57B7D867" w14:textId="7881FD14" w:rsidR="006F5C0A" w:rsidRDefault="005226B0">
      <w:pPr>
        <w:spacing w:line="480" w:lineRule="auto"/>
      </w:pPr>
      <w:r>
        <w:t>The Australian Open is one of four Grand Slam events in professional tennis</w:t>
      </w:r>
      <w:r w:rsidR="007C7DE5">
        <w:t>.</w:t>
      </w:r>
      <w:r w:rsidR="00AB4416">
        <w:t xml:space="preserve"> </w:t>
      </w:r>
      <w:r w:rsidR="0018431C">
        <w:t>E</w:t>
      </w:r>
      <w:r w:rsidR="00AB4416">
        <w:t xml:space="preserve">pidemiological </w:t>
      </w:r>
      <w:r>
        <w:t>profiles of injuries at the Wimbledon and US Open Grand Slams have been conducted</w:t>
      </w:r>
      <w:r w:rsidR="004B652E">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AE02CA">
        <w:instrText xml:space="preserve"> ADDIN EN.CITE </w:instrText>
      </w:r>
      <w:r w:rsidR="00AE02CA">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AE02CA">
        <w:instrText xml:space="preserve"> ADDIN EN.CITE.DATA </w:instrText>
      </w:r>
      <w:r w:rsidR="00AE02CA">
        <w:fldChar w:fldCharType="end"/>
      </w:r>
      <w:r w:rsidR="004B652E">
        <w:fldChar w:fldCharType="separate"/>
      </w:r>
      <w:r w:rsidR="00AE02CA">
        <w:rPr>
          <w:noProof/>
        </w:rPr>
        <w:t>[</w:t>
      </w:r>
      <w:hyperlink w:anchor="_ENREF_1" w:tooltip="McCurdie, 2016 #427" w:history="1">
        <w:r w:rsidR="00AE02CA">
          <w:rPr>
            <w:noProof/>
          </w:rPr>
          <w:t>1</w:t>
        </w:r>
      </w:hyperlink>
      <w:r w:rsidR="00AE02CA">
        <w:rPr>
          <w:noProof/>
        </w:rPr>
        <w:t xml:space="preserve">, </w:t>
      </w:r>
      <w:hyperlink w:anchor="_ENREF_2" w:tooltip="Sell, 2012 #152" w:history="1">
        <w:r w:rsidR="00AE02CA">
          <w:rPr>
            <w:noProof/>
          </w:rPr>
          <w:t>2</w:t>
        </w:r>
      </w:hyperlink>
      <w:r w:rsidR="00AE02CA">
        <w:rPr>
          <w:noProof/>
        </w:rPr>
        <w:t>]</w:t>
      </w:r>
      <w:r w:rsidR="004B652E">
        <w:fldChar w:fldCharType="end"/>
      </w:r>
      <w:r w:rsidR="00AB4416">
        <w:t xml:space="preserve">, though as yet, the </w:t>
      </w:r>
      <w:r w:rsidR="00E4653E">
        <w:t xml:space="preserve">Australian Open profile </w:t>
      </w:r>
      <w:r w:rsidR="00E4653E">
        <w:lastRenderedPageBreak/>
        <w:t xml:space="preserve">remains </w:t>
      </w:r>
      <w:r w:rsidR="00AB4416">
        <w:t>to be reported</w:t>
      </w:r>
      <w:r w:rsidR="00E4653E">
        <w:t>. As the</w:t>
      </w:r>
      <w:r w:rsidR="00F80972">
        <w:t xml:space="preserve"> </w:t>
      </w:r>
      <w:r>
        <w:t>Australian Open is scheduled at a different time of year, on a different court surface (Plexcushion) and in a different climate</w:t>
      </w:r>
      <w:r w:rsidR="007C7DE5">
        <w:t xml:space="preserve"> to the other Grand</w:t>
      </w:r>
      <w:r w:rsidR="00E4653E">
        <w:t xml:space="preserve"> Slams</w:t>
      </w:r>
      <w:r>
        <w:t xml:space="preserve">, </w:t>
      </w:r>
      <w:r w:rsidR="00A5128C">
        <w:t>its</w:t>
      </w:r>
      <w:r>
        <w:t xml:space="preserve"> injury profile </w:t>
      </w:r>
      <w:r w:rsidR="00E4653E">
        <w:t>may</w:t>
      </w:r>
      <w:r>
        <w:t xml:space="preserve"> differ</w:t>
      </w:r>
      <w:r w:rsidR="00F37E22">
        <w:t>.</w:t>
      </w:r>
    </w:p>
    <w:p w14:paraId="42F5C2AE" w14:textId="77777777" w:rsidR="006F5C0A" w:rsidRDefault="006F5C0A">
      <w:pPr>
        <w:spacing w:line="480" w:lineRule="auto"/>
      </w:pPr>
    </w:p>
    <w:p w14:paraId="693A7030" w14:textId="25AFF73A" w:rsidR="006F5C0A" w:rsidRDefault="005226B0">
      <w:pPr>
        <w:spacing w:line="480" w:lineRule="auto"/>
      </w:pPr>
      <w:r>
        <w:t>The injury profiles of the Wimbledon and US Open Grand Slams suggest that elite tennis is highly injurious</w:t>
      </w:r>
      <w:r w:rsidR="005A2152">
        <w:t xml:space="preserve"> compared to other sports</w:t>
      </w:r>
      <w:r w:rsidR="004B652E">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AE02CA">
        <w:instrText xml:space="preserve"> ADDIN EN.CITE </w:instrText>
      </w:r>
      <w:r w:rsidR="00AE02CA">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AE02CA">
        <w:instrText xml:space="preserve"> ADDIN EN.CITE.DATA </w:instrText>
      </w:r>
      <w:r w:rsidR="00AE02CA">
        <w:fldChar w:fldCharType="end"/>
      </w:r>
      <w:r w:rsidR="004B652E">
        <w:fldChar w:fldCharType="separate"/>
      </w:r>
      <w:r w:rsidR="00AE02CA">
        <w:rPr>
          <w:noProof/>
        </w:rPr>
        <w:t>[</w:t>
      </w:r>
      <w:hyperlink w:anchor="_ENREF_1" w:tooltip="McCurdie, 2016 #427" w:history="1">
        <w:r w:rsidR="00AE02CA">
          <w:rPr>
            <w:noProof/>
          </w:rPr>
          <w:t>1</w:t>
        </w:r>
      </w:hyperlink>
      <w:r w:rsidR="00AE02CA">
        <w:rPr>
          <w:noProof/>
        </w:rPr>
        <w:t xml:space="preserve">, </w:t>
      </w:r>
      <w:hyperlink w:anchor="_ENREF_2" w:tooltip="Sell, 2012 #152" w:history="1">
        <w:r w:rsidR="00AE02CA">
          <w:rPr>
            <w:noProof/>
          </w:rPr>
          <w:t>2</w:t>
        </w:r>
      </w:hyperlink>
      <w:r w:rsidR="00AE02CA">
        <w:rPr>
          <w:noProof/>
        </w:rPr>
        <w:t>]</w:t>
      </w:r>
      <w:r w:rsidR="004B652E">
        <w:fldChar w:fldCharType="end"/>
      </w:r>
      <w:r>
        <w:t xml:space="preserve">. </w:t>
      </w:r>
      <w:r w:rsidR="00FF20CE">
        <w:t>As context</w:t>
      </w:r>
      <w:r w:rsidR="00CC7C26">
        <w:t>, sports like rugby  and basketball have reported means of 10.5</w:t>
      </w:r>
      <w:r w:rsidR="004B652E">
        <w:fldChar w:fldCharType="begin"/>
      </w:r>
      <w:r w:rsidR="00AE02CA">
        <w:instrText xml:space="preserve"> ADDIN EN.CITE &lt;EndNote&gt;&lt;Cite&gt;&lt;Author&gt;Gabbett&lt;/Author&gt;&lt;Year&gt;2011&lt;/Year&gt;&lt;RecNum&gt;52&lt;/RecNum&gt;&lt;DisplayText&gt;[3]&lt;/DisplayText&gt;&lt;record&gt;&lt;rec-number&gt;52&lt;/rec-number&gt;&lt;foreign-keys&gt;&lt;key app="EN" db-id="v2z99wx07srzpae0exnvvs00asvr5xxx2efw" timestamp="1420608732"&gt;52&lt;/key&gt;&lt;/foreign-keys&gt;&lt;ref-type name="Journal Article"&gt;17&lt;/ref-type&gt;&lt;contributors&gt;&lt;authors&gt;&lt;author&gt;Gabbett, Tim J&lt;/author&gt;&lt;author&gt;Jenkins, David G&lt;/author&gt;&lt;/authors&gt;&lt;/contributors&gt;&lt;titles&gt;&lt;title&gt;Relationship between training load and injury in professional rugby league players&lt;/title&gt;&lt;secondary-title&gt;Journal of Science and Medicine in Sport&lt;/secondary-title&gt;&lt;/titles&gt;&lt;periodical&gt;&lt;full-title&gt;Journal of Science and Medicine in Sport&lt;/full-title&gt;&lt;/periodical&gt;&lt;pages&gt;204-209&lt;/pages&gt;&lt;volume&gt;14&lt;/volume&gt;&lt;number&gt;3&lt;/number&gt;&lt;dates&gt;&lt;year&gt;2011&lt;/year&gt;&lt;/dates&gt;&lt;isbn&gt;1440-2440&lt;/isbn&gt;&lt;urls&gt;&lt;/urls&gt;&lt;/record&gt;&lt;/Cite&gt;&lt;/EndNote&gt;</w:instrText>
      </w:r>
      <w:r w:rsidR="004B652E">
        <w:fldChar w:fldCharType="separate"/>
      </w:r>
      <w:r w:rsidR="00AE02CA">
        <w:rPr>
          <w:noProof/>
        </w:rPr>
        <w:t>[</w:t>
      </w:r>
      <w:hyperlink w:anchor="_ENREF_3" w:tooltip="Gabbett, 2011 #52" w:history="1">
        <w:r w:rsidR="00AE02CA">
          <w:rPr>
            <w:noProof/>
          </w:rPr>
          <w:t>3</w:t>
        </w:r>
      </w:hyperlink>
      <w:r w:rsidR="00AE02CA">
        <w:rPr>
          <w:noProof/>
        </w:rPr>
        <w:t>]</w:t>
      </w:r>
      <w:r w:rsidR="004B652E">
        <w:fldChar w:fldCharType="end"/>
      </w:r>
      <w:r w:rsidR="00CC7C26">
        <w:t xml:space="preserve"> and 8.5</w:t>
      </w:r>
      <w:r w:rsidR="004B652E">
        <w:fldChar w:fldCharType="begin"/>
      </w:r>
      <w:r w:rsidR="00AE02CA">
        <w:instrText xml:space="preserve"> ADDIN EN.CITE &lt;EndNote&gt;&lt;Cite&gt;&lt;Author&gt;Kerr&lt;/Author&gt;&lt;Year&gt;2015&lt;/Year&gt;&lt;RecNum&gt;458&lt;/RecNum&gt;&lt;DisplayText&gt;[4]&lt;/DisplayText&gt;&lt;record&gt;&lt;rec-number&gt;458&lt;/rec-number&gt;&lt;foreign-keys&gt;&lt;key app="EN" db-id="v2z99wx07srzpae0exnvvs00asvr5xxx2efw" timestamp="1471488061"&gt;458&lt;/key&gt;&lt;/foreign-keys&gt;&lt;ref-type name="Journal Article"&gt;17&lt;/ref-type&gt;&lt;contributors&gt;&lt;authors&gt;&lt;author&gt;Kerr, Zachary Y&lt;/author&gt;&lt;author&gt;Marshall, Stephen W&lt;/author&gt;&lt;author&gt;Dompier, Thomas P&lt;/author&gt;&lt;author&gt;Corlette, Jill&lt;/author&gt;&lt;author&gt;Klossner, David A&lt;/author&gt;&lt;author&gt;Gilchrist, Julie&lt;/author&gt;&lt;/authors&gt;&lt;/contributors&gt;&lt;titles&gt;&lt;title&gt;College sports-related injuries—United States, 2009-10 through 2013-14 academic years&lt;/title&gt;&lt;secondary-title&gt;MMWR Morb Mortal Wkly Rep&lt;/secondary-title&gt;&lt;/titles&gt;&lt;periodical&gt;&lt;full-title&gt;MMWR Morb Mortal Wkly Rep&lt;/full-title&gt;&lt;/periodical&gt;&lt;pages&gt;1330-1336&lt;/pages&gt;&lt;volume&gt;64&lt;/volume&gt;&lt;dates&gt;&lt;year&gt;2015&lt;/year&gt;&lt;/dates&gt;&lt;urls&gt;&lt;/urls&gt;&lt;/record&gt;&lt;/Cite&gt;&lt;/EndNote&gt;</w:instrText>
      </w:r>
      <w:r w:rsidR="004B652E">
        <w:fldChar w:fldCharType="separate"/>
      </w:r>
      <w:r w:rsidR="00AE02CA">
        <w:rPr>
          <w:noProof/>
        </w:rPr>
        <w:t>[</w:t>
      </w:r>
      <w:hyperlink w:anchor="_ENREF_4" w:tooltip="Kerr, 2015 #458" w:history="1">
        <w:r w:rsidR="00AE02CA">
          <w:rPr>
            <w:noProof/>
          </w:rPr>
          <w:t>4</w:t>
        </w:r>
      </w:hyperlink>
      <w:r w:rsidR="00AE02CA">
        <w:rPr>
          <w:noProof/>
        </w:rPr>
        <w:t>]</w:t>
      </w:r>
      <w:r w:rsidR="004B652E">
        <w:fldChar w:fldCharType="end"/>
      </w:r>
      <w:r w:rsidR="00CC7C26">
        <w:t xml:space="preserve"> injuries per 1,000 training hours and athletic exposures</w:t>
      </w:r>
      <w:r w:rsidR="007C008B">
        <w:t>,</w:t>
      </w:r>
      <w:r w:rsidR="00FF20CE">
        <w:t xml:space="preserve"> respectively. </w:t>
      </w:r>
      <w:r w:rsidR="0018431C">
        <w:t>I</w:t>
      </w:r>
      <w:r w:rsidR="00FF20CE">
        <w:t xml:space="preserve">njuries at </w:t>
      </w:r>
      <w:r w:rsidR="00CC7C26">
        <w:lastRenderedPageBreak/>
        <w:t>Wimbledon between 2003-2012</w:t>
      </w:r>
      <w:r w:rsidR="00FF20CE">
        <w:t xml:space="preserve"> resulted in</w:t>
      </w:r>
      <w:r w:rsidR="00CC7C26">
        <w:t xml:space="preserve"> </w:t>
      </w:r>
      <w:r w:rsidR="00FF20CE">
        <w:t>a</w:t>
      </w:r>
      <w:r>
        <w:t xml:space="preserve"> mean injury rate of 20.7 injuries per 1,000 set</w:t>
      </w:r>
      <w:r w:rsidR="00CC7C26">
        <w:t xml:space="preserve"> </w:t>
      </w:r>
      <w:r w:rsidR="00872BD5">
        <w:t xml:space="preserve">exposures </w:t>
      </w:r>
      <w:r w:rsidR="00CC7C26">
        <w:t>(which typically last for less than one hour)</w:t>
      </w:r>
      <w:r w:rsidR="004B652E">
        <w:fldChar w:fldCharType="begin"/>
      </w:r>
      <w:r w:rsidR="00AE02CA">
        <w:instrText xml:space="preserve"> ADDIN EN.CITE &lt;EndNote&gt;&lt;Cite&gt;&lt;Author&gt;McCurdie&lt;/Author&gt;&lt;Year&gt;2016&lt;/Year&gt;&lt;RecNum&gt;427&lt;/RecNum&gt;&lt;DisplayText&gt;[1]&lt;/DisplayText&gt;&lt;record&gt;&lt;rec-number&gt;427&lt;/rec-number&gt;&lt;foreign-keys&gt;&lt;key app="EN" db-id="v2z99wx07srzpae0exnvvs00asvr5xxx2efw" timestamp="1458089116"&gt;427&lt;/key&gt;&lt;/foreign-keys&gt;&lt;ref-type name="Journal Article"&gt;17&lt;/ref-type&gt;&lt;contributors&gt;&lt;authors&gt;&lt;author&gt;McCurdie, I.&lt;/author&gt;&lt;author&gt;Smith, S.&lt;/author&gt;&lt;author&gt;Bell, P. H.&lt;/author&gt;&lt;author&gt;Batt, M. E.&lt;/author&gt;&lt;/authors&gt;&lt;/contributors&gt;&lt;auth-address&gt;Defence Medical Rehabilitation Centre (DMRC) Headley Court, Epsom, Surrey, UK All England Lawn Tennis Club, London, UK.&amp;#xD;Queens Medical Centre, Nottingham, UK.&amp;#xD;All England Lawn Tennis Club, London, UK The Paddocks Clinic, Princes Risborough, UK.&amp;#xD;The Paddocks Clinic, Princes Risborough, UK Nottingham University Hospitals NHS Trust, Nottingham, UK Arthritis Research UK Centre Sport, Exercise and Osteoarthritis, Nottingham, UK.&lt;/auth-address&gt;&lt;titles&gt;&lt;title&gt;Tennis injury data from The Championships, Wimbledon, from 2003 to 2012&lt;/title&gt;&lt;secondary-title&gt;Br J Sports Med&lt;/secondary-title&gt;&lt;alt-title&gt;British journal of sports medicine&lt;/alt-title&gt;&lt;/titles&gt;&lt;alt-periodical&gt;&lt;full-title&gt;British journal of sports medicine&lt;/full-title&gt;&lt;/alt-periodical&gt;&lt;edition&gt;2016/01/13&lt;/edition&gt;&lt;keywords&gt;&lt;keyword&gt;Cohort study&lt;/keyword&gt;&lt;keyword&gt;Injury&lt;/keyword&gt;&lt;keyword&gt;Retrospective&lt;/keyword&gt;&lt;keyword&gt;Tennis&lt;/keyword&gt;&lt;/keywords&gt;&lt;dates&gt;&lt;year&gt;2016&lt;/year&gt;&lt;pub-dates&gt;&lt;date&gt;Jan 11&lt;/date&gt;&lt;/pub-dates&gt;&lt;/dates&gt;&lt;isbn&gt;0306-3674&lt;/isbn&gt;&lt;accession-num&gt;26755678&lt;/accession-num&gt;&lt;urls&gt;&lt;/urls&gt;&lt;electronic-resource-num&gt;10.1136/bjsports-2015-095552&lt;/electronic-resource-num&gt;&lt;remote-database-provider&gt;NLM&lt;/remote-database-provider&gt;&lt;language&gt;Eng&lt;/language&gt;&lt;/record&gt;&lt;/Cite&gt;&lt;/EndNote&gt;</w:instrText>
      </w:r>
      <w:r w:rsidR="004B652E">
        <w:fldChar w:fldCharType="separate"/>
      </w:r>
      <w:r w:rsidR="00AE02CA">
        <w:rPr>
          <w:noProof/>
        </w:rPr>
        <w:t>[</w:t>
      </w:r>
      <w:hyperlink w:anchor="_ENREF_1" w:tooltip="McCurdie, 2016 #427" w:history="1">
        <w:r w:rsidR="00AE02CA">
          <w:rPr>
            <w:noProof/>
          </w:rPr>
          <w:t>1</w:t>
        </w:r>
      </w:hyperlink>
      <w:r w:rsidR="00AE02CA">
        <w:rPr>
          <w:noProof/>
        </w:rPr>
        <w:t>]</w:t>
      </w:r>
      <w:r w:rsidR="004B652E">
        <w:fldChar w:fldCharType="end"/>
      </w:r>
      <w:r>
        <w:t>.</w:t>
      </w:r>
      <w:r w:rsidR="006818B9">
        <w:t xml:space="preserve"> </w:t>
      </w:r>
      <w:r>
        <w:t>Within th</w:t>
      </w:r>
      <w:r w:rsidR="00292E50">
        <w:t>e Wimbledon</w:t>
      </w:r>
      <w:r>
        <w:t xml:space="preserve"> injury rate</w:t>
      </w:r>
      <w:r w:rsidR="00292E50">
        <w:t>,</w:t>
      </w:r>
      <w:r>
        <w:t xml:space="preserve"> female players </w:t>
      </w:r>
      <w:r w:rsidR="00391274">
        <w:t xml:space="preserve">were </w:t>
      </w:r>
      <w:r>
        <w:t>more frequently injured than their male counterparts (23.4</w:t>
      </w:r>
      <w:r w:rsidR="00872BD5">
        <w:t xml:space="preserve"> </w:t>
      </w:r>
      <w:r>
        <w:t>vs</w:t>
      </w:r>
      <w:r w:rsidR="00872BD5">
        <w:t xml:space="preserve"> </w:t>
      </w:r>
      <w:r>
        <w:t>17.7 injuries per 1,000 set exposures). Acute injuries were more prominent than chronic injuries, with the shoulder, knee and lumbar spine the most commonly injured regions</w:t>
      </w:r>
      <w:r w:rsidR="004B652E">
        <w:fldChar w:fldCharType="begin"/>
      </w:r>
      <w:r w:rsidR="00AE02CA">
        <w:instrText xml:space="preserve"> ADDIN EN.CITE &lt;EndNote&gt;&lt;Cite&gt;&lt;Author&gt;McCurdie&lt;/Author&gt;&lt;Year&gt;2016&lt;/Year&gt;&lt;RecNum&gt;427&lt;/RecNum&gt;&lt;DisplayText&gt;[1]&lt;/DisplayText&gt;&lt;record&gt;&lt;rec-number&gt;427&lt;/rec-number&gt;&lt;foreign-keys&gt;&lt;key app="EN" db-id="v2z99wx07srzpae0exnvvs00asvr5xxx2efw" timestamp="1458089116"&gt;427&lt;/key&gt;&lt;/foreign-keys&gt;&lt;ref-type name="Journal Article"&gt;17&lt;/ref-type&gt;&lt;contributors&gt;&lt;authors&gt;&lt;author&gt;McCurdie, I.&lt;/author&gt;&lt;author&gt;Smith, S.&lt;/author&gt;&lt;author&gt;Bell, P. H.&lt;/author&gt;&lt;author&gt;Batt, M. E.&lt;/author&gt;&lt;/authors&gt;&lt;/contributors&gt;&lt;auth-address&gt;Defence Medical Rehabilitation Centre (DMRC) Headley Court, Epsom, Surrey, UK All England Lawn Tennis Club, London, UK.&amp;#xD;Queens Medical Centre, Nottingham, UK.&amp;#xD;All England Lawn Tennis Club, London, UK The Paddocks Clinic, Princes Risborough, UK.&amp;#xD;The Paddocks Clinic, Princes Risborough, UK Nottingham University Hospitals NHS Trust, Nottingham, UK Arthritis Research UK Centre Sport, Exercise and Osteoarthritis, Nottingham, UK.&lt;/auth-address&gt;&lt;titles&gt;&lt;title&gt;Tennis injury data from The Championships, Wimbledon, from 2003 to 2012&lt;/title&gt;&lt;secondary-title&gt;Br J Sports Med&lt;/secondary-title&gt;&lt;alt-title&gt;British journal of sports medicine&lt;/alt-title&gt;&lt;/titles&gt;&lt;alt-periodical&gt;&lt;full-title&gt;British journal of sports medicine&lt;/full-title&gt;&lt;/alt-periodical&gt;&lt;edition&gt;2016/01/13&lt;/edition&gt;&lt;keywords&gt;&lt;keyword&gt;Cohort study&lt;/keyword&gt;&lt;keyword&gt;Injury&lt;/keyword&gt;&lt;keyword&gt;Retrospective&lt;/keyword&gt;&lt;keyword&gt;Tennis&lt;/keyword&gt;&lt;/keywords&gt;&lt;dates&gt;&lt;year&gt;2016&lt;/year&gt;&lt;pub-dates&gt;&lt;date&gt;Jan 11&lt;/date&gt;&lt;/pub-dates&gt;&lt;/dates&gt;&lt;isbn&gt;0306-3674&lt;/isbn&gt;&lt;accession-num&gt;26755678&lt;/accession-num&gt;&lt;urls&gt;&lt;/urls&gt;&lt;electronic-resource-num&gt;10.1136/bjsports-2015-095552&lt;/electronic-resource-num&gt;&lt;remote-database-provider&gt;NLM&lt;/remote-database-provider&gt;&lt;language&gt;Eng&lt;/language&gt;&lt;/record&gt;&lt;/Cite&gt;&lt;/EndNote&gt;</w:instrText>
      </w:r>
      <w:r w:rsidR="004B652E">
        <w:fldChar w:fldCharType="separate"/>
      </w:r>
      <w:r w:rsidR="00AE02CA">
        <w:rPr>
          <w:noProof/>
        </w:rPr>
        <w:t>[</w:t>
      </w:r>
      <w:hyperlink w:anchor="_ENREF_1" w:tooltip="McCurdie, 2016 #427" w:history="1">
        <w:r w:rsidR="00AE02CA">
          <w:rPr>
            <w:noProof/>
          </w:rPr>
          <w:t>1</w:t>
        </w:r>
      </w:hyperlink>
      <w:r w:rsidR="00AE02CA">
        <w:rPr>
          <w:noProof/>
        </w:rPr>
        <w:t>]</w:t>
      </w:r>
      <w:r w:rsidR="004B652E">
        <w:fldChar w:fldCharType="end"/>
      </w:r>
      <w:r>
        <w:t xml:space="preserve">. At the US Open between 1994 to 2009, </w:t>
      </w:r>
      <w:r w:rsidR="00E3415D">
        <w:t xml:space="preserve">the </w:t>
      </w:r>
      <w:r>
        <w:t xml:space="preserve">mean </w:t>
      </w:r>
      <w:r w:rsidR="00E3415D">
        <w:t xml:space="preserve">injury rate was </w:t>
      </w:r>
      <w:r>
        <w:t xml:space="preserve">48.1 </w:t>
      </w:r>
      <w:r>
        <w:rPr>
          <w:rFonts w:eastAsia="MS Gothic"/>
          <w:color w:val="000000"/>
        </w:rPr>
        <w:t>injuries per 1,000 match exposures</w:t>
      </w:r>
      <w:r w:rsidR="002376E6">
        <w:rPr>
          <w:rFonts w:eastAsia="MS Gothic"/>
          <w:color w:val="000000"/>
        </w:rPr>
        <w:fldChar w:fldCharType="begin"/>
      </w:r>
      <w:r w:rsidR="00AE02CA">
        <w:rPr>
          <w:rFonts w:eastAsia="MS Gothic"/>
          <w:color w:val="000000"/>
        </w:rPr>
        <w:instrText xml:space="preserve"> ADDIN EN.CITE &lt;EndNote&gt;&lt;Cite&gt;&lt;Author&gt;Sell&lt;/Author&gt;&lt;Year&gt;2012&lt;/Year&gt;&lt;RecNum&gt;152&lt;/RecNum&gt;&lt;DisplayText&gt;[2]&lt;/DisplayText&gt;&lt;record&gt;&lt;rec-number&gt;152&lt;/rec-number&gt;&lt;foreign-keys&gt;&lt;key app="EN" db-id="v2z99wx07srzpae0exnvvs00asvr5xxx2efw" timestamp="1420689914"&gt;152&lt;/key&gt;&lt;/foreign-keys&gt;&lt;ref-type name="Journal Article"&gt;17&lt;/ref-type&gt;&lt;contributors&gt;&lt;authors&gt;&lt;author&gt;Sell, Katie&lt;/author&gt;&lt;author&gt;Hainline, Brian&lt;/author&gt;&lt;author&gt;Yorio, Michael&lt;/author&gt;&lt;author&gt;Kovacs, Mark&lt;/author&gt;&lt;/authors&gt;&lt;/contributors&gt;&lt;titles&gt;&lt;title&gt;Injury trend analysis from the US Open Tennis Championships between 1994 and 2009&lt;/title&gt;&lt;secondary-title&gt;British journal of sports medicine&lt;/secondary-title&gt;&lt;/titles&gt;&lt;periodical&gt;&lt;full-title&gt;British journal of sports medicine&lt;/full-title&gt;&lt;/periodical&gt;&lt;pages&gt;bjsports-2012-091175&lt;/pages&gt;&lt;dates&gt;&lt;year&gt;2012&lt;/year&gt;&lt;/dates&gt;&lt;isbn&gt;1473-0480&lt;/isbn&gt;&lt;urls&gt;&lt;/urls&gt;&lt;/record&gt;&lt;/Cite&gt;&lt;/EndNote&gt;</w:instrText>
      </w:r>
      <w:r w:rsidR="002376E6">
        <w:rPr>
          <w:rFonts w:eastAsia="MS Gothic"/>
          <w:color w:val="000000"/>
        </w:rPr>
        <w:fldChar w:fldCharType="separate"/>
      </w:r>
      <w:r w:rsidR="00AE02CA">
        <w:rPr>
          <w:rFonts w:eastAsia="MS Gothic"/>
          <w:noProof/>
          <w:color w:val="000000"/>
        </w:rPr>
        <w:t>[</w:t>
      </w:r>
      <w:hyperlink w:anchor="_ENREF_2" w:tooltip="Sell, 2012 #152" w:history="1">
        <w:r w:rsidR="00AE02CA">
          <w:rPr>
            <w:rFonts w:eastAsia="MS Gothic"/>
            <w:noProof/>
            <w:color w:val="000000"/>
          </w:rPr>
          <w:t>2</w:t>
        </w:r>
      </w:hyperlink>
      <w:r w:rsidR="00AE02CA">
        <w:rPr>
          <w:rFonts w:eastAsia="MS Gothic"/>
          <w:noProof/>
          <w:color w:val="000000"/>
        </w:rPr>
        <w:t>]</w:t>
      </w:r>
      <w:r w:rsidR="002376E6">
        <w:rPr>
          <w:rFonts w:eastAsia="MS Gothic"/>
          <w:color w:val="000000"/>
        </w:rPr>
        <w:fldChar w:fldCharType="end"/>
      </w:r>
      <w:r>
        <w:rPr>
          <w:rFonts w:eastAsia="MS Gothic"/>
          <w:color w:val="000000"/>
        </w:rPr>
        <w:t xml:space="preserve">. </w:t>
      </w:r>
      <w:r w:rsidR="00DF2CCF">
        <w:rPr>
          <w:rFonts w:eastAsia="MS Gothic"/>
          <w:color w:val="000000"/>
        </w:rPr>
        <w:t>Within this tournament</w:t>
      </w:r>
      <w:r w:rsidR="00D355D5">
        <w:rPr>
          <w:rFonts w:eastAsia="MS Gothic"/>
          <w:color w:val="000000"/>
        </w:rPr>
        <w:t>,</w:t>
      </w:r>
      <w:r w:rsidR="00DF2CCF">
        <w:rPr>
          <w:rFonts w:eastAsia="MS Gothic"/>
          <w:color w:val="000000"/>
        </w:rPr>
        <w:t xml:space="preserve"> </w:t>
      </w:r>
      <w:r w:rsidR="00DF2CCF">
        <w:t xml:space="preserve">a </w:t>
      </w:r>
      <w:r>
        <w:t xml:space="preserve">higher injury incidence existed among </w:t>
      </w:r>
      <w:r>
        <w:lastRenderedPageBreak/>
        <w:t xml:space="preserve">male than female players (44.0 vs 32.2 per 1,000 match exposures), which </w:t>
      </w:r>
      <w:r>
        <w:rPr>
          <w:rFonts w:eastAsia="MS Gothic"/>
          <w:color w:val="000000"/>
        </w:rPr>
        <w:t xml:space="preserve">directly contrasts with Wimbledon’s </w:t>
      </w:r>
      <w:r w:rsidR="00B2117E">
        <w:rPr>
          <w:rFonts w:eastAsia="MS Gothic"/>
          <w:color w:val="000000"/>
        </w:rPr>
        <w:t>sex</w:t>
      </w:r>
      <w:r>
        <w:rPr>
          <w:rFonts w:eastAsia="MS Gothic"/>
          <w:color w:val="000000"/>
        </w:rPr>
        <w:t>-based injury profile</w:t>
      </w:r>
      <w:r w:rsidR="002376E6">
        <w:rPr>
          <w:rFonts w:eastAsia="MS Gothic"/>
          <w:color w:val="000000"/>
        </w:rPr>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AE02CA">
        <w:rPr>
          <w:rFonts w:eastAsia="MS Gothic"/>
          <w:color w:val="000000"/>
        </w:rPr>
        <w:instrText xml:space="preserve"> ADDIN EN.CITE </w:instrText>
      </w:r>
      <w:r w:rsidR="00AE02CA">
        <w:rPr>
          <w:rFonts w:eastAsia="MS Gothic"/>
          <w:color w:val="000000"/>
        </w:rPr>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AE02CA">
        <w:rPr>
          <w:rFonts w:eastAsia="MS Gothic"/>
          <w:color w:val="000000"/>
        </w:rPr>
        <w:instrText xml:space="preserve"> ADDIN EN.CITE.DATA </w:instrText>
      </w:r>
      <w:r w:rsidR="00AE02CA">
        <w:rPr>
          <w:rFonts w:eastAsia="MS Gothic"/>
          <w:color w:val="000000"/>
        </w:rPr>
      </w:r>
      <w:r w:rsidR="00AE02CA">
        <w:rPr>
          <w:rFonts w:eastAsia="MS Gothic"/>
          <w:color w:val="000000"/>
        </w:rPr>
        <w:fldChar w:fldCharType="end"/>
      </w:r>
      <w:r w:rsidR="002376E6">
        <w:rPr>
          <w:rFonts w:eastAsia="MS Gothic"/>
          <w:color w:val="000000"/>
        </w:rPr>
      </w:r>
      <w:r w:rsidR="002376E6">
        <w:rPr>
          <w:rFonts w:eastAsia="MS Gothic"/>
          <w:color w:val="000000"/>
        </w:rPr>
        <w:fldChar w:fldCharType="separate"/>
      </w:r>
      <w:r w:rsidR="00AE02CA">
        <w:rPr>
          <w:rFonts w:eastAsia="MS Gothic"/>
          <w:noProof/>
          <w:color w:val="000000"/>
        </w:rPr>
        <w:t>[</w:t>
      </w:r>
      <w:hyperlink w:anchor="_ENREF_1" w:tooltip="McCurdie, 2016 #427" w:history="1">
        <w:r w:rsidR="00AE02CA">
          <w:rPr>
            <w:rFonts w:eastAsia="MS Gothic"/>
            <w:noProof/>
            <w:color w:val="000000"/>
          </w:rPr>
          <w:t>1</w:t>
        </w:r>
      </w:hyperlink>
      <w:r w:rsidR="00AE02CA">
        <w:rPr>
          <w:rFonts w:eastAsia="MS Gothic"/>
          <w:noProof/>
          <w:color w:val="000000"/>
        </w:rPr>
        <w:t xml:space="preserve">, </w:t>
      </w:r>
      <w:hyperlink w:anchor="_ENREF_2" w:tooltip="Sell, 2012 #152" w:history="1">
        <w:r w:rsidR="00AE02CA">
          <w:rPr>
            <w:rFonts w:eastAsia="MS Gothic"/>
            <w:noProof/>
            <w:color w:val="000000"/>
          </w:rPr>
          <w:t>2</w:t>
        </w:r>
      </w:hyperlink>
      <w:r w:rsidR="00AE02CA">
        <w:rPr>
          <w:rFonts w:eastAsia="MS Gothic"/>
          <w:noProof/>
          <w:color w:val="000000"/>
        </w:rPr>
        <w:t>]</w:t>
      </w:r>
      <w:r w:rsidR="002376E6">
        <w:rPr>
          <w:rFonts w:eastAsia="MS Gothic"/>
          <w:color w:val="000000"/>
        </w:rPr>
        <w:fldChar w:fldCharType="end"/>
      </w:r>
      <w:r>
        <w:rPr>
          <w:rFonts w:eastAsia="MS Gothic"/>
          <w:color w:val="000000"/>
        </w:rPr>
        <w:t>. Further, lower limb injuries were three</w:t>
      </w:r>
      <w:r w:rsidR="00097069">
        <w:rPr>
          <w:rFonts w:eastAsia="MS Gothic"/>
          <w:color w:val="000000"/>
        </w:rPr>
        <w:t xml:space="preserve"> and 1.3</w:t>
      </w:r>
      <w:r>
        <w:rPr>
          <w:rFonts w:eastAsia="MS Gothic"/>
          <w:color w:val="000000"/>
        </w:rPr>
        <w:t xml:space="preserve"> times more prominent than trunk injuries and upper limb injuries</w:t>
      </w:r>
      <w:r w:rsidR="00097069">
        <w:rPr>
          <w:rFonts w:eastAsia="MS Gothic"/>
          <w:color w:val="000000"/>
        </w:rPr>
        <w:t xml:space="preserve"> respectively</w:t>
      </w:r>
      <w:r w:rsidR="007A0D2E">
        <w:rPr>
          <w:rFonts w:eastAsia="MS Gothic"/>
          <w:color w:val="000000"/>
        </w:rPr>
        <w:t>,</w:t>
      </w:r>
      <w:r>
        <w:rPr>
          <w:rFonts w:eastAsia="MS Gothic"/>
          <w:color w:val="000000"/>
        </w:rPr>
        <w:t xml:space="preserve"> </w:t>
      </w:r>
      <w:r w:rsidR="00DF2CCF">
        <w:rPr>
          <w:rFonts w:eastAsia="MS Gothic"/>
          <w:color w:val="000000"/>
        </w:rPr>
        <w:t>despite similar</w:t>
      </w:r>
      <w:r>
        <w:rPr>
          <w:rFonts w:eastAsia="MS Gothic"/>
          <w:color w:val="000000"/>
        </w:rPr>
        <w:t xml:space="preserve"> prevalence of acute injuries </w:t>
      </w:r>
      <w:r w:rsidR="00DF2CCF">
        <w:rPr>
          <w:rFonts w:eastAsia="MS Gothic"/>
          <w:color w:val="000000"/>
        </w:rPr>
        <w:t xml:space="preserve">as </w:t>
      </w:r>
      <w:r>
        <w:rPr>
          <w:rFonts w:eastAsia="MS Gothic"/>
          <w:color w:val="000000"/>
        </w:rPr>
        <w:t>rep</w:t>
      </w:r>
      <w:r w:rsidR="00D355D5">
        <w:rPr>
          <w:rFonts w:eastAsia="MS Gothic"/>
          <w:color w:val="000000"/>
        </w:rPr>
        <w:t>o</w:t>
      </w:r>
      <w:r>
        <w:rPr>
          <w:rFonts w:eastAsia="MS Gothic"/>
          <w:color w:val="000000"/>
        </w:rPr>
        <w:t>rted at Wimbledon</w:t>
      </w:r>
      <w:r w:rsidR="002376E6">
        <w:rPr>
          <w:rFonts w:eastAsia="MS Gothic"/>
          <w:color w:val="000000"/>
        </w:rPr>
        <w:fldChar w:fldCharType="begin"/>
      </w:r>
      <w:r w:rsidR="00AE02CA">
        <w:rPr>
          <w:rFonts w:eastAsia="MS Gothic"/>
          <w:color w:val="000000"/>
        </w:rPr>
        <w:instrText xml:space="preserve"> ADDIN EN.CITE &lt;EndNote&gt;&lt;Cite&gt;&lt;Author&gt;McCurdie&lt;/Author&gt;&lt;Year&gt;2016&lt;/Year&gt;&lt;RecNum&gt;427&lt;/RecNum&gt;&lt;DisplayText&gt;[1]&lt;/DisplayText&gt;&lt;record&gt;&lt;rec-number&gt;427&lt;/rec-number&gt;&lt;foreign-keys&gt;&lt;key app="EN" db-id="v2z99wx07srzpae0exnvvs00asvr5xxx2efw" timestamp="1458089116"&gt;427&lt;/key&gt;&lt;/foreign-keys&gt;&lt;ref-type name="Journal Article"&gt;17&lt;/ref-type&gt;&lt;contributors&gt;&lt;authors&gt;&lt;author&gt;McCurdie, I.&lt;/author&gt;&lt;author&gt;Smith, S.&lt;/author&gt;&lt;author&gt;Bell, P. H.&lt;/author&gt;&lt;author&gt;Batt, M. E.&lt;/author&gt;&lt;/authors&gt;&lt;/contributors&gt;&lt;auth-address&gt;Defence Medical Rehabilitation Centre (DMRC) Headley Court, Epsom, Surrey, UK All England Lawn Tennis Club, London, UK.&amp;#xD;Queens Medical Centre, Nottingham, UK.&amp;#xD;All England Lawn Tennis Club, London, UK The Paddocks Clinic, Princes Risborough, UK.&amp;#xD;The Paddocks Clinic, Princes Risborough, UK Nottingham University Hospitals NHS Trust, Nottingham, UK Arthritis Research UK Centre Sport, Exercise and Osteoarthritis, Nottingham, UK.&lt;/auth-address&gt;&lt;titles&gt;&lt;title&gt;Tennis injury data from The Championships, Wimbledon, from 2003 to 2012&lt;/title&gt;&lt;secondary-title&gt;Br J Sports Med&lt;/secondary-title&gt;&lt;alt-title&gt;British journal of sports medicine&lt;/alt-title&gt;&lt;/titles&gt;&lt;alt-periodical&gt;&lt;full-title&gt;British journal of sports medicine&lt;/full-title&gt;&lt;/alt-periodical&gt;&lt;edition&gt;2016/01/13&lt;/edition&gt;&lt;keywords&gt;&lt;keyword&gt;Cohort study&lt;/keyword&gt;&lt;keyword&gt;Injury&lt;/keyword&gt;&lt;keyword&gt;Retrospective&lt;/keyword&gt;&lt;keyword&gt;Tennis&lt;/keyword&gt;&lt;/keywords&gt;&lt;dates&gt;&lt;year&gt;2016&lt;/year&gt;&lt;pub-dates&gt;&lt;date&gt;Jan 11&lt;/date&gt;&lt;/pub-dates&gt;&lt;/dates&gt;&lt;isbn&gt;0306-3674&lt;/isbn&gt;&lt;accession-num&gt;26755678&lt;/accession-num&gt;&lt;urls&gt;&lt;/urls&gt;&lt;electronic-resource-num&gt;10.1136/bjsports-2015-095552&lt;/electronic-resource-num&gt;&lt;remote-database-provider&gt;NLM&lt;/remote-database-provider&gt;&lt;language&gt;Eng&lt;/language&gt;&lt;/record&gt;&lt;/Cite&gt;&lt;/EndNote&gt;</w:instrText>
      </w:r>
      <w:r w:rsidR="002376E6">
        <w:rPr>
          <w:rFonts w:eastAsia="MS Gothic"/>
          <w:color w:val="000000"/>
        </w:rPr>
        <w:fldChar w:fldCharType="separate"/>
      </w:r>
      <w:r w:rsidR="00AE02CA">
        <w:rPr>
          <w:rFonts w:eastAsia="MS Gothic"/>
          <w:noProof/>
          <w:color w:val="000000"/>
        </w:rPr>
        <w:t>[</w:t>
      </w:r>
      <w:hyperlink w:anchor="_ENREF_1" w:tooltip="McCurdie, 2016 #427" w:history="1">
        <w:r w:rsidR="00AE02CA">
          <w:rPr>
            <w:rFonts w:eastAsia="MS Gothic"/>
            <w:noProof/>
            <w:color w:val="000000"/>
          </w:rPr>
          <w:t>1</w:t>
        </w:r>
      </w:hyperlink>
      <w:r w:rsidR="00AE02CA">
        <w:rPr>
          <w:rFonts w:eastAsia="MS Gothic"/>
          <w:noProof/>
          <w:color w:val="000000"/>
        </w:rPr>
        <w:t>]</w:t>
      </w:r>
      <w:r w:rsidR="002376E6">
        <w:rPr>
          <w:rFonts w:eastAsia="MS Gothic"/>
          <w:color w:val="000000"/>
        </w:rPr>
        <w:fldChar w:fldCharType="end"/>
      </w:r>
      <w:r>
        <w:rPr>
          <w:rFonts w:eastAsia="MS Gothic"/>
          <w:color w:val="000000"/>
        </w:rPr>
        <w:t xml:space="preserve">. Collectively, these data highlight the variation in the injury profile of respective Grand Slam tennis events. </w:t>
      </w:r>
    </w:p>
    <w:p w14:paraId="01EEDF9F" w14:textId="77777777" w:rsidR="006F5C0A" w:rsidRDefault="006F5C0A">
      <w:pPr>
        <w:spacing w:line="480" w:lineRule="auto"/>
      </w:pPr>
    </w:p>
    <w:p w14:paraId="440585BE" w14:textId="4C0CB5DC" w:rsidR="006F5C0A" w:rsidRDefault="00872BD5">
      <w:pPr>
        <w:spacing w:line="480" w:lineRule="auto"/>
      </w:pPr>
      <w:r>
        <w:lastRenderedPageBreak/>
        <w:t>I</w:t>
      </w:r>
      <w:r w:rsidR="005226B0">
        <w:t>njury incidence in tennis has been described in the context of match exposures</w:t>
      </w:r>
      <w:r w:rsidR="00700C5A">
        <w:fldChar w:fldCharType="begin"/>
      </w:r>
      <w:r w:rsidR="00AE02CA">
        <w:instrText xml:space="preserve"> ADDIN EN.CITE &lt;EndNote&gt;&lt;Cite&gt;&lt;Author&gt;Sell&lt;/Author&gt;&lt;Year&gt;2012&lt;/Year&gt;&lt;RecNum&gt;152&lt;/RecNum&gt;&lt;DisplayText&gt;[2]&lt;/DisplayText&gt;&lt;record&gt;&lt;rec-number&gt;152&lt;/rec-number&gt;&lt;foreign-keys&gt;&lt;key app="EN" db-id="v2z99wx07srzpae0exnvvs00asvr5xxx2efw" timestamp="1420689914"&gt;152&lt;/key&gt;&lt;/foreign-keys&gt;&lt;ref-type name="Journal Article"&gt;17&lt;/ref-type&gt;&lt;contributors&gt;&lt;authors&gt;&lt;author&gt;Sell, Katie&lt;/author&gt;&lt;author&gt;Hainline, Brian&lt;/author&gt;&lt;author&gt;Yorio, Michael&lt;/author&gt;&lt;author&gt;Kovacs, Mark&lt;/author&gt;&lt;/authors&gt;&lt;/contributors&gt;&lt;titles&gt;&lt;title&gt;Injury trend analysis from the US Open Tennis Championships between 1994 and 2009&lt;/title&gt;&lt;secondary-title&gt;British journal of sports medicine&lt;/secondary-title&gt;&lt;/titles&gt;&lt;periodical&gt;&lt;full-title&gt;British journal of sports medicine&lt;/full-title&gt;&lt;/periodical&gt;&lt;pages&gt;bjsports-2012-091175&lt;/pages&gt;&lt;dates&gt;&lt;year&gt;2012&lt;/year&gt;&lt;/dates&gt;&lt;isbn&gt;1473-0480&lt;/isbn&gt;&lt;urls&gt;&lt;/urls&gt;&lt;/record&gt;&lt;/Cite&gt;&lt;/EndNote&gt;</w:instrText>
      </w:r>
      <w:r w:rsidR="00700C5A">
        <w:fldChar w:fldCharType="separate"/>
      </w:r>
      <w:r w:rsidR="00AE02CA">
        <w:rPr>
          <w:noProof/>
        </w:rPr>
        <w:t>[</w:t>
      </w:r>
      <w:hyperlink w:anchor="_ENREF_2" w:tooltip="Sell, 2012 #152" w:history="1">
        <w:r w:rsidR="00AE02CA">
          <w:rPr>
            <w:noProof/>
          </w:rPr>
          <w:t>2</w:t>
        </w:r>
      </w:hyperlink>
      <w:r w:rsidR="00AE02CA">
        <w:rPr>
          <w:noProof/>
        </w:rPr>
        <w:t>]</w:t>
      </w:r>
      <w:r w:rsidR="00700C5A">
        <w:fldChar w:fldCharType="end"/>
      </w:r>
      <w:r w:rsidR="005226B0">
        <w:t>, tennis hours</w:t>
      </w:r>
      <w:r w:rsidR="00700C5A">
        <w:fldChar w:fldCharType="begin"/>
      </w:r>
      <w:r w:rsidR="00AE02CA">
        <w:instrText xml:space="preserve"> ADDIN EN.CITE &lt;EndNote&gt;&lt;Cite&gt;&lt;Author&gt;Hjelm&lt;/Author&gt;&lt;Year&gt;2010&lt;/Year&gt;&lt;RecNum&gt;160&lt;/RecNum&gt;&lt;DisplayText&gt;[5, 6]&lt;/DisplayText&gt;&lt;record&gt;&lt;rec-number&gt;160&lt;/rec-number&gt;&lt;foreign-keys&gt;&lt;key app="EN" db-id="v2z99wx07srzpae0exnvvs00asvr5xxx2efw" timestamp="1420690651"&gt;160&lt;/key&gt;&lt;/foreign-keys&gt;&lt;ref-type name="Journal Article"&gt;17&lt;/ref-type&gt;&lt;contributors&gt;&lt;authors&gt;&lt;author&gt;Hjelm, Nina&lt;/author&gt;&lt;author&gt;Werner, Suzanne&lt;/author&gt;&lt;author&gt;Renstrom, Per&lt;/author&gt;&lt;/authors&gt;&lt;/contributors&gt;&lt;titles&gt;&lt;title&gt;Injury profile in junior tennis players: a prospective two year study&lt;/title&gt;&lt;secondary-title&gt;Knee surgery, sports traumatology, arthroscopy&lt;/secondary-title&gt;&lt;/titles&gt;&lt;periodical&gt;&lt;full-title&gt;Knee surgery, sports traumatology, arthroscopy&lt;/full-title&gt;&lt;/periodical&gt;&lt;pages&gt;845-850&lt;/pages&gt;&lt;volume&gt;18&lt;/volume&gt;&lt;number&gt;6&lt;/number&gt;&lt;dates&gt;&lt;year&gt;2010&lt;/year&gt;&lt;/dates&gt;&lt;isbn&gt;0942-2056&lt;/isbn&gt;&lt;urls&gt;&lt;/urls&gt;&lt;/record&gt;&lt;/Cite&gt;&lt;Cite&gt;&lt;Author&gt;Winge&lt;/Author&gt;&lt;Year&gt;1989&lt;/Year&gt;&lt;RecNum&gt;153&lt;/RecNum&gt;&lt;record&gt;&lt;rec-number&gt;153&lt;/rec-number&gt;&lt;foreign-keys&gt;&lt;key app="EN" db-id="v2z99wx07srzpae0exnvvs00asvr5xxx2efw" timestamp="1420689981"&gt;153&lt;/key&gt;&lt;/foreign-keys&gt;&lt;ref-type name="Journal Article"&gt;17&lt;/ref-type&gt;&lt;contributors&gt;&lt;authors&gt;&lt;author&gt;Winge, S&lt;/author&gt;&lt;author&gt;Jørgensen, U&lt;/author&gt;&lt;author&gt;Nielsen, A Lassen&lt;/author&gt;&lt;/authors&gt;&lt;/contributors&gt;&lt;titles&gt;&lt;title&gt;Epidemiology of Injuries in Danish Championship Tennis*&lt;/title&gt;&lt;secondary-title&gt;International journal of sports medicine&lt;/secondary-title&gt;&lt;/titles&gt;&lt;periodical&gt;&lt;full-title&gt;International journal of sports medicine&lt;/full-title&gt;&lt;/periodical&gt;&lt;pages&gt;368-371&lt;/pages&gt;&lt;volume&gt;10&lt;/volume&gt;&lt;number&gt;05&lt;/number&gt;&lt;dates&gt;&lt;year&gt;1989&lt;/year&gt;&lt;/dates&gt;&lt;isbn&gt;0172-4622&lt;/isbn&gt;&lt;urls&gt;&lt;/urls&gt;&lt;/record&gt;&lt;/Cite&gt;&lt;/EndNote&gt;</w:instrText>
      </w:r>
      <w:r w:rsidR="00700C5A">
        <w:fldChar w:fldCharType="separate"/>
      </w:r>
      <w:r w:rsidR="00AE02CA">
        <w:rPr>
          <w:noProof/>
        </w:rPr>
        <w:t>[</w:t>
      </w:r>
      <w:hyperlink w:anchor="_ENREF_5" w:tooltip="Hjelm, 2010 #160" w:history="1">
        <w:r w:rsidR="00AE02CA">
          <w:rPr>
            <w:noProof/>
          </w:rPr>
          <w:t>5</w:t>
        </w:r>
      </w:hyperlink>
      <w:r w:rsidR="00AE02CA">
        <w:rPr>
          <w:noProof/>
        </w:rPr>
        <w:t xml:space="preserve">, </w:t>
      </w:r>
      <w:hyperlink w:anchor="_ENREF_6" w:tooltip="Winge, 1989 #153" w:history="1">
        <w:r w:rsidR="00AE02CA">
          <w:rPr>
            <w:noProof/>
          </w:rPr>
          <w:t>6</w:t>
        </w:r>
      </w:hyperlink>
      <w:r w:rsidR="00AE02CA">
        <w:rPr>
          <w:noProof/>
        </w:rPr>
        <w:t>]</w:t>
      </w:r>
      <w:r w:rsidR="00700C5A">
        <w:fldChar w:fldCharType="end"/>
      </w:r>
      <w:r w:rsidR="005226B0">
        <w:t xml:space="preserve"> and per 100 tennis players</w:t>
      </w:r>
      <w:r w:rsidR="00700C5A">
        <w:fldChar w:fldCharType="begin"/>
      </w:r>
      <w:r w:rsidR="00AE02CA">
        <w:instrText xml:space="preserve"> ADDIN EN.CITE &lt;EndNote&gt;&lt;Cite&gt;&lt;Author&gt;Hutchinson&lt;/Author&gt;&lt;Year&gt;1995&lt;/Year&gt;&lt;RecNum&gt;147&lt;/RecNum&gt;&lt;DisplayText&gt;[7]&lt;/DisplayText&gt;&lt;record&gt;&lt;rec-number&gt;147&lt;/rec-number&gt;&lt;foreign-keys&gt;&lt;key app="EN" db-id="v2z99wx07srzpae0exnvvs00asvr5xxx2efw" timestamp="1420689590"&gt;147&lt;/key&gt;&lt;/foreign-keys&gt;&lt;ref-type name="Journal Article"&gt;17&lt;/ref-type&gt;&lt;contributors&gt;&lt;authors&gt;&lt;author&gt;Hutchinson, MARK R&lt;/author&gt;&lt;author&gt;Laprade, ROBERT F&lt;/author&gt;&lt;author&gt;Burnett, QUINTER M&lt;/author&gt;&lt;author&gt;Moss, ROBERT&lt;/author&gt;&lt;author&gt;Terpstra, JEFF&lt;/author&gt;&lt;/authors&gt;&lt;/contributors&gt;&lt;titles&gt;&lt;title&gt;Injury surveillance at the USTA Boys&amp;apos; Tennis Championships: a 6-yr study&lt;/title&gt;&lt;secondary-title&gt;Medicine and science in sports and exercise&lt;/secondary-title&gt;&lt;/titles&gt;&lt;periodical&gt;&lt;full-title&gt;Medicine and science in sports and exercise&lt;/full-title&gt;&lt;/periodical&gt;&lt;pages&gt;826-831&lt;/pages&gt;&lt;volume&gt;27&lt;/volume&gt;&lt;number&gt;6&lt;/number&gt;&lt;dates&gt;&lt;year&gt;1995&lt;/year&gt;&lt;/dates&gt;&lt;isbn&gt;0195-9131&lt;/isbn&gt;&lt;urls&gt;&lt;/urls&gt;&lt;/record&gt;&lt;/Cite&gt;&lt;/EndNote&gt;</w:instrText>
      </w:r>
      <w:r w:rsidR="00700C5A">
        <w:fldChar w:fldCharType="separate"/>
      </w:r>
      <w:r w:rsidR="00AE02CA">
        <w:rPr>
          <w:noProof/>
        </w:rPr>
        <w:t>[</w:t>
      </w:r>
      <w:hyperlink w:anchor="_ENREF_7" w:tooltip="Hutchinson, 1995 #147" w:history="1">
        <w:r w:rsidR="00AE02CA">
          <w:rPr>
            <w:noProof/>
          </w:rPr>
          <w:t>7</w:t>
        </w:r>
      </w:hyperlink>
      <w:r w:rsidR="00AE02CA">
        <w:rPr>
          <w:noProof/>
        </w:rPr>
        <w:t>]</w:t>
      </w:r>
      <w:r w:rsidR="00700C5A">
        <w:fldChar w:fldCharType="end"/>
      </w:r>
      <w:r w:rsidR="00673201">
        <w:t>.</w:t>
      </w:r>
      <w:r w:rsidR="007322F9">
        <w:t xml:space="preserve"> </w:t>
      </w:r>
      <w:r w:rsidR="005226B0">
        <w:t xml:space="preserve">These disparate methods complicate the comparison of injury rates between </w:t>
      </w:r>
      <w:r w:rsidR="00687A5F">
        <w:t>tennis events</w:t>
      </w:r>
      <w:r w:rsidR="005226B0">
        <w:t xml:space="preserve">. Given </w:t>
      </w:r>
      <w:r w:rsidR="00687A5F">
        <w:t xml:space="preserve">reporting </w:t>
      </w:r>
      <w:r w:rsidR="005226B0">
        <w:t xml:space="preserve">differences, a standard method of comparison would be useful. </w:t>
      </w:r>
      <w:r w:rsidR="00687A5F">
        <w:t>This</w:t>
      </w:r>
      <w:r w:rsidR="005226B0">
        <w:t xml:space="preserve"> would also assist with comparisons between </w:t>
      </w:r>
      <w:r w:rsidR="00B2117E">
        <w:t>sexes</w:t>
      </w:r>
      <w:r w:rsidR="005226B0">
        <w:t xml:space="preserve"> given that males play the best of five</w:t>
      </w:r>
      <w:r w:rsidR="00687A5F">
        <w:t>-</w:t>
      </w:r>
      <w:r w:rsidR="005226B0">
        <w:t>set Grand Slam singles tennis and females</w:t>
      </w:r>
      <w:r w:rsidR="00687A5F">
        <w:t>,</w:t>
      </w:r>
      <w:r w:rsidR="005226B0">
        <w:t xml:space="preserve"> the best of three</w:t>
      </w:r>
      <w:r w:rsidR="00687A5F">
        <w:t>-</w:t>
      </w:r>
      <w:r w:rsidR="005226B0">
        <w:t>sets</w:t>
      </w:r>
      <w:r w:rsidR="00D47E38">
        <w:fldChar w:fldCharType="begin"/>
      </w:r>
      <w:r w:rsidR="00AE02CA">
        <w:instrText xml:space="preserve"> ADDIN EN.CITE &lt;EndNote&gt;&lt;Cite&gt;&lt;Author&gt;Gescheit&lt;/Author&gt;&lt;Year&gt;2015&lt;/Year&gt;&lt;RecNum&gt;341&lt;/RecNum&gt;&lt;DisplayText&gt;[8]&lt;/DisplayText&gt;&lt;record&gt;&lt;rec-number&gt;341&lt;/rec-number&gt;&lt;foreign-keys&gt;&lt;key app="EN" db-id="v2z99wx07srzpae0exnvvs00asvr5xxx2efw" timestamp="1429661164"&gt;341&lt;/key&gt;&lt;/foreign-keys&gt;&lt;ref-type name="Journal Article"&gt;17&lt;/ref-type&gt;&lt;contributors&gt;&lt;authors&gt;&lt;author&gt;Gescheit, D. T&lt;/author&gt;&lt;author&gt;Cormack, S. J&lt;/author&gt;&lt;author&gt;Reid, M&lt;/author&gt;&lt;author&gt;Duffield, R&lt;/author&gt;&lt;/authors&gt;&lt;/contributors&gt;&lt;titles&gt;&lt;title&gt;Consecutive Days of Prolonged Tennis Matchplay: Performance, Physical, and Perceptual Responses in Trained Players&lt;/title&gt;&lt;secondary-title&gt;International journal of sports physiology and performance&lt;/secondary-title&gt;&lt;/titles&gt;&lt;periodical&gt;&lt;full-title&gt;International journal of sports physiology and performance&lt;/full-title&gt;&lt;/periodical&gt;&lt;pages&gt;913-920&lt;/pages&gt;&lt;volume&gt;10&lt;/volume&gt;&lt;number&gt;7&lt;/number&gt;&lt;dates&gt;&lt;year&gt;2015&lt;/year&gt;&lt;/dates&gt;&lt;isbn&gt;1555-0265&lt;/isbn&gt;&lt;urls&gt;&lt;/urls&gt;&lt;/record&gt;&lt;/Cite&gt;&lt;/EndNote&gt;</w:instrText>
      </w:r>
      <w:r w:rsidR="00D47E38">
        <w:fldChar w:fldCharType="separate"/>
      </w:r>
      <w:r w:rsidR="00AE02CA">
        <w:rPr>
          <w:noProof/>
        </w:rPr>
        <w:t>[</w:t>
      </w:r>
      <w:hyperlink w:anchor="_ENREF_8" w:tooltip="Gescheit, 2015 #341" w:history="1">
        <w:r w:rsidR="00AE02CA">
          <w:rPr>
            <w:noProof/>
          </w:rPr>
          <w:t>8</w:t>
        </w:r>
      </w:hyperlink>
      <w:r w:rsidR="00AE02CA">
        <w:rPr>
          <w:noProof/>
        </w:rPr>
        <w:t>]</w:t>
      </w:r>
      <w:r w:rsidR="00D47E38">
        <w:fldChar w:fldCharType="end"/>
      </w:r>
      <w:r w:rsidR="005226B0">
        <w:t xml:space="preserve">. For example, as described above, the mean women’s and men’s </w:t>
      </w:r>
      <w:r w:rsidR="005226B0">
        <w:lastRenderedPageBreak/>
        <w:t>injuries at the US open were 32.2 and 44.0 per 1,000 match exposures respectively</w:t>
      </w:r>
      <w:r w:rsidR="002E3EA6">
        <w:t xml:space="preserve">. However, </w:t>
      </w:r>
      <w:r w:rsidR="005226B0">
        <w:t xml:space="preserve">if normalised to sets, games or duration played, the </w:t>
      </w:r>
      <w:r w:rsidR="00B2117E">
        <w:t>sex</w:t>
      </w:r>
      <w:r w:rsidR="005226B0">
        <w:t xml:space="preserve"> comparison may </w:t>
      </w:r>
      <w:r w:rsidR="002E3EA6">
        <w:t xml:space="preserve">present </w:t>
      </w:r>
      <w:r w:rsidR="005226B0">
        <w:t>different conclusion</w:t>
      </w:r>
      <w:r w:rsidR="002E3EA6">
        <w:t>s</w:t>
      </w:r>
      <w:r w:rsidR="005226B0">
        <w:t xml:space="preserve">, and suggest alternate practical outcomes.  </w:t>
      </w:r>
    </w:p>
    <w:p w14:paraId="22E89F99" w14:textId="77777777" w:rsidR="006F5C0A" w:rsidRDefault="006F5C0A">
      <w:pPr>
        <w:spacing w:line="480" w:lineRule="auto"/>
      </w:pPr>
    </w:p>
    <w:p w14:paraId="513F6555" w14:textId="4FB855FA" w:rsidR="006F5C0A" w:rsidRDefault="005226B0">
      <w:pPr>
        <w:spacing w:line="480" w:lineRule="auto"/>
      </w:pPr>
      <w:r>
        <w:t xml:space="preserve">While the incidence of injury at tennis tournaments has been widely investigated, the </w:t>
      </w:r>
      <w:r w:rsidR="00373DCC">
        <w:t>in-event treatment frequency</w:t>
      </w:r>
      <w:r>
        <w:t xml:space="preserve"> of injuries</w:t>
      </w:r>
      <w:r w:rsidR="00687A5F">
        <w:t>,</w:t>
      </w:r>
      <w:r>
        <w:t xml:space="preserve"> through the number of </w:t>
      </w:r>
      <w:r>
        <w:lastRenderedPageBreak/>
        <w:t>practitioner consultations</w:t>
      </w:r>
      <w:r w:rsidR="00687A5F">
        <w:t>,</w:t>
      </w:r>
      <w:r>
        <w:t xml:space="preserve"> has seldom been </w:t>
      </w:r>
      <w:r w:rsidR="00CC7C26">
        <w:t>examined</w:t>
      </w:r>
      <w:r w:rsidR="00D47E38">
        <w:fldChar w:fldCharType="begin"/>
      </w:r>
      <w:r w:rsidR="00AE02CA">
        <w:instrText xml:space="preserve"> ADDIN EN.CITE &lt;EndNote&gt;&lt;Cite&gt;&lt;Author&gt;Silva&lt;/Author&gt;&lt;Year&gt;2003&lt;/Year&gt;&lt;RecNum&gt;149&lt;/RecNum&gt;&lt;DisplayText&gt;[9]&lt;/DisplayText&gt;&lt;record&gt;&lt;rec-number&gt;149&lt;/rec-number&gt;&lt;foreign-keys&gt;&lt;key app="EN" db-id="v2z99wx07srzpae0exnvvs00asvr5xxx2efw" timestamp="1420689710"&gt;149&lt;/key&gt;&lt;/foreign-keys&gt;&lt;ref-type name="Journal Article"&gt;17&lt;/ref-type&gt;&lt;contributors&gt;&lt;authors&gt;&lt;author&gt;Silva, RT&lt;/author&gt;&lt;author&gt;Takahashi, R&lt;/author&gt;&lt;author&gt;Berra, B&lt;/author&gt;&lt;author&gt;Cohen, M&lt;/author&gt;&lt;author&gt;Matsumoto, MH&lt;/author&gt;&lt;/authors&gt;&lt;/contributors&gt;&lt;titles&gt;&lt;title&gt;Medical assistance at the Brazilian juniors tennis circuit—a one-year prospective study&lt;/title&gt;&lt;secondary-title&gt;Journal of Science and Medicine in Sport&lt;/secondary-title&gt;&lt;/titles&gt;&lt;periodical&gt;&lt;full-title&gt;Journal of Science and Medicine in Sport&lt;/full-title&gt;&lt;/periodical&gt;&lt;pages&gt;14-18&lt;/pages&gt;&lt;volume&gt;6&lt;/volume&gt;&lt;number&gt;1&lt;/number&gt;&lt;dates&gt;&lt;year&gt;2003&lt;/year&gt;&lt;/dates&gt;&lt;isbn&gt;1440-2440&lt;/isbn&gt;&lt;urls&gt;&lt;/urls&gt;&lt;/record&gt;&lt;/Cite&gt;&lt;/EndNote&gt;</w:instrText>
      </w:r>
      <w:r w:rsidR="00D47E38">
        <w:fldChar w:fldCharType="separate"/>
      </w:r>
      <w:r w:rsidR="00AE02CA">
        <w:rPr>
          <w:noProof/>
        </w:rPr>
        <w:t>[</w:t>
      </w:r>
      <w:hyperlink w:anchor="_ENREF_9" w:tooltip="Silva, 2003 #149" w:history="1">
        <w:r w:rsidR="00AE02CA">
          <w:rPr>
            <w:noProof/>
          </w:rPr>
          <w:t>9</w:t>
        </w:r>
      </w:hyperlink>
      <w:r w:rsidR="00AE02CA">
        <w:rPr>
          <w:noProof/>
        </w:rPr>
        <w:t>]</w:t>
      </w:r>
      <w:r w:rsidR="00D47E38">
        <w:fldChar w:fldCharType="end"/>
      </w:r>
      <w:r>
        <w:t xml:space="preserve">. This type of information </w:t>
      </w:r>
      <w:r w:rsidR="00057B35">
        <w:t>may provide</w:t>
      </w:r>
      <w:r w:rsidR="00DF2CCF">
        <w:t xml:space="preserve"> insight </w:t>
      </w:r>
      <w:r w:rsidR="00687A5F">
        <w:t>in</w:t>
      </w:r>
      <w:r w:rsidR="00DF2CCF">
        <w:t>to the in-event medical resource burden</w:t>
      </w:r>
      <w:r w:rsidR="005F456E">
        <w:t xml:space="preserve"> of different types of injuries</w:t>
      </w:r>
      <w:r w:rsidR="00DF2CCF">
        <w:t xml:space="preserve">, and </w:t>
      </w:r>
      <w:r>
        <w:t>inform</w:t>
      </w:r>
      <w:r w:rsidR="00BC0575">
        <w:t xml:space="preserve"> tournament physician and physiotherapist</w:t>
      </w:r>
      <w:r>
        <w:t xml:space="preserve"> resourcing. Therefore, the aim of this study was to examine the epidemiology of injury at the Australian Open from 2011-2016 relative to </w:t>
      </w:r>
      <w:r w:rsidR="00B2117E">
        <w:t>sex</w:t>
      </w:r>
      <w:r>
        <w:t xml:space="preserve">, injury type and </w:t>
      </w:r>
      <w:r w:rsidR="00373DCC">
        <w:t>in-event treatment frequency</w:t>
      </w:r>
      <w:r>
        <w:t>.</w:t>
      </w:r>
    </w:p>
    <w:p w14:paraId="081F42ED" w14:textId="77777777" w:rsidR="006F5C0A" w:rsidRDefault="005226B0">
      <w:pPr>
        <w:spacing w:line="480" w:lineRule="auto"/>
      </w:pPr>
      <w:r>
        <w:t xml:space="preserve"> </w:t>
      </w:r>
    </w:p>
    <w:p w14:paraId="325737CB" w14:textId="77777777" w:rsidR="006F5C0A" w:rsidRDefault="005226B0">
      <w:pPr>
        <w:spacing w:line="480" w:lineRule="auto"/>
        <w:outlineLvl w:val="0"/>
        <w:rPr>
          <w:b/>
        </w:rPr>
      </w:pPr>
      <w:r>
        <w:rPr>
          <w:b/>
        </w:rPr>
        <w:t>Methods</w:t>
      </w:r>
    </w:p>
    <w:p w14:paraId="57043B57" w14:textId="13D15E7C" w:rsidR="006F5C0A" w:rsidRDefault="005226B0">
      <w:pPr>
        <w:spacing w:line="480" w:lineRule="auto"/>
      </w:pPr>
      <w:r>
        <w:lastRenderedPageBreak/>
        <w:t>Injury data from the 2011 to 2016 Australian Open Grand Slams were used for the analysis. A total of 1,170 unique injuries across the men’s and women’s qualifying and main draw singles, doubles and mixed doubles were included with a total of 3,120 players competing in these events across the six years. The mean male and female professional singles ranking of the singles cohorts were 84</w:t>
      </w:r>
      <w:r>
        <w:rPr>
          <w:rFonts w:eastAsia="MS Gothic"/>
          <w:color w:val="000000"/>
        </w:rPr>
        <w:t>±71 and 81±76 respectively.</w:t>
      </w:r>
      <w:r>
        <w:t xml:space="preserve"> Junior and wheelchair tennis player injuries were excluded</w:t>
      </w:r>
      <w:r w:rsidR="00E85760">
        <w:fldChar w:fldCharType="begin"/>
      </w:r>
      <w:r w:rsidR="00897950">
        <w:instrText xml:space="preserve"> ADDIN EN.CITE &lt;EndNote&gt;&lt;Cite&gt;&lt;Author&gt;Sell&lt;/Author&gt;&lt;Year&gt;2012&lt;/Year&gt;&lt;RecNum&gt;152&lt;/RecNum&gt;&lt;DisplayText&gt;[2]&lt;/DisplayText&gt;&lt;record&gt;&lt;rec-number&gt;152&lt;/rec-number&gt;&lt;foreign-keys&gt;&lt;key app="EN" db-id="v2z99wx07srzpae0exnvvs00asvr5xxx2efw" timestamp="1420689914"&gt;152&lt;/key&gt;&lt;/foreign-keys&gt;&lt;ref-type name="Journal Article"&gt;17&lt;/ref-type&gt;&lt;contributors&gt;&lt;authors&gt;&lt;author&gt;Sell, Katie&lt;/author&gt;&lt;author&gt;Hainline, Brian&lt;/author&gt;&lt;author&gt;Yorio, Michael&lt;/author&gt;&lt;author&gt;Kovacs, Mark&lt;/author&gt;&lt;/authors&gt;&lt;/contributors&gt;&lt;titles&gt;&lt;title&gt;Injury trend analysis from the US Open Tennis Championships between 1994 and 2009&lt;/title&gt;&lt;secondary-title&gt;British journal of sports medicine&lt;/secondary-title&gt;&lt;/titles&gt;&lt;periodical&gt;&lt;full-title&gt;British journal of sports medicine&lt;/full-title&gt;&lt;/periodical&gt;&lt;pages&gt;bjsports-2012-091175&lt;/pages&gt;&lt;dates&gt;&lt;year&gt;2012&lt;/year&gt;&lt;/dates&gt;&lt;isbn&gt;1473-0480&lt;/isbn&gt;&lt;urls&gt;&lt;/urls&gt;&lt;/record&gt;&lt;/Cite&gt;&lt;/EndNote&gt;</w:instrText>
      </w:r>
      <w:r w:rsidR="00E85760">
        <w:fldChar w:fldCharType="separate"/>
      </w:r>
      <w:r w:rsidR="00897950">
        <w:rPr>
          <w:noProof/>
        </w:rPr>
        <w:t>[</w:t>
      </w:r>
      <w:hyperlink w:anchor="_ENREF_2" w:tooltip="Sell, 2012 #152" w:history="1">
        <w:r w:rsidR="00AE02CA">
          <w:rPr>
            <w:noProof/>
          </w:rPr>
          <w:t>2</w:t>
        </w:r>
      </w:hyperlink>
      <w:r w:rsidR="00897950">
        <w:rPr>
          <w:noProof/>
        </w:rPr>
        <w:t>]</w:t>
      </w:r>
      <w:r w:rsidR="00E85760">
        <w:fldChar w:fldCharType="end"/>
      </w:r>
      <w:r>
        <w:t xml:space="preserve">. All consultations were entered and stored on secure, </w:t>
      </w:r>
      <w:r>
        <w:lastRenderedPageBreak/>
        <w:t>digital repositories. Consent for the use of data for research purposes was collected from all Australian Open players upon entry to the tournament, assuming player anonymity was maintained. The study was approved by the Australian Catholic University Human Ethics Committee.</w:t>
      </w:r>
    </w:p>
    <w:p w14:paraId="58655537" w14:textId="77777777" w:rsidR="006F5C0A" w:rsidRDefault="006F5C0A">
      <w:pPr>
        <w:spacing w:line="480" w:lineRule="auto"/>
      </w:pPr>
    </w:p>
    <w:p w14:paraId="42830C4D" w14:textId="77777777" w:rsidR="006F5C0A" w:rsidRDefault="005226B0">
      <w:pPr>
        <w:spacing w:line="480" w:lineRule="auto"/>
        <w:outlineLvl w:val="0"/>
        <w:rPr>
          <w:b/>
        </w:rPr>
      </w:pPr>
      <w:r>
        <w:rPr>
          <w:b/>
        </w:rPr>
        <w:t>Injury Definition and Classification</w:t>
      </w:r>
    </w:p>
    <w:p w14:paraId="387BC056" w14:textId="61A44095" w:rsidR="006F5C0A" w:rsidRDefault="005226B0">
      <w:pPr>
        <w:spacing w:line="480" w:lineRule="auto"/>
      </w:pPr>
      <w:r>
        <w:t xml:space="preserve">Injury incidence was defined as an injury that occurred during the Australian Open requiring a medical consultation by a tournament-appointed physician </w:t>
      </w:r>
      <w:r>
        <w:lastRenderedPageBreak/>
        <w:t xml:space="preserve">(omitting </w:t>
      </w:r>
      <w:r w:rsidR="007322F9">
        <w:t>consultations not related to injuries</w:t>
      </w:r>
      <w:r>
        <w:t>)</w:t>
      </w:r>
      <w:r w:rsidR="00706213">
        <w:fldChar w:fldCharType="begin"/>
      </w:r>
      <w:r w:rsidR="00897950">
        <w:instrText xml:space="preserve"> ADDIN EN.CITE &lt;EndNote&gt;&lt;Cite&gt;&lt;Author&gt;Sell&lt;/Author&gt;&lt;Year&gt;2012&lt;/Year&gt;&lt;RecNum&gt;152&lt;/RecNum&gt;&lt;DisplayText&gt;[2]&lt;/DisplayText&gt;&lt;record&gt;&lt;rec-number&gt;152&lt;/rec-number&gt;&lt;foreign-keys&gt;&lt;key app="EN" db-id="v2z99wx07srzpae0exnvvs00asvr5xxx2efw" timestamp="1420689914"&gt;152&lt;/key&gt;&lt;/foreign-keys&gt;&lt;ref-type name="Journal Article"&gt;17&lt;/ref-type&gt;&lt;contributors&gt;&lt;authors&gt;&lt;author&gt;Sell, Katie&lt;/author&gt;&lt;author&gt;Hainline, Brian&lt;/author&gt;&lt;author&gt;Yorio, Michael&lt;/author&gt;&lt;author&gt;Kovacs, Mark&lt;/author&gt;&lt;/authors&gt;&lt;/contributors&gt;&lt;titles&gt;&lt;title&gt;Injury trend analysis from the US Open Tennis Championships between 1994 and 2009&lt;/title&gt;&lt;secondary-title&gt;British journal of sports medicine&lt;/secondary-title&gt;&lt;/titles&gt;&lt;periodical&gt;&lt;full-title&gt;British journal of sports medicine&lt;/full-title&gt;&lt;/periodical&gt;&lt;pages&gt;bjsports-2012-091175&lt;/pages&gt;&lt;dates&gt;&lt;year&gt;2012&lt;/year&gt;&lt;/dates&gt;&lt;isbn&gt;1473-0480&lt;/isbn&gt;&lt;urls&gt;&lt;/urls&gt;&lt;/record&gt;&lt;/Cite&gt;&lt;/EndNote&gt;</w:instrText>
      </w:r>
      <w:r w:rsidR="00706213">
        <w:fldChar w:fldCharType="separate"/>
      </w:r>
      <w:r w:rsidR="00897950">
        <w:rPr>
          <w:noProof/>
        </w:rPr>
        <w:t>[</w:t>
      </w:r>
      <w:hyperlink w:anchor="_ENREF_2" w:tooltip="Sell, 2012 #152" w:history="1">
        <w:r w:rsidR="00AE02CA">
          <w:rPr>
            <w:noProof/>
          </w:rPr>
          <w:t>2</w:t>
        </w:r>
      </w:hyperlink>
      <w:r w:rsidR="00897950">
        <w:rPr>
          <w:noProof/>
        </w:rPr>
        <w:t>]</w:t>
      </w:r>
      <w:r w:rsidR="00706213">
        <w:fldChar w:fldCharType="end"/>
      </w:r>
      <w:r>
        <w:t xml:space="preserve">. </w:t>
      </w:r>
      <w:r w:rsidR="00A37072">
        <w:t xml:space="preserve">The number </w:t>
      </w:r>
      <w:r w:rsidR="00117F63">
        <w:t xml:space="preserve">of </w:t>
      </w:r>
      <w:r w:rsidR="00A37072">
        <w:t xml:space="preserve">tournament-appointment physicians </w:t>
      </w:r>
      <w:r w:rsidR="0033658B">
        <w:t xml:space="preserve">was </w:t>
      </w:r>
      <w:r w:rsidR="0064607A">
        <w:t>6</w:t>
      </w:r>
      <w:r w:rsidR="008E6C9F">
        <w:t xml:space="preserve"> </w:t>
      </w:r>
      <w:r w:rsidR="0033658B">
        <w:t>per year</w:t>
      </w:r>
      <w:r w:rsidR="00137695">
        <w:t xml:space="preserve"> </w:t>
      </w:r>
      <w:r w:rsidR="0033658B">
        <w:t xml:space="preserve">over the </w:t>
      </w:r>
      <w:r w:rsidR="0017418A">
        <w:t>6</w:t>
      </w:r>
      <w:r w:rsidR="00687A5F">
        <w:t>y</w:t>
      </w:r>
      <w:r w:rsidR="0033658B">
        <w:t xml:space="preserve"> collection period</w:t>
      </w:r>
      <w:r w:rsidR="00A37072">
        <w:t xml:space="preserve">. </w:t>
      </w:r>
      <w:r>
        <w:t>Injury data, classified by region and type as per the Orchard Sports Injury Classification System (OSICS)</w:t>
      </w:r>
      <w:r w:rsidR="00706213">
        <w:fldChar w:fldCharType="begin"/>
      </w:r>
      <w:r w:rsidR="00897950">
        <w:instrText xml:space="preserve"> ADDIN EN.CITE &lt;EndNote&gt;&lt;Cite&gt;&lt;Author&gt;Orchard&lt;/Author&gt;&lt;Year&gt;2011&lt;/Year&gt;&lt;RecNum&gt;411&lt;/RecNum&gt;&lt;DisplayText&gt;[10]&lt;/DisplayText&gt;&lt;record&gt;&lt;rec-number&gt;411&lt;/rec-number&gt;&lt;foreign-keys&gt;&lt;key app="EN" db-id="v2z99wx07srzpae0exnvvs00asvr5xxx2efw" timestamp="1436121405"&gt;411&lt;/key&gt;&lt;/foreign-keys&gt;&lt;ref-type name="Dataset"&gt;59&lt;/ref-type&gt;&lt;contributors&gt;&lt;authors&gt;&lt;author&gt;Orchard, JW&lt;/author&gt;&lt;/authors&gt;&lt;/contributors&gt;&lt;titles&gt;&lt;title&gt;OSICS Version 10&lt;/title&gt;&lt;/titles&gt;&lt;dates&gt;&lt;year&gt;2011&lt;/year&gt;&lt;/dates&gt;&lt;urls&gt;&lt;related-urls&gt;&lt;url&gt;http://injuryupdate.com.au/research/OSICS.htm&lt;/url&gt;&lt;/related-urls&gt;&lt;/urls&gt;&lt;/record&gt;&lt;/Cite&gt;&lt;/EndNote&gt;</w:instrText>
      </w:r>
      <w:r w:rsidR="00706213">
        <w:fldChar w:fldCharType="separate"/>
      </w:r>
      <w:r w:rsidR="00897950">
        <w:rPr>
          <w:noProof/>
        </w:rPr>
        <w:t>[</w:t>
      </w:r>
      <w:hyperlink w:anchor="_ENREF_10" w:tooltip="Orchard, 2011 #411" w:history="1">
        <w:r w:rsidR="00AE02CA">
          <w:rPr>
            <w:noProof/>
          </w:rPr>
          <w:t>10</w:t>
        </w:r>
      </w:hyperlink>
      <w:r w:rsidR="00897950">
        <w:rPr>
          <w:noProof/>
        </w:rPr>
        <w:t>]</w:t>
      </w:r>
      <w:r w:rsidR="00706213">
        <w:fldChar w:fldCharType="end"/>
      </w:r>
      <w:r>
        <w:t>, was obtained by exporting the relevant consultations. Injury type was limited to musculoskeletal injuries (omitting lacerations/abrasions and bruising/haematomas</w:t>
      </w:r>
      <w:r w:rsidR="007B08BC">
        <w:t>).</w:t>
      </w:r>
    </w:p>
    <w:p w14:paraId="7E8E7F53" w14:textId="77777777" w:rsidR="006F5C0A" w:rsidRDefault="006F5C0A">
      <w:pPr>
        <w:spacing w:line="480" w:lineRule="auto"/>
      </w:pPr>
    </w:p>
    <w:p w14:paraId="3BB79C6C" w14:textId="77777777" w:rsidR="006F5C0A" w:rsidRDefault="00971F33">
      <w:pPr>
        <w:spacing w:line="480" w:lineRule="auto"/>
        <w:outlineLvl w:val="0"/>
        <w:rPr>
          <w:b/>
        </w:rPr>
      </w:pPr>
      <w:r>
        <w:rPr>
          <w:b/>
        </w:rPr>
        <w:t>In-Event T</w:t>
      </w:r>
      <w:r w:rsidR="00373DCC">
        <w:rPr>
          <w:b/>
        </w:rPr>
        <w:t>reat</w:t>
      </w:r>
      <w:r>
        <w:rPr>
          <w:b/>
        </w:rPr>
        <w:t>ment F</w:t>
      </w:r>
      <w:r w:rsidR="00373DCC">
        <w:rPr>
          <w:b/>
        </w:rPr>
        <w:t>requency</w:t>
      </w:r>
      <w:r w:rsidR="005226B0">
        <w:rPr>
          <w:b/>
        </w:rPr>
        <w:t xml:space="preserve"> Definition</w:t>
      </w:r>
    </w:p>
    <w:p w14:paraId="0DF8AC16" w14:textId="6A7AD630" w:rsidR="006F5C0A" w:rsidRDefault="005226B0">
      <w:pPr>
        <w:spacing w:line="480" w:lineRule="auto"/>
      </w:pPr>
      <w:r>
        <w:lastRenderedPageBreak/>
        <w:t xml:space="preserve">The </w:t>
      </w:r>
      <w:r w:rsidR="00373DCC">
        <w:t>in-event treatment frequency</w:t>
      </w:r>
      <w:r>
        <w:t xml:space="preserve"> dataset contained injury information from 2013-2016 as previous W</w:t>
      </w:r>
      <w:r w:rsidR="00D20D65">
        <w:t xml:space="preserve">omen’s </w:t>
      </w:r>
      <w:r>
        <w:t>T</w:t>
      </w:r>
      <w:r w:rsidR="00D20D65">
        <w:t xml:space="preserve">ennis </w:t>
      </w:r>
      <w:r>
        <w:t>A</w:t>
      </w:r>
      <w:r w:rsidR="00D20D65">
        <w:t>ssociation (WTA)</w:t>
      </w:r>
      <w:r>
        <w:t xml:space="preserve"> and A</w:t>
      </w:r>
      <w:r w:rsidR="00D20D65">
        <w:t xml:space="preserve">ssociation of </w:t>
      </w:r>
      <w:r>
        <w:t>T</w:t>
      </w:r>
      <w:r w:rsidR="00D20D65">
        <w:t xml:space="preserve">ennis </w:t>
      </w:r>
      <w:r>
        <w:t>P</w:t>
      </w:r>
      <w:r w:rsidR="00D20D65">
        <w:t>rofessionals (ATP)</w:t>
      </w:r>
      <w:r>
        <w:t xml:space="preserve"> consultation data was not available. The </w:t>
      </w:r>
      <w:r w:rsidR="00373DCC">
        <w:t>in-event treatment frequency</w:t>
      </w:r>
      <w:r>
        <w:t xml:space="preserve"> of each injury region was defined as the mean number of initial and follow-up medical and physiotherapy consultations per injury. Physiotherapy consultations were performed by Tennis Australia-appointed physiotherapists, and physiotherapists from the </w:t>
      </w:r>
      <w:r w:rsidR="00D20D65">
        <w:t xml:space="preserve">ATP </w:t>
      </w:r>
      <w:r>
        <w:t xml:space="preserve"> and WTA</w:t>
      </w:r>
      <w:r w:rsidR="00D20D65">
        <w:t>.</w:t>
      </w:r>
    </w:p>
    <w:p w14:paraId="17EE7B19" w14:textId="77777777" w:rsidR="006F5C0A" w:rsidRDefault="006F5C0A">
      <w:pPr>
        <w:spacing w:line="480" w:lineRule="auto"/>
      </w:pPr>
    </w:p>
    <w:p w14:paraId="32F51CEA" w14:textId="60C1CB55" w:rsidR="006F5C0A" w:rsidRDefault="005226B0">
      <w:pPr>
        <w:spacing w:line="480" w:lineRule="auto"/>
      </w:pPr>
      <w:r>
        <w:lastRenderedPageBreak/>
        <w:t xml:space="preserve">De-identified, consultation </w:t>
      </w:r>
      <w:r w:rsidR="00971F33">
        <w:t>frequency</w:t>
      </w:r>
      <w:r>
        <w:t xml:space="preserve"> per injury from the ATP and WTA repositories were then migrated with the same data from the Tennis Australia repository. </w:t>
      </w:r>
      <w:r>
        <w:rPr>
          <w:rFonts w:eastAsiaTheme="minorHAnsi"/>
        </w:rPr>
        <w:t xml:space="preserve">The physiotherapy classification system used by Tennis Australia physiotherapists was the OSICS, whereas the </w:t>
      </w:r>
      <w:r>
        <w:t>ATP</w:t>
      </w:r>
      <w:r>
        <w:rPr>
          <w:rFonts w:eastAsiaTheme="minorHAnsi"/>
        </w:rPr>
        <w:t xml:space="preserve"> and </w:t>
      </w:r>
      <w:r>
        <w:t>WTA</w:t>
      </w:r>
      <w:r>
        <w:rPr>
          <w:rFonts w:eastAsiaTheme="minorHAnsi"/>
        </w:rPr>
        <w:t xml:space="preserve"> physiotherapists used the Sports Medicine Diagnostic Coding System (SMDCS)</w:t>
      </w:r>
      <w:r w:rsidR="00706213">
        <w:rPr>
          <w:rFonts w:eastAsiaTheme="minorHAnsi"/>
        </w:rPr>
        <w:fldChar w:fldCharType="begin"/>
      </w:r>
      <w:r w:rsidR="00897950">
        <w:rPr>
          <w:rFonts w:eastAsiaTheme="minorHAnsi"/>
        </w:rPr>
        <w:instrText xml:space="preserve"> ADDIN EN.CITE &lt;EndNote&gt;&lt;Cite&gt;&lt;Author&gt;Meeuwisse&lt;/Author&gt;&lt;Year&gt;1991&lt;/Year&gt;&lt;RecNum&gt;412&lt;/RecNum&gt;&lt;DisplayText&gt;[11]&lt;/DisplayText&gt;&lt;record&gt;&lt;rec-number&gt;412&lt;/rec-number&gt;&lt;foreign-keys&gt;&lt;key app="EN" db-id="v2z99wx07srzpae0exnvvs00asvr5xxx2efw" timestamp="1436121617"&gt;412&lt;/key&gt;&lt;/foreign-keys&gt;&lt;ref-type name="Dataset"&gt;59&lt;/ref-type&gt;&lt;contributors&gt;&lt;authors&gt;&lt;author&gt;Meeuwisse, WH&lt;/author&gt;&lt;author&gt;Wiley, JP&lt;/author&gt;&lt;/authors&gt;&lt;/contributors&gt;&lt;titles&gt;&lt;title&gt;Sport Medicine Diagnostic Coding System&lt;/title&gt;&lt;/titles&gt;&lt;dates&gt;&lt;year&gt;1991&lt;/year&gt;&lt;/dates&gt;&lt;urls&gt;&lt;/urls&gt;&lt;/record&gt;&lt;/Cite&gt;&lt;/EndNote&gt;</w:instrText>
      </w:r>
      <w:r w:rsidR="00706213">
        <w:rPr>
          <w:rFonts w:eastAsiaTheme="minorHAnsi"/>
        </w:rPr>
        <w:fldChar w:fldCharType="separate"/>
      </w:r>
      <w:r w:rsidR="00897950">
        <w:rPr>
          <w:rFonts w:eastAsiaTheme="minorHAnsi"/>
          <w:noProof/>
        </w:rPr>
        <w:t>[</w:t>
      </w:r>
      <w:hyperlink w:anchor="_ENREF_11" w:tooltip="Meeuwisse, 1991 #412" w:history="1">
        <w:r w:rsidR="00AE02CA">
          <w:rPr>
            <w:rFonts w:eastAsiaTheme="minorHAnsi"/>
            <w:noProof/>
          </w:rPr>
          <w:t>11</w:t>
        </w:r>
      </w:hyperlink>
      <w:r w:rsidR="00897950">
        <w:rPr>
          <w:rFonts w:eastAsiaTheme="minorHAnsi"/>
          <w:noProof/>
        </w:rPr>
        <w:t>]</w:t>
      </w:r>
      <w:r w:rsidR="00706213">
        <w:rPr>
          <w:rFonts w:eastAsiaTheme="minorHAnsi"/>
        </w:rPr>
        <w:fldChar w:fldCharType="end"/>
      </w:r>
      <w:r>
        <w:rPr>
          <w:rFonts w:eastAsiaTheme="minorHAnsi"/>
        </w:rPr>
        <w:t xml:space="preserve">. Given these disparate diagnostic-coding indices, a sports physiotherapist, with </w:t>
      </w:r>
      <w:r w:rsidR="008E6C9F">
        <w:rPr>
          <w:rFonts w:eastAsiaTheme="minorHAnsi"/>
        </w:rPr>
        <w:t xml:space="preserve">more </w:t>
      </w:r>
      <w:r w:rsidR="008E6C9F">
        <w:rPr>
          <w:rFonts w:eastAsiaTheme="minorHAnsi"/>
        </w:rPr>
        <w:lastRenderedPageBreak/>
        <w:t>than</w:t>
      </w:r>
      <w:r w:rsidR="00472A01">
        <w:rPr>
          <w:rFonts w:eastAsiaTheme="minorHAnsi"/>
        </w:rPr>
        <w:t>10</w:t>
      </w:r>
      <w:r>
        <w:rPr>
          <w:rFonts w:eastAsiaTheme="minorHAnsi"/>
        </w:rPr>
        <w:t xml:space="preserve"> years experience in delivering and recording Grand Slam tennis physiotherapy treatments, qualitatively transformed the SMDCS codes into their equivalent OSICS code for the purposes of analysis. </w:t>
      </w:r>
    </w:p>
    <w:p w14:paraId="71B5D3ED" w14:textId="77777777" w:rsidR="0036285C" w:rsidRDefault="0036285C">
      <w:pPr>
        <w:spacing w:line="480" w:lineRule="auto"/>
        <w:rPr>
          <w:b/>
        </w:rPr>
      </w:pPr>
    </w:p>
    <w:p w14:paraId="5D3A5E03" w14:textId="5BFE8C2C" w:rsidR="00203E9E" w:rsidRDefault="009E646C" w:rsidP="00203E9E">
      <w:pPr>
        <w:spacing w:line="480" w:lineRule="auto"/>
        <w:outlineLvl w:val="0"/>
        <w:rPr>
          <w:b/>
        </w:rPr>
      </w:pPr>
      <w:r>
        <w:rPr>
          <w:b/>
        </w:rPr>
        <w:t>Choice of Exposure</w:t>
      </w:r>
    </w:p>
    <w:p w14:paraId="40B325C0" w14:textId="6AB95591" w:rsidR="009E646C" w:rsidRPr="00DA15FB" w:rsidRDefault="009E646C" w:rsidP="009E646C">
      <w:pPr>
        <w:spacing w:line="480" w:lineRule="auto"/>
        <w:rPr>
          <w:lang w:eastAsia="ja-JP"/>
        </w:rPr>
      </w:pPr>
      <w:r w:rsidRPr="00203E9E">
        <w:t>Although 1,000 match hours has been recommended as the preferred injury frequency</w:t>
      </w:r>
      <w:r w:rsidRPr="00203E9E">
        <w:fldChar w:fldCharType="begin"/>
      </w:r>
      <w:r w:rsidR="00897950">
        <w:instrText xml:space="preserve"> ADDIN EN.CITE &lt;EndNote&gt;&lt;Cite&gt;&lt;Author&gt;Pluim&lt;/Author&gt;&lt;Year&gt;2009&lt;/Year&gt;&lt;RecNum&gt;157&lt;/RecNum&gt;&lt;DisplayText&gt;[12]&lt;/DisplayText&gt;&lt;record&gt;&lt;rec-number&gt;157&lt;/rec-number&gt;&lt;foreign-keys&gt;&lt;key app="EN" db-id="v2z99wx07srzpae0exnvvs00asvr5xxx2efw" timestamp="1420690179"&gt;157&lt;/key&gt;&lt;/foreign-keys&gt;&lt;ref-type name="Journal Article"&gt;17&lt;/ref-type&gt;&lt;contributors&gt;&lt;authors&gt;&lt;author&gt;Pluim, Babette M&lt;/author&gt;&lt;author&gt;Fuller, Colin W&lt;/author&gt;&lt;author&gt;Batt, Mark E&lt;/author&gt;&lt;author&gt;Chase, Lisa&lt;/author&gt;&lt;author&gt;Hainline, Brian&lt;/author&gt;&lt;author&gt;Miller, Stuart&lt;/author&gt;&lt;author&gt;Montalvan, Bernard&lt;/author&gt;&lt;author&gt;Renström, Per&lt;/author&gt;&lt;author&gt;Stroia, Kathleen A&lt;/author&gt;&lt;author&gt;Weber, Karl&lt;/author&gt;&lt;/authors&gt;&lt;/contributors&gt;&lt;titles&gt;&lt;title&gt;Consensus statement on epidemiological studies of medical conditions in tennis, April 2009&lt;/title&gt;&lt;secondary-title&gt;British journal of sports medicine&lt;/secondary-title&gt;&lt;/titles&gt;&lt;periodical&gt;&lt;full-title&gt;British journal of sports medicine&lt;/full-title&gt;&lt;/periodical&gt;&lt;pages&gt;893-897&lt;/pages&gt;&lt;volume&gt;43&lt;/volume&gt;&lt;number&gt;12&lt;/number&gt;&lt;dates&gt;&lt;year&gt;2009&lt;/year&gt;&lt;/dates&gt;&lt;isbn&gt;1473-0480&lt;/isbn&gt;&lt;urls&gt;&lt;/urls&gt;&lt;/record&gt;&lt;/Cite&gt;&lt;/EndNote&gt;</w:instrText>
      </w:r>
      <w:r w:rsidRPr="00203E9E">
        <w:fldChar w:fldCharType="separate"/>
      </w:r>
      <w:r w:rsidR="00897950">
        <w:rPr>
          <w:noProof/>
        </w:rPr>
        <w:t>[</w:t>
      </w:r>
      <w:hyperlink w:anchor="_ENREF_12" w:tooltip="Pluim, 2009 #157" w:history="1">
        <w:r w:rsidR="00AE02CA">
          <w:rPr>
            <w:noProof/>
          </w:rPr>
          <w:t>12</w:t>
        </w:r>
      </w:hyperlink>
      <w:r w:rsidR="00897950">
        <w:rPr>
          <w:noProof/>
        </w:rPr>
        <w:t>]</w:t>
      </w:r>
      <w:r w:rsidRPr="00203E9E">
        <w:fldChar w:fldCharType="end"/>
      </w:r>
      <w:r w:rsidRPr="00203E9E">
        <w:t xml:space="preserve">, match durations were not </w:t>
      </w:r>
      <w:r>
        <w:t xml:space="preserve">readily </w:t>
      </w:r>
      <w:r w:rsidRPr="00203E9E">
        <w:t xml:space="preserve">available for all </w:t>
      </w:r>
      <w:r w:rsidRPr="004A260C">
        <w:t>matches</w:t>
      </w:r>
      <w:r>
        <w:t xml:space="preserve"> in </w:t>
      </w:r>
      <w:r>
        <w:lastRenderedPageBreak/>
        <w:t xml:space="preserve">the current study. In order to retain all available match data, an exposure measure that was strongly </w:t>
      </w:r>
      <w:r w:rsidR="002E3EA6">
        <w:t xml:space="preserve">and </w:t>
      </w:r>
      <w:r>
        <w:t>positively correlated with match duration</w:t>
      </w:r>
      <w:r w:rsidR="00687A5F">
        <w:t xml:space="preserve"> was sought</w:t>
      </w:r>
      <w:r>
        <w:t xml:space="preserve">. </w:t>
      </w:r>
      <w:r w:rsidRPr="004A260C">
        <w:rPr>
          <w:lang w:eastAsia="ja-JP"/>
        </w:rPr>
        <w:t xml:space="preserve">In tennis, games are nested within sets and sets are nested within a match. Under a standard best of three-set format, the number of games in a set can range from six to 13, while the number of sets can range from two to three. This would suggest that the number of games would be </w:t>
      </w:r>
      <w:r>
        <w:rPr>
          <w:lang w:eastAsia="ja-JP"/>
        </w:rPr>
        <w:t xml:space="preserve">the most precise measure of duration of play among these choices. </w:t>
      </w:r>
      <w:r w:rsidR="002E3EA6">
        <w:rPr>
          <w:lang w:eastAsia="ja-JP"/>
        </w:rPr>
        <w:t xml:space="preserve">In other words, being the </w:t>
      </w:r>
      <w:r w:rsidR="002E3EA6">
        <w:t xml:space="preserve">smallest </w:t>
      </w:r>
      <w:r w:rsidR="002E3EA6">
        <w:lastRenderedPageBreak/>
        <w:t>common unit of match play available, it provides a more standardised and accessible approach to quantifying exposure.</w:t>
      </w:r>
      <w:r w:rsidR="002A3FB6">
        <w:rPr>
          <w:lang w:eastAsia="ja-JP"/>
        </w:rPr>
        <w:t xml:space="preserve"> </w:t>
      </w:r>
      <w:r>
        <w:rPr>
          <w:lang w:eastAsia="ja-JP"/>
        </w:rPr>
        <w:t xml:space="preserve">An empirical correlation analysis confirmed this supposition.  Using </w:t>
      </w:r>
      <w:r w:rsidRPr="004A260C">
        <w:rPr>
          <w:lang w:eastAsia="ja-JP"/>
        </w:rPr>
        <w:t>publicly available data on minutes played for </w:t>
      </w:r>
      <w:r>
        <w:rPr>
          <w:lang w:eastAsia="ja-JP"/>
        </w:rPr>
        <w:t>52,948</w:t>
      </w:r>
      <w:r w:rsidRPr="004A260C">
        <w:rPr>
          <w:lang w:eastAsia="ja-JP"/>
        </w:rPr>
        <w:t xml:space="preserve"> ATP</w:t>
      </w:r>
      <w:r>
        <w:rPr>
          <w:lang w:eastAsia="ja-JP"/>
        </w:rPr>
        <w:t xml:space="preserve"> and 4,625 WTA matches of all professional event types played between 2011</w:t>
      </w:r>
      <w:r w:rsidRPr="004A260C">
        <w:rPr>
          <w:lang w:eastAsia="ja-JP"/>
        </w:rPr>
        <w:t xml:space="preserve"> and 2</w:t>
      </w:r>
      <w:r>
        <w:rPr>
          <w:lang w:eastAsia="ja-JP"/>
        </w:rPr>
        <w:t xml:space="preserve">016, the </w:t>
      </w:r>
      <w:r w:rsidRPr="004A260C">
        <w:rPr>
          <w:lang w:eastAsia="ja-JP"/>
        </w:rPr>
        <w:t xml:space="preserve">Pearson correlation coefficient and 95% confidence interval </w:t>
      </w:r>
      <w:r>
        <w:rPr>
          <w:lang w:eastAsia="ja-JP"/>
        </w:rPr>
        <w:t xml:space="preserve">(CI) between </w:t>
      </w:r>
      <w:r w:rsidRPr="004A260C">
        <w:rPr>
          <w:lang w:eastAsia="ja-JP"/>
        </w:rPr>
        <w:t xml:space="preserve">minutes </w:t>
      </w:r>
      <w:r>
        <w:rPr>
          <w:lang w:eastAsia="ja-JP"/>
        </w:rPr>
        <w:t>and games played and minutes and sets played</w:t>
      </w:r>
      <w:r w:rsidR="002A3FB6">
        <w:rPr>
          <w:lang w:eastAsia="ja-JP"/>
        </w:rPr>
        <w:t xml:space="preserve"> was evaluated</w:t>
      </w:r>
      <w:r>
        <w:rPr>
          <w:lang w:eastAsia="ja-JP"/>
        </w:rPr>
        <w:t xml:space="preserve">. </w:t>
      </w:r>
      <w:r w:rsidR="002E3EA6">
        <w:rPr>
          <w:lang w:eastAsia="ja-JP"/>
        </w:rPr>
        <w:t>As</w:t>
      </w:r>
      <w:r>
        <w:rPr>
          <w:lang w:eastAsia="ja-JP"/>
        </w:rPr>
        <w:t xml:space="preserve"> minutes played are nested within match, the correlation with matches played </w:t>
      </w:r>
      <w:r w:rsidRPr="004A260C">
        <w:rPr>
          <w:lang w:eastAsia="ja-JP"/>
        </w:rPr>
        <w:t xml:space="preserve">is necessarily </w:t>
      </w:r>
      <w:r w:rsidRPr="008E4EC2">
        <w:rPr>
          <w:lang w:eastAsia="ja-JP"/>
        </w:rPr>
        <w:t xml:space="preserve">zero. Both games </w:t>
      </w:r>
      <w:r w:rsidR="00DA03E3">
        <w:rPr>
          <w:lang w:eastAsia="ja-JP"/>
        </w:rPr>
        <w:t xml:space="preserve">(male: r = </w:t>
      </w:r>
      <w:r w:rsidR="00DA03E3" w:rsidRPr="008E4EC2">
        <w:rPr>
          <w:lang w:eastAsia="ja-JP"/>
        </w:rPr>
        <w:t>0.87</w:t>
      </w:r>
      <w:r w:rsidR="00DA03E3" w:rsidRPr="008E4EC2">
        <w:t>±0.00</w:t>
      </w:r>
      <w:r w:rsidR="00DA03E3">
        <w:t xml:space="preserve">, </w:t>
      </w:r>
      <w:r w:rsidR="00DA03E3">
        <w:lastRenderedPageBreak/>
        <w:t>female: r = 0.73±0.01)</w:t>
      </w:r>
      <w:r w:rsidR="00DA03E3" w:rsidRPr="008E4EC2">
        <w:rPr>
          <w:lang w:eastAsia="ja-JP"/>
        </w:rPr>
        <w:t xml:space="preserve">  </w:t>
      </w:r>
      <w:r w:rsidRPr="008E4EC2">
        <w:rPr>
          <w:lang w:eastAsia="ja-JP"/>
        </w:rPr>
        <w:t>and sets</w:t>
      </w:r>
      <w:r w:rsidR="00DA03E3">
        <w:rPr>
          <w:lang w:eastAsia="ja-JP"/>
        </w:rPr>
        <w:t xml:space="preserve"> (male: r = </w:t>
      </w:r>
      <w:r w:rsidR="00DA03E3" w:rsidRPr="008E4EC2">
        <w:rPr>
          <w:lang w:eastAsia="ja-JP"/>
        </w:rPr>
        <w:t>0.77</w:t>
      </w:r>
      <w:r w:rsidR="00DA03E3" w:rsidRPr="008E4EC2">
        <w:t>±0.00</w:t>
      </w:r>
      <w:r w:rsidR="00DA03E3">
        <w:t xml:space="preserve">, female: r = </w:t>
      </w:r>
      <w:r w:rsidR="00DA03E3" w:rsidRPr="008E4EC2">
        <w:t>0.61±0.02</w:t>
      </w:r>
      <w:r w:rsidR="00DA03E3">
        <w:t>)</w:t>
      </w:r>
      <w:r w:rsidRPr="008E4EC2">
        <w:rPr>
          <w:lang w:eastAsia="ja-JP"/>
        </w:rPr>
        <w:t xml:space="preserve"> played were positively correlated with match duration</w:t>
      </w:r>
      <w:r w:rsidR="008E4EC2">
        <w:rPr>
          <w:lang w:eastAsia="ja-JP"/>
        </w:rPr>
        <w:t>, yet</w:t>
      </w:r>
      <w:r w:rsidRPr="008E4EC2">
        <w:rPr>
          <w:lang w:eastAsia="ja-JP"/>
        </w:rPr>
        <w:t xml:space="preserve"> games played was the most strongly related to minutes played</w:t>
      </w:r>
      <w:r w:rsidR="00DA03E3">
        <w:rPr>
          <w:lang w:eastAsia="ja-JP"/>
        </w:rPr>
        <w:t>.</w:t>
      </w:r>
      <w:r w:rsidRPr="008E4EC2">
        <w:rPr>
          <w:lang w:eastAsia="ja-JP"/>
        </w:rPr>
        <w:t xml:space="preserve"> </w:t>
      </w:r>
      <w:r w:rsidRPr="008E4EC2">
        <w:t>Therefore, game exposures were used rather than the 1,000 set or match exposures as reported in the Wimbledon and US Open injury</w:t>
      </w:r>
      <w:r>
        <w:t xml:space="preserve"> profiles</w:t>
      </w:r>
      <w:r>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97950">
        <w:instrText xml:space="preserve"> ADDIN EN.CITE </w:instrText>
      </w:r>
      <w:r w:rsidR="00897950">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97950">
        <w:instrText xml:space="preserve"> ADDIN EN.CITE.DATA </w:instrText>
      </w:r>
      <w:r w:rsidR="00897950">
        <w:fldChar w:fldCharType="end"/>
      </w:r>
      <w:r>
        <w:fldChar w:fldCharType="separate"/>
      </w:r>
      <w:r w:rsidR="00897950">
        <w:rPr>
          <w:noProof/>
        </w:rPr>
        <w:t>[</w:t>
      </w:r>
      <w:hyperlink w:anchor="_ENREF_1" w:tooltip="McCurdie, 2016 #427" w:history="1">
        <w:r w:rsidR="00AE02CA">
          <w:rPr>
            <w:noProof/>
          </w:rPr>
          <w:t>1</w:t>
        </w:r>
      </w:hyperlink>
      <w:r w:rsidR="00897950">
        <w:rPr>
          <w:noProof/>
        </w:rPr>
        <w:t xml:space="preserve">, </w:t>
      </w:r>
      <w:hyperlink w:anchor="_ENREF_2" w:tooltip="Sell, 2012 #152" w:history="1">
        <w:r w:rsidR="00AE02CA">
          <w:rPr>
            <w:noProof/>
          </w:rPr>
          <w:t>2</w:t>
        </w:r>
      </w:hyperlink>
      <w:r w:rsidR="00897950">
        <w:rPr>
          <w:noProof/>
        </w:rPr>
        <w:t>]</w:t>
      </w:r>
      <w:r>
        <w:fldChar w:fldCharType="end"/>
      </w:r>
      <w:r>
        <w:t xml:space="preserve"> as it </w:t>
      </w:r>
      <w:r w:rsidRPr="005F54AB">
        <w:t>provides</w:t>
      </w:r>
      <w:r>
        <w:t xml:space="preserve"> a more accurate account of the exposure of matchplay</w:t>
      </w:r>
      <w:r w:rsidR="007831F1">
        <w:t xml:space="preserve"> </w:t>
      </w:r>
      <w:r>
        <w:fldChar w:fldCharType="begin"/>
      </w:r>
      <w:r w:rsidR="00897950">
        <w:instrText xml:space="preserve"> ADDIN EN.CITE &lt;EndNote&gt;&lt;Cite&gt;&lt;Author&gt;White&lt;/Author&gt;&lt;Year&gt;2008&lt;/Year&gt;&lt;RecNum&gt;464&lt;/RecNum&gt;&lt;DisplayText&gt;[13]&lt;/DisplayText&gt;&lt;record&gt;&lt;rec-number&gt;464&lt;/rec-number&gt;&lt;foreign-keys&gt;&lt;key app="EN" db-id="v2z99wx07srzpae0exnvvs00asvr5xxx2efw" timestamp="1487568307"&gt;464&lt;/key&gt;&lt;/foreign-keys&gt;&lt;ref-type name="Book"&gt;6&lt;/ref-type&gt;&lt;contributors&gt;&lt;authors&gt;&lt;author&gt;White, Emily&lt;/author&gt;&lt;author&gt;Armstrong, Bruce K&lt;/author&gt;&lt;author&gt;Saracci, Rodolfo&lt;/author&gt;&lt;/authors&gt;&lt;/contributors&gt;&lt;titles&gt;&lt;title&gt;Principles of exposure measurement in epidemiology: collecting, evaluating and improving measures of disease risk factors&lt;/title&gt;&lt;/titles&gt;&lt;dates&gt;&lt;year&gt;2008&lt;/year&gt;&lt;/dates&gt;&lt;publisher&gt;OUP Oxford&lt;/publisher&gt;&lt;isbn&gt;0191004928&lt;/isbn&gt;&lt;urls&gt;&lt;/urls&gt;&lt;/record&gt;&lt;/Cite&gt;&lt;/EndNote&gt;</w:instrText>
      </w:r>
      <w:r>
        <w:fldChar w:fldCharType="separate"/>
      </w:r>
      <w:r w:rsidR="00897950">
        <w:rPr>
          <w:noProof/>
        </w:rPr>
        <w:t>[</w:t>
      </w:r>
      <w:hyperlink w:anchor="_ENREF_13" w:tooltip="White, 2008 #464" w:history="1">
        <w:r w:rsidR="00AE02CA">
          <w:rPr>
            <w:noProof/>
          </w:rPr>
          <w:t>13</w:t>
        </w:r>
      </w:hyperlink>
      <w:r w:rsidR="00897950">
        <w:rPr>
          <w:noProof/>
        </w:rPr>
        <w:t>]</w:t>
      </w:r>
      <w:r>
        <w:fldChar w:fldCharType="end"/>
      </w:r>
      <w:r>
        <w:t>.</w:t>
      </w:r>
    </w:p>
    <w:p w14:paraId="325546EC" w14:textId="77777777" w:rsidR="009E646C" w:rsidRDefault="009E646C" w:rsidP="00203E9E">
      <w:pPr>
        <w:spacing w:line="480" w:lineRule="auto"/>
        <w:outlineLvl w:val="0"/>
        <w:rPr>
          <w:b/>
        </w:rPr>
      </w:pPr>
    </w:p>
    <w:p w14:paraId="76042BD2" w14:textId="30E31BB0" w:rsidR="009E646C" w:rsidRDefault="00203E9E" w:rsidP="00203E9E">
      <w:pPr>
        <w:spacing w:line="480" w:lineRule="auto"/>
        <w:rPr>
          <w:i/>
        </w:rPr>
      </w:pPr>
      <w:r>
        <w:lastRenderedPageBreak/>
        <w:t>Data were collated based on sex and year, and reported as an injury frequency per 10,000-game exposures (GE). Each singles game equated to two GEs as both players were exposed to the same game. Doubles and mixed doubles equated to four GE per game. As mixed</w:t>
      </w:r>
      <w:r w:rsidR="00687A5F">
        <w:t xml:space="preserve"> doubles concluded with a third-</w:t>
      </w:r>
      <w:r>
        <w:t xml:space="preserve">set super-tiebreak (first to ten points) the total points were summed and divided </w:t>
      </w:r>
      <w:r w:rsidRPr="00203E9E">
        <w:t>by the mean number of points per game (six)</w:t>
      </w:r>
      <w:r w:rsidRPr="00203E9E">
        <w:fldChar w:fldCharType="begin"/>
      </w:r>
      <w:r w:rsidR="00897950">
        <w:instrText xml:space="preserve"> ADDIN EN.CITE &lt;EndNote&gt;&lt;Cite&gt;&lt;Author&gt;Magnus&lt;/Author&gt;&lt;Year&gt;1999&lt;/Year&gt;&lt;RecNum&gt;447&lt;/RecNum&gt;&lt;DisplayText&gt;[14]&lt;/DisplayText&gt;&lt;record&gt;&lt;rec-number&gt;447&lt;/rec-number&gt;&lt;foreign-keys&gt;&lt;key app="EN" db-id="v2z99wx07srzpae0exnvvs00asvr5xxx2efw" timestamp="1467333615"&gt;447&lt;/key&gt;&lt;/foreign-keys&gt;&lt;ref-type name="Journal Article"&gt;17&lt;/ref-type&gt;&lt;contributors&gt;&lt;authors&gt;&lt;author&gt;Magnus, Jan R&lt;/author&gt;&lt;author&gt;Klaassen, Franc JGM&lt;/author&gt;&lt;/authors&gt;&lt;/contributors&gt;&lt;titles&gt;&lt;title&gt;On the advantage of serving first in a tennis set: four years at Wimbledon&lt;/title&gt;&lt;secondary-title&gt;Journal of the Royal Statistical Society: Series D (The Statistician)&lt;/secondary-title&gt;&lt;/titles&gt;&lt;periodical&gt;&lt;full-title&gt;Journal of the Royal Statistical Society: Series D (The Statistician)&lt;/full-title&gt;&lt;/periodical&gt;&lt;pages&gt;247-256&lt;/pages&gt;&lt;volume&gt;48&lt;/volume&gt;&lt;number&gt;2&lt;/number&gt;&lt;dates&gt;&lt;year&gt;1999&lt;/year&gt;&lt;/dates&gt;&lt;isbn&gt;1467-9884&lt;/isbn&gt;&lt;urls&gt;&lt;/urls&gt;&lt;/record&gt;&lt;/Cite&gt;&lt;/EndNote&gt;</w:instrText>
      </w:r>
      <w:r w:rsidRPr="00203E9E">
        <w:fldChar w:fldCharType="separate"/>
      </w:r>
      <w:r w:rsidR="00897950">
        <w:rPr>
          <w:noProof/>
        </w:rPr>
        <w:t>[</w:t>
      </w:r>
      <w:hyperlink w:anchor="_ENREF_14" w:tooltip="Magnus, 1999 #447" w:history="1">
        <w:r w:rsidR="00AE02CA">
          <w:rPr>
            <w:noProof/>
          </w:rPr>
          <w:t>14</w:t>
        </w:r>
      </w:hyperlink>
      <w:r w:rsidR="00897950">
        <w:rPr>
          <w:noProof/>
        </w:rPr>
        <w:t>]</w:t>
      </w:r>
      <w:r w:rsidRPr="00203E9E">
        <w:fldChar w:fldCharType="end"/>
      </w:r>
      <w:r w:rsidRPr="00203E9E">
        <w:t xml:space="preserve"> to quantify the GE.</w:t>
      </w:r>
    </w:p>
    <w:p w14:paraId="781EF26D" w14:textId="77777777" w:rsidR="00203E9E" w:rsidRDefault="00203E9E">
      <w:pPr>
        <w:spacing w:line="480" w:lineRule="auto"/>
        <w:outlineLvl w:val="0"/>
        <w:rPr>
          <w:b/>
        </w:rPr>
      </w:pPr>
    </w:p>
    <w:p w14:paraId="216122F4" w14:textId="77777777" w:rsidR="006F5C0A" w:rsidRDefault="005226B0">
      <w:pPr>
        <w:spacing w:line="480" w:lineRule="auto"/>
        <w:outlineLvl w:val="0"/>
        <w:rPr>
          <w:b/>
        </w:rPr>
      </w:pPr>
      <w:r>
        <w:rPr>
          <w:b/>
        </w:rPr>
        <w:t>Statistical Analysis</w:t>
      </w:r>
    </w:p>
    <w:p w14:paraId="2686BD5D" w14:textId="10DDE3FC" w:rsidR="006F5C0A" w:rsidRDefault="005226B0" w:rsidP="00203E9E">
      <w:pPr>
        <w:spacing w:line="480" w:lineRule="auto"/>
      </w:pPr>
      <w:r>
        <w:lastRenderedPageBreak/>
        <w:t xml:space="preserve">Results are reported as mean </w:t>
      </w:r>
      <w:r>
        <w:rPr>
          <w:rFonts w:eastAsia="MS Gothic"/>
          <w:color w:val="000000"/>
        </w:rPr>
        <w:t xml:space="preserve">± standard deviation (SD), incidence rates </w:t>
      </w:r>
      <w:r>
        <w:t>± 95%</w:t>
      </w:r>
      <w:r w:rsidR="00AF282B">
        <w:t xml:space="preserve"> CI</w:t>
      </w:r>
      <w:r>
        <w:t>, and rate ratios</w:t>
      </w:r>
      <w:r>
        <w:rPr>
          <w:rFonts w:eastAsia="MS Gothic"/>
          <w:color w:val="000000"/>
        </w:rPr>
        <w:t xml:space="preserve">. </w:t>
      </w:r>
      <w:r w:rsidR="00AC5C7F">
        <w:t>S</w:t>
      </w:r>
      <w:r>
        <w:t>tatistical programming (R Core Team, 2012) was used for the all statistical analyses. The ‘metafor’ package was used to implement the fixed-effects meta-regression analysis of incidence rates ± 95% confidence interval (CI) with precision weights. Incidence rates represent the year</w:t>
      </w:r>
      <w:r w:rsidR="00687A5F">
        <w:t>-</w:t>
      </w:r>
      <w:r>
        <w:t>on</w:t>
      </w:r>
      <w:r w:rsidR="00687A5F">
        <w:t>-</w:t>
      </w:r>
      <w:r>
        <w:t>year change in injury counts by region and type</w:t>
      </w:r>
      <w:r w:rsidR="00B04D73">
        <w:t>,</w:t>
      </w:r>
      <w:r w:rsidR="00A55CA3">
        <w:t xml:space="preserve"> where 2011 and </w:t>
      </w:r>
      <w:r w:rsidR="00B04D73">
        <w:t>2013 were</w:t>
      </w:r>
      <w:r w:rsidR="00A55CA3">
        <w:t xml:space="preserve"> the base years for injury incidence and </w:t>
      </w:r>
      <w:r w:rsidR="00DE0D05">
        <w:t>in-event treatment frequency</w:t>
      </w:r>
      <w:r w:rsidR="00A55CA3">
        <w:t xml:space="preserve"> respectively</w:t>
      </w:r>
      <w:r>
        <w:t xml:space="preserve">. </w:t>
      </w:r>
      <w:r>
        <w:lastRenderedPageBreak/>
        <w:t>The magnitude of</w:t>
      </w:r>
      <w:r w:rsidR="00687A5F">
        <w:t xml:space="preserve"> </w:t>
      </w:r>
      <w:r>
        <w:t>change is inferred by rate ratios whereby a ratio of greater than 1 is considered to be an increase, and less than 1, a decrease.</w:t>
      </w:r>
    </w:p>
    <w:p w14:paraId="1A1B60A5" w14:textId="77777777" w:rsidR="00C4596C" w:rsidRDefault="00C4596C">
      <w:pPr>
        <w:spacing w:line="480" w:lineRule="auto"/>
      </w:pPr>
    </w:p>
    <w:p w14:paraId="275754D6" w14:textId="77777777" w:rsidR="006F5C0A" w:rsidRDefault="005226B0">
      <w:pPr>
        <w:spacing w:line="480" w:lineRule="auto"/>
        <w:outlineLvl w:val="0"/>
        <w:rPr>
          <w:b/>
        </w:rPr>
      </w:pPr>
      <w:r>
        <w:rPr>
          <w:b/>
        </w:rPr>
        <w:t>Results</w:t>
      </w:r>
    </w:p>
    <w:p w14:paraId="5C5E66BD" w14:textId="77777777" w:rsidR="006F5C0A" w:rsidRDefault="005226B0">
      <w:pPr>
        <w:spacing w:line="480" w:lineRule="auto"/>
        <w:outlineLvl w:val="0"/>
        <w:rPr>
          <w:b/>
        </w:rPr>
      </w:pPr>
      <w:r>
        <w:rPr>
          <w:b/>
        </w:rPr>
        <w:t>Total Injuries</w:t>
      </w:r>
    </w:p>
    <w:p w14:paraId="2C984810" w14:textId="7D7E67B2" w:rsidR="006F5C0A" w:rsidRDefault="007804F8">
      <w:pPr>
        <w:spacing w:line="480" w:lineRule="auto"/>
      </w:pPr>
      <w:r>
        <w:t>Over the 6 years of Australian Opens, 2011-2016,</w:t>
      </w:r>
      <w:r w:rsidR="005226B0">
        <w:t xml:space="preserve"> female players had more injuries, per 10,000 GE than their male counterparts (201.7</w:t>
      </w:r>
      <w:r>
        <w:t xml:space="preserve"> </w:t>
      </w:r>
      <w:r w:rsidR="005226B0">
        <w:t>vs</w:t>
      </w:r>
      <w:r>
        <w:t xml:space="preserve"> </w:t>
      </w:r>
      <w:r w:rsidR="005226B0">
        <w:t xml:space="preserve">148.6). Females also experienced more injuries than males per individual Australian Open in all </w:t>
      </w:r>
      <w:r w:rsidR="005226B0">
        <w:lastRenderedPageBreak/>
        <w:t>years bar 2011 (</w:t>
      </w:r>
      <w:r w:rsidR="005226B0">
        <w:rPr>
          <w:rFonts w:eastAsia="MS Gothic"/>
          <w:color w:val="000000"/>
        </w:rPr>
        <w:t>33.6</w:t>
      </w:r>
      <w:r w:rsidR="005C29BF">
        <w:rPr>
          <w:rFonts w:eastAsia="MS Gothic"/>
          <w:color w:val="000000"/>
        </w:rPr>
        <w:t xml:space="preserve"> </w:t>
      </w:r>
      <w:r w:rsidR="005226B0">
        <w:rPr>
          <w:rFonts w:eastAsia="MS Gothic"/>
          <w:color w:val="000000"/>
        </w:rPr>
        <w:t>±</w:t>
      </w:r>
      <w:r w:rsidR="005C29BF">
        <w:rPr>
          <w:rFonts w:eastAsia="MS Gothic"/>
          <w:color w:val="000000"/>
        </w:rPr>
        <w:t xml:space="preserve"> </w:t>
      </w:r>
      <w:r w:rsidR="005226B0">
        <w:rPr>
          <w:rFonts w:eastAsia="MS Gothic"/>
          <w:color w:val="000000"/>
        </w:rPr>
        <w:t>1.6 versus 24.8</w:t>
      </w:r>
      <w:r w:rsidR="005C29BF">
        <w:rPr>
          <w:rFonts w:eastAsia="MS Gothic"/>
          <w:color w:val="000000"/>
        </w:rPr>
        <w:t xml:space="preserve"> </w:t>
      </w:r>
      <w:r w:rsidR="005226B0">
        <w:rPr>
          <w:rFonts w:eastAsia="MS Gothic"/>
          <w:color w:val="000000"/>
        </w:rPr>
        <w:t>±</w:t>
      </w:r>
      <w:r w:rsidR="005C29BF">
        <w:rPr>
          <w:rFonts w:eastAsia="MS Gothic"/>
          <w:color w:val="000000"/>
        </w:rPr>
        <w:t xml:space="preserve"> </w:t>
      </w:r>
      <w:r w:rsidR="005226B0">
        <w:rPr>
          <w:rFonts w:eastAsia="MS Gothic"/>
          <w:color w:val="000000"/>
        </w:rPr>
        <w:t xml:space="preserve">1.2 per year). </w:t>
      </w:r>
      <w:r w:rsidR="005226B0">
        <w:t xml:space="preserve">However, there was no change in injury </w:t>
      </w:r>
      <w:r>
        <w:t>risk</w:t>
      </w:r>
      <w:r w:rsidR="005226B0">
        <w:t xml:space="preserve"> by </w:t>
      </w:r>
      <w:r w:rsidR="00B2117E">
        <w:t>sex</w:t>
      </w:r>
      <w:r w:rsidR="005226B0">
        <w:t xml:space="preserve"> over time (Figure 1). </w:t>
      </w:r>
    </w:p>
    <w:p w14:paraId="69115AC3" w14:textId="77777777" w:rsidR="006F5C0A" w:rsidRDefault="006F5C0A">
      <w:pPr>
        <w:spacing w:line="480" w:lineRule="auto"/>
        <w:rPr>
          <w:b/>
        </w:rPr>
      </w:pPr>
    </w:p>
    <w:p w14:paraId="59D3D995" w14:textId="77777777" w:rsidR="006F5C0A" w:rsidRDefault="005226B0">
      <w:pPr>
        <w:spacing w:line="480" w:lineRule="auto"/>
        <w:rPr>
          <w:b/>
        </w:rPr>
      </w:pPr>
      <w:r>
        <w:rPr>
          <w:b/>
        </w:rPr>
        <w:t>*** Insert Figure 1 here ***</w:t>
      </w:r>
    </w:p>
    <w:p w14:paraId="648D6B92" w14:textId="77777777" w:rsidR="00903C1E" w:rsidRDefault="00903C1E">
      <w:pPr>
        <w:spacing w:line="480" w:lineRule="auto"/>
        <w:rPr>
          <w:b/>
        </w:rPr>
      </w:pPr>
    </w:p>
    <w:p w14:paraId="20649AB4" w14:textId="77777777" w:rsidR="006F5C0A" w:rsidRDefault="005226B0">
      <w:pPr>
        <w:spacing w:line="480" w:lineRule="auto"/>
        <w:outlineLvl w:val="0"/>
        <w:rPr>
          <w:b/>
        </w:rPr>
      </w:pPr>
      <w:r>
        <w:rPr>
          <w:b/>
        </w:rPr>
        <w:t>Injury Region</w:t>
      </w:r>
    </w:p>
    <w:p w14:paraId="4E8FBCFD" w14:textId="755D0282" w:rsidR="006F5C0A" w:rsidRDefault="005226B0">
      <w:pPr>
        <w:spacing w:line="480" w:lineRule="auto"/>
      </w:pPr>
      <w:r>
        <w:t xml:space="preserve">The most common male injury region over the six-year period was the knee, followed by the ankle </w:t>
      </w:r>
      <w:r>
        <w:rPr>
          <w:rFonts w:eastAsia="MS Gothic"/>
          <w:color w:val="000000"/>
        </w:rPr>
        <w:t>and thigh (</w:t>
      </w:r>
      <w:r>
        <w:t>3.5</w:t>
      </w:r>
      <w:r>
        <w:rPr>
          <w:rFonts w:eastAsia="MS Gothic"/>
          <w:color w:val="000000"/>
        </w:rPr>
        <w:t>±</w:t>
      </w:r>
      <w:r>
        <w:t>1.6, 2.3</w:t>
      </w:r>
      <w:r>
        <w:rPr>
          <w:rFonts w:eastAsia="MS Gothic"/>
          <w:color w:val="000000"/>
        </w:rPr>
        <w:t>±1.3 and</w:t>
      </w:r>
      <w:r>
        <w:t xml:space="preserve"> </w:t>
      </w:r>
      <w:r>
        <w:rPr>
          <w:rFonts w:eastAsia="MS Gothic"/>
          <w:color w:val="000000"/>
        </w:rPr>
        <w:t xml:space="preserve">2.3 ±1.5 injuries per </w:t>
      </w:r>
      <w:r>
        <w:rPr>
          <w:rFonts w:eastAsia="MS Gothic"/>
          <w:color w:val="000000"/>
        </w:rPr>
        <w:lastRenderedPageBreak/>
        <w:t>year; Figure 2).</w:t>
      </w:r>
      <w:r>
        <w:t xml:space="preserve"> The shoulder (5.1</w:t>
      </w:r>
      <w:r>
        <w:rPr>
          <w:rFonts w:eastAsia="MS Gothic"/>
          <w:color w:val="000000"/>
        </w:rPr>
        <w:t>±</w:t>
      </w:r>
      <w:r>
        <w:t xml:space="preserve">1.1 injuries per year) was the most common </w:t>
      </w:r>
      <w:r w:rsidR="00897E7C">
        <w:t xml:space="preserve">injury region in </w:t>
      </w:r>
      <w:r>
        <w:t>female</w:t>
      </w:r>
      <w:r w:rsidR="00897E7C">
        <w:t>s</w:t>
      </w:r>
      <w:r>
        <w:t xml:space="preserve"> followed by the foot (3.2</w:t>
      </w:r>
      <w:r>
        <w:rPr>
          <w:rFonts w:eastAsia="MS Gothic"/>
          <w:color w:val="000000"/>
        </w:rPr>
        <w:t xml:space="preserve">±1.1), wrist (3.1±1.5) and knee (3.1±1.1; </w:t>
      </w:r>
      <w:r>
        <w:t xml:space="preserve">Figure 2). There was a 2-fold or greater increase in the rate of male ankle and elbow (incidence rate </w:t>
      </w:r>
      <w:r>
        <w:rPr>
          <w:rFonts w:eastAsia="MS Gothic"/>
          <w:color w:val="000000"/>
        </w:rPr>
        <w:t xml:space="preserve">± 95% CI; </w:t>
      </w:r>
      <w:r>
        <w:t xml:space="preserve">0.3±0.5 and 0.3±0.4) injuries over the 2011-2016 period (Table </w:t>
      </w:r>
      <w:r w:rsidR="00D91678">
        <w:t>1</w:t>
      </w:r>
      <w:r>
        <w:t>). The</w:t>
      </w:r>
      <w:r w:rsidR="006A007B">
        <w:t xml:space="preserve"> increased</w:t>
      </w:r>
      <w:r>
        <w:t xml:space="preserve"> rate of female shoulder (2.0 times; 0.6±0.7) and wrist</w:t>
      </w:r>
      <w:r w:rsidR="006A007B">
        <w:t xml:space="preserve"> injuries</w:t>
      </w:r>
      <w:r>
        <w:t xml:space="preserve"> (2.2 times; 0.4±0.7) was also pronounced. Additionally, the rate of upper arm injuries increased by at least 2.4 </w:t>
      </w:r>
      <w:r>
        <w:lastRenderedPageBreak/>
        <w:t>times in male and female (0.1±0.2 and 0.1±0.3</w:t>
      </w:r>
      <w:r>
        <w:rPr>
          <w:rFonts w:ascii="Times-Roman" w:hAnsi="Times-Roman" w:cs="Times-Roman"/>
        </w:rPr>
        <w:t xml:space="preserve">) </w:t>
      </w:r>
      <w:r>
        <w:t xml:space="preserve">players over the six Australian Opens (Table </w:t>
      </w:r>
      <w:r w:rsidR="00D91678">
        <w:t>1</w:t>
      </w:r>
      <w:r>
        <w:t xml:space="preserve">). </w:t>
      </w:r>
    </w:p>
    <w:p w14:paraId="7B520854" w14:textId="77777777" w:rsidR="006F5C0A" w:rsidRDefault="006F5C0A">
      <w:pPr>
        <w:spacing w:line="480" w:lineRule="auto"/>
        <w:rPr>
          <w:b/>
        </w:rPr>
      </w:pPr>
    </w:p>
    <w:p w14:paraId="1516773A" w14:textId="77777777" w:rsidR="006F5C0A" w:rsidRDefault="005226B0">
      <w:pPr>
        <w:spacing w:line="480" w:lineRule="auto"/>
        <w:rPr>
          <w:b/>
        </w:rPr>
      </w:pPr>
      <w:r>
        <w:rPr>
          <w:b/>
        </w:rPr>
        <w:t>*** Insert Figure 2 here ***</w:t>
      </w:r>
    </w:p>
    <w:p w14:paraId="19E8B787" w14:textId="77777777" w:rsidR="006F5C0A" w:rsidRDefault="005226B0">
      <w:pPr>
        <w:spacing w:line="480" w:lineRule="auto"/>
        <w:rPr>
          <w:b/>
        </w:rPr>
      </w:pPr>
      <w:r>
        <w:rPr>
          <w:b/>
        </w:rPr>
        <w:t xml:space="preserve">*** Insert Table </w:t>
      </w:r>
      <w:r w:rsidR="00D91678">
        <w:rPr>
          <w:b/>
        </w:rPr>
        <w:t>1</w:t>
      </w:r>
      <w:r>
        <w:rPr>
          <w:b/>
        </w:rPr>
        <w:t xml:space="preserve"> here ***</w:t>
      </w:r>
    </w:p>
    <w:p w14:paraId="0FD56626" w14:textId="77777777" w:rsidR="006F5C0A" w:rsidRDefault="006F5C0A">
      <w:pPr>
        <w:spacing w:line="480" w:lineRule="auto"/>
        <w:rPr>
          <w:b/>
        </w:rPr>
      </w:pPr>
    </w:p>
    <w:p w14:paraId="08BC8AD0" w14:textId="77777777" w:rsidR="006F5C0A" w:rsidRDefault="005226B0">
      <w:pPr>
        <w:spacing w:line="480" w:lineRule="auto"/>
        <w:outlineLvl w:val="0"/>
        <w:rPr>
          <w:b/>
        </w:rPr>
      </w:pPr>
      <w:r>
        <w:rPr>
          <w:b/>
        </w:rPr>
        <w:t>Injury Type</w:t>
      </w:r>
    </w:p>
    <w:p w14:paraId="4425FA38" w14:textId="77777777" w:rsidR="006F5C0A" w:rsidRDefault="005226B0">
      <w:pPr>
        <w:spacing w:line="480" w:lineRule="auto"/>
      </w:pPr>
      <w:r>
        <w:lastRenderedPageBreak/>
        <w:t xml:space="preserve">Muscle injuries, in both </w:t>
      </w:r>
      <w:r w:rsidR="005472CC">
        <w:t>sexes</w:t>
      </w:r>
      <w:r>
        <w:t>, were the most prominent type of injury with a total of 45.9</w:t>
      </w:r>
      <w:r>
        <w:rPr>
          <w:rFonts w:eastAsia="MS Gothic"/>
          <w:color w:val="000000"/>
        </w:rPr>
        <w:t>±3.3 and 56.5±1.3 male and female muscle injuries respectively per 10,000 GE (</w:t>
      </w:r>
      <w:r>
        <w:t xml:space="preserve">Figure 3). From 2011 to 2016, there was a 2.1 fold (incidence rate </w:t>
      </w:r>
      <w:r>
        <w:rPr>
          <w:rFonts w:eastAsia="MS Gothic"/>
          <w:color w:val="000000"/>
        </w:rPr>
        <w:t xml:space="preserve">± 95% CI; </w:t>
      </w:r>
      <w:r>
        <w:t>0.1±0.3</w:t>
      </w:r>
      <w:r>
        <w:rPr>
          <w:rFonts w:eastAsia="MS Gothic"/>
          <w:color w:val="000000"/>
        </w:rPr>
        <w:t>)</w:t>
      </w:r>
      <w:r>
        <w:t>, and 2.4 fold (0.2±0.5</w:t>
      </w:r>
      <w:r>
        <w:rPr>
          <w:rFonts w:eastAsia="MS Gothic"/>
          <w:color w:val="000000"/>
        </w:rPr>
        <w:t xml:space="preserve">) </w:t>
      </w:r>
      <w:r>
        <w:t>increase in the rate of stress fractures among male and female players respectively</w:t>
      </w:r>
      <w:r w:rsidR="00D91678">
        <w:t xml:space="preserve"> (Table 2</w:t>
      </w:r>
      <w:r w:rsidR="00881E38">
        <w:t>)</w:t>
      </w:r>
      <w:r>
        <w:t xml:space="preserve">. </w:t>
      </w:r>
    </w:p>
    <w:p w14:paraId="7FFD1A12" w14:textId="77777777" w:rsidR="006F5C0A" w:rsidRDefault="006F5C0A">
      <w:pPr>
        <w:spacing w:line="480" w:lineRule="auto"/>
        <w:rPr>
          <w:b/>
        </w:rPr>
      </w:pPr>
    </w:p>
    <w:p w14:paraId="2BDE1BAD" w14:textId="77777777" w:rsidR="006F5C0A" w:rsidRDefault="005226B0">
      <w:pPr>
        <w:spacing w:line="480" w:lineRule="auto"/>
        <w:rPr>
          <w:b/>
        </w:rPr>
      </w:pPr>
      <w:r>
        <w:rPr>
          <w:b/>
        </w:rPr>
        <w:t>*** Insert Figure 3 here ***</w:t>
      </w:r>
    </w:p>
    <w:p w14:paraId="02D88E7F" w14:textId="77777777" w:rsidR="006F5C0A" w:rsidRDefault="005226B0">
      <w:pPr>
        <w:spacing w:line="480" w:lineRule="auto"/>
        <w:rPr>
          <w:b/>
        </w:rPr>
      </w:pPr>
      <w:r>
        <w:rPr>
          <w:b/>
        </w:rPr>
        <w:t xml:space="preserve">*** Insert Table </w:t>
      </w:r>
      <w:r w:rsidR="00D91678">
        <w:rPr>
          <w:b/>
        </w:rPr>
        <w:t>2</w:t>
      </w:r>
      <w:r>
        <w:rPr>
          <w:b/>
        </w:rPr>
        <w:t xml:space="preserve"> here ***</w:t>
      </w:r>
    </w:p>
    <w:p w14:paraId="48DF5F06" w14:textId="77777777" w:rsidR="006F5C0A" w:rsidRDefault="006F5C0A">
      <w:pPr>
        <w:spacing w:line="480" w:lineRule="auto"/>
        <w:rPr>
          <w:b/>
        </w:rPr>
      </w:pPr>
    </w:p>
    <w:p w14:paraId="3C4D4E90" w14:textId="77777777" w:rsidR="006F5C0A" w:rsidRDefault="00971F33">
      <w:pPr>
        <w:spacing w:line="480" w:lineRule="auto"/>
        <w:outlineLvl w:val="0"/>
        <w:rPr>
          <w:b/>
        </w:rPr>
      </w:pPr>
      <w:r>
        <w:rPr>
          <w:b/>
        </w:rPr>
        <w:t>In-Event T</w:t>
      </w:r>
      <w:r w:rsidR="00373DCC">
        <w:rPr>
          <w:b/>
        </w:rPr>
        <w:t>reat</w:t>
      </w:r>
      <w:r>
        <w:rPr>
          <w:b/>
        </w:rPr>
        <w:t>ment F</w:t>
      </w:r>
      <w:r w:rsidR="00373DCC">
        <w:rPr>
          <w:b/>
        </w:rPr>
        <w:t>requency</w:t>
      </w:r>
      <w:r w:rsidR="005226B0">
        <w:rPr>
          <w:b/>
        </w:rPr>
        <w:t xml:space="preserve"> by Injury Region</w:t>
      </w:r>
    </w:p>
    <w:p w14:paraId="7CCBAB92" w14:textId="77777777" w:rsidR="006F5C0A" w:rsidRDefault="005226B0">
      <w:pPr>
        <w:spacing w:line="480" w:lineRule="auto"/>
      </w:pPr>
      <w:r>
        <w:t xml:space="preserve">The mean number of </w:t>
      </w:r>
      <w:r w:rsidR="007A7006">
        <w:t xml:space="preserve">in-event </w:t>
      </w:r>
      <w:r>
        <w:t>treatment</w:t>
      </w:r>
      <w:r w:rsidR="00CD4F0B">
        <w:t>s</w:t>
      </w:r>
      <w:r>
        <w:t xml:space="preserve"> per injury did not differ between </w:t>
      </w:r>
      <w:r w:rsidR="005472CC">
        <w:t>sex</w:t>
      </w:r>
      <w:r>
        <w:t xml:space="preserve"> (females 3.5</w:t>
      </w:r>
      <w:r>
        <w:rPr>
          <w:rFonts w:eastAsia="MS Gothic"/>
          <w:color w:val="000000"/>
        </w:rPr>
        <w:t>±1.2 vs males 2.6±0.7</w:t>
      </w:r>
      <w:r>
        <w:t xml:space="preserve">). The lumbar spine had the highest mean </w:t>
      </w:r>
      <w:r w:rsidR="007A7006">
        <w:t xml:space="preserve">in-event </w:t>
      </w:r>
      <w:r>
        <w:t>treatment</w:t>
      </w:r>
      <w:r w:rsidR="007A7006">
        <w:t>s</w:t>
      </w:r>
      <w:r>
        <w:t xml:space="preserve"> among male Australian Open competitors between 2013-2016 (4.0</w:t>
      </w:r>
      <w:r>
        <w:rPr>
          <w:rFonts w:eastAsia="MS Gothic"/>
          <w:color w:val="000000"/>
        </w:rPr>
        <w:t>±1.6 per year;</w:t>
      </w:r>
      <w:r>
        <w:t xml:space="preserve"> Figure 2), while the ankle </w:t>
      </w:r>
      <w:r w:rsidR="00897E7C">
        <w:t xml:space="preserve">had </w:t>
      </w:r>
      <w:r>
        <w:t xml:space="preserve">the highest mean </w:t>
      </w:r>
      <w:r w:rsidR="007A7006">
        <w:t xml:space="preserve">in-event </w:t>
      </w:r>
      <w:r>
        <w:t>treatment</w:t>
      </w:r>
      <w:r w:rsidR="007A7006">
        <w:t>s</w:t>
      </w:r>
      <w:r>
        <w:t xml:space="preserve"> among female players (4.9</w:t>
      </w:r>
      <w:r>
        <w:rPr>
          <w:rFonts w:eastAsia="MS Gothic"/>
          <w:color w:val="000000"/>
        </w:rPr>
        <w:t>±</w:t>
      </w:r>
      <w:r>
        <w:t xml:space="preserve">2.9 per year; Figure 2). The rate of male </w:t>
      </w:r>
      <w:r>
        <w:lastRenderedPageBreak/>
        <w:t xml:space="preserve">and female upper arm </w:t>
      </w:r>
      <w:r w:rsidR="007A7006">
        <w:t xml:space="preserve">in-event </w:t>
      </w:r>
      <w:r>
        <w:t>treatment</w:t>
      </w:r>
      <w:r w:rsidR="007A7006">
        <w:t>s</w:t>
      </w:r>
      <w:r>
        <w:t xml:space="preserve"> per injury increased by 5.8 (incidence rate </w:t>
      </w:r>
      <w:r>
        <w:rPr>
          <w:rFonts w:eastAsia="MS Gothic"/>
          <w:color w:val="000000"/>
        </w:rPr>
        <w:t xml:space="preserve">± 95% CI; </w:t>
      </w:r>
      <w:r>
        <w:t>0.3</w:t>
      </w:r>
      <w:r>
        <w:rPr>
          <w:rFonts w:eastAsia="MS Gothic"/>
          <w:color w:val="000000"/>
        </w:rPr>
        <w:t>±0.5) and 5.2 (0.4±0.6)</w:t>
      </w:r>
      <w:r>
        <w:t xml:space="preserve"> over the four-year period (Table </w:t>
      </w:r>
      <w:r w:rsidR="00881E38">
        <w:t>2</w:t>
      </w:r>
      <w:r>
        <w:t>).</w:t>
      </w:r>
    </w:p>
    <w:p w14:paraId="2C820843" w14:textId="77777777" w:rsidR="006F5C0A" w:rsidRDefault="006F5C0A">
      <w:pPr>
        <w:spacing w:line="480" w:lineRule="auto"/>
      </w:pPr>
    </w:p>
    <w:p w14:paraId="1383AE83" w14:textId="77777777" w:rsidR="006F5C0A" w:rsidRDefault="00971F33">
      <w:pPr>
        <w:spacing w:line="480" w:lineRule="auto"/>
        <w:outlineLvl w:val="0"/>
        <w:rPr>
          <w:b/>
        </w:rPr>
      </w:pPr>
      <w:r>
        <w:rPr>
          <w:b/>
        </w:rPr>
        <w:t>In-Event T</w:t>
      </w:r>
      <w:r w:rsidR="00373DCC">
        <w:rPr>
          <w:b/>
        </w:rPr>
        <w:t>reat</w:t>
      </w:r>
      <w:r>
        <w:rPr>
          <w:b/>
        </w:rPr>
        <w:t>ment F</w:t>
      </w:r>
      <w:r w:rsidR="00373DCC">
        <w:rPr>
          <w:b/>
        </w:rPr>
        <w:t>requency</w:t>
      </w:r>
      <w:r w:rsidR="005226B0">
        <w:rPr>
          <w:b/>
        </w:rPr>
        <w:t xml:space="preserve"> by Injury Type</w:t>
      </w:r>
    </w:p>
    <w:p w14:paraId="3CE09C97" w14:textId="0F73299B" w:rsidR="00DA15FB" w:rsidRDefault="005226B0">
      <w:pPr>
        <w:spacing w:line="480" w:lineRule="auto"/>
      </w:pPr>
      <w:r>
        <w:t xml:space="preserve">The injury types with the highest </w:t>
      </w:r>
      <w:r w:rsidR="00373DCC">
        <w:t>in-event treatment frequency</w:t>
      </w:r>
      <w:r>
        <w:t xml:space="preserve"> differed between </w:t>
      </w:r>
      <w:r w:rsidR="004A6560">
        <w:t>sex</w:t>
      </w:r>
      <w:r>
        <w:t>, with joint sprains the most common among male players (5.2</w:t>
      </w:r>
      <w:r>
        <w:rPr>
          <w:rFonts w:eastAsia="MS Gothic"/>
          <w:color w:val="000000"/>
        </w:rPr>
        <w:t>±</w:t>
      </w:r>
      <w:r>
        <w:t>2.5 me</w:t>
      </w:r>
      <w:r w:rsidR="00117F63">
        <w:t>an in-event treatment frequency</w:t>
      </w:r>
      <w:r>
        <w:t xml:space="preserve"> </w:t>
      </w:r>
      <w:r>
        <w:rPr>
          <w:rFonts w:eastAsia="MS Gothic"/>
          <w:color w:val="000000"/>
        </w:rPr>
        <w:t>± SD per year</w:t>
      </w:r>
      <w:r>
        <w:t xml:space="preserve">) and cartilage injuries the </w:t>
      </w:r>
      <w:r>
        <w:lastRenderedPageBreak/>
        <w:t xml:space="preserve">most common </w:t>
      </w:r>
      <w:r w:rsidR="00897E7C">
        <w:t xml:space="preserve">amongst females </w:t>
      </w:r>
      <w:r>
        <w:t>(5.1</w:t>
      </w:r>
      <w:r>
        <w:rPr>
          <w:rFonts w:eastAsia="MS Gothic"/>
          <w:color w:val="000000"/>
        </w:rPr>
        <w:t>±</w:t>
      </w:r>
      <w:r>
        <w:t xml:space="preserve">5.3; Figure 3). Over the four years, there was a rate increase of 8.3 (incidence rate </w:t>
      </w:r>
      <w:r>
        <w:rPr>
          <w:rFonts w:eastAsia="MS Gothic"/>
          <w:color w:val="000000"/>
        </w:rPr>
        <w:t xml:space="preserve">± 95% CI; </w:t>
      </w:r>
      <w:r>
        <w:t>0.</w:t>
      </w:r>
      <w:r>
        <w:rPr>
          <w:rFonts w:ascii="Times-Roman" w:hAnsi="Times-Roman" w:cs="Times-Roman"/>
        </w:rPr>
        <w:t>8</w:t>
      </w:r>
      <w:r>
        <w:t>±1.0</w:t>
      </w:r>
      <w:r>
        <w:rPr>
          <w:rFonts w:eastAsia="MS Gothic"/>
          <w:color w:val="000000"/>
        </w:rPr>
        <w:t>)</w:t>
      </w:r>
      <w:r>
        <w:t xml:space="preserve"> and 4.0 (0.7± 0.</w:t>
      </w:r>
      <w:r>
        <w:rPr>
          <w:rFonts w:ascii="Times-Roman" w:hAnsi="Times-Roman" w:cs="Times-Roman"/>
        </w:rPr>
        <w:t>9</w:t>
      </w:r>
      <w:r>
        <w:rPr>
          <w:rFonts w:eastAsia="MS Gothic"/>
          <w:color w:val="000000"/>
        </w:rPr>
        <w:t>)</w:t>
      </w:r>
      <w:r>
        <w:t xml:space="preserve"> for stress fracture</w:t>
      </w:r>
      <w:r w:rsidR="007A7006">
        <w:t xml:space="preserve"> mean in-event</w:t>
      </w:r>
      <w:r>
        <w:t xml:space="preserve"> treatment</w:t>
      </w:r>
      <w:r w:rsidR="007A7006">
        <w:t>s</w:t>
      </w:r>
      <w:r>
        <w:t xml:space="preserve"> among males and females respectively (Table </w:t>
      </w:r>
      <w:r w:rsidR="00881E38">
        <w:t>3</w:t>
      </w:r>
      <w:r>
        <w:t xml:space="preserve">). </w:t>
      </w:r>
    </w:p>
    <w:p w14:paraId="2FAEA1D8" w14:textId="77777777" w:rsidR="00DA15FB" w:rsidRDefault="00DA15FB">
      <w:pPr>
        <w:spacing w:line="480" w:lineRule="auto"/>
      </w:pPr>
    </w:p>
    <w:p w14:paraId="7E269063" w14:textId="5378CDAF" w:rsidR="00DA15FB" w:rsidRDefault="00DA15FB" w:rsidP="00DA15FB">
      <w:pPr>
        <w:spacing w:line="480" w:lineRule="auto"/>
        <w:outlineLvl w:val="0"/>
        <w:rPr>
          <w:b/>
        </w:rPr>
      </w:pPr>
      <w:r>
        <w:rPr>
          <w:b/>
        </w:rPr>
        <w:t>Set and Match Exposure</w:t>
      </w:r>
      <w:r w:rsidR="00AF282B">
        <w:rPr>
          <w:b/>
        </w:rPr>
        <w:t xml:space="preserve"> Results</w:t>
      </w:r>
    </w:p>
    <w:p w14:paraId="0957C777" w14:textId="3BC31A77" w:rsidR="00DA15FB" w:rsidRDefault="00AF282B">
      <w:pPr>
        <w:spacing w:line="480" w:lineRule="auto"/>
      </w:pPr>
      <w:r>
        <w:lastRenderedPageBreak/>
        <w:t xml:space="preserve">Supplementary tables including the incidence rates </w:t>
      </w:r>
      <w:r>
        <w:rPr>
          <w:rFonts w:eastAsia="MS Gothic"/>
          <w:color w:val="000000"/>
        </w:rPr>
        <w:t>± 95% CI and rate ratios for</w:t>
      </w:r>
      <w:r>
        <w:t xml:space="preserve"> injury region, type and in-event treatement frequency per 1,000 set and match exposure</w:t>
      </w:r>
      <w:r w:rsidR="00CB727D">
        <w:t xml:space="preserve"> are available.</w:t>
      </w:r>
    </w:p>
    <w:p w14:paraId="07221835" w14:textId="77777777" w:rsidR="00AD4403" w:rsidRDefault="00AD4403">
      <w:pPr>
        <w:spacing w:line="480" w:lineRule="auto"/>
        <w:rPr>
          <w:b/>
        </w:rPr>
      </w:pPr>
    </w:p>
    <w:p w14:paraId="42075C21" w14:textId="77777777" w:rsidR="006F5C0A" w:rsidRDefault="005226B0">
      <w:pPr>
        <w:spacing w:line="480" w:lineRule="auto"/>
        <w:outlineLvl w:val="0"/>
        <w:rPr>
          <w:b/>
        </w:rPr>
      </w:pPr>
      <w:r>
        <w:rPr>
          <w:b/>
        </w:rPr>
        <w:t>Discussion</w:t>
      </w:r>
    </w:p>
    <w:p w14:paraId="2F6644A4" w14:textId="1015D3A7" w:rsidR="006F5C0A" w:rsidRDefault="005226B0">
      <w:pPr>
        <w:spacing w:line="480" w:lineRule="auto"/>
      </w:pPr>
      <w:r>
        <w:t xml:space="preserve">The aim of </w:t>
      </w:r>
      <w:r w:rsidR="00897E7C">
        <w:t>this</w:t>
      </w:r>
      <w:r>
        <w:t xml:space="preserve"> study was to profile injuries at recent Australian Opens by </w:t>
      </w:r>
      <w:r w:rsidR="00B2117E">
        <w:t>sex</w:t>
      </w:r>
      <w:r>
        <w:t xml:space="preserve">, region, type, </w:t>
      </w:r>
      <w:r w:rsidR="00373DCC">
        <w:t>in-event treatment frequency</w:t>
      </w:r>
      <w:r>
        <w:t xml:space="preserve"> and year. </w:t>
      </w:r>
      <w:r w:rsidR="00E278AA">
        <w:t>F</w:t>
      </w:r>
      <w:r>
        <w:t xml:space="preserve">emale players sustained </w:t>
      </w:r>
      <w:r>
        <w:lastRenderedPageBreak/>
        <w:t>more injuries than male players over the</w:t>
      </w:r>
      <w:r w:rsidR="00E278AA">
        <w:t xml:space="preserve"> </w:t>
      </w:r>
      <w:r>
        <w:t xml:space="preserve">tournaments except for 2011. Shoulder and wrist, as well as foot and knee injuries were most common among female players, while lower limb injuries were the most prevalent among males. Over time, there were discernible increases in the rate of male upper arm, elbow and ankle injuries, and female upper arm, shoulder, wrist and lower leg injuries. </w:t>
      </w:r>
      <w:r w:rsidR="00D17080">
        <w:t>In keeping with previous accounts of Grand Slam</w:t>
      </w:r>
      <w:r w:rsidR="00E278AA">
        <w:t xml:space="preserve"> injuries</w:t>
      </w:r>
      <w:r w:rsidR="00D17080">
        <w:t xml:space="preserve"> </w:t>
      </w:r>
      <w:r w:rsidR="000A0B6A">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97950">
        <w:instrText xml:space="preserve"> ADDIN EN.CITE </w:instrText>
      </w:r>
      <w:r w:rsidR="00897950">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97950">
        <w:instrText xml:space="preserve"> ADDIN EN.CITE.DATA </w:instrText>
      </w:r>
      <w:r w:rsidR="00897950">
        <w:fldChar w:fldCharType="end"/>
      </w:r>
      <w:r w:rsidR="000A0B6A">
        <w:fldChar w:fldCharType="separate"/>
      </w:r>
      <w:r w:rsidR="00897950">
        <w:rPr>
          <w:noProof/>
        </w:rPr>
        <w:t>[</w:t>
      </w:r>
      <w:hyperlink w:anchor="_ENREF_1" w:tooltip="McCurdie, 2016 #427" w:history="1">
        <w:r w:rsidR="00AE02CA">
          <w:rPr>
            <w:noProof/>
          </w:rPr>
          <w:t>1</w:t>
        </w:r>
      </w:hyperlink>
      <w:r w:rsidR="00897950">
        <w:rPr>
          <w:noProof/>
        </w:rPr>
        <w:t xml:space="preserve">, </w:t>
      </w:r>
      <w:hyperlink w:anchor="_ENREF_2" w:tooltip="Sell, 2012 #152" w:history="1">
        <w:r w:rsidR="00AE02CA">
          <w:rPr>
            <w:noProof/>
          </w:rPr>
          <w:t>2</w:t>
        </w:r>
      </w:hyperlink>
      <w:r w:rsidR="00897950">
        <w:rPr>
          <w:noProof/>
        </w:rPr>
        <w:t>]</w:t>
      </w:r>
      <w:r w:rsidR="000A0B6A">
        <w:fldChar w:fldCharType="end"/>
      </w:r>
      <w:r w:rsidR="00D17080">
        <w:t xml:space="preserve">, muscle </w:t>
      </w:r>
      <w:r>
        <w:t xml:space="preserve">injuries were the most prominent injury type in both </w:t>
      </w:r>
      <w:r w:rsidR="00B2117E">
        <w:t>sexe</w:t>
      </w:r>
      <w:r>
        <w:t>s</w:t>
      </w:r>
      <w:r w:rsidR="00D17080">
        <w:t>. However, t</w:t>
      </w:r>
      <w:r>
        <w:t>he rate of stress fracture</w:t>
      </w:r>
      <w:r w:rsidR="00117F63">
        <w:t>s</w:t>
      </w:r>
      <w:r>
        <w:t xml:space="preserve"> noticeably increased over ti</w:t>
      </w:r>
      <w:r w:rsidR="004B092B">
        <w:t>me. T</w:t>
      </w:r>
      <w:r>
        <w:t xml:space="preserve">he torso region </w:t>
      </w:r>
      <w:r w:rsidR="005E6CFC">
        <w:t>(</w:t>
      </w:r>
      <w:r w:rsidR="00AF4D50">
        <w:t xml:space="preserve">neck, </w:t>
      </w:r>
      <w:r w:rsidR="005E6CFC">
        <w:lastRenderedPageBreak/>
        <w:t>thoracic spine, trunk and abdominal, lumbar spine, hip and groin, pelvis/buttock)</w:t>
      </w:r>
      <w:r w:rsidR="00AD4403">
        <w:t xml:space="preserve"> </w:t>
      </w:r>
      <w:r>
        <w:t xml:space="preserve">- and more particularly the neck and lumbar spine of male players and thoracic spine of female players - attracted high treatment </w:t>
      </w:r>
      <w:r w:rsidR="00F05990">
        <w:t>frequencies.</w:t>
      </w:r>
      <w:r>
        <w:t xml:space="preserve"> Joint sprains in male players and cartilage injuries in female players were the most </w:t>
      </w:r>
      <w:r w:rsidR="00C42A66">
        <w:t xml:space="preserve">frequently treated </w:t>
      </w:r>
      <w:r>
        <w:t>injury type.</w:t>
      </w:r>
    </w:p>
    <w:p w14:paraId="01641B94" w14:textId="77777777" w:rsidR="006F5C0A" w:rsidRDefault="006F5C0A">
      <w:pPr>
        <w:spacing w:line="480" w:lineRule="auto"/>
      </w:pPr>
    </w:p>
    <w:p w14:paraId="7882A1A1" w14:textId="77777777" w:rsidR="006F5C0A" w:rsidRDefault="00B2117E">
      <w:pPr>
        <w:spacing w:line="480" w:lineRule="auto"/>
        <w:outlineLvl w:val="0"/>
        <w:rPr>
          <w:b/>
        </w:rPr>
      </w:pPr>
      <w:r>
        <w:rPr>
          <w:b/>
        </w:rPr>
        <w:t>Sex</w:t>
      </w:r>
      <w:r w:rsidR="005226B0">
        <w:rPr>
          <w:b/>
        </w:rPr>
        <w:t xml:space="preserve"> differences </w:t>
      </w:r>
    </w:p>
    <w:p w14:paraId="467F856A" w14:textId="652E2DB1" w:rsidR="006F5C0A" w:rsidRDefault="005226B0">
      <w:pPr>
        <w:spacing w:line="480" w:lineRule="auto"/>
      </w:pPr>
      <w:r>
        <w:lastRenderedPageBreak/>
        <w:t>Higher injury rates have been reported among male than female players competing at Grand Slam level</w:t>
      </w:r>
      <w:r w:rsidR="00797E95">
        <w:fldChar w:fldCharType="begin"/>
      </w:r>
      <w:r w:rsidR="00897950">
        <w:instrText xml:space="preserve"> ADDIN EN.CITE &lt;EndNote&gt;&lt;Cite&gt;&lt;Author&gt;Sell&lt;/Author&gt;&lt;Year&gt;2012&lt;/Year&gt;&lt;RecNum&gt;152&lt;/RecNum&gt;&lt;DisplayText&gt;[2]&lt;/DisplayText&gt;&lt;record&gt;&lt;rec-number&gt;152&lt;/rec-number&gt;&lt;foreign-keys&gt;&lt;key app="EN" db-id="v2z99wx07srzpae0exnvvs00asvr5xxx2efw" timestamp="1420689914"&gt;152&lt;/key&gt;&lt;/foreign-keys&gt;&lt;ref-type name="Journal Article"&gt;17&lt;/ref-type&gt;&lt;contributors&gt;&lt;authors&gt;&lt;author&gt;Sell, Katie&lt;/author&gt;&lt;author&gt;Hainline, Brian&lt;/author&gt;&lt;author&gt;Yorio, Michael&lt;/author&gt;&lt;author&gt;Kovacs, Mark&lt;/author&gt;&lt;/authors&gt;&lt;/contributors&gt;&lt;titles&gt;&lt;title&gt;Injury trend analysis from the US Open Tennis Championships between 1994 and 2009&lt;/title&gt;&lt;secondary-title&gt;British journal of sports medicine&lt;/secondary-title&gt;&lt;/titles&gt;&lt;periodical&gt;&lt;full-title&gt;British journal of sports medicine&lt;/full-title&gt;&lt;/periodical&gt;&lt;pages&gt;bjsports-2012-091175&lt;/pages&gt;&lt;dates&gt;&lt;year&gt;2012&lt;/year&gt;&lt;/dates&gt;&lt;isbn&gt;1473-0480&lt;/isbn&gt;&lt;urls&gt;&lt;/urls&gt;&lt;/record&gt;&lt;/Cite&gt;&lt;/EndNote&gt;</w:instrText>
      </w:r>
      <w:r w:rsidR="00797E95">
        <w:fldChar w:fldCharType="separate"/>
      </w:r>
      <w:r w:rsidR="00897950">
        <w:rPr>
          <w:noProof/>
        </w:rPr>
        <w:t>[</w:t>
      </w:r>
      <w:hyperlink w:anchor="_ENREF_2" w:tooltip="Sell, 2012 #152" w:history="1">
        <w:r w:rsidR="00AE02CA">
          <w:rPr>
            <w:noProof/>
          </w:rPr>
          <w:t>2</w:t>
        </w:r>
      </w:hyperlink>
      <w:r w:rsidR="00897950">
        <w:rPr>
          <w:noProof/>
        </w:rPr>
        <w:t>]</w:t>
      </w:r>
      <w:r w:rsidR="00797E95">
        <w:fldChar w:fldCharType="end"/>
      </w:r>
      <w:r>
        <w:t xml:space="preserve">. </w:t>
      </w:r>
      <w:r w:rsidRPr="00A95BF7">
        <w:t>Conversely</w:t>
      </w:r>
      <w:r>
        <w:t>, accounting for injuries per 10,000 GE in the present study, women were found to have a higher injury rate compared to men. This is consistent with the higher incidence of injury in female professionals previously reported at Wimbledon, which utilised a set exposure injury rate to account for differe</w:t>
      </w:r>
      <w:r w:rsidR="00C554E2">
        <w:t xml:space="preserve">nces in </w:t>
      </w:r>
      <w:r w:rsidR="00B2117E">
        <w:t>sex</w:t>
      </w:r>
      <w:r w:rsidR="00C554E2">
        <w:t xml:space="preserve"> set requirements</w:t>
      </w:r>
      <w:r w:rsidR="00797E95">
        <w:fldChar w:fldCharType="begin"/>
      </w:r>
      <w:r w:rsidR="00897950">
        <w:instrText xml:space="preserve"> ADDIN EN.CITE &lt;EndNote&gt;&lt;Cite&gt;&lt;Author&gt;McCurdie&lt;/Author&gt;&lt;Year&gt;2016&lt;/Year&gt;&lt;RecNum&gt;427&lt;/RecNum&gt;&lt;DisplayText&gt;[1]&lt;/DisplayText&gt;&lt;record&gt;&lt;rec-number&gt;427&lt;/rec-number&gt;&lt;foreign-keys&gt;&lt;key app="EN" db-id="v2z99wx07srzpae0exnvvs00asvr5xxx2efw" timestamp="1458089116"&gt;427&lt;/key&gt;&lt;/foreign-keys&gt;&lt;ref-type name="Journal Article"&gt;17&lt;/ref-type&gt;&lt;contributors&gt;&lt;authors&gt;&lt;author&gt;McCurdie, I.&lt;/author&gt;&lt;author&gt;Smith, S.&lt;/author&gt;&lt;author&gt;Bell, P. H.&lt;/author&gt;&lt;author&gt;Batt, M. E.&lt;/author&gt;&lt;/authors&gt;&lt;/contributors&gt;&lt;auth-address&gt;Defence Medical Rehabilitation Centre (DMRC) Headley Court, Epsom, Surrey, UK All England Lawn Tennis Club, London, UK.&amp;#xD;Queens Medical Centre, Nottingham, UK.&amp;#xD;All England Lawn Tennis Club, London, UK The Paddocks Clinic, Princes Risborough, UK.&amp;#xD;The Paddocks Clinic, Princes Risborough, UK Nottingham University Hospitals NHS Trust, Nottingham, UK Arthritis Research UK Centre Sport, Exercise and Osteoarthritis, Nottingham, UK.&lt;/auth-address&gt;&lt;titles&gt;&lt;title&gt;Tennis injury data from The Championships, Wimbledon, from 2003 to 2012&lt;/title&gt;&lt;secondary-title&gt;Br J Sports Med&lt;/secondary-title&gt;&lt;alt-title&gt;British journal of sports medicine&lt;/alt-title&gt;&lt;/titles&gt;&lt;alt-periodical&gt;&lt;full-title&gt;British journal of sports medicine&lt;/full-title&gt;&lt;/alt-periodical&gt;&lt;edition&gt;2016/01/13&lt;/edition&gt;&lt;keywords&gt;&lt;keyword&gt;Cohort study&lt;/keyword&gt;&lt;keyword&gt;Injury&lt;/keyword&gt;&lt;keyword&gt;Retrospective&lt;/keyword&gt;&lt;keyword&gt;Tennis&lt;/keyword&gt;&lt;/keywords&gt;&lt;dates&gt;&lt;year&gt;2016&lt;/year&gt;&lt;pub-dates&gt;&lt;date&gt;Jan 11&lt;/date&gt;&lt;/pub-dates&gt;&lt;/dates&gt;&lt;isbn&gt;0306-3674&lt;/isbn&gt;&lt;accession-num&gt;26755678&lt;/accession-num&gt;&lt;urls&gt;&lt;/urls&gt;&lt;electronic-resource-num&gt;10.1136/bjsports-2015-095552&lt;/electronic-resource-num&gt;&lt;remote-database-provider&gt;NLM&lt;/remote-database-provider&gt;&lt;language&gt;Eng&lt;/language&gt;&lt;/record&gt;&lt;/Cite&gt;&lt;/EndNote&gt;</w:instrText>
      </w:r>
      <w:r w:rsidR="00797E95">
        <w:fldChar w:fldCharType="separate"/>
      </w:r>
      <w:r w:rsidR="00897950">
        <w:rPr>
          <w:noProof/>
        </w:rPr>
        <w:t>[</w:t>
      </w:r>
      <w:hyperlink w:anchor="_ENREF_1" w:tooltip="McCurdie, 2016 #427" w:history="1">
        <w:r w:rsidR="00AE02CA">
          <w:rPr>
            <w:noProof/>
          </w:rPr>
          <w:t>1</w:t>
        </w:r>
      </w:hyperlink>
      <w:r w:rsidR="00897950">
        <w:rPr>
          <w:noProof/>
        </w:rPr>
        <w:t>]</w:t>
      </w:r>
      <w:r w:rsidR="00797E95">
        <w:fldChar w:fldCharType="end"/>
      </w:r>
      <w:r>
        <w:t xml:space="preserve">. While the likely mechanisms of injury are multifactorial, it is likely that </w:t>
      </w:r>
      <w:r w:rsidR="00B2117E">
        <w:t>sex</w:t>
      </w:r>
      <w:r>
        <w:t>-based physi</w:t>
      </w:r>
      <w:r>
        <w:lastRenderedPageBreak/>
        <w:t>cal</w:t>
      </w:r>
      <w:r w:rsidR="00086C06">
        <w:fldChar w:fldCharType="begin"/>
      </w:r>
      <w:r w:rsidR="00897950">
        <w:instrText xml:space="preserve"> ADDIN EN.CITE &lt;EndNote&gt;&lt;Cite&gt;&lt;Author&gt;Reid&lt;/Author&gt;&lt;Year&gt;2016&lt;/Year&gt;&lt;RecNum&gt;432&lt;/RecNum&gt;&lt;DisplayText&gt;[15, 16]&lt;/DisplayText&gt;&lt;record&gt;&lt;rec-number&gt;432&lt;/rec-number&gt;&lt;foreign-keys&gt;&lt;key app="EN" db-id="v2z99wx07srzpae0exnvvs00asvr5xxx2efw" timestamp="1458521715"&gt;432&lt;/key&gt;&lt;/foreign-keys&gt;&lt;ref-type name="Journal Article"&gt;17&lt;/ref-type&gt;&lt;contributors&gt;&lt;authors&gt;&lt;author&gt;Reid, M&lt;/author&gt;&lt;author&gt;Morgan, S&lt;/author&gt;&lt;author&gt;Whiteside, D&lt;/author&gt;&lt;/authors&gt;&lt;/contributors&gt;&lt;titles&gt;&lt;title&gt;Matchplay characteristics of Grand Slam tennis: implications for training and conditioning&lt;/title&gt;&lt;secondary-title&gt;Journal of Sports Sciences&lt;/secondary-title&gt;&lt;/titles&gt;&lt;periodical&gt;&lt;full-title&gt;Journal of sports sciences&lt;/full-title&gt;&lt;/periodical&gt;&lt;volume&gt;In Press&lt;/volume&gt;&lt;dates&gt;&lt;year&gt;2016&lt;/year&gt;&lt;/dates&gt;&lt;urls&gt;&lt;/urls&gt;&lt;/record&gt;&lt;/Cite&gt;&lt;Cite&gt;&lt;Author&gt;Paserman&lt;/Author&gt;&lt;Year&gt;2007&lt;/Year&gt;&lt;RecNum&gt;264&lt;/RecNum&gt;&lt;record&gt;&lt;rec-number&gt;264&lt;/rec-number&gt;&lt;foreign-keys&gt;&lt;key app="EN" db-id="v2z99wx07srzpae0exnvvs00asvr5xxx2efw" timestamp="1421027566"&gt;264&lt;/key&gt;&lt;/foreign-keys&gt;&lt;ref-type name="Report"&gt;27&lt;/ref-type&gt;&lt;contributors&gt;&lt;authors&gt;&lt;author&gt;Paserman, Marco Daniele&lt;/author&gt;&lt;/authors&gt;&lt;/contributors&gt;&lt;titles&gt;&lt;title&gt;Gender differences in performance in competitive environments: evidence from professional tennis players&lt;/title&gt;&lt;/titles&gt;&lt;dates&gt;&lt;year&gt;2007&lt;/year&gt;&lt;/dates&gt;&lt;publisher&gt;IZA Discussion Papers&lt;/publisher&gt;&lt;urls&gt;&lt;/urls&gt;&lt;/record&gt;&lt;/Cite&gt;&lt;/EndNote&gt;</w:instrText>
      </w:r>
      <w:r w:rsidR="00086C06">
        <w:fldChar w:fldCharType="separate"/>
      </w:r>
      <w:r w:rsidR="00897950">
        <w:rPr>
          <w:noProof/>
        </w:rPr>
        <w:t>[</w:t>
      </w:r>
      <w:hyperlink w:anchor="_ENREF_15" w:tooltip="Reid, 2016 #432" w:history="1">
        <w:r w:rsidR="00AE02CA">
          <w:rPr>
            <w:noProof/>
          </w:rPr>
          <w:t>15</w:t>
        </w:r>
      </w:hyperlink>
      <w:r w:rsidR="00897950">
        <w:rPr>
          <w:noProof/>
        </w:rPr>
        <w:t xml:space="preserve">, </w:t>
      </w:r>
      <w:hyperlink w:anchor="_ENREF_16" w:tooltip="Paserman, 2007 #264" w:history="1">
        <w:r w:rsidR="00AE02CA">
          <w:rPr>
            <w:noProof/>
          </w:rPr>
          <w:t>16</w:t>
        </w:r>
      </w:hyperlink>
      <w:r w:rsidR="00897950">
        <w:rPr>
          <w:noProof/>
        </w:rPr>
        <w:t>]</w:t>
      </w:r>
      <w:r w:rsidR="00086C06">
        <w:fldChar w:fldCharType="end"/>
      </w:r>
      <w:r>
        <w:t>, tec</w:t>
      </w:r>
      <w:r w:rsidR="00C554E2">
        <w:t>hnical and tactical differences</w:t>
      </w:r>
      <w:r w:rsidR="00086C06">
        <w:fldChar w:fldCharType="begin"/>
      </w:r>
      <w:r w:rsidR="00897950">
        <w:instrText xml:space="preserve"> ADDIN EN.CITE &lt;EndNote&gt;&lt;Cite&gt;&lt;Author&gt;Reid&lt;/Author&gt;&lt;Year&gt;2016&lt;/Year&gt;&lt;RecNum&gt;432&lt;/RecNum&gt;&lt;DisplayText&gt;[15, 17]&lt;/DisplayText&gt;&lt;record&gt;&lt;rec-number&gt;432&lt;/rec-number&gt;&lt;foreign-keys&gt;&lt;key app="EN" db-id="v2z99wx07srzpae0exnvvs00asvr5xxx2efw" timestamp="1458521715"&gt;432&lt;/key&gt;&lt;/foreign-keys&gt;&lt;ref-type name="Journal Article"&gt;17&lt;/ref-type&gt;&lt;contributors&gt;&lt;authors&gt;&lt;author&gt;Reid, M&lt;/author&gt;&lt;author&gt;Morgan, S&lt;/author&gt;&lt;author&gt;Whiteside, D&lt;/author&gt;&lt;/authors&gt;&lt;/contributors&gt;&lt;titles&gt;&lt;title&gt;Matchplay characteristics of Grand Slam tennis: implications for training and conditioning&lt;/title&gt;&lt;secondary-title&gt;Journal of Sports Sciences&lt;/secondary-title&gt;&lt;/titles&gt;&lt;periodical&gt;&lt;full-title&gt;Journal of sports sciences&lt;/full-title&gt;&lt;/periodical&gt;&lt;volume&gt;In Press&lt;/volume&gt;&lt;dates&gt;&lt;year&gt;2016&lt;/year&gt;&lt;/dates&gt;&lt;urls&gt;&lt;/urls&gt;&lt;/record&gt;&lt;/Cite&gt;&lt;Cite&gt;&lt;Author&gt;Gescheit&lt;/Author&gt;&lt;Year&gt;2016&lt;/Year&gt;&lt;RecNum&gt;460&lt;/RecNum&gt;&lt;record&gt;&lt;rec-number&gt;460&lt;/rec-number&gt;&lt;foreign-keys&gt;&lt;key app="EN" db-id="v2z99wx07srzpae0exnvvs00asvr5xxx2efw" timestamp="1477615775"&gt;460&lt;/key&gt;&lt;/foreign-keys&gt;&lt;ref-type name="Journal Article"&gt;17&lt;/ref-type&gt;&lt;contributors&gt;&lt;authors&gt;&lt;author&gt;Gescheit, Danielle T.&lt;/author&gt;&lt;author&gt;Duffield, Rob&lt;/author&gt;&lt;author&gt;Skein, Melissa&lt;/author&gt;&lt;author&gt;Brydon, Neil&lt;/author&gt;&lt;author&gt;Cormack, Stuart J.&lt;/author&gt;&lt;author&gt;Reid, Machar&lt;/author&gt;&lt;/authors&gt;&lt;/contributors&gt;&lt;titles&gt;&lt;title&gt;Effects of consecutive days of match play on technical performance in tennis&lt;/title&gt;&lt;secondary-title&gt;Journal of Sports Sciences&lt;/secondary-title&gt;&lt;/titles&gt;&lt;periodical&gt;&lt;full-title&gt;Journal of sports sciences&lt;/full-title&gt;&lt;/periodical&gt;&lt;pages&gt;1-7&lt;/pages&gt;&lt;dates&gt;&lt;year&gt;2016&lt;/year&gt;&lt;/dates&gt;&lt;publisher&gt;Routledge&lt;/publisher&gt;&lt;isbn&gt;0264-0414&lt;/isbn&gt;&lt;urls&gt;&lt;related-urls&gt;&lt;url&gt;http://dx.doi.org/10.1080/02640414.2016.1244352&lt;/url&gt;&lt;/related-urls&gt;&lt;/urls&gt;&lt;electronic-resource-num&gt;10.1080/02640414.2016.1244352&lt;/electronic-resource-num&gt;&lt;/record&gt;&lt;/Cite&gt;&lt;/EndNote&gt;</w:instrText>
      </w:r>
      <w:r w:rsidR="00086C06">
        <w:fldChar w:fldCharType="separate"/>
      </w:r>
      <w:r w:rsidR="00897950">
        <w:rPr>
          <w:noProof/>
        </w:rPr>
        <w:t>[</w:t>
      </w:r>
      <w:hyperlink w:anchor="_ENREF_15" w:tooltip="Reid, 2016 #432" w:history="1">
        <w:r w:rsidR="00AE02CA">
          <w:rPr>
            <w:noProof/>
          </w:rPr>
          <w:t>15</w:t>
        </w:r>
      </w:hyperlink>
      <w:r w:rsidR="00897950">
        <w:rPr>
          <w:noProof/>
        </w:rPr>
        <w:t xml:space="preserve">, </w:t>
      </w:r>
      <w:hyperlink w:anchor="_ENREF_17" w:tooltip="Gescheit, 2016 #460" w:history="1">
        <w:r w:rsidR="00AE02CA">
          <w:rPr>
            <w:noProof/>
          </w:rPr>
          <w:t>17</w:t>
        </w:r>
      </w:hyperlink>
      <w:r w:rsidR="00897950">
        <w:rPr>
          <w:noProof/>
        </w:rPr>
        <w:t>]</w:t>
      </w:r>
      <w:r w:rsidR="00086C06">
        <w:fldChar w:fldCharType="end"/>
      </w:r>
      <w:r w:rsidR="00086C06">
        <w:t xml:space="preserve"> </w:t>
      </w:r>
      <w:r>
        <w:t>are contributers. For example, females have slower movement speeds</w:t>
      </w:r>
      <w:r w:rsidR="004F7A50">
        <w:fldChar w:fldCharType="begin"/>
      </w:r>
      <w:r w:rsidR="00897950">
        <w:instrText xml:space="preserve"> ADDIN EN.CITE &lt;EndNote&gt;&lt;Cite&gt;&lt;Author&gt;Reid&lt;/Author&gt;&lt;Year&gt;2016&lt;/Year&gt;&lt;RecNum&gt;432&lt;/RecNum&gt;&lt;DisplayText&gt;[15]&lt;/DisplayText&gt;&lt;record&gt;&lt;rec-number&gt;432&lt;/rec-number&gt;&lt;foreign-keys&gt;&lt;key app="EN" db-id="v2z99wx07srzpae0exnvvs00asvr5xxx2efw" timestamp="1458521715"&gt;432&lt;/key&gt;&lt;/foreign-keys&gt;&lt;ref-type name="Journal Article"&gt;17&lt;/ref-type&gt;&lt;contributors&gt;&lt;authors&gt;&lt;author&gt;Reid, M&lt;/author&gt;&lt;author&gt;Morgan, S&lt;/author&gt;&lt;author&gt;Whiteside, D&lt;/author&gt;&lt;/authors&gt;&lt;/contributors&gt;&lt;titles&gt;&lt;title&gt;Matchplay characteristics of Grand Slam tennis: implications for training and conditioning&lt;/title&gt;&lt;secondary-title&gt;Journal of Sports Sciences&lt;/secondary-title&gt;&lt;/titles&gt;&lt;periodical&gt;&lt;full-title&gt;Journal of sports sciences&lt;/full-title&gt;&lt;/periodical&gt;&lt;volume&gt;In Press&lt;/volume&gt;&lt;dates&gt;&lt;year&gt;2016&lt;/year&gt;&lt;/dates&gt;&lt;urls&gt;&lt;/urls&gt;&lt;/record&gt;&lt;/Cite&gt;&lt;/EndNote&gt;</w:instrText>
      </w:r>
      <w:r w:rsidR="004F7A50">
        <w:fldChar w:fldCharType="separate"/>
      </w:r>
      <w:r w:rsidR="00897950">
        <w:rPr>
          <w:noProof/>
        </w:rPr>
        <w:t>[</w:t>
      </w:r>
      <w:hyperlink w:anchor="_ENREF_15" w:tooltip="Reid, 2016 #432" w:history="1">
        <w:r w:rsidR="00AE02CA">
          <w:rPr>
            <w:noProof/>
          </w:rPr>
          <w:t>15</w:t>
        </w:r>
      </w:hyperlink>
      <w:r w:rsidR="00897950">
        <w:rPr>
          <w:noProof/>
        </w:rPr>
        <w:t>]</w:t>
      </w:r>
      <w:r w:rsidR="004F7A50">
        <w:fldChar w:fldCharType="end"/>
      </w:r>
      <w:r>
        <w:t>, and lower absolute strength</w:t>
      </w:r>
      <w:r w:rsidR="004F7A50">
        <w:fldChar w:fldCharType="begin"/>
      </w:r>
      <w:r w:rsidR="00897950">
        <w:instrText xml:space="preserve"> ADDIN EN.CITE &lt;EndNote&gt;&lt;Cite&gt;&lt;Author&gt;Paserman&lt;/Author&gt;&lt;Year&gt;2007&lt;/Year&gt;&lt;RecNum&gt;264&lt;/RecNum&gt;&lt;DisplayText&gt;[16]&lt;/DisplayText&gt;&lt;record&gt;&lt;rec-number&gt;264&lt;/rec-number&gt;&lt;foreign-keys&gt;&lt;key app="EN" db-id="v2z99wx07srzpae0exnvvs00asvr5xxx2efw" timestamp="1421027566"&gt;264&lt;/key&gt;&lt;/foreign-keys&gt;&lt;ref-type name="Report"&gt;27&lt;/ref-type&gt;&lt;contributors&gt;&lt;authors&gt;&lt;author&gt;Paserman, Marco Daniele&lt;/author&gt;&lt;/authors&gt;&lt;/contributors&gt;&lt;titles&gt;&lt;title&gt;Gender differences in performance in competitive environments: evidence from professional tennis players&lt;/title&gt;&lt;/titles&gt;&lt;dates&gt;&lt;year&gt;2007&lt;/year&gt;&lt;/dates&gt;&lt;publisher&gt;IZA Discussion Papers&lt;/publisher&gt;&lt;urls&gt;&lt;/urls&gt;&lt;/record&gt;&lt;/Cite&gt;&lt;/EndNote&gt;</w:instrText>
      </w:r>
      <w:r w:rsidR="004F7A50">
        <w:fldChar w:fldCharType="separate"/>
      </w:r>
      <w:r w:rsidR="00897950">
        <w:rPr>
          <w:noProof/>
        </w:rPr>
        <w:t>[</w:t>
      </w:r>
      <w:hyperlink w:anchor="_ENREF_16" w:tooltip="Paserman, 2007 #264" w:history="1">
        <w:r w:rsidR="00AE02CA">
          <w:rPr>
            <w:noProof/>
          </w:rPr>
          <w:t>16</w:t>
        </w:r>
      </w:hyperlink>
      <w:r w:rsidR="00897950">
        <w:rPr>
          <w:noProof/>
        </w:rPr>
        <w:t>]</w:t>
      </w:r>
      <w:r w:rsidR="004F7A50">
        <w:fldChar w:fldCharType="end"/>
      </w:r>
      <w:r w:rsidR="004F7A50">
        <w:t xml:space="preserve"> </w:t>
      </w:r>
      <w:r>
        <w:t xml:space="preserve">compared to professional male tennis players. </w:t>
      </w:r>
      <w:r w:rsidR="00C42A66">
        <w:t>Therefore</w:t>
      </w:r>
      <w:r>
        <w:t>, they may have less time to set up for optimal stroke execution resulting in compromised joint positioning</w:t>
      </w:r>
      <w:r w:rsidR="004F7A50">
        <w:fldChar w:fldCharType="begin"/>
      </w:r>
      <w:r w:rsidR="00897950">
        <w:instrText xml:space="preserve"> ADDIN EN.CITE &lt;EndNote&gt;&lt;Cite&gt;&lt;Author&gt;Gescheit&lt;/Author&gt;&lt;Year&gt;2016&lt;/Year&gt;&lt;RecNum&gt;460&lt;/RecNum&gt;&lt;DisplayText&gt;[17]&lt;/DisplayText&gt;&lt;record&gt;&lt;rec-number&gt;460&lt;/rec-number&gt;&lt;foreign-keys&gt;&lt;key app="EN" db-id="v2z99wx07srzpae0exnvvs00asvr5xxx2efw" timestamp="1477615775"&gt;460&lt;/key&gt;&lt;/foreign-keys&gt;&lt;ref-type name="Journal Article"&gt;17&lt;/ref-type&gt;&lt;contributors&gt;&lt;authors&gt;&lt;author&gt;Gescheit, Danielle T.&lt;/author&gt;&lt;author&gt;Duffield, Rob&lt;/author&gt;&lt;author&gt;Skein, Melissa&lt;/author&gt;&lt;author&gt;Brydon, Neil&lt;/author&gt;&lt;author&gt;Cormack, Stuart J.&lt;/author&gt;&lt;author&gt;Reid, Machar&lt;/author&gt;&lt;/authors&gt;&lt;/contributors&gt;&lt;titles&gt;&lt;title&gt;Effects of consecutive days of match play on technical performance in tennis&lt;/title&gt;&lt;secondary-title&gt;Journal of Sports Sciences&lt;/secondary-title&gt;&lt;/titles&gt;&lt;periodical&gt;&lt;full-title&gt;Journal of sports sciences&lt;/full-title&gt;&lt;/periodical&gt;&lt;pages&gt;1-7&lt;/pages&gt;&lt;dates&gt;&lt;year&gt;2016&lt;/year&gt;&lt;/dates&gt;&lt;publisher&gt;Routledge&lt;/publisher&gt;&lt;isbn&gt;0264-0414&lt;/isbn&gt;&lt;urls&gt;&lt;related-urls&gt;&lt;url&gt;http://dx.doi.org/10.1080/02640414.2016.1244352&lt;/url&gt;&lt;/related-urls&gt;&lt;/urls&gt;&lt;electronic-resource-num&gt;10.1080/02640414.2016.1244352&lt;/electronic-resource-num&gt;&lt;/record&gt;&lt;/Cite&gt;&lt;/EndNote&gt;</w:instrText>
      </w:r>
      <w:r w:rsidR="004F7A50">
        <w:fldChar w:fldCharType="separate"/>
      </w:r>
      <w:r w:rsidR="00897950">
        <w:rPr>
          <w:noProof/>
        </w:rPr>
        <w:t>[</w:t>
      </w:r>
      <w:hyperlink w:anchor="_ENREF_17" w:tooltip="Gescheit, 2016 #460" w:history="1">
        <w:r w:rsidR="00AE02CA">
          <w:rPr>
            <w:noProof/>
          </w:rPr>
          <w:t>17</w:t>
        </w:r>
      </w:hyperlink>
      <w:r w:rsidR="00897950">
        <w:rPr>
          <w:noProof/>
        </w:rPr>
        <w:t>]</w:t>
      </w:r>
      <w:r w:rsidR="004F7A50">
        <w:fldChar w:fldCharType="end"/>
      </w:r>
      <w:r w:rsidR="00C42A66">
        <w:t>. This</w:t>
      </w:r>
      <w:r>
        <w:t xml:space="preserve"> could explain their high prevalence of injuries across both extremities. Additionally, males could be relatively more likely to sustain lower limb injuries owing to the heightened absolute movement demands of the men’s game</w:t>
      </w:r>
      <w:r w:rsidR="004F7A50">
        <w:fldChar w:fldCharType="begin"/>
      </w:r>
      <w:r w:rsidR="00897950">
        <w:instrText xml:space="preserve"> ADDIN EN.CITE &lt;EndNote&gt;&lt;Cite&gt;&lt;Author&gt;Reid&lt;/Author&gt;&lt;Year&gt;2016&lt;/Year&gt;&lt;RecNum&gt;432&lt;/RecNum&gt;&lt;DisplayText&gt;[15]&lt;/DisplayText&gt;&lt;record&gt;&lt;rec-number&gt;432&lt;/rec-number&gt;&lt;foreign-keys&gt;&lt;key app="EN" db-id="v2z99wx07srzpae0exnvvs00asvr5xxx2efw" timestamp="1458521715"&gt;432&lt;/key&gt;&lt;/foreign-keys&gt;&lt;ref-type name="Journal Article"&gt;17&lt;/ref-type&gt;&lt;contributors&gt;&lt;authors&gt;&lt;author&gt;Reid, M&lt;/author&gt;&lt;author&gt;Morgan, S&lt;/author&gt;&lt;author&gt;Whiteside, D&lt;/author&gt;&lt;/authors&gt;&lt;/contributors&gt;&lt;titles&gt;&lt;title&gt;Matchplay characteristics of Grand Slam tennis: implications for training and conditioning&lt;/title&gt;&lt;secondary-title&gt;Journal of Sports Sciences&lt;/secondary-title&gt;&lt;/titles&gt;&lt;periodical&gt;&lt;full-title&gt;Journal of sports sciences&lt;/full-title&gt;&lt;/periodical&gt;&lt;volume&gt;In Press&lt;/volume&gt;&lt;dates&gt;&lt;year&gt;2016&lt;/year&gt;&lt;/dates&gt;&lt;urls&gt;&lt;/urls&gt;&lt;/record&gt;&lt;/Cite&gt;&lt;/EndNote&gt;</w:instrText>
      </w:r>
      <w:r w:rsidR="004F7A50">
        <w:fldChar w:fldCharType="separate"/>
      </w:r>
      <w:r w:rsidR="00897950">
        <w:rPr>
          <w:noProof/>
        </w:rPr>
        <w:t>[</w:t>
      </w:r>
      <w:hyperlink w:anchor="_ENREF_15" w:tooltip="Reid, 2016 #432" w:history="1">
        <w:r w:rsidR="00AE02CA">
          <w:rPr>
            <w:noProof/>
          </w:rPr>
          <w:t>15</w:t>
        </w:r>
      </w:hyperlink>
      <w:r w:rsidR="00897950">
        <w:rPr>
          <w:noProof/>
        </w:rPr>
        <w:t>]</w:t>
      </w:r>
      <w:r w:rsidR="004F7A50">
        <w:fldChar w:fldCharType="end"/>
      </w:r>
      <w:r>
        <w:t xml:space="preserve">.  Indeed, the higher incidence of lower </w:t>
      </w:r>
      <w:r>
        <w:lastRenderedPageBreak/>
        <w:t>limb injury as compared to upper limb injury in male Australian Open players, is consistent with the earlier Wimbledon and US Open Grand Slam injury epidemiology research</w:t>
      </w:r>
      <w:r w:rsidR="004F7A50">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97950">
        <w:instrText xml:space="preserve"> ADDIN EN.CITE </w:instrText>
      </w:r>
      <w:r w:rsidR="00897950">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97950">
        <w:instrText xml:space="preserve"> ADDIN EN.CITE.DATA </w:instrText>
      </w:r>
      <w:r w:rsidR="00897950">
        <w:fldChar w:fldCharType="end"/>
      </w:r>
      <w:r w:rsidR="004F7A50">
        <w:fldChar w:fldCharType="separate"/>
      </w:r>
      <w:r w:rsidR="00897950">
        <w:rPr>
          <w:noProof/>
        </w:rPr>
        <w:t>[</w:t>
      </w:r>
      <w:hyperlink w:anchor="_ENREF_1" w:tooltip="McCurdie, 2016 #427" w:history="1">
        <w:r w:rsidR="00AE02CA">
          <w:rPr>
            <w:noProof/>
          </w:rPr>
          <w:t>1</w:t>
        </w:r>
      </w:hyperlink>
      <w:r w:rsidR="00897950">
        <w:rPr>
          <w:noProof/>
        </w:rPr>
        <w:t xml:space="preserve">, </w:t>
      </w:r>
      <w:hyperlink w:anchor="_ENREF_2" w:tooltip="Sell, 2012 #152" w:history="1">
        <w:r w:rsidR="00AE02CA">
          <w:rPr>
            <w:noProof/>
          </w:rPr>
          <w:t>2</w:t>
        </w:r>
      </w:hyperlink>
      <w:r w:rsidR="00897950">
        <w:rPr>
          <w:noProof/>
        </w:rPr>
        <w:t>]</w:t>
      </w:r>
      <w:r w:rsidR="004F7A50">
        <w:fldChar w:fldCharType="end"/>
      </w:r>
      <w:r>
        <w:t xml:space="preserve">. </w:t>
      </w:r>
    </w:p>
    <w:p w14:paraId="252E167D" w14:textId="77777777" w:rsidR="006F5C0A" w:rsidRDefault="006F5C0A">
      <w:pPr>
        <w:spacing w:line="480" w:lineRule="auto"/>
      </w:pPr>
    </w:p>
    <w:p w14:paraId="74219139" w14:textId="77777777" w:rsidR="006F5C0A" w:rsidRDefault="005226B0">
      <w:pPr>
        <w:spacing w:line="480" w:lineRule="auto"/>
        <w:outlineLvl w:val="0"/>
        <w:rPr>
          <w:b/>
        </w:rPr>
      </w:pPr>
      <w:r>
        <w:rPr>
          <w:b/>
        </w:rPr>
        <w:t>Injury by Type</w:t>
      </w:r>
    </w:p>
    <w:p w14:paraId="46CD336A" w14:textId="7013AE3C" w:rsidR="006F5C0A" w:rsidRDefault="00897950">
      <w:pPr>
        <w:spacing w:line="480" w:lineRule="auto"/>
      </w:pPr>
      <w:r>
        <w:t>Muscle</w:t>
      </w:r>
      <w:r w:rsidR="005226B0">
        <w:t xml:space="preserve"> injuries were the most common across both </w:t>
      </w:r>
      <w:r w:rsidR="00B2117E">
        <w:t>sexe</w:t>
      </w:r>
      <w:r w:rsidR="005226B0">
        <w:t xml:space="preserve">s followed by tendon and joint sprains. This </w:t>
      </w:r>
      <w:r w:rsidR="00164DF5">
        <w:t xml:space="preserve">agrees with </w:t>
      </w:r>
      <w:r w:rsidR="005226B0">
        <w:t>the injury reports at the US Open and Wimbledon Grand Slams</w:t>
      </w:r>
      <w:r w:rsidR="00AD1876">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instrText xml:space="preserve"> ADDIN EN.CITE </w:instrText>
      </w:r>
      <w:r>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instrText xml:space="preserve"> ADDIN EN.CITE.DATA </w:instrText>
      </w:r>
      <w:r>
        <w:fldChar w:fldCharType="end"/>
      </w:r>
      <w:r w:rsidR="00AD1876">
        <w:fldChar w:fldCharType="separate"/>
      </w:r>
      <w:r>
        <w:rPr>
          <w:noProof/>
        </w:rPr>
        <w:t>[</w:t>
      </w:r>
      <w:hyperlink w:anchor="_ENREF_1" w:tooltip="McCurdie, 2016 #427" w:history="1">
        <w:r w:rsidR="00AE02CA">
          <w:rPr>
            <w:noProof/>
          </w:rPr>
          <w:t>1</w:t>
        </w:r>
      </w:hyperlink>
      <w:r>
        <w:rPr>
          <w:noProof/>
        </w:rPr>
        <w:t xml:space="preserve">, </w:t>
      </w:r>
      <w:hyperlink w:anchor="_ENREF_2" w:tooltip="Sell, 2012 #152" w:history="1">
        <w:r w:rsidR="00AE02CA">
          <w:rPr>
            <w:noProof/>
          </w:rPr>
          <w:t>2</w:t>
        </w:r>
      </w:hyperlink>
      <w:r>
        <w:rPr>
          <w:noProof/>
        </w:rPr>
        <w:t>]</w:t>
      </w:r>
      <w:r w:rsidR="00AD1876">
        <w:fldChar w:fldCharType="end"/>
      </w:r>
      <w:r w:rsidR="005226B0">
        <w:t xml:space="preserve">. This finding was anticipated given the dynamic, </w:t>
      </w:r>
      <w:r w:rsidR="005226B0">
        <w:lastRenderedPageBreak/>
        <w:t>high-intensity and repetitive nature of tennis that places large strain on the muscles, tendons and joints</w:t>
      </w:r>
      <w:r w:rsidR="00743A20">
        <w:fldChar w:fldCharType="begin">
          <w:fldData xml:space="preserve">PEVuZE5vdGU+PENpdGU+PEF1dGhvcj5QYXNlcm1hbjwvQXV0aG9yPjxZZWFyPjIwMDc8L1llYXI+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</w:fldData>
        </w:fldChar>
      </w:r>
      <w:r>
        <w:instrText xml:space="preserve"> ADDIN EN.CITE </w:instrText>
      </w:r>
      <w:r>
        <w:fldChar w:fldCharType="begin">
          <w:fldData xml:space="preserve">PEVuZE5vdGU+PENpdGU+PEF1dGhvcj5QYXNlcm1hbjwvQXV0aG9yPjxZZWFyPjIwMDc8L1llYXI+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</w:fldData>
        </w:fldChar>
      </w:r>
      <w:r>
        <w:instrText xml:space="preserve"> ADDIN EN.CITE.DATA </w:instrText>
      </w:r>
      <w:r>
        <w:fldChar w:fldCharType="end"/>
      </w:r>
      <w:r w:rsidR="00743A20">
        <w:fldChar w:fldCharType="separate"/>
      </w:r>
      <w:r>
        <w:rPr>
          <w:noProof/>
        </w:rPr>
        <w:t>[</w:t>
      </w:r>
      <w:hyperlink w:anchor="_ENREF_16" w:tooltip="Paserman, 2007 #264" w:history="1">
        <w:r w:rsidR="00AE02CA">
          <w:rPr>
            <w:noProof/>
          </w:rPr>
          <w:t>16</w:t>
        </w:r>
      </w:hyperlink>
      <w:r>
        <w:rPr>
          <w:noProof/>
        </w:rPr>
        <w:t xml:space="preserve">, </w:t>
      </w:r>
      <w:hyperlink w:anchor="_ENREF_18" w:tooltip="Fernandez, 2006 #44" w:history="1">
        <w:r w:rsidR="00AE02CA">
          <w:rPr>
            <w:noProof/>
          </w:rPr>
          <w:t>18</w:t>
        </w:r>
      </w:hyperlink>
      <w:r>
        <w:rPr>
          <w:noProof/>
        </w:rPr>
        <w:t xml:space="preserve">, </w:t>
      </w:r>
      <w:hyperlink w:anchor="_ENREF_19" w:tooltip="Barnett, 2007 #145" w:history="1">
        <w:r w:rsidR="00AE02CA">
          <w:rPr>
            <w:noProof/>
          </w:rPr>
          <w:t>19</w:t>
        </w:r>
      </w:hyperlink>
      <w:r>
        <w:rPr>
          <w:noProof/>
        </w:rPr>
        <w:t>]</w:t>
      </w:r>
      <w:r w:rsidR="00743A20">
        <w:fldChar w:fldCharType="end"/>
      </w:r>
      <w:r w:rsidR="005226B0">
        <w:t xml:space="preserve">. It is worth noting that whilst remaining the most prominent injury, a 13% reduction in muscle injuries in males existed over the </w:t>
      </w:r>
      <w:r w:rsidR="00C42A66">
        <w:t>six year</w:t>
      </w:r>
      <w:r w:rsidR="005226B0">
        <w:t xml:space="preserve"> period, despite no reduction in total injuries. Additionally, the highest male and female injury type </w:t>
      </w:r>
      <w:r w:rsidR="00373DCC">
        <w:t>in-event treatment frequenc</w:t>
      </w:r>
      <w:r w:rsidR="00815BC4">
        <w:t>ies</w:t>
      </w:r>
      <w:r w:rsidR="005226B0">
        <w:t xml:space="preserve"> resulted from joint sprains and cartilage injuries respectively. The higher cost of such injuries suggests that these injury types </w:t>
      </w:r>
      <w:r w:rsidR="004C11E1">
        <w:t xml:space="preserve">require </w:t>
      </w:r>
      <w:r w:rsidR="0036285C">
        <w:t>greater</w:t>
      </w:r>
      <w:r w:rsidR="004C11E1">
        <w:t xml:space="preserve"> on-going consultation by</w:t>
      </w:r>
      <w:r w:rsidR="009672F4">
        <w:t xml:space="preserve"> tournament physicians and physiotherapists. </w:t>
      </w:r>
      <w:r w:rsidR="005226B0">
        <w:t xml:space="preserve">Separately, stress fracture </w:t>
      </w:r>
      <w:r w:rsidR="005226B0">
        <w:lastRenderedPageBreak/>
        <w:t xml:space="preserve">injury occurrence and </w:t>
      </w:r>
      <w:r w:rsidR="009672F4">
        <w:t xml:space="preserve">in-event </w:t>
      </w:r>
      <w:r w:rsidR="005226B0">
        <w:t>treatment</w:t>
      </w:r>
      <w:r w:rsidR="009672F4">
        <w:t>s</w:t>
      </w:r>
      <w:r w:rsidR="005226B0">
        <w:t xml:space="preserve"> in both </w:t>
      </w:r>
      <w:r w:rsidR="00B2117E">
        <w:t>sexe</w:t>
      </w:r>
      <w:r w:rsidR="005226B0">
        <w:t>s increased over this time-period. This is supported by findings highlighting the high risk of stress fractures in tennis players due the repetitive powerful movements demanded which could place heavy mechanical loads on athlete bone</w:t>
      </w:r>
      <w:r w:rsidR="00FF38CD">
        <w:fldChar w:fldCharType="begin"/>
      </w:r>
      <w:r>
        <w:instrText xml:space="preserve"> ADDIN EN.CITE &lt;EndNote&gt;&lt;Cite&gt;&lt;Author&gt;Maquirriain&lt;/Author&gt;&lt;Year&gt;2006&lt;/Year&gt;&lt;RecNum&gt;246&lt;/RecNum&gt;&lt;DisplayText&gt;[20]&lt;/DisplayText&gt;&lt;record&gt;&lt;rec-number&gt;246&lt;/rec-number&gt;&lt;foreign-keys&gt;&lt;key app="EN" db-id="v2z99wx07srzpae0exnvvs00asvr5xxx2efw" timestamp="1420777293"&gt;246&lt;/key&gt;&lt;/foreign-keys&gt;&lt;ref-type name="Journal Article"&gt;17&lt;/ref-type&gt;&lt;contributors&gt;&lt;authors&gt;&lt;author&gt;Maquirriain, J&lt;/author&gt;&lt;author&gt;Ghisi, JP&lt;/author&gt;&lt;/authors&gt;&lt;/contributors&gt;&lt;titles&gt;&lt;title&gt;The incidence and distribution of stress fractures in elite tennis players&lt;/title&gt;&lt;secondary-title&gt;British journal of sports medicine&lt;/secondary-title&gt;&lt;/titles&gt;&lt;periodical&gt;&lt;full-title&gt;British journal of sports medicine&lt;/full-title&gt;&lt;/periodical&gt;&lt;pages&gt;454-459&lt;/pages&gt;&lt;volume&gt;40&lt;/volume&gt;&lt;number&gt;5&lt;/number&gt;&lt;dates&gt;&lt;year&gt;2006&lt;/year&gt;&lt;/dates&gt;&lt;isbn&gt;1473-0480&lt;/isbn&gt;&lt;urls&gt;&lt;/urls&gt;&lt;/record&gt;&lt;/Cite&gt;&lt;/EndNote&gt;</w:instrText>
      </w:r>
      <w:r w:rsidR="00FF38CD">
        <w:fldChar w:fldCharType="separate"/>
      </w:r>
      <w:r>
        <w:rPr>
          <w:noProof/>
        </w:rPr>
        <w:t>[</w:t>
      </w:r>
      <w:hyperlink w:anchor="_ENREF_20" w:tooltip="Maquirriain, 2006 #246" w:history="1">
        <w:r w:rsidR="00AE02CA">
          <w:rPr>
            <w:noProof/>
          </w:rPr>
          <w:t>20</w:t>
        </w:r>
      </w:hyperlink>
      <w:r>
        <w:rPr>
          <w:noProof/>
        </w:rPr>
        <w:t>]</w:t>
      </w:r>
      <w:r w:rsidR="00FF38CD">
        <w:fldChar w:fldCharType="end"/>
      </w:r>
      <w:r w:rsidR="005226B0">
        <w:t xml:space="preserve">. </w:t>
      </w:r>
    </w:p>
    <w:p w14:paraId="493A3F27" w14:textId="77777777" w:rsidR="006F5C0A" w:rsidRDefault="006F5C0A">
      <w:pPr>
        <w:spacing w:line="480" w:lineRule="auto"/>
      </w:pPr>
    </w:p>
    <w:p w14:paraId="5A95863F" w14:textId="77777777" w:rsidR="006F5C0A" w:rsidRDefault="005226B0">
      <w:pPr>
        <w:spacing w:line="480" w:lineRule="auto"/>
        <w:outlineLvl w:val="0"/>
        <w:rPr>
          <w:b/>
        </w:rPr>
      </w:pPr>
      <w:r>
        <w:rPr>
          <w:b/>
        </w:rPr>
        <w:t xml:space="preserve">Injury by Region: Torso Injuries and </w:t>
      </w:r>
      <w:r w:rsidR="00815BC4">
        <w:rPr>
          <w:b/>
        </w:rPr>
        <w:t>In-Event T</w:t>
      </w:r>
      <w:r w:rsidR="00373DCC">
        <w:rPr>
          <w:b/>
        </w:rPr>
        <w:t>reat</w:t>
      </w:r>
      <w:r w:rsidR="00815BC4">
        <w:rPr>
          <w:b/>
        </w:rPr>
        <w:t>ment F</w:t>
      </w:r>
      <w:r w:rsidR="00373DCC">
        <w:rPr>
          <w:b/>
        </w:rPr>
        <w:t>requency</w:t>
      </w:r>
      <w:r>
        <w:rPr>
          <w:b/>
        </w:rPr>
        <w:t xml:space="preserve"> </w:t>
      </w:r>
    </w:p>
    <w:p w14:paraId="354BF8E0" w14:textId="4DF9F34E" w:rsidR="006F5C0A" w:rsidRDefault="005226B0">
      <w:pPr>
        <w:spacing w:line="480" w:lineRule="auto"/>
      </w:pPr>
      <w:r>
        <w:t xml:space="preserve">The incidence of female thoracic and lumbar spine injury incidence increased over time. However, the incidence rate of male torso injuries and other female </w:t>
      </w:r>
      <w:r>
        <w:lastRenderedPageBreak/>
        <w:t>torso regions- including the neck, thoracic and lumbar spine, trunk</w:t>
      </w:r>
      <w:r w:rsidR="00095AEA">
        <w:t xml:space="preserve"> and pelvis- decreased over the same time period</w:t>
      </w:r>
      <w:r>
        <w:t xml:space="preserve">. </w:t>
      </w:r>
      <w:r w:rsidR="00E0720F">
        <w:t>Despite this</w:t>
      </w:r>
      <w:r>
        <w:t xml:space="preserve">, the </w:t>
      </w:r>
      <w:r w:rsidR="00196500">
        <w:t xml:space="preserve">in-event </w:t>
      </w:r>
      <w:r>
        <w:t>treatment</w:t>
      </w:r>
      <w:r w:rsidR="00196500">
        <w:t xml:space="preserve">s </w:t>
      </w:r>
      <w:r>
        <w:t xml:space="preserve">for torso injuries in both </w:t>
      </w:r>
      <w:r w:rsidR="00B2117E">
        <w:t>sexe</w:t>
      </w:r>
      <w:r>
        <w:t xml:space="preserve">s was found to be among the Australian Open’s highest. </w:t>
      </w:r>
      <w:r w:rsidR="000A0B6A">
        <w:fldChar w:fldCharType="begin"/>
      </w:r>
      <w:r>
        <w:instrText>ADDIN EN.CITE &lt;EndNote&gt;&lt;Cite&gt;&lt;Author&gt;Sell&lt;/Author&gt;&lt;Year&gt;2012&lt;/Year&gt;&lt;RecNum&gt;152&lt;/RecNum&gt;&lt;DisplayText&gt;[3]&lt;/DisplayText&gt;&lt;record&gt;&lt;rec-number&gt;152&lt;/rec-number&gt;&lt;foreign-keys&gt;&lt;key app="EN" db-id="v2z99wx07srzpae0exnvvs00asvr5xxx2efw" timestamp="1420689914"&gt;152&lt;/key&gt;&lt;/foreign-keys&gt;&lt;ref-type name="Journal Article"&gt;17&lt;/ref-type&gt;&lt;contributors&gt;&lt;authors&gt;&lt;author&gt;Sell, Katie&lt;/author&gt;&lt;author&gt;Hainline, Brian&lt;/author&gt;&lt;author&gt;Yorio, Michael&lt;/author&gt;&lt;author&gt;Kovacs, Mark&lt;/author&gt;&lt;/authors&gt;&lt;/contributors&gt;&lt;titles&gt;&lt;title&gt;Injury trend analysis from the US Open Tennis Championships between 1994 and 2009&lt;/title&gt;&lt;secondary-title&gt;British journal of sports medicine&lt;/secondary-title&gt;&lt;/titles&gt;&lt;periodical&gt;&lt;full-title&gt;British journal of sports medicine&lt;/full-title&gt;&lt;/periodical&gt;&lt;pages&gt;bjsports-2012-091175&lt;/pages&gt;&lt;dates&gt;&lt;year&gt;2012&lt;/year&gt;&lt;/dates&gt;&lt;isbn&gt;1473-0480&lt;/isbn&gt;&lt;urls&gt;&lt;/urls&gt;&lt;/record&gt;&lt;/Cite&gt;&lt;/EndNote&gt;</w:instrText>
      </w:r>
      <w:r w:rsidR="000A0B6A">
        <w:fldChar w:fldCharType="end"/>
      </w:r>
      <w:bookmarkStart w:id="1" w:name="__Fieldmark__7582_700955163"/>
      <w:bookmarkEnd w:id="1"/>
      <w:r w:rsidR="000A0B6A">
        <w:fldChar w:fldCharType="begin"/>
      </w:r>
      <w:r>
        <w:instrText>ADDIN EN.CITE &lt;EndNote&gt;&lt;Cite&gt;&lt;Author&gt;McCurdie&lt;/Author&gt;&lt;Year&gt;2016&lt;/Year&gt;&lt;RecNum&gt;427&lt;/RecNum&gt;&lt;DisplayText&gt;[2]&lt;/DisplayText&gt;&lt;record&gt;&lt;rec-number&gt;427&lt;/rec-number&gt;&lt;foreign-keys&gt;&lt;key app="EN" db-id="v2z99wx07srzpae0exnvvs00asvr5xxx2efw" timestamp="1458089116"&gt;427&lt;/key&gt;&lt;/foreign-keys&gt;&lt;ref-type name="Journal Article"&gt;17&lt;/ref-type&gt;&lt;contributors&gt;&lt;authors&gt;&lt;author&gt;McCurdie, I.&lt;/author&gt;&lt;author&gt;Smith, S.&lt;/author&gt;&lt;author&gt;Bell, P. H.&lt;/author&gt;&lt;author&gt;Batt, M. E.&lt;/author&gt;&lt;/authors&gt;&lt;/contributors&gt;&lt;auth-address&gt;Defence Medical Rehabilitation Centre (DMRC) Headley Court, Epsom, Surrey, UK All England Lawn Tennis Club, London, UK.&amp;#xD;Queens Medical Centre, Nottingham, UK.&amp;#xD;All England Lawn Tennis Club, London, UK The Paddocks Clinic, Princes Risborough, UK.&amp;#xD;The Paddocks Clinic, Princes Risborough, UK Nottingham University Hospitals NHS Trust, Nottingham, UK Arthritis Research UK Centre Sport, Exercise and Osteoarthritis, Nottingham, UK.&lt;/auth-address&gt;&lt;titles&gt;&lt;title&gt;Tennis injury data from The Championships, Wimbledon, from 2003 to 2012&lt;/title&gt;&lt;secondary-title&gt;Br J Sports Med&lt;/secondary-title&gt;&lt;alt-title&gt;British journal of sports medicine&lt;/alt-title&gt;&lt;/titles&gt;&lt;alt-periodical&gt;&lt;full-title&gt;British journal of sports medicine&lt;/full-title&gt;&lt;/alt-periodical&gt;&lt;edition&gt;2016/01/13&lt;/edition&gt;&lt;keywords&gt;&lt;keyword&gt;Cohort study&lt;/keyword&gt;&lt;keyword&gt;Injury&lt;/keyword&gt;&lt;keyword&gt;Retrospective&lt;/keyword&gt;&lt;keyword&gt;Tennis&lt;/keyword&gt;&lt;/keywords&gt;&lt;dates&gt;&lt;year&gt;2016&lt;/year&gt;&lt;pub-dates&gt;&lt;date&gt;Jan 11&lt;/date&gt;&lt;/pub-dates&gt;&lt;/dates&gt;&lt;isbn&gt;0306-3674&lt;/isbn&gt;&lt;accession-num&gt;26755678&lt;/accession-num&gt;&lt;urls&gt;&lt;/urls&gt;&lt;electronic-resource-num&gt;10.1136/bjsports-2015-095552&lt;/electronic-resource-num&gt;&lt;remote-database-provider&gt;NLM&lt;/remote-database-provider&gt;&lt;language&gt;Eng&lt;/language&gt;&lt;/record&gt;&lt;/Cite&gt;&lt;/EndNote&gt;</w:instrText>
      </w:r>
      <w:r w:rsidR="000A0B6A">
        <w:fldChar w:fldCharType="end"/>
      </w:r>
      <w:bookmarkStart w:id="2" w:name="__Fieldmark__7593_700955163"/>
      <w:bookmarkEnd w:id="2"/>
      <w:r>
        <w:t xml:space="preserve">This trend </w:t>
      </w:r>
      <w:r w:rsidR="00E0720F">
        <w:t xml:space="preserve">may be </w:t>
      </w:r>
      <w:r>
        <w:t>attributable to the mechanical demands placed on this region during stroke production</w:t>
      </w:r>
      <w:r w:rsidR="00E14EB8">
        <w:t>, changes in equipment</w:t>
      </w:r>
      <w:r w:rsidR="00981BD1">
        <w:fldChar w:fldCharType="begin"/>
      </w:r>
      <w:r w:rsidR="00897950">
        <w:instrText xml:space="preserve"> ADDIN EN.CITE &lt;EndNote&gt;&lt;Cite&gt;&lt;Author&gt;Sell&lt;/Author&gt;&lt;Year&gt;2012&lt;/Year&gt;&lt;RecNum&gt;152&lt;/RecNum&gt;&lt;DisplayText&gt;[2]&lt;/DisplayText&gt;&lt;record&gt;&lt;rec-number&gt;152&lt;/rec-number&gt;&lt;foreign-keys&gt;&lt;key app="EN" db-id="v2z99wx07srzpae0exnvvs00asvr5xxx2efw" timestamp="1420689914"&gt;152&lt;/key&gt;&lt;/foreign-keys&gt;&lt;ref-type name="Journal Article"&gt;17&lt;/ref-type&gt;&lt;contributors&gt;&lt;authors&gt;&lt;author&gt;Sell, Katie&lt;/author&gt;&lt;author&gt;Hainline, Brian&lt;/author&gt;&lt;author&gt;Yorio, Michael&lt;/author&gt;&lt;author&gt;Kovacs, Mark&lt;/author&gt;&lt;/authors&gt;&lt;/contributors&gt;&lt;titles&gt;&lt;title&gt;Injury trend analysis from the US Open Tennis Championships between 1994 and 2009&lt;/title&gt;&lt;secondary-title&gt;British journal of sports medicine&lt;/secondary-title&gt;&lt;/titles&gt;&lt;periodical&gt;&lt;full-title&gt;British journal of sports medicine&lt;/full-title&gt;&lt;/periodical&gt;&lt;pages&gt;bjsports-2012-091175&lt;/pages&gt;&lt;dates&gt;&lt;year&gt;2012&lt;/year&gt;&lt;/dates&gt;&lt;isbn&gt;1473-0480&lt;/isbn&gt;&lt;urls&gt;&lt;/urls&gt;&lt;/record&gt;&lt;/Cite&gt;&lt;/EndNote&gt;</w:instrText>
      </w:r>
      <w:r w:rsidR="00981BD1">
        <w:fldChar w:fldCharType="separate"/>
      </w:r>
      <w:r w:rsidR="00897950">
        <w:rPr>
          <w:noProof/>
        </w:rPr>
        <w:t>[</w:t>
      </w:r>
      <w:hyperlink w:anchor="_ENREF_2" w:tooltip="Sell, 2012 #152" w:history="1">
        <w:r w:rsidR="00AE02CA">
          <w:rPr>
            <w:noProof/>
          </w:rPr>
          <w:t>2</w:t>
        </w:r>
      </w:hyperlink>
      <w:r w:rsidR="00897950">
        <w:rPr>
          <w:noProof/>
        </w:rPr>
        <w:t>]</w:t>
      </w:r>
      <w:r w:rsidR="00981BD1">
        <w:fldChar w:fldCharType="end"/>
      </w:r>
      <w:r w:rsidR="00196500">
        <w:t xml:space="preserve"> or cause players to seek further treatment</w:t>
      </w:r>
      <w:r>
        <w:t xml:space="preserve">. </w:t>
      </w:r>
      <w:r w:rsidR="00C42A66">
        <w:t>G</w:t>
      </w:r>
      <w:r>
        <w:t>iven the literature that has highlighted the imp</w:t>
      </w:r>
      <w:r w:rsidR="003D7BCE">
        <w:t>or</w:t>
      </w:r>
      <w:r>
        <w:t>tance of trunk rotation to racquet speed - particularly in the serve</w:t>
      </w:r>
      <w:r w:rsidR="00981BD1">
        <w:fldChar w:fldCharType="begin"/>
      </w:r>
      <w:r w:rsidR="00897950">
        <w:instrText xml:space="preserve"> ADDIN EN.CITE &lt;EndNote&gt;&lt;Cite&gt;&lt;Author&gt;Chow&lt;/Author&gt;&lt;Year&gt;2009&lt;/Year&gt;&lt;RecNum&gt;315&lt;/RecNum&gt;&lt;DisplayText&gt;[22]&lt;/DisplayText&gt;&lt;record&gt;&lt;rec-number&gt;315&lt;/rec-number&gt;&lt;foreign-keys&gt;&lt;key app="EN" db-id="v2z99wx07srzpae0exnvvs00asvr5xxx2efw" timestamp="1421120943"&gt;315&lt;/key&gt;&lt;/foreign-keys&gt;&lt;ref-type name="Journal Article"&gt;17&lt;/ref-type&gt;&lt;contributors&gt;&lt;authors&gt;&lt;author&gt;Chow, John W&lt;/author&gt;&lt;author&gt;Park, Soo-An&lt;/author&gt;&lt;author&gt;Tillman, Mark D&lt;/author&gt;&lt;/authors&gt;&lt;/contributors&gt;&lt;titles&gt;&lt;title&gt;Lower trunk kinematics and muscle activity during different types of tennis serves&lt;/title&gt;&lt;secondary-title&gt;BMC Sports Science, Medicine and Rehabilitation&lt;/secondary-title&gt;&lt;/titles&gt;&lt;periodical&gt;&lt;full-title&gt;BMC Sports Science, Medicine and Rehabilitation&lt;/full-title&gt;&lt;/periodical&gt;&lt;pages&gt;24&lt;/pages&gt;&lt;volume&gt;1&lt;/volume&gt;&lt;number&gt;1&lt;/number&gt;&lt;dates&gt;&lt;year&gt;2009&lt;/year&gt;&lt;/dates&gt;&lt;isbn&gt;2052-1847&lt;/isbn&gt;&lt;urls&gt;&lt;/urls&gt;&lt;/record&gt;&lt;/Cite&gt;&lt;/EndNote&gt;</w:instrText>
      </w:r>
      <w:r w:rsidR="00981BD1">
        <w:fldChar w:fldCharType="separate"/>
      </w:r>
      <w:r w:rsidR="00897950">
        <w:rPr>
          <w:noProof/>
        </w:rPr>
        <w:t>[</w:t>
      </w:r>
      <w:hyperlink w:anchor="_ENREF_22" w:tooltip="Chow, 2009 #315" w:history="1">
        <w:r w:rsidR="00AE02CA">
          <w:rPr>
            <w:noProof/>
          </w:rPr>
          <w:t>22</w:t>
        </w:r>
      </w:hyperlink>
      <w:r w:rsidR="00897950">
        <w:rPr>
          <w:noProof/>
        </w:rPr>
        <w:t>]</w:t>
      </w:r>
      <w:r w:rsidR="00981BD1">
        <w:fldChar w:fldCharType="end"/>
      </w:r>
      <w:r>
        <w:t xml:space="preserve">- it is unsurprising that the pelvis-spine-trunk receive considerable medical attention in-event. </w:t>
      </w:r>
      <w:r>
        <w:lastRenderedPageBreak/>
        <w:t>This heightened medical attention in-event, coupled with the general reduction in incidence rate, suggests that injury prev</w:t>
      </w:r>
      <w:r w:rsidR="00443ACB">
        <w:t>ention and training programs could already be</w:t>
      </w:r>
      <w:r>
        <w:t xml:space="preserve"> focused on the torso </w:t>
      </w:r>
      <w:r w:rsidR="00B25873">
        <w:t>and</w:t>
      </w:r>
      <w:r>
        <w:t xml:space="preserve"> should remain the ongoing target. </w:t>
      </w:r>
    </w:p>
    <w:p w14:paraId="3E9788FC" w14:textId="77777777" w:rsidR="006F5C0A" w:rsidRDefault="006F5C0A">
      <w:pPr>
        <w:spacing w:line="480" w:lineRule="auto"/>
        <w:rPr>
          <w:b/>
        </w:rPr>
      </w:pPr>
    </w:p>
    <w:p w14:paraId="566EFCB1" w14:textId="77777777" w:rsidR="006F5C0A" w:rsidRDefault="005226B0">
      <w:pPr>
        <w:spacing w:line="480" w:lineRule="auto"/>
        <w:outlineLvl w:val="0"/>
      </w:pPr>
      <w:r>
        <w:rPr>
          <w:b/>
        </w:rPr>
        <w:t xml:space="preserve">Injury by Region: Upper Limb Injuries and </w:t>
      </w:r>
      <w:r w:rsidR="00815BC4">
        <w:rPr>
          <w:b/>
        </w:rPr>
        <w:t>In-Event T</w:t>
      </w:r>
      <w:r w:rsidR="00373DCC">
        <w:rPr>
          <w:b/>
        </w:rPr>
        <w:t>reat</w:t>
      </w:r>
      <w:r w:rsidR="00815BC4">
        <w:rPr>
          <w:b/>
        </w:rPr>
        <w:t>ment F</w:t>
      </w:r>
      <w:r w:rsidR="00373DCC">
        <w:rPr>
          <w:b/>
        </w:rPr>
        <w:t>requency</w:t>
      </w:r>
    </w:p>
    <w:p w14:paraId="7AE107A3" w14:textId="04C469C8" w:rsidR="006F5C0A" w:rsidRDefault="005226B0">
      <w:pPr>
        <w:spacing w:line="480" w:lineRule="auto"/>
      </w:pPr>
      <w:r>
        <w:t>The rate and</w:t>
      </w:r>
      <w:r w:rsidR="0049284F">
        <w:t xml:space="preserve"> </w:t>
      </w:r>
      <w:r w:rsidR="00373DCC">
        <w:t>in-event treatment frequency</w:t>
      </w:r>
      <w:r>
        <w:t xml:space="preserve"> of upper arm injuries in both </w:t>
      </w:r>
      <w:r w:rsidR="00B2117E">
        <w:t xml:space="preserve">sexes </w:t>
      </w:r>
      <w:r>
        <w:t xml:space="preserve">increased over time. This effect was also observed for the rate of male elbow </w:t>
      </w:r>
      <w:r>
        <w:lastRenderedPageBreak/>
        <w:t xml:space="preserve">and female shoulder injuries as well as the rate and </w:t>
      </w:r>
      <w:r w:rsidR="0049284F">
        <w:t xml:space="preserve">in-event </w:t>
      </w:r>
      <w:r>
        <w:t>treatment</w:t>
      </w:r>
      <w:r w:rsidR="0049284F">
        <w:t xml:space="preserve">s </w:t>
      </w:r>
      <w:r>
        <w:t>of female wrist injuries.</w:t>
      </w:r>
      <w:r w:rsidR="00205C3D">
        <w:t xml:space="preserve"> Although </w:t>
      </w:r>
      <w:r w:rsidR="000A0B6A">
        <w:fldChar w:fldCharType="begin">
          <w:fldData xml:space="preserve">PEVuZE5vdGU+PENpdGUgQXV0aG9yWWVhcj0iMSI+PEF1dGhvcj5NY0N1cmRpZTwvQXV0aG9yPjxZ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=
</w:fldData>
        </w:fldChar>
      </w:r>
      <w:r w:rsidR="00897950">
        <w:instrText xml:space="preserve"> ADDIN EN.CITE </w:instrText>
      </w:r>
      <w:r w:rsidR="00897950">
        <w:fldChar w:fldCharType="begin">
          <w:fldData xml:space="preserve">PEVuZE5vdGU+PENpdGUgQXV0aG9yWWVhcj0iMSI+PEF1dGhvcj5NY0N1cmRpZTwvQXV0aG9yPjxZ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=
</w:fldData>
        </w:fldChar>
      </w:r>
      <w:r w:rsidR="00897950">
        <w:instrText xml:space="preserve"> ADDIN EN.CITE.DATA </w:instrText>
      </w:r>
      <w:r w:rsidR="00897950">
        <w:fldChar w:fldCharType="end"/>
      </w:r>
      <w:r w:rsidR="000A0B6A">
        <w:fldChar w:fldCharType="separate"/>
      </w:r>
      <w:hyperlink w:anchor="_ENREF_1" w:tooltip="McCurdie, 2016 #427" w:history="1">
        <w:r w:rsidR="00AE02CA">
          <w:rPr>
            <w:noProof/>
          </w:rPr>
          <w:t>McCurdie, Smith [1]</w:t>
        </w:r>
      </w:hyperlink>
      <w:r w:rsidR="00897950">
        <w:rPr>
          <w:noProof/>
        </w:rPr>
        <w:t xml:space="preserve">, </w:t>
      </w:r>
      <w:hyperlink w:anchor="_ENREF_2" w:tooltip="Sell, 2012 #152" w:history="1">
        <w:r w:rsidR="00AE02CA">
          <w:rPr>
            <w:noProof/>
          </w:rPr>
          <w:t>Sell, Hainline [2]</w:t>
        </w:r>
      </w:hyperlink>
      <w:r w:rsidR="000A0B6A">
        <w:fldChar w:fldCharType="end"/>
      </w:r>
      <w:r w:rsidR="00205C3D">
        <w:t xml:space="preserve"> did not report in-event treatment frequencies, </w:t>
      </w:r>
      <w:r w:rsidR="00DC4887">
        <w:t xml:space="preserve">they </w:t>
      </w:r>
      <w:r w:rsidR="00205C3D">
        <w:t xml:space="preserve">highlighted </w:t>
      </w:r>
      <w:r w:rsidR="007647C5">
        <w:t xml:space="preserve">a high </w:t>
      </w:r>
      <w:r w:rsidR="00476301">
        <w:t xml:space="preserve">occurrence of shoulder injuries </w:t>
      </w:r>
      <w:r w:rsidR="00DC4887">
        <w:t xml:space="preserve">in both </w:t>
      </w:r>
      <w:r w:rsidR="00B2117E">
        <w:t>sexes</w:t>
      </w:r>
      <w:r w:rsidR="00DC4887">
        <w:t xml:space="preserve"> </w:t>
      </w:r>
      <w:r w:rsidR="00117F63">
        <w:t>and wrist injuries</w:t>
      </w:r>
      <w:r w:rsidR="00476301">
        <w:t xml:space="preserve"> in female players.</w:t>
      </w:r>
      <w:r>
        <w:t xml:space="preserve"> The constantly evolving racquet, string and ball technology may be one reason for these changes</w:t>
      </w:r>
      <w:r w:rsidR="002A6466">
        <w:fldChar w:fldCharType="begin"/>
      </w:r>
      <w:r w:rsidR="00897950">
        <w:instrText xml:space="preserve"> ADDIN EN.CITE &lt;EndNote&gt;&lt;Cite&gt;&lt;Author&gt;Reid&lt;/Author&gt;&lt;Year&gt;2016&lt;/Year&gt;&lt;RecNum&gt;432&lt;/RecNum&gt;&lt;DisplayText&gt;[15, 23]&lt;/DisplayText&gt;&lt;record&gt;&lt;rec-number&gt;432&lt;/rec-number&gt;&lt;foreign-keys&gt;&lt;key app="EN" db-id="v2z99wx07srzpae0exnvvs00asvr5xxx2efw" timestamp="1458521715"&gt;432&lt;/key&gt;&lt;/foreign-keys&gt;&lt;ref-type name="Journal Article"&gt;17&lt;/ref-type&gt;&lt;contributors&gt;&lt;authors&gt;&lt;author&gt;Reid, M&lt;/author&gt;&lt;author&gt;Morgan, S&lt;/author&gt;&lt;author&gt;Whiteside, D&lt;/author&gt;&lt;/authors&gt;&lt;/contributors&gt;&lt;titles&gt;&lt;title&gt;Matchplay characteristics of Grand Slam tennis: implications for training and conditioning&lt;/title&gt;&lt;secondary-title&gt;Journal of Sports Sciences&lt;/secondary-title&gt;&lt;/titles&gt;&lt;periodical&gt;&lt;full-title&gt;Journal of sports sciences&lt;/full-title&gt;&lt;/periodical&gt;&lt;volume&gt;In Press&lt;/volume&gt;&lt;dates&gt;&lt;year&gt;2016&lt;/year&gt;&lt;/dates&gt;&lt;urls&gt;&lt;/urls&gt;&lt;/record&gt;&lt;/Cite&gt;&lt;Cite&gt;&lt;Author&gt;Miller&lt;/Author&gt;&lt;Year&gt;2006&lt;/Year&gt;&lt;RecNum&gt;236&lt;/RecNum&gt;&lt;record&gt;&lt;rec-number&gt;236&lt;/rec-number&gt;&lt;foreign-keys&gt;&lt;key app="EN" db-id="v2z99wx07srzpae0exnvvs00asvr5xxx2efw" timestamp="1420776685"&gt;236&lt;/key&gt;&lt;/foreign-keys&gt;&lt;ref-type name="Journal Article"&gt;17&lt;/ref-type&gt;&lt;contributors&gt;&lt;authors&gt;&lt;author&gt;Miller, S&lt;/author&gt;&lt;/authors&gt;&lt;/contributors&gt;&lt;titles&gt;&lt;title&gt;Modern tennis rackets, balls, and surfaces&lt;/title&gt;&lt;secondary-title&gt;British journal of sports medicine&lt;/secondary-title&gt;&lt;/titles&gt;&lt;periodical&gt;&lt;full-title&gt;British journal of sports medicine&lt;/full-title&gt;&lt;/periodical&gt;&lt;pages&gt;401-405&lt;/pages&gt;&lt;volume&gt;40&lt;/volume&gt;&lt;number&gt;5&lt;/number&gt;&lt;dates&gt;&lt;year&gt;2006&lt;/year&gt;&lt;/dates&gt;&lt;isbn&gt;1473-0480&lt;/isbn&gt;&lt;urls&gt;&lt;/urls&gt;&lt;/record&gt;&lt;/Cite&gt;&lt;/EndNote&gt;</w:instrText>
      </w:r>
      <w:r w:rsidR="002A6466">
        <w:fldChar w:fldCharType="separate"/>
      </w:r>
      <w:r w:rsidR="00897950">
        <w:rPr>
          <w:noProof/>
        </w:rPr>
        <w:t>[</w:t>
      </w:r>
      <w:hyperlink w:anchor="_ENREF_15" w:tooltip="Reid, 2016 #432" w:history="1">
        <w:r w:rsidR="00AE02CA">
          <w:rPr>
            <w:noProof/>
          </w:rPr>
          <w:t>15</w:t>
        </w:r>
      </w:hyperlink>
      <w:r w:rsidR="00897950">
        <w:rPr>
          <w:noProof/>
        </w:rPr>
        <w:t xml:space="preserve">, </w:t>
      </w:r>
      <w:hyperlink w:anchor="_ENREF_23" w:tooltip="Miller, 2006 #236" w:history="1">
        <w:r w:rsidR="00AE02CA">
          <w:rPr>
            <w:noProof/>
          </w:rPr>
          <w:t>23</w:t>
        </w:r>
      </w:hyperlink>
      <w:r w:rsidR="00897950">
        <w:rPr>
          <w:noProof/>
        </w:rPr>
        <w:t>]</w:t>
      </w:r>
      <w:r w:rsidR="002A6466">
        <w:fldChar w:fldCharType="end"/>
      </w:r>
      <w:r w:rsidR="002A6466">
        <w:t>.</w:t>
      </w:r>
      <w:r>
        <w:t xml:space="preserve"> Spikes in serve load, which are common during tournament play</w:t>
      </w:r>
      <w:r w:rsidR="00E97EFB">
        <w:t xml:space="preserve"> as compared to training</w:t>
      </w:r>
      <w:r>
        <w:t xml:space="preserve">, particularly at a Grand Slam at the start of </w:t>
      </w:r>
      <w:r>
        <w:lastRenderedPageBreak/>
        <w:t>the season</w:t>
      </w:r>
      <w:r w:rsidR="00654524">
        <w:fldChar w:fldCharType="begin"/>
      </w:r>
      <w:r w:rsidR="00897950">
        <w:instrText xml:space="preserve"> ADDIN EN.CITE &lt;EndNote&gt;&lt;Cite&gt;&lt;Author&gt;Myers&lt;/Author&gt;&lt;Year&gt;2016&lt;/Year&gt;&lt;RecNum&gt;463&lt;/RecNum&gt;&lt;DisplayText&gt;[24]&lt;/DisplayText&gt;&lt;record&gt;&lt;rec-number&gt;463&lt;/rec-number&gt;&lt;foreign-keys&gt;&lt;key app="EN" db-id="v2z99wx07srzpae0exnvvs00asvr5xxx2efw" timestamp="1479101038"&gt;463&lt;/key&gt;&lt;/foreign-keys&gt;&lt;ref-type name="Journal Article"&gt;17&lt;/ref-type&gt;&lt;contributors&gt;&lt;authors&gt;&lt;author&gt;Myers, Natalie L&lt;/author&gt;&lt;author&gt;Sciascia, Aaron D&lt;/author&gt;&lt;author&gt;Kibler, W Ben&lt;/author&gt;&lt;author&gt;Uhl, Tim L&lt;/author&gt;&lt;/authors&gt;&lt;/contributors&gt;&lt;titles&gt;&lt;title&gt;Volume-based Interval Training Program for Elite Tennis Players&lt;/title&gt;&lt;secondary-title&gt;Sports Health: A Multidisciplinary Approach&lt;/secondary-title&gt;&lt;/titles&gt;&lt;periodical&gt;&lt;full-title&gt;Sports Health: A Multidisciplinary Approach&lt;/full-title&gt;&lt;/periodical&gt;&lt;pages&gt;536-540&lt;/pages&gt;&lt;volume&gt;8&lt;/volume&gt;&lt;number&gt;6&lt;/number&gt;&lt;dates&gt;&lt;year&gt;2016&lt;/year&gt;&lt;/dates&gt;&lt;isbn&gt;1941-7381&lt;/isbn&gt;&lt;urls&gt;&lt;/urls&gt;&lt;/record&gt;&lt;/Cite&gt;&lt;/EndNote&gt;</w:instrText>
      </w:r>
      <w:r w:rsidR="00654524">
        <w:fldChar w:fldCharType="separate"/>
      </w:r>
      <w:r w:rsidR="00897950">
        <w:rPr>
          <w:noProof/>
        </w:rPr>
        <w:t>[</w:t>
      </w:r>
      <w:hyperlink w:anchor="_ENREF_24" w:tooltip="Myers, 2016 #463" w:history="1">
        <w:r w:rsidR="00AE02CA">
          <w:rPr>
            <w:noProof/>
          </w:rPr>
          <w:t>24</w:t>
        </w:r>
      </w:hyperlink>
      <w:r w:rsidR="00897950">
        <w:rPr>
          <w:noProof/>
        </w:rPr>
        <w:t>]</w:t>
      </w:r>
      <w:r w:rsidR="00654524">
        <w:fldChar w:fldCharType="end"/>
      </w:r>
      <w:r>
        <w:t xml:space="preserve">, </w:t>
      </w:r>
      <w:r w:rsidR="000A0B6A">
        <w:fldChar w:fldCharType="begin"/>
      </w:r>
      <w:r>
        <w:instrText>ADDIN EN.CITE &lt;EndNote&gt;&lt;Cite&gt;&lt;Author&gt;Reid&lt;/Author&gt;&lt;Year&gt;2008&lt;/Year&gt;&lt;RecNum&gt;105&lt;/RecNum&gt;&lt;DisplayText&gt;[22, 23]&lt;/DisplayText&gt;&lt;record&gt;&lt;rec-number&gt;105&lt;/rec-number&gt;&lt;foreign-keys&gt;&lt;key app="EN" db-id="v2z99wx07srzpae0exnvvs00asvr5xxx2efw" timestamp="1420680375"&gt;105&lt;/key&gt;&lt;/foreign-keys&gt;&lt;ref-type name="Journal Article"&gt;17&lt;/ref-type&gt;&lt;contributors&gt;&lt;authors&gt;&lt;author&gt;Reid, Machar&lt;/author&gt;&lt;author&gt;Elliott, Bruce&lt;/author&gt;&lt;author&gt;Alderson, Jacqueline&lt;/author&gt;&lt;/authors&gt;&lt;/contributors&gt;&lt;titles&gt;&lt;title&gt;Lower-limb coordination and shoulder joint mechanics in the tennis serve&lt;/title&gt;&lt;secondary-title&gt;Medicine+ Science in Sports+ Exercise&lt;/secondary-title&gt;&lt;/titles&gt;&lt;periodical&gt;&lt;full-title&gt;Medicine+ Science in Sports+ Exercise&lt;/full-title&gt;&lt;/periodical&gt;&lt;pages&gt;308&lt;/pages&gt;&lt;volume&gt;40&lt;/volume&gt;&lt;number&gt;2&lt;/number&gt;&lt;dates&gt;&lt;year&gt;2008&lt;/year&gt;&lt;/dates&gt;&lt;isbn&gt;0195-9131&lt;/isbn&gt;&lt;urls&gt;&lt;/urls&gt;&lt;/record&gt;&lt;/Cite&gt;&lt;Cite&gt;&lt;Author&gt;Murphy&lt;/Author&gt;&lt;Year&gt;2014&lt;/Year&gt;&lt;RecNum&gt;321&lt;/RecNum&gt;&lt;record&gt;&lt;rec-number&gt;321&lt;/rec-number&gt;&lt;foreign-keys&gt;&lt;key app="EN" db-id="v2z99wx07srzpae0exnvvs00asvr5xxx2efw" timestamp="1421121797"&gt;321&lt;/key&gt;&lt;/foreign-keys&gt;&lt;ref-type name="Journal Article"&gt;17&lt;/ref-type&gt;&lt;contributors&gt;&lt;authors&gt;&lt;author&gt;Murphy, A. P&lt;/author&gt;&lt;author&gt;Duffield, R&lt;/author&gt;&lt;author&gt;Kellett, A&lt;/author&gt;&lt;author&gt;Reid, M&lt;/author&gt;&lt;/authors&gt;&lt;/contributors&gt;&lt;titles&gt;&lt;title&gt;A Descriptive Analysis of Internal and External Loads for Elite-Level Tennis Drills&lt;/title&gt;&lt;secondary-title&gt;International journal of sports physiology and performance&lt;/secondary-title&gt;&lt;/titles&gt;&lt;periodical&gt;&lt;full-title&gt;International journal of sports physiology and performance&lt;/full-title&gt;&lt;/periodical&gt;&lt;pages&gt;863-870&lt;/pages&gt;&lt;volume&gt;9&lt;/volume&gt;&lt;number&gt;5&lt;/number&gt;&lt;dates&gt;&lt;year&gt;2014&lt;/year&gt;&lt;/dates&gt;&lt;isbn&gt;1555-0265&lt;/isbn&gt;&lt;urls&gt;&lt;/urls&gt;&lt;/record&gt;&lt;/Cite&gt;&lt;/EndNote&gt;</w:instrText>
      </w:r>
      <w:r w:rsidR="000A0B6A">
        <w:fldChar w:fldCharType="end"/>
      </w:r>
      <w:bookmarkStart w:id="3" w:name="__Fieldmark__7691_700955163"/>
      <w:bookmarkEnd w:id="3"/>
      <w:r>
        <w:t>might also place relatively greater strain on the upper limb joints</w:t>
      </w:r>
      <w:r w:rsidR="00654524">
        <w:fldChar w:fldCharType="begin"/>
      </w:r>
      <w:r w:rsidR="00897950">
        <w:instrText xml:space="preserve"> ADDIN EN.CITE &lt;EndNote&gt;&lt;Cite&gt;&lt;Author&gt;Eygendaal&lt;/Author&gt;&lt;Year&gt;2007&lt;/Year&gt;&lt;RecNum&gt;248&lt;/RecNum&gt;&lt;DisplayText&gt;[25, 26]&lt;/DisplayText&gt;&lt;record&gt;&lt;rec-number&gt;248&lt;/rec-number&gt;&lt;foreign-keys&gt;&lt;key app="EN" db-id="v2z99wx07srzpae0exnvvs00asvr5xxx2efw" timestamp="1420777433"&gt;248&lt;/key&gt;&lt;/foreign-keys&gt;&lt;ref-type name="Journal Article"&gt;17&lt;/ref-type&gt;&lt;contributors&gt;&lt;authors&gt;&lt;author&gt;Eygendaal, Denise&lt;/author&gt;&lt;author&gt;Rahussen, F Th G&lt;/author&gt;&lt;author&gt;Diercks, RL&lt;/author&gt;&lt;/authors&gt;&lt;/contributors&gt;&lt;titles&gt;&lt;title&gt;Biomechanics of the elbow joint in tennis players and relation to pathology&lt;/title&gt;&lt;secondary-title&gt;British journal of sports medicine&lt;/secondary-title&gt;&lt;/titles&gt;&lt;periodical&gt;&lt;full-title&gt;British journal of sports medicine&lt;/full-title&gt;&lt;/periodical&gt;&lt;pages&gt;820-823&lt;/pages&gt;&lt;volume&gt;41&lt;/volume&gt;&lt;number&gt;11&lt;/number&gt;&lt;dates&gt;&lt;year&gt;2007&lt;/year&gt;&lt;/dates&gt;&lt;isbn&gt;1473-0480&lt;/isbn&gt;&lt;urls&gt;&lt;/urls&gt;&lt;/record&gt;&lt;/Cite&gt;&lt;Cite&gt;&lt;Author&gt;Van der Hoeven&lt;/Author&gt;&lt;Year&gt;2006&lt;/Year&gt;&lt;RecNum&gt;168&lt;/RecNum&gt;&lt;record&gt;&lt;rec-number&gt;168&lt;/rec-number&gt;&lt;foreign-keys&gt;&lt;key app="EN" db-id="v2z99wx07srzpae0exnvvs00asvr5xxx2efw" timestamp="1420691607"&gt;168&lt;/key&gt;&lt;/foreign-keys&gt;&lt;ref-type name="Journal Article"&gt;17&lt;/ref-type&gt;&lt;contributors&gt;&lt;authors&gt;&lt;author&gt;Van der Hoeven, H&lt;/author&gt;&lt;author&gt;Kibler, W Ben&lt;/author&gt;&lt;/authors&gt;&lt;/contributors&gt;&lt;titles&gt;&lt;title&gt;Shoulder injuries in tennis players&lt;/title&gt;&lt;secondary-title&gt;British journal of sports medicine&lt;/secondary-title&gt;&lt;/titles&gt;&lt;periodical&gt;&lt;full-title&gt;British journal of sports medicine&lt;/full-title&gt;&lt;/periodical&gt;&lt;pages&gt;435-440&lt;/pages&gt;&lt;volume&gt;40&lt;/volume&gt;&lt;number&gt;5&lt;/number&gt;&lt;dates&gt;&lt;year&gt;2006&lt;/year&gt;&lt;/dates&gt;&lt;isbn&gt;1473-0480&lt;/isbn&gt;&lt;urls&gt;&lt;/urls&gt;&lt;/record&gt;&lt;/Cite&gt;&lt;/EndNote&gt;</w:instrText>
      </w:r>
      <w:r w:rsidR="00654524">
        <w:fldChar w:fldCharType="separate"/>
      </w:r>
      <w:r w:rsidR="00897950">
        <w:rPr>
          <w:noProof/>
        </w:rPr>
        <w:t>[</w:t>
      </w:r>
      <w:hyperlink w:anchor="_ENREF_25" w:tooltip="Eygendaal, 2007 #248" w:history="1">
        <w:r w:rsidR="00AE02CA">
          <w:rPr>
            <w:noProof/>
          </w:rPr>
          <w:t>25</w:t>
        </w:r>
      </w:hyperlink>
      <w:r w:rsidR="00897950">
        <w:rPr>
          <w:noProof/>
        </w:rPr>
        <w:t xml:space="preserve">, </w:t>
      </w:r>
      <w:hyperlink w:anchor="_ENREF_26" w:tooltip="Van der Hoeven, 2006 #168" w:history="1">
        <w:r w:rsidR="00AE02CA">
          <w:rPr>
            <w:noProof/>
          </w:rPr>
          <w:t>26</w:t>
        </w:r>
      </w:hyperlink>
      <w:r w:rsidR="00897950">
        <w:rPr>
          <w:noProof/>
        </w:rPr>
        <w:t>]</w:t>
      </w:r>
      <w:r w:rsidR="00654524">
        <w:fldChar w:fldCharType="end"/>
      </w:r>
      <w:r>
        <w:t xml:space="preserve">. </w:t>
      </w:r>
    </w:p>
    <w:p w14:paraId="25EEE34A" w14:textId="77777777" w:rsidR="006F5C0A" w:rsidRDefault="006F5C0A">
      <w:pPr>
        <w:spacing w:line="480" w:lineRule="auto"/>
      </w:pPr>
    </w:p>
    <w:p w14:paraId="58925716" w14:textId="77777777" w:rsidR="006F5C0A" w:rsidRDefault="005226B0">
      <w:pPr>
        <w:spacing w:line="480" w:lineRule="auto"/>
        <w:outlineLvl w:val="0"/>
        <w:rPr>
          <w:b/>
        </w:rPr>
      </w:pPr>
      <w:r>
        <w:rPr>
          <w:b/>
        </w:rPr>
        <w:t xml:space="preserve">Injury by Region: Lower Limb Injuries and Treatment Cost </w:t>
      </w:r>
    </w:p>
    <w:p w14:paraId="0123D298" w14:textId="3629BEE7" w:rsidR="006F5C0A" w:rsidRDefault="005226B0">
      <w:pPr>
        <w:spacing w:line="480" w:lineRule="auto"/>
      </w:pPr>
      <w:r>
        <w:t xml:space="preserve">There was a rate increase of </w:t>
      </w:r>
      <w:r w:rsidR="00DE0FF5">
        <w:t xml:space="preserve"> </w:t>
      </w:r>
      <w:r>
        <w:t>≥2.4 times in</w:t>
      </w:r>
      <w:r w:rsidR="0049284F">
        <w:t xml:space="preserve"> in-event</w:t>
      </w:r>
      <w:r>
        <w:t xml:space="preserve"> </w:t>
      </w:r>
      <w:r w:rsidR="0049284F">
        <w:t>treatments</w:t>
      </w:r>
      <w:r>
        <w:t xml:space="preserve"> of female ankle and lower leg injuries over the </w:t>
      </w:r>
      <w:r w:rsidR="000826AA">
        <w:t>time-</w:t>
      </w:r>
      <w:r>
        <w:t xml:space="preserve">period. The prevalence of female lower leg injuries and male ankle injuries also increased, by </w:t>
      </w:r>
      <w:r>
        <w:rPr>
          <w:rFonts w:ascii="Symbol" w:eastAsia="Symbol" w:hAnsi="Symbol" w:cs="Symbol"/>
        </w:rPr>
        <w:t></w:t>
      </w:r>
      <w:r>
        <w:t>2 fold, between 2011-2016.</w:t>
      </w:r>
      <w:r w:rsidR="005751AC">
        <w:t xml:space="preserve"> </w:t>
      </w:r>
      <w:hyperlink w:anchor="_ENREF_2" w:tooltip="Sell, 2012 #152" w:history="1">
        <w:r w:rsidR="00AE02CA">
          <w:fldChar w:fldCharType="begin"/>
        </w:r>
        <w:r w:rsidR="00AE02CA">
          <w:instrText xml:space="preserve"> ADDIN EN.CITE &lt;EndNote&gt;&lt;Cite AuthorYear="1"&gt;&lt;Author&gt;Sell&lt;/Author&gt;&lt;Year&gt;2012&lt;/Year&gt;&lt;RecNum&gt;152&lt;/RecNum&gt;&lt;DisplayText&gt;Sell, Hainline [2]&lt;/DisplayText&gt;&lt;record&gt;&lt;rec-number&gt;152&lt;/rec-number&gt;&lt;foreign-keys&gt;&lt;key app="EN" db-id="v2z99wx07srzpae0exnvvs00asvr5xxx2efw" timestamp="1420689914"&gt;152&lt;/key&gt;&lt;/foreign-keys&gt;&lt;ref-type name="Journal Article"&gt;17&lt;/ref-type&gt;&lt;contributors&gt;&lt;authors&gt;&lt;author&gt;Sell, Katie&lt;/author&gt;&lt;author&gt;Hainline, Brian&lt;/author&gt;&lt;author&gt;Yorio, Michael&lt;/author&gt;&lt;author&gt;Kovacs, Mark&lt;/author&gt;&lt;/authors&gt;&lt;/contributors&gt;&lt;titles&gt;&lt;title&gt;Injury trend analysis from the US Open Tennis Championships between 1994 and 2009&lt;/title&gt;&lt;secondary-title&gt;British journal of sports medicine&lt;/secondary-title&gt;&lt;/titles&gt;&lt;periodical&gt;&lt;full-title&gt;British journal of sports medicine&lt;/full-title&gt;&lt;/periodical&gt;&lt;pages&gt;bjsports-2012-091175&lt;/pages&gt;&lt;dates&gt;&lt;year&gt;2012&lt;/year&gt;&lt;/dates&gt;&lt;isbn&gt;1473-0480&lt;/isbn&gt;&lt;urls&gt;&lt;/urls&gt;&lt;/record&gt;&lt;/Cite&gt;&lt;/EndNote&gt;</w:instrText>
        </w:r>
        <w:r w:rsidR="00AE02CA">
          <w:fldChar w:fldCharType="separate"/>
        </w:r>
        <w:r w:rsidR="00AE02CA">
          <w:rPr>
            <w:noProof/>
          </w:rPr>
          <w:t>Sell, Hainline [2]</w:t>
        </w:r>
        <w:r w:rsidR="00AE02CA">
          <w:fldChar w:fldCharType="end"/>
        </w:r>
      </w:hyperlink>
      <w:r w:rsidR="000E4D04">
        <w:t xml:space="preserve"> reported </w:t>
      </w:r>
      <w:r w:rsidR="00656AF3">
        <w:t xml:space="preserve">the </w:t>
      </w:r>
      <w:r w:rsidR="000E4D04">
        <w:t xml:space="preserve">lower limb as </w:t>
      </w:r>
      <w:r w:rsidR="00DC4887">
        <w:t xml:space="preserve">being more suspectible to </w:t>
      </w:r>
      <w:r w:rsidR="000E4D04">
        <w:lastRenderedPageBreak/>
        <w:t>injur</w:t>
      </w:r>
      <w:r w:rsidR="00DC4887">
        <w:t>y than the upper</w:t>
      </w:r>
      <w:r w:rsidR="000E4D04">
        <w:t xml:space="preserve"> extremity </w:t>
      </w:r>
      <w:r w:rsidR="00B2117E">
        <w:t>in both sexe</w:t>
      </w:r>
      <w:r w:rsidR="000E4D04">
        <w:t xml:space="preserve">s but noted no change in the injury rate over time. </w:t>
      </w:r>
      <w:r w:rsidR="005751AC">
        <w:t>Th</w:t>
      </w:r>
      <w:r>
        <w:t xml:space="preserve">is </w:t>
      </w:r>
      <w:r w:rsidR="00B2117E">
        <w:t>sex</w:t>
      </w:r>
      <w:r>
        <w:t>-independent increase in ankle pathologies would appear related to the repeated rapid changes in direction on a hard</w:t>
      </w:r>
      <w:r w:rsidR="000826AA">
        <w:t>-</w:t>
      </w:r>
      <w:r>
        <w:t>court surface, which places high stress on the ankle joint and lower leg</w:t>
      </w:r>
      <w:r w:rsidR="00211656">
        <w:fldChar w:fldCharType="begin"/>
      </w:r>
      <w:r w:rsidR="00897950">
        <w:instrText xml:space="preserve"> ADDIN EN.CITE &lt;EndNote&gt;&lt;Cite&gt;&lt;Author&gt;Barnett&lt;/Author&gt;&lt;Year&gt;2007&lt;/Year&gt;&lt;RecNum&gt;145&lt;/RecNum&gt;&lt;DisplayText&gt;[19, 27]&lt;/DisplayText&gt;&lt;record&gt;&lt;rec-number&gt;145&lt;/rec-number&gt;&lt;foreign-keys&gt;&lt;key app="EN" db-id="v2z99wx07srzpae0exnvvs00asvr5xxx2efw" timestamp="1420689256"&gt;145&lt;/key&gt;&lt;/foreign-keys&gt;&lt;ref-type name="Journal Article"&gt;17&lt;/ref-type&gt;&lt;contributors&gt;&lt;authors&gt;&lt;author&gt;Barnett, Tristan&lt;/author&gt;&lt;author&gt;Pollard, Graham&lt;/author&gt;&lt;/authors&gt;&lt;/contributors&gt;&lt;titles&gt;&lt;title&gt;How the tennis court surface affects player performance and injuries&lt;/title&gt;&lt;secondary-title&gt;J Med Sci Tennis 2007&lt;/secondary-title&gt;&lt;/titles&gt;&lt;periodical&gt;&lt;full-title&gt;J Med Sci Tennis 2007&lt;/full-title&gt;&lt;/periodical&gt;&lt;pages&gt;34-37&lt;/pages&gt;&lt;volume&gt;12&lt;/volume&gt;&lt;number&gt;1&lt;/number&gt;&lt;dates&gt;&lt;year&gt;2007&lt;/year&gt;&lt;/dates&gt;&lt;urls&gt;&lt;/urls&gt;&lt;/record&gt;&lt;/Cite&gt;&lt;Cite&gt;&lt;Author&gt;Abrams&lt;/Author&gt;&lt;Year&gt;2012&lt;/Year&gt;&lt;RecNum&gt;154&lt;/RecNum&gt;&lt;record&gt;&lt;rec-number&gt;154&lt;/rec-number&gt;&lt;foreign-keys&gt;&lt;key app="EN" db-id="v2z99wx07srzpae0exnvvs00asvr5xxx2efw" timestamp="1420690018"&gt;154&lt;/key&gt;&lt;/foreign-keys&gt;&lt;ref-type name="Journal Article"&gt;17&lt;/ref-type&gt;&lt;contributors&gt;&lt;authors&gt;&lt;author&gt;Abrams, Geoffrey D&lt;/author&gt;&lt;author&gt;Renstrom, Per A&lt;/author&gt;&lt;author&gt;Safran, Marc R&lt;/author&gt;&lt;/authors&gt;&lt;/contributors&gt;&lt;titles&gt;&lt;title&gt;Epidemiology of musculoskeletal injury in the tennis player&lt;/title&gt;&lt;secondary-title&gt;British journal of sports medicine&lt;/secondary-title&gt;&lt;/titles&gt;&lt;periodical&gt;&lt;full-title&gt;British journal of sports medicine&lt;/full-title&gt;&lt;/periodical&gt;&lt;pages&gt;492-498&lt;/pages&gt;&lt;volume&gt;46&lt;/volume&gt;&lt;number&gt;7&lt;/number&gt;&lt;dates&gt;&lt;year&gt;2012&lt;/year&gt;&lt;/dates&gt;&lt;isbn&gt;1473-0480&lt;/isbn&gt;&lt;urls&gt;&lt;/urls&gt;&lt;/record&gt;&lt;/Cite&gt;&lt;/EndNote&gt;</w:instrText>
      </w:r>
      <w:r w:rsidR="00211656">
        <w:fldChar w:fldCharType="separate"/>
      </w:r>
      <w:r w:rsidR="00897950">
        <w:rPr>
          <w:noProof/>
        </w:rPr>
        <w:t>[</w:t>
      </w:r>
      <w:hyperlink w:anchor="_ENREF_19" w:tooltip="Barnett, 2007 #145" w:history="1">
        <w:r w:rsidR="00AE02CA">
          <w:rPr>
            <w:noProof/>
          </w:rPr>
          <w:t>19</w:t>
        </w:r>
      </w:hyperlink>
      <w:r w:rsidR="00897950">
        <w:rPr>
          <w:noProof/>
        </w:rPr>
        <w:t xml:space="preserve">, </w:t>
      </w:r>
      <w:hyperlink w:anchor="_ENREF_27" w:tooltip="Abrams, 2012 #154" w:history="1">
        <w:r w:rsidR="00AE02CA">
          <w:rPr>
            <w:noProof/>
          </w:rPr>
          <w:t>27</w:t>
        </w:r>
      </w:hyperlink>
      <w:r w:rsidR="00897950">
        <w:rPr>
          <w:noProof/>
        </w:rPr>
        <w:t>]</w:t>
      </w:r>
      <w:r w:rsidR="00211656">
        <w:fldChar w:fldCharType="end"/>
      </w:r>
      <w:r>
        <w:t xml:space="preserve">.  Interestingly, the </w:t>
      </w:r>
      <w:r w:rsidR="00B2117E">
        <w:t>sex</w:t>
      </w:r>
      <w:r>
        <w:t>-specific growth observed in</w:t>
      </w:r>
      <w:r w:rsidR="0093201B">
        <w:t xml:space="preserve"> in-event</w:t>
      </w:r>
      <w:r>
        <w:t xml:space="preserve"> </w:t>
      </w:r>
      <w:r w:rsidR="00776D3A">
        <w:t>treatmen</w:t>
      </w:r>
      <w:r w:rsidR="0093201B">
        <w:t>ts</w:t>
      </w:r>
      <w:r w:rsidR="00776D3A">
        <w:t xml:space="preserve"> could</w:t>
      </w:r>
      <w:r>
        <w:t xml:space="preserve"> imply that physiotherapists treating female players adopt</w:t>
      </w:r>
      <w:r w:rsidR="00DE0FF5">
        <w:t xml:space="preserve"> a</w:t>
      </w:r>
      <w:r>
        <w:t xml:space="preserve"> precautionary/hyper-vigilant, through taping, approach. </w:t>
      </w:r>
    </w:p>
    <w:p w14:paraId="5652BE66" w14:textId="77777777" w:rsidR="006F5C0A" w:rsidRDefault="006F5C0A">
      <w:pPr>
        <w:spacing w:line="480" w:lineRule="auto"/>
      </w:pPr>
    </w:p>
    <w:p w14:paraId="3F5F3D33" w14:textId="77777777" w:rsidR="006F5C0A" w:rsidRDefault="005226B0">
      <w:pPr>
        <w:spacing w:line="480" w:lineRule="auto"/>
        <w:outlineLvl w:val="0"/>
        <w:rPr>
          <w:b/>
        </w:rPr>
      </w:pPr>
      <w:r>
        <w:rPr>
          <w:b/>
        </w:rPr>
        <w:lastRenderedPageBreak/>
        <w:t>Limitations</w:t>
      </w:r>
    </w:p>
    <w:p w14:paraId="02D60FDA" w14:textId="08F7E7A8" w:rsidR="00B91C51" w:rsidRDefault="005226B0" w:rsidP="00B91C51">
      <w:pPr>
        <w:spacing w:line="480" w:lineRule="auto"/>
      </w:pPr>
      <w:r>
        <w:t xml:space="preserve">It must be noted that this study is unable to draw conclusions regarding the causative mechanisms of injury. Additionally, as the WTA and ATP datasets were de-identified, </w:t>
      </w:r>
      <w:r w:rsidR="0040394B">
        <w:t>in-event treatment frequencies</w:t>
      </w:r>
      <w:r>
        <w:t xml:space="preserve"> are calculated as an average across all injuries of the same region and type rather than each injury in isolation. Finally, the dataset does not contain injury or treatment information on players whom sought treatment outside of the tournament's doctors and physiotherapists</w:t>
      </w:r>
      <w:r w:rsidR="00B91C51">
        <w:t>.</w:t>
      </w:r>
    </w:p>
    <w:p w14:paraId="12D99E43" w14:textId="77777777" w:rsidR="006F5C0A" w:rsidRDefault="006F5C0A">
      <w:pPr>
        <w:spacing w:line="480" w:lineRule="auto"/>
        <w:rPr>
          <w:b/>
        </w:rPr>
      </w:pPr>
    </w:p>
    <w:p w14:paraId="4199204B" w14:textId="77777777" w:rsidR="006F5C0A" w:rsidRDefault="005226B0">
      <w:pPr>
        <w:spacing w:line="480" w:lineRule="auto"/>
        <w:outlineLvl w:val="0"/>
        <w:rPr>
          <w:b/>
        </w:rPr>
      </w:pPr>
      <w:r>
        <w:rPr>
          <w:b/>
        </w:rPr>
        <w:t>Conclusion</w:t>
      </w:r>
    </w:p>
    <w:p w14:paraId="26677A60" w14:textId="0F77148E" w:rsidR="00B91C51" w:rsidRDefault="005226B0" w:rsidP="00B91C51">
      <w:pPr>
        <w:spacing w:line="480" w:lineRule="auto"/>
      </w:pPr>
      <w:r>
        <w:t xml:space="preserve">The injury epidemiology of the 2011-2016 Australian Open </w:t>
      </w:r>
      <w:r w:rsidR="0083070A">
        <w:t xml:space="preserve">revealed </w:t>
      </w:r>
      <w:r>
        <w:t xml:space="preserve">that female players </w:t>
      </w:r>
      <w:r w:rsidR="0083070A">
        <w:t xml:space="preserve">were </w:t>
      </w:r>
      <w:r>
        <w:t xml:space="preserve">more commonly injured </w:t>
      </w:r>
      <w:r w:rsidR="00AA7B85">
        <w:t>than male players</w:t>
      </w:r>
      <w:r w:rsidR="006B1917">
        <w:t xml:space="preserve">. </w:t>
      </w:r>
      <w:r>
        <w:t>Lower limb injuries were more prominent in males whereas females were susceptible to injuries in both extremitie</w:t>
      </w:r>
      <w:r w:rsidR="0021398A">
        <w:t>s</w:t>
      </w:r>
      <w:r w:rsidR="00DC4887">
        <w:t>,</w:t>
      </w:r>
      <w:r w:rsidR="0021398A">
        <w:t xml:space="preserve"> which is consistent with findings from Wimbledon and US Open Grand Slams</w:t>
      </w:r>
      <w:r w:rsidR="000A0B6A">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97950">
        <w:instrText xml:space="preserve"> ADDIN EN.CITE </w:instrText>
      </w:r>
      <w:r w:rsidR="00897950">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97950">
        <w:instrText xml:space="preserve"> ADDIN EN.CITE.DATA </w:instrText>
      </w:r>
      <w:r w:rsidR="00897950">
        <w:fldChar w:fldCharType="end"/>
      </w:r>
      <w:r w:rsidR="000A0B6A">
        <w:fldChar w:fldCharType="separate"/>
      </w:r>
      <w:r w:rsidR="00897950">
        <w:rPr>
          <w:noProof/>
        </w:rPr>
        <w:t>[</w:t>
      </w:r>
      <w:hyperlink w:anchor="_ENREF_1" w:tooltip="McCurdie, 2016 #427" w:history="1">
        <w:r w:rsidR="00AE02CA">
          <w:rPr>
            <w:noProof/>
          </w:rPr>
          <w:t>1</w:t>
        </w:r>
      </w:hyperlink>
      <w:r w:rsidR="00897950">
        <w:rPr>
          <w:noProof/>
        </w:rPr>
        <w:t xml:space="preserve">, </w:t>
      </w:r>
      <w:hyperlink w:anchor="_ENREF_2" w:tooltip="Sell, 2012 #152" w:history="1">
        <w:r w:rsidR="00AE02CA">
          <w:rPr>
            <w:noProof/>
          </w:rPr>
          <w:t>2</w:t>
        </w:r>
      </w:hyperlink>
      <w:r w:rsidR="00897950">
        <w:rPr>
          <w:noProof/>
        </w:rPr>
        <w:t>]</w:t>
      </w:r>
      <w:r w:rsidR="000A0B6A">
        <w:fldChar w:fldCharType="end"/>
      </w:r>
      <w:r w:rsidR="0021398A">
        <w:t>.</w:t>
      </w:r>
      <w:r w:rsidR="0083070A">
        <w:t xml:space="preserve"> Both sexes also presented with </w:t>
      </w:r>
      <w:r w:rsidR="00663525">
        <w:t>a</w:t>
      </w:r>
      <w:r>
        <w:t xml:space="preserve"> high prevalence of muscle injuries </w:t>
      </w:r>
      <w:r w:rsidR="0083070A">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3070A">
        <w:instrText xml:space="preserve"> ADDIN EN.CITE </w:instrText>
      </w:r>
      <w:r w:rsidR="0083070A">
        <w:fldChar w:fldCharType="begin">
          <w:fldData xml:space="preserve">PEVuZE5vdGU+PENpdGU+PEF1dGhvcj5NY0N1cmRpZTwvQXV0aG9yPjxZZWFyPjIwMTY8L1llYXI+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</w:fldData>
        </w:fldChar>
      </w:r>
      <w:r w:rsidR="0083070A">
        <w:instrText xml:space="preserve"> ADDIN EN.CITE.DATA </w:instrText>
      </w:r>
      <w:r w:rsidR="0083070A">
        <w:fldChar w:fldCharType="end"/>
      </w:r>
      <w:r w:rsidR="0083070A">
        <w:fldChar w:fldCharType="separate"/>
      </w:r>
      <w:r w:rsidR="0083070A">
        <w:rPr>
          <w:noProof/>
        </w:rPr>
        <w:t>[</w:t>
      </w:r>
      <w:hyperlink w:anchor="_ENREF_1" w:tooltip="McCurdie, 2016 #427" w:history="1">
        <w:r w:rsidR="00AE02CA">
          <w:rPr>
            <w:noProof/>
          </w:rPr>
          <w:t>1</w:t>
        </w:r>
      </w:hyperlink>
      <w:r w:rsidR="0083070A">
        <w:rPr>
          <w:noProof/>
        </w:rPr>
        <w:t xml:space="preserve">, </w:t>
      </w:r>
      <w:hyperlink w:anchor="_ENREF_2" w:tooltip="Sell, 2012 #152" w:history="1">
        <w:r w:rsidR="00AE02CA">
          <w:rPr>
            <w:noProof/>
          </w:rPr>
          <w:t>2</w:t>
        </w:r>
      </w:hyperlink>
      <w:r w:rsidR="0083070A">
        <w:rPr>
          <w:noProof/>
        </w:rPr>
        <w:t>]</w:t>
      </w:r>
      <w:r w:rsidR="0083070A">
        <w:fldChar w:fldCharType="end"/>
      </w:r>
      <w:r w:rsidR="0083070A">
        <w:t xml:space="preserve">, and, the high </w:t>
      </w:r>
      <w:r w:rsidR="00373DCC">
        <w:t>in-event treatment frequenc</w:t>
      </w:r>
      <w:r w:rsidR="00815BC4">
        <w:t>ies</w:t>
      </w:r>
      <w:r>
        <w:t xml:space="preserve"> </w:t>
      </w:r>
      <w:r w:rsidR="0083070A">
        <w:t xml:space="preserve">of the </w:t>
      </w:r>
      <w:r w:rsidR="0083070A">
        <w:lastRenderedPageBreak/>
        <w:t xml:space="preserve">torso </w:t>
      </w:r>
      <w:r w:rsidR="00DE0FF5">
        <w:t>highlighted</w:t>
      </w:r>
      <w:r w:rsidR="007E34E1">
        <w:t xml:space="preserve"> </w:t>
      </w:r>
      <w:r>
        <w:t xml:space="preserve">the </w:t>
      </w:r>
      <w:r w:rsidR="00DE0FF5">
        <w:t>demand</w:t>
      </w:r>
      <w:r>
        <w:t xml:space="preserve"> on medical resources. </w:t>
      </w:r>
      <w:r w:rsidR="007E34E1">
        <w:t>Collectively, t</w:t>
      </w:r>
      <w:r w:rsidR="00617780">
        <w:t>he</w:t>
      </w:r>
      <w:r w:rsidR="007E34E1">
        <w:t>se</w:t>
      </w:r>
      <w:r w:rsidR="00617780">
        <w:t xml:space="preserve"> </w:t>
      </w:r>
      <w:r w:rsidR="00321513">
        <w:t xml:space="preserve">findings </w:t>
      </w:r>
      <w:r w:rsidR="00DE0FF5">
        <w:t>demonstrate</w:t>
      </w:r>
      <w:r w:rsidR="00617780">
        <w:t xml:space="preserve"> </w:t>
      </w:r>
      <w:r w:rsidR="0025303C">
        <w:t xml:space="preserve">the most common injuries and </w:t>
      </w:r>
      <w:r w:rsidR="00896A04">
        <w:t>workload for</w:t>
      </w:r>
      <w:r w:rsidR="007E34E1">
        <w:t xml:space="preserve"> the medical </w:t>
      </w:r>
      <w:r w:rsidR="00896A04">
        <w:t>services</w:t>
      </w:r>
      <w:r w:rsidR="007E34E1">
        <w:t xml:space="preserve"> </w:t>
      </w:r>
      <w:r w:rsidR="00896A04">
        <w:t>at</w:t>
      </w:r>
      <w:r w:rsidR="007E34E1">
        <w:t xml:space="preserve"> </w:t>
      </w:r>
      <w:r w:rsidR="004C0972">
        <w:t>the Australian Open</w:t>
      </w:r>
      <w:r w:rsidR="00AC3595">
        <w:t>,</w:t>
      </w:r>
      <w:r w:rsidR="0025303C">
        <w:t xml:space="preserve"> </w:t>
      </w:r>
      <w:r w:rsidR="007E34E1">
        <w:t xml:space="preserve">which is </w:t>
      </w:r>
      <w:r w:rsidR="0025303C">
        <w:t>inform</w:t>
      </w:r>
      <w:r w:rsidR="007E34E1">
        <w:t>ative for</w:t>
      </w:r>
      <w:r w:rsidR="0025303C">
        <w:t xml:space="preserve"> </w:t>
      </w:r>
      <w:r w:rsidR="007E34E1">
        <w:t xml:space="preserve">the </w:t>
      </w:r>
      <w:r w:rsidR="0025303C">
        <w:t>injury prevention</w:t>
      </w:r>
      <w:r w:rsidR="007E34E1">
        <w:t xml:space="preserve"> and</w:t>
      </w:r>
      <w:r w:rsidR="0025303C">
        <w:t xml:space="preserve"> treatment </w:t>
      </w:r>
      <w:r w:rsidR="007E34E1">
        <w:t xml:space="preserve">of </w:t>
      </w:r>
      <w:r w:rsidR="004C0972">
        <w:t>elite tennis</w:t>
      </w:r>
      <w:r w:rsidR="007E34E1">
        <w:t xml:space="preserve"> players</w:t>
      </w:r>
      <w:r w:rsidR="0025303C">
        <w:t>.</w:t>
      </w:r>
    </w:p>
    <w:p w14:paraId="7584881B" w14:textId="77777777" w:rsidR="00082DCA" w:rsidRDefault="00082DCA">
      <w:pPr>
        <w:spacing w:line="480" w:lineRule="auto"/>
      </w:pPr>
    </w:p>
    <w:p w14:paraId="78667D26" w14:textId="77777777" w:rsidR="006F5C0A" w:rsidRDefault="005226B0">
      <w:pPr>
        <w:spacing w:line="480" w:lineRule="auto"/>
        <w:outlineLvl w:val="0"/>
        <w:rPr>
          <w:b/>
        </w:rPr>
      </w:pPr>
      <w:r>
        <w:rPr>
          <w:b/>
        </w:rPr>
        <w:t>New Findings</w:t>
      </w:r>
    </w:p>
    <w:p w14:paraId="0EDC1910" w14:textId="55364EA5" w:rsidR="006F5C0A" w:rsidRDefault="005226B0">
      <w:pPr>
        <w:pStyle w:val="ListParagraph"/>
        <w:numPr>
          <w:ilvl w:val="0"/>
          <w:numId w:val="1"/>
        </w:numPr>
        <w:spacing w:line="48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Using game exposures as a relative injury scale </w:t>
      </w:r>
      <w:r w:rsidR="00A56332">
        <w:rPr>
          <w:rFonts w:ascii="Times New Roman" w:hAnsi="Times New Roman" w:cs="Times New Roman"/>
        </w:rPr>
        <w:t xml:space="preserve">offers a more accurate measure of match volume or exposure than previously published methods. </w:t>
      </w:r>
      <w:r w:rsidR="00A56332">
        <w:rPr>
          <w:rFonts w:ascii="Times New Roman" w:hAnsi="Times New Roman" w:cs="Times New Roman"/>
        </w:rPr>
        <w:lastRenderedPageBreak/>
        <w:t xml:space="preserve">Correspondingly, this </w:t>
      </w:r>
      <w:r>
        <w:rPr>
          <w:rFonts w:ascii="Times New Roman" w:hAnsi="Times New Roman" w:cs="Times New Roman"/>
        </w:rPr>
        <w:t xml:space="preserve">allows for </w:t>
      </w:r>
      <w:r w:rsidR="00073912">
        <w:rPr>
          <w:rFonts w:ascii="Times New Roman" w:hAnsi="Times New Roman" w:cs="Times New Roman"/>
        </w:rPr>
        <w:t xml:space="preserve">more precise </w:t>
      </w:r>
      <w:r w:rsidR="00A56332">
        <w:rPr>
          <w:rFonts w:ascii="Times New Roman" w:hAnsi="Times New Roman" w:cs="Times New Roman"/>
        </w:rPr>
        <w:t>standardisation in epidemiological comparison between Grand Slams</w:t>
      </w:r>
      <w:r w:rsidR="00082DCA">
        <w:rPr>
          <w:rFonts w:ascii="Times New Roman" w:hAnsi="Times New Roman" w:cs="Times New Roman"/>
        </w:rPr>
        <w:t xml:space="preserve">. </w:t>
      </w:r>
    </w:p>
    <w:p w14:paraId="2CBA30D6" w14:textId="665C5769" w:rsidR="006F5C0A" w:rsidRPr="00073912" w:rsidRDefault="00A95BF7" w:rsidP="00073912">
      <w:pPr>
        <w:pStyle w:val="ListParagraph"/>
        <w:numPr>
          <w:ilvl w:val="0"/>
          <w:numId w:val="1"/>
        </w:numPr>
        <w:spacing w:line="480" w:lineRule="auto"/>
        <w:rPr>
          <w:rFonts w:ascii="Times New Roman" w:hAnsi="Times New Roman" w:cs="Times New Roman"/>
        </w:rPr>
      </w:pPr>
      <w:r>
        <w:rPr>
          <w:rFonts w:ascii="Times New Roman" w:hAnsi="Times New Roman" w:cs="Times New Roman"/>
        </w:rPr>
        <w:t>Fe</w:t>
      </w:r>
      <w:r w:rsidR="00073912">
        <w:rPr>
          <w:rFonts w:ascii="Times New Roman" w:hAnsi="Times New Roman" w:cs="Times New Roman"/>
        </w:rPr>
        <w:t>male players</w:t>
      </w:r>
      <w:r w:rsidR="007B3DEF">
        <w:rPr>
          <w:rFonts w:ascii="Times New Roman" w:hAnsi="Times New Roman" w:cs="Times New Roman"/>
        </w:rPr>
        <w:t xml:space="preserve"> </w:t>
      </w:r>
      <w:r w:rsidR="00F9327C">
        <w:rPr>
          <w:rFonts w:ascii="Times New Roman" w:hAnsi="Times New Roman" w:cs="Times New Roman"/>
        </w:rPr>
        <w:t>incurred</w:t>
      </w:r>
      <w:r w:rsidR="00073912">
        <w:rPr>
          <w:rFonts w:ascii="Times New Roman" w:hAnsi="Times New Roman" w:cs="Times New Roman"/>
        </w:rPr>
        <w:t xml:space="preserve"> more injuries than male players over the 2011 to 2016 </w:t>
      </w:r>
      <w:r>
        <w:rPr>
          <w:rFonts w:ascii="Times New Roman" w:hAnsi="Times New Roman" w:cs="Times New Roman"/>
        </w:rPr>
        <w:t xml:space="preserve">Australian Opens </w:t>
      </w:r>
      <w:r w:rsidR="00073912">
        <w:rPr>
          <w:rFonts w:ascii="Times New Roman" w:hAnsi="Times New Roman" w:cs="Times New Roman"/>
        </w:rPr>
        <w:t>per game</w:t>
      </w:r>
      <w:r>
        <w:rPr>
          <w:rFonts w:ascii="Times New Roman" w:hAnsi="Times New Roman" w:cs="Times New Roman"/>
        </w:rPr>
        <w:t>s</w:t>
      </w:r>
      <w:r w:rsidR="00073912">
        <w:rPr>
          <w:rFonts w:ascii="Times New Roman" w:hAnsi="Times New Roman" w:cs="Times New Roman"/>
        </w:rPr>
        <w:t xml:space="preserve"> played.</w:t>
      </w:r>
      <w:r w:rsidR="005226B0" w:rsidRPr="00073912">
        <w:rPr>
          <w:rFonts w:ascii="Times New Roman" w:hAnsi="Times New Roman" w:cs="Times New Roman"/>
        </w:rPr>
        <w:t xml:space="preserve"> </w:t>
      </w:r>
    </w:p>
    <w:p w14:paraId="7DF05A27" w14:textId="1C5850EB" w:rsidR="006F5C0A" w:rsidRDefault="005226B0">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Across both </w:t>
      </w:r>
      <w:r w:rsidR="00B2117E">
        <w:rPr>
          <w:rFonts w:ascii="Times New Roman" w:hAnsi="Times New Roman" w:cs="Times New Roman"/>
        </w:rPr>
        <w:t>sexes</w:t>
      </w:r>
      <w:r>
        <w:rPr>
          <w:rFonts w:ascii="Times New Roman" w:hAnsi="Times New Roman" w:cs="Times New Roman"/>
        </w:rPr>
        <w:t xml:space="preserve">, the torso region incurred high </w:t>
      </w:r>
      <w:r w:rsidR="00073912">
        <w:rPr>
          <w:rFonts w:ascii="Times New Roman" w:hAnsi="Times New Roman" w:cs="Times New Roman"/>
        </w:rPr>
        <w:t>in-event treatment frequency</w:t>
      </w:r>
      <w:r>
        <w:rPr>
          <w:rFonts w:ascii="Times New Roman" w:hAnsi="Times New Roman" w:cs="Times New Roman"/>
        </w:rPr>
        <w:t xml:space="preserve"> highlighting their </w:t>
      </w:r>
      <w:r w:rsidR="00896A04">
        <w:rPr>
          <w:rFonts w:ascii="Times New Roman" w:hAnsi="Times New Roman" w:cs="Times New Roman"/>
        </w:rPr>
        <w:t>demand</w:t>
      </w:r>
      <w:r>
        <w:rPr>
          <w:rFonts w:ascii="Times New Roman" w:hAnsi="Times New Roman" w:cs="Times New Roman"/>
        </w:rPr>
        <w:t xml:space="preserve"> on medical</w:t>
      </w:r>
      <w:r w:rsidR="00896A04">
        <w:rPr>
          <w:rFonts w:ascii="Times New Roman" w:hAnsi="Times New Roman" w:cs="Times New Roman"/>
        </w:rPr>
        <w:t xml:space="preserve"> </w:t>
      </w:r>
      <w:r>
        <w:rPr>
          <w:rFonts w:ascii="Times New Roman" w:hAnsi="Times New Roman" w:cs="Times New Roman"/>
        </w:rPr>
        <w:t>resources during the Australian Open</w:t>
      </w:r>
      <w:r w:rsidR="00073912">
        <w:rPr>
          <w:rFonts w:ascii="Times New Roman" w:hAnsi="Times New Roman" w:cs="Times New Roman"/>
        </w:rPr>
        <w:t>.</w:t>
      </w:r>
    </w:p>
    <w:p w14:paraId="08BF9743" w14:textId="5F22D5F5" w:rsidR="006F5C0A" w:rsidRDefault="00F82157">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I</w:t>
      </w:r>
      <w:r w:rsidR="00373DCC">
        <w:rPr>
          <w:rFonts w:ascii="Times New Roman" w:hAnsi="Times New Roman" w:cs="Times New Roman"/>
        </w:rPr>
        <w:t>n-event treatment frequency</w:t>
      </w:r>
      <w:r>
        <w:rPr>
          <w:rFonts w:ascii="Times New Roman" w:hAnsi="Times New Roman" w:cs="Times New Roman"/>
        </w:rPr>
        <w:t xml:space="preserve"> a</w:t>
      </w:r>
      <w:r w:rsidR="00AC3595">
        <w:rPr>
          <w:rFonts w:ascii="Times New Roman" w:hAnsi="Times New Roman" w:cs="Times New Roman"/>
        </w:rPr>
        <w:t>s</w:t>
      </w:r>
      <w:r>
        <w:rPr>
          <w:rFonts w:ascii="Times New Roman" w:hAnsi="Times New Roman" w:cs="Times New Roman"/>
        </w:rPr>
        <w:t xml:space="preserve"> </w:t>
      </w:r>
      <w:r w:rsidR="00AC3595">
        <w:rPr>
          <w:rFonts w:ascii="Times New Roman" w:hAnsi="Times New Roman" w:cs="Times New Roman"/>
        </w:rPr>
        <w:t xml:space="preserve">a </w:t>
      </w:r>
      <w:r>
        <w:rPr>
          <w:rFonts w:ascii="Times New Roman" w:hAnsi="Times New Roman" w:cs="Times New Roman"/>
        </w:rPr>
        <w:t>novel reporting of medical and physiotherapy consultations per injury,</w:t>
      </w:r>
      <w:r w:rsidR="005226B0">
        <w:rPr>
          <w:rFonts w:ascii="Times New Roman" w:hAnsi="Times New Roman" w:cs="Times New Roman"/>
        </w:rPr>
        <w:t xml:space="preserve"> provides scope for the assessment of medical resource management at tennis events</w:t>
      </w:r>
      <w:r w:rsidR="00164D4D">
        <w:rPr>
          <w:rFonts w:ascii="Times New Roman" w:hAnsi="Times New Roman" w:cs="Times New Roman"/>
        </w:rPr>
        <w:t>.</w:t>
      </w:r>
    </w:p>
    <w:p w14:paraId="391A9A04" w14:textId="77777777" w:rsidR="006F5C0A" w:rsidRDefault="006F5C0A">
      <w:pPr>
        <w:spacing w:line="480" w:lineRule="auto"/>
        <w:rPr>
          <w:b/>
        </w:rPr>
      </w:pPr>
    </w:p>
    <w:p w14:paraId="2B177E74" w14:textId="47168580" w:rsidR="00775A39" w:rsidRDefault="00775A39" w:rsidP="00775A39">
      <w:pPr>
        <w:spacing w:line="480" w:lineRule="auto"/>
        <w:outlineLvl w:val="0"/>
        <w:rPr>
          <w:b/>
        </w:rPr>
      </w:pPr>
      <w:r>
        <w:rPr>
          <w:b/>
        </w:rPr>
        <w:t>Acknowledgements</w:t>
      </w:r>
    </w:p>
    <w:p w14:paraId="108C569B" w14:textId="1ED85252" w:rsidR="00775A39" w:rsidRDefault="005F21DF" w:rsidP="00775A39">
      <w:pPr>
        <w:spacing w:line="480" w:lineRule="auto"/>
        <w:outlineLvl w:val="0"/>
      </w:pPr>
      <w:r>
        <w:t xml:space="preserve">The authors would like to </w:t>
      </w:r>
      <w:r w:rsidR="00A32D03">
        <w:t>acknowledge Anne-Marie Cavanagh for her</w:t>
      </w:r>
      <w:r>
        <w:t xml:space="preserve"> assistance with </w:t>
      </w:r>
      <w:r w:rsidR="00CC2C76">
        <w:t>the data collation and interpretation.</w:t>
      </w:r>
    </w:p>
    <w:p w14:paraId="00B4DB8D" w14:textId="77777777" w:rsidR="00A32D03" w:rsidRPr="00775A39" w:rsidRDefault="00A32D03" w:rsidP="00775A39">
      <w:pPr>
        <w:spacing w:line="480" w:lineRule="auto"/>
        <w:outlineLvl w:val="0"/>
      </w:pPr>
    </w:p>
    <w:p w14:paraId="1AB4B64B" w14:textId="3A7761BC" w:rsidR="00775A39" w:rsidRDefault="00775A39" w:rsidP="00775A39">
      <w:pPr>
        <w:spacing w:line="480" w:lineRule="auto"/>
        <w:outlineLvl w:val="0"/>
        <w:rPr>
          <w:b/>
        </w:rPr>
      </w:pPr>
      <w:r>
        <w:rPr>
          <w:b/>
        </w:rPr>
        <w:lastRenderedPageBreak/>
        <w:t>Competing Interests</w:t>
      </w:r>
    </w:p>
    <w:p w14:paraId="6459DBCE" w14:textId="72E1DE04" w:rsidR="001B745D" w:rsidRDefault="001B745D" w:rsidP="00775A39">
      <w:pPr>
        <w:spacing w:line="480" w:lineRule="auto"/>
        <w:outlineLvl w:val="0"/>
        <w:rPr>
          <w:lang w:eastAsia="ja-JP"/>
        </w:rPr>
      </w:pPr>
      <w:r w:rsidRPr="001B745D">
        <w:rPr>
          <w:lang w:eastAsia="ja-JP"/>
        </w:rPr>
        <w:t xml:space="preserve">The authors have no disclosures or </w:t>
      </w:r>
      <w:r w:rsidR="00BF6B06">
        <w:rPr>
          <w:lang w:eastAsia="ja-JP"/>
        </w:rPr>
        <w:t>competing interests.</w:t>
      </w:r>
    </w:p>
    <w:p w14:paraId="16A4E431" w14:textId="77777777" w:rsidR="00BF6B06" w:rsidRPr="001B745D" w:rsidRDefault="00BF6B06" w:rsidP="00775A39">
      <w:pPr>
        <w:spacing w:line="480" w:lineRule="auto"/>
        <w:outlineLvl w:val="0"/>
        <w:rPr>
          <w:b/>
        </w:rPr>
      </w:pPr>
    </w:p>
    <w:p w14:paraId="095A1D58" w14:textId="52A8CFB4" w:rsidR="00775A39" w:rsidRDefault="00775A39" w:rsidP="00775A39">
      <w:pPr>
        <w:spacing w:line="480" w:lineRule="auto"/>
        <w:outlineLvl w:val="0"/>
        <w:rPr>
          <w:b/>
        </w:rPr>
      </w:pPr>
      <w:r>
        <w:rPr>
          <w:b/>
        </w:rPr>
        <w:t>Contributorship</w:t>
      </w:r>
    </w:p>
    <w:p w14:paraId="1ABDAC5D" w14:textId="58208B34" w:rsidR="00BF6B06" w:rsidRPr="00FC5AE8" w:rsidRDefault="00FC5AE8" w:rsidP="00775A39">
      <w:pPr>
        <w:spacing w:line="480" w:lineRule="auto"/>
        <w:outlineLvl w:val="0"/>
      </w:pPr>
      <w:r w:rsidRPr="00FC5AE8">
        <w:t>All authors contributed to all items in the ICMJE</w:t>
      </w:r>
      <w:r>
        <w:t xml:space="preserve"> contributorship</w:t>
      </w:r>
      <w:r w:rsidRPr="00FC5AE8">
        <w:t xml:space="preserve"> guidelines</w:t>
      </w:r>
    </w:p>
    <w:p w14:paraId="05B6EBCF" w14:textId="77777777" w:rsidR="00FC5AE8" w:rsidRDefault="00FC5AE8" w:rsidP="00775A39">
      <w:pPr>
        <w:spacing w:line="480" w:lineRule="auto"/>
        <w:outlineLvl w:val="0"/>
        <w:rPr>
          <w:b/>
        </w:rPr>
      </w:pPr>
    </w:p>
    <w:p w14:paraId="2628BF5C" w14:textId="199E5B3D" w:rsidR="00775A39" w:rsidRDefault="00775A39" w:rsidP="00775A39">
      <w:pPr>
        <w:spacing w:line="480" w:lineRule="auto"/>
        <w:outlineLvl w:val="0"/>
        <w:rPr>
          <w:b/>
        </w:rPr>
      </w:pPr>
      <w:r>
        <w:rPr>
          <w:b/>
        </w:rPr>
        <w:t>Funding</w:t>
      </w:r>
    </w:p>
    <w:p w14:paraId="042E3F12" w14:textId="1683942F" w:rsidR="00BF6B06" w:rsidRDefault="00BF6B06" w:rsidP="00775A39">
      <w:pPr>
        <w:spacing w:line="480" w:lineRule="auto"/>
        <w:outlineLvl w:val="0"/>
      </w:pPr>
      <w:r>
        <w:t>There was no funding for this submission</w:t>
      </w:r>
    </w:p>
    <w:p w14:paraId="679C7E01" w14:textId="77777777" w:rsidR="00BF6B06" w:rsidRPr="00BF6B06" w:rsidRDefault="00BF6B06" w:rsidP="00775A39">
      <w:pPr>
        <w:spacing w:line="480" w:lineRule="auto"/>
        <w:outlineLvl w:val="0"/>
      </w:pPr>
    </w:p>
    <w:p w14:paraId="3564CF0F" w14:textId="1FC5B777" w:rsidR="00775A39" w:rsidRDefault="00775A39" w:rsidP="00775A39">
      <w:pPr>
        <w:spacing w:line="480" w:lineRule="auto"/>
        <w:outlineLvl w:val="0"/>
        <w:rPr>
          <w:b/>
        </w:rPr>
      </w:pPr>
      <w:r>
        <w:rPr>
          <w:b/>
        </w:rPr>
        <w:t>Data Sharing</w:t>
      </w:r>
    </w:p>
    <w:p w14:paraId="68D359FB" w14:textId="14C66383" w:rsidR="00A32D03" w:rsidRPr="00F37E22" w:rsidRDefault="00FC5AE8" w:rsidP="00F37E22">
      <w:pPr>
        <w:spacing w:line="480" w:lineRule="auto"/>
        <w:outlineLvl w:val="0"/>
      </w:pPr>
      <w:r>
        <w:t>Supplementary tables have been provided.</w:t>
      </w:r>
    </w:p>
    <w:p w14:paraId="0B12CC50" w14:textId="77777777" w:rsidR="00F22B54" w:rsidRDefault="00F22B54" w:rsidP="00AE02CA">
      <w:pPr>
        <w:pStyle w:val="EndNoteBibliographyTitle"/>
      </w:pPr>
    </w:p>
    <w:p w14:paraId="6AAD973F" w14:textId="77777777" w:rsidR="00F22B54" w:rsidRDefault="00F22B54" w:rsidP="00AE02CA">
      <w:pPr>
        <w:pStyle w:val="EndNoteBibliographyTitle"/>
      </w:pPr>
    </w:p>
    <w:p w14:paraId="6B9A53FD" w14:textId="77777777" w:rsidR="00F22B54" w:rsidRDefault="00F22B54" w:rsidP="00AE02CA">
      <w:pPr>
        <w:pStyle w:val="EndNoteBibliographyTitle"/>
      </w:pPr>
    </w:p>
    <w:p w14:paraId="16B18211" w14:textId="77777777" w:rsidR="00F22B54" w:rsidRDefault="00F22B54" w:rsidP="00AE02CA">
      <w:pPr>
        <w:pStyle w:val="EndNoteBibliographyTitle"/>
      </w:pPr>
    </w:p>
    <w:p w14:paraId="7BE077A3" w14:textId="77777777" w:rsidR="00F22B54" w:rsidRDefault="00F22B54" w:rsidP="00AE02CA">
      <w:pPr>
        <w:pStyle w:val="EndNoteBibliographyTitle"/>
      </w:pPr>
    </w:p>
    <w:p w14:paraId="196A8663" w14:textId="77777777" w:rsidR="00F22B54" w:rsidRDefault="00F22B54" w:rsidP="00AE02CA">
      <w:pPr>
        <w:pStyle w:val="EndNoteBibliographyTitle"/>
      </w:pPr>
    </w:p>
    <w:p w14:paraId="41A93925" w14:textId="77777777" w:rsidR="00F22B54" w:rsidRDefault="00F22B54" w:rsidP="00AE02CA">
      <w:pPr>
        <w:pStyle w:val="EndNoteBibliographyTitle"/>
      </w:pPr>
    </w:p>
    <w:p w14:paraId="283D0114" w14:textId="77777777" w:rsidR="00F22B54" w:rsidRDefault="00F22B54" w:rsidP="00AE02CA">
      <w:pPr>
        <w:pStyle w:val="EndNoteBibliographyTitle"/>
      </w:pPr>
    </w:p>
    <w:p w14:paraId="23DEBE46" w14:textId="77777777" w:rsidR="000C458A" w:rsidRPr="00F37E22" w:rsidRDefault="000C458A" w:rsidP="000C458A">
      <w:pPr>
        <w:pStyle w:val="EndNoteBibliographyTitle"/>
        <w:jc w:val="left"/>
        <w:rPr>
          <w:b/>
          <w:noProof/>
        </w:rPr>
      </w:pPr>
      <w:r>
        <w:fldChar w:fldCharType="begin"/>
      </w:r>
      <w:r>
        <w:instrText xml:space="preserve"> ADDIN EN.REFLIST </w:instrText>
      </w:r>
      <w:r>
        <w:fldChar w:fldCharType="separate"/>
      </w:r>
      <w:r w:rsidRPr="00F37E22">
        <w:rPr>
          <w:b/>
          <w:noProof/>
        </w:rPr>
        <w:t>References</w:t>
      </w:r>
    </w:p>
    <w:p w14:paraId="33365806" w14:textId="77777777" w:rsidR="000C458A" w:rsidRPr="00897950" w:rsidRDefault="000C458A" w:rsidP="000C458A">
      <w:pPr>
        <w:pStyle w:val="EndNoteBibliographyTitle"/>
        <w:jc w:val="left"/>
        <w:rPr>
          <w:noProof/>
        </w:rPr>
      </w:pPr>
    </w:p>
    <w:p w14:paraId="46DBBACA" w14:textId="77777777" w:rsidR="000C458A" w:rsidRPr="00A32D03" w:rsidRDefault="000C458A" w:rsidP="000C458A">
      <w:pPr>
        <w:widowControl w:val="0"/>
        <w:autoSpaceDE w:val="0"/>
        <w:autoSpaceDN w:val="0"/>
        <w:adjustRightInd w:val="0"/>
        <w:ind w:left="720" w:hanging="720"/>
        <w:rPr>
          <w:sz w:val="16"/>
          <w:szCs w:val="16"/>
        </w:rPr>
      </w:pPr>
      <w:r w:rsidRPr="00897950">
        <w:rPr>
          <w:noProof/>
        </w:rPr>
        <w:lastRenderedPageBreak/>
        <w:t>1.</w:t>
      </w:r>
      <w:r w:rsidRPr="00897950">
        <w:rPr>
          <w:noProof/>
        </w:rPr>
        <w:tab/>
      </w:r>
      <w:r w:rsidRPr="001E20BC">
        <w:t>McCurdie I, Smith S, Bell PH, et al.</w:t>
      </w:r>
      <w:r>
        <w:t xml:space="preserve">. Tennis injury data from The </w:t>
      </w:r>
      <w:r w:rsidRPr="001E20BC">
        <w:t xml:space="preserve">Championships, Wimbledon, from 2003 to 2012. Br J Sports Med Published Online First: 15 March 2016. </w:t>
      </w:r>
      <w:r w:rsidRPr="001E20BC">
        <w:rPr>
          <w:lang w:eastAsia="ja-JP"/>
        </w:rPr>
        <w:t>doi:10.1136/bjsports-2015-095552</w:t>
      </w:r>
      <w:r>
        <w:rPr>
          <w:lang w:eastAsia="ja-JP"/>
        </w:rPr>
        <w:t>.</w:t>
      </w:r>
    </w:p>
    <w:p w14:paraId="7699C4B3" w14:textId="77777777" w:rsidR="000C458A" w:rsidRPr="00897950" w:rsidRDefault="000C458A" w:rsidP="000C458A">
      <w:pPr>
        <w:pStyle w:val="EndNoteBibliography"/>
        <w:ind w:left="720" w:hanging="720"/>
        <w:rPr>
          <w:noProof/>
        </w:rPr>
      </w:pPr>
      <w:r w:rsidRPr="00897950">
        <w:rPr>
          <w:noProof/>
        </w:rPr>
        <w:t>2.</w:t>
      </w:r>
      <w:r w:rsidRPr="00897950">
        <w:rPr>
          <w:noProof/>
        </w:rPr>
        <w:tab/>
      </w:r>
      <w:r w:rsidRPr="003471C1">
        <w:t>Sell K, Hainline B, Yorio M et al. Injury trend analysis from the US Open Tennis Championships between 1994 and 2009. Br J Sports Med</w:t>
      </w:r>
      <w:r>
        <w:t xml:space="preserve"> </w:t>
      </w:r>
      <w:r w:rsidRPr="00DF66B2">
        <w:t>2014;48:546–551.</w:t>
      </w:r>
    </w:p>
    <w:p w14:paraId="041C07C2" w14:textId="77777777" w:rsidR="000C458A" w:rsidRPr="00897950" w:rsidRDefault="000C458A" w:rsidP="000C458A">
      <w:pPr>
        <w:pStyle w:val="EndNoteBibliography"/>
        <w:ind w:left="720" w:hanging="720"/>
        <w:rPr>
          <w:noProof/>
        </w:rPr>
      </w:pPr>
      <w:r w:rsidRPr="00897950">
        <w:rPr>
          <w:noProof/>
        </w:rPr>
        <w:t>3.</w:t>
      </w:r>
      <w:r w:rsidRPr="00897950">
        <w:rPr>
          <w:noProof/>
        </w:rPr>
        <w:tab/>
      </w:r>
      <w:r w:rsidRPr="00211656">
        <w:rPr>
          <w:noProof/>
        </w:rPr>
        <w:t>Gabbett, TJ</w:t>
      </w:r>
      <w:r>
        <w:rPr>
          <w:noProof/>
        </w:rPr>
        <w:t>,</w:t>
      </w:r>
      <w:r w:rsidRPr="00211656">
        <w:rPr>
          <w:noProof/>
        </w:rPr>
        <w:t xml:space="preserve"> and </w:t>
      </w:r>
      <w:r>
        <w:rPr>
          <w:noProof/>
        </w:rPr>
        <w:t xml:space="preserve">Jenkins, </w:t>
      </w:r>
      <w:r w:rsidRPr="00211656">
        <w:rPr>
          <w:noProof/>
        </w:rPr>
        <w:t xml:space="preserve">DG. </w:t>
      </w:r>
      <w:r w:rsidRPr="009A017A">
        <w:rPr>
          <w:noProof/>
        </w:rPr>
        <w:t>Relationship between training load and injury in professional rugby league players.</w:t>
      </w:r>
      <w:r>
        <w:rPr>
          <w:noProof/>
        </w:rPr>
        <w:t xml:space="preserve"> </w:t>
      </w:r>
      <w:r w:rsidRPr="009A017A">
        <w:rPr>
          <w:noProof/>
        </w:rPr>
        <w:t xml:space="preserve"> </w:t>
      </w:r>
      <w:r>
        <w:rPr>
          <w:noProof/>
        </w:rPr>
        <w:t>J Sci Med Sport</w:t>
      </w:r>
      <w:r w:rsidRPr="00211656">
        <w:rPr>
          <w:noProof/>
        </w:rPr>
        <w:t xml:space="preserve"> 2011</w:t>
      </w:r>
      <w:r>
        <w:rPr>
          <w:noProof/>
        </w:rPr>
        <w:t>;</w:t>
      </w:r>
      <w:r w:rsidRPr="009A017A">
        <w:rPr>
          <w:noProof/>
        </w:rPr>
        <w:t>14(3</w:t>
      </w:r>
      <w:r w:rsidRPr="00211656">
        <w:rPr>
          <w:noProof/>
        </w:rPr>
        <w:t>):204-209.</w:t>
      </w:r>
    </w:p>
    <w:p w14:paraId="4262535A" w14:textId="77777777" w:rsidR="000C458A" w:rsidRPr="00897950" w:rsidRDefault="000C458A" w:rsidP="000C458A">
      <w:pPr>
        <w:pStyle w:val="EndNoteBibliography"/>
        <w:ind w:left="720" w:hanging="720"/>
        <w:rPr>
          <w:noProof/>
        </w:rPr>
      </w:pPr>
      <w:r w:rsidRPr="00897950">
        <w:rPr>
          <w:noProof/>
        </w:rPr>
        <w:t>4.</w:t>
      </w:r>
      <w:r w:rsidRPr="00897950">
        <w:rPr>
          <w:noProof/>
        </w:rPr>
        <w:tab/>
      </w:r>
      <w:r w:rsidRPr="00211656">
        <w:rPr>
          <w:noProof/>
        </w:rPr>
        <w:t>Kerr, ZY</w:t>
      </w:r>
      <w:r>
        <w:rPr>
          <w:noProof/>
        </w:rPr>
        <w:t>, Marshall SW, Dompier TP,</w:t>
      </w:r>
      <w:r w:rsidRPr="00211656">
        <w:rPr>
          <w:noProof/>
        </w:rPr>
        <w:t xml:space="preserve"> et al. </w:t>
      </w:r>
      <w:r w:rsidRPr="00A42732">
        <w:rPr>
          <w:noProof/>
        </w:rPr>
        <w:t>College sports-related injuries—United States, 2009-10 through 2013-14 academic years.</w:t>
      </w:r>
      <w:r w:rsidRPr="00211656">
        <w:rPr>
          <w:noProof/>
        </w:rPr>
        <w:t xml:space="preserve"> MMWR Morb Mortal Wkly</w:t>
      </w:r>
      <w:r w:rsidRPr="004E13DF">
        <w:rPr>
          <w:noProof/>
        </w:rPr>
        <w:t xml:space="preserve"> Rep</w:t>
      </w:r>
      <w:r w:rsidRPr="00A42732">
        <w:rPr>
          <w:noProof/>
        </w:rPr>
        <w:t xml:space="preserve"> 2015;64</w:t>
      </w:r>
      <w:r w:rsidRPr="004E13DF">
        <w:rPr>
          <w:noProof/>
        </w:rPr>
        <w:t>:</w:t>
      </w:r>
      <w:r w:rsidRPr="00A42732">
        <w:rPr>
          <w:noProof/>
        </w:rPr>
        <w:t>1330-1336.</w:t>
      </w:r>
    </w:p>
    <w:p w14:paraId="51246E2C" w14:textId="77777777" w:rsidR="000C458A" w:rsidRPr="00897950" w:rsidRDefault="000C458A" w:rsidP="000C458A">
      <w:pPr>
        <w:pStyle w:val="EndNoteBibliography"/>
        <w:ind w:left="720" w:hanging="720"/>
        <w:rPr>
          <w:noProof/>
        </w:rPr>
      </w:pPr>
      <w:r w:rsidRPr="00897950">
        <w:rPr>
          <w:noProof/>
        </w:rPr>
        <w:t>5.</w:t>
      </w:r>
      <w:r w:rsidRPr="00897950">
        <w:rPr>
          <w:noProof/>
        </w:rPr>
        <w:tab/>
      </w:r>
      <w:r>
        <w:t xml:space="preserve">Hjelm N, </w:t>
      </w:r>
      <w:r w:rsidRPr="00DF66B2">
        <w:t>Werner</w:t>
      </w:r>
      <w:r>
        <w:t xml:space="preserve"> S, and </w:t>
      </w:r>
      <w:r w:rsidRPr="00DF66B2">
        <w:t>Renstrom</w:t>
      </w:r>
      <w:r>
        <w:t xml:space="preserve"> P</w:t>
      </w:r>
      <w:r w:rsidRPr="00DF66B2">
        <w:t>. Injury profile in junior tennis players: a prospective two year study</w:t>
      </w:r>
      <w:r w:rsidRPr="00DF66B2">
        <w:rPr>
          <w:i/>
        </w:rPr>
        <w:t>.</w:t>
      </w:r>
      <w:r w:rsidRPr="00DF66B2">
        <w:t xml:space="preserve"> Knee Surg Sports Traumatol Arthrosc 2010. 18(6): p. 845-850.</w:t>
      </w:r>
    </w:p>
    <w:p w14:paraId="7DA37CF3" w14:textId="77777777" w:rsidR="000C458A" w:rsidRPr="00897950" w:rsidRDefault="000C458A" w:rsidP="000C458A">
      <w:pPr>
        <w:pStyle w:val="EndNoteBibliography"/>
        <w:ind w:left="720" w:hanging="720"/>
        <w:rPr>
          <w:noProof/>
        </w:rPr>
      </w:pPr>
      <w:r w:rsidRPr="00897950">
        <w:rPr>
          <w:noProof/>
        </w:rPr>
        <w:t>6.</w:t>
      </w:r>
      <w:r w:rsidRPr="00897950">
        <w:rPr>
          <w:noProof/>
        </w:rPr>
        <w:tab/>
      </w:r>
      <w:r>
        <w:t>Winge S</w:t>
      </w:r>
      <w:r w:rsidRPr="00DF66B2">
        <w:t>,</w:t>
      </w:r>
      <w:r>
        <w:t xml:space="preserve"> Jørgensen U, and Nielsen AL.</w:t>
      </w:r>
      <w:r w:rsidRPr="00DF66B2">
        <w:t xml:space="preserve"> Epidemiology of Injuries in Danish Championship Tennis. Int J Sports Med</w:t>
      </w:r>
      <w:r>
        <w:t xml:space="preserve"> </w:t>
      </w:r>
      <w:r w:rsidRPr="00DF66B2">
        <w:t>1989. 10(05): p. 368-371.</w:t>
      </w:r>
    </w:p>
    <w:p w14:paraId="03FD76DC" w14:textId="77777777" w:rsidR="000C458A" w:rsidRPr="00897950" w:rsidRDefault="000C458A" w:rsidP="000C458A">
      <w:pPr>
        <w:pStyle w:val="EndNoteBibliography"/>
        <w:ind w:left="720" w:hanging="720"/>
        <w:rPr>
          <w:noProof/>
        </w:rPr>
      </w:pPr>
      <w:r w:rsidRPr="00897950">
        <w:rPr>
          <w:noProof/>
        </w:rPr>
        <w:lastRenderedPageBreak/>
        <w:t>7.</w:t>
      </w:r>
      <w:r w:rsidRPr="00897950">
        <w:rPr>
          <w:noProof/>
        </w:rPr>
        <w:tab/>
      </w:r>
      <w:r w:rsidRPr="00DF66B2">
        <w:t>Hutchinson MR, Laprade RF, Burnett QM et al. Injury surveillance at the USTA Boys' Tennis Championships: a 6-yr study. Med Sci Sports Exerc</w:t>
      </w:r>
      <w:r>
        <w:t xml:space="preserve"> </w:t>
      </w:r>
      <w:r w:rsidRPr="00DF66B2">
        <w:t>1995;27(6):826-31.</w:t>
      </w:r>
    </w:p>
    <w:p w14:paraId="2DC57DB6" w14:textId="77777777" w:rsidR="000C458A" w:rsidRPr="00897950" w:rsidRDefault="000C458A" w:rsidP="000C458A">
      <w:pPr>
        <w:pStyle w:val="EndNoteBibliography"/>
        <w:ind w:left="720" w:hanging="720"/>
        <w:rPr>
          <w:noProof/>
        </w:rPr>
      </w:pPr>
      <w:r w:rsidRPr="00897950">
        <w:rPr>
          <w:noProof/>
        </w:rPr>
        <w:t>8.</w:t>
      </w:r>
      <w:r w:rsidRPr="00897950">
        <w:rPr>
          <w:noProof/>
        </w:rPr>
        <w:tab/>
      </w:r>
      <w:r w:rsidRPr="002C211E">
        <w:t>Gescheit DT, Cormack SJ, Reid M et al. Consecutive Days of Prolonged Tennis Matchplay: Performance, Physical, and Perceptual Responses in Trained Players. Int J Sports Physiol Perform 2015;10(7):913-20.</w:t>
      </w:r>
    </w:p>
    <w:p w14:paraId="0C7473E8" w14:textId="77777777" w:rsidR="000C458A" w:rsidRPr="00897950" w:rsidRDefault="000C458A" w:rsidP="000C458A">
      <w:pPr>
        <w:pStyle w:val="EndNoteBibliography"/>
        <w:ind w:left="720" w:hanging="720"/>
        <w:rPr>
          <w:noProof/>
        </w:rPr>
      </w:pPr>
      <w:r w:rsidRPr="00897950">
        <w:rPr>
          <w:noProof/>
        </w:rPr>
        <w:t>9.</w:t>
      </w:r>
      <w:r w:rsidRPr="00897950">
        <w:rPr>
          <w:noProof/>
        </w:rPr>
        <w:tab/>
      </w:r>
      <w:r w:rsidRPr="00211656">
        <w:rPr>
          <w:noProof/>
        </w:rPr>
        <w:t>Silva, R</w:t>
      </w:r>
      <w:r>
        <w:rPr>
          <w:noProof/>
        </w:rPr>
        <w:t>, Takahashi R, Berra B,</w:t>
      </w:r>
      <w:r w:rsidRPr="00211656">
        <w:rPr>
          <w:noProof/>
        </w:rPr>
        <w:t xml:space="preserve"> et al. </w:t>
      </w:r>
      <w:r w:rsidRPr="00CB353C">
        <w:rPr>
          <w:noProof/>
        </w:rPr>
        <w:t>Medical assistance at the Brazilian juniors tennis circuit—a one-year prospective study.</w:t>
      </w:r>
      <w:r w:rsidRPr="00E9315A">
        <w:rPr>
          <w:noProof/>
        </w:rPr>
        <w:t xml:space="preserve"> </w:t>
      </w:r>
      <w:r>
        <w:rPr>
          <w:noProof/>
        </w:rPr>
        <w:t>J Sci Med Sport</w:t>
      </w:r>
      <w:r w:rsidRPr="00211656">
        <w:rPr>
          <w:noProof/>
        </w:rPr>
        <w:t xml:space="preserve"> 2003</w:t>
      </w:r>
      <w:r w:rsidRPr="00E9315A">
        <w:rPr>
          <w:noProof/>
        </w:rPr>
        <w:t>;</w:t>
      </w:r>
      <w:r w:rsidRPr="00CB353C">
        <w:rPr>
          <w:noProof/>
        </w:rPr>
        <w:t>6</w:t>
      </w:r>
      <w:r w:rsidRPr="00E9315A">
        <w:rPr>
          <w:noProof/>
        </w:rPr>
        <w:t>(1):</w:t>
      </w:r>
      <w:r w:rsidRPr="00CB353C">
        <w:rPr>
          <w:noProof/>
        </w:rPr>
        <w:t>14-18.</w:t>
      </w:r>
    </w:p>
    <w:p w14:paraId="6A8F3504" w14:textId="77777777" w:rsidR="000C458A" w:rsidRPr="00897950" w:rsidRDefault="000C458A" w:rsidP="000C458A">
      <w:pPr>
        <w:pStyle w:val="EndNoteBibliography"/>
        <w:ind w:left="720" w:hanging="720"/>
        <w:rPr>
          <w:noProof/>
        </w:rPr>
      </w:pPr>
      <w:r w:rsidRPr="00897950">
        <w:rPr>
          <w:noProof/>
        </w:rPr>
        <w:t>10.</w:t>
      </w:r>
      <w:r w:rsidRPr="00897950">
        <w:rPr>
          <w:noProof/>
        </w:rPr>
        <w:tab/>
      </w:r>
      <w:r w:rsidRPr="00CA45B9">
        <w:t>Orchard J. Orchard sports injury classification system (OSICS). In:Bloomfield J, Fricker P, Fitch K, eds. Science and medicine in sport. 2nd ed.Melbourne: Blackwell, 1995:674–81, Current version available at: http://www.injuryupdate.com.au/research/OSICS.htm.</w:t>
      </w:r>
    </w:p>
    <w:p w14:paraId="12F1BAF7" w14:textId="77777777" w:rsidR="000C458A" w:rsidRPr="00897950" w:rsidRDefault="000C458A" w:rsidP="000C458A">
      <w:pPr>
        <w:pStyle w:val="EndNoteBibliography"/>
        <w:ind w:left="720" w:hanging="720"/>
        <w:rPr>
          <w:noProof/>
        </w:rPr>
      </w:pPr>
      <w:r w:rsidRPr="00897950">
        <w:rPr>
          <w:noProof/>
        </w:rPr>
        <w:t>11.</w:t>
      </w:r>
      <w:r w:rsidRPr="00897950">
        <w:rPr>
          <w:noProof/>
        </w:rPr>
        <w:tab/>
      </w:r>
      <w:r>
        <w:t xml:space="preserve">Meeuwisse WH and Wiley JP. </w:t>
      </w:r>
      <w:r w:rsidRPr="0065511E">
        <w:t>The sport medicine diagnostic coding system</w:t>
      </w:r>
      <w:r>
        <w:rPr>
          <w:i/>
        </w:rPr>
        <w:t>.</w:t>
      </w:r>
      <w:r>
        <w:t xml:space="preserve"> Clin J Sport Med, 2007;</w:t>
      </w:r>
      <w:r w:rsidRPr="0065511E">
        <w:t>17</w:t>
      </w:r>
      <w:r>
        <w:t>(3):</w:t>
      </w:r>
      <w:r w:rsidRPr="0065511E">
        <w:t>205-207.</w:t>
      </w:r>
    </w:p>
    <w:p w14:paraId="5E9E4768" w14:textId="77777777" w:rsidR="000C458A" w:rsidRPr="00897950" w:rsidRDefault="000C458A" w:rsidP="000C458A">
      <w:pPr>
        <w:pStyle w:val="EndNoteBibliography"/>
        <w:ind w:left="720" w:hanging="720"/>
        <w:rPr>
          <w:noProof/>
        </w:rPr>
      </w:pPr>
      <w:r w:rsidRPr="00897950">
        <w:rPr>
          <w:noProof/>
        </w:rPr>
        <w:lastRenderedPageBreak/>
        <w:t>12.</w:t>
      </w:r>
      <w:r w:rsidRPr="00897950">
        <w:rPr>
          <w:noProof/>
        </w:rPr>
        <w:tab/>
      </w:r>
      <w:r w:rsidRPr="00211656">
        <w:rPr>
          <w:noProof/>
        </w:rPr>
        <w:t>Pluim</w:t>
      </w:r>
      <w:r>
        <w:rPr>
          <w:noProof/>
        </w:rPr>
        <w:t xml:space="preserve"> </w:t>
      </w:r>
      <w:r w:rsidRPr="00211656">
        <w:rPr>
          <w:noProof/>
        </w:rPr>
        <w:t>BM,</w:t>
      </w:r>
      <w:r>
        <w:rPr>
          <w:noProof/>
        </w:rPr>
        <w:t xml:space="preserve"> Fuller CW, Batt ME</w:t>
      </w:r>
      <w:r w:rsidRPr="00211656">
        <w:rPr>
          <w:noProof/>
        </w:rPr>
        <w:t xml:space="preserve"> et al</w:t>
      </w:r>
      <w:r>
        <w:rPr>
          <w:noProof/>
        </w:rPr>
        <w:t>.</w:t>
      </w:r>
      <w:r w:rsidRPr="00211656">
        <w:rPr>
          <w:noProof/>
        </w:rPr>
        <w:t xml:space="preserve"> </w:t>
      </w:r>
      <w:r w:rsidRPr="00BA4B0C">
        <w:rPr>
          <w:noProof/>
        </w:rPr>
        <w:t>Consensus statement on epidemiological studies of medical conditions in tennis, April 2009.</w:t>
      </w:r>
      <w:r w:rsidRPr="00211656">
        <w:rPr>
          <w:noProof/>
        </w:rPr>
        <w:t xml:space="preserve"> </w:t>
      </w:r>
      <w:r w:rsidRPr="003471C1">
        <w:t>Br J Sports Med</w:t>
      </w:r>
      <w:r w:rsidRPr="00211656">
        <w:rPr>
          <w:noProof/>
        </w:rPr>
        <w:t xml:space="preserve"> 2009</w:t>
      </w:r>
      <w:r w:rsidRPr="00D62C0A">
        <w:rPr>
          <w:noProof/>
        </w:rPr>
        <w:t>;</w:t>
      </w:r>
      <w:r w:rsidRPr="00BA4B0C">
        <w:rPr>
          <w:noProof/>
        </w:rPr>
        <w:t>43</w:t>
      </w:r>
      <w:r w:rsidRPr="00D62C0A">
        <w:rPr>
          <w:noProof/>
        </w:rPr>
        <w:t>(12):</w:t>
      </w:r>
      <w:r w:rsidRPr="00BA4B0C">
        <w:rPr>
          <w:noProof/>
        </w:rPr>
        <w:t>893-897.</w:t>
      </w:r>
    </w:p>
    <w:p w14:paraId="79264B07" w14:textId="77777777" w:rsidR="000C458A" w:rsidRPr="00897950" w:rsidRDefault="000C458A" w:rsidP="000C458A">
      <w:pPr>
        <w:pStyle w:val="EndNoteBibliography"/>
        <w:ind w:left="720" w:hanging="720"/>
        <w:rPr>
          <w:noProof/>
        </w:rPr>
      </w:pPr>
      <w:r w:rsidRPr="00897950">
        <w:rPr>
          <w:noProof/>
        </w:rPr>
        <w:t>13.</w:t>
      </w:r>
      <w:r w:rsidRPr="00897950">
        <w:rPr>
          <w:noProof/>
        </w:rPr>
        <w:tab/>
      </w:r>
      <w:r w:rsidRPr="00211656">
        <w:rPr>
          <w:noProof/>
        </w:rPr>
        <w:t>White</w:t>
      </w:r>
      <w:r>
        <w:rPr>
          <w:noProof/>
        </w:rPr>
        <w:t xml:space="preserve"> </w:t>
      </w:r>
      <w:r w:rsidRPr="00211656">
        <w:rPr>
          <w:noProof/>
        </w:rPr>
        <w:t>E, Armstrong</w:t>
      </w:r>
      <w:r>
        <w:rPr>
          <w:noProof/>
        </w:rPr>
        <w:t xml:space="preserve"> BK</w:t>
      </w:r>
      <w:r w:rsidRPr="00211656">
        <w:rPr>
          <w:noProof/>
        </w:rPr>
        <w:t>, Saracci</w:t>
      </w:r>
      <w:r>
        <w:rPr>
          <w:noProof/>
        </w:rPr>
        <w:t xml:space="preserve"> R.</w:t>
      </w:r>
      <w:r w:rsidRPr="00211656">
        <w:rPr>
          <w:noProof/>
        </w:rPr>
        <w:t xml:space="preserve"> </w:t>
      </w:r>
      <w:r w:rsidRPr="007C15B6">
        <w:rPr>
          <w:noProof/>
        </w:rPr>
        <w:t>Principles of exposure measurement in epidemiology: collecting, evaluating and improving measures of disease risk factors</w:t>
      </w:r>
      <w:r w:rsidRPr="00211656">
        <w:rPr>
          <w:noProof/>
        </w:rPr>
        <w:t>. OUP Oxford</w:t>
      </w:r>
      <w:r>
        <w:rPr>
          <w:noProof/>
        </w:rPr>
        <w:t xml:space="preserve"> 2008</w:t>
      </w:r>
      <w:r w:rsidRPr="00211656">
        <w:rPr>
          <w:noProof/>
        </w:rPr>
        <w:t>.</w:t>
      </w:r>
    </w:p>
    <w:p w14:paraId="4D193B1C" w14:textId="77777777" w:rsidR="000C458A" w:rsidRPr="00897950" w:rsidRDefault="000C458A" w:rsidP="000C458A">
      <w:pPr>
        <w:pStyle w:val="EndNoteBibliography"/>
        <w:ind w:left="720" w:hanging="720"/>
        <w:rPr>
          <w:noProof/>
        </w:rPr>
      </w:pPr>
      <w:r w:rsidRPr="00897950">
        <w:rPr>
          <w:noProof/>
        </w:rPr>
        <w:t>14.</w:t>
      </w:r>
      <w:r w:rsidRPr="00897950">
        <w:rPr>
          <w:noProof/>
        </w:rPr>
        <w:tab/>
      </w:r>
      <w:r>
        <w:t xml:space="preserve">Magnus JR. and Klaassen FJ. </w:t>
      </w:r>
      <w:r w:rsidRPr="00F326CA">
        <w:t>On the advantage of serving first in a tennis set: four years at Wimbledon.</w:t>
      </w:r>
      <w:r>
        <w:t xml:space="preserve"> Statistician; 1999;</w:t>
      </w:r>
      <w:r w:rsidRPr="00F326CA">
        <w:t>48</w:t>
      </w:r>
      <w:r>
        <w:t>(2):</w:t>
      </w:r>
      <w:r w:rsidRPr="00F326CA">
        <w:t>247-256.</w:t>
      </w:r>
    </w:p>
    <w:p w14:paraId="5BFD8CD8" w14:textId="77777777" w:rsidR="000C458A" w:rsidRPr="00897950" w:rsidRDefault="000C458A" w:rsidP="000C458A">
      <w:pPr>
        <w:pStyle w:val="EndNoteBibliography"/>
        <w:ind w:left="720" w:hanging="720"/>
        <w:rPr>
          <w:noProof/>
        </w:rPr>
      </w:pPr>
      <w:r w:rsidRPr="00897950">
        <w:rPr>
          <w:noProof/>
        </w:rPr>
        <w:t>15.</w:t>
      </w:r>
      <w:r w:rsidRPr="00897950">
        <w:rPr>
          <w:noProof/>
        </w:rPr>
        <w:tab/>
      </w:r>
      <w:r>
        <w:t xml:space="preserve">Reid M, </w:t>
      </w:r>
      <w:r w:rsidRPr="00F326CA">
        <w:t>Morgan</w:t>
      </w:r>
      <w:r>
        <w:t xml:space="preserve"> S, and </w:t>
      </w:r>
      <w:r w:rsidRPr="00F326CA">
        <w:t>Whitesi</w:t>
      </w:r>
      <w:r>
        <w:t>de D.</w:t>
      </w:r>
      <w:r w:rsidRPr="00F91993">
        <w:t xml:space="preserve"> Matchplay characteristics of Grand Slam tennis: implications for training and conditioning.</w:t>
      </w:r>
      <w:r>
        <w:t xml:space="preserve"> J Sports Sci </w:t>
      </w:r>
      <w:r w:rsidRPr="00F91993">
        <w:t xml:space="preserve">Published Online First:[ </w:t>
      </w:r>
      <w:r>
        <w:t>24 March</w:t>
      </w:r>
      <w:r w:rsidRPr="00F91993">
        <w:t xml:space="preserve"> 2016] doi</w:t>
      </w:r>
      <w:r>
        <w:t>:</w:t>
      </w:r>
      <w:r w:rsidRPr="00820508">
        <w:rPr>
          <w:rFonts w:eastAsia="Times New Roman"/>
        </w:rPr>
        <w:t>10.1080/02640414.2016.1139161</w:t>
      </w:r>
    </w:p>
    <w:p w14:paraId="291114FC" w14:textId="77777777" w:rsidR="000C458A" w:rsidRPr="00897950" w:rsidRDefault="000C458A" w:rsidP="000C458A">
      <w:pPr>
        <w:pStyle w:val="EndNoteBibliography"/>
        <w:ind w:left="720" w:hanging="720"/>
        <w:rPr>
          <w:noProof/>
        </w:rPr>
      </w:pPr>
      <w:r w:rsidRPr="00897950">
        <w:rPr>
          <w:noProof/>
        </w:rPr>
        <w:t>16.</w:t>
      </w:r>
      <w:r w:rsidRPr="00897950">
        <w:rPr>
          <w:noProof/>
        </w:rPr>
        <w:tab/>
      </w:r>
      <w:r>
        <w:t xml:space="preserve">Paserman MD. </w:t>
      </w:r>
      <w:r w:rsidRPr="00F91993">
        <w:t>Gender differences in performance in competitive environments: evidence from professional tennis players.</w:t>
      </w:r>
      <w:r>
        <w:t xml:space="preserve"> 2007, IZA Discussion Papers.</w:t>
      </w:r>
    </w:p>
    <w:p w14:paraId="0F5ECB36" w14:textId="77777777" w:rsidR="000C458A" w:rsidRPr="00897950" w:rsidRDefault="000C458A" w:rsidP="000C458A">
      <w:pPr>
        <w:pStyle w:val="EndNoteBibliography"/>
        <w:ind w:left="720" w:hanging="720"/>
        <w:rPr>
          <w:noProof/>
        </w:rPr>
      </w:pPr>
      <w:r w:rsidRPr="00897950">
        <w:rPr>
          <w:noProof/>
        </w:rPr>
        <w:lastRenderedPageBreak/>
        <w:t>17.</w:t>
      </w:r>
      <w:r w:rsidRPr="00897950">
        <w:rPr>
          <w:noProof/>
        </w:rPr>
        <w:tab/>
      </w:r>
      <w:r>
        <w:rPr>
          <w:rFonts w:eastAsia="Times New Roman"/>
        </w:rPr>
        <w:t xml:space="preserve">Gescheit DT, Duffield R, Skein M et al. Effects of consecutive days of match play on technical </w:t>
      </w:r>
      <w:r w:rsidRPr="00F91993">
        <w:rPr>
          <w:rFonts w:eastAsia="Times New Roman"/>
        </w:rPr>
        <w:t xml:space="preserve">performance in tennis. J Sports Sc </w:t>
      </w:r>
      <w:r w:rsidRPr="00F91993">
        <w:t>Published Online First:[ 25 October 2016] doi:10.1080/02640414.2016.1244352</w:t>
      </w:r>
    </w:p>
    <w:p w14:paraId="42A68AEB" w14:textId="77777777" w:rsidR="000C458A" w:rsidRPr="00897950" w:rsidRDefault="000C458A" w:rsidP="000C458A">
      <w:pPr>
        <w:pStyle w:val="EndNoteBibliography"/>
        <w:ind w:left="720" w:hanging="720"/>
        <w:rPr>
          <w:noProof/>
        </w:rPr>
      </w:pPr>
      <w:r w:rsidRPr="00897950">
        <w:rPr>
          <w:noProof/>
        </w:rPr>
        <w:t>18.</w:t>
      </w:r>
      <w:r w:rsidRPr="00897950">
        <w:rPr>
          <w:noProof/>
        </w:rPr>
        <w:tab/>
      </w:r>
      <w:r>
        <w:t>Fernandez J, Mendez-Villanueva A, and Pluim BM.</w:t>
      </w:r>
      <w:r w:rsidRPr="00853197">
        <w:t xml:space="preserve"> Intensity of tennis match play.</w:t>
      </w:r>
      <w:r>
        <w:t xml:space="preserve"> Br J Sports Med, </w:t>
      </w:r>
      <w:r w:rsidRPr="00853197">
        <w:t>200</w:t>
      </w:r>
      <w:r>
        <w:t>6;</w:t>
      </w:r>
      <w:r w:rsidRPr="00853197">
        <w:t>40</w:t>
      </w:r>
      <w:r>
        <w:t>(5):</w:t>
      </w:r>
      <w:r w:rsidRPr="00853197">
        <w:t>387-391.</w:t>
      </w:r>
    </w:p>
    <w:p w14:paraId="0A2C2AF9" w14:textId="77777777" w:rsidR="000C458A" w:rsidRPr="00897950" w:rsidRDefault="000C458A" w:rsidP="000C458A">
      <w:pPr>
        <w:pStyle w:val="EndNoteBibliography"/>
        <w:ind w:left="720" w:hanging="720"/>
        <w:rPr>
          <w:noProof/>
        </w:rPr>
      </w:pPr>
      <w:r w:rsidRPr="00897950">
        <w:rPr>
          <w:noProof/>
        </w:rPr>
        <w:t>19.</w:t>
      </w:r>
      <w:r w:rsidRPr="00897950">
        <w:rPr>
          <w:noProof/>
        </w:rPr>
        <w:tab/>
      </w:r>
      <w:r>
        <w:t xml:space="preserve">Barnett T and Pollard G. </w:t>
      </w:r>
      <w:r w:rsidRPr="00B16595">
        <w:t xml:space="preserve">How the tennis court surface affects player performance and injuries. </w:t>
      </w:r>
      <w:r>
        <w:t xml:space="preserve">J Med Sci </w:t>
      </w:r>
      <w:r w:rsidRPr="00B16595">
        <w:t>Tennis 2007;12</w:t>
      </w:r>
      <w:r>
        <w:t>(1):34-37.</w:t>
      </w:r>
    </w:p>
    <w:p w14:paraId="5B793E83" w14:textId="77777777" w:rsidR="000C458A" w:rsidRPr="00897950" w:rsidRDefault="000C458A" w:rsidP="000C458A">
      <w:pPr>
        <w:pStyle w:val="EndNoteBibliography"/>
        <w:ind w:left="720" w:hanging="720"/>
        <w:rPr>
          <w:noProof/>
        </w:rPr>
      </w:pPr>
      <w:r w:rsidRPr="00897950">
        <w:rPr>
          <w:noProof/>
        </w:rPr>
        <w:t>20.</w:t>
      </w:r>
      <w:r w:rsidRPr="00897950">
        <w:rPr>
          <w:noProof/>
        </w:rPr>
        <w:tab/>
      </w:r>
      <w:r>
        <w:t xml:space="preserve">Maquirriain J and Ghisi J. </w:t>
      </w:r>
      <w:r w:rsidRPr="00DF3705">
        <w:t xml:space="preserve">The incidence and distribution of stress fractures in elite tennis players. </w:t>
      </w:r>
      <w:r>
        <w:t xml:space="preserve">Br J Sports </w:t>
      </w:r>
      <w:r w:rsidRPr="00DF3705">
        <w:t>Med 2006; 40</w:t>
      </w:r>
      <w:r>
        <w:t>(5):</w:t>
      </w:r>
      <w:r w:rsidRPr="00DF3705">
        <w:t>454-459.</w:t>
      </w:r>
    </w:p>
    <w:p w14:paraId="5560204C" w14:textId="77777777" w:rsidR="000C458A" w:rsidRPr="00897950" w:rsidRDefault="000C458A" w:rsidP="000C458A">
      <w:pPr>
        <w:pStyle w:val="EndNoteBibliography"/>
        <w:ind w:left="720" w:hanging="720"/>
        <w:rPr>
          <w:noProof/>
        </w:rPr>
      </w:pPr>
      <w:r w:rsidRPr="00897950">
        <w:rPr>
          <w:noProof/>
        </w:rPr>
        <w:t>21.</w:t>
      </w:r>
      <w:r w:rsidRPr="00897950">
        <w:rPr>
          <w:noProof/>
        </w:rPr>
        <w:tab/>
      </w:r>
      <w:r>
        <w:t>Mafi JN, McCarthy EP, Davis RB et al</w:t>
      </w:r>
      <w:r w:rsidRPr="00DE1474">
        <w:t xml:space="preserve">. Worsening trends in the management and </w:t>
      </w:r>
      <w:r>
        <w:t>treatment of back pain. JAMA Intern Med</w:t>
      </w:r>
      <w:r w:rsidRPr="00DE1474">
        <w:t xml:space="preserve"> 2013;173(17):1573-81</w:t>
      </w:r>
      <w:r>
        <w:t>.</w:t>
      </w:r>
    </w:p>
    <w:p w14:paraId="63C3F559" w14:textId="77777777" w:rsidR="000C458A" w:rsidRPr="00897950" w:rsidRDefault="000C458A" w:rsidP="000C458A">
      <w:pPr>
        <w:pStyle w:val="EndNoteBibliography"/>
        <w:ind w:left="720" w:hanging="720"/>
        <w:rPr>
          <w:noProof/>
        </w:rPr>
      </w:pPr>
      <w:r w:rsidRPr="00897950">
        <w:rPr>
          <w:noProof/>
        </w:rPr>
        <w:t>22.</w:t>
      </w:r>
      <w:r w:rsidRPr="00897950">
        <w:rPr>
          <w:noProof/>
        </w:rPr>
        <w:tab/>
      </w:r>
      <w:r>
        <w:t>Chow J, Shim J, and Lim Y</w:t>
      </w:r>
      <w:r w:rsidRPr="00DE1474">
        <w:t xml:space="preserve">, Lower trunk muscle activity during the tennis serve. </w:t>
      </w:r>
      <w:r>
        <w:t>J Sci Med Sport 2003;</w:t>
      </w:r>
      <w:r w:rsidRPr="00B65F36">
        <w:t>6</w:t>
      </w:r>
      <w:r>
        <w:t>(4):</w:t>
      </w:r>
      <w:r w:rsidRPr="00B65F36">
        <w:t>512-518.</w:t>
      </w:r>
    </w:p>
    <w:p w14:paraId="6FA84D31" w14:textId="77777777" w:rsidR="000C458A" w:rsidRPr="00897950" w:rsidRDefault="000C458A" w:rsidP="000C458A">
      <w:pPr>
        <w:pStyle w:val="EndNoteBibliography"/>
        <w:ind w:left="720" w:hanging="720"/>
        <w:rPr>
          <w:noProof/>
        </w:rPr>
      </w:pPr>
      <w:r w:rsidRPr="00897950">
        <w:rPr>
          <w:noProof/>
        </w:rPr>
        <w:t>23.</w:t>
      </w:r>
      <w:r w:rsidRPr="00897950">
        <w:rPr>
          <w:noProof/>
        </w:rPr>
        <w:tab/>
      </w:r>
      <w:r>
        <w:t xml:space="preserve">Miller S. </w:t>
      </w:r>
      <w:r w:rsidRPr="00B65F36">
        <w:t>Modern tennis rackets, balls, and surfaces.</w:t>
      </w:r>
      <w:r>
        <w:t xml:space="preserve"> Br J Sports Med 2006; </w:t>
      </w:r>
      <w:r w:rsidRPr="00B65F36">
        <w:t>40</w:t>
      </w:r>
      <w:r>
        <w:t>(5):</w:t>
      </w:r>
      <w:r w:rsidRPr="00B65F36">
        <w:t>401-405.</w:t>
      </w:r>
    </w:p>
    <w:p w14:paraId="26A6464A" w14:textId="77777777" w:rsidR="000C458A" w:rsidRPr="00897950" w:rsidRDefault="000C458A" w:rsidP="000C458A">
      <w:pPr>
        <w:pStyle w:val="EndNoteBibliography"/>
        <w:ind w:left="720" w:hanging="720"/>
        <w:rPr>
          <w:noProof/>
        </w:rPr>
      </w:pPr>
      <w:r w:rsidRPr="00897950">
        <w:rPr>
          <w:noProof/>
        </w:rPr>
        <w:lastRenderedPageBreak/>
        <w:t>24.</w:t>
      </w:r>
      <w:r w:rsidRPr="00897950">
        <w:rPr>
          <w:noProof/>
        </w:rPr>
        <w:tab/>
      </w:r>
      <w:r w:rsidRPr="006F5E5B">
        <w:t>M</w:t>
      </w:r>
      <w:r>
        <w:t>yers NL, Sciascia AD, Kibler WB et al</w:t>
      </w:r>
      <w:r w:rsidRPr="006F5E5B">
        <w:t>. Volume-based Interval Training Program for Elite Tennis Players. Sports Health</w:t>
      </w:r>
      <w:r>
        <w:t xml:space="preserve"> </w:t>
      </w:r>
      <w:r w:rsidRPr="006F5E5B">
        <w:t>2016;8(6):536-40.</w:t>
      </w:r>
    </w:p>
    <w:p w14:paraId="53E35787" w14:textId="77777777" w:rsidR="000C458A" w:rsidRPr="00897950" w:rsidRDefault="000C458A" w:rsidP="000C458A">
      <w:pPr>
        <w:pStyle w:val="EndNoteBibliography"/>
        <w:ind w:left="720" w:hanging="720"/>
        <w:rPr>
          <w:noProof/>
        </w:rPr>
      </w:pPr>
      <w:r w:rsidRPr="00897950">
        <w:rPr>
          <w:noProof/>
        </w:rPr>
        <w:t>25.</w:t>
      </w:r>
      <w:r w:rsidRPr="00897950">
        <w:rPr>
          <w:noProof/>
        </w:rPr>
        <w:tab/>
      </w:r>
      <w:r>
        <w:t>Eygendaal D, Rahussen FTG, and Diercks R.</w:t>
      </w:r>
      <w:r w:rsidRPr="006F5E5B">
        <w:t xml:space="preserve"> Biomechanics of the elbow joint in tennis players and relation to pathology. </w:t>
      </w:r>
      <w:r>
        <w:t xml:space="preserve">Br J Sports Med 2007; </w:t>
      </w:r>
      <w:r w:rsidRPr="006F5E5B">
        <w:t>41</w:t>
      </w:r>
      <w:r>
        <w:t>(11):</w:t>
      </w:r>
      <w:r w:rsidRPr="006F5E5B">
        <w:t>820-823.</w:t>
      </w:r>
    </w:p>
    <w:p w14:paraId="53A1BD4B" w14:textId="77777777" w:rsidR="000C458A" w:rsidRPr="00897950" w:rsidRDefault="000C458A" w:rsidP="000C458A">
      <w:pPr>
        <w:pStyle w:val="EndNoteBibliography"/>
        <w:ind w:left="720" w:hanging="720"/>
        <w:rPr>
          <w:noProof/>
        </w:rPr>
      </w:pPr>
      <w:r w:rsidRPr="00897950">
        <w:rPr>
          <w:noProof/>
        </w:rPr>
        <w:t>26.</w:t>
      </w:r>
      <w:r w:rsidRPr="00897950">
        <w:rPr>
          <w:noProof/>
        </w:rPr>
        <w:tab/>
      </w:r>
      <w:r>
        <w:t xml:space="preserve">Van der Hoeven H and Kibler WB. </w:t>
      </w:r>
      <w:r w:rsidRPr="00D9296F">
        <w:t xml:space="preserve">Shoulder injuries in tennis players. </w:t>
      </w:r>
      <w:r>
        <w:t>Br J Sports Med</w:t>
      </w:r>
      <w:r w:rsidRPr="00D9296F">
        <w:t xml:space="preserve"> 2006</w:t>
      </w:r>
      <w:r>
        <w:t>;</w:t>
      </w:r>
      <w:r w:rsidRPr="00D9296F">
        <w:t>40</w:t>
      </w:r>
      <w:r>
        <w:t>(5):</w:t>
      </w:r>
      <w:r w:rsidRPr="00D9296F">
        <w:t>435-440.</w:t>
      </w:r>
    </w:p>
    <w:p w14:paraId="7EE7CB9F" w14:textId="77777777" w:rsidR="000C458A" w:rsidRPr="00897950" w:rsidRDefault="000C458A" w:rsidP="000C458A">
      <w:pPr>
        <w:pStyle w:val="EndNoteBibliography"/>
        <w:ind w:left="720" w:hanging="720"/>
        <w:rPr>
          <w:noProof/>
        </w:rPr>
      </w:pPr>
      <w:r w:rsidRPr="00897950">
        <w:rPr>
          <w:noProof/>
        </w:rPr>
        <w:t>27.</w:t>
      </w:r>
      <w:r w:rsidRPr="00897950">
        <w:rPr>
          <w:noProof/>
        </w:rPr>
        <w:tab/>
      </w:r>
      <w:r>
        <w:t>Abrams GD, Renstrom PA, and Safran MR</w:t>
      </w:r>
      <w:r w:rsidRPr="006C05A3">
        <w:t>, Epidemiology of musculoskeletal injury in the tennis player. Br J Sports Med 2012;46(7):492-498.</w:t>
      </w:r>
    </w:p>
    <w:p w14:paraId="2D151C9D" w14:textId="6823DB19" w:rsidR="00F824BE" w:rsidRDefault="000C458A" w:rsidP="00D21CAA">
      <w:pPr>
        <w:pStyle w:val="EndNoteBibliography"/>
        <w:ind w:left="720" w:hanging="720"/>
      </w:pPr>
      <w:r>
        <w:fldChar w:fldCharType="end"/>
      </w:r>
    </w:p>
    <w:p w14:paraId="52CC83E5" w14:textId="77777777" w:rsidR="00F824BE" w:rsidRDefault="00F824BE" w:rsidP="00D21CAA">
      <w:pPr>
        <w:pStyle w:val="EndNoteBibliography"/>
        <w:ind w:left="720" w:hanging="720"/>
      </w:pPr>
    </w:p>
    <w:p w14:paraId="7CFF8D78" w14:textId="77777777" w:rsidR="00F824BE" w:rsidRDefault="00F824BE" w:rsidP="00D21CAA">
      <w:pPr>
        <w:pStyle w:val="EndNoteBibliography"/>
        <w:ind w:left="720" w:hanging="720"/>
      </w:pPr>
    </w:p>
    <w:p w14:paraId="10CC40F6" w14:textId="77777777" w:rsidR="00F824BE" w:rsidRDefault="00F824BE" w:rsidP="00D21CAA">
      <w:pPr>
        <w:pStyle w:val="EndNoteBibliography"/>
        <w:ind w:left="720" w:hanging="720"/>
      </w:pPr>
    </w:p>
    <w:p w14:paraId="73B755A6" w14:textId="77777777" w:rsidR="00F824BE" w:rsidRDefault="00F824BE" w:rsidP="00D21CAA">
      <w:pPr>
        <w:pStyle w:val="EndNoteBibliography"/>
        <w:ind w:left="720" w:hanging="720"/>
      </w:pPr>
    </w:p>
    <w:p w14:paraId="5FA09DC7" w14:textId="77777777" w:rsidR="00F824BE" w:rsidRDefault="00F824BE" w:rsidP="00D21CAA">
      <w:pPr>
        <w:pStyle w:val="EndNoteBibliography"/>
        <w:ind w:left="720" w:hanging="720"/>
      </w:pPr>
    </w:p>
    <w:p w14:paraId="74FF0F85" w14:textId="77777777" w:rsidR="00F824BE" w:rsidRDefault="00F824BE" w:rsidP="00D21CAA">
      <w:pPr>
        <w:pStyle w:val="EndNoteBibliography"/>
        <w:ind w:left="720" w:hanging="720"/>
      </w:pPr>
    </w:p>
    <w:p w14:paraId="464FF51F" w14:textId="77777777" w:rsidR="00F824BE" w:rsidRDefault="00F824BE" w:rsidP="00D21CAA">
      <w:pPr>
        <w:pStyle w:val="EndNoteBibliography"/>
        <w:ind w:left="720" w:hanging="720"/>
      </w:pPr>
    </w:p>
    <w:p w14:paraId="6C82B824" w14:textId="77777777" w:rsidR="00F824BE" w:rsidRDefault="00F824BE" w:rsidP="00D21CAA">
      <w:pPr>
        <w:pStyle w:val="EndNoteBibliography"/>
        <w:ind w:left="720" w:hanging="720"/>
      </w:pPr>
    </w:p>
    <w:p w14:paraId="27ADB721" w14:textId="77777777" w:rsidR="00F824BE" w:rsidRDefault="00F824BE" w:rsidP="00D21CAA">
      <w:pPr>
        <w:pStyle w:val="EndNoteBibliography"/>
        <w:ind w:left="720" w:hanging="720"/>
      </w:pPr>
    </w:p>
    <w:p w14:paraId="42D5CC36" w14:textId="77777777" w:rsidR="00F824BE" w:rsidRDefault="00F824BE" w:rsidP="00D21CAA">
      <w:pPr>
        <w:pStyle w:val="EndNoteBibliography"/>
        <w:ind w:left="720" w:hanging="720"/>
      </w:pPr>
    </w:p>
    <w:p w14:paraId="331E85BD" w14:textId="77777777" w:rsidR="00F824BE" w:rsidRDefault="00F824BE" w:rsidP="00D21CAA">
      <w:pPr>
        <w:pStyle w:val="EndNoteBibliography"/>
        <w:ind w:left="720" w:hanging="720"/>
      </w:pPr>
    </w:p>
    <w:p w14:paraId="494C2D60" w14:textId="77777777" w:rsidR="00F824BE" w:rsidRDefault="00F824BE" w:rsidP="00D21CAA">
      <w:pPr>
        <w:pStyle w:val="EndNoteBibliography"/>
        <w:ind w:left="720" w:hanging="720"/>
      </w:pPr>
    </w:p>
    <w:p w14:paraId="4E7A7387" w14:textId="77777777" w:rsidR="00F824BE" w:rsidRDefault="00F824BE" w:rsidP="00D21CAA">
      <w:pPr>
        <w:pStyle w:val="EndNoteBibliography"/>
        <w:ind w:left="720" w:hanging="720"/>
      </w:pPr>
    </w:p>
    <w:p w14:paraId="780CA6A9" w14:textId="77777777" w:rsidR="00F824BE" w:rsidRDefault="00F824BE" w:rsidP="00D21CAA">
      <w:pPr>
        <w:pStyle w:val="EndNoteBibliography"/>
        <w:ind w:left="720" w:hanging="720"/>
      </w:pPr>
    </w:p>
    <w:p w14:paraId="20119A00" w14:textId="77777777" w:rsidR="00F824BE" w:rsidRDefault="00F824BE" w:rsidP="00D21CAA">
      <w:pPr>
        <w:pStyle w:val="EndNoteBibliography"/>
        <w:ind w:left="720" w:hanging="720"/>
      </w:pPr>
    </w:p>
    <w:p w14:paraId="35338056" w14:textId="77777777" w:rsidR="00F824BE" w:rsidRDefault="00F824BE" w:rsidP="00D21CAA">
      <w:pPr>
        <w:pStyle w:val="EndNoteBibliography"/>
        <w:ind w:left="720" w:hanging="720"/>
      </w:pPr>
    </w:p>
    <w:p w14:paraId="51842F70" w14:textId="77777777" w:rsidR="00F824BE" w:rsidRDefault="00F824BE" w:rsidP="00D21CAA">
      <w:pPr>
        <w:pStyle w:val="EndNoteBibliography"/>
        <w:ind w:left="720" w:hanging="720"/>
      </w:pPr>
    </w:p>
    <w:p w14:paraId="20C057AC" w14:textId="77777777" w:rsidR="00F824BE" w:rsidRDefault="00F824BE" w:rsidP="00D21CAA">
      <w:pPr>
        <w:pStyle w:val="EndNoteBibliography"/>
        <w:ind w:left="720" w:hanging="720"/>
      </w:pPr>
    </w:p>
    <w:p w14:paraId="6ACBAD2A" w14:textId="77777777" w:rsidR="00F824BE" w:rsidRDefault="00F824BE" w:rsidP="00D21CAA">
      <w:pPr>
        <w:pStyle w:val="EndNoteBibliography"/>
        <w:ind w:left="720" w:hanging="720"/>
      </w:pPr>
    </w:p>
    <w:p w14:paraId="2D03B7E1" w14:textId="77777777" w:rsidR="00F824BE" w:rsidRDefault="00F824BE" w:rsidP="00D21CAA">
      <w:pPr>
        <w:pStyle w:val="EndNoteBibliography"/>
        <w:ind w:left="720" w:hanging="720"/>
      </w:pPr>
    </w:p>
    <w:p w14:paraId="33704C94" w14:textId="77777777" w:rsidR="00F824BE" w:rsidRDefault="00F824BE" w:rsidP="00D21CAA">
      <w:pPr>
        <w:pStyle w:val="EndNoteBibliography"/>
        <w:ind w:left="720" w:hanging="720"/>
      </w:pPr>
    </w:p>
    <w:p w14:paraId="0A06B9BF" w14:textId="77777777" w:rsidR="00F824BE" w:rsidRDefault="00F824BE" w:rsidP="00D21CAA">
      <w:pPr>
        <w:pStyle w:val="EndNoteBibliography"/>
        <w:ind w:left="720" w:hanging="720"/>
      </w:pPr>
    </w:p>
    <w:p w14:paraId="24B0BB79" w14:textId="77777777" w:rsidR="00F824BE" w:rsidRDefault="00F824BE" w:rsidP="00D21CAA">
      <w:pPr>
        <w:pStyle w:val="EndNoteBibliography"/>
        <w:ind w:left="720" w:hanging="720"/>
      </w:pPr>
    </w:p>
    <w:p w14:paraId="48EC3C73" w14:textId="77777777" w:rsidR="00F824BE" w:rsidRDefault="00F824BE" w:rsidP="00D21CAA">
      <w:pPr>
        <w:pStyle w:val="EndNoteBibliography"/>
        <w:ind w:left="720" w:hanging="720"/>
      </w:pPr>
    </w:p>
    <w:p w14:paraId="54A036A0" w14:textId="77777777" w:rsidR="00F824BE" w:rsidRDefault="00F824BE" w:rsidP="00D21CAA">
      <w:pPr>
        <w:pStyle w:val="EndNoteBibliography"/>
        <w:ind w:left="720" w:hanging="720"/>
      </w:pPr>
    </w:p>
    <w:p w14:paraId="0A3D5E35" w14:textId="77777777" w:rsidR="006F5C0A" w:rsidRDefault="006F5C0A" w:rsidP="00F824BE">
      <w:pPr>
        <w:pStyle w:val="EndNoteBibliography"/>
        <w:sectPr w:rsidR="006F5C0A">
          <w:pgSz w:w="11906" w:h="16838"/>
          <w:pgMar w:top="1440" w:right="1800" w:bottom="1440" w:left="1800" w:header="0" w:footer="0" w:gutter="0"/>
          <w:lnNumType w:countBy="1" w:restart="continuous"/>
          <w:cols w:space="720"/>
          <w:formProt w:val="0"/>
          <w:docGrid w:linePitch="360" w:charSpace="-6145"/>
        </w:sectPr>
      </w:pPr>
    </w:p>
    <w:p w14:paraId="36893396" w14:textId="40CAEF2D" w:rsidR="00F824BE" w:rsidRDefault="00F824BE" w:rsidP="0024292F">
      <w:pPr>
        <w:rPr>
          <w:b/>
        </w:rPr>
      </w:pPr>
      <w:r>
        <w:rPr>
          <w:b/>
        </w:rPr>
        <w:lastRenderedPageBreak/>
        <w:t xml:space="preserve">Table 1: Injury incidence </w:t>
      </w:r>
      <w:r>
        <w:rPr>
          <w:rFonts w:eastAsia="MS Gothic"/>
          <w:b/>
          <w:color w:val="000000"/>
        </w:rPr>
        <w:t xml:space="preserve">± 95% confidence interval and rate ratio, per 10,000 game exposures, for male and female injury occurrence and treatment cost by region over the 2011 to 2016 Australian Open </w:t>
      </w:r>
      <w:r w:rsidR="006235E8">
        <w:rPr>
          <w:rFonts w:eastAsia="MS Gothic"/>
          <w:b/>
          <w:color w:val="000000"/>
        </w:rPr>
        <w:t>wit</w:t>
      </w:r>
      <w:r w:rsidR="00966721">
        <w:rPr>
          <w:rFonts w:eastAsia="MS Gothic"/>
          <w:b/>
          <w:color w:val="000000"/>
        </w:rPr>
        <w:t xml:space="preserve">h 2011 as the base year </w:t>
      </w:r>
      <w:r>
        <w:rPr>
          <w:rFonts w:eastAsia="MS Gothic"/>
          <w:b/>
          <w:color w:val="000000"/>
        </w:rPr>
        <w:t>(2013-2016 for treatment cost</w:t>
      </w:r>
      <w:r w:rsidR="00966721">
        <w:rPr>
          <w:rFonts w:eastAsia="MS Gothic"/>
          <w:b/>
          <w:color w:val="000000"/>
        </w:rPr>
        <w:t xml:space="preserve"> with 2013 as the base year</w:t>
      </w:r>
      <w:r>
        <w:rPr>
          <w:rFonts w:eastAsia="MS Gothic"/>
          <w:b/>
          <w:color w:val="000000"/>
        </w:rPr>
        <w:t>)</w:t>
      </w:r>
    </w:p>
    <w:tbl>
      <w:tblPr>
        <w:tblW w:w="5398" w:type="pct"/>
        <w:tblInd w:w="-387" w:type="dxa"/>
        <w:tblBorders>
          <w:top w:val="single" w:sz="4" w:space="0" w:color="00000A"/>
        </w:tblBorders>
        <w:tblLook w:val="04A0" w:firstRow="1" w:lastRow="0" w:firstColumn="1" w:lastColumn="0" w:noHBand="0" w:noVBand="1"/>
      </w:tblPr>
      <w:tblGrid>
        <w:gridCol w:w="2446"/>
        <w:gridCol w:w="1639"/>
        <w:gridCol w:w="2203"/>
        <w:gridCol w:w="1638"/>
        <w:gridCol w:w="1288"/>
        <w:gridCol w:w="1969"/>
        <w:gridCol w:w="1282"/>
        <w:gridCol w:w="1560"/>
        <w:gridCol w:w="1277"/>
      </w:tblGrid>
      <w:tr w:rsidR="00F824BE" w14:paraId="1F9B85DC" w14:textId="77777777" w:rsidTr="00481C82">
        <w:trPr>
          <w:trHeight w:val="97"/>
        </w:trPr>
        <w:tc>
          <w:tcPr>
            <w:tcW w:w="2410" w:type="dxa"/>
            <w:tcBorders>
              <w:top w:val="single" w:sz="4" w:space="0" w:color="00000A"/>
            </w:tcBorders>
            <w:shd w:val="clear" w:color="auto" w:fill="auto"/>
            <w:vAlign w:val="bottom"/>
          </w:tcPr>
          <w:p w14:paraId="488CDA49" w14:textId="77777777" w:rsidR="00F824BE" w:rsidRDefault="00F824BE" w:rsidP="0018431C">
            <w:pPr>
              <w:jc w:val="center"/>
              <w:rPr>
                <w:rFonts w:eastAsia="Times New Roman"/>
                <w:color w:val="000000"/>
              </w:rPr>
            </w:pPr>
            <w:r>
              <w:rPr>
                <w:rFonts w:eastAsia="Times New Roman"/>
                <w:color w:val="000000"/>
              </w:rPr>
              <w:t> </w:t>
            </w:r>
          </w:p>
        </w:tc>
        <w:tc>
          <w:tcPr>
            <w:tcW w:w="6664" w:type="dxa"/>
            <w:gridSpan w:val="4"/>
            <w:tcBorders>
              <w:top w:val="single" w:sz="4" w:space="0" w:color="00000A"/>
              <w:bottom w:val="single" w:sz="4" w:space="0" w:color="00000A"/>
            </w:tcBorders>
            <w:shd w:val="clear" w:color="auto" w:fill="auto"/>
            <w:vAlign w:val="bottom"/>
          </w:tcPr>
          <w:p w14:paraId="5E9EF65D" w14:textId="77777777" w:rsidR="00F824BE" w:rsidRDefault="00F824BE" w:rsidP="0018431C">
            <w:pPr>
              <w:jc w:val="center"/>
              <w:rPr>
                <w:rFonts w:eastAsia="Times New Roman"/>
                <w:b/>
                <w:bCs/>
                <w:color w:val="000000"/>
              </w:rPr>
            </w:pPr>
            <w:r>
              <w:rPr>
                <w:rFonts w:eastAsia="Times New Roman"/>
                <w:b/>
                <w:bCs/>
                <w:color w:val="000000"/>
              </w:rPr>
              <w:t>Male</w:t>
            </w:r>
          </w:p>
        </w:tc>
        <w:tc>
          <w:tcPr>
            <w:tcW w:w="5995" w:type="dxa"/>
            <w:gridSpan w:val="4"/>
            <w:tcBorders>
              <w:top w:val="single" w:sz="4" w:space="0" w:color="00000A"/>
              <w:bottom w:val="single" w:sz="4" w:space="0" w:color="00000A"/>
            </w:tcBorders>
            <w:shd w:val="clear" w:color="auto" w:fill="auto"/>
            <w:vAlign w:val="bottom"/>
          </w:tcPr>
          <w:p w14:paraId="135E3171" w14:textId="77777777" w:rsidR="00F824BE" w:rsidRDefault="00F824BE" w:rsidP="0018431C">
            <w:pPr>
              <w:jc w:val="center"/>
              <w:rPr>
                <w:rFonts w:eastAsia="Times New Roman"/>
                <w:b/>
                <w:bCs/>
                <w:color w:val="000000"/>
              </w:rPr>
            </w:pPr>
            <w:r>
              <w:rPr>
                <w:rFonts w:eastAsia="Times New Roman"/>
                <w:b/>
                <w:bCs/>
                <w:color w:val="000000"/>
              </w:rPr>
              <w:t>Female</w:t>
            </w:r>
          </w:p>
        </w:tc>
      </w:tr>
      <w:tr w:rsidR="00F824BE" w14:paraId="57EC2A54" w14:textId="77777777" w:rsidTr="00481C82">
        <w:trPr>
          <w:trHeight w:val="93"/>
        </w:trPr>
        <w:tc>
          <w:tcPr>
            <w:tcW w:w="2410" w:type="dxa"/>
            <w:shd w:val="clear" w:color="auto" w:fill="auto"/>
            <w:vAlign w:val="bottom"/>
          </w:tcPr>
          <w:p w14:paraId="2C6AF92D" w14:textId="77777777" w:rsidR="00F824BE" w:rsidRDefault="00F824BE" w:rsidP="0018431C">
            <w:pPr>
              <w:jc w:val="center"/>
              <w:rPr>
                <w:rFonts w:eastAsia="Times New Roman"/>
                <w:color w:val="000000"/>
              </w:rPr>
            </w:pPr>
            <w:r>
              <w:rPr>
                <w:rFonts w:eastAsia="Times New Roman"/>
                <w:color w:val="000000"/>
              </w:rPr>
              <w:t> </w:t>
            </w:r>
          </w:p>
        </w:tc>
        <w:tc>
          <w:tcPr>
            <w:tcW w:w="3783" w:type="dxa"/>
            <w:gridSpan w:val="2"/>
            <w:tcBorders>
              <w:top w:val="single" w:sz="4" w:space="0" w:color="00000A"/>
              <w:bottom w:val="single" w:sz="4" w:space="0" w:color="00000A"/>
            </w:tcBorders>
            <w:shd w:val="clear" w:color="auto" w:fill="auto"/>
            <w:vAlign w:val="bottom"/>
          </w:tcPr>
          <w:p w14:paraId="1EE60C4A" w14:textId="77777777" w:rsidR="00F824BE" w:rsidRDefault="00F824BE" w:rsidP="0018431C">
            <w:pPr>
              <w:jc w:val="center"/>
              <w:rPr>
                <w:rFonts w:eastAsia="Times New Roman"/>
                <w:b/>
                <w:bCs/>
                <w:color w:val="000000"/>
              </w:rPr>
            </w:pPr>
            <w:r>
              <w:rPr>
                <w:rFonts w:eastAsia="Times New Roman"/>
                <w:b/>
                <w:bCs/>
                <w:color w:val="000000"/>
              </w:rPr>
              <w:t>Injury Occurrence</w:t>
            </w:r>
          </w:p>
        </w:tc>
        <w:tc>
          <w:tcPr>
            <w:tcW w:w="2881" w:type="dxa"/>
            <w:gridSpan w:val="2"/>
            <w:tcBorders>
              <w:top w:val="single" w:sz="4" w:space="0" w:color="00000A"/>
              <w:bottom w:val="single" w:sz="4" w:space="0" w:color="00000A"/>
            </w:tcBorders>
            <w:shd w:val="clear" w:color="auto" w:fill="auto"/>
            <w:vAlign w:val="bottom"/>
          </w:tcPr>
          <w:p w14:paraId="7A723DA8" w14:textId="77777777" w:rsidR="00F824BE" w:rsidRDefault="00F824BE" w:rsidP="0018431C">
            <w:pPr>
              <w:jc w:val="center"/>
              <w:rPr>
                <w:rFonts w:eastAsia="Times New Roman"/>
                <w:b/>
                <w:bCs/>
                <w:color w:val="000000"/>
              </w:rPr>
            </w:pPr>
            <w:r>
              <w:rPr>
                <w:rFonts w:eastAsia="Times New Roman"/>
                <w:b/>
                <w:bCs/>
                <w:color w:val="000000"/>
              </w:rPr>
              <w:t>Treatment Cost</w:t>
            </w:r>
          </w:p>
        </w:tc>
        <w:tc>
          <w:tcPr>
            <w:tcW w:w="3201" w:type="dxa"/>
            <w:gridSpan w:val="2"/>
            <w:tcBorders>
              <w:top w:val="single" w:sz="4" w:space="0" w:color="00000A"/>
              <w:bottom w:val="single" w:sz="4" w:space="0" w:color="00000A"/>
            </w:tcBorders>
            <w:shd w:val="clear" w:color="auto" w:fill="auto"/>
            <w:vAlign w:val="bottom"/>
          </w:tcPr>
          <w:p w14:paraId="0BB460E0" w14:textId="77777777" w:rsidR="00F824BE" w:rsidRDefault="00F824BE" w:rsidP="0018431C">
            <w:pPr>
              <w:jc w:val="center"/>
              <w:rPr>
                <w:rFonts w:eastAsia="Times New Roman"/>
                <w:b/>
                <w:bCs/>
                <w:color w:val="000000"/>
              </w:rPr>
            </w:pPr>
            <w:r>
              <w:rPr>
                <w:rFonts w:eastAsia="Times New Roman"/>
                <w:b/>
                <w:bCs/>
                <w:color w:val="000000"/>
              </w:rPr>
              <w:t>Injury Occurrence</w:t>
            </w:r>
          </w:p>
        </w:tc>
        <w:tc>
          <w:tcPr>
            <w:tcW w:w="2794" w:type="dxa"/>
            <w:gridSpan w:val="2"/>
            <w:tcBorders>
              <w:top w:val="single" w:sz="4" w:space="0" w:color="00000A"/>
              <w:bottom w:val="single" w:sz="4" w:space="0" w:color="00000A"/>
            </w:tcBorders>
            <w:shd w:val="clear" w:color="auto" w:fill="auto"/>
            <w:vAlign w:val="bottom"/>
          </w:tcPr>
          <w:p w14:paraId="21F53B2E" w14:textId="77777777" w:rsidR="00F824BE" w:rsidRDefault="00F824BE" w:rsidP="0018431C">
            <w:pPr>
              <w:jc w:val="center"/>
              <w:rPr>
                <w:rFonts w:eastAsia="Times New Roman"/>
                <w:b/>
                <w:bCs/>
                <w:color w:val="000000"/>
              </w:rPr>
            </w:pPr>
            <w:r>
              <w:rPr>
                <w:rFonts w:eastAsia="Times New Roman"/>
                <w:b/>
                <w:bCs/>
                <w:color w:val="000000"/>
              </w:rPr>
              <w:t>Treatment Cost</w:t>
            </w:r>
          </w:p>
        </w:tc>
      </w:tr>
      <w:tr w:rsidR="00F824BE" w14:paraId="3ECDF679" w14:textId="77777777" w:rsidTr="00481C82">
        <w:trPr>
          <w:trHeight w:val="342"/>
        </w:trPr>
        <w:tc>
          <w:tcPr>
            <w:tcW w:w="2410" w:type="dxa"/>
            <w:tcBorders>
              <w:bottom w:val="single" w:sz="4" w:space="0" w:color="00000A"/>
            </w:tcBorders>
            <w:shd w:val="clear" w:color="auto" w:fill="auto"/>
            <w:vAlign w:val="bottom"/>
          </w:tcPr>
          <w:p w14:paraId="1A20B175" w14:textId="77777777" w:rsidR="00F824BE" w:rsidRDefault="00F824BE" w:rsidP="0018431C">
            <w:pPr>
              <w:jc w:val="center"/>
              <w:rPr>
                <w:rFonts w:eastAsia="Times New Roman"/>
                <w:b/>
                <w:bCs/>
                <w:color w:val="000000"/>
              </w:rPr>
            </w:pPr>
            <w:r>
              <w:rPr>
                <w:rFonts w:eastAsia="Times New Roman"/>
                <w:b/>
                <w:bCs/>
                <w:color w:val="000000"/>
              </w:rPr>
              <w:t>Region</w:t>
            </w:r>
          </w:p>
        </w:tc>
        <w:tc>
          <w:tcPr>
            <w:tcW w:w="1614" w:type="dxa"/>
            <w:tcBorders>
              <w:bottom w:val="single" w:sz="4" w:space="0" w:color="00000A"/>
            </w:tcBorders>
            <w:shd w:val="clear" w:color="auto" w:fill="auto"/>
            <w:vAlign w:val="bottom"/>
          </w:tcPr>
          <w:p w14:paraId="7344A048" w14:textId="77777777" w:rsidR="00F824BE" w:rsidRDefault="00F824BE" w:rsidP="0018431C">
            <w:pPr>
              <w:jc w:val="center"/>
              <w:rPr>
                <w:rFonts w:eastAsia="Times New Roman"/>
                <w:color w:val="000000"/>
              </w:rPr>
            </w:pPr>
            <w:r>
              <w:rPr>
                <w:rFonts w:eastAsia="Times New Roman"/>
                <w:color w:val="000000"/>
              </w:rPr>
              <w:t>Incidence rate change ± 95% confidence interval</w:t>
            </w:r>
          </w:p>
        </w:tc>
        <w:tc>
          <w:tcPr>
            <w:tcW w:w="2169" w:type="dxa"/>
            <w:tcBorders>
              <w:bottom w:val="single" w:sz="4" w:space="0" w:color="00000A"/>
            </w:tcBorders>
            <w:shd w:val="clear" w:color="auto" w:fill="auto"/>
            <w:vAlign w:val="bottom"/>
          </w:tcPr>
          <w:p w14:paraId="2AC5CEA3" w14:textId="77777777" w:rsidR="00F824BE" w:rsidRDefault="00F824BE" w:rsidP="0018431C">
            <w:pPr>
              <w:jc w:val="center"/>
              <w:rPr>
                <w:rFonts w:eastAsia="Times New Roman"/>
                <w:color w:val="000000"/>
              </w:rPr>
            </w:pPr>
            <w:r>
              <w:rPr>
                <w:rFonts w:eastAsia="Times New Roman"/>
                <w:color w:val="000000"/>
              </w:rPr>
              <w:t>Rate Ratio</w:t>
            </w:r>
          </w:p>
        </w:tc>
        <w:tc>
          <w:tcPr>
            <w:tcW w:w="1613" w:type="dxa"/>
            <w:tcBorders>
              <w:bottom w:val="single" w:sz="4" w:space="0" w:color="00000A"/>
            </w:tcBorders>
            <w:shd w:val="clear" w:color="auto" w:fill="auto"/>
            <w:vAlign w:val="bottom"/>
          </w:tcPr>
          <w:p w14:paraId="01950D06" w14:textId="77777777" w:rsidR="00F824BE" w:rsidRDefault="00F824BE" w:rsidP="0018431C">
            <w:pPr>
              <w:jc w:val="center"/>
              <w:rPr>
                <w:rFonts w:eastAsia="Times New Roman"/>
                <w:color w:val="000000"/>
              </w:rPr>
            </w:pPr>
            <w:r>
              <w:rPr>
                <w:rFonts w:eastAsia="Times New Roman"/>
                <w:color w:val="000000"/>
              </w:rPr>
              <w:t>Incidence rate change ± 95% confidence interval</w:t>
            </w:r>
          </w:p>
        </w:tc>
        <w:tc>
          <w:tcPr>
            <w:tcW w:w="1268" w:type="dxa"/>
            <w:tcBorders>
              <w:bottom w:val="single" w:sz="4" w:space="0" w:color="00000A"/>
            </w:tcBorders>
            <w:shd w:val="clear" w:color="auto" w:fill="auto"/>
            <w:vAlign w:val="bottom"/>
          </w:tcPr>
          <w:p w14:paraId="4E214F6F" w14:textId="77777777" w:rsidR="00F824BE" w:rsidRDefault="00F824BE" w:rsidP="0018431C">
            <w:pPr>
              <w:jc w:val="center"/>
              <w:rPr>
                <w:rFonts w:eastAsia="Times New Roman"/>
                <w:color w:val="000000"/>
              </w:rPr>
            </w:pPr>
            <w:r>
              <w:rPr>
                <w:rFonts w:eastAsia="Times New Roman"/>
                <w:color w:val="000000"/>
              </w:rPr>
              <w:t>Rate Ratio</w:t>
            </w:r>
          </w:p>
        </w:tc>
        <w:tc>
          <w:tcPr>
            <w:tcW w:w="1939" w:type="dxa"/>
            <w:tcBorders>
              <w:bottom w:val="single" w:sz="4" w:space="0" w:color="00000A"/>
            </w:tcBorders>
            <w:shd w:val="clear" w:color="auto" w:fill="auto"/>
            <w:vAlign w:val="bottom"/>
          </w:tcPr>
          <w:p w14:paraId="6EF12E43" w14:textId="77777777" w:rsidR="00F824BE" w:rsidRDefault="00F824BE" w:rsidP="0018431C">
            <w:pPr>
              <w:jc w:val="center"/>
              <w:rPr>
                <w:rFonts w:eastAsia="Times New Roman"/>
                <w:color w:val="000000"/>
              </w:rPr>
            </w:pPr>
            <w:r>
              <w:rPr>
                <w:rFonts w:eastAsia="Times New Roman"/>
                <w:color w:val="000000"/>
              </w:rPr>
              <w:t>Incidence rate change ± 95% confidence interval</w:t>
            </w:r>
          </w:p>
        </w:tc>
        <w:tc>
          <w:tcPr>
            <w:tcW w:w="1262" w:type="dxa"/>
            <w:tcBorders>
              <w:bottom w:val="single" w:sz="4" w:space="0" w:color="00000A"/>
            </w:tcBorders>
            <w:shd w:val="clear" w:color="auto" w:fill="auto"/>
            <w:vAlign w:val="bottom"/>
          </w:tcPr>
          <w:p w14:paraId="3588BCF2" w14:textId="77777777" w:rsidR="00F824BE" w:rsidRDefault="00F824BE" w:rsidP="0018431C">
            <w:pPr>
              <w:jc w:val="center"/>
              <w:rPr>
                <w:rFonts w:eastAsia="Times New Roman"/>
                <w:color w:val="000000"/>
              </w:rPr>
            </w:pPr>
            <w:r>
              <w:rPr>
                <w:rFonts w:eastAsia="Times New Roman"/>
                <w:color w:val="000000"/>
              </w:rPr>
              <w:t>Rate Ratio</w:t>
            </w:r>
          </w:p>
        </w:tc>
        <w:tc>
          <w:tcPr>
            <w:tcW w:w="1536" w:type="dxa"/>
            <w:tcBorders>
              <w:bottom w:val="single" w:sz="4" w:space="0" w:color="00000A"/>
            </w:tcBorders>
            <w:shd w:val="clear" w:color="auto" w:fill="auto"/>
            <w:vAlign w:val="bottom"/>
          </w:tcPr>
          <w:p w14:paraId="59C56C73" w14:textId="77777777" w:rsidR="00F824BE" w:rsidRDefault="00F824BE" w:rsidP="0018431C">
            <w:pPr>
              <w:jc w:val="center"/>
              <w:rPr>
                <w:rFonts w:eastAsia="Times New Roman"/>
                <w:color w:val="000000"/>
              </w:rPr>
            </w:pPr>
            <w:r>
              <w:rPr>
                <w:rFonts w:eastAsia="Times New Roman"/>
                <w:color w:val="000000"/>
              </w:rPr>
              <w:t>Incidence rate change ± 95% confidence interval</w:t>
            </w:r>
          </w:p>
        </w:tc>
        <w:tc>
          <w:tcPr>
            <w:tcW w:w="1258" w:type="dxa"/>
            <w:tcBorders>
              <w:bottom w:val="single" w:sz="4" w:space="0" w:color="00000A"/>
            </w:tcBorders>
            <w:shd w:val="clear" w:color="auto" w:fill="auto"/>
            <w:vAlign w:val="bottom"/>
          </w:tcPr>
          <w:p w14:paraId="05DE5E22" w14:textId="77777777" w:rsidR="00F824BE" w:rsidRDefault="00F824BE" w:rsidP="0018431C">
            <w:pPr>
              <w:jc w:val="center"/>
              <w:rPr>
                <w:rFonts w:eastAsia="Times New Roman"/>
                <w:color w:val="000000"/>
              </w:rPr>
            </w:pPr>
            <w:r>
              <w:rPr>
                <w:rFonts w:eastAsia="Times New Roman"/>
                <w:color w:val="000000"/>
              </w:rPr>
              <w:t>Rate Ratio</w:t>
            </w:r>
          </w:p>
        </w:tc>
      </w:tr>
      <w:tr w:rsidR="00F824BE" w14:paraId="021BB241" w14:textId="77777777" w:rsidTr="00481C82">
        <w:trPr>
          <w:trHeight w:val="82"/>
        </w:trPr>
        <w:tc>
          <w:tcPr>
            <w:tcW w:w="2410" w:type="dxa"/>
            <w:shd w:val="clear" w:color="auto" w:fill="auto"/>
            <w:vAlign w:val="bottom"/>
          </w:tcPr>
          <w:p w14:paraId="7E755BAA" w14:textId="77777777" w:rsidR="00F824BE" w:rsidRDefault="00F824BE" w:rsidP="0018431C">
            <w:pPr>
              <w:jc w:val="center"/>
              <w:rPr>
                <w:rFonts w:eastAsia="Times New Roman"/>
                <w:color w:val="000000"/>
              </w:rPr>
            </w:pPr>
            <w:r>
              <w:rPr>
                <w:rFonts w:eastAsia="Times New Roman"/>
                <w:color w:val="000000"/>
              </w:rPr>
              <w:t>Head</w:t>
            </w:r>
          </w:p>
        </w:tc>
        <w:tc>
          <w:tcPr>
            <w:tcW w:w="1614" w:type="dxa"/>
            <w:shd w:val="clear" w:color="auto" w:fill="auto"/>
            <w:vAlign w:val="bottom"/>
          </w:tcPr>
          <w:p w14:paraId="774A958C" w14:textId="77777777" w:rsidR="00F824BE" w:rsidRDefault="00F824BE" w:rsidP="0018431C">
            <w:pPr>
              <w:jc w:val="center"/>
              <w:rPr>
                <w:rFonts w:eastAsia="Times New Roman"/>
                <w:color w:val="000000"/>
              </w:rPr>
            </w:pPr>
            <w:r>
              <w:rPr>
                <w:rFonts w:eastAsia="Times New Roman"/>
                <w:color w:val="000000"/>
              </w:rPr>
              <w:t>0.00 ± 0.19</w:t>
            </w:r>
          </w:p>
        </w:tc>
        <w:tc>
          <w:tcPr>
            <w:tcW w:w="2169" w:type="dxa"/>
            <w:shd w:val="clear" w:color="auto" w:fill="auto"/>
            <w:vAlign w:val="bottom"/>
          </w:tcPr>
          <w:p w14:paraId="03580164" w14:textId="77777777" w:rsidR="00F824BE" w:rsidRDefault="00F824BE" w:rsidP="0018431C">
            <w:pPr>
              <w:jc w:val="center"/>
              <w:rPr>
                <w:rFonts w:eastAsia="Times New Roman"/>
                <w:color w:val="000000"/>
              </w:rPr>
            </w:pPr>
            <w:r>
              <w:rPr>
                <w:rFonts w:eastAsia="Times New Roman"/>
                <w:color w:val="000000"/>
              </w:rPr>
              <w:t>1.0</w:t>
            </w:r>
          </w:p>
        </w:tc>
        <w:tc>
          <w:tcPr>
            <w:tcW w:w="1613" w:type="dxa"/>
            <w:shd w:val="clear" w:color="auto" w:fill="auto"/>
            <w:vAlign w:val="bottom"/>
          </w:tcPr>
          <w:p w14:paraId="623A1199" w14:textId="77777777" w:rsidR="00F824BE" w:rsidRDefault="00F824BE" w:rsidP="0018431C">
            <w:pPr>
              <w:jc w:val="center"/>
              <w:rPr>
                <w:rFonts w:eastAsia="Times New Roman"/>
                <w:color w:val="000000"/>
              </w:rPr>
            </w:pPr>
            <w:r>
              <w:rPr>
                <w:rFonts w:eastAsia="Times New Roman"/>
                <w:color w:val="000000"/>
              </w:rPr>
              <w:t>0.00 ± 0.29</w:t>
            </w:r>
          </w:p>
        </w:tc>
        <w:tc>
          <w:tcPr>
            <w:tcW w:w="1268" w:type="dxa"/>
            <w:shd w:val="clear" w:color="auto" w:fill="auto"/>
            <w:vAlign w:val="bottom"/>
          </w:tcPr>
          <w:p w14:paraId="68C2043B" w14:textId="77777777" w:rsidR="00F824BE" w:rsidRDefault="00F824BE" w:rsidP="0018431C">
            <w:pPr>
              <w:jc w:val="center"/>
              <w:rPr>
                <w:rFonts w:eastAsia="Times New Roman"/>
                <w:color w:val="000000"/>
              </w:rPr>
            </w:pPr>
            <w:r>
              <w:rPr>
                <w:rFonts w:eastAsia="Times New Roman"/>
                <w:color w:val="000000"/>
              </w:rPr>
              <w:t>1.0</w:t>
            </w:r>
          </w:p>
        </w:tc>
        <w:tc>
          <w:tcPr>
            <w:tcW w:w="1939" w:type="dxa"/>
            <w:shd w:val="clear" w:color="auto" w:fill="auto"/>
            <w:vAlign w:val="bottom"/>
          </w:tcPr>
          <w:p w14:paraId="7629299E" w14:textId="77777777" w:rsidR="00F824BE" w:rsidRDefault="00F824BE" w:rsidP="0018431C">
            <w:pPr>
              <w:jc w:val="center"/>
              <w:rPr>
                <w:rFonts w:eastAsia="Times New Roman"/>
                <w:color w:val="000000"/>
              </w:rPr>
            </w:pPr>
            <w:r>
              <w:rPr>
                <w:rFonts w:eastAsia="Times New Roman"/>
                <w:color w:val="000000"/>
              </w:rPr>
              <w:t>-0.12 ± 0.28</w:t>
            </w:r>
          </w:p>
        </w:tc>
        <w:tc>
          <w:tcPr>
            <w:tcW w:w="1262" w:type="dxa"/>
            <w:shd w:val="clear" w:color="auto" w:fill="auto"/>
            <w:vAlign w:val="bottom"/>
          </w:tcPr>
          <w:p w14:paraId="242E789A" w14:textId="77777777" w:rsidR="00F824BE" w:rsidRDefault="00F824BE" w:rsidP="0018431C">
            <w:pPr>
              <w:jc w:val="center"/>
              <w:rPr>
                <w:rFonts w:eastAsia="Times New Roman"/>
                <w:color w:val="000000"/>
              </w:rPr>
            </w:pPr>
            <w:r>
              <w:rPr>
                <w:rFonts w:eastAsia="Times New Roman"/>
                <w:color w:val="000000"/>
              </w:rPr>
              <w:t>0.3</w:t>
            </w:r>
          </w:p>
        </w:tc>
        <w:tc>
          <w:tcPr>
            <w:tcW w:w="1536" w:type="dxa"/>
            <w:shd w:val="clear" w:color="auto" w:fill="auto"/>
            <w:vAlign w:val="bottom"/>
          </w:tcPr>
          <w:p w14:paraId="25D57C7F" w14:textId="77777777" w:rsidR="00F824BE" w:rsidRDefault="00F824BE" w:rsidP="0018431C">
            <w:pPr>
              <w:jc w:val="center"/>
              <w:rPr>
                <w:rFonts w:eastAsia="Times New Roman"/>
                <w:color w:val="000000"/>
              </w:rPr>
            </w:pPr>
            <w:r>
              <w:rPr>
                <w:rFonts w:eastAsia="Times New Roman"/>
                <w:color w:val="000000"/>
              </w:rPr>
              <w:t>0.04 ± 0.35</w:t>
            </w:r>
          </w:p>
        </w:tc>
        <w:tc>
          <w:tcPr>
            <w:tcW w:w="1258" w:type="dxa"/>
            <w:shd w:val="clear" w:color="auto" w:fill="auto"/>
            <w:vAlign w:val="bottom"/>
          </w:tcPr>
          <w:p w14:paraId="0A15D1BB" w14:textId="77777777" w:rsidR="00F824BE" w:rsidRDefault="00F824BE" w:rsidP="0018431C">
            <w:pPr>
              <w:jc w:val="center"/>
              <w:rPr>
                <w:rFonts w:eastAsia="Times New Roman"/>
                <w:color w:val="000000"/>
              </w:rPr>
            </w:pPr>
            <w:r>
              <w:rPr>
                <w:rFonts w:eastAsia="Times New Roman"/>
                <w:color w:val="000000"/>
              </w:rPr>
              <w:t>1.6</w:t>
            </w:r>
          </w:p>
        </w:tc>
      </w:tr>
      <w:tr w:rsidR="00F824BE" w14:paraId="12665CA3" w14:textId="77777777" w:rsidTr="00481C82">
        <w:trPr>
          <w:trHeight w:val="82"/>
        </w:trPr>
        <w:tc>
          <w:tcPr>
            <w:tcW w:w="2410" w:type="dxa"/>
            <w:shd w:val="clear" w:color="auto" w:fill="auto"/>
            <w:vAlign w:val="bottom"/>
          </w:tcPr>
          <w:p w14:paraId="7B920761" w14:textId="77777777" w:rsidR="00F824BE" w:rsidRDefault="00F824BE" w:rsidP="0018431C">
            <w:pPr>
              <w:jc w:val="center"/>
              <w:rPr>
                <w:rFonts w:eastAsia="Times New Roman"/>
                <w:color w:val="000000"/>
              </w:rPr>
            </w:pPr>
            <w:r>
              <w:rPr>
                <w:rFonts w:eastAsia="Times New Roman"/>
                <w:color w:val="000000"/>
              </w:rPr>
              <w:t>Neck</w:t>
            </w:r>
          </w:p>
        </w:tc>
        <w:tc>
          <w:tcPr>
            <w:tcW w:w="1614" w:type="dxa"/>
            <w:shd w:val="clear" w:color="auto" w:fill="auto"/>
            <w:vAlign w:val="bottom"/>
          </w:tcPr>
          <w:p w14:paraId="2C32150B" w14:textId="77777777" w:rsidR="00F824BE" w:rsidRDefault="00F824BE" w:rsidP="0018431C">
            <w:pPr>
              <w:jc w:val="center"/>
              <w:rPr>
                <w:rFonts w:eastAsia="Times New Roman"/>
                <w:color w:val="000000"/>
              </w:rPr>
            </w:pPr>
            <w:r>
              <w:rPr>
                <w:rFonts w:eastAsia="Times New Roman"/>
                <w:color w:val="000000"/>
              </w:rPr>
              <w:t>-0.12 ± 0.31</w:t>
            </w:r>
          </w:p>
        </w:tc>
        <w:tc>
          <w:tcPr>
            <w:tcW w:w="2169" w:type="dxa"/>
            <w:shd w:val="clear" w:color="auto" w:fill="auto"/>
            <w:vAlign w:val="bottom"/>
          </w:tcPr>
          <w:p w14:paraId="185E1AB2" w14:textId="77777777" w:rsidR="00F824BE" w:rsidRDefault="00F824BE" w:rsidP="0018431C">
            <w:pPr>
              <w:jc w:val="center"/>
              <w:rPr>
                <w:rFonts w:eastAsia="Times New Roman"/>
                <w:color w:val="000000"/>
              </w:rPr>
            </w:pPr>
            <w:r>
              <w:rPr>
                <w:rFonts w:eastAsia="Times New Roman"/>
                <w:color w:val="000000"/>
              </w:rPr>
              <w:t>0.4</w:t>
            </w:r>
          </w:p>
        </w:tc>
        <w:tc>
          <w:tcPr>
            <w:tcW w:w="1613" w:type="dxa"/>
            <w:shd w:val="clear" w:color="auto" w:fill="auto"/>
            <w:vAlign w:val="bottom"/>
          </w:tcPr>
          <w:p w14:paraId="6D32CE04" w14:textId="77777777" w:rsidR="00F824BE" w:rsidRDefault="00F824BE" w:rsidP="0018431C">
            <w:pPr>
              <w:jc w:val="center"/>
              <w:rPr>
                <w:rFonts w:eastAsia="Times New Roman"/>
                <w:color w:val="000000"/>
              </w:rPr>
            </w:pPr>
            <w:r>
              <w:rPr>
                <w:rFonts w:eastAsia="Times New Roman"/>
                <w:color w:val="000000"/>
              </w:rPr>
              <w:t>0.66 ± 0.79</w:t>
            </w:r>
          </w:p>
        </w:tc>
        <w:tc>
          <w:tcPr>
            <w:tcW w:w="1268" w:type="dxa"/>
            <w:shd w:val="clear" w:color="auto" w:fill="auto"/>
            <w:vAlign w:val="bottom"/>
          </w:tcPr>
          <w:p w14:paraId="511667DD" w14:textId="77777777" w:rsidR="00F824BE" w:rsidRDefault="00F824BE" w:rsidP="0018431C">
            <w:pPr>
              <w:jc w:val="center"/>
              <w:rPr>
                <w:rFonts w:eastAsia="Times New Roman"/>
                <w:color w:val="000000"/>
              </w:rPr>
            </w:pPr>
            <w:r>
              <w:rPr>
                <w:rFonts w:eastAsia="Times New Roman"/>
                <w:color w:val="000000"/>
              </w:rPr>
              <w:t>150.9</w:t>
            </w:r>
          </w:p>
        </w:tc>
        <w:tc>
          <w:tcPr>
            <w:tcW w:w="1939" w:type="dxa"/>
            <w:shd w:val="clear" w:color="auto" w:fill="auto"/>
            <w:vAlign w:val="bottom"/>
          </w:tcPr>
          <w:p w14:paraId="639B5F3A" w14:textId="77777777" w:rsidR="00F824BE" w:rsidRDefault="00F824BE" w:rsidP="0018431C">
            <w:pPr>
              <w:jc w:val="center"/>
              <w:rPr>
                <w:rFonts w:eastAsia="Times New Roman"/>
                <w:color w:val="000000"/>
              </w:rPr>
            </w:pPr>
            <w:r>
              <w:rPr>
                <w:rFonts w:eastAsia="Times New Roman"/>
                <w:color w:val="000000"/>
              </w:rPr>
              <w:t>-0.11 ± 0.26</w:t>
            </w:r>
          </w:p>
        </w:tc>
        <w:tc>
          <w:tcPr>
            <w:tcW w:w="1262" w:type="dxa"/>
            <w:shd w:val="clear" w:color="auto" w:fill="auto"/>
            <w:vAlign w:val="bottom"/>
          </w:tcPr>
          <w:p w14:paraId="5AA11B05" w14:textId="77777777" w:rsidR="00F824BE" w:rsidRDefault="00F824BE" w:rsidP="0018431C">
            <w:pPr>
              <w:jc w:val="center"/>
              <w:rPr>
                <w:rFonts w:eastAsia="Times New Roman"/>
                <w:color w:val="000000"/>
              </w:rPr>
            </w:pPr>
            <w:r>
              <w:rPr>
                <w:rFonts w:eastAsia="Times New Roman"/>
                <w:color w:val="000000"/>
              </w:rPr>
              <w:t>0.4</w:t>
            </w:r>
          </w:p>
        </w:tc>
        <w:tc>
          <w:tcPr>
            <w:tcW w:w="1536" w:type="dxa"/>
            <w:shd w:val="clear" w:color="auto" w:fill="auto"/>
            <w:vAlign w:val="bottom"/>
          </w:tcPr>
          <w:p w14:paraId="71967EAF" w14:textId="77777777" w:rsidR="00F824BE" w:rsidRDefault="00F824BE" w:rsidP="0018431C">
            <w:pPr>
              <w:jc w:val="center"/>
              <w:rPr>
                <w:rFonts w:eastAsia="Times New Roman"/>
                <w:color w:val="000000"/>
              </w:rPr>
            </w:pPr>
            <w:r>
              <w:rPr>
                <w:rFonts w:eastAsia="Times New Roman"/>
                <w:color w:val="000000"/>
              </w:rPr>
              <w:t>1.19 ± 0.88</w:t>
            </w:r>
          </w:p>
        </w:tc>
        <w:tc>
          <w:tcPr>
            <w:tcW w:w="1258" w:type="dxa"/>
            <w:shd w:val="clear" w:color="auto" w:fill="auto"/>
            <w:vAlign w:val="bottom"/>
          </w:tcPr>
          <w:p w14:paraId="3586E0AF" w14:textId="77777777" w:rsidR="00F824BE" w:rsidRDefault="00F824BE" w:rsidP="0018431C">
            <w:pPr>
              <w:jc w:val="center"/>
              <w:rPr>
                <w:rFonts w:eastAsia="Times New Roman"/>
                <w:color w:val="000000"/>
              </w:rPr>
            </w:pPr>
            <w:r>
              <w:rPr>
                <w:rFonts w:eastAsia="Times New Roman"/>
                <w:color w:val="000000"/>
              </w:rPr>
              <w:t>39.3</w:t>
            </w:r>
          </w:p>
        </w:tc>
      </w:tr>
      <w:tr w:rsidR="00F824BE" w14:paraId="281B44AB" w14:textId="77777777" w:rsidTr="00481C82">
        <w:trPr>
          <w:trHeight w:val="82"/>
        </w:trPr>
        <w:tc>
          <w:tcPr>
            <w:tcW w:w="2410" w:type="dxa"/>
            <w:shd w:val="clear" w:color="auto" w:fill="auto"/>
            <w:vAlign w:val="bottom"/>
          </w:tcPr>
          <w:p w14:paraId="7BFCA27E" w14:textId="77777777" w:rsidR="00F824BE" w:rsidRDefault="00F824BE" w:rsidP="0018431C">
            <w:pPr>
              <w:jc w:val="center"/>
              <w:rPr>
                <w:rFonts w:eastAsia="Times New Roman"/>
                <w:color w:val="000000"/>
              </w:rPr>
            </w:pPr>
            <w:r>
              <w:rPr>
                <w:rFonts w:eastAsia="Times New Roman"/>
                <w:color w:val="000000"/>
              </w:rPr>
              <w:t>Shoulder</w:t>
            </w:r>
          </w:p>
        </w:tc>
        <w:tc>
          <w:tcPr>
            <w:tcW w:w="1614" w:type="dxa"/>
            <w:shd w:val="clear" w:color="auto" w:fill="auto"/>
            <w:vAlign w:val="bottom"/>
          </w:tcPr>
          <w:p w14:paraId="25F2AE57" w14:textId="77777777" w:rsidR="00F824BE" w:rsidRDefault="00F824BE" w:rsidP="0018431C">
            <w:pPr>
              <w:jc w:val="center"/>
              <w:rPr>
                <w:rFonts w:eastAsia="Times New Roman"/>
                <w:color w:val="000000"/>
              </w:rPr>
            </w:pPr>
            <w:r>
              <w:rPr>
                <w:rFonts w:eastAsia="Times New Roman"/>
                <w:color w:val="000000"/>
              </w:rPr>
              <w:t>-0.11 ± 0.48</w:t>
            </w:r>
          </w:p>
        </w:tc>
        <w:tc>
          <w:tcPr>
            <w:tcW w:w="2169" w:type="dxa"/>
            <w:shd w:val="clear" w:color="auto" w:fill="auto"/>
            <w:vAlign w:val="bottom"/>
          </w:tcPr>
          <w:p w14:paraId="6A170F1A" w14:textId="77777777" w:rsidR="00F824BE" w:rsidRDefault="00F824BE" w:rsidP="0018431C">
            <w:pPr>
              <w:jc w:val="center"/>
              <w:rPr>
                <w:rFonts w:eastAsia="Times New Roman"/>
                <w:color w:val="000000"/>
              </w:rPr>
            </w:pPr>
            <w:r>
              <w:rPr>
                <w:rFonts w:eastAsia="Times New Roman"/>
                <w:color w:val="000000"/>
              </w:rPr>
              <w:t>0.8</w:t>
            </w:r>
          </w:p>
        </w:tc>
        <w:tc>
          <w:tcPr>
            <w:tcW w:w="1613" w:type="dxa"/>
            <w:shd w:val="clear" w:color="auto" w:fill="auto"/>
            <w:vAlign w:val="bottom"/>
          </w:tcPr>
          <w:p w14:paraId="11AB4DF0" w14:textId="77777777" w:rsidR="00F824BE" w:rsidRDefault="00F824BE" w:rsidP="0018431C">
            <w:pPr>
              <w:jc w:val="center"/>
              <w:rPr>
                <w:rFonts w:eastAsia="Times New Roman"/>
                <w:color w:val="000000"/>
              </w:rPr>
            </w:pPr>
            <w:r>
              <w:rPr>
                <w:rFonts w:eastAsia="Times New Roman"/>
                <w:color w:val="000000"/>
              </w:rPr>
              <w:t>0.05 ± 0.56</w:t>
            </w:r>
          </w:p>
        </w:tc>
        <w:tc>
          <w:tcPr>
            <w:tcW w:w="1268" w:type="dxa"/>
            <w:shd w:val="clear" w:color="auto" w:fill="auto"/>
            <w:vAlign w:val="bottom"/>
          </w:tcPr>
          <w:p w14:paraId="73D99C78" w14:textId="77777777" w:rsidR="00F824BE" w:rsidRDefault="00F824BE" w:rsidP="0018431C">
            <w:pPr>
              <w:jc w:val="center"/>
              <w:rPr>
                <w:rFonts w:eastAsia="Times New Roman"/>
                <w:color w:val="000000"/>
              </w:rPr>
            </w:pPr>
            <w:r>
              <w:rPr>
                <w:rFonts w:eastAsia="Times New Roman"/>
                <w:color w:val="000000"/>
              </w:rPr>
              <w:t>1.0</w:t>
            </w:r>
          </w:p>
        </w:tc>
        <w:tc>
          <w:tcPr>
            <w:tcW w:w="1939" w:type="dxa"/>
            <w:shd w:val="clear" w:color="auto" w:fill="auto"/>
            <w:vAlign w:val="bottom"/>
          </w:tcPr>
          <w:p w14:paraId="7E548ED7" w14:textId="77777777" w:rsidR="00F824BE" w:rsidRDefault="00F824BE" w:rsidP="0018431C">
            <w:pPr>
              <w:jc w:val="center"/>
              <w:rPr>
                <w:rFonts w:eastAsia="Times New Roman"/>
                <w:color w:val="000000"/>
              </w:rPr>
            </w:pPr>
            <w:r>
              <w:rPr>
                <w:rFonts w:eastAsia="Times New Roman"/>
                <w:color w:val="000000"/>
              </w:rPr>
              <w:t>0.57 ± 0.69</w:t>
            </w:r>
          </w:p>
        </w:tc>
        <w:tc>
          <w:tcPr>
            <w:tcW w:w="1262" w:type="dxa"/>
            <w:shd w:val="clear" w:color="auto" w:fill="auto"/>
            <w:vAlign w:val="bottom"/>
          </w:tcPr>
          <w:p w14:paraId="0CF8DA00" w14:textId="77777777" w:rsidR="00F824BE" w:rsidRDefault="00F824BE" w:rsidP="0018431C">
            <w:pPr>
              <w:jc w:val="center"/>
              <w:rPr>
                <w:rFonts w:eastAsia="Times New Roman"/>
                <w:color w:val="000000"/>
              </w:rPr>
            </w:pPr>
            <w:r>
              <w:rPr>
                <w:rFonts w:eastAsia="Times New Roman"/>
                <w:color w:val="000000"/>
              </w:rPr>
              <w:t>2.0</w:t>
            </w:r>
          </w:p>
        </w:tc>
        <w:tc>
          <w:tcPr>
            <w:tcW w:w="1536" w:type="dxa"/>
            <w:shd w:val="clear" w:color="auto" w:fill="auto"/>
            <w:vAlign w:val="bottom"/>
          </w:tcPr>
          <w:p w14:paraId="41CFEA45" w14:textId="77777777" w:rsidR="00F824BE" w:rsidRDefault="00F824BE" w:rsidP="0018431C">
            <w:pPr>
              <w:jc w:val="center"/>
              <w:rPr>
                <w:rFonts w:eastAsia="Times New Roman"/>
                <w:color w:val="000000"/>
              </w:rPr>
            </w:pPr>
            <w:r>
              <w:rPr>
                <w:rFonts w:eastAsia="Times New Roman"/>
                <w:color w:val="000000"/>
              </w:rPr>
              <w:t>0.55 ± 1.28</w:t>
            </w:r>
          </w:p>
        </w:tc>
        <w:tc>
          <w:tcPr>
            <w:tcW w:w="1258" w:type="dxa"/>
            <w:shd w:val="clear" w:color="auto" w:fill="auto"/>
            <w:vAlign w:val="bottom"/>
          </w:tcPr>
          <w:p w14:paraId="605B42B7" w14:textId="77777777" w:rsidR="00F824BE" w:rsidRDefault="00F824BE" w:rsidP="0018431C">
            <w:pPr>
              <w:jc w:val="center"/>
              <w:rPr>
                <w:rFonts w:eastAsia="Times New Roman"/>
                <w:color w:val="000000"/>
              </w:rPr>
            </w:pPr>
            <w:r>
              <w:rPr>
                <w:rFonts w:eastAsia="Times New Roman"/>
                <w:color w:val="000000"/>
              </w:rPr>
              <w:t>1.8</w:t>
            </w:r>
          </w:p>
        </w:tc>
      </w:tr>
      <w:tr w:rsidR="00F824BE" w14:paraId="617CFD1A" w14:textId="77777777" w:rsidTr="00481C82">
        <w:trPr>
          <w:trHeight w:val="82"/>
        </w:trPr>
        <w:tc>
          <w:tcPr>
            <w:tcW w:w="2410" w:type="dxa"/>
            <w:shd w:val="clear" w:color="auto" w:fill="auto"/>
            <w:vAlign w:val="bottom"/>
          </w:tcPr>
          <w:p w14:paraId="392613F6" w14:textId="77777777" w:rsidR="00F824BE" w:rsidRDefault="00F824BE" w:rsidP="0018431C">
            <w:pPr>
              <w:jc w:val="center"/>
              <w:rPr>
                <w:rFonts w:eastAsia="Times New Roman"/>
                <w:color w:val="000000"/>
              </w:rPr>
            </w:pPr>
            <w:r>
              <w:rPr>
                <w:rFonts w:eastAsia="Times New Roman"/>
                <w:color w:val="000000"/>
              </w:rPr>
              <w:t>Upper Arm</w:t>
            </w:r>
          </w:p>
        </w:tc>
        <w:tc>
          <w:tcPr>
            <w:tcW w:w="1614" w:type="dxa"/>
            <w:shd w:val="clear" w:color="auto" w:fill="auto"/>
            <w:vAlign w:val="bottom"/>
          </w:tcPr>
          <w:p w14:paraId="04D894EB" w14:textId="77777777" w:rsidR="00F824BE" w:rsidRDefault="00F824BE" w:rsidP="0018431C">
            <w:pPr>
              <w:jc w:val="center"/>
              <w:rPr>
                <w:rFonts w:eastAsia="Times New Roman"/>
                <w:color w:val="000000"/>
              </w:rPr>
            </w:pPr>
            <w:r>
              <w:rPr>
                <w:rFonts w:eastAsia="Times New Roman"/>
                <w:color w:val="000000"/>
              </w:rPr>
              <w:t>0.09 ± 0.24</w:t>
            </w:r>
          </w:p>
        </w:tc>
        <w:tc>
          <w:tcPr>
            <w:tcW w:w="2169" w:type="dxa"/>
            <w:shd w:val="clear" w:color="auto" w:fill="auto"/>
            <w:vAlign w:val="bottom"/>
          </w:tcPr>
          <w:p w14:paraId="03D5B8F7" w14:textId="77777777" w:rsidR="00F824BE" w:rsidRDefault="00F824BE" w:rsidP="0018431C">
            <w:pPr>
              <w:jc w:val="center"/>
              <w:rPr>
                <w:rFonts w:eastAsia="Times New Roman"/>
                <w:color w:val="000000"/>
              </w:rPr>
            </w:pPr>
            <w:r>
              <w:rPr>
                <w:rFonts w:eastAsia="Times New Roman"/>
                <w:color w:val="000000"/>
              </w:rPr>
              <w:t>3.1</w:t>
            </w:r>
          </w:p>
        </w:tc>
        <w:tc>
          <w:tcPr>
            <w:tcW w:w="1613" w:type="dxa"/>
            <w:shd w:val="clear" w:color="auto" w:fill="auto"/>
            <w:vAlign w:val="bottom"/>
          </w:tcPr>
          <w:p w14:paraId="39259B0C" w14:textId="77777777" w:rsidR="00F824BE" w:rsidRDefault="00F824BE" w:rsidP="0018431C">
            <w:pPr>
              <w:jc w:val="center"/>
              <w:rPr>
                <w:rFonts w:eastAsia="Times New Roman"/>
                <w:color w:val="000000"/>
              </w:rPr>
            </w:pPr>
            <w:r>
              <w:rPr>
                <w:rFonts w:eastAsia="Times New Roman"/>
                <w:color w:val="000000"/>
              </w:rPr>
              <w:t>0.30 ± 0.46</w:t>
            </w:r>
          </w:p>
        </w:tc>
        <w:tc>
          <w:tcPr>
            <w:tcW w:w="1268" w:type="dxa"/>
            <w:shd w:val="clear" w:color="auto" w:fill="auto"/>
            <w:vAlign w:val="bottom"/>
          </w:tcPr>
          <w:p w14:paraId="72B9E17D" w14:textId="77777777" w:rsidR="00F824BE" w:rsidRDefault="00F824BE" w:rsidP="0018431C">
            <w:pPr>
              <w:jc w:val="center"/>
              <w:rPr>
                <w:rFonts w:eastAsia="Times New Roman"/>
                <w:color w:val="000000"/>
              </w:rPr>
            </w:pPr>
            <w:r>
              <w:rPr>
                <w:rFonts w:eastAsia="Times New Roman"/>
                <w:color w:val="000000"/>
              </w:rPr>
              <w:t>5.8</w:t>
            </w:r>
          </w:p>
        </w:tc>
        <w:tc>
          <w:tcPr>
            <w:tcW w:w="1939" w:type="dxa"/>
            <w:shd w:val="clear" w:color="auto" w:fill="auto"/>
            <w:vAlign w:val="bottom"/>
          </w:tcPr>
          <w:p w14:paraId="600C7936" w14:textId="77777777" w:rsidR="00F824BE" w:rsidRDefault="00F824BE" w:rsidP="0018431C">
            <w:pPr>
              <w:jc w:val="center"/>
              <w:rPr>
                <w:rFonts w:eastAsia="Times New Roman"/>
                <w:color w:val="000000"/>
              </w:rPr>
            </w:pPr>
            <w:r>
              <w:rPr>
                <w:rFonts w:eastAsia="Times New Roman"/>
                <w:color w:val="000000"/>
              </w:rPr>
              <w:t>0.08 ± 0.26</w:t>
            </w:r>
          </w:p>
        </w:tc>
        <w:tc>
          <w:tcPr>
            <w:tcW w:w="1262" w:type="dxa"/>
            <w:shd w:val="clear" w:color="auto" w:fill="auto"/>
            <w:vAlign w:val="bottom"/>
          </w:tcPr>
          <w:p w14:paraId="5992EFBF" w14:textId="77777777" w:rsidR="00F824BE" w:rsidRDefault="00F824BE" w:rsidP="0018431C">
            <w:pPr>
              <w:jc w:val="center"/>
              <w:rPr>
                <w:rFonts w:eastAsia="Times New Roman"/>
                <w:color w:val="000000"/>
              </w:rPr>
            </w:pPr>
            <w:r>
              <w:rPr>
                <w:rFonts w:eastAsia="Times New Roman"/>
                <w:color w:val="000000"/>
              </w:rPr>
              <w:t>2.4</w:t>
            </w:r>
          </w:p>
        </w:tc>
        <w:tc>
          <w:tcPr>
            <w:tcW w:w="1536" w:type="dxa"/>
            <w:shd w:val="clear" w:color="auto" w:fill="auto"/>
            <w:vAlign w:val="bottom"/>
          </w:tcPr>
          <w:p w14:paraId="75045823" w14:textId="77777777" w:rsidR="00F824BE" w:rsidRDefault="00F824BE" w:rsidP="0018431C">
            <w:pPr>
              <w:jc w:val="center"/>
              <w:rPr>
                <w:rFonts w:eastAsia="Times New Roman"/>
                <w:color w:val="000000"/>
              </w:rPr>
            </w:pPr>
            <w:r>
              <w:rPr>
                <w:rFonts w:eastAsia="Times New Roman"/>
                <w:color w:val="000000"/>
              </w:rPr>
              <w:t>0.41 ± 0.62</w:t>
            </w:r>
          </w:p>
        </w:tc>
        <w:tc>
          <w:tcPr>
            <w:tcW w:w="1258" w:type="dxa"/>
            <w:shd w:val="clear" w:color="auto" w:fill="auto"/>
            <w:vAlign w:val="bottom"/>
          </w:tcPr>
          <w:p w14:paraId="42B62A2E" w14:textId="77777777" w:rsidR="00F824BE" w:rsidRDefault="00F824BE" w:rsidP="0018431C">
            <w:pPr>
              <w:jc w:val="center"/>
              <w:rPr>
                <w:rFonts w:eastAsia="Times New Roman"/>
                <w:color w:val="000000"/>
              </w:rPr>
            </w:pPr>
            <w:r>
              <w:rPr>
                <w:rFonts w:eastAsia="Times New Roman"/>
                <w:color w:val="000000"/>
              </w:rPr>
              <w:t>5.2</w:t>
            </w:r>
          </w:p>
        </w:tc>
      </w:tr>
      <w:tr w:rsidR="00F824BE" w14:paraId="13EC5D64" w14:textId="77777777" w:rsidTr="00481C82">
        <w:trPr>
          <w:trHeight w:val="82"/>
        </w:trPr>
        <w:tc>
          <w:tcPr>
            <w:tcW w:w="2410" w:type="dxa"/>
            <w:shd w:val="clear" w:color="auto" w:fill="auto"/>
            <w:vAlign w:val="bottom"/>
          </w:tcPr>
          <w:p w14:paraId="1306B8D9" w14:textId="77777777" w:rsidR="00F824BE" w:rsidRDefault="00F824BE" w:rsidP="0018431C">
            <w:pPr>
              <w:jc w:val="center"/>
              <w:rPr>
                <w:rFonts w:eastAsia="Times New Roman"/>
                <w:color w:val="000000"/>
              </w:rPr>
            </w:pPr>
            <w:r>
              <w:rPr>
                <w:rFonts w:eastAsia="Times New Roman"/>
                <w:color w:val="000000"/>
              </w:rPr>
              <w:t>Elbow</w:t>
            </w:r>
          </w:p>
        </w:tc>
        <w:tc>
          <w:tcPr>
            <w:tcW w:w="1614" w:type="dxa"/>
            <w:shd w:val="clear" w:color="auto" w:fill="auto"/>
            <w:vAlign w:val="bottom"/>
          </w:tcPr>
          <w:p w14:paraId="03EE0D9D" w14:textId="77777777" w:rsidR="00F824BE" w:rsidRDefault="00F824BE" w:rsidP="0018431C">
            <w:pPr>
              <w:jc w:val="center"/>
              <w:rPr>
                <w:rFonts w:eastAsia="Times New Roman"/>
                <w:color w:val="000000"/>
              </w:rPr>
            </w:pPr>
            <w:r>
              <w:rPr>
                <w:rFonts w:eastAsia="Times New Roman"/>
                <w:color w:val="000000"/>
              </w:rPr>
              <w:t>0.26 ± 0.40</w:t>
            </w:r>
          </w:p>
        </w:tc>
        <w:tc>
          <w:tcPr>
            <w:tcW w:w="2169" w:type="dxa"/>
            <w:shd w:val="clear" w:color="auto" w:fill="auto"/>
            <w:vAlign w:val="bottom"/>
          </w:tcPr>
          <w:p w14:paraId="5E8CFD06" w14:textId="77777777" w:rsidR="00F824BE" w:rsidRDefault="00F824BE" w:rsidP="0018431C">
            <w:pPr>
              <w:jc w:val="center"/>
              <w:rPr>
                <w:rFonts w:eastAsia="Times New Roman"/>
                <w:color w:val="000000"/>
              </w:rPr>
            </w:pPr>
            <w:r>
              <w:rPr>
                <w:rFonts w:eastAsia="Times New Roman"/>
                <w:color w:val="000000"/>
              </w:rPr>
              <w:t>2.5</w:t>
            </w:r>
          </w:p>
        </w:tc>
        <w:tc>
          <w:tcPr>
            <w:tcW w:w="1613" w:type="dxa"/>
            <w:shd w:val="clear" w:color="auto" w:fill="auto"/>
            <w:vAlign w:val="bottom"/>
          </w:tcPr>
          <w:p w14:paraId="61D3C9D6" w14:textId="77777777" w:rsidR="00F824BE" w:rsidRDefault="00F824BE" w:rsidP="0018431C">
            <w:pPr>
              <w:jc w:val="center"/>
              <w:rPr>
                <w:rFonts w:eastAsia="Times New Roman"/>
                <w:color w:val="000000"/>
              </w:rPr>
            </w:pPr>
            <w:r>
              <w:rPr>
                <w:rFonts w:eastAsia="Times New Roman"/>
                <w:color w:val="000000"/>
              </w:rPr>
              <w:t>0.03 ± 0.59</w:t>
            </w:r>
          </w:p>
        </w:tc>
        <w:tc>
          <w:tcPr>
            <w:tcW w:w="1268" w:type="dxa"/>
            <w:shd w:val="clear" w:color="auto" w:fill="auto"/>
            <w:vAlign w:val="bottom"/>
          </w:tcPr>
          <w:p w14:paraId="14F2FDD9" w14:textId="77777777" w:rsidR="00F824BE" w:rsidRDefault="00F824BE" w:rsidP="0018431C">
            <w:pPr>
              <w:jc w:val="center"/>
              <w:rPr>
                <w:rFonts w:eastAsia="Times New Roman"/>
                <w:color w:val="000000"/>
              </w:rPr>
            </w:pPr>
            <w:r>
              <w:rPr>
                <w:rFonts w:eastAsia="Times New Roman"/>
                <w:color w:val="000000"/>
              </w:rPr>
              <w:t>1.1</w:t>
            </w:r>
          </w:p>
        </w:tc>
        <w:tc>
          <w:tcPr>
            <w:tcW w:w="1939" w:type="dxa"/>
            <w:shd w:val="clear" w:color="auto" w:fill="auto"/>
            <w:vAlign w:val="bottom"/>
          </w:tcPr>
          <w:p w14:paraId="49011EE9" w14:textId="77777777" w:rsidR="00F824BE" w:rsidRDefault="00F824BE" w:rsidP="0018431C">
            <w:pPr>
              <w:jc w:val="center"/>
              <w:rPr>
                <w:rFonts w:eastAsia="Times New Roman"/>
                <w:color w:val="000000"/>
              </w:rPr>
            </w:pPr>
            <w:r>
              <w:rPr>
                <w:rFonts w:eastAsia="Times New Roman"/>
                <w:color w:val="000000"/>
              </w:rPr>
              <w:t>-0.31 ± 0.51</w:t>
            </w:r>
          </w:p>
        </w:tc>
        <w:tc>
          <w:tcPr>
            <w:tcW w:w="1262" w:type="dxa"/>
            <w:shd w:val="clear" w:color="auto" w:fill="auto"/>
            <w:vAlign w:val="bottom"/>
          </w:tcPr>
          <w:p w14:paraId="4B0BA982" w14:textId="77777777" w:rsidR="00F824BE" w:rsidRDefault="00F824BE" w:rsidP="0018431C">
            <w:pPr>
              <w:jc w:val="center"/>
              <w:rPr>
                <w:rFonts w:eastAsia="Times New Roman"/>
                <w:color w:val="000000"/>
              </w:rPr>
            </w:pPr>
            <w:r>
              <w:rPr>
                <w:rFonts w:eastAsia="Times New Roman"/>
                <w:color w:val="000000"/>
              </w:rPr>
              <w:t>0.4</w:t>
            </w:r>
          </w:p>
        </w:tc>
        <w:tc>
          <w:tcPr>
            <w:tcW w:w="1536" w:type="dxa"/>
            <w:shd w:val="clear" w:color="auto" w:fill="auto"/>
            <w:vAlign w:val="bottom"/>
          </w:tcPr>
          <w:p w14:paraId="1972CA67" w14:textId="77777777" w:rsidR="00F824BE" w:rsidRDefault="00F824BE" w:rsidP="0018431C">
            <w:pPr>
              <w:jc w:val="center"/>
              <w:rPr>
                <w:rFonts w:eastAsia="Times New Roman"/>
                <w:color w:val="000000"/>
              </w:rPr>
            </w:pPr>
            <w:r>
              <w:rPr>
                <w:rFonts w:eastAsia="Times New Roman"/>
                <w:color w:val="000000"/>
              </w:rPr>
              <w:t>0.17 ± 0.97</w:t>
            </w:r>
          </w:p>
        </w:tc>
        <w:tc>
          <w:tcPr>
            <w:tcW w:w="1258" w:type="dxa"/>
            <w:shd w:val="clear" w:color="auto" w:fill="auto"/>
            <w:vAlign w:val="bottom"/>
          </w:tcPr>
          <w:p w14:paraId="63CB93A7" w14:textId="77777777" w:rsidR="00F824BE" w:rsidRDefault="00F824BE" w:rsidP="0018431C">
            <w:pPr>
              <w:jc w:val="center"/>
              <w:rPr>
                <w:rFonts w:eastAsia="Times New Roman"/>
                <w:color w:val="000000"/>
              </w:rPr>
            </w:pPr>
            <w:r>
              <w:rPr>
                <w:rFonts w:eastAsia="Times New Roman"/>
                <w:color w:val="000000"/>
              </w:rPr>
              <w:t>1.3</w:t>
            </w:r>
          </w:p>
        </w:tc>
      </w:tr>
      <w:tr w:rsidR="00F824BE" w14:paraId="3BD6D85B" w14:textId="77777777" w:rsidTr="00481C82">
        <w:trPr>
          <w:trHeight w:val="82"/>
        </w:trPr>
        <w:tc>
          <w:tcPr>
            <w:tcW w:w="2410" w:type="dxa"/>
            <w:shd w:val="clear" w:color="auto" w:fill="auto"/>
            <w:vAlign w:val="bottom"/>
          </w:tcPr>
          <w:p w14:paraId="6DC77222" w14:textId="77777777" w:rsidR="00F824BE" w:rsidRDefault="00F824BE" w:rsidP="0018431C">
            <w:pPr>
              <w:jc w:val="center"/>
              <w:rPr>
                <w:rFonts w:eastAsia="Times New Roman"/>
                <w:color w:val="000000"/>
              </w:rPr>
            </w:pPr>
            <w:r>
              <w:rPr>
                <w:rFonts w:eastAsia="Times New Roman"/>
                <w:color w:val="000000"/>
              </w:rPr>
              <w:t>Forearm</w:t>
            </w:r>
          </w:p>
        </w:tc>
        <w:tc>
          <w:tcPr>
            <w:tcW w:w="1614" w:type="dxa"/>
            <w:shd w:val="clear" w:color="auto" w:fill="auto"/>
            <w:vAlign w:val="bottom"/>
          </w:tcPr>
          <w:p w14:paraId="17727405" w14:textId="77777777" w:rsidR="00F824BE" w:rsidRDefault="00F824BE" w:rsidP="0018431C">
            <w:pPr>
              <w:jc w:val="center"/>
              <w:rPr>
                <w:rFonts w:eastAsia="Times New Roman"/>
                <w:color w:val="000000"/>
              </w:rPr>
            </w:pPr>
            <w:r>
              <w:rPr>
                <w:rFonts w:eastAsia="Times New Roman"/>
                <w:color w:val="000000"/>
              </w:rPr>
              <w:t>-0.07 ± 0.28</w:t>
            </w:r>
          </w:p>
        </w:tc>
        <w:tc>
          <w:tcPr>
            <w:tcW w:w="2169" w:type="dxa"/>
            <w:shd w:val="clear" w:color="auto" w:fill="auto"/>
            <w:vAlign w:val="bottom"/>
          </w:tcPr>
          <w:p w14:paraId="1CD9AC6D" w14:textId="77777777" w:rsidR="00F824BE" w:rsidRDefault="00F824BE" w:rsidP="0018431C">
            <w:pPr>
              <w:jc w:val="center"/>
              <w:rPr>
                <w:rFonts w:eastAsia="Times New Roman"/>
                <w:color w:val="000000"/>
              </w:rPr>
            </w:pPr>
            <w:r>
              <w:rPr>
                <w:rFonts w:eastAsia="Times New Roman"/>
                <w:color w:val="000000"/>
              </w:rPr>
              <w:t>0.5</w:t>
            </w:r>
          </w:p>
        </w:tc>
        <w:tc>
          <w:tcPr>
            <w:tcW w:w="1613" w:type="dxa"/>
            <w:shd w:val="clear" w:color="auto" w:fill="auto"/>
            <w:vAlign w:val="bottom"/>
          </w:tcPr>
          <w:p w14:paraId="65B88572" w14:textId="77777777" w:rsidR="00F824BE" w:rsidRDefault="00F824BE" w:rsidP="0018431C">
            <w:pPr>
              <w:jc w:val="center"/>
              <w:rPr>
                <w:rFonts w:eastAsia="Times New Roman"/>
                <w:color w:val="000000"/>
              </w:rPr>
            </w:pPr>
            <w:r>
              <w:rPr>
                <w:rFonts w:eastAsia="Times New Roman"/>
                <w:color w:val="000000"/>
              </w:rPr>
              <w:t>-0.38 ± 0.56</w:t>
            </w:r>
          </w:p>
        </w:tc>
        <w:tc>
          <w:tcPr>
            <w:tcW w:w="1268" w:type="dxa"/>
            <w:shd w:val="clear" w:color="auto" w:fill="auto"/>
            <w:vAlign w:val="bottom"/>
          </w:tcPr>
          <w:p w14:paraId="72E45AED" w14:textId="77777777" w:rsidR="00F824BE" w:rsidRDefault="00F824BE" w:rsidP="0018431C">
            <w:pPr>
              <w:jc w:val="center"/>
              <w:rPr>
                <w:rFonts w:eastAsia="Times New Roman"/>
                <w:color w:val="000000"/>
              </w:rPr>
            </w:pPr>
            <w:r>
              <w:rPr>
                <w:rFonts w:eastAsia="Times New Roman"/>
                <w:color w:val="000000"/>
              </w:rPr>
              <w:t>0.1</w:t>
            </w:r>
          </w:p>
        </w:tc>
        <w:tc>
          <w:tcPr>
            <w:tcW w:w="1939" w:type="dxa"/>
            <w:shd w:val="clear" w:color="auto" w:fill="auto"/>
            <w:vAlign w:val="bottom"/>
          </w:tcPr>
          <w:p w14:paraId="3D81213F" w14:textId="77777777" w:rsidR="00F824BE" w:rsidRDefault="00F824BE" w:rsidP="0018431C">
            <w:pPr>
              <w:jc w:val="center"/>
              <w:rPr>
                <w:rFonts w:eastAsia="Times New Roman"/>
                <w:color w:val="000000"/>
              </w:rPr>
            </w:pPr>
            <w:r>
              <w:rPr>
                <w:rFonts w:eastAsia="Times New Roman"/>
                <w:color w:val="000000"/>
              </w:rPr>
              <w:t>-0.02 ± 0.22</w:t>
            </w:r>
          </w:p>
        </w:tc>
        <w:tc>
          <w:tcPr>
            <w:tcW w:w="1262" w:type="dxa"/>
            <w:shd w:val="clear" w:color="auto" w:fill="auto"/>
            <w:vAlign w:val="bottom"/>
          </w:tcPr>
          <w:p w14:paraId="1DE53E23" w14:textId="77777777" w:rsidR="00F824BE" w:rsidRDefault="00F824BE" w:rsidP="0018431C">
            <w:pPr>
              <w:jc w:val="center"/>
              <w:rPr>
                <w:rFonts w:eastAsia="Times New Roman"/>
                <w:color w:val="000000"/>
              </w:rPr>
            </w:pPr>
            <w:r>
              <w:rPr>
                <w:rFonts w:eastAsia="Times New Roman"/>
                <w:color w:val="000000"/>
              </w:rPr>
              <w:t>0.8</w:t>
            </w:r>
          </w:p>
        </w:tc>
        <w:tc>
          <w:tcPr>
            <w:tcW w:w="1536" w:type="dxa"/>
            <w:shd w:val="clear" w:color="auto" w:fill="auto"/>
            <w:vAlign w:val="bottom"/>
          </w:tcPr>
          <w:p w14:paraId="7E8D8CCB" w14:textId="77777777" w:rsidR="00F824BE" w:rsidRDefault="00F824BE" w:rsidP="0018431C">
            <w:pPr>
              <w:jc w:val="center"/>
              <w:rPr>
                <w:rFonts w:eastAsia="Times New Roman"/>
                <w:color w:val="000000"/>
              </w:rPr>
            </w:pPr>
            <w:r>
              <w:rPr>
                <w:rFonts w:eastAsia="Times New Roman"/>
                <w:color w:val="000000"/>
              </w:rPr>
              <w:t>0.00 ± 0.00</w:t>
            </w:r>
          </w:p>
        </w:tc>
        <w:tc>
          <w:tcPr>
            <w:tcW w:w="1258" w:type="dxa"/>
            <w:shd w:val="clear" w:color="auto" w:fill="auto"/>
            <w:vAlign w:val="bottom"/>
          </w:tcPr>
          <w:p w14:paraId="175F3DE9" w14:textId="77777777" w:rsidR="00F824BE" w:rsidRDefault="00F824BE" w:rsidP="0018431C">
            <w:pPr>
              <w:jc w:val="center"/>
              <w:rPr>
                <w:rFonts w:eastAsia="Times New Roman"/>
                <w:color w:val="000000"/>
              </w:rPr>
            </w:pPr>
            <w:r>
              <w:rPr>
                <w:rFonts w:eastAsia="Times New Roman"/>
                <w:color w:val="000000"/>
              </w:rPr>
              <w:t>0.0</w:t>
            </w:r>
          </w:p>
        </w:tc>
      </w:tr>
      <w:tr w:rsidR="00F824BE" w14:paraId="62476677" w14:textId="77777777" w:rsidTr="00481C82">
        <w:trPr>
          <w:trHeight w:val="82"/>
        </w:trPr>
        <w:tc>
          <w:tcPr>
            <w:tcW w:w="2410" w:type="dxa"/>
            <w:shd w:val="clear" w:color="auto" w:fill="auto"/>
            <w:vAlign w:val="bottom"/>
          </w:tcPr>
          <w:p w14:paraId="3C36E430" w14:textId="77777777" w:rsidR="00F824BE" w:rsidRDefault="00F824BE" w:rsidP="0018431C">
            <w:pPr>
              <w:jc w:val="center"/>
              <w:rPr>
                <w:rFonts w:eastAsia="Times New Roman"/>
                <w:color w:val="000000"/>
              </w:rPr>
            </w:pPr>
            <w:r>
              <w:rPr>
                <w:rFonts w:eastAsia="Times New Roman"/>
                <w:color w:val="000000"/>
              </w:rPr>
              <w:t>Wrist</w:t>
            </w:r>
          </w:p>
        </w:tc>
        <w:tc>
          <w:tcPr>
            <w:tcW w:w="1614" w:type="dxa"/>
            <w:shd w:val="clear" w:color="auto" w:fill="auto"/>
            <w:vAlign w:val="bottom"/>
          </w:tcPr>
          <w:p w14:paraId="20DCEA12" w14:textId="77777777" w:rsidR="00F824BE" w:rsidRDefault="00F824BE" w:rsidP="0018431C">
            <w:pPr>
              <w:jc w:val="center"/>
              <w:rPr>
                <w:rFonts w:eastAsia="Times New Roman"/>
                <w:color w:val="000000"/>
              </w:rPr>
            </w:pPr>
            <w:r>
              <w:rPr>
                <w:rFonts w:eastAsia="Times New Roman"/>
                <w:color w:val="000000"/>
              </w:rPr>
              <w:t>0.08 ± 0.42</w:t>
            </w:r>
          </w:p>
        </w:tc>
        <w:tc>
          <w:tcPr>
            <w:tcW w:w="2169" w:type="dxa"/>
            <w:shd w:val="clear" w:color="auto" w:fill="auto"/>
            <w:vAlign w:val="bottom"/>
          </w:tcPr>
          <w:p w14:paraId="560C65D7" w14:textId="77777777" w:rsidR="00F824BE" w:rsidRDefault="00F824BE" w:rsidP="0018431C">
            <w:pPr>
              <w:jc w:val="center"/>
              <w:rPr>
                <w:rFonts w:eastAsia="Times New Roman"/>
                <w:color w:val="000000"/>
              </w:rPr>
            </w:pPr>
            <w:r>
              <w:rPr>
                <w:rFonts w:eastAsia="Times New Roman"/>
                <w:color w:val="000000"/>
              </w:rPr>
              <w:t>1.3</w:t>
            </w:r>
          </w:p>
        </w:tc>
        <w:tc>
          <w:tcPr>
            <w:tcW w:w="1613" w:type="dxa"/>
            <w:shd w:val="clear" w:color="auto" w:fill="auto"/>
            <w:vAlign w:val="bottom"/>
          </w:tcPr>
          <w:p w14:paraId="34ABD6E0" w14:textId="77777777" w:rsidR="00F824BE" w:rsidRDefault="00F824BE" w:rsidP="0018431C">
            <w:pPr>
              <w:jc w:val="center"/>
              <w:rPr>
                <w:rFonts w:eastAsia="Times New Roman"/>
                <w:color w:val="000000"/>
              </w:rPr>
            </w:pPr>
            <w:r>
              <w:rPr>
                <w:rFonts w:eastAsia="Times New Roman"/>
                <w:color w:val="000000"/>
              </w:rPr>
              <w:t>-0.09 ± 0.59</w:t>
            </w:r>
          </w:p>
        </w:tc>
        <w:tc>
          <w:tcPr>
            <w:tcW w:w="1268" w:type="dxa"/>
            <w:shd w:val="clear" w:color="auto" w:fill="auto"/>
            <w:vAlign w:val="bottom"/>
          </w:tcPr>
          <w:p w14:paraId="3F5F2D30" w14:textId="77777777" w:rsidR="00F824BE" w:rsidRDefault="00F824BE" w:rsidP="0018431C">
            <w:pPr>
              <w:jc w:val="center"/>
              <w:rPr>
                <w:rFonts w:eastAsia="Times New Roman"/>
                <w:color w:val="000000"/>
              </w:rPr>
            </w:pPr>
            <w:r>
              <w:rPr>
                <w:rFonts w:eastAsia="Times New Roman"/>
                <w:color w:val="000000"/>
              </w:rPr>
              <w:t>0.7</w:t>
            </w:r>
          </w:p>
        </w:tc>
        <w:tc>
          <w:tcPr>
            <w:tcW w:w="1939" w:type="dxa"/>
            <w:shd w:val="clear" w:color="auto" w:fill="auto"/>
            <w:vAlign w:val="bottom"/>
          </w:tcPr>
          <w:p w14:paraId="41554DCC" w14:textId="77777777" w:rsidR="00F824BE" w:rsidRDefault="00F824BE" w:rsidP="0018431C">
            <w:pPr>
              <w:jc w:val="center"/>
              <w:rPr>
                <w:rFonts w:eastAsia="Times New Roman"/>
                <w:color w:val="000000"/>
              </w:rPr>
            </w:pPr>
            <w:r>
              <w:rPr>
                <w:rFonts w:eastAsia="Times New Roman"/>
                <w:color w:val="000000"/>
              </w:rPr>
              <w:t>0.37 ± 0.66</w:t>
            </w:r>
          </w:p>
        </w:tc>
        <w:tc>
          <w:tcPr>
            <w:tcW w:w="1262" w:type="dxa"/>
            <w:shd w:val="clear" w:color="auto" w:fill="auto"/>
            <w:vAlign w:val="bottom"/>
          </w:tcPr>
          <w:p w14:paraId="00967044" w14:textId="77777777" w:rsidR="00F824BE" w:rsidRDefault="00F824BE" w:rsidP="0018431C">
            <w:pPr>
              <w:jc w:val="center"/>
              <w:rPr>
                <w:rFonts w:eastAsia="Times New Roman"/>
                <w:color w:val="000000"/>
              </w:rPr>
            </w:pPr>
            <w:r>
              <w:rPr>
                <w:rFonts w:eastAsia="Times New Roman"/>
                <w:color w:val="000000"/>
              </w:rPr>
              <w:t>2.2</w:t>
            </w:r>
          </w:p>
        </w:tc>
        <w:tc>
          <w:tcPr>
            <w:tcW w:w="1536" w:type="dxa"/>
            <w:shd w:val="clear" w:color="auto" w:fill="auto"/>
            <w:vAlign w:val="bottom"/>
          </w:tcPr>
          <w:p w14:paraId="265D9C6C" w14:textId="77777777" w:rsidR="00F824BE" w:rsidRDefault="00F824BE" w:rsidP="0018431C">
            <w:pPr>
              <w:jc w:val="center"/>
              <w:rPr>
                <w:rFonts w:eastAsia="Times New Roman"/>
                <w:color w:val="000000"/>
              </w:rPr>
            </w:pPr>
            <w:r>
              <w:rPr>
                <w:rFonts w:eastAsia="Times New Roman"/>
                <w:color w:val="000000"/>
              </w:rPr>
              <w:t>0.79 ± 1.03</w:t>
            </w:r>
          </w:p>
        </w:tc>
        <w:tc>
          <w:tcPr>
            <w:tcW w:w="1258" w:type="dxa"/>
            <w:shd w:val="clear" w:color="auto" w:fill="auto"/>
            <w:vAlign w:val="bottom"/>
          </w:tcPr>
          <w:p w14:paraId="7046AC28" w14:textId="77777777" w:rsidR="00F824BE" w:rsidRDefault="00F824BE" w:rsidP="0018431C">
            <w:pPr>
              <w:jc w:val="center"/>
              <w:rPr>
                <w:rFonts w:eastAsia="Times New Roman"/>
                <w:color w:val="000000"/>
              </w:rPr>
            </w:pPr>
            <w:r>
              <w:rPr>
                <w:rFonts w:eastAsia="Times New Roman"/>
                <w:color w:val="000000"/>
              </w:rPr>
              <w:t>3.5</w:t>
            </w:r>
          </w:p>
        </w:tc>
      </w:tr>
      <w:tr w:rsidR="00F824BE" w14:paraId="16983FA3" w14:textId="77777777" w:rsidTr="00481C82">
        <w:trPr>
          <w:trHeight w:val="82"/>
        </w:trPr>
        <w:tc>
          <w:tcPr>
            <w:tcW w:w="2410" w:type="dxa"/>
            <w:shd w:val="clear" w:color="auto" w:fill="auto"/>
            <w:vAlign w:val="bottom"/>
          </w:tcPr>
          <w:p w14:paraId="6832C310" w14:textId="77777777" w:rsidR="00F824BE" w:rsidRDefault="00F824BE" w:rsidP="0018431C">
            <w:pPr>
              <w:jc w:val="center"/>
              <w:rPr>
                <w:rFonts w:eastAsia="Times New Roman"/>
                <w:color w:val="000000"/>
              </w:rPr>
            </w:pPr>
            <w:r>
              <w:rPr>
                <w:rFonts w:eastAsia="Times New Roman"/>
                <w:color w:val="000000"/>
              </w:rPr>
              <w:t>Chest</w:t>
            </w:r>
          </w:p>
        </w:tc>
        <w:tc>
          <w:tcPr>
            <w:tcW w:w="1614" w:type="dxa"/>
            <w:shd w:val="clear" w:color="auto" w:fill="auto"/>
            <w:vAlign w:val="bottom"/>
          </w:tcPr>
          <w:p w14:paraId="7E7222DD" w14:textId="77777777" w:rsidR="00F824BE" w:rsidRDefault="00F824BE" w:rsidP="0018431C">
            <w:pPr>
              <w:jc w:val="center"/>
              <w:rPr>
                <w:rFonts w:eastAsia="Times New Roman"/>
                <w:color w:val="000000"/>
              </w:rPr>
            </w:pPr>
            <w:r>
              <w:rPr>
                <w:rFonts w:eastAsia="Times New Roman"/>
                <w:color w:val="000000"/>
              </w:rPr>
              <w:t>-0.01 ± 0.16</w:t>
            </w:r>
          </w:p>
        </w:tc>
        <w:tc>
          <w:tcPr>
            <w:tcW w:w="2169" w:type="dxa"/>
            <w:shd w:val="clear" w:color="auto" w:fill="auto"/>
            <w:vAlign w:val="bottom"/>
          </w:tcPr>
          <w:p w14:paraId="7BB06142" w14:textId="77777777" w:rsidR="00F824BE" w:rsidRDefault="00F824BE" w:rsidP="0018431C">
            <w:pPr>
              <w:jc w:val="center"/>
              <w:rPr>
                <w:rFonts w:eastAsia="Times New Roman"/>
                <w:color w:val="000000"/>
              </w:rPr>
            </w:pPr>
            <w:r>
              <w:rPr>
                <w:rFonts w:eastAsia="Times New Roman"/>
                <w:color w:val="000000"/>
              </w:rPr>
              <w:t>0.9</w:t>
            </w:r>
          </w:p>
        </w:tc>
        <w:tc>
          <w:tcPr>
            <w:tcW w:w="1613" w:type="dxa"/>
            <w:shd w:val="clear" w:color="auto" w:fill="auto"/>
            <w:vAlign w:val="bottom"/>
          </w:tcPr>
          <w:p w14:paraId="38900D40" w14:textId="77777777" w:rsidR="00F824BE" w:rsidRDefault="00F824BE" w:rsidP="0018431C">
            <w:pPr>
              <w:jc w:val="center"/>
              <w:rPr>
                <w:rFonts w:eastAsia="Times New Roman"/>
                <w:color w:val="000000"/>
              </w:rPr>
            </w:pPr>
            <w:r>
              <w:rPr>
                <w:rFonts w:eastAsia="Times New Roman"/>
                <w:color w:val="000000"/>
              </w:rPr>
              <w:t>0.00 ± 0.00</w:t>
            </w:r>
          </w:p>
        </w:tc>
        <w:tc>
          <w:tcPr>
            <w:tcW w:w="1268" w:type="dxa"/>
            <w:shd w:val="clear" w:color="auto" w:fill="auto"/>
            <w:vAlign w:val="bottom"/>
          </w:tcPr>
          <w:p w14:paraId="095915DD" w14:textId="77777777" w:rsidR="00F824BE" w:rsidRDefault="00F824BE" w:rsidP="0018431C">
            <w:pPr>
              <w:jc w:val="center"/>
              <w:rPr>
                <w:rFonts w:eastAsia="Times New Roman"/>
                <w:color w:val="000000"/>
              </w:rPr>
            </w:pPr>
            <w:r>
              <w:rPr>
                <w:rFonts w:eastAsia="Times New Roman"/>
                <w:color w:val="000000"/>
              </w:rPr>
              <w:t>0.0</w:t>
            </w:r>
          </w:p>
        </w:tc>
        <w:tc>
          <w:tcPr>
            <w:tcW w:w="1939" w:type="dxa"/>
            <w:shd w:val="clear" w:color="auto" w:fill="auto"/>
            <w:vAlign w:val="bottom"/>
          </w:tcPr>
          <w:p w14:paraId="39A868F2" w14:textId="77777777" w:rsidR="00F824BE" w:rsidRDefault="00F824BE" w:rsidP="0018431C">
            <w:pPr>
              <w:jc w:val="center"/>
              <w:rPr>
                <w:rFonts w:eastAsia="Times New Roman"/>
                <w:color w:val="000000"/>
              </w:rPr>
            </w:pPr>
            <w:r>
              <w:rPr>
                <w:rFonts w:eastAsia="Times New Roman"/>
                <w:color w:val="000000"/>
              </w:rPr>
              <w:t>-0.01 ± 0.24</w:t>
            </w:r>
          </w:p>
        </w:tc>
        <w:tc>
          <w:tcPr>
            <w:tcW w:w="1262" w:type="dxa"/>
            <w:shd w:val="clear" w:color="auto" w:fill="auto"/>
            <w:vAlign w:val="bottom"/>
          </w:tcPr>
          <w:p w14:paraId="0CCEE575" w14:textId="77777777" w:rsidR="00F824BE" w:rsidRDefault="00F824BE" w:rsidP="0018431C">
            <w:pPr>
              <w:jc w:val="center"/>
              <w:rPr>
                <w:rFonts w:eastAsia="Times New Roman"/>
                <w:color w:val="000000"/>
              </w:rPr>
            </w:pPr>
            <w:r>
              <w:rPr>
                <w:rFonts w:eastAsia="Times New Roman"/>
                <w:color w:val="000000"/>
              </w:rPr>
              <w:t>0.9</w:t>
            </w:r>
          </w:p>
        </w:tc>
        <w:tc>
          <w:tcPr>
            <w:tcW w:w="1536" w:type="dxa"/>
            <w:shd w:val="clear" w:color="auto" w:fill="auto"/>
            <w:vAlign w:val="bottom"/>
          </w:tcPr>
          <w:p w14:paraId="78456F4D" w14:textId="77777777" w:rsidR="00F824BE" w:rsidRDefault="00F824BE" w:rsidP="0018431C">
            <w:pPr>
              <w:jc w:val="center"/>
              <w:rPr>
                <w:rFonts w:eastAsia="Times New Roman"/>
                <w:color w:val="000000"/>
              </w:rPr>
            </w:pPr>
            <w:r>
              <w:rPr>
                <w:rFonts w:eastAsia="Times New Roman"/>
                <w:color w:val="000000"/>
              </w:rPr>
              <w:t>-0.36 ± 0.60</w:t>
            </w:r>
          </w:p>
        </w:tc>
        <w:tc>
          <w:tcPr>
            <w:tcW w:w="1258" w:type="dxa"/>
            <w:shd w:val="clear" w:color="auto" w:fill="auto"/>
            <w:vAlign w:val="bottom"/>
          </w:tcPr>
          <w:p w14:paraId="1ACBC6D9" w14:textId="77777777" w:rsidR="00F824BE" w:rsidRDefault="00F824BE" w:rsidP="0018431C">
            <w:pPr>
              <w:jc w:val="center"/>
              <w:rPr>
                <w:rFonts w:eastAsia="Times New Roman"/>
                <w:color w:val="000000"/>
              </w:rPr>
            </w:pPr>
            <w:r>
              <w:rPr>
                <w:rFonts w:eastAsia="Times New Roman"/>
                <w:color w:val="000000"/>
              </w:rPr>
              <w:t>0.3</w:t>
            </w:r>
          </w:p>
        </w:tc>
      </w:tr>
      <w:tr w:rsidR="00F824BE" w14:paraId="071B8252" w14:textId="77777777" w:rsidTr="00481C82">
        <w:trPr>
          <w:trHeight w:val="82"/>
        </w:trPr>
        <w:tc>
          <w:tcPr>
            <w:tcW w:w="2410" w:type="dxa"/>
            <w:shd w:val="clear" w:color="auto" w:fill="auto"/>
            <w:vAlign w:val="bottom"/>
          </w:tcPr>
          <w:p w14:paraId="69CE0AA8" w14:textId="77777777" w:rsidR="00F824BE" w:rsidRDefault="00F824BE" w:rsidP="0018431C">
            <w:pPr>
              <w:jc w:val="center"/>
              <w:rPr>
                <w:rFonts w:eastAsia="Times New Roman"/>
                <w:color w:val="000000"/>
              </w:rPr>
            </w:pPr>
            <w:r>
              <w:rPr>
                <w:rFonts w:eastAsia="Times New Roman"/>
                <w:color w:val="000000"/>
              </w:rPr>
              <w:t>Thoracic Spine</w:t>
            </w:r>
          </w:p>
        </w:tc>
        <w:tc>
          <w:tcPr>
            <w:tcW w:w="1614" w:type="dxa"/>
            <w:shd w:val="clear" w:color="auto" w:fill="auto"/>
            <w:vAlign w:val="bottom"/>
          </w:tcPr>
          <w:p w14:paraId="207BC2F3" w14:textId="77777777" w:rsidR="00F824BE" w:rsidRDefault="00F824BE" w:rsidP="0018431C">
            <w:pPr>
              <w:jc w:val="center"/>
              <w:rPr>
                <w:rFonts w:eastAsia="Times New Roman"/>
                <w:color w:val="000000"/>
              </w:rPr>
            </w:pPr>
            <w:r>
              <w:rPr>
                <w:rFonts w:eastAsia="Times New Roman"/>
                <w:color w:val="000000"/>
              </w:rPr>
              <w:t>-0.04 ± 0.17</w:t>
            </w:r>
          </w:p>
        </w:tc>
        <w:tc>
          <w:tcPr>
            <w:tcW w:w="2169" w:type="dxa"/>
            <w:shd w:val="clear" w:color="auto" w:fill="auto"/>
            <w:vAlign w:val="bottom"/>
          </w:tcPr>
          <w:p w14:paraId="46F297AE" w14:textId="77777777" w:rsidR="00F824BE" w:rsidRDefault="00F824BE" w:rsidP="0018431C">
            <w:pPr>
              <w:jc w:val="center"/>
              <w:rPr>
                <w:rFonts w:eastAsia="Times New Roman"/>
                <w:color w:val="000000"/>
              </w:rPr>
            </w:pPr>
            <w:r>
              <w:rPr>
                <w:rFonts w:eastAsia="Times New Roman"/>
                <w:color w:val="000000"/>
              </w:rPr>
              <w:t>0.6</w:t>
            </w:r>
          </w:p>
        </w:tc>
        <w:tc>
          <w:tcPr>
            <w:tcW w:w="1613" w:type="dxa"/>
            <w:shd w:val="clear" w:color="auto" w:fill="auto"/>
            <w:vAlign w:val="bottom"/>
          </w:tcPr>
          <w:p w14:paraId="63B1B8EA" w14:textId="77777777" w:rsidR="00F824BE" w:rsidRDefault="00F824BE" w:rsidP="0018431C">
            <w:pPr>
              <w:jc w:val="center"/>
              <w:rPr>
                <w:rFonts w:eastAsia="Times New Roman"/>
                <w:color w:val="000000"/>
              </w:rPr>
            </w:pPr>
            <w:r>
              <w:rPr>
                <w:rFonts w:eastAsia="Times New Roman"/>
                <w:color w:val="000000"/>
              </w:rPr>
              <w:t>-0.49 ± 0.53</w:t>
            </w:r>
          </w:p>
        </w:tc>
        <w:tc>
          <w:tcPr>
            <w:tcW w:w="1268" w:type="dxa"/>
            <w:shd w:val="clear" w:color="auto" w:fill="auto"/>
            <w:vAlign w:val="bottom"/>
          </w:tcPr>
          <w:p w14:paraId="340FC685" w14:textId="77777777" w:rsidR="00F824BE" w:rsidRDefault="00F824BE" w:rsidP="0018431C">
            <w:pPr>
              <w:jc w:val="center"/>
              <w:rPr>
                <w:rFonts w:eastAsia="Times New Roman"/>
                <w:color w:val="000000"/>
              </w:rPr>
            </w:pPr>
            <w:r>
              <w:rPr>
                <w:rFonts w:eastAsia="Times New Roman"/>
                <w:color w:val="000000"/>
              </w:rPr>
              <w:t>0.0</w:t>
            </w:r>
          </w:p>
        </w:tc>
        <w:tc>
          <w:tcPr>
            <w:tcW w:w="1939" w:type="dxa"/>
            <w:shd w:val="clear" w:color="auto" w:fill="auto"/>
            <w:vAlign w:val="bottom"/>
          </w:tcPr>
          <w:p w14:paraId="5C3FAA2A" w14:textId="77777777" w:rsidR="00F824BE" w:rsidRDefault="00F824BE" w:rsidP="0018431C">
            <w:pPr>
              <w:jc w:val="center"/>
              <w:rPr>
                <w:rFonts w:eastAsia="Times New Roman"/>
                <w:color w:val="000000"/>
              </w:rPr>
            </w:pPr>
            <w:r>
              <w:rPr>
                <w:rFonts w:eastAsia="Times New Roman"/>
                <w:color w:val="000000"/>
              </w:rPr>
              <w:t>0.09 ± 0.29</w:t>
            </w:r>
          </w:p>
        </w:tc>
        <w:tc>
          <w:tcPr>
            <w:tcW w:w="1262" w:type="dxa"/>
            <w:shd w:val="clear" w:color="auto" w:fill="auto"/>
            <w:vAlign w:val="bottom"/>
          </w:tcPr>
          <w:p w14:paraId="117002E6" w14:textId="77777777" w:rsidR="00F824BE" w:rsidRDefault="00F824BE" w:rsidP="0018431C">
            <w:pPr>
              <w:jc w:val="center"/>
              <w:rPr>
                <w:rFonts w:eastAsia="Times New Roman"/>
                <w:color w:val="000000"/>
              </w:rPr>
            </w:pPr>
            <w:r>
              <w:rPr>
                <w:rFonts w:eastAsia="Times New Roman"/>
                <w:color w:val="000000"/>
              </w:rPr>
              <w:t>1.8</w:t>
            </w:r>
          </w:p>
        </w:tc>
        <w:tc>
          <w:tcPr>
            <w:tcW w:w="1536" w:type="dxa"/>
            <w:shd w:val="clear" w:color="auto" w:fill="auto"/>
            <w:vAlign w:val="bottom"/>
          </w:tcPr>
          <w:p w14:paraId="112BEBC7" w14:textId="77777777" w:rsidR="00F824BE" w:rsidRDefault="00F824BE" w:rsidP="0018431C">
            <w:pPr>
              <w:jc w:val="center"/>
              <w:rPr>
                <w:rFonts w:eastAsia="Times New Roman"/>
                <w:color w:val="000000"/>
              </w:rPr>
            </w:pPr>
            <w:r>
              <w:rPr>
                <w:rFonts w:eastAsia="Times New Roman"/>
                <w:color w:val="000000"/>
              </w:rPr>
              <w:t>0.24 ± 0.87</w:t>
            </w:r>
          </w:p>
        </w:tc>
        <w:tc>
          <w:tcPr>
            <w:tcW w:w="1258" w:type="dxa"/>
            <w:shd w:val="clear" w:color="auto" w:fill="auto"/>
            <w:vAlign w:val="bottom"/>
          </w:tcPr>
          <w:p w14:paraId="5D00E9F0" w14:textId="77777777" w:rsidR="00F824BE" w:rsidRDefault="00F824BE" w:rsidP="0018431C">
            <w:pPr>
              <w:jc w:val="center"/>
              <w:rPr>
                <w:rFonts w:eastAsia="Times New Roman"/>
                <w:color w:val="000000"/>
              </w:rPr>
            </w:pPr>
            <w:r>
              <w:rPr>
                <w:rFonts w:eastAsia="Times New Roman"/>
                <w:color w:val="000000"/>
              </w:rPr>
              <w:t>2.2</w:t>
            </w:r>
          </w:p>
        </w:tc>
      </w:tr>
      <w:tr w:rsidR="00F824BE" w14:paraId="7B8F17CE" w14:textId="77777777" w:rsidTr="00481C82">
        <w:trPr>
          <w:trHeight w:val="82"/>
        </w:trPr>
        <w:tc>
          <w:tcPr>
            <w:tcW w:w="2410" w:type="dxa"/>
            <w:shd w:val="clear" w:color="auto" w:fill="auto"/>
            <w:vAlign w:val="bottom"/>
          </w:tcPr>
          <w:p w14:paraId="45632701" w14:textId="77777777" w:rsidR="00F824BE" w:rsidRDefault="00F824BE" w:rsidP="0018431C">
            <w:pPr>
              <w:jc w:val="center"/>
              <w:rPr>
                <w:rFonts w:eastAsia="Times New Roman"/>
                <w:color w:val="000000"/>
              </w:rPr>
            </w:pPr>
            <w:r>
              <w:rPr>
                <w:rFonts w:eastAsia="Times New Roman"/>
                <w:color w:val="000000"/>
              </w:rPr>
              <w:t>Trunk and Abdominal</w:t>
            </w:r>
          </w:p>
        </w:tc>
        <w:tc>
          <w:tcPr>
            <w:tcW w:w="1614" w:type="dxa"/>
            <w:shd w:val="clear" w:color="auto" w:fill="auto"/>
            <w:vAlign w:val="bottom"/>
          </w:tcPr>
          <w:p w14:paraId="07DC3971" w14:textId="77777777" w:rsidR="00F824BE" w:rsidRDefault="00F824BE" w:rsidP="0018431C">
            <w:pPr>
              <w:jc w:val="center"/>
              <w:rPr>
                <w:rFonts w:eastAsia="Times New Roman"/>
                <w:color w:val="000000"/>
              </w:rPr>
            </w:pPr>
            <w:r>
              <w:rPr>
                <w:rFonts w:eastAsia="Times New Roman"/>
                <w:color w:val="000000"/>
              </w:rPr>
              <w:t>-0.39 ± 0.41</w:t>
            </w:r>
          </w:p>
        </w:tc>
        <w:tc>
          <w:tcPr>
            <w:tcW w:w="2169" w:type="dxa"/>
            <w:shd w:val="clear" w:color="auto" w:fill="auto"/>
            <w:vAlign w:val="bottom"/>
          </w:tcPr>
          <w:p w14:paraId="269462FE" w14:textId="77777777" w:rsidR="00F824BE" w:rsidRDefault="00F824BE" w:rsidP="0018431C">
            <w:pPr>
              <w:jc w:val="center"/>
              <w:rPr>
                <w:rFonts w:eastAsia="Times New Roman"/>
                <w:color w:val="000000"/>
              </w:rPr>
            </w:pPr>
            <w:r>
              <w:rPr>
                <w:rFonts w:eastAsia="Times New Roman"/>
                <w:color w:val="000000"/>
              </w:rPr>
              <w:t>0.2</w:t>
            </w:r>
          </w:p>
        </w:tc>
        <w:tc>
          <w:tcPr>
            <w:tcW w:w="1613" w:type="dxa"/>
            <w:shd w:val="clear" w:color="auto" w:fill="auto"/>
            <w:vAlign w:val="bottom"/>
          </w:tcPr>
          <w:p w14:paraId="25A673EE" w14:textId="77777777" w:rsidR="00F824BE" w:rsidRDefault="00F824BE" w:rsidP="0018431C">
            <w:pPr>
              <w:jc w:val="center"/>
              <w:rPr>
                <w:rFonts w:eastAsia="Times New Roman"/>
                <w:color w:val="000000"/>
              </w:rPr>
            </w:pPr>
            <w:r>
              <w:rPr>
                <w:rFonts w:eastAsia="Times New Roman"/>
                <w:color w:val="000000"/>
              </w:rPr>
              <w:t>-0.01 ± 0.52</w:t>
            </w:r>
          </w:p>
        </w:tc>
        <w:tc>
          <w:tcPr>
            <w:tcW w:w="1268" w:type="dxa"/>
            <w:shd w:val="clear" w:color="auto" w:fill="auto"/>
            <w:vAlign w:val="bottom"/>
          </w:tcPr>
          <w:p w14:paraId="7DBA3A23" w14:textId="77777777" w:rsidR="00F824BE" w:rsidRDefault="00F824BE" w:rsidP="0018431C">
            <w:pPr>
              <w:jc w:val="center"/>
              <w:rPr>
                <w:rFonts w:eastAsia="Times New Roman"/>
                <w:color w:val="000000"/>
              </w:rPr>
            </w:pPr>
            <w:r>
              <w:rPr>
                <w:rFonts w:eastAsia="Times New Roman"/>
                <w:color w:val="000000"/>
              </w:rPr>
              <w:t>1.0</w:t>
            </w:r>
          </w:p>
        </w:tc>
        <w:tc>
          <w:tcPr>
            <w:tcW w:w="1939" w:type="dxa"/>
            <w:shd w:val="clear" w:color="auto" w:fill="auto"/>
            <w:vAlign w:val="bottom"/>
          </w:tcPr>
          <w:p w14:paraId="6C555842" w14:textId="77777777" w:rsidR="00F824BE" w:rsidRDefault="00F824BE" w:rsidP="0018431C">
            <w:pPr>
              <w:jc w:val="center"/>
              <w:rPr>
                <w:rFonts w:eastAsia="Times New Roman"/>
                <w:color w:val="000000"/>
              </w:rPr>
            </w:pPr>
            <w:r>
              <w:rPr>
                <w:rFonts w:eastAsia="Times New Roman"/>
                <w:color w:val="000000"/>
              </w:rPr>
              <w:t>-0.34 ± 0.56</w:t>
            </w:r>
          </w:p>
        </w:tc>
        <w:tc>
          <w:tcPr>
            <w:tcW w:w="1262" w:type="dxa"/>
            <w:shd w:val="clear" w:color="auto" w:fill="auto"/>
            <w:vAlign w:val="bottom"/>
          </w:tcPr>
          <w:p w14:paraId="2127CC72" w14:textId="77777777" w:rsidR="00F824BE" w:rsidRDefault="00F824BE" w:rsidP="0018431C">
            <w:pPr>
              <w:jc w:val="center"/>
              <w:rPr>
                <w:rFonts w:eastAsia="Times New Roman"/>
                <w:color w:val="000000"/>
              </w:rPr>
            </w:pPr>
            <w:r>
              <w:rPr>
                <w:rFonts w:eastAsia="Times New Roman"/>
                <w:color w:val="000000"/>
              </w:rPr>
              <w:t>0.3</w:t>
            </w:r>
          </w:p>
        </w:tc>
        <w:tc>
          <w:tcPr>
            <w:tcW w:w="1536" w:type="dxa"/>
            <w:shd w:val="clear" w:color="auto" w:fill="auto"/>
            <w:vAlign w:val="bottom"/>
          </w:tcPr>
          <w:p w14:paraId="0EDAFD9F" w14:textId="77777777" w:rsidR="00F824BE" w:rsidRDefault="00F824BE" w:rsidP="0018431C">
            <w:pPr>
              <w:jc w:val="center"/>
              <w:rPr>
                <w:rFonts w:eastAsia="Times New Roman"/>
                <w:color w:val="000000"/>
              </w:rPr>
            </w:pPr>
            <w:r>
              <w:rPr>
                <w:rFonts w:eastAsia="Times New Roman"/>
                <w:color w:val="000000"/>
              </w:rPr>
              <w:t>-0.55 ± 1.09</w:t>
            </w:r>
          </w:p>
        </w:tc>
        <w:tc>
          <w:tcPr>
            <w:tcW w:w="1258" w:type="dxa"/>
            <w:shd w:val="clear" w:color="auto" w:fill="auto"/>
            <w:vAlign w:val="bottom"/>
          </w:tcPr>
          <w:p w14:paraId="024065D4" w14:textId="77777777" w:rsidR="00F824BE" w:rsidRDefault="00F824BE" w:rsidP="0018431C">
            <w:pPr>
              <w:jc w:val="center"/>
              <w:rPr>
                <w:rFonts w:eastAsia="Times New Roman"/>
                <w:color w:val="000000"/>
              </w:rPr>
            </w:pPr>
            <w:r>
              <w:rPr>
                <w:rFonts w:eastAsia="Times New Roman"/>
                <w:color w:val="000000"/>
              </w:rPr>
              <w:t>0.2</w:t>
            </w:r>
          </w:p>
        </w:tc>
      </w:tr>
      <w:tr w:rsidR="00F824BE" w14:paraId="4FFC636F" w14:textId="77777777" w:rsidTr="00481C82">
        <w:trPr>
          <w:trHeight w:val="82"/>
        </w:trPr>
        <w:tc>
          <w:tcPr>
            <w:tcW w:w="2410" w:type="dxa"/>
            <w:shd w:val="clear" w:color="auto" w:fill="auto"/>
            <w:vAlign w:val="bottom"/>
          </w:tcPr>
          <w:p w14:paraId="3B9136F8" w14:textId="77777777" w:rsidR="00F824BE" w:rsidRDefault="00F824BE" w:rsidP="0018431C">
            <w:pPr>
              <w:jc w:val="center"/>
              <w:rPr>
                <w:rFonts w:eastAsia="Times New Roman"/>
                <w:color w:val="000000"/>
              </w:rPr>
            </w:pPr>
            <w:r>
              <w:rPr>
                <w:rFonts w:eastAsia="Times New Roman"/>
                <w:color w:val="000000"/>
              </w:rPr>
              <w:t>Lumbar Spine</w:t>
            </w:r>
          </w:p>
        </w:tc>
        <w:tc>
          <w:tcPr>
            <w:tcW w:w="1614" w:type="dxa"/>
            <w:shd w:val="clear" w:color="auto" w:fill="auto"/>
            <w:vAlign w:val="bottom"/>
          </w:tcPr>
          <w:p w14:paraId="4CF69FAF" w14:textId="77777777" w:rsidR="00F824BE" w:rsidRDefault="00F824BE" w:rsidP="0018431C">
            <w:pPr>
              <w:jc w:val="center"/>
              <w:rPr>
                <w:rFonts w:eastAsia="Times New Roman"/>
                <w:color w:val="000000"/>
              </w:rPr>
            </w:pPr>
            <w:r>
              <w:rPr>
                <w:rFonts w:eastAsia="Times New Roman"/>
                <w:color w:val="000000"/>
              </w:rPr>
              <w:t>-0.09 ± 0.38</w:t>
            </w:r>
          </w:p>
        </w:tc>
        <w:tc>
          <w:tcPr>
            <w:tcW w:w="2169" w:type="dxa"/>
            <w:shd w:val="clear" w:color="auto" w:fill="auto"/>
            <w:vAlign w:val="bottom"/>
          </w:tcPr>
          <w:p w14:paraId="2C58E361" w14:textId="77777777" w:rsidR="00F824BE" w:rsidRDefault="00F824BE" w:rsidP="0018431C">
            <w:pPr>
              <w:jc w:val="center"/>
              <w:rPr>
                <w:rFonts w:eastAsia="Times New Roman"/>
                <w:color w:val="000000"/>
              </w:rPr>
            </w:pPr>
            <w:r>
              <w:rPr>
                <w:rFonts w:eastAsia="Times New Roman"/>
                <w:color w:val="000000"/>
              </w:rPr>
              <w:t>0.7</w:t>
            </w:r>
          </w:p>
        </w:tc>
        <w:tc>
          <w:tcPr>
            <w:tcW w:w="1613" w:type="dxa"/>
            <w:shd w:val="clear" w:color="auto" w:fill="auto"/>
            <w:vAlign w:val="bottom"/>
          </w:tcPr>
          <w:p w14:paraId="6917BBCE" w14:textId="77777777" w:rsidR="00F824BE" w:rsidRDefault="00F824BE" w:rsidP="0018431C">
            <w:pPr>
              <w:jc w:val="center"/>
              <w:rPr>
                <w:rFonts w:eastAsia="Times New Roman"/>
                <w:color w:val="000000"/>
              </w:rPr>
            </w:pPr>
            <w:r>
              <w:rPr>
                <w:rFonts w:eastAsia="Times New Roman"/>
                <w:color w:val="000000"/>
              </w:rPr>
              <w:t>-0.68 ± 1.01</w:t>
            </w:r>
          </w:p>
        </w:tc>
        <w:tc>
          <w:tcPr>
            <w:tcW w:w="1268" w:type="dxa"/>
            <w:shd w:val="clear" w:color="auto" w:fill="auto"/>
            <w:vAlign w:val="bottom"/>
          </w:tcPr>
          <w:p w14:paraId="4E8CB72F" w14:textId="77777777" w:rsidR="00F824BE" w:rsidRDefault="00F824BE" w:rsidP="0018431C">
            <w:pPr>
              <w:jc w:val="center"/>
              <w:rPr>
                <w:rFonts w:eastAsia="Times New Roman"/>
                <w:color w:val="000000"/>
              </w:rPr>
            </w:pPr>
            <w:r>
              <w:rPr>
                <w:rFonts w:eastAsia="Times New Roman"/>
                <w:color w:val="000000"/>
              </w:rPr>
              <w:t>0.6</w:t>
            </w:r>
          </w:p>
        </w:tc>
        <w:tc>
          <w:tcPr>
            <w:tcW w:w="1939" w:type="dxa"/>
            <w:shd w:val="clear" w:color="auto" w:fill="auto"/>
            <w:vAlign w:val="bottom"/>
          </w:tcPr>
          <w:p w14:paraId="075C6EC1" w14:textId="77777777" w:rsidR="00F824BE" w:rsidRDefault="00F824BE" w:rsidP="0018431C">
            <w:pPr>
              <w:jc w:val="center"/>
              <w:rPr>
                <w:rFonts w:eastAsia="Times New Roman"/>
                <w:color w:val="000000"/>
              </w:rPr>
            </w:pPr>
            <w:r>
              <w:rPr>
                <w:rFonts w:eastAsia="Times New Roman"/>
                <w:color w:val="000000"/>
              </w:rPr>
              <w:t>0.05 ± 0.49</w:t>
            </w:r>
          </w:p>
        </w:tc>
        <w:tc>
          <w:tcPr>
            <w:tcW w:w="1262" w:type="dxa"/>
            <w:shd w:val="clear" w:color="auto" w:fill="auto"/>
            <w:vAlign w:val="bottom"/>
          </w:tcPr>
          <w:p w14:paraId="00118C14" w14:textId="77777777" w:rsidR="00F824BE" w:rsidRDefault="00F824BE" w:rsidP="0018431C">
            <w:pPr>
              <w:jc w:val="center"/>
              <w:rPr>
                <w:rFonts w:eastAsia="Times New Roman"/>
                <w:color w:val="000000"/>
              </w:rPr>
            </w:pPr>
            <w:r>
              <w:rPr>
                <w:rFonts w:eastAsia="Times New Roman"/>
                <w:color w:val="000000"/>
              </w:rPr>
              <w:t>1.3</w:t>
            </w:r>
          </w:p>
        </w:tc>
        <w:tc>
          <w:tcPr>
            <w:tcW w:w="1536" w:type="dxa"/>
            <w:shd w:val="clear" w:color="auto" w:fill="auto"/>
            <w:vAlign w:val="bottom"/>
          </w:tcPr>
          <w:p w14:paraId="3C3783F4" w14:textId="77777777" w:rsidR="00F824BE" w:rsidRDefault="00F824BE" w:rsidP="0018431C">
            <w:pPr>
              <w:jc w:val="center"/>
              <w:rPr>
                <w:rFonts w:eastAsia="Times New Roman"/>
                <w:color w:val="000000"/>
              </w:rPr>
            </w:pPr>
            <w:r>
              <w:rPr>
                <w:rFonts w:eastAsia="Times New Roman"/>
                <w:color w:val="000000"/>
              </w:rPr>
              <w:t>1.07 ± 1.33</w:t>
            </w:r>
          </w:p>
        </w:tc>
        <w:tc>
          <w:tcPr>
            <w:tcW w:w="1258" w:type="dxa"/>
            <w:shd w:val="clear" w:color="auto" w:fill="auto"/>
            <w:vAlign w:val="bottom"/>
          </w:tcPr>
          <w:p w14:paraId="38CDF352" w14:textId="77777777" w:rsidR="00F824BE" w:rsidRDefault="00F824BE" w:rsidP="0018431C">
            <w:pPr>
              <w:jc w:val="center"/>
              <w:rPr>
                <w:rFonts w:eastAsia="Times New Roman"/>
                <w:color w:val="000000"/>
              </w:rPr>
            </w:pPr>
            <w:r>
              <w:rPr>
                <w:rFonts w:eastAsia="Times New Roman"/>
                <w:color w:val="000000"/>
              </w:rPr>
              <w:t>-18.0</w:t>
            </w:r>
          </w:p>
        </w:tc>
      </w:tr>
      <w:tr w:rsidR="00F824BE" w14:paraId="7B04C97B" w14:textId="77777777" w:rsidTr="00481C82">
        <w:trPr>
          <w:trHeight w:val="82"/>
        </w:trPr>
        <w:tc>
          <w:tcPr>
            <w:tcW w:w="2410" w:type="dxa"/>
            <w:shd w:val="clear" w:color="auto" w:fill="auto"/>
            <w:vAlign w:val="bottom"/>
          </w:tcPr>
          <w:p w14:paraId="207F8094" w14:textId="77777777" w:rsidR="00F824BE" w:rsidRDefault="00F824BE" w:rsidP="0018431C">
            <w:pPr>
              <w:jc w:val="center"/>
              <w:rPr>
                <w:rFonts w:eastAsia="Times New Roman"/>
                <w:color w:val="000000"/>
              </w:rPr>
            </w:pPr>
            <w:r>
              <w:rPr>
                <w:rFonts w:eastAsia="Times New Roman"/>
                <w:color w:val="000000"/>
              </w:rPr>
              <w:t>Hip and Groin</w:t>
            </w:r>
          </w:p>
        </w:tc>
        <w:tc>
          <w:tcPr>
            <w:tcW w:w="1614" w:type="dxa"/>
            <w:shd w:val="clear" w:color="auto" w:fill="auto"/>
            <w:vAlign w:val="bottom"/>
          </w:tcPr>
          <w:p w14:paraId="56746CC7" w14:textId="77777777" w:rsidR="00F824BE" w:rsidRDefault="00F824BE" w:rsidP="0018431C">
            <w:pPr>
              <w:jc w:val="center"/>
              <w:rPr>
                <w:rFonts w:eastAsia="Times New Roman"/>
                <w:color w:val="000000"/>
              </w:rPr>
            </w:pPr>
            <w:r>
              <w:rPr>
                <w:rFonts w:eastAsia="Times New Roman"/>
                <w:color w:val="000000"/>
              </w:rPr>
              <w:t>-0.48 ± 0.38</w:t>
            </w:r>
          </w:p>
        </w:tc>
        <w:tc>
          <w:tcPr>
            <w:tcW w:w="2169" w:type="dxa"/>
            <w:shd w:val="clear" w:color="auto" w:fill="auto"/>
            <w:vAlign w:val="bottom"/>
          </w:tcPr>
          <w:p w14:paraId="4B7E0547" w14:textId="77777777" w:rsidR="00F824BE" w:rsidRDefault="00F824BE" w:rsidP="0018431C">
            <w:pPr>
              <w:jc w:val="center"/>
              <w:rPr>
                <w:rFonts w:eastAsia="Times New Roman"/>
                <w:color w:val="000000"/>
              </w:rPr>
            </w:pPr>
            <w:r>
              <w:rPr>
                <w:rFonts w:eastAsia="Times New Roman"/>
                <w:color w:val="000000"/>
              </w:rPr>
              <w:t>0.2</w:t>
            </w:r>
          </w:p>
        </w:tc>
        <w:tc>
          <w:tcPr>
            <w:tcW w:w="1613" w:type="dxa"/>
            <w:shd w:val="clear" w:color="auto" w:fill="auto"/>
            <w:vAlign w:val="bottom"/>
          </w:tcPr>
          <w:p w14:paraId="3C9D5FB7" w14:textId="77777777" w:rsidR="00F824BE" w:rsidRDefault="00F824BE" w:rsidP="0018431C">
            <w:pPr>
              <w:jc w:val="center"/>
              <w:rPr>
                <w:rFonts w:eastAsia="Times New Roman"/>
                <w:color w:val="000000"/>
              </w:rPr>
            </w:pPr>
            <w:r>
              <w:rPr>
                <w:rFonts w:eastAsia="Times New Roman"/>
                <w:color w:val="000000"/>
              </w:rPr>
              <w:t>0.90 ± 0.77</w:t>
            </w:r>
          </w:p>
        </w:tc>
        <w:tc>
          <w:tcPr>
            <w:tcW w:w="1268" w:type="dxa"/>
            <w:shd w:val="clear" w:color="auto" w:fill="auto"/>
            <w:vAlign w:val="bottom"/>
          </w:tcPr>
          <w:p w14:paraId="7C6DD109" w14:textId="77777777" w:rsidR="00F824BE" w:rsidRDefault="00F824BE" w:rsidP="0018431C">
            <w:pPr>
              <w:jc w:val="center"/>
              <w:rPr>
                <w:rFonts w:eastAsia="Times New Roman"/>
                <w:color w:val="000000"/>
              </w:rPr>
            </w:pPr>
            <w:r>
              <w:rPr>
                <w:rFonts w:eastAsia="Times New Roman"/>
                <w:color w:val="000000"/>
              </w:rPr>
              <w:t>4.1</w:t>
            </w:r>
          </w:p>
        </w:tc>
        <w:tc>
          <w:tcPr>
            <w:tcW w:w="1939" w:type="dxa"/>
            <w:shd w:val="clear" w:color="auto" w:fill="auto"/>
            <w:vAlign w:val="bottom"/>
          </w:tcPr>
          <w:p w14:paraId="1BF93325" w14:textId="77777777" w:rsidR="00F824BE" w:rsidRDefault="00F824BE" w:rsidP="0018431C">
            <w:pPr>
              <w:jc w:val="center"/>
              <w:rPr>
                <w:rFonts w:eastAsia="Times New Roman"/>
                <w:color w:val="000000"/>
              </w:rPr>
            </w:pPr>
            <w:r>
              <w:rPr>
                <w:rFonts w:eastAsia="Times New Roman"/>
                <w:color w:val="000000"/>
              </w:rPr>
              <w:t>-0.33 ± 0.45</w:t>
            </w:r>
          </w:p>
        </w:tc>
        <w:tc>
          <w:tcPr>
            <w:tcW w:w="1262" w:type="dxa"/>
            <w:shd w:val="clear" w:color="auto" w:fill="auto"/>
            <w:vAlign w:val="bottom"/>
          </w:tcPr>
          <w:p w14:paraId="422BC312" w14:textId="77777777" w:rsidR="00F824BE" w:rsidRDefault="00F824BE" w:rsidP="0018431C">
            <w:pPr>
              <w:jc w:val="center"/>
              <w:rPr>
                <w:rFonts w:eastAsia="Times New Roman"/>
                <w:color w:val="000000"/>
              </w:rPr>
            </w:pPr>
            <w:r>
              <w:rPr>
                <w:rFonts w:eastAsia="Times New Roman"/>
                <w:color w:val="000000"/>
              </w:rPr>
              <w:t>0.3</w:t>
            </w:r>
          </w:p>
        </w:tc>
        <w:tc>
          <w:tcPr>
            <w:tcW w:w="1536" w:type="dxa"/>
            <w:shd w:val="clear" w:color="auto" w:fill="auto"/>
            <w:vAlign w:val="bottom"/>
          </w:tcPr>
          <w:p w14:paraId="23E75EF6" w14:textId="77777777" w:rsidR="00F824BE" w:rsidRDefault="00F824BE" w:rsidP="0018431C">
            <w:pPr>
              <w:jc w:val="center"/>
              <w:rPr>
                <w:rFonts w:eastAsia="Times New Roman"/>
                <w:color w:val="000000"/>
              </w:rPr>
            </w:pPr>
            <w:r>
              <w:rPr>
                <w:rFonts w:eastAsia="Times New Roman"/>
                <w:color w:val="000000"/>
              </w:rPr>
              <w:t>-0.29 ± 1.01</w:t>
            </w:r>
          </w:p>
        </w:tc>
        <w:tc>
          <w:tcPr>
            <w:tcW w:w="1258" w:type="dxa"/>
            <w:shd w:val="clear" w:color="auto" w:fill="auto"/>
            <w:vAlign w:val="bottom"/>
          </w:tcPr>
          <w:p w14:paraId="7E32B989" w14:textId="77777777" w:rsidR="00F824BE" w:rsidRDefault="00F824BE" w:rsidP="0018431C">
            <w:pPr>
              <w:jc w:val="center"/>
              <w:rPr>
                <w:rFonts w:eastAsia="Times New Roman"/>
                <w:color w:val="000000"/>
              </w:rPr>
            </w:pPr>
            <w:r>
              <w:rPr>
                <w:rFonts w:eastAsia="Times New Roman"/>
                <w:color w:val="000000"/>
              </w:rPr>
              <w:t>0.4</w:t>
            </w:r>
          </w:p>
        </w:tc>
      </w:tr>
      <w:tr w:rsidR="00F824BE" w14:paraId="10432629" w14:textId="77777777" w:rsidTr="00481C82">
        <w:trPr>
          <w:trHeight w:val="82"/>
        </w:trPr>
        <w:tc>
          <w:tcPr>
            <w:tcW w:w="2410" w:type="dxa"/>
            <w:shd w:val="clear" w:color="auto" w:fill="auto"/>
            <w:vAlign w:val="bottom"/>
          </w:tcPr>
          <w:p w14:paraId="01B278AF" w14:textId="77777777" w:rsidR="00F824BE" w:rsidRDefault="00F824BE" w:rsidP="0018431C">
            <w:pPr>
              <w:jc w:val="center"/>
              <w:rPr>
                <w:rFonts w:eastAsia="Times New Roman"/>
                <w:color w:val="000000"/>
              </w:rPr>
            </w:pPr>
            <w:r>
              <w:rPr>
                <w:rFonts w:eastAsia="Times New Roman"/>
                <w:color w:val="000000"/>
              </w:rPr>
              <w:t>Pelvis/Buttock</w:t>
            </w:r>
          </w:p>
        </w:tc>
        <w:tc>
          <w:tcPr>
            <w:tcW w:w="1614" w:type="dxa"/>
            <w:shd w:val="clear" w:color="auto" w:fill="auto"/>
            <w:vAlign w:val="bottom"/>
          </w:tcPr>
          <w:p w14:paraId="36CC94F0" w14:textId="77777777" w:rsidR="00F824BE" w:rsidRDefault="00F824BE" w:rsidP="0018431C">
            <w:pPr>
              <w:jc w:val="center"/>
              <w:rPr>
                <w:rFonts w:eastAsia="Times New Roman"/>
                <w:color w:val="000000"/>
              </w:rPr>
            </w:pPr>
            <w:r>
              <w:rPr>
                <w:rFonts w:eastAsia="Times New Roman"/>
                <w:color w:val="000000"/>
              </w:rPr>
              <w:t>-0.20 ± 0.29</w:t>
            </w:r>
          </w:p>
        </w:tc>
        <w:tc>
          <w:tcPr>
            <w:tcW w:w="2169" w:type="dxa"/>
            <w:shd w:val="clear" w:color="auto" w:fill="auto"/>
            <w:vAlign w:val="bottom"/>
          </w:tcPr>
          <w:p w14:paraId="617A79FA" w14:textId="77777777" w:rsidR="00F824BE" w:rsidRDefault="00F824BE" w:rsidP="0018431C">
            <w:pPr>
              <w:jc w:val="center"/>
              <w:rPr>
                <w:rFonts w:eastAsia="Times New Roman"/>
                <w:color w:val="000000"/>
              </w:rPr>
            </w:pPr>
            <w:r>
              <w:rPr>
                <w:rFonts w:eastAsia="Times New Roman"/>
                <w:color w:val="000000"/>
              </w:rPr>
              <w:t>0.1</w:t>
            </w:r>
          </w:p>
        </w:tc>
        <w:tc>
          <w:tcPr>
            <w:tcW w:w="1613" w:type="dxa"/>
            <w:shd w:val="clear" w:color="auto" w:fill="auto"/>
            <w:vAlign w:val="bottom"/>
          </w:tcPr>
          <w:p w14:paraId="32A664E8" w14:textId="77777777" w:rsidR="00F824BE" w:rsidRDefault="00F824BE" w:rsidP="0018431C">
            <w:pPr>
              <w:jc w:val="center"/>
              <w:rPr>
                <w:rFonts w:eastAsia="Times New Roman"/>
                <w:color w:val="000000"/>
              </w:rPr>
            </w:pPr>
            <w:r>
              <w:rPr>
                <w:rFonts w:eastAsia="Times New Roman"/>
                <w:color w:val="000000"/>
              </w:rPr>
              <w:t>0.04 ± 0.33</w:t>
            </w:r>
          </w:p>
        </w:tc>
        <w:tc>
          <w:tcPr>
            <w:tcW w:w="1268" w:type="dxa"/>
            <w:shd w:val="clear" w:color="auto" w:fill="auto"/>
            <w:vAlign w:val="bottom"/>
          </w:tcPr>
          <w:p w14:paraId="3479E023" w14:textId="77777777" w:rsidR="00F824BE" w:rsidRDefault="00F824BE" w:rsidP="0018431C">
            <w:pPr>
              <w:jc w:val="center"/>
              <w:rPr>
                <w:rFonts w:eastAsia="Times New Roman"/>
                <w:color w:val="000000"/>
              </w:rPr>
            </w:pPr>
            <w:r>
              <w:rPr>
                <w:rFonts w:eastAsia="Times New Roman"/>
                <w:color w:val="000000"/>
              </w:rPr>
              <w:t>1.7</w:t>
            </w:r>
          </w:p>
        </w:tc>
        <w:tc>
          <w:tcPr>
            <w:tcW w:w="1939" w:type="dxa"/>
            <w:shd w:val="clear" w:color="auto" w:fill="auto"/>
            <w:vAlign w:val="bottom"/>
          </w:tcPr>
          <w:p w14:paraId="42987FF9" w14:textId="77777777" w:rsidR="00F824BE" w:rsidRDefault="00F824BE" w:rsidP="0018431C">
            <w:pPr>
              <w:jc w:val="center"/>
              <w:rPr>
                <w:rFonts w:eastAsia="Times New Roman"/>
                <w:color w:val="000000"/>
              </w:rPr>
            </w:pPr>
            <w:r>
              <w:rPr>
                <w:rFonts w:eastAsia="Times New Roman"/>
                <w:color w:val="000000"/>
              </w:rPr>
              <w:t>-0.12 ± 0.36</w:t>
            </w:r>
          </w:p>
        </w:tc>
        <w:tc>
          <w:tcPr>
            <w:tcW w:w="1262" w:type="dxa"/>
            <w:shd w:val="clear" w:color="auto" w:fill="auto"/>
            <w:vAlign w:val="bottom"/>
          </w:tcPr>
          <w:p w14:paraId="6F724474" w14:textId="77777777" w:rsidR="00F824BE" w:rsidRDefault="00F824BE" w:rsidP="0018431C">
            <w:pPr>
              <w:jc w:val="center"/>
              <w:rPr>
                <w:rFonts w:eastAsia="Times New Roman"/>
                <w:color w:val="000000"/>
              </w:rPr>
            </w:pPr>
            <w:r>
              <w:rPr>
                <w:rFonts w:eastAsia="Times New Roman"/>
                <w:color w:val="000000"/>
              </w:rPr>
              <w:t>0.4</w:t>
            </w:r>
          </w:p>
        </w:tc>
        <w:tc>
          <w:tcPr>
            <w:tcW w:w="1536" w:type="dxa"/>
            <w:shd w:val="clear" w:color="auto" w:fill="auto"/>
            <w:vAlign w:val="bottom"/>
          </w:tcPr>
          <w:p w14:paraId="0DB8FD8C" w14:textId="77777777" w:rsidR="00F824BE" w:rsidRDefault="00F824BE" w:rsidP="0018431C">
            <w:pPr>
              <w:jc w:val="center"/>
              <w:rPr>
                <w:rFonts w:eastAsia="Times New Roman"/>
                <w:color w:val="000000"/>
              </w:rPr>
            </w:pPr>
            <w:r>
              <w:rPr>
                <w:rFonts w:eastAsia="Times New Roman"/>
                <w:color w:val="000000"/>
              </w:rPr>
              <w:t>-0.01 ± 0.80</w:t>
            </w:r>
          </w:p>
        </w:tc>
        <w:tc>
          <w:tcPr>
            <w:tcW w:w="1258" w:type="dxa"/>
            <w:shd w:val="clear" w:color="auto" w:fill="auto"/>
            <w:vAlign w:val="bottom"/>
          </w:tcPr>
          <w:p w14:paraId="0CE38A73" w14:textId="77777777" w:rsidR="00F824BE" w:rsidRDefault="00F824BE" w:rsidP="0018431C">
            <w:pPr>
              <w:jc w:val="center"/>
              <w:rPr>
                <w:rFonts w:eastAsia="Times New Roman"/>
                <w:color w:val="000000"/>
              </w:rPr>
            </w:pPr>
            <w:r>
              <w:rPr>
                <w:rFonts w:eastAsia="Times New Roman"/>
                <w:color w:val="000000"/>
              </w:rPr>
              <w:t>1.0</w:t>
            </w:r>
          </w:p>
        </w:tc>
      </w:tr>
      <w:tr w:rsidR="00F824BE" w14:paraId="286A811B" w14:textId="77777777" w:rsidTr="00481C82">
        <w:trPr>
          <w:trHeight w:val="82"/>
        </w:trPr>
        <w:tc>
          <w:tcPr>
            <w:tcW w:w="2410" w:type="dxa"/>
            <w:shd w:val="clear" w:color="auto" w:fill="auto"/>
            <w:vAlign w:val="bottom"/>
          </w:tcPr>
          <w:p w14:paraId="7B1BB833" w14:textId="77777777" w:rsidR="00F824BE" w:rsidRDefault="00F824BE" w:rsidP="0018431C">
            <w:pPr>
              <w:jc w:val="center"/>
              <w:rPr>
                <w:rFonts w:eastAsia="Times New Roman"/>
                <w:color w:val="000000"/>
              </w:rPr>
            </w:pPr>
            <w:r>
              <w:rPr>
                <w:rFonts w:eastAsia="Times New Roman"/>
                <w:color w:val="000000"/>
              </w:rPr>
              <w:t>Thigh</w:t>
            </w:r>
          </w:p>
        </w:tc>
        <w:tc>
          <w:tcPr>
            <w:tcW w:w="1614" w:type="dxa"/>
            <w:shd w:val="clear" w:color="auto" w:fill="auto"/>
            <w:vAlign w:val="bottom"/>
          </w:tcPr>
          <w:p w14:paraId="71767D67" w14:textId="77777777" w:rsidR="00F824BE" w:rsidRDefault="00F824BE" w:rsidP="0018431C">
            <w:pPr>
              <w:jc w:val="center"/>
              <w:rPr>
                <w:rFonts w:eastAsia="Times New Roman"/>
                <w:color w:val="000000"/>
              </w:rPr>
            </w:pPr>
            <w:r>
              <w:rPr>
                <w:rFonts w:eastAsia="Times New Roman"/>
                <w:color w:val="000000"/>
              </w:rPr>
              <w:t>0.17 ± 0.51</w:t>
            </w:r>
          </w:p>
        </w:tc>
        <w:tc>
          <w:tcPr>
            <w:tcW w:w="2169" w:type="dxa"/>
            <w:shd w:val="clear" w:color="auto" w:fill="auto"/>
            <w:vAlign w:val="bottom"/>
          </w:tcPr>
          <w:p w14:paraId="69B5C270" w14:textId="77777777" w:rsidR="00F824BE" w:rsidRDefault="00F824BE" w:rsidP="0018431C">
            <w:pPr>
              <w:jc w:val="center"/>
              <w:rPr>
                <w:rFonts w:eastAsia="Times New Roman"/>
                <w:color w:val="000000"/>
              </w:rPr>
            </w:pPr>
            <w:r>
              <w:rPr>
                <w:rFonts w:eastAsia="Times New Roman"/>
                <w:color w:val="000000"/>
              </w:rPr>
              <w:t>1.9</w:t>
            </w:r>
          </w:p>
        </w:tc>
        <w:tc>
          <w:tcPr>
            <w:tcW w:w="1613" w:type="dxa"/>
            <w:shd w:val="clear" w:color="auto" w:fill="auto"/>
            <w:vAlign w:val="bottom"/>
          </w:tcPr>
          <w:p w14:paraId="7CF143C9" w14:textId="77777777" w:rsidR="00F824BE" w:rsidRDefault="00F824BE" w:rsidP="0018431C">
            <w:pPr>
              <w:jc w:val="center"/>
              <w:rPr>
                <w:rFonts w:eastAsia="Times New Roman"/>
                <w:color w:val="000000"/>
              </w:rPr>
            </w:pPr>
            <w:r>
              <w:rPr>
                <w:rFonts w:eastAsia="Times New Roman"/>
                <w:color w:val="000000"/>
              </w:rPr>
              <w:t>-0.41 ± 0.78</w:t>
            </w:r>
          </w:p>
        </w:tc>
        <w:tc>
          <w:tcPr>
            <w:tcW w:w="1268" w:type="dxa"/>
            <w:shd w:val="clear" w:color="auto" w:fill="auto"/>
            <w:vAlign w:val="bottom"/>
          </w:tcPr>
          <w:p w14:paraId="4EC274F3" w14:textId="77777777" w:rsidR="00F824BE" w:rsidRDefault="00F824BE" w:rsidP="0018431C">
            <w:pPr>
              <w:jc w:val="center"/>
              <w:rPr>
                <w:rFonts w:eastAsia="Times New Roman"/>
                <w:color w:val="000000"/>
              </w:rPr>
            </w:pPr>
            <w:r>
              <w:rPr>
                <w:rFonts w:eastAsia="Times New Roman"/>
                <w:color w:val="000000"/>
              </w:rPr>
              <w:t>0.3</w:t>
            </w:r>
          </w:p>
        </w:tc>
        <w:tc>
          <w:tcPr>
            <w:tcW w:w="1939" w:type="dxa"/>
            <w:shd w:val="clear" w:color="auto" w:fill="auto"/>
            <w:vAlign w:val="bottom"/>
          </w:tcPr>
          <w:p w14:paraId="150D5CBB" w14:textId="77777777" w:rsidR="00F824BE" w:rsidRDefault="00F824BE" w:rsidP="0018431C">
            <w:pPr>
              <w:jc w:val="center"/>
              <w:rPr>
                <w:rFonts w:eastAsia="Times New Roman"/>
                <w:color w:val="000000"/>
              </w:rPr>
            </w:pPr>
            <w:r>
              <w:rPr>
                <w:rFonts w:eastAsia="Times New Roman"/>
                <w:color w:val="000000"/>
              </w:rPr>
              <w:t>-0.09 ± 0.57</w:t>
            </w:r>
          </w:p>
        </w:tc>
        <w:tc>
          <w:tcPr>
            <w:tcW w:w="1262" w:type="dxa"/>
            <w:shd w:val="clear" w:color="auto" w:fill="auto"/>
            <w:vAlign w:val="bottom"/>
          </w:tcPr>
          <w:p w14:paraId="3CAB2C3A" w14:textId="77777777" w:rsidR="00F824BE" w:rsidRDefault="00F824BE" w:rsidP="0018431C">
            <w:pPr>
              <w:jc w:val="center"/>
              <w:rPr>
                <w:rFonts w:eastAsia="Times New Roman"/>
                <w:color w:val="000000"/>
              </w:rPr>
            </w:pPr>
            <w:r>
              <w:rPr>
                <w:rFonts w:eastAsia="Times New Roman"/>
                <w:color w:val="000000"/>
              </w:rPr>
              <w:t>0.1</w:t>
            </w:r>
          </w:p>
        </w:tc>
        <w:tc>
          <w:tcPr>
            <w:tcW w:w="1536" w:type="dxa"/>
            <w:shd w:val="clear" w:color="auto" w:fill="auto"/>
            <w:vAlign w:val="bottom"/>
          </w:tcPr>
          <w:p w14:paraId="0DCC930D" w14:textId="77777777" w:rsidR="00F824BE" w:rsidRDefault="00F824BE" w:rsidP="0018431C">
            <w:pPr>
              <w:jc w:val="center"/>
              <w:rPr>
                <w:rFonts w:eastAsia="Times New Roman"/>
                <w:color w:val="000000"/>
              </w:rPr>
            </w:pPr>
            <w:r>
              <w:rPr>
                <w:rFonts w:eastAsia="Times New Roman"/>
                <w:color w:val="000000"/>
              </w:rPr>
              <w:t>-0.12 ± 0.93</w:t>
            </w:r>
          </w:p>
        </w:tc>
        <w:tc>
          <w:tcPr>
            <w:tcW w:w="1258" w:type="dxa"/>
            <w:shd w:val="clear" w:color="auto" w:fill="auto"/>
            <w:vAlign w:val="bottom"/>
          </w:tcPr>
          <w:p w14:paraId="7C32155D" w14:textId="77777777" w:rsidR="00F824BE" w:rsidRDefault="00F824BE" w:rsidP="0018431C">
            <w:pPr>
              <w:jc w:val="center"/>
              <w:rPr>
                <w:rFonts w:eastAsia="Times New Roman"/>
                <w:color w:val="000000"/>
              </w:rPr>
            </w:pPr>
            <w:r>
              <w:rPr>
                <w:rFonts w:eastAsia="Times New Roman"/>
                <w:color w:val="000000"/>
              </w:rPr>
              <w:t>0.7</w:t>
            </w:r>
          </w:p>
        </w:tc>
      </w:tr>
      <w:tr w:rsidR="00F824BE" w14:paraId="24CD6AAC" w14:textId="77777777" w:rsidTr="00481C82">
        <w:trPr>
          <w:trHeight w:val="82"/>
        </w:trPr>
        <w:tc>
          <w:tcPr>
            <w:tcW w:w="2410" w:type="dxa"/>
            <w:shd w:val="clear" w:color="auto" w:fill="auto"/>
            <w:vAlign w:val="bottom"/>
          </w:tcPr>
          <w:p w14:paraId="18E7A714" w14:textId="77777777" w:rsidR="00F824BE" w:rsidRDefault="00F824BE" w:rsidP="0018431C">
            <w:pPr>
              <w:jc w:val="center"/>
              <w:rPr>
                <w:rFonts w:eastAsia="Times New Roman"/>
                <w:color w:val="000000"/>
              </w:rPr>
            </w:pPr>
            <w:r>
              <w:rPr>
                <w:rFonts w:eastAsia="Times New Roman"/>
                <w:color w:val="000000"/>
              </w:rPr>
              <w:t>Knee</w:t>
            </w:r>
          </w:p>
        </w:tc>
        <w:tc>
          <w:tcPr>
            <w:tcW w:w="1614" w:type="dxa"/>
            <w:shd w:val="clear" w:color="auto" w:fill="auto"/>
            <w:vAlign w:val="bottom"/>
          </w:tcPr>
          <w:p w14:paraId="0A015B92" w14:textId="77777777" w:rsidR="00F824BE" w:rsidRDefault="00F824BE" w:rsidP="0018431C">
            <w:pPr>
              <w:jc w:val="center"/>
              <w:rPr>
                <w:rFonts w:eastAsia="Times New Roman"/>
                <w:color w:val="000000"/>
              </w:rPr>
            </w:pPr>
            <w:r>
              <w:rPr>
                <w:rFonts w:eastAsia="Times New Roman"/>
                <w:color w:val="000000"/>
              </w:rPr>
              <w:t>-0.46 ± 0.67</w:t>
            </w:r>
          </w:p>
        </w:tc>
        <w:tc>
          <w:tcPr>
            <w:tcW w:w="2169" w:type="dxa"/>
            <w:shd w:val="clear" w:color="auto" w:fill="auto"/>
            <w:vAlign w:val="bottom"/>
          </w:tcPr>
          <w:p w14:paraId="7122B771" w14:textId="77777777" w:rsidR="00F824BE" w:rsidRDefault="00F824BE" w:rsidP="0018431C">
            <w:pPr>
              <w:jc w:val="center"/>
              <w:rPr>
                <w:rFonts w:eastAsia="Times New Roman"/>
                <w:color w:val="000000"/>
              </w:rPr>
            </w:pPr>
            <w:r>
              <w:rPr>
                <w:rFonts w:eastAsia="Times New Roman"/>
                <w:color w:val="000000"/>
              </w:rPr>
              <w:t>0.5</w:t>
            </w:r>
          </w:p>
        </w:tc>
        <w:tc>
          <w:tcPr>
            <w:tcW w:w="1613" w:type="dxa"/>
            <w:shd w:val="clear" w:color="auto" w:fill="auto"/>
            <w:vAlign w:val="bottom"/>
          </w:tcPr>
          <w:p w14:paraId="5BE46E39" w14:textId="77777777" w:rsidR="00F824BE" w:rsidRDefault="00F824BE" w:rsidP="0018431C">
            <w:pPr>
              <w:jc w:val="center"/>
              <w:rPr>
                <w:rFonts w:eastAsia="Times New Roman"/>
                <w:color w:val="000000"/>
              </w:rPr>
            </w:pPr>
            <w:r>
              <w:rPr>
                <w:rFonts w:eastAsia="Times New Roman"/>
                <w:color w:val="000000"/>
              </w:rPr>
              <w:t>-0.11 ± 0.65</w:t>
            </w:r>
          </w:p>
        </w:tc>
        <w:tc>
          <w:tcPr>
            <w:tcW w:w="1268" w:type="dxa"/>
            <w:shd w:val="clear" w:color="auto" w:fill="auto"/>
            <w:vAlign w:val="bottom"/>
          </w:tcPr>
          <w:p w14:paraId="65656A6E" w14:textId="77777777" w:rsidR="00F824BE" w:rsidRDefault="00F824BE" w:rsidP="0018431C">
            <w:pPr>
              <w:jc w:val="center"/>
              <w:rPr>
                <w:rFonts w:eastAsia="Times New Roman"/>
                <w:color w:val="000000"/>
              </w:rPr>
            </w:pPr>
            <w:r>
              <w:rPr>
                <w:rFonts w:eastAsia="Times New Roman"/>
                <w:color w:val="000000"/>
              </w:rPr>
              <w:t>0.7</w:t>
            </w:r>
          </w:p>
        </w:tc>
        <w:tc>
          <w:tcPr>
            <w:tcW w:w="1939" w:type="dxa"/>
            <w:shd w:val="clear" w:color="auto" w:fill="auto"/>
            <w:vAlign w:val="bottom"/>
          </w:tcPr>
          <w:p w14:paraId="7EB0E31C" w14:textId="77777777" w:rsidR="00F824BE" w:rsidRDefault="00F824BE" w:rsidP="0018431C">
            <w:pPr>
              <w:jc w:val="center"/>
              <w:rPr>
                <w:rFonts w:eastAsia="Times New Roman"/>
                <w:color w:val="000000"/>
              </w:rPr>
            </w:pPr>
            <w:r>
              <w:rPr>
                <w:rFonts w:eastAsia="Times New Roman"/>
                <w:color w:val="000000"/>
              </w:rPr>
              <w:t>0.22 ± 0.65</w:t>
            </w:r>
          </w:p>
        </w:tc>
        <w:tc>
          <w:tcPr>
            <w:tcW w:w="1262" w:type="dxa"/>
            <w:shd w:val="clear" w:color="auto" w:fill="auto"/>
            <w:vAlign w:val="bottom"/>
          </w:tcPr>
          <w:p w14:paraId="6305B19D" w14:textId="77777777" w:rsidR="00F824BE" w:rsidRDefault="00F824BE" w:rsidP="0018431C">
            <w:pPr>
              <w:jc w:val="center"/>
              <w:rPr>
                <w:rFonts w:eastAsia="Times New Roman"/>
                <w:color w:val="000000"/>
              </w:rPr>
            </w:pPr>
            <w:r>
              <w:rPr>
                <w:rFonts w:eastAsia="Times New Roman"/>
                <w:color w:val="000000"/>
              </w:rPr>
              <w:t>1.5</w:t>
            </w:r>
          </w:p>
        </w:tc>
        <w:tc>
          <w:tcPr>
            <w:tcW w:w="1536" w:type="dxa"/>
            <w:shd w:val="clear" w:color="auto" w:fill="auto"/>
            <w:vAlign w:val="bottom"/>
          </w:tcPr>
          <w:p w14:paraId="6C7BCB65" w14:textId="77777777" w:rsidR="00F824BE" w:rsidRDefault="00F824BE" w:rsidP="0018431C">
            <w:pPr>
              <w:jc w:val="center"/>
              <w:rPr>
                <w:rFonts w:eastAsia="Times New Roman"/>
                <w:color w:val="000000"/>
              </w:rPr>
            </w:pPr>
            <w:r>
              <w:rPr>
                <w:rFonts w:eastAsia="Times New Roman"/>
                <w:color w:val="000000"/>
              </w:rPr>
              <w:t>-0.29 ± 1.05</w:t>
            </w:r>
          </w:p>
        </w:tc>
        <w:tc>
          <w:tcPr>
            <w:tcW w:w="1258" w:type="dxa"/>
            <w:shd w:val="clear" w:color="auto" w:fill="auto"/>
            <w:vAlign w:val="bottom"/>
          </w:tcPr>
          <w:p w14:paraId="6436C917" w14:textId="77777777" w:rsidR="00F824BE" w:rsidRDefault="00F824BE" w:rsidP="0018431C">
            <w:pPr>
              <w:jc w:val="center"/>
              <w:rPr>
                <w:rFonts w:eastAsia="Times New Roman"/>
                <w:color w:val="000000"/>
              </w:rPr>
            </w:pPr>
            <w:r>
              <w:rPr>
                <w:rFonts w:eastAsia="Times New Roman"/>
                <w:color w:val="000000"/>
              </w:rPr>
              <w:t>0.6</w:t>
            </w:r>
          </w:p>
        </w:tc>
      </w:tr>
      <w:tr w:rsidR="00F824BE" w14:paraId="27DDF15B" w14:textId="77777777" w:rsidTr="00481C82">
        <w:trPr>
          <w:trHeight w:val="82"/>
        </w:trPr>
        <w:tc>
          <w:tcPr>
            <w:tcW w:w="2410" w:type="dxa"/>
            <w:shd w:val="clear" w:color="auto" w:fill="auto"/>
            <w:vAlign w:val="bottom"/>
          </w:tcPr>
          <w:p w14:paraId="778210DD" w14:textId="77777777" w:rsidR="00F824BE" w:rsidRDefault="00F824BE" w:rsidP="0018431C">
            <w:pPr>
              <w:jc w:val="center"/>
              <w:rPr>
                <w:rFonts w:eastAsia="Times New Roman"/>
                <w:color w:val="000000"/>
              </w:rPr>
            </w:pPr>
            <w:r>
              <w:rPr>
                <w:rFonts w:eastAsia="Times New Roman"/>
                <w:color w:val="000000"/>
              </w:rPr>
              <w:t>Lower Leg</w:t>
            </w:r>
          </w:p>
        </w:tc>
        <w:tc>
          <w:tcPr>
            <w:tcW w:w="1614" w:type="dxa"/>
            <w:shd w:val="clear" w:color="auto" w:fill="auto"/>
            <w:vAlign w:val="bottom"/>
          </w:tcPr>
          <w:p w14:paraId="53CDD9F5" w14:textId="77777777" w:rsidR="00F824BE" w:rsidRDefault="00F824BE" w:rsidP="0018431C">
            <w:pPr>
              <w:jc w:val="center"/>
              <w:rPr>
                <w:rFonts w:eastAsia="Times New Roman"/>
                <w:color w:val="000000"/>
              </w:rPr>
            </w:pPr>
            <w:r>
              <w:rPr>
                <w:rFonts w:eastAsia="Times New Roman"/>
                <w:color w:val="000000"/>
              </w:rPr>
              <w:t>-0.20 ± 0.24</w:t>
            </w:r>
          </w:p>
        </w:tc>
        <w:tc>
          <w:tcPr>
            <w:tcW w:w="2169" w:type="dxa"/>
            <w:shd w:val="clear" w:color="auto" w:fill="auto"/>
            <w:vAlign w:val="bottom"/>
          </w:tcPr>
          <w:p w14:paraId="1B2F6698" w14:textId="77777777" w:rsidR="00F824BE" w:rsidRDefault="00F824BE" w:rsidP="0018431C">
            <w:pPr>
              <w:jc w:val="center"/>
              <w:rPr>
                <w:rFonts w:eastAsia="Times New Roman"/>
                <w:color w:val="000000"/>
              </w:rPr>
            </w:pPr>
            <w:r>
              <w:rPr>
                <w:rFonts w:eastAsia="Times New Roman"/>
                <w:color w:val="000000"/>
              </w:rPr>
              <w:t>0.1</w:t>
            </w:r>
          </w:p>
        </w:tc>
        <w:tc>
          <w:tcPr>
            <w:tcW w:w="1613" w:type="dxa"/>
            <w:shd w:val="clear" w:color="auto" w:fill="auto"/>
            <w:vAlign w:val="bottom"/>
          </w:tcPr>
          <w:p w14:paraId="047F9FDA" w14:textId="77777777" w:rsidR="00F824BE" w:rsidRDefault="00F824BE" w:rsidP="0018431C">
            <w:pPr>
              <w:jc w:val="center"/>
              <w:rPr>
                <w:rFonts w:eastAsia="Times New Roman"/>
                <w:color w:val="000000"/>
              </w:rPr>
            </w:pPr>
            <w:r>
              <w:rPr>
                <w:rFonts w:eastAsia="Times New Roman"/>
                <w:color w:val="000000"/>
              </w:rPr>
              <w:t>-0.02 ± 0.29</w:t>
            </w:r>
          </w:p>
        </w:tc>
        <w:tc>
          <w:tcPr>
            <w:tcW w:w="1268" w:type="dxa"/>
            <w:shd w:val="clear" w:color="auto" w:fill="auto"/>
            <w:vAlign w:val="bottom"/>
          </w:tcPr>
          <w:p w14:paraId="2F241E60" w14:textId="77777777" w:rsidR="00F824BE" w:rsidRDefault="00F824BE" w:rsidP="0018431C">
            <w:pPr>
              <w:jc w:val="center"/>
              <w:rPr>
                <w:rFonts w:eastAsia="Times New Roman"/>
                <w:color w:val="000000"/>
              </w:rPr>
            </w:pPr>
            <w:r>
              <w:rPr>
                <w:rFonts w:eastAsia="Times New Roman"/>
                <w:color w:val="000000"/>
              </w:rPr>
              <w:t>0.8</w:t>
            </w:r>
          </w:p>
        </w:tc>
        <w:tc>
          <w:tcPr>
            <w:tcW w:w="1939" w:type="dxa"/>
            <w:shd w:val="clear" w:color="auto" w:fill="auto"/>
            <w:vAlign w:val="bottom"/>
          </w:tcPr>
          <w:p w14:paraId="17AE1AD9" w14:textId="77777777" w:rsidR="00F824BE" w:rsidRDefault="00F824BE" w:rsidP="0018431C">
            <w:pPr>
              <w:jc w:val="center"/>
              <w:rPr>
                <w:rFonts w:eastAsia="Times New Roman"/>
                <w:color w:val="000000"/>
              </w:rPr>
            </w:pPr>
            <w:r>
              <w:rPr>
                <w:rFonts w:eastAsia="Times New Roman"/>
                <w:color w:val="000000"/>
              </w:rPr>
              <w:t>0.13 ± 0.43</w:t>
            </w:r>
          </w:p>
        </w:tc>
        <w:tc>
          <w:tcPr>
            <w:tcW w:w="1262" w:type="dxa"/>
            <w:shd w:val="clear" w:color="auto" w:fill="auto"/>
            <w:vAlign w:val="bottom"/>
          </w:tcPr>
          <w:p w14:paraId="0D48C5BC" w14:textId="77777777" w:rsidR="00F824BE" w:rsidRDefault="00F824BE" w:rsidP="0018431C">
            <w:pPr>
              <w:jc w:val="center"/>
              <w:rPr>
                <w:rFonts w:eastAsia="Times New Roman"/>
                <w:color w:val="000000"/>
              </w:rPr>
            </w:pPr>
            <w:r>
              <w:rPr>
                <w:rFonts w:eastAsia="Times New Roman"/>
                <w:color w:val="000000"/>
              </w:rPr>
              <w:t>2.6</w:t>
            </w:r>
          </w:p>
        </w:tc>
        <w:tc>
          <w:tcPr>
            <w:tcW w:w="1536" w:type="dxa"/>
            <w:shd w:val="clear" w:color="auto" w:fill="auto"/>
            <w:vAlign w:val="bottom"/>
          </w:tcPr>
          <w:p w14:paraId="3BD67B0A" w14:textId="77777777" w:rsidR="00F824BE" w:rsidRDefault="00F824BE" w:rsidP="0018431C">
            <w:pPr>
              <w:jc w:val="center"/>
              <w:rPr>
                <w:rFonts w:eastAsia="Times New Roman"/>
                <w:color w:val="000000"/>
              </w:rPr>
            </w:pPr>
            <w:r>
              <w:rPr>
                <w:rFonts w:eastAsia="Times New Roman"/>
                <w:color w:val="000000"/>
              </w:rPr>
              <w:t>0.70 ± 0.75</w:t>
            </w:r>
          </w:p>
        </w:tc>
        <w:tc>
          <w:tcPr>
            <w:tcW w:w="1258" w:type="dxa"/>
            <w:shd w:val="clear" w:color="auto" w:fill="auto"/>
            <w:vAlign w:val="bottom"/>
          </w:tcPr>
          <w:p w14:paraId="2E3AFBE3" w14:textId="77777777" w:rsidR="00F824BE" w:rsidRDefault="00F824BE" w:rsidP="0018431C">
            <w:pPr>
              <w:jc w:val="center"/>
              <w:rPr>
                <w:rFonts w:eastAsia="Times New Roman"/>
                <w:color w:val="000000"/>
              </w:rPr>
            </w:pPr>
            <w:r>
              <w:rPr>
                <w:rFonts w:eastAsia="Times New Roman"/>
                <w:color w:val="000000"/>
              </w:rPr>
              <w:t>37.0</w:t>
            </w:r>
          </w:p>
        </w:tc>
      </w:tr>
      <w:tr w:rsidR="00F824BE" w14:paraId="0E7AD1C8" w14:textId="77777777" w:rsidTr="00481C82">
        <w:trPr>
          <w:trHeight w:val="82"/>
        </w:trPr>
        <w:tc>
          <w:tcPr>
            <w:tcW w:w="2410" w:type="dxa"/>
            <w:shd w:val="clear" w:color="auto" w:fill="auto"/>
            <w:vAlign w:val="bottom"/>
          </w:tcPr>
          <w:p w14:paraId="08810B40" w14:textId="77777777" w:rsidR="00F824BE" w:rsidRDefault="00F824BE" w:rsidP="0018431C">
            <w:pPr>
              <w:jc w:val="center"/>
              <w:rPr>
                <w:rFonts w:eastAsia="Times New Roman"/>
                <w:color w:val="000000"/>
              </w:rPr>
            </w:pPr>
            <w:r>
              <w:rPr>
                <w:rFonts w:eastAsia="Times New Roman"/>
                <w:color w:val="000000"/>
              </w:rPr>
              <w:t>Ankle</w:t>
            </w:r>
          </w:p>
        </w:tc>
        <w:tc>
          <w:tcPr>
            <w:tcW w:w="1614" w:type="dxa"/>
            <w:shd w:val="clear" w:color="auto" w:fill="auto"/>
            <w:vAlign w:val="bottom"/>
          </w:tcPr>
          <w:p w14:paraId="59994BE6" w14:textId="77777777" w:rsidR="00F824BE" w:rsidRDefault="00F824BE" w:rsidP="0018431C">
            <w:pPr>
              <w:jc w:val="center"/>
              <w:rPr>
                <w:rFonts w:eastAsia="Times New Roman"/>
                <w:color w:val="000000"/>
              </w:rPr>
            </w:pPr>
            <w:r>
              <w:rPr>
                <w:rFonts w:eastAsia="Times New Roman"/>
                <w:color w:val="000000"/>
              </w:rPr>
              <w:t>0.25 ± 0.51</w:t>
            </w:r>
          </w:p>
        </w:tc>
        <w:tc>
          <w:tcPr>
            <w:tcW w:w="2169" w:type="dxa"/>
            <w:shd w:val="clear" w:color="auto" w:fill="auto"/>
            <w:vAlign w:val="bottom"/>
          </w:tcPr>
          <w:p w14:paraId="6901927D" w14:textId="77777777" w:rsidR="00F824BE" w:rsidRDefault="00F824BE" w:rsidP="0018431C">
            <w:pPr>
              <w:jc w:val="center"/>
              <w:rPr>
                <w:rFonts w:eastAsia="Times New Roman"/>
                <w:color w:val="000000"/>
              </w:rPr>
            </w:pPr>
            <w:r>
              <w:rPr>
                <w:rFonts w:eastAsia="Times New Roman"/>
                <w:color w:val="000000"/>
              </w:rPr>
              <w:t>2.0</w:t>
            </w:r>
          </w:p>
        </w:tc>
        <w:tc>
          <w:tcPr>
            <w:tcW w:w="1613" w:type="dxa"/>
            <w:shd w:val="clear" w:color="auto" w:fill="auto"/>
            <w:vAlign w:val="bottom"/>
          </w:tcPr>
          <w:p w14:paraId="7C5DC0BD" w14:textId="77777777" w:rsidR="00F824BE" w:rsidRDefault="00F824BE" w:rsidP="0018431C">
            <w:pPr>
              <w:jc w:val="center"/>
              <w:rPr>
                <w:rFonts w:eastAsia="Times New Roman"/>
                <w:color w:val="000000"/>
              </w:rPr>
            </w:pPr>
            <w:r>
              <w:rPr>
                <w:rFonts w:eastAsia="Times New Roman"/>
                <w:color w:val="000000"/>
              </w:rPr>
              <w:t>-0.09 ± 0.59</w:t>
            </w:r>
          </w:p>
        </w:tc>
        <w:tc>
          <w:tcPr>
            <w:tcW w:w="1268" w:type="dxa"/>
            <w:shd w:val="clear" w:color="auto" w:fill="auto"/>
            <w:vAlign w:val="bottom"/>
          </w:tcPr>
          <w:p w14:paraId="33B8121D" w14:textId="77777777" w:rsidR="00F824BE" w:rsidRDefault="00F824BE" w:rsidP="0018431C">
            <w:pPr>
              <w:jc w:val="center"/>
              <w:rPr>
                <w:rFonts w:eastAsia="Times New Roman"/>
                <w:color w:val="000000"/>
              </w:rPr>
            </w:pPr>
            <w:r>
              <w:rPr>
                <w:rFonts w:eastAsia="Times New Roman"/>
                <w:color w:val="000000"/>
              </w:rPr>
              <w:t>0.8</w:t>
            </w:r>
          </w:p>
        </w:tc>
        <w:tc>
          <w:tcPr>
            <w:tcW w:w="1939" w:type="dxa"/>
            <w:shd w:val="clear" w:color="auto" w:fill="auto"/>
            <w:vAlign w:val="bottom"/>
          </w:tcPr>
          <w:p w14:paraId="379BBB53" w14:textId="77777777" w:rsidR="00F824BE" w:rsidRDefault="00F824BE" w:rsidP="0018431C">
            <w:pPr>
              <w:jc w:val="center"/>
              <w:rPr>
                <w:rFonts w:eastAsia="Times New Roman"/>
                <w:color w:val="000000"/>
              </w:rPr>
            </w:pPr>
            <w:r>
              <w:rPr>
                <w:rFonts w:eastAsia="Times New Roman"/>
                <w:color w:val="000000"/>
              </w:rPr>
              <w:t>0.23 ± 0.55</w:t>
            </w:r>
          </w:p>
        </w:tc>
        <w:tc>
          <w:tcPr>
            <w:tcW w:w="1262" w:type="dxa"/>
            <w:shd w:val="clear" w:color="auto" w:fill="auto"/>
            <w:vAlign w:val="bottom"/>
          </w:tcPr>
          <w:p w14:paraId="6C6E425B" w14:textId="77777777" w:rsidR="00F824BE" w:rsidRDefault="00F824BE" w:rsidP="0018431C">
            <w:pPr>
              <w:jc w:val="center"/>
              <w:rPr>
                <w:rFonts w:eastAsia="Times New Roman"/>
                <w:color w:val="000000"/>
              </w:rPr>
            </w:pPr>
            <w:r>
              <w:rPr>
                <w:rFonts w:eastAsia="Times New Roman"/>
                <w:color w:val="000000"/>
              </w:rPr>
              <w:t>1.6</w:t>
            </w:r>
          </w:p>
        </w:tc>
        <w:tc>
          <w:tcPr>
            <w:tcW w:w="1536" w:type="dxa"/>
            <w:shd w:val="clear" w:color="auto" w:fill="auto"/>
            <w:vAlign w:val="bottom"/>
          </w:tcPr>
          <w:p w14:paraId="5CF489C7" w14:textId="77777777" w:rsidR="00F824BE" w:rsidRDefault="00F824BE" w:rsidP="0018431C">
            <w:pPr>
              <w:jc w:val="center"/>
              <w:rPr>
                <w:rFonts w:eastAsia="Times New Roman"/>
                <w:color w:val="000000"/>
              </w:rPr>
            </w:pPr>
            <w:r>
              <w:rPr>
                <w:rFonts w:eastAsia="Times New Roman"/>
                <w:color w:val="000000"/>
              </w:rPr>
              <w:t>1.11 ± 1.46</w:t>
            </w:r>
          </w:p>
        </w:tc>
        <w:tc>
          <w:tcPr>
            <w:tcW w:w="1258" w:type="dxa"/>
            <w:shd w:val="clear" w:color="auto" w:fill="auto"/>
            <w:vAlign w:val="bottom"/>
          </w:tcPr>
          <w:p w14:paraId="2C5686B6" w14:textId="77777777" w:rsidR="00F824BE" w:rsidRDefault="00F824BE" w:rsidP="0018431C">
            <w:pPr>
              <w:jc w:val="center"/>
              <w:rPr>
                <w:rFonts w:eastAsia="Times New Roman"/>
                <w:color w:val="000000"/>
              </w:rPr>
            </w:pPr>
            <w:r>
              <w:rPr>
                <w:rFonts w:eastAsia="Times New Roman"/>
                <w:color w:val="000000"/>
              </w:rPr>
              <w:t>2.4</w:t>
            </w:r>
          </w:p>
        </w:tc>
      </w:tr>
      <w:tr w:rsidR="00F824BE" w14:paraId="2B009474" w14:textId="77777777" w:rsidTr="00481C82">
        <w:trPr>
          <w:trHeight w:val="72"/>
        </w:trPr>
        <w:tc>
          <w:tcPr>
            <w:tcW w:w="2410" w:type="dxa"/>
            <w:tcBorders>
              <w:bottom w:val="single" w:sz="4" w:space="0" w:color="00000A"/>
            </w:tcBorders>
            <w:shd w:val="clear" w:color="auto" w:fill="auto"/>
            <w:vAlign w:val="bottom"/>
          </w:tcPr>
          <w:p w14:paraId="18CE9B15" w14:textId="77777777" w:rsidR="00F824BE" w:rsidRDefault="00F824BE" w:rsidP="0018431C">
            <w:pPr>
              <w:jc w:val="center"/>
              <w:rPr>
                <w:rFonts w:eastAsia="Times New Roman"/>
                <w:color w:val="000000"/>
              </w:rPr>
            </w:pPr>
            <w:r>
              <w:rPr>
                <w:rFonts w:eastAsia="Times New Roman"/>
                <w:color w:val="000000"/>
              </w:rPr>
              <w:t>Foot</w:t>
            </w:r>
          </w:p>
        </w:tc>
        <w:tc>
          <w:tcPr>
            <w:tcW w:w="1614" w:type="dxa"/>
            <w:tcBorders>
              <w:bottom w:val="single" w:sz="4" w:space="0" w:color="00000A"/>
            </w:tcBorders>
            <w:shd w:val="clear" w:color="auto" w:fill="auto"/>
            <w:vAlign w:val="bottom"/>
          </w:tcPr>
          <w:p w14:paraId="49203BA9" w14:textId="77777777" w:rsidR="00F824BE" w:rsidRDefault="00F824BE" w:rsidP="0018431C">
            <w:pPr>
              <w:jc w:val="center"/>
              <w:rPr>
                <w:rFonts w:eastAsia="Times New Roman"/>
                <w:color w:val="000000"/>
              </w:rPr>
            </w:pPr>
            <w:r>
              <w:rPr>
                <w:rFonts w:eastAsia="Times New Roman"/>
                <w:color w:val="000000"/>
              </w:rPr>
              <w:t>-0.12 ± 0.23</w:t>
            </w:r>
          </w:p>
        </w:tc>
        <w:tc>
          <w:tcPr>
            <w:tcW w:w="2169" w:type="dxa"/>
            <w:tcBorders>
              <w:bottom w:val="single" w:sz="4" w:space="0" w:color="00000A"/>
            </w:tcBorders>
            <w:shd w:val="clear" w:color="auto" w:fill="auto"/>
            <w:vAlign w:val="bottom"/>
          </w:tcPr>
          <w:p w14:paraId="749DA3B9" w14:textId="77777777" w:rsidR="00F824BE" w:rsidRDefault="00F824BE" w:rsidP="0018431C">
            <w:pPr>
              <w:jc w:val="center"/>
              <w:rPr>
                <w:rFonts w:eastAsia="Times New Roman"/>
                <w:color w:val="000000"/>
              </w:rPr>
            </w:pPr>
            <w:r>
              <w:rPr>
                <w:rFonts w:eastAsia="Times New Roman"/>
                <w:color w:val="000000"/>
              </w:rPr>
              <w:t>0.4</w:t>
            </w:r>
          </w:p>
        </w:tc>
        <w:tc>
          <w:tcPr>
            <w:tcW w:w="1613" w:type="dxa"/>
            <w:tcBorders>
              <w:bottom w:val="single" w:sz="4" w:space="0" w:color="00000A"/>
            </w:tcBorders>
            <w:shd w:val="clear" w:color="auto" w:fill="auto"/>
            <w:vAlign w:val="bottom"/>
          </w:tcPr>
          <w:p w14:paraId="5E9EEE89" w14:textId="77777777" w:rsidR="00F824BE" w:rsidRDefault="00F824BE" w:rsidP="0018431C">
            <w:pPr>
              <w:jc w:val="center"/>
              <w:rPr>
                <w:rFonts w:eastAsia="Times New Roman"/>
                <w:color w:val="000000"/>
              </w:rPr>
            </w:pPr>
            <w:r>
              <w:rPr>
                <w:rFonts w:eastAsia="Times New Roman"/>
                <w:color w:val="000000"/>
              </w:rPr>
              <w:t>-0.54 ± 0.52</w:t>
            </w:r>
          </w:p>
        </w:tc>
        <w:tc>
          <w:tcPr>
            <w:tcW w:w="1268" w:type="dxa"/>
            <w:tcBorders>
              <w:bottom w:val="single" w:sz="4" w:space="0" w:color="00000A"/>
            </w:tcBorders>
            <w:shd w:val="clear" w:color="auto" w:fill="auto"/>
            <w:vAlign w:val="bottom"/>
          </w:tcPr>
          <w:p w14:paraId="1231E134" w14:textId="77777777" w:rsidR="00F824BE" w:rsidRDefault="00F824BE" w:rsidP="0018431C">
            <w:pPr>
              <w:jc w:val="center"/>
              <w:rPr>
                <w:rFonts w:eastAsia="Times New Roman"/>
                <w:color w:val="000000"/>
              </w:rPr>
            </w:pPr>
            <w:r>
              <w:rPr>
                <w:rFonts w:eastAsia="Times New Roman"/>
                <w:color w:val="000000"/>
              </w:rPr>
              <w:t>0.2</w:t>
            </w:r>
          </w:p>
        </w:tc>
        <w:tc>
          <w:tcPr>
            <w:tcW w:w="1939" w:type="dxa"/>
            <w:tcBorders>
              <w:bottom w:val="single" w:sz="4" w:space="0" w:color="00000A"/>
            </w:tcBorders>
            <w:shd w:val="clear" w:color="auto" w:fill="auto"/>
            <w:vAlign w:val="bottom"/>
          </w:tcPr>
          <w:p w14:paraId="1E993CCB" w14:textId="77777777" w:rsidR="00F824BE" w:rsidRDefault="00F824BE" w:rsidP="0018431C">
            <w:pPr>
              <w:jc w:val="center"/>
              <w:rPr>
                <w:rFonts w:eastAsia="Times New Roman"/>
                <w:color w:val="000000"/>
              </w:rPr>
            </w:pPr>
            <w:r>
              <w:rPr>
                <w:rFonts w:eastAsia="Times New Roman"/>
                <w:color w:val="000000"/>
              </w:rPr>
              <w:t>-0.15 ± 0.57</w:t>
            </w:r>
          </w:p>
        </w:tc>
        <w:tc>
          <w:tcPr>
            <w:tcW w:w="1262" w:type="dxa"/>
            <w:tcBorders>
              <w:bottom w:val="single" w:sz="4" w:space="0" w:color="00000A"/>
            </w:tcBorders>
            <w:shd w:val="clear" w:color="auto" w:fill="auto"/>
            <w:vAlign w:val="bottom"/>
          </w:tcPr>
          <w:p w14:paraId="77BDF45C" w14:textId="77777777" w:rsidR="00F824BE" w:rsidRDefault="00F824BE" w:rsidP="0018431C">
            <w:pPr>
              <w:jc w:val="center"/>
              <w:rPr>
                <w:rFonts w:eastAsia="Times New Roman"/>
                <w:color w:val="000000"/>
              </w:rPr>
            </w:pPr>
            <w:r>
              <w:rPr>
                <w:rFonts w:eastAsia="Times New Roman"/>
                <w:color w:val="000000"/>
              </w:rPr>
              <w:t>0.8</w:t>
            </w:r>
          </w:p>
        </w:tc>
        <w:tc>
          <w:tcPr>
            <w:tcW w:w="1536" w:type="dxa"/>
            <w:tcBorders>
              <w:bottom w:val="single" w:sz="4" w:space="0" w:color="00000A"/>
            </w:tcBorders>
            <w:shd w:val="clear" w:color="auto" w:fill="auto"/>
            <w:vAlign w:val="bottom"/>
          </w:tcPr>
          <w:p w14:paraId="4D546B9A" w14:textId="77777777" w:rsidR="00F824BE" w:rsidRDefault="00F824BE" w:rsidP="0018431C">
            <w:pPr>
              <w:jc w:val="center"/>
              <w:rPr>
                <w:rFonts w:eastAsia="Times New Roman"/>
                <w:color w:val="000000"/>
              </w:rPr>
            </w:pPr>
            <w:r>
              <w:rPr>
                <w:rFonts w:eastAsia="Times New Roman"/>
                <w:color w:val="000000"/>
              </w:rPr>
              <w:t>-0.73 ± 1.14</w:t>
            </w:r>
          </w:p>
        </w:tc>
        <w:tc>
          <w:tcPr>
            <w:tcW w:w="1258" w:type="dxa"/>
            <w:tcBorders>
              <w:bottom w:val="single" w:sz="4" w:space="0" w:color="00000A"/>
            </w:tcBorders>
            <w:shd w:val="clear" w:color="auto" w:fill="auto"/>
            <w:vAlign w:val="bottom"/>
          </w:tcPr>
          <w:p w14:paraId="3AB0C84A" w14:textId="77777777" w:rsidR="00F824BE" w:rsidRDefault="00F824BE" w:rsidP="0018431C">
            <w:pPr>
              <w:jc w:val="center"/>
              <w:rPr>
                <w:rFonts w:eastAsia="Times New Roman"/>
                <w:color w:val="000000"/>
              </w:rPr>
            </w:pPr>
            <w:r>
              <w:rPr>
                <w:rFonts w:eastAsia="Times New Roman"/>
                <w:color w:val="000000"/>
              </w:rPr>
              <w:t>0.3</w:t>
            </w:r>
          </w:p>
        </w:tc>
      </w:tr>
    </w:tbl>
    <w:p w14:paraId="5FC6B346" w14:textId="754ECA6C" w:rsidR="00F824BE" w:rsidRDefault="00F824BE" w:rsidP="0024292F">
      <w:pPr>
        <w:rPr>
          <w:rFonts w:eastAsia="MS Gothic"/>
          <w:b/>
          <w:color w:val="000000"/>
        </w:rPr>
      </w:pPr>
      <w:r>
        <w:rPr>
          <w:b/>
        </w:rPr>
        <w:t xml:space="preserve">Table 2: Injury incidence </w:t>
      </w:r>
      <w:r>
        <w:rPr>
          <w:rFonts w:eastAsia="MS Gothic"/>
          <w:b/>
          <w:color w:val="000000"/>
        </w:rPr>
        <w:t>± 95% confidence interval and rate ratio, per 10,000 game exposures, for male and female injury occurrence and treatment cost by type over the 2011 to 2016 Australian Open</w:t>
      </w:r>
      <w:r w:rsidR="00966721">
        <w:rPr>
          <w:rFonts w:eastAsia="MS Gothic"/>
          <w:b/>
          <w:color w:val="000000"/>
        </w:rPr>
        <w:t xml:space="preserve"> with 2011 as the base year</w:t>
      </w:r>
      <w:r>
        <w:rPr>
          <w:rFonts w:eastAsia="MS Gothic"/>
          <w:b/>
          <w:color w:val="000000"/>
        </w:rPr>
        <w:t xml:space="preserve"> (2013-2016 for treatment cost</w:t>
      </w:r>
      <w:r w:rsidR="00966721">
        <w:rPr>
          <w:rFonts w:eastAsia="MS Gothic"/>
          <w:b/>
          <w:color w:val="000000"/>
        </w:rPr>
        <w:t xml:space="preserve"> with 2013 as the base year</w:t>
      </w:r>
      <w:r>
        <w:rPr>
          <w:rFonts w:eastAsia="MS Gothic"/>
          <w:b/>
          <w:color w:val="000000"/>
        </w:rPr>
        <w:t>)</w:t>
      </w:r>
    </w:p>
    <w:p w14:paraId="2F7B6443" w14:textId="77777777" w:rsidR="00966721" w:rsidRDefault="00966721" w:rsidP="0024292F">
      <w:pPr>
        <w:rPr>
          <w:b/>
        </w:rPr>
      </w:pPr>
    </w:p>
    <w:tbl>
      <w:tblPr>
        <w:tblW w:w="5395" w:type="pct"/>
        <w:tblInd w:w="-495" w:type="dxa"/>
        <w:tblLook w:val="04A0" w:firstRow="1" w:lastRow="0" w:firstColumn="1" w:lastColumn="0" w:noHBand="0" w:noVBand="1"/>
      </w:tblPr>
      <w:tblGrid>
        <w:gridCol w:w="238"/>
        <w:gridCol w:w="2436"/>
        <w:gridCol w:w="1113"/>
        <w:gridCol w:w="1668"/>
        <w:gridCol w:w="1301"/>
        <w:gridCol w:w="1261"/>
        <w:gridCol w:w="225"/>
        <w:gridCol w:w="1317"/>
        <w:gridCol w:w="1485"/>
        <w:gridCol w:w="1304"/>
        <w:gridCol w:w="1398"/>
        <w:gridCol w:w="240"/>
        <w:gridCol w:w="1308"/>
      </w:tblGrid>
      <w:tr w:rsidR="00F824BE" w14:paraId="4C61D259" w14:textId="77777777" w:rsidTr="00481C82">
        <w:trPr>
          <w:trHeight w:val="134"/>
        </w:trPr>
        <w:tc>
          <w:tcPr>
            <w:tcW w:w="2633" w:type="dxa"/>
            <w:gridSpan w:val="2"/>
            <w:shd w:val="clear" w:color="auto" w:fill="auto"/>
            <w:vAlign w:val="bottom"/>
          </w:tcPr>
          <w:p w14:paraId="64D88036" w14:textId="77777777" w:rsidR="00F824BE" w:rsidRDefault="00F824BE" w:rsidP="0018431C">
            <w:pPr>
              <w:spacing w:line="480" w:lineRule="auto"/>
              <w:rPr>
                <w:rFonts w:eastAsia="Times New Roman"/>
                <w:color w:val="000000"/>
              </w:rPr>
            </w:pPr>
          </w:p>
        </w:tc>
        <w:tc>
          <w:tcPr>
            <w:tcW w:w="5262" w:type="dxa"/>
            <w:gridSpan w:val="4"/>
            <w:tcBorders>
              <w:top w:val="single" w:sz="4" w:space="0" w:color="00000A"/>
              <w:bottom w:val="single" w:sz="4" w:space="0" w:color="00000A"/>
            </w:tcBorders>
            <w:shd w:val="clear" w:color="auto" w:fill="auto"/>
            <w:vAlign w:val="bottom"/>
          </w:tcPr>
          <w:p w14:paraId="60BB828A" w14:textId="77777777" w:rsidR="00F824BE" w:rsidRDefault="00F824BE" w:rsidP="0018431C">
            <w:pPr>
              <w:spacing w:line="480" w:lineRule="auto"/>
              <w:rPr>
                <w:rFonts w:eastAsia="Times New Roman"/>
                <w:b/>
                <w:bCs/>
                <w:color w:val="000000"/>
              </w:rPr>
            </w:pPr>
            <w:r>
              <w:rPr>
                <w:rFonts w:eastAsia="Times New Roman"/>
                <w:b/>
                <w:bCs/>
                <w:color w:val="000000"/>
              </w:rPr>
              <w:t>Male</w:t>
            </w:r>
          </w:p>
        </w:tc>
        <w:tc>
          <w:tcPr>
            <w:tcW w:w="5642" w:type="dxa"/>
            <w:gridSpan w:val="5"/>
            <w:tcBorders>
              <w:top w:val="single" w:sz="4" w:space="0" w:color="00000A"/>
              <w:bottom w:val="single" w:sz="4" w:space="0" w:color="00000A"/>
            </w:tcBorders>
            <w:shd w:val="clear" w:color="auto" w:fill="auto"/>
            <w:vAlign w:val="bottom"/>
          </w:tcPr>
          <w:p w14:paraId="148BC9B1" w14:textId="77777777" w:rsidR="00F824BE" w:rsidRDefault="00F824BE" w:rsidP="0018431C">
            <w:pPr>
              <w:spacing w:line="480" w:lineRule="auto"/>
              <w:rPr>
                <w:rFonts w:eastAsia="Times New Roman"/>
                <w:b/>
                <w:bCs/>
                <w:color w:val="000000"/>
              </w:rPr>
            </w:pPr>
            <w:r>
              <w:rPr>
                <w:rFonts w:eastAsia="Times New Roman"/>
                <w:b/>
                <w:bCs/>
                <w:color w:val="000000"/>
              </w:rPr>
              <w:t>Female</w:t>
            </w:r>
          </w:p>
        </w:tc>
        <w:tc>
          <w:tcPr>
            <w:tcW w:w="236" w:type="dxa"/>
            <w:shd w:val="clear" w:color="auto" w:fill="auto"/>
          </w:tcPr>
          <w:p w14:paraId="51C551CF" w14:textId="77777777" w:rsidR="00F824BE" w:rsidRDefault="00F824BE" w:rsidP="0018431C"/>
        </w:tc>
        <w:tc>
          <w:tcPr>
            <w:tcW w:w="1288" w:type="dxa"/>
            <w:shd w:val="clear" w:color="auto" w:fill="auto"/>
          </w:tcPr>
          <w:p w14:paraId="19E0491E" w14:textId="77777777" w:rsidR="00F824BE" w:rsidRDefault="00F824BE" w:rsidP="0018431C"/>
        </w:tc>
      </w:tr>
      <w:tr w:rsidR="00F824BE" w14:paraId="51DC6E7D" w14:textId="77777777" w:rsidTr="00481C82">
        <w:trPr>
          <w:trHeight w:val="156"/>
        </w:trPr>
        <w:tc>
          <w:tcPr>
            <w:tcW w:w="234" w:type="dxa"/>
            <w:shd w:val="clear" w:color="auto" w:fill="auto"/>
          </w:tcPr>
          <w:p w14:paraId="5FCF80FD" w14:textId="77777777" w:rsidR="00F824BE" w:rsidRDefault="00F824BE" w:rsidP="0018431C"/>
        </w:tc>
        <w:tc>
          <w:tcPr>
            <w:tcW w:w="3495" w:type="dxa"/>
            <w:gridSpan w:val="2"/>
            <w:shd w:val="clear" w:color="auto" w:fill="auto"/>
            <w:vAlign w:val="bottom"/>
          </w:tcPr>
          <w:p w14:paraId="36944FE3" w14:textId="77777777" w:rsidR="00F824BE" w:rsidRDefault="00F824BE" w:rsidP="0018431C">
            <w:pPr>
              <w:jc w:val="center"/>
              <w:rPr>
                <w:rFonts w:eastAsia="Times New Roman"/>
                <w:b/>
                <w:bCs/>
                <w:color w:val="000000"/>
              </w:rPr>
            </w:pPr>
          </w:p>
        </w:tc>
        <w:tc>
          <w:tcPr>
            <w:tcW w:w="2924" w:type="dxa"/>
            <w:gridSpan w:val="2"/>
            <w:tcBorders>
              <w:top w:val="single" w:sz="4" w:space="0" w:color="00000A"/>
              <w:bottom w:val="single" w:sz="4" w:space="0" w:color="00000A"/>
            </w:tcBorders>
            <w:shd w:val="clear" w:color="auto" w:fill="auto"/>
            <w:vAlign w:val="bottom"/>
          </w:tcPr>
          <w:p w14:paraId="72C99978" w14:textId="77777777" w:rsidR="00F824BE" w:rsidRDefault="00F824BE" w:rsidP="0018431C">
            <w:pPr>
              <w:jc w:val="center"/>
              <w:rPr>
                <w:rFonts w:eastAsia="Times New Roman"/>
                <w:b/>
                <w:bCs/>
                <w:color w:val="000000"/>
              </w:rPr>
            </w:pPr>
            <w:r>
              <w:rPr>
                <w:rFonts w:eastAsia="Times New Roman"/>
                <w:b/>
                <w:bCs/>
                <w:color w:val="000000"/>
              </w:rPr>
              <w:t>Injury Occurrence</w:t>
            </w:r>
          </w:p>
        </w:tc>
        <w:tc>
          <w:tcPr>
            <w:tcW w:w="2761" w:type="dxa"/>
            <w:gridSpan w:val="3"/>
            <w:tcBorders>
              <w:top w:val="single" w:sz="4" w:space="0" w:color="00000A"/>
              <w:bottom w:val="single" w:sz="4" w:space="0" w:color="00000A"/>
            </w:tcBorders>
            <w:shd w:val="clear" w:color="auto" w:fill="auto"/>
            <w:vAlign w:val="bottom"/>
          </w:tcPr>
          <w:p w14:paraId="3B1180E9" w14:textId="77777777" w:rsidR="00F824BE" w:rsidRDefault="00F824BE" w:rsidP="0018431C">
            <w:pPr>
              <w:jc w:val="center"/>
              <w:rPr>
                <w:rFonts w:eastAsia="Times New Roman"/>
                <w:b/>
                <w:bCs/>
                <w:color w:val="000000"/>
              </w:rPr>
            </w:pPr>
            <w:r>
              <w:rPr>
                <w:rFonts w:eastAsia="Times New Roman"/>
                <w:b/>
                <w:bCs/>
                <w:color w:val="000000"/>
              </w:rPr>
              <w:t>Treatment Cost</w:t>
            </w:r>
          </w:p>
        </w:tc>
        <w:tc>
          <w:tcPr>
            <w:tcW w:w="2746" w:type="dxa"/>
            <w:gridSpan w:val="2"/>
            <w:tcBorders>
              <w:top w:val="single" w:sz="4" w:space="0" w:color="00000A"/>
              <w:bottom w:val="single" w:sz="4" w:space="0" w:color="00000A"/>
            </w:tcBorders>
            <w:shd w:val="clear" w:color="auto" w:fill="auto"/>
            <w:vAlign w:val="bottom"/>
          </w:tcPr>
          <w:p w14:paraId="298B4F46" w14:textId="77777777" w:rsidR="00F824BE" w:rsidRDefault="00F824BE" w:rsidP="0018431C">
            <w:pPr>
              <w:jc w:val="center"/>
              <w:rPr>
                <w:rFonts w:eastAsia="Times New Roman"/>
                <w:b/>
                <w:bCs/>
                <w:color w:val="000000"/>
              </w:rPr>
            </w:pPr>
            <w:r>
              <w:rPr>
                <w:rFonts w:eastAsia="Times New Roman"/>
                <w:b/>
                <w:bCs/>
                <w:color w:val="000000"/>
              </w:rPr>
              <w:t>Injury Occurrence</w:t>
            </w:r>
          </w:p>
        </w:tc>
        <w:tc>
          <w:tcPr>
            <w:tcW w:w="2901" w:type="dxa"/>
            <w:gridSpan w:val="3"/>
            <w:tcBorders>
              <w:top w:val="single" w:sz="4" w:space="0" w:color="00000A"/>
              <w:bottom w:val="single" w:sz="4" w:space="0" w:color="00000A"/>
            </w:tcBorders>
            <w:shd w:val="clear" w:color="auto" w:fill="auto"/>
            <w:vAlign w:val="bottom"/>
          </w:tcPr>
          <w:p w14:paraId="606D0818" w14:textId="77777777" w:rsidR="00F824BE" w:rsidRDefault="00F824BE" w:rsidP="0018431C">
            <w:pPr>
              <w:jc w:val="center"/>
              <w:rPr>
                <w:rFonts w:eastAsia="Times New Roman"/>
                <w:b/>
                <w:bCs/>
                <w:color w:val="000000"/>
              </w:rPr>
            </w:pPr>
            <w:r>
              <w:rPr>
                <w:rFonts w:eastAsia="Times New Roman"/>
                <w:b/>
                <w:bCs/>
                <w:color w:val="000000"/>
              </w:rPr>
              <w:t>Treatment Cost</w:t>
            </w:r>
          </w:p>
        </w:tc>
      </w:tr>
      <w:tr w:rsidR="00F824BE" w14:paraId="4BEFBB90" w14:textId="77777777" w:rsidTr="00481C82">
        <w:trPr>
          <w:trHeight w:val="476"/>
        </w:trPr>
        <w:tc>
          <w:tcPr>
            <w:tcW w:w="234" w:type="dxa"/>
            <w:shd w:val="clear" w:color="auto" w:fill="auto"/>
          </w:tcPr>
          <w:p w14:paraId="10878F39" w14:textId="77777777" w:rsidR="00F824BE" w:rsidRDefault="00F824BE" w:rsidP="0018431C"/>
        </w:tc>
        <w:tc>
          <w:tcPr>
            <w:tcW w:w="3495" w:type="dxa"/>
            <w:gridSpan w:val="2"/>
            <w:tcBorders>
              <w:top w:val="single" w:sz="4" w:space="0" w:color="00000A"/>
              <w:bottom w:val="single" w:sz="4" w:space="0" w:color="00000A"/>
            </w:tcBorders>
            <w:shd w:val="clear" w:color="auto" w:fill="auto"/>
            <w:vAlign w:val="bottom"/>
          </w:tcPr>
          <w:p w14:paraId="3B8E4111" w14:textId="77777777" w:rsidR="00F824BE" w:rsidRDefault="00F824BE" w:rsidP="0018431C">
            <w:pPr>
              <w:jc w:val="center"/>
              <w:rPr>
                <w:rFonts w:eastAsia="Times New Roman"/>
                <w:b/>
                <w:bCs/>
                <w:color w:val="000000"/>
              </w:rPr>
            </w:pPr>
            <w:r>
              <w:rPr>
                <w:rFonts w:eastAsia="Times New Roman"/>
                <w:b/>
                <w:bCs/>
                <w:color w:val="000000"/>
              </w:rPr>
              <w:t>Type</w:t>
            </w:r>
          </w:p>
        </w:tc>
        <w:tc>
          <w:tcPr>
            <w:tcW w:w="1643" w:type="dxa"/>
            <w:tcBorders>
              <w:bottom w:val="single" w:sz="4" w:space="0" w:color="00000A"/>
            </w:tcBorders>
            <w:shd w:val="clear" w:color="auto" w:fill="auto"/>
            <w:vAlign w:val="bottom"/>
          </w:tcPr>
          <w:p w14:paraId="5B630E54" w14:textId="77777777" w:rsidR="00F824BE" w:rsidRDefault="00F824BE" w:rsidP="0018431C">
            <w:pPr>
              <w:jc w:val="center"/>
              <w:rPr>
                <w:rFonts w:eastAsia="Times New Roman"/>
                <w:color w:val="000000"/>
              </w:rPr>
            </w:pPr>
            <w:r>
              <w:rPr>
                <w:rFonts w:eastAsia="Times New Roman"/>
                <w:color w:val="000000"/>
              </w:rPr>
              <w:t>Incidence Rate Change ± 95% confidence interval</w:t>
            </w:r>
          </w:p>
        </w:tc>
        <w:tc>
          <w:tcPr>
            <w:tcW w:w="1281" w:type="dxa"/>
            <w:tcBorders>
              <w:bottom w:val="single" w:sz="4" w:space="0" w:color="00000A"/>
            </w:tcBorders>
            <w:shd w:val="clear" w:color="auto" w:fill="auto"/>
            <w:vAlign w:val="bottom"/>
          </w:tcPr>
          <w:p w14:paraId="02298E9A" w14:textId="77777777" w:rsidR="00F824BE" w:rsidRDefault="00F824BE" w:rsidP="0018431C">
            <w:pPr>
              <w:jc w:val="center"/>
              <w:rPr>
                <w:rFonts w:eastAsia="Times New Roman"/>
                <w:color w:val="000000"/>
              </w:rPr>
            </w:pPr>
            <w:r>
              <w:rPr>
                <w:rFonts w:eastAsia="Times New Roman"/>
                <w:color w:val="000000"/>
              </w:rPr>
              <w:t>Rate Ratio</w:t>
            </w:r>
          </w:p>
        </w:tc>
        <w:tc>
          <w:tcPr>
            <w:tcW w:w="1464" w:type="dxa"/>
            <w:gridSpan w:val="2"/>
            <w:tcBorders>
              <w:bottom w:val="single" w:sz="4" w:space="0" w:color="00000A"/>
            </w:tcBorders>
            <w:shd w:val="clear" w:color="auto" w:fill="auto"/>
            <w:vAlign w:val="bottom"/>
          </w:tcPr>
          <w:p w14:paraId="0F505482" w14:textId="77777777" w:rsidR="00F824BE" w:rsidRDefault="00F824BE" w:rsidP="0018431C">
            <w:pPr>
              <w:jc w:val="center"/>
              <w:rPr>
                <w:rFonts w:eastAsia="Times New Roman"/>
                <w:color w:val="000000"/>
              </w:rPr>
            </w:pPr>
            <w:r>
              <w:rPr>
                <w:rFonts w:eastAsia="Times New Roman"/>
                <w:color w:val="000000"/>
              </w:rPr>
              <w:t>Incidence Rate Change ± 95% confidence interval</w:t>
            </w:r>
          </w:p>
        </w:tc>
        <w:tc>
          <w:tcPr>
            <w:tcW w:w="1297" w:type="dxa"/>
            <w:tcBorders>
              <w:bottom w:val="single" w:sz="4" w:space="0" w:color="00000A"/>
            </w:tcBorders>
            <w:shd w:val="clear" w:color="auto" w:fill="auto"/>
            <w:vAlign w:val="bottom"/>
          </w:tcPr>
          <w:p w14:paraId="17C6B94D" w14:textId="77777777" w:rsidR="00F824BE" w:rsidRDefault="00F824BE" w:rsidP="0018431C">
            <w:pPr>
              <w:jc w:val="center"/>
              <w:rPr>
                <w:rFonts w:eastAsia="Times New Roman"/>
                <w:color w:val="000000"/>
              </w:rPr>
            </w:pPr>
            <w:r>
              <w:rPr>
                <w:rFonts w:eastAsia="Times New Roman"/>
                <w:color w:val="000000"/>
              </w:rPr>
              <w:t>Rate Ratio</w:t>
            </w:r>
          </w:p>
        </w:tc>
        <w:tc>
          <w:tcPr>
            <w:tcW w:w="1462" w:type="dxa"/>
            <w:tcBorders>
              <w:bottom w:val="single" w:sz="4" w:space="0" w:color="00000A"/>
            </w:tcBorders>
            <w:shd w:val="clear" w:color="auto" w:fill="auto"/>
            <w:vAlign w:val="bottom"/>
          </w:tcPr>
          <w:p w14:paraId="3DBF80AF" w14:textId="77777777" w:rsidR="00F824BE" w:rsidRDefault="00F824BE" w:rsidP="0018431C">
            <w:pPr>
              <w:jc w:val="center"/>
              <w:rPr>
                <w:rFonts w:eastAsia="Times New Roman"/>
                <w:color w:val="000000"/>
              </w:rPr>
            </w:pPr>
            <w:r>
              <w:rPr>
                <w:rFonts w:eastAsia="Times New Roman"/>
                <w:color w:val="000000"/>
              </w:rPr>
              <w:t>Incidence Rate Change ± 95% confidence interval</w:t>
            </w:r>
          </w:p>
        </w:tc>
        <w:tc>
          <w:tcPr>
            <w:tcW w:w="1284" w:type="dxa"/>
            <w:tcBorders>
              <w:bottom w:val="single" w:sz="4" w:space="0" w:color="00000A"/>
            </w:tcBorders>
            <w:shd w:val="clear" w:color="auto" w:fill="auto"/>
            <w:vAlign w:val="bottom"/>
          </w:tcPr>
          <w:p w14:paraId="76B89EE0" w14:textId="77777777" w:rsidR="00F824BE" w:rsidRDefault="00F824BE" w:rsidP="0018431C">
            <w:pPr>
              <w:jc w:val="center"/>
              <w:rPr>
                <w:rFonts w:eastAsia="Times New Roman"/>
                <w:color w:val="000000"/>
              </w:rPr>
            </w:pPr>
            <w:r>
              <w:rPr>
                <w:rFonts w:eastAsia="Times New Roman"/>
                <w:color w:val="000000"/>
              </w:rPr>
              <w:t>Rate Ratio</w:t>
            </w:r>
          </w:p>
        </w:tc>
        <w:tc>
          <w:tcPr>
            <w:tcW w:w="1613" w:type="dxa"/>
            <w:gridSpan w:val="2"/>
            <w:tcBorders>
              <w:bottom w:val="single" w:sz="4" w:space="0" w:color="00000A"/>
            </w:tcBorders>
            <w:shd w:val="clear" w:color="auto" w:fill="auto"/>
            <w:vAlign w:val="bottom"/>
          </w:tcPr>
          <w:p w14:paraId="23B3E765" w14:textId="77777777" w:rsidR="00F824BE" w:rsidRDefault="00F824BE" w:rsidP="0018431C">
            <w:pPr>
              <w:jc w:val="center"/>
              <w:rPr>
                <w:rFonts w:eastAsia="Times New Roman"/>
                <w:color w:val="000000"/>
              </w:rPr>
            </w:pPr>
            <w:r>
              <w:rPr>
                <w:rFonts w:eastAsia="Times New Roman"/>
                <w:color w:val="000000"/>
              </w:rPr>
              <w:t>Incidence Rate Change ± 95% confidence interval</w:t>
            </w:r>
          </w:p>
        </w:tc>
        <w:tc>
          <w:tcPr>
            <w:tcW w:w="1288" w:type="dxa"/>
            <w:tcBorders>
              <w:bottom w:val="single" w:sz="4" w:space="0" w:color="00000A"/>
            </w:tcBorders>
            <w:shd w:val="clear" w:color="auto" w:fill="auto"/>
            <w:vAlign w:val="bottom"/>
          </w:tcPr>
          <w:p w14:paraId="47C0D672" w14:textId="77777777" w:rsidR="00F824BE" w:rsidRDefault="00F824BE" w:rsidP="0018431C">
            <w:pPr>
              <w:jc w:val="center"/>
              <w:rPr>
                <w:rFonts w:eastAsia="Times New Roman"/>
                <w:color w:val="000000"/>
              </w:rPr>
            </w:pPr>
            <w:r>
              <w:rPr>
                <w:rFonts w:eastAsia="Times New Roman"/>
                <w:color w:val="000000"/>
              </w:rPr>
              <w:t>Rate Ratio</w:t>
            </w:r>
          </w:p>
        </w:tc>
      </w:tr>
      <w:tr w:rsidR="00F824BE" w14:paraId="71F45C8B" w14:textId="77777777" w:rsidTr="00481C82">
        <w:trPr>
          <w:trHeight w:val="156"/>
        </w:trPr>
        <w:tc>
          <w:tcPr>
            <w:tcW w:w="234" w:type="dxa"/>
            <w:shd w:val="clear" w:color="auto" w:fill="auto"/>
          </w:tcPr>
          <w:p w14:paraId="46FB6F95" w14:textId="77777777" w:rsidR="00F824BE" w:rsidRDefault="00F824BE" w:rsidP="0018431C"/>
        </w:tc>
        <w:tc>
          <w:tcPr>
            <w:tcW w:w="3495" w:type="dxa"/>
            <w:gridSpan w:val="2"/>
            <w:shd w:val="clear" w:color="auto" w:fill="auto"/>
            <w:vAlign w:val="bottom"/>
          </w:tcPr>
          <w:p w14:paraId="36F49307" w14:textId="77777777" w:rsidR="00F824BE" w:rsidRDefault="00F824BE" w:rsidP="0018431C">
            <w:pPr>
              <w:jc w:val="center"/>
              <w:rPr>
                <w:rFonts w:eastAsia="Times New Roman"/>
                <w:color w:val="000000"/>
              </w:rPr>
            </w:pPr>
            <w:r>
              <w:rPr>
                <w:rFonts w:eastAsia="Times New Roman"/>
                <w:color w:val="000000"/>
              </w:rPr>
              <w:t>Muscle Injury</w:t>
            </w:r>
          </w:p>
        </w:tc>
        <w:tc>
          <w:tcPr>
            <w:tcW w:w="1643" w:type="dxa"/>
            <w:shd w:val="clear" w:color="auto" w:fill="auto"/>
            <w:vAlign w:val="bottom"/>
          </w:tcPr>
          <w:p w14:paraId="5FB93C99" w14:textId="77777777" w:rsidR="00F824BE" w:rsidRDefault="00F824BE" w:rsidP="0018431C">
            <w:pPr>
              <w:jc w:val="center"/>
              <w:rPr>
                <w:rFonts w:eastAsia="Times New Roman"/>
                <w:color w:val="000000"/>
              </w:rPr>
            </w:pPr>
            <w:r>
              <w:rPr>
                <w:rFonts w:eastAsia="Times New Roman"/>
                <w:color w:val="000000"/>
              </w:rPr>
              <w:t>-1.35 ± 0.91</w:t>
            </w:r>
          </w:p>
        </w:tc>
        <w:tc>
          <w:tcPr>
            <w:tcW w:w="1281" w:type="dxa"/>
            <w:shd w:val="clear" w:color="auto" w:fill="auto"/>
            <w:vAlign w:val="bottom"/>
          </w:tcPr>
          <w:p w14:paraId="6056973E" w14:textId="77777777" w:rsidR="00F824BE" w:rsidRDefault="00F824BE" w:rsidP="0018431C">
            <w:pPr>
              <w:jc w:val="center"/>
              <w:rPr>
                <w:rFonts w:eastAsia="Times New Roman"/>
                <w:color w:val="000000"/>
              </w:rPr>
            </w:pPr>
            <w:r>
              <w:rPr>
                <w:rFonts w:eastAsia="Times New Roman"/>
                <w:color w:val="000000"/>
              </w:rPr>
              <w:t>0.4</w:t>
            </w:r>
          </w:p>
        </w:tc>
        <w:tc>
          <w:tcPr>
            <w:tcW w:w="1464" w:type="dxa"/>
            <w:gridSpan w:val="2"/>
            <w:shd w:val="clear" w:color="auto" w:fill="auto"/>
            <w:vAlign w:val="bottom"/>
          </w:tcPr>
          <w:p w14:paraId="74F5014F" w14:textId="77777777" w:rsidR="00F824BE" w:rsidRDefault="00F824BE" w:rsidP="0018431C">
            <w:pPr>
              <w:jc w:val="center"/>
              <w:rPr>
                <w:rFonts w:eastAsia="Times New Roman"/>
                <w:color w:val="000000"/>
              </w:rPr>
            </w:pPr>
            <w:r>
              <w:rPr>
                <w:rFonts w:eastAsia="Times New Roman"/>
                <w:color w:val="000000"/>
              </w:rPr>
              <w:t>0.19 ± 0.92</w:t>
            </w:r>
          </w:p>
        </w:tc>
        <w:tc>
          <w:tcPr>
            <w:tcW w:w="1297" w:type="dxa"/>
            <w:shd w:val="clear" w:color="auto" w:fill="auto"/>
            <w:vAlign w:val="bottom"/>
          </w:tcPr>
          <w:p w14:paraId="76402117" w14:textId="77777777" w:rsidR="00F824BE" w:rsidRDefault="00F824BE" w:rsidP="0018431C">
            <w:pPr>
              <w:jc w:val="center"/>
              <w:rPr>
                <w:rFonts w:eastAsia="Times New Roman"/>
                <w:color w:val="000000"/>
              </w:rPr>
            </w:pPr>
            <w:r>
              <w:rPr>
                <w:rFonts w:eastAsia="Times New Roman"/>
                <w:color w:val="000000"/>
              </w:rPr>
              <w:t>1.3</w:t>
            </w:r>
          </w:p>
        </w:tc>
        <w:tc>
          <w:tcPr>
            <w:tcW w:w="1462" w:type="dxa"/>
            <w:shd w:val="clear" w:color="auto" w:fill="auto"/>
            <w:vAlign w:val="bottom"/>
          </w:tcPr>
          <w:p w14:paraId="1542770E" w14:textId="77777777" w:rsidR="00F824BE" w:rsidRDefault="00F824BE" w:rsidP="0018431C">
            <w:pPr>
              <w:jc w:val="center"/>
              <w:rPr>
                <w:rFonts w:eastAsia="Times New Roman"/>
                <w:color w:val="000000"/>
              </w:rPr>
            </w:pPr>
            <w:r>
              <w:rPr>
                <w:rFonts w:eastAsia="Times New Roman"/>
                <w:color w:val="000000"/>
              </w:rPr>
              <w:t>-0.64 ± 1.17</w:t>
            </w:r>
          </w:p>
        </w:tc>
        <w:tc>
          <w:tcPr>
            <w:tcW w:w="1284" w:type="dxa"/>
            <w:shd w:val="clear" w:color="auto" w:fill="auto"/>
            <w:vAlign w:val="bottom"/>
          </w:tcPr>
          <w:p w14:paraId="31DE05C4" w14:textId="77777777" w:rsidR="00F824BE" w:rsidRDefault="00F824BE" w:rsidP="0018431C">
            <w:pPr>
              <w:jc w:val="center"/>
              <w:rPr>
                <w:rFonts w:eastAsia="Times New Roman"/>
                <w:color w:val="000000"/>
              </w:rPr>
            </w:pPr>
            <w:r>
              <w:rPr>
                <w:rFonts w:eastAsia="Times New Roman"/>
                <w:color w:val="000000"/>
              </w:rPr>
              <w:t>0.7</w:t>
            </w:r>
          </w:p>
        </w:tc>
        <w:tc>
          <w:tcPr>
            <w:tcW w:w="1613" w:type="dxa"/>
            <w:gridSpan w:val="2"/>
            <w:shd w:val="clear" w:color="auto" w:fill="auto"/>
            <w:vAlign w:val="bottom"/>
          </w:tcPr>
          <w:p w14:paraId="2D8FF417" w14:textId="77777777" w:rsidR="00F824BE" w:rsidRDefault="00F824BE" w:rsidP="0018431C">
            <w:pPr>
              <w:jc w:val="center"/>
              <w:rPr>
                <w:rFonts w:eastAsia="Times New Roman"/>
                <w:color w:val="000000"/>
              </w:rPr>
            </w:pPr>
            <w:r>
              <w:rPr>
                <w:rFonts w:eastAsia="Times New Roman"/>
                <w:color w:val="000000"/>
              </w:rPr>
              <w:t>0.01 ± 1.56</w:t>
            </w:r>
          </w:p>
        </w:tc>
        <w:tc>
          <w:tcPr>
            <w:tcW w:w="1288" w:type="dxa"/>
            <w:shd w:val="clear" w:color="auto" w:fill="auto"/>
            <w:vAlign w:val="bottom"/>
          </w:tcPr>
          <w:p w14:paraId="0693DF90" w14:textId="77777777" w:rsidR="00F824BE" w:rsidRDefault="00F824BE" w:rsidP="0018431C">
            <w:pPr>
              <w:jc w:val="center"/>
              <w:rPr>
                <w:rFonts w:eastAsia="Times New Roman"/>
                <w:color w:val="000000"/>
              </w:rPr>
            </w:pPr>
            <w:r>
              <w:rPr>
                <w:rFonts w:eastAsia="Times New Roman"/>
                <w:color w:val="000000"/>
              </w:rPr>
              <w:t>1.0</w:t>
            </w:r>
          </w:p>
        </w:tc>
      </w:tr>
      <w:tr w:rsidR="00F824BE" w14:paraId="0E25D6A3" w14:textId="77777777" w:rsidTr="00481C82">
        <w:trPr>
          <w:trHeight w:val="156"/>
        </w:trPr>
        <w:tc>
          <w:tcPr>
            <w:tcW w:w="234" w:type="dxa"/>
            <w:shd w:val="clear" w:color="auto" w:fill="auto"/>
          </w:tcPr>
          <w:p w14:paraId="468F3A68" w14:textId="77777777" w:rsidR="00F824BE" w:rsidRDefault="00F824BE" w:rsidP="0018431C"/>
        </w:tc>
        <w:tc>
          <w:tcPr>
            <w:tcW w:w="3495" w:type="dxa"/>
            <w:gridSpan w:val="2"/>
            <w:shd w:val="clear" w:color="auto" w:fill="auto"/>
            <w:vAlign w:val="bottom"/>
          </w:tcPr>
          <w:p w14:paraId="7FC06FA2" w14:textId="77777777" w:rsidR="00F824BE" w:rsidRDefault="00F824BE" w:rsidP="0018431C">
            <w:pPr>
              <w:jc w:val="center"/>
              <w:rPr>
                <w:rFonts w:eastAsia="Times New Roman"/>
                <w:color w:val="000000"/>
              </w:rPr>
            </w:pPr>
            <w:r>
              <w:rPr>
                <w:rFonts w:eastAsia="Times New Roman"/>
                <w:color w:val="000000"/>
              </w:rPr>
              <w:t>Joint Sprains</w:t>
            </w:r>
          </w:p>
        </w:tc>
        <w:tc>
          <w:tcPr>
            <w:tcW w:w="1643" w:type="dxa"/>
            <w:shd w:val="clear" w:color="auto" w:fill="auto"/>
            <w:vAlign w:val="bottom"/>
          </w:tcPr>
          <w:p w14:paraId="1487A17A" w14:textId="77777777" w:rsidR="00F824BE" w:rsidRDefault="00F824BE" w:rsidP="0018431C">
            <w:pPr>
              <w:jc w:val="center"/>
              <w:rPr>
                <w:rFonts w:eastAsia="Times New Roman"/>
                <w:color w:val="000000"/>
              </w:rPr>
            </w:pPr>
            <w:r>
              <w:rPr>
                <w:rFonts w:eastAsia="Times New Roman"/>
                <w:color w:val="000000"/>
              </w:rPr>
              <w:t>0.26 ± 0.71</w:t>
            </w:r>
          </w:p>
        </w:tc>
        <w:tc>
          <w:tcPr>
            <w:tcW w:w="1281" w:type="dxa"/>
            <w:shd w:val="clear" w:color="auto" w:fill="auto"/>
            <w:vAlign w:val="bottom"/>
          </w:tcPr>
          <w:p w14:paraId="324A701B" w14:textId="77777777" w:rsidR="00F824BE" w:rsidRDefault="00F824BE" w:rsidP="0018431C">
            <w:pPr>
              <w:jc w:val="center"/>
              <w:rPr>
                <w:rFonts w:eastAsia="Times New Roman"/>
                <w:color w:val="000000"/>
              </w:rPr>
            </w:pPr>
            <w:r>
              <w:rPr>
                <w:rFonts w:eastAsia="Times New Roman"/>
                <w:color w:val="000000"/>
              </w:rPr>
              <w:t>1.3</w:t>
            </w:r>
          </w:p>
        </w:tc>
        <w:tc>
          <w:tcPr>
            <w:tcW w:w="1464" w:type="dxa"/>
            <w:gridSpan w:val="2"/>
            <w:shd w:val="clear" w:color="auto" w:fill="auto"/>
            <w:vAlign w:val="bottom"/>
          </w:tcPr>
          <w:p w14:paraId="6CBB8AC8" w14:textId="77777777" w:rsidR="00F824BE" w:rsidRDefault="00F824BE" w:rsidP="0018431C">
            <w:pPr>
              <w:jc w:val="center"/>
              <w:rPr>
                <w:rFonts w:eastAsia="Times New Roman"/>
                <w:color w:val="000000"/>
              </w:rPr>
            </w:pPr>
            <w:r>
              <w:rPr>
                <w:rFonts w:eastAsia="Times New Roman"/>
                <w:color w:val="000000"/>
              </w:rPr>
              <w:t>-0.14 ± 1.14</w:t>
            </w:r>
          </w:p>
        </w:tc>
        <w:tc>
          <w:tcPr>
            <w:tcW w:w="1297" w:type="dxa"/>
            <w:shd w:val="clear" w:color="auto" w:fill="auto"/>
            <w:vAlign w:val="bottom"/>
          </w:tcPr>
          <w:p w14:paraId="71C805BA" w14:textId="77777777" w:rsidR="00F824BE" w:rsidRDefault="00F824BE" w:rsidP="0018431C">
            <w:pPr>
              <w:jc w:val="center"/>
              <w:rPr>
                <w:rFonts w:eastAsia="Times New Roman"/>
                <w:color w:val="000000"/>
              </w:rPr>
            </w:pPr>
            <w:r>
              <w:rPr>
                <w:rFonts w:eastAsia="Times New Roman"/>
                <w:color w:val="000000"/>
              </w:rPr>
              <w:t>0.9</w:t>
            </w:r>
          </w:p>
        </w:tc>
        <w:tc>
          <w:tcPr>
            <w:tcW w:w="1462" w:type="dxa"/>
            <w:shd w:val="clear" w:color="auto" w:fill="auto"/>
            <w:vAlign w:val="bottom"/>
          </w:tcPr>
          <w:p w14:paraId="2190A024" w14:textId="77777777" w:rsidR="00F824BE" w:rsidRDefault="00F824BE" w:rsidP="0018431C">
            <w:pPr>
              <w:jc w:val="center"/>
              <w:rPr>
                <w:rFonts w:eastAsia="Times New Roman"/>
                <w:color w:val="000000"/>
              </w:rPr>
            </w:pPr>
            <w:r>
              <w:rPr>
                <w:rFonts w:eastAsia="Times New Roman"/>
                <w:color w:val="000000"/>
              </w:rPr>
              <w:t>-0.23 ± 1.01</w:t>
            </w:r>
          </w:p>
        </w:tc>
        <w:tc>
          <w:tcPr>
            <w:tcW w:w="1284" w:type="dxa"/>
            <w:shd w:val="clear" w:color="auto" w:fill="auto"/>
            <w:vAlign w:val="bottom"/>
          </w:tcPr>
          <w:p w14:paraId="445C4A63" w14:textId="77777777" w:rsidR="00F824BE" w:rsidRDefault="00F824BE" w:rsidP="0018431C">
            <w:pPr>
              <w:jc w:val="center"/>
              <w:rPr>
                <w:rFonts w:eastAsia="Times New Roman"/>
                <w:color w:val="000000"/>
              </w:rPr>
            </w:pPr>
            <w:r>
              <w:rPr>
                <w:rFonts w:eastAsia="Times New Roman"/>
                <w:color w:val="000000"/>
              </w:rPr>
              <w:t>0.9</w:t>
            </w:r>
          </w:p>
        </w:tc>
        <w:tc>
          <w:tcPr>
            <w:tcW w:w="1613" w:type="dxa"/>
            <w:gridSpan w:val="2"/>
            <w:shd w:val="clear" w:color="auto" w:fill="auto"/>
            <w:vAlign w:val="bottom"/>
          </w:tcPr>
          <w:p w14:paraId="239E927B" w14:textId="77777777" w:rsidR="00F824BE" w:rsidRDefault="00F824BE" w:rsidP="0018431C">
            <w:pPr>
              <w:jc w:val="center"/>
              <w:rPr>
                <w:rFonts w:eastAsia="Times New Roman"/>
                <w:color w:val="000000"/>
              </w:rPr>
            </w:pPr>
            <w:r>
              <w:rPr>
                <w:rFonts w:eastAsia="Times New Roman"/>
                <w:color w:val="000000"/>
              </w:rPr>
              <w:t>0.71 ± 1.07</w:t>
            </w:r>
          </w:p>
        </w:tc>
        <w:tc>
          <w:tcPr>
            <w:tcW w:w="1288" w:type="dxa"/>
            <w:shd w:val="clear" w:color="auto" w:fill="auto"/>
            <w:vAlign w:val="bottom"/>
          </w:tcPr>
          <w:p w14:paraId="15663C59" w14:textId="77777777" w:rsidR="00F824BE" w:rsidRDefault="00F824BE" w:rsidP="0018431C">
            <w:pPr>
              <w:jc w:val="center"/>
              <w:rPr>
                <w:rFonts w:eastAsia="Times New Roman"/>
                <w:color w:val="000000"/>
              </w:rPr>
            </w:pPr>
            <w:r>
              <w:rPr>
                <w:rFonts w:eastAsia="Times New Roman"/>
                <w:color w:val="000000"/>
              </w:rPr>
              <w:t>0.4</w:t>
            </w:r>
          </w:p>
        </w:tc>
      </w:tr>
      <w:tr w:rsidR="00F824BE" w14:paraId="7A743989" w14:textId="77777777" w:rsidTr="00481C82">
        <w:trPr>
          <w:trHeight w:val="156"/>
        </w:trPr>
        <w:tc>
          <w:tcPr>
            <w:tcW w:w="234" w:type="dxa"/>
            <w:shd w:val="clear" w:color="auto" w:fill="auto"/>
          </w:tcPr>
          <w:p w14:paraId="5CA7D672" w14:textId="77777777" w:rsidR="00F824BE" w:rsidRDefault="00F824BE" w:rsidP="0018431C"/>
        </w:tc>
        <w:tc>
          <w:tcPr>
            <w:tcW w:w="3495" w:type="dxa"/>
            <w:gridSpan w:val="2"/>
            <w:shd w:val="clear" w:color="auto" w:fill="auto"/>
            <w:vAlign w:val="bottom"/>
          </w:tcPr>
          <w:p w14:paraId="2DDACC33" w14:textId="77777777" w:rsidR="00F824BE" w:rsidRDefault="00F824BE" w:rsidP="0018431C">
            <w:pPr>
              <w:jc w:val="center"/>
              <w:rPr>
                <w:rFonts w:eastAsia="Times New Roman"/>
                <w:color w:val="000000"/>
              </w:rPr>
            </w:pPr>
            <w:r>
              <w:rPr>
                <w:rFonts w:eastAsia="Times New Roman"/>
                <w:color w:val="000000"/>
              </w:rPr>
              <w:t>Tendon Injury</w:t>
            </w:r>
          </w:p>
        </w:tc>
        <w:tc>
          <w:tcPr>
            <w:tcW w:w="1643" w:type="dxa"/>
            <w:shd w:val="clear" w:color="auto" w:fill="auto"/>
            <w:vAlign w:val="bottom"/>
          </w:tcPr>
          <w:p w14:paraId="3DD892E0" w14:textId="77777777" w:rsidR="00F824BE" w:rsidRDefault="00F824BE" w:rsidP="0018431C">
            <w:pPr>
              <w:jc w:val="center"/>
              <w:rPr>
                <w:rFonts w:eastAsia="Times New Roman"/>
                <w:color w:val="000000"/>
              </w:rPr>
            </w:pPr>
            <w:r>
              <w:rPr>
                <w:rFonts w:eastAsia="Times New Roman"/>
                <w:color w:val="000000"/>
              </w:rPr>
              <w:t>-0.52 ± 0.80</w:t>
            </w:r>
          </w:p>
        </w:tc>
        <w:tc>
          <w:tcPr>
            <w:tcW w:w="1281" w:type="dxa"/>
            <w:shd w:val="clear" w:color="auto" w:fill="auto"/>
            <w:vAlign w:val="bottom"/>
          </w:tcPr>
          <w:p w14:paraId="388766C1" w14:textId="77777777" w:rsidR="00F824BE" w:rsidRDefault="00F824BE" w:rsidP="0018431C">
            <w:pPr>
              <w:jc w:val="center"/>
              <w:rPr>
                <w:rFonts w:eastAsia="Times New Roman"/>
                <w:color w:val="000000"/>
              </w:rPr>
            </w:pPr>
            <w:r>
              <w:rPr>
                <w:rFonts w:eastAsia="Times New Roman"/>
                <w:color w:val="000000"/>
              </w:rPr>
              <w:t>0.6</w:t>
            </w:r>
          </w:p>
        </w:tc>
        <w:tc>
          <w:tcPr>
            <w:tcW w:w="1464" w:type="dxa"/>
            <w:gridSpan w:val="2"/>
            <w:shd w:val="clear" w:color="auto" w:fill="auto"/>
            <w:vAlign w:val="bottom"/>
          </w:tcPr>
          <w:p w14:paraId="3D7DC99D" w14:textId="77777777" w:rsidR="00F824BE" w:rsidRDefault="00F824BE" w:rsidP="0018431C">
            <w:pPr>
              <w:jc w:val="center"/>
              <w:rPr>
                <w:rFonts w:eastAsia="Times New Roman"/>
                <w:color w:val="000000"/>
              </w:rPr>
            </w:pPr>
            <w:r>
              <w:rPr>
                <w:rFonts w:eastAsia="Times New Roman"/>
                <w:color w:val="000000"/>
              </w:rPr>
              <w:t>-0.43 ± 0.94</w:t>
            </w:r>
          </w:p>
        </w:tc>
        <w:tc>
          <w:tcPr>
            <w:tcW w:w="1297" w:type="dxa"/>
            <w:shd w:val="clear" w:color="auto" w:fill="auto"/>
            <w:vAlign w:val="bottom"/>
          </w:tcPr>
          <w:p w14:paraId="1DAC5B29" w14:textId="77777777" w:rsidR="00F824BE" w:rsidRDefault="00F824BE" w:rsidP="0018431C">
            <w:pPr>
              <w:jc w:val="center"/>
              <w:rPr>
                <w:rFonts w:eastAsia="Times New Roman"/>
                <w:color w:val="000000"/>
              </w:rPr>
            </w:pPr>
            <w:r>
              <w:rPr>
                <w:rFonts w:eastAsia="Times New Roman"/>
                <w:color w:val="000000"/>
              </w:rPr>
              <w:t>0.6</w:t>
            </w:r>
          </w:p>
        </w:tc>
        <w:tc>
          <w:tcPr>
            <w:tcW w:w="1462" w:type="dxa"/>
            <w:shd w:val="clear" w:color="auto" w:fill="auto"/>
            <w:vAlign w:val="bottom"/>
          </w:tcPr>
          <w:p w14:paraId="7832068A" w14:textId="77777777" w:rsidR="00F824BE" w:rsidRDefault="00F824BE" w:rsidP="0018431C">
            <w:pPr>
              <w:jc w:val="center"/>
              <w:rPr>
                <w:rFonts w:eastAsia="Times New Roman"/>
                <w:color w:val="000000"/>
              </w:rPr>
            </w:pPr>
            <w:r>
              <w:rPr>
                <w:rFonts w:eastAsia="Times New Roman"/>
                <w:color w:val="000000"/>
              </w:rPr>
              <w:t>-0.18 ± 0.89</w:t>
            </w:r>
          </w:p>
        </w:tc>
        <w:tc>
          <w:tcPr>
            <w:tcW w:w="1284" w:type="dxa"/>
            <w:shd w:val="clear" w:color="auto" w:fill="auto"/>
            <w:vAlign w:val="bottom"/>
          </w:tcPr>
          <w:p w14:paraId="3231C363" w14:textId="77777777" w:rsidR="00F824BE" w:rsidRDefault="00F824BE" w:rsidP="0018431C">
            <w:pPr>
              <w:jc w:val="center"/>
              <w:rPr>
                <w:rFonts w:eastAsia="Times New Roman"/>
                <w:color w:val="000000"/>
              </w:rPr>
            </w:pPr>
            <w:r>
              <w:rPr>
                <w:rFonts w:eastAsia="Times New Roman"/>
                <w:color w:val="000000"/>
              </w:rPr>
              <w:t>0.9</w:t>
            </w:r>
          </w:p>
        </w:tc>
        <w:tc>
          <w:tcPr>
            <w:tcW w:w="1613" w:type="dxa"/>
            <w:gridSpan w:val="2"/>
            <w:shd w:val="clear" w:color="auto" w:fill="auto"/>
            <w:vAlign w:val="bottom"/>
          </w:tcPr>
          <w:p w14:paraId="3A216C21" w14:textId="77777777" w:rsidR="00F824BE" w:rsidRDefault="00F824BE" w:rsidP="0018431C">
            <w:pPr>
              <w:jc w:val="center"/>
              <w:rPr>
                <w:rFonts w:eastAsia="Times New Roman"/>
                <w:color w:val="000000"/>
              </w:rPr>
            </w:pPr>
            <w:r>
              <w:rPr>
                <w:rFonts w:eastAsia="Times New Roman"/>
                <w:color w:val="000000"/>
              </w:rPr>
              <w:t>0.43 ± 0.94</w:t>
            </w:r>
          </w:p>
        </w:tc>
        <w:tc>
          <w:tcPr>
            <w:tcW w:w="1288" w:type="dxa"/>
            <w:shd w:val="clear" w:color="auto" w:fill="auto"/>
            <w:vAlign w:val="bottom"/>
          </w:tcPr>
          <w:p w14:paraId="2F3E0C8D" w14:textId="77777777" w:rsidR="00F824BE" w:rsidRDefault="00F824BE" w:rsidP="0018431C">
            <w:pPr>
              <w:jc w:val="center"/>
              <w:rPr>
                <w:rFonts w:eastAsia="Times New Roman"/>
                <w:color w:val="000000"/>
              </w:rPr>
            </w:pPr>
            <w:r>
              <w:rPr>
                <w:rFonts w:eastAsia="Times New Roman"/>
                <w:color w:val="000000"/>
              </w:rPr>
              <w:t>0.6</w:t>
            </w:r>
          </w:p>
        </w:tc>
      </w:tr>
      <w:tr w:rsidR="00F824BE" w14:paraId="282F2307" w14:textId="77777777" w:rsidTr="00481C82">
        <w:trPr>
          <w:trHeight w:val="156"/>
        </w:trPr>
        <w:tc>
          <w:tcPr>
            <w:tcW w:w="234" w:type="dxa"/>
            <w:shd w:val="clear" w:color="auto" w:fill="auto"/>
          </w:tcPr>
          <w:p w14:paraId="57D04570" w14:textId="77777777" w:rsidR="00F824BE" w:rsidRDefault="00F824BE" w:rsidP="0018431C"/>
        </w:tc>
        <w:tc>
          <w:tcPr>
            <w:tcW w:w="3495" w:type="dxa"/>
            <w:gridSpan w:val="2"/>
            <w:shd w:val="clear" w:color="auto" w:fill="auto"/>
            <w:vAlign w:val="bottom"/>
          </w:tcPr>
          <w:p w14:paraId="6C04BF83" w14:textId="77777777" w:rsidR="00F824BE" w:rsidRDefault="00F824BE" w:rsidP="0018431C">
            <w:pPr>
              <w:jc w:val="center"/>
              <w:rPr>
                <w:rFonts w:eastAsia="Times New Roman"/>
                <w:color w:val="000000"/>
              </w:rPr>
            </w:pPr>
            <w:r>
              <w:rPr>
                <w:rFonts w:eastAsia="Times New Roman"/>
                <w:color w:val="000000"/>
              </w:rPr>
              <w:t>Synovitis, Impingement, Bursitis</w:t>
            </w:r>
          </w:p>
        </w:tc>
        <w:tc>
          <w:tcPr>
            <w:tcW w:w="1643" w:type="dxa"/>
            <w:shd w:val="clear" w:color="auto" w:fill="auto"/>
            <w:vAlign w:val="bottom"/>
          </w:tcPr>
          <w:p w14:paraId="0D33FF07" w14:textId="77777777" w:rsidR="00F824BE" w:rsidRDefault="00F824BE" w:rsidP="0018431C">
            <w:pPr>
              <w:jc w:val="center"/>
              <w:rPr>
                <w:rFonts w:eastAsia="Times New Roman"/>
                <w:color w:val="000000"/>
              </w:rPr>
            </w:pPr>
            <w:r>
              <w:rPr>
                <w:rFonts w:eastAsia="Times New Roman"/>
                <w:color w:val="000000"/>
              </w:rPr>
              <w:t>-0.07 ± 0.61</w:t>
            </w:r>
          </w:p>
        </w:tc>
        <w:tc>
          <w:tcPr>
            <w:tcW w:w="1281" w:type="dxa"/>
            <w:shd w:val="clear" w:color="auto" w:fill="auto"/>
            <w:vAlign w:val="bottom"/>
          </w:tcPr>
          <w:p w14:paraId="1ECB5B87" w14:textId="77777777" w:rsidR="00F824BE" w:rsidRDefault="00F824BE" w:rsidP="0018431C">
            <w:pPr>
              <w:jc w:val="center"/>
              <w:rPr>
                <w:rFonts w:eastAsia="Times New Roman"/>
                <w:color w:val="000000"/>
              </w:rPr>
            </w:pPr>
            <w:r>
              <w:rPr>
                <w:rFonts w:eastAsia="Times New Roman"/>
                <w:color w:val="000000"/>
              </w:rPr>
              <w:t>0.9</w:t>
            </w:r>
          </w:p>
        </w:tc>
        <w:tc>
          <w:tcPr>
            <w:tcW w:w="1464" w:type="dxa"/>
            <w:gridSpan w:val="2"/>
            <w:shd w:val="clear" w:color="auto" w:fill="auto"/>
            <w:vAlign w:val="bottom"/>
          </w:tcPr>
          <w:p w14:paraId="7A83156B" w14:textId="77777777" w:rsidR="00F824BE" w:rsidRDefault="00F824BE" w:rsidP="0018431C">
            <w:pPr>
              <w:jc w:val="center"/>
              <w:rPr>
                <w:rFonts w:eastAsia="Times New Roman"/>
                <w:color w:val="000000"/>
              </w:rPr>
            </w:pPr>
            <w:r>
              <w:rPr>
                <w:rFonts w:eastAsia="Times New Roman"/>
                <w:color w:val="000000"/>
              </w:rPr>
              <w:t>-0.24 ± 0.98</w:t>
            </w:r>
          </w:p>
        </w:tc>
        <w:tc>
          <w:tcPr>
            <w:tcW w:w="1297" w:type="dxa"/>
            <w:shd w:val="clear" w:color="auto" w:fill="auto"/>
            <w:vAlign w:val="bottom"/>
          </w:tcPr>
          <w:p w14:paraId="11D99FBD" w14:textId="77777777" w:rsidR="00F824BE" w:rsidRDefault="00F824BE" w:rsidP="0018431C">
            <w:pPr>
              <w:jc w:val="center"/>
              <w:rPr>
                <w:rFonts w:eastAsia="Times New Roman"/>
                <w:color w:val="000000"/>
              </w:rPr>
            </w:pPr>
            <w:r>
              <w:rPr>
                <w:rFonts w:eastAsia="Times New Roman"/>
                <w:color w:val="000000"/>
              </w:rPr>
              <w:t>0.8</w:t>
            </w:r>
          </w:p>
        </w:tc>
        <w:tc>
          <w:tcPr>
            <w:tcW w:w="1462" w:type="dxa"/>
            <w:shd w:val="clear" w:color="auto" w:fill="auto"/>
            <w:vAlign w:val="bottom"/>
          </w:tcPr>
          <w:p w14:paraId="64D1BE7F" w14:textId="77777777" w:rsidR="00F824BE" w:rsidRDefault="00F824BE" w:rsidP="0018431C">
            <w:pPr>
              <w:jc w:val="center"/>
              <w:rPr>
                <w:rFonts w:eastAsia="Times New Roman"/>
                <w:color w:val="000000"/>
              </w:rPr>
            </w:pPr>
            <w:r>
              <w:rPr>
                <w:rFonts w:eastAsia="Times New Roman"/>
                <w:color w:val="000000"/>
              </w:rPr>
              <w:t>0.44 ± 0.78</w:t>
            </w:r>
          </w:p>
        </w:tc>
        <w:tc>
          <w:tcPr>
            <w:tcW w:w="1284" w:type="dxa"/>
            <w:shd w:val="clear" w:color="auto" w:fill="auto"/>
            <w:vAlign w:val="bottom"/>
          </w:tcPr>
          <w:p w14:paraId="5D85E7C0" w14:textId="77777777" w:rsidR="00F824BE" w:rsidRDefault="00F824BE" w:rsidP="0018431C">
            <w:pPr>
              <w:jc w:val="center"/>
              <w:rPr>
                <w:rFonts w:eastAsia="Times New Roman"/>
                <w:color w:val="000000"/>
              </w:rPr>
            </w:pPr>
            <w:r>
              <w:rPr>
                <w:rFonts w:eastAsia="Times New Roman"/>
                <w:color w:val="000000"/>
              </w:rPr>
              <w:t>1.7</w:t>
            </w:r>
          </w:p>
        </w:tc>
        <w:tc>
          <w:tcPr>
            <w:tcW w:w="1613" w:type="dxa"/>
            <w:gridSpan w:val="2"/>
            <w:shd w:val="clear" w:color="auto" w:fill="auto"/>
            <w:vAlign w:val="bottom"/>
          </w:tcPr>
          <w:p w14:paraId="751893E1" w14:textId="77777777" w:rsidR="00F824BE" w:rsidRDefault="00F824BE" w:rsidP="0018431C">
            <w:pPr>
              <w:jc w:val="center"/>
              <w:rPr>
                <w:rFonts w:eastAsia="Times New Roman"/>
                <w:color w:val="000000"/>
              </w:rPr>
            </w:pPr>
            <w:r>
              <w:rPr>
                <w:rFonts w:eastAsia="Times New Roman"/>
                <w:color w:val="000000"/>
              </w:rPr>
              <w:t>0.15 ± 1.42</w:t>
            </w:r>
          </w:p>
        </w:tc>
        <w:tc>
          <w:tcPr>
            <w:tcW w:w="1288" w:type="dxa"/>
            <w:shd w:val="clear" w:color="auto" w:fill="auto"/>
            <w:vAlign w:val="bottom"/>
          </w:tcPr>
          <w:p w14:paraId="4AEE047E" w14:textId="77777777" w:rsidR="00F824BE" w:rsidRDefault="00F824BE" w:rsidP="0018431C">
            <w:pPr>
              <w:jc w:val="center"/>
              <w:rPr>
                <w:rFonts w:eastAsia="Times New Roman"/>
                <w:color w:val="000000"/>
              </w:rPr>
            </w:pPr>
            <w:r>
              <w:rPr>
                <w:rFonts w:eastAsia="Times New Roman"/>
                <w:color w:val="000000"/>
              </w:rPr>
              <w:t>1.1</w:t>
            </w:r>
          </w:p>
        </w:tc>
      </w:tr>
      <w:tr w:rsidR="00F824BE" w14:paraId="5A659A11" w14:textId="77777777" w:rsidTr="00481C82">
        <w:trPr>
          <w:trHeight w:val="156"/>
        </w:trPr>
        <w:tc>
          <w:tcPr>
            <w:tcW w:w="234" w:type="dxa"/>
            <w:shd w:val="clear" w:color="auto" w:fill="auto"/>
          </w:tcPr>
          <w:p w14:paraId="335F816F" w14:textId="77777777" w:rsidR="00F824BE" w:rsidRDefault="00F824BE" w:rsidP="0018431C"/>
        </w:tc>
        <w:tc>
          <w:tcPr>
            <w:tcW w:w="3495" w:type="dxa"/>
            <w:gridSpan w:val="2"/>
            <w:shd w:val="clear" w:color="auto" w:fill="auto"/>
            <w:vAlign w:val="bottom"/>
          </w:tcPr>
          <w:p w14:paraId="71F55A82" w14:textId="77777777" w:rsidR="00F824BE" w:rsidRDefault="00F824BE" w:rsidP="0018431C">
            <w:pPr>
              <w:jc w:val="center"/>
              <w:rPr>
                <w:rFonts w:eastAsia="Times New Roman"/>
                <w:color w:val="000000"/>
              </w:rPr>
            </w:pPr>
            <w:r>
              <w:rPr>
                <w:rFonts w:eastAsia="Times New Roman"/>
                <w:color w:val="000000"/>
              </w:rPr>
              <w:t>Cartilage Injury</w:t>
            </w:r>
          </w:p>
        </w:tc>
        <w:tc>
          <w:tcPr>
            <w:tcW w:w="1643" w:type="dxa"/>
            <w:shd w:val="clear" w:color="auto" w:fill="auto"/>
            <w:vAlign w:val="bottom"/>
          </w:tcPr>
          <w:p w14:paraId="6C9E2F99" w14:textId="77777777" w:rsidR="00F824BE" w:rsidRDefault="00F824BE" w:rsidP="0018431C">
            <w:pPr>
              <w:jc w:val="center"/>
              <w:rPr>
                <w:rFonts w:eastAsia="Times New Roman"/>
                <w:color w:val="000000"/>
              </w:rPr>
            </w:pPr>
            <w:r>
              <w:rPr>
                <w:rFonts w:eastAsia="Times New Roman"/>
                <w:color w:val="000000"/>
              </w:rPr>
              <w:t>-0.00 ± 0.20</w:t>
            </w:r>
          </w:p>
        </w:tc>
        <w:tc>
          <w:tcPr>
            <w:tcW w:w="1281" w:type="dxa"/>
            <w:shd w:val="clear" w:color="auto" w:fill="auto"/>
            <w:vAlign w:val="bottom"/>
          </w:tcPr>
          <w:p w14:paraId="0B9502E3" w14:textId="77777777" w:rsidR="00F824BE" w:rsidRDefault="00F824BE" w:rsidP="0018431C">
            <w:pPr>
              <w:jc w:val="center"/>
              <w:rPr>
                <w:rFonts w:eastAsia="Times New Roman"/>
                <w:color w:val="000000"/>
              </w:rPr>
            </w:pPr>
            <w:r>
              <w:rPr>
                <w:rFonts w:eastAsia="Times New Roman"/>
                <w:color w:val="000000"/>
              </w:rPr>
              <w:t>1.0</w:t>
            </w:r>
          </w:p>
        </w:tc>
        <w:tc>
          <w:tcPr>
            <w:tcW w:w="1464" w:type="dxa"/>
            <w:gridSpan w:val="2"/>
            <w:shd w:val="clear" w:color="auto" w:fill="auto"/>
            <w:vAlign w:val="bottom"/>
          </w:tcPr>
          <w:p w14:paraId="6E9C6D25" w14:textId="77777777" w:rsidR="00F824BE" w:rsidRDefault="00F824BE" w:rsidP="0018431C">
            <w:pPr>
              <w:jc w:val="center"/>
              <w:rPr>
                <w:rFonts w:eastAsia="Times New Roman"/>
                <w:color w:val="000000"/>
              </w:rPr>
            </w:pPr>
            <w:r>
              <w:rPr>
                <w:rFonts w:eastAsia="Times New Roman"/>
                <w:color w:val="000000"/>
              </w:rPr>
              <w:t>-0.93 ± 1.13</w:t>
            </w:r>
          </w:p>
        </w:tc>
        <w:tc>
          <w:tcPr>
            <w:tcW w:w="1297" w:type="dxa"/>
            <w:shd w:val="clear" w:color="auto" w:fill="auto"/>
            <w:vAlign w:val="bottom"/>
          </w:tcPr>
          <w:p w14:paraId="02140481" w14:textId="77777777" w:rsidR="00F824BE" w:rsidRDefault="00F824BE" w:rsidP="0018431C">
            <w:pPr>
              <w:jc w:val="center"/>
              <w:rPr>
                <w:rFonts w:eastAsia="Times New Roman"/>
                <w:color w:val="000000"/>
              </w:rPr>
            </w:pPr>
            <w:r>
              <w:rPr>
                <w:rFonts w:eastAsia="Times New Roman"/>
                <w:color w:val="000000"/>
              </w:rPr>
              <w:t>0.2</w:t>
            </w:r>
          </w:p>
        </w:tc>
        <w:tc>
          <w:tcPr>
            <w:tcW w:w="1462" w:type="dxa"/>
            <w:shd w:val="clear" w:color="auto" w:fill="auto"/>
            <w:vAlign w:val="bottom"/>
          </w:tcPr>
          <w:p w14:paraId="54FD773E" w14:textId="77777777" w:rsidR="00F824BE" w:rsidRDefault="00F824BE" w:rsidP="0018431C">
            <w:pPr>
              <w:jc w:val="center"/>
              <w:rPr>
                <w:rFonts w:eastAsia="Times New Roman"/>
                <w:color w:val="000000"/>
              </w:rPr>
            </w:pPr>
            <w:r>
              <w:rPr>
                <w:rFonts w:eastAsia="Times New Roman"/>
                <w:color w:val="000000"/>
              </w:rPr>
              <w:t>0.06 ± 0.29</w:t>
            </w:r>
          </w:p>
        </w:tc>
        <w:tc>
          <w:tcPr>
            <w:tcW w:w="1284" w:type="dxa"/>
            <w:shd w:val="clear" w:color="auto" w:fill="auto"/>
            <w:vAlign w:val="bottom"/>
          </w:tcPr>
          <w:p w14:paraId="1AD47014" w14:textId="77777777" w:rsidR="00F824BE" w:rsidRDefault="00F824BE" w:rsidP="0018431C">
            <w:pPr>
              <w:jc w:val="center"/>
              <w:rPr>
                <w:rFonts w:eastAsia="Times New Roman"/>
                <w:color w:val="000000"/>
              </w:rPr>
            </w:pPr>
            <w:r>
              <w:rPr>
                <w:rFonts w:eastAsia="Times New Roman"/>
                <w:color w:val="000000"/>
              </w:rPr>
              <w:t>1.6</w:t>
            </w:r>
          </w:p>
        </w:tc>
        <w:tc>
          <w:tcPr>
            <w:tcW w:w="1613" w:type="dxa"/>
            <w:gridSpan w:val="2"/>
            <w:shd w:val="clear" w:color="auto" w:fill="auto"/>
            <w:vAlign w:val="bottom"/>
          </w:tcPr>
          <w:p w14:paraId="62DC5E9E" w14:textId="77777777" w:rsidR="00F824BE" w:rsidRDefault="00F824BE" w:rsidP="0018431C">
            <w:pPr>
              <w:jc w:val="center"/>
              <w:rPr>
                <w:rFonts w:eastAsia="Times New Roman"/>
                <w:color w:val="000000"/>
              </w:rPr>
            </w:pPr>
            <w:r>
              <w:rPr>
                <w:rFonts w:eastAsia="Times New Roman"/>
                <w:color w:val="000000"/>
              </w:rPr>
              <w:t>-0.20 ± 2.00</w:t>
            </w:r>
          </w:p>
        </w:tc>
        <w:tc>
          <w:tcPr>
            <w:tcW w:w="1288" w:type="dxa"/>
            <w:shd w:val="clear" w:color="auto" w:fill="auto"/>
            <w:vAlign w:val="bottom"/>
          </w:tcPr>
          <w:p w14:paraId="3B26CBCF" w14:textId="77777777" w:rsidR="00F824BE" w:rsidRDefault="00F824BE" w:rsidP="0018431C">
            <w:pPr>
              <w:jc w:val="center"/>
              <w:rPr>
                <w:rFonts w:eastAsia="Times New Roman"/>
                <w:color w:val="000000"/>
              </w:rPr>
            </w:pPr>
            <w:r>
              <w:rPr>
                <w:rFonts w:eastAsia="Times New Roman"/>
                <w:color w:val="000000"/>
              </w:rPr>
              <w:t>-1.2</w:t>
            </w:r>
          </w:p>
        </w:tc>
      </w:tr>
      <w:tr w:rsidR="00F824BE" w14:paraId="6619B2FB" w14:textId="77777777" w:rsidTr="00481C82">
        <w:trPr>
          <w:trHeight w:val="156"/>
        </w:trPr>
        <w:tc>
          <w:tcPr>
            <w:tcW w:w="234" w:type="dxa"/>
            <w:shd w:val="clear" w:color="auto" w:fill="auto"/>
          </w:tcPr>
          <w:p w14:paraId="06D45E2A" w14:textId="77777777" w:rsidR="00F824BE" w:rsidRDefault="00F824BE" w:rsidP="0018431C"/>
        </w:tc>
        <w:tc>
          <w:tcPr>
            <w:tcW w:w="3495" w:type="dxa"/>
            <w:gridSpan w:val="2"/>
            <w:shd w:val="clear" w:color="auto" w:fill="auto"/>
            <w:vAlign w:val="bottom"/>
          </w:tcPr>
          <w:p w14:paraId="1C2D1886" w14:textId="77777777" w:rsidR="00F824BE" w:rsidRDefault="00F824BE" w:rsidP="0018431C">
            <w:pPr>
              <w:jc w:val="center"/>
              <w:rPr>
                <w:rFonts w:eastAsia="Times New Roman"/>
                <w:color w:val="000000"/>
              </w:rPr>
            </w:pPr>
            <w:r>
              <w:rPr>
                <w:rFonts w:eastAsia="Times New Roman"/>
                <w:color w:val="000000"/>
              </w:rPr>
              <w:t>Stress Fracture</w:t>
            </w:r>
          </w:p>
        </w:tc>
        <w:tc>
          <w:tcPr>
            <w:tcW w:w="1643" w:type="dxa"/>
            <w:shd w:val="clear" w:color="auto" w:fill="auto"/>
            <w:vAlign w:val="bottom"/>
          </w:tcPr>
          <w:p w14:paraId="0912870D" w14:textId="77777777" w:rsidR="00F824BE" w:rsidRDefault="00F824BE" w:rsidP="0018431C">
            <w:pPr>
              <w:jc w:val="center"/>
              <w:rPr>
                <w:rFonts w:eastAsia="Times New Roman"/>
                <w:color w:val="000000"/>
              </w:rPr>
            </w:pPr>
            <w:r>
              <w:rPr>
                <w:rFonts w:eastAsia="Times New Roman"/>
                <w:color w:val="000000"/>
              </w:rPr>
              <w:t>0.05 ± 0.27</w:t>
            </w:r>
          </w:p>
        </w:tc>
        <w:tc>
          <w:tcPr>
            <w:tcW w:w="1281" w:type="dxa"/>
            <w:shd w:val="clear" w:color="auto" w:fill="auto"/>
            <w:vAlign w:val="bottom"/>
          </w:tcPr>
          <w:p w14:paraId="26D3C44F" w14:textId="77777777" w:rsidR="00F824BE" w:rsidRDefault="00F824BE" w:rsidP="0018431C">
            <w:pPr>
              <w:jc w:val="center"/>
              <w:rPr>
                <w:rFonts w:eastAsia="Times New Roman"/>
                <w:color w:val="000000"/>
              </w:rPr>
            </w:pPr>
            <w:r>
              <w:rPr>
                <w:rFonts w:eastAsia="Times New Roman"/>
                <w:color w:val="000000"/>
              </w:rPr>
              <w:t>2.1</w:t>
            </w:r>
          </w:p>
        </w:tc>
        <w:tc>
          <w:tcPr>
            <w:tcW w:w="1464" w:type="dxa"/>
            <w:gridSpan w:val="2"/>
            <w:shd w:val="clear" w:color="auto" w:fill="auto"/>
            <w:vAlign w:val="bottom"/>
          </w:tcPr>
          <w:p w14:paraId="251EC239" w14:textId="77777777" w:rsidR="00F824BE" w:rsidRDefault="00F824BE" w:rsidP="0018431C">
            <w:pPr>
              <w:jc w:val="center"/>
              <w:rPr>
                <w:rFonts w:eastAsia="Times New Roman"/>
                <w:color w:val="000000"/>
              </w:rPr>
            </w:pPr>
            <w:r>
              <w:rPr>
                <w:rFonts w:eastAsia="Times New Roman"/>
                <w:color w:val="000000"/>
              </w:rPr>
              <w:t>0.69 ± 1.02</w:t>
            </w:r>
          </w:p>
        </w:tc>
        <w:tc>
          <w:tcPr>
            <w:tcW w:w="1297" w:type="dxa"/>
            <w:shd w:val="clear" w:color="auto" w:fill="auto"/>
            <w:vAlign w:val="bottom"/>
          </w:tcPr>
          <w:p w14:paraId="280DCF0A" w14:textId="77777777" w:rsidR="00F824BE" w:rsidRDefault="00F824BE" w:rsidP="0018431C">
            <w:pPr>
              <w:jc w:val="center"/>
              <w:rPr>
                <w:rFonts w:eastAsia="Times New Roman"/>
                <w:color w:val="000000"/>
              </w:rPr>
            </w:pPr>
            <w:r>
              <w:rPr>
                <w:rFonts w:eastAsia="Times New Roman"/>
                <w:color w:val="000000"/>
              </w:rPr>
              <w:t>8.3</w:t>
            </w:r>
          </w:p>
        </w:tc>
        <w:tc>
          <w:tcPr>
            <w:tcW w:w="1462" w:type="dxa"/>
            <w:shd w:val="clear" w:color="auto" w:fill="auto"/>
            <w:vAlign w:val="bottom"/>
          </w:tcPr>
          <w:p w14:paraId="34CC6D4D" w14:textId="77777777" w:rsidR="00F824BE" w:rsidRDefault="00F824BE" w:rsidP="0018431C">
            <w:pPr>
              <w:jc w:val="center"/>
              <w:rPr>
                <w:rFonts w:eastAsia="Times New Roman"/>
                <w:color w:val="000000"/>
              </w:rPr>
            </w:pPr>
            <w:r>
              <w:rPr>
                <w:rFonts w:eastAsia="Times New Roman"/>
                <w:color w:val="000000"/>
              </w:rPr>
              <w:t>0.23 ± 0.49</w:t>
            </w:r>
          </w:p>
        </w:tc>
        <w:tc>
          <w:tcPr>
            <w:tcW w:w="1284" w:type="dxa"/>
            <w:shd w:val="clear" w:color="auto" w:fill="auto"/>
            <w:vAlign w:val="bottom"/>
          </w:tcPr>
          <w:p w14:paraId="218A056E" w14:textId="77777777" w:rsidR="00F824BE" w:rsidRDefault="00F824BE" w:rsidP="0018431C">
            <w:pPr>
              <w:jc w:val="center"/>
              <w:rPr>
                <w:rFonts w:eastAsia="Times New Roman"/>
                <w:color w:val="000000"/>
              </w:rPr>
            </w:pPr>
            <w:r>
              <w:rPr>
                <w:rFonts w:eastAsia="Times New Roman"/>
                <w:color w:val="000000"/>
              </w:rPr>
              <w:t>2.4</w:t>
            </w:r>
          </w:p>
        </w:tc>
        <w:tc>
          <w:tcPr>
            <w:tcW w:w="1613" w:type="dxa"/>
            <w:gridSpan w:val="2"/>
            <w:shd w:val="clear" w:color="auto" w:fill="auto"/>
            <w:vAlign w:val="bottom"/>
          </w:tcPr>
          <w:p w14:paraId="46FF1A5D" w14:textId="77777777" w:rsidR="00F824BE" w:rsidRDefault="00F824BE" w:rsidP="0018431C">
            <w:pPr>
              <w:jc w:val="center"/>
              <w:rPr>
                <w:rFonts w:eastAsia="Times New Roman"/>
                <w:color w:val="000000"/>
              </w:rPr>
            </w:pPr>
            <w:r>
              <w:rPr>
                <w:rFonts w:eastAsia="Times New Roman"/>
                <w:color w:val="000000"/>
              </w:rPr>
              <w:t>0.70 ± 0.84</w:t>
            </w:r>
          </w:p>
        </w:tc>
        <w:tc>
          <w:tcPr>
            <w:tcW w:w="1288" w:type="dxa"/>
            <w:shd w:val="clear" w:color="auto" w:fill="auto"/>
            <w:vAlign w:val="bottom"/>
          </w:tcPr>
          <w:p w14:paraId="43A32D9D" w14:textId="77777777" w:rsidR="00F824BE" w:rsidRDefault="00F824BE" w:rsidP="0018431C">
            <w:pPr>
              <w:jc w:val="center"/>
              <w:rPr>
                <w:rFonts w:eastAsia="Times New Roman"/>
                <w:color w:val="000000"/>
              </w:rPr>
            </w:pPr>
            <w:r>
              <w:rPr>
                <w:rFonts w:eastAsia="Times New Roman"/>
                <w:color w:val="000000"/>
              </w:rPr>
              <w:t>4.0</w:t>
            </w:r>
          </w:p>
        </w:tc>
      </w:tr>
      <w:tr w:rsidR="00F824BE" w14:paraId="03B292C0" w14:textId="77777777" w:rsidTr="00481C82">
        <w:trPr>
          <w:trHeight w:val="156"/>
        </w:trPr>
        <w:tc>
          <w:tcPr>
            <w:tcW w:w="234" w:type="dxa"/>
            <w:shd w:val="clear" w:color="auto" w:fill="auto"/>
          </w:tcPr>
          <w:p w14:paraId="02F423F3" w14:textId="77777777" w:rsidR="00F824BE" w:rsidRDefault="00F824BE" w:rsidP="0018431C"/>
        </w:tc>
        <w:tc>
          <w:tcPr>
            <w:tcW w:w="3495" w:type="dxa"/>
            <w:gridSpan w:val="2"/>
            <w:shd w:val="clear" w:color="auto" w:fill="auto"/>
            <w:vAlign w:val="bottom"/>
          </w:tcPr>
          <w:p w14:paraId="6B13CFCE" w14:textId="77777777" w:rsidR="00F824BE" w:rsidRDefault="00F824BE" w:rsidP="0018431C">
            <w:pPr>
              <w:jc w:val="center"/>
              <w:rPr>
                <w:rFonts w:eastAsia="Times New Roman"/>
                <w:color w:val="000000"/>
              </w:rPr>
            </w:pPr>
            <w:r>
              <w:rPr>
                <w:rFonts w:eastAsia="Times New Roman"/>
                <w:color w:val="000000"/>
              </w:rPr>
              <w:t>Organ Injury</w:t>
            </w:r>
          </w:p>
        </w:tc>
        <w:tc>
          <w:tcPr>
            <w:tcW w:w="1643" w:type="dxa"/>
            <w:shd w:val="clear" w:color="auto" w:fill="auto"/>
            <w:vAlign w:val="bottom"/>
          </w:tcPr>
          <w:p w14:paraId="72180A52" w14:textId="77777777" w:rsidR="00F824BE" w:rsidRDefault="00F824BE" w:rsidP="0018431C">
            <w:pPr>
              <w:jc w:val="center"/>
              <w:rPr>
                <w:rFonts w:eastAsia="Times New Roman"/>
                <w:color w:val="000000"/>
              </w:rPr>
            </w:pPr>
            <w:r>
              <w:rPr>
                <w:rFonts w:eastAsia="Times New Roman"/>
                <w:color w:val="000000"/>
              </w:rPr>
              <w:t>-0.00 ± 0.18</w:t>
            </w:r>
          </w:p>
        </w:tc>
        <w:tc>
          <w:tcPr>
            <w:tcW w:w="1281" w:type="dxa"/>
            <w:shd w:val="clear" w:color="auto" w:fill="auto"/>
            <w:vAlign w:val="bottom"/>
          </w:tcPr>
          <w:p w14:paraId="1F50DFB5" w14:textId="77777777" w:rsidR="00F824BE" w:rsidRDefault="00F824BE" w:rsidP="0018431C">
            <w:pPr>
              <w:jc w:val="center"/>
              <w:rPr>
                <w:rFonts w:eastAsia="Times New Roman"/>
                <w:color w:val="000000"/>
              </w:rPr>
            </w:pPr>
            <w:r>
              <w:rPr>
                <w:rFonts w:eastAsia="Times New Roman"/>
                <w:color w:val="000000"/>
              </w:rPr>
              <w:t>0.9</w:t>
            </w:r>
          </w:p>
        </w:tc>
        <w:tc>
          <w:tcPr>
            <w:tcW w:w="1464" w:type="dxa"/>
            <w:gridSpan w:val="2"/>
            <w:shd w:val="clear" w:color="auto" w:fill="auto"/>
            <w:vAlign w:val="bottom"/>
          </w:tcPr>
          <w:p w14:paraId="7CA2D63A" w14:textId="77777777" w:rsidR="00F824BE" w:rsidRDefault="00F824BE" w:rsidP="0018431C">
            <w:pPr>
              <w:jc w:val="center"/>
              <w:rPr>
                <w:rFonts w:eastAsia="Times New Roman"/>
                <w:color w:val="000000"/>
              </w:rPr>
            </w:pPr>
            <w:r>
              <w:rPr>
                <w:rFonts w:eastAsia="Times New Roman"/>
                <w:color w:val="000000"/>
              </w:rPr>
              <w:t>0.00 ± 0.00</w:t>
            </w:r>
          </w:p>
        </w:tc>
        <w:tc>
          <w:tcPr>
            <w:tcW w:w="1297" w:type="dxa"/>
            <w:shd w:val="clear" w:color="auto" w:fill="auto"/>
            <w:vAlign w:val="bottom"/>
          </w:tcPr>
          <w:p w14:paraId="0E01671C" w14:textId="77777777" w:rsidR="00F824BE" w:rsidRDefault="00F824BE" w:rsidP="0018431C">
            <w:pPr>
              <w:jc w:val="center"/>
              <w:rPr>
                <w:rFonts w:eastAsia="Times New Roman"/>
                <w:color w:val="000000"/>
              </w:rPr>
            </w:pPr>
            <w:r>
              <w:rPr>
                <w:rFonts w:eastAsia="Times New Roman"/>
                <w:color w:val="000000"/>
              </w:rPr>
              <w:t>0.0</w:t>
            </w:r>
          </w:p>
        </w:tc>
        <w:tc>
          <w:tcPr>
            <w:tcW w:w="1462" w:type="dxa"/>
            <w:shd w:val="clear" w:color="auto" w:fill="auto"/>
            <w:vAlign w:val="bottom"/>
          </w:tcPr>
          <w:p w14:paraId="66DD5059" w14:textId="77777777" w:rsidR="00F824BE" w:rsidRDefault="00F824BE" w:rsidP="0018431C">
            <w:pPr>
              <w:jc w:val="center"/>
              <w:rPr>
                <w:rFonts w:eastAsia="Times New Roman"/>
                <w:color w:val="000000"/>
              </w:rPr>
            </w:pPr>
            <w:r>
              <w:rPr>
                <w:rFonts w:eastAsia="Times New Roman"/>
                <w:color w:val="000000"/>
              </w:rPr>
              <w:t>-0.12 ± 0.28</w:t>
            </w:r>
          </w:p>
        </w:tc>
        <w:tc>
          <w:tcPr>
            <w:tcW w:w="1284" w:type="dxa"/>
            <w:shd w:val="clear" w:color="auto" w:fill="auto"/>
            <w:vAlign w:val="bottom"/>
          </w:tcPr>
          <w:p w14:paraId="5360427E" w14:textId="77777777" w:rsidR="00F824BE" w:rsidRDefault="00F824BE" w:rsidP="0018431C">
            <w:pPr>
              <w:jc w:val="center"/>
              <w:rPr>
                <w:rFonts w:eastAsia="Times New Roman"/>
                <w:color w:val="000000"/>
              </w:rPr>
            </w:pPr>
            <w:r>
              <w:rPr>
                <w:rFonts w:eastAsia="Times New Roman"/>
                <w:color w:val="000000"/>
              </w:rPr>
              <w:t>0.3</w:t>
            </w:r>
          </w:p>
        </w:tc>
        <w:tc>
          <w:tcPr>
            <w:tcW w:w="1613" w:type="dxa"/>
            <w:gridSpan w:val="2"/>
            <w:shd w:val="clear" w:color="auto" w:fill="auto"/>
            <w:vAlign w:val="bottom"/>
          </w:tcPr>
          <w:p w14:paraId="2EE3C5A6" w14:textId="77777777" w:rsidR="00F824BE" w:rsidRDefault="00F824BE" w:rsidP="0018431C">
            <w:pPr>
              <w:jc w:val="center"/>
              <w:rPr>
                <w:rFonts w:eastAsia="Times New Roman"/>
                <w:color w:val="000000"/>
              </w:rPr>
            </w:pPr>
            <w:r>
              <w:rPr>
                <w:rFonts w:eastAsia="Times New Roman"/>
                <w:color w:val="000000"/>
              </w:rPr>
              <w:t>-0.32 ± 1.52</w:t>
            </w:r>
          </w:p>
        </w:tc>
        <w:tc>
          <w:tcPr>
            <w:tcW w:w="1288" w:type="dxa"/>
            <w:shd w:val="clear" w:color="auto" w:fill="auto"/>
            <w:vAlign w:val="bottom"/>
          </w:tcPr>
          <w:p w14:paraId="73223E07" w14:textId="77777777" w:rsidR="00F824BE" w:rsidRDefault="00F824BE" w:rsidP="0018431C">
            <w:pPr>
              <w:jc w:val="center"/>
              <w:rPr>
                <w:rFonts w:eastAsia="Times New Roman"/>
                <w:color w:val="000000"/>
              </w:rPr>
            </w:pPr>
            <w:r>
              <w:rPr>
                <w:rFonts w:eastAsia="Times New Roman"/>
                <w:color w:val="000000"/>
              </w:rPr>
              <w:t>4.1</w:t>
            </w:r>
          </w:p>
        </w:tc>
      </w:tr>
      <w:tr w:rsidR="00F824BE" w14:paraId="1AC04A82" w14:textId="77777777" w:rsidTr="00481C82">
        <w:trPr>
          <w:trHeight w:val="156"/>
        </w:trPr>
        <w:tc>
          <w:tcPr>
            <w:tcW w:w="234" w:type="dxa"/>
            <w:shd w:val="clear" w:color="auto" w:fill="auto"/>
          </w:tcPr>
          <w:p w14:paraId="74B47B21" w14:textId="77777777" w:rsidR="00F824BE" w:rsidRDefault="00F824BE" w:rsidP="0018431C"/>
        </w:tc>
        <w:tc>
          <w:tcPr>
            <w:tcW w:w="3495" w:type="dxa"/>
            <w:gridSpan w:val="2"/>
            <w:shd w:val="clear" w:color="auto" w:fill="auto"/>
            <w:vAlign w:val="bottom"/>
          </w:tcPr>
          <w:p w14:paraId="4AE4A7B6" w14:textId="77777777" w:rsidR="00F824BE" w:rsidRDefault="00F824BE" w:rsidP="0018431C">
            <w:pPr>
              <w:jc w:val="center"/>
              <w:rPr>
                <w:rFonts w:eastAsia="Times New Roman"/>
                <w:color w:val="000000"/>
              </w:rPr>
            </w:pPr>
            <w:r>
              <w:rPr>
                <w:rFonts w:eastAsia="Times New Roman"/>
                <w:color w:val="000000"/>
              </w:rPr>
              <w:t>Chronic Instability</w:t>
            </w:r>
          </w:p>
        </w:tc>
        <w:tc>
          <w:tcPr>
            <w:tcW w:w="1643" w:type="dxa"/>
            <w:shd w:val="clear" w:color="auto" w:fill="auto"/>
            <w:vAlign w:val="bottom"/>
          </w:tcPr>
          <w:p w14:paraId="4102BB5F" w14:textId="77777777" w:rsidR="00F824BE" w:rsidRDefault="00F824BE" w:rsidP="0018431C">
            <w:pPr>
              <w:jc w:val="center"/>
              <w:rPr>
                <w:rFonts w:eastAsia="Times New Roman"/>
                <w:color w:val="000000"/>
              </w:rPr>
            </w:pPr>
            <w:r>
              <w:rPr>
                <w:rFonts w:eastAsia="Times New Roman"/>
                <w:color w:val="000000"/>
              </w:rPr>
              <w:t>-0.00 ± 0.20</w:t>
            </w:r>
          </w:p>
        </w:tc>
        <w:tc>
          <w:tcPr>
            <w:tcW w:w="1281" w:type="dxa"/>
            <w:shd w:val="clear" w:color="auto" w:fill="auto"/>
            <w:vAlign w:val="bottom"/>
          </w:tcPr>
          <w:p w14:paraId="20DB0594" w14:textId="77777777" w:rsidR="00F824BE" w:rsidRDefault="00F824BE" w:rsidP="0018431C">
            <w:pPr>
              <w:jc w:val="center"/>
              <w:rPr>
                <w:rFonts w:eastAsia="Times New Roman"/>
                <w:color w:val="000000"/>
              </w:rPr>
            </w:pPr>
            <w:r>
              <w:rPr>
                <w:rFonts w:eastAsia="Times New Roman"/>
                <w:color w:val="000000"/>
              </w:rPr>
              <w:t>1.0</w:t>
            </w:r>
          </w:p>
        </w:tc>
        <w:tc>
          <w:tcPr>
            <w:tcW w:w="1464" w:type="dxa"/>
            <w:gridSpan w:val="2"/>
            <w:shd w:val="clear" w:color="auto" w:fill="auto"/>
            <w:vAlign w:val="bottom"/>
          </w:tcPr>
          <w:p w14:paraId="0D71BEFC" w14:textId="77777777" w:rsidR="00F824BE" w:rsidRDefault="00F824BE" w:rsidP="0018431C">
            <w:pPr>
              <w:jc w:val="center"/>
              <w:rPr>
                <w:rFonts w:eastAsia="Times New Roman"/>
                <w:color w:val="000000"/>
              </w:rPr>
            </w:pPr>
            <w:r>
              <w:rPr>
                <w:rFonts w:eastAsia="Times New Roman"/>
                <w:color w:val="000000"/>
              </w:rPr>
              <w:t>0.00 ± 0.00</w:t>
            </w:r>
          </w:p>
        </w:tc>
        <w:tc>
          <w:tcPr>
            <w:tcW w:w="1297" w:type="dxa"/>
            <w:shd w:val="clear" w:color="auto" w:fill="auto"/>
            <w:vAlign w:val="bottom"/>
          </w:tcPr>
          <w:p w14:paraId="5FB87035" w14:textId="77777777" w:rsidR="00F824BE" w:rsidRDefault="00F824BE" w:rsidP="0018431C">
            <w:pPr>
              <w:jc w:val="center"/>
              <w:rPr>
                <w:rFonts w:eastAsia="Times New Roman"/>
                <w:color w:val="000000"/>
              </w:rPr>
            </w:pPr>
            <w:r>
              <w:rPr>
                <w:rFonts w:eastAsia="Times New Roman"/>
                <w:color w:val="000000"/>
              </w:rPr>
              <w:t>0.0</w:t>
            </w:r>
          </w:p>
        </w:tc>
        <w:tc>
          <w:tcPr>
            <w:tcW w:w="1462" w:type="dxa"/>
            <w:shd w:val="clear" w:color="auto" w:fill="auto"/>
            <w:vAlign w:val="bottom"/>
          </w:tcPr>
          <w:p w14:paraId="41B596F7" w14:textId="77777777" w:rsidR="00F824BE" w:rsidRDefault="00F824BE" w:rsidP="0018431C">
            <w:pPr>
              <w:jc w:val="center"/>
              <w:rPr>
                <w:rFonts w:eastAsia="Times New Roman"/>
                <w:color w:val="000000"/>
              </w:rPr>
            </w:pPr>
            <w:r>
              <w:rPr>
                <w:rFonts w:eastAsia="Times New Roman"/>
                <w:color w:val="000000"/>
              </w:rPr>
              <w:t>-0.07 ± 0.31</w:t>
            </w:r>
          </w:p>
        </w:tc>
        <w:tc>
          <w:tcPr>
            <w:tcW w:w="1284" w:type="dxa"/>
            <w:shd w:val="clear" w:color="auto" w:fill="auto"/>
            <w:vAlign w:val="bottom"/>
          </w:tcPr>
          <w:p w14:paraId="6E6D6947" w14:textId="77777777" w:rsidR="00F824BE" w:rsidRDefault="00F824BE" w:rsidP="0018431C">
            <w:pPr>
              <w:jc w:val="center"/>
              <w:rPr>
                <w:rFonts w:eastAsia="Times New Roman"/>
                <w:color w:val="000000"/>
              </w:rPr>
            </w:pPr>
            <w:r>
              <w:rPr>
                <w:rFonts w:eastAsia="Times New Roman"/>
                <w:color w:val="000000"/>
              </w:rPr>
              <w:t>0.5</w:t>
            </w:r>
          </w:p>
        </w:tc>
        <w:tc>
          <w:tcPr>
            <w:tcW w:w="1613" w:type="dxa"/>
            <w:gridSpan w:val="2"/>
            <w:shd w:val="clear" w:color="auto" w:fill="auto"/>
            <w:vAlign w:val="bottom"/>
          </w:tcPr>
          <w:p w14:paraId="766CCA0B" w14:textId="77777777" w:rsidR="00F824BE" w:rsidRDefault="00F824BE" w:rsidP="0018431C">
            <w:pPr>
              <w:jc w:val="center"/>
              <w:rPr>
                <w:rFonts w:eastAsia="Times New Roman"/>
                <w:color w:val="000000"/>
              </w:rPr>
            </w:pPr>
            <w:r>
              <w:rPr>
                <w:rFonts w:eastAsia="Times New Roman"/>
                <w:color w:val="000000"/>
              </w:rPr>
              <w:t>3.61 ± 2.76</w:t>
            </w:r>
          </w:p>
        </w:tc>
        <w:tc>
          <w:tcPr>
            <w:tcW w:w="1288" w:type="dxa"/>
            <w:shd w:val="clear" w:color="auto" w:fill="auto"/>
            <w:vAlign w:val="bottom"/>
          </w:tcPr>
          <w:p w14:paraId="468FEE93" w14:textId="77777777" w:rsidR="00F824BE" w:rsidRDefault="00F824BE" w:rsidP="0018431C">
            <w:pPr>
              <w:jc w:val="center"/>
              <w:rPr>
                <w:rFonts w:eastAsia="Times New Roman"/>
                <w:color w:val="000000"/>
              </w:rPr>
            </w:pPr>
            <w:r>
              <w:rPr>
                <w:rFonts w:eastAsia="Times New Roman"/>
                <w:color w:val="000000"/>
              </w:rPr>
              <w:t>9.1</w:t>
            </w:r>
          </w:p>
        </w:tc>
      </w:tr>
      <w:tr w:rsidR="00F824BE" w14:paraId="5046A960" w14:textId="77777777" w:rsidTr="00481C82">
        <w:trPr>
          <w:trHeight w:val="156"/>
        </w:trPr>
        <w:tc>
          <w:tcPr>
            <w:tcW w:w="234" w:type="dxa"/>
            <w:shd w:val="clear" w:color="auto" w:fill="auto"/>
          </w:tcPr>
          <w:p w14:paraId="5DF70D2E" w14:textId="77777777" w:rsidR="00F824BE" w:rsidRDefault="00F824BE" w:rsidP="0018431C"/>
        </w:tc>
        <w:tc>
          <w:tcPr>
            <w:tcW w:w="3495" w:type="dxa"/>
            <w:gridSpan w:val="2"/>
            <w:shd w:val="clear" w:color="auto" w:fill="auto"/>
            <w:vAlign w:val="bottom"/>
          </w:tcPr>
          <w:p w14:paraId="69C18123" w14:textId="77777777" w:rsidR="00F824BE" w:rsidRDefault="00F824BE" w:rsidP="0018431C">
            <w:pPr>
              <w:jc w:val="center"/>
              <w:rPr>
                <w:rFonts w:eastAsia="Times New Roman"/>
                <w:color w:val="000000"/>
              </w:rPr>
            </w:pPr>
            <w:r>
              <w:rPr>
                <w:rFonts w:eastAsia="Times New Roman"/>
                <w:color w:val="000000"/>
              </w:rPr>
              <w:t>Nerve Injury</w:t>
            </w:r>
          </w:p>
        </w:tc>
        <w:tc>
          <w:tcPr>
            <w:tcW w:w="1643" w:type="dxa"/>
            <w:shd w:val="clear" w:color="auto" w:fill="auto"/>
            <w:vAlign w:val="bottom"/>
          </w:tcPr>
          <w:p w14:paraId="3F841D57" w14:textId="77777777" w:rsidR="00F824BE" w:rsidRDefault="00F824BE" w:rsidP="0018431C">
            <w:pPr>
              <w:jc w:val="center"/>
              <w:rPr>
                <w:rFonts w:eastAsia="Times New Roman"/>
                <w:color w:val="000000"/>
              </w:rPr>
            </w:pPr>
            <w:r>
              <w:rPr>
                <w:rFonts w:eastAsia="Times New Roman"/>
                <w:color w:val="000000"/>
              </w:rPr>
              <w:t>0.01 ± 0.16</w:t>
            </w:r>
          </w:p>
        </w:tc>
        <w:tc>
          <w:tcPr>
            <w:tcW w:w="1281" w:type="dxa"/>
            <w:shd w:val="clear" w:color="auto" w:fill="auto"/>
            <w:vAlign w:val="bottom"/>
          </w:tcPr>
          <w:p w14:paraId="4A667596" w14:textId="77777777" w:rsidR="00F824BE" w:rsidRDefault="00F824BE" w:rsidP="0018431C">
            <w:pPr>
              <w:jc w:val="center"/>
              <w:rPr>
                <w:rFonts w:eastAsia="Times New Roman"/>
                <w:color w:val="000000"/>
              </w:rPr>
            </w:pPr>
            <w:r>
              <w:rPr>
                <w:rFonts w:eastAsia="Times New Roman"/>
                <w:color w:val="000000"/>
              </w:rPr>
              <w:t>1.2</w:t>
            </w:r>
          </w:p>
        </w:tc>
        <w:tc>
          <w:tcPr>
            <w:tcW w:w="1464" w:type="dxa"/>
            <w:gridSpan w:val="2"/>
            <w:shd w:val="clear" w:color="auto" w:fill="auto"/>
            <w:vAlign w:val="bottom"/>
          </w:tcPr>
          <w:p w14:paraId="57B9D34F" w14:textId="77777777" w:rsidR="00F824BE" w:rsidRDefault="00F824BE" w:rsidP="0018431C">
            <w:pPr>
              <w:jc w:val="center"/>
              <w:rPr>
                <w:rFonts w:eastAsia="Times New Roman"/>
                <w:color w:val="000000"/>
              </w:rPr>
            </w:pPr>
            <w:r>
              <w:rPr>
                <w:rFonts w:eastAsia="Times New Roman"/>
                <w:color w:val="000000"/>
              </w:rPr>
              <w:t>0.00 ± 0.00</w:t>
            </w:r>
          </w:p>
        </w:tc>
        <w:tc>
          <w:tcPr>
            <w:tcW w:w="1297" w:type="dxa"/>
            <w:shd w:val="clear" w:color="auto" w:fill="auto"/>
            <w:vAlign w:val="bottom"/>
          </w:tcPr>
          <w:p w14:paraId="0EEC530C" w14:textId="77777777" w:rsidR="00F824BE" w:rsidRDefault="00F824BE" w:rsidP="0018431C">
            <w:pPr>
              <w:jc w:val="center"/>
              <w:rPr>
                <w:rFonts w:eastAsia="Times New Roman"/>
                <w:color w:val="000000"/>
              </w:rPr>
            </w:pPr>
            <w:r>
              <w:rPr>
                <w:rFonts w:eastAsia="Times New Roman"/>
                <w:color w:val="000000"/>
              </w:rPr>
              <w:t>0.0</w:t>
            </w:r>
          </w:p>
        </w:tc>
        <w:tc>
          <w:tcPr>
            <w:tcW w:w="1462" w:type="dxa"/>
            <w:shd w:val="clear" w:color="auto" w:fill="auto"/>
            <w:vAlign w:val="bottom"/>
          </w:tcPr>
          <w:p w14:paraId="1B3AA291" w14:textId="77777777" w:rsidR="00F824BE" w:rsidRDefault="00F824BE" w:rsidP="0018431C">
            <w:pPr>
              <w:jc w:val="center"/>
              <w:rPr>
                <w:rFonts w:eastAsia="Times New Roman"/>
                <w:color w:val="000000"/>
              </w:rPr>
            </w:pPr>
            <w:r>
              <w:rPr>
                <w:rFonts w:eastAsia="Times New Roman"/>
                <w:color w:val="000000"/>
              </w:rPr>
              <w:t>-0.02 ± 0.32</w:t>
            </w:r>
          </w:p>
        </w:tc>
        <w:tc>
          <w:tcPr>
            <w:tcW w:w="1284" w:type="dxa"/>
            <w:shd w:val="clear" w:color="auto" w:fill="auto"/>
            <w:vAlign w:val="bottom"/>
          </w:tcPr>
          <w:p w14:paraId="337B58C9" w14:textId="77777777" w:rsidR="00F824BE" w:rsidRDefault="00F824BE" w:rsidP="0018431C">
            <w:pPr>
              <w:jc w:val="center"/>
              <w:rPr>
                <w:rFonts w:eastAsia="Times New Roman"/>
                <w:color w:val="000000"/>
              </w:rPr>
            </w:pPr>
            <w:r>
              <w:rPr>
                <w:rFonts w:eastAsia="Times New Roman"/>
                <w:color w:val="000000"/>
              </w:rPr>
              <w:t>0.8</w:t>
            </w:r>
          </w:p>
        </w:tc>
        <w:tc>
          <w:tcPr>
            <w:tcW w:w="1613" w:type="dxa"/>
            <w:gridSpan w:val="2"/>
            <w:shd w:val="clear" w:color="auto" w:fill="auto"/>
            <w:vAlign w:val="bottom"/>
          </w:tcPr>
          <w:p w14:paraId="1E09F522" w14:textId="77777777" w:rsidR="00F824BE" w:rsidRDefault="00F824BE" w:rsidP="0018431C">
            <w:pPr>
              <w:jc w:val="center"/>
              <w:rPr>
                <w:rFonts w:eastAsia="Times New Roman"/>
                <w:color w:val="000000"/>
              </w:rPr>
            </w:pPr>
            <w:r>
              <w:rPr>
                <w:rFonts w:eastAsia="Times New Roman"/>
                <w:color w:val="000000"/>
              </w:rPr>
              <w:t>-0.30 ± 0.88</w:t>
            </w:r>
          </w:p>
        </w:tc>
        <w:tc>
          <w:tcPr>
            <w:tcW w:w="1288" w:type="dxa"/>
            <w:shd w:val="clear" w:color="auto" w:fill="auto"/>
            <w:vAlign w:val="bottom"/>
          </w:tcPr>
          <w:p w14:paraId="7F0DD238" w14:textId="77777777" w:rsidR="00F824BE" w:rsidRDefault="00F824BE" w:rsidP="0018431C">
            <w:pPr>
              <w:jc w:val="center"/>
              <w:rPr>
                <w:rFonts w:eastAsia="Times New Roman"/>
                <w:color w:val="000000"/>
              </w:rPr>
            </w:pPr>
            <w:r>
              <w:rPr>
                <w:rFonts w:eastAsia="Times New Roman"/>
                <w:color w:val="000000"/>
              </w:rPr>
              <w:t>0.5</w:t>
            </w:r>
          </w:p>
        </w:tc>
      </w:tr>
      <w:tr w:rsidR="00F824BE" w14:paraId="59C438DB" w14:textId="77777777" w:rsidTr="00481C82">
        <w:trPr>
          <w:trHeight w:val="156"/>
        </w:trPr>
        <w:tc>
          <w:tcPr>
            <w:tcW w:w="234" w:type="dxa"/>
            <w:shd w:val="clear" w:color="auto" w:fill="auto"/>
          </w:tcPr>
          <w:p w14:paraId="41DCAB9B" w14:textId="77777777" w:rsidR="00F824BE" w:rsidRDefault="00F824BE" w:rsidP="0018431C"/>
        </w:tc>
        <w:tc>
          <w:tcPr>
            <w:tcW w:w="3495" w:type="dxa"/>
            <w:gridSpan w:val="2"/>
            <w:shd w:val="clear" w:color="auto" w:fill="auto"/>
            <w:vAlign w:val="bottom"/>
          </w:tcPr>
          <w:p w14:paraId="49B02A15" w14:textId="77777777" w:rsidR="00F824BE" w:rsidRDefault="00F824BE" w:rsidP="0018431C">
            <w:pPr>
              <w:jc w:val="center"/>
              <w:rPr>
                <w:rFonts w:eastAsia="Times New Roman"/>
                <w:color w:val="000000"/>
              </w:rPr>
            </w:pPr>
            <w:r>
              <w:rPr>
                <w:rFonts w:eastAsia="Times New Roman"/>
                <w:color w:val="000000"/>
              </w:rPr>
              <w:t>Arthritis</w:t>
            </w:r>
          </w:p>
        </w:tc>
        <w:tc>
          <w:tcPr>
            <w:tcW w:w="1643" w:type="dxa"/>
            <w:shd w:val="clear" w:color="auto" w:fill="auto"/>
            <w:vAlign w:val="bottom"/>
          </w:tcPr>
          <w:p w14:paraId="064B3A21" w14:textId="77777777" w:rsidR="00F824BE" w:rsidRDefault="00F824BE" w:rsidP="0018431C">
            <w:pPr>
              <w:jc w:val="center"/>
              <w:rPr>
                <w:rFonts w:eastAsia="Times New Roman"/>
                <w:color w:val="000000"/>
              </w:rPr>
            </w:pPr>
            <w:r>
              <w:rPr>
                <w:rFonts w:eastAsia="Times New Roman"/>
                <w:color w:val="000000"/>
              </w:rPr>
              <w:t>-0.02 ± 0.21</w:t>
            </w:r>
          </w:p>
        </w:tc>
        <w:tc>
          <w:tcPr>
            <w:tcW w:w="1281" w:type="dxa"/>
            <w:shd w:val="clear" w:color="auto" w:fill="auto"/>
            <w:vAlign w:val="bottom"/>
          </w:tcPr>
          <w:p w14:paraId="0F01B6F1" w14:textId="77777777" w:rsidR="00F824BE" w:rsidRDefault="00F824BE" w:rsidP="0018431C">
            <w:pPr>
              <w:jc w:val="center"/>
              <w:rPr>
                <w:rFonts w:eastAsia="Times New Roman"/>
                <w:color w:val="000000"/>
              </w:rPr>
            </w:pPr>
            <w:r>
              <w:rPr>
                <w:rFonts w:eastAsia="Times New Roman"/>
                <w:color w:val="000000"/>
              </w:rPr>
              <w:t>0.7</w:t>
            </w:r>
          </w:p>
        </w:tc>
        <w:tc>
          <w:tcPr>
            <w:tcW w:w="1464" w:type="dxa"/>
            <w:gridSpan w:val="2"/>
            <w:shd w:val="clear" w:color="auto" w:fill="auto"/>
            <w:vAlign w:val="bottom"/>
          </w:tcPr>
          <w:p w14:paraId="4FD402CF" w14:textId="77777777" w:rsidR="00F824BE" w:rsidRDefault="00F824BE" w:rsidP="0018431C">
            <w:pPr>
              <w:jc w:val="center"/>
              <w:rPr>
                <w:rFonts w:eastAsia="Times New Roman"/>
                <w:color w:val="000000"/>
              </w:rPr>
            </w:pPr>
            <w:r>
              <w:rPr>
                <w:rFonts w:eastAsia="Times New Roman"/>
                <w:color w:val="000000"/>
              </w:rPr>
              <w:t>0.00 ± 0.00</w:t>
            </w:r>
          </w:p>
        </w:tc>
        <w:tc>
          <w:tcPr>
            <w:tcW w:w="1297" w:type="dxa"/>
            <w:shd w:val="clear" w:color="auto" w:fill="auto"/>
            <w:vAlign w:val="bottom"/>
          </w:tcPr>
          <w:p w14:paraId="137C8F13" w14:textId="77777777" w:rsidR="00F824BE" w:rsidRDefault="00F824BE" w:rsidP="0018431C">
            <w:pPr>
              <w:jc w:val="center"/>
              <w:rPr>
                <w:rFonts w:eastAsia="Times New Roman"/>
                <w:color w:val="000000"/>
              </w:rPr>
            </w:pPr>
            <w:r>
              <w:rPr>
                <w:rFonts w:eastAsia="Times New Roman"/>
                <w:color w:val="000000"/>
              </w:rPr>
              <w:t>0.0</w:t>
            </w:r>
          </w:p>
        </w:tc>
        <w:tc>
          <w:tcPr>
            <w:tcW w:w="1462" w:type="dxa"/>
            <w:shd w:val="clear" w:color="auto" w:fill="auto"/>
            <w:vAlign w:val="bottom"/>
          </w:tcPr>
          <w:p w14:paraId="2C899782" w14:textId="77777777" w:rsidR="00F824BE" w:rsidRDefault="00F824BE" w:rsidP="0018431C">
            <w:pPr>
              <w:jc w:val="center"/>
              <w:rPr>
                <w:rFonts w:eastAsia="Times New Roman"/>
                <w:color w:val="000000"/>
              </w:rPr>
            </w:pPr>
            <w:r>
              <w:rPr>
                <w:rFonts w:eastAsia="Times New Roman"/>
                <w:color w:val="000000"/>
              </w:rPr>
              <w:t>-0.02 ± 0.22</w:t>
            </w:r>
          </w:p>
        </w:tc>
        <w:tc>
          <w:tcPr>
            <w:tcW w:w="1284" w:type="dxa"/>
            <w:shd w:val="clear" w:color="auto" w:fill="auto"/>
            <w:vAlign w:val="bottom"/>
          </w:tcPr>
          <w:p w14:paraId="35861445" w14:textId="77777777" w:rsidR="00F824BE" w:rsidRDefault="00F824BE" w:rsidP="0018431C">
            <w:pPr>
              <w:jc w:val="center"/>
              <w:rPr>
                <w:rFonts w:eastAsia="Times New Roman"/>
                <w:color w:val="000000"/>
              </w:rPr>
            </w:pPr>
            <w:r>
              <w:rPr>
                <w:rFonts w:eastAsia="Times New Roman"/>
                <w:color w:val="000000"/>
              </w:rPr>
              <w:t>0.8</w:t>
            </w:r>
          </w:p>
        </w:tc>
        <w:tc>
          <w:tcPr>
            <w:tcW w:w="1613" w:type="dxa"/>
            <w:gridSpan w:val="2"/>
            <w:shd w:val="clear" w:color="auto" w:fill="auto"/>
            <w:vAlign w:val="bottom"/>
          </w:tcPr>
          <w:p w14:paraId="73C45DD3" w14:textId="77777777" w:rsidR="00F824BE" w:rsidRDefault="00F824BE" w:rsidP="0018431C">
            <w:pPr>
              <w:jc w:val="center"/>
              <w:rPr>
                <w:rFonts w:eastAsia="Times New Roman"/>
                <w:color w:val="000000"/>
              </w:rPr>
            </w:pPr>
            <w:r>
              <w:rPr>
                <w:rFonts w:eastAsia="Times New Roman"/>
                <w:color w:val="000000"/>
              </w:rPr>
              <w:t>-0.01 ± 1.75</w:t>
            </w:r>
          </w:p>
        </w:tc>
        <w:tc>
          <w:tcPr>
            <w:tcW w:w="1288" w:type="dxa"/>
            <w:shd w:val="clear" w:color="auto" w:fill="auto"/>
            <w:vAlign w:val="bottom"/>
          </w:tcPr>
          <w:p w14:paraId="4F5061C9" w14:textId="77777777" w:rsidR="00F824BE" w:rsidRDefault="00F824BE" w:rsidP="0018431C">
            <w:pPr>
              <w:jc w:val="center"/>
              <w:rPr>
                <w:rFonts w:eastAsia="Times New Roman"/>
                <w:color w:val="000000"/>
              </w:rPr>
            </w:pPr>
            <w:r>
              <w:rPr>
                <w:rFonts w:eastAsia="Times New Roman"/>
                <w:color w:val="000000"/>
              </w:rPr>
              <w:t>1.0</w:t>
            </w:r>
          </w:p>
        </w:tc>
      </w:tr>
      <w:tr w:rsidR="00F824BE" w14:paraId="630EE4D6" w14:textId="77777777" w:rsidTr="00481C82">
        <w:trPr>
          <w:trHeight w:val="156"/>
        </w:trPr>
        <w:tc>
          <w:tcPr>
            <w:tcW w:w="234" w:type="dxa"/>
            <w:shd w:val="clear" w:color="auto" w:fill="auto"/>
          </w:tcPr>
          <w:p w14:paraId="57C6056B" w14:textId="77777777" w:rsidR="00F824BE" w:rsidRDefault="00F824BE" w:rsidP="0018431C"/>
        </w:tc>
        <w:tc>
          <w:tcPr>
            <w:tcW w:w="3495" w:type="dxa"/>
            <w:gridSpan w:val="2"/>
            <w:shd w:val="clear" w:color="auto" w:fill="auto"/>
            <w:vAlign w:val="bottom"/>
          </w:tcPr>
          <w:p w14:paraId="62CACE3C" w14:textId="77777777" w:rsidR="00F824BE" w:rsidRDefault="00F824BE" w:rsidP="0018431C">
            <w:pPr>
              <w:jc w:val="center"/>
              <w:rPr>
                <w:rFonts w:eastAsia="Times New Roman"/>
                <w:color w:val="000000"/>
              </w:rPr>
            </w:pPr>
            <w:r>
              <w:rPr>
                <w:rFonts w:eastAsia="Times New Roman"/>
                <w:color w:val="000000"/>
              </w:rPr>
              <w:t>Other Stress/Over use Injury</w:t>
            </w:r>
          </w:p>
        </w:tc>
        <w:tc>
          <w:tcPr>
            <w:tcW w:w="1643" w:type="dxa"/>
            <w:shd w:val="clear" w:color="auto" w:fill="auto"/>
            <w:vAlign w:val="bottom"/>
          </w:tcPr>
          <w:p w14:paraId="1956B103" w14:textId="77777777" w:rsidR="00F824BE" w:rsidRDefault="00F824BE" w:rsidP="0018431C">
            <w:pPr>
              <w:jc w:val="center"/>
              <w:rPr>
                <w:rFonts w:eastAsia="Times New Roman"/>
                <w:color w:val="000000"/>
              </w:rPr>
            </w:pPr>
            <w:r>
              <w:rPr>
                <w:rFonts w:eastAsia="Times New Roman"/>
                <w:color w:val="000000"/>
              </w:rPr>
              <w:t>0.01 ± 0.17</w:t>
            </w:r>
          </w:p>
        </w:tc>
        <w:tc>
          <w:tcPr>
            <w:tcW w:w="1281" w:type="dxa"/>
            <w:shd w:val="clear" w:color="auto" w:fill="auto"/>
            <w:vAlign w:val="bottom"/>
          </w:tcPr>
          <w:p w14:paraId="2DD17212" w14:textId="77777777" w:rsidR="00F824BE" w:rsidRDefault="00F824BE" w:rsidP="0018431C">
            <w:pPr>
              <w:jc w:val="center"/>
              <w:rPr>
                <w:rFonts w:eastAsia="Times New Roman"/>
                <w:color w:val="000000"/>
              </w:rPr>
            </w:pPr>
            <w:r>
              <w:rPr>
                <w:rFonts w:eastAsia="Times New Roman"/>
                <w:color w:val="000000"/>
              </w:rPr>
              <w:t>1.2</w:t>
            </w:r>
          </w:p>
        </w:tc>
        <w:tc>
          <w:tcPr>
            <w:tcW w:w="1464" w:type="dxa"/>
            <w:gridSpan w:val="2"/>
            <w:shd w:val="clear" w:color="auto" w:fill="auto"/>
            <w:vAlign w:val="bottom"/>
          </w:tcPr>
          <w:p w14:paraId="5711D5EF" w14:textId="77777777" w:rsidR="00F824BE" w:rsidRDefault="00F824BE" w:rsidP="0018431C">
            <w:pPr>
              <w:jc w:val="center"/>
              <w:rPr>
                <w:rFonts w:eastAsia="Times New Roman"/>
                <w:color w:val="000000"/>
              </w:rPr>
            </w:pPr>
            <w:r>
              <w:rPr>
                <w:rFonts w:eastAsia="Times New Roman"/>
                <w:color w:val="000000"/>
              </w:rPr>
              <w:t>0.44 ± 2.03</w:t>
            </w:r>
          </w:p>
        </w:tc>
        <w:tc>
          <w:tcPr>
            <w:tcW w:w="1297" w:type="dxa"/>
            <w:shd w:val="clear" w:color="auto" w:fill="auto"/>
            <w:vAlign w:val="bottom"/>
          </w:tcPr>
          <w:p w14:paraId="624910E8" w14:textId="77777777" w:rsidR="00F824BE" w:rsidRDefault="00F824BE" w:rsidP="0018431C">
            <w:pPr>
              <w:jc w:val="center"/>
              <w:rPr>
                <w:rFonts w:eastAsia="Times New Roman"/>
                <w:color w:val="000000"/>
              </w:rPr>
            </w:pPr>
            <w:r>
              <w:rPr>
                <w:rFonts w:eastAsia="Times New Roman"/>
                <w:color w:val="000000"/>
              </w:rPr>
              <w:t>3.6</w:t>
            </w:r>
          </w:p>
        </w:tc>
        <w:tc>
          <w:tcPr>
            <w:tcW w:w="1462" w:type="dxa"/>
            <w:shd w:val="clear" w:color="auto" w:fill="auto"/>
            <w:vAlign w:val="bottom"/>
          </w:tcPr>
          <w:p w14:paraId="281A8161" w14:textId="77777777" w:rsidR="00F824BE" w:rsidRDefault="00F824BE" w:rsidP="0018431C">
            <w:pPr>
              <w:jc w:val="center"/>
              <w:rPr>
                <w:rFonts w:eastAsia="Times New Roman"/>
                <w:color w:val="000000"/>
              </w:rPr>
            </w:pPr>
            <w:r>
              <w:rPr>
                <w:rFonts w:eastAsia="Times New Roman"/>
                <w:color w:val="000000"/>
              </w:rPr>
              <w:t>0.00 ± 0.00</w:t>
            </w:r>
          </w:p>
        </w:tc>
        <w:tc>
          <w:tcPr>
            <w:tcW w:w="1284" w:type="dxa"/>
            <w:shd w:val="clear" w:color="auto" w:fill="auto"/>
            <w:vAlign w:val="bottom"/>
          </w:tcPr>
          <w:p w14:paraId="1BE22BB3" w14:textId="77777777" w:rsidR="00F824BE" w:rsidRDefault="00F824BE" w:rsidP="0018431C">
            <w:pPr>
              <w:jc w:val="center"/>
              <w:rPr>
                <w:rFonts w:eastAsia="Times New Roman"/>
                <w:color w:val="000000"/>
              </w:rPr>
            </w:pPr>
            <w:r>
              <w:rPr>
                <w:rFonts w:eastAsia="Times New Roman"/>
                <w:color w:val="000000"/>
              </w:rPr>
              <w:t>0.0</w:t>
            </w:r>
          </w:p>
        </w:tc>
        <w:tc>
          <w:tcPr>
            <w:tcW w:w="1613" w:type="dxa"/>
            <w:gridSpan w:val="2"/>
            <w:shd w:val="clear" w:color="auto" w:fill="auto"/>
            <w:vAlign w:val="bottom"/>
          </w:tcPr>
          <w:p w14:paraId="4EB3341D" w14:textId="77777777" w:rsidR="00F824BE" w:rsidRDefault="00F824BE" w:rsidP="0018431C">
            <w:pPr>
              <w:jc w:val="center"/>
              <w:rPr>
                <w:rFonts w:eastAsia="Times New Roman"/>
                <w:color w:val="000000"/>
              </w:rPr>
            </w:pPr>
            <w:r>
              <w:rPr>
                <w:rFonts w:eastAsia="Times New Roman"/>
                <w:color w:val="000000"/>
              </w:rPr>
              <w:t>0.00 ± 0.00</w:t>
            </w:r>
          </w:p>
        </w:tc>
        <w:tc>
          <w:tcPr>
            <w:tcW w:w="1288" w:type="dxa"/>
            <w:shd w:val="clear" w:color="auto" w:fill="auto"/>
            <w:vAlign w:val="bottom"/>
          </w:tcPr>
          <w:p w14:paraId="4BE31E51" w14:textId="77777777" w:rsidR="00F824BE" w:rsidRDefault="00F824BE" w:rsidP="0018431C">
            <w:pPr>
              <w:jc w:val="center"/>
              <w:rPr>
                <w:rFonts w:eastAsia="Times New Roman"/>
                <w:color w:val="000000"/>
              </w:rPr>
            </w:pPr>
            <w:r>
              <w:rPr>
                <w:rFonts w:eastAsia="Times New Roman"/>
                <w:color w:val="000000"/>
              </w:rPr>
              <w:t>0.0</w:t>
            </w:r>
          </w:p>
        </w:tc>
      </w:tr>
      <w:tr w:rsidR="00F824BE" w14:paraId="0126A6C1" w14:textId="77777777" w:rsidTr="00481C82">
        <w:trPr>
          <w:trHeight w:val="156"/>
        </w:trPr>
        <w:tc>
          <w:tcPr>
            <w:tcW w:w="234" w:type="dxa"/>
            <w:shd w:val="clear" w:color="auto" w:fill="auto"/>
          </w:tcPr>
          <w:p w14:paraId="4D6DD6A9" w14:textId="77777777" w:rsidR="00F824BE" w:rsidRDefault="00F824BE" w:rsidP="0018431C"/>
        </w:tc>
        <w:tc>
          <w:tcPr>
            <w:tcW w:w="3495" w:type="dxa"/>
            <w:gridSpan w:val="2"/>
            <w:shd w:val="clear" w:color="auto" w:fill="auto"/>
            <w:vAlign w:val="bottom"/>
          </w:tcPr>
          <w:p w14:paraId="09D0E0F9" w14:textId="77777777" w:rsidR="00F824BE" w:rsidRDefault="00F824BE" w:rsidP="0018431C">
            <w:pPr>
              <w:jc w:val="center"/>
              <w:rPr>
                <w:rFonts w:eastAsia="Times New Roman"/>
                <w:color w:val="000000"/>
              </w:rPr>
            </w:pPr>
            <w:r>
              <w:rPr>
                <w:rFonts w:eastAsia="Times New Roman"/>
                <w:color w:val="000000"/>
              </w:rPr>
              <w:t>Fracture</w:t>
            </w:r>
          </w:p>
        </w:tc>
        <w:tc>
          <w:tcPr>
            <w:tcW w:w="1643" w:type="dxa"/>
            <w:shd w:val="clear" w:color="auto" w:fill="auto"/>
            <w:vAlign w:val="bottom"/>
          </w:tcPr>
          <w:p w14:paraId="2D536030" w14:textId="77777777" w:rsidR="00F824BE" w:rsidRDefault="00F824BE" w:rsidP="0018431C">
            <w:pPr>
              <w:jc w:val="center"/>
              <w:rPr>
                <w:rFonts w:eastAsia="Times New Roman"/>
                <w:color w:val="000000"/>
              </w:rPr>
            </w:pPr>
            <w:r>
              <w:rPr>
                <w:rFonts w:eastAsia="Times New Roman"/>
                <w:color w:val="000000"/>
              </w:rPr>
              <w:t>0.00 ± 0.16</w:t>
            </w:r>
          </w:p>
        </w:tc>
        <w:tc>
          <w:tcPr>
            <w:tcW w:w="1281" w:type="dxa"/>
            <w:shd w:val="clear" w:color="auto" w:fill="auto"/>
            <w:vAlign w:val="bottom"/>
          </w:tcPr>
          <w:p w14:paraId="729DDFF6" w14:textId="77777777" w:rsidR="00F824BE" w:rsidRDefault="00F824BE" w:rsidP="0018431C">
            <w:pPr>
              <w:jc w:val="center"/>
              <w:rPr>
                <w:rFonts w:eastAsia="Times New Roman"/>
                <w:color w:val="000000"/>
              </w:rPr>
            </w:pPr>
            <w:r>
              <w:rPr>
                <w:rFonts w:eastAsia="Times New Roman"/>
                <w:color w:val="000000"/>
              </w:rPr>
              <w:t>1.0</w:t>
            </w:r>
          </w:p>
        </w:tc>
        <w:tc>
          <w:tcPr>
            <w:tcW w:w="1464" w:type="dxa"/>
            <w:gridSpan w:val="2"/>
            <w:shd w:val="clear" w:color="auto" w:fill="auto"/>
            <w:vAlign w:val="bottom"/>
          </w:tcPr>
          <w:p w14:paraId="2DA5C7FF" w14:textId="77777777" w:rsidR="00F824BE" w:rsidRDefault="00F824BE" w:rsidP="0018431C">
            <w:pPr>
              <w:jc w:val="center"/>
              <w:rPr>
                <w:rFonts w:eastAsia="Times New Roman"/>
                <w:color w:val="000000"/>
              </w:rPr>
            </w:pPr>
            <w:r>
              <w:rPr>
                <w:rFonts w:eastAsia="Times New Roman"/>
                <w:color w:val="000000"/>
              </w:rPr>
              <w:t>0.00 ± 0.00</w:t>
            </w:r>
          </w:p>
        </w:tc>
        <w:tc>
          <w:tcPr>
            <w:tcW w:w="1297" w:type="dxa"/>
            <w:shd w:val="clear" w:color="auto" w:fill="auto"/>
            <w:vAlign w:val="bottom"/>
          </w:tcPr>
          <w:p w14:paraId="4BF63D34" w14:textId="77777777" w:rsidR="00F824BE" w:rsidRDefault="00F824BE" w:rsidP="0018431C">
            <w:pPr>
              <w:jc w:val="center"/>
              <w:rPr>
                <w:rFonts w:eastAsia="Times New Roman"/>
                <w:color w:val="000000"/>
              </w:rPr>
            </w:pPr>
            <w:r>
              <w:rPr>
                <w:rFonts w:eastAsia="Times New Roman"/>
                <w:color w:val="000000"/>
              </w:rPr>
              <w:t>0.0</w:t>
            </w:r>
          </w:p>
        </w:tc>
        <w:tc>
          <w:tcPr>
            <w:tcW w:w="1462" w:type="dxa"/>
            <w:shd w:val="clear" w:color="auto" w:fill="auto"/>
            <w:vAlign w:val="bottom"/>
          </w:tcPr>
          <w:p w14:paraId="4096DD3D" w14:textId="77777777" w:rsidR="00F824BE" w:rsidRDefault="00F824BE" w:rsidP="0018431C">
            <w:pPr>
              <w:jc w:val="center"/>
              <w:rPr>
                <w:rFonts w:eastAsia="Times New Roman"/>
                <w:color w:val="000000"/>
              </w:rPr>
            </w:pPr>
            <w:r>
              <w:rPr>
                <w:rFonts w:eastAsia="Times New Roman"/>
                <w:color w:val="000000"/>
              </w:rPr>
              <w:t>0.00 ± 0.00</w:t>
            </w:r>
          </w:p>
        </w:tc>
        <w:tc>
          <w:tcPr>
            <w:tcW w:w="1284" w:type="dxa"/>
            <w:shd w:val="clear" w:color="auto" w:fill="auto"/>
            <w:vAlign w:val="bottom"/>
          </w:tcPr>
          <w:p w14:paraId="76B255D5" w14:textId="77777777" w:rsidR="00F824BE" w:rsidRDefault="00F824BE" w:rsidP="0018431C">
            <w:pPr>
              <w:jc w:val="center"/>
              <w:rPr>
                <w:rFonts w:eastAsia="Times New Roman"/>
                <w:color w:val="000000"/>
              </w:rPr>
            </w:pPr>
            <w:r>
              <w:rPr>
                <w:rFonts w:eastAsia="Times New Roman"/>
                <w:color w:val="000000"/>
              </w:rPr>
              <w:t>0.0</w:t>
            </w:r>
          </w:p>
        </w:tc>
        <w:tc>
          <w:tcPr>
            <w:tcW w:w="1613" w:type="dxa"/>
            <w:gridSpan w:val="2"/>
            <w:shd w:val="clear" w:color="auto" w:fill="auto"/>
            <w:vAlign w:val="bottom"/>
          </w:tcPr>
          <w:p w14:paraId="3293C311" w14:textId="77777777" w:rsidR="00F824BE" w:rsidRDefault="00F824BE" w:rsidP="0018431C">
            <w:pPr>
              <w:jc w:val="center"/>
              <w:rPr>
                <w:rFonts w:eastAsia="Times New Roman"/>
                <w:color w:val="000000"/>
              </w:rPr>
            </w:pPr>
            <w:r>
              <w:rPr>
                <w:rFonts w:eastAsia="Times New Roman"/>
                <w:color w:val="000000"/>
              </w:rPr>
              <w:t>0.00 ± 0.00</w:t>
            </w:r>
          </w:p>
        </w:tc>
        <w:tc>
          <w:tcPr>
            <w:tcW w:w="1288" w:type="dxa"/>
            <w:shd w:val="clear" w:color="auto" w:fill="auto"/>
            <w:vAlign w:val="bottom"/>
          </w:tcPr>
          <w:p w14:paraId="69AF3239" w14:textId="77777777" w:rsidR="00F824BE" w:rsidRDefault="00F824BE" w:rsidP="0018431C">
            <w:pPr>
              <w:jc w:val="center"/>
              <w:rPr>
                <w:rFonts w:eastAsia="Times New Roman"/>
                <w:color w:val="000000"/>
              </w:rPr>
            </w:pPr>
            <w:r>
              <w:rPr>
                <w:rFonts w:eastAsia="Times New Roman"/>
                <w:color w:val="000000"/>
              </w:rPr>
              <w:t>0.0</w:t>
            </w:r>
          </w:p>
        </w:tc>
      </w:tr>
      <w:tr w:rsidR="00F824BE" w14:paraId="4811E9B4" w14:textId="77777777" w:rsidTr="00481C82">
        <w:trPr>
          <w:trHeight w:val="216"/>
        </w:trPr>
        <w:tc>
          <w:tcPr>
            <w:tcW w:w="234" w:type="dxa"/>
            <w:shd w:val="clear" w:color="auto" w:fill="auto"/>
          </w:tcPr>
          <w:p w14:paraId="42D7D8C2" w14:textId="77777777" w:rsidR="00F824BE" w:rsidRDefault="00F824BE" w:rsidP="0018431C"/>
        </w:tc>
        <w:tc>
          <w:tcPr>
            <w:tcW w:w="3495" w:type="dxa"/>
            <w:gridSpan w:val="2"/>
            <w:shd w:val="clear" w:color="auto" w:fill="auto"/>
            <w:vAlign w:val="bottom"/>
          </w:tcPr>
          <w:p w14:paraId="6DA36F7B" w14:textId="77777777" w:rsidR="00F824BE" w:rsidRDefault="00F824BE" w:rsidP="0018431C">
            <w:pPr>
              <w:jc w:val="center"/>
              <w:rPr>
                <w:rFonts w:eastAsia="Times New Roman"/>
                <w:color w:val="000000"/>
              </w:rPr>
            </w:pPr>
            <w:r>
              <w:rPr>
                <w:rFonts w:eastAsia="Times New Roman"/>
                <w:color w:val="000000"/>
              </w:rPr>
              <w:t>Joint Dislocation</w:t>
            </w:r>
          </w:p>
        </w:tc>
        <w:tc>
          <w:tcPr>
            <w:tcW w:w="1643" w:type="dxa"/>
            <w:shd w:val="clear" w:color="auto" w:fill="auto"/>
            <w:vAlign w:val="bottom"/>
          </w:tcPr>
          <w:p w14:paraId="31F8A14B" w14:textId="77777777" w:rsidR="00F824BE" w:rsidRDefault="00F824BE" w:rsidP="0018431C">
            <w:pPr>
              <w:jc w:val="center"/>
              <w:rPr>
                <w:rFonts w:eastAsia="Times New Roman"/>
                <w:color w:val="000000"/>
              </w:rPr>
            </w:pPr>
            <w:r>
              <w:rPr>
                <w:rFonts w:eastAsia="Times New Roman"/>
                <w:color w:val="000000"/>
              </w:rPr>
              <w:t>0.00 ± 0.00</w:t>
            </w:r>
          </w:p>
        </w:tc>
        <w:tc>
          <w:tcPr>
            <w:tcW w:w="1281" w:type="dxa"/>
            <w:shd w:val="clear" w:color="auto" w:fill="auto"/>
            <w:vAlign w:val="bottom"/>
          </w:tcPr>
          <w:p w14:paraId="2A508B65" w14:textId="77777777" w:rsidR="00F824BE" w:rsidRDefault="00F824BE" w:rsidP="0018431C">
            <w:pPr>
              <w:jc w:val="center"/>
              <w:rPr>
                <w:rFonts w:eastAsia="Times New Roman"/>
                <w:color w:val="000000"/>
              </w:rPr>
            </w:pPr>
            <w:r>
              <w:rPr>
                <w:rFonts w:eastAsia="Times New Roman"/>
                <w:color w:val="000000"/>
              </w:rPr>
              <w:t>0.0</w:t>
            </w:r>
          </w:p>
        </w:tc>
        <w:tc>
          <w:tcPr>
            <w:tcW w:w="1464" w:type="dxa"/>
            <w:gridSpan w:val="2"/>
            <w:shd w:val="clear" w:color="auto" w:fill="auto"/>
            <w:vAlign w:val="bottom"/>
          </w:tcPr>
          <w:p w14:paraId="6F0070AA" w14:textId="77777777" w:rsidR="00F824BE" w:rsidRDefault="00F824BE" w:rsidP="0018431C">
            <w:pPr>
              <w:jc w:val="center"/>
              <w:rPr>
                <w:rFonts w:eastAsia="Times New Roman"/>
                <w:color w:val="000000"/>
              </w:rPr>
            </w:pPr>
            <w:r>
              <w:rPr>
                <w:rFonts w:eastAsia="Times New Roman"/>
                <w:color w:val="000000"/>
              </w:rPr>
              <w:t>0.00 ± 0.00</w:t>
            </w:r>
          </w:p>
        </w:tc>
        <w:tc>
          <w:tcPr>
            <w:tcW w:w="1297" w:type="dxa"/>
            <w:shd w:val="clear" w:color="auto" w:fill="auto"/>
            <w:vAlign w:val="bottom"/>
          </w:tcPr>
          <w:p w14:paraId="7EEF14D4" w14:textId="77777777" w:rsidR="00F824BE" w:rsidRDefault="00F824BE" w:rsidP="0018431C">
            <w:pPr>
              <w:jc w:val="center"/>
              <w:rPr>
                <w:rFonts w:eastAsia="Times New Roman"/>
                <w:color w:val="000000"/>
              </w:rPr>
            </w:pPr>
            <w:r>
              <w:rPr>
                <w:rFonts w:eastAsia="Times New Roman"/>
                <w:color w:val="000000"/>
              </w:rPr>
              <w:t>0.0</w:t>
            </w:r>
          </w:p>
        </w:tc>
        <w:tc>
          <w:tcPr>
            <w:tcW w:w="1462" w:type="dxa"/>
            <w:shd w:val="clear" w:color="auto" w:fill="auto"/>
            <w:vAlign w:val="bottom"/>
          </w:tcPr>
          <w:p w14:paraId="34FEF896" w14:textId="77777777" w:rsidR="00F824BE" w:rsidRDefault="00F824BE" w:rsidP="0018431C">
            <w:pPr>
              <w:jc w:val="center"/>
              <w:rPr>
                <w:rFonts w:eastAsia="Times New Roman"/>
                <w:color w:val="000000"/>
              </w:rPr>
            </w:pPr>
            <w:r>
              <w:rPr>
                <w:rFonts w:eastAsia="Times New Roman"/>
                <w:color w:val="000000"/>
              </w:rPr>
              <w:t>0.02 ± 0.22</w:t>
            </w:r>
          </w:p>
        </w:tc>
        <w:tc>
          <w:tcPr>
            <w:tcW w:w="1284" w:type="dxa"/>
            <w:shd w:val="clear" w:color="auto" w:fill="auto"/>
            <w:vAlign w:val="bottom"/>
          </w:tcPr>
          <w:p w14:paraId="349357CD" w14:textId="77777777" w:rsidR="00F824BE" w:rsidRDefault="00F824BE" w:rsidP="0018431C">
            <w:pPr>
              <w:jc w:val="center"/>
              <w:rPr>
                <w:rFonts w:eastAsia="Times New Roman"/>
                <w:color w:val="000000"/>
              </w:rPr>
            </w:pPr>
            <w:r>
              <w:rPr>
                <w:rFonts w:eastAsia="Times New Roman"/>
                <w:color w:val="000000"/>
              </w:rPr>
              <w:t>1.2</w:t>
            </w:r>
          </w:p>
        </w:tc>
        <w:tc>
          <w:tcPr>
            <w:tcW w:w="1613" w:type="dxa"/>
            <w:gridSpan w:val="2"/>
            <w:shd w:val="clear" w:color="auto" w:fill="auto"/>
            <w:vAlign w:val="bottom"/>
          </w:tcPr>
          <w:p w14:paraId="139C2DFD" w14:textId="77777777" w:rsidR="00F824BE" w:rsidRDefault="00F824BE" w:rsidP="0018431C">
            <w:pPr>
              <w:jc w:val="center"/>
              <w:rPr>
                <w:rFonts w:eastAsia="Times New Roman"/>
                <w:color w:val="000000"/>
              </w:rPr>
            </w:pPr>
            <w:r>
              <w:rPr>
                <w:rFonts w:eastAsia="Times New Roman"/>
                <w:color w:val="000000"/>
              </w:rPr>
              <w:t>0.00 ± 0.00</w:t>
            </w:r>
          </w:p>
        </w:tc>
        <w:tc>
          <w:tcPr>
            <w:tcW w:w="1288" w:type="dxa"/>
            <w:shd w:val="clear" w:color="auto" w:fill="auto"/>
            <w:vAlign w:val="bottom"/>
          </w:tcPr>
          <w:p w14:paraId="699D0691" w14:textId="77777777" w:rsidR="00F824BE" w:rsidRDefault="00F824BE" w:rsidP="0018431C">
            <w:pPr>
              <w:jc w:val="center"/>
              <w:rPr>
                <w:rFonts w:eastAsia="Times New Roman"/>
                <w:color w:val="000000"/>
              </w:rPr>
            </w:pPr>
            <w:r>
              <w:rPr>
                <w:rFonts w:eastAsia="Times New Roman"/>
                <w:color w:val="000000"/>
              </w:rPr>
              <w:t>0.0</w:t>
            </w:r>
          </w:p>
        </w:tc>
      </w:tr>
      <w:tr w:rsidR="00F824BE" w14:paraId="0C503125" w14:textId="77777777" w:rsidTr="00481C82">
        <w:trPr>
          <w:trHeight w:val="156"/>
        </w:trPr>
        <w:tc>
          <w:tcPr>
            <w:tcW w:w="234" w:type="dxa"/>
            <w:shd w:val="clear" w:color="auto" w:fill="auto"/>
          </w:tcPr>
          <w:p w14:paraId="723F6FFC" w14:textId="77777777" w:rsidR="00F824BE" w:rsidRDefault="00F824BE" w:rsidP="0018431C"/>
        </w:tc>
        <w:tc>
          <w:tcPr>
            <w:tcW w:w="3495" w:type="dxa"/>
            <w:gridSpan w:val="2"/>
            <w:tcBorders>
              <w:bottom w:val="single" w:sz="4" w:space="0" w:color="00000A"/>
            </w:tcBorders>
            <w:shd w:val="clear" w:color="auto" w:fill="auto"/>
            <w:vAlign w:val="bottom"/>
          </w:tcPr>
          <w:p w14:paraId="06B80F56" w14:textId="77777777" w:rsidR="00F824BE" w:rsidRDefault="00F824BE" w:rsidP="0018431C">
            <w:pPr>
              <w:jc w:val="center"/>
              <w:rPr>
                <w:rFonts w:eastAsia="Times New Roman"/>
                <w:color w:val="000000"/>
              </w:rPr>
            </w:pPr>
            <w:r>
              <w:rPr>
                <w:rFonts w:eastAsia="Times New Roman"/>
                <w:color w:val="000000"/>
              </w:rPr>
              <w:t>Whiplash</w:t>
            </w:r>
          </w:p>
        </w:tc>
        <w:tc>
          <w:tcPr>
            <w:tcW w:w="1643" w:type="dxa"/>
            <w:tcBorders>
              <w:bottom w:val="single" w:sz="4" w:space="0" w:color="00000A"/>
            </w:tcBorders>
            <w:shd w:val="clear" w:color="auto" w:fill="auto"/>
            <w:vAlign w:val="bottom"/>
          </w:tcPr>
          <w:p w14:paraId="5E310239" w14:textId="77777777" w:rsidR="00F824BE" w:rsidRDefault="00F824BE" w:rsidP="0018431C">
            <w:pPr>
              <w:jc w:val="center"/>
              <w:rPr>
                <w:rFonts w:eastAsia="Times New Roman"/>
                <w:color w:val="000000"/>
              </w:rPr>
            </w:pPr>
            <w:r>
              <w:rPr>
                <w:rFonts w:eastAsia="Times New Roman"/>
                <w:color w:val="000000"/>
              </w:rPr>
              <w:t>0.00 ± 0.00</w:t>
            </w:r>
          </w:p>
        </w:tc>
        <w:tc>
          <w:tcPr>
            <w:tcW w:w="1281" w:type="dxa"/>
            <w:tcBorders>
              <w:bottom w:val="single" w:sz="4" w:space="0" w:color="00000A"/>
            </w:tcBorders>
            <w:shd w:val="clear" w:color="auto" w:fill="auto"/>
            <w:vAlign w:val="bottom"/>
          </w:tcPr>
          <w:p w14:paraId="192F3673" w14:textId="77777777" w:rsidR="00F824BE" w:rsidRDefault="00F824BE" w:rsidP="0018431C">
            <w:pPr>
              <w:jc w:val="center"/>
              <w:rPr>
                <w:rFonts w:eastAsia="Times New Roman"/>
                <w:color w:val="000000"/>
              </w:rPr>
            </w:pPr>
            <w:r>
              <w:rPr>
                <w:rFonts w:eastAsia="Times New Roman"/>
                <w:color w:val="000000"/>
              </w:rPr>
              <w:t>0.0</w:t>
            </w:r>
          </w:p>
        </w:tc>
        <w:tc>
          <w:tcPr>
            <w:tcW w:w="1464" w:type="dxa"/>
            <w:gridSpan w:val="2"/>
            <w:tcBorders>
              <w:bottom w:val="single" w:sz="4" w:space="0" w:color="00000A"/>
            </w:tcBorders>
            <w:shd w:val="clear" w:color="auto" w:fill="auto"/>
            <w:vAlign w:val="bottom"/>
          </w:tcPr>
          <w:p w14:paraId="4348A947" w14:textId="77777777" w:rsidR="00F824BE" w:rsidRDefault="00F824BE" w:rsidP="0018431C">
            <w:pPr>
              <w:jc w:val="center"/>
              <w:rPr>
                <w:rFonts w:eastAsia="Times New Roman"/>
                <w:color w:val="000000"/>
              </w:rPr>
            </w:pPr>
            <w:r>
              <w:rPr>
                <w:rFonts w:eastAsia="Times New Roman"/>
                <w:color w:val="000000"/>
              </w:rPr>
              <w:t>0.00 ± 0.00</w:t>
            </w:r>
          </w:p>
        </w:tc>
        <w:tc>
          <w:tcPr>
            <w:tcW w:w="1297" w:type="dxa"/>
            <w:tcBorders>
              <w:bottom w:val="single" w:sz="4" w:space="0" w:color="00000A"/>
            </w:tcBorders>
            <w:shd w:val="clear" w:color="auto" w:fill="auto"/>
            <w:vAlign w:val="bottom"/>
          </w:tcPr>
          <w:p w14:paraId="5592D7EB" w14:textId="77777777" w:rsidR="00F824BE" w:rsidRDefault="00F824BE" w:rsidP="0018431C">
            <w:pPr>
              <w:jc w:val="center"/>
              <w:rPr>
                <w:rFonts w:eastAsia="Times New Roman"/>
                <w:color w:val="000000"/>
              </w:rPr>
            </w:pPr>
            <w:r>
              <w:rPr>
                <w:rFonts w:eastAsia="Times New Roman"/>
                <w:color w:val="000000"/>
              </w:rPr>
              <w:t>0.0</w:t>
            </w:r>
          </w:p>
        </w:tc>
        <w:tc>
          <w:tcPr>
            <w:tcW w:w="1462" w:type="dxa"/>
            <w:tcBorders>
              <w:bottom w:val="single" w:sz="4" w:space="0" w:color="00000A"/>
            </w:tcBorders>
            <w:shd w:val="clear" w:color="auto" w:fill="auto"/>
            <w:vAlign w:val="bottom"/>
          </w:tcPr>
          <w:p w14:paraId="7D722503" w14:textId="77777777" w:rsidR="00F824BE" w:rsidRDefault="00F824BE" w:rsidP="0018431C">
            <w:pPr>
              <w:jc w:val="center"/>
              <w:rPr>
                <w:rFonts w:eastAsia="Times New Roman"/>
                <w:color w:val="000000"/>
              </w:rPr>
            </w:pPr>
            <w:r>
              <w:rPr>
                <w:rFonts w:eastAsia="Times New Roman"/>
                <w:color w:val="000000"/>
              </w:rPr>
              <w:t>-0.02 ± 0.22</w:t>
            </w:r>
          </w:p>
        </w:tc>
        <w:tc>
          <w:tcPr>
            <w:tcW w:w="1284" w:type="dxa"/>
            <w:tcBorders>
              <w:bottom w:val="single" w:sz="4" w:space="0" w:color="00000A"/>
            </w:tcBorders>
            <w:shd w:val="clear" w:color="auto" w:fill="auto"/>
            <w:vAlign w:val="bottom"/>
          </w:tcPr>
          <w:p w14:paraId="1F02F1B5" w14:textId="77777777" w:rsidR="00F824BE" w:rsidRDefault="00F824BE" w:rsidP="0018431C">
            <w:pPr>
              <w:jc w:val="center"/>
              <w:rPr>
                <w:rFonts w:eastAsia="Times New Roman"/>
                <w:color w:val="000000"/>
              </w:rPr>
            </w:pPr>
            <w:r>
              <w:rPr>
                <w:rFonts w:eastAsia="Times New Roman"/>
                <w:color w:val="000000"/>
              </w:rPr>
              <w:t>0.8</w:t>
            </w:r>
          </w:p>
        </w:tc>
        <w:tc>
          <w:tcPr>
            <w:tcW w:w="1613" w:type="dxa"/>
            <w:gridSpan w:val="2"/>
            <w:tcBorders>
              <w:bottom w:val="single" w:sz="4" w:space="0" w:color="00000A"/>
            </w:tcBorders>
            <w:shd w:val="clear" w:color="auto" w:fill="auto"/>
            <w:vAlign w:val="bottom"/>
          </w:tcPr>
          <w:p w14:paraId="4EFF6BEB" w14:textId="77777777" w:rsidR="00F824BE" w:rsidRDefault="00F824BE" w:rsidP="0018431C">
            <w:pPr>
              <w:jc w:val="center"/>
              <w:rPr>
                <w:rFonts w:eastAsia="Times New Roman"/>
                <w:color w:val="000000"/>
              </w:rPr>
            </w:pPr>
            <w:r>
              <w:rPr>
                <w:rFonts w:eastAsia="Times New Roman"/>
                <w:color w:val="000000"/>
              </w:rPr>
              <w:t>0.00 ± 0.00</w:t>
            </w:r>
          </w:p>
        </w:tc>
        <w:tc>
          <w:tcPr>
            <w:tcW w:w="1288" w:type="dxa"/>
            <w:tcBorders>
              <w:bottom w:val="single" w:sz="4" w:space="0" w:color="00000A"/>
            </w:tcBorders>
            <w:shd w:val="clear" w:color="auto" w:fill="auto"/>
            <w:vAlign w:val="bottom"/>
          </w:tcPr>
          <w:p w14:paraId="37DBF4EE" w14:textId="77777777" w:rsidR="00F824BE" w:rsidRDefault="00F824BE" w:rsidP="0018431C">
            <w:pPr>
              <w:jc w:val="center"/>
              <w:rPr>
                <w:rFonts w:eastAsia="Times New Roman"/>
                <w:color w:val="000000"/>
              </w:rPr>
            </w:pPr>
            <w:r>
              <w:rPr>
                <w:rFonts w:eastAsia="Times New Roman"/>
                <w:color w:val="000000"/>
              </w:rPr>
              <w:t>0.0</w:t>
            </w:r>
          </w:p>
        </w:tc>
      </w:tr>
    </w:tbl>
    <w:p w14:paraId="1430C8FD" w14:textId="0A48AE35" w:rsidR="006F5C0A" w:rsidRDefault="006F5C0A">
      <w:pPr>
        <w:spacing w:line="480" w:lineRule="auto"/>
      </w:pPr>
    </w:p>
    <w:sectPr w:rsidR="006F5C0A" w:rsidSect="0064447A">
      <w:type w:val="continuous"/>
      <w:pgSz w:w="16838" w:h="11906" w:orient="landscape"/>
      <w:pgMar w:top="1797" w:right="1440" w:bottom="1797" w:left="1440" w:header="0" w:footer="0" w:gutter="0"/>
      <w:lnNumType w:countBy="1" w:restart="continuous"/>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swiss"/>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30F"/>
    <w:multiLevelType w:val="hybridMultilevel"/>
    <w:tmpl w:val="6ED6A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77AB"/>
    <w:multiLevelType w:val="hybridMultilevel"/>
    <w:tmpl w:val="6650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5612C"/>
    <w:multiLevelType w:val="hybridMultilevel"/>
    <w:tmpl w:val="731A5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0263B"/>
    <w:multiLevelType w:val="multilevel"/>
    <w:tmpl w:val="D37A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A740B6"/>
    <w:multiLevelType w:val="multilevel"/>
    <w:tmpl w:val="B0D6A4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2036002"/>
    <w:multiLevelType w:val="hybridMultilevel"/>
    <w:tmpl w:val="BA7A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1031E"/>
    <w:multiLevelType w:val="multilevel"/>
    <w:tmpl w:val="9F1C99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drawingGridHorizontalSpacing w:val="108"/>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2z99wx07srzpae0exnvvs00asvr5xxx2efw&quot;&gt;My EndNote Library&lt;record-ids&gt;&lt;item&gt;44&lt;/item&gt;&lt;item&gt;52&lt;/item&gt;&lt;item&gt;145&lt;/item&gt;&lt;item&gt;147&lt;/item&gt;&lt;item&gt;149&lt;/item&gt;&lt;item&gt;152&lt;/item&gt;&lt;item&gt;153&lt;/item&gt;&lt;item&gt;154&lt;/item&gt;&lt;item&gt;157&lt;/item&gt;&lt;item&gt;160&lt;/item&gt;&lt;item&gt;168&lt;/item&gt;&lt;item&gt;236&lt;/item&gt;&lt;item&gt;246&lt;/item&gt;&lt;item&gt;248&lt;/item&gt;&lt;item&gt;264&lt;/item&gt;&lt;item&gt;315&lt;/item&gt;&lt;item&gt;341&lt;/item&gt;&lt;item&gt;411&lt;/item&gt;&lt;item&gt;412&lt;/item&gt;&lt;item&gt;427&lt;/item&gt;&lt;item&gt;432&lt;/item&gt;&lt;item&gt;447&lt;/item&gt;&lt;item&gt;458&lt;/item&gt;&lt;item&gt;460&lt;/item&gt;&lt;item&gt;462&lt;/item&gt;&lt;item&gt;463&lt;/item&gt;&lt;item&gt;464&lt;/item&gt;&lt;/record-ids&gt;&lt;/item&gt;&lt;/Libraries&gt;"/>
  </w:docVars>
  <w:rsids>
    <w:rsidRoot w:val="006F5C0A"/>
    <w:rsid w:val="00023E9E"/>
    <w:rsid w:val="00023F04"/>
    <w:rsid w:val="00027F7E"/>
    <w:rsid w:val="00031379"/>
    <w:rsid w:val="00036459"/>
    <w:rsid w:val="00053C5D"/>
    <w:rsid w:val="00057B35"/>
    <w:rsid w:val="00063533"/>
    <w:rsid w:val="0006620D"/>
    <w:rsid w:val="00067C9B"/>
    <w:rsid w:val="00073912"/>
    <w:rsid w:val="000826AA"/>
    <w:rsid w:val="00082DCA"/>
    <w:rsid w:val="00086C06"/>
    <w:rsid w:val="00090716"/>
    <w:rsid w:val="00091A2C"/>
    <w:rsid w:val="000946A4"/>
    <w:rsid w:val="00094CA6"/>
    <w:rsid w:val="00095AEA"/>
    <w:rsid w:val="00097069"/>
    <w:rsid w:val="000A0B6A"/>
    <w:rsid w:val="000A2824"/>
    <w:rsid w:val="000A56CE"/>
    <w:rsid w:val="000A770D"/>
    <w:rsid w:val="000B5266"/>
    <w:rsid w:val="000C09B6"/>
    <w:rsid w:val="000C4458"/>
    <w:rsid w:val="000C458A"/>
    <w:rsid w:val="000D0C17"/>
    <w:rsid w:val="000D324C"/>
    <w:rsid w:val="000D7BA2"/>
    <w:rsid w:val="000E37D1"/>
    <w:rsid w:val="000E4D04"/>
    <w:rsid w:val="001010F3"/>
    <w:rsid w:val="00102895"/>
    <w:rsid w:val="00106DBB"/>
    <w:rsid w:val="00110D23"/>
    <w:rsid w:val="001133CC"/>
    <w:rsid w:val="00117F63"/>
    <w:rsid w:val="00122851"/>
    <w:rsid w:val="001239CF"/>
    <w:rsid w:val="00125F5D"/>
    <w:rsid w:val="00134B64"/>
    <w:rsid w:val="00137695"/>
    <w:rsid w:val="001450B6"/>
    <w:rsid w:val="001453D5"/>
    <w:rsid w:val="00157C9C"/>
    <w:rsid w:val="00161991"/>
    <w:rsid w:val="00161D09"/>
    <w:rsid w:val="00164D4D"/>
    <w:rsid w:val="00164DF5"/>
    <w:rsid w:val="001722AC"/>
    <w:rsid w:val="0017418A"/>
    <w:rsid w:val="0018022D"/>
    <w:rsid w:val="00183C83"/>
    <w:rsid w:val="0018431C"/>
    <w:rsid w:val="001904A2"/>
    <w:rsid w:val="00196500"/>
    <w:rsid w:val="001A50A6"/>
    <w:rsid w:val="001A6133"/>
    <w:rsid w:val="001A75AC"/>
    <w:rsid w:val="001A7F8F"/>
    <w:rsid w:val="001B3611"/>
    <w:rsid w:val="001B46FC"/>
    <w:rsid w:val="001B745D"/>
    <w:rsid w:val="001C1287"/>
    <w:rsid w:val="001D3C94"/>
    <w:rsid w:val="001E11C5"/>
    <w:rsid w:val="001E20BC"/>
    <w:rsid w:val="001E2122"/>
    <w:rsid w:val="001E2EF3"/>
    <w:rsid w:val="001F33CD"/>
    <w:rsid w:val="00203739"/>
    <w:rsid w:val="00203E9E"/>
    <w:rsid w:val="00205C3D"/>
    <w:rsid w:val="0020730A"/>
    <w:rsid w:val="00210FE9"/>
    <w:rsid w:val="00211656"/>
    <w:rsid w:val="0021398A"/>
    <w:rsid w:val="00217FCA"/>
    <w:rsid w:val="00224827"/>
    <w:rsid w:val="00230F7D"/>
    <w:rsid w:val="00237671"/>
    <w:rsid w:val="002376E6"/>
    <w:rsid w:val="0024142C"/>
    <w:rsid w:val="0024292F"/>
    <w:rsid w:val="00250577"/>
    <w:rsid w:val="0025303C"/>
    <w:rsid w:val="002628EF"/>
    <w:rsid w:val="00277AC3"/>
    <w:rsid w:val="0028100E"/>
    <w:rsid w:val="00285AE5"/>
    <w:rsid w:val="00292A06"/>
    <w:rsid w:val="00292E50"/>
    <w:rsid w:val="002A3FB6"/>
    <w:rsid w:val="002A6466"/>
    <w:rsid w:val="002A75C5"/>
    <w:rsid w:val="002A7FF2"/>
    <w:rsid w:val="002C163B"/>
    <w:rsid w:val="002C211E"/>
    <w:rsid w:val="002C2C89"/>
    <w:rsid w:val="002C474F"/>
    <w:rsid w:val="002C6C88"/>
    <w:rsid w:val="002D19B9"/>
    <w:rsid w:val="002E3AB9"/>
    <w:rsid w:val="002E3EA6"/>
    <w:rsid w:val="002E469A"/>
    <w:rsid w:val="002E4EBF"/>
    <w:rsid w:val="002F5059"/>
    <w:rsid w:val="002F5B79"/>
    <w:rsid w:val="002F7DB9"/>
    <w:rsid w:val="00300EFE"/>
    <w:rsid w:val="00313EA0"/>
    <w:rsid w:val="003212D9"/>
    <w:rsid w:val="00321513"/>
    <w:rsid w:val="00322CD8"/>
    <w:rsid w:val="00326965"/>
    <w:rsid w:val="003334B9"/>
    <w:rsid w:val="0033658B"/>
    <w:rsid w:val="0033663D"/>
    <w:rsid w:val="00342459"/>
    <w:rsid w:val="003471C1"/>
    <w:rsid w:val="00352C4E"/>
    <w:rsid w:val="00354E90"/>
    <w:rsid w:val="00360037"/>
    <w:rsid w:val="0036285C"/>
    <w:rsid w:val="00372349"/>
    <w:rsid w:val="00373DCC"/>
    <w:rsid w:val="0037721D"/>
    <w:rsid w:val="00390CFD"/>
    <w:rsid w:val="00391274"/>
    <w:rsid w:val="00392554"/>
    <w:rsid w:val="003943BA"/>
    <w:rsid w:val="003B7FED"/>
    <w:rsid w:val="003C0117"/>
    <w:rsid w:val="003C125F"/>
    <w:rsid w:val="003D7BCE"/>
    <w:rsid w:val="003F2B8D"/>
    <w:rsid w:val="004013B9"/>
    <w:rsid w:val="00401FC8"/>
    <w:rsid w:val="0040394B"/>
    <w:rsid w:val="0040498C"/>
    <w:rsid w:val="0042536D"/>
    <w:rsid w:val="00426EFE"/>
    <w:rsid w:val="004438CB"/>
    <w:rsid w:val="00443ACB"/>
    <w:rsid w:val="0044699A"/>
    <w:rsid w:val="004562D7"/>
    <w:rsid w:val="00460040"/>
    <w:rsid w:val="00472A01"/>
    <w:rsid w:val="00475772"/>
    <w:rsid w:val="00476301"/>
    <w:rsid w:val="00477FEA"/>
    <w:rsid w:val="00481C82"/>
    <w:rsid w:val="00482124"/>
    <w:rsid w:val="0049284F"/>
    <w:rsid w:val="00493322"/>
    <w:rsid w:val="00496A9B"/>
    <w:rsid w:val="004A2359"/>
    <w:rsid w:val="004A260C"/>
    <w:rsid w:val="004A557F"/>
    <w:rsid w:val="004A6560"/>
    <w:rsid w:val="004B092B"/>
    <w:rsid w:val="004B652E"/>
    <w:rsid w:val="004C0515"/>
    <w:rsid w:val="004C091C"/>
    <w:rsid w:val="004C0972"/>
    <w:rsid w:val="004C11E1"/>
    <w:rsid w:val="004E01D5"/>
    <w:rsid w:val="004E13DF"/>
    <w:rsid w:val="004E5A4F"/>
    <w:rsid w:val="004F472A"/>
    <w:rsid w:val="004F4A5F"/>
    <w:rsid w:val="004F4CDF"/>
    <w:rsid w:val="004F7A50"/>
    <w:rsid w:val="00505237"/>
    <w:rsid w:val="00517E33"/>
    <w:rsid w:val="005226B0"/>
    <w:rsid w:val="00525FF4"/>
    <w:rsid w:val="005472CC"/>
    <w:rsid w:val="00554121"/>
    <w:rsid w:val="00570E7C"/>
    <w:rsid w:val="0057462C"/>
    <w:rsid w:val="005751AC"/>
    <w:rsid w:val="00576B88"/>
    <w:rsid w:val="005A2152"/>
    <w:rsid w:val="005A7CE3"/>
    <w:rsid w:val="005A7DC7"/>
    <w:rsid w:val="005B636F"/>
    <w:rsid w:val="005C29BF"/>
    <w:rsid w:val="005D00B6"/>
    <w:rsid w:val="005D6945"/>
    <w:rsid w:val="005E6CFC"/>
    <w:rsid w:val="005F21DF"/>
    <w:rsid w:val="005F456E"/>
    <w:rsid w:val="005F54AB"/>
    <w:rsid w:val="00601637"/>
    <w:rsid w:val="00601A7B"/>
    <w:rsid w:val="00601B85"/>
    <w:rsid w:val="00603372"/>
    <w:rsid w:val="00604456"/>
    <w:rsid w:val="00617780"/>
    <w:rsid w:val="006235E8"/>
    <w:rsid w:val="00630105"/>
    <w:rsid w:val="0063067A"/>
    <w:rsid w:val="006345CA"/>
    <w:rsid w:val="00642BD6"/>
    <w:rsid w:val="0064447A"/>
    <w:rsid w:val="0064607A"/>
    <w:rsid w:val="00654524"/>
    <w:rsid w:val="0065511E"/>
    <w:rsid w:val="00656AF3"/>
    <w:rsid w:val="00660BDC"/>
    <w:rsid w:val="00661EBC"/>
    <w:rsid w:val="00663525"/>
    <w:rsid w:val="00673201"/>
    <w:rsid w:val="006818B9"/>
    <w:rsid w:val="006831C4"/>
    <w:rsid w:val="00687A5F"/>
    <w:rsid w:val="00690D75"/>
    <w:rsid w:val="006935B1"/>
    <w:rsid w:val="006944A9"/>
    <w:rsid w:val="006A007B"/>
    <w:rsid w:val="006A5915"/>
    <w:rsid w:val="006B1917"/>
    <w:rsid w:val="006B2AB1"/>
    <w:rsid w:val="006C05A3"/>
    <w:rsid w:val="006C0D0C"/>
    <w:rsid w:val="006C2592"/>
    <w:rsid w:val="006C4D5E"/>
    <w:rsid w:val="006D09B5"/>
    <w:rsid w:val="006D5BD1"/>
    <w:rsid w:val="006D65A5"/>
    <w:rsid w:val="006E4981"/>
    <w:rsid w:val="006E76A0"/>
    <w:rsid w:val="006F18A4"/>
    <w:rsid w:val="006F3959"/>
    <w:rsid w:val="006F5C0A"/>
    <w:rsid w:val="006F5E5B"/>
    <w:rsid w:val="00700AC3"/>
    <w:rsid w:val="00700C5A"/>
    <w:rsid w:val="00706213"/>
    <w:rsid w:val="00706557"/>
    <w:rsid w:val="00717006"/>
    <w:rsid w:val="00730436"/>
    <w:rsid w:val="0073157C"/>
    <w:rsid w:val="007322F9"/>
    <w:rsid w:val="00732FD1"/>
    <w:rsid w:val="007336A9"/>
    <w:rsid w:val="00733E4C"/>
    <w:rsid w:val="00734B56"/>
    <w:rsid w:val="00743A20"/>
    <w:rsid w:val="00746853"/>
    <w:rsid w:val="0075209F"/>
    <w:rsid w:val="007647C5"/>
    <w:rsid w:val="00764F1C"/>
    <w:rsid w:val="00774742"/>
    <w:rsid w:val="00775A39"/>
    <w:rsid w:val="00776D3A"/>
    <w:rsid w:val="007804F8"/>
    <w:rsid w:val="007831F1"/>
    <w:rsid w:val="007837CA"/>
    <w:rsid w:val="007847A8"/>
    <w:rsid w:val="007914B9"/>
    <w:rsid w:val="00794683"/>
    <w:rsid w:val="00797E95"/>
    <w:rsid w:val="007A0D2E"/>
    <w:rsid w:val="007A7006"/>
    <w:rsid w:val="007B08BC"/>
    <w:rsid w:val="007B346B"/>
    <w:rsid w:val="007B3DEF"/>
    <w:rsid w:val="007C008B"/>
    <w:rsid w:val="007C15B6"/>
    <w:rsid w:val="007C7DE5"/>
    <w:rsid w:val="007D75E9"/>
    <w:rsid w:val="007E2422"/>
    <w:rsid w:val="007E34E1"/>
    <w:rsid w:val="007E3CC7"/>
    <w:rsid w:val="007F51DB"/>
    <w:rsid w:val="007F6CF6"/>
    <w:rsid w:val="008123E2"/>
    <w:rsid w:val="00815017"/>
    <w:rsid w:val="00815BC4"/>
    <w:rsid w:val="00820508"/>
    <w:rsid w:val="0083070A"/>
    <w:rsid w:val="0083141C"/>
    <w:rsid w:val="0083242C"/>
    <w:rsid w:val="00852EE9"/>
    <w:rsid w:val="00852F3D"/>
    <w:rsid w:val="00853197"/>
    <w:rsid w:val="00856668"/>
    <w:rsid w:val="00856E9A"/>
    <w:rsid w:val="00862F7A"/>
    <w:rsid w:val="008635D6"/>
    <w:rsid w:val="00872BD5"/>
    <w:rsid w:val="00873C34"/>
    <w:rsid w:val="00877015"/>
    <w:rsid w:val="0087712F"/>
    <w:rsid w:val="00881E38"/>
    <w:rsid w:val="0088285E"/>
    <w:rsid w:val="00887CA4"/>
    <w:rsid w:val="0089103D"/>
    <w:rsid w:val="00896A04"/>
    <w:rsid w:val="00896EC3"/>
    <w:rsid w:val="00897950"/>
    <w:rsid w:val="00897E7C"/>
    <w:rsid w:val="008B1E8F"/>
    <w:rsid w:val="008D0289"/>
    <w:rsid w:val="008D3CAF"/>
    <w:rsid w:val="008E0F99"/>
    <w:rsid w:val="008E4EC2"/>
    <w:rsid w:val="008E6C9F"/>
    <w:rsid w:val="009005AD"/>
    <w:rsid w:val="009010F6"/>
    <w:rsid w:val="00903C1E"/>
    <w:rsid w:val="00921177"/>
    <w:rsid w:val="009301BC"/>
    <w:rsid w:val="0093201B"/>
    <w:rsid w:val="009331A0"/>
    <w:rsid w:val="00940137"/>
    <w:rsid w:val="00945C27"/>
    <w:rsid w:val="00953DCC"/>
    <w:rsid w:val="00964115"/>
    <w:rsid w:val="00964B1D"/>
    <w:rsid w:val="00966721"/>
    <w:rsid w:val="009672F4"/>
    <w:rsid w:val="00971F33"/>
    <w:rsid w:val="00974D4C"/>
    <w:rsid w:val="00981BD1"/>
    <w:rsid w:val="00983823"/>
    <w:rsid w:val="009958D9"/>
    <w:rsid w:val="009A017A"/>
    <w:rsid w:val="009D340C"/>
    <w:rsid w:val="009D42C6"/>
    <w:rsid w:val="009D61C2"/>
    <w:rsid w:val="009D74F3"/>
    <w:rsid w:val="009E646C"/>
    <w:rsid w:val="009E6DF6"/>
    <w:rsid w:val="009F07F2"/>
    <w:rsid w:val="00A03034"/>
    <w:rsid w:val="00A0325C"/>
    <w:rsid w:val="00A07934"/>
    <w:rsid w:val="00A07A9E"/>
    <w:rsid w:val="00A10337"/>
    <w:rsid w:val="00A1333C"/>
    <w:rsid w:val="00A20C62"/>
    <w:rsid w:val="00A26E00"/>
    <w:rsid w:val="00A32D03"/>
    <w:rsid w:val="00A37072"/>
    <w:rsid w:val="00A42732"/>
    <w:rsid w:val="00A5128C"/>
    <w:rsid w:val="00A55CA3"/>
    <w:rsid w:val="00A561BF"/>
    <w:rsid w:val="00A56332"/>
    <w:rsid w:val="00A67909"/>
    <w:rsid w:val="00A67AED"/>
    <w:rsid w:val="00A724B2"/>
    <w:rsid w:val="00A825FE"/>
    <w:rsid w:val="00A87E02"/>
    <w:rsid w:val="00A95BF7"/>
    <w:rsid w:val="00AA2325"/>
    <w:rsid w:val="00AA6320"/>
    <w:rsid w:val="00AA7B85"/>
    <w:rsid w:val="00AB3233"/>
    <w:rsid w:val="00AB4416"/>
    <w:rsid w:val="00AC0816"/>
    <w:rsid w:val="00AC3595"/>
    <w:rsid w:val="00AC3685"/>
    <w:rsid w:val="00AC5C7F"/>
    <w:rsid w:val="00AD1876"/>
    <w:rsid w:val="00AD2796"/>
    <w:rsid w:val="00AD4403"/>
    <w:rsid w:val="00AD5520"/>
    <w:rsid w:val="00AE02CA"/>
    <w:rsid w:val="00AE51FE"/>
    <w:rsid w:val="00AF2412"/>
    <w:rsid w:val="00AF282B"/>
    <w:rsid w:val="00AF4D50"/>
    <w:rsid w:val="00B0172C"/>
    <w:rsid w:val="00B02242"/>
    <w:rsid w:val="00B04D73"/>
    <w:rsid w:val="00B05AB1"/>
    <w:rsid w:val="00B07F1D"/>
    <w:rsid w:val="00B13DCF"/>
    <w:rsid w:val="00B16595"/>
    <w:rsid w:val="00B2117E"/>
    <w:rsid w:val="00B25873"/>
    <w:rsid w:val="00B30CF6"/>
    <w:rsid w:val="00B44A61"/>
    <w:rsid w:val="00B473AD"/>
    <w:rsid w:val="00B51C7B"/>
    <w:rsid w:val="00B5385F"/>
    <w:rsid w:val="00B53936"/>
    <w:rsid w:val="00B65F36"/>
    <w:rsid w:val="00B71408"/>
    <w:rsid w:val="00B806A5"/>
    <w:rsid w:val="00B82F63"/>
    <w:rsid w:val="00B833B3"/>
    <w:rsid w:val="00B8678F"/>
    <w:rsid w:val="00B91C51"/>
    <w:rsid w:val="00B92837"/>
    <w:rsid w:val="00BA0182"/>
    <w:rsid w:val="00BA384F"/>
    <w:rsid w:val="00BA4B0C"/>
    <w:rsid w:val="00BB11AF"/>
    <w:rsid w:val="00BC0575"/>
    <w:rsid w:val="00BC21B5"/>
    <w:rsid w:val="00BC3E52"/>
    <w:rsid w:val="00BC57D9"/>
    <w:rsid w:val="00BC63A5"/>
    <w:rsid w:val="00BD04EC"/>
    <w:rsid w:val="00BF6B06"/>
    <w:rsid w:val="00C07F37"/>
    <w:rsid w:val="00C15C13"/>
    <w:rsid w:val="00C17BFC"/>
    <w:rsid w:val="00C2368A"/>
    <w:rsid w:val="00C30645"/>
    <w:rsid w:val="00C404E7"/>
    <w:rsid w:val="00C42A66"/>
    <w:rsid w:val="00C4596C"/>
    <w:rsid w:val="00C46D3E"/>
    <w:rsid w:val="00C554E2"/>
    <w:rsid w:val="00C5595A"/>
    <w:rsid w:val="00C65334"/>
    <w:rsid w:val="00C74BCD"/>
    <w:rsid w:val="00C9244A"/>
    <w:rsid w:val="00C9396A"/>
    <w:rsid w:val="00CA45B9"/>
    <w:rsid w:val="00CB353C"/>
    <w:rsid w:val="00CB568D"/>
    <w:rsid w:val="00CB59F3"/>
    <w:rsid w:val="00CB727D"/>
    <w:rsid w:val="00CC2C76"/>
    <w:rsid w:val="00CC7C26"/>
    <w:rsid w:val="00CD4F0B"/>
    <w:rsid w:val="00D0584A"/>
    <w:rsid w:val="00D105C8"/>
    <w:rsid w:val="00D153C6"/>
    <w:rsid w:val="00D155AF"/>
    <w:rsid w:val="00D17080"/>
    <w:rsid w:val="00D20D65"/>
    <w:rsid w:val="00D21CAA"/>
    <w:rsid w:val="00D266B1"/>
    <w:rsid w:val="00D355D5"/>
    <w:rsid w:val="00D455B1"/>
    <w:rsid w:val="00D45887"/>
    <w:rsid w:val="00D47E38"/>
    <w:rsid w:val="00D541D6"/>
    <w:rsid w:val="00D54D97"/>
    <w:rsid w:val="00D5556B"/>
    <w:rsid w:val="00D62C0A"/>
    <w:rsid w:val="00D70274"/>
    <w:rsid w:val="00D738DA"/>
    <w:rsid w:val="00D745B8"/>
    <w:rsid w:val="00D83E11"/>
    <w:rsid w:val="00D91678"/>
    <w:rsid w:val="00D9296F"/>
    <w:rsid w:val="00D9721E"/>
    <w:rsid w:val="00DA03E3"/>
    <w:rsid w:val="00DA080C"/>
    <w:rsid w:val="00DA15FB"/>
    <w:rsid w:val="00DA3D07"/>
    <w:rsid w:val="00DC1EA5"/>
    <w:rsid w:val="00DC4887"/>
    <w:rsid w:val="00DE00F0"/>
    <w:rsid w:val="00DE0D05"/>
    <w:rsid w:val="00DE0FF5"/>
    <w:rsid w:val="00DE1474"/>
    <w:rsid w:val="00DF0718"/>
    <w:rsid w:val="00DF2CCF"/>
    <w:rsid w:val="00DF3705"/>
    <w:rsid w:val="00DF4F37"/>
    <w:rsid w:val="00DF66B2"/>
    <w:rsid w:val="00E06418"/>
    <w:rsid w:val="00E0720F"/>
    <w:rsid w:val="00E14EB8"/>
    <w:rsid w:val="00E21AEE"/>
    <w:rsid w:val="00E278AA"/>
    <w:rsid w:val="00E31675"/>
    <w:rsid w:val="00E3415D"/>
    <w:rsid w:val="00E4653E"/>
    <w:rsid w:val="00E51A21"/>
    <w:rsid w:val="00E63A12"/>
    <w:rsid w:val="00E63CB1"/>
    <w:rsid w:val="00E74E53"/>
    <w:rsid w:val="00E85760"/>
    <w:rsid w:val="00E85988"/>
    <w:rsid w:val="00E9315A"/>
    <w:rsid w:val="00E94B4F"/>
    <w:rsid w:val="00E97EFB"/>
    <w:rsid w:val="00EA111E"/>
    <w:rsid w:val="00EB3DCD"/>
    <w:rsid w:val="00EC1F7C"/>
    <w:rsid w:val="00ED4142"/>
    <w:rsid w:val="00ED6C83"/>
    <w:rsid w:val="00EE4A8D"/>
    <w:rsid w:val="00F05990"/>
    <w:rsid w:val="00F22B54"/>
    <w:rsid w:val="00F23FF9"/>
    <w:rsid w:val="00F326CA"/>
    <w:rsid w:val="00F37E22"/>
    <w:rsid w:val="00F42029"/>
    <w:rsid w:val="00F44124"/>
    <w:rsid w:val="00F5038E"/>
    <w:rsid w:val="00F51A0B"/>
    <w:rsid w:val="00F55952"/>
    <w:rsid w:val="00F6389F"/>
    <w:rsid w:val="00F80972"/>
    <w:rsid w:val="00F82157"/>
    <w:rsid w:val="00F824BE"/>
    <w:rsid w:val="00F91993"/>
    <w:rsid w:val="00F9327C"/>
    <w:rsid w:val="00FA2349"/>
    <w:rsid w:val="00FA4292"/>
    <w:rsid w:val="00FA7764"/>
    <w:rsid w:val="00FB0D1E"/>
    <w:rsid w:val="00FC05E1"/>
    <w:rsid w:val="00FC3837"/>
    <w:rsid w:val="00FC5AE8"/>
    <w:rsid w:val="00FF20CE"/>
    <w:rsid w:val="00FF3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A354"/>
  <w15:docId w15:val="{0ADDD66B-86AA-4C6E-88E8-63C22E93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508"/>
    <w:rPr>
      <w:rFonts w:ascii="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F135F"/>
    <w:rPr>
      <w:rFonts w:ascii="Lucida Grande" w:hAnsi="Lucida Grande"/>
      <w:sz w:val="18"/>
      <w:szCs w:val="18"/>
      <w:lang w:val="en-AU"/>
    </w:rPr>
  </w:style>
  <w:style w:type="character" w:styleId="LineNumber">
    <w:name w:val="line number"/>
    <w:basedOn w:val="DefaultParagraphFont"/>
    <w:uiPriority w:val="99"/>
    <w:semiHidden/>
    <w:unhideWhenUsed/>
    <w:qFormat/>
    <w:rsid w:val="007F6A00"/>
  </w:style>
  <w:style w:type="character" w:styleId="CommentReference">
    <w:name w:val="annotation reference"/>
    <w:basedOn w:val="DefaultParagraphFont"/>
    <w:uiPriority w:val="99"/>
    <w:semiHidden/>
    <w:unhideWhenUsed/>
    <w:qFormat/>
    <w:rsid w:val="00C56AF9"/>
    <w:rPr>
      <w:sz w:val="18"/>
      <w:szCs w:val="18"/>
    </w:rPr>
  </w:style>
  <w:style w:type="character" w:customStyle="1" w:styleId="CommentTextChar">
    <w:name w:val="Comment Text Char"/>
    <w:basedOn w:val="DefaultParagraphFont"/>
    <w:link w:val="CommentText"/>
    <w:uiPriority w:val="99"/>
    <w:qFormat/>
    <w:rsid w:val="00C56AF9"/>
    <w:rPr>
      <w:lang w:val="en-AU"/>
    </w:rPr>
  </w:style>
  <w:style w:type="character" w:customStyle="1" w:styleId="CommentSubjectChar">
    <w:name w:val="Comment Subject Char"/>
    <w:basedOn w:val="CommentTextChar"/>
    <w:link w:val="CommentSubject"/>
    <w:uiPriority w:val="99"/>
    <w:semiHidden/>
    <w:qFormat/>
    <w:rsid w:val="00C56AF9"/>
    <w:rPr>
      <w:b/>
      <w:bCs/>
      <w:sz w:val="20"/>
      <w:szCs w:val="20"/>
      <w:lang w:val="en-AU"/>
    </w:rPr>
  </w:style>
  <w:style w:type="character" w:customStyle="1" w:styleId="EndnoteTextChar">
    <w:name w:val="Endnote Text Char"/>
    <w:basedOn w:val="DefaultParagraphFont"/>
    <w:link w:val="EndnoteText"/>
    <w:uiPriority w:val="99"/>
    <w:qFormat/>
    <w:rsid w:val="000B4F20"/>
  </w:style>
  <w:style w:type="character" w:styleId="EndnoteReference">
    <w:name w:val="endnote reference"/>
    <w:basedOn w:val="DefaultParagraphFont"/>
    <w:uiPriority w:val="99"/>
    <w:unhideWhenUsed/>
    <w:qFormat/>
    <w:rsid w:val="000B4F20"/>
    <w:rPr>
      <w:vertAlign w:val="superscript"/>
    </w:rPr>
  </w:style>
  <w:style w:type="character" w:customStyle="1" w:styleId="HeaderChar">
    <w:name w:val="Header Char"/>
    <w:basedOn w:val="DefaultParagraphFont"/>
    <w:link w:val="Header"/>
    <w:uiPriority w:val="99"/>
    <w:qFormat/>
    <w:rsid w:val="001B389A"/>
    <w:rPr>
      <w:rFonts w:ascii="Times New Roman" w:hAnsi="Times New Roman" w:cs="Times New Roman"/>
      <w:lang w:val="en-US" w:eastAsia="en-US"/>
    </w:rPr>
  </w:style>
  <w:style w:type="character" w:customStyle="1" w:styleId="FooterChar">
    <w:name w:val="Footer Char"/>
    <w:basedOn w:val="DefaultParagraphFont"/>
    <w:link w:val="Footer"/>
    <w:uiPriority w:val="99"/>
    <w:qFormat/>
    <w:rsid w:val="001B389A"/>
    <w:rPr>
      <w:rFonts w:ascii="Times New Roman" w:hAnsi="Times New Roman" w:cs="Times New Roman"/>
      <w:lang w:val="en-US" w:eastAsia="en-US"/>
    </w:rPr>
  </w:style>
  <w:style w:type="character" w:customStyle="1" w:styleId="InternetLink">
    <w:name w:val="Internet Link"/>
    <w:basedOn w:val="DefaultParagraphFont"/>
    <w:uiPriority w:val="99"/>
    <w:unhideWhenUsed/>
    <w:rsid w:val="004F409C"/>
    <w:rPr>
      <w:color w:val="0000FF" w:themeColor="hyperlink"/>
      <w:u w:val="single"/>
    </w:rPr>
  </w:style>
  <w:style w:type="character" w:customStyle="1" w:styleId="ListLabel1">
    <w:name w:val="ListLabel 1"/>
    <w:qFormat/>
    <w:rsid w:val="000A0B6A"/>
    <w:rPr>
      <w:rFonts w:cs="Times New Roman"/>
    </w:rPr>
  </w:style>
  <w:style w:type="character" w:customStyle="1" w:styleId="ListLabel2">
    <w:name w:val="ListLabel 2"/>
    <w:qFormat/>
    <w:rsid w:val="000A0B6A"/>
    <w:rPr>
      <w:rFonts w:cs="Times New Roman"/>
    </w:rPr>
  </w:style>
  <w:style w:type="character" w:customStyle="1" w:styleId="ListLabel3">
    <w:name w:val="ListLabel 3"/>
    <w:qFormat/>
    <w:rsid w:val="000A0B6A"/>
    <w:rPr>
      <w:rFonts w:cs="Courier New"/>
    </w:rPr>
  </w:style>
  <w:style w:type="character" w:customStyle="1" w:styleId="ListLabel4">
    <w:name w:val="ListLabel 4"/>
    <w:qFormat/>
    <w:rsid w:val="000A0B6A"/>
    <w:rPr>
      <w:rFonts w:cs="Courier New"/>
    </w:rPr>
  </w:style>
  <w:style w:type="character" w:customStyle="1" w:styleId="ListLabel5">
    <w:name w:val="ListLabel 5"/>
    <w:qFormat/>
    <w:rsid w:val="000A0B6A"/>
    <w:rPr>
      <w:rFonts w:cs="Courier New"/>
    </w:rPr>
  </w:style>
  <w:style w:type="character" w:customStyle="1" w:styleId="LineNumbering">
    <w:name w:val="Line Numbering"/>
    <w:rsid w:val="000A0B6A"/>
  </w:style>
  <w:style w:type="paragraph" w:customStyle="1" w:styleId="Heading">
    <w:name w:val="Heading"/>
    <w:basedOn w:val="Normal"/>
    <w:next w:val="BodyText"/>
    <w:qFormat/>
    <w:rsid w:val="000A0B6A"/>
    <w:pPr>
      <w:keepNext/>
      <w:spacing w:before="240" w:after="120"/>
    </w:pPr>
    <w:rPr>
      <w:rFonts w:ascii="Liberation Sans" w:eastAsia="Arial Unicode MS" w:hAnsi="Liberation Sans" w:cs="Arial Unicode MS"/>
      <w:sz w:val="28"/>
      <w:szCs w:val="28"/>
    </w:rPr>
  </w:style>
  <w:style w:type="paragraph" w:styleId="BodyText">
    <w:name w:val="Body Text"/>
    <w:basedOn w:val="Normal"/>
    <w:rsid w:val="000A0B6A"/>
    <w:pPr>
      <w:spacing w:after="140" w:line="288" w:lineRule="auto"/>
    </w:pPr>
  </w:style>
  <w:style w:type="paragraph" w:styleId="List">
    <w:name w:val="List"/>
    <w:basedOn w:val="BodyText"/>
    <w:rsid w:val="000A0B6A"/>
  </w:style>
  <w:style w:type="paragraph" w:styleId="Caption">
    <w:name w:val="caption"/>
    <w:basedOn w:val="Normal"/>
    <w:qFormat/>
    <w:rsid w:val="000A0B6A"/>
    <w:pPr>
      <w:suppressLineNumbers/>
      <w:spacing w:before="120" w:after="120"/>
    </w:pPr>
    <w:rPr>
      <w:i/>
      <w:iCs/>
    </w:rPr>
  </w:style>
  <w:style w:type="paragraph" w:customStyle="1" w:styleId="Index">
    <w:name w:val="Index"/>
    <w:basedOn w:val="Normal"/>
    <w:qFormat/>
    <w:rsid w:val="000A0B6A"/>
    <w:pPr>
      <w:suppressLineNumbers/>
    </w:pPr>
  </w:style>
  <w:style w:type="paragraph" w:styleId="BalloonText">
    <w:name w:val="Balloon Text"/>
    <w:basedOn w:val="Normal"/>
    <w:link w:val="BalloonTextChar"/>
    <w:uiPriority w:val="99"/>
    <w:semiHidden/>
    <w:unhideWhenUsed/>
    <w:qFormat/>
    <w:rsid w:val="00FF135F"/>
    <w:rPr>
      <w:rFonts w:ascii="Lucida Grande" w:hAnsi="Lucida Grande" w:cstheme="minorBidi"/>
      <w:sz w:val="18"/>
      <w:szCs w:val="18"/>
      <w:lang w:val="en-AU" w:eastAsia="ja-JP"/>
    </w:rPr>
  </w:style>
  <w:style w:type="paragraph" w:styleId="CommentText">
    <w:name w:val="annotation text"/>
    <w:basedOn w:val="Normal"/>
    <w:link w:val="CommentTextChar"/>
    <w:uiPriority w:val="99"/>
    <w:unhideWhenUsed/>
    <w:qFormat/>
    <w:rsid w:val="00C56AF9"/>
    <w:rPr>
      <w:rFonts w:asciiTheme="minorHAnsi" w:hAnsiTheme="minorHAnsi" w:cstheme="minorBidi"/>
      <w:lang w:val="en-AU" w:eastAsia="ja-JP"/>
    </w:rPr>
  </w:style>
  <w:style w:type="paragraph" w:styleId="CommentSubject">
    <w:name w:val="annotation subject"/>
    <w:basedOn w:val="CommentText"/>
    <w:link w:val="CommentSubjectChar"/>
    <w:uiPriority w:val="99"/>
    <w:semiHidden/>
    <w:unhideWhenUsed/>
    <w:qFormat/>
    <w:rsid w:val="00C56AF9"/>
    <w:rPr>
      <w:b/>
      <w:bCs/>
      <w:sz w:val="20"/>
      <w:szCs w:val="20"/>
    </w:rPr>
  </w:style>
  <w:style w:type="paragraph" w:styleId="ListParagraph">
    <w:name w:val="List Paragraph"/>
    <w:basedOn w:val="Normal"/>
    <w:uiPriority w:val="34"/>
    <w:qFormat/>
    <w:rsid w:val="00BC7264"/>
    <w:pPr>
      <w:ind w:left="720"/>
      <w:contextualSpacing/>
    </w:pPr>
    <w:rPr>
      <w:rFonts w:asciiTheme="minorHAnsi" w:hAnsiTheme="minorHAnsi" w:cstheme="minorBidi"/>
      <w:lang w:val="en-AU" w:eastAsia="ja-JP"/>
    </w:rPr>
  </w:style>
  <w:style w:type="paragraph" w:customStyle="1" w:styleId="EndNoteBibliographyTitle">
    <w:name w:val="EndNote Bibliography Title"/>
    <w:basedOn w:val="Normal"/>
    <w:qFormat/>
    <w:rsid w:val="009E7069"/>
    <w:pPr>
      <w:jc w:val="center"/>
    </w:pPr>
    <w:rPr>
      <w:lang w:eastAsia="ja-JP"/>
    </w:rPr>
  </w:style>
  <w:style w:type="paragraph" w:customStyle="1" w:styleId="EndNoteBibliography">
    <w:name w:val="EndNote Bibliography"/>
    <w:basedOn w:val="Normal"/>
    <w:qFormat/>
    <w:rsid w:val="009E7069"/>
    <w:rPr>
      <w:lang w:eastAsia="ja-JP"/>
    </w:rPr>
  </w:style>
  <w:style w:type="paragraph" w:styleId="Revision">
    <w:name w:val="Revision"/>
    <w:uiPriority w:val="99"/>
    <w:semiHidden/>
    <w:qFormat/>
    <w:rsid w:val="008A11C4"/>
  </w:style>
  <w:style w:type="paragraph" w:styleId="EndnoteText">
    <w:name w:val="endnote text"/>
    <w:basedOn w:val="Normal"/>
    <w:link w:val="EndnoteTextChar"/>
    <w:uiPriority w:val="99"/>
    <w:unhideWhenUsed/>
    <w:qFormat/>
    <w:rsid w:val="000B4F20"/>
    <w:rPr>
      <w:rFonts w:asciiTheme="minorHAnsi" w:hAnsiTheme="minorHAnsi" w:cstheme="minorBidi"/>
      <w:lang w:val="en-AU" w:eastAsia="ja-JP"/>
    </w:rPr>
  </w:style>
  <w:style w:type="paragraph" w:styleId="Header">
    <w:name w:val="header"/>
    <w:basedOn w:val="Normal"/>
    <w:link w:val="HeaderChar"/>
    <w:uiPriority w:val="99"/>
    <w:unhideWhenUsed/>
    <w:rsid w:val="001B389A"/>
    <w:pPr>
      <w:suppressLineNumbers/>
      <w:tabs>
        <w:tab w:val="center" w:pos="4513"/>
        <w:tab w:val="right" w:pos="9026"/>
      </w:tabs>
    </w:pPr>
  </w:style>
  <w:style w:type="paragraph" w:styleId="Footer">
    <w:name w:val="footer"/>
    <w:basedOn w:val="Normal"/>
    <w:link w:val="FooterChar"/>
    <w:uiPriority w:val="99"/>
    <w:unhideWhenUsed/>
    <w:rsid w:val="001B389A"/>
    <w:pPr>
      <w:suppressLineNumbers/>
      <w:tabs>
        <w:tab w:val="center" w:pos="4513"/>
        <w:tab w:val="right" w:pos="9026"/>
      </w:tabs>
    </w:pPr>
  </w:style>
  <w:style w:type="character" w:styleId="Hyperlink">
    <w:name w:val="Hyperlink"/>
    <w:basedOn w:val="DefaultParagraphFont"/>
    <w:uiPriority w:val="99"/>
    <w:unhideWhenUsed/>
    <w:rsid w:val="00820508"/>
    <w:rPr>
      <w:color w:val="0000FF"/>
      <w:u w:val="single"/>
    </w:rPr>
  </w:style>
  <w:style w:type="paragraph" w:styleId="DocumentMap">
    <w:name w:val="Document Map"/>
    <w:basedOn w:val="Normal"/>
    <w:link w:val="DocumentMapChar"/>
    <w:uiPriority w:val="99"/>
    <w:semiHidden/>
    <w:unhideWhenUsed/>
    <w:rsid w:val="00373DCC"/>
  </w:style>
  <w:style w:type="character" w:customStyle="1" w:styleId="DocumentMapChar">
    <w:name w:val="Document Map Char"/>
    <w:basedOn w:val="DefaultParagraphFont"/>
    <w:link w:val="DocumentMap"/>
    <w:uiPriority w:val="99"/>
    <w:semiHidden/>
    <w:rsid w:val="00373DCC"/>
    <w:rPr>
      <w:rFonts w:ascii="Times New Roman" w:hAnsi="Times New Roman" w:cs="Times New Roman"/>
      <w:lang w:val="en-US" w:eastAsia="en-US"/>
    </w:rPr>
  </w:style>
  <w:style w:type="table" w:styleId="TableGrid">
    <w:name w:val="Table Grid"/>
    <w:basedOn w:val="TableNormal"/>
    <w:uiPriority w:val="59"/>
    <w:rsid w:val="006D5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0271">
      <w:bodyDiv w:val="1"/>
      <w:marLeft w:val="0"/>
      <w:marRight w:val="0"/>
      <w:marTop w:val="0"/>
      <w:marBottom w:val="0"/>
      <w:divBdr>
        <w:top w:val="none" w:sz="0" w:space="0" w:color="auto"/>
        <w:left w:val="none" w:sz="0" w:space="0" w:color="auto"/>
        <w:bottom w:val="none" w:sz="0" w:space="0" w:color="auto"/>
        <w:right w:val="none" w:sz="0" w:space="0" w:color="auto"/>
      </w:divBdr>
    </w:div>
    <w:div w:id="107315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murphy@cs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6999FF-D6C8-BE49-9781-64E5024188A2}">
  <ds:schemaRefs>
    <ds:schemaRef ds:uri="http://schemas.openxmlformats.org/officeDocument/2006/bibliography"/>
  </ds:schemaRefs>
</ds:datastoreItem>
</file>

<file path=customXml/itemProps2.xml><?xml version="1.0" encoding="utf-8"?>
<ds:datastoreItem xmlns:ds="http://schemas.openxmlformats.org/officeDocument/2006/customXml" ds:itemID="{F5318622-84B3-4F3E-ADCA-149ED0F00873}">
  <ds:schemaRefs>
    <ds:schemaRef ds:uri="http://schemas.openxmlformats.org/officeDocument/2006/bibliography"/>
  </ds:schemaRefs>
</ds:datastoreItem>
</file>

<file path=customXml/itemProps3.xml><?xml version="1.0" encoding="utf-8"?>
<ds:datastoreItem xmlns:ds="http://schemas.openxmlformats.org/officeDocument/2006/customXml" ds:itemID="{2EA41CBA-4717-4629-B76F-35442C73BBE4}">
  <ds:schemaRefs>
    <ds:schemaRef ds:uri="http://schemas.openxmlformats.org/officeDocument/2006/bibliography"/>
  </ds:schemaRefs>
</ds:datastoreItem>
</file>

<file path=customXml/itemProps4.xml><?xml version="1.0" encoding="utf-8"?>
<ds:datastoreItem xmlns:ds="http://schemas.openxmlformats.org/officeDocument/2006/customXml" ds:itemID="{D1A82C4F-A9F5-446D-806E-D227E24D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11516</Words>
  <Characters>65644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77006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Gescheit</dc:creator>
  <cp:lastModifiedBy>Greg Hampshire</cp:lastModifiedBy>
  <cp:revision>2</cp:revision>
  <cp:lastPrinted>2017-02-23T02:12:00Z</cp:lastPrinted>
  <dcterms:created xsi:type="dcterms:W3CDTF">2017-08-17T03:29:00Z</dcterms:created>
  <dcterms:modified xsi:type="dcterms:W3CDTF">2017-08-17T03:29:00Z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Australian Catholic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