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91D" w:rsidRPr="00B201ED" w:rsidRDefault="006167E1" w:rsidP="0015206F">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Moving on: factors associated with caregivers’ bereavement adjustment</w:t>
      </w:r>
    </w:p>
    <w:p w:rsidR="0015206F" w:rsidRPr="00B201ED" w:rsidRDefault="0015206F" w:rsidP="0015206F">
      <w:pPr>
        <w:rPr>
          <w:rFonts w:ascii="Times New Roman" w:hAnsi="Times New Roman" w:cs="Times New Roman"/>
          <w:b/>
          <w:sz w:val="24"/>
          <w:szCs w:val="24"/>
        </w:rPr>
      </w:pPr>
      <w:r w:rsidRPr="00B201ED">
        <w:rPr>
          <w:rFonts w:ascii="Times New Roman" w:hAnsi="Times New Roman" w:cs="Times New Roman"/>
          <w:b/>
          <w:sz w:val="24"/>
          <w:szCs w:val="24"/>
        </w:rPr>
        <w:t>Authors</w:t>
      </w:r>
    </w:p>
    <w:p w:rsidR="0015206F" w:rsidRPr="00D70F8A" w:rsidRDefault="00D70F8A" w:rsidP="0015206F">
      <w:pPr>
        <w:rPr>
          <w:rFonts w:ascii="Times New Roman" w:hAnsi="Times New Roman" w:cs="Times New Roman"/>
          <w:sz w:val="24"/>
          <w:szCs w:val="24"/>
        </w:rPr>
      </w:pPr>
      <w:r>
        <w:rPr>
          <w:rFonts w:ascii="Times New Roman" w:hAnsi="Times New Roman" w:cs="Times New Roman"/>
          <w:sz w:val="24"/>
          <w:szCs w:val="24"/>
        </w:rPr>
        <w:t>Burns E</w:t>
      </w:r>
      <w:r w:rsidR="0015206F" w:rsidRPr="00B201ED">
        <w:rPr>
          <w:rFonts w:ascii="Times New Roman" w:hAnsi="Times New Roman" w:cs="Times New Roman"/>
          <w:sz w:val="24"/>
          <w:szCs w:val="24"/>
        </w:rPr>
        <w:t>,</w:t>
      </w:r>
      <w:r w:rsidR="006D3553">
        <w:rPr>
          <w:rFonts w:ascii="Times New Roman" w:hAnsi="Times New Roman" w:cs="Times New Roman"/>
          <w:sz w:val="24"/>
          <w:szCs w:val="24"/>
          <w:vertAlign w:val="superscript"/>
        </w:rPr>
        <w:t>1</w:t>
      </w:r>
      <w:r w:rsidR="0015206F" w:rsidRPr="00B201ED">
        <w:rPr>
          <w:rFonts w:ascii="Times New Roman" w:hAnsi="Times New Roman" w:cs="Times New Roman"/>
          <w:sz w:val="24"/>
          <w:szCs w:val="24"/>
        </w:rPr>
        <w:t xml:space="preserve"> </w:t>
      </w:r>
      <w:proofErr w:type="spellStart"/>
      <w:r>
        <w:rPr>
          <w:rFonts w:ascii="Times New Roman" w:hAnsi="Times New Roman" w:cs="Times New Roman"/>
          <w:sz w:val="24"/>
          <w:szCs w:val="24"/>
        </w:rPr>
        <w:t>Prigerson</w:t>
      </w:r>
      <w:proofErr w:type="spellEnd"/>
      <w:r>
        <w:rPr>
          <w:rFonts w:ascii="Times New Roman" w:hAnsi="Times New Roman" w:cs="Times New Roman"/>
          <w:sz w:val="24"/>
          <w:szCs w:val="24"/>
        </w:rPr>
        <w:t xml:space="preserve"> H,</w:t>
      </w:r>
      <w:r w:rsidR="006D3553">
        <w:rPr>
          <w:rFonts w:ascii="Times New Roman" w:hAnsi="Times New Roman" w:cs="Times New Roman"/>
          <w:sz w:val="24"/>
          <w:szCs w:val="24"/>
          <w:vertAlign w:val="superscript"/>
        </w:rPr>
        <w:t>2,3</w:t>
      </w:r>
      <w:r w:rsidR="0015206F" w:rsidRPr="00B201ED">
        <w:rPr>
          <w:rFonts w:ascii="Times New Roman" w:hAnsi="Times New Roman" w:cs="Times New Roman"/>
          <w:sz w:val="24"/>
          <w:szCs w:val="24"/>
        </w:rPr>
        <w:t xml:space="preserve"> </w:t>
      </w:r>
      <w:r>
        <w:rPr>
          <w:rFonts w:ascii="Times New Roman" w:hAnsi="Times New Roman" w:cs="Times New Roman"/>
          <w:sz w:val="24"/>
          <w:szCs w:val="24"/>
        </w:rPr>
        <w:t>Quinn SJ</w:t>
      </w:r>
      <w:r w:rsidR="0015206F" w:rsidRPr="00B201ED">
        <w:rPr>
          <w:rFonts w:ascii="Times New Roman" w:hAnsi="Times New Roman" w:cs="Times New Roman"/>
          <w:sz w:val="24"/>
          <w:szCs w:val="24"/>
        </w:rPr>
        <w:t>,</w:t>
      </w:r>
      <w:r w:rsidR="006D3553">
        <w:rPr>
          <w:rFonts w:ascii="Times New Roman" w:hAnsi="Times New Roman" w:cs="Times New Roman"/>
          <w:sz w:val="24"/>
          <w:szCs w:val="24"/>
          <w:vertAlign w:val="superscript"/>
        </w:rPr>
        <w:t>4</w:t>
      </w:r>
      <w:r w:rsidR="0015206F" w:rsidRPr="00B201ED">
        <w:rPr>
          <w:rFonts w:ascii="Times New Roman" w:hAnsi="Times New Roman" w:cs="Times New Roman"/>
          <w:sz w:val="24"/>
          <w:szCs w:val="24"/>
        </w:rPr>
        <w:t xml:space="preserve"> </w:t>
      </w:r>
      <w:r>
        <w:rPr>
          <w:rFonts w:ascii="Times New Roman" w:hAnsi="Times New Roman" w:cs="Times New Roman"/>
          <w:sz w:val="24"/>
          <w:szCs w:val="24"/>
        </w:rPr>
        <w:t>Abernethy AP,</w:t>
      </w:r>
      <w:r w:rsidR="006D3553">
        <w:rPr>
          <w:rFonts w:ascii="Times New Roman" w:hAnsi="Times New Roman" w:cs="Times New Roman"/>
          <w:sz w:val="24"/>
          <w:szCs w:val="24"/>
          <w:vertAlign w:val="superscript"/>
        </w:rPr>
        <w:t>5,6</w:t>
      </w:r>
      <w:r>
        <w:rPr>
          <w:rFonts w:ascii="Times New Roman" w:hAnsi="Times New Roman" w:cs="Times New Roman"/>
          <w:sz w:val="24"/>
          <w:szCs w:val="24"/>
        </w:rPr>
        <w:t xml:space="preserve"> </w:t>
      </w:r>
      <w:proofErr w:type="spellStart"/>
      <w:r w:rsidRPr="00B201ED">
        <w:rPr>
          <w:rFonts w:ascii="Times New Roman" w:hAnsi="Times New Roman" w:cs="Times New Roman"/>
          <w:sz w:val="24"/>
          <w:szCs w:val="24"/>
        </w:rPr>
        <w:t>Currow</w:t>
      </w:r>
      <w:proofErr w:type="spellEnd"/>
      <w:r w:rsidRPr="00B201ED">
        <w:rPr>
          <w:rFonts w:ascii="Times New Roman" w:hAnsi="Times New Roman" w:cs="Times New Roman"/>
          <w:sz w:val="24"/>
          <w:szCs w:val="24"/>
        </w:rPr>
        <w:t xml:space="preserve"> DC,</w:t>
      </w:r>
      <w:r w:rsidRPr="00B201ED">
        <w:rPr>
          <w:rFonts w:ascii="Times New Roman" w:hAnsi="Times New Roman" w:cs="Times New Roman"/>
          <w:sz w:val="24"/>
          <w:szCs w:val="24"/>
          <w:vertAlign w:val="superscript"/>
        </w:rPr>
        <w:t>1,</w:t>
      </w:r>
      <w:r w:rsidR="006D3553">
        <w:rPr>
          <w:rFonts w:ascii="Times New Roman" w:hAnsi="Times New Roman" w:cs="Times New Roman"/>
          <w:sz w:val="24"/>
          <w:szCs w:val="24"/>
          <w:vertAlign w:val="superscript"/>
        </w:rPr>
        <w:t>5</w:t>
      </w:r>
      <w:r w:rsidRPr="00B201ED">
        <w:rPr>
          <w:rFonts w:ascii="Times New Roman" w:hAnsi="Times New Roman" w:cs="Times New Roman"/>
          <w:sz w:val="24"/>
          <w:szCs w:val="24"/>
          <w:vertAlign w:val="superscript"/>
        </w:rPr>
        <w:t>,</w:t>
      </w:r>
      <w:r w:rsidR="006D3553">
        <w:rPr>
          <w:rFonts w:ascii="Times New Roman" w:hAnsi="Times New Roman" w:cs="Times New Roman"/>
          <w:sz w:val="24"/>
          <w:szCs w:val="24"/>
          <w:vertAlign w:val="superscript"/>
        </w:rPr>
        <w:t>7</w:t>
      </w:r>
    </w:p>
    <w:p w:rsidR="0015206F" w:rsidRPr="00C82F30" w:rsidRDefault="0015206F" w:rsidP="0015206F">
      <w:pPr>
        <w:rPr>
          <w:rFonts w:ascii="Times New Roman" w:hAnsi="Times New Roman" w:cs="Times New Roman"/>
          <w:b/>
          <w:sz w:val="24"/>
          <w:szCs w:val="24"/>
        </w:rPr>
      </w:pPr>
      <w:r w:rsidRPr="00C82F30">
        <w:rPr>
          <w:rFonts w:ascii="Times New Roman" w:hAnsi="Times New Roman" w:cs="Times New Roman"/>
          <w:b/>
          <w:sz w:val="24"/>
          <w:szCs w:val="24"/>
        </w:rPr>
        <w:t>Affiliations</w:t>
      </w:r>
    </w:p>
    <w:p w:rsidR="003C3011" w:rsidRPr="00C82F30" w:rsidRDefault="003C3011" w:rsidP="003C3011">
      <w:pPr>
        <w:rPr>
          <w:rFonts w:ascii="Times New Roman" w:hAnsi="Times New Roman" w:cs="Times New Roman"/>
          <w:sz w:val="24"/>
          <w:szCs w:val="24"/>
        </w:rPr>
      </w:pPr>
      <w:r w:rsidRPr="00C82F30">
        <w:rPr>
          <w:rFonts w:ascii="Times New Roman" w:hAnsi="Times New Roman" w:cs="Times New Roman"/>
          <w:sz w:val="24"/>
          <w:szCs w:val="24"/>
        </w:rPr>
        <w:t>1. Southern Adelaide Palliative Services, Daw Park, South Australia, Australia 5041</w:t>
      </w:r>
    </w:p>
    <w:p w:rsidR="003C3011" w:rsidRPr="00C82F30" w:rsidRDefault="003C3011" w:rsidP="003C3011">
      <w:pPr>
        <w:spacing w:after="150" w:line="360" w:lineRule="auto"/>
        <w:rPr>
          <w:rFonts w:ascii="Times New Roman" w:eastAsia="Times New Roman" w:hAnsi="Times New Roman" w:cs="Times New Roman"/>
          <w:sz w:val="24"/>
          <w:szCs w:val="24"/>
        </w:rPr>
      </w:pPr>
      <w:r w:rsidRPr="00C82F30">
        <w:rPr>
          <w:rFonts w:ascii="Times New Roman" w:eastAsia="Times New Roman" w:hAnsi="Times New Roman" w:cs="Times New Roman"/>
          <w:sz w:val="24"/>
          <w:szCs w:val="24"/>
        </w:rPr>
        <w:t>2. Associate Professor of Psychiatry, Harvard Medical School</w:t>
      </w:r>
    </w:p>
    <w:p w:rsidR="003C3011" w:rsidRPr="00C82F30" w:rsidRDefault="003C3011" w:rsidP="003C3011">
      <w:pPr>
        <w:spacing w:after="150" w:line="360" w:lineRule="auto"/>
        <w:rPr>
          <w:rFonts w:ascii="Times New Roman" w:eastAsia="Times New Roman" w:hAnsi="Times New Roman" w:cs="Times New Roman"/>
          <w:sz w:val="24"/>
          <w:szCs w:val="24"/>
        </w:rPr>
      </w:pPr>
      <w:r w:rsidRPr="00C82F30">
        <w:rPr>
          <w:rFonts w:ascii="Times New Roman" w:eastAsia="Times New Roman" w:hAnsi="Times New Roman" w:cs="Times New Roman"/>
          <w:sz w:val="24"/>
          <w:szCs w:val="24"/>
        </w:rPr>
        <w:t xml:space="preserve">3. Director of the </w:t>
      </w:r>
      <w:proofErr w:type="spellStart"/>
      <w:r w:rsidRPr="00C82F30">
        <w:rPr>
          <w:rFonts w:ascii="Times New Roman" w:eastAsia="Times New Roman" w:hAnsi="Times New Roman" w:cs="Times New Roman"/>
          <w:sz w:val="24"/>
          <w:szCs w:val="24"/>
        </w:rPr>
        <w:t>Center</w:t>
      </w:r>
      <w:proofErr w:type="spellEnd"/>
      <w:r w:rsidRPr="00C82F30">
        <w:rPr>
          <w:rFonts w:ascii="Times New Roman" w:eastAsia="Times New Roman" w:hAnsi="Times New Roman" w:cs="Times New Roman"/>
          <w:sz w:val="24"/>
          <w:szCs w:val="24"/>
        </w:rPr>
        <w:t xml:space="preserve"> for Psycho-Oncology and Palliative Care</w:t>
      </w:r>
      <w:r w:rsidR="007256A0" w:rsidRPr="00C82F30">
        <w:rPr>
          <w:rFonts w:ascii="Times New Roman" w:eastAsia="Times New Roman" w:hAnsi="Times New Roman" w:cs="Times New Roman"/>
          <w:sz w:val="24"/>
          <w:szCs w:val="24"/>
        </w:rPr>
        <w:t xml:space="preserve">, </w:t>
      </w:r>
      <w:r w:rsidRPr="00C82F30">
        <w:rPr>
          <w:rFonts w:ascii="Times New Roman" w:eastAsia="Times New Roman" w:hAnsi="Times New Roman" w:cs="Times New Roman"/>
          <w:sz w:val="24"/>
          <w:szCs w:val="24"/>
        </w:rPr>
        <w:t>Dana-Farber Cancer Institute</w:t>
      </w:r>
    </w:p>
    <w:p w:rsidR="006D3553" w:rsidRPr="00C82F30" w:rsidRDefault="006D3553" w:rsidP="0015206F">
      <w:pPr>
        <w:rPr>
          <w:rFonts w:ascii="Times New Roman" w:hAnsi="Times New Roman" w:cs="Times New Roman"/>
          <w:sz w:val="24"/>
          <w:szCs w:val="24"/>
        </w:rPr>
      </w:pPr>
      <w:r w:rsidRPr="00C82F30">
        <w:rPr>
          <w:rFonts w:ascii="Times New Roman" w:hAnsi="Times New Roman" w:cs="Times New Roman"/>
          <w:sz w:val="24"/>
          <w:szCs w:val="24"/>
        </w:rPr>
        <w:t>4. Centre for Clinical Change, Flinders University, Bedford Park, Australia. 5042</w:t>
      </w:r>
    </w:p>
    <w:p w:rsidR="0015206F" w:rsidRPr="00C82F30" w:rsidRDefault="006D3553" w:rsidP="0015206F">
      <w:pPr>
        <w:rPr>
          <w:rFonts w:ascii="Times New Roman" w:hAnsi="Times New Roman" w:cs="Times New Roman"/>
          <w:sz w:val="24"/>
          <w:szCs w:val="24"/>
        </w:rPr>
      </w:pPr>
      <w:r w:rsidRPr="00C82F30">
        <w:rPr>
          <w:rFonts w:ascii="Times New Roman" w:hAnsi="Times New Roman" w:cs="Times New Roman"/>
          <w:sz w:val="24"/>
          <w:szCs w:val="24"/>
        </w:rPr>
        <w:t>5</w:t>
      </w:r>
      <w:r w:rsidR="0015206F" w:rsidRPr="00C82F30">
        <w:rPr>
          <w:rFonts w:ascii="Times New Roman" w:hAnsi="Times New Roman" w:cs="Times New Roman"/>
          <w:sz w:val="24"/>
          <w:szCs w:val="24"/>
        </w:rPr>
        <w:t xml:space="preserve">. </w:t>
      </w:r>
      <w:r w:rsidR="006167E1">
        <w:rPr>
          <w:rFonts w:ascii="Times New Roman" w:hAnsi="Times New Roman" w:cs="Times New Roman"/>
          <w:sz w:val="24"/>
          <w:szCs w:val="24"/>
        </w:rPr>
        <w:t>I</w:t>
      </w:r>
      <w:r w:rsidR="00C70681">
        <w:rPr>
          <w:rFonts w:ascii="Times New Roman" w:hAnsi="Times New Roman" w:cs="Times New Roman"/>
          <w:sz w:val="24"/>
          <w:szCs w:val="24"/>
        </w:rPr>
        <w:t>M</w:t>
      </w:r>
      <w:r w:rsidR="006167E1">
        <w:rPr>
          <w:rFonts w:ascii="Times New Roman" w:hAnsi="Times New Roman" w:cs="Times New Roman"/>
          <w:sz w:val="24"/>
          <w:szCs w:val="24"/>
        </w:rPr>
        <w:t>PACCT, Faculty of Health, University of Technology Sydney, Ultimo, New South Wales. Australia 2007</w:t>
      </w:r>
    </w:p>
    <w:p w:rsidR="00E90B5A" w:rsidRPr="00C82F30" w:rsidRDefault="007256A0" w:rsidP="00E90B5A">
      <w:pPr>
        <w:tabs>
          <w:tab w:val="left" w:pos="-1440"/>
        </w:tabs>
        <w:spacing w:after="0" w:line="360" w:lineRule="auto"/>
        <w:rPr>
          <w:rFonts w:ascii="Times New Roman" w:hAnsi="Times New Roman" w:cs="Times New Roman"/>
          <w:color w:val="000000"/>
          <w:sz w:val="24"/>
          <w:szCs w:val="24"/>
        </w:rPr>
      </w:pPr>
      <w:r w:rsidRPr="00C82F30">
        <w:rPr>
          <w:rFonts w:ascii="Times New Roman" w:hAnsi="Times New Roman" w:cs="Times New Roman"/>
          <w:sz w:val="24"/>
          <w:szCs w:val="24"/>
        </w:rPr>
        <w:t xml:space="preserve">6. </w:t>
      </w:r>
      <w:r w:rsidR="00E90B5A" w:rsidRPr="00C82F30">
        <w:rPr>
          <w:rFonts w:ascii="Times New Roman" w:hAnsi="Times New Roman" w:cs="Times New Roman"/>
          <w:color w:val="000000"/>
          <w:sz w:val="24"/>
          <w:szCs w:val="24"/>
        </w:rPr>
        <w:t>Division of Medical Oncology, Department of Medicine, Duke University Medical Centre, Durham, North Carolina, USA</w:t>
      </w:r>
    </w:p>
    <w:p w:rsidR="0015206F" w:rsidRPr="002C149E" w:rsidRDefault="006D3553" w:rsidP="0015206F">
      <w:pPr>
        <w:rPr>
          <w:rFonts w:ascii="Times New Roman" w:hAnsi="Times New Roman" w:cs="Times New Roman"/>
          <w:sz w:val="24"/>
          <w:szCs w:val="24"/>
        </w:rPr>
      </w:pPr>
      <w:r w:rsidRPr="00C82F30">
        <w:rPr>
          <w:rFonts w:ascii="Times New Roman" w:hAnsi="Times New Roman" w:cs="Times New Roman"/>
          <w:sz w:val="24"/>
          <w:szCs w:val="24"/>
        </w:rPr>
        <w:t>7</w:t>
      </w:r>
      <w:r w:rsidR="0015206F" w:rsidRPr="00C82F30">
        <w:rPr>
          <w:rFonts w:ascii="Times New Roman" w:hAnsi="Times New Roman" w:cs="Times New Roman"/>
          <w:sz w:val="24"/>
          <w:szCs w:val="24"/>
        </w:rPr>
        <w:t>. Hull York Medical School, University of Hull, Hull, United Kingdom HU6 7RX</w:t>
      </w:r>
      <w:r w:rsidR="0015206F" w:rsidRPr="00C82F30" w:rsidDel="003B3223">
        <w:rPr>
          <w:rFonts w:ascii="Times New Roman" w:hAnsi="Times New Roman" w:cs="Times New Roman"/>
          <w:sz w:val="24"/>
          <w:szCs w:val="24"/>
        </w:rPr>
        <w:t xml:space="preserve"> </w:t>
      </w:r>
    </w:p>
    <w:p w:rsidR="002C149E" w:rsidRDefault="0015206F" w:rsidP="0015206F">
      <w:pPr>
        <w:rPr>
          <w:rFonts w:ascii="Times New Roman" w:hAnsi="Times New Roman" w:cs="Times New Roman"/>
          <w:b/>
          <w:sz w:val="24"/>
          <w:szCs w:val="24"/>
        </w:rPr>
      </w:pPr>
      <w:r>
        <w:rPr>
          <w:rFonts w:ascii="Times New Roman" w:hAnsi="Times New Roman" w:cs="Times New Roman"/>
          <w:b/>
          <w:sz w:val="24"/>
          <w:szCs w:val="24"/>
        </w:rPr>
        <w:t xml:space="preserve">Manuscript </w:t>
      </w:r>
      <w:r w:rsidR="00C82F30">
        <w:rPr>
          <w:rFonts w:ascii="Times New Roman" w:hAnsi="Times New Roman" w:cs="Times New Roman"/>
          <w:b/>
          <w:sz w:val="24"/>
          <w:szCs w:val="24"/>
        </w:rPr>
        <w:t xml:space="preserve">type: </w:t>
      </w:r>
      <w:r w:rsidR="00C82F30" w:rsidRPr="00C82F30">
        <w:rPr>
          <w:rFonts w:ascii="Times New Roman" w:hAnsi="Times New Roman" w:cs="Times New Roman"/>
          <w:sz w:val="24"/>
          <w:szCs w:val="24"/>
        </w:rPr>
        <w:t>Original article</w:t>
      </w:r>
    </w:p>
    <w:p w:rsidR="0015206F" w:rsidRPr="002C149E" w:rsidRDefault="0015206F" w:rsidP="0015206F">
      <w:pPr>
        <w:rPr>
          <w:rFonts w:ascii="Times New Roman" w:hAnsi="Times New Roman" w:cs="Times New Roman"/>
          <w:b/>
          <w:sz w:val="24"/>
          <w:szCs w:val="24"/>
        </w:rPr>
      </w:pPr>
      <w:r>
        <w:rPr>
          <w:rFonts w:ascii="Times New Roman" w:hAnsi="Times New Roman" w:cs="Times New Roman"/>
          <w:b/>
          <w:sz w:val="24"/>
          <w:szCs w:val="24"/>
        </w:rPr>
        <w:br/>
      </w:r>
      <w:r w:rsidRPr="004413B1">
        <w:rPr>
          <w:rFonts w:ascii="Times New Roman" w:hAnsi="Times New Roman" w:cs="Times New Roman"/>
          <w:b/>
          <w:sz w:val="24"/>
          <w:szCs w:val="24"/>
        </w:rPr>
        <w:t>Corresponding author:</w:t>
      </w:r>
      <w:r>
        <w:rPr>
          <w:rFonts w:ascii="Times New Roman" w:hAnsi="Times New Roman" w:cs="Times New Roman"/>
          <w:b/>
          <w:sz w:val="24"/>
          <w:szCs w:val="24"/>
        </w:rPr>
        <w:t xml:space="preserve"> </w:t>
      </w:r>
      <w:r>
        <w:rPr>
          <w:rFonts w:ascii="Times New Roman" w:hAnsi="Times New Roman" w:cs="Times New Roman"/>
          <w:sz w:val="24"/>
          <w:szCs w:val="24"/>
        </w:rPr>
        <w:br/>
        <w:t xml:space="preserve">Professor David </w:t>
      </w:r>
      <w:proofErr w:type="spellStart"/>
      <w:r>
        <w:rPr>
          <w:rFonts w:ascii="Times New Roman" w:hAnsi="Times New Roman" w:cs="Times New Roman"/>
          <w:sz w:val="24"/>
          <w:szCs w:val="24"/>
        </w:rPr>
        <w:t>Currow</w:t>
      </w:r>
      <w:proofErr w:type="spellEnd"/>
      <w:r>
        <w:rPr>
          <w:rFonts w:ascii="Times New Roman" w:hAnsi="Times New Roman" w:cs="Times New Roman"/>
          <w:sz w:val="24"/>
          <w:szCs w:val="24"/>
        </w:rPr>
        <w:t xml:space="preserve">, </w:t>
      </w:r>
      <w:proofErr w:type="spellStart"/>
      <w:r w:rsidR="006167E1">
        <w:rPr>
          <w:rFonts w:ascii="Times New Roman" w:hAnsi="Times New Roman" w:cs="Times New Roman"/>
          <w:sz w:val="24"/>
          <w:szCs w:val="24"/>
        </w:rPr>
        <w:t>ImPACCT</w:t>
      </w:r>
      <w:proofErr w:type="spellEnd"/>
      <w:r w:rsidR="006167E1">
        <w:rPr>
          <w:rFonts w:ascii="Times New Roman" w:hAnsi="Times New Roman" w:cs="Times New Roman"/>
          <w:sz w:val="24"/>
          <w:szCs w:val="24"/>
        </w:rPr>
        <w:t>, Faculty of Health, University of Technology Sydney, P.O. Box 123, Ultimo, New South Wales. Australia 2007</w:t>
      </w:r>
    </w:p>
    <w:p w:rsidR="002C149E" w:rsidRDefault="0015206F" w:rsidP="0015206F">
      <w:pPr>
        <w:rPr>
          <w:rFonts w:ascii="Times New Roman" w:hAnsi="Times New Roman" w:cs="Times New Roman"/>
          <w:sz w:val="24"/>
          <w:szCs w:val="24"/>
        </w:rPr>
      </w:pPr>
      <w:r>
        <w:rPr>
          <w:rFonts w:ascii="Times New Roman" w:hAnsi="Times New Roman" w:cs="Times New Roman"/>
          <w:sz w:val="24"/>
          <w:szCs w:val="24"/>
        </w:rPr>
        <w:t xml:space="preserve">Email: </w:t>
      </w:r>
      <w:r w:rsidRPr="001863ED">
        <w:rPr>
          <w:rFonts w:ascii="Times New Roman" w:hAnsi="Times New Roman" w:cs="Times New Roman"/>
          <w:sz w:val="24"/>
          <w:szCs w:val="24"/>
        </w:rPr>
        <w:t>david.currow@</w:t>
      </w:r>
      <w:r w:rsidR="006167E1">
        <w:rPr>
          <w:rFonts w:ascii="Times New Roman" w:hAnsi="Times New Roman" w:cs="Times New Roman"/>
          <w:sz w:val="24"/>
          <w:szCs w:val="24"/>
        </w:rPr>
        <w:t>uts.edu.au</w:t>
      </w:r>
      <w:r>
        <w:rPr>
          <w:rFonts w:ascii="Times New Roman" w:hAnsi="Times New Roman" w:cs="Times New Roman"/>
          <w:sz w:val="24"/>
          <w:szCs w:val="24"/>
        </w:rPr>
        <w:br/>
      </w:r>
      <w:r w:rsidRPr="009F1FE5">
        <w:rPr>
          <w:rFonts w:ascii="Times New Roman" w:hAnsi="Times New Roman" w:cs="Times New Roman"/>
          <w:sz w:val="24"/>
          <w:szCs w:val="24"/>
        </w:rPr>
        <w:t>ph</w:t>
      </w:r>
      <w:r>
        <w:rPr>
          <w:rFonts w:ascii="Times New Roman" w:hAnsi="Times New Roman" w:cs="Times New Roman"/>
          <w:sz w:val="24"/>
          <w:szCs w:val="24"/>
        </w:rPr>
        <w:t>one</w:t>
      </w:r>
      <w:r w:rsidRPr="009F1FE5">
        <w:rPr>
          <w:rFonts w:ascii="Times New Roman" w:hAnsi="Times New Roman" w:cs="Times New Roman"/>
          <w:sz w:val="24"/>
          <w:szCs w:val="24"/>
        </w:rPr>
        <w:t>:</w:t>
      </w:r>
      <w:r>
        <w:rPr>
          <w:rFonts w:ascii="Times New Roman" w:hAnsi="Times New Roman" w:cs="Times New Roman"/>
          <w:sz w:val="24"/>
          <w:szCs w:val="24"/>
        </w:rPr>
        <w:t xml:space="preserve"> </w:t>
      </w:r>
      <w:r w:rsidRPr="009F1FE5">
        <w:rPr>
          <w:rFonts w:ascii="Times New Roman" w:hAnsi="Times New Roman" w:cs="Times New Roman"/>
          <w:sz w:val="24"/>
          <w:szCs w:val="24"/>
        </w:rPr>
        <w:t>+61 (0) 8 7221 8235</w:t>
      </w:r>
    </w:p>
    <w:p w:rsidR="002C149E" w:rsidRPr="00B201ED" w:rsidRDefault="002C149E" w:rsidP="0015206F">
      <w:pPr>
        <w:rPr>
          <w:rFonts w:ascii="Times New Roman" w:hAnsi="Times New Roman" w:cs="Times New Roman"/>
          <w:sz w:val="24"/>
          <w:szCs w:val="24"/>
        </w:rPr>
      </w:pPr>
    </w:p>
    <w:p w:rsidR="0015206F" w:rsidRPr="00B201ED" w:rsidRDefault="0015206F" w:rsidP="0015206F">
      <w:pPr>
        <w:rPr>
          <w:rFonts w:ascii="Times New Roman" w:hAnsi="Times New Roman" w:cs="Times New Roman"/>
          <w:sz w:val="24"/>
          <w:szCs w:val="24"/>
        </w:rPr>
      </w:pPr>
      <w:r w:rsidRPr="00B201ED">
        <w:rPr>
          <w:rFonts w:ascii="Times New Roman" w:hAnsi="Times New Roman" w:cs="Times New Roman"/>
          <w:b/>
          <w:sz w:val="24"/>
          <w:szCs w:val="24"/>
        </w:rPr>
        <w:t xml:space="preserve">Key words: </w:t>
      </w:r>
      <w:r w:rsidRPr="00B201ED">
        <w:rPr>
          <w:rFonts w:ascii="Times New Roman" w:hAnsi="Times New Roman" w:cs="Times New Roman"/>
          <w:sz w:val="24"/>
          <w:szCs w:val="24"/>
        </w:rPr>
        <w:t>population survey, period prevalence</w:t>
      </w:r>
      <w:r w:rsidR="00060464">
        <w:rPr>
          <w:rFonts w:ascii="Times New Roman" w:hAnsi="Times New Roman" w:cs="Times New Roman"/>
          <w:sz w:val="24"/>
          <w:szCs w:val="24"/>
        </w:rPr>
        <w:t xml:space="preserve">, grief, moving on, </w:t>
      </w:r>
      <w:r w:rsidR="00F66D43">
        <w:rPr>
          <w:rFonts w:ascii="Times New Roman" w:hAnsi="Times New Roman" w:cs="Times New Roman"/>
          <w:sz w:val="24"/>
          <w:szCs w:val="24"/>
        </w:rPr>
        <w:t xml:space="preserve">expected death, </w:t>
      </w:r>
      <w:r w:rsidR="00060464">
        <w:rPr>
          <w:rFonts w:ascii="Times New Roman" w:hAnsi="Times New Roman" w:cs="Times New Roman"/>
          <w:sz w:val="24"/>
          <w:szCs w:val="24"/>
        </w:rPr>
        <w:t>palliative care</w:t>
      </w:r>
      <w:r w:rsidRPr="00B201ED">
        <w:rPr>
          <w:rFonts w:ascii="Times New Roman" w:hAnsi="Times New Roman" w:cs="Times New Roman"/>
          <w:sz w:val="24"/>
          <w:szCs w:val="24"/>
        </w:rPr>
        <w:t xml:space="preserve">. </w:t>
      </w:r>
    </w:p>
    <w:p w:rsidR="0015206F" w:rsidRPr="00B201ED" w:rsidRDefault="0015206F" w:rsidP="0015206F">
      <w:pPr>
        <w:rPr>
          <w:rFonts w:ascii="Times New Roman" w:hAnsi="Times New Roman" w:cs="Times New Roman"/>
          <w:sz w:val="24"/>
          <w:szCs w:val="24"/>
        </w:rPr>
      </w:pPr>
      <w:r w:rsidRPr="00B201ED">
        <w:rPr>
          <w:rFonts w:ascii="Times New Roman" w:hAnsi="Times New Roman" w:cs="Times New Roman"/>
          <w:b/>
          <w:sz w:val="24"/>
          <w:szCs w:val="24"/>
        </w:rPr>
        <w:t>Running title:</w:t>
      </w:r>
      <w:r w:rsidRPr="00B201ED">
        <w:rPr>
          <w:rFonts w:ascii="Times New Roman" w:hAnsi="Times New Roman" w:cs="Times New Roman"/>
          <w:sz w:val="24"/>
          <w:szCs w:val="24"/>
        </w:rPr>
        <w:t xml:space="preserve"> </w:t>
      </w:r>
      <w:r w:rsidR="00C82F30">
        <w:rPr>
          <w:rFonts w:ascii="Times New Roman" w:hAnsi="Times New Roman" w:cs="Times New Roman"/>
          <w:i/>
          <w:sz w:val="24"/>
          <w:szCs w:val="24"/>
        </w:rPr>
        <w:t>M</w:t>
      </w:r>
      <w:r w:rsidR="00C82F30" w:rsidRPr="00C82F30">
        <w:rPr>
          <w:rFonts w:ascii="Times New Roman" w:hAnsi="Times New Roman" w:cs="Times New Roman"/>
          <w:i/>
          <w:sz w:val="24"/>
          <w:szCs w:val="24"/>
        </w:rPr>
        <w:t>oving on</w:t>
      </w:r>
      <w:r w:rsidR="00C82F30">
        <w:rPr>
          <w:rFonts w:ascii="Times New Roman" w:hAnsi="Times New Roman" w:cs="Times New Roman"/>
          <w:sz w:val="24"/>
          <w:szCs w:val="24"/>
        </w:rPr>
        <w:t xml:space="preserve"> in bereavement</w:t>
      </w:r>
    </w:p>
    <w:p w:rsidR="0015206F" w:rsidRDefault="0015206F" w:rsidP="0015206F">
      <w:pPr>
        <w:rPr>
          <w:rFonts w:ascii="Times New Roman" w:hAnsi="Times New Roman" w:cs="Times New Roman"/>
          <w:sz w:val="24"/>
          <w:szCs w:val="24"/>
        </w:rPr>
      </w:pPr>
      <w:r w:rsidRPr="007B7AC1">
        <w:rPr>
          <w:rFonts w:ascii="Times New Roman" w:hAnsi="Times New Roman" w:cs="Times New Roman"/>
          <w:sz w:val="24"/>
          <w:szCs w:val="24"/>
        </w:rPr>
        <w:t xml:space="preserve">Word count (excluding title page, abstract, references, figures and tables):  </w:t>
      </w:r>
      <w:r w:rsidRPr="007B7AC1">
        <w:rPr>
          <w:rFonts w:ascii="Times New Roman" w:hAnsi="Times New Roman" w:cs="Times New Roman"/>
          <w:sz w:val="24"/>
          <w:szCs w:val="24"/>
        </w:rPr>
        <w:tab/>
      </w:r>
      <w:r w:rsidR="00722C02">
        <w:rPr>
          <w:rFonts w:ascii="Times New Roman" w:hAnsi="Times New Roman" w:cs="Times New Roman"/>
          <w:sz w:val="24"/>
          <w:szCs w:val="24"/>
        </w:rPr>
        <w:t>37</w:t>
      </w:r>
      <w:r w:rsidR="008B66E7">
        <w:rPr>
          <w:rFonts w:ascii="Times New Roman" w:hAnsi="Times New Roman" w:cs="Times New Roman"/>
          <w:sz w:val="24"/>
          <w:szCs w:val="24"/>
        </w:rPr>
        <w:t>66</w:t>
      </w:r>
    </w:p>
    <w:p w:rsidR="0015206F" w:rsidRPr="007B7AC1" w:rsidRDefault="0015206F" w:rsidP="0015206F">
      <w:pPr>
        <w:rPr>
          <w:rFonts w:ascii="Times New Roman" w:hAnsi="Times New Roman" w:cs="Times New Roman"/>
          <w:sz w:val="24"/>
          <w:szCs w:val="24"/>
        </w:rPr>
      </w:pPr>
      <w:r w:rsidRPr="007B7AC1">
        <w:rPr>
          <w:rFonts w:ascii="Times New Roman" w:hAnsi="Times New Roman" w:cs="Times New Roman"/>
          <w:sz w:val="24"/>
          <w:szCs w:val="24"/>
        </w:rPr>
        <w:t>Abstract word count:</w:t>
      </w:r>
      <w:r w:rsidRPr="007B7AC1">
        <w:rPr>
          <w:rFonts w:ascii="Times New Roman" w:hAnsi="Times New Roman" w:cs="Times New Roman"/>
          <w:sz w:val="24"/>
          <w:szCs w:val="24"/>
        </w:rPr>
        <w:tab/>
      </w:r>
      <w:r w:rsidRPr="007B7AC1">
        <w:rPr>
          <w:rFonts w:ascii="Times New Roman" w:hAnsi="Times New Roman" w:cs="Times New Roman"/>
          <w:sz w:val="24"/>
          <w:szCs w:val="24"/>
        </w:rPr>
        <w:tab/>
      </w:r>
      <w:r w:rsidRPr="007B7AC1">
        <w:rPr>
          <w:rFonts w:ascii="Times New Roman" w:hAnsi="Times New Roman" w:cs="Times New Roman"/>
          <w:sz w:val="24"/>
          <w:szCs w:val="24"/>
        </w:rPr>
        <w:tab/>
      </w:r>
      <w:r w:rsidRPr="007B7AC1">
        <w:rPr>
          <w:rFonts w:ascii="Times New Roman" w:hAnsi="Times New Roman" w:cs="Times New Roman"/>
          <w:sz w:val="24"/>
          <w:szCs w:val="24"/>
        </w:rPr>
        <w:tab/>
      </w:r>
      <w:r w:rsidRPr="007B7AC1">
        <w:rPr>
          <w:rFonts w:ascii="Times New Roman" w:hAnsi="Times New Roman" w:cs="Times New Roman"/>
          <w:sz w:val="24"/>
          <w:szCs w:val="24"/>
        </w:rPr>
        <w:tab/>
      </w:r>
      <w:r w:rsidRPr="007B7AC1">
        <w:rPr>
          <w:rFonts w:ascii="Times New Roman" w:hAnsi="Times New Roman" w:cs="Times New Roman"/>
          <w:sz w:val="24"/>
          <w:szCs w:val="24"/>
        </w:rPr>
        <w:tab/>
      </w:r>
      <w:r w:rsidRPr="007B7AC1">
        <w:rPr>
          <w:rFonts w:ascii="Times New Roman" w:hAnsi="Times New Roman" w:cs="Times New Roman"/>
          <w:sz w:val="24"/>
          <w:szCs w:val="24"/>
        </w:rPr>
        <w:tab/>
      </w:r>
      <w:r w:rsidRPr="007B7AC1">
        <w:rPr>
          <w:rFonts w:ascii="Times New Roman" w:hAnsi="Times New Roman" w:cs="Times New Roman"/>
          <w:sz w:val="24"/>
          <w:szCs w:val="24"/>
        </w:rPr>
        <w:tab/>
      </w:r>
      <w:r>
        <w:rPr>
          <w:rFonts w:ascii="Times New Roman" w:hAnsi="Times New Roman" w:cs="Times New Roman"/>
          <w:sz w:val="24"/>
          <w:szCs w:val="24"/>
        </w:rPr>
        <w:tab/>
      </w:r>
      <w:r w:rsidR="00FB344B">
        <w:rPr>
          <w:rFonts w:ascii="Times New Roman" w:hAnsi="Times New Roman" w:cs="Times New Roman"/>
          <w:sz w:val="24"/>
          <w:szCs w:val="24"/>
        </w:rPr>
        <w:t>2</w:t>
      </w:r>
      <w:r w:rsidR="008B66E7">
        <w:rPr>
          <w:rFonts w:ascii="Times New Roman" w:hAnsi="Times New Roman" w:cs="Times New Roman"/>
          <w:sz w:val="24"/>
          <w:szCs w:val="24"/>
        </w:rPr>
        <w:t>49</w:t>
      </w:r>
    </w:p>
    <w:p w:rsidR="0015206F" w:rsidRDefault="0015206F" w:rsidP="0015206F">
      <w:pPr>
        <w:rPr>
          <w:rFonts w:ascii="Times New Roman" w:hAnsi="Times New Roman" w:cs="Times New Roman"/>
          <w:sz w:val="24"/>
          <w:szCs w:val="24"/>
        </w:rPr>
      </w:pPr>
      <w:r w:rsidRPr="007B7AC1">
        <w:rPr>
          <w:rFonts w:ascii="Times New Roman" w:hAnsi="Times New Roman" w:cs="Times New Roman"/>
          <w:sz w:val="24"/>
          <w:szCs w:val="24"/>
        </w:rPr>
        <w:t>References:</w:t>
      </w:r>
      <w:r w:rsidRPr="007B7AC1">
        <w:rPr>
          <w:rFonts w:ascii="Times New Roman" w:hAnsi="Times New Roman" w:cs="Times New Roman"/>
          <w:sz w:val="24"/>
          <w:szCs w:val="24"/>
        </w:rPr>
        <w:tab/>
      </w:r>
      <w:r w:rsidRPr="007B7AC1">
        <w:rPr>
          <w:rFonts w:ascii="Times New Roman" w:hAnsi="Times New Roman" w:cs="Times New Roman"/>
          <w:sz w:val="24"/>
          <w:szCs w:val="24"/>
        </w:rPr>
        <w:tab/>
      </w:r>
      <w:r w:rsidRPr="007B7AC1">
        <w:rPr>
          <w:rFonts w:ascii="Times New Roman" w:hAnsi="Times New Roman" w:cs="Times New Roman"/>
          <w:sz w:val="24"/>
          <w:szCs w:val="24"/>
        </w:rPr>
        <w:tab/>
      </w:r>
      <w:r w:rsidRPr="007B7AC1">
        <w:rPr>
          <w:rFonts w:ascii="Times New Roman" w:hAnsi="Times New Roman" w:cs="Times New Roman"/>
          <w:sz w:val="24"/>
          <w:szCs w:val="24"/>
        </w:rPr>
        <w:tab/>
      </w:r>
      <w:r w:rsidRPr="007B7AC1">
        <w:rPr>
          <w:rFonts w:ascii="Times New Roman" w:hAnsi="Times New Roman" w:cs="Times New Roman"/>
          <w:sz w:val="24"/>
          <w:szCs w:val="24"/>
        </w:rPr>
        <w:tab/>
      </w:r>
      <w:r w:rsidRPr="007B7AC1">
        <w:rPr>
          <w:rFonts w:ascii="Times New Roman" w:hAnsi="Times New Roman" w:cs="Times New Roman"/>
          <w:sz w:val="24"/>
          <w:szCs w:val="24"/>
        </w:rPr>
        <w:tab/>
      </w:r>
      <w:r w:rsidRPr="007B7AC1">
        <w:rPr>
          <w:rFonts w:ascii="Times New Roman" w:hAnsi="Times New Roman" w:cs="Times New Roman"/>
          <w:sz w:val="24"/>
          <w:szCs w:val="24"/>
        </w:rPr>
        <w:tab/>
      </w:r>
      <w:r w:rsidRPr="007B7AC1">
        <w:rPr>
          <w:rFonts w:ascii="Times New Roman" w:hAnsi="Times New Roman" w:cs="Times New Roman"/>
          <w:sz w:val="24"/>
          <w:szCs w:val="24"/>
        </w:rPr>
        <w:tab/>
      </w:r>
      <w:r w:rsidRPr="007B7AC1">
        <w:rPr>
          <w:rFonts w:ascii="Times New Roman" w:hAnsi="Times New Roman" w:cs="Times New Roman"/>
          <w:sz w:val="24"/>
          <w:szCs w:val="24"/>
        </w:rPr>
        <w:tab/>
      </w:r>
      <w:r w:rsidRPr="007B7AC1">
        <w:rPr>
          <w:rFonts w:ascii="Times New Roman" w:hAnsi="Times New Roman" w:cs="Times New Roman"/>
          <w:sz w:val="24"/>
          <w:szCs w:val="24"/>
        </w:rPr>
        <w:tab/>
      </w:r>
      <w:r w:rsidR="00FB344B">
        <w:rPr>
          <w:rFonts w:ascii="Times New Roman" w:hAnsi="Times New Roman" w:cs="Times New Roman"/>
          <w:sz w:val="24"/>
          <w:szCs w:val="24"/>
        </w:rPr>
        <w:t>7</w:t>
      </w:r>
      <w:r w:rsidR="008B66E7">
        <w:rPr>
          <w:rFonts w:ascii="Times New Roman" w:hAnsi="Times New Roman" w:cs="Times New Roman"/>
          <w:sz w:val="24"/>
          <w:szCs w:val="24"/>
        </w:rPr>
        <w:t>0</w:t>
      </w:r>
    </w:p>
    <w:p w:rsidR="0015206F" w:rsidRPr="007B7AC1" w:rsidRDefault="0015206F" w:rsidP="0015206F">
      <w:pPr>
        <w:rPr>
          <w:rFonts w:ascii="Times New Roman" w:hAnsi="Times New Roman" w:cs="Times New Roman"/>
          <w:sz w:val="24"/>
          <w:szCs w:val="24"/>
        </w:rPr>
      </w:pPr>
      <w:r w:rsidRPr="007B7AC1">
        <w:rPr>
          <w:rFonts w:ascii="Times New Roman" w:hAnsi="Times New Roman" w:cs="Times New Roman"/>
          <w:sz w:val="24"/>
          <w:szCs w:val="24"/>
        </w:rPr>
        <w:t>Tables and figures:</w:t>
      </w:r>
      <w:r w:rsidRPr="007B7AC1">
        <w:rPr>
          <w:rFonts w:ascii="Times New Roman" w:hAnsi="Times New Roman" w:cs="Times New Roman"/>
          <w:sz w:val="24"/>
          <w:szCs w:val="24"/>
        </w:rPr>
        <w:tab/>
      </w:r>
      <w:r w:rsidRPr="007B7AC1">
        <w:rPr>
          <w:rFonts w:ascii="Times New Roman" w:hAnsi="Times New Roman" w:cs="Times New Roman"/>
          <w:sz w:val="24"/>
          <w:szCs w:val="24"/>
        </w:rPr>
        <w:tab/>
      </w:r>
      <w:r w:rsidRPr="007B7AC1">
        <w:rPr>
          <w:rFonts w:ascii="Times New Roman" w:hAnsi="Times New Roman" w:cs="Times New Roman"/>
          <w:sz w:val="24"/>
          <w:szCs w:val="24"/>
        </w:rPr>
        <w:tab/>
      </w:r>
      <w:r w:rsidRPr="007B7AC1">
        <w:rPr>
          <w:rFonts w:ascii="Times New Roman" w:hAnsi="Times New Roman" w:cs="Times New Roman"/>
          <w:sz w:val="24"/>
          <w:szCs w:val="24"/>
        </w:rPr>
        <w:tab/>
      </w:r>
      <w:r w:rsidRPr="007B7AC1">
        <w:rPr>
          <w:rFonts w:ascii="Times New Roman" w:hAnsi="Times New Roman" w:cs="Times New Roman"/>
          <w:sz w:val="24"/>
          <w:szCs w:val="24"/>
        </w:rPr>
        <w:tab/>
      </w:r>
      <w:r w:rsidRPr="007B7AC1">
        <w:rPr>
          <w:rFonts w:ascii="Times New Roman" w:hAnsi="Times New Roman" w:cs="Times New Roman"/>
          <w:sz w:val="24"/>
          <w:szCs w:val="24"/>
        </w:rPr>
        <w:tab/>
      </w:r>
      <w:r w:rsidRPr="007B7AC1">
        <w:rPr>
          <w:rFonts w:ascii="Times New Roman" w:hAnsi="Times New Roman" w:cs="Times New Roman"/>
          <w:sz w:val="24"/>
          <w:szCs w:val="24"/>
        </w:rPr>
        <w:tab/>
      </w:r>
      <w:r w:rsidRPr="007B7AC1">
        <w:rPr>
          <w:rFonts w:ascii="Times New Roman" w:hAnsi="Times New Roman" w:cs="Times New Roman"/>
          <w:sz w:val="24"/>
          <w:szCs w:val="24"/>
        </w:rPr>
        <w:tab/>
      </w:r>
      <w:r w:rsidRPr="007B7AC1">
        <w:rPr>
          <w:rFonts w:ascii="Times New Roman" w:hAnsi="Times New Roman" w:cs="Times New Roman"/>
          <w:sz w:val="24"/>
          <w:szCs w:val="24"/>
        </w:rPr>
        <w:tab/>
      </w:r>
      <w:r w:rsidR="00FB344B">
        <w:rPr>
          <w:rFonts w:ascii="Times New Roman" w:hAnsi="Times New Roman" w:cs="Times New Roman"/>
          <w:sz w:val="24"/>
          <w:szCs w:val="24"/>
        </w:rPr>
        <w:t>5</w:t>
      </w:r>
    </w:p>
    <w:p w:rsidR="008C1F57" w:rsidRDefault="008C1F57" w:rsidP="0015206F">
      <w:pPr>
        <w:rPr>
          <w:rFonts w:ascii="Times New Roman" w:hAnsi="Times New Roman" w:cs="Times New Roman"/>
          <w:b/>
          <w:sz w:val="24"/>
          <w:szCs w:val="24"/>
        </w:rPr>
      </w:pPr>
    </w:p>
    <w:p w:rsidR="0015206F" w:rsidRPr="00B201ED" w:rsidRDefault="0015206F" w:rsidP="0015206F">
      <w:pPr>
        <w:rPr>
          <w:rFonts w:ascii="Times New Roman" w:hAnsi="Times New Roman" w:cs="Times New Roman"/>
          <w:sz w:val="24"/>
          <w:szCs w:val="24"/>
        </w:rPr>
      </w:pPr>
      <w:proofErr w:type="gramStart"/>
      <w:r w:rsidRPr="00B201ED">
        <w:rPr>
          <w:rFonts w:ascii="Times New Roman" w:hAnsi="Times New Roman" w:cs="Times New Roman"/>
          <w:b/>
          <w:sz w:val="24"/>
          <w:szCs w:val="24"/>
        </w:rPr>
        <w:lastRenderedPageBreak/>
        <w:t>Funding:</w:t>
      </w:r>
      <w:r w:rsidRPr="00B201ED">
        <w:rPr>
          <w:rFonts w:ascii="Times New Roman" w:hAnsi="Times New Roman" w:cs="Times New Roman"/>
          <w:sz w:val="24"/>
          <w:szCs w:val="24"/>
        </w:rPr>
        <w:t xml:space="preserve"> Funding for this study was derived from discretionary funds held by the Discipline, Palliative and Supportive Services, Flinders University, Adelaide, Australia.</w:t>
      </w:r>
      <w:proofErr w:type="gramEnd"/>
      <w:r w:rsidRPr="00B201ED">
        <w:rPr>
          <w:rFonts w:ascii="Times New Roman" w:hAnsi="Times New Roman" w:cs="Times New Roman"/>
          <w:sz w:val="24"/>
          <w:szCs w:val="24"/>
        </w:rPr>
        <w:t xml:space="preserve">   </w:t>
      </w:r>
    </w:p>
    <w:p w:rsidR="0015206F" w:rsidRDefault="0015206F">
      <w:pPr>
        <w:rPr>
          <w:rFonts w:ascii="Times New Roman" w:hAnsi="Times New Roman" w:cs="Times New Roman"/>
          <w:b/>
          <w:i/>
          <w:u w:val="single"/>
        </w:rPr>
      </w:pPr>
      <w:r>
        <w:rPr>
          <w:rFonts w:ascii="Times New Roman" w:hAnsi="Times New Roman" w:cs="Times New Roman"/>
          <w:b/>
          <w:i/>
          <w:u w:val="single"/>
        </w:rPr>
        <w:br w:type="page"/>
      </w:r>
    </w:p>
    <w:p w:rsidR="00802DF8" w:rsidRPr="002C149E" w:rsidRDefault="00802DF8" w:rsidP="00E07055">
      <w:pPr>
        <w:jc w:val="both"/>
        <w:rPr>
          <w:rFonts w:ascii="Times New Roman" w:hAnsi="Times New Roman" w:cs="Times New Roman"/>
          <w:b/>
          <w:sz w:val="24"/>
          <w:szCs w:val="24"/>
          <w:u w:val="single"/>
        </w:rPr>
      </w:pPr>
      <w:r w:rsidRPr="002C149E">
        <w:rPr>
          <w:rFonts w:ascii="Times New Roman" w:hAnsi="Times New Roman" w:cs="Times New Roman"/>
          <w:b/>
          <w:sz w:val="24"/>
          <w:szCs w:val="24"/>
          <w:u w:val="single"/>
        </w:rPr>
        <w:lastRenderedPageBreak/>
        <w:t>Abstract</w:t>
      </w:r>
    </w:p>
    <w:p w:rsidR="002C149E" w:rsidRPr="002C149E" w:rsidRDefault="002C149E" w:rsidP="002C149E">
      <w:pPr>
        <w:rPr>
          <w:rFonts w:ascii="Times New Roman" w:hAnsi="Times New Roman" w:cs="Times New Roman"/>
          <w:b/>
          <w:sz w:val="24"/>
          <w:szCs w:val="24"/>
        </w:rPr>
      </w:pPr>
      <w:r w:rsidRPr="002C149E">
        <w:rPr>
          <w:rFonts w:ascii="Times New Roman" w:hAnsi="Times New Roman" w:cs="Times New Roman"/>
          <w:b/>
          <w:sz w:val="24"/>
          <w:szCs w:val="24"/>
        </w:rPr>
        <w:t>Background</w:t>
      </w:r>
    </w:p>
    <w:p w:rsidR="002C149E" w:rsidRPr="002C149E" w:rsidRDefault="002C149E" w:rsidP="002C149E">
      <w:pPr>
        <w:jc w:val="both"/>
        <w:rPr>
          <w:rFonts w:ascii="Times New Roman" w:hAnsi="Times New Roman" w:cs="Times New Roman"/>
          <w:sz w:val="24"/>
          <w:szCs w:val="24"/>
        </w:rPr>
      </w:pPr>
      <w:r w:rsidRPr="002C149E">
        <w:rPr>
          <w:rFonts w:ascii="Times New Roman" w:hAnsi="Times New Roman" w:cs="Times New Roman"/>
          <w:sz w:val="24"/>
          <w:szCs w:val="24"/>
        </w:rPr>
        <w:t>Providing care at end-of-life has consequences for caregivers' bereavement</w:t>
      </w:r>
      <w:r w:rsidR="008B3914">
        <w:rPr>
          <w:rFonts w:ascii="Times New Roman" w:hAnsi="Times New Roman" w:cs="Times New Roman"/>
          <w:sz w:val="24"/>
          <w:szCs w:val="24"/>
        </w:rPr>
        <w:t xml:space="preserve"> experience</w:t>
      </w:r>
      <w:r w:rsidRPr="002C149E">
        <w:rPr>
          <w:rFonts w:ascii="Times New Roman" w:hAnsi="Times New Roman" w:cs="Times New Roman"/>
          <w:sz w:val="24"/>
          <w:szCs w:val="24"/>
        </w:rPr>
        <w:t>. “Difficulty moving on with life</w:t>
      </w:r>
      <w:proofErr w:type="gramStart"/>
      <w:r w:rsidRPr="002C149E">
        <w:rPr>
          <w:rFonts w:ascii="Times New Roman" w:hAnsi="Times New Roman" w:cs="Times New Roman"/>
          <w:sz w:val="24"/>
          <w:szCs w:val="24"/>
        </w:rPr>
        <w:t xml:space="preserve">”  </w:t>
      </w:r>
      <w:r w:rsidR="008B3914">
        <w:rPr>
          <w:rFonts w:ascii="Times New Roman" w:hAnsi="Times New Roman" w:cs="Times New Roman"/>
          <w:sz w:val="24"/>
          <w:szCs w:val="24"/>
        </w:rPr>
        <w:t>is</w:t>
      </w:r>
      <w:proofErr w:type="gramEnd"/>
      <w:r w:rsidR="008B3914">
        <w:rPr>
          <w:rFonts w:ascii="Times New Roman" w:hAnsi="Times New Roman" w:cs="Times New Roman"/>
          <w:sz w:val="24"/>
          <w:szCs w:val="24"/>
        </w:rPr>
        <w:t xml:space="preserve"> </w:t>
      </w:r>
      <w:r w:rsidRPr="002C149E">
        <w:rPr>
          <w:rFonts w:ascii="Times New Roman" w:hAnsi="Times New Roman" w:cs="Times New Roman"/>
          <w:sz w:val="24"/>
          <w:szCs w:val="24"/>
        </w:rPr>
        <w:t>an informative</w:t>
      </w:r>
      <w:r w:rsidR="00EC63C0">
        <w:rPr>
          <w:rFonts w:ascii="Times New Roman" w:hAnsi="Times New Roman" w:cs="Times New Roman"/>
          <w:sz w:val="24"/>
          <w:szCs w:val="24"/>
        </w:rPr>
        <w:t xml:space="preserve"> and</w:t>
      </w:r>
      <w:r w:rsidR="00590877">
        <w:rPr>
          <w:rFonts w:ascii="Times New Roman" w:hAnsi="Times New Roman" w:cs="Times New Roman"/>
          <w:sz w:val="24"/>
          <w:szCs w:val="24"/>
        </w:rPr>
        <w:t xml:space="preserve"> </w:t>
      </w:r>
      <w:r w:rsidRPr="002C149E">
        <w:rPr>
          <w:rFonts w:ascii="Times New Roman" w:hAnsi="Times New Roman" w:cs="Times New Roman"/>
          <w:sz w:val="24"/>
          <w:szCs w:val="24"/>
        </w:rPr>
        <w:t xml:space="preserve">unbiased symptom of Prolonged Grief Disorder. </w:t>
      </w:r>
      <w:r w:rsidR="00A842C3">
        <w:rPr>
          <w:rFonts w:ascii="Times New Roman" w:hAnsi="Times New Roman" w:cs="Times New Roman"/>
          <w:sz w:val="24"/>
          <w:szCs w:val="24"/>
        </w:rPr>
        <w:t>P</w:t>
      </w:r>
      <w:r w:rsidR="00D60F5A">
        <w:rPr>
          <w:rFonts w:ascii="Times New Roman" w:hAnsi="Times New Roman" w:cs="Times New Roman"/>
          <w:sz w:val="24"/>
          <w:szCs w:val="24"/>
        </w:rPr>
        <w:t xml:space="preserve">redictors of </w:t>
      </w:r>
      <w:r w:rsidR="00D60F5A" w:rsidRPr="00D60F5A">
        <w:rPr>
          <w:rFonts w:ascii="Times New Roman" w:hAnsi="Times New Roman" w:cs="Times New Roman"/>
          <w:sz w:val="24"/>
          <w:szCs w:val="24"/>
        </w:rPr>
        <w:t>bereaved caregivers</w:t>
      </w:r>
      <w:r w:rsidR="00D60F5A">
        <w:rPr>
          <w:rFonts w:ascii="Times New Roman" w:hAnsi="Times New Roman" w:cs="Times New Roman"/>
          <w:sz w:val="24"/>
          <w:szCs w:val="24"/>
        </w:rPr>
        <w:t>’</w:t>
      </w:r>
      <w:r w:rsidR="00D60F5A" w:rsidRPr="00D60F5A">
        <w:rPr>
          <w:rFonts w:ascii="Times New Roman" w:hAnsi="Times New Roman" w:cs="Times New Roman"/>
          <w:sz w:val="24"/>
          <w:szCs w:val="24"/>
        </w:rPr>
        <w:t xml:space="preserve"> </w:t>
      </w:r>
      <w:r w:rsidR="00D60F5A">
        <w:rPr>
          <w:rFonts w:ascii="Times New Roman" w:hAnsi="Times New Roman" w:cs="Times New Roman"/>
          <w:sz w:val="24"/>
          <w:szCs w:val="24"/>
        </w:rPr>
        <w:t xml:space="preserve">ability to ‘move on’ </w:t>
      </w:r>
      <w:r w:rsidR="007C76BA">
        <w:rPr>
          <w:rFonts w:ascii="Times New Roman" w:hAnsi="Times New Roman" w:cs="Times New Roman"/>
          <w:sz w:val="24"/>
          <w:szCs w:val="24"/>
        </w:rPr>
        <w:t>have not been examined</w:t>
      </w:r>
      <w:r w:rsidR="006167E1">
        <w:rPr>
          <w:rFonts w:ascii="Times New Roman" w:hAnsi="Times New Roman" w:cs="Times New Roman"/>
          <w:sz w:val="24"/>
          <w:szCs w:val="24"/>
        </w:rPr>
        <w:t xml:space="preserve"> a</w:t>
      </w:r>
      <w:r w:rsidR="00A842C3">
        <w:rPr>
          <w:rFonts w:ascii="Times New Roman" w:hAnsi="Times New Roman" w:cs="Times New Roman"/>
          <w:sz w:val="24"/>
          <w:szCs w:val="24"/>
        </w:rPr>
        <w:t>cross the p</w:t>
      </w:r>
      <w:r w:rsidR="006167E1">
        <w:rPr>
          <w:rFonts w:ascii="Times New Roman" w:hAnsi="Times New Roman" w:cs="Times New Roman"/>
          <w:sz w:val="24"/>
          <w:szCs w:val="24"/>
        </w:rPr>
        <w:t>opulation.</w:t>
      </w:r>
    </w:p>
    <w:p w:rsidR="002C149E" w:rsidRPr="002C149E" w:rsidRDefault="002C149E" w:rsidP="002C149E">
      <w:pPr>
        <w:rPr>
          <w:rFonts w:ascii="Times New Roman" w:hAnsi="Times New Roman" w:cs="Times New Roman"/>
          <w:b/>
          <w:sz w:val="24"/>
          <w:szCs w:val="24"/>
        </w:rPr>
      </w:pPr>
      <w:r w:rsidRPr="002C149E">
        <w:rPr>
          <w:rFonts w:ascii="Times New Roman" w:hAnsi="Times New Roman" w:cs="Times New Roman"/>
          <w:b/>
          <w:sz w:val="24"/>
          <w:szCs w:val="24"/>
        </w:rPr>
        <w:t>Aim</w:t>
      </w:r>
    </w:p>
    <w:p w:rsidR="002C149E" w:rsidRPr="002C149E" w:rsidRDefault="002C149E" w:rsidP="002C149E">
      <w:pPr>
        <w:rPr>
          <w:rFonts w:ascii="Times New Roman" w:hAnsi="Times New Roman" w:cs="Times New Roman"/>
          <w:sz w:val="24"/>
          <w:szCs w:val="24"/>
        </w:rPr>
      </w:pPr>
      <w:r w:rsidRPr="002C149E">
        <w:rPr>
          <w:rFonts w:ascii="Times New Roman" w:hAnsi="Times New Roman" w:cs="Times New Roman"/>
          <w:sz w:val="24"/>
          <w:szCs w:val="24"/>
        </w:rPr>
        <w:t>To identify the characteristics of bereaved hands-on caregivers who were, and were not, able to ‘move on’ 13-60 months after the ‘expected’ death of someone close.</w:t>
      </w:r>
    </w:p>
    <w:p w:rsidR="002C149E" w:rsidRPr="002C149E" w:rsidRDefault="002C149E" w:rsidP="002C149E">
      <w:pPr>
        <w:jc w:val="both"/>
        <w:rPr>
          <w:rFonts w:ascii="Times New Roman" w:hAnsi="Times New Roman" w:cs="Times New Roman"/>
          <w:b/>
          <w:sz w:val="24"/>
          <w:szCs w:val="24"/>
        </w:rPr>
      </w:pPr>
      <w:r w:rsidRPr="002C149E">
        <w:rPr>
          <w:rFonts w:ascii="Times New Roman" w:hAnsi="Times New Roman" w:cs="Times New Roman"/>
          <w:b/>
          <w:sz w:val="24"/>
          <w:szCs w:val="24"/>
        </w:rPr>
        <w:t>Design</w:t>
      </w:r>
    </w:p>
    <w:p w:rsidR="002C149E" w:rsidRPr="002C149E" w:rsidRDefault="002C149E" w:rsidP="002C149E">
      <w:pPr>
        <w:jc w:val="both"/>
        <w:rPr>
          <w:rFonts w:ascii="Times New Roman" w:hAnsi="Times New Roman" w:cs="Times New Roman"/>
          <w:sz w:val="24"/>
          <w:szCs w:val="24"/>
        </w:rPr>
      </w:pPr>
      <w:r w:rsidRPr="002C149E">
        <w:rPr>
          <w:rFonts w:ascii="Times New Roman" w:hAnsi="Times New Roman" w:cs="Times New Roman"/>
          <w:sz w:val="24"/>
          <w:szCs w:val="24"/>
        </w:rPr>
        <w:t xml:space="preserve">The South Australian Health Omnibus is an annual, random, cross-sectional </w:t>
      </w:r>
      <w:r w:rsidR="000C17A5">
        <w:rPr>
          <w:rFonts w:ascii="Times New Roman" w:hAnsi="Times New Roman" w:cs="Times New Roman"/>
          <w:sz w:val="24"/>
          <w:szCs w:val="24"/>
        </w:rPr>
        <w:t xml:space="preserve">community </w:t>
      </w:r>
      <w:r w:rsidRPr="002C149E">
        <w:rPr>
          <w:rFonts w:ascii="Times New Roman" w:hAnsi="Times New Roman" w:cs="Times New Roman"/>
          <w:sz w:val="24"/>
          <w:szCs w:val="24"/>
        </w:rPr>
        <w:t>survey. From 2000-2007, respondents were asked about providing care for someone terminally ill and their subsequent ability to ‘move on’. Multivariable logistic regression models explore</w:t>
      </w:r>
      <w:r w:rsidR="00EC63C0">
        <w:rPr>
          <w:rFonts w:ascii="Times New Roman" w:hAnsi="Times New Roman" w:cs="Times New Roman"/>
          <w:sz w:val="24"/>
          <w:szCs w:val="24"/>
        </w:rPr>
        <w:t>d the</w:t>
      </w:r>
      <w:r w:rsidRPr="002C149E">
        <w:rPr>
          <w:rFonts w:ascii="Times New Roman" w:hAnsi="Times New Roman" w:cs="Times New Roman"/>
          <w:sz w:val="24"/>
          <w:szCs w:val="24"/>
        </w:rPr>
        <w:t xml:space="preserve"> characteristics </w:t>
      </w:r>
      <w:r w:rsidR="00A842C3">
        <w:rPr>
          <w:rFonts w:ascii="Times New Roman" w:hAnsi="Times New Roman" w:cs="Times New Roman"/>
          <w:sz w:val="24"/>
          <w:szCs w:val="24"/>
        </w:rPr>
        <w:t xml:space="preserve">moving on and not moving on. </w:t>
      </w:r>
    </w:p>
    <w:p w:rsidR="002C149E" w:rsidRPr="002C149E" w:rsidRDefault="00EC63C0" w:rsidP="002C149E">
      <w:pPr>
        <w:jc w:val="both"/>
        <w:rPr>
          <w:rFonts w:ascii="Times New Roman" w:hAnsi="Times New Roman" w:cs="Times New Roman"/>
          <w:b/>
          <w:sz w:val="24"/>
          <w:szCs w:val="24"/>
        </w:rPr>
      </w:pPr>
      <w:r>
        <w:rPr>
          <w:rFonts w:ascii="Times New Roman" w:hAnsi="Times New Roman" w:cs="Times New Roman"/>
          <w:b/>
          <w:sz w:val="24"/>
          <w:szCs w:val="24"/>
        </w:rPr>
        <w:t>Setting</w:t>
      </w:r>
    </w:p>
    <w:p w:rsidR="002C149E" w:rsidRPr="002C149E" w:rsidRDefault="000C17A5" w:rsidP="002C149E">
      <w:pPr>
        <w:jc w:val="both"/>
        <w:rPr>
          <w:rFonts w:ascii="Times New Roman" w:hAnsi="Times New Roman" w:cs="Times New Roman"/>
          <w:sz w:val="24"/>
          <w:szCs w:val="24"/>
        </w:rPr>
      </w:pPr>
      <w:r>
        <w:rPr>
          <w:rFonts w:ascii="Times New Roman" w:hAnsi="Times New Roman" w:cs="Times New Roman"/>
          <w:sz w:val="24"/>
          <w:szCs w:val="24"/>
        </w:rPr>
        <w:t xml:space="preserve">Respondents were </w:t>
      </w:r>
      <w:r w:rsidR="002C149E" w:rsidRPr="002C149E">
        <w:rPr>
          <w:rFonts w:ascii="Times New Roman" w:hAnsi="Times New Roman" w:cs="Times New Roman"/>
          <w:sz w:val="24"/>
          <w:szCs w:val="24"/>
        </w:rPr>
        <w:t>aged ≥15 years</w:t>
      </w:r>
      <w:r w:rsidR="00473482">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473482">
        <w:rPr>
          <w:rFonts w:ascii="Times New Roman" w:hAnsi="Times New Roman" w:cs="Times New Roman"/>
          <w:sz w:val="24"/>
          <w:szCs w:val="24"/>
        </w:rPr>
        <w:t>lived in households within South Australia. They had provid</w:t>
      </w:r>
      <w:r w:rsidR="008B3914">
        <w:rPr>
          <w:rFonts w:ascii="Times New Roman" w:hAnsi="Times New Roman" w:cs="Times New Roman"/>
          <w:sz w:val="24"/>
          <w:szCs w:val="24"/>
        </w:rPr>
        <w:t>ed care to someone</w:t>
      </w:r>
      <w:r w:rsidR="00473482">
        <w:rPr>
          <w:rFonts w:ascii="Times New Roman" w:hAnsi="Times New Roman" w:cs="Times New Roman"/>
          <w:sz w:val="24"/>
          <w:szCs w:val="24"/>
        </w:rPr>
        <w:t xml:space="preserve"> who had died of terminal illness in the preceding five years. </w:t>
      </w:r>
    </w:p>
    <w:p w:rsidR="002C149E" w:rsidRPr="002C149E" w:rsidRDefault="002C149E" w:rsidP="002C149E">
      <w:pPr>
        <w:jc w:val="both"/>
        <w:rPr>
          <w:rFonts w:ascii="Times New Roman" w:hAnsi="Times New Roman" w:cs="Times New Roman"/>
          <w:b/>
          <w:sz w:val="24"/>
          <w:szCs w:val="24"/>
        </w:rPr>
      </w:pPr>
      <w:r w:rsidRPr="002C149E">
        <w:rPr>
          <w:rFonts w:ascii="Times New Roman" w:hAnsi="Times New Roman" w:cs="Times New Roman"/>
          <w:b/>
          <w:sz w:val="24"/>
          <w:szCs w:val="24"/>
        </w:rPr>
        <w:t>Results</w:t>
      </w:r>
    </w:p>
    <w:p w:rsidR="002C149E" w:rsidRPr="002C149E" w:rsidRDefault="002C149E" w:rsidP="002C149E">
      <w:pPr>
        <w:jc w:val="both"/>
        <w:rPr>
          <w:rFonts w:ascii="Times New Roman" w:hAnsi="Times New Roman" w:cs="Times New Roman"/>
          <w:sz w:val="24"/>
          <w:szCs w:val="24"/>
        </w:rPr>
      </w:pPr>
      <w:r w:rsidRPr="002C149E">
        <w:rPr>
          <w:rFonts w:ascii="Times New Roman" w:hAnsi="Times New Roman" w:cs="Times New Roman"/>
          <w:sz w:val="24"/>
          <w:szCs w:val="24"/>
        </w:rPr>
        <w:t xml:space="preserve">Nine hundred and twenty-two (922) people provided hands-on care. Eighty-percent of caregivers (745) had been able to ‘move on‘. Closeness of relationship to the deceased; </w:t>
      </w:r>
      <w:r w:rsidR="006167E1">
        <w:rPr>
          <w:rFonts w:ascii="Times New Roman" w:hAnsi="Times New Roman" w:cs="Times New Roman"/>
          <w:sz w:val="24"/>
          <w:szCs w:val="24"/>
        </w:rPr>
        <w:t xml:space="preserve">increasing </w:t>
      </w:r>
      <w:r w:rsidRPr="002C149E">
        <w:rPr>
          <w:rFonts w:ascii="Times New Roman" w:hAnsi="Times New Roman" w:cs="Times New Roman"/>
          <w:sz w:val="24"/>
          <w:szCs w:val="24"/>
        </w:rPr>
        <w:t xml:space="preserve">caregiver age; caregiver report of needs met; </w:t>
      </w:r>
      <w:r w:rsidR="006167E1">
        <w:rPr>
          <w:rFonts w:ascii="Times New Roman" w:hAnsi="Times New Roman" w:cs="Times New Roman"/>
          <w:sz w:val="24"/>
          <w:szCs w:val="24"/>
        </w:rPr>
        <w:t xml:space="preserve">increasing </w:t>
      </w:r>
      <w:r w:rsidRPr="002C149E">
        <w:rPr>
          <w:rFonts w:ascii="Times New Roman" w:hAnsi="Times New Roman" w:cs="Times New Roman"/>
          <w:sz w:val="24"/>
          <w:szCs w:val="24"/>
        </w:rPr>
        <w:t xml:space="preserve">time since loss; sex and English-speaking background were significantly associated with ‘moving on’. </w:t>
      </w:r>
      <w:r w:rsidR="006167E1">
        <w:rPr>
          <w:rFonts w:ascii="Times New Roman" w:hAnsi="Times New Roman" w:cs="Times New Roman"/>
          <w:sz w:val="24"/>
          <w:szCs w:val="24"/>
        </w:rPr>
        <w:t>A closer</w:t>
      </w:r>
      <w:r w:rsidRPr="002C149E">
        <w:rPr>
          <w:rFonts w:ascii="Times New Roman" w:hAnsi="Times New Roman" w:cs="Times New Roman"/>
          <w:sz w:val="24"/>
          <w:szCs w:val="24"/>
        </w:rPr>
        <w:t xml:space="preserve"> relationship to the deceased; socioeconomic </w:t>
      </w:r>
      <w:r w:rsidR="006167E1">
        <w:rPr>
          <w:rFonts w:ascii="Times New Roman" w:hAnsi="Times New Roman" w:cs="Times New Roman"/>
          <w:sz w:val="24"/>
          <w:szCs w:val="24"/>
        </w:rPr>
        <w:t>dis</w:t>
      </w:r>
      <w:r w:rsidRPr="002C149E">
        <w:rPr>
          <w:rFonts w:ascii="Times New Roman" w:hAnsi="Times New Roman" w:cs="Times New Roman"/>
          <w:sz w:val="24"/>
          <w:szCs w:val="24"/>
        </w:rPr>
        <w:t>advantage and being male were significantly associated with not ‘moving on’.</w:t>
      </w:r>
    </w:p>
    <w:p w:rsidR="002C149E" w:rsidRPr="002C149E" w:rsidRDefault="002C149E" w:rsidP="002C149E">
      <w:pPr>
        <w:jc w:val="both"/>
        <w:rPr>
          <w:rFonts w:ascii="Times New Roman" w:hAnsi="Times New Roman" w:cs="Times New Roman"/>
          <w:b/>
          <w:sz w:val="24"/>
          <w:szCs w:val="24"/>
        </w:rPr>
      </w:pPr>
      <w:r w:rsidRPr="002C149E">
        <w:rPr>
          <w:rFonts w:ascii="Times New Roman" w:hAnsi="Times New Roman" w:cs="Times New Roman"/>
          <w:b/>
          <w:sz w:val="24"/>
          <w:szCs w:val="24"/>
        </w:rPr>
        <w:t>Conclusions</w:t>
      </w:r>
    </w:p>
    <w:p w:rsidR="002C149E" w:rsidRDefault="002C149E" w:rsidP="002C149E">
      <w:pPr>
        <w:jc w:val="both"/>
        <w:rPr>
          <w:rFonts w:ascii="Times New Roman" w:hAnsi="Times New Roman" w:cs="Times New Roman"/>
          <w:sz w:val="24"/>
          <w:szCs w:val="24"/>
        </w:rPr>
      </w:pPr>
      <w:r w:rsidRPr="002C149E">
        <w:rPr>
          <w:rFonts w:ascii="Times New Roman" w:hAnsi="Times New Roman" w:cs="Times New Roman"/>
          <w:sz w:val="24"/>
          <w:szCs w:val="24"/>
        </w:rPr>
        <w:t>These results support the relevance of ‘moving on’ as an indicator of caregivers’ bereavement adjustment. Following the outcomes of bereaved caregivers longitudinally is essential if effective interventions are to be developed</w:t>
      </w:r>
      <w:r w:rsidR="006167E1">
        <w:rPr>
          <w:rFonts w:ascii="Times New Roman" w:hAnsi="Times New Roman" w:cs="Times New Roman"/>
          <w:sz w:val="24"/>
          <w:szCs w:val="24"/>
        </w:rPr>
        <w:t xml:space="preserve"> to minimise the risk of </w:t>
      </w:r>
      <w:r w:rsidR="00A842C3">
        <w:rPr>
          <w:rFonts w:ascii="Times New Roman" w:hAnsi="Times New Roman" w:cs="Times New Roman"/>
          <w:sz w:val="24"/>
          <w:szCs w:val="24"/>
        </w:rPr>
        <w:t>P</w:t>
      </w:r>
      <w:r w:rsidR="006167E1">
        <w:rPr>
          <w:rFonts w:ascii="Times New Roman" w:hAnsi="Times New Roman" w:cs="Times New Roman"/>
          <w:sz w:val="24"/>
          <w:szCs w:val="24"/>
        </w:rPr>
        <w:t xml:space="preserve">rolonged </w:t>
      </w:r>
      <w:r w:rsidR="00A842C3">
        <w:rPr>
          <w:rFonts w:ascii="Times New Roman" w:hAnsi="Times New Roman" w:cs="Times New Roman"/>
          <w:sz w:val="24"/>
          <w:szCs w:val="24"/>
        </w:rPr>
        <w:t>G</w:t>
      </w:r>
      <w:r w:rsidR="006167E1">
        <w:rPr>
          <w:rFonts w:ascii="Times New Roman" w:hAnsi="Times New Roman" w:cs="Times New Roman"/>
          <w:sz w:val="24"/>
          <w:szCs w:val="24"/>
        </w:rPr>
        <w:t>rief</w:t>
      </w:r>
      <w:r w:rsidR="00A842C3">
        <w:rPr>
          <w:rFonts w:ascii="Times New Roman" w:hAnsi="Times New Roman" w:cs="Times New Roman"/>
          <w:sz w:val="24"/>
          <w:szCs w:val="24"/>
        </w:rPr>
        <w:t xml:space="preserve"> Disorder</w:t>
      </w:r>
      <w:r w:rsidRPr="002C149E">
        <w:rPr>
          <w:rFonts w:ascii="Times New Roman" w:hAnsi="Times New Roman" w:cs="Times New Roman"/>
          <w:sz w:val="24"/>
          <w:szCs w:val="24"/>
        </w:rPr>
        <w:t>.</w:t>
      </w:r>
    </w:p>
    <w:p w:rsidR="00B677A8" w:rsidRDefault="00B677A8" w:rsidP="002C149E">
      <w:pPr>
        <w:jc w:val="both"/>
        <w:rPr>
          <w:rFonts w:ascii="Times New Roman" w:hAnsi="Times New Roman" w:cs="Times New Roman"/>
          <w:sz w:val="24"/>
          <w:szCs w:val="24"/>
        </w:rPr>
      </w:pPr>
    </w:p>
    <w:p w:rsidR="00B677A8" w:rsidRDefault="00B677A8" w:rsidP="002C149E">
      <w:pPr>
        <w:jc w:val="both"/>
        <w:rPr>
          <w:rFonts w:ascii="Times New Roman" w:hAnsi="Times New Roman" w:cs="Times New Roman"/>
          <w:sz w:val="24"/>
          <w:szCs w:val="24"/>
        </w:rPr>
      </w:pPr>
    </w:p>
    <w:p w:rsidR="00B677A8" w:rsidRDefault="00B677A8" w:rsidP="002C149E">
      <w:pPr>
        <w:jc w:val="both"/>
        <w:rPr>
          <w:rFonts w:ascii="Times New Roman" w:hAnsi="Times New Roman" w:cs="Times New Roman"/>
          <w:sz w:val="24"/>
          <w:szCs w:val="24"/>
        </w:rPr>
      </w:pPr>
    </w:p>
    <w:p w:rsidR="00B677A8" w:rsidRPr="002C149E" w:rsidRDefault="00B677A8" w:rsidP="002C149E">
      <w:pPr>
        <w:jc w:val="both"/>
        <w:rPr>
          <w:rFonts w:ascii="Times New Roman" w:hAnsi="Times New Roman" w:cs="Times New Roman"/>
          <w:sz w:val="24"/>
          <w:szCs w:val="24"/>
        </w:rPr>
      </w:pPr>
    </w:p>
    <w:p w:rsidR="002C149E" w:rsidRPr="00B677A8" w:rsidRDefault="00B677A8" w:rsidP="002C149E">
      <w:pPr>
        <w:jc w:val="both"/>
        <w:rPr>
          <w:rFonts w:ascii="Times New Roman" w:hAnsi="Times New Roman" w:cs="Times New Roman"/>
          <w:b/>
          <w:sz w:val="24"/>
          <w:szCs w:val="24"/>
          <w:u w:val="single"/>
        </w:rPr>
      </w:pPr>
      <w:r w:rsidRPr="00B677A8">
        <w:rPr>
          <w:rFonts w:ascii="Times New Roman" w:hAnsi="Times New Roman" w:cs="Times New Roman"/>
          <w:b/>
          <w:sz w:val="24"/>
          <w:szCs w:val="24"/>
          <w:u w:val="single"/>
        </w:rPr>
        <w:t>Key Statements</w:t>
      </w:r>
    </w:p>
    <w:p w:rsidR="002C149E" w:rsidRPr="002C149E" w:rsidRDefault="002C149E" w:rsidP="002C149E">
      <w:pPr>
        <w:jc w:val="both"/>
        <w:rPr>
          <w:rFonts w:ascii="Times New Roman" w:hAnsi="Times New Roman" w:cs="Times New Roman"/>
          <w:b/>
          <w:sz w:val="24"/>
          <w:szCs w:val="24"/>
        </w:rPr>
      </w:pPr>
      <w:r w:rsidRPr="002C149E">
        <w:rPr>
          <w:rFonts w:ascii="Times New Roman" w:hAnsi="Times New Roman" w:cs="Times New Roman"/>
          <w:b/>
          <w:sz w:val="24"/>
          <w:szCs w:val="24"/>
        </w:rPr>
        <w:lastRenderedPageBreak/>
        <w:t>-</w:t>
      </w:r>
      <w:r w:rsidR="00561EA7">
        <w:rPr>
          <w:rFonts w:ascii="Times New Roman" w:hAnsi="Times New Roman" w:cs="Times New Roman"/>
          <w:b/>
          <w:sz w:val="24"/>
          <w:szCs w:val="24"/>
        </w:rPr>
        <w:t xml:space="preserve"> </w:t>
      </w:r>
      <w:r w:rsidRPr="002C149E">
        <w:rPr>
          <w:rFonts w:ascii="Times New Roman" w:hAnsi="Times New Roman" w:cs="Times New Roman"/>
          <w:b/>
          <w:sz w:val="24"/>
          <w:szCs w:val="24"/>
        </w:rPr>
        <w:t xml:space="preserve">What is </w:t>
      </w:r>
      <w:proofErr w:type="gramStart"/>
      <w:r w:rsidRPr="002C149E">
        <w:rPr>
          <w:rFonts w:ascii="Times New Roman" w:hAnsi="Times New Roman" w:cs="Times New Roman"/>
          <w:b/>
          <w:sz w:val="24"/>
          <w:szCs w:val="24"/>
        </w:rPr>
        <w:t>known:</w:t>
      </w:r>
      <w:proofErr w:type="gramEnd"/>
    </w:p>
    <w:p w:rsidR="002C149E" w:rsidRPr="002C149E" w:rsidRDefault="002C149E" w:rsidP="002C149E">
      <w:pPr>
        <w:pStyle w:val="ListParagraph"/>
        <w:numPr>
          <w:ilvl w:val="0"/>
          <w:numId w:val="2"/>
        </w:numPr>
        <w:jc w:val="both"/>
        <w:rPr>
          <w:rFonts w:ascii="Times New Roman" w:hAnsi="Times New Roman" w:cs="Times New Roman"/>
          <w:sz w:val="24"/>
          <w:szCs w:val="24"/>
        </w:rPr>
      </w:pPr>
      <w:r w:rsidRPr="002C149E">
        <w:rPr>
          <w:rFonts w:ascii="Times New Roman" w:hAnsi="Times New Roman" w:cs="Times New Roman"/>
          <w:sz w:val="24"/>
          <w:szCs w:val="24"/>
        </w:rPr>
        <w:t>Providing care for someone at the end of life has consequences for the informal caregiver’s bereavement experience.</w:t>
      </w:r>
    </w:p>
    <w:p w:rsidR="002C149E" w:rsidRPr="002C149E" w:rsidRDefault="002C149E" w:rsidP="002C149E">
      <w:pPr>
        <w:pStyle w:val="ListParagraph"/>
        <w:numPr>
          <w:ilvl w:val="0"/>
          <w:numId w:val="2"/>
        </w:numPr>
        <w:jc w:val="both"/>
        <w:rPr>
          <w:rFonts w:ascii="Times New Roman" w:hAnsi="Times New Roman" w:cs="Times New Roman"/>
          <w:sz w:val="24"/>
          <w:szCs w:val="24"/>
        </w:rPr>
      </w:pPr>
      <w:r w:rsidRPr="002C149E">
        <w:rPr>
          <w:rFonts w:ascii="Times New Roman" w:hAnsi="Times New Roman" w:cs="Times New Roman"/>
          <w:sz w:val="24"/>
          <w:szCs w:val="24"/>
        </w:rPr>
        <w:t>An important minority of bereaved people will experience Prolonged Grief Disorder and this group’s characteristics continue to be defined.</w:t>
      </w:r>
    </w:p>
    <w:p w:rsidR="002C149E" w:rsidRPr="002C149E" w:rsidRDefault="002C149E" w:rsidP="002C149E">
      <w:pPr>
        <w:pStyle w:val="ListParagraph"/>
        <w:numPr>
          <w:ilvl w:val="0"/>
          <w:numId w:val="2"/>
        </w:numPr>
        <w:jc w:val="both"/>
        <w:rPr>
          <w:rFonts w:ascii="Times New Roman" w:hAnsi="Times New Roman" w:cs="Times New Roman"/>
          <w:sz w:val="24"/>
          <w:szCs w:val="24"/>
        </w:rPr>
      </w:pPr>
      <w:r w:rsidRPr="002C149E">
        <w:rPr>
          <w:rFonts w:ascii="Times New Roman" w:hAnsi="Times New Roman" w:cs="Times New Roman"/>
          <w:sz w:val="24"/>
          <w:szCs w:val="24"/>
        </w:rPr>
        <w:t>“Difficulty moving on with life” has been shown to be an informative and unbiased symptom of Prolonged Grief Disorder.</w:t>
      </w:r>
    </w:p>
    <w:p w:rsidR="002C149E" w:rsidRPr="002C149E" w:rsidRDefault="002C149E" w:rsidP="002C149E">
      <w:pPr>
        <w:jc w:val="both"/>
        <w:rPr>
          <w:rFonts w:ascii="Times New Roman" w:hAnsi="Times New Roman" w:cs="Times New Roman"/>
          <w:b/>
          <w:sz w:val="24"/>
          <w:szCs w:val="24"/>
        </w:rPr>
      </w:pPr>
      <w:r w:rsidRPr="002C149E">
        <w:rPr>
          <w:rFonts w:ascii="Times New Roman" w:hAnsi="Times New Roman" w:cs="Times New Roman"/>
          <w:b/>
          <w:sz w:val="24"/>
          <w:szCs w:val="24"/>
        </w:rPr>
        <w:t>-What this paper adds:</w:t>
      </w:r>
    </w:p>
    <w:p w:rsidR="002C149E" w:rsidRPr="002C149E" w:rsidRDefault="002C149E" w:rsidP="002C149E">
      <w:pPr>
        <w:pStyle w:val="ListParagraph"/>
        <w:numPr>
          <w:ilvl w:val="0"/>
          <w:numId w:val="3"/>
        </w:numPr>
        <w:jc w:val="both"/>
        <w:rPr>
          <w:rFonts w:ascii="Times New Roman" w:hAnsi="Times New Roman" w:cs="Times New Roman"/>
          <w:sz w:val="24"/>
          <w:szCs w:val="24"/>
        </w:rPr>
      </w:pPr>
      <w:r w:rsidRPr="002C149E">
        <w:rPr>
          <w:rFonts w:ascii="Times New Roman" w:hAnsi="Times New Roman" w:cs="Times New Roman"/>
          <w:sz w:val="24"/>
          <w:szCs w:val="24"/>
        </w:rPr>
        <w:t>This paper examined the predictors of “moving on” in a large population-based community sample over an extended 60-month bereavement period.</w:t>
      </w:r>
    </w:p>
    <w:p w:rsidR="002C149E" w:rsidRPr="002C149E" w:rsidRDefault="002C149E" w:rsidP="002C149E">
      <w:pPr>
        <w:pStyle w:val="ListParagraph"/>
        <w:numPr>
          <w:ilvl w:val="0"/>
          <w:numId w:val="3"/>
        </w:numPr>
        <w:jc w:val="both"/>
        <w:rPr>
          <w:rFonts w:ascii="Times New Roman" w:hAnsi="Times New Roman" w:cs="Times New Roman"/>
          <w:sz w:val="24"/>
          <w:szCs w:val="24"/>
        </w:rPr>
      </w:pPr>
      <w:r w:rsidRPr="002C149E">
        <w:rPr>
          <w:rFonts w:ascii="Times New Roman" w:hAnsi="Times New Roman" w:cs="Times New Roman"/>
          <w:sz w:val="24"/>
          <w:szCs w:val="24"/>
        </w:rPr>
        <w:t>In line with evidence regarding the appropriate timing of diagnosis of PGD, we have explicitly excluded the initial 12 month post-loss period.</w:t>
      </w:r>
    </w:p>
    <w:p w:rsidR="002C149E" w:rsidRPr="002C149E" w:rsidRDefault="002C149E" w:rsidP="002C149E">
      <w:pPr>
        <w:pStyle w:val="ListParagraph"/>
        <w:numPr>
          <w:ilvl w:val="0"/>
          <w:numId w:val="3"/>
        </w:numPr>
        <w:jc w:val="both"/>
        <w:rPr>
          <w:rFonts w:ascii="Times New Roman" w:hAnsi="Times New Roman" w:cs="Times New Roman"/>
          <w:sz w:val="24"/>
          <w:szCs w:val="24"/>
        </w:rPr>
      </w:pPr>
      <w:r w:rsidRPr="002C149E">
        <w:rPr>
          <w:rFonts w:ascii="Times New Roman" w:hAnsi="Times New Roman" w:cs="Times New Roman"/>
          <w:sz w:val="24"/>
          <w:szCs w:val="24"/>
        </w:rPr>
        <w:t>This paper has helped better define the characteristics of bereaved caregivers who follow an adaptive bereavement pathway and those who do not</w:t>
      </w:r>
      <w:r w:rsidR="00936218">
        <w:rPr>
          <w:rFonts w:ascii="Times New Roman" w:hAnsi="Times New Roman" w:cs="Times New Roman"/>
          <w:sz w:val="24"/>
          <w:szCs w:val="24"/>
        </w:rPr>
        <w:t>, irrespective of health or social service contact</w:t>
      </w:r>
      <w:r w:rsidRPr="002C149E">
        <w:rPr>
          <w:rFonts w:ascii="Times New Roman" w:hAnsi="Times New Roman" w:cs="Times New Roman"/>
          <w:sz w:val="24"/>
          <w:szCs w:val="24"/>
        </w:rPr>
        <w:t>.</w:t>
      </w:r>
    </w:p>
    <w:p w:rsidR="002C149E" w:rsidRPr="002C149E" w:rsidRDefault="002C149E" w:rsidP="002C149E">
      <w:pPr>
        <w:jc w:val="both"/>
        <w:rPr>
          <w:rFonts w:ascii="Times New Roman" w:hAnsi="Times New Roman" w:cs="Times New Roman"/>
          <w:b/>
          <w:sz w:val="24"/>
          <w:szCs w:val="24"/>
        </w:rPr>
      </w:pPr>
      <w:r w:rsidRPr="002C149E">
        <w:rPr>
          <w:rFonts w:ascii="Times New Roman" w:hAnsi="Times New Roman" w:cs="Times New Roman"/>
          <w:b/>
          <w:sz w:val="24"/>
          <w:szCs w:val="24"/>
        </w:rPr>
        <w:t>-Implications for practice, theory or policy:</w:t>
      </w:r>
    </w:p>
    <w:p w:rsidR="002C149E" w:rsidRPr="002C149E" w:rsidRDefault="002C149E" w:rsidP="002C149E">
      <w:pPr>
        <w:pStyle w:val="ListParagraph"/>
        <w:numPr>
          <w:ilvl w:val="0"/>
          <w:numId w:val="4"/>
        </w:numPr>
        <w:jc w:val="both"/>
        <w:rPr>
          <w:rFonts w:ascii="Times New Roman" w:hAnsi="Times New Roman" w:cs="Times New Roman"/>
          <w:sz w:val="24"/>
          <w:szCs w:val="24"/>
        </w:rPr>
      </w:pPr>
      <w:r w:rsidRPr="002C149E">
        <w:rPr>
          <w:rFonts w:ascii="Times New Roman" w:hAnsi="Times New Roman" w:cs="Times New Roman"/>
          <w:sz w:val="24"/>
          <w:szCs w:val="24"/>
        </w:rPr>
        <w:t>Defining those at risk of poor bereavement outcomes is essential for improved clinical practice and for efficient resource allocation.</w:t>
      </w:r>
    </w:p>
    <w:p w:rsidR="002C149E" w:rsidRPr="002C149E" w:rsidRDefault="002C149E" w:rsidP="002C149E">
      <w:pPr>
        <w:pStyle w:val="ListParagraph"/>
        <w:numPr>
          <w:ilvl w:val="0"/>
          <w:numId w:val="4"/>
        </w:numPr>
        <w:jc w:val="both"/>
        <w:rPr>
          <w:rFonts w:ascii="Times New Roman" w:hAnsi="Times New Roman" w:cs="Times New Roman"/>
          <w:sz w:val="24"/>
          <w:szCs w:val="24"/>
        </w:rPr>
      </w:pPr>
      <w:r w:rsidRPr="002C149E">
        <w:rPr>
          <w:rFonts w:ascii="Times New Roman" w:hAnsi="Times New Roman" w:cs="Times New Roman"/>
          <w:sz w:val="24"/>
          <w:szCs w:val="24"/>
        </w:rPr>
        <w:t>Those at risk of poor bereavement outcomes require follow-up beyond 12 months to ensure that complications of bereavement are appropriately diagnosed and managed.</w:t>
      </w:r>
    </w:p>
    <w:p w:rsidR="002C149E" w:rsidRPr="002C149E" w:rsidRDefault="002C149E" w:rsidP="00E07055">
      <w:pPr>
        <w:pStyle w:val="ListParagraph"/>
        <w:numPr>
          <w:ilvl w:val="0"/>
          <w:numId w:val="4"/>
        </w:numPr>
        <w:jc w:val="both"/>
        <w:rPr>
          <w:rFonts w:ascii="Times New Roman" w:hAnsi="Times New Roman" w:cs="Times New Roman"/>
          <w:sz w:val="24"/>
          <w:szCs w:val="24"/>
        </w:rPr>
      </w:pPr>
      <w:r w:rsidRPr="002C149E">
        <w:rPr>
          <w:rFonts w:ascii="Times New Roman" w:hAnsi="Times New Roman" w:cs="Times New Roman"/>
          <w:sz w:val="24"/>
          <w:szCs w:val="24"/>
        </w:rPr>
        <w:t>In line with previous findings, Palliative Care Service use was not associated with improved caregiver bereavement outcomes and this requires further investigation.</w:t>
      </w:r>
    </w:p>
    <w:p w:rsidR="002C149E" w:rsidRDefault="002C149E" w:rsidP="002C149E">
      <w:pPr>
        <w:pStyle w:val="ListParagraph"/>
        <w:jc w:val="both"/>
        <w:rPr>
          <w:rFonts w:ascii="Times New Roman" w:hAnsi="Times New Roman" w:cs="Times New Roman"/>
          <w:sz w:val="24"/>
          <w:szCs w:val="24"/>
        </w:rPr>
      </w:pPr>
    </w:p>
    <w:p w:rsidR="00B677A8" w:rsidRDefault="00B677A8" w:rsidP="002C149E">
      <w:pPr>
        <w:pStyle w:val="ListParagraph"/>
        <w:jc w:val="both"/>
        <w:rPr>
          <w:rFonts w:ascii="Times New Roman" w:hAnsi="Times New Roman" w:cs="Times New Roman"/>
          <w:sz w:val="24"/>
          <w:szCs w:val="24"/>
        </w:rPr>
      </w:pPr>
    </w:p>
    <w:p w:rsidR="00B677A8" w:rsidRDefault="00B677A8" w:rsidP="002C149E">
      <w:pPr>
        <w:pStyle w:val="ListParagraph"/>
        <w:jc w:val="both"/>
        <w:rPr>
          <w:rFonts w:ascii="Times New Roman" w:hAnsi="Times New Roman" w:cs="Times New Roman"/>
          <w:sz w:val="24"/>
          <w:szCs w:val="24"/>
        </w:rPr>
      </w:pPr>
    </w:p>
    <w:p w:rsidR="00B677A8" w:rsidRDefault="00B677A8" w:rsidP="002C149E">
      <w:pPr>
        <w:pStyle w:val="ListParagraph"/>
        <w:jc w:val="both"/>
        <w:rPr>
          <w:rFonts w:ascii="Times New Roman" w:hAnsi="Times New Roman" w:cs="Times New Roman"/>
          <w:sz w:val="24"/>
          <w:szCs w:val="24"/>
        </w:rPr>
      </w:pPr>
    </w:p>
    <w:p w:rsidR="00B677A8" w:rsidRDefault="00B677A8" w:rsidP="002C149E">
      <w:pPr>
        <w:pStyle w:val="ListParagraph"/>
        <w:jc w:val="both"/>
        <w:rPr>
          <w:rFonts w:ascii="Times New Roman" w:hAnsi="Times New Roman" w:cs="Times New Roman"/>
          <w:sz w:val="24"/>
          <w:szCs w:val="24"/>
        </w:rPr>
      </w:pPr>
    </w:p>
    <w:p w:rsidR="00B677A8" w:rsidRDefault="00B677A8" w:rsidP="002C149E">
      <w:pPr>
        <w:pStyle w:val="ListParagraph"/>
        <w:jc w:val="both"/>
        <w:rPr>
          <w:rFonts w:ascii="Times New Roman" w:hAnsi="Times New Roman" w:cs="Times New Roman"/>
          <w:sz w:val="24"/>
          <w:szCs w:val="24"/>
        </w:rPr>
      </w:pPr>
    </w:p>
    <w:p w:rsidR="00B677A8" w:rsidRDefault="00B677A8" w:rsidP="002C149E">
      <w:pPr>
        <w:pStyle w:val="ListParagraph"/>
        <w:jc w:val="both"/>
        <w:rPr>
          <w:rFonts w:ascii="Times New Roman" w:hAnsi="Times New Roman" w:cs="Times New Roman"/>
          <w:sz w:val="24"/>
          <w:szCs w:val="24"/>
        </w:rPr>
      </w:pPr>
    </w:p>
    <w:p w:rsidR="00B677A8" w:rsidRDefault="00B677A8" w:rsidP="002C149E">
      <w:pPr>
        <w:pStyle w:val="ListParagraph"/>
        <w:jc w:val="both"/>
        <w:rPr>
          <w:rFonts w:ascii="Times New Roman" w:hAnsi="Times New Roman" w:cs="Times New Roman"/>
          <w:sz w:val="24"/>
          <w:szCs w:val="24"/>
        </w:rPr>
      </w:pPr>
    </w:p>
    <w:p w:rsidR="00B677A8" w:rsidRDefault="00B677A8" w:rsidP="002C149E">
      <w:pPr>
        <w:pStyle w:val="ListParagraph"/>
        <w:jc w:val="both"/>
        <w:rPr>
          <w:rFonts w:ascii="Times New Roman" w:hAnsi="Times New Roman" w:cs="Times New Roman"/>
          <w:sz w:val="24"/>
          <w:szCs w:val="24"/>
        </w:rPr>
      </w:pPr>
    </w:p>
    <w:p w:rsidR="00B677A8" w:rsidRDefault="00B677A8" w:rsidP="002C149E">
      <w:pPr>
        <w:pStyle w:val="ListParagraph"/>
        <w:jc w:val="both"/>
        <w:rPr>
          <w:rFonts w:ascii="Times New Roman" w:hAnsi="Times New Roman" w:cs="Times New Roman"/>
          <w:sz w:val="24"/>
          <w:szCs w:val="24"/>
        </w:rPr>
      </w:pPr>
    </w:p>
    <w:p w:rsidR="00B677A8" w:rsidRDefault="00B677A8" w:rsidP="002C149E">
      <w:pPr>
        <w:pStyle w:val="ListParagraph"/>
        <w:jc w:val="both"/>
        <w:rPr>
          <w:rFonts w:ascii="Times New Roman" w:hAnsi="Times New Roman" w:cs="Times New Roman"/>
          <w:sz w:val="24"/>
          <w:szCs w:val="24"/>
        </w:rPr>
      </w:pPr>
    </w:p>
    <w:p w:rsidR="00B677A8" w:rsidRDefault="00B677A8" w:rsidP="002C149E">
      <w:pPr>
        <w:pStyle w:val="ListParagraph"/>
        <w:jc w:val="both"/>
        <w:rPr>
          <w:rFonts w:ascii="Times New Roman" w:hAnsi="Times New Roman" w:cs="Times New Roman"/>
          <w:sz w:val="24"/>
          <w:szCs w:val="24"/>
        </w:rPr>
      </w:pPr>
    </w:p>
    <w:p w:rsidR="00B677A8" w:rsidRDefault="00B677A8" w:rsidP="002C149E">
      <w:pPr>
        <w:pStyle w:val="ListParagraph"/>
        <w:jc w:val="both"/>
        <w:rPr>
          <w:rFonts w:ascii="Times New Roman" w:hAnsi="Times New Roman" w:cs="Times New Roman"/>
          <w:sz w:val="24"/>
          <w:szCs w:val="24"/>
        </w:rPr>
      </w:pPr>
    </w:p>
    <w:p w:rsidR="00B677A8" w:rsidRDefault="00B677A8" w:rsidP="002C149E">
      <w:pPr>
        <w:pStyle w:val="ListParagraph"/>
        <w:jc w:val="both"/>
        <w:rPr>
          <w:rFonts w:ascii="Times New Roman" w:hAnsi="Times New Roman" w:cs="Times New Roman"/>
          <w:sz w:val="24"/>
          <w:szCs w:val="24"/>
        </w:rPr>
      </w:pPr>
    </w:p>
    <w:p w:rsidR="00B677A8" w:rsidRDefault="00B677A8" w:rsidP="002C149E">
      <w:pPr>
        <w:pStyle w:val="ListParagraph"/>
        <w:jc w:val="both"/>
        <w:rPr>
          <w:rFonts w:ascii="Times New Roman" w:hAnsi="Times New Roman" w:cs="Times New Roman"/>
          <w:sz w:val="24"/>
          <w:szCs w:val="24"/>
        </w:rPr>
      </w:pPr>
    </w:p>
    <w:p w:rsidR="00B677A8" w:rsidRDefault="00B677A8" w:rsidP="002C149E">
      <w:pPr>
        <w:pStyle w:val="ListParagraph"/>
        <w:jc w:val="both"/>
        <w:rPr>
          <w:rFonts w:ascii="Times New Roman" w:hAnsi="Times New Roman" w:cs="Times New Roman"/>
          <w:sz w:val="24"/>
          <w:szCs w:val="24"/>
        </w:rPr>
      </w:pPr>
    </w:p>
    <w:p w:rsidR="00B677A8" w:rsidRPr="002C149E" w:rsidRDefault="00B677A8" w:rsidP="002C149E">
      <w:pPr>
        <w:pStyle w:val="ListParagraph"/>
        <w:jc w:val="both"/>
        <w:rPr>
          <w:rFonts w:ascii="Times New Roman" w:hAnsi="Times New Roman" w:cs="Times New Roman"/>
          <w:sz w:val="24"/>
          <w:szCs w:val="24"/>
        </w:rPr>
      </w:pPr>
    </w:p>
    <w:p w:rsidR="000D6C8D" w:rsidRPr="002C149E" w:rsidRDefault="00601E2E" w:rsidP="00E07055">
      <w:pPr>
        <w:jc w:val="both"/>
        <w:rPr>
          <w:rFonts w:ascii="Times New Roman" w:hAnsi="Times New Roman" w:cs="Times New Roman"/>
          <w:b/>
          <w:sz w:val="24"/>
          <w:szCs w:val="24"/>
          <w:u w:val="single"/>
        </w:rPr>
      </w:pPr>
      <w:r w:rsidRPr="002C149E">
        <w:rPr>
          <w:rFonts w:ascii="Times New Roman" w:hAnsi="Times New Roman" w:cs="Times New Roman"/>
          <w:b/>
          <w:sz w:val="24"/>
          <w:szCs w:val="24"/>
          <w:u w:val="single"/>
        </w:rPr>
        <w:lastRenderedPageBreak/>
        <w:t>Intro</w:t>
      </w:r>
      <w:r w:rsidR="007166EB" w:rsidRPr="002C149E">
        <w:rPr>
          <w:rFonts w:ascii="Times New Roman" w:hAnsi="Times New Roman" w:cs="Times New Roman"/>
          <w:b/>
          <w:sz w:val="24"/>
          <w:szCs w:val="24"/>
          <w:u w:val="single"/>
        </w:rPr>
        <w:t>duction</w:t>
      </w:r>
    </w:p>
    <w:p w:rsidR="00263F51" w:rsidRPr="002C149E" w:rsidRDefault="00601E2E" w:rsidP="00802DF8">
      <w:pPr>
        <w:jc w:val="both"/>
        <w:rPr>
          <w:rFonts w:ascii="Times New Roman" w:hAnsi="Times New Roman" w:cs="Times New Roman"/>
          <w:sz w:val="24"/>
          <w:szCs w:val="24"/>
        </w:rPr>
      </w:pPr>
      <w:r w:rsidRPr="002C149E">
        <w:rPr>
          <w:rFonts w:ascii="Times New Roman" w:hAnsi="Times New Roman" w:cs="Times New Roman"/>
          <w:sz w:val="24"/>
          <w:szCs w:val="24"/>
        </w:rPr>
        <w:t>A fundamental challenge for both bereavement and caregiver research is to identify those who are at risk of poor bereavement outcomes and those who are not</w:t>
      </w:r>
      <w:r w:rsidR="000F043C" w:rsidRPr="002C149E">
        <w:rPr>
          <w:rFonts w:ascii="Times New Roman" w:hAnsi="Times New Roman" w:cs="Times New Roman"/>
          <w:sz w:val="24"/>
          <w:szCs w:val="24"/>
        </w:rPr>
        <w:t xml:space="preserve"> (1-3</w:t>
      </w:r>
      <w:r w:rsidR="00CC7BCD" w:rsidRPr="002C149E">
        <w:rPr>
          <w:rFonts w:ascii="Times New Roman" w:hAnsi="Times New Roman" w:cs="Times New Roman"/>
          <w:sz w:val="24"/>
          <w:szCs w:val="24"/>
        </w:rPr>
        <w:t>)</w:t>
      </w:r>
      <w:r w:rsidRPr="002C149E">
        <w:rPr>
          <w:rFonts w:ascii="Times New Roman" w:hAnsi="Times New Roman" w:cs="Times New Roman"/>
          <w:sz w:val="24"/>
          <w:szCs w:val="24"/>
        </w:rPr>
        <w:t xml:space="preserve">. </w:t>
      </w:r>
      <w:r w:rsidR="00263F51" w:rsidRPr="002C149E">
        <w:rPr>
          <w:rFonts w:ascii="Times New Roman" w:hAnsi="Times New Roman" w:cs="Times New Roman"/>
          <w:sz w:val="24"/>
          <w:szCs w:val="24"/>
        </w:rPr>
        <w:t>This identification is critical when</w:t>
      </w:r>
      <w:r w:rsidR="0021044B" w:rsidRPr="002C149E">
        <w:rPr>
          <w:rFonts w:ascii="Times New Roman" w:hAnsi="Times New Roman" w:cs="Times New Roman"/>
          <w:sz w:val="24"/>
          <w:szCs w:val="24"/>
        </w:rPr>
        <w:t xml:space="preserve"> seeking to improve outcomes for bereaved people and</w:t>
      </w:r>
      <w:r w:rsidR="00263F51" w:rsidRPr="002C149E">
        <w:rPr>
          <w:rFonts w:ascii="Times New Roman" w:hAnsi="Times New Roman" w:cs="Times New Roman"/>
          <w:sz w:val="24"/>
          <w:szCs w:val="24"/>
        </w:rPr>
        <w:t xml:space="preserve"> planning the efficient allocation of precious health resources</w:t>
      </w:r>
      <w:r w:rsidR="000F043C" w:rsidRPr="002C149E">
        <w:rPr>
          <w:rFonts w:ascii="Times New Roman" w:hAnsi="Times New Roman" w:cs="Times New Roman"/>
          <w:sz w:val="24"/>
          <w:szCs w:val="24"/>
        </w:rPr>
        <w:t xml:space="preserve"> (3-5</w:t>
      </w:r>
      <w:r w:rsidR="00CC7BCD" w:rsidRPr="002C149E">
        <w:rPr>
          <w:rFonts w:ascii="Times New Roman" w:hAnsi="Times New Roman" w:cs="Times New Roman"/>
          <w:sz w:val="24"/>
          <w:szCs w:val="24"/>
        </w:rPr>
        <w:t>)</w:t>
      </w:r>
      <w:r w:rsidR="00263F51" w:rsidRPr="002C149E">
        <w:rPr>
          <w:rFonts w:ascii="Times New Roman" w:hAnsi="Times New Roman" w:cs="Times New Roman"/>
          <w:sz w:val="24"/>
          <w:szCs w:val="24"/>
        </w:rPr>
        <w:t xml:space="preserve">. It is also critical if we hope to protect and support the informal caregivers who provide care to the sick and </w:t>
      </w:r>
      <w:r w:rsidR="0061754C" w:rsidRPr="002C149E">
        <w:rPr>
          <w:rFonts w:ascii="Times New Roman" w:hAnsi="Times New Roman" w:cs="Times New Roman"/>
          <w:sz w:val="24"/>
          <w:szCs w:val="24"/>
        </w:rPr>
        <w:t>dy</w:t>
      </w:r>
      <w:r w:rsidR="000F043C" w:rsidRPr="002C149E">
        <w:rPr>
          <w:rFonts w:ascii="Times New Roman" w:hAnsi="Times New Roman" w:cs="Times New Roman"/>
          <w:sz w:val="24"/>
          <w:szCs w:val="24"/>
        </w:rPr>
        <w:t>ing across our communities (1</w:t>
      </w:r>
      <w:proofErr w:type="gramStart"/>
      <w:r w:rsidR="000F043C" w:rsidRPr="002C149E">
        <w:rPr>
          <w:rFonts w:ascii="Times New Roman" w:hAnsi="Times New Roman" w:cs="Times New Roman"/>
          <w:sz w:val="24"/>
          <w:szCs w:val="24"/>
        </w:rPr>
        <w:t>,6</w:t>
      </w:r>
      <w:proofErr w:type="gramEnd"/>
      <w:r w:rsidR="000F043C" w:rsidRPr="002C149E">
        <w:rPr>
          <w:rFonts w:ascii="Times New Roman" w:hAnsi="Times New Roman" w:cs="Times New Roman"/>
          <w:sz w:val="24"/>
          <w:szCs w:val="24"/>
        </w:rPr>
        <w:t>-7</w:t>
      </w:r>
      <w:r w:rsidR="005E01FD" w:rsidRPr="002C149E">
        <w:rPr>
          <w:rFonts w:ascii="Times New Roman" w:hAnsi="Times New Roman" w:cs="Times New Roman"/>
          <w:sz w:val="24"/>
          <w:szCs w:val="24"/>
        </w:rPr>
        <w:t>)</w:t>
      </w:r>
      <w:r w:rsidR="00074DDA" w:rsidRPr="002C149E">
        <w:rPr>
          <w:rFonts w:ascii="Times New Roman" w:hAnsi="Times New Roman" w:cs="Times New Roman"/>
          <w:sz w:val="24"/>
          <w:szCs w:val="24"/>
        </w:rPr>
        <w:t>.</w:t>
      </w:r>
    </w:p>
    <w:p w:rsidR="00601E2E" w:rsidRPr="002C149E" w:rsidRDefault="008F3224" w:rsidP="00802DF8">
      <w:pPr>
        <w:jc w:val="both"/>
        <w:rPr>
          <w:rFonts w:ascii="Times New Roman" w:hAnsi="Times New Roman" w:cs="Times New Roman"/>
          <w:sz w:val="24"/>
          <w:szCs w:val="24"/>
        </w:rPr>
      </w:pPr>
      <w:r w:rsidRPr="002C149E">
        <w:rPr>
          <w:rFonts w:ascii="Times New Roman" w:hAnsi="Times New Roman" w:cs="Times New Roman"/>
          <w:sz w:val="24"/>
          <w:szCs w:val="24"/>
        </w:rPr>
        <w:t xml:space="preserve">An </w:t>
      </w:r>
      <w:r w:rsidR="005C092C" w:rsidRPr="002C149E">
        <w:rPr>
          <w:rFonts w:ascii="Times New Roman" w:hAnsi="Times New Roman" w:cs="Times New Roman"/>
          <w:sz w:val="24"/>
          <w:szCs w:val="24"/>
        </w:rPr>
        <w:t>increasing p</w:t>
      </w:r>
      <w:r w:rsidR="0035265E" w:rsidRPr="002C149E">
        <w:rPr>
          <w:rFonts w:ascii="Times New Roman" w:hAnsi="Times New Roman" w:cs="Times New Roman"/>
          <w:sz w:val="24"/>
          <w:szCs w:val="24"/>
        </w:rPr>
        <w:t>roportion of deaths in resource-</w:t>
      </w:r>
      <w:r w:rsidR="005C092C" w:rsidRPr="002C149E">
        <w:rPr>
          <w:rFonts w:ascii="Times New Roman" w:hAnsi="Times New Roman" w:cs="Times New Roman"/>
          <w:sz w:val="24"/>
          <w:szCs w:val="24"/>
        </w:rPr>
        <w:t>rich countries are preceded by a period of illness r</w:t>
      </w:r>
      <w:r w:rsidR="005E01FD" w:rsidRPr="002C149E">
        <w:rPr>
          <w:rFonts w:ascii="Times New Roman" w:hAnsi="Times New Roman" w:cs="Times New Roman"/>
          <w:sz w:val="24"/>
          <w:szCs w:val="24"/>
        </w:rPr>
        <w:t>equiring th</w:t>
      </w:r>
      <w:r w:rsidR="000F043C" w:rsidRPr="002C149E">
        <w:rPr>
          <w:rFonts w:ascii="Times New Roman" w:hAnsi="Times New Roman" w:cs="Times New Roman"/>
          <w:sz w:val="24"/>
          <w:szCs w:val="24"/>
        </w:rPr>
        <w:t>e provision of care (5</w:t>
      </w:r>
      <w:proofErr w:type="gramStart"/>
      <w:r w:rsidR="000F043C" w:rsidRPr="002C149E">
        <w:rPr>
          <w:rFonts w:ascii="Times New Roman" w:hAnsi="Times New Roman" w:cs="Times New Roman"/>
          <w:sz w:val="24"/>
          <w:szCs w:val="24"/>
        </w:rPr>
        <w:t>,8</w:t>
      </w:r>
      <w:proofErr w:type="gramEnd"/>
      <w:r w:rsidR="000F043C" w:rsidRPr="002C149E">
        <w:rPr>
          <w:rFonts w:ascii="Times New Roman" w:hAnsi="Times New Roman" w:cs="Times New Roman"/>
          <w:sz w:val="24"/>
          <w:szCs w:val="24"/>
        </w:rPr>
        <w:t>-9</w:t>
      </w:r>
      <w:r w:rsidR="005E01FD" w:rsidRPr="002C149E">
        <w:rPr>
          <w:rFonts w:ascii="Times New Roman" w:hAnsi="Times New Roman" w:cs="Times New Roman"/>
          <w:sz w:val="24"/>
          <w:szCs w:val="24"/>
        </w:rPr>
        <w:t>)</w:t>
      </w:r>
      <w:r w:rsidR="005C092C" w:rsidRPr="002C149E">
        <w:rPr>
          <w:rFonts w:ascii="Times New Roman" w:hAnsi="Times New Roman" w:cs="Times New Roman"/>
          <w:sz w:val="24"/>
          <w:szCs w:val="24"/>
        </w:rPr>
        <w:t xml:space="preserve">. It is informal caregivers who provide the </w:t>
      </w:r>
      <w:r w:rsidR="0001029A" w:rsidRPr="002C149E">
        <w:rPr>
          <w:rFonts w:ascii="Times New Roman" w:hAnsi="Times New Roman" w:cs="Times New Roman"/>
          <w:sz w:val="24"/>
          <w:szCs w:val="24"/>
        </w:rPr>
        <w:t xml:space="preserve">vast </w:t>
      </w:r>
      <w:r w:rsidR="0035265E" w:rsidRPr="002C149E">
        <w:rPr>
          <w:rFonts w:ascii="Times New Roman" w:hAnsi="Times New Roman" w:cs="Times New Roman"/>
          <w:sz w:val="24"/>
          <w:szCs w:val="24"/>
        </w:rPr>
        <w:t>majority of care for su</w:t>
      </w:r>
      <w:r w:rsidR="000F043C" w:rsidRPr="002C149E">
        <w:rPr>
          <w:rFonts w:ascii="Times New Roman" w:hAnsi="Times New Roman" w:cs="Times New Roman"/>
          <w:sz w:val="24"/>
          <w:szCs w:val="24"/>
        </w:rPr>
        <w:t>ch individuals (5</w:t>
      </w:r>
      <w:proofErr w:type="gramStart"/>
      <w:r w:rsidR="000F043C" w:rsidRPr="002C149E">
        <w:rPr>
          <w:rFonts w:ascii="Times New Roman" w:hAnsi="Times New Roman" w:cs="Times New Roman"/>
          <w:sz w:val="24"/>
          <w:szCs w:val="24"/>
        </w:rPr>
        <w:t>,8,10</w:t>
      </w:r>
      <w:proofErr w:type="gramEnd"/>
      <w:r w:rsidR="005E01FD" w:rsidRPr="002C149E">
        <w:rPr>
          <w:rFonts w:ascii="Times New Roman" w:hAnsi="Times New Roman" w:cs="Times New Roman"/>
          <w:sz w:val="24"/>
          <w:szCs w:val="24"/>
        </w:rPr>
        <w:t>)</w:t>
      </w:r>
      <w:r w:rsidR="005C092C" w:rsidRPr="002C149E">
        <w:rPr>
          <w:rFonts w:ascii="Times New Roman" w:hAnsi="Times New Roman" w:cs="Times New Roman"/>
          <w:sz w:val="24"/>
          <w:szCs w:val="24"/>
        </w:rPr>
        <w:t xml:space="preserve">. </w:t>
      </w:r>
      <w:r w:rsidR="003E7403" w:rsidRPr="002C149E">
        <w:rPr>
          <w:rFonts w:ascii="Times New Roman" w:hAnsi="Times New Roman" w:cs="Times New Roman"/>
          <w:sz w:val="24"/>
          <w:szCs w:val="24"/>
        </w:rPr>
        <w:t>The impact of this</w:t>
      </w:r>
      <w:r w:rsidR="005C092C" w:rsidRPr="002C149E">
        <w:rPr>
          <w:rFonts w:ascii="Times New Roman" w:hAnsi="Times New Roman" w:cs="Times New Roman"/>
          <w:sz w:val="24"/>
          <w:szCs w:val="24"/>
        </w:rPr>
        <w:t xml:space="preserve"> caregiving experience on the post-loss bereavemen</w:t>
      </w:r>
      <w:r w:rsidR="00C32662" w:rsidRPr="002C149E">
        <w:rPr>
          <w:rFonts w:ascii="Times New Roman" w:hAnsi="Times New Roman" w:cs="Times New Roman"/>
          <w:sz w:val="24"/>
          <w:szCs w:val="24"/>
        </w:rPr>
        <w:t>t period is the focus of grow</w:t>
      </w:r>
      <w:r w:rsidR="005C092C" w:rsidRPr="002C149E">
        <w:rPr>
          <w:rFonts w:ascii="Times New Roman" w:hAnsi="Times New Roman" w:cs="Times New Roman"/>
          <w:sz w:val="24"/>
          <w:szCs w:val="24"/>
        </w:rPr>
        <w:t>i</w:t>
      </w:r>
      <w:r w:rsidR="00C32662" w:rsidRPr="002C149E">
        <w:rPr>
          <w:rFonts w:ascii="Times New Roman" w:hAnsi="Times New Roman" w:cs="Times New Roman"/>
          <w:sz w:val="24"/>
          <w:szCs w:val="24"/>
        </w:rPr>
        <w:t>ng interest and research</w:t>
      </w:r>
      <w:r w:rsidR="000F043C" w:rsidRPr="002C149E">
        <w:rPr>
          <w:rFonts w:ascii="Times New Roman" w:hAnsi="Times New Roman" w:cs="Times New Roman"/>
          <w:sz w:val="24"/>
          <w:szCs w:val="24"/>
        </w:rPr>
        <w:t xml:space="preserve"> (3</w:t>
      </w:r>
      <w:proofErr w:type="gramStart"/>
      <w:r w:rsidR="000F043C" w:rsidRPr="002C149E">
        <w:rPr>
          <w:rFonts w:ascii="Times New Roman" w:hAnsi="Times New Roman" w:cs="Times New Roman"/>
          <w:sz w:val="24"/>
          <w:szCs w:val="24"/>
        </w:rPr>
        <w:t>,8</w:t>
      </w:r>
      <w:proofErr w:type="gramEnd"/>
      <w:r w:rsidR="000F043C" w:rsidRPr="002C149E">
        <w:rPr>
          <w:rFonts w:ascii="Times New Roman" w:hAnsi="Times New Roman" w:cs="Times New Roman"/>
          <w:sz w:val="24"/>
          <w:szCs w:val="24"/>
        </w:rPr>
        <w:t>-11</w:t>
      </w:r>
      <w:r w:rsidR="005E01FD" w:rsidRPr="002C149E">
        <w:rPr>
          <w:rFonts w:ascii="Times New Roman" w:hAnsi="Times New Roman" w:cs="Times New Roman"/>
          <w:sz w:val="24"/>
          <w:szCs w:val="24"/>
        </w:rPr>
        <w:t>)</w:t>
      </w:r>
      <w:r w:rsidR="00C32662" w:rsidRPr="002C149E">
        <w:rPr>
          <w:rFonts w:ascii="Times New Roman" w:hAnsi="Times New Roman" w:cs="Times New Roman"/>
          <w:sz w:val="24"/>
          <w:szCs w:val="24"/>
        </w:rPr>
        <w:t>. A</w:t>
      </w:r>
      <w:r w:rsidR="003E7403" w:rsidRPr="002C149E">
        <w:rPr>
          <w:rFonts w:ascii="Times New Roman" w:hAnsi="Times New Roman" w:cs="Times New Roman"/>
          <w:sz w:val="24"/>
          <w:szCs w:val="24"/>
        </w:rPr>
        <w:t>n</w:t>
      </w:r>
      <w:r w:rsidR="00C32662" w:rsidRPr="002C149E">
        <w:rPr>
          <w:rFonts w:ascii="Times New Roman" w:hAnsi="Times New Roman" w:cs="Times New Roman"/>
          <w:sz w:val="24"/>
          <w:szCs w:val="24"/>
        </w:rPr>
        <w:t xml:space="preserve"> emerg</w:t>
      </w:r>
      <w:r w:rsidR="005C092C" w:rsidRPr="002C149E">
        <w:rPr>
          <w:rFonts w:ascii="Times New Roman" w:hAnsi="Times New Roman" w:cs="Times New Roman"/>
          <w:sz w:val="24"/>
          <w:szCs w:val="24"/>
        </w:rPr>
        <w:t>ing body of evidence confirms the importance of wide-ranging factors in mediating caregivers’ bereavement outcomes including ca</w:t>
      </w:r>
      <w:r w:rsidR="007352A6" w:rsidRPr="002C149E">
        <w:rPr>
          <w:rFonts w:ascii="Times New Roman" w:hAnsi="Times New Roman" w:cs="Times New Roman"/>
          <w:sz w:val="24"/>
          <w:szCs w:val="24"/>
        </w:rPr>
        <w:t>regiver and patient factors</w:t>
      </w:r>
      <w:r w:rsidR="005C092C" w:rsidRPr="002C149E">
        <w:rPr>
          <w:rFonts w:ascii="Times New Roman" w:hAnsi="Times New Roman" w:cs="Times New Roman"/>
          <w:sz w:val="24"/>
          <w:szCs w:val="24"/>
        </w:rPr>
        <w:t xml:space="preserve">, the caregiver-patient relationship and the availability of </w:t>
      </w:r>
      <w:r w:rsidR="00B404F3" w:rsidRPr="002C149E">
        <w:rPr>
          <w:rFonts w:ascii="Times New Roman" w:hAnsi="Times New Roman" w:cs="Times New Roman"/>
          <w:sz w:val="24"/>
          <w:szCs w:val="24"/>
        </w:rPr>
        <w:t>formal and informal supports</w:t>
      </w:r>
      <w:r w:rsidR="0021044B" w:rsidRPr="002C149E">
        <w:rPr>
          <w:rFonts w:ascii="Times New Roman" w:hAnsi="Times New Roman" w:cs="Times New Roman"/>
          <w:sz w:val="24"/>
          <w:szCs w:val="24"/>
        </w:rPr>
        <w:t xml:space="preserve"> while providing care and subsequently</w:t>
      </w:r>
      <w:r w:rsidR="005E01FD" w:rsidRPr="002C149E">
        <w:rPr>
          <w:rFonts w:ascii="Times New Roman" w:hAnsi="Times New Roman" w:cs="Times New Roman"/>
          <w:sz w:val="24"/>
          <w:szCs w:val="24"/>
        </w:rPr>
        <w:t xml:space="preserve"> (</w:t>
      </w:r>
      <w:r w:rsidR="000F043C" w:rsidRPr="002C149E">
        <w:rPr>
          <w:rFonts w:ascii="Times New Roman" w:hAnsi="Times New Roman" w:cs="Times New Roman"/>
          <w:sz w:val="24"/>
          <w:szCs w:val="24"/>
        </w:rPr>
        <w:t>4</w:t>
      </w:r>
      <w:proofErr w:type="gramStart"/>
      <w:r w:rsidR="000F043C" w:rsidRPr="002C149E">
        <w:rPr>
          <w:rFonts w:ascii="Times New Roman" w:hAnsi="Times New Roman" w:cs="Times New Roman"/>
          <w:sz w:val="24"/>
          <w:szCs w:val="24"/>
        </w:rPr>
        <w:t>,12</w:t>
      </w:r>
      <w:proofErr w:type="gramEnd"/>
      <w:r w:rsidR="000F043C" w:rsidRPr="002C149E">
        <w:rPr>
          <w:rFonts w:ascii="Times New Roman" w:hAnsi="Times New Roman" w:cs="Times New Roman"/>
          <w:sz w:val="24"/>
          <w:szCs w:val="24"/>
        </w:rPr>
        <w:t>-22</w:t>
      </w:r>
      <w:r w:rsidR="0035265E" w:rsidRPr="002C149E">
        <w:rPr>
          <w:rFonts w:ascii="Times New Roman" w:hAnsi="Times New Roman" w:cs="Times New Roman"/>
          <w:sz w:val="24"/>
          <w:szCs w:val="24"/>
        </w:rPr>
        <w:t>)</w:t>
      </w:r>
      <w:r w:rsidR="005C092C" w:rsidRPr="002C149E">
        <w:rPr>
          <w:rFonts w:ascii="Times New Roman" w:hAnsi="Times New Roman" w:cs="Times New Roman"/>
          <w:sz w:val="24"/>
          <w:szCs w:val="24"/>
        </w:rPr>
        <w:t>. More recently, a</w:t>
      </w:r>
      <w:r w:rsidR="00B404F3" w:rsidRPr="002C149E">
        <w:rPr>
          <w:rFonts w:ascii="Times New Roman" w:hAnsi="Times New Roman" w:cs="Times New Roman"/>
          <w:sz w:val="24"/>
          <w:szCs w:val="24"/>
        </w:rPr>
        <w:t>ssociations</w:t>
      </w:r>
      <w:r w:rsidR="005C092C" w:rsidRPr="002C149E">
        <w:rPr>
          <w:rFonts w:ascii="Times New Roman" w:hAnsi="Times New Roman" w:cs="Times New Roman"/>
          <w:sz w:val="24"/>
          <w:szCs w:val="24"/>
        </w:rPr>
        <w:t xml:space="preserve"> have been demonstrated between caregiver bereavement outcomes and end</w:t>
      </w:r>
      <w:r w:rsidR="006932F6" w:rsidRPr="002C149E">
        <w:rPr>
          <w:rFonts w:ascii="Times New Roman" w:hAnsi="Times New Roman" w:cs="Times New Roman"/>
          <w:sz w:val="24"/>
          <w:szCs w:val="24"/>
        </w:rPr>
        <w:t>-</w:t>
      </w:r>
      <w:r w:rsidR="005C092C" w:rsidRPr="002C149E">
        <w:rPr>
          <w:rFonts w:ascii="Times New Roman" w:hAnsi="Times New Roman" w:cs="Times New Roman"/>
          <w:sz w:val="24"/>
          <w:szCs w:val="24"/>
        </w:rPr>
        <w:t>of</w:t>
      </w:r>
      <w:r w:rsidR="006932F6" w:rsidRPr="002C149E">
        <w:rPr>
          <w:rFonts w:ascii="Times New Roman" w:hAnsi="Times New Roman" w:cs="Times New Roman"/>
          <w:sz w:val="24"/>
          <w:szCs w:val="24"/>
        </w:rPr>
        <w:t>-</w:t>
      </w:r>
      <w:r w:rsidR="005C092C" w:rsidRPr="002C149E">
        <w:rPr>
          <w:rFonts w:ascii="Times New Roman" w:hAnsi="Times New Roman" w:cs="Times New Roman"/>
          <w:sz w:val="24"/>
          <w:szCs w:val="24"/>
        </w:rPr>
        <w:t>life patient care, patient care</w:t>
      </w:r>
      <w:r w:rsidR="00052B72" w:rsidRPr="002C149E">
        <w:rPr>
          <w:rFonts w:ascii="Times New Roman" w:hAnsi="Times New Roman" w:cs="Times New Roman"/>
          <w:sz w:val="24"/>
          <w:szCs w:val="24"/>
        </w:rPr>
        <w:t>-</w:t>
      </w:r>
      <w:r w:rsidR="005C092C" w:rsidRPr="002C149E">
        <w:rPr>
          <w:rFonts w:ascii="Times New Roman" w:hAnsi="Times New Roman" w:cs="Times New Roman"/>
          <w:sz w:val="24"/>
          <w:szCs w:val="24"/>
        </w:rPr>
        <w:t>planni</w:t>
      </w:r>
      <w:r w:rsidR="0035265E" w:rsidRPr="002C149E">
        <w:rPr>
          <w:rFonts w:ascii="Times New Roman" w:hAnsi="Times New Roman" w:cs="Times New Roman"/>
          <w:sz w:val="24"/>
          <w:szCs w:val="24"/>
        </w:rPr>
        <w:t>ng and patient quality-of-</w:t>
      </w:r>
      <w:r w:rsidR="005E01FD" w:rsidRPr="002C149E">
        <w:rPr>
          <w:rFonts w:ascii="Times New Roman" w:hAnsi="Times New Roman" w:cs="Times New Roman"/>
          <w:sz w:val="24"/>
          <w:szCs w:val="24"/>
        </w:rPr>
        <w:t>life (</w:t>
      </w:r>
      <w:r w:rsidR="009947C2" w:rsidRPr="002C149E">
        <w:rPr>
          <w:rFonts w:ascii="Times New Roman" w:hAnsi="Times New Roman" w:cs="Times New Roman"/>
          <w:sz w:val="24"/>
          <w:szCs w:val="24"/>
        </w:rPr>
        <w:t>23-26).</w:t>
      </w:r>
      <w:r w:rsidR="0067437A">
        <w:rPr>
          <w:rFonts w:ascii="Times New Roman" w:hAnsi="Times New Roman" w:cs="Times New Roman"/>
          <w:sz w:val="24"/>
          <w:szCs w:val="24"/>
        </w:rPr>
        <w:t xml:space="preserve"> </w:t>
      </w:r>
      <w:r w:rsidR="00CF2760" w:rsidRPr="002C149E">
        <w:rPr>
          <w:rFonts w:ascii="Times New Roman" w:hAnsi="Times New Roman" w:cs="Times New Roman"/>
          <w:sz w:val="24"/>
          <w:szCs w:val="24"/>
        </w:rPr>
        <w:t>Nonetheless</w:t>
      </w:r>
      <w:r w:rsidR="005C092C" w:rsidRPr="002C149E">
        <w:rPr>
          <w:rFonts w:ascii="Times New Roman" w:hAnsi="Times New Roman" w:cs="Times New Roman"/>
          <w:sz w:val="24"/>
          <w:szCs w:val="24"/>
        </w:rPr>
        <w:t>, much</w:t>
      </w:r>
      <w:r w:rsidR="0021044B" w:rsidRPr="002C149E">
        <w:rPr>
          <w:rFonts w:ascii="Times New Roman" w:hAnsi="Times New Roman" w:cs="Times New Roman"/>
          <w:sz w:val="24"/>
          <w:szCs w:val="24"/>
        </w:rPr>
        <w:t xml:space="preserve"> about bereavement after an “expected” death</w:t>
      </w:r>
      <w:r w:rsidR="005C092C" w:rsidRPr="002C149E">
        <w:rPr>
          <w:rFonts w:ascii="Times New Roman" w:hAnsi="Times New Roman" w:cs="Times New Roman"/>
          <w:sz w:val="24"/>
          <w:szCs w:val="24"/>
        </w:rPr>
        <w:t xml:space="preserve"> rema</w:t>
      </w:r>
      <w:r w:rsidR="005E01FD" w:rsidRPr="002C149E">
        <w:rPr>
          <w:rFonts w:ascii="Times New Roman" w:hAnsi="Times New Roman" w:cs="Times New Roman"/>
          <w:sz w:val="24"/>
          <w:szCs w:val="24"/>
        </w:rPr>
        <w:t>ins unexplai</w:t>
      </w:r>
      <w:r w:rsidR="009947C2" w:rsidRPr="002C149E">
        <w:rPr>
          <w:rFonts w:ascii="Times New Roman" w:hAnsi="Times New Roman" w:cs="Times New Roman"/>
          <w:sz w:val="24"/>
          <w:szCs w:val="24"/>
        </w:rPr>
        <w:t>ned and unmeasured (3</w:t>
      </w:r>
      <w:proofErr w:type="gramStart"/>
      <w:r w:rsidR="009947C2" w:rsidRPr="002C149E">
        <w:rPr>
          <w:rFonts w:ascii="Times New Roman" w:hAnsi="Times New Roman" w:cs="Times New Roman"/>
          <w:sz w:val="24"/>
          <w:szCs w:val="24"/>
        </w:rPr>
        <w:t>,27</w:t>
      </w:r>
      <w:proofErr w:type="gramEnd"/>
      <w:r w:rsidR="009947C2" w:rsidRPr="002C149E">
        <w:rPr>
          <w:rFonts w:ascii="Times New Roman" w:hAnsi="Times New Roman" w:cs="Times New Roman"/>
          <w:sz w:val="24"/>
          <w:szCs w:val="24"/>
        </w:rPr>
        <w:t>-28</w:t>
      </w:r>
      <w:r w:rsidR="005E01FD" w:rsidRPr="002C149E">
        <w:rPr>
          <w:rFonts w:ascii="Times New Roman" w:hAnsi="Times New Roman" w:cs="Times New Roman"/>
          <w:sz w:val="24"/>
          <w:szCs w:val="24"/>
        </w:rPr>
        <w:t>)</w:t>
      </w:r>
      <w:r w:rsidR="005C092C" w:rsidRPr="002C149E">
        <w:rPr>
          <w:rFonts w:ascii="Times New Roman" w:hAnsi="Times New Roman" w:cs="Times New Roman"/>
          <w:sz w:val="24"/>
          <w:szCs w:val="24"/>
        </w:rPr>
        <w:t>.</w:t>
      </w:r>
    </w:p>
    <w:p w:rsidR="00F60B51" w:rsidRPr="002C149E" w:rsidRDefault="00052B72" w:rsidP="00802DF8">
      <w:pPr>
        <w:jc w:val="both"/>
        <w:rPr>
          <w:rFonts w:ascii="Times New Roman" w:hAnsi="Times New Roman" w:cs="Times New Roman"/>
          <w:sz w:val="24"/>
          <w:szCs w:val="24"/>
        </w:rPr>
      </w:pPr>
      <w:r w:rsidRPr="002C149E">
        <w:rPr>
          <w:rFonts w:ascii="Times New Roman" w:hAnsi="Times New Roman" w:cs="Times New Roman"/>
          <w:sz w:val="24"/>
          <w:szCs w:val="24"/>
        </w:rPr>
        <w:t>In paral</w:t>
      </w:r>
      <w:r w:rsidR="008B13DB">
        <w:rPr>
          <w:rFonts w:ascii="Times New Roman" w:hAnsi="Times New Roman" w:cs="Times New Roman"/>
          <w:sz w:val="24"/>
          <w:szCs w:val="24"/>
        </w:rPr>
        <w:t>lel</w:t>
      </w:r>
      <w:r w:rsidR="00DA139D" w:rsidRPr="002C149E">
        <w:rPr>
          <w:rFonts w:ascii="Times New Roman" w:hAnsi="Times New Roman" w:cs="Times New Roman"/>
          <w:sz w:val="24"/>
          <w:szCs w:val="24"/>
        </w:rPr>
        <w:t xml:space="preserve">, </w:t>
      </w:r>
      <w:r w:rsidR="00707617" w:rsidRPr="002C149E">
        <w:rPr>
          <w:rFonts w:ascii="Times New Roman" w:hAnsi="Times New Roman" w:cs="Times New Roman"/>
          <w:sz w:val="24"/>
          <w:szCs w:val="24"/>
        </w:rPr>
        <w:t xml:space="preserve">there has been significant </w:t>
      </w:r>
      <w:r w:rsidR="00492FAB" w:rsidRPr="002C149E">
        <w:rPr>
          <w:rFonts w:ascii="Times New Roman" w:hAnsi="Times New Roman" w:cs="Times New Roman"/>
          <w:sz w:val="24"/>
          <w:szCs w:val="24"/>
        </w:rPr>
        <w:t xml:space="preserve">recent </w:t>
      </w:r>
      <w:r w:rsidR="00707617" w:rsidRPr="002C149E">
        <w:rPr>
          <w:rFonts w:ascii="Times New Roman" w:hAnsi="Times New Roman" w:cs="Times New Roman"/>
          <w:sz w:val="24"/>
          <w:szCs w:val="24"/>
        </w:rPr>
        <w:t>progress in our understanding of abnormal patterns of adjustment to grief. There is now broad consensus that, for a minority of individual</w:t>
      </w:r>
      <w:r w:rsidR="009B2FDF" w:rsidRPr="002C149E">
        <w:rPr>
          <w:rFonts w:ascii="Times New Roman" w:hAnsi="Times New Roman" w:cs="Times New Roman"/>
          <w:sz w:val="24"/>
          <w:szCs w:val="24"/>
        </w:rPr>
        <w:t>s, grief follows an unusually</w:t>
      </w:r>
      <w:r w:rsidR="00707617" w:rsidRPr="002C149E">
        <w:rPr>
          <w:rFonts w:ascii="Times New Roman" w:hAnsi="Times New Roman" w:cs="Times New Roman"/>
          <w:sz w:val="24"/>
          <w:szCs w:val="24"/>
        </w:rPr>
        <w:t xml:space="preserve"> prolonged course and is associated with significant m</w:t>
      </w:r>
      <w:r w:rsidR="008676C8" w:rsidRPr="002C149E">
        <w:rPr>
          <w:rFonts w:ascii="Times New Roman" w:hAnsi="Times New Roman" w:cs="Times New Roman"/>
          <w:sz w:val="24"/>
          <w:szCs w:val="24"/>
        </w:rPr>
        <w:t>orbidity and mortality</w:t>
      </w:r>
      <w:r w:rsidR="0035265E" w:rsidRPr="002C149E">
        <w:rPr>
          <w:rFonts w:ascii="Times New Roman" w:hAnsi="Times New Roman" w:cs="Times New Roman"/>
          <w:sz w:val="24"/>
          <w:szCs w:val="24"/>
        </w:rPr>
        <w:t xml:space="preserve"> (</w:t>
      </w:r>
      <w:r w:rsidR="009947C2" w:rsidRPr="002C149E">
        <w:rPr>
          <w:rFonts w:ascii="Times New Roman" w:hAnsi="Times New Roman" w:cs="Times New Roman"/>
          <w:sz w:val="24"/>
          <w:szCs w:val="24"/>
        </w:rPr>
        <w:t>29-35</w:t>
      </w:r>
      <w:r w:rsidR="005E01FD" w:rsidRPr="002C149E">
        <w:rPr>
          <w:rFonts w:ascii="Times New Roman" w:hAnsi="Times New Roman" w:cs="Times New Roman"/>
          <w:sz w:val="24"/>
          <w:szCs w:val="24"/>
        </w:rPr>
        <w:t>)</w:t>
      </w:r>
      <w:r w:rsidR="00707617" w:rsidRPr="002C149E">
        <w:rPr>
          <w:rFonts w:ascii="Times New Roman" w:hAnsi="Times New Roman" w:cs="Times New Roman"/>
          <w:sz w:val="24"/>
          <w:szCs w:val="24"/>
        </w:rPr>
        <w:t xml:space="preserve">. </w:t>
      </w:r>
      <w:r w:rsidR="00E25B81" w:rsidRPr="002C149E">
        <w:rPr>
          <w:rFonts w:ascii="Times New Roman" w:hAnsi="Times New Roman" w:cs="Times New Roman"/>
          <w:sz w:val="24"/>
          <w:szCs w:val="24"/>
        </w:rPr>
        <w:t xml:space="preserve">The new diagnosis of </w:t>
      </w:r>
      <w:r w:rsidR="00F9055D">
        <w:rPr>
          <w:rFonts w:ascii="Times New Roman" w:hAnsi="Times New Roman" w:cs="Times New Roman"/>
          <w:sz w:val="24"/>
          <w:szCs w:val="24"/>
        </w:rPr>
        <w:t>Prolonged Grief Disorder (</w:t>
      </w:r>
      <w:r w:rsidR="005D1EF8" w:rsidRPr="002C149E">
        <w:rPr>
          <w:rFonts w:ascii="Times New Roman" w:hAnsi="Times New Roman" w:cs="Times New Roman"/>
          <w:sz w:val="24"/>
          <w:szCs w:val="24"/>
        </w:rPr>
        <w:t>PGD</w:t>
      </w:r>
      <w:r w:rsidR="00F9055D">
        <w:rPr>
          <w:rFonts w:ascii="Times New Roman" w:hAnsi="Times New Roman" w:cs="Times New Roman"/>
          <w:sz w:val="24"/>
          <w:szCs w:val="24"/>
        </w:rPr>
        <w:t>)</w:t>
      </w:r>
      <w:r w:rsidR="005D1EF8" w:rsidRPr="002C149E">
        <w:rPr>
          <w:rFonts w:ascii="Times New Roman" w:hAnsi="Times New Roman" w:cs="Times New Roman"/>
          <w:sz w:val="24"/>
          <w:szCs w:val="24"/>
        </w:rPr>
        <w:t xml:space="preserve"> </w:t>
      </w:r>
      <w:r w:rsidR="00E25B81" w:rsidRPr="002C149E">
        <w:rPr>
          <w:rFonts w:ascii="Times New Roman" w:hAnsi="Times New Roman" w:cs="Times New Roman"/>
          <w:sz w:val="24"/>
          <w:szCs w:val="24"/>
        </w:rPr>
        <w:t>has been proposed to describe this</w:t>
      </w:r>
      <w:r w:rsidR="00B66B94" w:rsidRPr="002C149E">
        <w:rPr>
          <w:rFonts w:ascii="Times New Roman" w:hAnsi="Times New Roman" w:cs="Times New Roman"/>
          <w:sz w:val="24"/>
          <w:szCs w:val="24"/>
        </w:rPr>
        <w:t xml:space="preserve"> distinct</w:t>
      </w:r>
      <w:r w:rsidRPr="002C149E">
        <w:rPr>
          <w:rFonts w:ascii="Times New Roman" w:hAnsi="Times New Roman" w:cs="Times New Roman"/>
          <w:sz w:val="24"/>
          <w:szCs w:val="24"/>
        </w:rPr>
        <w:t>,</w:t>
      </w:r>
      <w:r w:rsidR="009C191D">
        <w:rPr>
          <w:rFonts w:ascii="Times New Roman" w:hAnsi="Times New Roman" w:cs="Times New Roman"/>
          <w:sz w:val="24"/>
          <w:szCs w:val="24"/>
        </w:rPr>
        <w:t xml:space="preserve"> </w:t>
      </w:r>
      <w:r w:rsidR="00E25B81" w:rsidRPr="002C149E">
        <w:rPr>
          <w:rFonts w:ascii="Times New Roman" w:hAnsi="Times New Roman" w:cs="Times New Roman"/>
          <w:sz w:val="24"/>
          <w:szCs w:val="24"/>
        </w:rPr>
        <w:t>disabling response to grief</w:t>
      </w:r>
      <w:r w:rsidR="00B66B94" w:rsidRPr="002C149E">
        <w:rPr>
          <w:rFonts w:ascii="Times New Roman" w:hAnsi="Times New Roman" w:cs="Times New Roman"/>
          <w:sz w:val="24"/>
          <w:szCs w:val="24"/>
        </w:rPr>
        <w:t xml:space="preserve"> and is likely to</w:t>
      </w:r>
      <w:r w:rsidR="005D1EF8" w:rsidRPr="002C149E">
        <w:rPr>
          <w:rFonts w:ascii="Times New Roman" w:hAnsi="Times New Roman" w:cs="Times New Roman"/>
          <w:sz w:val="24"/>
          <w:szCs w:val="24"/>
        </w:rPr>
        <w:t xml:space="preserve"> be</w:t>
      </w:r>
      <w:r w:rsidR="00B66B94" w:rsidRPr="002C149E">
        <w:rPr>
          <w:rFonts w:ascii="Times New Roman" w:hAnsi="Times New Roman" w:cs="Times New Roman"/>
          <w:sz w:val="24"/>
          <w:szCs w:val="24"/>
        </w:rPr>
        <w:t xml:space="preserve"> include</w:t>
      </w:r>
      <w:r w:rsidR="005D1EF8" w:rsidRPr="002C149E">
        <w:rPr>
          <w:rFonts w:ascii="Times New Roman" w:hAnsi="Times New Roman" w:cs="Times New Roman"/>
          <w:sz w:val="24"/>
          <w:szCs w:val="24"/>
        </w:rPr>
        <w:t>d</w:t>
      </w:r>
      <w:r w:rsidR="00B66B94" w:rsidRPr="002C149E">
        <w:rPr>
          <w:rFonts w:ascii="Times New Roman" w:hAnsi="Times New Roman" w:cs="Times New Roman"/>
          <w:sz w:val="24"/>
          <w:szCs w:val="24"/>
        </w:rPr>
        <w:t xml:space="preserve"> </w:t>
      </w:r>
      <w:r w:rsidR="005D1EF8" w:rsidRPr="002C149E">
        <w:rPr>
          <w:rFonts w:ascii="Times New Roman" w:hAnsi="Times New Roman" w:cs="Times New Roman"/>
          <w:sz w:val="24"/>
          <w:szCs w:val="24"/>
        </w:rPr>
        <w:t>in the upcoming ICD 11</w:t>
      </w:r>
      <w:r w:rsidR="005A3436">
        <w:rPr>
          <w:rFonts w:ascii="Times New Roman" w:hAnsi="Times New Roman" w:cs="Times New Roman"/>
          <w:sz w:val="24"/>
          <w:szCs w:val="24"/>
        </w:rPr>
        <w:t xml:space="preserve"> </w:t>
      </w:r>
      <w:r w:rsidR="009947C2" w:rsidRPr="002C149E">
        <w:rPr>
          <w:rFonts w:ascii="Times New Roman" w:hAnsi="Times New Roman" w:cs="Times New Roman"/>
          <w:sz w:val="24"/>
          <w:szCs w:val="24"/>
        </w:rPr>
        <w:t>(30</w:t>
      </w:r>
      <w:proofErr w:type="gramStart"/>
      <w:r w:rsidR="009947C2" w:rsidRPr="002C149E">
        <w:rPr>
          <w:rFonts w:ascii="Times New Roman" w:hAnsi="Times New Roman" w:cs="Times New Roman"/>
          <w:sz w:val="24"/>
          <w:szCs w:val="24"/>
        </w:rPr>
        <w:t>,34</w:t>
      </w:r>
      <w:proofErr w:type="gramEnd"/>
      <w:r w:rsidR="009947C2" w:rsidRPr="002C149E">
        <w:rPr>
          <w:rFonts w:ascii="Times New Roman" w:hAnsi="Times New Roman" w:cs="Times New Roman"/>
          <w:sz w:val="24"/>
          <w:szCs w:val="24"/>
        </w:rPr>
        <w:t>-35</w:t>
      </w:r>
      <w:r w:rsidR="005E01FD" w:rsidRPr="002C149E">
        <w:rPr>
          <w:rFonts w:ascii="Times New Roman" w:hAnsi="Times New Roman" w:cs="Times New Roman"/>
          <w:sz w:val="24"/>
          <w:szCs w:val="24"/>
        </w:rPr>
        <w:t>)</w:t>
      </w:r>
      <w:r w:rsidR="006638F9" w:rsidRPr="002C149E">
        <w:rPr>
          <w:rFonts w:ascii="Times New Roman" w:hAnsi="Times New Roman" w:cs="Times New Roman"/>
          <w:sz w:val="24"/>
          <w:szCs w:val="24"/>
        </w:rPr>
        <w:t>. Targeted</w:t>
      </w:r>
      <w:r w:rsidR="00707617" w:rsidRPr="002C149E">
        <w:rPr>
          <w:rFonts w:ascii="Times New Roman" w:hAnsi="Times New Roman" w:cs="Times New Roman"/>
          <w:sz w:val="24"/>
          <w:szCs w:val="24"/>
        </w:rPr>
        <w:t xml:space="preserve"> therapies have </w:t>
      </w:r>
      <w:r w:rsidR="00C34D4C" w:rsidRPr="002C149E">
        <w:rPr>
          <w:rFonts w:ascii="Times New Roman" w:hAnsi="Times New Roman" w:cs="Times New Roman"/>
          <w:sz w:val="24"/>
          <w:szCs w:val="24"/>
        </w:rPr>
        <w:t>demonstrated</w:t>
      </w:r>
      <w:r w:rsidR="00707617" w:rsidRPr="002C149E">
        <w:rPr>
          <w:rFonts w:ascii="Times New Roman" w:hAnsi="Times New Roman" w:cs="Times New Roman"/>
          <w:sz w:val="24"/>
          <w:szCs w:val="24"/>
        </w:rPr>
        <w:t xml:space="preserve"> effective</w:t>
      </w:r>
      <w:r w:rsidR="00C34D4C" w:rsidRPr="002C149E">
        <w:rPr>
          <w:rFonts w:ascii="Times New Roman" w:hAnsi="Times New Roman" w:cs="Times New Roman"/>
          <w:sz w:val="24"/>
          <w:szCs w:val="24"/>
        </w:rPr>
        <w:t>ness</w:t>
      </w:r>
      <w:r w:rsidR="00707617" w:rsidRPr="002C149E">
        <w:rPr>
          <w:rFonts w:ascii="Times New Roman" w:hAnsi="Times New Roman" w:cs="Times New Roman"/>
          <w:sz w:val="24"/>
          <w:szCs w:val="24"/>
        </w:rPr>
        <w:t xml:space="preserve"> in this group at reducing suffering across a range of measures, highlight</w:t>
      </w:r>
      <w:r w:rsidR="00492FAB" w:rsidRPr="002C149E">
        <w:rPr>
          <w:rFonts w:ascii="Times New Roman" w:hAnsi="Times New Roman" w:cs="Times New Roman"/>
          <w:sz w:val="24"/>
          <w:szCs w:val="24"/>
        </w:rPr>
        <w:t xml:space="preserve">ing that meaningful intervention </w:t>
      </w:r>
      <w:r w:rsidR="00212AEF" w:rsidRPr="002C149E">
        <w:rPr>
          <w:rFonts w:ascii="Times New Roman" w:hAnsi="Times New Roman" w:cs="Times New Roman"/>
          <w:sz w:val="24"/>
          <w:szCs w:val="24"/>
        </w:rPr>
        <w:t>in</w:t>
      </w:r>
      <w:r w:rsidR="00B404F3" w:rsidRPr="002C149E">
        <w:rPr>
          <w:rFonts w:ascii="Times New Roman" w:hAnsi="Times New Roman" w:cs="Times New Roman"/>
          <w:sz w:val="24"/>
          <w:szCs w:val="24"/>
        </w:rPr>
        <w:t xml:space="preserve"> PGD </w:t>
      </w:r>
      <w:r w:rsidR="00492FAB" w:rsidRPr="002C149E">
        <w:rPr>
          <w:rFonts w:ascii="Times New Roman" w:hAnsi="Times New Roman" w:cs="Times New Roman"/>
          <w:sz w:val="24"/>
          <w:szCs w:val="24"/>
        </w:rPr>
        <w:t>is</w:t>
      </w:r>
      <w:r w:rsidR="00707617" w:rsidRPr="002C149E">
        <w:rPr>
          <w:rFonts w:ascii="Times New Roman" w:hAnsi="Times New Roman" w:cs="Times New Roman"/>
          <w:sz w:val="24"/>
          <w:szCs w:val="24"/>
        </w:rPr>
        <w:t xml:space="preserve"> possible</w:t>
      </w:r>
      <w:r w:rsidR="009947C2" w:rsidRPr="002C149E">
        <w:rPr>
          <w:rFonts w:ascii="Times New Roman" w:hAnsi="Times New Roman" w:cs="Times New Roman"/>
          <w:sz w:val="24"/>
          <w:szCs w:val="24"/>
        </w:rPr>
        <w:t xml:space="preserve"> (4</w:t>
      </w:r>
      <w:proofErr w:type="gramStart"/>
      <w:r w:rsidR="009947C2" w:rsidRPr="002C149E">
        <w:rPr>
          <w:rFonts w:ascii="Times New Roman" w:hAnsi="Times New Roman" w:cs="Times New Roman"/>
          <w:sz w:val="24"/>
          <w:szCs w:val="24"/>
        </w:rPr>
        <w:t>,31,36</w:t>
      </w:r>
      <w:proofErr w:type="gramEnd"/>
      <w:r w:rsidR="009947C2" w:rsidRPr="002C149E">
        <w:rPr>
          <w:rFonts w:ascii="Times New Roman" w:hAnsi="Times New Roman" w:cs="Times New Roman"/>
          <w:sz w:val="24"/>
          <w:szCs w:val="24"/>
        </w:rPr>
        <w:t>-41</w:t>
      </w:r>
      <w:r w:rsidR="005E01FD" w:rsidRPr="002C149E">
        <w:rPr>
          <w:rFonts w:ascii="Times New Roman" w:hAnsi="Times New Roman" w:cs="Times New Roman"/>
          <w:sz w:val="24"/>
          <w:szCs w:val="24"/>
        </w:rPr>
        <w:t>)</w:t>
      </w:r>
      <w:r w:rsidR="00B404F3" w:rsidRPr="002C149E">
        <w:rPr>
          <w:rFonts w:ascii="Times New Roman" w:hAnsi="Times New Roman" w:cs="Times New Roman"/>
          <w:sz w:val="24"/>
          <w:szCs w:val="24"/>
        </w:rPr>
        <w:t>.</w:t>
      </w:r>
    </w:p>
    <w:p w:rsidR="0002096A" w:rsidRPr="002C149E" w:rsidRDefault="007166EB" w:rsidP="00802DF8">
      <w:pPr>
        <w:jc w:val="both"/>
        <w:rPr>
          <w:rFonts w:ascii="Times New Roman" w:hAnsi="Times New Roman" w:cs="Times New Roman"/>
          <w:sz w:val="24"/>
          <w:szCs w:val="24"/>
        </w:rPr>
      </w:pPr>
      <w:r w:rsidRPr="002C149E">
        <w:rPr>
          <w:rFonts w:ascii="Times New Roman" w:hAnsi="Times New Roman" w:cs="Times New Roman"/>
          <w:sz w:val="24"/>
          <w:szCs w:val="24"/>
        </w:rPr>
        <w:t>In this paper, we asked car</w:t>
      </w:r>
      <w:r w:rsidR="007B4277" w:rsidRPr="002C149E">
        <w:rPr>
          <w:rFonts w:ascii="Times New Roman" w:hAnsi="Times New Roman" w:cs="Times New Roman"/>
          <w:sz w:val="24"/>
          <w:szCs w:val="24"/>
        </w:rPr>
        <w:t xml:space="preserve">egivers about their ability to </w:t>
      </w:r>
      <w:r w:rsidRPr="002C149E">
        <w:rPr>
          <w:rFonts w:ascii="Times New Roman" w:hAnsi="Times New Roman" w:cs="Times New Roman"/>
          <w:i/>
          <w:sz w:val="24"/>
          <w:szCs w:val="24"/>
        </w:rPr>
        <w:t>move on</w:t>
      </w:r>
      <w:r w:rsidRPr="002C149E">
        <w:rPr>
          <w:rFonts w:ascii="Times New Roman" w:hAnsi="Times New Roman" w:cs="Times New Roman"/>
          <w:sz w:val="24"/>
          <w:szCs w:val="24"/>
        </w:rPr>
        <w:t xml:space="preserve"> after the loss of someone close.</w:t>
      </w:r>
      <w:r w:rsidR="00F66D43">
        <w:rPr>
          <w:rFonts w:ascii="Times New Roman" w:hAnsi="Times New Roman" w:cs="Times New Roman"/>
          <w:sz w:val="24"/>
          <w:szCs w:val="24"/>
        </w:rPr>
        <w:t xml:space="preserve"> </w:t>
      </w:r>
      <w:r w:rsidR="00F66D43" w:rsidRPr="00F66D43">
        <w:rPr>
          <w:rFonts w:ascii="Times New Roman" w:hAnsi="Times New Roman" w:cs="Times New Roman"/>
          <w:sz w:val="24"/>
          <w:szCs w:val="24"/>
        </w:rPr>
        <w:t xml:space="preserve">“Moving on” has previously been defined as an adaptive process whereby individuals adjust to and integrate their experiences of caregiving and bereavement, allowing </w:t>
      </w:r>
      <w:r w:rsidR="00936218">
        <w:rPr>
          <w:rFonts w:ascii="Times New Roman" w:hAnsi="Times New Roman" w:cs="Times New Roman"/>
          <w:sz w:val="24"/>
          <w:szCs w:val="24"/>
        </w:rPr>
        <w:t>satisfactory adjustment or accommodation to the loss so as not to remain stuck in a state of chronic mourning</w:t>
      </w:r>
      <w:r w:rsidR="00F66D43" w:rsidRPr="00F66D43">
        <w:rPr>
          <w:rFonts w:ascii="Times New Roman" w:hAnsi="Times New Roman" w:cs="Times New Roman"/>
          <w:sz w:val="24"/>
          <w:szCs w:val="24"/>
        </w:rPr>
        <w:t xml:space="preserve"> (42). </w:t>
      </w:r>
      <w:r w:rsidRPr="002C149E">
        <w:rPr>
          <w:rFonts w:ascii="Times New Roman" w:hAnsi="Times New Roman" w:cs="Times New Roman"/>
          <w:sz w:val="24"/>
          <w:szCs w:val="24"/>
        </w:rPr>
        <w:t xml:space="preserve"> </w:t>
      </w:r>
      <w:r w:rsidR="004F00E2" w:rsidRPr="002C149E">
        <w:rPr>
          <w:rFonts w:ascii="Times New Roman" w:hAnsi="Times New Roman" w:cs="Times New Roman"/>
          <w:sz w:val="24"/>
          <w:szCs w:val="24"/>
        </w:rPr>
        <w:t xml:space="preserve">Metaphors </w:t>
      </w:r>
      <w:r w:rsidR="00B404F3" w:rsidRPr="002C149E">
        <w:rPr>
          <w:rFonts w:ascii="Times New Roman" w:hAnsi="Times New Roman" w:cs="Times New Roman"/>
          <w:sz w:val="24"/>
          <w:szCs w:val="24"/>
        </w:rPr>
        <w:t xml:space="preserve">such as </w:t>
      </w:r>
      <w:r w:rsidR="00B404F3" w:rsidRPr="002C149E">
        <w:rPr>
          <w:rFonts w:ascii="Times New Roman" w:hAnsi="Times New Roman" w:cs="Times New Roman"/>
          <w:i/>
          <w:sz w:val="24"/>
          <w:szCs w:val="24"/>
        </w:rPr>
        <w:t>moving on</w:t>
      </w:r>
      <w:r w:rsidR="00B404F3" w:rsidRPr="002C149E">
        <w:rPr>
          <w:rFonts w:ascii="Times New Roman" w:hAnsi="Times New Roman" w:cs="Times New Roman"/>
          <w:sz w:val="24"/>
          <w:szCs w:val="24"/>
        </w:rPr>
        <w:t xml:space="preserve"> </w:t>
      </w:r>
      <w:r w:rsidR="004F00E2" w:rsidRPr="002C149E">
        <w:rPr>
          <w:rFonts w:ascii="Times New Roman" w:hAnsi="Times New Roman" w:cs="Times New Roman"/>
          <w:sz w:val="24"/>
          <w:szCs w:val="24"/>
        </w:rPr>
        <w:t>allow individuals with wide-ranging experiences of grief to describe their own sense of a</w:t>
      </w:r>
      <w:r w:rsidRPr="002C149E">
        <w:rPr>
          <w:rFonts w:ascii="Times New Roman" w:hAnsi="Times New Roman" w:cs="Times New Roman"/>
          <w:sz w:val="24"/>
          <w:szCs w:val="24"/>
        </w:rPr>
        <w:t xml:space="preserve">daptation </w:t>
      </w:r>
      <w:r w:rsidR="008676C8" w:rsidRPr="002C149E">
        <w:rPr>
          <w:rFonts w:ascii="Times New Roman" w:hAnsi="Times New Roman" w:cs="Times New Roman"/>
          <w:sz w:val="24"/>
          <w:szCs w:val="24"/>
        </w:rPr>
        <w:t xml:space="preserve">to loss </w:t>
      </w:r>
      <w:r w:rsidRPr="002C149E">
        <w:rPr>
          <w:rFonts w:ascii="Times New Roman" w:hAnsi="Times New Roman" w:cs="Times New Roman"/>
          <w:sz w:val="24"/>
          <w:szCs w:val="24"/>
        </w:rPr>
        <w:t>and</w:t>
      </w:r>
      <w:r w:rsidR="004F00E2" w:rsidRPr="002C149E">
        <w:rPr>
          <w:rFonts w:ascii="Times New Roman" w:hAnsi="Times New Roman" w:cs="Times New Roman"/>
          <w:sz w:val="24"/>
          <w:szCs w:val="24"/>
        </w:rPr>
        <w:t xml:space="preserve"> reengagement with the post-loss world</w:t>
      </w:r>
      <w:r w:rsidR="008B13DB">
        <w:rPr>
          <w:rFonts w:ascii="Times New Roman" w:hAnsi="Times New Roman" w:cs="Times New Roman"/>
          <w:sz w:val="24"/>
          <w:szCs w:val="24"/>
        </w:rPr>
        <w:t xml:space="preserve"> (</w:t>
      </w:r>
      <w:r w:rsidR="00085FA8" w:rsidRPr="002C149E">
        <w:rPr>
          <w:rFonts w:ascii="Times New Roman" w:hAnsi="Times New Roman" w:cs="Times New Roman"/>
          <w:sz w:val="24"/>
          <w:szCs w:val="24"/>
        </w:rPr>
        <w:t>43</w:t>
      </w:r>
      <w:r w:rsidR="00E711A4" w:rsidRPr="002C149E">
        <w:rPr>
          <w:rFonts w:ascii="Times New Roman" w:hAnsi="Times New Roman" w:cs="Times New Roman"/>
          <w:sz w:val="24"/>
          <w:szCs w:val="24"/>
        </w:rPr>
        <w:t>)</w:t>
      </w:r>
      <w:r w:rsidR="00B404F3" w:rsidRPr="002C149E">
        <w:rPr>
          <w:rFonts w:ascii="Times New Roman" w:hAnsi="Times New Roman" w:cs="Times New Roman"/>
          <w:sz w:val="24"/>
          <w:szCs w:val="24"/>
        </w:rPr>
        <w:t xml:space="preserve">. </w:t>
      </w:r>
      <w:r w:rsidR="00C34D4C" w:rsidRPr="002C149E">
        <w:rPr>
          <w:rFonts w:ascii="Times New Roman" w:hAnsi="Times New Roman" w:cs="Times New Roman"/>
          <w:sz w:val="24"/>
          <w:szCs w:val="24"/>
        </w:rPr>
        <w:t>Further</w:t>
      </w:r>
      <w:r w:rsidR="00CF2760" w:rsidRPr="002C149E">
        <w:rPr>
          <w:rFonts w:ascii="Times New Roman" w:hAnsi="Times New Roman" w:cs="Times New Roman"/>
          <w:sz w:val="24"/>
          <w:szCs w:val="24"/>
        </w:rPr>
        <w:t>, “d</w:t>
      </w:r>
      <w:r w:rsidR="004F00E2" w:rsidRPr="002C149E">
        <w:rPr>
          <w:rFonts w:ascii="Times New Roman" w:hAnsi="Times New Roman" w:cs="Times New Roman"/>
          <w:sz w:val="24"/>
          <w:szCs w:val="24"/>
        </w:rPr>
        <w:t>ifficulty moving on with life” has been found to be an informative and unbiased sym</w:t>
      </w:r>
      <w:r w:rsidR="004B3B59" w:rsidRPr="002C149E">
        <w:rPr>
          <w:rFonts w:ascii="Times New Roman" w:hAnsi="Times New Roman" w:cs="Times New Roman"/>
          <w:sz w:val="24"/>
          <w:szCs w:val="24"/>
        </w:rPr>
        <w:t>ptom of PGD</w:t>
      </w:r>
      <w:r w:rsidR="004F00E2" w:rsidRPr="002C149E">
        <w:rPr>
          <w:rFonts w:ascii="Times New Roman" w:hAnsi="Times New Roman" w:cs="Times New Roman"/>
          <w:sz w:val="24"/>
          <w:szCs w:val="24"/>
        </w:rPr>
        <w:t xml:space="preserve"> and has been retained in the pro</w:t>
      </w:r>
      <w:r w:rsidR="005D1EF8" w:rsidRPr="002C149E">
        <w:rPr>
          <w:rFonts w:ascii="Times New Roman" w:hAnsi="Times New Roman" w:cs="Times New Roman"/>
          <w:sz w:val="24"/>
          <w:szCs w:val="24"/>
        </w:rPr>
        <w:t>posed criteria for PGD in ICD 11</w:t>
      </w:r>
      <w:r w:rsidR="00085FA8" w:rsidRPr="002C149E">
        <w:rPr>
          <w:rFonts w:ascii="Times New Roman" w:hAnsi="Times New Roman" w:cs="Times New Roman"/>
          <w:sz w:val="24"/>
          <w:szCs w:val="24"/>
        </w:rPr>
        <w:t xml:space="preserve"> (30</w:t>
      </w:r>
      <w:proofErr w:type="gramStart"/>
      <w:r w:rsidR="00085FA8" w:rsidRPr="002C149E">
        <w:rPr>
          <w:rFonts w:ascii="Times New Roman" w:hAnsi="Times New Roman" w:cs="Times New Roman"/>
          <w:sz w:val="24"/>
          <w:szCs w:val="24"/>
        </w:rPr>
        <w:t>,34</w:t>
      </w:r>
      <w:proofErr w:type="gramEnd"/>
      <w:r w:rsidR="00E711A4" w:rsidRPr="002C149E">
        <w:rPr>
          <w:rFonts w:ascii="Times New Roman" w:hAnsi="Times New Roman" w:cs="Times New Roman"/>
          <w:sz w:val="24"/>
          <w:szCs w:val="24"/>
        </w:rPr>
        <w:t>)</w:t>
      </w:r>
      <w:r w:rsidR="004F00E2" w:rsidRPr="002C149E">
        <w:rPr>
          <w:rFonts w:ascii="Times New Roman" w:hAnsi="Times New Roman" w:cs="Times New Roman"/>
          <w:sz w:val="24"/>
          <w:szCs w:val="24"/>
        </w:rPr>
        <w:t>. Notably,</w:t>
      </w:r>
      <w:r w:rsidR="00492FAB" w:rsidRPr="002C149E">
        <w:rPr>
          <w:rFonts w:ascii="Times New Roman" w:hAnsi="Times New Roman" w:cs="Times New Roman"/>
          <w:sz w:val="24"/>
          <w:szCs w:val="24"/>
        </w:rPr>
        <w:t xml:space="preserve"> </w:t>
      </w:r>
      <w:r w:rsidR="004F00E2" w:rsidRPr="002C149E">
        <w:rPr>
          <w:rFonts w:ascii="Times New Roman" w:hAnsi="Times New Roman" w:cs="Times New Roman"/>
          <w:sz w:val="24"/>
          <w:szCs w:val="24"/>
        </w:rPr>
        <w:t xml:space="preserve">“difficulty moving on with life” has </w:t>
      </w:r>
      <w:r w:rsidR="004F00E2" w:rsidRPr="002C149E">
        <w:rPr>
          <w:rFonts w:ascii="Times New Roman" w:hAnsi="Times New Roman" w:cs="Times New Roman"/>
          <w:b/>
          <w:sz w:val="24"/>
          <w:szCs w:val="24"/>
        </w:rPr>
        <w:t>not</w:t>
      </w:r>
      <w:r w:rsidRPr="002C149E">
        <w:rPr>
          <w:rFonts w:ascii="Times New Roman" w:hAnsi="Times New Roman" w:cs="Times New Roman"/>
          <w:sz w:val="24"/>
          <w:szCs w:val="24"/>
        </w:rPr>
        <w:t xml:space="preserve"> been fo</w:t>
      </w:r>
      <w:r w:rsidR="008676C8" w:rsidRPr="002C149E">
        <w:rPr>
          <w:rFonts w:ascii="Times New Roman" w:hAnsi="Times New Roman" w:cs="Times New Roman"/>
          <w:sz w:val="24"/>
          <w:szCs w:val="24"/>
        </w:rPr>
        <w:t>u</w:t>
      </w:r>
      <w:r w:rsidR="00412AB5" w:rsidRPr="002C149E">
        <w:rPr>
          <w:rFonts w:ascii="Times New Roman" w:hAnsi="Times New Roman" w:cs="Times New Roman"/>
          <w:sz w:val="24"/>
          <w:szCs w:val="24"/>
        </w:rPr>
        <w:t>nd to have the same association</w:t>
      </w:r>
      <w:r w:rsidRPr="002C149E">
        <w:rPr>
          <w:rFonts w:ascii="Times New Roman" w:hAnsi="Times New Roman" w:cs="Times New Roman"/>
          <w:sz w:val="24"/>
          <w:szCs w:val="24"/>
        </w:rPr>
        <w:t xml:space="preserve"> with diagnoses of depression or anxiety</w:t>
      </w:r>
      <w:r w:rsidR="00085FA8" w:rsidRPr="002C149E">
        <w:rPr>
          <w:rFonts w:ascii="Times New Roman" w:hAnsi="Times New Roman" w:cs="Times New Roman"/>
          <w:sz w:val="24"/>
          <w:szCs w:val="24"/>
        </w:rPr>
        <w:t xml:space="preserve"> (30</w:t>
      </w:r>
      <w:proofErr w:type="gramStart"/>
      <w:r w:rsidR="00085FA8" w:rsidRPr="002C149E">
        <w:rPr>
          <w:rFonts w:ascii="Times New Roman" w:hAnsi="Times New Roman" w:cs="Times New Roman"/>
          <w:sz w:val="24"/>
          <w:szCs w:val="24"/>
        </w:rPr>
        <w:t>,44</w:t>
      </w:r>
      <w:proofErr w:type="gramEnd"/>
      <w:r w:rsidR="00E711A4" w:rsidRPr="002C149E">
        <w:rPr>
          <w:rFonts w:ascii="Times New Roman" w:hAnsi="Times New Roman" w:cs="Times New Roman"/>
          <w:sz w:val="24"/>
          <w:szCs w:val="24"/>
        </w:rPr>
        <w:t>)</w:t>
      </w:r>
      <w:r w:rsidRPr="002C149E">
        <w:rPr>
          <w:rFonts w:ascii="Times New Roman" w:hAnsi="Times New Roman" w:cs="Times New Roman"/>
          <w:sz w:val="24"/>
          <w:szCs w:val="24"/>
        </w:rPr>
        <w:t>.</w:t>
      </w:r>
    </w:p>
    <w:p w:rsidR="00893172" w:rsidRPr="002C149E" w:rsidRDefault="00893172" w:rsidP="00802DF8">
      <w:pPr>
        <w:jc w:val="both"/>
        <w:rPr>
          <w:rFonts w:ascii="Times New Roman" w:hAnsi="Times New Roman" w:cs="Times New Roman"/>
          <w:sz w:val="24"/>
          <w:szCs w:val="24"/>
        </w:rPr>
      </w:pPr>
      <w:r w:rsidRPr="002C149E">
        <w:rPr>
          <w:rFonts w:ascii="Times New Roman" w:hAnsi="Times New Roman" w:cs="Times New Roman"/>
          <w:sz w:val="24"/>
          <w:szCs w:val="24"/>
        </w:rPr>
        <w:t xml:space="preserve">The aim of this </w:t>
      </w:r>
      <w:r w:rsidR="002C0E9C" w:rsidRPr="002C149E">
        <w:rPr>
          <w:rFonts w:ascii="Times New Roman" w:hAnsi="Times New Roman" w:cs="Times New Roman"/>
          <w:sz w:val="24"/>
          <w:szCs w:val="24"/>
        </w:rPr>
        <w:t>p</w:t>
      </w:r>
      <w:r w:rsidR="00492FAB" w:rsidRPr="002C149E">
        <w:rPr>
          <w:rFonts w:ascii="Times New Roman" w:hAnsi="Times New Roman" w:cs="Times New Roman"/>
          <w:sz w:val="24"/>
          <w:szCs w:val="24"/>
        </w:rPr>
        <w:t xml:space="preserve">opulation-based </w:t>
      </w:r>
      <w:r w:rsidRPr="002C149E">
        <w:rPr>
          <w:rFonts w:ascii="Times New Roman" w:hAnsi="Times New Roman" w:cs="Times New Roman"/>
          <w:sz w:val="24"/>
          <w:szCs w:val="24"/>
        </w:rPr>
        <w:t xml:space="preserve">study is to characterise those caregivers who reported that they were able to </w:t>
      </w:r>
      <w:r w:rsidRPr="002C149E">
        <w:rPr>
          <w:rFonts w:ascii="Times New Roman" w:hAnsi="Times New Roman" w:cs="Times New Roman"/>
          <w:i/>
          <w:sz w:val="24"/>
          <w:szCs w:val="24"/>
        </w:rPr>
        <w:t>move on</w:t>
      </w:r>
      <w:r w:rsidRPr="002C149E">
        <w:rPr>
          <w:rFonts w:ascii="Times New Roman" w:hAnsi="Times New Roman" w:cs="Times New Roman"/>
          <w:sz w:val="24"/>
          <w:szCs w:val="24"/>
        </w:rPr>
        <w:t xml:space="preserve"> after the death of the care re</w:t>
      </w:r>
      <w:r w:rsidR="00412AB5" w:rsidRPr="002C149E">
        <w:rPr>
          <w:rFonts w:ascii="Times New Roman" w:hAnsi="Times New Roman" w:cs="Times New Roman"/>
          <w:sz w:val="24"/>
          <w:szCs w:val="24"/>
        </w:rPr>
        <w:t>cipient and those wh</w:t>
      </w:r>
      <w:r w:rsidR="00492FAB" w:rsidRPr="002C149E">
        <w:rPr>
          <w:rFonts w:ascii="Times New Roman" w:hAnsi="Times New Roman" w:cs="Times New Roman"/>
          <w:sz w:val="24"/>
          <w:szCs w:val="24"/>
        </w:rPr>
        <w:t xml:space="preserve">o were not. In the context of </w:t>
      </w:r>
      <w:r w:rsidR="00412AB5" w:rsidRPr="002C149E">
        <w:rPr>
          <w:rFonts w:ascii="Times New Roman" w:hAnsi="Times New Roman" w:cs="Times New Roman"/>
          <w:sz w:val="24"/>
          <w:szCs w:val="24"/>
        </w:rPr>
        <w:t xml:space="preserve">increasing clarity regarding the </w:t>
      </w:r>
      <w:r w:rsidR="00B404F3" w:rsidRPr="002C149E">
        <w:rPr>
          <w:rFonts w:ascii="Times New Roman" w:hAnsi="Times New Roman" w:cs="Times New Roman"/>
          <w:sz w:val="24"/>
          <w:szCs w:val="24"/>
        </w:rPr>
        <w:t xml:space="preserve">timing of </w:t>
      </w:r>
      <w:r w:rsidR="00412AB5" w:rsidRPr="002C149E">
        <w:rPr>
          <w:rFonts w:ascii="Times New Roman" w:hAnsi="Times New Roman" w:cs="Times New Roman"/>
          <w:sz w:val="24"/>
          <w:szCs w:val="24"/>
        </w:rPr>
        <w:t xml:space="preserve">disordered patterns of adjustment to </w:t>
      </w:r>
      <w:r w:rsidR="00412AB5" w:rsidRPr="002C149E">
        <w:rPr>
          <w:rFonts w:ascii="Times New Roman" w:hAnsi="Times New Roman" w:cs="Times New Roman"/>
          <w:sz w:val="24"/>
          <w:szCs w:val="24"/>
        </w:rPr>
        <w:lastRenderedPageBreak/>
        <w:t>grief, we have ex</w:t>
      </w:r>
      <w:r w:rsidR="00FA33EE" w:rsidRPr="002C149E">
        <w:rPr>
          <w:rFonts w:ascii="Times New Roman" w:hAnsi="Times New Roman" w:cs="Times New Roman"/>
          <w:sz w:val="24"/>
          <w:szCs w:val="24"/>
        </w:rPr>
        <w:t xml:space="preserve">plicitly excluded </w:t>
      </w:r>
      <w:r w:rsidR="00412AB5" w:rsidRPr="002C149E">
        <w:rPr>
          <w:rFonts w:ascii="Times New Roman" w:hAnsi="Times New Roman" w:cs="Times New Roman"/>
          <w:sz w:val="24"/>
          <w:szCs w:val="24"/>
        </w:rPr>
        <w:t>c</w:t>
      </w:r>
      <w:r w:rsidR="00F820A0" w:rsidRPr="002C149E">
        <w:rPr>
          <w:rFonts w:ascii="Times New Roman" w:hAnsi="Times New Roman" w:cs="Times New Roman"/>
          <w:sz w:val="24"/>
          <w:szCs w:val="24"/>
        </w:rPr>
        <w:t>aregivers who were wit</w:t>
      </w:r>
      <w:r w:rsidR="006F1A9D" w:rsidRPr="002C149E">
        <w:rPr>
          <w:rFonts w:ascii="Times New Roman" w:hAnsi="Times New Roman" w:cs="Times New Roman"/>
          <w:sz w:val="24"/>
          <w:szCs w:val="24"/>
        </w:rPr>
        <w:t xml:space="preserve">hin </w:t>
      </w:r>
      <w:r w:rsidR="008631DC">
        <w:rPr>
          <w:rFonts w:ascii="Times New Roman" w:hAnsi="Times New Roman" w:cs="Times New Roman"/>
          <w:sz w:val="24"/>
          <w:szCs w:val="24"/>
        </w:rPr>
        <w:t>12</w:t>
      </w:r>
      <w:r w:rsidR="006F1A9D" w:rsidRPr="002C149E">
        <w:rPr>
          <w:rFonts w:ascii="Times New Roman" w:hAnsi="Times New Roman" w:cs="Times New Roman"/>
          <w:sz w:val="24"/>
          <w:szCs w:val="24"/>
        </w:rPr>
        <w:t xml:space="preserve"> months post-loss</w:t>
      </w:r>
      <w:r w:rsidR="00F820A0" w:rsidRPr="002C149E">
        <w:rPr>
          <w:rFonts w:ascii="Times New Roman" w:hAnsi="Times New Roman" w:cs="Times New Roman"/>
          <w:sz w:val="24"/>
          <w:szCs w:val="24"/>
        </w:rPr>
        <w:t xml:space="preserve"> at time of survey completion. </w:t>
      </w:r>
    </w:p>
    <w:p w:rsidR="00DB72E5" w:rsidRPr="002C149E" w:rsidRDefault="00DB72E5" w:rsidP="00802DF8">
      <w:pPr>
        <w:keepNext/>
        <w:spacing w:after="0"/>
        <w:outlineLvl w:val="0"/>
        <w:rPr>
          <w:rFonts w:ascii="Times New Roman" w:eastAsia="Times New Roman" w:hAnsi="Times New Roman" w:cs="Times New Roman"/>
          <w:b/>
          <w:kern w:val="28"/>
          <w:sz w:val="24"/>
          <w:szCs w:val="24"/>
          <w:u w:val="single"/>
        </w:rPr>
      </w:pPr>
      <w:r w:rsidRPr="002C149E">
        <w:rPr>
          <w:rFonts w:ascii="Times New Roman" w:eastAsia="Times New Roman" w:hAnsi="Times New Roman" w:cs="Times New Roman"/>
          <w:b/>
          <w:kern w:val="28"/>
          <w:sz w:val="24"/>
          <w:szCs w:val="24"/>
          <w:u w:val="single"/>
        </w:rPr>
        <w:t>M</w:t>
      </w:r>
      <w:r w:rsidR="00802DF8" w:rsidRPr="002C149E">
        <w:rPr>
          <w:rFonts w:ascii="Times New Roman" w:eastAsia="Times New Roman" w:hAnsi="Times New Roman" w:cs="Times New Roman"/>
          <w:b/>
          <w:kern w:val="28"/>
          <w:sz w:val="24"/>
          <w:szCs w:val="24"/>
          <w:u w:val="single"/>
        </w:rPr>
        <w:t>ethods</w:t>
      </w:r>
    </w:p>
    <w:p w:rsidR="00DB72E5" w:rsidRPr="002C149E" w:rsidRDefault="00DB72E5" w:rsidP="00802DF8">
      <w:pPr>
        <w:keepNext/>
        <w:keepLines/>
        <w:spacing w:after="0"/>
        <w:jc w:val="both"/>
        <w:outlineLvl w:val="1"/>
        <w:rPr>
          <w:rFonts w:ascii="Times New Roman" w:eastAsiaTheme="majorEastAsia" w:hAnsi="Times New Roman" w:cs="Times New Roman"/>
          <w:i/>
          <w:sz w:val="24"/>
          <w:szCs w:val="24"/>
        </w:rPr>
      </w:pPr>
      <w:bookmarkStart w:id="1" w:name="_Toc12600065"/>
      <w:bookmarkStart w:id="2" w:name="_Toc12597477"/>
      <w:r w:rsidRPr="002C149E">
        <w:rPr>
          <w:rFonts w:ascii="Times New Roman" w:eastAsiaTheme="majorEastAsia" w:hAnsi="Times New Roman" w:cs="Times New Roman"/>
          <w:i/>
          <w:sz w:val="24"/>
          <w:szCs w:val="24"/>
        </w:rPr>
        <w:t>Setting</w:t>
      </w:r>
    </w:p>
    <w:p w:rsidR="00DB72E5" w:rsidRPr="002C149E" w:rsidRDefault="00DB72E5" w:rsidP="00802DF8">
      <w:pPr>
        <w:keepNext/>
        <w:keepLines/>
        <w:spacing w:after="0"/>
        <w:jc w:val="both"/>
        <w:outlineLvl w:val="1"/>
        <w:rPr>
          <w:rFonts w:ascii="Times New Roman" w:eastAsiaTheme="majorEastAsia" w:hAnsi="Times New Roman" w:cs="Times New Roman"/>
          <w:sz w:val="24"/>
          <w:szCs w:val="24"/>
        </w:rPr>
      </w:pPr>
      <w:r w:rsidRPr="002C149E">
        <w:rPr>
          <w:rFonts w:ascii="Times New Roman" w:eastAsiaTheme="majorEastAsia" w:hAnsi="Times New Roman" w:cs="Times New Roman"/>
          <w:sz w:val="24"/>
          <w:szCs w:val="24"/>
        </w:rPr>
        <w:t xml:space="preserve">The study was </w:t>
      </w:r>
      <w:r w:rsidR="00345EF1" w:rsidRPr="002C149E">
        <w:rPr>
          <w:rFonts w:ascii="Times New Roman" w:eastAsiaTheme="majorEastAsia" w:hAnsi="Times New Roman" w:cs="Times New Roman"/>
          <w:sz w:val="24"/>
          <w:szCs w:val="24"/>
        </w:rPr>
        <w:t>undertaken</w:t>
      </w:r>
      <w:r w:rsidRPr="002C149E">
        <w:rPr>
          <w:rFonts w:ascii="Times New Roman" w:eastAsiaTheme="majorEastAsia" w:hAnsi="Times New Roman" w:cs="Times New Roman"/>
          <w:sz w:val="24"/>
          <w:szCs w:val="24"/>
        </w:rPr>
        <w:t xml:space="preserve"> in South Australia, the </w:t>
      </w:r>
      <w:r w:rsidR="00345EF1" w:rsidRPr="002C149E">
        <w:rPr>
          <w:rFonts w:ascii="Times New Roman" w:eastAsiaTheme="majorEastAsia" w:hAnsi="Times New Roman" w:cs="Times New Roman"/>
          <w:sz w:val="24"/>
          <w:szCs w:val="24"/>
        </w:rPr>
        <w:t xml:space="preserve">second smallest state by population in the country, with </w:t>
      </w:r>
      <w:r w:rsidRPr="002C149E">
        <w:rPr>
          <w:rFonts w:ascii="Times New Roman" w:eastAsiaTheme="majorEastAsia" w:hAnsi="Times New Roman" w:cs="Times New Roman"/>
          <w:sz w:val="24"/>
          <w:szCs w:val="24"/>
        </w:rPr>
        <w:t xml:space="preserve">7% of the </w:t>
      </w:r>
      <w:r w:rsidR="00345EF1" w:rsidRPr="002C149E">
        <w:rPr>
          <w:rFonts w:ascii="Times New Roman" w:eastAsiaTheme="majorEastAsia" w:hAnsi="Times New Roman" w:cs="Times New Roman"/>
          <w:sz w:val="24"/>
          <w:szCs w:val="24"/>
        </w:rPr>
        <w:t>nation</w:t>
      </w:r>
      <w:r w:rsidR="008A7E4A" w:rsidRPr="002C149E">
        <w:rPr>
          <w:rFonts w:ascii="Times New Roman" w:eastAsiaTheme="majorEastAsia" w:hAnsi="Times New Roman" w:cs="Times New Roman"/>
          <w:sz w:val="24"/>
          <w:szCs w:val="24"/>
        </w:rPr>
        <w:t>a</w:t>
      </w:r>
      <w:r w:rsidR="00345EF1" w:rsidRPr="002C149E">
        <w:rPr>
          <w:rFonts w:ascii="Times New Roman" w:eastAsiaTheme="majorEastAsia" w:hAnsi="Times New Roman" w:cs="Times New Roman"/>
          <w:sz w:val="24"/>
          <w:szCs w:val="24"/>
        </w:rPr>
        <w:t xml:space="preserve">l </w:t>
      </w:r>
      <w:r w:rsidRPr="002C149E">
        <w:rPr>
          <w:rFonts w:ascii="Times New Roman" w:eastAsiaTheme="majorEastAsia" w:hAnsi="Times New Roman" w:cs="Times New Roman"/>
          <w:sz w:val="24"/>
          <w:szCs w:val="24"/>
        </w:rPr>
        <w:t xml:space="preserve">population. </w:t>
      </w:r>
      <w:r w:rsidR="00023176" w:rsidRPr="002C149E">
        <w:rPr>
          <w:rFonts w:ascii="Times New Roman" w:eastAsiaTheme="majorEastAsia" w:hAnsi="Times New Roman" w:cs="Times New Roman"/>
          <w:sz w:val="24"/>
          <w:szCs w:val="24"/>
        </w:rPr>
        <w:t xml:space="preserve">The average age of the population is slightly higher than the rest of Australia, and the proportion </w:t>
      </w:r>
      <w:proofErr w:type="gramStart"/>
      <w:r w:rsidR="00023176" w:rsidRPr="002C149E">
        <w:rPr>
          <w:rFonts w:ascii="Times New Roman" w:eastAsiaTheme="majorEastAsia" w:hAnsi="Times New Roman" w:cs="Times New Roman"/>
          <w:sz w:val="24"/>
          <w:szCs w:val="24"/>
        </w:rPr>
        <w:t>who</w:t>
      </w:r>
      <w:proofErr w:type="gramEnd"/>
      <w:r w:rsidR="00023176" w:rsidRPr="002C149E">
        <w:rPr>
          <w:rFonts w:ascii="Times New Roman" w:eastAsiaTheme="majorEastAsia" w:hAnsi="Times New Roman" w:cs="Times New Roman"/>
          <w:sz w:val="24"/>
          <w:szCs w:val="24"/>
        </w:rPr>
        <w:t xml:space="preserve"> wer</w:t>
      </w:r>
      <w:r w:rsidR="006F1A9D" w:rsidRPr="002C149E">
        <w:rPr>
          <w:rFonts w:ascii="Times New Roman" w:eastAsiaTheme="majorEastAsia" w:hAnsi="Times New Roman" w:cs="Times New Roman"/>
          <w:sz w:val="24"/>
          <w:szCs w:val="24"/>
        </w:rPr>
        <w:t>e born overseas, slightly lower</w:t>
      </w:r>
      <w:r w:rsidR="00023176" w:rsidRPr="002C149E">
        <w:rPr>
          <w:rFonts w:ascii="Times New Roman" w:eastAsiaTheme="majorEastAsia" w:hAnsi="Times New Roman" w:cs="Times New Roman"/>
          <w:sz w:val="24"/>
          <w:szCs w:val="24"/>
        </w:rPr>
        <w:t xml:space="preserve"> </w:t>
      </w:r>
      <w:r w:rsidR="00CA2CD6" w:rsidRPr="002C149E">
        <w:rPr>
          <w:rFonts w:ascii="Times New Roman" w:eastAsiaTheme="majorEastAsia" w:hAnsi="Times New Roman" w:cs="Times New Roman"/>
          <w:sz w:val="24"/>
          <w:szCs w:val="24"/>
        </w:rPr>
        <w:t>(45</w:t>
      </w:r>
      <w:r w:rsidR="001B61C8" w:rsidRPr="002C149E">
        <w:rPr>
          <w:rFonts w:ascii="Times New Roman" w:eastAsiaTheme="majorEastAsia" w:hAnsi="Times New Roman" w:cs="Times New Roman"/>
          <w:sz w:val="24"/>
          <w:szCs w:val="24"/>
        </w:rPr>
        <w:t>)</w:t>
      </w:r>
      <w:r w:rsidR="006F1A9D" w:rsidRPr="002C149E">
        <w:rPr>
          <w:rFonts w:ascii="Times New Roman" w:eastAsiaTheme="majorEastAsia" w:hAnsi="Times New Roman" w:cs="Times New Roman"/>
          <w:sz w:val="24"/>
          <w:szCs w:val="24"/>
        </w:rPr>
        <w:t>.</w:t>
      </w:r>
    </w:p>
    <w:p w:rsidR="00DB72E5" w:rsidRPr="002C149E" w:rsidRDefault="00DB72E5" w:rsidP="00802DF8">
      <w:pPr>
        <w:spacing w:after="0"/>
        <w:jc w:val="both"/>
        <w:rPr>
          <w:rFonts w:ascii="Times New Roman" w:hAnsi="Times New Roman" w:cs="Times New Roman"/>
          <w:sz w:val="24"/>
          <w:szCs w:val="24"/>
        </w:rPr>
      </w:pPr>
    </w:p>
    <w:p w:rsidR="005C28AC" w:rsidRPr="002C149E" w:rsidRDefault="005C28AC" w:rsidP="005C28AC">
      <w:pPr>
        <w:keepNext/>
        <w:keepLines/>
        <w:spacing w:after="0"/>
        <w:jc w:val="both"/>
        <w:outlineLvl w:val="1"/>
        <w:rPr>
          <w:rFonts w:ascii="Times New Roman" w:eastAsiaTheme="majorEastAsia" w:hAnsi="Times New Roman" w:cs="Times New Roman"/>
          <w:i/>
          <w:sz w:val="24"/>
          <w:szCs w:val="24"/>
        </w:rPr>
      </w:pPr>
      <w:r w:rsidRPr="002C149E">
        <w:rPr>
          <w:rFonts w:ascii="Times New Roman" w:eastAsiaTheme="majorEastAsia" w:hAnsi="Times New Roman" w:cs="Times New Roman"/>
          <w:i/>
          <w:sz w:val="24"/>
          <w:szCs w:val="24"/>
        </w:rPr>
        <w:t>Sample</w:t>
      </w:r>
    </w:p>
    <w:p w:rsidR="00DB72E5" w:rsidRPr="002C149E" w:rsidRDefault="00DB72E5" w:rsidP="005C28AC">
      <w:pPr>
        <w:keepNext/>
        <w:keepLines/>
        <w:spacing w:after="0"/>
        <w:jc w:val="both"/>
        <w:outlineLvl w:val="1"/>
        <w:rPr>
          <w:rFonts w:ascii="Times New Roman" w:eastAsiaTheme="majorEastAsia" w:hAnsi="Times New Roman" w:cs="Times New Roman"/>
          <w:i/>
          <w:sz w:val="24"/>
          <w:szCs w:val="24"/>
        </w:rPr>
      </w:pPr>
      <w:r w:rsidRPr="002C149E">
        <w:rPr>
          <w:rFonts w:ascii="Times New Roman" w:eastAsia="Times New Roman" w:hAnsi="Times New Roman" w:cs="Times New Roman"/>
          <w:sz w:val="24"/>
          <w:szCs w:val="24"/>
        </w:rPr>
        <w:t xml:space="preserve">Data </w:t>
      </w:r>
      <w:r w:rsidR="009A2CD6" w:rsidRPr="002C149E">
        <w:rPr>
          <w:rFonts w:ascii="Times New Roman" w:eastAsia="Times New Roman" w:hAnsi="Times New Roman" w:cs="Times New Roman"/>
          <w:sz w:val="24"/>
          <w:szCs w:val="24"/>
        </w:rPr>
        <w:t>collection occurred in</w:t>
      </w:r>
      <w:r w:rsidRPr="002C149E">
        <w:rPr>
          <w:rFonts w:ascii="Times New Roman" w:eastAsia="Times New Roman" w:hAnsi="Times New Roman" w:cs="Times New Roman"/>
          <w:sz w:val="24"/>
          <w:szCs w:val="24"/>
        </w:rPr>
        <w:t xml:space="preserve"> 2015 </w:t>
      </w:r>
      <w:r w:rsidR="00704898" w:rsidRPr="002C149E">
        <w:rPr>
          <w:rFonts w:ascii="Times New Roman" w:eastAsia="Times New Roman" w:hAnsi="Times New Roman" w:cs="Times New Roman"/>
          <w:sz w:val="24"/>
          <w:szCs w:val="24"/>
        </w:rPr>
        <w:t xml:space="preserve">through the </w:t>
      </w:r>
      <w:r w:rsidRPr="002C149E">
        <w:rPr>
          <w:rFonts w:ascii="Times New Roman" w:eastAsia="Times New Roman" w:hAnsi="Times New Roman" w:cs="Times New Roman"/>
          <w:sz w:val="24"/>
          <w:szCs w:val="24"/>
        </w:rPr>
        <w:t>South Australian Health Omnibus Survey (</w:t>
      </w:r>
      <w:r w:rsidR="00053ED7" w:rsidRPr="002C149E">
        <w:rPr>
          <w:rFonts w:ascii="Times New Roman" w:eastAsia="Times New Roman" w:hAnsi="Times New Roman" w:cs="Times New Roman"/>
          <w:sz w:val="24"/>
          <w:szCs w:val="24"/>
        </w:rPr>
        <w:t>SA</w:t>
      </w:r>
      <w:r w:rsidRPr="002C149E">
        <w:rPr>
          <w:rFonts w:ascii="Times New Roman" w:eastAsia="Times New Roman" w:hAnsi="Times New Roman" w:cs="Times New Roman"/>
          <w:sz w:val="24"/>
          <w:szCs w:val="24"/>
        </w:rPr>
        <w:t>HOS)</w:t>
      </w:r>
      <w:r w:rsidR="001B61C8" w:rsidRPr="002C149E">
        <w:rPr>
          <w:rFonts w:ascii="Times New Roman" w:eastAsia="Times New Roman" w:hAnsi="Times New Roman" w:cs="Times New Roman"/>
          <w:sz w:val="24"/>
          <w:szCs w:val="24"/>
        </w:rPr>
        <w:t xml:space="preserve"> </w:t>
      </w:r>
      <w:r w:rsidR="00CA2CD6" w:rsidRPr="002C149E">
        <w:rPr>
          <w:rFonts w:ascii="Times New Roman" w:eastAsia="Times New Roman" w:hAnsi="Times New Roman" w:cs="Times New Roman"/>
          <w:sz w:val="24"/>
          <w:szCs w:val="24"/>
        </w:rPr>
        <w:t>(46</w:t>
      </w:r>
      <w:r w:rsidR="001B61C8" w:rsidRPr="002C149E">
        <w:rPr>
          <w:rFonts w:ascii="Times New Roman" w:eastAsia="Times New Roman" w:hAnsi="Times New Roman" w:cs="Times New Roman"/>
          <w:sz w:val="24"/>
          <w:szCs w:val="24"/>
        </w:rPr>
        <w:t>).</w:t>
      </w:r>
      <w:r w:rsidRPr="002C149E">
        <w:rPr>
          <w:rFonts w:ascii="Times New Roman" w:eastAsia="Times New Roman" w:hAnsi="Times New Roman" w:cs="Times New Roman"/>
          <w:color w:val="BFBFBF" w:themeColor="background1" w:themeShade="BF"/>
          <w:sz w:val="24"/>
          <w:szCs w:val="24"/>
        </w:rPr>
        <w:t xml:space="preserve"> </w:t>
      </w:r>
      <w:r w:rsidR="009A2CD6" w:rsidRPr="002C149E">
        <w:rPr>
          <w:rFonts w:ascii="Times New Roman" w:eastAsia="Times New Roman" w:hAnsi="Times New Roman" w:cs="Times New Roman"/>
          <w:sz w:val="24"/>
          <w:szCs w:val="24"/>
        </w:rPr>
        <w:t>SAH</w:t>
      </w:r>
      <w:r w:rsidRPr="002C149E">
        <w:rPr>
          <w:rFonts w:ascii="Times New Roman" w:eastAsia="Times New Roman" w:hAnsi="Times New Roman" w:cs="Times New Roman"/>
          <w:sz w:val="24"/>
          <w:szCs w:val="24"/>
        </w:rPr>
        <w:t xml:space="preserve">OS is a </w:t>
      </w:r>
      <w:r w:rsidR="00053ED7" w:rsidRPr="002C149E">
        <w:rPr>
          <w:rFonts w:ascii="Times New Roman" w:eastAsia="Times New Roman" w:hAnsi="Times New Roman" w:cs="Times New Roman"/>
          <w:sz w:val="24"/>
          <w:szCs w:val="24"/>
        </w:rPr>
        <w:t xml:space="preserve">systematic, </w:t>
      </w:r>
      <w:r w:rsidRPr="002C149E">
        <w:rPr>
          <w:rFonts w:ascii="Times New Roman" w:eastAsia="Times New Roman" w:hAnsi="Times New Roman" w:cs="Times New Roman"/>
          <w:sz w:val="24"/>
          <w:szCs w:val="24"/>
        </w:rPr>
        <w:t>multi-stage, clustered area sample of households</w:t>
      </w:r>
      <w:r w:rsidR="00053ED7" w:rsidRPr="002C149E">
        <w:rPr>
          <w:rFonts w:ascii="Times New Roman" w:eastAsia="Times New Roman" w:hAnsi="Times New Roman" w:cs="Times New Roman"/>
          <w:sz w:val="24"/>
          <w:szCs w:val="24"/>
        </w:rPr>
        <w:t xml:space="preserve"> across the state</w:t>
      </w:r>
      <w:r w:rsidRPr="002C149E">
        <w:rPr>
          <w:rFonts w:ascii="Times New Roman" w:eastAsia="Times New Roman" w:hAnsi="Times New Roman" w:cs="Times New Roman"/>
          <w:sz w:val="24"/>
          <w:szCs w:val="24"/>
        </w:rPr>
        <w:t xml:space="preserve">. </w:t>
      </w:r>
      <w:r w:rsidR="00053ED7" w:rsidRPr="002C149E">
        <w:rPr>
          <w:rFonts w:ascii="Times New Roman" w:eastAsia="Times New Roman" w:hAnsi="Times New Roman" w:cs="Times New Roman"/>
          <w:sz w:val="24"/>
          <w:szCs w:val="24"/>
        </w:rPr>
        <w:t xml:space="preserve">Annually, interviews are held </w:t>
      </w:r>
      <w:r w:rsidRPr="002C149E">
        <w:rPr>
          <w:rFonts w:ascii="Times New Roman" w:eastAsia="Times New Roman" w:hAnsi="Times New Roman" w:cs="Times New Roman"/>
          <w:sz w:val="24"/>
          <w:szCs w:val="24"/>
        </w:rPr>
        <w:t xml:space="preserve">face-to-face in </w:t>
      </w:r>
      <w:proofErr w:type="gramStart"/>
      <w:r w:rsidRPr="002C149E">
        <w:rPr>
          <w:rFonts w:ascii="Times New Roman" w:eastAsia="Times New Roman" w:hAnsi="Times New Roman" w:cs="Times New Roman"/>
          <w:sz w:val="24"/>
          <w:szCs w:val="24"/>
        </w:rPr>
        <w:t>Spring</w:t>
      </w:r>
      <w:proofErr w:type="gramEnd"/>
      <w:r w:rsidR="00053ED7" w:rsidRPr="002C149E">
        <w:rPr>
          <w:rFonts w:ascii="Times New Roman" w:eastAsia="Times New Roman" w:hAnsi="Times New Roman" w:cs="Times New Roman"/>
          <w:sz w:val="24"/>
          <w:szCs w:val="24"/>
        </w:rPr>
        <w:t xml:space="preserve">. </w:t>
      </w:r>
      <w:r w:rsidRPr="002C149E">
        <w:rPr>
          <w:rFonts w:ascii="Times New Roman" w:eastAsia="Times New Roman" w:hAnsi="Times New Roman" w:cs="Times New Roman"/>
          <w:sz w:val="24"/>
          <w:szCs w:val="24"/>
        </w:rPr>
        <w:t xml:space="preserve">Each annual </w:t>
      </w:r>
      <w:r w:rsidR="00053ED7" w:rsidRPr="002C149E">
        <w:rPr>
          <w:rFonts w:ascii="Times New Roman" w:eastAsia="Times New Roman" w:hAnsi="Times New Roman" w:cs="Times New Roman"/>
          <w:sz w:val="24"/>
          <w:szCs w:val="24"/>
        </w:rPr>
        <w:t>SA</w:t>
      </w:r>
      <w:r w:rsidRPr="002C149E">
        <w:rPr>
          <w:rFonts w:ascii="Times New Roman" w:eastAsia="Times New Roman" w:hAnsi="Times New Roman" w:cs="Times New Roman"/>
          <w:sz w:val="24"/>
          <w:szCs w:val="24"/>
        </w:rPr>
        <w:t xml:space="preserve">HOS sample includes randomly selected households from </w:t>
      </w:r>
      <w:r w:rsidR="00053ED7" w:rsidRPr="002C149E">
        <w:rPr>
          <w:rFonts w:ascii="Times New Roman" w:eastAsia="Times New Roman" w:hAnsi="Times New Roman" w:cs="Times New Roman"/>
          <w:sz w:val="24"/>
          <w:szCs w:val="24"/>
        </w:rPr>
        <w:t>Australian Bureau of Statistics (ABS) census collector districts (CCDs)</w:t>
      </w:r>
      <w:r w:rsidRPr="002C149E">
        <w:rPr>
          <w:rFonts w:ascii="Times New Roman" w:eastAsia="Times New Roman" w:hAnsi="Times New Roman" w:cs="Times New Roman"/>
          <w:sz w:val="24"/>
          <w:szCs w:val="24"/>
        </w:rPr>
        <w:t xml:space="preserve"> across metropolitan Adelaide and </w:t>
      </w:r>
      <w:r w:rsidR="00053ED7" w:rsidRPr="002C149E">
        <w:rPr>
          <w:rFonts w:ascii="Times New Roman" w:eastAsia="Times New Roman" w:hAnsi="Times New Roman" w:cs="Times New Roman"/>
          <w:sz w:val="24"/>
          <w:szCs w:val="24"/>
        </w:rPr>
        <w:t xml:space="preserve">non-metropolitan </w:t>
      </w:r>
      <w:r w:rsidRPr="002C149E">
        <w:rPr>
          <w:rFonts w:ascii="Times New Roman" w:eastAsia="Times New Roman" w:hAnsi="Times New Roman" w:cs="Times New Roman"/>
          <w:sz w:val="24"/>
          <w:szCs w:val="24"/>
        </w:rPr>
        <w:t xml:space="preserve">towns with </w:t>
      </w:r>
      <w:proofErr w:type="gramStart"/>
      <w:r w:rsidRPr="002C149E">
        <w:rPr>
          <w:rFonts w:ascii="Times New Roman" w:eastAsia="Times New Roman" w:hAnsi="Times New Roman" w:cs="Times New Roman"/>
          <w:sz w:val="24"/>
          <w:szCs w:val="24"/>
        </w:rPr>
        <w:t>population</w:t>
      </w:r>
      <w:r w:rsidR="009A2CD6" w:rsidRPr="002C149E">
        <w:rPr>
          <w:rFonts w:ascii="Times New Roman" w:eastAsia="Times New Roman" w:hAnsi="Times New Roman" w:cs="Times New Roman"/>
          <w:sz w:val="24"/>
          <w:szCs w:val="24"/>
        </w:rPr>
        <w:t>s</w:t>
      </w:r>
      <w:proofErr w:type="gramEnd"/>
      <w:r w:rsidRPr="002C149E">
        <w:rPr>
          <w:rFonts w:ascii="Times New Roman" w:eastAsia="Times New Roman" w:hAnsi="Times New Roman" w:cs="Times New Roman"/>
          <w:sz w:val="24"/>
          <w:szCs w:val="24"/>
        </w:rPr>
        <w:t xml:space="preserve"> ≥1,000 </w:t>
      </w:r>
      <w:r w:rsidR="00053ED7" w:rsidRPr="002C149E">
        <w:rPr>
          <w:rFonts w:ascii="Times New Roman" w:eastAsia="Times New Roman" w:hAnsi="Times New Roman" w:cs="Times New Roman"/>
          <w:sz w:val="24"/>
          <w:szCs w:val="24"/>
        </w:rPr>
        <w:t>people</w:t>
      </w:r>
      <w:r w:rsidRPr="002C149E">
        <w:rPr>
          <w:rFonts w:ascii="Times New Roman" w:eastAsia="Times New Roman" w:hAnsi="Times New Roman" w:cs="Times New Roman"/>
          <w:sz w:val="24"/>
          <w:szCs w:val="24"/>
        </w:rPr>
        <w:t xml:space="preserve">. </w:t>
      </w:r>
      <w:r w:rsidR="00206220" w:rsidRPr="002C149E">
        <w:rPr>
          <w:rFonts w:ascii="Times New Roman" w:eastAsia="Times New Roman" w:hAnsi="Times New Roman" w:cs="Times New Roman"/>
          <w:sz w:val="24"/>
          <w:szCs w:val="24"/>
        </w:rPr>
        <w:t xml:space="preserve">Further, </w:t>
      </w:r>
      <w:r w:rsidR="009A2CD6" w:rsidRPr="002C149E">
        <w:rPr>
          <w:rFonts w:ascii="Times New Roman" w:eastAsia="Times New Roman" w:hAnsi="Times New Roman" w:cs="Times New Roman"/>
          <w:sz w:val="24"/>
          <w:szCs w:val="24"/>
        </w:rPr>
        <w:t>a</w:t>
      </w:r>
      <w:r w:rsidRPr="002C149E">
        <w:rPr>
          <w:rFonts w:ascii="Times New Roman" w:eastAsia="Times New Roman" w:hAnsi="Times New Roman" w:cs="Times New Roman"/>
          <w:sz w:val="24"/>
          <w:szCs w:val="24"/>
        </w:rPr>
        <w:t xml:space="preserve"> random starting point is selected </w:t>
      </w:r>
      <w:r w:rsidR="00206220" w:rsidRPr="002C149E">
        <w:rPr>
          <w:rFonts w:ascii="Times New Roman" w:eastAsia="Times New Roman" w:hAnsi="Times New Roman" w:cs="Times New Roman"/>
          <w:sz w:val="24"/>
          <w:szCs w:val="24"/>
        </w:rPr>
        <w:t xml:space="preserve">in each CCD </w:t>
      </w:r>
      <w:r w:rsidRPr="002C149E">
        <w:rPr>
          <w:rFonts w:ascii="Times New Roman" w:eastAsia="Times New Roman" w:hAnsi="Times New Roman" w:cs="Times New Roman"/>
          <w:sz w:val="24"/>
          <w:szCs w:val="24"/>
        </w:rPr>
        <w:t xml:space="preserve">and </w:t>
      </w:r>
      <w:r w:rsidR="00206220" w:rsidRPr="002C149E">
        <w:rPr>
          <w:rFonts w:ascii="Times New Roman" w:eastAsia="Times New Roman" w:hAnsi="Times New Roman" w:cs="Times New Roman"/>
          <w:sz w:val="24"/>
          <w:szCs w:val="24"/>
        </w:rPr>
        <w:t>a fixed skip pattern used to approach 10 addresses</w:t>
      </w:r>
      <w:r w:rsidRPr="002C149E">
        <w:rPr>
          <w:rFonts w:ascii="Times New Roman" w:eastAsia="Times New Roman" w:hAnsi="Times New Roman" w:cs="Times New Roman"/>
          <w:sz w:val="24"/>
          <w:szCs w:val="24"/>
        </w:rPr>
        <w:t>.</w:t>
      </w:r>
      <w:r w:rsidR="009A2CD6" w:rsidRPr="002C149E">
        <w:rPr>
          <w:rFonts w:ascii="Times New Roman" w:eastAsia="Times New Roman" w:hAnsi="Times New Roman" w:cs="Times New Roman"/>
          <w:sz w:val="24"/>
          <w:szCs w:val="24"/>
        </w:rPr>
        <w:t xml:space="preserve"> </w:t>
      </w:r>
      <w:r w:rsidR="00105394" w:rsidRPr="002C149E">
        <w:rPr>
          <w:rFonts w:ascii="Times New Roman" w:eastAsia="Times New Roman" w:hAnsi="Times New Roman" w:cs="Times New Roman"/>
          <w:sz w:val="24"/>
          <w:szCs w:val="24"/>
        </w:rPr>
        <w:t>S</w:t>
      </w:r>
      <w:r w:rsidRPr="002C149E">
        <w:rPr>
          <w:rFonts w:ascii="Times New Roman" w:eastAsia="Times New Roman" w:hAnsi="Times New Roman" w:cs="Times New Roman"/>
          <w:sz w:val="24"/>
          <w:szCs w:val="24"/>
        </w:rPr>
        <w:t xml:space="preserve">ix call-back visits were made to </w:t>
      </w:r>
      <w:r w:rsidR="00105394" w:rsidRPr="002C149E">
        <w:rPr>
          <w:rFonts w:ascii="Times New Roman" w:eastAsia="Times New Roman" w:hAnsi="Times New Roman" w:cs="Times New Roman"/>
          <w:sz w:val="24"/>
          <w:szCs w:val="24"/>
        </w:rPr>
        <w:t>each</w:t>
      </w:r>
      <w:r w:rsidRPr="002C149E">
        <w:rPr>
          <w:rFonts w:ascii="Times New Roman" w:eastAsia="Times New Roman" w:hAnsi="Times New Roman" w:cs="Times New Roman"/>
          <w:sz w:val="24"/>
          <w:szCs w:val="24"/>
        </w:rPr>
        <w:t xml:space="preserve"> </w:t>
      </w:r>
      <w:r w:rsidR="00105394" w:rsidRPr="002C149E">
        <w:rPr>
          <w:rFonts w:ascii="Times New Roman" w:eastAsia="Times New Roman" w:hAnsi="Times New Roman" w:cs="Times New Roman"/>
          <w:sz w:val="24"/>
          <w:szCs w:val="24"/>
        </w:rPr>
        <w:t xml:space="preserve">selected </w:t>
      </w:r>
      <w:r w:rsidRPr="002C149E">
        <w:rPr>
          <w:rFonts w:ascii="Times New Roman" w:eastAsia="Times New Roman" w:hAnsi="Times New Roman" w:cs="Times New Roman"/>
          <w:sz w:val="24"/>
          <w:szCs w:val="24"/>
        </w:rPr>
        <w:t xml:space="preserve">household if </w:t>
      </w:r>
      <w:r w:rsidR="00105394" w:rsidRPr="002C149E">
        <w:rPr>
          <w:rFonts w:ascii="Times New Roman" w:eastAsia="Times New Roman" w:hAnsi="Times New Roman" w:cs="Times New Roman"/>
          <w:sz w:val="24"/>
          <w:szCs w:val="24"/>
        </w:rPr>
        <w:t xml:space="preserve">contact could not be made initially. Non-residential premises </w:t>
      </w:r>
      <w:r w:rsidRPr="002C149E">
        <w:rPr>
          <w:rFonts w:ascii="Times New Roman" w:eastAsia="Times New Roman" w:hAnsi="Times New Roman" w:cs="Times New Roman"/>
          <w:sz w:val="24"/>
          <w:szCs w:val="24"/>
        </w:rPr>
        <w:t>form</w:t>
      </w:r>
      <w:r w:rsidR="00105394" w:rsidRPr="002C149E">
        <w:rPr>
          <w:rFonts w:ascii="Times New Roman" w:eastAsia="Times New Roman" w:hAnsi="Times New Roman" w:cs="Times New Roman"/>
          <w:sz w:val="24"/>
          <w:szCs w:val="24"/>
        </w:rPr>
        <w:t>ed</w:t>
      </w:r>
      <w:r w:rsidRPr="002C149E">
        <w:rPr>
          <w:rFonts w:ascii="Times New Roman" w:eastAsia="Times New Roman" w:hAnsi="Times New Roman" w:cs="Times New Roman"/>
          <w:sz w:val="24"/>
          <w:szCs w:val="24"/>
        </w:rPr>
        <w:t xml:space="preserve"> a proportion of </w:t>
      </w:r>
      <w:r w:rsidR="00105394" w:rsidRPr="002C149E">
        <w:rPr>
          <w:rFonts w:ascii="Times New Roman" w:eastAsia="Times New Roman" w:hAnsi="Times New Roman" w:cs="Times New Roman"/>
          <w:sz w:val="24"/>
          <w:szCs w:val="24"/>
        </w:rPr>
        <w:t>randomly selected pr</w:t>
      </w:r>
      <w:r w:rsidRPr="002C149E">
        <w:rPr>
          <w:rFonts w:ascii="Times New Roman" w:eastAsia="Times New Roman" w:hAnsi="Times New Roman" w:cs="Times New Roman"/>
          <w:sz w:val="24"/>
          <w:szCs w:val="24"/>
        </w:rPr>
        <w:t xml:space="preserve">operties. </w:t>
      </w:r>
      <w:r w:rsidR="00105394" w:rsidRPr="002C149E">
        <w:rPr>
          <w:rFonts w:ascii="Times New Roman" w:eastAsia="Times New Roman" w:hAnsi="Times New Roman" w:cs="Times New Roman"/>
          <w:sz w:val="24"/>
          <w:szCs w:val="24"/>
        </w:rPr>
        <w:t xml:space="preserve">Commercial premises, </w:t>
      </w:r>
      <w:r w:rsidRPr="002C149E">
        <w:rPr>
          <w:rFonts w:ascii="Times New Roman" w:eastAsia="Times New Roman" w:hAnsi="Times New Roman" w:cs="Times New Roman"/>
          <w:sz w:val="24"/>
          <w:szCs w:val="24"/>
        </w:rPr>
        <w:t>hospitals, hostels</w:t>
      </w:r>
      <w:r w:rsidR="00105394" w:rsidRPr="002C149E">
        <w:rPr>
          <w:rFonts w:ascii="Times New Roman" w:eastAsia="Times New Roman" w:hAnsi="Times New Roman" w:cs="Times New Roman"/>
          <w:sz w:val="24"/>
          <w:szCs w:val="24"/>
        </w:rPr>
        <w:t>, and residential care facilities</w:t>
      </w:r>
      <w:r w:rsidRPr="002C149E">
        <w:rPr>
          <w:rFonts w:ascii="Times New Roman" w:eastAsia="Times New Roman" w:hAnsi="Times New Roman" w:cs="Times New Roman"/>
          <w:sz w:val="24"/>
          <w:szCs w:val="24"/>
        </w:rPr>
        <w:t xml:space="preserve"> were excluded</w:t>
      </w:r>
      <w:r w:rsidR="00105394" w:rsidRPr="002C149E">
        <w:rPr>
          <w:rFonts w:ascii="Times New Roman" w:eastAsia="Times New Roman" w:hAnsi="Times New Roman" w:cs="Times New Roman"/>
          <w:sz w:val="24"/>
          <w:szCs w:val="24"/>
        </w:rPr>
        <w:t>.</w:t>
      </w:r>
      <w:r w:rsidRPr="002C149E">
        <w:rPr>
          <w:rFonts w:ascii="Times New Roman" w:eastAsia="Times New Roman" w:hAnsi="Times New Roman" w:cs="Times New Roman"/>
          <w:sz w:val="24"/>
          <w:szCs w:val="24"/>
        </w:rPr>
        <w:t xml:space="preserve">  </w:t>
      </w:r>
    </w:p>
    <w:p w:rsidR="00DB72E5" w:rsidRPr="002C149E" w:rsidRDefault="00DB72E5" w:rsidP="00802DF8">
      <w:pPr>
        <w:spacing w:after="0"/>
        <w:jc w:val="both"/>
        <w:rPr>
          <w:rFonts w:ascii="Times New Roman" w:eastAsia="Times New Roman" w:hAnsi="Times New Roman" w:cs="Times New Roman"/>
          <w:sz w:val="24"/>
          <w:szCs w:val="24"/>
        </w:rPr>
      </w:pPr>
    </w:p>
    <w:p w:rsidR="009A2CD6" w:rsidRPr="002C149E" w:rsidRDefault="00DB72E5" w:rsidP="00802DF8">
      <w:pPr>
        <w:spacing w:after="0"/>
        <w:jc w:val="both"/>
        <w:rPr>
          <w:rFonts w:ascii="Times New Roman" w:eastAsia="Times New Roman" w:hAnsi="Times New Roman" w:cs="Times New Roman"/>
          <w:sz w:val="24"/>
          <w:szCs w:val="24"/>
        </w:rPr>
      </w:pPr>
      <w:r w:rsidRPr="002C149E">
        <w:rPr>
          <w:rFonts w:ascii="Times New Roman" w:eastAsia="Times New Roman" w:hAnsi="Times New Roman" w:cs="Times New Roman"/>
          <w:sz w:val="24"/>
          <w:szCs w:val="24"/>
        </w:rPr>
        <w:t xml:space="preserve">A letter introducing </w:t>
      </w:r>
      <w:r w:rsidR="009A2CD6" w:rsidRPr="002C149E">
        <w:rPr>
          <w:rFonts w:ascii="Times New Roman" w:eastAsia="Times New Roman" w:hAnsi="Times New Roman" w:cs="Times New Roman"/>
          <w:sz w:val="24"/>
          <w:szCs w:val="24"/>
        </w:rPr>
        <w:t>SA</w:t>
      </w:r>
      <w:r w:rsidRPr="002C149E">
        <w:rPr>
          <w:rFonts w:ascii="Times New Roman" w:eastAsia="Times New Roman" w:hAnsi="Times New Roman" w:cs="Times New Roman"/>
          <w:sz w:val="24"/>
          <w:szCs w:val="24"/>
        </w:rPr>
        <w:t xml:space="preserve">HOS was sent to </w:t>
      </w:r>
      <w:r w:rsidR="009A2CD6" w:rsidRPr="002C149E">
        <w:rPr>
          <w:rFonts w:ascii="Times New Roman" w:eastAsia="Times New Roman" w:hAnsi="Times New Roman" w:cs="Times New Roman"/>
          <w:sz w:val="24"/>
          <w:szCs w:val="24"/>
        </w:rPr>
        <w:t xml:space="preserve">each selected </w:t>
      </w:r>
      <w:r w:rsidRPr="002C149E">
        <w:rPr>
          <w:rFonts w:ascii="Times New Roman" w:eastAsia="Times New Roman" w:hAnsi="Times New Roman" w:cs="Times New Roman"/>
          <w:sz w:val="24"/>
          <w:szCs w:val="24"/>
        </w:rPr>
        <w:t>household</w:t>
      </w:r>
      <w:r w:rsidR="0028742F">
        <w:rPr>
          <w:rFonts w:ascii="Times New Roman" w:eastAsia="Times New Roman" w:hAnsi="Times New Roman" w:cs="Times New Roman"/>
          <w:sz w:val="24"/>
          <w:szCs w:val="24"/>
        </w:rPr>
        <w:t xml:space="preserve">. The </w:t>
      </w:r>
      <w:r w:rsidR="009A2CD6" w:rsidRPr="002C149E">
        <w:rPr>
          <w:rFonts w:ascii="Times New Roman" w:eastAsia="Times New Roman" w:hAnsi="Times New Roman" w:cs="Times New Roman"/>
          <w:sz w:val="24"/>
          <w:szCs w:val="24"/>
        </w:rPr>
        <w:t>perso</w:t>
      </w:r>
      <w:r w:rsidRPr="002C149E">
        <w:rPr>
          <w:rFonts w:ascii="Times New Roman" w:eastAsia="Times New Roman" w:hAnsi="Times New Roman" w:cs="Times New Roman"/>
          <w:sz w:val="24"/>
          <w:szCs w:val="24"/>
        </w:rPr>
        <w:t xml:space="preserve">n </w:t>
      </w:r>
      <w:proofErr w:type="gramStart"/>
      <w:r w:rsidRPr="002C149E">
        <w:rPr>
          <w:rFonts w:ascii="Times New Roman" w:eastAsia="Times New Roman" w:hAnsi="Times New Roman" w:cs="Times New Roman"/>
          <w:sz w:val="24"/>
          <w:szCs w:val="24"/>
        </w:rPr>
        <w:t>aged</w:t>
      </w:r>
      <w:r w:rsidR="0028742F">
        <w:rPr>
          <w:rFonts w:ascii="Times New Roman" w:eastAsia="Times New Roman" w:hAnsi="Times New Roman" w:cs="Times New Roman"/>
          <w:sz w:val="24"/>
          <w:szCs w:val="24"/>
        </w:rPr>
        <w:t xml:space="preserve"> </w:t>
      </w:r>
      <w:r w:rsidRPr="002C149E">
        <w:rPr>
          <w:rFonts w:ascii="Times New Roman" w:eastAsia="Times New Roman" w:hAnsi="Times New Roman" w:cs="Times New Roman"/>
          <w:sz w:val="24"/>
          <w:szCs w:val="24"/>
        </w:rPr>
        <w:t xml:space="preserve"> ≥</w:t>
      </w:r>
      <w:proofErr w:type="gramEnd"/>
      <w:r w:rsidRPr="002C149E">
        <w:rPr>
          <w:rFonts w:ascii="Times New Roman" w:eastAsia="Times New Roman" w:hAnsi="Times New Roman" w:cs="Times New Roman"/>
          <w:sz w:val="24"/>
          <w:szCs w:val="24"/>
        </w:rPr>
        <w:t>15 years</w:t>
      </w:r>
      <w:r w:rsidR="009A2CD6" w:rsidRPr="002C149E">
        <w:rPr>
          <w:rFonts w:ascii="Times New Roman" w:eastAsia="Times New Roman" w:hAnsi="Times New Roman" w:cs="Times New Roman"/>
          <w:sz w:val="24"/>
          <w:szCs w:val="24"/>
        </w:rPr>
        <w:t xml:space="preserve"> </w:t>
      </w:r>
      <w:r w:rsidRPr="002C149E">
        <w:rPr>
          <w:rFonts w:ascii="Times New Roman" w:eastAsia="Times New Roman" w:hAnsi="Times New Roman" w:cs="Times New Roman"/>
          <w:sz w:val="24"/>
          <w:szCs w:val="24"/>
        </w:rPr>
        <w:t xml:space="preserve">who </w:t>
      </w:r>
      <w:r w:rsidR="009A2CD6" w:rsidRPr="002C149E">
        <w:rPr>
          <w:rFonts w:ascii="Times New Roman" w:eastAsia="Times New Roman" w:hAnsi="Times New Roman" w:cs="Times New Roman"/>
          <w:sz w:val="24"/>
          <w:szCs w:val="24"/>
        </w:rPr>
        <w:t>m</w:t>
      </w:r>
      <w:r w:rsidRPr="002C149E">
        <w:rPr>
          <w:rFonts w:ascii="Times New Roman" w:eastAsia="Times New Roman" w:hAnsi="Times New Roman" w:cs="Times New Roman"/>
          <w:sz w:val="24"/>
          <w:szCs w:val="24"/>
        </w:rPr>
        <w:t xml:space="preserve">ost recently had a birthday was selected for </w:t>
      </w:r>
      <w:r w:rsidR="009A2CD6" w:rsidRPr="002C149E">
        <w:rPr>
          <w:rFonts w:ascii="Times New Roman" w:eastAsia="Times New Roman" w:hAnsi="Times New Roman" w:cs="Times New Roman"/>
          <w:sz w:val="24"/>
          <w:szCs w:val="24"/>
        </w:rPr>
        <w:t xml:space="preserve">the face-to-face </w:t>
      </w:r>
      <w:r w:rsidRPr="002C149E">
        <w:rPr>
          <w:rFonts w:ascii="Times New Roman" w:eastAsia="Times New Roman" w:hAnsi="Times New Roman" w:cs="Times New Roman"/>
          <w:sz w:val="24"/>
          <w:szCs w:val="24"/>
        </w:rPr>
        <w:t xml:space="preserve">interview. </w:t>
      </w:r>
      <w:r w:rsidR="00F66D43" w:rsidRPr="00F66D43">
        <w:rPr>
          <w:rFonts w:ascii="Times New Roman" w:eastAsia="Times New Roman" w:hAnsi="Times New Roman" w:cs="Times New Roman"/>
          <w:sz w:val="24"/>
          <w:szCs w:val="24"/>
        </w:rPr>
        <w:t xml:space="preserve">(This cut-off was selected based on Australian government convention when stratifying carers by age). </w:t>
      </w:r>
      <w:r w:rsidR="009C191D">
        <w:rPr>
          <w:rFonts w:ascii="Times New Roman" w:eastAsia="Times New Roman" w:hAnsi="Times New Roman" w:cs="Times New Roman"/>
          <w:sz w:val="24"/>
          <w:szCs w:val="24"/>
        </w:rPr>
        <w:t>I</w:t>
      </w:r>
      <w:r w:rsidR="009A2CD6" w:rsidRPr="002C149E">
        <w:rPr>
          <w:rFonts w:ascii="Times New Roman" w:eastAsia="Times New Roman" w:hAnsi="Times New Roman" w:cs="Times New Roman"/>
          <w:sz w:val="24"/>
          <w:szCs w:val="24"/>
        </w:rPr>
        <w:t xml:space="preserve">f the </w:t>
      </w:r>
      <w:r w:rsidR="009C191D">
        <w:rPr>
          <w:rFonts w:ascii="Times New Roman" w:eastAsia="Times New Roman" w:hAnsi="Times New Roman" w:cs="Times New Roman"/>
          <w:sz w:val="24"/>
          <w:szCs w:val="24"/>
        </w:rPr>
        <w:t xml:space="preserve">selected </w:t>
      </w:r>
      <w:r w:rsidR="009A2CD6" w:rsidRPr="002C149E">
        <w:rPr>
          <w:rFonts w:ascii="Times New Roman" w:eastAsia="Times New Roman" w:hAnsi="Times New Roman" w:cs="Times New Roman"/>
          <w:sz w:val="24"/>
          <w:szCs w:val="24"/>
        </w:rPr>
        <w:t>respondent declined to participate</w:t>
      </w:r>
      <w:r w:rsidR="009C191D">
        <w:rPr>
          <w:rFonts w:ascii="Times New Roman" w:eastAsia="Times New Roman" w:hAnsi="Times New Roman" w:cs="Times New Roman"/>
          <w:sz w:val="24"/>
          <w:szCs w:val="24"/>
        </w:rPr>
        <w:t xml:space="preserve">, another </w:t>
      </w:r>
      <w:r w:rsidR="009C191D" w:rsidRPr="009C191D">
        <w:rPr>
          <w:rFonts w:ascii="Times New Roman" w:eastAsia="Times New Roman" w:hAnsi="Times New Roman" w:cs="Times New Roman"/>
          <w:sz w:val="24"/>
          <w:szCs w:val="24"/>
        </w:rPr>
        <w:t>person from the same household could not substit</w:t>
      </w:r>
      <w:r w:rsidR="009C191D">
        <w:rPr>
          <w:rFonts w:ascii="Times New Roman" w:eastAsia="Times New Roman" w:hAnsi="Times New Roman" w:cs="Times New Roman"/>
          <w:sz w:val="24"/>
          <w:szCs w:val="24"/>
        </w:rPr>
        <w:t>ute</w:t>
      </w:r>
      <w:r w:rsidR="009A2CD6" w:rsidRPr="002C149E">
        <w:rPr>
          <w:rFonts w:ascii="Times New Roman" w:eastAsia="Times New Roman" w:hAnsi="Times New Roman" w:cs="Times New Roman"/>
          <w:sz w:val="24"/>
          <w:szCs w:val="24"/>
        </w:rPr>
        <w:t>.  Trained interviewers conducted all interviews in the respondent’s home</w:t>
      </w:r>
      <w:r w:rsidRPr="002C149E">
        <w:rPr>
          <w:rFonts w:ascii="Times New Roman" w:eastAsia="Times New Roman" w:hAnsi="Times New Roman" w:cs="Times New Roman"/>
          <w:sz w:val="24"/>
          <w:szCs w:val="24"/>
        </w:rPr>
        <w:t xml:space="preserve">. </w:t>
      </w:r>
    </w:p>
    <w:p w:rsidR="006A1E9E" w:rsidRPr="002C149E" w:rsidRDefault="006A1E9E" w:rsidP="00802DF8">
      <w:pPr>
        <w:spacing w:after="0"/>
        <w:jc w:val="both"/>
        <w:rPr>
          <w:rFonts w:ascii="Times New Roman" w:eastAsia="Times New Roman" w:hAnsi="Times New Roman" w:cs="Times New Roman"/>
          <w:sz w:val="24"/>
          <w:szCs w:val="24"/>
        </w:rPr>
      </w:pPr>
    </w:p>
    <w:p w:rsidR="00DB72E5" w:rsidRPr="002C149E" w:rsidRDefault="0088200E" w:rsidP="00802DF8">
      <w:pPr>
        <w:spacing w:after="0"/>
        <w:jc w:val="both"/>
        <w:rPr>
          <w:rFonts w:ascii="Times New Roman" w:eastAsia="Times New Roman" w:hAnsi="Times New Roman" w:cs="Times New Roman"/>
          <w:sz w:val="24"/>
          <w:szCs w:val="24"/>
        </w:rPr>
      </w:pPr>
      <w:r w:rsidRPr="002C149E">
        <w:rPr>
          <w:rFonts w:ascii="Times New Roman" w:eastAsia="Times New Roman" w:hAnsi="Times New Roman" w:cs="Times New Roman"/>
          <w:sz w:val="24"/>
          <w:szCs w:val="24"/>
        </w:rPr>
        <w:t>D</w:t>
      </w:r>
      <w:r w:rsidR="006F1A9D" w:rsidRPr="002C149E">
        <w:rPr>
          <w:rFonts w:ascii="Times New Roman" w:eastAsia="Times New Roman" w:hAnsi="Times New Roman" w:cs="Times New Roman"/>
          <w:sz w:val="24"/>
          <w:szCs w:val="24"/>
        </w:rPr>
        <w:t>ata were weighted by five-</w:t>
      </w:r>
      <w:r w:rsidR="00DB72E5" w:rsidRPr="002C149E">
        <w:rPr>
          <w:rFonts w:ascii="Times New Roman" w:eastAsia="Times New Roman" w:hAnsi="Times New Roman" w:cs="Times New Roman"/>
          <w:sz w:val="24"/>
          <w:szCs w:val="24"/>
        </w:rPr>
        <w:t>year age group</w:t>
      </w:r>
      <w:r w:rsidRPr="002C149E">
        <w:rPr>
          <w:rFonts w:ascii="Times New Roman" w:eastAsia="Times New Roman" w:hAnsi="Times New Roman" w:cs="Times New Roman"/>
          <w:sz w:val="24"/>
          <w:szCs w:val="24"/>
        </w:rPr>
        <w:t>s</w:t>
      </w:r>
      <w:r w:rsidR="00DB72E5" w:rsidRPr="002C149E">
        <w:rPr>
          <w:rFonts w:ascii="Times New Roman" w:eastAsia="Times New Roman" w:hAnsi="Times New Roman" w:cs="Times New Roman"/>
          <w:sz w:val="24"/>
          <w:szCs w:val="24"/>
        </w:rPr>
        <w:t xml:space="preserve">, sex, </w:t>
      </w:r>
      <w:r w:rsidRPr="002C149E">
        <w:rPr>
          <w:rFonts w:ascii="Times New Roman" w:eastAsia="Times New Roman" w:hAnsi="Times New Roman" w:cs="Times New Roman"/>
          <w:sz w:val="24"/>
          <w:szCs w:val="24"/>
        </w:rPr>
        <w:t xml:space="preserve">household size and </w:t>
      </w:r>
      <w:r w:rsidR="00DB72E5" w:rsidRPr="002C149E">
        <w:rPr>
          <w:rFonts w:ascii="Times New Roman" w:eastAsia="Times New Roman" w:hAnsi="Times New Roman" w:cs="Times New Roman"/>
          <w:sz w:val="24"/>
          <w:szCs w:val="24"/>
        </w:rPr>
        <w:t>rurality</w:t>
      </w:r>
      <w:r w:rsidRPr="002C149E">
        <w:rPr>
          <w:rFonts w:ascii="Times New Roman" w:eastAsia="Times New Roman" w:hAnsi="Times New Roman" w:cs="Times New Roman"/>
          <w:sz w:val="24"/>
          <w:szCs w:val="24"/>
        </w:rPr>
        <w:t xml:space="preserve"> using estimates from the ABS’</w:t>
      </w:r>
      <w:r w:rsidR="00DB72E5" w:rsidRPr="002C149E">
        <w:rPr>
          <w:rFonts w:ascii="Times New Roman" w:eastAsia="Times New Roman" w:hAnsi="Times New Roman" w:cs="Times New Roman"/>
          <w:sz w:val="24"/>
          <w:szCs w:val="24"/>
        </w:rPr>
        <w:t xml:space="preserve">, 2011 Estimated Residential Population for South Australia. </w:t>
      </w:r>
    </w:p>
    <w:p w:rsidR="00DB72E5" w:rsidRPr="002C149E" w:rsidRDefault="00DB72E5" w:rsidP="00802DF8">
      <w:pPr>
        <w:spacing w:after="0"/>
        <w:jc w:val="both"/>
        <w:rPr>
          <w:rFonts w:ascii="Times New Roman" w:eastAsia="Times New Roman" w:hAnsi="Times New Roman" w:cs="Times New Roman"/>
          <w:color w:val="BFBFBF" w:themeColor="background1" w:themeShade="BF"/>
          <w:sz w:val="24"/>
          <w:szCs w:val="24"/>
        </w:rPr>
      </w:pPr>
    </w:p>
    <w:p w:rsidR="00DB72E5" w:rsidRPr="002C149E" w:rsidRDefault="00DB72E5" w:rsidP="00802DF8">
      <w:pPr>
        <w:spacing w:after="0"/>
        <w:jc w:val="both"/>
        <w:rPr>
          <w:rFonts w:ascii="Times New Roman" w:hAnsi="Times New Roman" w:cs="Times New Roman"/>
          <w:i/>
          <w:sz w:val="24"/>
          <w:szCs w:val="24"/>
        </w:rPr>
      </w:pPr>
      <w:r w:rsidRPr="002C149E">
        <w:rPr>
          <w:rFonts w:ascii="Times New Roman" w:hAnsi="Times New Roman" w:cs="Times New Roman"/>
          <w:i/>
          <w:sz w:val="24"/>
          <w:szCs w:val="24"/>
        </w:rPr>
        <w:t xml:space="preserve">Measurement tools used in the study </w:t>
      </w:r>
    </w:p>
    <w:p w:rsidR="00CE7434" w:rsidRPr="002C149E" w:rsidRDefault="00CE7434" w:rsidP="00802DF8">
      <w:pPr>
        <w:spacing w:after="0"/>
        <w:jc w:val="both"/>
        <w:rPr>
          <w:rFonts w:ascii="Times New Roman" w:eastAsia="Times New Roman" w:hAnsi="Times New Roman" w:cs="Times New Roman"/>
          <w:sz w:val="24"/>
          <w:szCs w:val="24"/>
        </w:rPr>
      </w:pPr>
      <w:r w:rsidRPr="002C149E">
        <w:rPr>
          <w:rFonts w:ascii="Times New Roman" w:eastAsia="Times New Roman" w:hAnsi="Times New Roman" w:cs="Times New Roman"/>
          <w:sz w:val="24"/>
          <w:szCs w:val="24"/>
        </w:rPr>
        <w:t>Demograph</w:t>
      </w:r>
      <w:r w:rsidR="006F1A9D" w:rsidRPr="002C149E">
        <w:rPr>
          <w:rFonts w:ascii="Times New Roman" w:eastAsia="Times New Roman" w:hAnsi="Times New Roman" w:cs="Times New Roman"/>
          <w:sz w:val="24"/>
          <w:szCs w:val="24"/>
        </w:rPr>
        <w:t>ic variables included age (nine-</w:t>
      </w:r>
      <w:r w:rsidRPr="002C149E">
        <w:rPr>
          <w:rFonts w:ascii="Times New Roman" w:eastAsia="Times New Roman" w:hAnsi="Times New Roman" w:cs="Times New Roman"/>
          <w:sz w:val="24"/>
          <w:szCs w:val="24"/>
        </w:rPr>
        <w:t>year age groups), sex, highest educational attainment, and current employment status.</w:t>
      </w:r>
    </w:p>
    <w:p w:rsidR="00CE7434" w:rsidRPr="002C149E" w:rsidRDefault="00CE7434" w:rsidP="00802DF8">
      <w:pPr>
        <w:spacing w:after="0"/>
        <w:jc w:val="both"/>
        <w:rPr>
          <w:rFonts w:ascii="Times New Roman" w:hAnsi="Times New Roman" w:cs="Times New Roman"/>
          <w:i/>
          <w:sz w:val="24"/>
          <w:szCs w:val="24"/>
        </w:rPr>
      </w:pPr>
    </w:p>
    <w:p w:rsidR="00DB72E5" w:rsidRPr="002C149E" w:rsidRDefault="00FC37F9" w:rsidP="00802DF8">
      <w:pPr>
        <w:spacing w:after="0"/>
        <w:jc w:val="both"/>
        <w:rPr>
          <w:rFonts w:ascii="Times New Roman" w:hAnsi="Times New Roman" w:cs="Times New Roman"/>
          <w:sz w:val="24"/>
          <w:szCs w:val="24"/>
        </w:rPr>
      </w:pPr>
      <w:r w:rsidRPr="002C149E">
        <w:rPr>
          <w:rFonts w:ascii="Times New Roman" w:hAnsi="Times New Roman" w:cs="Times New Roman"/>
          <w:sz w:val="24"/>
          <w:szCs w:val="24"/>
        </w:rPr>
        <w:t>Respondents were asked if ‘someone close to them had died of a terminal illness in the la</w:t>
      </w:r>
      <w:r w:rsidR="007D2A0B" w:rsidRPr="002C149E">
        <w:rPr>
          <w:rFonts w:ascii="Times New Roman" w:hAnsi="Times New Roman" w:cs="Times New Roman"/>
          <w:sz w:val="24"/>
          <w:szCs w:val="24"/>
        </w:rPr>
        <w:t>s</w:t>
      </w:r>
      <w:r w:rsidRPr="002C149E">
        <w:rPr>
          <w:rFonts w:ascii="Times New Roman" w:hAnsi="Times New Roman" w:cs="Times New Roman"/>
          <w:sz w:val="24"/>
          <w:szCs w:val="24"/>
        </w:rPr>
        <w:t>t five y</w:t>
      </w:r>
      <w:r w:rsidR="007D2A0B" w:rsidRPr="002C149E">
        <w:rPr>
          <w:rFonts w:ascii="Times New Roman" w:hAnsi="Times New Roman" w:cs="Times New Roman"/>
          <w:sz w:val="24"/>
          <w:szCs w:val="24"/>
        </w:rPr>
        <w:t>e</w:t>
      </w:r>
      <w:r w:rsidRPr="002C149E">
        <w:rPr>
          <w:rFonts w:ascii="Times New Roman" w:hAnsi="Times New Roman" w:cs="Times New Roman"/>
          <w:sz w:val="24"/>
          <w:szCs w:val="24"/>
        </w:rPr>
        <w:t xml:space="preserve">ars’. If </w:t>
      </w:r>
      <w:r w:rsidR="006A1E9E" w:rsidRPr="002C149E">
        <w:rPr>
          <w:rFonts w:ascii="Times New Roman" w:hAnsi="Times New Roman" w:cs="Times New Roman"/>
          <w:sz w:val="24"/>
          <w:szCs w:val="24"/>
        </w:rPr>
        <w:t>yes</w:t>
      </w:r>
      <w:r w:rsidRPr="002C149E">
        <w:rPr>
          <w:rFonts w:ascii="Times New Roman" w:hAnsi="Times New Roman" w:cs="Times New Roman"/>
          <w:sz w:val="24"/>
          <w:szCs w:val="24"/>
        </w:rPr>
        <w:t xml:space="preserve">, respondents were then asked a series of questions relating to the person who died, characteristics of any care </w:t>
      </w:r>
      <w:proofErr w:type="gramStart"/>
      <w:r w:rsidRPr="002C149E">
        <w:rPr>
          <w:rFonts w:ascii="Times New Roman" w:hAnsi="Times New Roman" w:cs="Times New Roman"/>
          <w:sz w:val="24"/>
          <w:szCs w:val="24"/>
        </w:rPr>
        <w:t>provided,</w:t>
      </w:r>
      <w:proofErr w:type="gramEnd"/>
      <w:r w:rsidRPr="002C149E">
        <w:rPr>
          <w:rFonts w:ascii="Times New Roman" w:hAnsi="Times New Roman" w:cs="Times New Roman"/>
          <w:sz w:val="24"/>
          <w:szCs w:val="24"/>
        </w:rPr>
        <w:t xml:space="preserve"> perceived unmet needs</w:t>
      </w:r>
      <w:r w:rsidR="006F1A9D" w:rsidRPr="002C149E">
        <w:rPr>
          <w:rFonts w:ascii="Times New Roman" w:hAnsi="Times New Roman" w:cs="Times New Roman"/>
          <w:sz w:val="24"/>
          <w:szCs w:val="24"/>
        </w:rPr>
        <w:t>,</w:t>
      </w:r>
      <w:r w:rsidRPr="002C149E">
        <w:rPr>
          <w:rFonts w:ascii="Times New Roman" w:hAnsi="Times New Roman" w:cs="Times New Roman"/>
          <w:sz w:val="24"/>
          <w:szCs w:val="24"/>
        </w:rPr>
        <w:t xml:space="preserve"> and whether or not the respondent had been able to </w:t>
      </w:r>
      <w:r w:rsidR="006F1A9D" w:rsidRPr="002C149E">
        <w:rPr>
          <w:rFonts w:ascii="Times New Roman" w:hAnsi="Times New Roman" w:cs="Times New Roman"/>
          <w:i/>
          <w:sz w:val="24"/>
          <w:szCs w:val="24"/>
        </w:rPr>
        <w:t>move on</w:t>
      </w:r>
      <w:r w:rsidRPr="002C149E">
        <w:rPr>
          <w:rFonts w:ascii="Times New Roman" w:hAnsi="Times New Roman" w:cs="Times New Roman"/>
          <w:sz w:val="24"/>
          <w:szCs w:val="24"/>
        </w:rPr>
        <w:t xml:space="preserve"> with their lives </w:t>
      </w:r>
      <w:r w:rsidR="00085FA8" w:rsidRPr="002C149E">
        <w:rPr>
          <w:rFonts w:ascii="Times New Roman" w:hAnsi="Times New Roman" w:cs="Times New Roman"/>
          <w:sz w:val="24"/>
          <w:szCs w:val="24"/>
        </w:rPr>
        <w:t>(30</w:t>
      </w:r>
      <w:r w:rsidR="002A2E3E" w:rsidRPr="002C149E">
        <w:rPr>
          <w:rFonts w:ascii="Times New Roman" w:hAnsi="Times New Roman" w:cs="Times New Roman"/>
          <w:sz w:val="24"/>
          <w:szCs w:val="24"/>
        </w:rPr>
        <w:t>)</w:t>
      </w:r>
      <w:r w:rsidR="00275D7A" w:rsidRPr="002C149E">
        <w:rPr>
          <w:rFonts w:ascii="Times New Roman" w:hAnsi="Times New Roman" w:cs="Times New Roman"/>
          <w:sz w:val="24"/>
          <w:szCs w:val="24"/>
        </w:rPr>
        <w:t>.</w:t>
      </w:r>
    </w:p>
    <w:p w:rsidR="00CE7434" w:rsidRPr="002C149E" w:rsidRDefault="00CE7434" w:rsidP="00802DF8">
      <w:pPr>
        <w:keepNext/>
        <w:keepLines/>
        <w:spacing w:after="0"/>
        <w:jc w:val="both"/>
        <w:outlineLvl w:val="1"/>
        <w:rPr>
          <w:rFonts w:ascii="Times New Roman" w:eastAsiaTheme="majorEastAsia" w:hAnsi="Times New Roman" w:cs="Times New Roman"/>
          <w:i/>
          <w:sz w:val="24"/>
          <w:szCs w:val="24"/>
        </w:rPr>
      </w:pPr>
    </w:p>
    <w:bookmarkEnd w:id="1"/>
    <w:bookmarkEnd w:id="2"/>
    <w:p w:rsidR="00E93C7B" w:rsidRPr="002C149E" w:rsidRDefault="00E93C7B" w:rsidP="002A2E3E">
      <w:pPr>
        <w:spacing w:after="0"/>
        <w:jc w:val="both"/>
        <w:rPr>
          <w:rFonts w:ascii="Times New Roman" w:hAnsi="Times New Roman" w:cs="Times New Roman"/>
          <w:sz w:val="24"/>
          <w:szCs w:val="24"/>
        </w:rPr>
      </w:pPr>
      <w:r w:rsidRPr="002C149E">
        <w:rPr>
          <w:rFonts w:ascii="Times New Roman" w:hAnsi="Times New Roman" w:cs="Times New Roman"/>
          <w:i/>
          <w:sz w:val="24"/>
          <w:szCs w:val="24"/>
        </w:rPr>
        <w:t>Statistical methods</w:t>
      </w:r>
    </w:p>
    <w:p w:rsidR="00E93C7B" w:rsidRPr="002C149E" w:rsidRDefault="00E93C7B" w:rsidP="002A2E3E">
      <w:pPr>
        <w:spacing w:after="0"/>
        <w:jc w:val="both"/>
        <w:rPr>
          <w:rFonts w:ascii="Times New Roman" w:hAnsi="Times New Roman" w:cs="Times New Roman"/>
          <w:sz w:val="24"/>
          <w:szCs w:val="24"/>
        </w:rPr>
      </w:pPr>
      <w:r w:rsidRPr="002C149E">
        <w:rPr>
          <w:rFonts w:ascii="Times New Roman" w:hAnsi="Times New Roman" w:cs="Times New Roman"/>
          <w:sz w:val="24"/>
          <w:szCs w:val="24"/>
        </w:rPr>
        <w:t>The primary variable of interest asked the question whether care</w:t>
      </w:r>
      <w:r w:rsidR="00A31ACD" w:rsidRPr="002C149E">
        <w:rPr>
          <w:rFonts w:ascii="Times New Roman" w:hAnsi="Times New Roman" w:cs="Times New Roman"/>
          <w:sz w:val="24"/>
          <w:szCs w:val="24"/>
        </w:rPr>
        <w:t>give</w:t>
      </w:r>
      <w:r w:rsidRPr="002C149E">
        <w:rPr>
          <w:rFonts w:ascii="Times New Roman" w:hAnsi="Times New Roman" w:cs="Times New Roman"/>
          <w:sz w:val="24"/>
          <w:szCs w:val="24"/>
        </w:rPr>
        <w:t>rs ha</w:t>
      </w:r>
      <w:r w:rsidR="00A31ACD" w:rsidRPr="002C149E">
        <w:rPr>
          <w:rFonts w:ascii="Times New Roman" w:hAnsi="Times New Roman" w:cs="Times New Roman"/>
          <w:sz w:val="24"/>
          <w:szCs w:val="24"/>
        </w:rPr>
        <w:t>d</w:t>
      </w:r>
      <w:r w:rsidRPr="002C149E">
        <w:rPr>
          <w:rFonts w:ascii="Times New Roman" w:hAnsi="Times New Roman" w:cs="Times New Roman"/>
          <w:sz w:val="24"/>
          <w:szCs w:val="24"/>
        </w:rPr>
        <w:t xml:space="preserve"> </w:t>
      </w:r>
      <w:r w:rsidRPr="002C149E">
        <w:rPr>
          <w:rFonts w:ascii="Times New Roman" w:hAnsi="Times New Roman" w:cs="Times New Roman"/>
          <w:i/>
          <w:sz w:val="24"/>
          <w:szCs w:val="24"/>
        </w:rPr>
        <w:t>moved on</w:t>
      </w:r>
      <w:r w:rsidRPr="002C149E">
        <w:rPr>
          <w:rFonts w:ascii="Times New Roman" w:hAnsi="Times New Roman" w:cs="Times New Roman"/>
          <w:sz w:val="24"/>
          <w:szCs w:val="24"/>
        </w:rPr>
        <w:t xml:space="preserve">.  Respondents were asked to </w:t>
      </w:r>
      <w:r w:rsidR="00A31ACD" w:rsidRPr="002C149E">
        <w:rPr>
          <w:rFonts w:ascii="Times New Roman" w:hAnsi="Times New Roman" w:cs="Times New Roman"/>
          <w:sz w:val="24"/>
          <w:szCs w:val="24"/>
        </w:rPr>
        <w:t xml:space="preserve">identify </w:t>
      </w:r>
      <w:r w:rsidRPr="002C149E">
        <w:rPr>
          <w:rFonts w:ascii="Times New Roman" w:hAnsi="Times New Roman" w:cs="Times New Roman"/>
          <w:sz w:val="24"/>
          <w:szCs w:val="24"/>
        </w:rPr>
        <w:t>one of three categories</w:t>
      </w:r>
      <w:r w:rsidR="00A31ACD" w:rsidRPr="002C149E">
        <w:rPr>
          <w:rFonts w:ascii="Times New Roman" w:hAnsi="Times New Roman" w:cs="Times New Roman"/>
          <w:sz w:val="24"/>
          <w:szCs w:val="24"/>
        </w:rPr>
        <w:t>:</w:t>
      </w:r>
      <w:r w:rsidR="006F1A9D" w:rsidRPr="002C149E">
        <w:rPr>
          <w:rFonts w:ascii="Times New Roman" w:hAnsi="Times New Roman" w:cs="Times New Roman"/>
          <w:sz w:val="24"/>
          <w:szCs w:val="24"/>
        </w:rPr>
        <w:t xml:space="preserve"> “</w:t>
      </w:r>
      <w:r w:rsidR="00A31ACD" w:rsidRPr="002C149E">
        <w:rPr>
          <w:rFonts w:ascii="Times New Roman" w:hAnsi="Times New Roman" w:cs="Times New Roman"/>
          <w:sz w:val="24"/>
          <w:szCs w:val="24"/>
        </w:rPr>
        <w:t>n</w:t>
      </w:r>
      <w:r w:rsidR="006F1A9D" w:rsidRPr="002C149E">
        <w:rPr>
          <w:rFonts w:ascii="Times New Roman" w:hAnsi="Times New Roman" w:cs="Times New Roman"/>
          <w:sz w:val="24"/>
          <w:szCs w:val="24"/>
        </w:rPr>
        <w:t>ot moved on”</w:t>
      </w:r>
      <w:r w:rsidR="00A31ACD" w:rsidRPr="002C149E">
        <w:rPr>
          <w:rFonts w:ascii="Times New Roman" w:hAnsi="Times New Roman" w:cs="Times New Roman"/>
          <w:sz w:val="24"/>
          <w:szCs w:val="24"/>
        </w:rPr>
        <w:t>;</w:t>
      </w:r>
      <w:r w:rsidR="006F1A9D" w:rsidRPr="002C149E">
        <w:rPr>
          <w:rFonts w:ascii="Times New Roman" w:hAnsi="Times New Roman" w:cs="Times New Roman"/>
          <w:sz w:val="24"/>
          <w:szCs w:val="24"/>
        </w:rPr>
        <w:t xml:space="preserve"> “</w:t>
      </w:r>
      <w:r w:rsidR="00A31ACD" w:rsidRPr="002C149E">
        <w:rPr>
          <w:rFonts w:ascii="Times New Roman" w:hAnsi="Times New Roman" w:cs="Times New Roman"/>
          <w:sz w:val="24"/>
          <w:szCs w:val="24"/>
        </w:rPr>
        <w:t>b</w:t>
      </w:r>
      <w:r w:rsidRPr="002C149E">
        <w:rPr>
          <w:rFonts w:ascii="Times New Roman" w:hAnsi="Times New Roman" w:cs="Times New Roman"/>
          <w:sz w:val="24"/>
          <w:szCs w:val="24"/>
        </w:rPr>
        <w:t>eginning to move on</w:t>
      </w:r>
      <w:r w:rsidR="006F1A9D" w:rsidRPr="002C149E">
        <w:rPr>
          <w:rFonts w:ascii="Times New Roman" w:hAnsi="Times New Roman" w:cs="Times New Roman"/>
          <w:sz w:val="24"/>
          <w:szCs w:val="24"/>
        </w:rPr>
        <w:t>”</w:t>
      </w:r>
      <w:r w:rsidR="00A31ACD" w:rsidRPr="002C149E">
        <w:rPr>
          <w:rFonts w:ascii="Times New Roman" w:hAnsi="Times New Roman" w:cs="Times New Roman"/>
          <w:sz w:val="24"/>
          <w:szCs w:val="24"/>
        </w:rPr>
        <w:t>;</w:t>
      </w:r>
      <w:r w:rsidR="006F1A9D" w:rsidRPr="002C149E">
        <w:rPr>
          <w:rFonts w:ascii="Times New Roman" w:hAnsi="Times New Roman" w:cs="Times New Roman"/>
          <w:sz w:val="24"/>
          <w:szCs w:val="24"/>
        </w:rPr>
        <w:t xml:space="preserve"> or “</w:t>
      </w:r>
      <w:r w:rsidR="00A31ACD" w:rsidRPr="002C149E">
        <w:rPr>
          <w:rFonts w:ascii="Times New Roman" w:hAnsi="Times New Roman" w:cs="Times New Roman"/>
          <w:sz w:val="24"/>
          <w:szCs w:val="24"/>
        </w:rPr>
        <w:t>m</w:t>
      </w:r>
      <w:r w:rsidR="006F1A9D" w:rsidRPr="002C149E">
        <w:rPr>
          <w:rFonts w:ascii="Times New Roman" w:hAnsi="Times New Roman" w:cs="Times New Roman"/>
          <w:sz w:val="24"/>
          <w:szCs w:val="24"/>
        </w:rPr>
        <w:t>oved on”</w:t>
      </w:r>
      <w:r w:rsidR="00AC7CC4" w:rsidRPr="002C149E">
        <w:rPr>
          <w:rFonts w:ascii="Times New Roman" w:hAnsi="Times New Roman" w:cs="Times New Roman"/>
          <w:sz w:val="24"/>
          <w:szCs w:val="24"/>
        </w:rPr>
        <w:t>.   Two</w:t>
      </w:r>
      <w:r w:rsidRPr="002C149E">
        <w:rPr>
          <w:rFonts w:ascii="Times New Roman" w:hAnsi="Times New Roman" w:cs="Times New Roman"/>
          <w:sz w:val="24"/>
          <w:szCs w:val="24"/>
        </w:rPr>
        <w:t xml:space="preserve"> pr</w:t>
      </w:r>
      <w:r w:rsidR="006F1A9D" w:rsidRPr="002C149E">
        <w:rPr>
          <w:rFonts w:ascii="Times New Roman" w:hAnsi="Times New Roman" w:cs="Times New Roman"/>
          <w:sz w:val="24"/>
          <w:szCs w:val="24"/>
        </w:rPr>
        <w:t>imary analyses were undertaken</w:t>
      </w:r>
      <w:r w:rsidR="00A31ACD" w:rsidRPr="002C149E">
        <w:rPr>
          <w:rFonts w:ascii="Times New Roman" w:hAnsi="Times New Roman" w:cs="Times New Roman"/>
          <w:sz w:val="24"/>
          <w:szCs w:val="24"/>
        </w:rPr>
        <w:t>:</w:t>
      </w:r>
      <w:r w:rsidRPr="002C149E">
        <w:rPr>
          <w:rFonts w:ascii="Times New Roman" w:hAnsi="Times New Roman" w:cs="Times New Roman"/>
          <w:sz w:val="24"/>
          <w:szCs w:val="24"/>
        </w:rPr>
        <w:t xml:space="preserve"> </w:t>
      </w:r>
      <w:r w:rsidR="00877D34" w:rsidRPr="002C149E">
        <w:rPr>
          <w:rFonts w:ascii="Times New Roman" w:hAnsi="Times New Roman" w:cs="Times New Roman"/>
          <w:sz w:val="24"/>
          <w:szCs w:val="24"/>
        </w:rPr>
        <w:t xml:space="preserve">whether a respondent </w:t>
      </w:r>
      <w:r w:rsidR="00EA7442" w:rsidRPr="002C149E">
        <w:rPr>
          <w:rFonts w:ascii="Times New Roman" w:hAnsi="Times New Roman" w:cs="Times New Roman"/>
          <w:sz w:val="24"/>
          <w:szCs w:val="24"/>
        </w:rPr>
        <w:lastRenderedPageBreak/>
        <w:t>between 13 and 60 months</w:t>
      </w:r>
      <w:r w:rsidR="00B7483C" w:rsidRPr="002C149E">
        <w:rPr>
          <w:rFonts w:ascii="Times New Roman" w:hAnsi="Times New Roman" w:cs="Times New Roman"/>
          <w:sz w:val="24"/>
          <w:szCs w:val="24"/>
        </w:rPr>
        <w:t xml:space="preserve"> post-loss</w:t>
      </w:r>
      <w:r w:rsidR="00877D34" w:rsidRPr="002C149E">
        <w:rPr>
          <w:rFonts w:ascii="Times New Roman" w:hAnsi="Times New Roman" w:cs="Times New Roman"/>
          <w:sz w:val="24"/>
          <w:szCs w:val="24"/>
        </w:rPr>
        <w:t xml:space="preserve"> had been able to </w:t>
      </w:r>
      <w:r w:rsidR="00877D34" w:rsidRPr="002C149E">
        <w:rPr>
          <w:rFonts w:ascii="Times New Roman" w:hAnsi="Times New Roman" w:cs="Times New Roman"/>
          <w:i/>
          <w:sz w:val="24"/>
          <w:szCs w:val="24"/>
        </w:rPr>
        <w:t>move on</w:t>
      </w:r>
      <w:r w:rsidR="00EA7442" w:rsidRPr="002C149E">
        <w:rPr>
          <w:rFonts w:ascii="Times New Roman" w:hAnsi="Times New Roman" w:cs="Times New Roman"/>
          <w:sz w:val="24"/>
          <w:szCs w:val="24"/>
        </w:rPr>
        <w:t xml:space="preserve">; </w:t>
      </w:r>
      <w:r w:rsidRPr="002C149E">
        <w:rPr>
          <w:rFonts w:ascii="Times New Roman" w:hAnsi="Times New Roman" w:cs="Times New Roman"/>
          <w:sz w:val="24"/>
          <w:szCs w:val="24"/>
        </w:rPr>
        <w:t>whether a respondent between 13 and 60 months</w:t>
      </w:r>
      <w:r w:rsidR="00877D34" w:rsidRPr="002C149E">
        <w:rPr>
          <w:rFonts w:ascii="Times New Roman" w:hAnsi="Times New Roman" w:cs="Times New Roman"/>
          <w:sz w:val="24"/>
          <w:szCs w:val="24"/>
        </w:rPr>
        <w:t xml:space="preserve"> had </w:t>
      </w:r>
      <w:r w:rsidR="00877D34" w:rsidRPr="002C149E">
        <w:rPr>
          <w:rFonts w:ascii="Times New Roman" w:hAnsi="Times New Roman" w:cs="Times New Roman"/>
          <w:b/>
          <w:sz w:val="24"/>
          <w:szCs w:val="24"/>
        </w:rPr>
        <w:t>not</w:t>
      </w:r>
      <w:r w:rsidR="00877D34" w:rsidRPr="002C149E">
        <w:rPr>
          <w:rFonts w:ascii="Times New Roman" w:hAnsi="Times New Roman" w:cs="Times New Roman"/>
          <w:sz w:val="24"/>
          <w:szCs w:val="24"/>
        </w:rPr>
        <w:t xml:space="preserve"> been able to </w:t>
      </w:r>
      <w:r w:rsidR="00877D34" w:rsidRPr="002C149E">
        <w:rPr>
          <w:rFonts w:ascii="Times New Roman" w:hAnsi="Times New Roman" w:cs="Times New Roman"/>
          <w:i/>
          <w:sz w:val="24"/>
          <w:szCs w:val="24"/>
        </w:rPr>
        <w:t>move on</w:t>
      </w:r>
      <w:r w:rsidR="00AC7CC4" w:rsidRPr="002C149E">
        <w:rPr>
          <w:rFonts w:ascii="Times New Roman" w:hAnsi="Times New Roman" w:cs="Times New Roman"/>
          <w:sz w:val="24"/>
          <w:szCs w:val="24"/>
        </w:rPr>
        <w:t xml:space="preserve">. </w:t>
      </w:r>
      <w:r w:rsidR="00D07C6E" w:rsidRPr="002C149E">
        <w:rPr>
          <w:rFonts w:ascii="Times New Roman" w:hAnsi="Times New Roman" w:cs="Times New Roman"/>
          <w:sz w:val="24"/>
          <w:szCs w:val="24"/>
        </w:rPr>
        <w:t xml:space="preserve"> Our secondary analysis investigated</w:t>
      </w:r>
      <w:r w:rsidRPr="002C149E">
        <w:rPr>
          <w:rFonts w:ascii="Times New Roman" w:hAnsi="Times New Roman" w:cs="Times New Roman"/>
          <w:sz w:val="24"/>
          <w:szCs w:val="24"/>
        </w:rPr>
        <w:t xml:space="preserve"> whether a respondent between 13 and 24 months </w:t>
      </w:r>
      <w:r w:rsidR="00877D34" w:rsidRPr="002C149E">
        <w:rPr>
          <w:rFonts w:ascii="Times New Roman" w:hAnsi="Times New Roman" w:cs="Times New Roman"/>
          <w:sz w:val="24"/>
          <w:szCs w:val="24"/>
        </w:rPr>
        <w:t xml:space="preserve">had been able to </w:t>
      </w:r>
      <w:r w:rsidR="00877D34" w:rsidRPr="002C149E">
        <w:rPr>
          <w:rFonts w:ascii="Times New Roman" w:hAnsi="Times New Roman" w:cs="Times New Roman"/>
          <w:i/>
          <w:sz w:val="24"/>
          <w:szCs w:val="24"/>
        </w:rPr>
        <w:t>move on</w:t>
      </w:r>
      <w:r w:rsidR="00877D34" w:rsidRPr="002C149E">
        <w:rPr>
          <w:rFonts w:ascii="Times New Roman" w:hAnsi="Times New Roman" w:cs="Times New Roman"/>
          <w:sz w:val="24"/>
          <w:szCs w:val="24"/>
        </w:rPr>
        <w:t xml:space="preserve">. </w:t>
      </w:r>
      <w:r w:rsidRPr="002C149E">
        <w:rPr>
          <w:rFonts w:ascii="Times New Roman" w:hAnsi="Times New Roman" w:cs="Times New Roman"/>
          <w:sz w:val="24"/>
          <w:szCs w:val="24"/>
        </w:rPr>
        <w:t>The primary variable was dichotomised as appropriate in each of these situations.  Demographic and care</w:t>
      </w:r>
      <w:r w:rsidR="00A31ACD" w:rsidRPr="002C149E">
        <w:rPr>
          <w:rFonts w:ascii="Times New Roman" w:hAnsi="Times New Roman" w:cs="Times New Roman"/>
          <w:sz w:val="24"/>
          <w:szCs w:val="24"/>
        </w:rPr>
        <w:t>give</w:t>
      </w:r>
      <w:r w:rsidRPr="002C149E">
        <w:rPr>
          <w:rFonts w:ascii="Times New Roman" w:hAnsi="Times New Roman" w:cs="Times New Roman"/>
          <w:sz w:val="24"/>
          <w:szCs w:val="24"/>
        </w:rPr>
        <w:t>r v</w:t>
      </w:r>
      <w:r w:rsidR="00A31ACD" w:rsidRPr="002C149E">
        <w:rPr>
          <w:rFonts w:ascii="Times New Roman" w:hAnsi="Times New Roman" w:cs="Times New Roman"/>
          <w:sz w:val="24"/>
          <w:szCs w:val="24"/>
        </w:rPr>
        <w:t>ariables used descriptive data</w:t>
      </w:r>
      <w:r w:rsidRPr="002C149E">
        <w:rPr>
          <w:rFonts w:ascii="Times New Roman" w:hAnsi="Times New Roman" w:cs="Times New Roman"/>
          <w:sz w:val="24"/>
          <w:szCs w:val="24"/>
        </w:rPr>
        <w:t xml:space="preserve">.  Factors that predict the outcomes </w:t>
      </w:r>
      <w:r w:rsidR="00EA7442" w:rsidRPr="002C149E">
        <w:rPr>
          <w:rFonts w:ascii="Times New Roman" w:hAnsi="Times New Roman" w:cs="Times New Roman"/>
          <w:sz w:val="24"/>
          <w:szCs w:val="24"/>
        </w:rPr>
        <w:t xml:space="preserve">in both the primary and secondary analyses </w:t>
      </w:r>
      <w:r w:rsidRPr="002C149E">
        <w:rPr>
          <w:rFonts w:ascii="Times New Roman" w:hAnsi="Times New Roman" w:cs="Times New Roman"/>
          <w:sz w:val="24"/>
          <w:szCs w:val="24"/>
        </w:rPr>
        <w:t xml:space="preserve">were assessed using logistic regression and reported as odds ratios (OR) with 95% confidence intervals (95% CI).  </w:t>
      </w:r>
      <w:r w:rsidR="003C16F1" w:rsidRPr="002C149E">
        <w:rPr>
          <w:rFonts w:ascii="Times New Roman" w:hAnsi="Times New Roman" w:cs="Times New Roman"/>
          <w:sz w:val="24"/>
          <w:szCs w:val="24"/>
        </w:rPr>
        <w:t xml:space="preserve">All models were assessed for adequacy using the </w:t>
      </w:r>
      <w:proofErr w:type="spellStart"/>
      <w:r w:rsidR="003C16F1" w:rsidRPr="002C149E">
        <w:rPr>
          <w:rFonts w:ascii="Times New Roman" w:hAnsi="Times New Roman" w:cs="Times New Roman"/>
          <w:sz w:val="24"/>
          <w:szCs w:val="24"/>
        </w:rPr>
        <w:t>Hosmer-Lemeshow</w:t>
      </w:r>
      <w:proofErr w:type="spellEnd"/>
      <w:r w:rsidR="003C16F1" w:rsidRPr="002C149E">
        <w:rPr>
          <w:rFonts w:ascii="Times New Roman" w:hAnsi="Times New Roman" w:cs="Times New Roman"/>
          <w:sz w:val="24"/>
          <w:szCs w:val="24"/>
        </w:rPr>
        <w:t xml:space="preserve"> test. </w:t>
      </w:r>
      <w:r w:rsidRPr="002C149E">
        <w:rPr>
          <w:rFonts w:ascii="Times New Roman" w:hAnsi="Times New Roman" w:cs="Times New Roman"/>
          <w:sz w:val="24"/>
          <w:szCs w:val="24"/>
        </w:rPr>
        <w:t xml:space="preserve">A p-value </w:t>
      </w:r>
      <w:r w:rsidR="003C16F6" w:rsidRPr="002C149E">
        <w:rPr>
          <w:rFonts w:ascii="Times New Roman" w:hAnsi="Times New Roman" w:cs="Times New Roman"/>
          <w:sz w:val="24"/>
          <w:szCs w:val="24"/>
        </w:rPr>
        <w:t>&lt;</w:t>
      </w:r>
      <w:r w:rsidR="005C28AC" w:rsidRPr="002C149E">
        <w:rPr>
          <w:rFonts w:ascii="Times New Roman" w:hAnsi="Times New Roman" w:cs="Times New Roman"/>
          <w:sz w:val="24"/>
          <w:szCs w:val="24"/>
        </w:rPr>
        <w:t xml:space="preserve">0.05 (two-tailed) was </w:t>
      </w:r>
      <w:r w:rsidRPr="002C149E">
        <w:rPr>
          <w:rFonts w:ascii="Times New Roman" w:hAnsi="Times New Roman" w:cs="Times New Roman"/>
          <w:sz w:val="24"/>
          <w:szCs w:val="24"/>
        </w:rPr>
        <w:t>deemed to be statistically significant.  All analyses were conducted with Stata 14.2 (</w:t>
      </w:r>
      <w:proofErr w:type="spellStart"/>
      <w:r w:rsidRPr="002C149E">
        <w:rPr>
          <w:rFonts w:ascii="Times New Roman" w:hAnsi="Times New Roman" w:cs="Times New Roman"/>
          <w:sz w:val="24"/>
          <w:szCs w:val="24"/>
        </w:rPr>
        <w:t>StataCorp</w:t>
      </w:r>
      <w:proofErr w:type="spellEnd"/>
      <w:r w:rsidRPr="002C149E">
        <w:rPr>
          <w:rFonts w:ascii="Times New Roman" w:hAnsi="Times New Roman" w:cs="Times New Roman"/>
          <w:sz w:val="24"/>
          <w:szCs w:val="24"/>
        </w:rPr>
        <w:t xml:space="preserve">, College Station, Texas).   </w:t>
      </w:r>
    </w:p>
    <w:p w:rsidR="00DB72E5" w:rsidRPr="002C149E" w:rsidRDefault="00DB72E5" w:rsidP="00802DF8">
      <w:pPr>
        <w:spacing w:after="0"/>
        <w:jc w:val="both"/>
        <w:rPr>
          <w:rFonts w:ascii="Times New Roman" w:eastAsia="Times New Roman" w:hAnsi="Times New Roman" w:cs="Times New Roman"/>
          <w:sz w:val="24"/>
          <w:szCs w:val="24"/>
        </w:rPr>
      </w:pPr>
    </w:p>
    <w:p w:rsidR="008740FC" w:rsidRPr="002C149E" w:rsidRDefault="008740FC" w:rsidP="00802DF8">
      <w:pPr>
        <w:spacing w:after="0"/>
        <w:jc w:val="both"/>
        <w:rPr>
          <w:rFonts w:ascii="Times New Roman" w:eastAsia="Times New Roman" w:hAnsi="Times New Roman" w:cs="Times New Roman"/>
          <w:i/>
          <w:sz w:val="24"/>
          <w:szCs w:val="24"/>
        </w:rPr>
      </w:pPr>
      <w:r w:rsidRPr="002C149E">
        <w:rPr>
          <w:rFonts w:ascii="Times New Roman" w:eastAsia="Times New Roman" w:hAnsi="Times New Roman" w:cs="Times New Roman"/>
          <w:i/>
          <w:sz w:val="24"/>
          <w:szCs w:val="24"/>
        </w:rPr>
        <w:t>Ethics</w:t>
      </w:r>
      <w:r w:rsidR="00A31ACD" w:rsidRPr="002C149E">
        <w:rPr>
          <w:rFonts w:ascii="Times New Roman" w:eastAsia="Times New Roman" w:hAnsi="Times New Roman" w:cs="Times New Roman"/>
          <w:i/>
          <w:sz w:val="24"/>
          <w:szCs w:val="24"/>
        </w:rPr>
        <w:t>, consent</w:t>
      </w:r>
      <w:r w:rsidRPr="002C149E">
        <w:rPr>
          <w:rFonts w:ascii="Times New Roman" w:eastAsia="Times New Roman" w:hAnsi="Times New Roman" w:cs="Times New Roman"/>
          <w:i/>
          <w:sz w:val="24"/>
          <w:szCs w:val="24"/>
        </w:rPr>
        <w:t xml:space="preserve"> and reporting</w:t>
      </w:r>
    </w:p>
    <w:p w:rsidR="008740FC" w:rsidRPr="002C149E" w:rsidRDefault="008740FC" w:rsidP="002A2E3E">
      <w:pPr>
        <w:autoSpaceDE w:val="0"/>
        <w:autoSpaceDN w:val="0"/>
        <w:adjustRightInd w:val="0"/>
        <w:spacing w:after="0"/>
        <w:jc w:val="both"/>
        <w:rPr>
          <w:rFonts w:ascii="Times New Roman" w:eastAsia="Times New Roman" w:hAnsi="Times New Roman" w:cs="Times New Roman"/>
          <w:sz w:val="24"/>
          <w:szCs w:val="24"/>
        </w:rPr>
      </w:pPr>
      <w:r w:rsidRPr="002C149E">
        <w:rPr>
          <w:rFonts w:ascii="Times New Roman" w:eastAsia="Times New Roman" w:hAnsi="Times New Roman" w:cs="Times New Roman"/>
          <w:sz w:val="24"/>
          <w:szCs w:val="24"/>
        </w:rPr>
        <w:t xml:space="preserve">Ethical approval for the project was obtained from the South Australian Department of Health’s </w:t>
      </w:r>
      <w:r w:rsidR="00A31ACD" w:rsidRPr="002C149E">
        <w:rPr>
          <w:rFonts w:ascii="Times New Roman" w:eastAsia="Times New Roman" w:hAnsi="Times New Roman" w:cs="Times New Roman"/>
          <w:sz w:val="24"/>
          <w:szCs w:val="24"/>
        </w:rPr>
        <w:t>E</w:t>
      </w:r>
      <w:r w:rsidRPr="002C149E">
        <w:rPr>
          <w:rFonts w:ascii="Times New Roman" w:eastAsia="Times New Roman" w:hAnsi="Times New Roman" w:cs="Times New Roman"/>
          <w:sz w:val="24"/>
          <w:szCs w:val="24"/>
        </w:rPr>
        <w:t xml:space="preserve">thics </w:t>
      </w:r>
      <w:r w:rsidR="00A31ACD" w:rsidRPr="002C149E">
        <w:rPr>
          <w:rFonts w:ascii="Times New Roman" w:eastAsia="Times New Roman" w:hAnsi="Times New Roman" w:cs="Times New Roman"/>
          <w:sz w:val="24"/>
          <w:szCs w:val="24"/>
        </w:rPr>
        <w:t>C</w:t>
      </w:r>
      <w:r w:rsidRPr="002C149E">
        <w:rPr>
          <w:rFonts w:ascii="Times New Roman" w:eastAsia="Times New Roman" w:hAnsi="Times New Roman" w:cs="Times New Roman"/>
          <w:sz w:val="24"/>
          <w:szCs w:val="24"/>
        </w:rPr>
        <w:t xml:space="preserve">ommittee. </w:t>
      </w:r>
      <w:r w:rsidR="00A31ACD" w:rsidRPr="002C149E">
        <w:rPr>
          <w:rFonts w:ascii="Times New Roman" w:hAnsi="Times New Roman" w:cs="Times New Roman"/>
          <w:sz w:val="24"/>
          <w:szCs w:val="24"/>
        </w:rPr>
        <w:t>Respondents were interviewed in their homes and, as such, the Human Research Ethics Committee accepted verbal consent and continu</w:t>
      </w:r>
      <w:r w:rsidR="00056218" w:rsidRPr="002C149E">
        <w:rPr>
          <w:rFonts w:ascii="Times New Roman" w:hAnsi="Times New Roman" w:cs="Times New Roman"/>
          <w:sz w:val="24"/>
          <w:szCs w:val="24"/>
        </w:rPr>
        <w:t>ous</w:t>
      </w:r>
      <w:r w:rsidR="00A31ACD" w:rsidRPr="002C149E">
        <w:rPr>
          <w:rFonts w:ascii="Times New Roman" w:hAnsi="Times New Roman" w:cs="Times New Roman"/>
          <w:sz w:val="24"/>
          <w:szCs w:val="24"/>
        </w:rPr>
        <w:t xml:space="preserve"> participation as </w:t>
      </w:r>
      <w:r w:rsidR="00056218" w:rsidRPr="002C149E">
        <w:rPr>
          <w:rFonts w:ascii="Times New Roman" w:hAnsi="Times New Roman" w:cs="Times New Roman"/>
          <w:sz w:val="24"/>
          <w:szCs w:val="24"/>
        </w:rPr>
        <w:t>ongoing</w:t>
      </w:r>
      <w:r w:rsidR="00A31ACD" w:rsidRPr="002C149E">
        <w:rPr>
          <w:rFonts w:ascii="Times New Roman" w:hAnsi="Times New Roman" w:cs="Times New Roman"/>
          <w:sz w:val="24"/>
          <w:szCs w:val="24"/>
        </w:rPr>
        <w:t xml:space="preserve"> consent.</w:t>
      </w:r>
    </w:p>
    <w:p w:rsidR="008740FC" w:rsidRPr="002C149E" w:rsidRDefault="008740FC" w:rsidP="00802DF8">
      <w:pPr>
        <w:spacing w:after="0"/>
        <w:jc w:val="both"/>
        <w:rPr>
          <w:rFonts w:ascii="Times New Roman" w:eastAsia="Times New Roman" w:hAnsi="Times New Roman" w:cs="Times New Roman"/>
          <w:sz w:val="24"/>
          <w:szCs w:val="24"/>
        </w:rPr>
      </w:pPr>
    </w:p>
    <w:p w:rsidR="008740FC" w:rsidRPr="002C149E" w:rsidRDefault="008740FC" w:rsidP="002A2E3E">
      <w:pPr>
        <w:autoSpaceDE w:val="0"/>
        <w:autoSpaceDN w:val="0"/>
        <w:adjustRightInd w:val="0"/>
        <w:spacing w:after="0"/>
        <w:jc w:val="both"/>
        <w:rPr>
          <w:rFonts w:ascii="Times New Roman" w:eastAsia="Times New Roman" w:hAnsi="Times New Roman" w:cs="Times New Roman"/>
          <w:sz w:val="24"/>
          <w:szCs w:val="24"/>
        </w:rPr>
      </w:pPr>
      <w:proofErr w:type="gramStart"/>
      <w:r w:rsidRPr="002C149E">
        <w:rPr>
          <w:rFonts w:ascii="Times New Roman" w:eastAsia="Times New Roman" w:hAnsi="Times New Roman" w:cs="Times New Roman"/>
          <w:sz w:val="24"/>
          <w:szCs w:val="24"/>
        </w:rPr>
        <w:t xml:space="preserve">This paper </w:t>
      </w:r>
      <w:r w:rsidR="003C16F1" w:rsidRPr="002C149E">
        <w:rPr>
          <w:rFonts w:ascii="Times New Roman" w:eastAsia="Times New Roman" w:hAnsi="Times New Roman" w:cs="Times New Roman"/>
          <w:sz w:val="24"/>
          <w:szCs w:val="24"/>
        </w:rPr>
        <w:t xml:space="preserve">reports using </w:t>
      </w:r>
      <w:r w:rsidRPr="002C149E">
        <w:rPr>
          <w:rFonts w:ascii="Times New Roman" w:eastAsia="Times New Roman" w:hAnsi="Times New Roman" w:cs="Times New Roman"/>
          <w:sz w:val="24"/>
          <w:szCs w:val="24"/>
        </w:rPr>
        <w:t xml:space="preserve">the </w:t>
      </w:r>
      <w:r w:rsidR="00A31ACD" w:rsidRPr="002C149E">
        <w:rPr>
          <w:rFonts w:ascii="Times New Roman" w:hAnsi="Times New Roman" w:cs="Times New Roman"/>
          <w:sz w:val="24"/>
          <w:szCs w:val="24"/>
        </w:rPr>
        <w:t>Strengthening the Reporting of Observational Studies in Epidemiology (STROBE) guidelines for reporting observational epidemiological studies</w:t>
      </w:r>
      <w:r w:rsidR="00CA2CD6" w:rsidRPr="002C149E">
        <w:rPr>
          <w:rFonts w:ascii="Times New Roman" w:hAnsi="Times New Roman" w:cs="Times New Roman"/>
          <w:sz w:val="24"/>
          <w:szCs w:val="24"/>
        </w:rPr>
        <w:t xml:space="preserve"> (47</w:t>
      </w:r>
      <w:r w:rsidR="002A2E3E" w:rsidRPr="002C149E">
        <w:rPr>
          <w:rFonts w:ascii="Times New Roman" w:hAnsi="Times New Roman" w:cs="Times New Roman"/>
          <w:sz w:val="24"/>
          <w:szCs w:val="24"/>
        </w:rPr>
        <w:t>)</w:t>
      </w:r>
      <w:r w:rsidR="00A31ACD" w:rsidRPr="002C149E">
        <w:rPr>
          <w:rFonts w:ascii="Times New Roman" w:hAnsi="Times New Roman" w:cs="Times New Roman"/>
          <w:sz w:val="24"/>
          <w:szCs w:val="24"/>
        </w:rPr>
        <w:t>.</w:t>
      </w:r>
      <w:proofErr w:type="gramEnd"/>
      <w:r w:rsidRPr="002C149E">
        <w:rPr>
          <w:rFonts w:ascii="Times New Roman" w:eastAsia="Times New Roman" w:hAnsi="Times New Roman" w:cs="Times New Roman"/>
          <w:sz w:val="24"/>
          <w:szCs w:val="24"/>
        </w:rPr>
        <w:t xml:space="preserve"> </w:t>
      </w:r>
    </w:p>
    <w:p w:rsidR="008740FC" w:rsidRPr="002C149E" w:rsidRDefault="008740FC" w:rsidP="00802DF8">
      <w:pPr>
        <w:spacing w:after="0"/>
        <w:rPr>
          <w:rFonts w:ascii="Times New Roman" w:eastAsia="Times New Roman" w:hAnsi="Times New Roman" w:cs="Times New Roman"/>
          <w:sz w:val="24"/>
          <w:szCs w:val="24"/>
        </w:rPr>
      </w:pPr>
    </w:p>
    <w:p w:rsidR="00024F4C" w:rsidRPr="002C149E" w:rsidRDefault="00E07055" w:rsidP="00802DF8">
      <w:pPr>
        <w:jc w:val="both"/>
        <w:rPr>
          <w:rFonts w:ascii="Times New Roman" w:hAnsi="Times New Roman" w:cs="Times New Roman"/>
          <w:b/>
          <w:sz w:val="24"/>
          <w:szCs w:val="24"/>
          <w:u w:val="single"/>
        </w:rPr>
      </w:pPr>
      <w:r w:rsidRPr="002C149E">
        <w:rPr>
          <w:rFonts w:ascii="Times New Roman" w:hAnsi="Times New Roman" w:cs="Times New Roman"/>
          <w:b/>
          <w:sz w:val="24"/>
          <w:szCs w:val="24"/>
          <w:u w:val="single"/>
        </w:rPr>
        <w:t>Results</w:t>
      </w:r>
    </w:p>
    <w:p w:rsidR="00E96006" w:rsidRPr="002C149E" w:rsidRDefault="00F00884" w:rsidP="00802DF8">
      <w:pPr>
        <w:jc w:val="both"/>
        <w:rPr>
          <w:rFonts w:ascii="Times New Roman" w:hAnsi="Times New Roman" w:cs="Times New Roman"/>
          <w:sz w:val="24"/>
          <w:szCs w:val="24"/>
        </w:rPr>
      </w:pPr>
      <w:r w:rsidRPr="002C149E">
        <w:rPr>
          <w:rFonts w:ascii="Times New Roman" w:hAnsi="Times New Roman" w:cs="Times New Roman"/>
          <w:sz w:val="24"/>
          <w:szCs w:val="24"/>
        </w:rPr>
        <w:t xml:space="preserve">In years 2001-2007, </w:t>
      </w:r>
      <w:r w:rsidR="003C2ECF" w:rsidRPr="002C149E">
        <w:rPr>
          <w:rFonts w:ascii="Times New Roman" w:hAnsi="Times New Roman" w:cs="Times New Roman"/>
          <w:sz w:val="24"/>
          <w:szCs w:val="24"/>
        </w:rPr>
        <w:t>922</w:t>
      </w:r>
      <w:r w:rsidRPr="002C149E">
        <w:rPr>
          <w:rFonts w:ascii="Times New Roman" w:hAnsi="Times New Roman" w:cs="Times New Roman"/>
          <w:sz w:val="24"/>
          <w:szCs w:val="24"/>
        </w:rPr>
        <w:t xml:space="preserve"> participants in the SAHO</w:t>
      </w:r>
      <w:r w:rsidR="00845AE0" w:rsidRPr="002C149E">
        <w:rPr>
          <w:rFonts w:ascii="Times New Roman" w:hAnsi="Times New Roman" w:cs="Times New Roman"/>
          <w:sz w:val="24"/>
          <w:szCs w:val="24"/>
        </w:rPr>
        <w:t>S ha</w:t>
      </w:r>
      <w:r w:rsidR="00514FBE" w:rsidRPr="002C149E">
        <w:rPr>
          <w:rFonts w:ascii="Times New Roman" w:hAnsi="Times New Roman" w:cs="Times New Roman"/>
          <w:sz w:val="24"/>
          <w:szCs w:val="24"/>
        </w:rPr>
        <w:t>d someone close to them die</w:t>
      </w:r>
      <w:r w:rsidR="003C2ECF" w:rsidRPr="002C149E">
        <w:rPr>
          <w:rFonts w:ascii="Times New Roman" w:hAnsi="Times New Roman" w:cs="Times New Roman"/>
          <w:sz w:val="24"/>
          <w:szCs w:val="24"/>
        </w:rPr>
        <w:t>,</w:t>
      </w:r>
      <w:r w:rsidR="00514FBE" w:rsidRPr="002C149E">
        <w:rPr>
          <w:rFonts w:ascii="Times New Roman" w:hAnsi="Times New Roman" w:cs="Times New Roman"/>
          <w:sz w:val="24"/>
          <w:szCs w:val="24"/>
        </w:rPr>
        <w:t xml:space="preserve"> were between 13 and 60 months post-bereavement</w:t>
      </w:r>
      <w:r w:rsidR="003C2ECF" w:rsidRPr="002C149E">
        <w:rPr>
          <w:rFonts w:ascii="Times New Roman" w:hAnsi="Times New Roman" w:cs="Times New Roman"/>
          <w:sz w:val="24"/>
          <w:szCs w:val="24"/>
        </w:rPr>
        <w:t xml:space="preserve"> and </w:t>
      </w:r>
      <w:r w:rsidR="00A16176" w:rsidRPr="002C149E">
        <w:rPr>
          <w:rFonts w:ascii="Times New Roman" w:hAnsi="Times New Roman" w:cs="Times New Roman"/>
          <w:sz w:val="24"/>
          <w:szCs w:val="24"/>
        </w:rPr>
        <w:t>provid</w:t>
      </w:r>
      <w:r w:rsidR="003C2ECF" w:rsidRPr="002C149E">
        <w:rPr>
          <w:rFonts w:ascii="Times New Roman" w:hAnsi="Times New Roman" w:cs="Times New Roman"/>
          <w:sz w:val="24"/>
          <w:szCs w:val="24"/>
        </w:rPr>
        <w:t>ed</w:t>
      </w:r>
      <w:r w:rsidR="0067437A">
        <w:rPr>
          <w:rFonts w:ascii="Times New Roman" w:hAnsi="Times New Roman" w:cs="Times New Roman"/>
          <w:sz w:val="24"/>
          <w:szCs w:val="24"/>
        </w:rPr>
        <w:t xml:space="preserve"> day-</w:t>
      </w:r>
      <w:r w:rsidR="00A16176" w:rsidRPr="002C149E">
        <w:rPr>
          <w:rFonts w:ascii="Times New Roman" w:hAnsi="Times New Roman" w:cs="Times New Roman"/>
          <w:sz w:val="24"/>
          <w:szCs w:val="24"/>
        </w:rPr>
        <w:t>to-</w:t>
      </w:r>
      <w:r w:rsidR="00AB6A7C" w:rsidRPr="002C149E">
        <w:rPr>
          <w:rFonts w:ascii="Times New Roman" w:hAnsi="Times New Roman" w:cs="Times New Roman"/>
          <w:sz w:val="24"/>
          <w:szCs w:val="24"/>
        </w:rPr>
        <w:t>day hands-on care (52.6%) or intermittent hands-on care (47.4%)</w:t>
      </w:r>
      <w:r w:rsidR="0090054C" w:rsidRPr="002C149E">
        <w:rPr>
          <w:rFonts w:ascii="Times New Roman" w:hAnsi="Times New Roman" w:cs="Times New Roman"/>
          <w:sz w:val="24"/>
          <w:szCs w:val="24"/>
        </w:rPr>
        <w:t xml:space="preserve"> to the care recipient</w:t>
      </w:r>
      <w:r w:rsidR="00AB6A7C" w:rsidRPr="002C149E">
        <w:rPr>
          <w:rFonts w:ascii="Times New Roman" w:hAnsi="Times New Roman" w:cs="Times New Roman"/>
          <w:sz w:val="24"/>
          <w:szCs w:val="24"/>
        </w:rPr>
        <w:t xml:space="preserve">. </w:t>
      </w:r>
      <w:r w:rsidR="000A3A38" w:rsidRPr="002C149E">
        <w:rPr>
          <w:rFonts w:ascii="Times New Roman" w:hAnsi="Times New Roman" w:cs="Times New Roman"/>
          <w:sz w:val="24"/>
          <w:szCs w:val="24"/>
        </w:rPr>
        <w:t xml:space="preserve">The </w:t>
      </w:r>
      <w:proofErr w:type="spellStart"/>
      <w:r w:rsidR="000A3A38" w:rsidRPr="002C149E">
        <w:rPr>
          <w:rFonts w:ascii="Times New Roman" w:hAnsi="Times New Roman" w:cs="Times New Roman"/>
          <w:sz w:val="24"/>
          <w:szCs w:val="24"/>
        </w:rPr>
        <w:t>sociodemographic</w:t>
      </w:r>
      <w:proofErr w:type="spellEnd"/>
      <w:r w:rsidR="000A3A38" w:rsidRPr="002C149E">
        <w:rPr>
          <w:rFonts w:ascii="Times New Roman" w:hAnsi="Times New Roman" w:cs="Times New Roman"/>
          <w:sz w:val="24"/>
          <w:szCs w:val="24"/>
        </w:rPr>
        <w:t xml:space="preserve"> characteristics of these caregivers and their care recip</w:t>
      </w:r>
      <w:r w:rsidR="0067437A">
        <w:rPr>
          <w:rFonts w:ascii="Times New Roman" w:hAnsi="Times New Roman" w:cs="Times New Roman"/>
          <w:sz w:val="24"/>
          <w:szCs w:val="24"/>
        </w:rPr>
        <w:t>ients are presented in Table 1</w:t>
      </w:r>
      <w:r w:rsidR="000A3A38" w:rsidRPr="002C149E">
        <w:rPr>
          <w:rFonts w:ascii="Times New Roman" w:hAnsi="Times New Roman" w:cs="Times New Roman"/>
          <w:sz w:val="24"/>
          <w:szCs w:val="24"/>
        </w:rPr>
        <w:t>.</w:t>
      </w:r>
    </w:p>
    <w:p w:rsidR="00EA7442" w:rsidRPr="002C149E" w:rsidRDefault="002E7137" w:rsidP="00802DF8">
      <w:pPr>
        <w:jc w:val="both"/>
        <w:rPr>
          <w:rFonts w:ascii="Times New Roman" w:hAnsi="Times New Roman" w:cs="Times New Roman"/>
          <w:sz w:val="24"/>
          <w:szCs w:val="24"/>
        </w:rPr>
      </w:pPr>
      <w:r w:rsidRPr="002C149E">
        <w:rPr>
          <w:rFonts w:ascii="Times New Roman" w:hAnsi="Times New Roman" w:cs="Times New Roman"/>
          <w:sz w:val="24"/>
          <w:szCs w:val="24"/>
        </w:rPr>
        <w:t xml:space="preserve">When asked whether they had been able to </w:t>
      </w:r>
      <w:r w:rsidRPr="002C149E">
        <w:rPr>
          <w:rFonts w:ascii="Times New Roman" w:hAnsi="Times New Roman" w:cs="Times New Roman"/>
          <w:i/>
          <w:sz w:val="24"/>
          <w:szCs w:val="24"/>
        </w:rPr>
        <w:t>move on</w:t>
      </w:r>
      <w:r w:rsidRPr="002C149E">
        <w:rPr>
          <w:rFonts w:ascii="Times New Roman" w:hAnsi="Times New Roman" w:cs="Times New Roman"/>
          <w:sz w:val="24"/>
          <w:szCs w:val="24"/>
        </w:rPr>
        <w:t xml:space="preserve"> since the death of the care recipient, 745 (80.8%) </w:t>
      </w:r>
      <w:r w:rsidR="00E96006" w:rsidRPr="002C149E">
        <w:rPr>
          <w:rFonts w:ascii="Times New Roman" w:hAnsi="Times New Roman" w:cs="Times New Roman"/>
          <w:sz w:val="24"/>
          <w:szCs w:val="24"/>
        </w:rPr>
        <w:t xml:space="preserve">caregivers </w:t>
      </w:r>
      <w:r w:rsidRPr="002C149E">
        <w:rPr>
          <w:rFonts w:ascii="Times New Roman" w:hAnsi="Times New Roman" w:cs="Times New Roman"/>
          <w:sz w:val="24"/>
          <w:szCs w:val="24"/>
        </w:rPr>
        <w:t xml:space="preserve">reported that they had been able to </w:t>
      </w:r>
      <w:r w:rsidRPr="002C149E">
        <w:rPr>
          <w:rFonts w:ascii="Times New Roman" w:hAnsi="Times New Roman" w:cs="Times New Roman"/>
          <w:i/>
          <w:sz w:val="24"/>
          <w:szCs w:val="24"/>
        </w:rPr>
        <w:t>move on</w:t>
      </w:r>
      <w:r w:rsidRPr="002C149E">
        <w:rPr>
          <w:rFonts w:ascii="Times New Roman" w:hAnsi="Times New Roman" w:cs="Times New Roman"/>
          <w:sz w:val="24"/>
          <w:szCs w:val="24"/>
        </w:rPr>
        <w:t xml:space="preserve">. A further 146 (15.8%) reported that they were starting to </w:t>
      </w:r>
      <w:r w:rsidR="00186509" w:rsidRPr="002C149E">
        <w:rPr>
          <w:rFonts w:ascii="Times New Roman" w:hAnsi="Times New Roman" w:cs="Times New Roman"/>
          <w:i/>
          <w:sz w:val="24"/>
          <w:szCs w:val="24"/>
        </w:rPr>
        <w:t xml:space="preserve">move on </w:t>
      </w:r>
      <w:r w:rsidRPr="002C149E">
        <w:rPr>
          <w:rFonts w:ascii="Times New Roman" w:hAnsi="Times New Roman" w:cs="Times New Roman"/>
          <w:sz w:val="24"/>
          <w:szCs w:val="24"/>
        </w:rPr>
        <w:t xml:space="preserve">whilst 31 (3.4%) respondents had not been able to </w:t>
      </w:r>
      <w:r w:rsidRPr="002C149E">
        <w:rPr>
          <w:rFonts w:ascii="Times New Roman" w:hAnsi="Times New Roman" w:cs="Times New Roman"/>
          <w:i/>
          <w:sz w:val="24"/>
          <w:szCs w:val="24"/>
        </w:rPr>
        <w:t>move on</w:t>
      </w:r>
      <w:r w:rsidRPr="002C149E">
        <w:rPr>
          <w:rFonts w:ascii="Times New Roman" w:hAnsi="Times New Roman" w:cs="Times New Roman"/>
          <w:sz w:val="24"/>
          <w:szCs w:val="24"/>
        </w:rPr>
        <w:t xml:space="preserve"> in the 13 to 60 months since the death.</w:t>
      </w:r>
    </w:p>
    <w:p w:rsidR="00EA7442" w:rsidRPr="002C149E" w:rsidRDefault="00EA7442" w:rsidP="00802DF8">
      <w:pPr>
        <w:jc w:val="both"/>
        <w:rPr>
          <w:rFonts w:ascii="Times New Roman" w:hAnsi="Times New Roman" w:cs="Times New Roman"/>
          <w:sz w:val="24"/>
          <w:szCs w:val="24"/>
        </w:rPr>
      </w:pPr>
      <w:r w:rsidRPr="002C149E">
        <w:rPr>
          <w:rFonts w:ascii="Times New Roman" w:hAnsi="Times New Roman" w:cs="Times New Roman"/>
          <w:sz w:val="24"/>
          <w:szCs w:val="24"/>
        </w:rPr>
        <w:t>When responses were stratified by 12-month time period (from 13</w:t>
      </w:r>
      <w:r w:rsidR="0067437A">
        <w:rPr>
          <w:rFonts w:ascii="Times New Roman" w:hAnsi="Times New Roman" w:cs="Times New Roman"/>
          <w:sz w:val="24"/>
          <w:szCs w:val="24"/>
        </w:rPr>
        <w:t>-</w:t>
      </w:r>
      <w:r w:rsidRPr="002C149E">
        <w:rPr>
          <w:rFonts w:ascii="Times New Roman" w:hAnsi="Times New Roman" w:cs="Times New Roman"/>
          <w:sz w:val="24"/>
          <w:szCs w:val="24"/>
        </w:rPr>
        <w:t xml:space="preserve">60 months post-loss), </w:t>
      </w:r>
      <w:r w:rsidR="00457201" w:rsidRPr="002C149E">
        <w:rPr>
          <w:rFonts w:ascii="Times New Roman" w:hAnsi="Times New Roman" w:cs="Times New Roman"/>
          <w:sz w:val="24"/>
          <w:szCs w:val="24"/>
        </w:rPr>
        <w:t xml:space="preserve">the null hypothesis that time and our outcome were independent was rejected </w:t>
      </w:r>
      <w:r w:rsidRPr="002C149E">
        <w:rPr>
          <w:rFonts w:ascii="Times New Roman" w:hAnsi="Times New Roman" w:cs="Times New Roman"/>
          <w:sz w:val="24"/>
          <w:szCs w:val="24"/>
        </w:rPr>
        <w:t>(p 0.014)</w:t>
      </w:r>
      <w:r w:rsidR="005C28AC" w:rsidRPr="002C149E">
        <w:rPr>
          <w:rFonts w:ascii="Times New Roman" w:hAnsi="Times New Roman" w:cs="Times New Roman"/>
          <w:sz w:val="24"/>
          <w:szCs w:val="24"/>
        </w:rPr>
        <w:t xml:space="preserve"> (Table </w:t>
      </w:r>
      <w:r w:rsidR="0067437A">
        <w:rPr>
          <w:rFonts w:ascii="Times New Roman" w:hAnsi="Times New Roman" w:cs="Times New Roman"/>
          <w:sz w:val="24"/>
          <w:szCs w:val="24"/>
        </w:rPr>
        <w:t>2</w:t>
      </w:r>
      <w:r w:rsidR="005C28AC" w:rsidRPr="002C149E">
        <w:rPr>
          <w:rFonts w:ascii="Times New Roman" w:hAnsi="Times New Roman" w:cs="Times New Roman"/>
          <w:sz w:val="24"/>
          <w:szCs w:val="24"/>
        </w:rPr>
        <w:t>)</w:t>
      </w:r>
      <w:r w:rsidRPr="002C149E">
        <w:rPr>
          <w:rFonts w:ascii="Times New Roman" w:hAnsi="Times New Roman" w:cs="Times New Roman"/>
          <w:sz w:val="24"/>
          <w:szCs w:val="24"/>
        </w:rPr>
        <w:t>.</w:t>
      </w:r>
    </w:p>
    <w:p w:rsidR="00602606" w:rsidRPr="002C149E" w:rsidRDefault="00602606" w:rsidP="00802DF8">
      <w:pPr>
        <w:jc w:val="both"/>
        <w:rPr>
          <w:rFonts w:ascii="Times New Roman" w:hAnsi="Times New Roman" w:cs="Times New Roman"/>
          <w:b/>
          <w:sz w:val="24"/>
          <w:szCs w:val="24"/>
        </w:rPr>
      </w:pPr>
      <w:r w:rsidRPr="002C149E">
        <w:rPr>
          <w:rFonts w:ascii="Times New Roman" w:hAnsi="Times New Roman" w:cs="Times New Roman"/>
          <w:b/>
          <w:sz w:val="24"/>
          <w:szCs w:val="24"/>
        </w:rPr>
        <w:t>Moved on 13-60 months</w:t>
      </w:r>
      <w:r w:rsidR="00275641" w:rsidRPr="002C149E">
        <w:rPr>
          <w:rFonts w:ascii="Times New Roman" w:hAnsi="Times New Roman" w:cs="Times New Roman"/>
          <w:b/>
          <w:sz w:val="24"/>
          <w:szCs w:val="24"/>
        </w:rPr>
        <w:t xml:space="preserve"> after death</w:t>
      </w:r>
      <w:r w:rsidR="00F66D43">
        <w:rPr>
          <w:rFonts w:ascii="Times New Roman" w:hAnsi="Times New Roman" w:cs="Times New Roman"/>
          <w:b/>
          <w:sz w:val="24"/>
          <w:szCs w:val="24"/>
        </w:rPr>
        <w:t xml:space="preserve"> (Table 3)</w:t>
      </w:r>
      <w:r w:rsidRPr="002C149E">
        <w:rPr>
          <w:rFonts w:ascii="Times New Roman" w:hAnsi="Times New Roman" w:cs="Times New Roman"/>
          <w:b/>
          <w:sz w:val="24"/>
          <w:szCs w:val="24"/>
        </w:rPr>
        <w:t>:</w:t>
      </w:r>
    </w:p>
    <w:p w:rsidR="002679BD" w:rsidRPr="002C149E" w:rsidRDefault="003A5F64" w:rsidP="00802DF8">
      <w:pPr>
        <w:jc w:val="both"/>
        <w:rPr>
          <w:rFonts w:ascii="Times New Roman" w:hAnsi="Times New Roman" w:cs="Times New Roman"/>
          <w:sz w:val="24"/>
          <w:szCs w:val="24"/>
        </w:rPr>
      </w:pPr>
      <w:r w:rsidRPr="002C149E">
        <w:rPr>
          <w:rFonts w:ascii="Times New Roman" w:hAnsi="Times New Roman" w:cs="Times New Roman"/>
          <w:sz w:val="24"/>
          <w:szCs w:val="24"/>
        </w:rPr>
        <w:t>S</w:t>
      </w:r>
      <w:r w:rsidR="000C36E0" w:rsidRPr="002C149E">
        <w:rPr>
          <w:rFonts w:ascii="Times New Roman" w:hAnsi="Times New Roman" w:cs="Times New Roman"/>
          <w:sz w:val="24"/>
          <w:szCs w:val="24"/>
        </w:rPr>
        <w:t>ix factors were significantly associated with</w:t>
      </w:r>
      <w:r w:rsidRPr="002C149E">
        <w:rPr>
          <w:rFonts w:ascii="Times New Roman" w:hAnsi="Times New Roman" w:cs="Times New Roman"/>
          <w:sz w:val="24"/>
          <w:szCs w:val="24"/>
        </w:rPr>
        <w:t xml:space="preserve"> ability to </w:t>
      </w:r>
      <w:r w:rsidRPr="002C149E">
        <w:rPr>
          <w:rFonts w:ascii="Times New Roman" w:hAnsi="Times New Roman" w:cs="Times New Roman"/>
          <w:i/>
          <w:sz w:val="24"/>
          <w:szCs w:val="24"/>
        </w:rPr>
        <w:t>move on</w:t>
      </w:r>
      <w:r w:rsidRPr="002C149E">
        <w:rPr>
          <w:rFonts w:ascii="Times New Roman" w:hAnsi="Times New Roman" w:cs="Times New Roman"/>
          <w:sz w:val="24"/>
          <w:szCs w:val="24"/>
        </w:rPr>
        <w:t xml:space="preserve"> at </w:t>
      </w:r>
      <w:r w:rsidRPr="007B28D7">
        <w:rPr>
          <w:rFonts w:ascii="Times New Roman" w:hAnsi="Times New Roman" w:cs="Times New Roman"/>
          <w:sz w:val="24"/>
          <w:szCs w:val="24"/>
        </w:rPr>
        <w:t>13-60 months</w:t>
      </w:r>
      <w:r w:rsidR="0042378B" w:rsidRPr="00B5018A">
        <w:rPr>
          <w:rFonts w:ascii="Times New Roman" w:hAnsi="Times New Roman" w:cs="Times New Roman"/>
          <w:sz w:val="24"/>
          <w:szCs w:val="24"/>
        </w:rPr>
        <w:t xml:space="preserve"> </w:t>
      </w:r>
      <w:r w:rsidR="0042378B" w:rsidRPr="002C149E">
        <w:rPr>
          <w:rFonts w:ascii="Times New Roman" w:hAnsi="Times New Roman" w:cs="Times New Roman"/>
          <w:sz w:val="24"/>
          <w:szCs w:val="24"/>
        </w:rPr>
        <w:t>post-loss</w:t>
      </w:r>
      <w:r w:rsidRPr="002C149E">
        <w:rPr>
          <w:rFonts w:ascii="Times New Roman" w:hAnsi="Times New Roman" w:cs="Times New Roman"/>
          <w:sz w:val="24"/>
          <w:szCs w:val="24"/>
        </w:rPr>
        <w:t>: relationship to the deceased; caregiver age; caregiver report of n</w:t>
      </w:r>
      <w:r w:rsidR="0042378B" w:rsidRPr="002C149E">
        <w:rPr>
          <w:rFonts w:ascii="Times New Roman" w:hAnsi="Times New Roman" w:cs="Times New Roman"/>
          <w:sz w:val="24"/>
          <w:szCs w:val="24"/>
        </w:rPr>
        <w:t>eeds met; time since loss</w:t>
      </w:r>
      <w:r w:rsidRPr="002C149E">
        <w:rPr>
          <w:rFonts w:ascii="Times New Roman" w:hAnsi="Times New Roman" w:cs="Times New Roman"/>
          <w:sz w:val="24"/>
          <w:szCs w:val="24"/>
        </w:rPr>
        <w:t xml:space="preserve">; </w:t>
      </w:r>
      <w:r w:rsidR="00D33BA7" w:rsidRPr="002C149E">
        <w:rPr>
          <w:rFonts w:ascii="Times New Roman" w:hAnsi="Times New Roman" w:cs="Times New Roman"/>
          <w:sz w:val="24"/>
          <w:szCs w:val="24"/>
        </w:rPr>
        <w:t>sex</w:t>
      </w:r>
      <w:r w:rsidRPr="002C149E">
        <w:rPr>
          <w:rFonts w:ascii="Times New Roman" w:hAnsi="Times New Roman" w:cs="Times New Roman"/>
          <w:sz w:val="24"/>
          <w:szCs w:val="24"/>
        </w:rPr>
        <w:t xml:space="preserve">; and English-speaking background. </w:t>
      </w:r>
      <w:r w:rsidR="006932F6" w:rsidRPr="002C149E">
        <w:rPr>
          <w:rFonts w:ascii="Times New Roman" w:hAnsi="Times New Roman" w:cs="Times New Roman"/>
          <w:sz w:val="24"/>
          <w:szCs w:val="24"/>
        </w:rPr>
        <w:t>P</w:t>
      </w:r>
      <w:r w:rsidRPr="002C149E">
        <w:rPr>
          <w:rFonts w:ascii="Times New Roman" w:hAnsi="Times New Roman" w:cs="Times New Roman"/>
          <w:sz w:val="24"/>
          <w:szCs w:val="24"/>
        </w:rPr>
        <w:t xml:space="preserve">arents/children/siblings (OR 2.77; 95% CI 1.68 to 4.56; </w:t>
      </w:r>
      <w:r w:rsidR="00F53CFC" w:rsidRPr="002C149E">
        <w:rPr>
          <w:rFonts w:ascii="Times New Roman" w:hAnsi="Times New Roman" w:cs="Times New Roman"/>
          <w:sz w:val="24"/>
          <w:szCs w:val="24"/>
        </w:rPr>
        <w:t>p</w:t>
      </w:r>
      <w:r w:rsidRPr="002C149E">
        <w:rPr>
          <w:rFonts w:ascii="Times New Roman" w:hAnsi="Times New Roman" w:cs="Times New Roman"/>
          <w:sz w:val="24"/>
          <w:szCs w:val="24"/>
        </w:rPr>
        <w:t>&lt; 0.001) and other caregivers (OR 6.23; 95% CI 3.</w:t>
      </w:r>
      <w:r w:rsidR="00032E11" w:rsidRPr="002C149E">
        <w:rPr>
          <w:rFonts w:ascii="Times New Roman" w:hAnsi="Times New Roman" w:cs="Times New Roman"/>
          <w:sz w:val="24"/>
          <w:szCs w:val="24"/>
        </w:rPr>
        <w:t xml:space="preserve">46 to 11.22) were </w:t>
      </w:r>
      <w:r w:rsidRPr="002C149E">
        <w:rPr>
          <w:rFonts w:ascii="Times New Roman" w:hAnsi="Times New Roman" w:cs="Times New Roman"/>
          <w:sz w:val="24"/>
          <w:szCs w:val="24"/>
        </w:rPr>
        <w:t xml:space="preserve">more likely to have </w:t>
      </w:r>
      <w:r w:rsidRPr="002C149E">
        <w:rPr>
          <w:rFonts w:ascii="Times New Roman" w:hAnsi="Times New Roman" w:cs="Times New Roman"/>
          <w:i/>
          <w:sz w:val="24"/>
          <w:szCs w:val="24"/>
        </w:rPr>
        <w:t>moved on</w:t>
      </w:r>
      <w:r w:rsidRPr="002C149E">
        <w:rPr>
          <w:rFonts w:ascii="Times New Roman" w:hAnsi="Times New Roman" w:cs="Times New Roman"/>
          <w:sz w:val="24"/>
          <w:szCs w:val="24"/>
        </w:rPr>
        <w:t xml:space="preserve"> than spou</w:t>
      </w:r>
      <w:r w:rsidR="007B4277" w:rsidRPr="002C149E">
        <w:rPr>
          <w:rFonts w:ascii="Times New Roman" w:hAnsi="Times New Roman" w:cs="Times New Roman"/>
          <w:sz w:val="24"/>
          <w:szCs w:val="24"/>
        </w:rPr>
        <w:t xml:space="preserve">sal caregivers. Likewise, </w:t>
      </w:r>
      <w:r w:rsidRPr="002C149E">
        <w:rPr>
          <w:rFonts w:ascii="Times New Roman" w:hAnsi="Times New Roman" w:cs="Times New Roman"/>
          <w:sz w:val="24"/>
          <w:szCs w:val="24"/>
        </w:rPr>
        <w:t xml:space="preserve">caregivers aged </w:t>
      </w:r>
      <w:r w:rsidR="008E5EE5" w:rsidRPr="002C149E">
        <w:rPr>
          <w:rFonts w:ascii="Times New Roman" w:hAnsi="Times New Roman" w:cs="Times New Roman"/>
          <w:sz w:val="24"/>
          <w:szCs w:val="24"/>
        </w:rPr>
        <w:t>&gt;</w:t>
      </w:r>
      <w:r w:rsidRPr="002C149E">
        <w:rPr>
          <w:rFonts w:ascii="Times New Roman" w:hAnsi="Times New Roman" w:cs="Times New Roman"/>
          <w:sz w:val="24"/>
          <w:szCs w:val="24"/>
        </w:rPr>
        <w:t xml:space="preserve">65 (OR 2.41; 95% CI 1.46 to 3.97) were more likely to have </w:t>
      </w:r>
      <w:r w:rsidRPr="002C149E">
        <w:rPr>
          <w:rFonts w:ascii="Times New Roman" w:hAnsi="Times New Roman" w:cs="Times New Roman"/>
          <w:i/>
          <w:sz w:val="24"/>
          <w:szCs w:val="24"/>
        </w:rPr>
        <w:t>moved on</w:t>
      </w:r>
      <w:r w:rsidRPr="002C149E">
        <w:rPr>
          <w:rFonts w:ascii="Times New Roman" w:hAnsi="Times New Roman" w:cs="Times New Roman"/>
          <w:sz w:val="24"/>
          <w:szCs w:val="24"/>
        </w:rPr>
        <w:t xml:space="preserve"> than their younger counterparts. Caregivers who </w:t>
      </w:r>
      <w:r w:rsidR="006B138E" w:rsidRPr="002C149E">
        <w:rPr>
          <w:rFonts w:ascii="Times New Roman" w:hAnsi="Times New Roman" w:cs="Times New Roman"/>
          <w:sz w:val="24"/>
          <w:szCs w:val="24"/>
        </w:rPr>
        <w:t xml:space="preserve">had received enough support (OR 1.84; 95% CI 1.22 to 2.78: </w:t>
      </w:r>
      <w:r w:rsidR="00DA4B58" w:rsidRPr="002C149E">
        <w:rPr>
          <w:rFonts w:ascii="Times New Roman" w:hAnsi="Times New Roman" w:cs="Times New Roman"/>
          <w:sz w:val="24"/>
          <w:szCs w:val="24"/>
        </w:rPr>
        <w:t>p</w:t>
      </w:r>
      <w:r w:rsidR="007C6AC0" w:rsidRPr="002C149E">
        <w:rPr>
          <w:rFonts w:ascii="Times New Roman" w:hAnsi="Times New Roman" w:cs="Times New Roman"/>
          <w:sz w:val="24"/>
          <w:szCs w:val="24"/>
        </w:rPr>
        <w:t>=</w:t>
      </w:r>
      <w:r w:rsidR="006B138E" w:rsidRPr="002C149E">
        <w:rPr>
          <w:rFonts w:ascii="Times New Roman" w:hAnsi="Times New Roman" w:cs="Times New Roman"/>
          <w:sz w:val="24"/>
          <w:szCs w:val="24"/>
        </w:rPr>
        <w:t xml:space="preserve"> 0.004) and those </w:t>
      </w:r>
      <w:r w:rsidR="00680CCC" w:rsidRPr="002C149E">
        <w:rPr>
          <w:rFonts w:ascii="Times New Roman" w:hAnsi="Times New Roman" w:cs="Times New Roman"/>
          <w:sz w:val="24"/>
          <w:szCs w:val="24"/>
        </w:rPr>
        <w:t xml:space="preserve">who </w:t>
      </w:r>
      <w:r w:rsidR="00680CCC" w:rsidRPr="002C149E">
        <w:rPr>
          <w:rFonts w:ascii="Times New Roman" w:hAnsi="Times New Roman" w:cs="Times New Roman"/>
          <w:sz w:val="24"/>
          <w:szCs w:val="24"/>
        </w:rPr>
        <w:lastRenderedPageBreak/>
        <w:t>were further along in time</w:t>
      </w:r>
      <w:r w:rsidR="0042378B" w:rsidRPr="002C149E">
        <w:rPr>
          <w:rFonts w:ascii="Times New Roman" w:hAnsi="Times New Roman" w:cs="Times New Roman"/>
          <w:sz w:val="24"/>
          <w:szCs w:val="24"/>
        </w:rPr>
        <w:t xml:space="preserve"> from the loss</w:t>
      </w:r>
      <w:r w:rsidR="006B138E" w:rsidRPr="002C149E">
        <w:rPr>
          <w:rFonts w:ascii="Times New Roman" w:hAnsi="Times New Roman" w:cs="Times New Roman"/>
          <w:sz w:val="24"/>
          <w:szCs w:val="24"/>
        </w:rPr>
        <w:t xml:space="preserve"> (OR 2.46; 95% CI 1.62 to 3.73; </w:t>
      </w:r>
      <w:r w:rsidR="00DA4B58" w:rsidRPr="002C149E">
        <w:rPr>
          <w:rFonts w:ascii="Times New Roman" w:hAnsi="Times New Roman" w:cs="Times New Roman"/>
          <w:sz w:val="24"/>
          <w:szCs w:val="24"/>
        </w:rPr>
        <w:t>p</w:t>
      </w:r>
      <w:r w:rsidR="006B138E" w:rsidRPr="002C149E">
        <w:rPr>
          <w:rFonts w:ascii="Times New Roman" w:hAnsi="Times New Roman" w:cs="Times New Roman"/>
          <w:sz w:val="24"/>
          <w:szCs w:val="24"/>
        </w:rPr>
        <w:t xml:space="preserve">&lt; 0.001) were also more likely to have </w:t>
      </w:r>
      <w:r w:rsidR="006B138E" w:rsidRPr="002C149E">
        <w:rPr>
          <w:rFonts w:ascii="Times New Roman" w:hAnsi="Times New Roman" w:cs="Times New Roman"/>
          <w:i/>
          <w:sz w:val="24"/>
          <w:szCs w:val="24"/>
        </w:rPr>
        <w:t>mo</w:t>
      </w:r>
      <w:r w:rsidR="00680CCC" w:rsidRPr="002C149E">
        <w:rPr>
          <w:rFonts w:ascii="Times New Roman" w:hAnsi="Times New Roman" w:cs="Times New Roman"/>
          <w:i/>
          <w:sz w:val="24"/>
          <w:szCs w:val="24"/>
        </w:rPr>
        <w:t>ved on</w:t>
      </w:r>
      <w:r w:rsidR="00680CCC" w:rsidRPr="002C149E">
        <w:rPr>
          <w:rFonts w:ascii="Times New Roman" w:hAnsi="Times New Roman" w:cs="Times New Roman"/>
          <w:sz w:val="24"/>
          <w:szCs w:val="24"/>
        </w:rPr>
        <w:t>. Final</w:t>
      </w:r>
      <w:r w:rsidR="006B138E" w:rsidRPr="002C149E">
        <w:rPr>
          <w:rFonts w:ascii="Times New Roman" w:hAnsi="Times New Roman" w:cs="Times New Roman"/>
          <w:sz w:val="24"/>
          <w:szCs w:val="24"/>
        </w:rPr>
        <w:t xml:space="preserve">ly, </w:t>
      </w:r>
      <w:r w:rsidR="005A10E3" w:rsidRPr="002C149E">
        <w:rPr>
          <w:rFonts w:ascii="Times New Roman" w:hAnsi="Times New Roman" w:cs="Times New Roman"/>
          <w:sz w:val="24"/>
          <w:szCs w:val="24"/>
        </w:rPr>
        <w:t xml:space="preserve">there was a significant interaction between </w:t>
      </w:r>
      <w:r w:rsidR="006B138E" w:rsidRPr="002C149E">
        <w:rPr>
          <w:rFonts w:ascii="Times New Roman" w:hAnsi="Times New Roman" w:cs="Times New Roman"/>
          <w:sz w:val="24"/>
          <w:szCs w:val="24"/>
        </w:rPr>
        <w:t>male gender and English</w:t>
      </w:r>
      <w:r w:rsidR="008E5EE5" w:rsidRPr="002C149E">
        <w:rPr>
          <w:rFonts w:ascii="Times New Roman" w:hAnsi="Times New Roman" w:cs="Times New Roman"/>
          <w:sz w:val="24"/>
          <w:szCs w:val="24"/>
        </w:rPr>
        <w:t>-</w:t>
      </w:r>
      <w:r w:rsidR="006B138E" w:rsidRPr="002C149E">
        <w:rPr>
          <w:rFonts w:ascii="Times New Roman" w:hAnsi="Times New Roman" w:cs="Times New Roman"/>
          <w:sz w:val="24"/>
          <w:szCs w:val="24"/>
        </w:rPr>
        <w:t>speaking background.</w:t>
      </w:r>
      <w:r w:rsidR="005D1EF8" w:rsidRPr="002C149E">
        <w:rPr>
          <w:rFonts w:ascii="Times New Roman" w:hAnsi="Times New Roman" w:cs="Times New Roman"/>
          <w:sz w:val="24"/>
          <w:szCs w:val="24"/>
        </w:rPr>
        <w:t xml:space="preserve"> F</w:t>
      </w:r>
      <w:r w:rsidR="006B138E" w:rsidRPr="002C149E">
        <w:rPr>
          <w:rFonts w:ascii="Times New Roman" w:hAnsi="Times New Roman" w:cs="Times New Roman"/>
          <w:sz w:val="24"/>
          <w:szCs w:val="24"/>
        </w:rPr>
        <w:t>or male caregivers, you were significantly more likely</w:t>
      </w:r>
      <w:r w:rsidR="00680CCC" w:rsidRPr="002C149E">
        <w:rPr>
          <w:rFonts w:ascii="Times New Roman" w:hAnsi="Times New Roman" w:cs="Times New Roman"/>
          <w:sz w:val="24"/>
          <w:szCs w:val="24"/>
        </w:rPr>
        <w:t xml:space="preserve"> to have </w:t>
      </w:r>
      <w:r w:rsidR="00680CCC" w:rsidRPr="002C149E">
        <w:rPr>
          <w:rFonts w:ascii="Times New Roman" w:hAnsi="Times New Roman" w:cs="Times New Roman"/>
          <w:i/>
          <w:sz w:val="24"/>
          <w:szCs w:val="24"/>
        </w:rPr>
        <w:t>moved on</w:t>
      </w:r>
      <w:r w:rsidR="00680CCC" w:rsidRPr="002C149E">
        <w:rPr>
          <w:rFonts w:ascii="Times New Roman" w:hAnsi="Times New Roman" w:cs="Times New Roman"/>
          <w:sz w:val="24"/>
          <w:szCs w:val="24"/>
        </w:rPr>
        <w:t xml:space="preserve"> at 13-60 months</w:t>
      </w:r>
      <w:r w:rsidR="005D1EF8" w:rsidRPr="002C149E">
        <w:rPr>
          <w:rFonts w:ascii="Times New Roman" w:hAnsi="Times New Roman" w:cs="Times New Roman"/>
          <w:sz w:val="24"/>
          <w:szCs w:val="24"/>
        </w:rPr>
        <w:t xml:space="preserve"> if you were of English-</w:t>
      </w:r>
      <w:r w:rsidR="006B138E" w:rsidRPr="002C149E">
        <w:rPr>
          <w:rFonts w:ascii="Times New Roman" w:hAnsi="Times New Roman" w:cs="Times New Roman"/>
          <w:sz w:val="24"/>
          <w:szCs w:val="24"/>
        </w:rPr>
        <w:t xml:space="preserve">speaking background (OR 3.38; 95% CI 1.54 to 7.41; </w:t>
      </w:r>
      <w:r w:rsidR="00DA4B58" w:rsidRPr="002C149E">
        <w:rPr>
          <w:rFonts w:ascii="Times New Roman" w:hAnsi="Times New Roman" w:cs="Times New Roman"/>
          <w:sz w:val="24"/>
          <w:szCs w:val="24"/>
        </w:rPr>
        <w:t>p</w:t>
      </w:r>
      <w:r w:rsidR="007C6AC0" w:rsidRPr="002C149E">
        <w:rPr>
          <w:rFonts w:ascii="Times New Roman" w:hAnsi="Times New Roman" w:cs="Times New Roman"/>
          <w:sz w:val="24"/>
          <w:szCs w:val="24"/>
        </w:rPr>
        <w:t>=</w:t>
      </w:r>
      <w:r w:rsidR="006B138E" w:rsidRPr="002C149E">
        <w:rPr>
          <w:rFonts w:ascii="Times New Roman" w:hAnsi="Times New Roman" w:cs="Times New Roman"/>
          <w:sz w:val="24"/>
          <w:szCs w:val="24"/>
        </w:rPr>
        <w:t>0.002).</w:t>
      </w:r>
      <w:r w:rsidR="002679BD" w:rsidRPr="002C149E">
        <w:rPr>
          <w:rFonts w:ascii="Times New Roman" w:hAnsi="Times New Roman" w:cs="Times New Roman"/>
          <w:sz w:val="24"/>
          <w:szCs w:val="24"/>
        </w:rPr>
        <w:t xml:space="preserve"> For</w:t>
      </w:r>
      <w:r w:rsidR="0067437A">
        <w:rPr>
          <w:rFonts w:ascii="Times New Roman" w:hAnsi="Times New Roman" w:cs="Times New Roman"/>
          <w:sz w:val="24"/>
          <w:szCs w:val="24"/>
        </w:rPr>
        <w:t xml:space="preserve"> </w:t>
      </w:r>
      <w:r w:rsidR="008E5EE5" w:rsidRPr="002C149E">
        <w:rPr>
          <w:rFonts w:ascii="Times New Roman" w:hAnsi="Times New Roman" w:cs="Times New Roman"/>
          <w:sz w:val="24"/>
          <w:szCs w:val="24"/>
        </w:rPr>
        <w:t>females</w:t>
      </w:r>
      <w:r w:rsidR="002679BD" w:rsidRPr="002C149E">
        <w:rPr>
          <w:rFonts w:ascii="Times New Roman" w:hAnsi="Times New Roman" w:cs="Times New Roman"/>
          <w:sz w:val="24"/>
          <w:szCs w:val="24"/>
        </w:rPr>
        <w:t xml:space="preserve">, </w:t>
      </w:r>
      <w:r w:rsidR="006932F6" w:rsidRPr="002C149E">
        <w:rPr>
          <w:rFonts w:ascii="Times New Roman" w:hAnsi="Times New Roman" w:cs="Times New Roman"/>
          <w:sz w:val="24"/>
          <w:szCs w:val="24"/>
        </w:rPr>
        <w:t>English-speaking background</w:t>
      </w:r>
      <w:r w:rsidR="002679BD" w:rsidRPr="002C149E">
        <w:rPr>
          <w:rFonts w:ascii="Times New Roman" w:hAnsi="Times New Roman" w:cs="Times New Roman"/>
          <w:sz w:val="24"/>
          <w:szCs w:val="24"/>
        </w:rPr>
        <w:t xml:space="preserve"> was irrelevant in </w:t>
      </w:r>
      <w:r w:rsidR="002679BD" w:rsidRPr="002C149E">
        <w:rPr>
          <w:rFonts w:ascii="Times New Roman" w:hAnsi="Times New Roman" w:cs="Times New Roman"/>
          <w:i/>
          <w:sz w:val="24"/>
          <w:szCs w:val="24"/>
        </w:rPr>
        <w:t>moving on.</w:t>
      </w:r>
    </w:p>
    <w:p w:rsidR="00602606" w:rsidRPr="002C149E" w:rsidRDefault="00602606" w:rsidP="00802DF8">
      <w:pPr>
        <w:jc w:val="both"/>
        <w:rPr>
          <w:rFonts w:ascii="Times New Roman" w:hAnsi="Times New Roman" w:cs="Times New Roman"/>
          <w:b/>
          <w:sz w:val="24"/>
          <w:szCs w:val="24"/>
        </w:rPr>
      </w:pPr>
      <w:r w:rsidRPr="002C149E">
        <w:rPr>
          <w:rFonts w:ascii="Times New Roman" w:hAnsi="Times New Roman" w:cs="Times New Roman"/>
          <w:b/>
          <w:sz w:val="24"/>
          <w:szCs w:val="24"/>
        </w:rPr>
        <w:t>Not moved on 13-60 months</w:t>
      </w:r>
      <w:r w:rsidR="00BA28C1" w:rsidRPr="002C149E">
        <w:rPr>
          <w:rFonts w:ascii="Times New Roman" w:hAnsi="Times New Roman" w:cs="Times New Roman"/>
          <w:b/>
          <w:sz w:val="24"/>
          <w:szCs w:val="24"/>
        </w:rPr>
        <w:t xml:space="preserve"> </w:t>
      </w:r>
      <w:r w:rsidR="00074DDA" w:rsidRPr="002C149E">
        <w:rPr>
          <w:rFonts w:ascii="Times New Roman" w:hAnsi="Times New Roman" w:cs="Times New Roman"/>
          <w:b/>
          <w:sz w:val="24"/>
          <w:szCs w:val="24"/>
        </w:rPr>
        <w:t>after death</w:t>
      </w:r>
      <w:r w:rsidR="00F66D43">
        <w:rPr>
          <w:rFonts w:ascii="Times New Roman" w:hAnsi="Times New Roman" w:cs="Times New Roman"/>
          <w:b/>
          <w:sz w:val="24"/>
          <w:szCs w:val="24"/>
        </w:rPr>
        <w:t xml:space="preserve"> (Table 4)</w:t>
      </w:r>
      <w:r w:rsidRPr="002C149E">
        <w:rPr>
          <w:rFonts w:ascii="Times New Roman" w:hAnsi="Times New Roman" w:cs="Times New Roman"/>
          <w:b/>
          <w:sz w:val="24"/>
          <w:szCs w:val="24"/>
        </w:rPr>
        <w:t>:</w:t>
      </w:r>
    </w:p>
    <w:p w:rsidR="00585703" w:rsidRPr="002C149E" w:rsidRDefault="00585703" w:rsidP="00802DF8">
      <w:pPr>
        <w:jc w:val="both"/>
        <w:rPr>
          <w:rFonts w:ascii="Times New Roman" w:hAnsi="Times New Roman" w:cs="Times New Roman"/>
          <w:sz w:val="24"/>
          <w:szCs w:val="24"/>
        </w:rPr>
      </w:pPr>
      <w:r w:rsidRPr="002C149E">
        <w:rPr>
          <w:rFonts w:ascii="Times New Roman" w:hAnsi="Times New Roman" w:cs="Times New Roman"/>
          <w:sz w:val="24"/>
          <w:szCs w:val="24"/>
        </w:rPr>
        <w:t>Thr</w:t>
      </w:r>
      <w:r w:rsidR="000C36E0" w:rsidRPr="002C149E">
        <w:rPr>
          <w:rFonts w:ascii="Times New Roman" w:hAnsi="Times New Roman" w:cs="Times New Roman"/>
          <w:sz w:val="24"/>
          <w:szCs w:val="24"/>
        </w:rPr>
        <w:t>ee factors were significantly associated with</w:t>
      </w:r>
      <w:r w:rsidRPr="002C149E">
        <w:rPr>
          <w:rFonts w:ascii="Times New Roman" w:hAnsi="Times New Roman" w:cs="Times New Roman"/>
          <w:sz w:val="24"/>
          <w:szCs w:val="24"/>
        </w:rPr>
        <w:t xml:space="preserve"> those who had </w:t>
      </w:r>
      <w:r w:rsidRPr="002C149E">
        <w:rPr>
          <w:rFonts w:ascii="Times New Roman" w:hAnsi="Times New Roman" w:cs="Times New Roman"/>
          <w:b/>
          <w:sz w:val="24"/>
          <w:szCs w:val="24"/>
        </w:rPr>
        <w:t>not</w:t>
      </w:r>
      <w:r w:rsidRPr="002C149E">
        <w:rPr>
          <w:rFonts w:ascii="Times New Roman" w:hAnsi="Times New Roman" w:cs="Times New Roman"/>
          <w:sz w:val="24"/>
          <w:szCs w:val="24"/>
        </w:rPr>
        <w:t xml:space="preserve"> </w:t>
      </w:r>
      <w:r w:rsidRPr="002C149E">
        <w:rPr>
          <w:rFonts w:ascii="Times New Roman" w:hAnsi="Times New Roman" w:cs="Times New Roman"/>
          <w:i/>
          <w:sz w:val="24"/>
          <w:szCs w:val="24"/>
        </w:rPr>
        <w:t>moved on</w:t>
      </w:r>
      <w:r w:rsidRPr="002C149E">
        <w:rPr>
          <w:rFonts w:ascii="Times New Roman" w:hAnsi="Times New Roman" w:cs="Times New Roman"/>
          <w:sz w:val="24"/>
          <w:szCs w:val="24"/>
        </w:rPr>
        <w:t xml:space="preserve"> at </w:t>
      </w:r>
      <w:r w:rsidRPr="007B28D7">
        <w:rPr>
          <w:rFonts w:ascii="Times New Roman" w:hAnsi="Times New Roman" w:cs="Times New Roman"/>
          <w:sz w:val="24"/>
          <w:szCs w:val="24"/>
        </w:rPr>
        <w:t>13-60</w:t>
      </w:r>
      <w:r w:rsidR="0042378B" w:rsidRPr="002C149E">
        <w:rPr>
          <w:rFonts w:ascii="Times New Roman" w:hAnsi="Times New Roman" w:cs="Times New Roman"/>
          <w:sz w:val="24"/>
          <w:szCs w:val="24"/>
        </w:rPr>
        <w:t xml:space="preserve"> months post-loss</w:t>
      </w:r>
      <w:r w:rsidRPr="002C149E">
        <w:rPr>
          <w:rFonts w:ascii="Times New Roman" w:hAnsi="Times New Roman" w:cs="Times New Roman"/>
          <w:sz w:val="24"/>
          <w:szCs w:val="24"/>
        </w:rPr>
        <w:t xml:space="preserve">; male gender; </w:t>
      </w:r>
      <w:r w:rsidR="00F3407D">
        <w:rPr>
          <w:rFonts w:ascii="Times New Roman" w:hAnsi="Times New Roman" w:cs="Times New Roman"/>
          <w:sz w:val="24"/>
          <w:szCs w:val="24"/>
        </w:rPr>
        <w:t xml:space="preserve">a closer </w:t>
      </w:r>
      <w:r w:rsidRPr="002C149E">
        <w:rPr>
          <w:rFonts w:ascii="Times New Roman" w:hAnsi="Times New Roman" w:cs="Times New Roman"/>
          <w:sz w:val="24"/>
          <w:szCs w:val="24"/>
        </w:rPr>
        <w:t xml:space="preserve">relationship to the deceased; and socioeconomic </w:t>
      </w:r>
      <w:r w:rsidR="00F3407D">
        <w:rPr>
          <w:rFonts w:ascii="Times New Roman" w:hAnsi="Times New Roman" w:cs="Times New Roman"/>
          <w:sz w:val="24"/>
          <w:szCs w:val="24"/>
        </w:rPr>
        <w:t>dis</w:t>
      </w:r>
      <w:r w:rsidRPr="002C149E">
        <w:rPr>
          <w:rFonts w:ascii="Times New Roman" w:hAnsi="Times New Roman" w:cs="Times New Roman"/>
          <w:sz w:val="24"/>
          <w:szCs w:val="24"/>
        </w:rPr>
        <w:t>advantage. Male caregivers (OR</w:t>
      </w:r>
      <w:r w:rsidR="000D2557" w:rsidRPr="002C149E">
        <w:rPr>
          <w:rFonts w:ascii="Times New Roman" w:hAnsi="Times New Roman" w:cs="Times New Roman"/>
          <w:sz w:val="24"/>
          <w:szCs w:val="24"/>
        </w:rPr>
        <w:t xml:space="preserve"> </w:t>
      </w:r>
      <w:r w:rsidR="007C6AC0" w:rsidRPr="002C149E">
        <w:rPr>
          <w:rFonts w:ascii="Times New Roman" w:hAnsi="Times New Roman" w:cs="Times New Roman"/>
          <w:sz w:val="24"/>
          <w:szCs w:val="24"/>
        </w:rPr>
        <w:t>2.62; 95% CI 1.23 to 5.64; P=</w:t>
      </w:r>
      <w:r w:rsidRPr="002C149E">
        <w:rPr>
          <w:rFonts w:ascii="Times New Roman" w:hAnsi="Times New Roman" w:cs="Times New Roman"/>
          <w:sz w:val="24"/>
          <w:szCs w:val="24"/>
        </w:rPr>
        <w:t>0.012</w:t>
      </w:r>
      <w:r w:rsidR="00665FCD" w:rsidRPr="002C149E">
        <w:rPr>
          <w:rFonts w:ascii="Times New Roman" w:hAnsi="Times New Roman" w:cs="Times New Roman"/>
          <w:sz w:val="24"/>
          <w:szCs w:val="24"/>
        </w:rPr>
        <w:t>) were more likely than female</w:t>
      </w:r>
      <w:r w:rsidR="00554D7D" w:rsidRPr="002C149E">
        <w:rPr>
          <w:rFonts w:ascii="Times New Roman" w:hAnsi="Times New Roman" w:cs="Times New Roman"/>
          <w:sz w:val="24"/>
          <w:szCs w:val="24"/>
        </w:rPr>
        <w:t>s</w:t>
      </w:r>
      <w:r w:rsidR="00D33BA7" w:rsidRPr="002C149E">
        <w:rPr>
          <w:rFonts w:ascii="Times New Roman" w:hAnsi="Times New Roman" w:cs="Times New Roman"/>
          <w:sz w:val="24"/>
          <w:szCs w:val="24"/>
        </w:rPr>
        <w:t xml:space="preserve"> </w:t>
      </w:r>
      <w:r w:rsidR="00665FCD" w:rsidRPr="002C149E">
        <w:rPr>
          <w:rFonts w:ascii="Times New Roman" w:hAnsi="Times New Roman" w:cs="Times New Roman"/>
          <w:sz w:val="24"/>
          <w:szCs w:val="24"/>
        </w:rPr>
        <w:t xml:space="preserve">to </w:t>
      </w:r>
      <w:r w:rsidR="00554D7D" w:rsidRPr="002C149E">
        <w:rPr>
          <w:rFonts w:ascii="Times New Roman" w:hAnsi="Times New Roman" w:cs="Times New Roman"/>
          <w:sz w:val="24"/>
          <w:szCs w:val="24"/>
        </w:rPr>
        <w:t>have</w:t>
      </w:r>
      <w:r w:rsidR="00D33BA7" w:rsidRPr="002C149E">
        <w:rPr>
          <w:rFonts w:ascii="Times New Roman" w:hAnsi="Times New Roman" w:cs="Times New Roman"/>
          <w:sz w:val="24"/>
          <w:szCs w:val="24"/>
        </w:rPr>
        <w:t xml:space="preserve"> </w:t>
      </w:r>
      <w:r w:rsidR="00665FCD" w:rsidRPr="002C149E">
        <w:rPr>
          <w:rFonts w:ascii="Times New Roman" w:hAnsi="Times New Roman" w:cs="Times New Roman"/>
          <w:b/>
          <w:sz w:val="24"/>
          <w:szCs w:val="24"/>
        </w:rPr>
        <w:t>not</w:t>
      </w:r>
      <w:r w:rsidR="00665FCD" w:rsidRPr="002C149E">
        <w:rPr>
          <w:rFonts w:ascii="Times New Roman" w:hAnsi="Times New Roman" w:cs="Times New Roman"/>
          <w:sz w:val="24"/>
          <w:szCs w:val="24"/>
        </w:rPr>
        <w:t xml:space="preserve"> </w:t>
      </w:r>
      <w:r w:rsidR="00665FCD" w:rsidRPr="002C149E">
        <w:rPr>
          <w:rFonts w:ascii="Times New Roman" w:hAnsi="Times New Roman" w:cs="Times New Roman"/>
          <w:i/>
          <w:sz w:val="24"/>
          <w:szCs w:val="24"/>
        </w:rPr>
        <w:t>moved on</w:t>
      </w:r>
      <w:r w:rsidR="00665FCD" w:rsidRPr="002C149E">
        <w:rPr>
          <w:rFonts w:ascii="Times New Roman" w:hAnsi="Times New Roman" w:cs="Times New Roman"/>
          <w:sz w:val="24"/>
          <w:szCs w:val="24"/>
        </w:rPr>
        <w:t xml:space="preserve"> between 13-60 </w:t>
      </w:r>
      <w:r w:rsidR="00E96006" w:rsidRPr="002C149E">
        <w:rPr>
          <w:rFonts w:ascii="Times New Roman" w:hAnsi="Times New Roman" w:cs="Times New Roman"/>
          <w:sz w:val="24"/>
          <w:szCs w:val="24"/>
        </w:rPr>
        <w:t>months post-</w:t>
      </w:r>
      <w:r w:rsidR="00052B72" w:rsidRPr="002C149E">
        <w:rPr>
          <w:rFonts w:ascii="Times New Roman" w:hAnsi="Times New Roman" w:cs="Times New Roman"/>
          <w:sz w:val="24"/>
          <w:szCs w:val="24"/>
        </w:rPr>
        <w:t>loss</w:t>
      </w:r>
      <w:r w:rsidR="00E96006" w:rsidRPr="002C149E">
        <w:rPr>
          <w:rFonts w:ascii="Times New Roman" w:hAnsi="Times New Roman" w:cs="Times New Roman"/>
          <w:sz w:val="24"/>
          <w:szCs w:val="24"/>
        </w:rPr>
        <w:t>. C</w:t>
      </w:r>
      <w:r w:rsidR="00665FCD" w:rsidRPr="002C149E">
        <w:rPr>
          <w:rFonts w:ascii="Times New Roman" w:hAnsi="Times New Roman" w:cs="Times New Roman"/>
          <w:sz w:val="24"/>
          <w:szCs w:val="24"/>
        </w:rPr>
        <w:t xml:space="preserve">aregivers </w:t>
      </w:r>
      <w:r w:rsidR="00E96006" w:rsidRPr="002C149E">
        <w:rPr>
          <w:rFonts w:ascii="Times New Roman" w:hAnsi="Times New Roman" w:cs="Times New Roman"/>
          <w:sz w:val="24"/>
          <w:szCs w:val="24"/>
        </w:rPr>
        <w:t xml:space="preserve">whose relationship to the deceased was defined as </w:t>
      </w:r>
      <w:r w:rsidR="00F3407D">
        <w:rPr>
          <w:rFonts w:ascii="Times New Roman" w:hAnsi="Times New Roman" w:cs="Times New Roman"/>
          <w:sz w:val="24"/>
          <w:szCs w:val="24"/>
        </w:rPr>
        <w:t xml:space="preserve">spousal were less likely to move on </w:t>
      </w:r>
      <w:r w:rsidR="007B4277" w:rsidRPr="002C149E">
        <w:rPr>
          <w:rFonts w:ascii="Times New Roman" w:hAnsi="Times New Roman" w:cs="Times New Roman"/>
          <w:sz w:val="24"/>
          <w:szCs w:val="24"/>
        </w:rPr>
        <w:t xml:space="preserve">than </w:t>
      </w:r>
      <w:r w:rsidR="00F3407D">
        <w:rPr>
          <w:rFonts w:ascii="Times New Roman" w:hAnsi="Times New Roman" w:cs="Times New Roman"/>
          <w:sz w:val="24"/>
          <w:szCs w:val="24"/>
        </w:rPr>
        <w:t>those with any other relationship</w:t>
      </w:r>
      <w:r w:rsidR="00665FCD" w:rsidRPr="002C149E">
        <w:rPr>
          <w:rFonts w:ascii="Times New Roman" w:hAnsi="Times New Roman" w:cs="Times New Roman"/>
          <w:sz w:val="24"/>
          <w:szCs w:val="24"/>
        </w:rPr>
        <w:t xml:space="preserve">. Similarly, those from areas of socioeconomic advantage (OR 0.39; 95% CI 0.18 to 0.87; </w:t>
      </w:r>
      <w:r w:rsidR="00DA4B58" w:rsidRPr="002C149E">
        <w:rPr>
          <w:rFonts w:ascii="Times New Roman" w:hAnsi="Times New Roman" w:cs="Times New Roman"/>
          <w:sz w:val="24"/>
          <w:szCs w:val="24"/>
        </w:rPr>
        <w:t>p</w:t>
      </w:r>
      <w:r w:rsidR="007C6AC0" w:rsidRPr="002C149E">
        <w:rPr>
          <w:rFonts w:ascii="Times New Roman" w:hAnsi="Times New Roman" w:cs="Times New Roman"/>
          <w:sz w:val="24"/>
          <w:szCs w:val="24"/>
        </w:rPr>
        <w:t>=</w:t>
      </w:r>
      <w:r w:rsidR="00665FCD" w:rsidRPr="002C149E">
        <w:rPr>
          <w:rFonts w:ascii="Times New Roman" w:hAnsi="Times New Roman" w:cs="Times New Roman"/>
          <w:sz w:val="24"/>
          <w:szCs w:val="24"/>
        </w:rPr>
        <w:t>0.021) were less likely t</w:t>
      </w:r>
      <w:r w:rsidR="00F0268C" w:rsidRPr="002C149E">
        <w:rPr>
          <w:rFonts w:ascii="Times New Roman" w:hAnsi="Times New Roman" w:cs="Times New Roman"/>
          <w:sz w:val="24"/>
          <w:szCs w:val="24"/>
        </w:rPr>
        <w:t xml:space="preserve">o report </w:t>
      </w:r>
      <w:r w:rsidR="00275641" w:rsidRPr="002C149E">
        <w:rPr>
          <w:rFonts w:ascii="Times New Roman" w:hAnsi="Times New Roman" w:cs="Times New Roman"/>
          <w:b/>
          <w:sz w:val="24"/>
          <w:szCs w:val="24"/>
        </w:rPr>
        <w:t>not</w:t>
      </w:r>
      <w:r w:rsidR="00275641" w:rsidRPr="002C149E">
        <w:rPr>
          <w:rFonts w:ascii="Times New Roman" w:hAnsi="Times New Roman" w:cs="Times New Roman"/>
          <w:sz w:val="24"/>
          <w:szCs w:val="24"/>
        </w:rPr>
        <w:t xml:space="preserve"> </w:t>
      </w:r>
      <w:r w:rsidR="00F53CFC" w:rsidRPr="002C149E">
        <w:rPr>
          <w:rFonts w:ascii="Times New Roman" w:hAnsi="Times New Roman" w:cs="Times New Roman"/>
          <w:i/>
          <w:sz w:val="24"/>
          <w:szCs w:val="24"/>
        </w:rPr>
        <w:t>moving on</w:t>
      </w:r>
      <w:r w:rsidR="00F53CFC" w:rsidRPr="002C149E">
        <w:rPr>
          <w:rFonts w:ascii="Times New Roman" w:hAnsi="Times New Roman" w:cs="Times New Roman"/>
          <w:sz w:val="24"/>
          <w:szCs w:val="24"/>
        </w:rPr>
        <w:t xml:space="preserve"> </w:t>
      </w:r>
      <w:r w:rsidR="00665FCD" w:rsidRPr="002C149E">
        <w:rPr>
          <w:rFonts w:ascii="Times New Roman" w:hAnsi="Times New Roman" w:cs="Times New Roman"/>
          <w:sz w:val="24"/>
          <w:szCs w:val="24"/>
        </w:rPr>
        <w:t>than their counterparts.</w:t>
      </w:r>
    </w:p>
    <w:p w:rsidR="00D07C6E" w:rsidRPr="002C149E" w:rsidRDefault="00D07C6E" w:rsidP="00D07C6E">
      <w:pPr>
        <w:jc w:val="both"/>
        <w:rPr>
          <w:rFonts w:ascii="Times New Roman" w:hAnsi="Times New Roman" w:cs="Times New Roman"/>
          <w:b/>
          <w:sz w:val="24"/>
          <w:szCs w:val="24"/>
        </w:rPr>
      </w:pPr>
      <w:r w:rsidRPr="002C149E">
        <w:rPr>
          <w:rFonts w:ascii="Times New Roman" w:hAnsi="Times New Roman" w:cs="Times New Roman"/>
          <w:b/>
          <w:sz w:val="24"/>
          <w:szCs w:val="24"/>
        </w:rPr>
        <w:t>Moved on 13-24 months after death</w:t>
      </w:r>
      <w:r w:rsidR="00F66D43">
        <w:rPr>
          <w:rFonts w:ascii="Times New Roman" w:hAnsi="Times New Roman" w:cs="Times New Roman"/>
          <w:b/>
          <w:sz w:val="24"/>
          <w:szCs w:val="24"/>
        </w:rPr>
        <w:t xml:space="preserve"> (Table 5)</w:t>
      </w:r>
      <w:r w:rsidRPr="002C149E">
        <w:rPr>
          <w:rFonts w:ascii="Times New Roman" w:hAnsi="Times New Roman" w:cs="Times New Roman"/>
          <w:b/>
          <w:sz w:val="24"/>
          <w:szCs w:val="24"/>
        </w:rPr>
        <w:t>:</w:t>
      </w:r>
    </w:p>
    <w:p w:rsidR="00D07C6E" w:rsidRPr="002C149E" w:rsidRDefault="00D07C6E" w:rsidP="00D07C6E">
      <w:pPr>
        <w:jc w:val="both"/>
        <w:rPr>
          <w:rFonts w:ascii="Times New Roman" w:hAnsi="Times New Roman" w:cs="Times New Roman"/>
          <w:i/>
          <w:sz w:val="24"/>
          <w:szCs w:val="24"/>
        </w:rPr>
      </w:pPr>
      <w:r w:rsidRPr="002C149E">
        <w:rPr>
          <w:rFonts w:ascii="Times New Roman" w:hAnsi="Times New Roman" w:cs="Times New Roman"/>
          <w:sz w:val="24"/>
          <w:szCs w:val="24"/>
        </w:rPr>
        <w:t xml:space="preserve">Six factors were significantly associated with ability to </w:t>
      </w:r>
      <w:r w:rsidRPr="002C149E">
        <w:rPr>
          <w:rFonts w:ascii="Times New Roman" w:hAnsi="Times New Roman" w:cs="Times New Roman"/>
          <w:i/>
          <w:sz w:val="24"/>
          <w:szCs w:val="24"/>
        </w:rPr>
        <w:t xml:space="preserve">move on </w:t>
      </w:r>
      <w:r w:rsidRPr="002C149E">
        <w:rPr>
          <w:rFonts w:ascii="Times New Roman" w:hAnsi="Times New Roman" w:cs="Times New Roman"/>
          <w:sz w:val="24"/>
          <w:szCs w:val="24"/>
        </w:rPr>
        <w:t xml:space="preserve">at </w:t>
      </w:r>
      <w:r w:rsidRPr="007B28D7">
        <w:rPr>
          <w:rFonts w:ascii="Times New Roman" w:hAnsi="Times New Roman" w:cs="Times New Roman"/>
          <w:sz w:val="24"/>
          <w:szCs w:val="24"/>
        </w:rPr>
        <w:t>13-24</w:t>
      </w:r>
      <w:r w:rsidRPr="00B5018A">
        <w:rPr>
          <w:rFonts w:ascii="Times New Roman" w:hAnsi="Times New Roman" w:cs="Times New Roman"/>
          <w:sz w:val="24"/>
          <w:szCs w:val="24"/>
        </w:rPr>
        <w:t xml:space="preserve"> </w:t>
      </w:r>
      <w:r w:rsidRPr="007B28D7">
        <w:rPr>
          <w:rFonts w:ascii="Times New Roman" w:hAnsi="Times New Roman" w:cs="Times New Roman"/>
          <w:sz w:val="24"/>
          <w:szCs w:val="24"/>
        </w:rPr>
        <w:t>months</w:t>
      </w:r>
      <w:r w:rsidRPr="002C149E">
        <w:rPr>
          <w:rFonts w:ascii="Times New Roman" w:hAnsi="Times New Roman" w:cs="Times New Roman"/>
          <w:sz w:val="24"/>
          <w:szCs w:val="24"/>
        </w:rPr>
        <w:t xml:space="preserve"> post-</w:t>
      </w:r>
      <w:r w:rsidR="00DF2EEC" w:rsidRPr="002C149E">
        <w:rPr>
          <w:rFonts w:ascii="Times New Roman" w:hAnsi="Times New Roman" w:cs="Times New Roman"/>
          <w:sz w:val="24"/>
          <w:szCs w:val="24"/>
        </w:rPr>
        <w:t>loss</w:t>
      </w:r>
      <w:r w:rsidRPr="002C149E">
        <w:rPr>
          <w:rFonts w:ascii="Times New Roman" w:hAnsi="Times New Roman" w:cs="Times New Roman"/>
          <w:sz w:val="24"/>
          <w:szCs w:val="24"/>
        </w:rPr>
        <w:t xml:space="preserve">: relationship to the deceased; caregiver age; socioeconomic status; level of care provided; gender; and education level. Compared with </w:t>
      </w:r>
      <w:proofErr w:type="spellStart"/>
      <w:r w:rsidRPr="002C149E">
        <w:rPr>
          <w:rFonts w:ascii="Times New Roman" w:hAnsi="Times New Roman" w:cs="Times New Roman"/>
          <w:sz w:val="24"/>
          <w:szCs w:val="24"/>
        </w:rPr>
        <w:t>spousally</w:t>
      </w:r>
      <w:proofErr w:type="spellEnd"/>
      <w:r w:rsidRPr="002C149E">
        <w:rPr>
          <w:rFonts w:ascii="Times New Roman" w:hAnsi="Times New Roman" w:cs="Times New Roman"/>
          <w:sz w:val="24"/>
          <w:szCs w:val="24"/>
        </w:rPr>
        <w:t xml:space="preserve">-bereaved respondents, parents/children/ siblings (OR 3.09; 95% CI 1.30 to 7.34; p=0.011) and “other” caregivers (OR 6.32; 95% CI 2.44 to 16.32; p&lt; 0.001) were more likely to have </w:t>
      </w:r>
      <w:r w:rsidRPr="002C149E">
        <w:rPr>
          <w:rFonts w:ascii="Times New Roman" w:hAnsi="Times New Roman" w:cs="Times New Roman"/>
          <w:i/>
          <w:sz w:val="24"/>
          <w:szCs w:val="24"/>
        </w:rPr>
        <w:t>moved on</w:t>
      </w:r>
      <w:r w:rsidRPr="002C149E">
        <w:rPr>
          <w:rFonts w:ascii="Times New Roman" w:hAnsi="Times New Roman" w:cs="Times New Roman"/>
          <w:sz w:val="24"/>
          <w:szCs w:val="24"/>
        </w:rPr>
        <w:t xml:space="preserve">. Those providing intermittent care (OR 2.23; 95% CI 1.13 to 4.40; p=0.21) were more likely to have </w:t>
      </w:r>
      <w:r w:rsidRPr="002C149E">
        <w:rPr>
          <w:rFonts w:ascii="Times New Roman" w:hAnsi="Times New Roman" w:cs="Times New Roman"/>
          <w:i/>
          <w:sz w:val="24"/>
          <w:szCs w:val="24"/>
        </w:rPr>
        <w:t>moved on</w:t>
      </w:r>
      <w:r w:rsidRPr="002C149E">
        <w:rPr>
          <w:rFonts w:ascii="Times New Roman" w:hAnsi="Times New Roman" w:cs="Times New Roman"/>
          <w:sz w:val="24"/>
          <w:szCs w:val="24"/>
        </w:rPr>
        <w:t xml:space="preserve"> than those providing daily care. Respondents from areas of greater socio-economic advantage (OR 1.86; 95% CI 1.05 to 3.30; p=0.034) and caregivers aged </w:t>
      </w:r>
      <w:r w:rsidR="008E5EE5" w:rsidRPr="002C149E">
        <w:rPr>
          <w:rFonts w:ascii="Times New Roman" w:hAnsi="Times New Roman" w:cs="Times New Roman"/>
          <w:sz w:val="24"/>
          <w:szCs w:val="24"/>
        </w:rPr>
        <w:t>&gt;</w:t>
      </w:r>
      <w:proofErr w:type="gramStart"/>
      <w:r w:rsidRPr="002C149E">
        <w:rPr>
          <w:rFonts w:ascii="Times New Roman" w:hAnsi="Times New Roman" w:cs="Times New Roman"/>
          <w:sz w:val="24"/>
          <w:szCs w:val="24"/>
        </w:rPr>
        <w:t>65  (</w:t>
      </w:r>
      <w:proofErr w:type="gramEnd"/>
      <w:r w:rsidRPr="002C149E">
        <w:rPr>
          <w:rFonts w:ascii="Times New Roman" w:hAnsi="Times New Roman" w:cs="Times New Roman"/>
          <w:sz w:val="24"/>
          <w:szCs w:val="24"/>
        </w:rPr>
        <w:t xml:space="preserve">OR 2.47; 95% CI 1.10 to 5.54; p=0.029) were also more likely to have </w:t>
      </w:r>
      <w:r w:rsidRPr="002C149E">
        <w:rPr>
          <w:rFonts w:ascii="Times New Roman" w:hAnsi="Times New Roman" w:cs="Times New Roman"/>
          <w:i/>
          <w:sz w:val="24"/>
          <w:szCs w:val="24"/>
        </w:rPr>
        <w:t>moved on</w:t>
      </w:r>
      <w:r w:rsidRPr="002C149E">
        <w:rPr>
          <w:rFonts w:ascii="Times New Roman" w:hAnsi="Times New Roman" w:cs="Times New Roman"/>
          <w:sz w:val="24"/>
          <w:szCs w:val="24"/>
        </w:rPr>
        <w:t xml:space="preserve"> than their counterparts. Finally, there was a significant interaction between male gender and level of education. For</w:t>
      </w:r>
      <w:r w:rsidR="003F255A" w:rsidRPr="002C149E">
        <w:rPr>
          <w:rFonts w:ascii="Times New Roman" w:hAnsi="Times New Roman" w:cs="Times New Roman"/>
          <w:sz w:val="24"/>
          <w:szCs w:val="24"/>
        </w:rPr>
        <w:t xml:space="preserve"> males</w:t>
      </w:r>
      <w:r w:rsidRPr="002C149E">
        <w:rPr>
          <w:rFonts w:ascii="Times New Roman" w:hAnsi="Times New Roman" w:cs="Times New Roman"/>
          <w:sz w:val="24"/>
          <w:szCs w:val="24"/>
        </w:rPr>
        <w:t xml:space="preserve">, you were more likely to have </w:t>
      </w:r>
      <w:r w:rsidRPr="002C149E">
        <w:rPr>
          <w:rFonts w:ascii="Times New Roman" w:hAnsi="Times New Roman" w:cs="Times New Roman"/>
          <w:i/>
          <w:sz w:val="24"/>
          <w:szCs w:val="24"/>
        </w:rPr>
        <w:t>moved on</w:t>
      </w:r>
      <w:r w:rsidRPr="002C149E">
        <w:rPr>
          <w:rFonts w:ascii="Times New Roman" w:hAnsi="Times New Roman" w:cs="Times New Roman"/>
          <w:sz w:val="24"/>
          <w:szCs w:val="24"/>
        </w:rPr>
        <w:t xml:space="preserve"> at 13-24 months if you were educated beyond school (OR 3.00; 95% CI 1.05 to 8.58; p=0.04). For</w:t>
      </w:r>
      <w:r w:rsidR="0067437A">
        <w:rPr>
          <w:rFonts w:ascii="Times New Roman" w:hAnsi="Times New Roman" w:cs="Times New Roman"/>
          <w:sz w:val="24"/>
          <w:szCs w:val="24"/>
        </w:rPr>
        <w:t xml:space="preserve"> </w:t>
      </w:r>
      <w:r w:rsidR="008E5EE5" w:rsidRPr="002C149E">
        <w:rPr>
          <w:rFonts w:ascii="Times New Roman" w:hAnsi="Times New Roman" w:cs="Times New Roman"/>
          <w:sz w:val="24"/>
          <w:szCs w:val="24"/>
        </w:rPr>
        <w:t>females</w:t>
      </w:r>
      <w:r w:rsidRPr="002C149E">
        <w:rPr>
          <w:rFonts w:ascii="Times New Roman" w:hAnsi="Times New Roman" w:cs="Times New Roman"/>
          <w:sz w:val="24"/>
          <w:szCs w:val="24"/>
        </w:rPr>
        <w:t xml:space="preserve">, education level was irrelevant in </w:t>
      </w:r>
      <w:r w:rsidRPr="002C149E">
        <w:rPr>
          <w:rFonts w:ascii="Times New Roman" w:hAnsi="Times New Roman" w:cs="Times New Roman"/>
          <w:i/>
          <w:sz w:val="24"/>
          <w:szCs w:val="24"/>
        </w:rPr>
        <w:t>moving on.</w:t>
      </w:r>
    </w:p>
    <w:p w:rsidR="00EA7442" w:rsidRPr="002C149E" w:rsidRDefault="006A44AE" w:rsidP="00D07C6E">
      <w:pPr>
        <w:jc w:val="both"/>
        <w:rPr>
          <w:rFonts w:ascii="Times New Roman" w:hAnsi="Times New Roman" w:cs="Times New Roman"/>
          <w:sz w:val="24"/>
          <w:szCs w:val="24"/>
        </w:rPr>
      </w:pPr>
      <w:r w:rsidRPr="002C149E">
        <w:rPr>
          <w:rFonts w:ascii="Times New Roman" w:hAnsi="Times New Roman" w:cs="Times New Roman"/>
          <w:sz w:val="24"/>
          <w:szCs w:val="24"/>
        </w:rPr>
        <w:t>T</w:t>
      </w:r>
      <w:r w:rsidR="00EA7442" w:rsidRPr="002C149E">
        <w:rPr>
          <w:rFonts w:ascii="Times New Roman" w:hAnsi="Times New Roman" w:cs="Times New Roman"/>
          <w:sz w:val="24"/>
          <w:szCs w:val="24"/>
        </w:rPr>
        <w:t xml:space="preserve">he </w:t>
      </w:r>
      <w:proofErr w:type="spellStart"/>
      <w:r w:rsidR="00EA7442" w:rsidRPr="002C149E">
        <w:rPr>
          <w:rFonts w:ascii="Times New Roman" w:hAnsi="Times New Roman" w:cs="Times New Roman"/>
          <w:sz w:val="24"/>
          <w:szCs w:val="24"/>
        </w:rPr>
        <w:t>Hosmer-Lemeshow</w:t>
      </w:r>
      <w:proofErr w:type="spellEnd"/>
      <w:r w:rsidR="00EA7442" w:rsidRPr="002C149E">
        <w:rPr>
          <w:rFonts w:ascii="Times New Roman" w:hAnsi="Times New Roman" w:cs="Times New Roman"/>
          <w:sz w:val="24"/>
          <w:szCs w:val="24"/>
        </w:rPr>
        <w:t xml:space="preserve"> test</w:t>
      </w:r>
      <w:r w:rsidRPr="002C149E">
        <w:rPr>
          <w:rFonts w:ascii="Times New Roman" w:hAnsi="Times New Roman" w:cs="Times New Roman"/>
          <w:sz w:val="24"/>
          <w:szCs w:val="24"/>
        </w:rPr>
        <w:t>s for each model</w:t>
      </w:r>
      <w:r w:rsidR="00EA7442" w:rsidRPr="002C149E">
        <w:rPr>
          <w:rFonts w:ascii="Times New Roman" w:hAnsi="Times New Roman" w:cs="Times New Roman"/>
          <w:sz w:val="24"/>
          <w:szCs w:val="24"/>
        </w:rPr>
        <w:t xml:space="preserve"> </w:t>
      </w:r>
      <w:r w:rsidRPr="002C149E">
        <w:rPr>
          <w:rFonts w:ascii="Times New Roman" w:hAnsi="Times New Roman" w:cs="Times New Roman"/>
          <w:sz w:val="24"/>
          <w:szCs w:val="24"/>
        </w:rPr>
        <w:t xml:space="preserve">showed </w:t>
      </w:r>
      <w:r w:rsidR="00EA7442" w:rsidRPr="002C149E">
        <w:rPr>
          <w:rFonts w:ascii="Times New Roman" w:hAnsi="Times New Roman" w:cs="Times New Roman"/>
          <w:sz w:val="24"/>
          <w:szCs w:val="24"/>
        </w:rPr>
        <w:t>no evidence of model violation.</w:t>
      </w:r>
    </w:p>
    <w:p w:rsidR="00E96006" w:rsidRPr="002C149E" w:rsidRDefault="00E96006" w:rsidP="00802DF8">
      <w:pPr>
        <w:jc w:val="both"/>
        <w:rPr>
          <w:rFonts w:ascii="Times New Roman" w:hAnsi="Times New Roman" w:cs="Times New Roman"/>
          <w:b/>
          <w:sz w:val="24"/>
          <w:szCs w:val="24"/>
          <w:u w:val="single"/>
        </w:rPr>
      </w:pPr>
      <w:r w:rsidRPr="002C149E">
        <w:rPr>
          <w:rFonts w:ascii="Times New Roman" w:hAnsi="Times New Roman" w:cs="Times New Roman"/>
          <w:b/>
          <w:sz w:val="24"/>
          <w:szCs w:val="24"/>
          <w:u w:val="single"/>
        </w:rPr>
        <w:t>Discussion</w:t>
      </w:r>
    </w:p>
    <w:p w:rsidR="00042856" w:rsidRPr="002C149E" w:rsidRDefault="00512A4F" w:rsidP="00802DF8">
      <w:pPr>
        <w:jc w:val="both"/>
        <w:rPr>
          <w:rFonts w:ascii="Times New Roman" w:hAnsi="Times New Roman" w:cs="Times New Roman"/>
          <w:sz w:val="24"/>
          <w:szCs w:val="24"/>
        </w:rPr>
      </w:pPr>
      <w:r w:rsidRPr="002C149E">
        <w:rPr>
          <w:rFonts w:ascii="Times New Roman" w:hAnsi="Times New Roman" w:cs="Times New Roman"/>
          <w:sz w:val="24"/>
          <w:szCs w:val="24"/>
        </w:rPr>
        <w:t>In this large</w:t>
      </w:r>
      <w:r w:rsidR="00275641" w:rsidRPr="002C149E">
        <w:rPr>
          <w:rFonts w:ascii="Times New Roman" w:hAnsi="Times New Roman" w:cs="Times New Roman"/>
          <w:sz w:val="24"/>
          <w:szCs w:val="24"/>
        </w:rPr>
        <w:t>,</w:t>
      </w:r>
      <w:r w:rsidRPr="002C149E">
        <w:rPr>
          <w:rFonts w:ascii="Times New Roman" w:hAnsi="Times New Roman" w:cs="Times New Roman"/>
          <w:sz w:val="24"/>
          <w:szCs w:val="24"/>
        </w:rPr>
        <w:t xml:space="preserve"> population-based study, we identified informal caregivers who had experienced the </w:t>
      </w:r>
      <w:r w:rsidR="00275641" w:rsidRPr="002C149E">
        <w:rPr>
          <w:rFonts w:ascii="Times New Roman" w:hAnsi="Times New Roman" w:cs="Times New Roman"/>
          <w:sz w:val="24"/>
          <w:szCs w:val="24"/>
        </w:rPr>
        <w:t>“</w:t>
      </w:r>
      <w:r w:rsidRPr="002C149E">
        <w:rPr>
          <w:rFonts w:ascii="Times New Roman" w:hAnsi="Times New Roman" w:cs="Times New Roman"/>
          <w:sz w:val="24"/>
          <w:szCs w:val="24"/>
        </w:rPr>
        <w:t>expected</w:t>
      </w:r>
      <w:r w:rsidR="00275641" w:rsidRPr="002C149E">
        <w:rPr>
          <w:rFonts w:ascii="Times New Roman" w:hAnsi="Times New Roman" w:cs="Times New Roman"/>
          <w:sz w:val="24"/>
          <w:szCs w:val="24"/>
        </w:rPr>
        <w:t>”</w:t>
      </w:r>
      <w:r w:rsidRPr="002C149E">
        <w:rPr>
          <w:rFonts w:ascii="Times New Roman" w:hAnsi="Times New Roman" w:cs="Times New Roman"/>
          <w:sz w:val="24"/>
          <w:szCs w:val="24"/>
        </w:rPr>
        <w:t xml:space="preserve"> death of someone close to them and asked them about</w:t>
      </w:r>
      <w:r w:rsidR="00492FAB" w:rsidRPr="002C149E">
        <w:rPr>
          <w:rFonts w:ascii="Times New Roman" w:hAnsi="Times New Roman" w:cs="Times New Roman"/>
          <w:sz w:val="24"/>
          <w:szCs w:val="24"/>
        </w:rPr>
        <w:t xml:space="preserve"> the caregiver-defined outcome </w:t>
      </w:r>
      <w:r w:rsidRPr="002C149E">
        <w:rPr>
          <w:rFonts w:ascii="Times New Roman" w:hAnsi="Times New Roman" w:cs="Times New Roman"/>
          <w:i/>
          <w:sz w:val="24"/>
          <w:szCs w:val="24"/>
        </w:rPr>
        <w:t>moving on</w:t>
      </w:r>
      <w:r w:rsidRPr="002C149E">
        <w:rPr>
          <w:rFonts w:ascii="Times New Roman" w:hAnsi="Times New Roman" w:cs="Times New Roman"/>
          <w:sz w:val="24"/>
          <w:szCs w:val="24"/>
        </w:rPr>
        <w:t>. Our results add to the caregiver</w:t>
      </w:r>
      <w:r w:rsidR="00042856" w:rsidRPr="002C149E">
        <w:rPr>
          <w:rFonts w:ascii="Times New Roman" w:hAnsi="Times New Roman" w:cs="Times New Roman"/>
          <w:sz w:val="24"/>
          <w:szCs w:val="24"/>
        </w:rPr>
        <w:t xml:space="preserve"> bereavement literature in three</w:t>
      </w:r>
      <w:r w:rsidRPr="002C149E">
        <w:rPr>
          <w:rFonts w:ascii="Times New Roman" w:hAnsi="Times New Roman" w:cs="Times New Roman"/>
          <w:sz w:val="24"/>
          <w:szCs w:val="24"/>
        </w:rPr>
        <w:t xml:space="preserve"> ways. Firstly, we have examined</w:t>
      </w:r>
      <w:r w:rsidR="00E86DEB" w:rsidRPr="002C149E">
        <w:rPr>
          <w:rFonts w:ascii="Times New Roman" w:hAnsi="Times New Roman" w:cs="Times New Roman"/>
          <w:sz w:val="24"/>
          <w:szCs w:val="24"/>
        </w:rPr>
        <w:t xml:space="preserve"> the impact of multiple</w:t>
      </w:r>
      <w:r w:rsidRPr="002C149E">
        <w:rPr>
          <w:rFonts w:ascii="Times New Roman" w:hAnsi="Times New Roman" w:cs="Times New Roman"/>
          <w:sz w:val="24"/>
          <w:szCs w:val="24"/>
        </w:rPr>
        <w:t xml:space="preserve"> factors on bereavement outcome in a population-based sample, over an extended </w:t>
      </w:r>
      <w:r w:rsidR="00574E4D" w:rsidRPr="002C149E">
        <w:rPr>
          <w:rFonts w:ascii="Times New Roman" w:hAnsi="Times New Roman" w:cs="Times New Roman"/>
          <w:sz w:val="24"/>
          <w:szCs w:val="24"/>
        </w:rPr>
        <w:t>period and with explicit</w:t>
      </w:r>
      <w:r w:rsidR="005D1EF8" w:rsidRPr="002C149E">
        <w:rPr>
          <w:rFonts w:ascii="Times New Roman" w:hAnsi="Times New Roman" w:cs="Times New Roman"/>
          <w:sz w:val="24"/>
          <w:szCs w:val="24"/>
        </w:rPr>
        <w:t xml:space="preserve"> exclusion</w:t>
      </w:r>
      <w:r w:rsidRPr="002C149E">
        <w:rPr>
          <w:rFonts w:ascii="Times New Roman" w:hAnsi="Times New Roman" w:cs="Times New Roman"/>
          <w:sz w:val="24"/>
          <w:szCs w:val="24"/>
        </w:rPr>
        <w:t xml:space="preserve"> of those respondents who were within 12 months post-berea</w:t>
      </w:r>
      <w:r w:rsidR="005C28AC" w:rsidRPr="002C149E">
        <w:rPr>
          <w:rFonts w:ascii="Times New Roman" w:hAnsi="Times New Roman" w:cs="Times New Roman"/>
          <w:sz w:val="24"/>
          <w:szCs w:val="24"/>
        </w:rPr>
        <w:t>vement. Secondly, we have examin</w:t>
      </w:r>
      <w:r w:rsidRPr="002C149E">
        <w:rPr>
          <w:rFonts w:ascii="Times New Roman" w:hAnsi="Times New Roman" w:cs="Times New Roman"/>
          <w:sz w:val="24"/>
          <w:szCs w:val="24"/>
        </w:rPr>
        <w:t>ed the characterist</w:t>
      </w:r>
      <w:r w:rsidR="00492FAB" w:rsidRPr="002C149E">
        <w:rPr>
          <w:rFonts w:ascii="Times New Roman" w:hAnsi="Times New Roman" w:cs="Times New Roman"/>
          <w:sz w:val="24"/>
          <w:szCs w:val="24"/>
        </w:rPr>
        <w:t xml:space="preserve">ics of those who have </w:t>
      </w:r>
      <w:r w:rsidR="00492FAB" w:rsidRPr="002C149E">
        <w:rPr>
          <w:rFonts w:ascii="Times New Roman" w:hAnsi="Times New Roman" w:cs="Times New Roman"/>
          <w:i/>
          <w:sz w:val="24"/>
          <w:szCs w:val="24"/>
        </w:rPr>
        <w:t>moved on</w:t>
      </w:r>
      <w:r w:rsidR="005D1EF8" w:rsidRPr="002C149E">
        <w:rPr>
          <w:rFonts w:ascii="Times New Roman" w:hAnsi="Times New Roman" w:cs="Times New Roman"/>
          <w:sz w:val="24"/>
          <w:szCs w:val="24"/>
        </w:rPr>
        <w:t xml:space="preserve"> in two time</w:t>
      </w:r>
      <w:r w:rsidR="003F255A" w:rsidRPr="002C149E">
        <w:rPr>
          <w:rFonts w:ascii="Times New Roman" w:hAnsi="Times New Roman" w:cs="Times New Roman"/>
          <w:sz w:val="24"/>
          <w:szCs w:val="24"/>
        </w:rPr>
        <w:t>-frames</w:t>
      </w:r>
      <w:r w:rsidR="005D1EF8" w:rsidRPr="002C149E">
        <w:rPr>
          <w:rFonts w:ascii="Times New Roman" w:hAnsi="Times New Roman" w:cs="Times New Roman"/>
          <w:sz w:val="24"/>
          <w:szCs w:val="24"/>
        </w:rPr>
        <w:t>, allowing</w:t>
      </w:r>
      <w:r w:rsidR="005C28AC" w:rsidRPr="002C149E">
        <w:rPr>
          <w:rFonts w:ascii="Times New Roman" w:hAnsi="Times New Roman" w:cs="Times New Roman"/>
          <w:sz w:val="24"/>
          <w:szCs w:val="24"/>
        </w:rPr>
        <w:t xml:space="preserve"> </w:t>
      </w:r>
      <w:r w:rsidR="003F255A" w:rsidRPr="002C149E">
        <w:rPr>
          <w:rFonts w:ascii="Times New Roman" w:hAnsi="Times New Roman" w:cs="Times New Roman"/>
          <w:sz w:val="24"/>
          <w:szCs w:val="24"/>
        </w:rPr>
        <w:t xml:space="preserve">identification of </w:t>
      </w:r>
      <w:r w:rsidRPr="002C149E">
        <w:rPr>
          <w:rFonts w:ascii="Times New Roman" w:hAnsi="Times New Roman" w:cs="Times New Roman"/>
          <w:sz w:val="24"/>
          <w:szCs w:val="24"/>
        </w:rPr>
        <w:t>factors which</w:t>
      </w:r>
      <w:r w:rsidR="005C28AC" w:rsidRPr="002C149E">
        <w:rPr>
          <w:rFonts w:ascii="Times New Roman" w:hAnsi="Times New Roman" w:cs="Times New Roman"/>
          <w:sz w:val="24"/>
          <w:szCs w:val="24"/>
        </w:rPr>
        <w:t xml:space="preserve"> have particular importance for caregivers in early bereavement</w:t>
      </w:r>
      <w:r w:rsidR="00042856" w:rsidRPr="002C149E">
        <w:rPr>
          <w:rFonts w:ascii="Times New Roman" w:hAnsi="Times New Roman" w:cs="Times New Roman"/>
          <w:sz w:val="24"/>
          <w:szCs w:val="24"/>
        </w:rPr>
        <w:t>. Third</w:t>
      </w:r>
      <w:r w:rsidRPr="002C149E">
        <w:rPr>
          <w:rFonts w:ascii="Times New Roman" w:hAnsi="Times New Roman" w:cs="Times New Roman"/>
          <w:sz w:val="24"/>
          <w:szCs w:val="24"/>
        </w:rPr>
        <w:t xml:space="preserve">ly, we </w:t>
      </w:r>
      <w:r w:rsidRPr="002C149E">
        <w:rPr>
          <w:rFonts w:ascii="Times New Roman" w:hAnsi="Times New Roman" w:cs="Times New Roman"/>
          <w:sz w:val="24"/>
          <w:szCs w:val="24"/>
        </w:rPr>
        <w:lastRenderedPageBreak/>
        <w:t>have confirmed the importance of gender in bereavement outcomes and highlighted the interaction of gender with other variables in mediating these outcomes.</w:t>
      </w:r>
      <w:r w:rsidR="00D61FDA" w:rsidRPr="002C149E">
        <w:rPr>
          <w:rFonts w:ascii="Times New Roman" w:hAnsi="Times New Roman" w:cs="Times New Roman"/>
          <w:sz w:val="24"/>
          <w:szCs w:val="24"/>
        </w:rPr>
        <w:t xml:space="preserve"> </w:t>
      </w:r>
    </w:p>
    <w:p w:rsidR="009E3686" w:rsidRPr="002C149E" w:rsidRDefault="004B3B59" w:rsidP="00802DF8">
      <w:pPr>
        <w:jc w:val="both"/>
        <w:rPr>
          <w:rFonts w:ascii="Times New Roman" w:hAnsi="Times New Roman" w:cs="Times New Roman"/>
          <w:sz w:val="24"/>
          <w:szCs w:val="24"/>
        </w:rPr>
      </w:pPr>
      <w:r w:rsidRPr="002C149E">
        <w:rPr>
          <w:rFonts w:ascii="Times New Roman" w:hAnsi="Times New Roman" w:cs="Times New Roman"/>
          <w:sz w:val="24"/>
          <w:szCs w:val="24"/>
        </w:rPr>
        <w:t xml:space="preserve">As </w:t>
      </w:r>
      <w:proofErr w:type="spellStart"/>
      <w:r w:rsidR="008C0532" w:rsidRPr="002C149E">
        <w:rPr>
          <w:rFonts w:ascii="Times New Roman" w:hAnsi="Times New Roman" w:cs="Times New Roman"/>
          <w:sz w:val="24"/>
          <w:szCs w:val="24"/>
        </w:rPr>
        <w:t>Stroeb</w:t>
      </w:r>
      <w:r w:rsidR="00492FAB" w:rsidRPr="002C149E">
        <w:rPr>
          <w:rFonts w:ascii="Times New Roman" w:hAnsi="Times New Roman" w:cs="Times New Roman"/>
          <w:sz w:val="24"/>
          <w:szCs w:val="24"/>
        </w:rPr>
        <w:t>e</w:t>
      </w:r>
      <w:proofErr w:type="spellEnd"/>
      <w:r w:rsidR="00492FAB" w:rsidRPr="002C149E">
        <w:rPr>
          <w:rFonts w:ascii="Times New Roman" w:hAnsi="Times New Roman" w:cs="Times New Roman"/>
          <w:sz w:val="24"/>
          <w:szCs w:val="24"/>
        </w:rPr>
        <w:t xml:space="preserve"> and </w:t>
      </w:r>
      <w:proofErr w:type="spellStart"/>
      <w:r w:rsidR="00492FAB" w:rsidRPr="002C149E">
        <w:rPr>
          <w:rFonts w:ascii="Times New Roman" w:hAnsi="Times New Roman" w:cs="Times New Roman"/>
          <w:sz w:val="24"/>
          <w:szCs w:val="24"/>
        </w:rPr>
        <w:t>Boerner</w:t>
      </w:r>
      <w:proofErr w:type="spellEnd"/>
      <w:r w:rsidR="00492FAB" w:rsidRPr="002C149E">
        <w:rPr>
          <w:rFonts w:ascii="Times New Roman" w:hAnsi="Times New Roman" w:cs="Times New Roman"/>
          <w:sz w:val="24"/>
          <w:szCs w:val="24"/>
        </w:rPr>
        <w:t xml:space="preserve"> recently observed</w:t>
      </w:r>
      <w:r w:rsidRPr="002C149E">
        <w:rPr>
          <w:rFonts w:ascii="Times New Roman" w:hAnsi="Times New Roman" w:cs="Times New Roman"/>
          <w:sz w:val="24"/>
          <w:szCs w:val="24"/>
        </w:rPr>
        <w:t>,</w:t>
      </w:r>
      <w:r w:rsidR="008C0532" w:rsidRPr="002C149E">
        <w:rPr>
          <w:rFonts w:ascii="Times New Roman" w:hAnsi="Times New Roman" w:cs="Times New Roman"/>
          <w:sz w:val="24"/>
          <w:szCs w:val="24"/>
        </w:rPr>
        <w:t xml:space="preserve"> our current challenge is to further elucidate caregiver sub</w:t>
      </w:r>
      <w:r w:rsidR="00857471" w:rsidRPr="002C149E">
        <w:rPr>
          <w:rFonts w:ascii="Times New Roman" w:hAnsi="Times New Roman" w:cs="Times New Roman"/>
          <w:sz w:val="24"/>
          <w:szCs w:val="24"/>
        </w:rPr>
        <w:t>-</w:t>
      </w:r>
      <w:r w:rsidR="008C0532" w:rsidRPr="002C149E">
        <w:rPr>
          <w:rFonts w:ascii="Times New Roman" w:hAnsi="Times New Roman" w:cs="Times New Roman"/>
          <w:sz w:val="24"/>
          <w:szCs w:val="24"/>
        </w:rPr>
        <w:t>groups of resilience versus risk</w:t>
      </w:r>
      <w:r w:rsidR="004B1369" w:rsidRPr="002C149E">
        <w:rPr>
          <w:rFonts w:ascii="Times New Roman" w:hAnsi="Times New Roman" w:cs="Times New Roman"/>
          <w:sz w:val="24"/>
          <w:szCs w:val="24"/>
        </w:rPr>
        <w:t xml:space="preserve"> with regard to bereavement outcomes</w:t>
      </w:r>
      <w:r w:rsidR="00FB4F3F" w:rsidRPr="002C149E">
        <w:rPr>
          <w:rFonts w:ascii="Times New Roman" w:hAnsi="Times New Roman" w:cs="Times New Roman"/>
          <w:sz w:val="24"/>
          <w:szCs w:val="24"/>
        </w:rPr>
        <w:t xml:space="preserve"> (3</w:t>
      </w:r>
      <w:r w:rsidR="002F0D15" w:rsidRPr="002C149E">
        <w:rPr>
          <w:rFonts w:ascii="Times New Roman" w:hAnsi="Times New Roman" w:cs="Times New Roman"/>
          <w:sz w:val="24"/>
          <w:szCs w:val="24"/>
        </w:rPr>
        <w:t>)</w:t>
      </w:r>
      <w:r w:rsidR="008C0532" w:rsidRPr="002C149E">
        <w:rPr>
          <w:rFonts w:ascii="Times New Roman" w:hAnsi="Times New Roman" w:cs="Times New Roman"/>
          <w:sz w:val="24"/>
          <w:szCs w:val="24"/>
        </w:rPr>
        <w:t>.</w:t>
      </w:r>
      <w:r w:rsidR="00AF7E18" w:rsidRPr="002C149E">
        <w:rPr>
          <w:rFonts w:ascii="Times New Roman" w:hAnsi="Times New Roman" w:cs="Times New Roman"/>
          <w:sz w:val="24"/>
          <w:szCs w:val="24"/>
        </w:rPr>
        <w:t xml:space="preserve"> However,</w:t>
      </w:r>
      <w:r w:rsidR="00EF582D" w:rsidRPr="002C149E">
        <w:rPr>
          <w:rFonts w:ascii="Times New Roman" w:hAnsi="Times New Roman" w:cs="Times New Roman"/>
          <w:sz w:val="24"/>
          <w:szCs w:val="24"/>
        </w:rPr>
        <w:t xml:space="preserve"> caregiver bereavement research faces well-documented obstacles</w:t>
      </w:r>
      <w:r w:rsidR="00FA0EF9" w:rsidRPr="002C149E">
        <w:rPr>
          <w:rFonts w:ascii="Times New Roman" w:hAnsi="Times New Roman" w:cs="Times New Roman"/>
          <w:sz w:val="24"/>
          <w:szCs w:val="24"/>
        </w:rPr>
        <w:t xml:space="preserve">. </w:t>
      </w:r>
      <w:r w:rsidR="003F255A" w:rsidRPr="002C149E">
        <w:rPr>
          <w:rFonts w:ascii="Times New Roman" w:hAnsi="Times New Roman" w:cs="Times New Roman"/>
          <w:sz w:val="24"/>
          <w:szCs w:val="24"/>
        </w:rPr>
        <w:t>I</w:t>
      </w:r>
      <w:r w:rsidR="005A4E76" w:rsidRPr="002C149E">
        <w:rPr>
          <w:rFonts w:ascii="Times New Roman" w:hAnsi="Times New Roman" w:cs="Times New Roman"/>
          <w:sz w:val="24"/>
          <w:szCs w:val="24"/>
        </w:rPr>
        <w:t xml:space="preserve">nformal caregivers may </w:t>
      </w:r>
      <w:r w:rsidR="00E00059" w:rsidRPr="002C149E">
        <w:rPr>
          <w:rFonts w:ascii="Times New Roman" w:hAnsi="Times New Roman" w:cs="Times New Roman"/>
          <w:sz w:val="24"/>
          <w:szCs w:val="24"/>
        </w:rPr>
        <w:t>fail</w:t>
      </w:r>
      <w:r w:rsidR="005A4E76" w:rsidRPr="002C149E">
        <w:rPr>
          <w:rFonts w:ascii="Times New Roman" w:hAnsi="Times New Roman" w:cs="Times New Roman"/>
          <w:sz w:val="24"/>
          <w:szCs w:val="24"/>
        </w:rPr>
        <w:t xml:space="preserve"> to identify</w:t>
      </w:r>
      <w:r w:rsidR="00212AEF" w:rsidRPr="002C149E">
        <w:rPr>
          <w:rFonts w:ascii="Times New Roman" w:hAnsi="Times New Roman" w:cs="Times New Roman"/>
          <w:sz w:val="24"/>
          <w:szCs w:val="24"/>
        </w:rPr>
        <w:t xml:space="preserve"> or be identified </w:t>
      </w:r>
      <w:r w:rsidR="005A4E76" w:rsidRPr="002C149E">
        <w:rPr>
          <w:rFonts w:ascii="Times New Roman" w:hAnsi="Times New Roman" w:cs="Times New Roman"/>
          <w:sz w:val="24"/>
          <w:szCs w:val="24"/>
        </w:rPr>
        <w:t>as a caregiver</w:t>
      </w:r>
      <w:r w:rsidR="00E00059" w:rsidRPr="002C149E">
        <w:rPr>
          <w:sz w:val="24"/>
          <w:szCs w:val="24"/>
        </w:rPr>
        <w:t xml:space="preserve"> </w:t>
      </w:r>
      <w:r w:rsidR="00E00059" w:rsidRPr="002C149E">
        <w:rPr>
          <w:rFonts w:ascii="Times New Roman" w:hAnsi="Times New Roman" w:cs="Times New Roman"/>
          <w:sz w:val="24"/>
          <w:szCs w:val="24"/>
        </w:rPr>
        <w:t xml:space="preserve">due to cross-over </w:t>
      </w:r>
      <w:r w:rsidR="00286A76" w:rsidRPr="002C149E">
        <w:rPr>
          <w:rFonts w:ascii="Times New Roman" w:hAnsi="Times New Roman" w:cs="Times New Roman"/>
          <w:sz w:val="24"/>
          <w:szCs w:val="24"/>
        </w:rPr>
        <w:t xml:space="preserve">between the norms of familial roles, especially the spousal role, </w:t>
      </w:r>
      <w:r w:rsidR="00E00059" w:rsidRPr="002C149E">
        <w:rPr>
          <w:rFonts w:ascii="Times New Roman" w:hAnsi="Times New Roman" w:cs="Times New Roman"/>
          <w:sz w:val="24"/>
          <w:szCs w:val="24"/>
        </w:rPr>
        <w:t>and those of the caregiver role</w:t>
      </w:r>
      <w:r w:rsidR="005A4E76" w:rsidRPr="002C149E">
        <w:rPr>
          <w:rFonts w:ascii="Times New Roman" w:hAnsi="Times New Roman" w:cs="Times New Roman"/>
          <w:sz w:val="24"/>
          <w:szCs w:val="24"/>
        </w:rPr>
        <w:t xml:space="preserve"> </w:t>
      </w:r>
      <w:r w:rsidR="00FB4F3F" w:rsidRPr="002C149E">
        <w:rPr>
          <w:rFonts w:ascii="Times New Roman" w:hAnsi="Times New Roman" w:cs="Times New Roman"/>
          <w:sz w:val="24"/>
          <w:szCs w:val="24"/>
        </w:rPr>
        <w:t>(48</w:t>
      </w:r>
      <w:r w:rsidR="002F0D15" w:rsidRPr="002C149E">
        <w:rPr>
          <w:rFonts w:ascii="Times New Roman" w:hAnsi="Times New Roman" w:cs="Times New Roman"/>
          <w:sz w:val="24"/>
          <w:szCs w:val="24"/>
        </w:rPr>
        <w:t>)</w:t>
      </w:r>
      <w:r w:rsidR="007D3302" w:rsidRPr="002C149E">
        <w:rPr>
          <w:rFonts w:ascii="Times New Roman" w:hAnsi="Times New Roman" w:cs="Times New Roman"/>
          <w:sz w:val="24"/>
          <w:szCs w:val="24"/>
        </w:rPr>
        <w:t>. Additionally</w:t>
      </w:r>
      <w:r w:rsidR="008F3224" w:rsidRPr="002C149E">
        <w:rPr>
          <w:rFonts w:ascii="Times New Roman" w:hAnsi="Times New Roman" w:cs="Times New Roman"/>
          <w:sz w:val="24"/>
          <w:szCs w:val="24"/>
        </w:rPr>
        <w:t>, those who experience</w:t>
      </w:r>
      <w:r w:rsidR="00A2741C" w:rsidRPr="002C149E">
        <w:rPr>
          <w:rFonts w:ascii="Times New Roman" w:hAnsi="Times New Roman" w:cs="Times New Roman"/>
          <w:sz w:val="24"/>
          <w:szCs w:val="24"/>
        </w:rPr>
        <w:t xml:space="preserve"> the greatest difficulty with adjustment in bereavement are often least likely to acces</w:t>
      </w:r>
      <w:r w:rsidR="003569ED" w:rsidRPr="002C149E">
        <w:rPr>
          <w:rFonts w:ascii="Times New Roman" w:hAnsi="Times New Roman" w:cs="Times New Roman"/>
          <w:sz w:val="24"/>
          <w:szCs w:val="24"/>
        </w:rPr>
        <w:t>s formal services</w:t>
      </w:r>
      <w:r w:rsidR="00212AEF" w:rsidRPr="002C149E">
        <w:rPr>
          <w:rFonts w:ascii="Times New Roman" w:hAnsi="Times New Roman" w:cs="Times New Roman"/>
          <w:sz w:val="24"/>
          <w:szCs w:val="24"/>
        </w:rPr>
        <w:t xml:space="preserve"> or </w:t>
      </w:r>
      <w:r w:rsidR="000C2F28" w:rsidRPr="002C149E">
        <w:rPr>
          <w:rFonts w:ascii="Times New Roman" w:hAnsi="Times New Roman" w:cs="Times New Roman"/>
          <w:sz w:val="24"/>
          <w:szCs w:val="24"/>
        </w:rPr>
        <w:t>participate in bereavement research</w:t>
      </w:r>
      <w:r w:rsidR="00FB4F3F" w:rsidRPr="002C149E">
        <w:rPr>
          <w:rFonts w:ascii="Times New Roman" w:hAnsi="Times New Roman" w:cs="Times New Roman"/>
          <w:sz w:val="24"/>
          <w:szCs w:val="24"/>
        </w:rPr>
        <w:t xml:space="preserve"> (49</w:t>
      </w:r>
      <w:r w:rsidR="00E00059" w:rsidRPr="002C149E">
        <w:rPr>
          <w:rFonts w:ascii="Times New Roman" w:hAnsi="Times New Roman" w:cs="Times New Roman"/>
          <w:sz w:val="24"/>
          <w:szCs w:val="24"/>
        </w:rPr>
        <w:t>)</w:t>
      </w:r>
      <w:r w:rsidR="000C2F28" w:rsidRPr="002C149E">
        <w:rPr>
          <w:rFonts w:ascii="Times New Roman" w:hAnsi="Times New Roman" w:cs="Times New Roman"/>
          <w:sz w:val="24"/>
          <w:szCs w:val="24"/>
        </w:rPr>
        <w:t>. This is d</w:t>
      </w:r>
      <w:r w:rsidR="003569ED" w:rsidRPr="002C149E">
        <w:rPr>
          <w:rFonts w:ascii="Times New Roman" w:hAnsi="Times New Roman" w:cs="Times New Roman"/>
          <w:sz w:val="24"/>
          <w:szCs w:val="24"/>
        </w:rPr>
        <w:t>espite</w:t>
      </w:r>
      <w:r w:rsidR="000C2F28" w:rsidRPr="002C149E">
        <w:rPr>
          <w:rFonts w:ascii="Times New Roman" w:hAnsi="Times New Roman" w:cs="Times New Roman"/>
          <w:sz w:val="24"/>
          <w:szCs w:val="24"/>
        </w:rPr>
        <w:t xml:space="preserve"> </w:t>
      </w:r>
      <w:r w:rsidR="00D3201B" w:rsidRPr="002C149E">
        <w:rPr>
          <w:rFonts w:ascii="Times New Roman" w:hAnsi="Times New Roman" w:cs="Times New Roman"/>
          <w:sz w:val="24"/>
          <w:szCs w:val="24"/>
        </w:rPr>
        <w:t xml:space="preserve">evidence that those with bereavement complications </w:t>
      </w:r>
      <w:r w:rsidR="008A6471" w:rsidRPr="002C149E">
        <w:rPr>
          <w:rFonts w:ascii="Times New Roman" w:hAnsi="Times New Roman" w:cs="Times New Roman"/>
          <w:sz w:val="24"/>
          <w:szCs w:val="24"/>
        </w:rPr>
        <w:t xml:space="preserve">would be receptive to treatment </w:t>
      </w:r>
      <w:r w:rsidR="00D3201B" w:rsidRPr="002C149E">
        <w:rPr>
          <w:rFonts w:ascii="Times New Roman" w:hAnsi="Times New Roman" w:cs="Times New Roman"/>
          <w:sz w:val="24"/>
          <w:szCs w:val="24"/>
        </w:rPr>
        <w:t>and</w:t>
      </w:r>
      <w:r w:rsidR="008A6471" w:rsidRPr="002C149E">
        <w:rPr>
          <w:rFonts w:ascii="Times New Roman" w:hAnsi="Times New Roman" w:cs="Times New Roman"/>
          <w:sz w:val="24"/>
          <w:szCs w:val="24"/>
        </w:rPr>
        <w:t xml:space="preserve"> </w:t>
      </w:r>
      <w:r w:rsidR="00A2741C" w:rsidRPr="002C149E">
        <w:rPr>
          <w:rFonts w:ascii="Times New Roman" w:hAnsi="Times New Roman" w:cs="Times New Roman"/>
          <w:sz w:val="24"/>
          <w:szCs w:val="24"/>
        </w:rPr>
        <w:t>stand to make the greatest gains from intervention</w:t>
      </w:r>
      <w:r w:rsidR="00534BA8" w:rsidRPr="002C149E">
        <w:rPr>
          <w:rFonts w:ascii="Times New Roman" w:hAnsi="Times New Roman" w:cs="Times New Roman"/>
          <w:sz w:val="24"/>
          <w:szCs w:val="24"/>
        </w:rPr>
        <w:t xml:space="preserve"> </w:t>
      </w:r>
      <w:r w:rsidR="00FB4F3F" w:rsidRPr="002C149E">
        <w:rPr>
          <w:rFonts w:ascii="Times New Roman" w:hAnsi="Times New Roman" w:cs="Times New Roman"/>
          <w:sz w:val="24"/>
          <w:szCs w:val="24"/>
        </w:rPr>
        <w:t>(50</w:t>
      </w:r>
      <w:r w:rsidR="005F3E23" w:rsidRPr="002C149E">
        <w:rPr>
          <w:rFonts w:ascii="Times New Roman" w:hAnsi="Times New Roman" w:cs="Times New Roman"/>
          <w:sz w:val="24"/>
          <w:szCs w:val="24"/>
        </w:rPr>
        <w:t>)</w:t>
      </w:r>
      <w:r w:rsidR="008A6471" w:rsidRPr="002C149E">
        <w:rPr>
          <w:rFonts w:ascii="Times New Roman" w:hAnsi="Times New Roman" w:cs="Times New Roman"/>
          <w:sz w:val="24"/>
          <w:szCs w:val="24"/>
        </w:rPr>
        <w:t xml:space="preserve">. </w:t>
      </w:r>
      <w:r w:rsidR="007C6ECA" w:rsidRPr="002C149E">
        <w:rPr>
          <w:rFonts w:ascii="Times New Roman" w:hAnsi="Times New Roman" w:cs="Times New Roman"/>
          <w:sz w:val="24"/>
          <w:szCs w:val="24"/>
        </w:rPr>
        <w:t>Finally</w:t>
      </w:r>
      <w:r w:rsidR="00A2741C" w:rsidRPr="002C149E">
        <w:rPr>
          <w:rFonts w:ascii="Times New Roman" w:hAnsi="Times New Roman" w:cs="Times New Roman"/>
          <w:sz w:val="24"/>
          <w:szCs w:val="24"/>
        </w:rPr>
        <w:t>, whilst maladaptive grief cannot be di</w:t>
      </w:r>
      <w:r w:rsidR="00212AEF" w:rsidRPr="002C149E">
        <w:rPr>
          <w:rFonts w:ascii="Times New Roman" w:hAnsi="Times New Roman" w:cs="Times New Roman"/>
          <w:sz w:val="24"/>
          <w:szCs w:val="24"/>
        </w:rPr>
        <w:t>agnosed until</w:t>
      </w:r>
      <w:r w:rsidR="00A2741C" w:rsidRPr="002C149E">
        <w:rPr>
          <w:rFonts w:ascii="Times New Roman" w:hAnsi="Times New Roman" w:cs="Times New Roman"/>
          <w:sz w:val="24"/>
          <w:szCs w:val="24"/>
        </w:rPr>
        <w:t xml:space="preserve"> </w:t>
      </w:r>
      <w:r w:rsidR="00063693">
        <w:rPr>
          <w:rFonts w:ascii="Times New Roman" w:hAnsi="Times New Roman" w:cs="Times New Roman"/>
          <w:sz w:val="24"/>
          <w:szCs w:val="24"/>
        </w:rPr>
        <w:t>6</w:t>
      </w:r>
      <w:r w:rsidR="00A2741C" w:rsidRPr="002C149E">
        <w:rPr>
          <w:rFonts w:ascii="Times New Roman" w:hAnsi="Times New Roman" w:cs="Times New Roman"/>
          <w:sz w:val="24"/>
          <w:szCs w:val="24"/>
        </w:rPr>
        <w:t xml:space="preserve"> months post-bereavement and may not be evident until after 13 months in </w:t>
      </w:r>
      <w:r w:rsidR="003F255A" w:rsidRPr="002C149E">
        <w:rPr>
          <w:rFonts w:ascii="Times New Roman" w:hAnsi="Times New Roman" w:cs="Times New Roman"/>
          <w:sz w:val="24"/>
          <w:szCs w:val="24"/>
        </w:rPr>
        <w:t xml:space="preserve">1/3 </w:t>
      </w:r>
      <w:r w:rsidR="00431722" w:rsidRPr="002C149E">
        <w:rPr>
          <w:rFonts w:ascii="Times New Roman" w:hAnsi="Times New Roman" w:cs="Times New Roman"/>
          <w:sz w:val="24"/>
          <w:szCs w:val="24"/>
        </w:rPr>
        <w:t>of caregivers</w:t>
      </w:r>
      <w:r w:rsidR="00A2741C" w:rsidRPr="002C149E">
        <w:rPr>
          <w:rFonts w:ascii="Times New Roman" w:hAnsi="Times New Roman" w:cs="Times New Roman"/>
          <w:sz w:val="24"/>
          <w:szCs w:val="24"/>
        </w:rPr>
        <w:t xml:space="preserve">, </w:t>
      </w:r>
      <w:r w:rsidR="00431722" w:rsidRPr="002C149E">
        <w:rPr>
          <w:rFonts w:ascii="Times New Roman" w:hAnsi="Times New Roman" w:cs="Times New Roman"/>
          <w:sz w:val="24"/>
          <w:szCs w:val="24"/>
        </w:rPr>
        <w:t>bereavement services are rarely resourced to follow-up for this period</w:t>
      </w:r>
      <w:r w:rsidR="003311D1" w:rsidRPr="002C149E">
        <w:rPr>
          <w:rFonts w:ascii="Times New Roman" w:hAnsi="Times New Roman" w:cs="Times New Roman"/>
          <w:sz w:val="24"/>
          <w:szCs w:val="24"/>
        </w:rPr>
        <w:t xml:space="preserve"> </w:t>
      </w:r>
      <w:r w:rsidR="007C6ECA" w:rsidRPr="002C149E">
        <w:rPr>
          <w:rFonts w:ascii="Times New Roman" w:hAnsi="Times New Roman" w:cs="Times New Roman"/>
          <w:sz w:val="24"/>
          <w:szCs w:val="24"/>
        </w:rPr>
        <w:t>(</w:t>
      </w:r>
      <w:r w:rsidR="00FB4F3F" w:rsidRPr="002C149E">
        <w:rPr>
          <w:rFonts w:ascii="Times New Roman" w:hAnsi="Times New Roman" w:cs="Times New Roman"/>
          <w:sz w:val="24"/>
          <w:szCs w:val="24"/>
        </w:rPr>
        <w:t>51</w:t>
      </w:r>
      <w:r w:rsidR="003311D1" w:rsidRPr="002C149E">
        <w:rPr>
          <w:rFonts w:ascii="Times New Roman" w:hAnsi="Times New Roman" w:cs="Times New Roman"/>
          <w:sz w:val="24"/>
          <w:szCs w:val="24"/>
        </w:rPr>
        <w:t>)</w:t>
      </w:r>
      <w:r w:rsidR="00431722" w:rsidRPr="002C149E">
        <w:rPr>
          <w:rFonts w:ascii="Times New Roman" w:hAnsi="Times New Roman" w:cs="Times New Roman"/>
          <w:sz w:val="24"/>
          <w:szCs w:val="24"/>
        </w:rPr>
        <w:t xml:space="preserve">. </w:t>
      </w:r>
      <w:r w:rsidR="00857471" w:rsidRPr="002C149E">
        <w:rPr>
          <w:rFonts w:ascii="Times New Roman" w:hAnsi="Times New Roman" w:cs="Times New Roman"/>
          <w:sz w:val="24"/>
          <w:szCs w:val="24"/>
        </w:rPr>
        <w:t>Further, health sys</w:t>
      </w:r>
      <w:r w:rsidR="009573E1" w:rsidRPr="002C149E">
        <w:rPr>
          <w:rFonts w:ascii="Times New Roman" w:hAnsi="Times New Roman" w:cs="Times New Roman"/>
          <w:sz w:val="24"/>
          <w:szCs w:val="24"/>
        </w:rPr>
        <w:t>tems are ill-equipped</w:t>
      </w:r>
      <w:r w:rsidR="00857471" w:rsidRPr="002C149E">
        <w:rPr>
          <w:rFonts w:ascii="Times New Roman" w:hAnsi="Times New Roman" w:cs="Times New Roman"/>
          <w:sz w:val="24"/>
          <w:szCs w:val="24"/>
        </w:rPr>
        <w:t xml:space="preserve"> to link </w:t>
      </w:r>
      <w:r w:rsidR="009573E1" w:rsidRPr="002C149E">
        <w:rPr>
          <w:rFonts w:ascii="Times New Roman" w:hAnsi="Times New Roman" w:cs="Times New Roman"/>
          <w:sz w:val="24"/>
          <w:szCs w:val="24"/>
        </w:rPr>
        <w:t xml:space="preserve">the </w:t>
      </w:r>
      <w:r w:rsidR="00594A1A" w:rsidRPr="002C149E">
        <w:rPr>
          <w:rFonts w:ascii="Times New Roman" w:hAnsi="Times New Roman" w:cs="Times New Roman"/>
          <w:sz w:val="24"/>
          <w:szCs w:val="24"/>
        </w:rPr>
        <w:t>array of psychological and</w:t>
      </w:r>
      <w:r w:rsidR="00857471" w:rsidRPr="002C149E">
        <w:rPr>
          <w:rFonts w:ascii="Times New Roman" w:hAnsi="Times New Roman" w:cs="Times New Roman"/>
          <w:sz w:val="24"/>
          <w:szCs w:val="24"/>
        </w:rPr>
        <w:t xml:space="preserve"> somatic presentations </w:t>
      </w:r>
      <w:r w:rsidR="00BD6207" w:rsidRPr="002C149E">
        <w:rPr>
          <w:rFonts w:ascii="Times New Roman" w:hAnsi="Times New Roman" w:cs="Times New Roman"/>
          <w:sz w:val="24"/>
          <w:szCs w:val="24"/>
        </w:rPr>
        <w:t xml:space="preserve">that are the </w:t>
      </w:r>
      <w:proofErr w:type="spellStart"/>
      <w:r w:rsidR="00BD6207" w:rsidRPr="002C149E">
        <w:rPr>
          <w:rFonts w:ascii="Times New Roman" w:hAnsi="Times New Roman" w:cs="Times New Roman"/>
          <w:sz w:val="24"/>
          <w:szCs w:val="24"/>
        </w:rPr>
        <w:t>s</w:t>
      </w:r>
      <w:r w:rsidR="008F3224" w:rsidRPr="002C149E">
        <w:rPr>
          <w:rFonts w:ascii="Times New Roman" w:hAnsi="Times New Roman" w:cs="Times New Roman"/>
          <w:sz w:val="24"/>
          <w:szCs w:val="24"/>
        </w:rPr>
        <w:t>equelae</w:t>
      </w:r>
      <w:proofErr w:type="spellEnd"/>
      <w:r w:rsidR="008F3224" w:rsidRPr="002C149E">
        <w:rPr>
          <w:rFonts w:ascii="Times New Roman" w:hAnsi="Times New Roman" w:cs="Times New Roman"/>
          <w:sz w:val="24"/>
          <w:szCs w:val="24"/>
        </w:rPr>
        <w:t xml:space="preserve"> of disordered grief to</w:t>
      </w:r>
      <w:r w:rsidR="00BD6207" w:rsidRPr="002C149E">
        <w:rPr>
          <w:rFonts w:ascii="Times New Roman" w:hAnsi="Times New Roman" w:cs="Times New Roman"/>
          <w:sz w:val="24"/>
          <w:szCs w:val="24"/>
        </w:rPr>
        <w:t xml:space="preserve"> a loss that may have occurred years before</w:t>
      </w:r>
      <w:r w:rsidR="007B264D" w:rsidRPr="002C149E">
        <w:rPr>
          <w:rFonts w:ascii="Times New Roman" w:hAnsi="Times New Roman" w:cs="Times New Roman"/>
          <w:sz w:val="24"/>
          <w:szCs w:val="24"/>
        </w:rPr>
        <w:t xml:space="preserve">. </w:t>
      </w:r>
      <w:r w:rsidR="00FF23A3" w:rsidRPr="002C149E">
        <w:rPr>
          <w:rFonts w:ascii="Times New Roman" w:hAnsi="Times New Roman" w:cs="Times New Roman"/>
          <w:sz w:val="24"/>
          <w:szCs w:val="24"/>
        </w:rPr>
        <w:t>In this context,</w:t>
      </w:r>
      <w:r w:rsidR="00800411" w:rsidRPr="002C149E">
        <w:rPr>
          <w:rFonts w:ascii="Times New Roman" w:hAnsi="Times New Roman" w:cs="Times New Roman"/>
          <w:sz w:val="24"/>
          <w:szCs w:val="24"/>
        </w:rPr>
        <w:t xml:space="preserve"> there is a particular role for</w:t>
      </w:r>
      <w:r w:rsidR="00FF23A3" w:rsidRPr="002C149E">
        <w:rPr>
          <w:rFonts w:ascii="Times New Roman" w:hAnsi="Times New Roman" w:cs="Times New Roman"/>
          <w:sz w:val="24"/>
          <w:szCs w:val="24"/>
        </w:rPr>
        <w:t xml:space="preserve"> </w:t>
      </w:r>
      <w:r w:rsidR="00AB63F1" w:rsidRPr="002C149E">
        <w:rPr>
          <w:rFonts w:ascii="Times New Roman" w:hAnsi="Times New Roman" w:cs="Times New Roman"/>
          <w:sz w:val="24"/>
          <w:szCs w:val="24"/>
        </w:rPr>
        <w:t xml:space="preserve">population-based surveys which </w:t>
      </w:r>
      <w:r w:rsidR="00B05582" w:rsidRPr="002C149E">
        <w:rPr>
          <w:rFonts w:ascii="Times New Roman" w:hAnsi="Times New Roman" w:cs="Times New Roman"/>
          <w:sz w:val="24"/>
          <w:szCs w:val="24"/>
        </w:rPr>
        <w:t>examine an extended</w:t>
      </w:r>
      <w:r w:rsidR="00AB63F1" w:rsidRPr="002C149E">
        <w:rPr>
          <w:rFonts w:ascii="Times New Roman" w:hAnsi="Times New Roman" w:cs="Times New Roman"/>
          <w:sz w:val="24"/>
          <w:szCs w:val="24"/>
        </w:rPr>
        <w:t xml:space="preserve"> </w:t>
      </w:r>
      <w:r w:rsidR="005C28AC" w:rsidRPr="002C149E">
        <w:rPr>
          <w:rFonts w:ascii="Times New Roman" w:hAnsi="Times New Roman" w:cs="Times New Roman"/>
          <w:sz w:val="24"/>
          <w:szCs w:val="24"/>
        </w:rPr>
        <w:t>post-loss</w:t>
      </w:r>
      <w:r w:rsidR="00B05582" w:rsidRPr="002C149E">
        <w:rPr>
          <w:rFonts w:ascii="Times New Roman" w:hAnsi="Times New Roman" w:cs="Times New Roman"/>
          <w:sz w:val="24"/>
          <w:szCs w:val="24"/>
        </w:rPr>
        <w:t xml:space="preserve"> </w:t>
      </w:r>
      <w:r w:rsidR="002E7D37" w:rsidRPr="002C149E">
        <w:rPr>
          <w:rFonts w:ascii="Times New Roman" w:hAnsi="Times New Roman" w:cs="Times New Roman"/>
          <w:sz w:val="24"/>
          <w:szCs w:val="24"/>
        </w:rPr>
        <w:t>period and</w:t>
      </w:r>
      <w:r w:rsidR="00AB63F1" w:rsidRPr="002C149E">
        <w:rPr>
          <w:rFonts w:ascii="Times New Roman" w:hAnsi="Times New Roman" w:cs="Times New Roman"/>
          <w:sz w:val="24"/>
          <w:szCs w:val="24"/>
        </w:rPr>
        <w:t xml:space="preserve"> avoid reliance on ca</w:t>
      </w:r>
      <w:r w:rsidR="003B0265" w:rsidRPr="002C149E">
        <w:rPr>
          <w:rFonts w:ascii="Times New Roman" w:hAnsi="Times New Roman" w:cs="Times New Roman"/>
          <w:sz w:val="24"/>
          <w:szCs w:val="24"/>
        </w:rPr>
        <w:t xml:space="preserve">regiver self-identification </w:t>
      </w:r>
      <w:r w:rsidR="008A6471" w:rsidRPr="002C149E">
        <w:rPr>
          <w:rFonts w:ascii="Times New Roman" w:hAnsi="Times New Roman" w:cs="Times New Roman"/>
          <w:sz w:val="24"/>
          <w:szCs w:val="24"/>
        </w:rPr>
        <w:t>or</w:t>
      </w:r>
      <w:r w:rsidR="00FE69CB" w:rsidRPr="002C149E">
        <w:rPr>
          <w:rFonts w:ascii="Times New Roman" w:hAnsi="Times New Roman" w:cs="Times New Roman"/>
          <w:sz w:val="24"/>
          <w:szCs w:val="24"/>
        </w:rPr>
        <w:t xml:space="preserve"> contact with </w:t>
      </w:r>
      <w:r w:rsidR="00D432F0" w:rsidRPr="002C149E">
        <w:rPr>
          <w:rFonts w:ascii="Times New Roman" w:hAnsi="Times New Roman" w:cs="Times New Roman"/>
          <w:sz w:val="24"/>
          <w:szCs w:val="24"/>
        </w:rPr>
        <w:t>established services</w:t>
      </w:r>
      <w:r w:rsidR="00AB63F1" w:rsidRPr="002C149E">
        <w:rPr>
          <w:rFonts w:ascii="Times New Roman" w:hAnsi="Times New Roman" w:cs="Times New Roman"/>
          <w:sz w:val="24"/>
          <w:szCs w:val="24"/>
        </w:rPr>
        <w:t xml:space="preserve">. </w:t>
      </w:r>
    </w:p>
    <w:p w:rsidR="000619AC" w:rsidRPr="002C149E" w:rsidRDefault="000619AC" w:rsidP="00802DF8">
      <w:pPr>
        <w:jc w:val="both"/>
        <w:rPr>
          <w:rFonts w:ascii="Times New Roman" w:hAnsi="Times New Roman" w:cs="Times New Roman"/>
          <w:b/>
          <w:sz w:val="24"/>
          <w:szCs w:val="24"/>
          <w:u w:val="single"/>
        </w:rPr>
      </w:pPr>
      <w:r w:rsidRPr="002C149E">
        <w:rPr>
          <w:rFonts w:ascii="Times New Roman" w:hAnsi="Times New Roman" w:cs="Times New Roman"/>
          <w:b/>
          <w:color w:val="000000"/>
          <w:sz w:val="24"/>
          <w:szCs w:val="24"/>
        </w:rPr>
        <w:t>Moved on 13-60 months</w:t>
      </w:r>
      <w:r w:rsidR="00033F41" w:rsidRPr="002C149E">
        <w:rPr>
          <w:rFonts w:ascii="Times New Roman" w:hAnsi="Times New Roman" w:cs="Times New Roman"/>
          <w:b/>
          <w:color w:val="000000"/>
          <w:sz w:val="24"/>
          <w:szCs w:val="24"/>
        </w:rPr>
        <w:t xml:space="preserve"> (Table </w:t>
      </w:r>
      <w:r w:rsidR="00F66D43">
        <w:rPr>
          <w:rFonts w:ascii="Times New Roman" w:hAnsi="Times New Roman" w:cs="Times New Roman"/>
          <w:b/>
          <w:color w:val="000000"/>
          <w:sz w:val="24"/>
          <w:szCs w:val="24"/>
        </w:rPr>
        <w:t>3</w:t>
      </w:r>
      <w:r w:rsidR="00033F41" w:rsidRPr="002C149E">
        <w:rPr>
          <w:rFonts w:ascii="Times New Roman" w:hAnsi="Times New Roman" w:cs="Times New Roman"/>
          <w:b/>
          <w:color w:val="000000"/>
          <w:sz w:val="24"/>
          <w:szCs w:val="24"/>
        </w:rPr>
        <w:t>)</w:t>
      </w:r>
      <w:r w:rsidRPr="002C149E">
        <w:rPr>
          <w:rFonts w:ascii="Times New Roman" w:hAnsi="Times New Roman" w:cs="Times New Roman"/>
          <w:b/>
          <w:color w:val="000000"/>
          <w:sz w:val="24"/>
          <w:szCs w:val="24"/>
        </w:rPr>
        <w:t>:</w:t>
      </w:r>
    </w:p>
    <w:p w:rsidR="00665848" w:rsidRPr="002C149E" w:rsidRDefault="00665848" w:rsidP="00802DF8">
      <w:pPr>
        <w:jc w:val="both"/>
        <w:rPr>
          <w:rFonts w:ascii="Times New Roman" w:hAnsi="Times New Roman" w:cs="Times New Roman"/>
          <w:sz w:val="24"/>
          <w:szCs w:val="24"/>
        </w:rPr>
      </w:pPr>
      <w:r w:rsidRPr="002C149E">
        <w:rPr>
          <w:rFonts w:ascii="Times New Roman" w:hAnsi="Times New Roman" w:cs="Times New Roman"/>
          <w:sz w:val="24"/>
          <w:szCs w:val="24"/>
        </w:rPr>
        <w:t>Our first</w:t>
      </w:r>
      <w:r w:rsidR="00E87689" w:rsidRPr="002C149E">
        <w:rPr>
          <w:rFonts w:ascii="Times New Roman" w:hAnsi="Times New Roman" w:cs="Times New Roman"/>
          <w:sz w:val="24"/>
          <w:szCs w:val="24"/>
        </w:rPr>
        <w:t xml:space="preserve"> multiv</w:t>
      </w:r>
      <w:r w:rsidR="00ED1915" w:rsidRPr="002C149E">
        <w:rPr>
          <w:rFonts w:ascii="Times New Roman" w:hAnsi="Times New Roman" w:cs="Times New Roman"/>
          <w:sz w:val="24"/>
          <w:szCs w:val="24"/>
        </w:rPr>
        <w:t xml:space="preserve">ariable regression explored the characteristics of those who were 13-60 months post-loss and had been able to </w:t>
      </w:r>
      <w:r w:rsidR="00ED1915" w:rsidRPr="002C149E">
        <w:rPr>
          <w:rFonts w:ascii="Times New Roman" w:hAnsi="Times New Roman" w:cs="Times New Roman"/>
          <w:i/>
          <w:sz w:val="24"/>
          <w:szCs w:val="24"/>
        </w:rPr>
        <w:t>move on</w:t>
      </w:r>
      <w:r w:rsidR="00E87689" w:rsidRPr="002C149E">
        <w:rPr>
          <w:rFonts w:ascii="Times New Roman" w:hAnsi="Times New Roman" w:cs="Times New Roman"/>
          <w:sz w:val="24"/>
          <w:szCs w:val="24"/>
        </w:rPr>
        <w:t xml:space="preserve">. </w:t>
      </w:r>
      <w:r w:rsidRPr="002C149E">
        <w:rPr>
          <w:rFonts w:ascii="Times New Roman" w:hAnsi="Times New Roman" w:cs="Times New Roman"/>
          <w:sz w:val="24"/>
          <w:szCs w:val="24"/>
        </w:rPr>
        <w:t xml:space="preserve">As </w:t>
      </w:r>
      <w:r w:rsidR="003F255A" w:rsidRPr="002C149E">
        <w:rPr>
          <w:rFonts w:ascii="Times New Roman" w:hAnsi="Times New Roman" w:cs="Times New Roman"/>
          <w:sz w:val="24"/>
          <w:szCs w:val="24"/>
        </w:rPr>
        <w:t>c</w:t>
      </w:r>
      <w:r w:rsidRPr="002C149E">
        <w:rPr>
          <w:rFonts w:ascii="Times New Roman" w:hAnsi="Times New Roman" w:cs="Times New Roman"/>
          <w:sz w:val="24"/>
          <w:szCs w:val="24"/>
        </w:rPr>
        <w:t xml:space="preserve">ould be expected, those with a closer relationship </w:t>
      </w:r>
      <w:r w:rsidR="009C59C4" w:rsidRPr="002C149E">
        <w:rPr>
          <w:rFonts w:ascii="Times New Roman" w:hAnsi="Times New Roman" w:cs="Times New Roman"/>
          <w:sz w:val="24"/>
          <w:szCs w:val="24"/>
        </w:rPr>
        <w:t>to the care recipient were less</w:t>
      </w:r>
      <w:r w:rsidRPr="002C149E">
        <w:rPr>
          <w:rFonts w:ascii="Times New Roman" w:hAnsi="Times New Roman" w:cs="Times New Roman"/>
          <w:sz w:val="24"/>
          <w:szCs w:val="24"/>
        </w:rPr>
        <w:t xml:space="preserve"> likely to have </w:t>
      </w:r>
      <w:r w:rsidRPr="002C149E">
        <w:rPr>
          <w:rFonts w:ascii="Times New Roman" w:hAnsi="Times New Roman" w:cs="Times New Roman"/>
          <w:i/>
          <w:sz w:val="24"/>
          <w:szCs w:val="24"/>
        </w:rPr>
        <w:t>moved on</w:t>
      </w:r>
      <w:r w:rsidRPr="002C149E">
        <w:rPr>
          <w:rFonts w:ascii="Times New Roman" w:hAnsi="Times New Roman" w:cs="Times New Roman"/>
          <w:sz w:val="24"/>
          <w:szCs w:val="24"/>
        </w:rPr>
        <w:t xml:space="preserve"> in this period (having controlled for caregiver </w:t>
      </w:r>
      <w:r w:rsidR="00624185" w:rsidRPr="002C149E">
        <w:rPr>
          <w:rFonts w:ascii="Times New Roman" w:hAnsi="Times New Roman" w:cs="Times New Roman"/>
          <w:sz w:val="24"/>
          <w:szCs w:val="24"/>
        </w:rPr>
        <w:t xml:space="preserve">age), </w:t>
      </w:r>
      <w:r w:rsidRPr="002C149E">
        <w:rPr>
          <w:rFonts w:ascii="Times New Roman" w:hAnsi="Times New Roman" w:cs="Times New Roman"/>
          <w:sz w:val="24"/>
          <w:szCs w:val="24"/>
        </w:rPr>
        <w:t>confirming the importance of relational closeness in ad</w:t>
      </w:r>
      <w:r w:rsidR="00FB4F3F" w:rsidRPr="002C149E">
        <w:rPr>
          <w:rFonts w:ascii="Times New Roman" w:hAnsi="Times New Roman" w:cs="Times New Roman"/>
          <w:sz w:val="24"/>
          <w:szCs w:val="24"/>
        </w:rPr>
        <w:t>justment to bereavement (4</w:t>
      </w:r>
      <w:proofErr w:type="gramStart"/>
      <w:r w:rsidR="00FB4F3F" w:rsidRPr="002C149E">
        <w:rPr>
          <w:rFonts w:ascii="Times New Roman" w:hAnsi="Times New Roman" w:cs="Times New Roman"/>
          <w:sz w:val="24"/>
          <w:szCs w:val="24"/>
        </w:rPr>
        <w:t>,19</w:t>
      </w:r>
      <w:proofErr w:type="gramEnd"/>
      <w:r w:rsidR="00D60FFC" w:rsidRPr="002C149E">
        <w:rPr>
          <w:rFonts w:ascii="Times New Roman" w:hAnsi="Times New Roman" w:cs="Times New Roman"/>
          <w:sz w:val="24"/>
          <w:szCs w:val="24"/>
        </w:rPr>
        <w:t>)</w:t>
      </w:r>
      <w:r w:rsidRPr="002C149E">
        <w:rPr>
          <w:rFonts w:ascii="Times New Roman" w:hAnsi="Times New Roman" w:cs="Times New Roman"/>
          <w:sz w:val="24"/>
          <w:szCs w:val="24"/>
        </w:rPr>
        <w:t xml:space="preserve">. </w:t>
      </w:r>
      <w:r w:rsidR="003F255A" w:rsidRPr="002C149E">
        <w:rPr>
          <w:rFonts w:ascii="Times New Roman" w:hAnsi="Times New Roman" w:cs="Times New Roman"/>
          <w:sz w:val="24"/>
          <w:szCs w:val="24"/>
        </w:rPr>
        <w:t xml:space="preserve">Spousal caregivers </w:t>
      </w:r>
      <w:r w:rsidRPr="002C149E">
        <w:rPr>
          <w:rFonts w:ascii="Times New Roman" w:hAnsi="Times New Roman" w:cs="Times New Roman"/>
          <w:sz w:val="24"/>
          <w:szCs w:val="24"/>
        </w:rPr>
        <w:t>may be the most vulnerable to cascading losses in bereavement, simultaneously losing their roles as caregiver and spouse, as well as longstanding routines a</w:t>
      </w:r>
      <w:r w:rsidR="00FB4F3F" w:rsidRPr="002C149E">
        <w:rPr>
          <w:rFonts w:ascii="Times New Roman" w:hAnsi="Times New Roman" w:cs="Times New Roman"/>
          <w:sz w:val="24"/>
          <w:szCs w:val="24"/>
        </w:rPr>
        <w:t>nd patterns of communicating (52-54</w:t>
      </w:r>
      <w:r w:rsidRPr="002C149E">
        <w:rPr>
          <w:rFonts w:ascii="Times New Roman" w:hAnsi="Times New Roman" w:cs="Times New Roman"/>
          <w:sz w:val="24"/>
          <w:szCs w:val="24"/>
        </w:rPr>
        <w:t>). There is also a higher likelihood that other lifestyle factors will be affected: household income, the ability to keep their home and the dynamics of supporting networks. Additionally, if disordered attachment underlies prolonged grief as many have proposed, it is in our closest and most emotionally dependent relationships with others that vulnerabilities in</w:t>
      </w:r>
      <w:r w:rsidR="00FB4F3F" w:rsidRPr="002C149E">
        <w:rPr>
          <w:rFonts w:ascii="Times New Roman" w:hAnsi="Times New Roman" w:cs="Times New Roman"/>
          <w:sz w:val="24"/>
          <w:szCs w:val="24"/>
        </w:rPr>
        <w:t xml:space="preserve"> attachment come to the fore (4,16,30,55</w:t>
      </w:r>
      <w:r w:rsidRPr="002C149E">
        <w:rPr>
          <w:rFonts w:ascii="Times New Roman" w:hAnsi="Times New Roman" w:cs="Times New Roman"/>
          <w:sz w:val="24"/>
          <w:szCs w:val="24"/>
        </w:rPr>
        <w:t>).</w:t>
      </w:r>
    </w:p>
    <w:p w:rsidR="00665848" w:rsidRPr="002C149E" w:rsidRDefault="00665848" w:rsidP="00802DF8">
      <w:pPr>
        <w:jc w:val="both"/>
        <w:rPr>
          <w:rFonts w:ascii="Times New Roman" w:hAnsi="Times New Roman" w:cs="Times New Roman"/>
          <w:sz w:val="24"/>
          <w:szCs w:val="24"/>
        </w:rPr>
      </w:pPr>
      <w:r w:rsidRPr="002C149E">
        <w:rPr>
          <w:rFonts w:ascii="Times New Roman" w:hAnsi="Times New Roman" w:cs="Times New Roman"/>
          <w:sz w:val="24"/>
          <w:szCs w:val="24"/>
        </w:rPr>
        <w:t>Caregiver age</w:t>
      </w:r>
      <w:r w:rsidR="005D7A85" w:rsidRPr="002C149E">
        <w:rPr>
          <w:rFonts w:ascii="Times New Roman" w:hAnsi="Times New Roman" w:cs="Times New Roman"/>
          <w:sz w:val="24"/>
          <w:szCs w:val="24"/>
        </w:rPr>
        <w:t xml:space="preserve"> &gt;65</w:t>
      </w:r>
      <w:r w:rsidRPr="002C149E">
        <w:rPr>
          <w:rFonts w:ascii="Times New Roman" w:hAnsi="Times New Roman" w:cs="Times New Roman"/>
          <w:sz w:val="24"/>
          <w:szCs w:val="24"/>
        </w:rPr>
        <w:t xml:space="preserve"> was </w:t>
      </w:r>
      <w:r w:rsidR="00EB427F" w:rsidRPr="002C149E">
        <w:rPr>
          <w:rFonts w:ascii="Times New Roman" w:hAnsi="Times New Roman" w:cs="Times New Roman"/>
          <w:sz w:val="24"/>
          <w:szCs w:val="24"/>
        </w:rPr>
        <w:t xml:space="preserve">also </w:t>
      </w:r>
      <w:r w:rsidRPr="002C149E">
        <w:rPr>
          <w:rFonts w:ascii="Times New Roman" w:hAnsi="Times New Roman" w:cs="Times New Roman"/>
          <w:sz w:val="24"/>
          <w:szCs w:val="24"/>
        </w:rPr>
        <w:t xml:space="preserve">associated with </w:t>
      </w:r>
      <w:r w:rsidR="00D60FFC" w:rsidRPr="002C149E">
        <w:rPr>
          <w:rFonts w:ascii="Times New Roman" w:hAnsi="Times New Roman" w:cs="Times New Roman"/>
          <w:sz w:val="24"/>
          <w:szCs w:val="24"/>
        </w:rPr>
        <w:t xml:space="preserve">ability to </w:t>
      </w:r>
      <w:r w:rsidR="00D60FFC" w:rsidRPr="002C149E">
        <w:rPr>
          <w:rFonts w:ascii="Times New Roman" w:hAnsi="Times New Roman" w:cs="Times New Roman"/>
          <w:i/>
          <w:sz w:val="24"/>
          <w:szCs w:val="24"/>
        </w:rPr>
        <w:t>move on</w:t>
      </w:r>
      <w:r w:rsidR="00D60FFC" w:rsidRPr="002C149E">
        <w:rPr>
          <w:rFonts w:ascii="Times New Roman" w:hAnsi="Times New Roman" w:cs="Times New Roman"/>
          <w:sz w:val="24"/>
          <w:szCs w:val="24"/>
        </w:rPr>
        <w:t xml:space="preserve"> between 13-60</w:t>
      </w:r>
      <w:r w:rsidRPr="002C149E">
        <w:rPr>
          <w:rFonts w:ascii="Times New Roman" w:hAnsi="Times New Roman" w:cs="Times New Roman"/>
          <w:sz w:val="24"/>
          <w:szCs w:val="24"/>
        </w:rPr>
        <w:t xml:space="preserve"> months. </w:t>
      </w:r>
      <w:r w:rsidR="00EB427F" w:rsidRPr="002C149E">
        <w:rPr>
          <w:rFonts w:ascii="Times New Roman" w:hAnsi="Times New Roman" w:cs="Times New Roman"/>
          <w:sz w:val="24"/>
          <w:szCs w:val="24"/>
        </w:rPr>
        <w:t xml:space="preserve">Older </w:t>
      </w:r>
      <w:r w:rsidRPr="002C149E">
        <w:rPr>
          <w:rFonts w:ascii="Times New Roman" w:hAnsi="Times New Roman" w:cs="Times New Roman"/>
          <w:sz w:val="24"/>
          <w:szCs w:val="24"/>
        </w:rPr>
        <w:t xml:space="preserve">caregivers may </w:t>
      </w:r>
      <w:r w:rsidR="00EB427F" w:rsidRPr="002C149E">
        <w:rPr>
          <w:rFonts w:ascii="Times New Roman" w:hAnsi="Times New Roman" w:cs="Times New Roman"/>
          <w:sz w:val="24"/>
          <w:szCs w:val="24"/>
        </w:rPr>
        <w:t xml:space="preserve">well </w:t>
      </w:r>
      <w:r w:rsidRPr="002C149E">
        <w:rPr>
          <w:rFonts w:ascii="Times New Roman" w:hAnsi="Times New Roman" w:cs="Times New Roman"/>
          <w:sz w:val="24"/>
          <w:szCs w:val="24"/>
        </w:rPr>
        <w:t xml:space="preserve">have a better sense of what to expect in death and bereavement, and may </w:t>
      </w:r>
      <w:r w:rsidR="007D3302" w:rsidRPr="002C149E">
        <w:rPr>
          <w:rFonts w:ascii="Times New Roman" w:hAnsi="Times New Roman" w:cs="Times New Roman"/>
          <w:sz w:val="24"/>
          <w:szCs w:val="24"/>
        </w:rPr>
        <w:t>have provided care previousl</w:t>
      </w:r>
      <w:r w:rsidR="006828E1" w:rsidRPr="002C149E">
        <w:rPr>
          <w:rFonts w:ascii="Times New Roman" w:hAnsi="Times New Roman" w:cs="Times New Roman"/>
          <w:sz w:val="24"/>
          <w:szCs w:val="24"/>
        </w:rPr>
        <w:t>y</w:t>
      </w:r>
      <w:r w:rsidRPr="002C149E">
        <w:rPr>
          <w:rFonts w:ascii="Times New Roman" w:hAnsi="Times New Roman" w:cs="Times New Roman"/>
          <w:sz w:val="24"/>
          <w:szCs w:val="24"/>
        </w:rPr>
        <w:t>. Feeling well-prepared for an expected death is associated with better bereavement outcom</w:t>
      </w:r>
      <w:r w:rsidR="00073254" w:rsidRPr="002C149E">
        <w:rPr>
          <w:rFonts w:ascii="Times New Roman" w:hAnsi="Times New Roman" w:cs="Times New Roman"/>
          <w:sz w:val="24"/>
          <w:szCs w:val="24"/>
        </w:rPr>
        <w:t>es in caregiving populations (12</w:t>
      </w:r>
      <w:proofErr w:type="gramStart"/>
      <w:r w:rsidR="00073254" w:rsidRPr="002C149E">
        <w:rPr>
          <w:rFonts w:ascii="Times New Roman" w:hAnsi="Times New Roman" w:cs="Times New Roman"/>
          <w:sz w:val="24"/>
          <w:szCs w:val="24"/>
        </w:rPr>
        <w:t>,22,56</w:t>
      </w:r>
      <w:proofErr w:type="gramEnd"/>
      <w:r w:rsidRPr="002C149E">
        <w:rPr>
          <w:rFonts w:ascii="Times New Roman" w:hAnsi="Times New Roman" w:cs="Times New Roman"/>
          <w:sz w:val="24"/>
          <w:szCs w:val="24"/>
        </w:rPr>
        <w:t>). Older caregivers may also be caring for older care recipient</w:t>
      </w:r>
      <w:r w:rsidR="00DF2EEC" w:rsidRPr="002C149E">
        <w:rPr>
          <w:rFonts w:ascii="Times New Roman" w:hAnsi="Times New Roman" w:cs="Times New Roman"/>
          <w:sz w:val="24"/>
          <w:szCs w:val="24"/>
        </w:rPr>
        <w:t>s</w:t>
      </w:r>
      <w:r w:rsidRPr="002C149E">
        <w:rPr>
          <w:rFonts w:ascii="Times New Roman" w:hAnsi="Times New Roman" w:cs="Times New Roman"/>
          <w:sz w:val="24"/>
          <w:szCs w:val="24"/>
        </w:rPr>
        <w:t xml:space="preserve">, </w:t>
      </w:r>
      <w:r w:rsidR="00D513C8" w:rsidRPr="002C149E">
        <w:rPr>
          <w:rFonts w:ascii="Times New Roman" w:hAnsi="Times New Roman" w:cs="Times New Roman"/>
          <w:sz w:val="24"/>
          <w:szCs w:val="24"/>
        </w:rPr>
        <w:t xml:space="preserve">meaning that </w:t>
      </w:r>
      <w:r w:rsidRPr="002C149E">
        <w:rPr>
          <w:rFonts w:ascii="Times New Roman" w:hAnsi="Times New Roman" w:cs="Times New Roman"/>
          <w:sz w:val="24"/>
          <w:szCs w:val="24"/>
        </w:rPr>
        <w:t xml:space="preserve">death </w:t>
      </w:r>
      <w:r w:rsidR="00D513C8" w:rsidRPr="002C149E">
        <w:rPr>
          <w:rFonts w:ascii="Times New Roman" w:hAnsi="Times New Roman" w:cs="Times New Roman"/>
          <w:sz w:val="24"/>
          <w:szCs w:val="24"/>
        </w:rPr>
        <w:t xml:space="preserve">is </w:t>
      </w:r>
      <w:r w:rsidRPr="002C149E">
        <w:rPr>
          <w:rFonts w:ascii="Times New Roman" w:hAnsi="Times New Roman" w:cs="Times New Roman"/>
          <w:sz w:val="24"/>
          <w:szCs w:val="24"/>
        </w:rPr>
        <w:t xml:space="preserve">less likely to be experienced as “out of time” </w:t>
      </w:r>
      <w:r w:rsidR="00D513C8" w:rsidRPr="002C149E">
        <w:rPr>
          <w:rFonts w:ascii="Times New Roman" w:hAnsi="Times New Roman" w:cs="Times New Roman"/>
          <w:sz w:val="24"/>
          <w:szCs w:val="24"/>
        </w:rPr>
        <w:t xml:space="preserve">as </w:t>
      </w:r>
      <w:r w:rsidR="007007D7" w:rsidRPr="002C149E">
        <w:rPr>
          <w:rFonts w:ascii="Times New Roman" w:hAnsi="Times New Roman" w:cs="Times New Roman"/>
          <w:sz w:val="24"/>
          <w:szCs w:val="24"/>
        </w:rPr>
        <w:t>younger deaths</w:t>
      </w:r>
      <w:r w:rsidR="00D513C8" w:rsidRPr="002C149E">
        <w:rPr>
          <w:rFonts w:ascii="Times New Roman" w:hAnsi="Times New Roman" w:cs="Times New Roman"/>
          <w:sz w:val="24"/>
          <w:szCs w:val="24"/>
        </w:rPr>
        <w:t xml:space="preserve"> might be</w:t>
      </w:r>
      <w:r w:rsidR="007007D7" w:rsidRPr="002C149E">
        <w:rPr>
          <w:rFonts w:ascii="Times New Roman" w:hAnsi="Times New Roman" w:cs="Times New Roman"/>
          <w:sz w:val="24"/>
          <w:szCs w:val="24"/>
        </w:rPr>
        <w:t xml:space="preserve"> (</w:t>
      </w:r>
      <w:r w:rsidR="00073254" w:rsidRPr="002C149E">
        <w:rPr>
          <w:rFonts w:ascii="Times New Roman" w:hAnsi="Times New Roman" w:cs="Times New Roman"/>
          <w:sz w:val="24"/>
          <w:szCs w:val="24"/>
        </w:rPr>
        <w:t>15</w:t>
      </w:r>
      <w:proofErr w:type="gramStart"/>
      <w:r w:rsidR="007007D7" w:rsidRPr="002C149E">
        <w:rPr>
          <w:rFonts w:ascii="Times New Roman" w:hAnsi="Times New Roman" w:cs="Times New Roman"/>
          <w:sz w:val="24"/>
          <w:szCs w:val="24"/>
        </w:rPr>
        <w:t>,57</w:t>
      </w:r>
      <w:proofErr w:type="gramEnd"/>
      <w:r w:rsidR="007007D7" w:rsidRPr="002C149E">
        <w:rPr>
          <w:rFonts w:ascii="Times New Roman" w:hAnsi="Times New Roman" w:cs="Times New Roman"/>
          <w:sz w:val="24"/>
          <w:szCs w:val="24"/>
        </w:rPr>
        <w:t>-58</w:t>
      </w:r>
      <w:r w:rsidRPr="002C149E">
        <w:rPr>
          <w:rFonts w:ascii="Times New Roman" w:hAnsi="Times New Roman" w:cs="Times New Roman"/>
          <w:sz w:val="24"/>
          <w:szCs w:val="24"/>
        </w:rPr>
        <w:t>). Finally, older caregivers may be juggling</w:t>
      </w:r>
      <w:r w:rsidR="00EB427F" w:rsidRPr="002C149E">
        <w:rPr>
          <w:rFonts w:ascii="Times New Roman" w:hAnsi="Times New Roman" w:cs="Times New Roman"/>
          <w:sz w:val="24"/>
          <w:szCs w:val="24"/>
        </w:rPr>
        <w:t xml:space="preserve"> fewer</w:t>
      </w:r>
      <w:r w:rsidRPr="002C149E">
        <w:rPr>
          <w:rFonts w:ascii="Times New Roman" w:hAnsi="Times New Roman" w:cs="Times New Roman"/>
          <w:sz w:val="24"/>
          <w:szCs w:val="24"/>
        </w:rPr>
        <w:t xml:space="preserve"> competing demands such as dependent children and paid employment while providing care. Given that many of us will </w:t>
      </w:r>
      <w:r w:rsidR="00D513C8" w:rsidRPr="002C149E">
        <w:rPr>
          <w:rFonts w:ascii="Times New Roman" w:hAnsi="Times New Roman" w:cs="Times New Roman"/>
          <w:sz w:val="24"/>
          <w:szCs w:val="24"/>
        </w:rPr>
        <w:t xml:space="preserve">need to </w:t>
      </w:r>
      <w:r w:rsidRPr="002C149E">
        <w:rPr>
          <w:rFonts w:ascii="Times New Roman" w:hAnsi="Times New Roman" w:cs="Times New Roman"/>
          <w:sz w:val="24"/>
          <w:szCs w:val="24"/>
        </w:rPr>
        <w:t>provide care multiple times in our lifetime, the impact of ageing on resilience and risk in bereavement i</w:t>
      </w:r>
      <w:r w:rsidR="007007D7" w:rsidRPr="002C149E">
        <w:rPr>
          <w:rFonts w:ascii="Times New Roman" w:hAnsi="Times New Roman" w:cs="Times New Roman"/>
          <w:sz w:val="24"/>
          <w:szCs w:val="24"/>
        </w:rPr>
        <w:t>s worthy of further research (6</w:t>
      </w:r>
      <w:r w:rsidRPr="002C149E">
        <w:rPr>
          <w:rFonts w:ascii="Times New Roman" w:hAnsi="Times New Roman" w:cs="Times New Roman"/>
          <w:sz w:val="24"/>
          <w:szCs w:val="24"/>
        </w:rPr>
        <w:t>).</w:t>
      </w:r>
    </w:p>
    <w:p w:rsidR="006828E1" w:rsidRPr="002C149E" w:rsidRDefault="00624185" w:rsidP="00802DF8">
      <w:pPr>
        <w:jc w:val="both"/>
        <w:rPr>
          <w:sz w:val="24"/>
          <w:szCs w:val="24"/>
        </w:rPr>
      </w:pPr>
      <w:r w:rsidRPr="002C149E">
        <w:rPr>
          <w:rFonts w:ascii="Times New Roman" w:hAnsi="Times New Roman" w:cs="Times New Roman"/>
          <w:sz w:val="24"/>
          <w:szCs w:val="24"/>
        </w:rPr>
        <w:lastRenderedPageBreak/>
        <w:t>Those respondents who identified</w:t>
      </w:r>
      <w:r w:rsidR="0067437A">
        <w:rPr>
          <w:rFonts w:ascii="Times New Roman" w:hAnsi="Times New Roman" w:cs="Times New Roman"/>
          <w:sz w:val="24"/>
          <w:szCs w:val="24"/>
        </w:rPr>
        <w:t xml:space="preserve"> </w:t>
      </w:r>
      <w:r w:rsidRPr="002C149E">
        <w:rPr>
          <w:rFonts w:ascii="Times New Roman" w:hAnsi="Times New Roman" w:cs="Times New Roman"/>
          <w:sz w:val="24"/>
          <w:szCs w:val="24"/>
        </w:rPr>
        <w:t xml:space="preserve">that they had received enough support over the 13-60 month period were significantly </w:t>
      </w:r>
      <w:r w:rsidR="008E5EE5" w:rsidRPr="002C149E">
        <w:rPr>
          <w:rFonts w:ascii="Times New Roman" w:hAnsi="Times New Roman" w:cs="Times New Roman"/>
          <w:sz w:val="24"/>
          <w:szCs w:val="24"/>
        </w:rPr>
        <w:t>more</w:t>
      </w:r>
      <w:r w:rsidRPr="002C149E">
        <w:rPr>
          <w:rFonts w:ascii="Times New Roman" w:hAnsi="Times New Roman" w:cs="Times New Roman"/>
          <w:sz w:val="24"/>
          <w:szCs w:val="24"/>
        </w:rPr>
        <w:t xml:space="preserve"> likely to have </w:t>
      </w:r>
      <w:r w:rsidRPr="002C149E">
        <w:rPr>
          <w:rFonts w:ascii="Times New Roman" w:hAnsi="Times New Roman" w:cs="Times New Roman"/>
          <w:i/>
          <w:sz w:val="24"/>
          <w:szCs w:val="24"/>
        </w:rPr>
        <w:t>moved on</w:t>
      </w:r>
      <w:r w:rsidRPr="002C149E">
        <w:rPr>
          <w:rFonts w:ascii="Times New Roman" w:hAnsi="Times New Roman" w:cs="Times New Roman"/>
          <w:sz w:val="24"/>
          <w:szCs w:val="24"/>
        </w:rPr>
        <w:t xml:space="preserve"> with their lives than their counterparts.</w:t>
      </w:r>
      <w:r w:rsidR="00817DBC" w:rsidRPr="002C149E">
        <w:rPr>
          <w:sz w:val="24"/>
          <w:szCs w:val="24"/>
        </w:rPr>
        <w:t xml:space="preserve"> </w:t>
      </w:r>
      <w:r w:rsidR="006828E1" w:rsidRPr="002C149E">
        <w:rPr>
          <w:rFonts w:ascii="Times New Roman" w:hAnsi="Times New Roman" w:cs="Times New Roman"/>
          <w:sz w:val="24"/>
          <w:szCs w:val="24"/>
        </w:rPr>
        <w:t xml:space="preserve">Notably, </w:t>
      </w:r>
      <w:proofErr w:type="spellStart"/>
      <w:r w:rsidR="006828E1" w:rsidRPr="002C149E">
        <w:rPr>
          <w:rFonts w:ascii="Times New Roman" w:hAnsi="Times New Roman" w:cs="Times New Roman"/>
          <w:sz w:val="24"/>
          <w:szCs w:val="24"/>
        </w:rPr>
        <w:t>Aoun</w:t>
      </w:r>
      <w:proofErr w:type="spellEnd"/>
      <w:r w:rsidR="006828E1" w:rsidRPr="002C149E">
        <w:rPr>
          <w:rFonts w:ascii="Times New Roman" w:hAnsi="Times New Roman" w:cs="Times New Roman"/>
          <w:sz w:val="24"/>
          <w:szCs w:val="24"/>
        </w:rPr>
        <w:t xml:space="preserve"> </w:t>
      </w:r>
      <w:r w:rsidR="006828E1" w:rsidRPr="002C149E">
        <w:rPr>
          <w:rFonts w:ascii="Times New Roman" w:hAnsi="Times New Roman" w:cs="Times New Roman"/>
          <w:i/>
          <w:sz w:val="24"/>
          <w:szCs w:val="24"/>
        </w:rPr>
        <w:t>et al</w:t>
      </w:r>
      <w:r w:rsidR="006828E1" w:rsidRPr="002C149E">
        <w:rPr>
          <w:rFonts w:ascii="Times New Roman" w:hAnsi="Times New Roman" w:cs="Times New Roman"/>
          <w:sz w:val="24"/>
          <w:szCs w:val="24"/>
        </w:rPr>
        <w:t xml:space="preserve"> found, in a community sample of bereaved families, that those at high risk of poor bereavement outcome were more likely to perceive lack of support, despite accessing the same suppo</w:t>
      </w:r>
      <w:r w:rsidR="007007D7" w:rsidRPr="002C149E">
        <w:rPr>
          <w:rFonts w:ascii="Times New Roman" w:hAnsi="Times New Roman" w:cs="Times New Roman"/>
          <w:sz w:val="24"/>
          <w:szCs w:val="24"/>
        </w:rPr>
        <w:t>rts as lower risk groups (58</w:t>
      </w:r>
      <w:r w:rsidR="006828E1" w:rsidRPr="002C149E">
        <w:rPr>
          <w:sz w:val="24"/>
          <w:szCs w:val="24"/>
        </w:rPr>
        <w:t>).</w:t>
      </w:r>
      <w:r w:rsidR="00ED4D2C" w:rsidRPr="002C149E">
        <w:rPr>
          <w:sz w:val="24"/>
          <w:szCs w:val="24"/>
        </w:rPr>
        <w:t xml:space="preserve"> </w:t>
      </w:r>
    </w:p>
    <w:p w:rsidR="00624185" w:rsidRPr="002C149E" w:rsidRDefault="00ED4D2C" w:rsidP="00802DF8">
      <w:pPr>
        <w:jc w:val="both"/>
        <w:rPr>
          <w:rFonts w:ascii="Times New Roman" w:hAnsi="Times New Roman" w:cs="Times New Roman"/>
          <w:sz w:val="24"/>
          <w:szCs w:val="24"/>
        </w:rPr>
      </w:pPr>
      <w:r w:rsidRPr="002C149E">
        <w:rPr>
          <w:rFonts w:ascii="Times New Roman" w:hAnsi="Times New Roman" w:cs="Times New Roman"/>
          <w:sz w:val="24"/>
          <w:szCs w:val="24"/>
        </w:rPr>
        <w:t xml:space="preserve">Finally, </w:t>
      </w:r>
      <w:r w:rsidR="00817DBC" w:rsidRPr="002C149E">
        <w:rPr>
          <w:rFonts w:ascii="Times New Roman" w:hAnsi="Times New Roman" w:cs="Times New Roman"/>
          <w:sz w:val="24"/>
          <w:szCs w:val="24"/>
        </w:rPr>
        <w:t>caregivers who were further along in bereavement</w:t>
      </w:r>
      <w:r w:rsidR="005C28AC" w:rsidRPr="002C149E">
        <w:rPr>
          <w:rFonts w:ascii="Times New Roman" w:hAnsi="Times New Roman" w:cs="Times New Roman"/>
          <w:sz w:val="24"/>
          <w:szCs w:val="24"/>
        </w:rPr>
        <w:t xml:space="preserve"> </w:t>
      </w:r>
      <w:r w:rsidR="00817DBC" w:rsidRPr="002C149E">
        <w:rPr>
          <w:rFonts w:ascii="Times New Roman" w:hAnsi="Times New Roman" w:cs="Times New Roman"/>
          <w:sz w:val="24"/>
          <w:szCs w:val="24"/>
        </w:rPr>
        <w:t xml:space="preserve">were significantly more likely to report that they had </w:t>
      </w:r>
      <w:r w:rsidR="00817DBC" w:rsidRPr="002C149E">
        <w:rPr>
          <w:rFonts w:ascii="Times New Roman" w:hAnsi="Times New Roman" w:cs="Times New Roman"/>
          <w:i/>
          <w:sz w:val="24"/>
          <w:szCs w:val="24"/>
        </w:rPr>
        <w:t>moved on</w:t>
      </w:r>
      <w:r w:rsidR="00817DBC" w:rsidRPr="002C149E">
        <w:rPr>
          <w:rFonts w:ascii="Times New Roman" w:hAnsi="Times New Roman" w:cs="Times New Roman"/>
          <w:sz w:val="24"/>
          <w:szCs w:val="24"/>
        </w:rPr>
        <w:t xml:space="preserve"> than their counterparts. T</w:t>
      </w:r>
      <w:r w:rsidR="00E80396" w:rsidRPr="002C149E">
        <w:rPr>
          <w:rFonts w:ascii="Times New Roman" w:hAnsi="Times New Roman" w:cs="Times New Roman"/>
          <w:sz w:val="24"/>
          <w:szCs w:val="24"/>
        </w:rPr>
        <w:t>his raises the question of whether there are factors</w:t>
      </w:r>
      <w:r w:rsidR="00817DBC" w:rsidRPr="002C149E">
        <w:rPr>
          <w:rFonts w:ascii="Times New Roman" w:hAnsi="Times New Roman" w:cs="Times New Roman"/>
          <w:sz w:val="24"/>
          <w:szCs w:val="24"/>
        </w:rPr>
        <w:t xml:space="preserve"> associated with </w:t>
      </w:r>
      <w:r w:rsidR="00E80396" w:rsidRPr="002C149E">
        <w:rPr>
          <w:rFonts w:ascii="Times New Roman" w:hAnsi="Times New Roman" w:cs="Times New Roman"/>
          <w:sz w:val="24"/>
          <w:szCs w:val="24"/>
        </w:rPr>
        <w:t xml:space="preserve">early adaptation in bereavement and whether such factors would be amenable to </w:t>
      </w:r>
      <w:r w:rsidR="00BB5566" w:rsidRPr="002C149E">
        <w:rPr>
          <w:rFonts w:ascii="Times New Roman" w:hAnsi="Times New Roman" w:cs="Times New Roman"/>
          <w:sz w:val="24"/>
          <w:szCs w:val="24"/>
        </w:rPr>
        <w:t>targeted</w:t>
      </w:r>
      <w:r w:rsidR="0067437A">
        <w:rPr>
          <w:rFonts w:ascii="Times New Roman" w:hAnsi="Times New Roman" w:cs="Times New Roman"/>
          <w:sz w:val="24"/>
          <w:szCs w:val="24"/>
        </w:rPr>
        <w:t xml:space="preserve"> </w:t>
      </w:r>
      <w:r w:rsidR="00E80396" w:rsidRPr="002C149E">
        <w:rPr>
          <w:rFonts w:ascii="Times New Roman" w:hAnsi="Times New Roman" w:cs="Times New Roman"/>
          <w:sz w:val="24"/>
          <w:szCs w:val="24"/>
        </w:rPr>
        <w:t>intervention.</w:t>
      </w:r>
    </w:p>
    <w:p w:rsidR="00FF6337" w:rsidRPr="002C149E" w:rsidRDefault="00FF6337" w:rsidP="00802DF8">
      <w:pPr>
        <w:jc w:val="both"/>
        <w:rPr>
          <w:rFonts w:ascii="Times New Roman" w:hAnsi="Times New Roman" w:cs="Times New Roman"/>
          <w:sz w:val="24"/>
          <w:szCs w:val="24"/>
        </w:rPr>
      </w:pPr>
      <w:r w:rsidRPr="002C149E">
        <w:rPr>
          <w:rFonts w:ascii="Times New Roman" w:hAnsi="Times New Roman" w:cs="Times New Roman"/>
          <w:sz w:val="24"/>
          <w:szCs w:val="24"/>
        </w:rPr>
        <w:t xml:space="preserve">Gender and English-speaking background were significantly associated with ability to </w:t>
      </w:r>
      <w:r w:rsidRPr="002C149E">
        <w:rPr>
          <w:rFonts w:ascii="Times New Roman" w:hAnsi="Times New Roman" w:cs="Times New Roman"/>
          <w:i/>
          <w:sz w:val="24"/>
          <w:szCs w:val="24"/>
        </w:rPr>
        <w:t>move on</w:t>
      </w:r>
      <w:r w:rsidRPr="002C149E">
        <w:rPr>
          <w:rFonts w:ascii="Times New Roman" w:hAnsi="Times New Roman" w:cs="Times New Roman"/>
          <w:sz w:val="24"/>
          <w:szCs w:val="24"/>
        </w:rPr>
        <w:t xml:space="preserve"> </w:t>
      </w:r>
      <w:r w:rsidR="00EF33FB" w:rsidRPr="002C149E">
        <w:rPr>
          <w:rFonts w:ascii="Times New Roman" w:hAnsi="Times New Roman" w:cs="Times New Roman"/>
          <w:sz w:val="24"/>
          <w:szCs w:val="24"/>
        </w:rPr>
        <w:t>at 13-60 months post-loss</w:t>
      </w:r>
      <w:r w:rsidRPr="002C149E">
        <w:rPr>
          <w:rFonts w:ascii="Times New Roman" w:hAnsi="Times New Roman" w:cs="Times New Roman"/>
          <w:sz w:val="24"/>
          <w:szCs w:val="24"/>
        </w:rPr>
        <w:t xml:space="preserve"> </w:t>
      </w:r>
      <w:r w:rsidR="00C4742D" w:rsidRPr="002C149E">
        <w:rPr>
          <w:rFonts w:ascii="Times New Roman" w:hAnsi="Times New Roman" w:cs="Times New Roman"/>
          <w:sz w:val="24"/>
          <w:szCs w:val="24"/>
        </w:rPr>
        <w:t xml:space="preserve">and these variables interacted. </w:t>
      </w:r>
    </w:p>
    <w:p w:rsidR="000619AC" w:rsidRPr="002C149E" w:rsidRDefault="000619AC" w:rsidP="00802DF8">
      <w:pPr>
        <w:jc w:val="both"/>
        <w:rPr>
          <w:rFonts w:ascii="Times New Roman" w:hAnsi="Times New Roman" w:cs="Times New Roman"/>
          <w:b/>
          <w:sz w:val="24"/>
          <w:szCs w:val="24"/>
        </w:rPr>
      </w:pPr>
      <w:r w:rsidRPr="002C149E">
        <w:rPr>
          <w:rFonts w:ascii="Times New Roman" w:hAnsi="Times New Roman" w:cs="Times New Roman"/>
          <w:b/>
          <w:sz w:val="24"/>
          <w:szCs w:val="24"/>
        </w:rPr>
        <w:t>Not moved on 13-60 months</w:t>
      </w:r>
      <w:r w:rsidR="00033F41" w:rsidRPr="002C149E">
        <w:rPr>
          <w:rFonts w:ascii="Times New Roman" w:hAnsi="Times New Roman" w:cs="Times New Roman"/>
          <w:b/>
          <w:sz w:val="24"/>
          <w:szCs w:val="24"/>
        </w:rPr>
        <w:t xml:space="preserve"> (Table </w:t>
      </w:r>
      <w:r w:rsidR="00F66D43">
        <w:rPr>
          <w:rFonts w:ascii="Times New Roman" w:hAnsi="Times New Roman" w:cs="Times New Roman"/>
          <w:b/>
          <w:sz w:val="24"/>
          <w:szCs w:val="24"/>
        </w:rPr>
        <w:t>4</w:t>
      </w:r>
      <w:r w:rsidR="00033F41" w:rsidRPr="002C149E">
        <w:rPr>
          <w:rFonts w:ascii="Times New Roman" w:hAnsi="Times New Roman" w:cs="Times New Roman"/>
          <w:b/>
          <w:sz w:val="24"/>
          <w:szCs w:val="24"/>
        </w:rPr>
        <w:t>)</w:t>
      </w:r>
      <w:r w:rsidRPr="002C149E">
        <w:rPr>
          <w:rFonts w:ascii="Times New Roman" w:hAnsi="Times New Roman" w:cs="Times New Roman"/>
          <w:b/>
          <w:sz w:val="24"/>
          <w:szCs w:val="24"/>
        </w:rPr>
        <w:t>:</w:t>
      </w:r>
    </w:p>
    <w:p w:rsidR="003C43CF" w:rsidRPr="002C149E" w:rsidRDefault="006F2438" w:rsidP="00802DF8">
      <w:pPr>
        <w:jc w:val="both"/>
        <w:rPr>
          <w:rFonts w:ascii="Times New Roman" w:hAnsi="Times New Roman" w:cs="Times New Roman"/>
          <w:sz w:val="24"/>
          <w:szCs w:val="24"/>
        </w:rPr>
      </w:pPr>
      <w:r w:rsidRPr="002C149E">
        <w:rPr>
          <w:rFonts w:ascii="Times New Roman" w:hAnsi="Times New Roman" w:cs="Times New Roman"/>
          <w:sz w:val="24"/>
          <w:szCs w:val="24"/>
        </w:rPr>
        <w:t>Our second</w:t>
      </w:r>
      <w:r w:rsidR="00FF6337" w:rsidRPr="002C149E">
        <w:rPr>
          <w:rFonts w:ascii="Times New Roman" w:hAnsi="Times New Roman" w:cs="Times New Roman"/>
          <w:sz w:val="24"/>
          <w:szCs w:val="24"/>
        </w:rPr>
        <w:t xml:space="preserve"> regression model examined the characteristics of those who were between 1</w:t>
      </w:r>
      <w:r w:rsidR="00624185" w:rsidRPr="002C149E">
        <w:rPr>
          <w:rFonts w:ascii="Times New Roman" w:hAnsi="Times New Roman" w:cs="Times New Roman"/>
          <w:sz w:val="24"/>
          <w:szCs w:val="24"/>
        </w:rPr>
        <w:t>3</w:t>
      </w:r>
      <w:r w:rsidR="00BB5566" w:rsidRPr="002C149E">
        <w:rPr>
          <w:rFonts w:ascii="Times New Roman" w:hAnsi="Times New Roman" w:cs="Times New Roman"/>
          <w:sz w:val="24"/>
          <w:szCs w:val="24"/>
        </w:rPr>
        <w:t>-</w:t>
      </w:r>
      <w:r w:rsidR="00624185" w:rsidRPr="002C149E">
        <w:rPr>
          <w:rFonts w:ascii="Times New Roman" w:hAnsi="Times New Roman" w:cs="Times New Roman"/>
          <w:sz w:val="24"/>
          <w:szCs w:val="24"/>
        </w:rPr>
        <w:t>60 months post-loss</w:t>
      </w:r>
      <w:r w:rsidR="00FF6337" w:rsidRPr="002C149E">
        <w:rPr>
          <w:rFonts w:ascii="Times New Roman" w:hAnsi="Times New Roman" w:cs="Times New Roman"/>
          <w:sz w:val="24"/>
          <w:szCs w:val="24"/>
        </w:rPr>
        <w:t xml:space="preserve"> and reported that they had </w:t>
      </w:r>
      <w:r w:rsidR="00FF6337" w:rsidRPr="002C149E">
        <w:rPr>
          <w:rFonts w:ascii="Times New Roman" w:hAnsi="Times New Roman" w:cs="Times New Roman"/>
          <w:b/>
          <w:sz w:val="24"/>
          <w:szCs w:val="24"/>
        </w:rPr>
        <w:t>not</w:t>
      </w:r>
      <w:r w:rsidR="00FF6337" w:rsidRPr="002C149E">
        <w:rPr>
          <w:rFonts w:ascii="Times New Roman" w:hAnsi="Times New Roman" w:cs="Times New Roman"/>
          <w:sz w:val="24"/>
          <w:szCs w:val="24"/>
        </w:rPr>
        <w:t xml:space="preserve"> been able to </w:t>
      </w:r>
      <w:r w:rsidR="00FF6337" w:rsidRPr="002C149E">
        <w:rPr>
          <w:rFonts w:ascii="Times New Roman" w:hAnsi="Times New Roman" w:cs="Times New Roman"/>
          <w:i/>
          <w:sz w:val="24"/>
          <w:szCs w:val="24"/>
        </w:rPr>
        <w:t>move on</w:t>
      </w:r>
      <w:r w:rsidR="00FF6337" w:rsidRPr="002C149E">
        <w:rPr>
          <w:rFonts w:ascii="Times New Roman" w:hAnsi="Times New Roman" w:cs="Times New Roman"/>
          <w:sz w:val="24"/>
          <w:szCs w:val="24"/>
        </w:rPr>
        <w:t xml:space="preserve">. </w:t>
      </w:r>
      <w:r w:rsidR="005D7A85" w:rsidRPr="002C149E">
        <w:rPr>
          <w:rFonts w:ascii="Times New Roman" w:hAnsi="Times New Roman" w:cs="Times New Roman"/>
          <w:sz w:val="24"/>
          <w:szCs w:val="24"/>
        </w:rPr>
        <w:t xml:space="preserve">Relational </w:t>
      </w:r>
      <w:r w:rsidR="00BB5566" w:rsidRPr="002C149E">
        <w:rPr>
          <w:rFonts w:ascii="Times New Roman" w:hAnsi="Times New Roman" w:cs="Times New Roman"/>
          <w:sz w:val="24"/>
          <w:szCs w:val="24"/>
        </w:rPr>
        <w:t xml:space="preserve">closeness </w:t>
      </w:r>
      <w:r w:rsidR="00FF6337" w:rsidRPr="002C149E">
        <w:rPr>
          <w:rFonts w:ascii="Times New Roman" w:hAnsi="Times New Roman" w:cs="Times New Roman"/>
          <w:sz w:val="24"/>
          <w:szCs w:val="24"/>
        </w:rPr>
        <w:t>was a</w:t>
      </w:r>
      <w:r w:rsidR="00563C76" w:rsidRPr="002C149E">
        <w:rPr>
          <w:rFonts w:ascii="Times New Roman" w:hAnsi="Times New Roman" w:cs="Times New Roman"/>
          <w:sz w:val="24"/>
          <w:szCs w:val="24"/>
        </w:rPr>
        <w:t xml:space="preserve">gain a significant factor. </w:t>
      </w:r>
      <w:r w:rsidR="00FF6337" w:rsidRPr="002C149E">
        <w:rPr>
          <w:rFonts w:ascii="Times New Roman" w:hAnsi="Times New Roman" w:cs="Times New Roman"/>
          <w:sz w:val="24"/>
          <w:szCs w:val="24"/>
        </w:rPr>
        <w:t>Those who came from regions of relative socioeconomic advantage were less likel</w:t>
      </w:r>
      <w:r w:rsidR="00E859F4" w:rsidRPr="002C149E">
        <w:rPr>
          <w:rFonts w:ascii="Times New Roman" w:hAnsi="Times New Roman" w:cs="Times New Roman"/>
          <w:sz w:val="24"/>
          <w:szCs w:val="24"/>
        </w:rPr>
        <w:t xml:space="preserve">y to report </w:t>
      </w:r>
      <w:r w:rsidR="00275641" w:rsidRPr="002C149E">
        <w:rPr>
          <w:rFonts w:ascii="Times New Roman" w:hAnsi="Times New Roman" w:cs="Times New Roman"/>
          <w:b/>
          <w:sz w:val="24"/>
          <w:szCs w:val="24"/>
        </w:rPr>
        <w:t>not</w:t>
      </w:r>
      <w:r w:rsidR="00275641" w:rsidRPr="002C149E">
        <w:rPr>
          <w:rFonts w:ascii="Times New Roman" w:hAnsi="Times New Roman" w:cs="Times New Roman"/>
          <w:sz w:val="24"/>
          <w:szCs w:val="24"/>
        </w:rPr>
        <w:t xml:space="preserve"> </w:t>
      </w:r>
      <w:r w:rsidR="00275641" w:rsidRPr="002C149E">
        <w:rPr>
          <w:rFonts w:ascii="Times New Roman" w:hAnsi="Times New Roman" w:cs="Times New Roman"/>
          <w:i/>
          <w:sz w:val="24"/>
          <w:szCs w:val="24"/>
        </w:rPr>
        <w:t>moving on</w:t>
      </w:r>
      <w:r w:rsidR="00FF6337" w:rsidRPr="002C149E">
        <w:rPr>
          <w:rFonts w:ascii="Times New Roman" w:hAnsi="Times New Roman" w:cs="Times New Roman"/>
          <w:sz w:val="24"/>
          <w:szCs w:val="24"/>
        </w:rPr>
        <w:t xml:space="preserve"> than their counter</w:t>
      </w:r>
      <w:r w:rsidR="00E859F4" w:rsidRPr="002C149E">
        <w:rPr>
          <w:rFonts w:ascii="Times New Roman" w:hAnsi="Times New Roman" w:cs="Times New Roman"/>
          <w:sz w:val="24"/>
          <w:szCs w:val="24"/>
        </w:rPr>
        <w:t>parts,</w:t>
      </w:r>
      <w:r w:rsidR="003C43CF" w:rsidRPr="002C149E">
        <w:rPr>
          <w:sz w:val="24"/>
          <w:szCs w:val="24"/>
        </w:rPr>
        <w:t xml:space="preserve"> </w:t>
      </w:r>
      <w:r w:rsidR="003C43CF" w:rsidRPr="002C149E">
        <w:rPr>
          <w:rFonts w:ascii="Times New Roman" w:hAnsi="Times New Roman" w:cs="Times New Roman"/>
          <w:sz w:val="24"/>
          <w:szCs w:val="24"/>
        </w:rPr>
        <w:t>confirming the importance of socioeconomic status in bereavement outcomes</w:t>
      </w:r>
      <w:r w:rsidR="008914FD" w:rsidRPr="002C149E">
        <w:rPr>
          <w:rFonts w:ascii="Times New Roman" w:hAnsi="Times New Roman" w:cs="Times New Roman"/>
          <w:sz w:val="24"/>
          <w:szCs w:val="24"/>
        </w:rPr>
        <w:t xml:space="preserve">. </w:t>
      </w:r>
      <w:r w:rsidR="00DC7D04" w:rsidRPr="002C149E">
        <w:rPr>
          <w:rFonts w:ascii="Times New Roman" w:hAnsi="Times New Roman" w:cs="Times New Roman"/>
          <w:sz w:val="24"/>
          <w:szCs w:val="24"/>
        </w:rPr>
        <w:t>Caregivers’ a</w:t>
      </w:r>
      <w:r w:rsidR="003C43CF" w:rsidRPr="002C149E">
        <w:rPr>
          <w:rFonts w:ascii="Times New Roman" w:hAnsi="Times New Roman" w:cs="Times New Roman"/>
          <w:sz w:val="24"/>
          <w:szCs w:val="24"/>
        </w:rPr>
        <w:t>ccess to resources ranging from equipment and domestic help to informational resources or specialist services</w:t>
      </w:r>
      <w:r w:rsidR="00DC7D04" w:rsidRPr="002C149E">
        <w:rPr>
          <w:rFonts w:ascii="Times New Roman" w:hAnsi="Times New Roman" w:cs="Times New Roman"/>
          <w:sz w:val="24"/>
          <w:szCs w:val="24"/>
        </w:rPr>
        <w:t>,</w:t>
      </w:r>
      <w:r w:rsidR="003C43CF" w:rsidRPr="002C149E">
        <w:rPr>
          <w:rFonts w:ascii="Times New Roman" w:hAnsi="Times New Roman" w:cs="Times New Roman"/>
          <w:sz w:val="24"/>
          <w:szCs w:val="24"/>
        </w:rPr>
        <w:t xml:space="preserve"> impacts</w:t>
      </w:r>
      <w:r w:rsidR="00DC7D04" w:rsidRPr="002C149E">
        <w:rPr>
          <w:rFonts w:ascii="Times New Roman" w:hAnsi="Times New Roman" w:cs="Times New Roman"/>
          <w:sz w:val="24"/>
          <w:szCs w:val="24"/>
        </w:rPr>
        <w:t xml:space="preserve"> on both the</w:t>
      </w:r>
      <w:r w:rsidR="003C43CF" w:rsidRPr="002C149E">
        <w:rPr>
          <w:rFonts w:ascii="Times New Roman" w:hAnsi="Times New Roman" w:cs="Times New Roman"/>
          <w:sz w:val="24"/>
          <w:szCs w:val="24"/>
        </w:rPr>
        <w:t xml:space="preserve"> experience of providing care and of</w:t>
      </w:r>
      <w:r w:rsidR="007007D7" w:rsidRPr="002C149E">
        <w:rPr>
          <w:rFonts w:ascii="Times New Roman" w:hAnsi="Times New Roman" w:cs="Times New Roman"/>
          <w:sz w:val="24"/>
          <w:szCs w:val="24"/>
        </w:rPr>
        <w:t xml:space="preserve"> bereavement (14,59</w:t>
      </w:r>
      <w:r w:rsidR="003C43CF" w:rsidRPr="002C149E">
        <w:rPr>
          <w:rFonts w:ascii="Times New Roman" w:hAnsi="Times New Roman" w:cs="Times New Roman"/>
          <w:sz w:val="24"/>
          <w:szCs w:val="24"/>
        </w:rPr>
        <w:t>). A key question</w:t>
      </w:r>
      <w:r w:rsidR="00E80396" w:rsidRPr="002C149E">
        <w:rPr>
          <w:rFonts w:ascii="Times New Roman" w:hAnsi="Times New Roman" w:cs="Times New Roman"/>
          <w:sz w:val="24"/>
          <w:szCs w:val="24"/>
        </w:rPr>
        <w:t xml:space="preserve"> for future research</w:t>
      </w:r>
      <w:r w:rsidR="003C43CF" w:rsidRPr="002C149E">
        <w:rPr>
          <w:rFonts w:ascii="Times New Roman" w:hAnsi="Times New Roman" w:cs="Times New Roman"/>
          <w:sz w:val="24"/>
          <w:szCs w:val="24"/>
        </w:rPr>
        <w:t xml:space="preserve"> is whether some resources are essential to bereavement adaptation overall, and whether certain resources have particular importance in various subgroups. </w:t>
      </w:r>
    </w:p>
    <w:p w:rsidR="00FF6337" w:rsidRPr="002C149E" w:rsidRDefault="007A16C4" w:rsidP="00802DF8">
      <w:pPr>
        <w:jc w:val="both"/>
        <w:rPr>
          <w:rFonts w:ascii="Times New Roman" w:hAnsi="Times New Roman" w:cs="Times New Roman"/>
          <w:sz w:val="24"/>
          <w:szCs w:val="24"/>
        </w:rPr>
      </w:pPr>
      <w:r w:rsidRPr="002C149E">
        <w:rPr>
          <w:rFonts w:ascii="Times New Roman" w:hAnsi="Times New Roman" w:cs="Times New Roman"/>
          <w:sz w:val="24"/>
          <w:szCs w:val="24"/>
        </w:rPr>
        <w:t xml:space="preserve">Arguably, the most notable result from this model was the significant association of male gender with inability to </w:t>
      </w:r>
      <w:r w:rsidRPr="002C149E">
        <w:rPr>
          <w:rFonts w:ascii="Times New Roman" w:hAnsi="Times New Roman" w:cs="Times New Roman"/>
          <w:i/>
          <w:sz w:val="24"/>
          <w:szCs w:val="24"/>
        </w:rPr>
        <w:t>move on</w:t>
      </w:r>
      <w:r w:rsidRPr="002C149E">
        <w:rPr>
          <w:rFonts w:ascii="Times New Roman" w:hAnsi="Times New Roman" w:cs="Times New Roman"/>
          <w:sz w:val="24"/>
          <w:szCs w:val="24"/>
        </w:rPr>
        <w:t xml:space="preserve"> ove</w:t>
      </w:r>
      <w:r w:rsidR="00F341D0" w:rsidRPr="002C149E">
        <w:rPr>
          <w:rFonts w:ascii="Times New Roman" w:hAnsi="Times New Roman" w:cs="Times New Roman"/>
          <w:sz w:val="24"/>
          <w:szCs w:val="24"/>
        </w:rPr>
        <w:t>r 13-60 months post-</w:t>
      </w:r>
      <w:r w:rsidR="00BB5566" w:rsidRPr="002C149E">
        <w:rPr>
          <w:rFonts w:ascii="Times New Roman" w:hAnsi="Times New Roman" w:cs="Times New Roman"/>
          <w:sz w:val="24"/>
          <w:szCs w:val="24"/>
        </w:rPr>
        <w:t>loss</w:t>
      </w:r>
      <w:r w:rsidR="00F341D0" w:rsidRPr="002C149E">
        <w:rPr>
          <w:rFonts w:ascii="Times New Roman" w:hAnsi="Times New Roman" w:cs="Times New Roman"/>
          <w:sz w:val="24"/>
          <w:szCs w:val="24"/>
        </w:rPr>
        <w:t>.</w:t>
      </w:r>
      <w:r w:rsidR="00D60FFC" w:rsidRPr="002C149E">
        <w:rPr>
          <w:sz w:val="24"/>
          <w:szCs w:val="24"/>
        </w:rPr>
        <w:t xml:space="preserve"> </w:t>
      </w:r>
    </w:p>
    <w:p w:rsidR="00D60FFC" w:rsidRPr="002C149E" w:rsidRDefault="00D60FFC" w:rsidP="00D60FFC">
      <w:pPr>
        <w:jc w:val="both"/>
        <w:rPr>
          <w:rFonts w:ascii="Times New Roman" w:hAnsi="Times New Roman" w:cs="Times New Roman"/>
          <w:b/>
          <w:sz w:val="24"/>
          <w:szCs w:val="24"/>
        </w:rPr>
      </w:pPr>
      <w:r w:rsidRPr="002C149E">
        <w:rPr>
          <w:rFonts w:ascii="Times New Roman" w:hAnsi="Times New Roman" w:cs="Times New Roman"/>
          <w:b/>
          <w:sz w:val="24"/>
          <w:szCs w:val="24"/>
        </w:rPr>
        <w:t>Moved on 13-24 months</w:t>
      </w:r>
      <w:r w:rsidR="00033F41" w:rsidRPr="002C149E">
        <w:rPr>
          <w:rFonts w:ascii="Times New Roman" w:hAnsi="Times New Roman" w:cs="Times New Roman"/>
          <w:b/>
          <w:sz w:val="24"/>
          <w:szCs w:val="24"/>
        </w:rPr>
        <w:t xml:space="preserve"> (Table </w:t>
      </w:r>
      <w:r w:rsidR="00F66D43">
        <w:rPr>
          <w:rFonts w:ascii="Times New Roman" w:hAnsi="Times New Roman" w:cs="Times New Roman"/>
          <w:b/>
          <w:sz w:val="24"/>
          <w:szCs w:val="24"/>
        </w:rPr>
        <w:t>5</w:t>
      </w:r>
      <w:r w:rsidR="00033F41" w:rsidRPr="002C149E">
        <w:rPr>
          <w:rFonts w:ascii="Times New Roman" w:hAnsi="Times New Roman" w:cs="Times New Roman"/>
          <w:b/>
          <w:sz w:val="24"/>
          <w:szCs w:val="24"/>
        </w:rPr>
        <w:t>)</w:t>
      </w:r>
      <w:r w:rsidRPr="002C149E">
        <w:rPr>
          <w:rFonts w:ascii="Times New Roman" w:hAnsi="Times New Roman" w:cs="Times New Roman"/>
          <w:b/>
          <w:sz w:val="24"/>
          <w:szCs w:val="24"/>
        </w:rPr>
        <w:t>:</w:t>
      </w:r>
    </w:p>
    <w:p w:rsidR="00615DB0" w:rsidRPr="002C149E" w:rsidRDefault="00032CA9" w:rsidP="00D60FFC">
      <w:pPr>
        <w:jc w:val="both"/>
        <w:rPr>
          <w:rFonts w:ascii="Times New Roman" w:hAnsi="Times New Roman" w:cs="Times New Roman"/>
          <w:sz w:val="24"/>
          <w:szCs w:val="24"/>
        </w:rPr>
      </w:pPr>
      <w:r w:rsidRPr="002C149E">
        <w:rPr>
          <w:rFonts w:ascii="Times New Roman" w:hAnsi="Times New Roman" w:cs="Times New Roman"/>
          <w:sz w:val="24"/>
          <w:szCs w:val="24"/>
        </w:rPr>
        <w:t>O</w:t>
      </w:r>
      <w:r w:rsidR="00D60FFC" w:rsidRPr="002C149E">
        <w:rPr>
          <w:rFonts w:ascii="Times New Roman" w:hAnsi="Times New Roman" w:cs="Times New Roman"/>
          <w:sz w:val="24"/>
          <w:szCs w:val="24"/>
        </w:rPr>
        <w:t>ur secondary analysis exam</w:t>
      </w:r>
      <w:r w:rsidR="00624185" w:rsidRPr="002C149E">
        <w:rPr>
          <w:rFonts w:ascii="Times New Roman" w:hAnsi="Times New Roman" w:cs="Times New Roman"/>
          <w:sz w:val="24"/>
          <w:szCs w:val="24"/>
        </w:rPr>
        <w:t>ined the c</w:t>
      </w:r>
      <w:r w:rsidR="00ED1915" w:rsidRPr="002C149E">
        <w:rPr>
          <w:rFonts w:ascii="Times New Roman" w:hAnsi="Times New Roman" w:cs="Times New Roman"/>
          <w:sz w:val="24"/>
          <w:szCs w:val="24"/>
        </w:rPr>
        <w:t xml:space="preserve">haracteristics of those who were 13-24 months post-loss and had been able to </w:t>
      </w:r>
      <w:r w:rsidR="00ED1915" w:rsidRPr="002C149E">
        <w:rPr>
          <w:rFonts w:ascii="Times New Roman" w:hAnsi="Times New Roman" w:cs="Times New Roman"/>
          <w:i/>
          <w:sz w:val="24"/>
          <w:szCs w:val="24"/>
        </w:rPr>
        <w:t>move on</w:t>
      </w:r>
      <w:r w:rsidR="00ED1915" w:rsidRPr="002C149E">
        <w:rPr>
          <w:rFonts w:ascii="Times New Roman" w:hAnsi="Times New Roman" w:cs="Times New Roman"/>
          <w:sz w:val="24"/>
          <w:szCs w:val="24"/>
        </w:rPr>
        <w:t>.</w:t>
      </w:r>
      <w:r w:rsidR="00D60FFC" w:rsidRPr="002C149E">
        <w:rPr>
          <w:rFonts w:ascii="Times New Roman" w:hAnsi="Times New Roman" w:cs="Times New Roman"/>
          <w:sz w:val="24"/>
          <w:szCs w:val="24"/>
        </w:rPr>
        <w:t xml:space="preserve"> </w:t>
      </w:r>
      <w:r w:rsidR="0004149F" w:rsidRPr="002C149E">
        <w:rPr>
          <w:rFonts w:ascii="Times New Roman" w:hAnsi="Times New Roman" w:cs="Times New Roman"/>
          <w:sz w:val="24"/>
          <w:szCs w:val="24"/>
        </w:rPr>
        <w:t xml:space="preserve">By examining the characteristics of those who had been able to </w:t>
      </w:r>
      <w:r w:rsidR="0004149F" w:rsidRPr="002C149E">
        <w:rPr>
          <w:rFonts w:ascii="Times New Roman" w:hAnsi="Times New Roman" w:cs="Times New Roman"/>
          <w:i/>
          <w:sz w:val="24"/>
          <w:szCs w:val="24"/>
        </w:rPr>
        <w:t>move on</w:t>
      </w:r>
      <w:r w:rsidR="0042378B" w:rsidRPr="002C149E">
        <w:rPr>
          <w:rFonts w:ascii="Times New Roman" w:hAnsi="Times New Roman" w:cs="Times New Roman"/>
          <w:sz w:val="24"/>
          <w:szCs w:val="24"/>
        </w:rPr>
        <w:t xml:space="preserve"> in this initial time-frame</w:t>
      </w:r>
      <w:r w:rsidR="0004149F" w:rsidRPr="002C149E">
        <w:rPr>
          <w:rFonts w:ascii="Times New Roman" w:hAnsi="Times New Roman" w:cs="Times New Roman"/>
          <w:sz w:val="24"/>
          <w:szCs w:val="24"/>
        </w:rPr>
        <w:t xml:space="preserve">, we aimed to shed light on possible differences in </w:t>
      </w:r>
      <w:r w:rsidR="00615DB0" w:rsidRPr="002C149E">
        <w:rPr>
          <w:rFonts w:ascii="Times New Roman" w:hAnsi="Times New Roman" w:cs="Times New Roman"/>
          <w:sz w:val="24"/>
          <w:szCs w:val="24"/>
        </w:rPr>
        <w:t>factors that impact on caregivers early in bereavement compared with the group as a whole.</w:t>
      </w:r>
    </w:p>
    <w:p w:rsidR="00817DBC" w:rsidRPr="002C149E" w:rsidRDefault="00D60FFC" w:rsidP="00D60FFC">
      <w:pPr>
        <w:jc w:val="both"/>
        <w:rPr>
          <w:rFonts w:ascii="Times New Roman" w:hAnsi="Times New Roman" w:cs="Times New Roman"/>
          <w:sz w:val="24"/>
          <w:szCs w:val="24"/>
        </w:rPr>
      </w:pPr>
      <w:r w:rsidRPr="002C149E">
        <w:rPr>
          <w:rFonts w:ascii="Times New Roman" w:hAnsi="Times New Roman" w:cs="Times New Roman"/>
          <w:sz w:val="24"/>
          <w:szCs w:val="24"/>
        </w:rPr>
        <w:t xml:space="preserve">Two factors – namely level of care and socioeconomic advantage – </w:t>
      </w:r>
      <w:r w:rsidR="005C28AC" w:rsidRPr="002C149E">
        <w:rPr>
          <w:rFonts w:ascii="Times New Roman" w:hAnsi="Times New Roman" w:cs="Times New Roman"/>
          <w:sz w:val="24"/>
          <w:szCs w:val="24"/>
        </w:rPr>
        <w:t xml:space="preserve">were </w:t>
      </w:r>
      <w:r w:rsidR="008E599F" w:rsidRPr="002C149E">
        <w:rPr>
          <w:rFonts w:ascii="Times New Roman" w:hAnsi="Times New Roman" w:cs="Times New Roman"/>
          <w:sz w:val="24"/>
          <w:szCs w:val="24"/>
        </w:rPr>
        <w:t xml:space="preserve">significantly associated with </w:t>
      </w:r>
      <w:r w:rsidR="008E599F" w:rsidRPr="002C149E">
        <w:rPr>
          <w:rFonts w:ascii="Times New Roman" w:hAnsi="Times New Roman" w:cs="Times New Roman"/>
          <w:i/>
          <w:sz w:val="24"/>
          <w:szCs w:val="24"/>
        </w:rPr>
        <w:t>moving on</w:t>
      </w:r>
      <w:r w:rsidR="005C28AC" w:rsidRPr="002C149E">
        <w:rPr>
          <w:rFonts w:ascii="Times New Roman" w:hAnsi="Times New Roman" w:cs="Times New Roman"/>
          <w:sz w:val="24"/>
          <w:szCs w:val="24"/>
        </w:rPr>
        <w:t xml:space="preserve"> at 13-24</w:t>
      </w:r>
      <w:r w:rsidR="008E599F" w:rsidRPr="002C149E">
        <w:rPr>
          <w:rFonts w:ascii="Times New Roman" w:hAnsi="Times New Roman" w:cs="Times New Roman"/>
          <w:sz w:val="24"/>
          <w:szCs w:val="24"/>
        </w:rPr>
        <w:t xml:space="preserve"> months </w:t>
      </w:r>
      <w:r w:rsidR="0004149F" w:rsidRPr="002C149E">
        <w:rPr>
          <w:rFonts w:ascii="Times New Roman" w:hAnsi="Times New Roman" w:cs="Times New Roman"/>
          <w:sz w:val="24"/>
          <w:szCs w:val="24"/>
        </w:rPr>
        <w:t xml:space="preserve">but </w:t>
      </w:r>
      <w:r w:rsidRPr="002C149E">
        <w:rPr>
          <w:rFonts w:ascii="Times New Roman" w:hAnsi="Times New Roman" w:cs="Times New Roman"/>
          <w:sz w:val="24"/>
          <w:szCs w:val="24"/>
        </w:rPr>
        <w:t xml:space="preserve">were </w:t>
      </w:r>
      <w:r w:rsidR="005C28AC" w:rsidRPr="002C149E">
        <w:rPr>
          <w:rFonts w:ascii="Times New Roman" w:hAnsi="Times New Roman" w:cs="Times New Roman"/>
          <w:b/>
          <w:sz w:val="24"/>
          <w:szCs w:val="24"/>
        </w:rPr>
        <w:t>not</w:t>
      </w:r>
      <w:r w:rsidR="005C28AC" w:rsidRPr="002C149E">
        <w:rPr>
          <w:rFonts w:ascii="Times New Roman" w:hAnsi="Times New Roman" w:cs="Times New Roman"/>
          <w:sz w:val="24"/>
          <w:szCs w:val="24"/>
        </w:rPr>
        <w:t xml:space="preserve"> </w:t>
      </w:r>
      <w:r w:rsidRPr="002C149E">
        <w:rPr>
          <w:rFonts w:ascii="Times New Roman" w:hAnsi="Times New Roman" w:cs="Times New Roman"/>
          <w:sz w:val="24"/>
          <w:szCs w:val="24"/>
        </w:rPr>
        <w:t xml:space="preserve">significantly associated with </w:t>
      </w:r>
      <w:r w:rsidRPr="002C149E">
        <w:rPr>
          <w:rFonts w:ascii="Times New Roman" w:hAnsi="Times New Roman" w:cs="Times New Roman"/>
          <w:i/>
          <w:sz w:val="24"/>
          <w:szCs w:val="24"/>
        </w:rPr>
        <w:t>moving on</w:t>
      </w:r>
      <w:r w:rsidR="005C28AC" w:rsidRPr="002C149E">
        <w:rPr>
          <w:rFonts w:ascii="Times New Roman" w:hAnsi="Times New Roman" w:cs="Times New Roman"/>
          <w:sz w:val="24"/>
          <w:szCs w:val="24"/>
        </w:rPr>
        <w:t xml:space="preserve"> at 13-60</w:t>
      </w:r>
      <w:r w:rsidR="008E599F" w:rsidRPr="002C149E">
        <w:rPr>
          <w:rFonts w:ascii="Times New Roman" w:hAnsi="Times New Roman" w:cs="Times New Roman"/>
          <w:sz w:val="24"/>
          <w:szCs w:val="24"/>
        </w:rPr>
        <w:t xml:space="preserve"> months</w:t>
      </w:r>
      <w:r w:rsidRPr="002C149E">
        <w:rPr>
          <w:rFonts w:ascii="Times New Roman" w:hAnsi="Times New Roman" w:cs="Times New Roman"/>
          <w:sz w:val="24"/>
          <w:szCs w:val="24"/>
        </w:rPr>
        <w:t>. In line with findings in other literature</w:t>
      </w:r>
      <w:r w:rsidR="0067437A">
        <w:rPr>
          <w:rFonts w:ascii="Times New Roman" w:hAnsi="Times New Roman" w:cs="Times New Roman"/>
          <w:sz w:val="24"/>
          <w:szCs w:val="24"/>
        </w:rPr>
        <w:t>,</w:t>
      </w:r>
      <w:r w:rsidRPr="002C149E">
        <w:rPr>
          <w:rFonts w:ascii="Times New Roman" w:hAnsi="Times New Roman" w:cs="Times New Roman"/>
          <w:sz w:val="24"/>
          <w:szCs w:val="24"/>
        </w:rPr>
        <w:t xml:space="preserve"> those caregivers who had provide</w:t>
      </w:r>
      <w:r w:rsidR="00DC7D04" w:rsidRPr="002C149E">
        <w:rPr>
          <w:rFonts w:ascii="Times New Roman" w:hAnsi="Times New Roman" w:cs="Times New Roman"/>
          <w:sz w:val="24"/>
          <w:szCs w:val="24"/>
        </w:rPr>
        <w:t>d lower care</w:t>
      </w:r>
      <w:r w:rsidR="00162D84" w:rsidRPr="002C149E">
        <w:rPr>
          <w:rFonts w:ascii="Times New Roman" w:hAnsi="Times New Roman" w:cs="Times New Roman"/>
          <w:sz w:val="24"/>
          <w:szCs w:val="24"/>
        </w:rPr>
        <w:t xml:space="preserve"> levels</w:t>
      </w:r>
      <w:r w:rsidR="00DC7D04" w:rsidRPr="002C149E">
        <w:rPr>
          <w:rFonts w:ascii="Times New Roman" w:hAnsi="Times New Roman" w:cs="Times New Roman"/>
          <w:sz w:val="24"/>
          <w:szCs w:val="24"/>
        </w:rPr>
        <w:t xml:space="preserve"> were </w:t>
      </w:r>
      <w:r w:rsidRPr="002C149E">
        <w:rPr>
          <w:rFonts w:ascii="Times New Roman" w:hAnsi="Times New Roman" w:cs="Times New Roman"/>
          <w:sz w:val="24"/>
          <w:szCs w:val="24"/>
        </w:rPr>
        <w:t xml:space="preserve">more likely to </w:t>
      </w:r>
      <w:r w:rsidR="00BB5566" w:rsidRPr="002C149E">
        <w:rPr>
          <w:rFonts w:ascii="Times New Roman" w:hAnsi="Times New Roman" w:cs="Times New Roman"/>
          <w:sz w:val="24"/>
          <w:szCs w:val="24"/>
        </w:rPr>
        <w:t xml:space="preserve">have </w:t>
      </w:r>
      <w:r w:rsidRPr="002C149E">
        <w:rPr>
          <w:rFonts w:ascii="Times New Roman" w:hAnsi="Times New Roman" w:cs="Times New Roman"/>
          <w:i/>
          <w:sz w:val="24"/>
          <w:szCs w:val="24"/>
        </w:rPr>
        <w:t>moved on</w:t>
      </w:r>
      <w:r w:rsidRPr="002C149E">
        <w:rPr>
          <w:rFonts w:ascii="Times New Roman" w:hAnsi="Times New Roman" w:cs="Times New Roman"/>
          <w:sz w:val="24"/>
          <w:szCs w:val="24"/>
        </w:rPr>
        <w:t xml:space="preserve"> </w:t>
      </w:r>
      <w:r w:rsidR="00BB5566" w:rsidRPr="002C149E">
        <w:rPr>
          <w:rFonts w:ascii="Times New Roman" w:hAnsi="Times New Roman" w:cs="Times New Roman"/>
          <w:sz w:val="24"/>
          <w:szCs w:val="24"/>
        </w:rPr>
        <w:t>at</w:t>
      </w:r>
      <w:r w:rsidR="0067437A">
        <w:rPr>
          <w:rFonts w:ascii="Times New Roman" w:hAnsi="Times New Roman" w:cs="Times New Roman"/>
          <w:sz w:val="24"/>
          <w:szCs w:val="24"/>
        </w:rPr>
        <w:t xml:space="preserve"> </w:t>
      </w:r>
      <w:r w:rsidRPr="002C149E">
        <w:rPr>
          <w:rFonts w:ascii="Times New Roman" w:hAnsi="Times New Roman" w:cs="Times New Roman"/>
          <w:sz w:val="24"/>
          <w:szCs w:val="24"/>
        </w:rPr>
        <w:t>13-24 month pos</w:t>
      </w:r>
      <w:r w:rsidR="00021294" w:rsidRPr="002C149E">
        <w:rPr>
          <w:rFonts w:ascii="Times New Roman" w:hAnsi="Times New Roman" w:cs="Times New Roman"/>
          <w:sz w:val="24"/>
          <w:szCs w:val="24"/>
        </w:rPr>
        <w:t>t-loss</w:t>
      </w:r>
      <w:r w:rsidRPr="002C149E">
        <w:rPr>
          <w:rFonts w:ascii="Times New Roman" w:hAnsi="Times New Roman" w:cs="Times New Roman"/>
          <w:sz w:val="24"/>
          <w:szCs w:val="24"/>
        </w:rPr>
        <w:t xml:space="preserve"> (having controlled for r</w:t>
      </w:r>
      <w:r w:rsidR="007007D7" w:rsidRPr="002C149E">
        <w:rPr>
          <w:rFonts w:ascii="Times New Roman" w:hAnsi="Times New Roman" w:cs="Times New Roman"/>
          <w:sz w:val="24"/>
          <w:szCs w:val="24"/>
        </w:rPr>
        <w:t>elationship to the deceased) (5,9,14,57,59-60</w:t>
      </w:r>
      <w:r w:rsidRPr="002C149E">
        <w:rPr>
          <w:rFonts w:ascii="Times New Roman" w:hAnsi="Times New Roman" w:cs="Times New Roman"/>
          <w:sz w:val="24"/>
          <w:szCs w:val="24"/>
        </w:rPr>
        <w:t xml:space="preserve">). </w:t>
      </w:r>
      <w:r w:rsidR="0042378B" w:rsidRPr="002C149E">
        <w:rPr>
          <w:rFonts w:ascii="Times New Roman" w:hAnsi="Times New Roman" w:cs="Times New Roman"/>
          <w:sz w:val="24"/>
          <w:szCs w:val="24"/>
        </w:rPr>
        <w:t>The practical demands of increased levels of care come in concert with a range of increased pressures and respons</w:t>
      </w:r>
      <w:r w:rsidR="00F1713E" w:rsidRPr="002C149E">
        <w:rPr>
          <w:rFonts w:ascii="Times New Roman" w:hAnsi="Times New Roman" w:cs="Times New Roman"/>
          <w:sz w:val="24"/>
          <w:szCs w:val="24"/>
        </w:rPr>
        <w:t>ibilities for the caregiver (14</w:t>
      </w:r>
      <w:r w:rsidR="0042378B" w:rsidRPr="002C149E">
        <w:rPr>
          <w:rFonts w:ascii="Times New Roman" w:hAnsi="Times New Roman" w:cs="Times New Roman"/>
          <w:sz w:val="24"/>
          <w:szCs w:val="24"/>
        </w:rPr>
        <w:t xml:space="preserve">). </w:t>
      </w:r>
      <w:r w:rsidRPr="002C149E">
        <w:rPr>
          <w:rFonts w:ascii="Times New Roman" w:hAnsi="Times New Roman" w:cs="Times New Roman"/>
          <w:sz w:val="24"/>
          <w:szCs w:val="24"/>
        </w:rPr>
        <w:t>It could be</w:t>
      </w:r>
      <w:r w:rsidR="00A34CDA" w:rsidRPr="002C149E">
        <w:rPr>
          <w:rFonts w:ascii="Times New Roman" w:hAnsi="Times New Roman" w:cs="Times New Roman"/>
          <w:sz w:val="24"/>
          <w:szCs w:val="24"/>
        </w:rPr>
        <w:t xml:space="preserve"> argued that those providing higher</w:t>
      </w:r>
      <w:r w:rsidRPr="002C149E">
        <w:rPr>
          <w:rFonts w:ascii="Times New Roman" w:hAnsi="Times New Roman" w:cs="Times New Roman"/>
          <w:sz w:val="24"/>
          <w:szCs w:val="24"/>
        </w:rPr>
        <w:t xml:space="preserve"> levels of care enter the bereavement period depleted by their experience</w:t>
      </w:r>
      <w:r w:rsidR="00F1713E" w:rsidRPr="002C149E">
        <w:rPr>
          <w:rFonts w:ascii="Times New Roman" w:hAnsi="Times New Roman" w:cs="Times New Roman"/>
          <w:sz w:val="24"/>
          <w:szCs w:val="24"/>
        </w:rPr>
        <w:t xml:space="preserve"> (61</w:t>
      </w:r>
      <w:r w:rsidRPr="002C149E">
        <w:rPr>
          <w:rFonts w:ascii="Times New Roman" w:hAnsi="Times New Roman" w:cs="Times New Roman"/>
          <w:sz w:val="24"/>
          <w:szCs w:val="24"/>
        </w:rPr>
        <w:t xml:space="preserve">), but that the passage of time allows these individuals </w:t>
      </w:r>
      <w:r w:rsidR="00BB5566" w:rsidRPr="002C149E">
        <w:rPr>
          <w:rFonts w:ascii="Times New Roman" w:hAnsi="Times New Roman" w:cs="Times New Roman"/>
          <w:sz w:val="24"/>
          <w:szCs w:val="24"/>
        </w:rPr>
        <w:t xml:space="preserve">the </w:t>
      </w:r>
      <w:r w:rsidRPr="002C149E">
        <w:rPr>
          <w:rFonts w:ascii="Times New Roman" w:hAnsi="Times New Roman" w:cs="Times New Roman"/>
          <w:sz w:val="24"/>
          <w:szCs w:val="24"/>
        </w:rPr>
        <w:t xml:space="preserve">opportunity to move down an adaptive pathway. </w:t>
      </w:r>
    </w:p>
    <w:p w:rsidR="00D07C6E" w:rsidRPr="002C149E" w:rsidRDefault="008E599F" w:rsidP="00D60FFC">
      <w:pPr>
        <w:jc w:val="both"/>
        <w:rPr>
          <w:rFonts w:ascii="Times New Roman" w:hAnsi="Times New Roman" w:cs="Times New Roman"/>
          <w:sz w:val="24"/>
          <w:szCs w:val="24"/>
        </w:rPr>
      </w:pPr>
      <w:r w:rsidRPr="002C149E">
        <w:rPr>
          <w:rFonts w:ascii="Times New Roman" w:hAnsi="Times New Roman" w:cs="Times New Roman"/>
          <w:sz w:val="24"/>
          <w:szCs w:val="24"/>
        </w:rPr>
        <w:lastRenderedPageBreak/>
        <w:t>Consistent</w:t>
      </w:r>
      <w:r w:rsidR="003C43CF" w:rsidRPr="002C149E">
        <w:rPr>
          <w:rFonts w:ascii="Times New Roman" w:hAnsi="Times New Roman" w:cs="Times New Roman"/>
          <w:sz w:val="24"/>
          <w:szCs w:val="24"/>
        </w:rPr>
        <w:t xml:space="preserve"> with previous literature, caregivers from areas of relative socioeconomic advantage were </w:t>
      </w:r>
      <w:r w:rsidRPr="002C149E">
        <w:rPr>
          <w:rFonts w:ascii="Times New Roman" w:hAnsi="Times New Roman" w:cs="Times New Roman"/>
          <w:sz w:val="24"/>
          <w:szCs w:val="24"/>
        </w:rPr>
        <w:t xml:space="preserve">also </w:t>
      </w:r>
      <w:r w:rsidR="003C43CF" w:rsidRPr="002C149E">
        <w:rPr>
          <w:rFonts w:ascii="Times New Roman" w:hAnsi="Times New Roman" w:cs="Times New Roman"/>
          <w:sz w:val="24"/>
          <w:szCs w:val="24"/>
        </w:rPr>
        <w:t>more likely to have moved on in the 13-24 month post-</w:t>
      </w:r>
      <w:r w:rsidR="008E5EE5" w:rsidRPr="002C149E">
        <w:rPr>
          <w:rFonts w:ascii="Times New Roman" w:hAnsi="Times New Roman" w:cs="Times New Roman"/>
          <w:sz w:val="24"/>
          <w:szCs w:val="24"/>
        </w:rPr>
        <w:t>loss</w:t>
      </w:r>
      <w:r w:rsidR="003C43CF" w:rsidRPr="002C149E">
        <w:rPr>
          <w:rFonts w:ascii="Times New Roman" w:hAnsi="Times New Roman" w:cs="Times New Roman"/>
          <w:sz w:val="24"/>
          <w:szCs w:val="24"/>
        </w:rPr>
        <w:t xml:space="preserve"> period compared t</w:t>
      </w:r>
      <w:r w:rsidR="00F1713E" w:rsidRPr="002C149E">
        <w:rPr>
          <w:rFonts w:ascii="Times New Roman" w:hAnsi="Times New Roman" w:cs="Times New Roman"/>
          <w:sz w:val="24"/>
          <w:szCs w:val="24"/>
        </w:rPr>
        <w:t>o t</w:t>
      </w:r>
      <w:r w:rsidR="00162D84" w:rsidRPr="002C149E">
        <w:rPr>
          <w:rFonts w:ascii="Times New Roman" w:hAnsi="Times New Roman" w:cs="Times New Roman"/>
          <w:sz w:val="24"/>
          <w:szCs w:val="24"/>
        </w:rPr>
        <w:t>heir counterparts</w:t>
      </w:r>
      <w:r w:rsidR="00F1713E" w:rsidRPr="002C149E">
        <w:rPr>
          <w:rFonts w:ascii="Times New Roman" w:hAnsi="Times New Roman" w:cs="Times New Roman"/>
          <w:sz w:val="24"/>
          <w:szCs w:val="24"/>
        </w:rPr>
        <w:t xml:space="preserve"> (21</w:t>
      </w:r>
      <w:proofErr w:type="gramStart"/>
      <w:r w:rsidR="00F1713E" w:rsidRPr="002C149E">
        <w:rPr>
          <w:rFonts w:ascii="Times New Roman" w:hAnsi="Times New Roman" w:cs="Times New Roman"/>
          <w:sz w:val="24"/>
          <w:szCs w:val="24"/>
        </w:rPr>
        <w:t>,62</w:t>
      </w:r>
      <w:proofErr w:type="gramEnd"/>
      <w:r w:rsidR="003C43CF" w:rsidRPr="002C149E">
        <w:rPr>
          <w:rFonts w:ascii="Times New Roman" w:hAnsi="Times New Roman" w:cs="Times New Roman"/>
          <w:sz w:val="24"/>
          <w:szCs w:val="24"/>
        </w:rPr>
        <w:t xml:space="preserve">). </w:t>
      </w:r>
      <w:r w:rsidRPr="002C149E">
        <w:rPr>
          <w:rFonts w:ascii="Times New Roman" w:hAnsi="Times New Roman" w:cs="Times New Roman"/>
          <w:sz w:val="24"/>
          <w:szCs w:val="24"/>
        </w:rPr>
        <w:t>This association</w:t>
      </w:r>
      <w:r w:rsidR="006F2438" w:rsidRPr="002C149E">
        <w:rPr>
          <w:rFonts w:ascii="Times New Roman" w:hAnsi="Times New Roman" w:cs="Times New Roman"/>
          <w:sz w:val="24"/>
          <w:szCs w:val="24"/>
        </w:rPr>
        <w:t xml:space="preserve"> </w:t>
      </w:r>
      <w:r w:rsidR="00D07C6E" w:rsidRPr="002C149E">
        <w:rPr>
          <w:rFonts w:ascii="Times New Roman" w:hAnsi="Times New Roman" w:cs="Times New Roman"/>
          <w:sz w:val="24"/>
          <w:szCs w:val="24"/>
        </w:rPr>
        <w:t>was not apparent</w:t>
      </w:r>
      <w:r w:rsidR="006F2438" w:rsidRPr="002C149E">
        <w:rPr>
          <w:rFonts w:ascii="Times New Roman" w:hAnsi="Times New Roman" w:cs="Times New Roman"/>
          <w:sz w:val="24"/>
          <w:szCs w:val="24"/>
        </w:rPr>
        <w:t xml:space="preserve"> when the lon</w:t>
      </w:r>
      <w:r w:rsidR="003C43CF" w:rsidRPr="002C149E">
        <w:rPr>
          <w:rFonts w:ascii="Times New Roman" w:hAnsi="Times New Roman" w:cs="Times New Roman"/>
          <w:sz w:val="24"/>
          <w:szCs w:val="24"/>
        </w:rPr>
        <w:t>g</w:t>
      </w:r>
      <w:r w:rsidR="006F2438" w:rsidRPr="002C149E">
        <w:rPr>
          <w:rFonts w:ascii="Times New Roman" w:hAnsi="Times New Roman" w:cs="Times New Roman"/>
          <w:sz w:val="24"/>
          <w:szCs w:val="24"/>
        </w:rPr>
        <w:t>er time</w:t>
      </w:r>
      <w:r w:rsidR="00162D84" w:rsidRPr="002C149E">
        <w:rPr>
          <w:rFonts w:ascii="Times New Roman" w:hAnsi="Times New Roman" w:cs="Times New Roman"/>
          <w:sz w:val="24"/>
          <w:szCs w:val="24"/>
        </w:rPr>
        <w:t>-frame</w:t>
      </w:r>
      <w:r w:rsidR="006F2438" w:rsidRPr="002C149E">
        <w:rPr>
          <w:rFonts w:ascii="Times New Roman" w:hAnsi="Times New Roman" w:cs="Times New Roman"/>
          <w:sz w:val="24"/>
          <w:szCs w:val="24"/>
        </w:rPr>
        <w:t xml:space="preserve"> was examined</w:t>
      </w:r>
      <w:r w:rsidR="00D60FFC" w:rsidRPr="002C149E">
        <w:rPr>
          <w:rFonts w:ascii="Times New Roman" w:hAnsi="Times New Roman" w:cs="Times New Roman"/>
          <w:sz w:val="24"/>
          <w:szCs w:val="24"/>
        </w:rPr>
        <w:t>. Again, the pas</w:t>
      </w:r>
      <w:r w:rsidR="00FD209A" w:rsidRPr="002C149E">
        <w:rPr>
          <w:rFonts w:ascii="Times New Roman" w:hAnsi="Times New Roman" w:cs="Times New Roman"/>
          <w:sz w:val="24"/>
          <w:szCs w:val="24"/>
        </w:rPr>
        <w:t>sage of time may allow adaptive caregivers</w:t>
      </w:r>
      <w:r w:rsidR="00D60FFC" w:rsidRPr="002C149E">
        <w:rPr>
          <w:rFonts w:ascii="Times New Roman" w:hAnsi="Times New Roman" w:cs="Times New Roman"/>
          <w:sz w:val="24"/>
          <w:szCs w:val="24"/>
        </w:rPr>
        <w:t xml:space="preserve"> more opportunity to mobilise the resources needed to move forward with their life, despite the relative scarcity of (for example) material and service-based resources in disadvantaged regions. </w:t>
      </w:r>
    </w:p>
    <w:p w:rsidR="00D07C6E" w:rsidRPr="002C149E" w:rsidRDefault="00D07C6E" w:rsidP="00D60FFC">
      <w:pPr>
        <w:jc w:val="both"/>
        <w:rPr>
          <w:rFonts w:ascii="Times New Roman" w:hAnsi="Times New Roman" w:cs="Times New Roman"/>
          <w:sz w:val="24"/>
          <w:szCs w:val="24"/>
        </w:rPr>
      </w:pPr>
      <w:r w:rsidRPr="002C149E">
        <w:rPr>
          <w:rFonts w:ascii="Times New Roman" w:hAnsi="Times New Roman" w:cs="Times New Roman"/>
          <w:sz w:val="24"/>
          <w:szCs w:val="24"/>
        </w:rPr>
        <w:t>Our results suggest the need for further attention to the changing characteristics of bereaved populations over time. While it was not within the scope of this paper to perform additional analyses, comparison of distinct post-loss time-frames is indicated to confirm the existence of significant diff</w:t>
      </w:r>
      <w:r w:rsidR="0042378B" w:rsidRPr="002C149E">
        <w:rPr>
          <w:rFonts w:ascii="Times New Roman" w:hAnsi="Times New Roman" w:cs="Times New Roman"/>
          <w:sz w:val="24"/>
          <w:szCs w:val="24"/>
        </w:rPr>
        <w:t>erences betwee</w:t>
      </w:r>
      <w:r w:rsidR="00021294" w:rsidRPr="002C149E">
        <w:rPr>
          <w:rFonts w:ascii="Times New Roman" w:hAnsi="Times New Roman" w:cs="Times New Roman"/>
          <w:sz w:val="24"/>
          <w:szCs w:val="24"/>
        </w:rPr>
        <w:t xml:space="preserve">n these </w:t>
      </w:r>
      <w:r w:rsidR="0042378B" w:rsidRPr="002C149E">
        <w:rPr>
          <w:rFonts w:ascii="Times New Roman" w:hAnsi="Times New Roman" w:cs="Times New Roman"/>
          <w:sz w:val="24"/>
          <w:szCs w:val="24"/>
        </w:rPr>
        <w:t>groups</w:t>
      </w:r>
      <w:r w:rsidRPr="002C149E">
        <w:rPr>
          <w:rFonts w:ascii="Times New Roman" w:hAnsi="Times New Roman" w:cs="Times New Roman"/>
          <w:sz w:val="24"/>
          <w:szCs w:val="24"/>
        </w:rPr>
        <w:t>.</w:t>
      </w:r>
    </w:p>
    <w:p w:rsidR="00D60FFC" w:rsidRPr="002C149E" w:rsidRDefault="00D60FFC" w:rsidP="00D60FFC">
      <w:pPr>
        <w:jc w:val="both"/>
        <w:rPr>
          <w:rFonts w:ascii="Times New Roman" w:hAnsi="Times New Roman" w:cs="Times New Roman"/>
          <w:sz w:val="24"/>
          <w:szCs w:val="24"/>
        </w:rPr>
      </w:pPr>
      <w:r w:rsidRPr="002C149E">
        <w:rPr>
          <w:rFonts w:ascii="Times New Roman" w:hAnsi="Times New Roman" w:cs="Times New Roman"/>
          <w:sz w:val="24"/>
          <w:szCs w:val="24"/>
        </w:rPr>
        <w:t xml:space="preserve">Gender and level of education were significantly associated with the ability to </w:t>
      </w:r>
      <w:r w:rsidRPr="002C149E">
        <w:rPr>
          <w:rFonts w:ascii="Times New Roman" w:hAnsi="Times New Roman" w:cs="Times New Roman"/>
          <w:i/>
          <w:sz w:val="24"/>
          <w:szCs w:val="24"/>
        </w:rPr>
        <w:t>move on</w:t>
      </w:r>
      <w:r w:rsidRPr="002C149E">
        <w:rPr>
          <w:rFonts w:ascii="Times New Roman" w:hAnsi="Times New Roman" w:cs="Times New Roman"/>
          <w:sz w:val="24"/>
          <w:szCs w:val="24"/>
        </w:rPr>
        <w:t xml:space="preserve"> at 13-24 months post-bereavement and these variables interacted.</w:t>
      </w:r>
    </w:p>
    <w:p w:rsidR="00D13A71" w:rsidRPr="002C149E" w:rsidRDefault="00E82F12" w:rsidP="00802DF8">
      <w:pPr>
        <w:jc w:val="both"/>
        <w:rPr>
          <w:rFonts w:ascii="Times New Roman" w:hAnsi="Times New Roman" w:cs="Times New Roman"/>
          <w:b/>
          <w:sz w:val="24"/>
          <w:szCs w:val="24"/>
        </w:rPr>
      </w:pPr>
      <w:r w:rsidRPr="002C149E">
        <w:rPr>
          <w:rFonts w:ascii="Times New Roman" w:hAnsi="Times New Roman" w:cs="Times New Roman"/>
          <w:b/>
          <w:sz w:val="24"/>
          <w:szCs w:val="24"/>
        </w:rPr>
        <w:t>Gender and moving on:</w:t>
      </w:r>
      <w:r w:rsidR="00232F1D" w:rsidRPr="002C149E">
        <w:rPr>
          <w:rFonts w:ascii="Times New Roman" w:hAnsi="Times New Roman" w:cs="Times New Roman"/>
          <w:b/>
          <w:sz w:val="24"/>
          <w:szCs w:val="24"/>
        </w:rPr>
        <w:t xml:space="preserve"> </w:t>
      </w:r>
    </w:p>
    <w:p w:rsidR="00FF6337" w:rsidRPr="002C149E" w:rsidRDefault="008914FD" w:rsidP="00802DF8">
      <w:pPr>
        <w:jc w:val="both"/>
        <w:rPr>
          <w:rFonts w:ascii="Times New Roman" w:hAnsi="Times New Roman" w:cs="Times New Roman"/>
          <w:sz w:val="24"/>
          <w:szCs w:val="24"/>
        </w:rPr>
      </w:pPr>
      <w:r w:rsidRPr="002C149E">
        <w:rPr>
          <w:rFonts w:ascii="Times New Roman" w:hAnsi="Times New Roman" w:cs="Times New Roman"/>
          <w:sz w:val="24"/>
          <w:szCs w:val="24"/>
        </w:rPr>
        <w:t>I</w:t>
      </w:r>
      <w:r w:rsidR="00FF6337" w:rsidRPr="002C149E">
        <w:rPr>
          <w:rFonts w:ascii="Times New Roman" w:hAnsi="Times New Roman" w:cs="Times New Roman"/>
          <w:sz w:val="24"/>
          <w:szCs w:val="24"/>
        </w:rPr>
        <w:t xml:space="preserve">n their 2001 review, </w:t>
      </w:r>
      <w:proofErr w:type="spellStart"/>
      <w:r w:rsidR="00BA0B1E" w:rsidRPr="002C149E">
        <w:rPr>
          <w:rFonts w:ascii="Times New Roman" w:hAnsi="Times New Roman" w:cs="Times New Roman"/>
          <w:sz w:val="24"/>
          <w:szCs w:val="24"/>
        </w:rPr>
        <w:t>Stroebe</w:t>
      </w:r>
      <w:proofErr w:type="spellEnd"/>
      <w:r w:rsidR="00BA0B1E" w:rsidRPr="002C149E">
        <w:rPr>
          <w:rFonts w:ascii="Times New Roman" w:hAnsi="Times New Roman" w:cs="Times New Roman"/>
          <w:sz w:val="24"/>
          <w:szCs w:val="24"/>
        </w:rPr>
        <w:t xml:space="preserve"> et al</w:t>
      </w:r>
      <w:r w:rsidR="003E7403" w:rsidRPr="002C149E">
        <w:rPr>
          <w:rFonts w:ascii="Times New Roman" w:hAnsi="Times New Roman" w:cs="Times New Roman"/>
          <w:sz w:val="24"/>
          <w:szCs w:val="24"/>
        </w:rPr>
        <w:t xml:space="preserve"> </w:t>
      </w:r>
      <w:r w:rsidR="001F4D35" w:rsidRPr="002C149E">
        <w:rPr>
          <w:rFonts w:ascii="Times New Roman" w:hAnsi="Times New Roman" w:cs="Times New Roman"/>
          <w:sz w:val="24"/>
          <w:szCs w:val="24"/>
        </w:rPr>
        <w:t>concluded</w:t>
      </w:r>
      <w:r w:rsidRPr="002C149E">
        <w:rPr>
          <w:rFonts w:ascii="Times New Roman" w:hAnsi="Times New Roman" w:cs="Times New Roman"/>
          <w:sz w:val="24"/>
          <w:szCs w:val="24"/>
        </w:rPr>
        <w:t xml:space="preserve"> </w:t>
      </w:r>
      <w:r w:rsidR="00FF6337" w:rsidRPr="002C149E">
        <w:rPr>
          <w:rFonts w:ascii="Times New Roman" w:hAnsi="Times New Roman" w:cs="Times New Roman"/>
          <w:sz w:val="24"/>
          <w:szCs w:val="24"/>
        </w:rPr>
        <w:t>that there was "convergent evidence" that men do less well in bereavement across a range of health outcomes</w:t>
      </w:r>
      <w:r w:rsidR="00F1713E" w:rsidRPr="002C149E">
        <w:rPr>
          <w:rFonts w:ascii="Times New Roman" w:hAnsi="Times New Roman" w:cs="Times New Roman"/>
          <w:sz w:val="24"/>
          <w:szCs w:val="24"/>
        </w:rPr>
        <w:t xml:space="preserve"> (63-64</w:t>
      </w:r>
      <w:r w:rsidR="00BA0B1E" w:rsidRPr="002C149E">
        <w:rPr>
          <w:rFonts w:ascii="Times New Roman" w:hAnsi="Times New Roman" w:cs="Times New Roman"/>
          <w:sz w:val="24"/>
          <w:szCs w:val="24"/>
        </w:rPr>
        <w:t>)</w:t>
      </w:r>
      <w:r w:rsidR="003E7403" w:rsidRPr="002C149E">
        <w:rPr>
          <w:rFonts w:ascii="Times New Roman" w:hAnsi="Times New Roman" w:cs="Times New Roman"/>
          <w:sz w:val="24"/>
          <w:szCs w:val="24"/>
        </w:rPr>
        <w:t>.</w:t>
      </w:r>
      <w:r w:rsidR="000D6C8D" w:rsidRPr="002C149E">
        <w:rPr>
          <w:rFonts w:ascii="Times New Roman" w:hAnsi="Times New Roman" w:cs="Times New Roman"/>
          <w:sz w:val="24"/>
          <w:szCs w:val="24"/>
        </w:rPr>
        <w:t xml:space="preserve"> </w:t>
      </w:r>
      <w:r w:rsidR="00162D84" w:rsidRPr="002C149E">
        <w:rPr>
          <w:rFonts w:ascii="Times New Roman" w:hAnsi="Times New Roman" w:cs="Times New Roman"/>
          <w:sz w:val="24"/>
          <w:szCs w:val="24"/>
        </w:rPr>
        <w:t>O</w:t>
      </w:r>
      <w:r w:rsidR="00FF6337" w:rsidRPr="002C149E">
        <w:rPr>
          <w:rFonts w:ascii="Times New Roman" w:hAnsi="Times New Roman" w:cs="Times New Roman"/>
          <w:sz w:val="24"/>
          <w:szCs w:val="24"/>
        </w:rPr>
        <w:t>ther authors have examined the impact of gender</w:t>
      </w:r>
      <w:r w:rsidR="00EB6218" w:rsidRPr="002C149E">
        <w:rPr>
          <w:rFonts w:ascii="Times New Roman" w:hAnsi="Times New Roman" w:cs="Times New Roman"/>
          <w:sz w:val="24"/>
          <w:szCs w:val="24"/>
        </w:rPr>
        <w:t xml:space="preserve"> on bereavement outcomes and </w:t>
      </w:r>
      <w:r w:rsidR="007746FD" w:rsidRPr="002C149E">
        <w:rPr>
          <w:rFonts w:ascii="Times New Roman" w:hAnsi="Times New Roman" w:cs="Times New Roman"/>
          <w:sz w:val="24"/>
          <w:szCs w:val="24"/>
        </w:rPr>
        <w:t>reported</w:t>
      </w:r>
      <w:r w:rsidR="004B3B59" w:rsidRPr="002C149E">
        <w:rPr>
          <w:rFonts w:ascii="Times New Roman" w:hAnsi="Times New Roman" w:cs="Times New Roman"/>
          <w:sz w:val="24"/>
          <w:szCs w:val="24"/>
        </w:rPr>
        <w:t xml:space="preserve"> worse </w:t>
      </w:r>
      <w:r w:rsidR="00FF6337" w:rsidRPr="002C149E">
        <w:rPr>
          <w:rFonts w:ascii="Times New Roman" w:hAnsi="Times New Roman" w:cs="Times New Roman"/>
          <w:sz w:val="24"/>
          <w:szCs w:val="24"/>
        </w:rPr>
        <w:t xml:space="preserve">outcomes </w:t>
      </w:r>
      <w:r w:rsidR="007746FD" w:rsidRPr="002C149E">
        <w:rPr>
          <w:rFonts w:ascii="Times New Roman" w:hAnsi="Times New Roman" w:cs="Times New Roman"/>
          <w:sz w:val="24"/>
          <w:szCs w:val="24"/>
        </w:rPr>
        <w:t xml:space="preserve">in women </w:t>
      </w:r>
      <w:r w:rsidR="00FF6337" w:rsidRPr="002C149E">
        <w:rPr>
          <w:rFonts w:ascii="Times New Roman" w:hAnsi="Times New Roman" w:cs="Times New Roman"/>
          <w:sz w:val="24"/>
          <w:szCs w:val="24"/>
        </w:rPr>
        <w:t xml:space="preserve">up to </w:t>
      </w:r>
      <w:r w:rsidR="00A86443">
        <w:rPr>
          <w:rFonts w:ascii="Times New Roman" w:hAnsi="Times New Roman" w:cs="Times New Roman"/>
          <w:sz w:val="24"/>
          <w:szCs w:val="24"/>
        </w:rPr>
        <w:t>3</w:t>
      </w:r>
      <w:r w:rsidR="00FF6337" w:rsidRPr="002C149E">
        <w:rPr>
          <w:rFonts w:ascii="Times New Roman" w:hAnsi="Times New Roman" w:cs="Times New Roman"/>
          <w:sz w:val="24"/>
          <w:szCs w:val="24"/>
        </w:rPr>
        <w:t xml:space="preserve"> years post-bereavement</w:t>
      </w:r>
      <w:r w:rsidR="00BA0B1E" w:rsidRPr="002C149E">
        <w:rPr>
          <w:rFonts w:ascii="Times New Roman" w:hAnsi="Times New Roman" w:cs="Times New Roman"/>
          <w:sz w:val="24"/>
          <w:szCs w:val="24"/>
        </w:rPr>
        <w:t xml:space="preserve"> </w:t>
      </w:r>
      <w:r w:rsidR="006534D4" w:rsidRPr="002C149E">
        <w:rPr>
          <w:rFonts w:ascii="Times New Roman" w:hAnsi="Times New Roman" w:cs="Times New Roman"/>
          <w:sz w:val="24"/>
          <w:szCs w:val="24"/>
        </w:rPr>
        <w:t>(</w:t>
      </w:r>
      <w:r w:rsidR="00F1713E" w:rsidRPr="002C149E">
        <w:rPr>
          <w:rFonts w:ascii="Times New Roman" w:hAnsi="Times New Roman" w:cs="Times New Roman"/>
          <w:sz w:val="24"/>
          <w:szCs w:val="24"/>
        </w:rPr>
        <w:t>65</w:t>
      </w:r>
      <w:r w:rsidR="006534D4" w:rsidRPr="002C149E">
        <w:rPr>
          <w:rFonts w:ascii="Times New Roman" w:hAnsi="Times New Roman" w:cs="Times New Roman"/>
          <w:sz w:val="24"/>
          <w:szCs w:val="24"/>
        </w:rPr>
        <w:t>)</w:t>
      </w:r>
      <w:r w:rsidR="00FF6337" w:rsidRPr="002C149E">
        <w:rPr>
          <w:rFonts w:ascii="Times New Roman" w:hAnsi="Times New Roman" w:cs="Times New Roman"/>
          <w:sz w:val="24"/>
          <w:szCs w:val="24"/>
        </w:rPr>
        <w:t>.</w:t>
      </w:r>
      <w:r w:rsidR="00D501CE" w:rsidRPr="002C149E">
        <w:rPr>
          <w:rFonts w:ascii="Times New Roman" w:hAnsi="Times New Roman" w:cs="Times New Roman"/>
          <w:sz w:val="24"/>
          <w:szCs w:val="24"/>
        </w:rPr>
        <w:t xml:space="preserve"> </w:t>
      </w:r>
      <w:r w:rsidR="00D14441" w:rsidRPr="002C149E">
        <w:rPr>
          <w:rFonts w:ascii="Times New Roman" w:hAnsi="Times New Roman" w:cs="Times New Roman"/>
          <w:sz w:val="24"/>
          <w:szCs w:val="24"/>
        </w:rPr>
        <w:t>Aside from m</w:t>
      </w:r>
      <w:r w:rsidR="00FF6337" w:rsidRPr="002C149E">
        <w:rPr>
          <w:rFonts w:ascii="Times New Roman" w:hAnsi="Times New Roman" w:cs="Times New Roman"/>
          <w:sz w:val="24"/>
          <w:szCs w:val="24"/>
        </w:rPr>
        <w:t>ethodological limitatio</w:t>
      </w:r>
      <w:r w:rsidR="00073B32" w:rsidRPr="002C149E">
        <w:rPr>
          <w:rFonts w:ascii="Times New Roman" w:hAnsi="Times New Roman" w:cs="Times New Roman"/>
          <w:sz w:val="24"/>
          <w:szCs w:val="24"/>
        </w:rPr>
        <w:t>ns, the</w:t>
      </w:r>
      <w:r w:rsidR="00D14441" w:rsidRPr="002C149E">
        <w:rPr>
          <w:rFonts w:ascii="Times New Roman" w:hAnsi="Times New Roman" w:cs="Times New Roman"/>
          <w:sz w:val="24"/>
          <w:szCs w:val="24"/>
        </w:rPr>
        <w:t xml:space="preserve"> findings on gender and bereavement may have been mixed for a number of reasons</w:t>
      </w:r>
      <w:r w:rsidR="00FF6337" w:rsidRPr="002C149E">
        <w:rPr>
          <w:rFonts w:ascii="Times New Roman" w:hAnsi="Times New Roman" w:cs="Times New Roman"/>
          <w:sz w:val="24"/>
          <w:szCs w:val="24"/>
        </w:rPr>
        <w:t xml:space="preserve">. </w:t>
      </w:r>
      <w:r w:rsidR="008E5EE5" w:rsidRPr="002C149E">
        <w:rPr>
          <w:rFonts w:ascii="Times New Roman" w:hAnsi="Times New Roman" w:cs="Times New Roman"/>
          <w:sz w:val="24"/>
          <w:szCs w:val="24"/>
        </w:rPr>
        <w:t>M</w:t>
      </w:r>
      <w:r w:rsidR="00FF6337" w:rsidRPr="002C149E">
        <w:rPr>
          <w:rFonts w:ascii="Times New Roman" w:hAnsi="Times New Roman" w:cs="Times New Roman"/>
          <w:sz w:val="24"/>
          <w:szCs w:val="24"/>
        </w:rPr>
        <w:t xml:space="preserve">en </w:t>
      </w:r>
      <w:r w:rsidR="008E5EE5" w:rsidRPr="002C149E">
        <w:rPr>
          <w:rFonts w:ascii="Times New Roman" w:hAnsi="Times New Roman" w:cs="Times New Roman"/>
          <w:sz w:val="24"/>
          <w:szCs w:val="24"/>
        </w:rPr>
        <w:t xml:space="preserve">may </w:t>
      </w:r>
      <w:r w:rsidR="00FF6337" w:rsidRPr="002C149E">
        <w:rPr>
          <w:rFonts w:ascii="Times New Roman" w:hAnsi="Times New Roman" w:cs="Times New Roman"/>
          <w:sz w:val="24"/>
          <w:szCs w:val="24"/>
        </w:rPr>
        <w:t>do worse later in bereavement, meaning that studies focus</w:t>
      </w:r>
      <w:r w:rsidR="00D513C8" w:rsidRPr="002C149E">
        <w:rPr>
          <w:rFonts w:ascii="Times New Roman" w:hAnsi="Times New Roman" w:cs="Times New Roman"/>
          <w:sz w:val="24"/>
          <w:szCs w:val="24"/>
        </w:rPr>
        <w:t>sing</w:t>
      </w:r>
      <w:r w:rsidR="00FF6337" w:rsidRPr="002C149E">
        <w:rPr>
          <w:rFonts w:ascii="Times New Roman" w:hAnsi="Times New Roman" w:cs="Times New Roman"/>
          <w:sz w:val="24"/>
          <w:szCs w:val="24"/>
        </w:rPr>
        <w:t xml:space="preserve"> on early bereavement fail to show gendered trajectories of resilience or maladapt</w:t>
      </w:r>
      <w:r w:rsidR="00EB6218" w:rsidRPr="002C149E">
        <w:rPr>
          <w:rFonts w:ascii="Times New Roman" w:hAnsi="Times New Roman" w:cs="Times New Roman"/>
          <w:sz w:val="24"/>
          <w:szCs w:val="24"/>
        </w:rPr>
        <w:t>at</w:t>
      </w:r>
      <w:r w:rsidR="00FF6337" w:rsidRPr="002C149E">
        <w:rPr>
          <w:rFonts w:ascii="Times New Roman" w:hAnsi="Times New Roman" w:cs="Times New Roman"/>
          <w:sz w:val="24"/>
          <w:szCs w:val="24"/>
        </w:rPr>
        <w:t>ion. However, there is not consistent support for this proposal</w:t>
      </w:r>
      <w:r w:rsidR="00F1713E" w:rsidRPr="002C149E">
        <w:rPr>
          <w:rFonts w:ascii="Times New Roman" w:hAnsi="Times New Roman" w:cs="Times New Roman"/>
          <w:sz w:val="24"/>
          <w:szCs w:val="24"/>
        </w:rPr>
        <w:t xml:space="preserve"> (64</w:t>
      </w:r>
      <w:proofErr w:type="gramStart"/>
      <w:r w:rsidR="00F1713E" w:rsidRPr="002C149E">
        <w:rPr>
          <w:rFonts w:ascii="Times New Roman" w:hAnsi="Times New Roman" w:cs="Times New Roman"/>
          <w:sz w:val="24"/>
          <w:szCs w:val="24"/>
        </w:rPr>
        <w:t>,66</w:t>
      </w:r>
      <w:proofErr w:type="gramEnd"/>
      <w:r w:rsidR="00BA0B1E" w:rsidRPr="002C149E">
        <w:rPr>
          <w:rFonts w:ascii="Times New Roman" w:hAnsi="Times New Roman" w:cs="Times New Roman"/>
          <w:sz w:val="24"/>
          <w:szCs w:val="24"/>
        </w:rPr>
        <w:t>)</w:t>
      </w:r>
      <w:r w:rsidR="00FF6337" w:rsidRPr="002C149E">
        <w:rPr>
          <w:rFonts w:ascii="Times New Roman" w:hAnsi="Times New Roman" w:cs="Times New Roman"/>
          <w:sz w:val="24"/>
          <w:szCs w:val="24"/>
        </w:rPr>
        <w:t>. It may also be that study populations are differentially impacted by the tendency of more distressed men, but not women, to avoi</w:t>
      </w:r>
      <w:r w:rsidR="00BB038C" w:rsidRPr="002C149E">
        <w:rPr>
          <w:rFonts w:ascii="Times New Roman" w:hAnsi="Times New Roman" w:cs="Times New Roman"/>
          <w:sz w:val="24"/>
          <w:szCs w:val="24"/>
        </w:rPr>
        <w:t xml:space="preserve">d contact with </w:t>
      </w:r>
      <w:r w:rsidR="001D7A9E" w:rsidRPr="002C149E">
        <w:rPr>
          <w:rFonts w:ascii="Times New Roman" w:hAnsi="Times New Roman" w:cs="Times New Roman"/>
          <w:sz w:val="24"/>
          <w:szCs w:val="24"/>
        </w:rPr>
        <w:t xml:space="preserve">services </w:t>
      </w:r>
      <w:r w:rsidR="00162D84" w:rsidRPr="002C149E">
        <w:rPr>
          <w:rFonts w:ascii="Times New Roman" w:hAnsi="Times New Roman" w:cs="Times New Roman"/>
          <w:sz w:val="24"/>
          <w:szCs w:val="24"/>
        </w:rPr>
        <w:t>and</w:t>
      </w:r>
      <w:r w:rsidR="000D5FE7">
        <w:rPr>
          <w:rFonts w:ascii="Times New Roman" w:hAnsi="Times New Roman" w:cs="Times New Roman"/>
          <w:sz w:val="24"/>
          <w:szCs w:val="24"/>
        </w:rPr>
        <w:t xml:space="preserve"> </w:t>
      </w:r>
      <w:r w:rsidR="00D14441" w:rsidRPr="002C149E">
        <w:rPr>
          <w:rFonts w:ascii="Times New Roman" w:hAnsi="Times New Roman" w:cs="Times New Roman"/>
          <w:sz w:val="24"/>
          <w:szCs w:val="24"/>
        </w:rPr>
        <w:t xml:space="preserve">avoid </w:t>
      </w:r>
      <w:r w:rsidR="00FF6337" w:rsidRPr="002C149E">
        <w:rPr>
          <w:rFonts w:ascii="Times New Roman" w:hAnsi="Times New Roman" w:cs="Times New Roman"/>
          <w:sz w:val="24"/>
          <w:szCs w:val="24"/>
        </w:rPr>
        <w:t xml:space="preserve">study inclusion </w:t>
      </w:r>
      <w:r w:rsidR="006534D4" w:rsidRPr="002C149E">
        <w:rPr>
          <w:rFonts w:ascii="Times New Roman" w:hAnsi="Times New Roman" w:cs="Times New Roman"/>
          <w:sz w:val="24"/>
          <w:szCs w:val="24"/>
        </w:rPr>
        <w:t>(</w:t>
      </w:r>
      <w:r w:rsidR="00F1713E" w:rsidRPr="002C149E">
        <w:rPr>
          <w:rFonts w:ascii="Times New Roman" w:hAnsi="Times New Roman" w:cs="Times New Roman"/>
          <w:sz w:val="24"/>
          <w:szCs w:val="24"/>
        </w:rPr>
        <w:t>64</w:t>
      </w:r>
      <w:r w:rsidR="006534D4" w:rsidRPr="002C149E">
        <w:rPr>
          <w:rFonts w:ascii="Times New Roman" w:hAnsi="Times New Roman" w:cs="Times New Roman"/>
          <w:sz w:val="24"/>
          <w:szCs w:val="24"/>
        </w:rPr>
        <w:t>)</w:t>
      </w:r>
      <w:r w:rsidR="00FF6337" w:rsidRPr="002C149E">
        <w:rPr>
          <w:rFonts w:ascii="Times New Roman" w:hAnsi="Times New Roman" w:cs="Times New Roman"/>
          <w:sz w:val="24"/>
          <w:szCs w:val="24"/>
        </w:rPr>
        <w:t xml:space="preserve">. </w:t>
      </w:r>
      <w:r w:rsidR="00DC6DCA" w:rsidRPr="002C149E">
        <w:rPr>
          <w:rFonts w:ascii="Times New Roman" w:hAnsi="Times New Roman" w:cs="Times New Roman"/>
          <w:sz w:val="24"/>
          <w:szCs w:val="24"/>
        </w:rPr>
        <w:t>T</w:t>
      </w:r>
      <w:r w:rsidR="001D7A9E" w:rsidRPr="002C149E">
        <w:rPr>
          <w:rFonts w:ascii="Times New Roman" w:hAnsi="Times New Roman" w:cs="Times New Roman"/>
          <w:sz w:val="24"/>
          <w:szCs w:val="24"/>
        </w:rPr>
        <w:t xml:space="preserve">he </w:t>
      </w:r>
      <w:r w:rsidR="00BB5566" w:rsidRPr="002C149E">
        <w:rPr>
          <w:rFonts w:ascii="Times New Roman" w:hAnsi="Times New Roman" w:cs="Times New Roman"/>
          <w:sz w:val="24"/>
          <w:szCs w:val="24"/>
        </w:rPr>
        <w:t>SA</w:t>
      </w:r>
      <w:r w:rsidR="001D7A9E" w:rsidRPr="002C149E">
        <w:rPr>
          <w:rFonts w:ascii="Times New Roman" w:hAnsi="Times New Roman" w:cs="Times New Roman"/>
          <w:sz w:val="24"/>
          <w:szCs w:val="24"/>
        </w:rPr>
        <w:t>HOS</w:t>
      </w:r>
      <w:r w:rsidR="00D513C8" w:rsidRPr="002C149E">
        <w:rPr>
          <w:rFonts w:ascii="Times New Roman" w:hAnsi="Times New Roman" w:cs="Times New Roman"/>
          <w:sz w:val="24"/>
          <w:szCs w:val="24"/>
        </w:rPr>
        <w:t>,</w:t>
      </w:r>
      <w:r w:rsidR="001D7A9E" w:rsidRPr="002C149E">
        <w:rPr>
          <w:rFonts w:ascii="Times New Roman" w:hAnsi="Times New Roman" w:cs="Times New Roman"/>
          <w:sz w:val="24"/>
          <w:szCs w:val="24"/>
        </w:rPr>
        <w:t xml:space="preserve"> </w:t>
      </w:r>
      <w:r w:rsidR="00DC6DCA" w:rsidRPr="002C149E">
        <w:rPr>
          <w:rFonts w:ascii="Times New Roman" w:hAnsi="Times New Roman" w:cs="Times New Roman"/>
          <w:sz w:val="24"/>
          <w:szCs w:val="24"/>
        </w:rPr>
        <w:t>as</w:t>
      </w:r>
      <w:r w:rsidR="001D7A9E" w:rsidRPr="002C149E">
        <w:rPr>
          <w:rFonts w:ascii="Times New Roman" w:hAnsi="Times New Roman" w:cs="Times New Roman"/>
          <w:sz w:val="24"/>
          <w:szCs w:val="24"/>
        </w:rPr>
        <w:t xml:space="preserve"> a population-based sample</w:t>
      </w:r>
      <w:r w:rsidR="00BB5566" w:rsidRPr="002C149E">
        <w:rPr>
          <w:rFonts w:ascii="Times New Roman" w:hAnsi="Times New Roman" w:cs="Times New Roman"/>
          <w:sz w:val="24"/>
          <w:szCs w:val="24"/>
        </w:rPr>
        <w:t>,</w:t>
      </w:r>
      <w:r w:rsidR="001D7A9E" w:rsidRPr="002C149E">
        <w:rPr>
          <w:rFonts w:ascii="Times New Roman" w:hAnsi="Times New Roman" w:cs="Times New Roman"/>
          <w:sz w:val="24"/>
          <w:szCs w:val="24"/>
        </w:rPr>
        <w:t xml:space="preserve"> include</w:t>
      </w:r>
      <w:r w:rsidR="00D513C8" w:rsidRPr="002C149E">
        <w:rPr>
          <w:rFonts w:ascii="Times New Roman" w:hAnsi="Times New Roman" w:cs="Times New Roman"/>
          <w:sz w:val="24"/>
          <w:szCs w:val="24"/>
        </w:rPr>
        <w:t>s</w:t>
      </w:r>
      <w:r w:rsidR="001D7A9E" w:rsidRPr="002C149E">
        <w:rPr>
          <w:rFonts w:ascii="Times New Roman" w:hAnsi="Times New Roman" w:cs="Times New Roman"/>
          <w:sz w:val="24"/>
          <w:szCs w:val="24"/>
        </w:rPr>
        <w:t xml:space="preserve"> men who </w:t>
      </w:r>
      <w:r w:rsidR="00D513C8" w:rsidRPr="002C149E">
        <w:rPr>
          <w:rFonts w:ascii="Times New Roman" w:hAnsi="Times New Roman" w:cs="Times New Roman"/>
          <w:sz w:val="24"/>
          <w:szCs w:val="24"/>
        </w:rPr>
        <w:t xml:space="preserve">may </w:t>
      </w:r>
      <w:r w:rsidR="001D7A9E" w:rsidRPr="002C149E">
        <w:rPr>
          <w:rFonts w:ascii="Times New Roman" w:hAnsi="Times New Roman" w:cs="Times New Roman"/>
          <w:sz w:val="24"/>
          <w:szCs w:val="24"/>
        </w:rPr>
        <w:t>have been overlooked in samples identified by (for example) bereavement service use.</w:t>
      </w:r>
    </w:p>
    <w:p w:rsidR="005150D4" w:rsidRPr="002C149E" w:rsidRDefault="00150DD6" w:rsidP="00802DF8">
      <w:pPr>
        <w:jc w:val="both"/>
        <w:rPr>
          <w:rFonts w:ascii="Times New Roman" w:hAnsi="Times New Roman" w:cs="Times New Roman"/>
          <w:sz w:val="24"/>
          <w:szCs w:val="24"/>
        </w:rPr>
      </w:pPr>
      <w:r w:rsidRPr="002C149E">
        <w:rPr>
          <w:rFonts w:ascii="Times New Roman" w:hAnsi="Times New Roman" w:cs="Times New Roman"/>
          <w:sz w:val="24"/>
          <w:szCs w:val="24"/>
        </w:rPr>
        <w:t xml:space="preserve">In our study, </w:t>
      </w:r>
      <w:r w:rsidR="00BE5CA5" w:rsidRPr="002C149E">
        <w:rPr>
          <w:rFonts w:ascii="Times New Roman" w:hAnsi="Times New Roman" w:cs="Times New Roman"/>
          <w:sz w:val="24"/>
          <w:szCs w:val="24"/>
        </w:rPr>
        <w:t xml:space="preserve">male gender was associated with inability to </w:t>
      </w:r>
      <w:r w:rsidR="00BE5CA5" w:rsidRPr="002C149E">
        <w:rPr>
          <w:rFonts w:ascii="Times New Roman" w:hAnsi="Times New Roman" w:cs="Times New Roman"/>
          <w:i/>
          <w:sz w:val="24"/>
          <w:szCs w:val="24"/>
        </w:rPr>
        <w:t>move on</w:t>
      </w:r>
      <w:r w:rsidR="00BE5CA5" w:rsidRPr="002C149E">
        <w:rPr>
          <w:rFonts w:ascii="Times New Roman" w:hAnsi="Times New Roman" w:cs="Times New Roman"/>
          <w:sz w:val="24"/>
          <w:szCs w:val="24"/>
        </w:rPr>
        <w:t xml:space="preserve"> between 13</w:t>
      </w:r>
      <w:r w:rsidR="00DC6DCA" w:rsidRPr="002C149E">
        <w:rPr>
          <w:rFonts w:ascii="Times New Roman" w:hAnsi="Times New Roman" w:cs="Times New Roman"/>
          <w:sz w:val="24"/>
          <w:szCs w:val="24"/>
        </w:rPr>
        <w:t>-</w:t>
      </w:r>
      <w:r w:rsidR="00BE5CA5" w:rsidRPr="002C149E">
        <w:rPr>
          <w:rFonts w:ascii="Times New Roman" w:hAnsi="Times New Roman" w:cs="Times New Roman"/>
          <w:sz w:val="24"/>
          <w:szCs w:val="24"/>
        </w:rPr>
        <w:t>60 months post-</w:t>
      </w:r>
      <w:r w:rsidR="00BB5566" w:rsidRPr="002C149E">
        <w:rPr>
          <w:rFonts w:ascii="Times New Roman" w:hAnsi="Times New Roman" w:cs="Times New Roman"/>
          <w:sz w:val="24"/>
          <w:szCs w:val="24"/>
        </w:rPr>
        <w:t>loss</w:t>
      </w:r>
      <w:r w:rsidR="00BE5CA5" w:rsidRPr="002C149E">
        <w:rPr>
          <w:rFonts w:ascii="Times New Roman" w:hAnsi="Times New Roman" w:cs="Times New Roman"/>
          <w:sz w:val="24"/>
          <w:szCs w:val="24"/>
        </w:rPr>
        <w:t>.</w:t>
      </w:r>
      <w:r w:rsidR="006C4CAF" w:rsidRPr="002C149E">
        <w:rPr>
          <w:rFonts w:ascii="Times New Roman" w:hAnsi="Times New Roman" w:cs="Times New Roman"/>
          <w:sz w:val="24"/>
          <w:szCs w:val="24"/>
        </w:rPr>
        <w:t xml:space="preserve"> </w:t>
      </w:r>
      <w:r w:rsidR="00DC6DCA" w:rsidRPr="002C149E">
        <w:rPr>
          <w:rFonts w:ascii="Times New Roman" w:hAnsi="Times New Roman" w:cs="Times New Roman"/>
          <w:sz w:val="24"/>
          <w:szCs w:val="24"/>
        </w:rPr>
        <w:t>E</w:t>
      </w:r>
      <w:r w:rsidRPr="002C149E">
        <w:rPr>
          <w:rFonts w:ascii="Times New Roman" w:hAnsi="Times New Roman" w:cs="Times New Roman"/>
          <w:sz w:val="24"/>
          <w:szCs w:val="24"/>
        </w:rPr>
        <w:t xml:space="preserve">ducation </w:t>
      </w:r>
      <w:r w:rsidR="00DC6DCA" w:rsidRPr="002C149E">
        <w:rPr>
          <w:rFonts w:ascii="Times New Roman" w:hAnsi="Times New Roman" w:cs="Times New Roman"/>
          <w:sz w:val="24"/>
          <w:szCs w:val="24"/>
        </w:rPr>
        <w:t xml:space="preserve">level </w:t>
      </w:r>
      <w:r w:rsidRPr="002C149E">
        <w:rPr>
          <w:rFonts w:ascii="Times New Roman" w:hAnsi="Times New Roman" w:cs="Times New Roman"/>
          <w:sz w:val="24"/>
          <w:szCs w:val="24"/>
        </w:rPr>
        <w:t>proved protective for men in the initial 13-24 months post-</w:t>
      </w:r>
      <w:r w:rsidR="00DC6DCA" w:rsidRPr="002C149E">
        <w:rPr>
          <w:rFonts w:ascii="Times New Roman" w:hAnsi="Times New Roman" w:cs="Times New Roman"/>
          <w:sz w:val="24"/>
          <w:szCs w:val="24"/>
        </w:rPr>
        <w:t>loss</w:t>
      </w:r>
      <w:r w:rsidRPr="002C149E">
        <w:rPr>
          <w:rFonts w:ascii="Times New Roman" w:hAnsi="Times New Roman" w:cs="Times New Roman"/>
          <w:sz w:val="24"/>
          <w:szCs w:val="24"/>
        </w:rPr>
        <w:t xml:space="preserve"> whilst English-speaking background pro</w:t>
      </w:r>
      <w:r w:rsidR="001F4D35" w:rsidRPr="002C149E">
        <w:rPr>
          <w:rFonts w:ascii="Times New Roman" w:hAnsi="Times New Roman" w:cs="Times New Roman"/>
          <w:sz w:val="24"/>
          <w:szCs w:val="24"/>
        </w:rPr>
        <w:t xml:space="preserve">ved protective for men over </w:t>
      </w:r>
      <w:r w:rsidRPr="002C149E">
        <w:rPr>
          <w:rFonts w:ascii="Times New Roman" w:hAnsi="Times New Roman" w:cs="Times New Roman"/>
          <w:sz w:val="24"/>
          <w:szCs w:val="24"/>
        </w:rPr>
        <w:t>13-60 months. Women were not similarly impacted by these facto</w:t>
      </w:r>
      <w:r w:rsidR="00BE5CA5" w:rsidRPr="002C149E">
        <w:rPr>
          <w:rFonts w:ascii="Times New Roman" w:hAnsi="Times New Roman" w:cs="Times New Roman"/>
          <w:sz w:val="24"/>
          <w:szCs w:val="24"/>
        </w:rPr>
        <w:t>rs. Interactions between gender and other variables have been noted in bereavement literature across a range of bereavement outcomes</w:t>
      </w:r>
      <w:r w:rsidRPr="002C149E">
        <w:rPr>
          <w:rFonts w:ascii="Times New Roman" w:hAnsi="Times New Roman" w:cs="Times New Roman"/>
          <w:sz w:val="24"/>
          <w:szCs w:val="24"/>
        </w:rPr>
        <w:t xml:space="preserve">. </w:t>
      </w:r>
      <w:r w:rsidR="005150D4" w:rsidRPr="002C149E">
        <w:rPr>
          <w:rFonts w:ascii="Times New Roman" w:hAnsi="Times New Roman" w:cs="Times New Roman"/>
          <w:sz w:val="24"/>
          <w:szCs w:val="24"/>
        </w:rPr>
        <w:t xml:space="preserve"> </w:t>
      </w:r>
      <w:r w:rsidR="00DC6DCA" w:rsidRPr="002C149E">
        <w:rPr>
          <w:rFonts w:ascii="Times New Roman" w:hAnsi="Times New Roman" w:cs="Times New Roman"/>
          <w:sz w:val="24"/>
          <w:szCs w:val="24"/>
        </w:rPr>
        <w:t xml:space="preserve">In their </w:t>
      </w:r>
      <w:r w:rsidR="005150D4" w:rsidRPr="002C149E">
        <w:rPr>
          <w:rFonts w:ascii="Times New Roman" w:hAnsi="Times New Roman" w:cs="Times New Roman"/>
          <w:sz w:val="24"/>
          <w:szCs w:val="24"/>
        </w:rPr>
        <w:t>1999</w:t>
      </w:r>
      <w:r w:rsidR="00DC6DCA" w:rsidRPr="002C149E">
        <w:rPr>
          <w:rFonts w:ascii="Times New Roman" w:hAnsi="Times New Roman" w:cs="Times New Roman"/>
          <w:sz w:val="24"/>
          <w:szCs w:val="24"/>
        </w:rPr>
        <w:t xml:space="preserve"> study</w:t>
      </w:r>
      <w:r w:rsidR="005150D4" w:rsidRPr="002C149E">
        <w:rPr>
          <w:rFonts w:ascii="Times New Roman" w:hAnsi="Times New Roman" w:cs="Times New Roman"/>
          <w:sz w:val="24"/>
          <w:szCs w:val="24"/>
        </w:rPr>
        <w:t>, v</w:t>
      </w:r>
      <w:r w:rsidR="007746FD" w:rsidRPr="002C149E">
        <w:rPr>
          <w:rFonts w:ascii="Times New Roman" w:hAnsi="Times New Roman" w:cs="Times New Roman"/>
          <w:sz w:val="24"/>
          <w:szCs w:val="24"/>
        </w:rPr>
        <w:t xml:space="preserve">an </w:t>
      </w:r>
      <w:proofErr w:type="spellStart"/>
      <w:r w:rsidR="007746FD" w:rsidRPr="002C149E">
        <w:rPr>
          <w:rFonts w:ascii="Times New Roman" w:hAnsi="Times New Roman" w:cs="Times New Roman"/>
          <w:sz w:val="24"/>
          <w:szCs w:val="24"/>
        </w:rPr>
        <w:t>Grootheest</w:t>
      </w:r>
      <w:proofErr w:type="spellEnd"/>
      <w:r w:rsidR="007746FD" w:rsidRPr="002C149E">
        <w:rPr>
          <w:rFonts w:ascii="Times New Roman" w:hAnsi="Times New Roman" w:cs="Times New Roman"/>
          <w:sz w:val="24"/>
          <w:szCs w:val="24"/>
        </w:rPr>
        <w:t xml:space="preserve"> </w:t>
      </w:r>
      <w:r w:rsidR="007746FD" w:rsidRPr="002C149E">
        <w:rPr>
          <w:rFonts w:ascii="Times New Roman" w:hAnsi="Times New Roman" w:cs="Times New Roman"/>
          <w:i/>
          <w:sz w:val="24"/>
          <w:szCs w:val="24"/>
        </w:rPr>
        <w:t>et</w:t>
      </w:r>
      <w:r w:rsidR="007746FD" w:rsidRPr="002C149E">
        <w:rPr>
          <w:rFonts w:ascii="Times New Roman" w:hAnsi="Times New Roman" w:cs="Times New Roman"/>
          <w:sz w:val="24"/>
          <w:szCs w:val="24"/>
        </w:rPr>
        <w:t xml:space="preserve"> </w:t>
      </w:r>
      <w:r w:rsidR="007746FD" w:rsidRPr="002C149E">
        <w:rPr>
          <w:rFonts w:ascii="Times New Roman" w:hAnsi="Times New Roman" w:cs="Times New Roman"/>
          <w:i/>
          <w:sz w:val="24"/>
          <w:szCs w:val="24"/>
        </w:rPr>
        <w:t>al</w:t>
      </w:r>
      <w:r w:rsidR="007746FD" w:rsidRPr="002C149E">
        <w:rPr>
          <w:rFonts w:ascii="Times New Roman" w:hAnsi="Times New Roman" w:cs="Times New Roman"/>
          <w:sz w:val="24"/>
          <w:szCs w:val="24"/>
        </w:rPr>
        <w:t xml:space="preserve"> </w:t>
      </w:r>
      <w:r w:rsidR="005150D4" w:rsidRPr="002C149E">
        <w:rPr>
          <w:rFonts w:ascii="Times New Roman" w:hAnsi="Times New Roman" w:cs="Times New Roman"/>
          <w:sz w:val="24"/>
          <w:szCs w:val="24"/>
        </w:rPr>
        <w:t>conclu</w:t>
      </w:r>
      <w:r w:rsidR="001F4D35" w:rsidRPr="002C149E">
        <w:rPr>
          <w:rFonts w:ascii="Times New Roman" w:hAnsi="Times New Roman" w:cs="Times New Roman"/>
          <w:sz w:val="24"/>
          <w:szCs w:val="24"/>
        </w:rPr>
        <w:t>ded that</w:t>
      </w:r>
      <w:r w:rsidR="00C931EC" w:rsidRPr="002C149E">
        <w:rPr>
          <w:rFonts w:ascii="Times New Roman" w:hAnsi="Times New Roman" w:cs="Times New Roman"/>
          <w:sz w:val="24"/>
          <w:szCs w:val="24"/>
        </w:rPr>
        <w:t xml:space="preserve"> depression in widowhood </w:t>
      </w:r>
      <w:r w:rsidR="005150D4" w:rsidRPr="002C149E">
        <w:rPr>
          <w:rFonts w:ascii="Times New Roman" w:hAnsi="Times New Roman" w:cs="Times New Roman"/>
          <w:sz w:val="24"/>
          <w:szCs w:val="24"/>
        </w:rPr>
        <w:t>“is mediated by different types of environmental s</w:t>
      </w:r>
      <w:r w:rsidR="007746FD" w:rsidRPr="002C149E">
        <w:rPr>
          <w:rFonts w:ascii="Times New Roman" w:hAnsi="Times New Roman" w:cs="Times New Roman"/>
          <w:sz w:val="24"/>
          <w:szCs w:val="24"/>
        </w:rPr>
        <w:t>train for men and women”</w:t>
      </w:r>
      <w:r w:rsidR="00F1713E" w:rsidRPr="002C149E">
        <w:rPr>
          <w:rFonts w:ascii="Times New Roman" w:hAnsi="Times New Roman" w:cs="Times New Roman"/>
          <w:sz w:val="24"/>
          <w:szCs w:val="24"/>
        </w:rPr>
        <w:t xml:space="preserve"> (67</w:t>
      </w:r>
      <w:r w:rsidR="00BA0B1E" w:rsidRPr="002C149E">
        <w:rPr>
          <w:rFonts w:ascii="Times New Roman" w:hAnsi="Times New Roman" w:cs="Times New Roman"/>
          <w:sz w:val="24"/>
          <w:szCs w:val="24"/>
        </w:rPr>
        <w:t>)</w:t>
      </w:r>
      <w:r w:rsidR="007746FD" w:rsidRPr="002C149E">
        <w:rPr>
          <w:rFonts w:ascii="Times New Roman" w:hAnsi="Times New Roman" w:cs="Times New Roman"/>
          <w:sz w:val="24"/>
          <w:szCs w:val="24"/>
        </w:rPr>
        <w:t>. More recently</w:t>
      </w:r>
      <w:r w:rsidR="005150D4" w:rsidRPr="002C149E">
        <w:rPr>
          <w:rFonts w:ascii="Times New Roman" w:hAnsi="Times New Roman" w:cs="Times New Roman"/>
          <w:sz w:val="24"/>
          <w:szCs w:val="24"/>
        </w:rPr>
        <w:t xml:space="preserve">, </w:t>
      </w:r>
      <w:r w:rsidR="00DC6DCA" w:rsidRPr="002C149E">
        <w:rPr>
          <w:rFonts w:ascii="Times New Roman" w:hAnsi="Times New Roman" w:cs="Times New Roman"/>
          <w:sz w:val="24"/>
          <w:szCs w:val="24"/>
        </w:rPr>
        <w:t xml:space="preserve">it was found that women </w:t>
      </w:r>
      <w:r w:rsidR="007746FD" w:rsidRPr="002C149E">
        <w:rPr>
          <w:rFonts w:ascii="Times New Roman" w:hAnsi="Times New Roman" w:cs="Times New Roman"/>
          <w:sz w:val="24"/>
          <w:szCs w:val="24"/>
        </w:rPr>
        <w:t>providing</w:t>
      </w:r>
      <w:r w:rsidR="005150D4" w:rsidRPr="002C149E">
        <w:rPr>
          <w:rFonts w:ascii="Times New Roman" w:hAnsi="Times New Roman" w:cs="Times New Roman"/>
          <w:sz w:val="24"/>
          <w:szCs w:val="24"/>
        </w:rPr>
        <w:t xml:space="preserve"> higher </w:t>
      </w:r>
      <w:r w:rsidR="00DC6DCA" w:rsidRPr="002C149E">
        <w:rPr>
          <w:rFonts w:ascii="Times New Roman" w:hAnsi="Times New Roman" w:cs="Times New Roman"/>
          <w:sz w:val="24"/>
          <w:szCs w:val="24"/>
        </w:rPr>
        <w:t xml:space="preserve">care levels </w:t>
      </w:r>
      <w:r w:rsidR="005150D4" w:rsidRPr="002C149E">
        <w:rPr>
          <w:rFonts w:ascii="Times New Roman" w:hAnsi="Times New Roman" w:cs="Times New Roman"/>
          <w:sz w:val="24"/>
          <w:szCs w:val="24"/>
        </w:rPr>
        <w:t xml:space="preserve">were more likely to have a </w:t>
      </w:r>
      <w:r w:rsidR="00BA0B1E" w:rsidRPr="002C149E">
        <w:rPr>
          <w:rFonts w:ascii="Times New Roman" w:hAnsi="Times New Roman" w:cs="Times New Roman"/>
          <w:sz w:val="24"/>
          <w:szCs w:val="24"/>
        </w:rPr>
        <w:t>wo</w:t>
      </w:r>
      <w:r w:rsidR="00F1713E" w:rsidRPr="002C149E">
        <w:rPr>
          <w:rFonts w:ascii="Times New Roman" w:hAnsi="Times New Roman" w:cs="Times New Roman"/>
          <w:sz w:val="24"/>
          <w:szCs w:val="24"/>
        </w:rPr>
        <w:t>rse</w:t>
      </w:r>
      <w:r w:rsidR="00DC6DCA" w:rsidRPr="002C149E">
        <w:rPr>
          <w:rFonts w:ascii="Times New Roman" w:hAnsi="Times New Roman" w:cs="Times New Roman"/>
          <w:sz w:val="24"/>
          <w:szCs w:val="24"/>
        </w:rPr>
        <w:t>-</w:t>
      </w:r>
      <w:r w:rsidR="00F1713E" w:rsidRPr="002C149E">
        <w:rPr>
          <w:rFonts w:ascii="Times New Roman" w:hAnsi="Times New Roman" w:cs="Times New Roman"/>
          <w:sz w:val="24"/>
          <w:szCs w:val="24"/>
        </w:rPr>
        <w:t>than</w:t>
      </w:r>
      <w:r w:rsidR="00DC6DCA" w:rsidRPr="002C149E">
        <w:rPr>
          <w:rFonts w:ascii="Times New Roman" w:hAnsi="Times New Roman" w:cs="Times New Roman"/>
          <w:sz w:val="24"/>
          <w:szCs w:val="24"/>
        </w:rPr>
        <w:t>-</w:t>
      </w:r>
      <w:r w:rsidR="00F1713E" w:rsidRPr="002C149E">
        <w:rPr>
          <w:rFonts w:ascii="Times New Roman" w:hAnsi="Times New Roman" w:cs="Times New Roman"/>
          <w:sz w:val="24"/>
          <w:szCs w:val="24"/>
        </w:rPr>
        <w:t xml:space="preserve">expected </w:t>
      </w:r>
      <w:r w:rsidR="00DC6DCA" w:rsidRPr="002C149E">
        <w:rPr>
          <w:rFonts w:ascii="Times New Roman" w:hAnsi="Times New Roman" w:cs="Times New Roman"/>
          <w:sz w:val="24"/>
          <w:szCs w:val="24"/>
        </w:rPr>
        <w:t xml:space="preserve">caregiving </w:t>
      </w:r>
      <w:r w:rsidR="00F1713E" w:rsidRPr="002C149E">
        <w:rPr>
          <w:rFonts w:ascii="Times New Roman" w:hAnsi="Times New Roman" w:cs="Times New Roman"/>
          <w:sz w:val="24"/>
          <w:szCs w:val="24"/>
        </w:rPr>
        <w:t>experience (60</w:t>
      </w:r>
      <w:r w:rsidR="00BA0B1E" w:rsidRPr="002C149E">
        <w:rPr>
          <w:rFonts w:ascii="Times New Roman" w:hAnsi="Times New Roman" w:cs="Times New Roman"/>
          <w:sz w:val="24"/>
          <w:szCs w:val="24"/>
        </w:rPr>
        <w:t>)</w:t>
      </w:r>
      <w:r w:rsidR="005150D4" w:rsidRPr="002C149E">
        <w:rPr>
          <w:rFonts w:ascii="Times New Roman" w:hAnsi="Times New Roman" w:cs="Times New Roman"/>
          <w:sz w:val="24"/>
          <w:szCs w:val="24"/>
        </w:rPr>
        <w:t>. Outcomes for men were not similarly mediated by level of care provided.</w:t>
      </w:r>
    </w:p>
    <w:p w:rsidR="00FF6337" w:rsidRPr="002C149E" w:rsidRDefault="003E7403" w:rsidP="00802DF8">
      <w:pPr>
        <w:jc w:val="both"/>
        <w:rPr>
          <w:rFonts w:ascii="Times New Roman" w:hAnsi="Times New Roman" w:cs="Times New Roman"/>
          <w:sz w:val="24"/>
          <w:szCs w:val="24"/>
        </w:rPr>
      </w:pPr>
      <w:r w:rsidRPr="002C149E">
        <w:rPr>
          <w:rFonts w:ascii="Times New Roman" w:hAnsi="Times New Roman" w:cs="Times New Roman"/>
          <w:sz w:val="24"/>
          <w:szCs w:val="24"/>
        </w:rPr>
        <w:t xml:space="preserve">Our </w:t>
      </w:r>
      <w:r w:rsidR="008E43AF" w:rsidRPr="002C149E">
        <w:rPr>
          <w:rFonts w:ascii="Times New Roman" w:hAnsi="Times New Roman" w:cs="Times New Roman"/>
          <w:sz w:val="24"/>
          <w:szCs w:val="24"/>
        </w:rPr>
        <w:t>findings support</w:t>
      </w:r>
      <w:r w:rsidRPr="002C149E">
        <w:rPr>
          <w:rFonts w:ascii="Times New Roman" w:hAnsi="Times New Roman" w:cs="Times New Roman"/>
          <w:sz w:val="24"/>
          <w:szCs w:val="24"/>
        </w:rPr>
        <w:t xml:space="preserve"> this</w:t>
      </w:r>
      <w:r w:rsidR="00FF6337" w:rsidRPr="002C149E">
        <w:rPr>
          <w:rFonts w:ascii="Times New Roman" w:hAnsi="Times New Roman" w:cs="Times New Roman"/>
          <w:sz w:val="24"/>
          <w:szCs w:val="24"/>
        </w:rPr>
        <w:t xml:space="preserve"> </w:t>
      </w:r>
      <w:r w:rsidR="00150DD6" w:rsidRPr="002C149E">
        <w:rPr>
          <w:rFonts w:ascii="Times New Roman" w:hAnsi="Times New Roman" w:cs="Times New Roman"/>
          <w:sz w:val="24"/>
          <w:szCs w:val="24"/>
        </w:rPr>
        <w:t xml:space="preserve">more </w:t>
      </w:r>
      <w:r w:rsidR="00FF6337" w:rsidRPr="002C149E">
        <w:rPr>
          <w:rFonts w:ascii="Times New Roman" w:hAnsi="Times New Roman" w:cs="Times New Roman"/>
          <w:sz w:val="24"/>
          <w:szCs w:val="24"/>
        </w:rPr>
        <w:t xml:space="preserve">dynamic explanation for the mixed results concerning gender and bereavement - that the experiences of men and women in bereavement are mediated by quite different factors. </w:t>
      </w:r>
      <w:r w:rsidR="00150DD6" w:rsidRPr="002C149E">
        <w:rPr>
          <w:rFonts w:ascii="Times New Roman" w:hAnsi="Times New Roman" w:cs="Times New Roman"/>
          <w:sz w:val="24"/>
          <w:szCs w:val="24"/>
        </w:rPr>
        <w:t>Our</w:t>
      </w:r>
      <w:r w:rsidR="008E43AF" w:rsidRPr="002C149E">
        <w:rPr>
          <w:rFonts w:ascii="Times New Roman" w:hAnsi="Times New Roman" w:cs="Times New Roman"/>
          <w:sz w:val="24"/>
          <w:szCs w:val="24"/>
        </w:rPr>
        <w:t xml:space="preserve"> results</w:t>
      </w:r>
      <w:r w:rsidR="00D859B5" w:rsidRPr="002C149E">
        <w:rPr>
          <w:rFonts w:ascii="Times New Roman" w:hAnsi="Times New Roman" w:cs="Times New Roman"/>
          <w:sz w:val="24"/>
          <w:szCs w:val="24"/>
        </w:rPr>
        <w:t>,</w:t>
      </w:r>
      <w:r w:rsidR="008E43AF" w:rsidRPr="002C149E">
        <w:rPr>
          <w:rFonts w:ascii="Times New Roman" w:hAnsi="Times New Roman" w:cs="Times New Roman"/>
          <w:sz w:val="24"/>
          <w:szCs w:val="24"/>
        </w:rPr>
        <w:t xml:space="preserve"> situated</w:t>
      </w:r>
      <w:r w:rsidR="00150DD6" w:rsidRPr="002C149E">
        <w:rPr>
          <w:rFonts w:ascii="Times New Roman" w:hAnsi="Times New Roman" w:cs="Times New Roman"/>
          <w:sz w:val="24"/>
          <w:szCs w:val="24"/>
        </w:rPr>
        <w:t xml:space="preserve"> with</w:t>
      </w:r>
      <w:r w:rsidR="008E43AF" w:rsidRPr="002C149E">
        <w:rPr>
          <w:rFonts w:ascii="Times New Roman" w:hAnsi="Times New Roman" w:cs="Times New Roman"/>
          <w:sz w:val="24"/>
          <w:szCs w:val="24"/>
        </w:rPr>
        <w:t>in</w:t>
      </w:r>
      <w:r w:rsidR="00150DD6" w:rsidRPr="002C149E">
        <w:rPr>
          <w:rFonts w:ascii="Times New Roman" w:hAnsi="Times New Roman" w:cs="Times New Roman"/>
          <w:sz w:val="24"/>
          <w:szCs w:val="24"/>
        </w:rPr>
        <w:t xml:space="preserve"> an array of related research</w:t>
      </w:r>
      <w:r w:rsidR="00D859B5" w:rsidRPr="002C149E">
        <w:rPr>
          <w:rFonts w:ascii="Times New Roman" w:hAnsi="Times New Roman" w:cs="Times New Roman"/>
          <w:sz w:val="24"/>
          <w:szCs w:val="24"/>
        </w:rPr>
        <w:t>,</w:t>
      </w:r>
      <w:r w:rsidR="000D5FE7">
        <w:rPr>
          <w:rFonts w:ascii="Times New Roman" w:hAnsi="Times New Roman" w:cs="Times New Roman"/>
          <w:sz w:val="24"/>
          <w:szCs w:val="24"/>
        </w:rPr>
        <w:t xml:space="preserve"> </w:t>
      </w:r>
      <w:r w:rsidR="00150DD6" w:rsidRPr="002C149E">
        <w:rPr>
          <w:rFonts w:ascii="Times New Roman" w:hAnsi="Times New Roman" w:cs="Times New Roman"/>
          <w:sz w:val="24"/>
          <w:szCs w:val="24"/>
        </w:rPr>
        <w:t xml:space="preserve">challenge </w:t>
      </w:r>
      <w:r w:rsidR="00FF6337" w:rsidRPr="002C149E">
        <w:rPr>
          <w:rFonts w:ascii="Times New Roman" w:hAnsi="Times New Roman" w:cs="Times New Roman"/>
          <w:sz w:val="24"/>
          <w:szCs w:val="24"/>
        </w:rPr>
        <w:t xml:space="preserve">us to view men and women as not simply differently impacted by bereavement, but </w:t>
      </w:r>
      <w:r w:rsidR="00FF6337" w:rsidRPr="002C149E">
        <w:rPr>
          <w:rFonts w:ascii="Times New Roman" w:hAnsi="Times New Roman" w:cs="Times New Roman"/>
          <w:sz w:val="24"/>
          <w:szCs w:val="24"/>
        </w:rPr>
        <w:lastRenderedPageBreak/>
        <w:t xml:space="preserve">differentially impacted by the constellation of contextual factors </w:t>
      </w:r>
      <w:r w:rsidR="00D859B5" w:rsidRPr="002C149E">
        <w:rPr>
          <w:rFonts w:ascii="Times New Roman" w:hAnsi="Times New Roman" w:cs="Times New Roman"/>
          <w:sz w:val="24"/>
          <w:szCs w:val="24"/>
        </w:rPr>
        <w:t xml:space="preserve">which </w:t>
      </w:r>
      <w:r w:rsidR="00FF6337" w:rsidRPr="002C149E">
        <w:rPr>
          <w:rFonts w:ascii="Times New Roman" w:hAnsi="Times New Roman" w:cs="Times New Roman"/>
          <w:sz w:val="24"/>
          <w:szCs w:val="24"/>
        </w:rPr>
        <w:t xml:space="preserve">mediate their bereavement experience. </w:t>
      </w:r>
    </w:p>
    <w:p w:rsidR="00663ECE" w:rsidRPr="002C149E" w:rsidRDefault="00663ECE" w:rsidP="00802DF8">
      <w:pPr>
        <w:jc w:val="both"/>
        <w:rPr>
          <w:rFonts w:ascii="Times New Roman" w:hAnsi="Times New Roman" w:cs="Times New Roman"/>
          <w:b/>
          <w:sz w:val="24"/>
          <w:szCs w:val="24"/>
        </w:rPr>
      </w:pPr>
      <w:r w:rsidRPr="002C149E">
        <w:rPr>
          <w:rFonts w:ascii="Times New Roman" w:hAnsi="Times New Roman" w:cs="Times New Roman"/>
          <w:b/>
          <w:sz w:val="24"/>
          <w:szCs w:val="24"/>
        </w:rPr>
        <w:t>Palliative Care Service Use</w:t>
      </w:r>
    </w:p>
    <w:p w:rsidR="00663ECE" w:rsidRPr="002C149E" w:rsidRDefault="00663ECE" w:rsidP="00802DF8">
      <w:pPr>
        <w:jc w:val="both"/>
        <w:rPr>
          <w:rFonts w:ascii="Times New Roman" w:hAnsi="Times New Roman" w:cs="Times New Roman"/>
          <w:sz w:val="24"/>
          <w:szCs w:val="24"/>
        </w:rPr>
      </w:pPr>
      <w:r w:rsidRPr="002C149E">
        <w:rPr>
          <w:rFonts w:ascii="Times New Roman" w:hAnsi="Times New Roman" w:cs="Times New Roman"/>
          <w:sz w:val="24"/>
          <w:szCs w:val="24"/>
        </w:rPr>
        <w:t>The use of a Palliative Care Service</w:t>
      </w:r>
      <w:r w:rsidR="0093274E" w:rsidRPr="002C149E">
        <w:rPr>
          <w:rFonts w:ascii="Times New Roman" w:hAnsi="Times New Roman" w:cs="Times New Roman"/>
          <w:sz w:val="24"/>
          <w:szCs w:val="24"/>
        </w:rPr>
        <w:t xml:space="preserve"> (PCS)</w:t>
      </w:r>
      <w:r w:rsidRPr="002C149E">
        <w:rPr>
          <w:rFonts w:ascii="Times New Roman" w:hAnsi="Times New Roman" w:cs="Times New Roman"/>
          <w:sz w:val="24"/>
          <w:szCs w:val="24"/>
        </w:rPr>
        <w:t xml:space="preserve"> was not significantly associated with the ability to </w:t>
      </w:r>
      <w:r w:rsidRPr="002C149E">
        <w:rPr>
          <w:rFonts w:ascii="Times New Roman" w:hAnsi="Times New Roman" w:cs="Times New Roman"/>
          <w:i/>
          <w:sz w:val="24"/>
          <w:szCs w:val="24"/>
        </w:rPr>
        <w:t>move on</w:t>
      </w:r>
      <w:r w:rsidRPr="002C149E">
        <w:rPr>
          <w:rFonts w:ascii="Times New Roman" w:hAnsi="Times New Roman" w:cs="Times New Roman"/>
          <w:sz w:val="24"/>
          <w:szCs w:val="24"/>
        </w:rPr>
        <w:t xml:space="preserve"> in either of the time</w:t>
      </w:r>
      <w:r w:rsidR="004703F3" w:rsidRPr="002C149E">
        <w:rPr>
          <w:rFonts w:ascii="Times New Roman" w:hAnsi="Times New Roman" w:cs="Times New Roman"/>
          <w:sz w:val="24"/>
          <w:szCs w:val="24"/>
        </w:rPr>
        <w:t>-</w:t>
      </w:r>
      <w:r w:rsidRPr="002C149E">
        <w:rPr>
          <w:rFonts w:ascii="Times New Roman" w:hAnsi="Times New Roman" w:cs="Times New Roman"/>
          <w:sz w:val="24"/>
          <w:szCs w:val="24"/>
        </w:rPr>
        <w:t>frames examined. Recent res</w:t>
      </w:r>
      <w:r w:rsidR="009A026F" w:rsidRPr="002C149E">
        <w:rPr>
          <w:rFonts w:ascii="Times New Roman" w:hAnsi="Times New Roman" w:cs="Times New Roman"/>
          <w:sz w:val="24"/>
          <w:szCs w:val="24"/>
        </w:rPr>
        <w:t>earch</w:t>
      </w:r>
      <w:r w:rsidR="004703F3" w:rsidRPr="002C149E">
        <w:rPr>
          <w:rFonts w:ascii="Times New Roman" w:hAnsi="Times New Roman" w:cs="Times New Roman"/>
          <w:sz w:val="24"/>
          <w:szCs w:val="24"/>
        </w:rPr>
        <w:t xml:space="preserve"> </w:t>
      </w:r>
      <w:r w:rsidR="0090017E" w:rsidRPr="002C149E">
        <w:rPr>
          <w:rFonts w:ascii="Times New Roman" w:hAnsi="Times New Roman" w:cs="Times New Roman"/>
          <w:sz w:val="24"/>
          <w:szCs w:val="24"/>
        </w:rPr>
        <w:t>confirms that</w:t>
      </w:r>
      <w:r w:rsidR="00AF506A" w:rsidRPr="002C149E">
        <w:rPr>
          <w:rFonts w:ascii="Times New Roman" w:hAnsi="Times New Roman" w:cs="Times New Roman"/>
          <w:sz w:val="24"/>
          <w:szCs w:val="24"/>
        </w:rPr>
        <w:t xml:space="preserve"> factors which impact on patients’</w:t>
      </w:r>
      <w:r w:rsidR="0090017E" w:rsidRPr="002C149E">
        <w:rPr>
          <w:rFonts w:ascii="Times New Roman" w:hAnsi="Times New Roman" w:cs="Times New Roman"/>
          <w:sz w:val="24"/>
          <w:szCs w:val="24"/>
        </w:rPr>
        <w:t xml:space="preserve"> end-of-life experiences have cascading benefits for</w:t>
      </w:r>
      <w:r w:rsidR="00AF506A" w:rsidRPr="002C149E">
        <w:rPr>
          <w:rFonts w:ascii="Times New Roman" w:hAnsi="Times New Roman" w:cs="Times New Roman"/>
          <w:sz w:val="24"/>
          <w:szCs w:val="24"/>
        </w:rPr>
        <w:t xml:space="preserve"> caregiver bereavement outcomes</w:t>
      </w:r>
      <w:r w:rsidR="00F1713E" w:rsidRPr="002C149E">
        <w:rPr>
          <w:rFonts w:ascii="Times New Roman" w:hAnsi="Times New Roman" w:cs="Times New Roman"/>
          <w:sz w:val="24"/>
          <w:szCs w:val="24"/>
        </w:rPr>
        <w:t xml:space="preserve"> (</w:t>
      </w:r>
      <w:r w:rsidR="00C353F0" w:rsidRPr="002C149E">
        <w:rPr>
          <w:rFonts w:ascii="Times New Roman" w:hAnsi="Times New Roman" w:cs="Times New Roman"/>
          <w:sz w:val="24"/>
          <w:szCs w:val="24"/>
        </w:rPr>
        <w:t>23</w:t>
      </w:r>
      <w:r w:rsidR="00215F07" w:rsidRPr="002C149E">
        <w:rPr>
          <w:rFonts w:ascii="Times New Roman" w:hAnsi="Times New Roman" w:cs="Times New Roman"/>
          <w:sz w:val="24"/>
          <w:szCs w:val="24"/>
        </w:rPr>
        <w:t>)</w:t>
      </w:r>
      <w:r w:rsidR="00AF506A" w:rsidRPr="002C149E">
        <w:rPr>
          <w:rFonts w:ascii="Times New Roman" w:hAnsi="Times New Roman" w:cs="Times New Roman"/>
          <w:sz w:val="24"/>
          <w:szCs w:val="24"/>
        </w:rPr>
        <w:t>. These factors include: end-of-life discussions with health providers:</w:t>
      </w:r>
      <w:r w:rsidR="0090017E" w:rsidRPr="002C149E">
        <w:rPr>
          <w:rFonts w:ascii="Times New Roman" w:hAnsi="Times New Roman" w:cs="Times New Roman"/>
          <w:sz w:val="24"/>
          <w:szCs w:val="24"/>
        </w:rPr>
        <w:t xml:space="preserve"> </w:t>
      </w:r>
      <w:r w:rsidR="00AF506A" w:rsidRPr="002C149E">
        <w:rPr>
          <w:rFonts w:ascii="Times New Roman" w:hAnsi="Times New Roman" w:cs="Times New Roman"/>
          <w:sz w:val="24"/>
          <w:szCs w:val="24"/>
        </w:rPr>
        <w:t xml:space="preserve">avoidance of aggressive medical </w:t>
      </w:r>
      <w:r w:rsidR="0090017E" w:rsidRPr="002C149E">
        <w:rPr>
          <w:rFonts w:ascii="Times New Roman" w:hAnsi="Times New Roman" w:cs="Times New Roman"/>
          <w:sz w:val="24"/>
          <w:szCs w:val="24"/>
        </w:rPr>
        <w:t>interventions</w:t>
      </w:r>
      <w:r w:rsidR="00AF506A" w:rsidRPr="002C149E">
        <w:rPr>
          <w:rFonts w:ascii="Times New Roman" w:hAnsi="Times New Roman" w:cs="Times New Roman"/>
          <w:sz w:val="24"/>
          <w:szCs w:val="24"/>
        </w:rPr>
        <w:t>;</w:t>
      </w:r>
      <w:r w:rsidRPr="002C149E">
        <w:rPr>
          <w:rFonts w:ascii="Times New Roman" w:hAnsi="Times New Roman" w:cs="Times New Roman"/>
          <w:sz w:val="24"/>
          <w:szCs w:val="24"/>
        </w:rPr>
        <w:t xml:space="preserve"> </w:t>
      </w:r>
      <w:r w:rsidR="00AF506A" w:rsidRPr="002C149E">
        <w:rPr>
          <w:rFonts w:ascii="Times New Roman" w:hAnsi="Times New Roman" w:cs="Times New Roman"/>
          <w:sz w:val="24"/>
          <w:szCs w:val="24"/>
        </w:rPr>
        <w:t xml:space="preserve">patient </w:t>
      </w:r>
      <w:r w:rsidR="0090017E" w:rsidRPr="002C149E">
        <w:rPr>
          <w:rFonts w:ascii="Times New Roman" w:hAnsi="Times New Roman" w:cs="Times New Roman"/>
          <w:sz w:val="24"/>
          <w:szCs w:val="24"/>
        </w:rPr>
        <w:t>quality of life at end-of- life;</w:t>
      </w:r>
      <w:r w:rsidR="00AF506A" w:rsidRPr="002C149E">
        <w:rPr>
          <w:rFonts w:ascii="Times New Roman" w:hAnsi="Times New Roman" w:cs="Times New Roman"/>
          <w:sz w:val="24"/>
          <w:szCs w:val="24"/>
        </w:rPr>
        <w:t xml:space="preserve"> </w:t>
      </w:r>
      <w:r w:rsidRPr="002C149E">
        <w:rPr>
          <w:rFonts w:ascii="Times New Roman" w:hAnsi="Times New Roman" w:cs="Times New Roman"/>
          <w:sz w:val="24"/>
          <w:szCs w:val="24"/>
        </w:rPr>
        <w:t xml:space="preserve">and </w:t>
      </w:r>
      <w:r w:rsidR="0090017E" w:rsidRPr="002C149E">
        <w:rPr>
          <w:rFonts w:ascii="Times New Roman" w:hAnsi="Times New Roman" w:cs="Times New Roman"/>
          <w:sz w:val="24"/>
          <w:szCs w:val="24"/>
        </w:rPr>
        <w:t xml:space="preserve">quality and </w:t>
      </w:r>
      <w:r w:rsidRPr="002C149E">
        <w:rPr>
          <w:rFonts w:ascii="Times New Roman" w:hAnsi="Times New Roman" w:cs="Times New Roman"/>
          <w:sz w:val="24"/>
          <w:szCs w:val="24"/>
        </w:rPr>
        <w:t>place of death</w:t>
      </w:r>
      <w:r w:rsidR="00215F07" w:rsidRPr="002C149E">
        <w:rPr>
          <w:rFonts w:ascii="Times New Roman" w:hAnsi="Times New Roman" w:cs="Times New Roman"/>
          <w:sz w:val="24"/>
          <w:szCs w:val="24"/>
        </w:rPr>
        <w:t xml:space="preserve"> </w:t>
      </w:r>
      <w:r w:rsidR="00B35603" w:rsidRPr="002C149E">
        <w:rPr>
          <w:rFonts w:ascii="Times New Roman" w:hAnsi="Times New Roman" w:cs="Times New Roman"/>
          <w:sz w:val="24"/>
          <w:szCs w:val="24"/>
        </w:rPr>
        <w:t>(</w:t>
      </w:r>
      <w:r w:rsidR="00F1713E" w:rsidRPr="002C149E">
        <w:rPr>
          <w:rFonts w:ascii="Times New Roman" w:hAnsi="Times New Roman" w:cs="Times New Roman"/>
          <w:sz w:val="24"/>
          <w:szCs w:val="24"/>
        </w:rPr>
        <w:t xml:space="preserve">23-35,68-69). </w:t>
      </w:r>
      <w:r w:rsidR="004703F3" w:rsidRPr="002C149E">
        <w:rPr>
          <w:rFonts w:ascii="Times New Roman" w:hAnsi="Times New Roman" w:cs="Times New Roman"/>
          <w:sz w:val="24"/>
          <w:szCs w:val="24"/>
        </w:rPr>
        <w:t xml:space="preserve">These factors arguably represent </w:t>
      </w:r>
      <w:r w:rsidR="00F27134">
        <w:rPr>
          <w:rFonts w:ascii="Times New Roman" w:hAnsi="Times New Roman" w:cs="Times New Roman"/>
          <w:sz w:val="24"/>
          <w:szCs w:val="24"/>
        </w:rPr>
        <w:t>p</w:t>
      </w:r>
      <w:r w:rsidR="004703F3" w:rsidRPr="002C149E">
        <w:rPr>
          <w:rFonts w:ascii="Times New Roman" w:hAnsi="Times New Roman" w:cs="Times New Roman"/>
          <w:sz w:val="24"/>
          <w:szCs w:val="24"/>
        </w:rPr>
        <w:t xml:space="preserve">alliative </w:t>
      </w:r>
      <w:r w:rsidR="00F27134">
        <w:rPr>
          <w:rFonts w:ascii="Times New Roman" w:hAnsi="Times New Roman" w:cs="Times New Roman"/>
          <w:sz w:val="24"/>
          <w:szCs w:val="24"/>
        </w:rPr>
        <w:t>c</w:t>
      </w:r>
      <w:r w:rsidR="004703F3" w:rsidRPr="002C149E">
        <w:rPr>
          <w:rFonts w:ascii="Times New Roman" w:hAnsi="Times New Roman" w:cs="Times New Roman"/>
          <w:sz w:val="24"/>
          <w:szCs w:val="24"/>
        </w:rPr>
        <w:t xml:space="preserve">are’s core business. </w:t>
      </w:r>
      <w:r w:rsidR="0090017E" w:rsidRPr="002C149E">
        <w:rPr>
          <w:rFonts w:ascii="Times New Roman" w:hAnsi="Times New Roman" w:cs="Times New Roman"/>
          <w:sz w:val="24"/>
          <w:szCs w:val="24"/>
        </w:rPr>
        <w:t xml:space="preserve">Yet in line with Wright </w:t>
      </w:r>
      <w:r w:rsidR="0090017E" w:rsidRPr="002C149E">
        <w:rPr>
          <w:rFonts w:ascii="Times New Roman" w:hAnsi="Times New Roman" w:cs="Times New Roman"/>
          <w:i/>
          <w:sz w:val="24"/>
          <w:szCs w:val="24"/>
        </w:rPr>
        <w:t>et al</w:t>
      </w:r>
      <w:r w:rsidR="005E495C" w:rsidRPr="002C149E">
        <w:rPr>
          <w:rFonts w:ascii="Times New Roman" w:hAnsi="Times New Roman" w:cs="Times New Roman"/>
          <w:sz w:val="24"/>
          <w:szCs w:val="24"/>
        </w:rPr>
        <w:t>, we fou</w:t>
      </w:r>
      <w:r w:rsidR="0093274E" w:rsidRPr="002C149E">
        <w:rPr>
          <w:rFonts w:ascii="Times New Roman" w:hAnsi="Times New Roman" w:cs="Times New Roman"/>
          <w:sz w:val="24"/>
          <w:szCs w:val="24"/>
        </w:rPr>
        <w:t>nd that PCS</w:t>
      </w:r>
      <w:r w:rsidR="005E495C" w:rsidRPr="002C149E">
        <w:rPr>
          <w:rFonts w:ascii="Times New Roman" w:hAnsi="Times New Roman" w:cs="Times New Roman"/>
          <w:sz w:val="24"/>
          <w:szCs w:val="24"/>
        </w:rPr>
        <w:t xml:space="preserve"> use </w:t>
      </w:r>
      <w:r w:rsidR="00AF506A" w:rsidRPr="002C149E">
        <w:rPr>
          <w:rFonts w:ascii="Times New Roman" w:hAnsi="Times New Roman" w:cs="Times New Roman"/>
          <w:sz w:val="24"/>
          <w:szCs w:val="24"/>
        </w:rPr>
        <w:t>was not associated with</w:t>
      </w:r>
      <w:r w:rsidR="0090017E" w:rsidRPr="002C149E">
        <w:rPr>
          <w:rFonts w:ascii="Times New Roman" w:hAnsi="Times New Roman" w:cs="Times New Roman"/>
          <w:sz w:val="24"/>
          <w:szCs w:val="24"/>
        </w:rPr>
        <w:t xml:space="preserve"> (improved)</w:t>
      </w:r>
      <w:r w:rsidR="00AF506A" w:rsidRPr="002C149E">
        <w:rPr>
          <w:rFonts w:ascii="Times New Roman" w:hAnsi="Times New Roman" w:cs="Times New Roman"/>
          <w:sz w:val="24"/>
          <w:szCs w:val="24"/>
        </w:rPr>
        <w:t xml:space="preserve"> </w:t>
      </w:r>
      <w:r w:rsidR="005E495C" w:rsidRPr="002C149E">
        <w:rPr>
          <w:rFonts w:ascii="Times New Roman" w:hAnsi="Times New Roman" w:cs="Times New Roman"/>
          <w:sz w:val="24"/>
          <w:szCs w:val="24"/>
        </w:rPr>
        <w:t>caregiver bereavement outcome</w:t>
      </w:r>
      <w:r w:rsidR="00F1713E" w:rsidRPr="002C149E">
        <w:rPr>
          <w:rFonts w:ascii="Times New Roman" w:hAnsi="Times New Roman" w:cs="Times New Roman"/>
          <w:sz w:val="24"/>
          <w:szCs w:val="24"/>
        </w:rPr>
        <w:t xml:space="preserve"> (23</w:t>
      </w:r>
      <w:r w:rsidR="005363AF" w:rsidRPr="002C149E">
        <w:rPr>
          <w:rFonts w:ascii="Times New Roman" w:hAnsi="Times New Roman" w:cs="Times New Roman"/>
          <w:sz w:val="24"/>
          <w:szCs w:val="24"/>
        </w:rPr>
        <w:t>)</w:t>
      </w:r>
      <w:r w:rsidR="005E495C" w:rsidRPr="002C149E">
        <w:rPr>
          <w:rFonts w:ascii="Times New Roman" w:hAnsi="Times New Roman" w:cs="Times New Roman"/>
          <w:sz w:val="24"/>
          <w:szCs w:val="24"/>
        </w:rPr>
        <w:t xml:space="preserve">. </w:t>
      </w:r>
      <w:r w:rsidR="00917BEC" w:rsidRPr="002C149E">
        <w:rPr>
          <w:rFonts w:ascii="Times New Roman" w:hAnsi="Times New Roman" w:cs="Times New Roman"/>
          <w:sz w:val="24"/>
          <w:szCs w:val="24"/>
        </w:rPr>
        <w:t>I</w:t>
      </w:r>
      <w:r w:rsidR="005E495C" w:rsidRPr="002C149E">
        <w:rPr>
          <w:rFonts w:ascii="Times New Roman" w:hAnsi="Times New Roman" w:cs="Times New Roman"/>
          <w:sz w:val="24"/>
          <w:szCs w:val="24"/>
        </w:rPr>
        <w:t>mportant future question</w:t>
      </w:r>
      <w:r w:rsidR="00AF506A" w:rsidRPr="002C149E">
        <w:rPr>
          <w:rFonts w:ascii="Times New Roman" w:hAnsi="Times New Roman" w:cs="Times New Roman"/>
          <w:sz w:val="24"/>
          <w:szCs w:val="24"/>
        </w:rPr>
        <w:t>s</w:t>
      </w:r>
      <w:r w:rsidR="005E495C" w:rsidRPr="002C149E">
        <w:rPr>
          <w:rFonts w:ascii="Times New Roman" w:hAnsi="Times New Roman" w:cs="Times New Roman"/>
          <w:sz w:val="24"/>
          <w:szCs w:val="24"/>
        </w:rPr>
        <w:t xml:space="preserve"> </w:t>
      </w:r>
      <w:r w:rsidR="00917BEC" w:rsidRPr="002C149E">
        <w:rPr>
          <w:rFonts w:ascii="Times New Roman" w:hAnsi="Times New Roman" w:cs="Times New Roman"/>
          <w:sz w:val="24"/>
          <w:szCs w:val="24"/>
        </w:rPr>
        <w:t xml:space="preserve">include </w:t>
      </w:r>
      <w:r w:rsidR="005E495C" w:rsidRPr="002C149E">
        <w:rPr>
          <w:rFonts w:ascii="Times New Roman" w:hAnsi="Times New Roman" w:cs="Times New Roman"/>
          <w:sz w:val="24"/>
          <w:szCs w:val="24"/>
        </w:rPr>
        <w:t xml:space="preserve">whether </w:t>
      </w:r>
      <w:r w:rsidR="0093274E" w:rsidRPr="002C149E">
        <w:rPr>
          <w:rFonts w:ascii="Times New Roman" w:hAnsi="Times New Roman" w:cs="Times New Roman"/>
          <w:sz w:val="24"/>
          <w:szCs w:val="24"/>
        </w:rPr>
        <w:t>PCS</w:t>
      </w:r>
      <w:r w:rsidR="005E495C" w:rsidRPr="002C149E">
        <w:rPr>
          <w:rFonts w:ascii="Times New Roman" w:hAnsi="Times New Roman" w:cs="Times New Roman"/>
          <w:sz w:val="24"/>
          <w:szCs w:val="24"/>
        </w:rPr>
        <w:t xml:space="preserve"> involvement</w:t>
      </w:r>
      <w:r w:rsidR="000D5FE7">
        <w:rPr>
          <w:rFonts w:ascii="Times New Roman" w:hAnsi="Times New Roman" w:cs="Times New Roman"/>
          <w:sz w:val="24"/>
          <w:szCs w:val="24"/>
        </w:rPr>
        <w:t xml:space="preserve"> </w:t>
      </w:r>
      <w:r w:rsidR="00AA6773" w:rsidRPr="002C149E">
        <w:rPr>
          <w:rFonts w:ascii="Times New Roman" w:hAnsi="Times New Roman" w:cs="Times New Roman"/>
          <w:sz w:val="24"/>
          <w:szCs w:val="24"/>
        </w:rPr>
        <w:t xml:space="preserve">signifies greater patient/caregiver complexity, </w:t>
      </w:r>
      <w:r w:rsidR="005E495C" w:rsidRPr="002C149E">
        <w:rPr>
          <w:rFonts w:ascii="Times New Roman" w:hAnsi="Times New Roman" w:cs="Times New Roman"/>
          <w:sz w:val="24"/>
          <w:szCs w:val="24"/>
        </w:rPr>
        <w:t>whether other networks</w:t>
      </w:r>
      <w:r w:rsidR="00273426" w:rsidRPr="002C149E">
        <w:rPr>
          <w:rFonts w:ascii="Times New Roman" w:hAnsi="Times New Roman" w:cs="Times New Roman"/>
          <w:sz w:val="24"/>
          <w:szCs w:val="24"/>
        </w:rPr>
        <w:t xml:space="preserve"> </w:t>
      </w:r>
      <w:r w:rsidR="005E495C" w:rsidRPr="002C149E">
        <w:rPr>
          <w:rFonts w:ascii="Times New Roman" w:hAnsi="Times New Roman" w:cs="Times New Roman"/>
          <w:sz w:val="24"/>
          <w:szCs w:val="24"/>
        </w:rPr>
        <w:t xml:space="preserve">and services are filling key </w:t>
      </w:r>
      <w:r w:rsidR="0093274E" w:rsidRPr="002C149E">
        <w:rPr>
          <w:rFonts w:ascii="Times New Roman" w:hAnsi="Times New Roman" w:cs="Times New Roman"/>
          <w:sz w:val="24"/>
          <w:szCs w:val="24"/>
        </w:rPr>
        <w:t>roles in the absence of PCS</w:t>
      </w:r>
      <w:r w:rsidR="005E495C" w:rsidRPr="002C149E">
        <w:rPr>
          <w:rFonts w:ascii="Times New Roman" w:hAnsi="Times New Roman" w:cs="Times New Roman"/>
          <w:sz w:val="24"/>
          <w:szCs w:val="24"/>
        </w:rPr>
        <w:t xml:space="preserve"> involvement</w:t>
      </w:r>
      <w:r w:rsidR="00273426" w:rsidRPr="002C149E">
        <w:rPr>
          <w:rFonts w:ascii="Times New Roman" w:hAnsi="Times New Roman" w:cs="Times New Roman"/>
          <w:sz w:val="24"/>
          <w:szCs w:val="24"/>
        </w:rPr>
        <w:t xml:space="preserve">, </w:t>
      </w:r>
      <w:r w:rsidR="00AF506A" w:rsidRPr="002C149E">
        <w:rPr>
          <w:rFonts w:ascii="Times New Roman" w:hAnsi="Times New Roman" w:cs="Times New Roman"/>
          <w:sz w:val="24"/>
          <w:szCs w:val="24"/>
        </w:rPr>
        <w:t xml:space="preserve">and </w:t>
      </w:r>
      <w:r w:rsidR="005E495C" w:rsidRPr="002C149E">
        <w:rPr>
          <w:rFonts w:ascii="Times New Roman" w:hAnsi="Times New Roman" w:cs="Times New Roman"/>
          <w:sz w:val="24"/>
          <w:szCs w:val="24"/>
        </w:rPr>
        <w:t>whether</w:t>
      </w:r>
      <w:r w:rsidR="0093274E" w:rsidRPr="002C149E">
        <w:rPr>
          <w:rFonts w:ascii="Times New Roman" w:hAnsi="Times New Roman" w:cs="Times New Roman"/>
          <w:sz w:val="24"/>
          <w:szCs w:val="24"/>
        </w:rPr>
        <w:t xml:space="preserve"> PCS</w:t>
      </w:r>
      <w:r w:rsidR="005E495C" w:rsidRPr="002C149E">
        <w:rPr>
          <w:rFonts w:ascii="Times New Roman" w:hAnsi="Times New Roman" w:cs="Times New Roman"/>
          <w:sz w:val="24"/>
          <w:szCs w:val="24"/>
        </w:rPr>
        <w:t xml:space="preserve"> are</w:t>
      </w:r>
      <w:r w:rsidR="00AF506A" w:rsidRPr="002C149E">
        <w:rPr>
          <w:rFonts w:ascii="Times New Roman" w:hAnsi="Times New Roman" w:cs="Times New Roman"/>
          <w:sz w:val="24"/>
          <w:szCs w:val="24"/>
        </w:rPr>
        <w:t xml:space="preserve"> appropriately targeting limited resources.</w:t>
      </w:r>
    </w:p>
    <w:p w:rsidR="001312F1" w:rsidRPr="002C149E" w:rsidRDefault="001312F1" w:rsidP="00802DF8">
      <w:pPr>
        <w:jc w:val="both"/>
        <w:rPr>
          <w:rFonts w:ascii="Times New Roman" w:hAnsi="Times New Roman" w:cs="Times New Roman"/>
          <w:b/>
          <w:sz w:val="24"/>
          <w:szCs w:val="24"/>
        </w:rPr>
      </w:pPr>
      <w:r w:rsidRPr="002C149E">
        <w:rPr>
          <w:rFonts w:ascii="Times New Roman" w:hAnsi="Times New Roman" w:cs="Times New Roman"/>
          <w:b/>
          <w:sz w:val="24"/>
          <w:szCs w:val="24"/>
        </w:rPr>
        <w:t>Limitations</w:t>
      </w:r>
    </w:p>
    <w:p w:rsidR="00E32FAC" w:rsidRPr="002C149E" w:rsidRDefault="001312F1" w:rsidP="00802DF8">
      <w:pPr>
        <w:jc w:val="both"/>
        <w:rPr>
          <w:rFonts w:ascii="Times New Roman" w:hAnsi="Times New Roman" w:cs="Times New Roman"/>
          <w:sz w:val="24"/>
          <w:szCs w:val="24"/>
        </w:rPr>
      </w:pPr>
      <w:r w:rsidRPr="002C149E">
        <w:rPr>
          <w:rFonts w:ascii="Times New Roman" w:hAnsi="Times New Roman" w:cs="Times New Roman"/>
          <w:sz w:val="24"/>
          <w:szCs w:val="24"/>
        </w:rPr>
        <w:t xml:space="preserve">The </w:t>
      </w:r>
      <w:r w:rsidR="00F822F7">
        <w:rPr>
          <w:rFonts w:ascii="Times New Roman" w:hAnsi="Times New Roman" w:cs="Times New Roman"/>
          <w:sz w:val="24"/>
          <w:szCs w:val="24"/>
        </w:rPr>
        <w:t>SA</w:t>
      </w:r>
      <w:r w:rsidRPr="002C149E">
        <w:rPr>
          <w:rFonts w:ascii="Times New Roman" w:hAnsi="Times New Roman" w:cs="Times New Roman"/>
          <w:sz w:val="24"/>
          <w:szCs w:val="24"/>
        </w:rPr>
        <w:t xml:space="preserve">HOS takes </w:t>
      </w:r>
      <w:r w:rsidR="000C6A94" w:rsidRPr="002C149E">
        <w:rPr>
          <w:rFonts w:ascii="Times New Roman" w:hAnsi="Times New Roman" w:cs="Times New Roman"/>
          <w:sz w:val="24"/>
          <w:szCs w:val="24"/>
        </w:rPr>
        <w:t xml:space="preserve">the form of a retrospective, </w:t>
      </w:r>
      <w:r w:rsidR="00962FD3" w:rsidRPr="002C149E">
        <w:rPr>
          <w:rFonts w:ascii="Times New Roman" w:hAnsi="Times New Roman" w:cs="Times New Roman"/>
          <w:sz w:val="24"/>
          <w:szCs w:val="24"/>
        </w:rPr>
        <w:t>structured interview</w:t>
      </w:r>
      <w:r w:rsidR="009950FF" w:rsidRPr="002C149E">
        <w:rPr>
          <w:rFonts w:ascii="Times New Roman" w:hAnsi="Times New Roman" w:cs="Times New Roman"/>
          <w:sz w:val="24"/>
          <w:szCs w:val="24"/>
        </w:rPr>
        <w:t>.</w:t>
      </w:r>
      <w:r w:rsidR="00962FD3" w:rsidRPr="002C149E">
        <w:rPr>
          <w:rFonts w:ascii="Times New Roman" w:hAnsi="Times New Roman" w:cs="Times New Roman"/>
          <w:sz w:val="24"/>
          <w:szCs w:val="24"/>
        </w:rPr>
        <w:t xml:space="preserve"> </w:t>
      </w:r>
      <w:r w:rsidR="00E32FAC" w:rsidRPr="002C149E">
        <w:rPr>
          <w:rFonts w:ascii="Times New Roman" w:hAnsi="Times New Roman" w:cs="Times New Roman"/>
          <w:sz w:val="24"/>
          <w:szCs w:val="24"/>
        </w:rPr>
        <w:t xml:space="preserve">No data </w:t>
      </w:r>
      <w:r w:rsidR="00B50499" w:rsidRPr="002C149E">
        <w:rPr>
          <w:rFonts w:ascii="Times New Roman" w:hAnsi="Times New Roman" w:cs="Times New Roman"/>
          <w:sz w:val="24"/>
          <w:szCs w:val="24"/>
        </w:rPr>
        <w:t>are</w:t>
      </w:r>
      <w:r w:rsidR="00E32FAC" w:rsidRPr="002C149E">
        <w:rPr>
          <w:rFonts w:ascii="Times New Roman" w:hAnsi="Times New Roman" w:cs="Times New Roman"/>
          <w:sz w:val="24"/>
          <w:szCs w:val="24"/>
        </w:rPr>
        <w:t xml:space="preserve"> collected from communities of under 1000 people and there is likely to be under-representation of Aboriginal and Torres Strait Islanders and those from a non-English speaking background</w:t>
      </w:r>
      <w:r w:rsidR="000F2E17" w:rsidRPr="002C149E">
        <w:rPr>
          <w:rFonts w:ascii="Times New Roman" w:hAnsi="Times New Roman" w:cs="Times New Roman"/>
          <w:sz w:val="24"/>
          <w:szCs w:val="24"/>
        </w:rPr>
        <w:t>,</w:t>
      </w:r>
      <w:r w:rsidR="00B50499" w:rsidRPr="002C149E">
        <w:rPr>
          <w:rFonts w:ascii="Times New Roman" w:hAnsi="Times New Roman" w:cs="Times New Roman"/>
          <w:sz w:val="24"/>
          <w:szCs w:val="24"/>
        </w:rPr>
        <w:t xml:space="preserve"> although data are weighted to population norms to minimise the impact of this</w:t>
      </w:r>
      <w:r w:rsidR="00E32FAC" w:rsidRPr="002C149E">
        <w:rPr>
          <w:rFonts w:ascii="Times New Roman" w:hAnsi="Times New Roman" w:cs="Times New Roman"/>
          <w:sz w:val="24"/>
          <w:szCs w:val="24"/>
        </w:rPr>
        <w:t xml:space="preserve">. </w:t>
      </w:r>
      <w:r w:rsidR="009974E2" w:rsidRPr="002C149E">
        <w:rPr>
          <w:rFonts w:ascii="Times New Roman" w:hAnsi="Times New Roman" w:cs="Times New Roman"/>
          <w:sz w:val="24"/>
          <w:szCs w:val="24"/>
        </w:rPr>
        <w:t>There may be under-representation of those who experience poor bereavement outcomes, as this group have been shown to avoid involvement in resea</w:t>
      </w:r>
      <w:r w:rsidR="0046596A" w:rsidRPr="002C149E">
        <w:rPr>
          <w:rFonts w:ascii="Times New Roman" w:hAnsi="Times New Roman" w:cs="Times New Roman"/>
          <w:sz w:val="24"/>
          <w:szCs w:val="24"/>
        </w:rPr>
        <w:t xml:space="preserve">rch in </w:t>
      </w:r>
      <w:r w:rsidR="00887B0D" w:rsidRPr="002C149E">
        <w:rPr>
          <w:rFonts w:ascii="Times New Roman" w:hAnsi="Times New Roman" w:cs="Times New Roman"/>
          <w:sz w:val="24"/>
          <w:szCs w:val="24"/>
        </w:rPr>
        <w:t>other setting</w:t>
      </w:r>
      <w:r w:rsidR="00F1713E" w:rsidRPr="002C149E">
        <w:rPr>
          <w:rFonts w:ascii="Times New Roman" w:hAnsi="Times New Roman" w:cs="Times New Roman"/>
          <w:sz w:val="24"/>
          <w:szCs w:val="24"/>
        </w:rPr>
        <w:t>s (70</w:t>
      </w:r>
      <w:r w:rsidR="0046596A" w:rsidRPr="002C149E">
        <w:rPr>
          <w:rFonts w:ascii="Times New Roman" w:hAnsi="Times New Roman" w:cs="Times New Roman"/>
          <w:sz w:val="24"/>
          <w:szCs w:val="24"/>
        </w:rPr>
        <w:t>)</w:t>
      </w:r>
      <w:r w:rsidR="00887B0D" w:rsidRPr="002C149E">
        <w:rPr>
          <w:rFonts w:ascii="Times New Roman" w:hAnsi="Times New Roman" w:cs="Times New Roman"/>
          <w:sz w:val="24"/>
          <w:szCs w:val="24"/>
        </w:rPr>
        <w:t xml:space="preserve">. Additionally, </w:t>
      </w:r>
      <w:r w:rsidR="003B1F6B" w:rsidRPr="002C149E">
        <w:rPr>
          <w:rFonts w:ascii="Times New Roman" w:hAnsi="Times New Roman" w:cs="Times New Roman"/>
          <w:sz w:val="24"/>
          <w:szCs w:val="24"/>
        </w:rPr>
        <w:t xml:space="preserve">those who transitioned to </w:t>
      </w:r>
      <w:r w:rsidR="005211C4" w:rsidRPr="002C149E">
        <w:rPr>
          <w:rFonts w:ascii="Times New Roman" w:hAnsi="Times New Roman" w:cs="Times New Roman"/>
          <w:sz w:val="24"/>
          <w:szCs w:val="24"/>
        </w:rPr>
        <w:t xml:space="preserve">residential aged care facilities (RACF) </w:t>
      </w:r>
      <w:r w:rsidR="003B1F6B" w:rsidRPr="002C149E">
        <w:rPr>
          <w:rFonts w:ascii="Times New Roman" w:hAnsi="Times New Roman" w:cs="Times New Roman"/>
          <w:sz w:val="24"/>
          <w:szCs w:val="24"/>
        </w:rPr>
        <w:t>after the caring role ended are not represented here as RACFs were not surveyed.</w:t>
      </w:r>
    </w:p>
    <w:p w:rsidR="008E43AF" w:rsidRDefault="00962FD3" w:rsidP="00802DF8">
      <w:pPr>
        <w:jc w:val="both"/>
        <w:rPr>
          <w:rFonts w:ascii="Times New Roman" w:hAnsi="Times New Roman" w:cs="Times New Roman"/>
          <w:sz w:val="24"/>
          <w:szCs w:val="24"/>
        </w:rPr>
      </w:pPr>
      <w:r w:rsidRPr="002C149E">
        <w:rPr>
          <w:rFonts w:ascii="Times New Roman" w:hAnsi="Times New Roman" w:cs="Times New Roman"/>
          <w:sz w:val="24"/>
          <w:szCs w:val="24"/>
        </w:rPr>
        <w:t>All respondents completed the survey in the post-</w:t>
      </w:r>
      <w:r w:rsidR="00C353F0" w:rsidRPr="002C149E">
        <w:rPr>
          <w:rFonts w:ascii="Times New Roman" w:hAnsi="Times New Roman" w:cs="Times New Roman"/>
          <w:sz w:val="24"/>
          <w:szCs w:val="24"/>
        </w:rPr>
        <w:t>loss</w:t>
      </w:r>
      <w:r w:rsidRPr="002C149E">
        <w:rPr>
          <w:rFonts w:ascii="Times New Roman" w:hAnsi="Times New Roman" w:cs="Times New Roman"/>
          <w:sz w:val="24"/>
          <w:szCs w:val="24"/>
        </w:rPr>
        <w:t xml:space="preserve"> period</w:t>
      </w:r>
      <w:r w:rsidR="000F6AE1" w:rsidRPr="002C149E">
        <w:rPr>
          <w:rFonts w:ascii="Times New Roman" w:hAnsi="Times New Roman" w:cs="Times New Roman"/>
          <w:sz w:val="24"/>
          <w:szCs w:val="24"/>
        </w:rPr>
        <w:t xml:space="preserve"> </w:t>
      </w:r>
      <w:r w:rsidR="00E91BB1" w:rsidRPr="002C149E">
        <w:rPr>
          <w:rFonts w:ascii="Times New Roman" w:hAnsi="Times New Roman" w:cs="Times New Roman"/>
          <w:sz w:val="24"/>
          <w:szCs w:val="24"/>
        </w:rPr>
        <w:t xml:space="preserve">and </w:t>
      </w:r>
      <w:r w:rsidR="000F6AE1" w:rsidRPr="002C149E">
        <w:rPr>
          <w:rFonts w:ascii="Times New Roman" w:hAnsi="Times New Roman" w:cs="Times New Roman"/>
          <w:sz w:val="24"/>
          <w:szCs w:val="24"/>
        </w:rPr>
        <w:t xml:space="preserve">at a single </w:t>
      </w:r>
      <w:r w:rsidR="00AA6773" w:rsidRPr="002C149E">
        <w:rPr>
          <w:rFonts w:ascii="Times New Roman" w:hAnsi="Times New Roman" w:cs="Times New Roman"/>
          <w:sz w:val="24"/>
          <w:szCs w:val="24"/>
        </w:rPr>
        <w:t>time-</w:t>
      </w:r>
      <w:r w:rsidR="000F6AE1" w:rsidRPr="002C149E">
        <w:rPr>
          <w:rFonts w:ascii="Times New Roman" w:hAnsi="Times New Roman" w:cs="Times New Roman"/>
          <w:sz w:val="24"/>
          <w:szCs w:val="24"/>
        </w:rPr>
        <w:t>point</w:t>
      </w:r>
      <w:r w:rsidRPr="002C149E">
        <w:rPr>
          <w:rFonts w:ascii="Times New Roman" w:hAnsi="Times New Roman" w:cs="Times New Roman"/>
          <w:sz w:val="24"/>
          <w:szCs w:val="24"/>
        </w:rPr>
        <w:t xml:space="preserve">. Information such as baseline caregiver psychopathology </w:t>
      </w:r>
      <w:r w:rsidR="00AA6773" w:rsidRPr="002C149E">
        <w:rPr>
          <w:rFonts w:ascii="Times New Roman" w:hAnsi="Times New Roman" w:cs="Times New Roman"/>
          <w:sz w:val="24"/>
          <w:szCs w:val="24"/>
        </w:rPr>
        <w:t>was not</w:t>
      </w:r>
      <w:r w:rsidR="000D5FE7">
        <w:rPr>
          <w:rFonts w:ascii="Times New Roman" w:hAnsi="Times New Roman" w:cs="Times New Roman"/>
          <w:sz w:val="24"/>
          <w:szCs w:val="24"/>
        </w:rPr>
        <w:t xml:space="preserve"> </w:t>
      </w:r>
      <w:r w:rsidRPr="002C149E">
        <w:rPr>
          <w:rFonts w:ascii="Times New Roman" w:hAnsi="Times New Roman" w:cs="Times New Roman"/>
          <w:sz w:val="24"/>
          <w:szCs w:val="24"/>
        </w:rPr>
        <w:t>gathered. Responses were recorded categorically</w:t>
      </w:r>
      <w:r w:rsidR="000F6AE1" w:rsidRPr="002C149E">
        <w:rPr>
          <w:rFonts w:ascii="Times New Roman" w:hAnsi="Times New Roman" w:cs="Times New Roman"/>
          <w:sz w:val="24"/>
          <w:szCs w:val="24"/>
        </w:rPr>
        <w:t xml:space="preserve"> and there was no capacity to record additional details or contextual factors. </w:t>
      </w:r>
      <w:r w:rsidR="009974E2" w:rsidRPr="002C149E">
        <w:rPr>
          <w:rFonts w:ascii="Times New Roman" w:hAnsi="Times New Roman" w:cs="Times New Roman"/>
          <w:sz w:val="24"/>
          <w:szCs w:val="24"/>
        </w:rPr>
        <w:t xml:space="preserve">We do not </w:t>
      </w:r>
      <w:r w:rsidR="005F0542" w:rsidRPr="002C149E">
        <w:rPr>
          <w:rFonts w:ascii="Times New Roman" w:hAnsi="Times New Roman" w:cs="Times New Roman"/>
          <w:sz w:val="24"/>
          <w:szCs w:val="24"/>
        </w:rPr>
        <w:t xml:space="preserve">have a nuanced understanding of the respondents’ caregiving experiences, the social networks that supported them </w:t>
      </w:r>
      <w:proofErr w:type="gramStart"/>
      <w:r w:rsidR="00C353F0" w:rsidRPr="002C149E">
        <w:rPr>
          <w:rFonts w:ascii="Times New Roman" w:hAnsi="Times New Roman" w:cs="Times New Roman"/>
          <w:sz w:val="24"/>
          <w:szCs w:val="24"/>
        </w:rPr>
        <w:t>n</w:t>
      </w:r>
      <w:r w:rsidR="005F0542" w:rsidRPr="002C149E">
        <w:rPr>
          <w:rFonts w:ascii="Times New Roman" w:hAnsi="Times New Roman" w:cs="Times New Roman"/>
          <w:sz w:val="24"/>
          <w:szCs w:val="24"/>
        </w:rPr>
        <w:t>or</w:t>
      </w:r>
      <w:proofErr w:type="gramEnd"/>
      <w:r w:rsidR="005F0542" w:rsidRPr="002C149E">
        <w:rPr>
          <w:rFonts w:ascii="Times New Roman" w:hAnsi="Times New Roman" w:cs="Times New Roman"/>
          <w:sz w:val="24"/>
          <w:szCs w:val="24"/>
        </w:rPr>
        <w:t xml:space="preserve"> the contribution of competing demands. </w:t>
      </w:r>
      <w:r w:rsidR="000F6AE1" w:rsidRPr="002C149E">
        <w:rPr>
          <w:rFonts w:ascii="Times New Roman" w:hAnsi="Times New Roman" w:cs="Times New Roman"/>
          <w:sz w:val="24"/>
          <w:szCs w:val="24"/>
        </w:rPr>
        <w:t>We do not know how the m</w:t>
      </w:r>
      <w:r w:rsidR="008E43AF" w:rsidRPr="002C149E">
        <w:rPr>
          <w:rFonts w:ascii="Times New Roman" w:hAnsi="Times New Roman" w:cs="Times New Roman"/>
          <w:sz w:val="24"/>
          <w:szCs w:val="24"/>
        </w:rPr>
        <w:t xml:space="preserve">ajority of respondents defined </w:t>
      </w:r>
      <w:r w:rsidR="008E43AF" w:rsidRPr="002C149E">
        <w:rPr>
          <w:rFonts w:ascii="Times New Roman" w:hAnsi="Times New Roman" w:cs="Times New Roman"/>
          <w:i/>
          <w:sz w:val="24"/>
          <w:szCs w:val="24"/>
        </w:rPr>
        <w:t>moving on</w:t>
      </w:r>
      <w:r w:rsidR="000F6AE1" w:rsidRPr="002C149E">
        <w:rPr>
          <w:rFonts w:ascii="Times New Roman" w:hAnsi="Times New Roman" w:cs="Times New Roman"/>
          <w:sz w:val="24"/>
          <w:szCs w:val="24"/>
        </w:rPr>
        <w:t xml:space="preserve"> and</w:t>
      </w:r>
      <w:r w:rsidR="00024E1B" w:rsidRPr="002C149E">
        <w:rPr>
          <w:rFonts w:ascii="Times New Roman" w:hAnsi="Times New Roman" w:cs="Times New Roman"/>
          <w:sz w:val="24"/>
          <w:szCs w:val="24"/>
        </w:rPr>
        <w:t xml:space="preserve"> </w:t>
      </w:r>
      <w:r w:rsidR="000F6AE1" w:rsidRPr="002C149E">
        <w:rPr>
          <w:rFonts w:ascii="Times New Roman" w:hAnsi="Times New Roman" w:cs="Times New Roman"/>
          <w:sz w:val="24"/>
          <w:szCs w:val="24"/>
        </w:rPr>
        <w:t>cannot</w:t>
      </w:r>
      <w:r w:rsidR="00024E1B" w:rsidRPr="002C149E">
        <w:rPr>
          <w:rFonts w:ascii="Times New Roman" w:hAnsi="Times New Roman" w:cs="Times New Roman"/>
          <w:sz w:val="24"/>
          <w:szCs w:val="24"/>
        </w:rPr>
        <w:t xml:space="preserve"> </w:t>
      </w:r>
      <w:r w:rsidR="000F6AE1" w:rsidRPr="002C149E">
        <w:rPr>
          <w:rFonts w:ascii="Times New Roman" w:hAnsi="Times New Roman" w:cs="Times New Roman"/>
          <w:sz w:val="24"/>
          <w:szCs w:val="24"/>
        </w:rPr>
        <w:t xml:space="preserve">predict how the question was interpreted by those from a </w:t>
      </w:r>
      <w:r w:rsidR="00B50499" w:rsidRPr="002C149E">
        <w:rPr>
          <w:rFonts w:ascii="Times New Roman" w:hAnsi="Times New Roman" w:cs="Times New Roman"/>
          <w:sz w:val="24"/>
          <w:szCs w:val="24"/>
        </w:rPr>
        <w:t>n</w:t>
      </w:r>
      <w:r w:rsidR="000F6AE1" w:rsidRPr="002C149E">
        <w:rPr>
          <w:rFonts w:ascii="Times New Roman" w:hAnsi="Times New Roman" w:cs="Times New Roman"/>
          <w:sz w:val="24"/>
          <w:szCs w:val="24"/>
        </w:rPr>
        <w:t>on</w:t>
      </w:r>
      <w:r w:rsidR="00B50499" w:rsidRPr="002C149E">
        <w:rPr>
          <w:rFonts w:ascii="Times New Roman" w:hAnsi="Times New Roman" w:cs="Times New Roman"/>
          <w:sz w:val="24"/>
          <w:szCs w:val="24"/>
        </w:rPr>
        <w:t>-</w:t>
      </w:r>
      <w:r w:rsidR="000F6AE1" w:rsidRPr="002C149E">
        <w:rPr>
          <w:rFonts w:ascii="Times New Roman" w:hAnsi="Times New Roman" w:cs="Times New Roman"/>
          <w:sz w:val="24"/>
          <w:szCs w:val="24"/>
        </w:rPr>
        <w:t>English speaking background</w:t>
      </w:r>
      <w:r w:rsidR="000C6A94" w:rsidRPr="002C149E">
        <w:rPr>
          <w:rFonts w:ascii="Times New Roman" w:hAnsi="Times New Roman" w:cs="Times New Roman"/>
          <w:sz w:val="24"/>
          <w:szCs w:val="24"/>
        </w:rPr>
        <w:t xml:space="preserve"> in particular</w:t>
      </w:r>
      <w:r w:rsidR="000F6AE1" w:rsidRPr="002C149E">
        <w:rPr>
          <w:rFonts w:ascii="Times New Roman" w:hAnsi="Times New Roman" w:cs="Times New Roman"/>
          <w:sz w:val="24"/>
          <w:szCs w:val="24"/>
        </w:rPr>
        <w:t xml:space="preserve">. </w:t>
      </w:r>
      <w:r w:rsidR="008E43AF" w:rsidRPr="002C149E">
        <w:rPr>
          <w:rFonts w:ascii="Times New Roman" w:hAnsi="Times New Roman" w:cs="Times New Roman"/>
          <w:i/>
          <w:sz w:val="24"/>
          <w:szCs w:val="24"/>
        </w:rPr>
        <w:t>Moving on</w:t>
      </w:r>
      <w:r w:rsidR="00E32FAC" w:rsidRPr="002C149E">
        <w:rPr>
          <w:rFonts w:ascii="Times New Roman" w:hAnsi="Times New Roman" w:cs="Times New Roman"/>
          <w:sz w:val="24"/>
          <w:szCs w:val="24"/>
        </w:rPr>
        <w:t xml:space="preserve"> </w:t>
      </w:r>
      <w:r w:rsidR="00A54999" w:rsidRPr="002C149E">
        <w:rPr>
          <w:rFonts w:ascii="Times New Roman" w:hAnsi="Times New Roman" w:cs="Times New Roman"/>
          <w:sz w:val="24"/>
          <w:szCs w:val="24"/>
        </w:rPr>
        <w:t xml:space="preserve">is </w:t>
      </w:r>
      <w:r w:rsidR="00E32FAC" w:rsidRPr="002C149E">
        <w:rPr>
          <w:rFonts w:ascii="Times New Roman" w:hAnsi="Times New Roman" w:cs="Times New Roman"/>
          <w:sz w:val="24"/>
          <w:szCs w:val="24"/>
        </w:rPr>
        <w:t xml:space="preserve">a highly </w:t>
      </w:r>
      <w:r w:rsidR="005F0542" w:rsidRPr="002C149E">
        <w:rPr>
          <w:rFonts w:ascii="Times New Roman" w:hAnsi="Times New Roman" w:cs="Times New Roman"/>
          <w:sz w:val="24"/>
          <w:szCs w:val="24"/>
        </w:rPr>
        <w:t>flexible</w:t>
      </w:r>
      <w:r w:rsidR="00E32FAC" w:rsidRPr="002C149E">
        <w:rPr>
          <w:rFonts w:ascii="Times New Roman" w:hAnsi="Times New Roman" w:cs="Times New Roman"/>
          <w:sz w:val="24"/>
          <w:szCs w:val="24"/>
        </w:rPr>
        <w:t xml:space="preserve"> and accessible metaphor</w:t>
      </w:r>
      <w:r w:rsidR="00144E1F" w:rsidRPr="002C149E">
        <w:rPr>
          <w:rFonts w:ascii="Times New Roman" w:hAnsi="Times New Roman" w:cs="Times New Roman"/>
          <w:sz w:val="24"/>
          <w:szCs w:val="24"/>
        </w:rPr>
        <w:t xml:space="preserve"> and its relevance to bereavement ou</w:t>
      </w:r>
      <w:r w:rsidR="00F1713E" w:rsidRPr="002C149E">
        <w:rPr>
          <w:rFonts w:ascii="Times New Roman" w:hAnsi="Times New Roman" w:cs="Times New Roman"/>
          <w:sz w:val="24"/>
          <w:szCs w:val="24"/>
        </w:rPr>
        <w:t>tcomes has been established (30</w:t>
      </w:r>
      <w:proofErr w:type="gramStart"/>
      <w:r w:rsidR="00F1713E" w:rsidRPr="002C149E">
        <w:rPr>
          <w:rFonts w:ascii="Times New Roman" w:hAnsi="Times New Roman" w:cs="Times New Roman"/>
          <w:sz w:val="24"/>
          <w:szCs w:val="24"/>
        </w:rPr>
        <w:t>,</w:t>
      </w:r>
      <w:r w:rsidR="000D5FE7">
        <w:rPr>
          <w:rFonts w:ascii="Times New Roman" w:hAnsi="Times New Roman" w:cs="Times New Roman"/>
          <w:sz w:val="24"/>
          <w:szCs w:val="24"/>
        </w:rPr>
        <w:t>42</w:t>
      </w:r>
      <w:proofErr w:type="gramEnd"/>
      <w:r w:rsidR="003D4C85" w:rsidRPr="002C149E">
        <w:rPr>
          <w:rFonts w:ascii="Times New Roman" w:hAnsi="Times New Roman" w:cs="Times New Roman"/>
          <w:sz w:val="24"/>
          <w:szCs w:val="24"/>
        </w:rPr>
        <w:t>)</w:t>
      </w:r>
      <w:r w:rsidR="00144E1F" w:rsidRPr="002C149E">
        <w:rPr>
          <w:rFonts w:ascii="Times New Roman" w:hAnsi="Times New Roman" w:cs="Times New Roman"/>
          <w:sz w:val="24"/>
          <w:szCs w:val="24"/>
        </w:rPr>
        <w:t xml:space="preserve"> - </w:t>
      </w:r>
      <w:r w:rsidR="00E32FAC" w:rsidRPr="002C149E">
        <w:rPr>
          <w:rFonts w:ascii="Times New Roman" w:hAnsi="Times New Roman" w:cs="Times New Roman"/>
          <w:sz w:val="24"/>
          <w:szCs w:val="24"/>
        </w:rPr>
        <w:t>yet it may not fit well with everyone’s subjective experience of grief</w:t>
      </w:r>
      <w:r w:rsidR="008E43AF" w:rsidRPr="002C149E">
        <w:rPr>
          <w:rFonts w:ascii="Times New Roman" w:hAnsi="Times New Roman" w:cs="Times New Roman"/>
          <w:sz w:val="24"/>
          <w:szCs w:val="24"/>
        </w:rPr>
        <w:t xml:space="preserve">. </w:t>
      </w:r>
    </w:p>
    <w:p w:rsidR="00B677A8" w:rsidRDefault="00B677A8" w:rsidP="00802DF8">
      <w:pPr>
        <w:jc w:val="both"/>
        <w:rPr>
          <w:rFonts w:ascii="Times New Roman" w:hAnsi="Times New Roman" w:cs="Times New Roman"/>
          <w:sz w:val="24"/>
          <w:szCs w:val="24"/>
        </w:rPr>
      </w:pPr>
    </w:p>
    <w:p w:rsidR="00B677A8" w:rsidRPr="002C149E" w:rsidRDefault="00B677A8" w:rsidP="00802DF8">
      <w:pPr>
        <w:jc w:val="both"/>
        <w:rPr>
          <w:rFonts w:ascii="Times New Roman" w:hAnsi="Times New Roman" w:cs="Times New Roman"/>
          <w:sz w:val="24"/>
          <w:szCs w:val="24"/>
        </w:rPr>
      </w:pPr>
    </w:p>
    <w:p w:rsidR="00144E1F" w:rsidRPr="002C149E" w:rsidRDefault="009139D1" w:rsidP="00802DF8">
      <w:pPr>
        <w:jc w:val="both"/>
        <w:rPr>
          <w:rFonts w:ascii="Times New Roman" w:hAnsi="Times New Roman" w:cs="Times New Roman"/>
          <w:b/>
          <w:sz w:val="24"/>
          <w:szCs w:val="24"/>
          <w:u w:val="single"/>
        </w:rPr>
      </w:pPr>
      <w:r w:rsidRPr="002C149E">
        <w:rPr>
          <w:rFonts w:ascii="Times New Roman" w:hAnsi="Times New Roman" w:cs="Times New Roman"/>
          <w:b/>
          <w:sz w:val="24"/>
          <w:szCs w:val="24"/>
          <w:u w:val="single"/>
        </w:rPr>
        <w:t>Conclusions</w:t>
      </w:r>
    </w:p>
    <w:p w:rsidR="002C149E" w:rsidRPr="002C149E" w:rsidRDefault="00144E1F" w:rsidP="00802DF8">
      <w:pPr>
        <w:jc w:val="both"/>
        <w:rPr>
          <w:rFonts w:ascii="Times New Roman" w:hAnsi="Times New Roman" w:cs="Times New Roman"/>
          <w:sz w:val="24"/>
          <w:szCs w:val="24"/>
        </w:rPr>
      </w:pPr>
      <w:r w:rsidRPr="002C149E">
        <w:rPr>
          <w:rFonts w:ascii="Times New Roman" w:hAnsi="Times New Roman" w:cs="Times New Roman"/>
          <w:sz w:val="24"/>
          <w:szCs w:val="24"/>
        </w:rPr>
        <w:t xml:space="preserve">For ongoing reliance on informal caregivers to be sustained, it is essential that we improve our understanding of the impact of caregiving on bereavement outcomes. </w:t>
      </w:r>
      <w:r w:rsidR="009E3627" w:rsidRPr="002C149E">
        <w:rPr>
          <w:rFonts w:ascii="Times New Roman" w:hAnsi="Times New Roman" w:cs="Times New Roman"/>
          <w:sz w:val="24"/>
          <w:szCs w:val="24"/>
        </w:rPr>
        <w:t xml:space="preserve">Defining the </w:t>
      </w:r>
      <w:r w:rsidR="009E3627" w:rsidRPr="002C149E">
        <w:rPr>
          <w:rFonts w:ascii="Times New Roman" w:hAnsi="Times New Roman" w:cs="Times New Roman"/>
          <w:sz w:val="24"/>
          <w:szCs w:val="24"/>
        </w:rPr>
        <w:lastRenderedPageBreak/>
        <w:t xml:space="preserve">characteristics of those caregivers who follow an adaptive post-bereavement pathway and those who do not is fundamental to effective resource allocation. </w:t>
      </w:r>
      <w:r w:rsidR="00310C18" w:rsidRPr="002C149E">
        <w:rPr>
          <w:rFonts w:ascii="Times New Roman" w:hAnsi="Times New Roman" w:cs="Times New Roman"/>
          <w:sz w:val="24"/>
          <w:szCs w:val="24"/>
        </w:rPr>
        <w:t>This</w:t>
      </w:r>
      <w:r w:rsidR="00B50499" w:rsidRPr="002C149E">
        <w:rPr>
          <w:rFonts w:ascii="Times New Roman" w:hAnsi="Times New Roman" w:cs="Times New Roman"/>
          <w:sz w:val="24"/>
          <w:szCs w:val="24"/>
        </w:rPr>
        <w:t xml:space="preserve"> study highlights t</w:t>
      </w:r>
      <w:r w:rsidR="00310C18" w:rsidRPr="002C149E">
        <w:rPr>
          <w:rFonts w:ascii="Times New Roman" w:hAnsi="Times New Roman" w:cs="Times New Roman"/>
          <w:sz w:val="24"/>
          <w:szCs w:val="24"/>
        </w:rPr>
        <w:t>he challenges of the extended</w:t>
      </w:r>
      <w:r w:rsidR="00B50499" w:rsidRPr="002C149E">
        <w:rPr>
          <w:rFonts w:ascii="Times New Roman" w:hAnsi="Times New Roman" w:cs="Times New Roman"/>
          <w:sz w:val="24"/>
          <w:szCs w:val="24"/>
        </w:rPr>
        <w:t xml:space="preserve"> time</w:t>
      </w:r>
      <w:r w:rsidR="00310C18" w:rsidRPr="002C149E">
        <w:rPr>
          <w:rFonts w:ascii="Times New Roman" w:hAnsi="Times New Roman" w:cs="Times New Roman"/>
          <w:sz w:val="24"/>
          <w:szCs w:val="24"/>
        </w:rPr>
        <w:t>-</w:t>
      </w:r>
      <w:r w:rsidR="00B50499" w:rsidRPr="002C149E">
        <w:rPr>
          <w:rFonts w:ascii="Times New Roman" w:hAnsi="Times New Roman" w:cs="Times New Roman"/>
          <w:sz w:val="24"/>
          <w:szCs w:val="24"/>
        </w:rPr>
        <w:t>frames during which people experience prolonged gri</w:t>
      </w:r>
      <w:r w:rsidR="008E43AF" w:rsidRPr="002C149E">
        <w:rPr>
          <w:rFonts w:ascii="Times New Roman" w:hAnsi="Times New Roman" w:cs="Times New Roman"/>
          <w:sz w:val="24"/>
          <w:szCs w:val="24"/>
        </w:rPr>
        <w:t>ef, and the limitations of current systems in recognising</w:t>
      </w:r>
      <w:r w:rsidR="00957594" w:rsidRPr="002C149E">
        <w:rPr>
          <w:rFonts w:ascii="Times New Roman" w:hAnsi="Times New Roman" w:cs="Times New Roman"/>
          <w:sz w:val="24"/>
          <w:szCs w:val="24"/>
        </w:rPr>
        <w:t xml:space="preserve"> such grief</w:t>
      </w:r>
      <w:r w:rsidR="002A2151" w:rsidRPr="002C149E">
        <w:rPr>
          <w:rFonts w:ascii="Times New Roman" w:hAnsi="Times New Roman" w:cs="Times New Roman"/>
          <w:sz w:val="24"/>
          <w:szCs w:val="24"/>
        </w:rPr>
        <w:t xml:space="preserve">. </w:t>
      </w:r>
      <w:r w:rsidR="00310C18" w:rsidRPr="002C149E">
        <w:rPr>
          <w:rFonts w:ascii="Times New Roman" w:hAnsi="Times New Roman" w:cs="Times New Roman"/>
          <w:sz w:val="24"/>
          <w:szCs w:val="24"/>
        </w:rPr>
        <w:t xml:space="preserve">In better defining this group’s characteristics, we are provided </w:t>
      </w:r>
      <w:r w:rsidR="003F7659" w:rsidRPr="002C149E">
        <w:rPr>
          <w:rFonts w:ascii="Times New Roman" w:hAnsi="Times New Roman" w:cs="Times New Roman"/>
          <w:sz w:val="24"/>
          <w:szCs w:val="24"/>
        </w:rPr>
        <w:t>with</w:t>
      </w:r>
      <w:r w:rsidR="009E3627" w:rsidRPr="002C149E">
        <w:rPr>
          <w:rFonts w:ascii="Times New Roman" w:hAnsi="Times New Roman" w:cs="Times New Roman"/>
          <w:sz w:val="24"/>
          <w:szCs w:val="24"/>
        </w:rPr>
        <w:t xml:space="preserve"> an opportunity to intervene in prolonged and intense suffering in people who have contributed </w:t>
      </w:r>
      <w:r w:rsidR="005150D4" w:rsidRPr="002C149E">
        <w:rPr>
          <w:rFonts w:ascii="Times New Roman" w:hAnsi="Times New Roman" w:cs="Times New Roman"/>
          <w:sz w:val="24"/>
          <w:szCs w:val="24"/>
        </w:rPr>
        <w:t xml:space="preserve">immensely to </w:t>
      </w:r>
      <w:r w:rsidR="003F7659" w:rsidRPr="002C149E">
        <w:rPr>
          <w:rFonts w:ascii="Times New Roman" w:hAnsi="Times New Roman" w:cs="Times New Roman"/>
          <w:sz w:val="24"/>
          <w:szCs w:val="24"/>
        </w:rPr>
        <w:t xml:space="preserve">wider </w:t>
      </w:r>
      <w:r w:rsidR="005150D4" w:rsidRPr="002C149E">
        <w:rPr>
          <w:rFonts w:ascii="Times New Roman" w:hAnsi="Times New Roman" w:cs="Times New Roman"/>
          <w:sz w:val="24"/>
          <w:szCs w:val="24"/>
        </w:rPr>
        <w:t xml:space="preserve">health and </w:t>
      </w:r>
      <w:r w:rsidR="003F7659" w:rsidRPr="002C149E">
        <w:rPr>
          <w:rFonts w:ascii="Times New Roman" w:hAnsi="Times New Roman" w:cs="Times New Roman"/>
          <w:sz w:val="24"/>
          <w:szCs w:val="24"/>
        </w:rPr>
        <w:t>social network</w:t>
      </w:r>
      <w:r w:rsidR="005150D4" w:rsidRPr="002C149E">
        <w:rPr>
          <w:rFonts w:ascii="Times New Roman" w:hAnsi="Times New Roman" w:cs="Times New Roman"/>
          <w:sz w:val="24"/>
          <w:szCs w:val="24"/>
        </w:rPr>
        <w:t>s</w:t>
      </w:r>
      <w:r w:rsidR="003F7659" w:rsidRPr="002C149E">
        <w:rPr>
          <w:rFonts w:ascii="Times New Roman" w:hAnsi="Times New Roman" w:cs="Times New Roman"/>
          <w:sz w:val="24"/>
          <w:szCs w:val="24"/>
        </w:rPr>
        <w:t xml:space="preserve"> through </w:t>
      </w:r>
      <w:r w:rsidR="00722C02" w:rsidRPr="002C149E">
        <w:rPr>
          <w:rFonts w:ascii="Times New Roman" w:hAnsi="Times New Roman" w:cs="Times New Roman"/>
          <w:sz w:val="24"/>
          <w:szCs w:val="24"/>
        </w:rPr>
        <w:t xml:space="preserve">their </w:t>
      </w:r>
      <w:r w:rsidR="003F7659" w:rsidRPr="002C149E">
        <w:rPr>
          <w:rFonts w:ascii="Times New Roman" w:hAnsi="Times New Roman" w:cs="Times New Roman"/>
          <w:sz w:val="24"/>
          <w:szCs w:val="24"/>
        </w:rPr>
        <w:t xml:space="preserve">care of the dying. </w:t>
      </w:r>
    </w:p>
    <w:p w:rsidR="0047777D" w:rsidRDefault="0047777D">
      <w:pPr>
        <w:rPr>
          <w:rFonts w:ascii="Times New Roman" w:hAnsi="Times New Roman" w:cs="Times New Roman"/>
          <w:sz w:val="24"/>
          <w:szCs w:val="24"/>
        </w:rPr>
      </w:pPr>
      <w:r w:rsidRPr="002C149E">
        <w:rPr>
          <w:rFonts w:ascii="Times New Roman" w:hAnsi="Times New Roman" w:cs="Times New Roman"/>
          <w:b/>
          <w:sz w:val="24"/>
          <w:szCs w:val="24"/>
        </w:rPr>
        <w:t>Declaration of Conflicting Interests</w:t>
      </w:r>
      <w:r w:rsidRPr="002C149E">
        <w:rPr>
          <w:rFonts w:ascii="Times New Roman" w:hAnsi="Times New Roman" w:cs="Times New Roman"/>
          <w:sz w:val="24"/>
          <w:szCs w:val="24"/>
        </w:rPr>
        <w:t xml:space="preserve"> – the authors declare that there is no conflict of interest</w:t>
      </w:r>
    </w:p>
    <w:p w:rsidR="00B677A8" w:rsidRPr="002C149E" w:rsidRDefault="00B677A8">
      <w:pPr>
        <w:rPr>
          <w:rFonts w:ascii="Times New Roman" w:hAnsi="Times New Roman" w:cs="Times New Roman"/>
          <w:sz w:val="24"/>
          <w:szCs w:val="24"/>
        </w:rPr>
      </w:pPr>
    </w:p>
    <w:p w:rsidR="0015206F" w:rsidRPr="002C149E" w:rsidRDefault="0015206F" w:rsidP="00DD0690">
      <w:pPr>
        <w:jc w:val="both"/>
        <w:rPr>
          <w:rFonts w:ascii="Times New Roman" w:hAnsi="Times New Roman" w:cs="Times New Roman"/>
          <w:b/>
          <w:sz w:val="24"/>
          <w:szCs w:val="24"/>
        </w:rPr>
      </w:pPr>
      <w:r w:rsidRPr="002C149E">
        <w:rPr>
          <w:rFonts w:ascii="Times New Roman" w:hAnsi="Times New Roman" w:cs="Times New Roman"/>
          <w:b/>
          <w:sz w:val="24"/>
          <w:szCs w:val="24"/>
        </w:rPr>
        <w:t>References</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1. </w:t>
      </w:r>
      <w:proofErr w:type="spellStart"/>
      <w:r w:rsidRPr="002C149E">
        <w:rPr>
          <w:rFonts w:ascii="Times New Roman" w:hAnsi="Times New Roman" w:cs="Times New Roman"/>
          <w:sz w:val="24"/>
          <w:szCs w:val="24"/>
        </w:rPr>
        <w:t>Boerner</w:t>
      </w:r>
      <w:proofErr w:type="spellEnd"/>
      <w:r w:rsidRPr="002C149E">
        <w:rPr>
          <w:rFonts w:ascii="Times New Roman" w:hAnsi="Times New Roman" w:cs="Times New Roman"/>
          <w:sz w:val="24"/>
          <w:szCs w:val="24"/>
        </w:rPr>
        <w:t xml:space="preserve"> K, Schulz R. Caregiving, bereavement and complicated grief. </w:t>
      </w:r>
      <w:r w:rsidRPr="002C149E">
        <w:rPr>
          <w:rFonts w:ascii="Times New Roman" w:hAnsi="Times New Roman" w:cs="Times New Roman"/>
          <w:i/>
          <w:sz w:val="24"/>
          <w:szCs w:val="24"/>
        </w:rPr>
        <w:t>Bereavement Care</w:t>
      </w:r>
      <w:r w:rsidRPr="002C149E">
        <w:rPr>
          <w:rFonts w:ascii="Times New Roman" w:hAnsi="Times New Roman" w:cs="Times New Roman"/>
          <w:sz w:val="24"/>
          <w:szCs w:val="24"/>
        </w:rPr>
        <w:t xml:space="preserve"> 2009; 28(3): 10-13.</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2. Breen LJ, </w:t>
      </w:r>
      <w:proofErr w:type="spellStart"/>
      <w:r w:rsidRPr="002C149E">
        <w:rPr>
          <w:rFonts w:ascii="Times New Roman" w:hAnsi="Times New Roman" w:cs="Times New Roman"/>
          <w:sz w:val="24"/>
          <w:szCs w:val="24"/>
        </w:rPr>
        <w:t>Aoun</w:t>
      </w:r>
      <w:proofErr w:type="spellEnd"/>
      <w:r w:rsidRPr="002C149E">
        <w:rPr>
          <w:rFonts w:ascii="Times New Roman" w:hAnsi="Times New Roman" w:cs="Times New Roman"/>
          <w:sz w:val="24"/>
          <w:szCs w:val="24"/>
        </w:rPr>
        <w:t xml:space="preserve"> SM, </w:t>
      </w:r>
      <w:proofErr w:type="gramStart"/>
      <w:r w:rsidRPr="002C149E">
        <w:rPr>
          <w:rFonts w:ascii="Times New Roman" w:hAnsi="Times New Roman" w:cs="Times New Roman"/>
          <w:sz w:val="24"/>
          <w:szCs w:val="24"/>
        </w:rPr>
        <w:t>O’Connor</w:t>
      </w:r>
      <w:proofErr w:type="gramEnd"/>
      <w:r w:rsidRPr="002C149E">
        <w:rPr>
          <w:rFonts w:ascii="Times New Roman" w:hAnsi="Times New Roman" w:cs="Times New Roman"/>
          <w:sz w:val="24"/>
          <w:szCs w:val="24"/>
        </w:rPr>
        <w:t xml:space="preserve"> M &amp; </w:t>
      </w:r>
      <w:proofErr w:type="spellStart"/>
      <w:r w:rsidRPr="002C149E">
        <w:rPr>
          <w:rFonts w:ascii="Times New Roman" w:hAnsi="Times New Roman" w:cs="Times New Roman"/>
          <w:sz w:val="24"/>
          <w:szCs w:val="24"/>
        </w:rPr>
        <w:t>Rumbold</w:t>
      </w:r>
      <w:proofErr w:type="spellEnd"/>
      <w:r w:rsidRPr="002C149E">
        <w:rPr>
          <w:rFonts w:ascii="Times New Roman" w:hAnsi="Times New Roman" w:cs="Times New Roman"/>
          <w:sz w:val="24"/>
          <w:szCs w:val="24"/>
        </w:rPr>
        <w:t xml:space="preserve"> B. Bridging the gaps in palliative care bereavement support: an international perspective. </w:t>
      </w:r>
      <w:r w:rsidRPr="002C149E">
        <w:rPr>
          <w:rFonts w:ascii="Times New Roman" w:hAnsi="Times New Roman" w:cs="Times New Roman"/>
          <w:i/>
          <w:sz w:val="24"/>
          <w:szCs w:val="24"/>
        </w:rPr>
        <w:t>Death Studies</w:t>
      </w:r>
      <w:r w:rsidRPr="002C149E">
        <w:rPr>
          <w:rFonts w:ascii="Times New Roman" w:hAnsi="Times New Roman" w:cs="Times New Roman"/>
          <w:sz w:val="24"/>
          <w:szCs w:val="24"/>
        </w:rPr>
        <w:t xml:space="preserve"> </w:t>
      </w:r>
      <w:proofErr w:type="gramStart"/>
      <w:r w:rsidRPr="002C149E">
        <w:rPr>
          <w:rFonts w:ascii="Times New Roman" w:hAnsi="Times New Roman" w:cs="Times New Roman"/>
          <w:sz w:val="24"/>
          <w:szCs w:val="24"/>
        </w:rPr>
        <w:t>2014 ;</w:t>
      </w:r>
      <w:proofErr w:type="gramEnd"/>
      <w:r w:rsidRPr="002C149E">
        <w:rPr>
          <w:rFonts w:ascii="Times New Roman" w:hAnsi="Times New Roman" w:cs="Times New Roman"/>
          <w:sz w:val="24"/>
          <w:szCs w:val="24"/>
        </w:rPr>
        <w:t xml:space="preserve"> 38(1-5): 54-61.</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3. </w:t>
      </w:r>
      <w:proofErr w:type="spellStart"/>
      <w:r w:rsidRPr="002C149E">
        <w:rPr>
          <w:rFonts w:ascii="Times New Roman" w:hAnsi="Times New Roman" w:cs="Times New Roman"/>
          <w:sz w:val="24"/>
          <w:szCs w:val="24"/>
        </w:rPr>
        <w:t>Stroebe</w:t>
      </w:r>
      <w:proofErr w:type="spellEnd"/>
      <w:r w:rsidRPr="002C149E">
        <w:rPr>
          <w:rFonts w:ascii="Times New Roman" w:hAnsi="Times New Roman" w:cs="Times New Roman"/>
          <w:sz w:val="24"/>
          <w:szCs w:val="24"/>
        </w:rPr>
        <w:t xml:space="preserve"> M &amp; </w:t>
      </w:r>
      <w:proofErr w:type="spellStart"/>
      <w:r w:rsidRPr="002C149E">
        <w:rPr>
          <w:rFonts w:ascii="Times New Roman" w:hAnsi="Times New Roman" w:cs="Times New Roman"/>
          <w:sz w:val="24"/>
          <w:szCs w:val="24"/>
        </w:rPr>
        <w:t>Boerner</w:t>
      </w:r>
      <w:proofErr w:type="spellEnd"/>
      <w:r w:rsidRPr="002C149E">
        <w:rPr>
          <w:rFonts w:ascii="Times New Roman" w:hAnsi="Times New Roman" w:cs="Times New Roman"/>
          <w:sz w:val="24"/>
          <w:szCs w:val="24"/>
        </w:rPr>
        <w:t xml:space="preserve"> K. Caregiving and </w:t>
      </w:r>
      <w:proofErr w:type="gramStart"/>
      <w:r w:rsidRPr="002C149E">
        <w:rPr>
          <w:rFonts w:ascii="Times New Roman" w:hAnsi="Times New Roman" w:cs="Times New Roman"/>
          <w:sz w:val="24"/>
          <w:szCs w:val="24"/>
        </w:rPr>
        <w:t>Bereavement  Research</w:t>
      </w:r>
      <w:proofErr w:type="gramEnd"/>
      <w:r w:rsidRPr="002C149E">
        <w:rPr>
          <w:rFonts w:ascii="Times New Roman" w:hAnsi="Times New Roman" w:cs="Times New Roman"/>
          <w:sz w:val="24"/>
          <w:szCs w:val="24"/>
        </w:rPr>
        <w:t xml:space="preserve">:  Bridges over the gap. </w:t>
      </w:r>
      <w:r w:rsidRPr="002C149E">
        <w:rPr>
          <w:rFonts w:ascii="Times New Roman" w:hAnsi="Times New Roman" w:cs="Times New Roman"/>
          <w:i/>
          <w:sz w:val="24"/>
          <w:szCs w:val="24"/>
        </w:rPr>
        <w:t xml:space="preserve">Palliative Medicine </w:t>
      </w:r>
      <w:r w:rsidRPr="002C149E">
        <w:rPr>
          <w:rFonts w:ascii="Times New Roman" w:hAnsi="Times New Roman" w:cs="Times New Roman"/>
          <w:sz w:val="24"/>
          <w:szCs w:val="24"/>
        </w:rPr>
        <w:t>2015; 29(7): 574-576.</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4. Zhang B, El-</w:t>
      </w:r>
      <w:proofErr w:type="spellStart"/>
      <w:r w:rsidRPr="002C149E">
        <w:rPr>
          <w:rFonts w:ascii="Times New Roman" w:hAnsi="Times New Roman" w:cs="Times New Roman"/>
          <w:sz w:val="24"/>
          <w:szCs w:val="24"/>
        </w:rPr>
        <w:t>Jawahri</w:t>
      </w:r>
      <w:proofErr w:type="spellEnd"/>
      <w:r w:rsidRPr="002C149E">
        <w:rPr>
          <w:rFonts w:ascii="Times New Roman" w:hAnsi="Times New Roman" w:cs="Times New Roman"/>
          <w:sz w:val="24"/>
          <w:szCs w:val="24"/>
        </w:rPr>
        <w:t xml:space="preserve"> A &amp; </w:t>
      </w:r>
      <w:proofErr w:type="spellStart"/>
      <w:r w:rsidRPr="002C149E">
        <w:rPr>
          <w:rFonts w:ascii="Times New Roman" w:hAnsi="Times New Roman" w:cs="Times New Roman"/>
          <w:sz w:val="24"/>
          <w:szCs w:val="24"/>
        </w:rPr>
        <w:t>Prigerson</w:t>
      </w:r>
      <w:proofErr w:type="spellEnd"/>
      <w:r w:rsidRPr="002C149E">
        <w:rPr>
          <w:rFonts w:ascii="Times New Roman" w:hAnsi="Times New Roman" w:cs="Times New Roman"/>
          <w:sz w:val="24"/>
          <w:szCs w:val="24"/>
        </w:rPr>
        <w:t xml:space="preserve"> HG. Update on Bereavement Research: Evidence-Based Guidelines for the Diagnosis and Treatment of Complicated Bereavement.  </w:t>
      </w:r>
      <w:r w:rsidRPr="002C149E">
        <w:rPr>
          <w:rFonts w:ascii="Times New Roman" w:hAnsi="Times New Roman" w:cs="Times New Roman"/>
          <w:i/>
          <w:sz w:val="24"/>
          <w:szCs w:val="24"/>
        </w:rPr>
        <w:t xml:space="preserve">Journal of Palliative Medicine </w:t>
      </w:r>
      <w:r w:rsidRPr="002C149E">
        <w:rPr>
          <w:rFonts w:ascii="Times New Roman" w:hAnsi="Times New Roman" w:cs="Times New Roman"/>
          <w:sz w:val="24"/>
          <w:szCs w:val="24"/>
        </w:rPr>
        <w:t>2006; 9(5): 1188-1203.</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5. </w:t>
      </w:r>
      <w:proofErr w:type="spellStart"/>
      <w:r w:rsidRPr="002C149E">
        <w:rPr>
          <w:rFonts w:ascii="Times New Roman" w:hAnsi="Times New Roman" w:cs="Times New Roman"/>
          <w:sz w:val="24"/>
          <w:szCs w:val="24"/>
        </w:rPr>
        <w:t>Aoun</w:t>
      </w:r>
      <w:proofErr w:type="spellEnd"/>
      <w:r w:rsidRPr="002C149E">
        <w:rPr>
          <w:rFonts w:ascii="Times New Roman" w:hAnsi="Times New Roman" w:cs="Times New Roman"/>
          <w:sz w:val="24"/>
          <w:szCs w:val="24"/>
        </w:rPr>
        <w:t xml:space="preserve"> SM, </w:t>
      </w:r>
      <w:proofErr w:type="spellStart"/>
      <w:r w:rsidRPr="002C149E">
        <w:rPr>
          <w:rFonts w:ascii="Times New Roman" w:hAnsi="Times New Roman" w:cs="Times New Roman"/>
          <w:sz w:val="24"/>
          <w:szCs w:val="24"/>
        </w:rPr>
        <w:t>Kristjanson</w:t>
      </w:r>
      <w:proofErr w:type="spellEnd"/>
      <w:r w:rsidRPr="002C149E">
        <w:rPr>
          <w:rFonts w:ascii="Times New Roman" w:hAnsi="Times New Roman" w:cs="Times New Roman"/>
          <w:sz w:val="24"/>
          <w:szCs w:val="24"/>
        </w:rPr>
        <w:t xml:space="preserve"> LJ, </w:t>
      </w:r>
      <w:proofErr w:type="spellStart"/>
      <w:proofErr w:type="gramStart"/>
      <w:r w:rsidRPr="002C149E">
        <w:rPr>
          <w:rFonts w:ascii="Times New Roman" w:hAnsi="Times New Roman" w:cs="Times New Roman"/>
          <w:sz w:val="24"/>
          <w:szCs w:val="24"/>
        </w:rPr>
        <w:t>Currow</w:t>
      </w:r>
      <w:proofErr w:type="spellEnd"/>
      <w:proofErr w:type="gramEnd"/>
      <w:r w:rsidRPr="002C149E">
        <w:rPr>
          <w:rFonts w:ascii="Times New Roman" w:hAnsi="Times New Roman" w:cs="Times New Roman"/>
          <w:sz w:val="24"/>
          <w:szCs w:val="24"/>
        </w:rPr>
        <w:t xml:space="preserve"> DC &amp; Hudson PL. Caregiving for the terminally ill: at what cost? </w:t>
      </w:r>
      <w:r w:rsidRPr="002C149E">
        <w:rPr>
          <w:rFonts w:ascii="Times New Roman" w:hAnsi="Times New Roman" w:cs="Times New Roman"/>
          <w:i/>
          <w:sz w:val="24"/>
          <w:szCs w:val="24"/>
        </w:rPr>
        <w:t>Palliative Medicine</w:t>
      </w:r>
      <w:r w:rsidRPr="002C149E">
        <w:rPr>
          <w:rFonts w:ascii="Times New Roman" w:hAnsi="Times New Roman" w:cs="Times New Roman"/>
          <w:sz w:val="24"/>
          <w:szCs w:val="24"/>
        </w:rPr>
        <w:t xml:space="preserve"> 2005; 19: 551-555.</w:t>
      </w:r>
    </w:p>
    <w:p w:rsidR="00DD0690" w:rsidRPr="002C149E" w:rsidRDefault="00DD0690" w:rsidP="00DD0690">
      <w:pPr>
        <w:jc w:val="both"/>
        <w:rPr>
          <w:rFonts w:ascii="Times New Roman" w:hAnsi="Times New Roman" w:cs="Times New Roman"/>
          <w:sz w:val="24"/>
          <w:szCs w:val="24"/>
        </w:rPr>
      </w:pPr>
      <w:proofErr w:type="gramStart"/>
      <w:r w:rsidRPr="002C149E">
        <w:rPr>
          <w:rFonts w:ascii="Times New Roman" w:hAnsi="Times New Roman" w:cs="Times New Roman"/>
          <w:sz w:val="24"/>
          <w:szCs w:val="24"/>
        </w:rPr>
        <w:t>6..</w:t>
      </w:r>
      <w:proofErr w:type="gramEnd"/>
      <w:r w:rsidRPr="002C149E">
        <w:rPr>
          <w:rFonts w:ascii="Times New Roman" w:hAnsi="Times New Roman" w:cs="Times New Roman"/>
          <w:sz w:val="24"/>
          <w:szCs w:val="24"/>
        </w:rPr>
        <w:t xml:space="preserve"> </w:t>
      </w:r>
      <w:proofErr w:type="spellStart"/>
      <w:r w:rsidRPr="002C149E">
        <w:rPr>
          <w:rFonts w:ascii="Times New Roman" w:hAnsi="Times New Roman" w:cs="Times New Roman"/>
          <w:sz w:val="24"/>
          <w:szCs w:val="24"/>
        </w:rPr>
        <w:t>Currow</w:t>
      </w:r>
      <w:proofErr w:type="spellEnd"/>
      <w:r w:rsidRPr="002C149E">
        <w:rPr>
          <w:rFonts w:ascii="Times New Roman" w:hAnsi="Times New Roman" w:cs="Times New Roman"/>
          <w:sz w:val="24"/>
          <w:szCs w:val="24"/>
        </w:rPr>
        <w:t xml:space="preserve"> DC, Burns CM, Agar M, et al.  </w:t>
      </w:r>
      <w:proofErr w:type="gramStart"/>
      <w:r w:rsidRPr="002C149E">
        <w:rPr>
          <w:rFonts w:ascii="Times New Roman" w:hAnsi="Times New Roman" w:cs="Times New Roman"/>
          <w:sz w:val="24"/>
          <w:szCs w:val="24"/>
        </w:rPr>
        <w:t>Palliative Caregivers Who Would Not Take on the Caring Role Again.</w:t>
      </w:r>
      <w:proofErr w:type="gramEnd"/>
      <w:r w:rsidRPr="002C149E">
        <w:rPr>
          <w:rFonts w:ascii="Times New Roman" w:hAnsi="Times New Roman" w:cs="Times New Roman"/>
          <w:sz w:val="24"/>
          <w:szCs w:val="24"/>
        </w:rPr>
        <w:t xml:space="preserve"> </w:t>
      </w:r>
      <w:r w:rsidRPr="002C149E">
        <w:rPr>
          <w:rFonts w:ascii="Times New Roman" w:hAnsi="Times New Roman" w:cs="Times New Roman"/>
          <w:i/>
          <w:sz w:val="24"/>
          <w:szCs w:val="24"/>
        </w:rPr>
        <w:t xml:space="preserve">Journal of Pain and Symptom </w:t>
      </w:r>
      <w:proofErr w:type="gramStart"/>
      <w:r w:rsidRPr="002C149E">
        <w:rPr>
          <w:rFonts w:ascii="Times New Roman" w:hAnsi="Times New Roman" w:cs="Times New Roman"/>
          <w:i/>
          <w:sz w:val="24"/>
          <w:szCs w:val="24"/>
        </w:rPr>
        <w:t xml:space="preserve">Management  </w:t>
      </w:r>
      <w:r w:rsidRPr="002C149E">
        <w:rPr>
          <w:rFonts w:ascii="Times New Roman" w:hAnsi="Times New Roman" w:cs="Times New Roman"/>
          <w:sz w:val="24"/>
          <w:szCs w:val="24"/>
        </w:rPr>
        <w:t>2011</w:t>
      </w:r>
      <w:proofErr w:type="gramEnd"/>
      <w:r w:rsidRPr="002C149E">
        <w:rPr>
          <w:rFonts w:ascii="Times New Roman" w:hAnsi="Times New Roman" w:cs="Times New Roman"/>
          <w:sz w:val="24"/>
          <w:szCs w:val="24"/>
        </w:rPr>
        <w:t>;41(4):661-672.</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7. Grande G, </w:t>
      </w:r>
      <w:proofErr w:type="spellStart"/>
      <w:r w:rsidRPr="002C149E">
        <w:rPr>
          <w:rFonts w:ascii="Times New Roman" w:hAnsi="Times New Roman" w:cs="Times New Roman"/>
          <w:sz w:val="24"/>
          <w:szCs w:val="24"/>
        </w:rPr>
        <w:t>Aoun</w:t>
      </w:r>
      <w:proofErr w:type="spellEnd"/>
      <w:r w:rsidRPr="002C149E">
        <w:rPr>
          <w:rFonts w:ascii="Times New Roman" w:hAnsi="Times New Roman" w:cs="Times New Roman"/>
          <w:sz w:val="24"/>
          <w:szCs w:val="24"/>
        </w:rPr>
        <w:t xml:space="preserve"> S, Payne S. Supporting </w:t>
      </w:r>
      <w:proofErr w:type="gramStart"/>
      <w:r w:rsidRPr="002C149E">
        <w:rPr>
          <w:rFonts w:ascii="Times New Roman" w:hAnsi="Times New Roman" w:cs="Times New Roman"/>
          <w:sz w:val="24"/>
          <w:szCs w:val="24"/>
        </w:rPr>
        <w:t>lay</w:t>
      </w:r>
      <w:proofErr w:type="gramEnd"/>
      <w:r w:rsidRPr="002C149E">
        <w:rPr>
          <w:rFonts w:ascii="Times New Roman" w:hAnsi="Times New Roman" w:cs="Times New Roman"/>
          <w:sz w:val="24"/>
          <w:szCs w:val="24"/>
        </w:rPr>
        <w:t xml:space="preserve"> carers in end of life care: current gaps and future priorities. </w:t>
      </w:r>
      <w:r w:rsidRPr="002C149E">
        <w:rPr>
          <w:rFonts w:ascii="Times New Roman" w:hAnsi="Times New Roman" w:cs="Times New Roman"/>
          <w:i/>
          <w:sz w:val="24"/>
          <w:szCs w:val="24"/>
        </w:rPr>
        <w:t>Palliative Medicine</w:t>
      </w:r>
      <w:r w:rsidRPr="002C149E">
        <w:rPr>
          <w:rFonts w:ascii="Times New Roman" w:hAnsi="Times New Roman" w:cs="Times New Roman"/>
          <w:sz w:val="24"/>
          <w:szCs w:val="24"/>
        </w:rPr>
        <w:t xml:space="preserve"> 2009</w:t>
      </w:r>
      <w:proofErr w:type="gramStart"/>
      <w:r w:rsidRPr="002C149E">
        <w:rPr>
          <w:rFonts w:ascii="Times New Roman" w:hAnsi="Times New Roman" w:cs="Times New Roman"/>
          <w:sz w:val="24"/>
          <w:szCs w:val="24"/>
        </w:rPr>
        <w:t>;23:339</w:t>
      </w:r>
      <w:proofErr w:type="gramEnd"/>
      <w:r w:rsidRPr="002C149E">
        <w:rPr>
          <w:rFonts w:ascii="Times New Roman" w:hAnsi="Times New Roman" w:cs="Times New Roman"/>
          <w:sz w:val="24"/>
          <w:szCs w:val="24"/>
        </w:rPr>
        <w:t>-344.</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8. </w:t>
      </w:r>
      <w:proofErr w:type="spellStart"/>
      <w:r w:rsidRPr="002C149E">
        <w:rPr>
          <w:rFonts w:ascii="Times New Roman" w:hAnsi="Times New Roman" w:cs="Times New Roman"/>
          <w:sz w:val="24"/>
          <w:szCs w:val="24"/>
        </w:rPr>
        <w:t>Stajduhar</w:t>
      </w:r>
      <w:proofErr w:type="spellEnd"/>
      <w:r w:rsidRPr="002C149E">
        <w:rPr>
          <w:rFonts w:ascii="Times New Roman" w:hAnsi="Times New Roman" w:cs="Times New Roman"/>
          <w:sz w:val="24"/>
          <w:szCs w:val="24"/>
        </w:rPr>
        <w:t xml:space="preserve"> KI. </w:t>
      </w:r>
      <w:proofErr w:type="gramStart"/>
      <w:r w:rsidRPr="002C149E">
        <w:rPr>
          <w:rFonts w:ascii="Times New Roman" w:hAnsi="Times New Roman" w:cs="Times New Roman"/>
          <w:sz w:val="24"/>
          <w:szCs w:val="24"/>
        </w:rPr>
        <w:t>Burdens of Family Caregiving at End of Life.</w:t>
      </w:r>
      <w:proofErr w:type="gramEnd"/>
      <w:r w:rsidRPr="002C149E">
        <w:rPr>
          <w:rFonts w:ascii="Times New Roman" w:hAnsi="Times New Roman" w:cs="Times New Roman"/>
          <w:sz w:val="24"/>
          <w:szCs w:val="24"/>
        </w:rPr>
        <w:t xml:space="preserve"> </w:t>
      </w:r>
      <w:r w:rsidRPr="002C149E">
        <w:rPr>
          <w:rFonts w:ascii="Times New Roman" w:hAnsi="Times New Roman" w:cs="Times New Roman"/>
          <w:i/>
          <w:sz w:val="24"/>
          <w:szCs w:val="24"/>
        </w:rPr>
        <w:t>Clinical &amp; Investigative Medicine</w:t>
      </w:r>
      <w:r w:rsidRPr="002C149E">
        <w:rPr>
          <w:rFonts w:ascii="Times New Roman" w:hAnsi="Times New Roman" w:cs="Times New Roman"/>
          <w:sz w:val="24"/>
          <w:szCs w:val="24"/>
        </w:rPr>
        <w:t xml:space="preserve"> 2013; 36(3): E121-E126.</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9. Schulz R, Hebert R &amp; </w:t>
      </w:r>
      <w:proofErr w:type="spellStart"/>
      <w:r w:rsidRPr="002C149E">
        <w:rPr>
          <w:rFonts w:ascii="Times New Roman" w:hAnsi="Times New Roman" w:cs="Times New Roman"/>
          <w:sz w:val="24"/>
          <w:szCs w:val="24"/>
        </w:rPr>
        <w:t>Boerner</w:t>
      </w:r>
      <w:proofErr w:type="spellEnd"/>
      <w:r w:rsidRPr="002C149E">
        <w:rPr>
          <w:rFonts w:ascii="Times New Roman" w:hAnsi="Times New Roman" w:cs="Times New Roman"/>
          <w:sz w:val="24"/>
          <w:szCs w:val="24"/>
        </w:rPr>
        <w:t xml:space="preserve"> K. Bereavement after Caregiving. Geriatrics 2008; 63(1): 20-22.</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10. Gallagher-Thompson D. Caregiving Issues: Covering the Spectrum from Detection to End of Life. </w:t>
      </w:r>
      <w:r w:rsidRPr="002C149E">
        <w:rPr>
          <w:rFonts w:ascii="Times New Roman" w:hAnsi="Times New Roman" w:cs="Times New Roman"/>
          <w:i/>
          <w:sz w:val="24"/>
          <w:szCs w:val="24"/>
        </w:rPr>
        <w:t>The American Journal of Geriatric Psychiatry</w:t>
      </w:r>
      <w:r w:rsidRPr="002C149E">
        <w:rPr>
          <w:rFonts w:ascii="Times New Roman" w:hAnsi="Times New Roman" w:cs="Times New Roman"/>
          <w:sz w:val="24"/>
          <w:szCs w:val="24"/>
        </w:rPr>
        <w:t xml:space="preserve"> 2006; 14(8): 635-641.</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11. Breen L, </w:t>
      </w:r>
      <w:proofErr w:type="spellStart"/>
      <w:r w:rsidRPr="002C149E">
        <w:rPr>
          <w:rFonts w:ascii="Times New Roman" w:hAnsi="Times New Roman" w:cs="Times New Roman"/>
          <w:sz w:val="24"/>
          <w:szCs w:val="24"/>
        </w:rPr>
        <w:t>Aoun</w:t>
      </w:r>
      <w:proofErr w:type="spellEnd"/>
      <w:r w:rsidRPr="002C149E">
        <w:rPr>
          <w:rFonts w:ascii="Times New Roman" w:hAnsi="Times New Roman" w:cs="Times New Roman"/>
          <w:sz w:val="24"/>
          <w:szCs w:val="24"/>
        </w:rPr>
        <w:t xml:space="preserve"> SM &amp; O’Connor M. The effect of caregiving on bereavement outcome: study protocol for a longitudinal, prospective study. </w:t>
      </w:r>
      <w:proofErr w:type="gramStart"/>
      <w:r w:rsidRPr="002C149E">
        <w:rPr>
          <w:rFonts w:ascii="Times New Roman" w:hAnsi="Times New Roman" w:cs="Times New Roman"/>
          <w:i/>
          <w:sz w:val="24"/>
          <w:szCs w:val="24"/>
        </w:rPr>
        <w:t>BMC Palliative Care</w:t>
      </w:r>
      <w:r w:rsidRPr="002C149E">
        <w:rPr>
          <w:rFonts w:ascii="Times New Roman" w:hAnsi="Times New Roman" w:cs="Times New Roman"/>
          <w:sz w:val="24"/>
          <w:szCs w:val="24"/>
        </w:rPr>
        <w:t xml:space="preserve"> 2015; 14(6).</w:t>
      </w:r>
      <w:proofErr w:type="gramEnd"/>
      <w:r w:rsidRPr="002C149E">
        <w:rPr>
          <w:rFonts w:ascii="Times New Roman" w:hAnsi="Times New Roman" w:cs="Times New Roman"/>
          <w:sz w:val="24"/>
          <w:szCs w:val="24"/>
        </w:rPr>
        <w:t xml:space="preserve"> DOI 10.1186/s12904-015-009-z</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lastRenderedPageBreak/>
        <w:t xml:space="preserve">12. Barry LC, </w:t>
      </w:r>
      <w:proofErr w:type="spellStart"/>
      <w:r w:rsidRPr="002C149E">
        <w:rPr>
          <w:rFonts w:ascii="Times New Roman" w:hAnsi="Times New Roman" w:cs="Times New Roman"/>
          <w:sz w:val="24"/>
          <w:szCs w:val="24"/>
        </w:rPr>
        <w:t>Kasl</w:t>
      </w:r>
      <w:proofErr w:type="spellEnd"/>
      <w:r w:rsidRPr="002C149E">
        <w:rPr>
          <w:rFonts w:ascii="Times New Roman" w:hAnsi="Times New Roman" w:cs="Times New Roman"/>
          <w:sz w:val="24"/>
          <w:szCs w:val="24"/>
        </w:rPr>
        <w:t xml:space="preserve"> SV &amp; </w:t>
      </w:r>
      <w:proofErr w:type="spellStart"/>
      <w:r w:rsidRPr="002C149E">
        <w:rPr>
          <w:rFonts w:ascii="Times New Roman" w:hAnsi="Times New Roman" w:cs="Times New Roman"/>
          <w:sz w:val="24"/>
          <w:szCs w:val="24"/>
        </w:rPr>
        <w:t>Prigerson</w:t>
      </w:r>
      <w:proofErr w:type="spellEnd"/>
      <w:r w:rsidRPr="002C149E">
        <w:rPr>
          <w:rFonts w:ascii="Times New Roman" w:hAnsi="Times New Roman" w:cs="Times New Roman"/>
          <w:sz w:val="24"/>
          <w:szCs w:val="24"/>
        </w:rPr>
        <w:t xml:space="preserve"> HG. Psychiatric Disorders </w:t>
      </w:r>
      <w:proofErr w:type="gramStart"/>
      <w:r w:rsidRPr="002C149E">
        <w:rPr>
          <w:rFonts w:ascii="Times New Roman" w:hAnsi="Times New Roman" w:cs="Times New Roman"/>
          <w:sz w:val="24"/>
          <w:szCs w:val="24"/>
        </w:rPr>
        <w:t>Among</w:t>
      </w:r>
      <w:proofErr w:type="gramEnd"/>
      <w:r w:rsidRPr="002C149E">
        <w:rPr>
          <w:rFonts w:ascii="Times New Roman" w:hAnsi="Times New Roman" w:cs="Times New Roman"/>
          <w:sz w:val="24"/>
          <w:szCs w:val="24"/>
        </w:rPr>
        <w:t xml:space="preserve"> Bereaved Persons: The Role of Perceived Circumstances of Death and Preparedness for Death. T</w:t>
      </w:r>
      <w:r w:rsidRPr="002C149E">
        <w:rPr>
          <w:rFonts w:ascii="Times New Roman" w:hAnsi="Times New Roman" w:cs="Times New Roman"/>
          <w:i/>
          <w:sz w:val="24"/>
          <w:szCs w:val="24"/>
        </w:rPr>
        <w:t xml:space="preserve">he American Journal of Geriatric Psychiatry </w:t>
      </w:r>
      <w:r w:rsidRPr="002C149E">
        <w:rPr>
          <w:rFonts w:ascii="Times New Roman" w:hAnsi="Times New Roman" w:cs="Times New Roman"/>
          <w:sz w:val="24"/>
          <w:szCs w:val="24"/>
        </w:rPr>
        <w:t>2002; 10(4): 447-457.</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13. </w:t>
      </w:r>
      <w:proofErr w:type="spellStart"/>
      <w:r w:rsidRPr="002C149E">
        <w:rPr>
          <w:rFonts w:ascii="Times New Roman" w:hAnsi="Times New Roman" w:cs="Times New Roman"/>
          <w:sz w:val="24"/>
          <w:szCs w:val="24"/>
        </w:rPr>
        <w:t>Boerner</w:t>
      </w:r>
      <w:proofErr w:type="spellEnd"/>
      <w:r w:rsidRPr="002C149E">
        <w:rPr>
          <w:rFonts w:ascii="Times New Roman" w:hAnsi="Times New Roman" w:cs="Times New Roman"/>
          <w:sz w:val="24"/>
          <w:szCs w:val="24"/>
        </w:rPr>
        <w:t xml:space="preserve"> K &amp; Schulz R. Caregiving, bereavement and complicated grief. </w:t>
      </w:r>
      <w:r w:rsidRPr="002C149E">
        <w:rPr>
          <w:rFonts w:ascii="Times New Roman" w:hAnsi="Times New Roman" w:cs="Times New Roman"/>
          <w:i/>
          <w:sz w:val="24"/>
          <w:szCs w:val="24"/>
        </w:rPr>
        <w:t>Bereavement Care</w:t>
      </w:r>
      <w:r w:rsidRPr="002C149E">
        <w:rPr>
          <w:rFonts w:ascii="Times New Roman" w:hAnsi="Times New Roman" w:cs="Times New Roman"/>
          <w:sz w:val="24"/>
          <w:szCs w:val="24"/>
        </w:rPr>
        <w:t xml:space="preserve"> 2009; December 1; 28(3): 10-13.</w:t>
      </w:r>
    </w:p>
    <w:p w:rsidR="00DD0690" w:rsidRPr="002C149E" w:rsidRDefault="00DD0690" w:rsidP="00DD0690">
      <w:pPr>
        <w:jc w:val="both"/>
        <w:rPr>
          <w:rFonts w:ascii="Times New Roman" w:hAnsi="Times New Roman" w:cs="Times New Roman"/>
          <w:sz w:val="24"/>
          <w:szCs w:val="24"/>
        </w:rPr>
      </w:pPr>
      <w:proofErr w:type="gramStart"/>
      <w:r w:rsidRPr="002C149E">
        <w:rPr>
          <w:rFonts w:ascii="Times New Roman" w:hAnsi="Times New Roman" w:cs="Times New Roman"/>
          <w:sz w:val="24"/>
          <w:szCs w:val="24"/>
        </w:rPr>
        <w:t xml:space="preserve">14. </w:t>
      </w:r>
      <w:proofErr w:type="spellStart"/>
      <w:r w:rsidRPr="002C149E">
        <w:rPr>
          <w:rFonts w:ascii="Times New Roman" w:hAnsi="Times New Roman" w:cs="Times New Roman"/>
          <w:sz w:val="24"/>
          <w:szCs w:val="24"/>
        </w:rPr>
        <w:t>Stajduhar</w:t>
      </w:r>
      <w:proofErr w:type="spellEnd"/>
      <w:r w:rsidRPr="002C149E">
        <w:rPr>
          <w:rFonts w:ascii="Times New Roman" w:hAnsi="Times New Roman" w:cs="Times New Roman"/>
          <w:sz w:val="24"/>
          <w:szCs w:val="24"/>
        </w:rPr>
        <w:t xml:space="preserve"> KI, Martin W &amp; Cairns M.</w:t>
      </w:r>
      <w:proofErr w:type="gramEnd"/>
      <w:r w:rsidRPr="002C149E">
        <w:rPr>
          <w:rFonts w:ascii="Times New Roman" w:hAnsi="Times New Roman" w:cs="Times New Roman"/>
          <w:sz w:val="24"/>
          <w:szCs w:val="24"/>
        </w:rPr>
        <w:t xml:space="preserve"> What makes grief difficult? </w:t>
      </w:r>
      <w:proofErr w:type="gramStart"/>
      <w:r w:rsidRPr="002C149E">
        <w:rPr>
          <w:rFonts w:ascii="Times New Roman" w:hAnsi="Times New Roman" w:cs="Times New Roman"/>
          <w:sz w:val="24"/>
          <w:szCs w:val="24"/>
        </w:rPr>
        <w:t>Perspectives from bereaved family caregivers and healthcare providers of advanced cancer patients.</w:t>
      </w:r>
      <w:proofErr w:type="gramEnd"/>
      <w:r w:rsidRPr="002C149E">
        <w:rPr>
          <w:rFonts w:ascii="Times New Roman" w:hAnsi="Times New Roman" w:cs="Times New Roman"/>
          <w:sz w:val="24"/>
          <w:szCs w:val="24"/>
        </w:rPr>
        <w:t xml:space="preserve"> </w:t>
      </w:r>
      <w:r w:rsidRPr="002C149E">
        <w:rPr>
          <w:rFonts w:ascii="Times New Roman" w:hAnsi="Times New Roman" w:cs="Times New Roman"/>
          <w:i/>
          <w:sz w:val="24"/>
          <w:szCs w:val="24"/>
        </w:rPr>
        <w:t>Palliative and Supportive Care</w:t>
      </w:r>
      <w:r w:rsidRPr="002C149E">
        <w:rPr>
          <w:rFonts w:ascii="Times New Roman" w:hAnsi="Times New Roman" w:cs="Times New Roman"/>
          <w:sz w:val="24"/>
          <w:szCs w:val="24"/>
        </w:rPr>
        <w:t xml:space="preserve"> 2010; 8: 277-289.</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15. </w:t>
      </w:r>
      <w:proofErr w:type="spellStart"/>
      <w:r w:rsidRPr="002C149E">
        <w:rPr>
          <w:rFonts w:ascii="Times New Roman" w:hAnsi="Times New Roman" w:cs="Times New Roman"/>
          <w:sz w:val="24"/>
          <w:szCs w:val="24"/>
        </w:rPr>
        <w:t>Keesee</w:t>
      </w:r>
      <w:proofErr w:type="spellEnd"/>
      <w:r w:rsidRPr="002C149E">
        <w:rPr>
          <w:rFonts w:ascii="Times New Roman" w:hAnsi="Times New Roman" w:cs="Times New Roman"/>
          <w:sz w:val="24"/>
          <w:szCs w:val="24"/>
        </w:rPr>
        <w:t xml:space="preserve"> NJ, Currier JM &amp; </w:t>
      </w:r>
      <w:proofErr w:type="spellStart"/>
      <w:r w:rsidRPr="002C149E">
        <w:rPr>
          <w:rFonts w:ascii="Times New Roman" w:hAnsi="Times New Roman" w:cs="Times New Roman"/>
          <w:sz w:val="24"/>
          <w:szCs w:val="24"/>
        </w:rPr>
        <w:t>Neimeyer</w:t>
      </w:r>
      <w:proofErr w:type="spellEnd"/>
      <w:r w:rsidRPr="002C149E">
        <w:rPr>
          <w:rFonts w:ascii="Times New Roman" w:hAnsi="Times New Roman" w:cs="Times New Roman"/>
          <w:sz w:val="24"/>
          <w:szCs w:val="24"/>
        </w:rPr>
        <w:t xml:space="preserve"> RA. Predictors of Grief Following the Death of One’s Child: The Contribution of Finding Meaning. </w:t>
      </w:r>
      <w:r w:rsidRPr="002C149E">
        <w:rPr>
          <w:rFonts w:ascii="Times New Roman" w:hAnsi="Times New Roman" w:cs="Times New Roman"/>
          <w:i/>
          <w:sz w:val="24"/>
          <w:szCs w:val="24"/>
        </w:rPr>
        <w:t>Journal of Clinical Psychology</w:t>
      </w:r>
      <w:r w:rsidRPr="002C149E">
        <w:rPr>
          <w:rFonts w:ascii="Times New Roman" w:hAnsi="Times New Roman" w:cs="Times New Roman"/>
          <w:sz w:val="24"/>
          <w:szCs w:val="24"/>
        </w:rPr>
        <w:t xml:space="preserve"> 2008; 64(10): 1145-1163.</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16. </w:t>
      </w:r>
      <w:proofErr w:type="spellStart"/>
      <w:r w:rsidRPr="002C149E">
        <w:rPr>
          <w:rFonts w:ascii="Times New Roman" w:hAnsi="Times New Roman" w:cs="Times New Roman"/>
          <w:sz w:val="24"/>
          <w:szCs w:val="24"/>
        </w:rPr>
        <w:t>Lobb</w:t>
      </w:r>
      <w:proofErr w:type="spellEnd"/>
      <w:r w:rsidRPr="002C149E">
        <w:rPr>
          <w:rFonts w:ascii="Times New Roman" w:hAnsi="Times New Roman" w:cs="Times New Roman"/>
          <w:sz w:val="24"/>
          <w:szCs w:val="24"/>
        </w:rPr>
        <w:t xml:space="preserve"> EA, </w:t>
      </w:r>
      <w:proofErr w:type="spellStart"/>
      <w:r w:rsidRPr="002C149E">
        <w:rPr>
          <w:rFonts w:ascii="Times New Roman" w:hAnsi="Times New Roman" w:cs="Times New Roman"/>
          <w:sz w:val="24"/>
          <w:szCs w:val="24"/>
        </w:rPr>
        <w:t>Kristjanson</w:t>
      </w:r>
      <w:proofErr w:type="spellEnd"/>
      <w:r w:rsidRPr="002C149E">
        <w:rPr>
          <w:rFonts w:ascii="Times New Roman" w:hAnsi="Times New Roman" w:cs="Times New Roman"/>
          <w:sz w:val="24"/>
          <w:szCs w:val="24"/>
        </w:rPr>
        <w:t xml:space="preserve"> LJ, </w:t>
      </w:r>
      <w:proofErr w:type="spellStart"/>
      <w:r w:rsidRPr="002C149E">
        <w:rPr>
          <w:rFonts w:ascii="Times New Roman" w:hAnsi="Times New Roman" w:cs="Times New Roman"/>
          <w:sz w:val="24"/>
          <w:szCs w:val="24"/>
        </w:rPr>
        <w:t>Aoun</w:t>
      </w:r>
      <w:proofErr w:type="spellEnd"/>
      <w:r w:rsidRPr="002C149E">
        <w:rPr>
          <w:rFonts w:ascii="Times New Roman" w:hAnsi="Times New Roman" w:cs="Times New Roman"/>
          <w:sz w:val="24"/>
          <w:szCs w:val="24"/>
        </w:rPr>
        <w:t xml:space="preserve"> SM et al. Predictors of Complicated Grief: A Systematic Review of Empirical Studies. </w:t>
      </w:r>
      <w:r w:rsidRPr="002C149E">
        <w:rPr>
          <w:rFonts w:ascii="Times New Roman" w:hAnsi="Times New Roman" w:cs="Times New Roman"/>
          <w:i/>
          <w:sz w:val="24"/>
          <w:szCs w:val="24"/>
        </w:rPr>
        <w:t>Death Studies</w:t>
      </w:r>
      <w:r w:rsidRPr="002C149E">
        <w:rPr>
          <w:rFonts w:ascii="Times New Roman" w:hAnsi="Times New Roman" w:cs="Times New Roman"/>
          <w:sz w:val="24"/>
          <w:szCs w:val="24"/>
        </w:rPr>
        <w:t xml:space="preserve"> 2010; 34: 673-698.</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17. Allen JY, Haley WE, Small BJ et al. Bereavement among Hospice Caregivers of Cancer Patients One Year following Loss: Predictors of Grief, Complicated Grief, and Symptoms of Depression. </w:t>
      </w:r>
      <w:r w:rsidRPr="002C149E">
        <w:rPr>
          <w:rFonts w:ascii="Times New Roman" w:hAnsi="Times New Roman" w:cs="Times New Roman"/>
          <w:i/>
          <w:sz w:val="24"/>
          <w:szCs w:val="24"/>
        </w:rPr>
        <w:t>Journal of Palliative Medicine</w:t>
      </w:r>
      <w:r w:rsidRPr="002C149E">
        <w:rPr>
          <w:rFonts w:ascii="Times New Roman" w:hAnsi="Times New Roman" w:cs="Times New Roman"/>
          <w:sz w:val="24"/>
          <w:szCs w:val="24"/>
        </w:rPr>
        <w:t xml:space="preserve"> 2013; 16(7): 745-751.</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18. </w:t>
      </w:r>
      <w:proofErr w:type="spellStart"/>
      <w:r w:rsidRPr="002C149E">
        <w:rPr>
          <w:rFonts w:ascii="Times New Roman" w:hAnsi="Times New Roman" w:cs="Times New Roman"/>
          <w:sz w:val="24"/>
          <w:szCs w:val="24"/>
        </w:rPr>
        <w:t>Barreto</w:t>
      </w:r>
      <w:proofErr w:type="spellEnd"/>
      <w:r w:rsidRPr="002C149E">
        <w:rPr>
          <w:rFonts w:ascii="Times New Roman" w:hAnsi="Times New Roman" w:cs="Times New Roman"/>
          <w:sz w:val="24"/>
          <w:szCs w:val="24"/>
        </w:rPr>
        <w:t xml:space="preserve">-Martin P, Perez-Martin M &amp; Yi P. Predictors in Complicated Grief: Supporting Families in Palliative Care Dealing with Grief. </w:t>
      </w:r>
      <w:r w:rsidRPr="002C149E">
        <w:rPr>
          <w:rFonts w:ascii="Times New Roman" w:hAnsi="Times New Roman" w:cs="Times New Roman"/>
          <w:i/>
          <w:sz w:val="24"/>
          <w:szCs w:val="24"/>
        </w:rPr>
        <w:t>Contemporary and Innovative Practice in Palliative</w:t>
      </w:r>
      <w:r w:rsidRPr="002C149E">
        <w:rPr>
          <w:rFonts w:ascii="Times New Roman" w:hAnsi="Times New Roman" w:cs="Times New Roman"/>
          <w:sz w:val="24"/>
          <w:szCs w:val="24"/>
        </w:rPr>
        <w:t xml:space="preserve"> Care 2012, </w:t>
      </w:r>
      <w:proofErr w:type="spellStart"/>
      <w:r w:rsidRPr="002C149E">
        <w:rPr>
          <w:rFonts w:ascii="Times New Roman" w:hAnsi="Times New Roman" w:cs="Times New Roman"/>
          <w:sz w:val="24"/>
          <w:szCs w:val="24"/>
        </w:rPr>
        <w:t>Prof.</w:t>
      </w:r>
      <w:proofErr w:type="spellEnd"/>
      <w:r w:rsidRPr="002C149E">
        <w:rPr>
          <w:rFonts w:ascii="Times New Roman" w:hAnsi="Times New Roman" w:cs="Times New Roman"/>
          <w:sz w:val="24"/>
          <w:szCs w:val="24"/>
        </w:rPr>
        <w:t xml:space="preserve"> Esther Chang (Ed.), ISBN</w:t>
      </w:r>
      <w:proofErr w:type="gramStart"/>
      <w:r w:rsidRPr="002C149E">
        <w:rPr>
          <w:rFonts w:ascii="Times New Roman" w:hAnsi="Times New Roman" w:cs="Times New Roman"/>
          <w:sz w:val="24"/>
          <w:szCs w:val="24"/>
        </w:rPr>
        <w:t>;  978</w:t>
      </w:r>
      <w:proofErr w:type="gramEnd"/>
      <w:r w:rsidRPr="002C149E">
        <w:rPr>
          <w:rFonts w:ascii="Times New Roman" w:hAnsi="Times New Roman" w:cs="Times New Roman"/>
          <w:sz w:val="24"/>
          <w:szCs w:val="24"/>
        </w:rPr>
        <w:t xml:space="preserve">-953-307-986-8, </w:t>
      </w:r>
      <w:proofErr w:type="spellStart"/>
      <w:r w:rsidRPr="002C149E">
        <w:rPr>
          <w:rFonts w:ascii="Times New Roman" w:hAnsi="Times New Roman" w:cs="Times New Roman"/>
          <w:sz w:val="24"/>
          <w:szCs w:val="24"/>
        </w:rPr>
        <w:t>InTech</w:t>
      </w:r>
      <w:proofErr w:type="spellEnd"/>
      <w:r w:rsidRPr="002C149E">
        <w:rPr>
          <w:rFonts w:ascii="Times New Roman" w:hAnsi="Times New Roman" w:cs="Times New Roman"/>
          <w:sz w:val="24"/>
          <w:szCs w:val="24"/>
        </w:rPr>
        <w:t>.</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19. Carmichael M. Bereavement Assessment in Pallia</w:t>
      </w:r>
      <w:r w:rsidR="000D5FE7">
        <w:rPr>
          <w:rFonts w:ascii="Times New Roman" w:hAnsi="Times New Roman" w:cs="Times New Roman"/>
          <w:sz w:val="24"/>
          <w:szCs w:val="24"/>
        </w:rPr>
        <w:t>ti</w:t>
      </w:r>
      <w:r w:rsidRPr="002C149E">
        <w:rPr>
          <w:rFonts w:ascii="Times New Roman" w:hAnsi="Times New Roman" w:cs="Times New Roman"/>
          <w:sz w:val="24"/>
          <w:szCs w:val="24"/>
        </w:rPr>
        <w:t xml:space="preserve">ve Care – Identifying those “At Risk”. </w:t>
      </w:r>
      <w:r w:rsidRPr="002C149E">
        <w:rPr>
          <w:rFonts w:ascii="Times New Roman" w:hAnsi="Times New Roman" w:cs="Times New Roman"/>
          <w:i/>
          <w:sz w:val="24"/>
          <w:szCs w:val="24"/>
        </w:rPr>
        <w:t>Scottish Journal of Healthcare Chaplaincy</w:t>
      </w:r>
      <w:r w:rsidRPr="002C149E">
        <w:rPr>
          <w:rFonts w:ascii="Times New Roman" w:hAnsi="Times New Roman" w:cs="Times New Roman"/>
          <w:sz w:val="24"/>
          <w:szCs w:val="24"/>
        </w:rPr>
        <w:t xml:space="preserve"> 2005; 8(2): 21-25.</w:t>
      </w:r>
    </w:p>
    <w:p w:rsidR="00DD0690" w:rsidRPr="002C149E" w:rsidRDefault="00DD0690" w:rsidP="00DD0690">
      <w:pPr>
        <w:jc w:val="both"/>
        <w:rPr>
          <w:rFonts w:ascii="Times New Roman" w:hAnsi="Times New Roman" w:cs="Times New Roman"/>
          <w:sz w:val="24"/>
          <w:szCs w:val="24"/>
        </w:rPr>
      </w:pPr>
      <w:proofErr w:type="gramStart"/>
      <w:r w:rsidRPr="002C149E">
        <w:rPr>
          <w:rFonts w:ascii="Times New Roman" w:hAnsi="Times New Roman" w:cs="Times New Roman"/>
          <w:sz w:val="24"/>
          <w:szCs w:val="24"/>
        </w:rPr>
        <w:t>20. Chiu YW, Huang CT, Yin SM et al. Determinants of complicated grief in caregivers who cared for terminal cancer patients.</w:t>
      </w:r>
      <w:proofErr w:type="gramEnd"/>
      <w:r w:rsidRPr="002C149E">
        <w:rPr>
          <w:rFonts w:ascii="Times New Roman" w:hAnsi="Times New Roman" w:cs="Times New Roman"/>
          <w:sz w:val="24"/>
          <w:szCs w:val="24"/>
        </w:rPr>
        <w:t xml:space="preserve">  </w:t>
      </w:r>
      <w:r w:rsidRPr="002C149E">
        <w:rPr>
          <w:rFonts w:ascii="Times New Roman" w:hAnsi="Times New Roman" w:cs="Times New Roman"/>
          <w:i/>
          <w:sz w:val="24"/>
          <w:szCs w:val="24"/>
        </w:rPr>
        <w:t xml:space="preserve">Supportive Care in </w:t>
      </w:r>
      <w:proofErr w:type="gramStart"/>
      <w:r w:rsidRPr="002C149E">
        <w:rPr>
          <w:rFonts w:ascii="Times New Roman" w:hAnsi="Times New Roman" w:cs="Times New Roman"/>
          <w:i/>
          <w:sz w:val="24"/>
          <w:szCs w:val="24"/>
        </w:rPr>
        <w:t>Cancer</w:t>
      </w:r>
      <w:r w:rsidRPr="002C149E">
        <w:rPr>
          <w:rFonts w:ascii="Times New Roman" w:hAnsi="Times New Roman" w:cs="Times New Roman"/>
          <w:sz w:val="24"/>
          <w:szCs w:val="24"/>
        </w:rPr>
        <w:t xml:space="preserve">  2010</w:t>
      </w:r>
      <w:proofErr w:type="gramEnd"/>
      <w:r w:rsidRPr="002C149E">
        <w:rPr>
          <w:rFonts w:ascii="Times New Roman" w:hAnsi="Times New Roman" w:cs="Times New Roman"/>
          <w:sz w:val="24"/>
          <w:szCs w:val="24"/>
        </w:rPr>
        <w:t>; 18: 1321-1327.</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21. Van der </w:t>
      </w:r>
      <w:proofErr w:type="spellStart"/>
      <w:r w:rsidRPr="002C149E">
        <w:rPr>
          <w:rFonts w:ascii="Times New Roman" w:hAnsi="Times New Roman" w:cs="Times New Roman"/>
          <w:sz w:val="24"/>
          <w:szCs w:val="24"/>
        </w:rPr>
        <w:t>Houwen</w:t>
      </w:r>
      <w:proofErr w:type="spellEnd"/>
      <w:r w:rsidRPr="002C149E">
        <w:rPr>
          <w:rFonts w:ascii="Times New Roman" w:hAnsi="Times New Roman" w:cs="Times New Roman"/>
          <w:sz w:val="24"/>
          <w:szCs w:val="24"/>
        </w:rPr>
        <w:t xml:space="preserve"> K, </w:t>
      </w:r>
      <w:proofErr w:type="spellStart"/>
      <w:r w:rsidRPr="002C149E">
        <w:rPr>
          <w:rFonts w:ascii="Times New Roman" w:hAnsi="Times New Roman" w:cs="Times New Roman"/>
          <w:sz w:val="24"/>
          <w:szCs w:val="24"/>
        </w:rPr>
        <w:t>Stroebe</w:t>
      </w:r>
      <w:proofErr w:type="spellEnd"/>
      <w:r w:rsidRPr="002C149E">
        <w:rPr>
          <w:rFonts w:ascii="Times New Roman" w:hAnsi="Times New Roman" w:cs="Times New Roman"/>
          <w:sz w:val="24"/>
          <w:szCs w:val="24"/>
        </w:rPr>
        <w:t xml:space="preserve"> M, </w:t>
      </w:r>
      <w:proofErr w:type="spellStart"/>
      <w:r w:rsidRPr="002C149E">
        <w:rPr>
          <w:rFonts w:ascii="Times New Roman" w:hAnsi="Times New Roman" w:cs="Times New Roman"/>
          <w:sz w:val="24"/>
          <w:szCs w:val="24"/>
        </w:rPr>
        <w:t>Stroebe</w:t>
      </w:r>
      <w:proofErr w:type="spellEnd"/>
      <w:r w:rsidRPr="002C149E">
        <w:rPr>
          <w:rFonts w:ascii="Times New Roman" w:hAnsi="Times New Roman" w:cs="Times New Roman"/>
          <w:sz w:val="24"/>
          <w:szCs w:val="24"/>
        </w:rPr>
        <w:t xml:space="preserve"> W et al. Risk Factors for Bereavement Outcome: A Multivariate Approach. </w:t>
      </w:r>
      <w:r w:rsidRPr="002C149E">
        <w:rPr>
          <w:rFonts w:ascii="Times New Roman" w:hAnsi="Times New Roman" w:cs="Times New Roman"/>
          <w:i/>
          <w:sz w:val="24"/>
          <w:szCs w:val="24"/>
        </w:rPr>
        <w:t>Death Studies</w:t>
      </w:r>
      <w:r w:rsidRPr="002C149E">
        <w:rPr>
          <w:rFonts w:ascii="Times New Roman" w:hAnsi="Times New Roman" w:cs="Times New Roman"/>
          <w:sz w:val="24"/>
          <w:szCs w:val="24"/>
        </w:rPr>
        <w:t xml:space="preserve"> 2010; 34: 195-220.</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22. Hebert RS, Dang Q, Schulz R. Preparedness for the Death of a Loved One and Mental Health in Bereaved Caregivers of Patients with Dementia: Findings from the REACH Study. </w:t>
      </w:r>
      <w:r w:rsidRPr="002C149E">
        <w:rPr>
          <w:rFonts w:ascii="Times New Roman" w:hAnsi="Times New Roman" w:cs="Times New Roman"/>
          <w:i/>
          <w:sz w:val="24"/>
          <w:szCs w:val="24"/>
        </w:rPr>
        <w:t>Journal of Palliative Medicine</w:t>
      </w:r>
      <w:r w:rsidRPr="002C149E">
        <w:rPr>
          <w:rFonts w:ascii="Times New Roman" w:hAnsi="Times New Roman" w:cs="Times New Roman"/>
          <w:sz w:val="24"/>
          <w:szCs w:val="24"/>
        </w:rPr>
        <w:t xml:space="preserve"> 2006</w:t>
      </w:r>
      <w:proofErr w:type="gramStart"/>
      <w:r w:rsidRPr="002C149E">
        <w:rPr>
          <w:rFonts w:ascii="Times New Roman" w:hAnsi="Times New Roman" w:cs="Times New Roman"/>
          <w:sz w:val="24"/>
          <w:szCs w:val="24"/>
        </w:rPr>
        <w:t>;9</w:t>
      </w:r>
      <w:proofErr w:type="gramEnd"/>
      <w:r w:rsidRPr="002C149E">
        <w:rPr>
          <w:rFonts w:ascii="Times New Roman" w:hAnsi="Times New Roman" w:cs="Times New Roman"/>
          <w:sz w:val="24"/>
          <w:szCs w:val="24"/>
        </w:rPr>
        <w:t xml:space="preserve">(3):683-693. </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23. Wright A, Zhang B, Ray A et al. Associations Between End-of-Life Discussions, Patient Mental Health, Medical Care Near Death, and Caregiver Bereavement Adjustment. </w:t>
      </w:r>
      <w:r w:rsidRPr="002C149E">
        <w:rPr>
          <w:rFonts w:ascii="Times New Roman" w:hAnsi="Times New Roman" w:cs="Times New Roman"/>
          <w:i/>
          <w:sz w:val="24"/>
          <w:szCs w:val="24"/>
        </w:rPr>
        <w:t>JAMA</w:t>
      </w:r>
      <w:r w:rsidRPr="002C149E">
        <w:rPr>
          <w:rFonts w:ascii="Times New Roman" w:hAnsi="Times New Roman" w:cs="Times New Roman"/>
          <w:sz w:val="24"/>
          <w:szCs w:val="24"/>
        </w:rPr>
        <w:t xml:space="preserve"> 2008; 300(14): 1665-1673.</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24. Higgins P &amp; </w:t>
      </w:r>
      <w:proofErr w:type="spellStart"/>
      <w:r w:rsidRPr="002C149E">
        <w:rPr>
          <w:rFonts w:ascii="Times New Roman" w:hAnsi="Times New Roman" w:cs="Times New Roman"/>
          <w:sz w:val="24"/>
          <w:szCs w:val="24"/>
        </w:rPr>
        <w:t>Prigerson</w:t>
      </w:r>
      <w:proofErr w:type="spellEnd"/>
      <w:r w:rsidRPr="002C149E">
        <w:rPr>
          <w:rFonts w:ascii="Times New Roman" w:hAnsi="Times New Roman" w:cs="Times New Roman"/>
          <w:sz w:val="24"/>
          <w:szCs w:val="24"/>
        </w:rPr>
        <w:t xml:space="preserve"> HG. Caregiver Evaluation of the Quality of End-of-Life Care (CEQUEL) Scale: The Caregiver’s Perception of Patient Care </w:t>
      </w:r>
      <w:proofErr w:type="gramStart"/>
      <w:r w:rsidRPr="002C149E">
        <w:rPr>
          <w:rFonts w:ascii="Times New Roman" w:hAnsi="Times New Roman" w:cs="Times New Roman"/>
          <w:sz w:val="24"/>
          <w:szCs w:val="24"/>
        </w:rPr>
        <w:t>Near</w:t>
      </w:r>
      <w:proofErr w:type="gramEnd"/>
      <w:r w:rsidRPr="002C149E">
        <w:rPr>
          <w:rFonts w:ascii="Times New Roman" w:hAnsi="Times New Roman" w:cs="Times New Roman"/>
          <w:sz w:val="24"/>
          <w:szCs w:val="24"/>
        </w:rPr>
        <w:t xml:space="preserve"> Death. </w:t>
      </w:r>
      <w:proofErr w:type="spellStart"/>
      <w:r w:rsidRPr="002C149E">
        <w:rPr>
          <w:rFonts w:ascii="Times New Roman" w:hAnsi="Times New Roman" w:cs="Times New Roman"/>
          <w:i/>
          <w:sz w:val="24"/>
          <w:szCs w:val="24"/>
        </w:rPr>
        <w:t>PLoS</w:t>
      </w:r>
      <w:proofErr w:type="spellEnd"/>
      <w:r w:rsidRPr="002C149E">
        <w:rPr>
          <w:rFonts w:ascii="Times New Roman" w:hAnsi="Times New Roman" w:cs="Times New Roman"/>
          <w:i/>
          <w:sz w:val="24"/>
          <w:szCs w:val="24"/>
        </w:rPr>
        <w:t xml:space="preserve"> ONE</w:t>
      </w:r>
      <w:r w:rsidRPr="002C149E">
        <w:rPr>
          <w:rFonts w:ascii="Times New Roman" w:hAnsi="Times New Roman" w:cs="Times New Roman"/>
          <w:sz w:val="24"/>
          <w:szCs w:val="24"/>
        </w:rPr>
        <w:t xml:space="preserve"> 2013; 8(6): e66066</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lastRenderedPageBreak/>
        <w:t xml:space="preserve">25. </w:t>
      </w:r>
      <w:proofErr w:type="spellStart"/>
      <w:r w:rsidRPr="002C149E">
        <w:rPr>
          <w:rFonts w:ascii="Times New Roman" w:hAnsi="Times New Roman" w:cs="Times New Roman"/>
          <w:sz w:val="24"/>
          <w:szCs w:val="24"/>
        </w:rPr>
        <w:t>Heyland</w:t>
      </w:r>
      <w:proofErr w:type="spellEnd"/>
      <w:r w:rsidRPr="002C149E">
        <w:rPr>
          <w:rFonts w:ascii="Times New Roman" w:hAnsi="Times New Roman" w:cs="Times New Roman"/>
          <w:sz w:val="24"/>
          <w:szCs w:val="24"/>
        </w:rPr>
        <w:t xml:space="preserve"> DK, </w:t>
      </w:r>
      <w:proofErr w:type="spellStart"/>
      <w:r w:rsidRPr="002C149E">
        <w:rPr>
          <w:rFonts w:ascii="Times New Roman" w:hAnsi="Times New Roman" w:cs="Times New Roman"/>
          <w:sz w:val="24"/>
          <w:szCs w:val="24"/>
        </w:rPr>
        <w:t>Dodek</w:t>
      </w:r>
      <w:proofErr w:type="spellEnd"/>
      <w:r w:rsidRPr="002C149E">
        <w:rPr>
          <w:rFonts w:ascii="Times New Roman" w:hAnsi="Times New Roman" w:cs="Times New Roman"/>
          <w:sz w:val="24"/>
          <w:szCs w:val="24"/>
        </w:rPr>
        <w:t xml:space="preserve"> P, Rocker G et al. What matters most in end-of-life care: perceptions of seriously ill patients and their family </w:t>
      </w:r>
      <w:proofErr w:type="gramStart"/>
      <w:r w:rsidRPr="002C149E">
        <w:rPr>
          <w:rFonts w:ascii="Times New Roman" w:hAnsi="Times New Roman" w:cs="Times New Roman"/>
          <w:sz w:val="24"/>
          <w:szCs w:val="24"/>
        </w:rPr>
        <w:t>members.</w:t>
      </w:r>
      <w:proofErr w:type="gramEnd"/>
      <w:r w:rsidRPr="002C149E">
        <w:rPr>
          <w:rFonts w:ascii="Times New Roman" w:hAnsi="Times New Roman" w:cs="Times New Roman"/>
          <w:sz w:val="24"/>
          <w:szCs w:val="24"/>
        </w:rPr>
        <w:t xml:space="preserve"> </w:t>
      </w:r>
      <w:proofErr w:type="gramStart"/>
      <w:r w:rsidRPr="002C149E">
        <w:rPr>
          <w:rFonts w:ascii="Times New Roman" w:hAnsi="Times New Roman" w:cs="Times New Roman"/>
          <w:i/>
          <w:sz w:val="24"/>
          <w:szCs w:val="24"/>
        </w:rPr>
        <w:t>Canadian Medical Association Journal</w:t>
      </w:r>
      <w:r w:rsidRPr="002C149E">
        <w:rPr>
          <w:rFonts w:ascii="Times New Roman" w:hAnsi="Times New Roman" w:cs="Times New Roman"/>
          <w:sz w:val="24"/>
          <w:szCs w:val="24"/>
        </w:rPr>
        <w:t xml:space="preserve"> 2006; 174(5).</w:t>
      </w:r>
      <w:proofErr w:type="gramEnd"/>
      <w:r w:rsidRPr="002C149E">
        <w:rPr>
          <w:rFonts w:ascii="Times New Roman" w:hAnsi="Times New Roman" w:cs="Times New Roman"/>
          <w:sz w:val="24"/>
          <w:szCs w:val="24"/>
        </w:rPr>
        <w:t xml:space="preserve"> DOI:10.1503/cmaj.050626</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26. Wright AA, Keating NL, </w:t>
      </w:r>
      <w:proofErr w:type="spellStart"/>
      <w:r w:rsidRPr="002C149E">
        <w:rPr>
          <w:rFonts w:ascii="Times New Roman" w:hAnsi="Times New Roman" w:cs="Times New Roman"/>
          <w:sz w:val="24"/>
          <w:szCs w:val="24"/>
        </w:rPr>
        <w:t>Balboni</w:t>
      </w:r>
      <w:proofErr w:type="spellEnd"/>
      <w:r w:rsidRPr="002C149E">
        <w:rPr>
          <w:rFonts w:ascii="Times New Roman" w:hAnsi="Times New Roman" w:cs="Times New Roman"/>
          <w:sz w:val="24"/>
          <w:szCs w:val="24"/>
        </w:rPr>
        <w:t xml:space="preserve"> TA et al. Place of Death: Correlations </w:t>
      </w:r>
      <w:proofErr w:type="gramStart"/>
      <w:r w:rsidRPr="002C149E">
        <w:rPr>
          <w:rFonts w:ascii="Times New Roman" w:hAnsi="Times New Roman" w:cs="Times New Roman"/>
          <w:sz w:val="24"/>
          <w:szCs w:val="24"/>
        </w:rPr>
        <w:t>With</w:t>
      </w:r>
      <w:proofErr w:type="gramEnd"/>
      <w:r w:rsidRPr="002C149E">
        <w:rPr>
          <w:rFonts w:ascii="Times New Roman" w:hAnsi="Times New Roman" w:cs="Times New Roman"/>
          <w:sz w:val="24"/>
          <w:szCs w:val="24"/>
        </w:rPr>
        <w:t xml:space="preserve"> Quality of Life of Patients With Cancer and Predictors of Bereaved Caregivers’ Mental Health. </w:t>
      </w:r>
      <w:r w:rsidRPr="002C149E">
        <w:rPr>
          <w:rFonts w:ascii="Times New Roman" w:hAnsi="Times New Roman" w:cs="Times New Roman"/>
          <w:i/>
          <w:sz w:val="24"/>
          <w:szCs w:val="24"/>
        </w:rPr>
        <w:t>Journal of Clinical Oncology</w:t>
      </w:r>
      <w:r w:rsidRPr="002C149E">
        <w:rPr>
          <w:rFonts w:ascii="Times New Roman" w:hAnsi="Times New Roman" w:cs="Times New Roman"/>
          <w:sz w:val="24"/>
          <w:szCs w:val="24"/>
        </w:rPr>
        <w:t xml:space="preserve"> 2010; 28(29): 4457-4464.</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27. </w:t>
      </w:r>
      <w:proofErr w:type="spellStart"/>
      <w:r w:rsidRPr="002C149E">
        <w:rPr>
          <w:rFonts w:ascii="Times New Roman" w:hAnsi="Times New Roman" w:cs="Times New Roman"/>
          <w:sz w:val="24"/>
          <w:szCs w:val="24"/>
        </w:rPr>
        <w:t>Holtslander</w:t>
      </w:r>
      <w:proofErr w:type="spellEnd"/>
      <w:r w:rsidRPr="002C149E">
        <w:rPr>
          <w:rFonts w:ascii="Times New Roman" w:hAnsi="Times New Roman" w:cs="Times New Roman"/>
          <w:sz w:val="24"/>
          <w:szCs w:val="24"/>
        </w:rPr>
        <w:t xml:space="preserve"> LF. Caring for Bereaved Family Caregivers: </w:t>
      </w:r>
      <w:proofErr w:type="spellStart"/>
      <w:r w:rsidRPr="002C149E">
        <w:rPr>
          <w:rFonts w:ascii="Times New Roman" w:hAnsi="Times New Roman" w:cs="Times New Roman"/>
          <w:sz w:val="24"/>
          <w:szCs w:val="24"/>
        </w:rPr>
        <w:t>Analyzing</w:t>
      </w:r>
      <w:proofErr w:type="spellEnd"/>
      <w:r w:rsidRPr="002C149E">
        <w:rPr>
          <w:rFonts w:ascii="Times New Roman" w:hAnsi="Times New Roman" w:cs="Times New Roman"/>
          <w:sz w:val="24"/>
          <w:szCs w:val="24"/>
        </w:rPr>
        <w:t xml:space="preserve"> the Context of Care. </w:t>
      </w:r>
      <w:r w:rsidRPr="002C149E">
        <w:rPr>
          <w:rFonts w:ascii="Times New Roman" w:hAnsi="Times New Roman" w:cs="Times New Roman"/>
          <w:i/>
          <w:sz w:val="24"/>
          <w:szCs w:val="24"/>
        </w:rPr>
        <w:t xml:space="preserve">Clinical Journal of Oncology Nursing </w:t>
      </w:r>
      <w:r w:rsidRPr="002C149E">
        <w:rPr>
          <w:rFonts w:ascii="Times New Roman" w:hAnsi="Times New Roman" w:cs="Times New Roman"/>
          <w:sz w:val="24"/>
          <w:szCs w:val="24"/>
        </w:rPr>
        <w:t>2007; 12(3): 501-506.</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28. </w:t>
      </w:r>
      <w:proofErr w:type="spellStart"/>
      <w:r w:rsidRPr="002C149E">
        <w:rPr>
          <w:rFonts w:ascii="Times New Roman" w:hAnsi="Times New Roman" w:cs="Times New Roman"/>
          <w:sz w:val="24"/>
          <w:szCs w:val="24"/>
        </w:rPr>
        <w:t>Rosner</w:t>
      </w:r>
      <w:proofErr w:type="spellEnd"/>
      <w:r w:rsidRPr="002C149E">
        <w:rPr>
          <w:rFonts w:ascii="Times New Roman" w:hAnsi="Times New Roman" w:cs="Times New Roman"/>
          <w:sz w:val="24"/>
          <w:szCs w:val="24"/>
        </w:rPr>
        <w:t xml:space="preserve"> R. Prolonged grief: setting the research agenda. </w:t>
      </w:r>
      <w:proofErr w:type="gramStart"/>
      <w:r w:rsidRPr="002C149E">
        <w:rPr>
          <w:rFonts w:ascii="Times New Roman" w:hAnsi="Times New Roman" w:cs="Times New Roman"/>
          <w:i/>
          <w:sz w:val="24"/>
          <w:szCs w:val="24"/>
        </w:rPr>
        <w:t>European  Journal</w:t>
      </w:r>
      <w:proofErr w:type="gramEnd"/>
      <w:r w:rsidRPr="002C149E">
        <w:rPr>
          <w:rFonts w:ascii="Times New Roman" w:hAnsi="Times New Roman" w:cs="Times New Roman"/>
          <w:i/>
          <w:sz w:val="24"/>
          <w:szCs w:val="24"/>
        </w:rPr>
        <w:t xml:space="preserve"> of </w:t>
      </w:r>
      <w:proofErr w:type="spellStart"/>
      <w:r w:rsidRPr="002C149E">
        <w:rPr>
          <w:rFonts w:ascii="Times New Roman" w:hAnsi="Times New Roman" w:cs="Times New Roman"/>
          <w:i/>
          <w:sz w:val="24"/>
          <w:szCs w:val="24"/>
        </w:rPr>
        <w:t>Psychotraumatology</w:t>
      </w:r>
      <w:proofErr w:type="spellEnd"/>
      <w:r w:rsidRPr="002C149E">
        <w:rPr>
          <w:rFonts w:ascii="Times New Roman" w:hAnsi="Times New Roman" w:cs="Times New Roman"/>
          <w:i/>
          <w:sz w:val="24"/>
          <w:szCs w:val="24"/>
        </w:rPr>
        <w:t xml:space="preserve"> </w:t>
      </w:r>
      <w:r w:rsidRPr="002C149E">
        <w:rPr>
          <w:rFonts w:ascii="Times New Roman" w:hAnsi="Times New Roman" w:cs="Times New Roman"/>
          <w:sz w:val="24"/>
          <w:szCs w:val="24"/>
        </w:rPr>
        <w:t xml:space="preserve">2015; 6: 27303 – </w:t>
      </w:r>
      <w:hyperlink r:id="rId9" w:history="1">
        <w:r w:rsidRPr="002C149E">
          <w:rPr>
            <w:rStyle w:val="Hyperlink"/>
            <w:rFonts w:ascii="Times New Roman" w:hAnsi="Times New Roman" w:cs="Times New Roman"/>
            <w:sz w:val="24"/>
            <w:szCs w:val="24"/>
          </w:rPr>
          <w:t>http://dx.doi.org/10.3402/ejpt.v6.27303</w:t>
        </w:r>
      </w:hyperlink>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29. </w:t>
      </w:r>
      <w:proofErr w:type="spellStart"/>
      <w:r w:rsidRPr="002C149E">
        <w:rPr>
          <w:rFonts w:ascii="Times New Roman" w:hAnsi="Times New Roman" w:cs="Times New Roman"/>
          <w:sz w:val="24"/>
          <w:szCs w:val="24"/>
        </w:rPr>
        <w:t>Prigerson</w:t>
      </w:r>
      <w:proofErr w:type="spellEnd"/>
      <w:r w:rsidRPr="002C149E">
        <w:rPr>
          <w:rFonts w:ascii="Times New Roman" w:hAnsi="Times New Roman" w:cs="Times New Roman"/>
          <w:sz w:val="24"/>
          <w:szCs w:val="24"/>
        </w:rPr>
        <w:t xml:space="preserve"> HG, </w:t>
      </w:r>
      <w:proofErr w:type="spellStart"/>
      <w:r w:rsidRPr="002C149E">
        <w:rPr>
          <w:rFonts w:ascii="Times New Roman" w:hAnsi="Times New Roman" w:cs="Times New Roman"/>
          <w:sz w:val="24"/>
          <w:szCs w:val="24"/>
        </w:rPr>
        <w:t>Bierhals</w:t>
      </w:r>
      <w:proofErr w:type="spellEnd"/>
      <w:r w:rsidRPr="002C149E">
        <w:rPr>
          <w:rFonts w:ascii="Times New Roman" w:hAnsi="Times New Roman" w:cs="Times New Roman"/>
          <w:sz w:val="24"/>
          <w:szCs w:val="24"/>
        </w:rPr>
        <w:t xml:space="preserve"> AJ, </w:t>
      </w:r>
      <w:proofErr w:type="spellStart"/>
      <w:r w:rsidRPr="002C149E">
        <w:rPr>
          <w:rFonts w:ascii="Times New Roman" w:hAnsi="Times New Roman" w:cs="Times New Roman"/>
          <w:sz w:val="24"/>
          <w:szCs w:val="24"/>
        </w:rPr>
        <w:t>Kasl</w:t>
      </w:r>
      <w:proofErr w:type="spellEnd"/>
      <w:r w:rsidRPr="002C149E">
        <w:rPr>
          <w:rFonts w:ascii="Times New Roman" w:hAnsi="Times New Roman" w:cs="Times New Roman"/>
          <w:sz w:val="24"/>
          <w:szCs w:val="24"/>
        </w:rPr>
        <w:t xml:space="preserve"> S et al. Traumatic Grief as a Risk Factor for Mental and Physical Morbidity. </w:t>
      </w:r>
      <w:r w:rsidRPr="002C149E">
        <w:rPr>
          <w:rFonts w:ascii="Times New Roman" w:hAnsi="Times New Roman" w:cs="Times New Roman"/>
          <w:i/>
          <w:sz w:val="24"/>
          <w:szCs w:val="24"/>
        </w:rPr>
        <w:t>The American Journal of Psychiatry</w:t>
      </w:r>
      <w:r w:rsidRPr="002C149E">
        <w:rPr>
          <w:rFonts w:ascii="Times New Roman" w:hAnsi="Times New Roman" w:cs="Times New Roman"/>
          <w:sz w:val="24"/>
          <w:szCs w:val="24"/>
        </w:rPr>
        <w:t xml:space="preserve"> 1997; 154(5):616-623. </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30. </w:t>
      </w:r>
      <w:proofErr w:type="spellStart"/>
      <w:r w:rsidRPr="002C149E">
        <w:rPr>
          <w:rFonts w:ascii="Times New Roman" w:hAnsi="Times New Roman" w:cs="Times New Roman"/>
          <w:sz w:val="24"/>
          <w:szCs w:val="24"/>
        </w:rPr>
        <w:t>Prigerson</w:t>
      </w:r>
      <w:proofErr w:type="spellEnd"/>
      <w:r w:rsidRPr="002C149E">
        <w:rPr>
          <w:rFonts w:ascii="Times New Roman" w:hAnsi="Times New Roman" w:cs="Times New Roman"/>
          <w:sz w:val="24"/>
          <w:szCs w:val="24"/>
        </w:rPr>
        <w:t xml:space="preserve"> HG, Horowitz MJ, Jacobs SC et al. Prolonged Grie</w:t>
      </w:r>
      <w:r w:rsidR="00D33BA7" w:rsidRPr="002C149E">
        <w:rPr>
          <w:rFonts w:ascii="Times New Roman" w:hAnsi="Times New Roman" w:cs="Times New Roman"/>
          <w:sz w:val="24"/>
          <w:szCs w:val="24"/>
        </w:rPr>
        <w:t>f</w:t>
      </w:r>
      <w:r w:rsidRPr="002C149E">
        <w:rPr>
          <w:rFonts w:ascii="Times New Roman" w:hAnsi="Times New Roman" w:cs="Times New Roman"/>
          <w:sz w:val="24"/>
          <w:szCs w:val="24"/>
        </w:rPr>
        <w:t xml:space="preserve"> Disorder: Psychometric Validation of Criteria Proposed for DSM-V and ICD-11. </w:t>
      </w:r>
      <w:proofErr w:type="spellStart"/>
      <w:r w:rsidRPr="002C149E">
        <w:rPr>
          <w:rFonts w:ascii="Times New Roman" w:hAnsi="Times New Roman" w:cs="Times New Roman"/>
          <w:i/>
          <w:sz w:val="24"/>
          <w:szCs w:val="24"/>
        </w:rPr>
        <w:t>PLoS</w:t>
      </w:r>
      <w:proofErr w:type="spellEnd"/>
      <w:r w:rsidRPr="002C149E">
        <w:rPr>
          <w:rFonts w:ascii="Times New Roman" w:hAnsi="Times New Roman" w:cs="Times New Roman"/>
          <w:i/>
          <w:sz w:val="24"/>
          <w:szCs w:val="24"/>
        </w:rPr>
        <w:t xml:space="preserve"> Medicine</w:t>
      </w:r>
      <w:r w:rsidRPr="002C149E">
        <w:rPr>
          <w:rFonts w:ascii="Times New Roman" w:hAnsi="Times New Roman" w:cs="Times New Roman"/>
          <w:sz w:val="24"/>
          <w:szCs w:val="24"/>
        </w:rPr>
        <w:t xml:space="preserve"> 2009; 6(8): e1000121</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31. Bryant R. Prolonged Grief: Where to after Diagnostic and Statistical Manual of Mental Disorders, 5</w:t>
      </w:r>
      <w:r w:rsidRPr="002C149E">
        <w:rPr>
          <w:rFonts w:ascii="Times New Roman" w:hAnsi="Times New Roman" w:cs="Times New Roman"/>
          <w:sz w:val="24"/>
          <w:szCs w:val="24"/>
          <w:vertAlign w:val="superscript"/>
        </w:rPr>
        <w:t>th</w:t>
      </w:r>
      <w:r w:rsidRPr="002C149E">
        <w:rPr>
          <w:rFonts w:ascii="Times New Roman" w:hAnsi="Times New Roman" w:cs="Times New Roman"/>
          <w:sz w:val="24"/>
          <w:szCs w:val="24"/>
        </w:rPr>
        <w:t xml:space="preserve"> Edition? </w:t>
      </w:r>
      <w:r w:rsidRPr="002C149E">
        <w:rPr>
          <w:rFonts w:ascii="Times New Roman" w:hAnsi="Times New Roman" w:cs="Times New Roman"/>
          <w:i/>
          <w:sz w:val="24"/>
          <w:szCs w:val="24"/>
        </w:rPr>
        <w:t>Current Opinion in Psychiatry</w:t>
      </w:r>
      <w:r w:rsidRPr="002C149E">
        <w:rPr>
          <w:rFonts w:ascii="Times New Roman" w:hAnsi="Times New Roman" w:cs="Times New Roman"/>
          <w:sz w:val="24"/>
          <w:szCs w:val="24"/>
        </w:rPr>
        <w:t xml:space="preserve"> 2014; 27(1): 21-26.</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32. Shear MK, Simon N, Wall M et al. Complicated Grief and Related Bereavement Issues for DSM-5. </w:t>
      </w:r>
      <w:proofErr w:type="gramStart"/>
      <w:r w:rsidRPr="002C149E">
        <w:rPr>
          <w:rFonts w:ascii="Times New Roman" w:hAnsi="Times New Roman" w:cs="Times New Roman"/>
          <w:i/>
          <w:sz w:val="24"/>
          <w:szCs w:val="24"/>
        </w:rPr>
        <w:t>Depression and Anxiety</w:t>
      </w:r>
      <w:r w:rsidRPr="002C149E">
        <w:rPr>
          <w:rFonts w:ascii="Times New Roman" w:hAnsi="Times New Roman" w:cs="Times New Roman"/>
          <w:sz w:val="24"/>
          <w:szCs w:val="24"/>
        </w:rPr>
        <w:t xml:space="preserve"> 2011; 28: 103-117.</w:t>
      </w:r>
      <w:proofErr w:type="gramEnd"/>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33. Simon NM, Wall MM, </w:t>
      </w:r>
      <w:proofErr w:type="spellStart"/>
      <w:r w:rsidRPr="002C149E">
        <w:rPr>
          <w:rFonts w:ascii="Times New Roman" w:hAnsi="Times New Roman" w:cs="Times New Roman"/>
          <w:sz w:val="24"/>
          <w:szCs w:val="24"/>
        </w:rPr>
        <w:t>Keshaviah</w:t>
      </w:r>
      <w:proofErr w:type="spellEnd"/>
      <w:r w:rsidRPr="002C149E">
        <w:rPr>
          <w:rFonts w:ascii="Times New Roman" w:hAnsi="Times New Roman" w:cs="Times New Roman"/>
          <w:sz w:val="24"/>
          <w:szCs w:val="24"/>
        </w:rPr>
        <w:t xml:space="preserve"> A et al. Informing the Symptom Profile of Complicated Grief. </w:t>
      </w:r>
      <w:proofErr w:type="gramStart"/>
      <w:r w:rsidRPr="002C149E">
        <w:rPr>
          <w:rFonts w:ascii="Times New Roman" w:hAnsi="Times New Roman" w:cs="Times New Roman"/>
          <w:i/>
          <w:sz w:val="24"/>
          <w:szCs w:val="24"/>
        </w:rPr>
        <w:t>Depression and Anxiety</w:t>
      </w:r>
      <w:r w:rsidRPr="002C149E">
        <w:rPr>
          <w:rFonts w:ascii="Times New Roman" w:hAnsi="Times New Roman" w:cs="Times New Roman"/>
          <w:sz w:val="24"/>
          <w:szCs w:val="24"/>
        </w:rPr>
        <w:t xml:space="preserve"> 2011; 28: 188-126.</w:t>
      </w:r>
      <w:proofErr w:type="gramEnd"/>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34. </w:t>
      </w:r>
      <w:proofErr w:type="spellStart"/>
      <w:r w:rsidRPr="002C149E">
        <w:rPr>
          <w:rFonts w:ascii="Times New Roman" w:hAnsi="Times New Roman" w:cs="Times New Roman"/>
          <w:sz w:val="24"/>
          <w:szCs w:val="24"/>
        </w:rPr>
        <w:t>Maercker</w:t>
      </w:r>
      <w:proofErr w:type="spellEnd"/>
      <w:r w:rsidRPr="002C149E">
        <w:rPr>
          <w:rFonts w:ascii="Times New Roman" w:hAnsi="Times New Roman" w:cs="Times New Roman"/>
          <w:sz w:val="24"/>
          <w:szCs w:val="24"/>
        </w:rPr>
        <w:t xml:space="preserve"> A, Brewin CR, Bryant RA et al. Diagnosis and classification of disorders specifically associated with stress: proposals for ICD-11. </w:t>
      </w:r>
      <w:r w:rsidRPr="002C149E">
        <w:rPr>
          <w:rFonts w:ascii="Times New Roman" w:hAnsi="Times New Roman" w:cs="Times New Roman"/>
          <w:i/>
          <w:sz w:val="24"/>
          <w:szCs w:val="24"/>
        </w:rPr>
        <w:t>World Psychiatry</w:t>
      </w:r>
      <w:r w:rsidRPr="002C149E">
        <w:rPr>
          <w:rFonts w:ascii="Times New Roman" w:hAnsi="Times New Roman" w:cs="Times New Roman"/>
          <w:sz w:val="24"/>
          <w:szCs w:val="24"/>
        </w:rPr>
        <w:t xml:space="preserve"> 2013; 12(3): 198-206.</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35. </w:t>
      </w:r>
      <w:proofErr w:type="spellStart"/>
      <w:r w:rsidRPr="002C149E">
        <w:rPr>
          <w:rFonts w:ascii="Times New Roman" w:hAnsi="Times New Roman" w:cs="Times New Roman"/>
          <w:sz w:val="24"/>
          <w:szCs w:val="24"/>
        </w:rPr>
        <w:t>Maercker</w:t>
      </w:r>
      <w:proofErr w:type="spellEnd"/>
      <w:r w:rsidRPr="002C149E">
        <w:rPr>
          <w:rFonts w:ascii="Times New Roman" w:hAnsi="Times New Roman" w:cs="Times New Roman"/>
          <w:sz w:val="24"/>
          <w:szCs w:val="24"/>
        </w:rPr>
        <w:t xml:space="preserve"> A, Brewin CR, Bryant RA et al. Proposals for mental disorders specifically associated with stress in the International Classification of Diseases-11. </w:t>
      </w:r>
      <w:r w:rsidRPr="002C149E">
        <w:rPr>
          <w:rFonts w:ascii="Times New Roman" w:hAnsi="Times New Roman" w:cs="Times New Roman"/>
          <w:i/>
          <w:sz w:val="24"/>
          <w:szCs w:val="24"/>
        </w:rPr>
        <w:t>The Lancet</w:t>
      </w:r>
      <w:r w:rsidRPr="002C149E">
        <w:rPr>
          <w:rFonts w:ascii="Times New Roman" w:hAnsi="Times New Roman" w:cs="Times New Roman"/>
          <w:sz w:val="24"/>
          <w:szCs w:val="24"/>
        </w:rPr>
        <w:t xml:space="preserve"> 2013; 381: 1683-1685.</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36. </w:t>
      </w:r>
      <w:proofErr w:type="spellStart"/>
      <w:r w:rsidRPr="002C149E">
        <w:rPr>
          <w:rFonts w:ascii="Times New Roman" w:hAnsi="Times New Roman" w:cs="Times New Roman"/>
          <w:sz w:val="24"/>
          <w:szCs w:val="24"/>
        </w:rPr>
        <w:t>Schut</w:t>
      </w:r>
      <w:proofErr w:type="spellEnd"/>
      <w:r w:rsidRPr="002C149E">
        <w:rPr>
          <w:rFonts w:ascii="Times New Roman" w:hAnsi="Times New Roman" w:cs="Times New Roman"/>
          <w:sz w:val="24"/>
          <w:szCs w:val="24"/>
        </w:rPr>
        <w:t xml:space="preserve"> H &amp; </w:t>
      </w:r>
      <w:proofErr w:type="spellStart"/>
      <w:r w:rsidRPr="002C149E">
        <w:rPr>
          <w:rFonts w:ascii="Times New Roman" w:hAnsi="Times New Roman" w:cs="Times New Roman"/>
          <w:sz w:val="24"/>
          <w:szCs w:val="24"/>
        </w:rPr>
        <w:t>Stroebe</w:t>
      </w:r>
      <w:proofErr w:type="spellEnd"/>
      <w:r w:rsidRPr="002C149E">
        <w:rPr>
          <w:rFonts w:ascii="Times New Roman" w:hAnsi="Times New Roman" w:cs="Times New Roman"/>
          <w:sz w:val="24"/>
          <w:szCs w:val="24"/>
        </w:rPr>
        <w:t xml:space="preserve"> MS. Interventions to Enhance Adaptation to Bereavement. </w:t>
      </w:r>
      <w:r w:rsidRPr="002C149E">
        <w:rPr>
          <w:rFonts w:ascii="Times New Roman" w:hAnsi="Times New Roman" w:cs="Times New Roman"/>
          <w:i/>
          <w:sz w:val="24"/>
          <w:szCs w:val="24"/>
        </w:rPr>
        <w:t>Journal of Palliative Medicine</w:t>
      </w:r>
      <w:r w:rsidRPr="002C149E">
        <w:rPr>
          <w:rFonts w:ascii="Times New Roman" w:hAnsi="Times New Roman" w:cs="Times New Roman"/>
          <w:sz w:val="24"/>
          <w:szCs w:val="24"/>
        </w:rPr>
        <w:t xml:space="preserve"> 2005; 8(</w:t>
      </w:r>
      <w:proofErr w:type="spellStart"/>
      <w:r w:rsidRPr="002C149E">
        <w:rPr>
          <w:rFonts w:ascii="Times New Roman" w:hAnsi="Times New Roman" w:cs="Times New Roman"/>
          <w:sz w:val="24"/>
          <w:szCs w:val="24"/>
        </w:rPr>
        <w:t>supp</w:t>
      </w:r>
      <w:proofErr w:type="spellEnd"/>
      <w:r w:rsidRPr="002C149E">
        <w:rPr>
          <w:rFonts w:ascii="Times New Roman" w:hAnsi="Times New Roman" w:cs="Times New Roman"/>
          <w:sz w:val="24"/>
          <w:szCs w:val="24"/>
        </w:rPr>
        <w:t xml:space="preserve"> 1): s-140-s-147.</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37. Wagner B, </w:t>
      </w:r>
      <w:proofErr w:type="spellStart"/>
      <w:r w:rsidRPr="002C149E">
        <w:rPr>
          <w:rFonts w:ascii="Times New Roman" w:hAnsi="Times New Roman" w:cs="Times New Roman"/>
          <w:sz w:val="24"/>
          <w:szCs w:val="24"/>
        </w:rPr>
        <w:t>Knaevelsrud</w:t>
      </w:r>
      <w:proofErr w:type="spellEnd"/>
      <w:r w:rsidRPr="002C149E">
        <w:rPr>
          <w:rFonts w:ascii="Times New Roman" w:hAnsi="Times New Roman" w:cs="Times New Roman"/>
          <w:sz w:val="24"/>
          <w:szCs w:val="24"/>
        </w:rPr>
        <w:t xml:space="preserve"> C &amp; </w:t>
      </w:r>
      <w:proofErr w:type="spellStart"/>
      <w:r w:rsidRPr="002C149E">
        <w:rPr>
          <w:rFonts w:ascii="Times New Roman" w:hAnsi="Times New Roman" w:cs="Times New Roman"/>
          <w:sz w:val="24"/>
          <w:szCs w:val="24"/>
        </w:rPr>
        <w:t>Maercker</w:t>
      </w:r>
      <w:proofErr w:type="spellEnd"/>
      <w:r w:rsidRPr="002C149E">
        <w:rPr>
          <w:rFonts w:ascii="Times New Roman" w:hAnsi="Times New Roman" w:cs="Times New Roman"/>
          <w:sz w:val="24"/>
          <w:szCs w:val="24"/>
        </w:rPr>
        <w:t xml:space="preserve"> A. Internet-Based Cognitive-Behavioural Therapy </w:t>
      </w:r>
      <w:proofErr w:type="gramStart"/>
      <w:r w:rsidRPr="002C149E">
        <w:rPr>
          <w:rFonts w:ascii="Times New Roman" w:hAnsi="Times New Roman" w:cs="Times New Roman"/>
          <w:sz w:val="24"/>
          <w:szCs w:val="24"/>
        </w:rPr>
        <w:t>For</w:t>
      </w:r>
      <w:proofErr w:type="gramEnd"/>
      <w:r w:rsidRPr="002C149E">
        <w:rPr>
          <w:rFonts w:ascii="Times New Roman" w:hAnsi="Times New Roman" w:cs="Times New Roman"/>
          <w:sz w:val="24"/>
          <w:szCs w:val="24"/>
        </w:rPr>
        <w:t xml:space="preserve"> Complicated Grief: A Randomized Controlled Trial. </w:t>
      </w:r>
      <w:r w:rsidRPr="002C149E">
        <w:rPr>
          <w:rFonts w:ascii="Times New Roman" w:hAnsi="Times New Roman" w:cs="Times New Roman"/>
          <w:i/>
          <w:sz w:val="24"/>
          <w:szCs w:val="24"/>
        </w:rPr>
        <w:t>Death Studies</w:t>
      </w:r>
      <w:r w:rsidRPr="002C149E">
        <w:rPr>
          <w:rFonts w:ascii="Times New Roman" w:hAnsi="Times New Roman" w:cs="Times New Roman"/>
          <w:sz w:val="24"/>
          <w:szCs w:val="24"/>
        </w:rPr>
        <w:t xml:space="preserve"> 2006; 30: 429-453.</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38. Simon NM. Treating Complicated Grief. </w:t>
      </w:r>
      <w:r w:rsidRPr="002C149E">
        <w:rPr>
          <w:rFonts w:ascii="Times New Roman" w:hAnsi="Times New Roman" w:cs="Times New Roman"/>
          <w:i/>
          <w:sz w:val="24"/>
          <w:szCs w:val="24"/>
        </w:rPr>
        <w:t>JAMA</w:t>
      </w:r>
      <w:r w:rsidRPr="002C149E">
        <w:rPr>
          <w:rFonts w:ascii="Times New Roman" w:hAnsi="Times New Roman" w:cs="Times New Roman"/>
          <w:sz w:val="24"/>
          <w:szCs w:val="24"/>
        </w:rPr>
        <w:t xml:space="preserve"> 2013; 310(4)416-423.</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39. Bryant R, Kenny L, </w:t>
      </w:r>
      <w:proofErr w:type="spellStart"/>
      <w:r w:rsidRPr="002C149E">
        <w:rPr>
          <w:rFonts w:ascii="Times New Roman" w:hAnsi="Times New Roman" w:cs="Times New Roman"/>
          <w:sz w:val="24"/>
          <w:szCs w:val="24"/>
        </w:rPr>
        <w:t>Joscelyne</w:t>
      </w:r>
      <w:proofErr w:type="spellEnd"/>
      <w:r w:rsidRPr="002C149E">
        <w:rPr>
          <w:rFonts w:ascii="Times New Roman" w:hAnsi="Times New Roman" w:cs="Times New Roman"/>
          <w:sz w:val="24"/>
          <w:szCs w:val="24"/>
        </w:rPr>
        <w:t xml:space="preserve"> A et al. Treating Prolonged Grief Disorder: A Randomised Clinical Trial. </w:t>
      </w:r>
      <w:r w:rsidRPr="002C149E">
        <w:rPr>
          <w:rFonts w:ascii="Times New Roman" w:hAnsi="Times New Roman" w:cs="Times New Roman"/>
          <w:i/>
          <w:sz w:val="24"/>
          <w:szCs w:val="24"/>
        </w:rPr>
        <w:t xml:space="preserve">JAMA Psychiatry </w:t>
      </w:r>
      <w:r w:rsidRPr="002C149E">
        <w:rPr>
          <w:rFonts w:ascii="Times New Roman" w:hAnsi="Times New Roman" w:cs="Times New Roman"/>
          <w:sz w:val="24"/>
          <w:szCs w:val="24"/>
        </w:rPr>
        <w:t>2014; 71(12): 1332-1339.</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lastRenderedPageBreak/>
        <w:t xml:space="preserve">40. </w:t>
      </w:r>
      <w:proofErr w:type="spellStart"/>
      <w:r w:rsidRPr="002C149E">
        <w:rPr>
          <w:rFonts w:ascii="Times New Roman" w:hAnsi="Times New Roman" w:cs="Times New Roman"/>
          <w:sz w:val="24"/>
          <w:szCs w:val="24"/>
        </w:rPr>
        <w:t>Rosner</w:t>
      </w:r>
      <w:proofErr w:type="spellEnd"/>
      <w:r w:rsidRPr="002C149E">
        <w:rPr>
          <w:rFonts w:ascii="Times New Roman" w:hAnsi="Times New Roman" w:cs="Times New Roman"/>
          <w:sz w:val="24"/>
          <w:szCs w:val="24"/>
        </w:rPr>
        <w:t xml:space="preserve"> R, </w:t>
      </w:r>
      <w:proofErr w:type="spellStart"/>
      <w:r w:rsidRPr="002C149E">
        <w:rPr>
          <w:rFonts w:ascii="Times New Roman" w:hAnsi="Times New Roman" w:cs="Times New Roman"/>
          <w:sz w:val="24"/>
          <w:szCs w:val="24"/>
        </w:rPr>
        <w:t>Pfoh</w:t>
      </w:r>
      <w:proofErr w:type="spellEnd"/>
      <w:r w:rsidRPr="002C149E">
        <w:rPr>
          <w:rFonts w:ascii="Times New Roman" w:hAnsi="Times New Roman" w:cs="Times New Roman"/>
          <w:sz w:val="24"/>
          <w:szCs w:val="24"/>
        </w:rPr>
        <w:t xml:space="preserve"> G, </w:t>
      </w:r>
      <w:proofErr w:type="spellStart"/>
      <w:r w:rsidRPr="002C149E">
        <w:rPr>
          <w:rFonts w:ascii="Times New Roman" w:hAnsi="Times New Roman" w:cs="Times New Roman"/>
          <w:sz w:val="24"/>
          <w:szCs w:val="24"/>
        </w:rPr>
        <w:t>Kotoucova</w:t>
      </w:r>
      <w:proofErr w:type="spellEnd"/>
      <w:r w:rsidRPr="002C149E">
        <w:rPr>
          <w:rFonts w:ascii="Times New Roman" w:hAnsi="Times New Roman" w:cs="Times New Roman"/>
          <w:sz w:val="24"/>
          <w:szCs w:val="24"/>
        </w:rPr>
        <w:t xml:space="preserve"> M &amp; </w:t>
      </w:r>
      <w:proofErr w:type="spellStart"/>
      <w:r w:rsidRPr="002C149E">
        <w:rPr>
          <w:rFonts w:ascii="Times New Roman" w:hAnsi="Times New Roman" w:cs="Times New Roman"/>
          <w:sz w:val="24"/>
          <w:szCs w:val="24"/>
        </w:rPr>
        <w:t>Hagl</w:t>
      </w:r>
      <w:proofErr w:type="spellEnd"/>
      <w:r w:rsidRPr="002C149E">
        <w:rPr>
          <w:rFonts w:ascii="Times New Roman" w:hAnsi="Times New Roman" w:cs="Times New Roman"/>
          <w:sz w:val="24"/>
          <w:szCs w:val="24"/>
        </w:rPr>
        <w:t xml:space="preserve"> M. Efficacy of an outpatient treatment for prolonged grief disorder: A randomised controlled clinical trial. </w:t>
      </w:r>
      <w:r w:rsidRPr="002C149E">
        <w:rPr>
          <w:rFonts w:ascii="Times New Roman" w:hAnsi="Times New Roman" w:cs="Times New Roman"/>
          <w:i/>
          <w:sz w:val="24"/>
          <w:szCs w:val="24"/>
        </w:rPr>
        <w:t>Journal of Affective Disorders</w:t>
      </w:r>
      <w:r w:rsidRPr="002C149E">
        <w:rPr>
          <w:rFonts w:ascii="Times New Roman" w:hAnsi="Times New Roman" w:cs="Times New Roman"/>
          <w:sz w:val="24"/>
          <w:szCs w:val="24"/>
        </w:rPr>
        <w:t xml:space="preserve"> 2014; 167: 56-63.</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41. Jordan AH &amp; </w:t>
      </w:r>
      <w:proofErr w:type="spellStart"/>
      <w:r w:rsidRPr="002C149E">
        <w:rPr>
          <w:rFonts w:ascii="Times New Roman" w:hAnsi="Times New Roman" w:cs="Times New Roman"/>
          <w:sz w:val="24"/>
          <w:szCs w:val="24"/>
        </w:rPr>
        <w:t>Litz</w:t>
      </w:r>
      <w:proofErr w:type="spellEnd"/>
      <w:r w:rsidRPr="002C149E">
        <w:rPr>
          <w:rFonts w:ascii="Times New Roman" w:hAnsi="Times New Roman" w:cs="Times New Roman"/>
          <w:sz w:val="24"/>
          <w:szCs w:val="24"/>
        </w:rPr>
        <w:t xml:space="preserve"> BT. Prolonged Grief Disorder: Diagnostic, Assessment and Treatment Considerations. </w:t>
      </w:r>
      <w:r w:rsidRPr="002C149E">
        <w:rPr>
          <w:rFonts w:ascii="Times New Roman" w:hAnsi="Times New Roman" w:cs="Times New Roman"/>
          <w:i/>
          <w:sz w:val="24"/>
          <w:szCs w:val="24"/>
        </w:rPr>
        <w:t>Professional Psychology: Research and Practice</w:t>
      </w:r>
      <w:r w:rsidRPr="002C149E">
        <w:rPr>
          <w:rFonts w:ascii="Times New Roman" w:hAnsi="Times New Roman" w:cs="Times New Roman"/>
          <w:sz w:val="24"/>
          <w:szCs w:val="24"/>
        </w:rPr>
        <w:t xml:space="preserve"> 2014; 45(3): 180-187.</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42</w:t>
      </w:r>
      <w:r w:rsidR="008B13DB" w:rsidRPr="008B13DB">
        <w:t xml:space="preserve"> </w:t>
      </w:r>
      <w:r w:rsidR="008B13DB" w:rsidRPr="008B13DB">
        <w:rPr>
          <w:rFonts w:ascii="Times New Roman" w:hAnsi="Times New Roman" w:cs="Times New Roman"/>
          <w:sz w:val="24"/>
          <w:szCs w:val="24"/>
        </w:rPr>
        <w:t xml:space="preserve">Abernethy A, </w:t>
      </w:r>
      <w:proofErr w:type="spellStart"/>
      <w:r w:rsidR="008B13DB" w:rsidRPr="008B13DB">
        <w:rPr>
          <w:rFonts w:ascii="Times New Roman" w:hAnsi="Times New Roman" w:cs="Times New Roman"/>
          <w:sz w:val="24"/>
          <w:szCs w:val="24"/>
        </w:rPr>
        <w:t>Currow</w:t>
      </w:r>
      <w:proofErr w:type="spellEnd"/>
      <w:r w:rsidR="008B13DB" w:rsidRPr="008B13DB">
        <w:rPr>
          <w:rFonts w:ascii="Times New Roman" w:hAnsi="Times New Roman" w:cs="Times New Roman"/>
          <w:sz w:val="24"/>
          <w:szCs w:val="24"/>
        </w:rPr>
        <w:t xml:space="preserve"> DC, </w:t>
      </w:r>
      <w:proofErr w:type="spellStart"/>
      <w:r w:rsidR="008B13DB" w:rsidRPr="008B13DB">
        <w:rPr>
          <w:rFonts w:ascii="Times New Roman" w:hAnsi="Times New Roman" w:cs="Times New Roman"/>
          <w:sz w:val="24"/>
          <w:szCs w:val="24"/>
        </w:rPr>
        <w:t>Fazekas</w:t>
      </w:r>
      <w:proofErr w:type="spellEnd"/>
      <w:r w:rsidR="008B13DB" w:rsidRPr="008B13DB">
        <w:rPr>
          <w:rFonts w:ascii="Times New Roman" w:hAnsi="Times New Roman" w:cs="Times New Roman"/>
          <w:sz w:val="24"/>
          <w:szCs w:val="24"/>
        </w:rPr>
        <w:t xml:space="preserve"> BS et al. Specialised palliative care services are associated with improved short and long term caregiver outcomes. Supportive Care in Cancer 2008; 16: 585-597</w:t>
      </w:r>
      <w:r w:rsidRPr="002C149E">
        <w:rPr>
          <w:rFonts w:ascii="Times New Roman" w:hAnsi="Times New Roman" w:cs="Times New Roman"/>
          <w:sz w:val="24"/>
          <w:szCs w:val="24"/>
        </w:rPr>
        <w:t xml:space="preserve">. </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43. </w:t>
      </w:r>
      <w:proofErr w:type="spellStart"/>
      <w:r w:rsidRPr="002C149E">
        <w:rPr>
          <w:rFonts w:ascii="Times New Roman" w:hAnsi="Times New Roman" w:cs="Times New Roman"/>
          <w:sz w:val="24"/>
          <w:szCs w:val="24"/>
        </w:rPr>
        <w:t>Corless</w:t>
      </w:r>
      <w:proofErr w:type="spellEnd"/>
      <w:r w:rsidRPr="002C149E">
        <w:rPr>
          <w:rFonts w:ascii="Times New Roman" w:hAnsi="Times New Roman" w:cs="Times New Roman"/>
          <w:sz w:val="24"/>
          <w:szCs w:val="24"/>
        </w:rPr>
        <w:t xml:space="preserve"> IB, Limbo R, </w:t>
      </w:r>
      <w:proofErr w:type="spellStart"/>
      <w:r w:rsidRPr="002C149E">
        <w:rPr>
          <w:rFonts w:ascii="Times New Roman" w:hAnsi="Times New Roman" w:cs="Times New Roman"/>
          <w:sz w:val="24"/>
          <w:szCs w:val="24"/>
        </w:rPr>
        <w:t>Bousso</w:t>
      </w:r>
      <w:proofErr w:type="spellEnd"/>
      <w:r w:rsidRPr="002C149E">
        <w:rPr>
          <w:rFonts w:ascii="Times New Roman" w:hAnsi="Times New Roman" w:cs="Times New Roman"/>
          <w:sz w:val="24"/>
          <w:szCs w:val="24"/>
        </w:rPr>
        <w:t xml:space="preserve"> RS et al. Languages of Grief: a model for understanding the expressions of the bereaved.  </w:t>
      </w:r>
      <w:r w:rsidRPr="002C149E">
        <w:rPr>
          <w:rFonts w:ascii="Times New Roman" w:hAnsi="Times New Roman" w:cs="Times New Roman"/>
          <w:i/>
          <w:sz w:val="24"/>
          <w:szCs w:val="24"/>
        </w:rPr>
        <w:t>Health Psychology &amp; Behavioural Medicine</w:t>
      </w:r>
      <w:r w:rsidRPr="002C149E">
        <w:rPr>
          <w:rFonts w:ascii="Times New Roman" w:hAnsi="Times New Roman" w:cs="Times New Roman"/>
          <w:sz w:val="24"/>
          <w:szCs w:val="24"/>
        </w:rPr>
        <w:t xml:space="preserve"> 2014; 2(1): 132-143.</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44. </w:t>
      </w:r>
      <w:proofErr w:type="spellStart"/>
      <w:r w:rsidRPr="002C149E">
        <w:rPr>
          <w:rFonts w:ascii="Times New Roman" w:hAnsi="Times New Roman" w:cs="Times New Roman"/>
          <w:sz w:val="24"/>
          <w:szCs w:val="24"/>
        </w:rPr>
        <w:t>Prigerson</w:t>
      </w:r>
      <w:proofErr w:type="spellEnd"/>
      <w:r w:rsidRPr="002C149E">
        <w:rPr>
          <w:rFonts w:ascii="Times New Roman" w:hAnsi="Times New Roman" w:cs="Times New Roman"/>
          <w:sz w:val="24"/>
          <w:szCs w:val="24"/>
        </w:rPr>
        <w:t xml:space="preserve"> HG, </w:t>
      </w:r>
      <w:proofErr w:type="spellStart"/>
      <w:r w:rsidRPr="002C149E">
        <w:rPr>
          <w:rFonts w:ascii="Times New Roman" w:hAnsi="Times New Roman" w:cs="Times New Roman"/>
          <w:sz w:val="24"/>
          <w:szCs w:val="24"/>
        </w:rPr>
        <w:t>Bierhals</w:t>
      </w:r>
      <w:proofErr w:type="spellEnd"/>
      <w:r w:rsidRPr="002C149E">
        <w:rPr>
          <w:rFonts w:ascii="Times New Roman" w:hAnsi="Times New Roman" w:cs="Times New Roman"/>
          <w:sz w:val="24"/>
          <w:szCs w:val="24"/>
        </w:rPr>
        <w:t xml:space="preserve"> AJ, </w:t>
      </w:r>
      <w:proofErr w:type="spellStart"/>
      <w:r w:rsidRPr="002C149E">
        <w:rPr>
          <w:rFonts w:ascii="Times New Roman" w:hAnsi="Times New Roman" w:cs="Times New Roman"/>
          <w:sz w:val="24"/>
          <w:szCs w:val="24"/>
        </w:rPr>
        <w:t>Kasl</w:t>
      </w:r>
      <w:proofErr w:type="spellEnd"/>
      <w:r w:rsidRPr="002C149E">
        <w:rPr>
          <w:rFonts w:ascii="Times New Roman" w:hAnsi="Times New Roman" w:cs="Times New Roman"/>
          <w:sz w:val="24"/>
          <w:szCs w:val="24"/>
        </w:rPr>
        <w:t xml:space="preserve"> SV et al. </w:t>
      </w:r>
      <w:proofErr w:type="gramStart"/>
      <w:r w:rsidRPr="002C149E">
        <w:rPr>
          <w:rFonts w:ascii="Times New Roman" w:hAnsi="Times New Roman" w:cs="Times New Roman"/>
          <w:sz w:val="24"/>
          <w:szCs w:val="24"/>
        </w:rPr>
        <w:t>Compli</w:t>
      </w:r>
      <w:r w:rsidR="000D5FE7">
        <w:rPr>
          <w:rFonts w:ascii="Times New Roman" w:hAnsi="Times New Roman" w:cs="Times New Roman"/>
          <w:sz w:val="24"/>
          <w:szCs w:val="24"/>
        </w:rPr>
        <w:t>ca</w:t>
      </w:r>
      <w:r w:rsidRPr="002C149E">
        <w:rPr>
          <w:rFonts w:ascii="Times New Roman" w:hAnsi="Times New Roman" w:cs="Times New Roman"/>
          <w:sz w:val="24"/>
          <w:szCs w:val="24"/>
        </w:rPr>
        <w:t>ted</w:t>
      </w:r>
      <w:proofErr w:type="gramEnd"/>
      <w:r w:rsidRPr="002C149E">
        <w:rPr>
          <w:rFonts w:ascii="Times New Roman" w:hAnsi="Times New Roman" w:cs="Times New Roman"/>
          <w:sz w:val="24"/>
          <w:szCs w:val="24"/>
        </w:rPr>
        <w:t xml:space="preserve"> grief as a disorder distinct from bereavement-related depression and anxiety: a replication study. American Journal of Psychiatry 1996; 153(11): 1484-1486.</w:t>
      </w:r>
    </w:p>
    <w:p w:rsidR="00DD0690" w:rsidRPr="002C149E" w:rsidRDefault="00DD0690" w:rsidP="00DD0690">
      <w:pPr>
        <w:jc w:val="both"/>
        <w:rPr>
          <w:rFonts w:ascii="Times New Roman" w:hAnsi="Times New Roman" w:cs="Times New Roman"/>
          <w:sz w:val="24"/>
          <w:szCs w:val="24"/>
          <w:lang w:val="en-GB"/>
        </w:rPr>
      </w:pPr>
      <w:r w:rsidRPr="002C149E">
        <w:rPr>
          <w:rFonts w:ascii="Times New Roman" w:hAnsi="Times New Roman" w:cs="Times New Roman"/>
          <w:bCs/>
          <w:sz w:val="24"/>
          <w:szCs w:val="24"/>
          <w:lang w:val="en-GB"/>
        </w:rPr>
        <w:t>45. McCaffrey N,</w:t>
      </w:r>
      <w:r w:rsidRPr="002C149E">
        <w:rPr>
          <w:rFonts w:ascii="Times New Roman" w:hAnsi="Times New Roman" w:cs="Times New Roman"/>
          <w:b/>
          <w:bCs/>
          <w:sz w:val="24"/>
          <w:szCs w:val="24"/>
          <w:lang w:val="en-GB"/>
        </w:rPr>
        <w:t xml:space="preserve"> </w:t>
      </w:r>
      <w:proofErr w:type="spellStart"/>
      <w:r w:rsidRPr="002C149E">
        <w:rPr>
          <w:rFonts w:ascii="Times New Roman" w:hAnsi="Times New Roman" w:cs="Times New Roman"/>
          <w:sz w:val="24"/>
          <w:szCs w:val="24"/>
          <w:lang w:val="en-GB"/>
        </w:rPr>
        <w:t>Kaambwa</w:t>
      </w:r>
      <w:proofErr w:type="spellEnd"/>
      <w:r w:rsidRPr="002C149E">
        <w:rPr>
          <w:rFonts w:ascii="Times New Roman" w:hAnsi="Times New Roman" w:cs="Times New Roman"/>
          <w:sz w:val="24"/>
          <w:szCs w:val="24"/>
          <w:lang w:val="en-GB"/>
        </w:rPr>
        <w:t xml:space="preserve"> B, </w:t>
      </w:r>
      <w:proofErr w:type="spellStart"/>
      <w:r w:rsidRPr="002C149E">
        <w:rPr>
          <w:rFonts w:ascii="Times New Roman" w:hAnsi="Times New Roman" w:cs="Times New Roman"/>
          <w:sz w:val="24"/>
          <w:szCs w:val="24"/>
          <w:lang w:val="en-GB"/>
        </w:rPr>
        <w:t>Currow</w:t>
      </w:r>
      <w:proofErr w:type="spellEnd"/>
      <w:r w:rsidRPr="002C149E">
        <w:rPr>
          <w:rFonts w:ascii="Times New Roman" w:hAnsi="Times New Roman" w:cs="Times New Roman"/>
          <w:sz w:val="24"/>
          <w:szCs w:val="24"/>
          <w:lang w:val="en-GB"/>
        </w:rPr>
        <w:t xml:space="preserve"> DC, </w:t>
      </w:r>
      <w:proofErr w:type="spellStart"/>
      <w:r w:rsidRPr="002C149E">
        <w:rPr>
          <w:rFonts w:ascii="Times New Roman" w:hAnsi="Times New Roman" w:cs="Times New Roman"/>
          <w:sz w:val="24"/>
          <w:szCs w:val="24"/>
          <w:lang w:val="en-GB"/>
        </w:rPr>
        <w:t>Ratcliffe</w:t>
      </w:r>
      <w:proofErr w:type="spellEnd"/>
      <w:r w:rsidRPr="002C149E">
        <w:rPr>
          <w:rFonts w:ascii="Times New Roman" w:hAnsi="Times New Roman" w:cs="Times New Roman"/>
          <w:sz w:val="24"/>
          <w:szCs w:val="24"/>
          <w:lang w:val="en-GB"/>
        </w:rPr>
        <w:t xml:space="preserve"> J.</w:t>
      </w:r>
      <w:r w:rsidRPr="002C149E">
        <w:rPr>
          <w:rFonts w:ascii="Times New Roman" w:hAnsi="Times New Roman" w:cs="Times New Roman"/>
          <w:b/>
          <w:bCs/>
          <w:sz w:val="24"/>
          <w:szCs w:val="24"/>
          <w:lang w:val="en-GB"/>
        </w:rPr>
        <w:t xml:space="preserve"> </w:t>
      </w:r>
      <w:r w:rsidRPr="002C149E">
        <w:rPr>
          <w:rFonts w:ascii="Times New Roman" w:hAnsi="Times New Roman" w:cs="Times New Roman"/>
          <w:sz w:val="24"/>
          <w:szCs w:val="24"/>
          <w:lang w:val="en-GB"/>
        </w:rPr>
        <w:t>Health-related quality of life measured using the EQ-5D-5L: South Australian population norms.</w:t>
      </w:r>
      <w:r w:rsidRPr="002C149E">
        <w:rPr>
          <w:rFonts w:ascii="Times New Roman" w:hAnsi="Times New Roman" w:cs="Times New Roman"/>
          <w:b/>
          <w:bCs/>
          <w:sz w:val="24"/>
          <w:szCs w:val="24"/>
          <w:lang w:val="en-GB"/>
        </w:rPr>
        <w:t xml:space="preserve"> </w:t>
      </w:r>
      <w:r w:rsidRPr="002C149E">
        <w:rPr>
          <w:rFonts w:ascii="Times New Roman" w:hAnsi="Times New Roman" w:cs="Times New Roman"/>
          <w:i/>
          <w:iCs/>
          <w:sz w:val="24"/>
          <w:szCs w:val="24"/>
          <w:lang w:val="en-GB"/>
        </w:rPr>
        <w:t>Health &amp; Quality of Life Outcomes</w:t>
      </w:r>
      <w:r w:rsidRPr="002C149E">
        <w:rPr>
          <w:rFonts w:ascii="Times New Roman" w:hAnsi="Times New Roman" w:cs="Times New Roman"/>
          <w:sz w:val="24"/>
          <w:szCs w:val="24"/>
          <w:lang w:val="en-GB"/>
        </w:rPr>
        <w:t xml:space="preserve"> [accepted for publication 8 Sep 2016].</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46. Taylor AW, Dal Grande E, Wilson DH. The South Australian Omnibus Survey 15 years on: has public health benefited? </w:t>
      </w:r>
      <w:r w:rsidRPr="002C149E">
        <w:rPr>
          <w:rFonts w:ascii="Times New Roman" w:hAnsi="Times New Roman" w:cs="Times New Roman"/>
          <w:i/>
          <w:sz w:val="24"/>
          <w:szCs w:val="24"/>
        </w:rPr>
        <w:t>Public Health Bulletin</w:t>
      </w:r>
      <w:r w:rsidRPr="002C149E">
        <w:rPr>
          <w:rFonts w:ascii="Times New Roman" w:hAnsi="Times New Roman" w:cs="Times New Roman"/>
          <w:sz w:val="24"/>
          <w:szCs w:val="24"/>
        </w:rPr>
        <w:t xml:space="preserve"> 2006; 3: 30-2.</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47. Von Elm E, Altman D, Egger M, et al. The Strengthening the Reporting of Observational Studies in Epidemiology (STROBE) statement: guidelines for reporting observational studies. </w:t>
      </w:r>
      <w:proofErr w:type="spellStart"/>
      <w:r w:rsidRPr="002C149E">
        <w:rPr>
          <w:rFonts w:ascii="Times New Roman" w:hAnsi="Times New Roman" w:cs="Times New Roman"/>
          <w:i/>
          <w:iCs/>
          <w:sz w:val="24"/>
          <w:szCs w:val="24"/>
        </w:rPr>
        <w:t>Prev</w:t>
      </w:r>
      <w:proofErr w:type="spellEnd"/>
      <w:r w:rsidRPr="002C149E">
        <w:rPr>
          <w:rFonts w:ascii="Times New Roman" w:hAnsi="Times New Roman" w:cs="Times New Roman"/>
          <w:i/>
          <w:iCs/>
          <w:sz w:val="24"/>
          <w:szCs w:val="24"/>
        </w:rPr>
        <w:t xml:space="preserve"> Med </w:t>
      </w:r>
      <w:r w:rsidRPr="002C149E">
        <w:rPr>
          <w:rFonts w:ascii="Times New Roman" w:hAnsi="Times New Roman" w:cs="Times New Roman"/>
          <w:sz w:val="24"/>
          <w:szCs w:val="24"/>
        </w:rPr>
        <w:t>2007; 45(4): 247–251.</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48. </w:t>
      </w:r>
      <w:proofErr w:type="spellStart"/>
      <w:r w:rsidRPr="002C149E">
        <w:rPr>
          <w:rFonts w:ascii="Times New Roman" w:hAnsi="Times New Roman" w:cs="Times New Roman"/>
          <w:sz w:val="24"/>
          <w:szCs w:val="24"/>
        </w:rPr>
        <w:t>Essue</w:t>
      </w:r>
      <w:proofErr w:type="spellEnd"/>
      <w:r w:rsidRPr="002C149E">
        <w:rPr>
          <w:rFonts w:ascii="Times New Roman" w:hAnsi="Times New Roman" w:cs="Times New Roman"/>
          <w:sz w:val="24"/>
          <w:szCs w:val="24"/>
        </w:rPr>
        <w:t xml:space="preserve"> BM, </w:t>
      </w:r>
      <w:proofErr w:type="spellStart"/>
      <w:r w:rsidRPr="002C149E">
        <w:rPr>
          <w:rFonts w:ascii="Times New Roman" w:hAnsi="Times New Roman" w:cs="Times New Roman"/>
          <w:sz w:val="24"/>
          <w:szCs w:val="24"/>
        </w:rPr>
        <w:t>Jowsey</w:t>
      </w:r>
      <w:proofErr w:type="spellEnd"/>
      <w:r w:rsidRPr="002C149E">
        <w:rPr>
          <w:rFonts w:ascii="Times New Roman" w:hAnsi="Times New Roman" w:cs="Times New Roman"/>
          <w:sz w:val="24"/>
          <w:szCs w:val="24"/>
        </w:rPr>
        <w:t xml:space="preserve"> T, Jeon Y, et al.  Informal care and self-management partnership: implications for Australian health policy and practice. </w:t>
      </w:r>
      <w:r w:rsidRPr="002C149E">
        <w:rPr>
          <w:rFonts w:ascii="Times New Roman" w:hAnsi="Times New Roman" w:cs="Times New Roman"/>
          <w:i/>
          <w:sz w:val="24"/>
          <w:szCs w:val="24"/>
        </w:rPr>
        <w:t xml:space="preserve">Australian Health Review </w:t>
      </w:r>
      <w:r w:rsidRPr="002C149E">
        <w:rPr>
          <w:rFonts w:ascii="Times New Roman" w:hAnsi="Times New Roman" w:cs="Times New Roman"/>
          <w:sz w:val="24"/>
          <w:szCs w:val="24"/>
        </w:rPr>
        <w:t>2010</w:t>
      </w:r>
      <w:proofErr w:type="gramStart"/>
      <w:r w:rsidRPr="002C149E">
        <w:rPr>
          <w:rFonts w:ascii="Times New Roman" w:hAnsi="Times New Roman" w:cs="Times New Roman"/>
          <w:sz w:val="24"/>
          <w:szCs w:val="24"/>
        </w:rPr>
        <w:t>;34</w:t>
      </w:r>
      <w:proofErr w:type="gramEnd"/>
      <w:r w:rsidRPr="002C149E">
        <w:rPr>
          <w:rFonts w:ascii="Times New Roman" w:hAnsi="Times New Roman" w:cs="Times New Roman"/>
          <w:sz w:val="24"/>
          <w:szCs w:val="24"/>
        </w:rPr>
        <w:t>(4):414-422.</w:t>
      </w:r>
    </w:p>
    <w:p w:rsidR="00DD0690" w:rsidRPr="002C149E" w:rsidRDefault="00DD0690" w:rsidP="00DD0690">
      <w:pPr>
        <w:jc w:val="both"/>
        <w:rPr>
          <w:rFonts w:ascii="Times New Roman" w:hAnsi="Times New Roman" w:cs="Times New Roman"/>
          <w:sz w:val="24"/>
          <w:szCs w:val="24"/>
        </w:rPr>
      </w:pPr>
      <w:proofErr w:type="gramStart"/>
      <w:r w:rsidRPr="002C149E">
        <w:rPr>
          <w:rFonts w:ascii="Times New Roman" w:hAnsi="Times New Roman" w:cs="Times New Roman"/>
          <w:sz w:val="24"/>
          <w:szCs w:val="24"/>
        </w:rPr>
        <w:t xml:space="preserve">49. </w:t>
      </w:r>
      <w:proofErr w:type="spellStart"/>
      <w:r w:rsidR="002C149E" w:rsidRPr="002C149E">
        <w:rPr>
          <w:rFonts w:ascii="Times New Roman" w:hAnsi="Times New Roman" w:cs="Times New Roman"/>
          <w:sz w:val="24"/>
          <w:szCs w:val="24"/>
        </w:rPr>
        <w:t>Lichtenthal</w:t>
      </w:r>
      <w:proofErr w:type="spellEnd"/>
      <w:r w:rsidR="002C149E" w:rsidRPr="002C149E">
        <w:rPr>
          <w:rFonts w:ascii="Times New Roman" w:hAnsi="Times New Roman" w:cs="Times New Roman"/>
          <w:sz w:val="24"/>
          <w:szCs w:val="24"/>
        </w:rPr>
        <w:t xml:space="preserve"> WG</w:t>
      </w:r>
      <w:r w:rsidRPr="002C149E">
        <w:rPr>
          <w:rFonts w:ascii="Times New Roman" w:hAnsi="Times New Roman" w:cs="Times New Roman"/>
          <w:sz w:val="24"/>
          <w:szCs w:val="24"/>
        </w:rPr>
        <w:t xml:space="preserve">, Nilsson M, </w:t>
      </w:r>
      <w:proofErr w:type="spellStart"/>
      <w:r w:rsidRPr="002C149E">
        <w:rPr>
          <w:rFonts w:ascii="Times New Roman" w:hAnsi="Times New Roman" w:cs="Times New Roman"/>
          <w:sz w:val="24"/>
          <w:szCs w:val="24"/>
        </w:rPr>
        <w:t>Kissane</w:t>
      </w:r>
      <w:proofErr w:type="spellEnd"/>
      <w:r w:rsidRPr="002C149E">
        <w:rPr>
          <w:rFonts w:ascii="Times New Roman" w:hAnsi="Times New Roman" w:cs="Times New Roman"/>
          <w:sz w:val="24"/>
          <w:szCs w:val="24"/>
        </w:rPr>
        <w:t xml:space="preserve"> DW et al. Underutilization of mental health services among bereaved caregivers with prolonged grief disorder.</w:t>
      </w:r>
      <w:proofErr w:type="gramEnd"/>
      <w:r w:rsidRPr="002C149E">
        <w:rPr>
          <w:rFonts w:ascii="Times New Roman" w:hAnsi="Times New Roman" w:cs="Times New Roman"/>
          <w:sz w:val="24"/>
          <w:szCs w:val="24"/>
        </w:rPr>
        <w:t xml:space="preserve"> </w:t>
      </w:r>
      <w:r w:rsidRPr="002C149E">
        <w:rPr>
          <w:rFonts w:ascii="Times New Roman" w:hAnsi="Times New Roman" w:cs="Times New Roman"/>
          <w:i/>
          <w:sz w:val="24"/>
          <w:szCs w:val="24"/>
        </w:rPr>
        <w:t>Psychiatric Services</w:t>
      </w:r>
      <w:r w:rsidRPr="002C149E">
        <w:rPr>
          <w:rFonts w:ascii="Times New Roman" w:hAnsi="Times New Roman" w:cs="Times New Roman"/>
          <w:sz w:val="24"/>
          <w:szCs w:val="24"/>
        </w:rPr>
        <w:t xml:space="preserve"> 2011; 62(10: 1225-9.</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50. Johnson JG, First MB, Block S et al. Stigmatisation and receptivity to mental health services among recently bereaved adults. </w:t>
      </w:r>
      <w:r w:rsidRPr="002C149E">
        <w:rPr>
          <w:rFonts w:ascii="Times New Roman" w:hAnsi="Times New Roman" w:cs="Times New Roman"/>
          <w:i/>
          <w:sz w:val="24"/>
          <w:szCs w:val="24"/>
        </w:rPr>
        <w:t>Death Studies</w:t>
      </w:r>
      <w:r w:rsidRPr="002C149E">
        <w:rPr>
          <w:rFonts w:ascii="Times New Roman" w:hAnsi="Times New Roman" w:cs="Times New Roman"/>
          <w:sz w:val="24"/>
          <w:szCs w:val="24"/>
        </w:rPr>
        <w:t xml:space="preserve"> 2009; 33(8): 691-711.</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51. Thomas K, Hudson P, </w:t>
      </w:r>
      <w:proofErr w:type="spellStart"/>
      <w:r w:rsidRPr="002C149E">
        <w:rPr>
          <w:rFonts w:ascii="Times New Roman" w:hAnsi="Times New Roman" w:cs="Times New Roman"/>
          <w:sz w:val="24"/>
          <w:szCs w:val="24"/>
        </w:rPr>
        <w:t>Trauer</w:t>
      </w:r>
      <w:proofErr w:type="spellEnd"/>
      <w:r w:rsidRPr="002C149E">
        <w:rPr>
          <w:rFonts w:ascii="Times New Roman" w:hAnsi="Times New Roman" w:cs="Times New Roman"/>
          <w:sz w:val="24"/>
          <w:szCs w:val="24"/>
        </w:rPr>
        <w:t xml:space="preserve"> T et al. Risk Factors for Developing Prolonged Grief Disorder During Bereavement in Family Carers of Cancer Patients in Palliative Care: A Longitudinal Study. </w:t>
      </w:r>
      <w:r w:rsidRPr="002C149E">
        <w:rPr>
          <w:rFonts w:ascii="Times New Roman" w:hAnsi="Times New Roman" w:cs="Times New Roman"/>
          <w:i/>
          <w:sz w:val="24"/>
          <w:szCs w:val="24"/>
        </w:rPr>
        <w:t xml:space="preserve">Journal of Pain and Symptom Management </w:t>
      </w:r>
      <w:r w:rsidRPr="002C149E">
        <w:rPr>
          <w:rFonts w:ascii="Times New Roman" w:hAnsi="Times New Roman" w:cs="Times New Roman"/>
          <w:sz w:val="24"/>
          <w:szCs w:val="24"/>
        </w:rPr>
        <w:t>2014; 47(3): 531-541.</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52. Kurtz ME, Kurtz JC, Given CW &amp; Given B. Predictors of </w:t>
      </w:r>
      <w:proofErr w:type="spellStart"/>
      <w:r w:rsidRPr="002C149E">
        <w:rPr>
          <w:rFonts w:ascii="Times New Roman" w:hAnsi="Times New Roman" w:cs="Times New Roman"/>
          <w:sz w:val="24"/>
          <w:szCs w:val="24"/>
        </w:rPr>
        <w:t>postbereavement</w:t>
      </w:r>
      <w:proofErr w:type="spellEnd"/>
      <w:r w:rsidRPr="002C149E">
        <w:rPr>
          <w:rFonts w:ascii="Times New Roman" w:hAnsi="Times New Roman" w:cs="Times New Roman"/>
          <w:sz w:val="24"/>
          <w:szCs w:val="24"/>
        </w:rPr>
        <w:t xml:space="preserve"> depressive symptomatology among family caregivers of cancer patients. </w:t>
      </w:r>
      <w:r w:rsidRPr="002C149E">
        <w:rPr>
          <w:rFonts w:ascii="Times New Roman" w:hAnsi="Times New Roman" w:cs="Times New Roman"/>
          <w:i/>
          <w:sz w:val="24"/>
          <w:szCs w:val="24"/>
        </w:rPr>
        <w:t xml:space="preserve">Supportive Care in Cancer </w:t>
      </w:r>
      <w:r w:rsidRPr="002C149E">
        <w:rPr>
          <w:rFonts w:ascii="Times New Roman" w:hAnsi="Times New Roman" w:cs="Times New Roman"/>
          <w:sz w:val="24"/>
          <w:szCs w:val="24"/>
        </w:rPr>
        <w:t>1997; 5: 53-60.</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lastRenderedPageBreak/>
        <w:t xml:space="preserve">53. </w:t>
      </w:r>
      <w:proofErr w:type="spellStart"/>
      <w:r w:rsidRPr="002C149E">
        <w:rPr>
          <w:rFonts w:ascii="Times New Roman" w:hAnsi="Times New Roman" w:cs="Times New Roman"/>
          <w:sz w:val="24"/>
          <w:szCs w:val="24"/>
        </w:rPr>
        <w:t>McKechnie</w:t>
      </w:r>
      <w:proofErr w:type="spellEnd"/>
      <w:r w:rsidRPr="002C149E">
        <w:rPr>
          <w:rFonts w:ascii="Times New Roman" w:hAnsi="Times New Roman" w:cs="Times New Roman"/>
          <w:sz w:val="24"/>
          <w:szCs w:val="24"/>
        </w:rPr>
        <w:t xml:space="preserve"> R, </w:t>
      </w:r>
      <w:proofErr w:type="spellStart"/>
      <w:r w:rsidRPr="002C149E">
        <w:rPr>
          <w:rFonts w:ascii="Times New Roman" w:hAnsi="Times New Roman" w:cs="Times New Roman"/>
          <w:sz w:val="24"/>
          <w:szCs w:val="24"/>
        </w:rPr>
        <w:t>Jaye</w:t>
      </w:r>
      <w:proofErr w:type="spellEnd"/>
      <w:r w:rsidRPr="002C149E">
        <w:rPr>
          <w:rFonts w:ascii="Times New Roman" w:hAnsi="Times New Roman" w:cs="Times New Roman"/>
          <w:sz w:val="24"/>
          <w:szCs w:val="24"/>
        </w:rPr>
        <w:t xml:space="preserve"> C &amp; MacLeod R. </w:t>
      </w:r>
      <w:proofErr w:type="gramStart"/>
      <w:r w:rsidRPr="002C149E">
        <w:rPr>
          <w:rFonts w:ascii="Times New Roman" w:hAnsi="Times New Roman" w:cs="Times New Roman"/>
          <w:sz w:val="24"/>
          <w:szCs w:val="24"/>
        </w:rPr>
        <w:t xml:space="preserve">The </w:t>
      </w:r>
      <w:proofErr w:type="spellStart"/>
      <w:r w:rsidRPr="002C149E">
        <w:rPr>
          <w:rFonts w:ascii="Times New Roman" w:hAnsi="Times New Roman" w:cs="Times New Roman"/>
          <w:sz w:val="24"/>
          <w:szCs w:val="24"/>
        </w:rPr>
        <w:t>Liminality</w:t>
      </w:r>
      <w:proofErr w:type="spellEnd"/>
      <w:r w:rsidRPr="002C149E">
        <w:rPr>
          <w:rFonts w:ascii="Times New Roman" w:hAnsi="Times New Roman" w:cs="Times New Roman"/>
          <w:sz w:val="24"/>
          <w:szCs w:val="24"/>
        </w:rPr>
        <w:t xml:space="preserve"> of Palliative Care.</w:t>
      </w:r>
      <w:proofErr w:type="gramEnd"/>
      <w:r w:rsidRPr="002C149E">
        <w:rPr>
          <w:rFonts w:ascii="Times New Roman" w:hAnsi="Times New Roman" w:cs="Times New Roman"/>
          <w:sz w:val="24"/>
          <w:szCs w:val="24"/>
        </w:rPr>
        <w:t xml:space="preserve"> SITES: New Series 2010; 7(2): 9-29.</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54. </w:t>
      </w:r>
      <w:proofErr w:type="spellStart"/>
      <w:r w:rsidRPr="002C149E">
        <w:rPr>
          <w:rFonts w:ascii="Times New Roman" w:hAnsi="Times New Roman" w:cs="Times New Roman"/>
          <w:sz w:val="24"/>
          <w:szCs w:val="24"/>
        </w:rPr>
        <w:t>Hibberd</w:t>
      </w:r>
      <w:proofErr w:type="spellEnd"/>
      <w:r w:rsidRPr="002C149E">
        <w:rPr>
          <w:rFonts w:ascii="Times New Roman" w:hAnsi="Times New Roman" w:cs="Times New Roman"/>
          <w:sz w:val="24"/>
          <w:szCs w:val="24"/>
        </w:rPr>
        <w:t xml:space="preserve"> R. Meaning reconstruction in bereavement: sense and significance. </w:t>
      </w:r>
      <w:r w:rsidRPr="002C149E">
        <w:rPr>
          <w:rFonts w:ascii="Times New Roman" w:hAnsi="Times New Roman" w:cs="Times New Roman"/>
          <w:i/>
          <w:sz w:val="24"/>
          <w:szCs w:val="24"/>
        </w:rPr>
        <w:t>Death Studies</w:t>
      </w:r>
      <w:r w:rsidRPr="002C149E">
        <w:rPr>
          <w:rFonts w:ascii="Times New Roman" w:hAnsi="Times New Roman" w:cs="Times New Roman"/>
          <w:sz w:val="24"/>
          <w:szCs w:val="24"/>
        </w:rPr>
        <w:t xml:space="preserve"> 2013; 37(7): 670-692.</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55. Mallon B. Attachment and Loss, Death and Dying. </w:t>
      </w:r>
      <w:proofErr w:type="gramStart"/>
      <w:r w:rsidRPr="002C149E">
        <w:rPr>
          <w:rFonts w:ascii="Times New Roman" w:hAnsi="Times New Roman" w:cs="Times New Roman"/>
          <w:sz w:val="24"/>
          <w:szCs w:val="24"/>
        </w:rPr>
        <w:t>Theoretical Foundations for Bereavement Counselling.</w:t>
      </w:r>
      <w:proofErr w:type="gramEnd"/>
      <w:r w:rsidRPr="002C149E">
        <w:rPr>
          <w:rFonts w:ascii="Times New Roman" w:hAnsi="Times New Roman" w:cs="Times New Roman"/>
          <w:sz w:val="24"/>
          <w:szCs w:val="24"/>
        </w:rPr>
        <w:t xml:space="preserve"> </w:t>
      </w:r>
      <w:proofErr w:type="gramStart"/>
      <w:r w:rsidRPr="002C149E">
        <w:rPr>
          <w:rFonts w:ascii="Times New Roman" w:hAnsi="Times New Roman" w:cs="Times New Roman"/>
          <w:i/>
          <w:sz w:val="24"/>
          <w:szCs w:val="24"/>
        </w:rPr>
        <w:t>Death, Dying and Working with Adult Bereavement</w:t>
      </w:r>
      <w:r w:rsidRPr="002C149E">
        <w:rPr>
          <w:rFonts w:ascii="Times New Roman" w:hAnsi="Times New Roman" w:cs="Times New Roman"/>
          <w:sz w:val="24"/>
          <w:szCs w:val="24"/>
        </w:rPr>
        <w:t>.</w:t>
      </w:r>
      <w:proofErr w:type="gramEnd"/>
      <w:r w:rsidRPr="002C149E">
        <w:rPr>
          <w:rFonts w:ascii="Times New Roman" w:hAnsi="Times New Roman" w:cs="Times New Roman"/>
          <w:sz w:val="24"/>
          <w:szCs w:val="24"/>
        </w:rPr>
        <w:t xml:space="preserve"> DOI: 10.4135/9781446214510.n2</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56. Hebert RS, Schulz R, Copeland VC, Arnold RM. Preparing Family Caregivers for Death and Bereavement. </w:t>
      </w:r>
      <w:proofErr w:type="gramStart"/>
      <w:r w:rsidRPr="002C149E">
        <w:rPr>
          <w:rFonts w:ascii="Times New Roman" w:hAnsi="Times New Roman" w:cs="Times New Roman"/>
          <w:sz w:val="24"/>
          <w:szCs w:val="24"/>
        </w:rPr>
        <w:t>Insights from Caregivers of Terminally Ill Patients.</w:t>
      </w:r>
      <w:proofErr w:type="gramEnd"/>
      <w:r w:rsidRPr="002C149E">
        <w:rPr>
          <w:rFonts w:ascii="Times New Roman" w:hAnsi="Times New Roman" w:cs="Times New Roman"/>
          <w:sz w:val="24"/>
          <w:szCs w:val="24"/>
        </w:rPr>
        <w:t xml:space="preserve"> </w:t>
      </w:r>
      <w:r w:rsidRPr="002C149E">
        <w:rPr>
          <w:rFonts w:ascii="Times New Roman" w:hAnsi="Times New Roman" w:cs="Times New Roman"/>
          <w:i/>
          <w:sz w:val="24"/>
          <w:szCs w:val="24"/>
        </w:rPr>
        <w:t>Journal of Pain and Symptom</w:t>
      </w:r>
      <w:r w:rsidRPr="002C149E">
        <w:rPr>
          <w:rFonts w:ascii="Times New Roman" w:hAnsi="Times New Roman" w:cs="Times New Roman"/>
          <w:sz w:val="24"/>
          <w:szCs w:val="24"/>
        </w:rPr>
        <w:t xml:space="preserve"> </w:t>
      </w:r>
      <w:r w:rsidRPr="002C149E">
        <w:rPr>
          <w:rFonts w:ascii="Times New Roman" w:hAnsi="Times New Roman" w:cs="Times New Roman"/>
          <w:i/>
          <w:sz w:val="24"/>
          <w:szCs w:val="24"/>
        </w:rPr>
        <w:t>Management</w:t>
      </w:r>
      <w:r w:rsidRPr="002C149E">
        <w:rPr>
          <w:rFonts w:ascii="Times New Roman" w:hAnsi="Times New Roman" w:cs="Times New Roman"/>
          <w:sz w:val="24"/>
          <w:szCs w:val="24"/>
        </w:rPr>
        <w:t xml:space="preserve"> 2009</w:t>
      </w:r>
      <w:proofErr w:type="gramStart"/>
      <w:r w:rsidRPr="002C149E">
        <w:rPr>
          <w:rFonts w:ascii="Times New Roman" w:hAnsi="Times New Roman" w:cs="Times New Roman"/>
          <w:sz w:val="24"/>
          <w:szCs w:val="24"/>
        </w:rPr>
        <w:t>;37</w:t>
      </w:r>
      <w:proofErr w:type="gramEnd"/>
      <w:r w:rsidRPr="002C149E">
        <w:rPr>
          <w:rFonts w:ascii="Times New Roman" w:hAnsi="Times New Roman" w:cs="Times New Roman"/>
          <w:sz w:val="24"/>
          <w:szCs w:val="24"/>
        </w:rPr>
        <w:t>(1):3-12.</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57. Moriarty J, Maguire A, O’Reilly D &amp; McCann M. Bereavement After Informal Caregiving: Assessing Mental Health Burden Using Linked Population Data. </w:t>
      </w:r>
      <w:r w:rsidRPr="002C149E">
        <w:rPr>
          <w:rFonts w:ascii="Times New Roman" w:hAnsi="Times New Roman" w:cs="Times New Roman"/>
          <w:i/>
          <w:sz w:val="24"/>
          <w:szCs w:val="24"/>
        </w:rPr>
        <w:t xml:space="preserve">American Journal of Public Health </w:t>
      </w:r>
      <w:r w:rsidRPr="002C149E">
        <w:rPr>
          <w:rFonts w:ascii="Times New Roman" w:hAnsi="Times New Roman" w:cs="Times New Roman"/>
          <w:sz w:val="24"/>
          <w:szCs w:val="24"/>
        </w:rPr>
        <w:t>2015; 105(8):1630-1637</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58. </w:t>
      </w:r>
      <w:proofErr w:type="spellStart"/>
      <w:r w:rsidRPr="002C149E">
        <w:rPr>
          <w:rFonts w:ascii="Times New Roman" w:hAnsi="Times New Roman" w:cs="Times New Roman"/>
          <w:sz w:val="24"/>
          <w:szCs w:val="24"/>
        </w:rPr>
        <w:t>Aoun</w:t>
      </w:r>
      <w:proofErr w:type="spellEnd"/>
      <w:r w:rsidRPr="002C149E">
        <w:rPr>
          <w:rFonts w:ascii="Times New Roman" w:hAnsi="Times New Roman" w:cs="Times New Roman"/>
          <w:sz w:val="24"/>
          <w:szCs w:val="24"/>
        </w:rPr>
        <w:t xml:space="preserve"> SM, Breen LJ, </w:t>
      </w:r>
      <w:proofErr w:type="spellStart"/>
      <w:r w:rsidRPr="002C149E">
        <w:rPr>
          <w:rFonts w:ascii="Times New Roman" w:hAnsi="Times New Roman" w:cs="Times New Roman"/>
          <w:sz w:val="24"/>
          <w:szCs w:val="24"/>
        </w:rPr>
        <w:t>Howting</w:t>
      </w:r>
      <w:proofErr w:type="spellEnd"/>
      <w:r w:rsidRPr="002C149E">
        <w:rPr>
          <w:rFonts w:ascii="Times New Roman" w:hAnsi="Times New Roman" w:cs="Times New Roman"/>
          <w:sz w:val="24"/>
          <w:szCs w:val="24"/>
        </w:rPr>
        <w:t xml:space="preserve"> DA et al. Who Needs Bereavement Support? A Population Based Survey of Bereavement Risk and Support Need. </w:t>
      </w:r>
      <w:proofErr w:type="spellStart"/>
      <w:r w:rsidRPr="002C149E">
        <w:rPr>
          <w:rFonts w:ascii="Times New Roman" w:hAnsi="Times New Roman" w:cs="Times New Roman"/>
          <w:i/>
          <w:sz w:val="24"/>
          <w:szCs w:val="24"/>
        </w:rPr>
        <w:t>PLoS</w:t>
      </w:r>
      <w:proofErr w:type="spellEnd"/>
      <w:r w:rsidRPr="002C149E">
        <w:rPr>
          <w:rFonts w:ascii="Times New Roman" w:hAnsi="Times New Roman" w:cs="Times New Roman"/>
          <w:i/>
          <w:sz w:val="24"/>
          <w:szCs w:val="24"/>
        </w:rPr>
        <w:t xml:space="preserve"> ONE</w:t>
      </w:r>
      <w:r w:rsidRPr="002C149E">
        <w:rPr>
          <w:rFonts w:ascii="Times New Roman" w:hAnsi="Times New Roman" w:cs="Times New Roman"/>
          <w:sz w:val="24"/>
          <w:szCs w:val="24"/>
        </w:rPr>
        <w:t xml:space="preserve"> 2015; 10(3): e0121101. Doi.10.1371/journal.pone.0121101</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59. </w:t>
      </w:r>
      <w:proofErr w:type="spellStart"/>
      <w:r w:rsidRPr="002C149E">
        <w:rPr>
          <w:rFonts w:ascii="Times New Roman" w:hAnsi="Times New Roman" w:cs="Times New Roman"/>
          <w:sz w:val="24"/>
          <w:szCs w:val="24"/>
        </w:rPr>
        <w:t>Stajduhar</w:t>
      </w:r>
      <w:proofErr w:type="spellEnd"/>
      <w:r w:rsidRPr="002C149E">
        <w:rPr>
          <w:rFonts w:ascii="Times New Roman" w:hAnsi="Times New Roman" w:cs="Times New Roman"/>
          <w:sz w:val="24"/>
          <w:szCs w:val="24"/>
        </w:rPr>
        <w:t xml:space="preserve"> KI, Funk L, </w:t>
      </w:r>
      <w:proofErr w:type="spellStart"/>
      <w:r w:rsidRPr="002C149E">
        <w:rPr>
          <w:rFonts w:ascii="Times New Roman" w:hAnsi="Times New Roman" w:cs="Times New Roman"/>
          <w:sz w:val="24"/>
          <w:szCs w:val="24"/>
        </w:rPr>
        <w:t>Toye</w:t>
      </w:r>
      <w:proofErr w:type="spellEnd"/>
      <w:r w:rsidRPr="002C149E">
        <w:rPr>
          <w:rFonts w:ascii="Times New Roman" w:hAnsi="Times New Roman" w:cs="Times New Roman"/>
          <w:sz w:val="24"/>
          <w:szCs w:val="24"/>
        </w:rPr>
        <w:t xml:space="preserve"> C, et al.  Part 1: Home-based family caregiving at the end of life: a comprehensive review of published quantitative research. </w:t>
      </w:r>
      <w:r w:rsidRPr="002C149E">
        <w:rPr>
          <w:rFonts w:ascii="Times New Roman" w:hAnsi="Times New Roman" w:cs="Times New Roman"/>
          <w:i/>
          <w:sz w:val="24"/>
          <w:szCs w:val="24"/>
        </w:rPr>
        <w:t>Palliative Medicine</w:t>
      </w:r>
      <w:r w:rsidRPr="002C149E">
        <w:rPr>
          <w:rFonts w:ascii="Times New Roman" w:hAnsi="Times New Roman" w:cs="Times New Roman"/>
          <w:sz w:val="24"/>
          <w:szCs w:val="24"/>
        </w:rPr>
        <w:t xml:space="preserve"> 2010</w:t>
      </w:r>
      <w:proofErr w:type="gramStart"/>
      <w:r w:rsidRPr="002C149E">
        <w:rPr>
          <w:rFonts w:ascii="Times New Roman" w:hAnsi="Times New Roman" w:cs="Times New Roman"/>
          <w:sz w:val="24"/>
          <w:szCs w:val="24"/>
        </w:rPr>
        <w:t>;24</w:t>
      </w:r>
      <w:proofErr w:type="gramEnd"/>
      <w:r w:rsidRPr="002C149E">
        <w:rPr>
          <w:rFonts w:ascii="Times New Roman" w:hAnsi="Times New Roman" w:cs="Times New Roman"/>
          <w:sz w:val="24"/>
          <w:szCs w:val="24"/>
        </w:rPr>
        <w:t>(6):573-593.</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60. Burns EJ, Quinn SJ, Abernethy AP &amp; </w:t>
      </w:r>
      <w:proofErr w:type="spellStart"/>
      <w:r w:rsidRPr="002C149E">
        <w:rPr>
          <w:rFonts w:ascii="Times New Roman" w:hAnsi="Times New Roman" w:cs="Times New Roman"/>
          <w:sz w:val="24"/>
          <w:szCs w:val="24"/>
        </w:rPr>
        <w:t>Currow</w:t>
      </w:r>
      <w:proofErr w:type="spellEnd"/>
      <w:r w:rsidRPr="002C149E">
        <w:rPr>
          <w:rFonts w:ascii="Times New Roman" w:hAnsi="Times New Roman" w:cs="Times New Roman"/>
          <w:sz w:val="24"/>
          <w:szCs w:val="24"/>
        </w:rPr>
        <w:t xml:space="preserve"> DC.  Caregiver Expectations: Predictors of a Worse </w:t>
      </w:r>
      <w:proofErr w:type="gramStart"/>
      <w:r w:rsidRPr="002C149E">
        <w:rPr>
          <w:rFonts w:ascii="Times New Roman" w:hAnsi="Times New Roman" w:cs="Times New Roman"/>
          <w:sz w:val="24"/>
          <w:szCs w:val="24"/>
        </w:rPr>
        <w:t>Than</w:t>
      </w:r>
      <w:proofErr w:type="gramEnd"/>
      <w:r w:rsidRPr="002C149E">
        <w:rPr>
          <w:rFonts w:ascii="Times New Roman" w:hAnsi="Times New Roman" w:cs="Times New Roman"/>
          <w:sz w:val="24"/>
          <w:szCs w:val="24"/>
        </w:rPr>
        <w:t xml:space="preserve"> Expected Caregiving Experience at the End of Life. </w:t>
      </w:r>
      <w:r w:rsidRPr="002C149E">
        <w:rPr>
          <w:rFonts w:ascii="Times New Roman" w:hAnsi="Times New Roman" w:cs="Times New Roman"/>
          <w:i/>
          <w:sz w:val="24"/>
          <w:szCs w:val="24"/>
        </w:rPr>
        <w:t>Journal of Pain and Symptom Management</w:t>
      </w:r>
      <w:r w:rsidRPr="002C149E">
        <w:rPr>
          <w:rFonts w:ascii="Times New Roman" w:hAnsi="Times New Roman" w:cs="Times New Roman"/>
          <w:sz w:val="24"/>
          <w:szCs w:val="24"/>
        </w:rPr>
        <w:t xml:space="preserve"> 2015; 50(4): 453-461.</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61. Schulz R, </w:t>
      </w:r>
      <w:proofErr w:type="spellStart"/>
      <w:r w:rsidRPr="002C149E">
        <w:rPr>
          <w:rFonts w:ascii="Times New Roman" w:hAnsi="Times New Roman" w:cs="Times New Roman"/>
          <w:sz w:val="24"/>
          <w:szCs w:val="24"/>
        </w:rPr>
        <w:t>Boerner</w:t>
      </w:r>
      <w:proofErr w:type="spellEnd"/>
      <w:r w:rsidRPr="002C149E">
        <w:rPr>
          <w:rFonts w:ascii="Times New Roman" w:hAnsi="Times New Roman" w:cs="Times New Roman"/>
          <w:sz w:val="24"/>
          <w:szCs w:val="24"/>
        </w:rPr>
        <w:t xml:space="preserve"> K &amp; Hebert RS. </w:t>
      </w:r>
      <w:proofErr w:type="gramStart"/>
      <w:r w:rsidRPr="002C149E">
        <w:rPr>
          <w:rFonts w:ascii="Times New Roman" w:hAnsi="Times New Roman" w:cs="Times New Roman"/>
          <w:sz w:val="24"/>
          <w:szCs w:val="24"/>
        </w:rPr>
        <w:t>Caregiving and Bereavement.</w:t>
      </w:r>
      <w:proofErr w:type="gramEnd"/>
      <w:r w:rsidRPr="002C149E">
        <w:rPr>
          <w:rFonts w:ascii="Times New Roman" w:hAnsi="Times New Roman" w:cs="Times New Roman"/>
          <w:sz w:val="24"/>
          <w:szCs w:val="24"/>
        </w:rPr>
        <w:t xml:space="preserve"> In </w:t>
      </w:r>
      <w:proofErr w:type="spellStart"/>
      <w:r w:rsidRPr="002C149E">
        <w:rPr>
          <w:rFonts w:ascii="Times New Roman" w:hAnsi="Times New Roman" w:cs="Times New Roman"/>
          <w:sz w:val="24"/>
          <w:szCs w:val="24"/>
        </w:rPr>
        <w:t>Stroebe</w:t>
      </w:r>
      <w:proofErr w:type="spellEnd"/>
      <w:r w:rsidRPr="002C149E">
        <w:rPr>
          <w:rFonts w:ascii="Times New Roman" w:hAnsi="Times New Roman" w:cs="Times New Roman"/>
          <w:sz w:val="24"/>
          <w:szCs w:val="24"/>
        </w:rPr>
        <w:t xml:space="preserve"> M, Hansson R, </w:t>
      </w:r>
      <w:proofErr w:type="spellStart"/>
      <w:r w:rsidRPr="002C149E">
        <w:rPr>
          <w:rFonts w:ascii="Times New Roman" w:hAnsi="Times New Roman" w:cs="Times New Roman"/>
          <w:sz w:val="24"/>
          <w:szCs w:val="24"/>
        </w:rPr>
        <w:t>Schut</w:t>
      </w:r>
      <w:proofErr w:type="spellEnd"/>
      <w:r w:rsidRPr="002C149E">
        <w:rPr>
          <w:rFonts w:ascii="Times New Roman" w:hAnsi="Times New Roman" w:cs="Times New Roman"/>
          <w:sz w:val="24"/>
          <w:szCs w:val="24"/>
        </w:rPr>
        <w:t xml:space="preserve"> H &amp; </w:t>
      </w:r>
      <w:proofErr w:type="spellStart"/>
      <w:r w:rsidRPr="002C149E">
        <w:rPr>
          <w:rFonts w:ascii="Times New Roman" w:hAnsi="Times New Roman" w:cs="Times New Roman"/>
          <w:sz w:val="24"/>
          <w:szCs w:val="24"/>
        </w:rPr>
        <w:t>Stroebe</w:t>
      </w:r>
      <w:proofErr w:type="spellEnd"/>
      <w:r w:rsidRPr="002C149E">
        <w:rPr>
          <w:rFonts w:ascii="Times New Roman" w:hAnsi="Times New Roman" w:cs="Times New Roman"/>
          <w:sz w:val="24"/>
          <w:szCs w:val="24"/>
        </w:rPr>
        <w:t xml:space="preserve"> W (</w:t>
      </w:r>
      <w:proofErr w:type="spellStart"/>
      <w:r w:rsidRPr="002C149E">
        <w:rPr>
          <w:rFonts w:ascii="Times New Roman" w:hAnsi="Times New Roman" w:cs="Times New Roman"/>
          <w:sz w:val="24"/>
          <w:szCs w:val="24"/>
        </w:rPr>
        <w:t>Eds</w:t>
      </w:r>
      <w:proofErr w:type="spellEnd"/>
      <w:r w:rsidRPr="002C149E">
        <w:rPr>
          <w:rFonts w:ascii="Times New Roman" w:hAnsi="Times New Roman" w:cs="Times New Roman"/>
          <w:sz w:val="24"/>
          <w:szCs w:val="24"/>
        </w:rPr>
        <w:t xml:space="preserve">) </w:t>
      </w:r>
      <w:r w:rsidRPr="002C149E">
        <w:rPr>
          <w:rFonts w:ascii="Times New Roman" w:hAnsi="Times New Roman" w:cs="Times New Roman"/>
          <w:i/>
          <w:sz w:val="24"/>
          <w:szCs w:val="24"/>
        </w:rPr>
        <w:t>Handbook of bereavement research and practice: 21</w:t>
      </w:r>
      <w:r w:rsidRPr="002C149E">
        <w:rPr>
          <w:rFonts w:ascii="Times New Roman" w:hAnsi="Times New Roman" w:cs="Times New Roman"/>
          <w:i/>
          <w:sz w:val="24"/>
          <w:szCs w:val="24"/>
          <w:vertAlign w:val="superscript"/>
        </w:rPr>
        <w:t>st</w:t>
      </w:r>
      <w:r w:rsidRPr="002C149E">
        <w:rPr>
          <w:rFonts w:ascii="Times New Roman" w:hAnsi="Times New Roman" w:cs="Times New Roman"/>
          <w:i/>
          <w:sz w:val="24"/>
          <w:szCs w:val="24"/>
        </w:rPr>
        <w:t xml:space="preserve"> century perspectives.</w:t>
      </w:r>
      <w:r w:rsidRPr="002C149E">
        <w:rPr>
          <w:rFonts w:ascii="Times New Roman" w:hAnsi="Times New Roman" w:cs="Times New Roman"/>
          <w:sz w:val="24"/>
          <w:szCs w:val="24"/>
        </w:rPr>
        <w:t xml:space="preserve"> American Psychological Association Press; Washington DC: 2008: 265-285.</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62. Sanders CM. Risk Factors in Bereavement Outcome. </w:t>
      </w:r>
      <w:proofErr w:type="gramStart"/>
      <w:r w:rsidRPr="002C149E">
        <w:rPr>
          <w:rFonts w:ascii="Times New Roman" w:hAnsi="Times New Roman" w:cs="Times New Roman"/>
          <w:sz w:val="24"/>
          <w:szCs w:val="24"/>
        </w:rPr>
        <w:t xml:space="preserve">In  </w:t>
      </w:r>
      <w:proofErr w:type="spellStart"/>
      <w:r w:rsidRPr="002C149E">
        <w:rPr>
          <w:rFonts w:ascii="Times New Roman" w:hAnsi="Times New Roman" w:cs="Times New Roman"/>
          <w:sz w:val="24"/>
          <w:szCs w:val="24"/>
        </w:rPr>
        <w:t>Stroebe</w:t>
      </w:r>
      <w:proofErr w:type="spellEnd"/>
      <w:proofErr w:type="gramEnd"/>
      <w:r w:rsidRPr="002C149E">
        <w:rPr>
          <w:rFonts w:ascii="Times New Roman" w:hAnsi="Times New Roman" w:cs="Times New Roman"/>
          <w:sz w:val="24"/>
          <w:szCs w:val="24"/>
        </w:rPr>
        <w:t xml:space="preserve"> MS, </w:t>
      </w:r>
      <w:proofErr w:type="spellStart"/>
      <w:r w:rsidRPr="002C149E">
        <w:rPr>
          <w:rFonts w:ascii="Times New Roman" w:hAnsi="Times New Roman" w:cs="Times New Roman"/>
          <w:sz w:val="24"/>
          <w:szCs w:val="24"/>
        </w:rPr>
        <w:t>Stroebe</w:t>
      </w:r>
      <w:proofErr w:type="spellEnd"/>
      <w:r w:rsidRPr="002C149E">
        <w:rPr>
          <w:rFonts w:ascii="Times New Roman" w:hAnsi="Times New Roman" w:cs="Times New Roman"/>
          <w:sz w:val="24"/>
          <w:szCs w:val="24"/>
        </w:rPr>
        <w:t xml:space="preserve"> W &amp; Hansson RO (Eds.) </w:t>
      </w:r>
      <w:r w:rsidRPr="002C149E">
        <w:rPr>
          <w:rFonts w:ascii="Times New Roman" w:hAnsi="Times New Roman" w:cs="Times New Roman"/>
          <w:i/>
          <w:sz w:val="24"/>
          <w:szCs w:val="24"/>
        </w:rPr>
        <w:t>Handbook of bereavement: Theory, research and intervention</w:t>
      </w:r>
      <w:r w:rsidRPr="002C149E">
        <w:rPr>
          <w:rFonts w:ascii="Times New Roman" w:hAnsi="Times New Roman" w:cs="Times New Roman"/>
          <w:sz w:val="24"/>
          <w:szCs w:val="24"/>
        </w:rPr>
        <w:t>.  Cambridge: Cambridge University Press; 1999: 225-267.</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63. </w:t>
      </w:r>
      <w:proofErr w:type="spellStart"/>
      <w:r w:rsidRPr="002C149E">
        <w:rPr>
          <w:rFonts w:ascii="Times New Roman" w:hAnsi="Times New Roman" w:cs="Times New Roman"/>
          <w:sz w:val="24"/>
          <w:szCs w:val="24"/>
        </w:rPr>
        <w:t>Stroebe</w:t>
      </w:r>
      <w:proofErr w:type="spellEnd"/>
      <w:r w:rsidRPr="002C149E">
        <w:rPr>
          <w:rFonts w:ascii="Times New Roman" w:hAnsi="Times New Roman" w:cs="Times New Roman"/>
          <w:sz w:val="24"/>
          <w:szCs w:val="24"/>
        </w:rPr>
        <w:t xml:space="preserve"> M &amp; </w:t>
      </w:r>
      <w:proofErr w:type="spellStart"/>
      <w:r w:rsidRPr="002C149E">
        <w:rPr>
          <w:rFonts w:ascii="Times New Roman" w:hAnsi="Times New Roman" w:cs="Times New Roman"/>
          <w:sz w:val="24"/>
          <w:szCs w:val="24"/>
        </w:rPr>
        <w:t>Stroebe</w:t>
      </w:r>
      <w:proofErr w:type="spellEnd"/>
      <w:r w:rsidRPr="002C149E">
        <w:rPr>
          <w:rFonts w:ascii="Times New Roman" w:hAnsi="Times New Roman" w:cs="Times New Roman"/>
          <w:sz w:val="24"/>
          <w:szCs w:val="24"/>
        </w:rPr>
        <w:t xml:space="preserve"> W. Who Suffers More? </w:t>
      </w:r>
      <w:proofErr w:type="gramStart"/>
      <w:r w:rsidRPr="002C149E">
        <w:rPr>
          <w:rFonts w:ascii="Times New Roman" w:hAnsi="Times New Roman" w:cs="Times New Roman"/>
          <w:sz w:val="24"/>
          <w:szCs w:val="24"/>
        </w:rPr>
        <w:t>Sex Differences in Health Risks of the Widowed.</w:t>
      </w:r>
      <w:proofErr w:type="gramEnd"/>
      <w:r w:rsidRPr="002C149E">
        <w:rPr>
          <w:rFonts w:ascii="Times New Roman" w:hAnsi="Times New Roman" w:cs="Times New Roman"/>
          <w:sz w:val="24"/>
          <w:szCs w:val="24"/>
        </w:rPr>
        <w:t xml:space="preserve"> </w:t>
      </w:r>
      <w:r w:rsidRPr="002C149E">
        <w:rPr>
          <w:rFonts w:ascii="Times New Roman" w:hAnsi="Times New Roman" w:cs="Times New Roman"/>
          <w:i/>
          <w:sz w:val="24"/>
          <w:szCs w:val="24"/>
        </w:rPr>
        <w:t>Psychological Bulletin</w:t>
      </w:r>
      <w:r w:rsidRPr="002C149E">
        <w:rPr>
          <w:rFonts w:ascii="Times New Roman" w:hAnsi="Times New Roman" w:cs="Times New Roman"/>
          <w:sz w:val="24"/>
          <w:szCs w:val="24"/>
        </w:rPr>
        <w:t xml:space="preserve"> 1983; 93(2): 279-301. </w:t>
      </w:r>
      <w:proofErr w:type="gramStart"/>
      <w:r w:rsidRPr="002C149E">
        <w:rPr>
          <w:rFonts w:ascii="Times New Roman" w:hAnsi="Times New Roman" w:cs="Times New Roman"/>
          <w:sz w:val="24"/>
          <w:szCs w:val="24"/>
        </w:rPr>
        <w:t>American Psychological Association Inc.</w:t>
      </w:r>
      <w:proofErr w:type="gramEnd"/>
      <w:r w:rsidRPr="002C149E">
        <w:rPr>
          <w:rFonts w:ascii="Times New Roman" w:hAnsi="Times New Roman" w:cs="Times New Roman"/>
          <w:sz w:val="24"/>
          <w:szCs w:val="24"/>
        </w:rPr>
        <w:t xml:space="preserve"> </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64. </w:t>
      </w:r>
      <w:proofErr w:type="spellStart"/>
      <w:r w:rsidRPr="002C149E">
        <w:rPr>
          <w:rFonts w:ascii="Times New Roman" w:hAnsi="Times New Roman" w:cs="Times New Roman"/>
          <w:sz w:val="24"/>
          <w:szCs w:val="24"/>
        </w:rPr>
        <w:t>Stroebe</w:t>
      </w:r>
      <w:proofErr w:type="spellEnd"/>
      <w:r w:rsidRPr="002C149E">
        <w:rPr>
          <w:rFonts w:ascii="Times New Roman" w:hAnsi="Times New Roman" w:cs="Times New Roman"/>
          <w:sz w:val="24"/>
          <w:szCs w:val="24"/>
        </w:rPr>
        <w:t xml:space="preserve"> M, </w:t>
      </w:r>
      <w:proofErr w:type="spellStart"/>
      <w:r w:rsidRPr="002C149E">
        <w:rPr>
          <w:rFonts w:ascii="Times New Roman" w:hAnsi="Times New Roman" w:cs="Times New Roman"/>
          <w:sz w:val="24"/>
          <w:szCs w:val="24"/>
        </w:rPr>
        <w:t>Stroebe</w:t>
      </w:r>
      <w:proofErr w:type="spellEnd"/>
      <w:r w:rsidRPr="002C149E">
        <w:rPr>
          <w:rFonts w:ascii="Times New Roman" w:hAnsi="Times New Roman" w:cs="Times New Roman"/>
          <w:sz w:val="24"/>
          <w:szCs w:val="24"/>
        </w:rPr>
        <w:t xml:space="preserve"> W &amp; </w:t>
      </w:r>
      <w:proofErr w:type="spellStart"/>
      <w:r w:rsidRPr="002C149E">
        <w:rPr>
          <w:rFonts w:ascii="Times New Roman" w:hAnsi="Times New Roman" w:cs="Times New Roman"/>
          <w:sz w:val="24"/>
          <w:szCs w:val="24"/>
        </w:rPr>
        <w:t>Schut</w:t>
      </w:r>
      <w:proofErr w:type="spellEnd"/>
      <w:r w:rsidRPr="002C149E">
        <w:rPr>
          <w:rFonts w:ascii="Times New Roman" w:hAnsi="Times New Roman" w:cs="Times New Roman"/>
          <w:sz w:val="24"/>
          <w:szCs w:val="24"/>
        </w:rPr>
        <w:t xml:space="preserve"> H. Gender Differences in Adjustment to Bereavement: An Empirical and Theoretical Review. </w:t>
      </w:r>
      <w:r w:rsidRPr="002C149E">
        <w:rPr>
          <w:rFonts w:ascii="Times New Roman" w:hAnsi="Times New Roman" w:cs="Times New Roman"/>
          <w:i/>
          <w:sz w:val="24"/>
          <w:szCs w:val="24"/>
        </w:rPr>
        <w:t xml:space="preserve">Review of General Psychology </w:t>
      </w:r>
      <w:r w:rsidRPr="002C149E">
        <w:rPr>
          <w:rFonts w:ascii="Times New Roman" w:hAnsi="Times New Roman" w:cs="Times New Roman"/>
          <w:sz w:val="24"/>
          <w:szCs w:val="24"/>
        </w:rPr>
        <w:t>2001; 5(1): 62-83.</w:t>
      </w:r>
    </w:p>
    <w:p w:rsidR="00DD0690" w:rsidRPr="002C149E" w:rsidRDefault="00DD0690" w:rsidP="00DD0690">
      <w:pPr>
        <w:jc w:val="both"/>
        <w:rPr>
          <w:rFonts w:ascii="Times New Roman" w:hAnsi="Times New Roman" w:cs="Times New Roman"/>
          <w:sz w:val="24"/>
          <w:szCs w:val="24"/>
        </w:rPr>
      </w:pPr>
      <w:proofErr w:type="gramStart"/>
      <w:r w:rsidRPr="002C149E">
        <w:rPr>
          <w:rFonts w:ascii="Times New Roman" w:hAnsi="Times New Roman" w:cs="Times New Roman"/>
          <w:sz w:val="24"/>
          <w:szCs w:val="24"/>
        </w:rPr>
        <w:t xml:space="preserve">65. </w:t>
      </w:r>
      <w:proofErr w:type="spellStart"/>
      <w:r w:rsidRPr="002C149E">
        <w:rPr>
          <w:rFonts w:ascii="Times New Roman" w:hAnsi="Times New Roman" w:cs="Times New Roman"/>
          <w:sz w:val="24"/>
          <w:szCs w:val="24"/>
        </w:rPr>
        <w:t>Bierhals</w:t>
      </w:r>
      <w:proofErr w:type="spellEnd"/>
      <w:r w:rsidRPr="002C149E">
        <w:rPr>
          <w:rFonts w:ascii="Times New Roman" w:hAnsi="Times New Roman" w:cs="Times New Roman"/>
          <w:sz w:val="24"/>
          <w:szCs w:val="24"/>
        </w:rPr>
        <w:t xml:space="preserve"> AJ, </w:t>
      </w:r>
      <w:proofErr w:type="spellStart"/>
      <w:r w:rsidRPr="002C149E">
        <w:rPr>
          <w:rFonts w:ascii="Times New Roman" w:hAnsi="Times New Roman" w:cs="Times New Roman"/>
          <w:sz w:val="24"/>
          <w:szCs w:val="24"/>
        </w:rPr>
        <w:t>Prigerson</w:t>
      </w:r>
      <w:proofErr w:type="spellEnd"/>
      <w:r w:rsidRPr="002C149E">
        <w:rPr>
          <w:rFonts w:ascii="Times New Roman" w:hAnsi="Times New Roman" w:cs="Times New Roman"/>
          <w:sz w:val="24"/>
          <w:szCs w:val="24"/>
        </w:rPr>
        <w:t xml:space="preserve"> HG, </w:t>
      </w:r>
      <w:proofErr w:type="spellStart"/>
      <w:r w:rsidRPr="002C149E">
        <w:rPr>
          <w:rFonts w:ascii="Times New Roman" w:hAnsi="Times New Roman" w:cs="Times New Roman"/>
          <w:sz w:val="24"/>
          <w:szCs w:val="24"/>
        </w:rPr>
        <w:t>Fasiczka</w:t>
      </w:r>
      <w:proofErr w:type="spellEnd"/>
      <w:r w:rsidRPr="002C149E">
        <w:rPr>
          <w:rFonts w:ascii="Times New Roman" w:hAnsi="Times New Roman" w:cs="Times New Roman"/>
          <w:sz w:val="24"/>
          <w:szCs w:val="24"/>
        </w:rPr>
        <w:t xml:space="preserve"> A et al.</w:t>
      </w:r>
      <w:proofErr w:type="gramEnd"/>
      <w:r w:rsidRPr="002C149E">
        <w:rPr>
          <w:rFonts w:ascii="Times New Roman" w:hAnsi="Times New Roman" w:cs="Times New Roman"/>
          <w:sz w:val="24"/>
          <w:szCs w:val="24"/>
        </w:rPr>
        <w:t xml:space="preserve">  </w:t>
      </w:r>
      <w:proofErr w:type="gramStart"/>
      <w:r w:rsidRPr="002C149E">
        <w:rPr>
          <w:rFonts w:ascii="Times New Roman" w:hAnsi="Times New Roman" w:cs="Times New Roman"/>
          <w:sz w:val="24"/>
          <w:szCs w:val="24"/>
        </w:rPr>
        <w:t>Gender differences in traumatic grief among the elderly.</w:t>
      </w:r>
      <w:proofErr w:type="gramEnd"/>
      <w:r w:rsidRPr="002C149E">
        <w:rPr>
          <w:rFonts w:ascii="Times New Roman" w:hAnsi="Times New Roman" w:cs="Times New Roman"/>
          <w:sz w:val="24"/>
          <w:szCs w:val="24"/>
        </w:rPr>
        <w:t xml:space="preserve"> Omega: Journal of Death and Dying 1996; 32: 302-317.</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lastRenderedPageBreak/>
        <w:t xml:space="preserve">66. Chen JH, </w:t>
      </w:r>
      <w:proofErr w:type="spellStart"/>
      <w:r w:rsidRPr="002C149E">
        <w:rPr>
          <w:rFonts w:ascii="Times New Roman" w:hAnsi="Times New Roman" w:cs="Times New Roman"/>
          <w:sz w:val="24"/>
          <w:szCs w:val="24"/>
        </w:rPr>
        <w:t>Bierhals</w:t>
      </w:r>
      <w:proofErr w:type="spellEnd"/>
      <w:r w:rsidRPr="002C149E">
        <w:rPr>
          <w:rFonts w:ascii="Times New Roman" w:hAnsi="Times New Roman" w:cs="Times New Roman"/>
          <w:sz w:val="24"/>
          <w:szCs w:val="24"/>
        </w:rPr>
        <w:t xml:space="preserve"> AJ, </w:t>
      </w:r>
      <w:proofErr w:type="spellStart"/>
      <w:r w:rsidRPr="002C149E">
        <w:rPr>
          <w:rFonts w:ascii="Times New Roman" w:hAnsi="Times New Roman" w:cs="Times New Roman"/>
          <w:sz w:val="24"/>
          <w:szCs w:val="24"/>
        </w:rPr>
        <w:t>Prigerson</w:t>
      </w:r>
      <w:proofErr w:type="spellEnd"/>
      <w:r w:rsidRPr="002C149E">
        <w:rPr>
          <w:rFonts w:ascii="Times New Roman" w:hAnsi="Times New Roman" w:cs="Times New Roman"/>
          <w:sz w:val="24"/>
          <w:szCs w:val="24"/>
        </w:rPr>
        <w:t xml:space="preserve"> HG et al. Gender differences in the effects of bereavement-related psychological distress sin health outcomes. </w:t>
      </w:r>
      <w:r w:rsidRPr="002C149E">
        <w:rPr>
          <w:rFonts w:ascii="Times New Roman" w:hAnsi="Times New Roman" w:cs="Times New Roman"/>
          <w:i/>
          <w:sz w:val="24"/>
          <w:szCs w:val="24"/>
        </w:rPr>
        <w:t>Psychological Medicine</w:t>
      </w:r>
      <w:r w:rsidRPr="002C149E">
        <w:rPr>
          <w:rFonts w:ascii="Times New Roman" w:hAnsi="Times New Roman" w:cs="Times New Roman"/>
          <w:sz w:val="24"/>
          <w:szCs w:val="24"/>
        </w:rPr>
        <w:t xml:space="preserve"> 1999; 29(2): 367-380.</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67. Van </w:t>
      </w:r>
      <w:proofErr w:type="spellStart"/>
      <w:r w:rsidRPr="002C149E">
        <w:rPr>
          <w:rFonts w:ascii="Times New Roman" w:hAnsi="Times New Roman" w:cs="Times New Roman"/>
          <w:sz w:val="24"/>
          <w:szCs w:val="24"/>
        </w:rPr>
        <w:t>Grootheest</w:t>
      </w:r>
      <w:proofErr w:type="spellEnd"/>
      <w:r w:rsidRPr="002C149E">
        <w:rPr>
          <w:rFonts w:ascii="Times New Roman" w:hAnsi="Times New Roman" w:cs="Times New Roman"/>
          <w:sz w:val="24"/>
          <w:szCs w:val="24"/>
        </w:rPr>
        <w:t xml:space="preserve"> DS, </w:t>
      </w:r>
      <w:proofErr w:type="spellStart"/>
      <w:r w:rsidRPr="002C149E">
        <w:rPr>
          <w:rFonts w:ascii="Times New Roman" w:hAnsi="Times New Roman" w:cs="Times New Roman"/>
          <w:sz w:val="24"/>
          <w:szCs w:val="24"/>
        </w:rPr>
        <w:t>Beekman</w:t>
      </w:r>
      <w:proofErr w:type="spellEnd"/>
      <w:r w:rsidRPr="002C149E">
        <w:rPr>
          <w:rFonts w:ascii="Times New Roman" w:hAnsi="Times New Roman" w:cs="Times New Roman"/>
          <w:sz w:val="24"/>
          <w:szCs w:val="24"/>
        </w:rPr>
        <w:t xml:space="preserve"> ATF, van </w:t>
      </w:r>
      <w:proofErr w:type="spellStart"/>
      <w:r w:rsidRPr="002C149E">
        <w:rPr>
          <w:rFonts w:ascii="Times New Roman" w:hAnsi="Times New Roman" w:cs="Times New Roman"/>
          <w:sz w:val="24"/>
          <w:szCs w:val="24"/>
        </w:rPr>
        <w:t>Groenou</w:t>
      </w:r>
      <w:proofErr w:type="spellEnd"/>
      <w:r w:rsidRPr="002C149E">
        <w:rPr>
          <w:rFonts w:ascii="Times New Roman" w:hAnsi="Times New Roman" w:cs="Times New Roman"/>
          <w:sz w:val="24"/>
          <w:szCs w:val="24"/>
        </w:rPr>
        <w:t xml:space="preserve"> B &amp; </w:t>
      </w:r>
      <w:proofErr w:type="spellStart"/>
      <w:r w:rsidRPr="002C149E">
        <w:rPr>
          <w:rFonts w:ascii="Times New Roman" w:hAnsi="Times New Roman" w:cs="Times New Roman"/>
          <w:sz w:val="24"/>
          <w:szCs w:val="24"/>
        </w:rPr>
        <w:t>Deeg</w:t>
      </w:r>
      <w:proofErr w:type="spellEnd"/>
      <w:r w:rsidRPr="002C149E">
        <w:rPr>
          <w:rFonts w:ascii="Times New Roman" w:hAnsi="Times New Roman" w:cs="Times New Roman"/>
          <w:sz w:val="24"/>
          <w:szCs w:val="24"/>
        </w:rPr>
        <w:t xml:space="preserve"> DJH. </w:t>
      </w:r>
      <w:proofErr w:type="gramStart"/>
      <w:r w:rsidRPr="002C149E">
        <w:rPr>
          <w:rFonts w:ascii="Times New Roman" w:hAnsi="Times New Roman" w:cs="Times New Roman"/>
          <w:sz w:val="24"/>
          <w:szCs w:val="24"/>
        </w:rPr>
        <w:t>Sex differences in depression after widowhood.</w:t>
      </w:r>
      <w:proofErr w:type="gramEnd"/>
      <w:r w:rsidRPr="002C149E">
        <w:rPr>
          <w:rFonts w:ascii="Times New Roman" w:hAnsi="Times New Roman" w:cs="Times New Roman"/>
          <w:sz w:val="24"/>
          <w:szCs w:val="24"/>
        </w:rPr>
        <w:t xml:space="preserve"> Do Men suffer more? </w:t>
      </w:r>
      <w:proofErr w:type="gramStart"/>
      <w:r w:rsidRPr="002C149E">
        <w:rPr>
          <w:rFonts w:ascii="Times New Roman" w:hAnsi="Times New Roman" w:cs="Times New Roman"/>
          <w:i/>
          <w:sz w:val="24"/>
          <w:szCs w:val="24"/>
        </w:rPr>
        <w:t>Social Psychiatry and Psychiatric Epidemiology</w:t>
      </w:r>
      <w:r w:rsidRPr="002C149E">
        <w:rPr>
          <w:rFonts w:ascii="Times New Roman" w:hAnsi="Times New Roman" w:cs="Times New Roman"/>
          <w:sz w:val="24"/>
          <w:szCs w:val="24"/>
        </w:rPr>
        <w:t xml:space="preserve"> 1999; 34: 391-398.</w:t>
      </w:r>
      <w:proofErr w:type="gramEnd"/>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68. Wright A, Mack JW, </w:t>
      </w:r>
      <w:proofErr w:type="spellStart"/>
      <w:r w:rsidRPr="002C149E">
        <w:rPr>
          <w:rFonts w:ascii="Times New Roman" w:hAnsi="Times New Roman" w:cs="Times New Roman"/>
          <w:sz w:val="24"/>
          <w:szCs w:val="24"/>
        </w:rPr>
        <w:t>Kritek</w:t>
      </w:r>
      <w:proofErr w:type="spellEnd"/>
      <w:r w:rsidRPr="002C149E">
        <w:rPr>
          <w:rFonts w:ascii="Times New Roman" w:hAnsi="Times New Roman" w:cs="Times New Roman"/>
          <w:sz w:val="24"/>
          <w:szCs w:val="24"/>
        </w:rPr>
        <w:t xml:space="preserve"> PA et al. Influence of Patients’ Preferences and Treatment Site on Cancer Patients’ End-of-Life Care. </w:t>
      </w:r>
      <w:r w:rsidRPr="002C149E">
        <w:rPr>
          <w:rFonts w:ascii="Times New Roman" w:hAnsi="Times New Roman" w:cs="Times New Roman"/>
          <w:i/>
          <w:sz w:val="24"/>
          <w:szCs w:val="24"/>
        </w:rPr>
        <w:t>Cancer</w:t>
      </w:r>
      <w:r w:rsidRPr="002C149E">
        <w:rPr>
          <w:rFonts w:ascii="Times New Roman" w:hAnsi="Times New Roman" w:cs="Times New Roman"/>
          <w:sz w:val="24"/>
          <w:szCs w:val="24"/>
        </w:rPr>
        <w:t xml:space="preserve"> 2010; 116(19): 4656-4663.</w:t>
      </w:r>
    </w:p>
    <w:p w:rsidR="00DD0690" w:rsidRPr="002C149E" w:rsidRDefault="00DD0690" w:rsidP="00DD0690">
      <w:pPr>
        <w:jc w:val="both"/>
        <w:rPr>
          <w:rFonts w:ascii="Times New Roman" w:hAnsi="Times New Roman" w:cs="Times New Roman"/>
          <w:sz w:val="24"/>
          <w:szCs w:val="24"/>
        </w:rPr>
      </w:pPr>
      <w:r w:rsidRPr="002C149E">
        <w:rPr>
          <w:rFonts w:ascii="Times New Roman" w:hAnsi="Times New Roman" w:cs="Times New Roman"/>
          <w:sz w:val="24"/>
          <w:szCs w:val="24"/>
        </w:rPr>
        <w:t xml:space="preserve">69. Higgins P, </w:t>
      </w:r>
      <w:proofErr w:type="spellStart"/>
      <w:r w:rsidRPr="002C149E">
        <w:rPr>
          <w:rFonts w:ascii="Times New Roman" w:hAnsi="Times New Roman" w:cs="Times New Roman"/>
          <w:sz w:val="24"/>
          <w:szCs w:val="24"/>
        </w:rPr>
        <w:t>Garrido</w:t>
      </w:r>
      <w:proofErr w:type="spellEnd"/>
      <w:r w:rsidRPr="002C149E">
        <w:rPr>
          <w:rFonts w:ascii="Times New Roman" w:hAnsi="Times New Roman" w:cs="Times New Roman"/>
          <w:sz w:val="24"/>
          <w:szCs w:val="24"/>
        </w:rPr>
        <w:t xml:space="preserve"> M &amp; </w:t>
      </w:r>
      <w:proofErr w:type="spellStart"/>
      <w:r w:rsidRPr="002C149E">
        <w:rPr>
          <w:rFonts w:ascii="Times New Roman" w:hAnsi="Times New Roman" w:cs="Times New Roman"/>
          <w:sz w:val="24"/>
          <w:szCs w:val="24"/>
        </w:rPr>
        <w:t>Prigerson</w:t>
      </w:r>
      <w:proofErr w:type="spellEnd"/>
      <w:r w:rsidRPr="002C149E">
        <w:rPr>
          <w:rFonts w:ascii="Times New Roman" w:hAnsi="Times New Roman" w:cs="Times New Roman"/>
          <w:sz w:val="24"/>
          <w:szCs w:val="24"/>
        </w:rPr>
        <w:t xml:space="preserve"> HG. Factors Predicting Bereaved Caregiver Perceptions of Quality of Care in the Final Week of Life: Implications for Health Care Providers</w:t>
      </w:r>
      <w:r w:rsidRPr="002C149E">
        <w:rPr>
          <w:rFonts w:ascii="Times New Roman" w:hAnsi="Times New Roman" w:cs="Times New Roman"/>
          <w:i/>
          <w:sz w:val="24"/>
          <w:szCs w:val="24"/>
        </w:rPr>
        <w:t>. Journal of Palliative Medicine</w:t>
      </w:r>
      <w:r w:rsidRPr="002C149E">
        <w:rPr>
          <w:rFonts w:ascii="Times New Roman" w:hAnsi="Times New Roman" w:cs="Times New Roman"/>
          <w:sz w:val="24"/>
          <w:szCs w:val="24"/>
        </w:rPr>
        <w:t xml:space="preserve"> 2015; 18(10): 849-857.</w:t>
      </w:r>
    </w:p>
    <w:p w:rsidR="00DD0690" w:rsidRPr="002C149E" w:rsidRDefault="00DD0690" w:rsidP="00DD0690">
      <w:pPr>
        <w:jc w:val="both"/>
        <w:rPr>
          <w:rFonts w:ascii="Times New Roman" w:hAnsi="Times New Roman" w:cs="Times New Roman"/>
          <w:sz w:val="24"/>
          <w:szCs w:val="24"/>
        </w:rPr>
      </w:pPr>
      <w:proofErr w:type="gramStart"/>
      <w:r w:rsidRPr="002C149E">
        <w:rPr>
          <w:rFonts w:ascii="Times New Roman" w:hAnsi="Times New Roman" w:cs="Times New Roman"/>
          <w:sz w:val="24"/>
          <w:szCs w:val="24"/>
        </w:rPr>
        <w:t xml:space="preserve">70. </w:t>
      </w:r>
      <w:proofErr w:type="spellStart"/>
      <w:r w:rsidRPr="002C149E">
        <w:rPr>
          <w:rFonts w:ascii="Times New Roman" w:hAnsi="Times New Roman" w:cs="Times New Roman"/>
          <w:sz w:val="24"/>
          <w:szCs w:val="24"/>
        </w:rPr>
        <w:t>Maciejewski</w:t>
      </w:r>
      <w:proofErr w:type="spellEnd"/>
      <w:r w:rsidRPr="002C149E">
        <w:rPr>
          <w:rFonts w:ascii="Times New Roman" w:hAnsi="Times New Roman" w:cs="Times New Roman"/>
          <w:sz w:val="24"/>
          <w:szCs w:val="24"/>
        </w:rPr>
        <w:t xml:space="preserve"> PK, Zhang B, Block SD and </w:t>
      </w:r>
      <w:proofErr w:type="spellStart"/>
      <w:r w:rsidRPr="002C149E">
        <w:rPr>
          <w:rFonts w:ascii="Times New Roman" w:hAnsi="Times New Roman" w:cs="Times New Roman"/>
          <w:sz w:val="24"/>
          <w:szCs w:val="24"/>
        </w:rPr>
        <w:t>Prigerson</w:t>
      </w:r>
      <w:proofErr w:type="spellEnd"/>
      <w:r w:rsidRPr="002C149E">
        <w:rPr>
          <w:rFonts w:ascii="Times New Roman" w:hAnsi="Times New Roman" w:cs="Times New Roman"/>
          <w:sz w:val="24"/>
          <w:szCs w:val="24"/>
        </w:rPr>
        <w:t xml:space="preserve"> HG.</w:t>
      </w:r>
      <w:proofErr w:type="gramEnd"/>
      <w:r w:rsidRPr="002C149E">
        <w:rPr>
          <w:rFonts w:ascii="Times New Roman" w:hAnsi="Times New Roman" w:cs="Times New Roman"/>
          <w:sz w:val="24"/>
          <w:szCs w:val="24"/>
        </w:rPr>
        <w:t xml:space="preserve"> </w:t>
      </w:r>
      <w:proofErr w:type="gramStart"/>
      <w:r w:rsidRPr="002C149E">
        <w:rPr>
          <w:rFonts w:ascii="Times New Roman" w:hAnsi="Times New Roman" w:cs="Times New Roman"/>
          <w:sz w:val="24"/>
          <w:szCs w:val="24"/>
        </w:rPr>
        <w:t>An Empirical Examination of the Stage Theory of Grief.</w:t>
      </w:r>
      <w:proofErr w:type="gramEnd"/>
      <w:r w:rsidRPr="002C149E">
        <w:rPr>
          <w:rFonts w:ascii="Times New Roman" w:hAnsi="Times New Roman" w:cs="Times New Roman"/>
          <w:sz w:val="24"/>
          <w:szCs w:val="24"/>
        </w:rPr>
        <w:t xml:space="preserve"> </w:t>
      </w:r>
      <w:r w:rsidRPr="002C149E">
        <w:rPr>
          <w:rFonts w:ascii="Times New Roman" w:hAnsi="Times New Roman" w:cs="Times New Roman"/>
          <w:i/>
          <w:sz w:val="24"/>
          <w:szCs w:val="24"/>
        </w:rPr>
        <w:t>JAMA</w:t>
      </w:r>
      <w:r w:rsidRPr="002C149E">
        <w:rPr>
          <w:rFonts w:ascii="Times New Roman" w:hAnsi="Times New Roman" w:cs="Times New Roman"/>
          <w:sz w:val="24"/>
          <w:szCs w:val="24"/>
        </w:rPr>
        <w:t xml:space="preserve"> 2007; 297(7): 716-723.</w:t>
      </w:r>
    </w:p>
    <w:p w:rsidR="00DD0690" w:rsidRPr="002C149E" w:rsidRDefault="00DD0690" w:rsidP="00DD0690">
      <w:pPr>
        <w:jc w:val="both"/>
        <w:rPr>
          <w:rFonts w:ascii="Times New Roman" w:hAnsi="Times New Roman" w:cs="Times New Roman"/>
          <w:sz w:val="24"/>
          <w:szCs w:val="24"/>
        </w:rPr>
      </w:pPr>
    </w:p>
    <w:p w:rsidR="00DD0690" w:rsidRPr="002C149E" w:rsidRDefault="00DD0690" w:rsidP="00DD0690">
      <w:pPr>
        <w:rPr>
          <w:rFonts w:ascii="Times New Roman" w:hAnsi="Times New Roman" w:cs="Times New Roman"/>
          <w:sz w:val="24"/>
          <w:szCs w:val="24"/>
        </w:rPr>
      </w:pPr>
    </w:p>
    <w:p w:rsidR="00B77BFE" w:rsidRPr="002C149E" w:rsidRDefault="00DD0690">
      <w:pPr>
        <w:rPr>
          <w:rFonts w:ascii="Times New Roman" w:hAnsi="Times New Roman" w:cs="Times New Roman"/>
        </w:rPr>
      </w:pPr>
      <w:r w:rsidRPr="002C149E">
        <w:rPr>
          <w:rFonts w:ascii="Times New Roman" w:hAnsi="Times New Roman" w:cs="Times New Roman"/>
        </w:rPr>
        <w:br w:type="page"/>
      </w:r>
    </w:p>
    <w:tbl>
      <w:tblPr>
        <w:tblStyle w:val="TableGrid"/>
        <w:tblpPr w:leftFromText="180" w:rightFromText="180" w:vertAnchor="page" w:tblpY="2380"/>
        <w:tblW w:w="0" w:type="auto"/>
        <w:tblLook w:val="04A0" w:firstRow="1" w:lastRow="0" w:firstColumn="1" w:lastColumn="0" w:noHBand="0" w:noVBand="1"/>
      </w:tblPr>
      <w:tblGrid>
        <w:gridCol w:w="534"/>
        <w:gridCol w:w="5913"/>
        <w:gridCol w:w="1526"/>
        <w:gridCol w:w="1269"/>
      </w:tblGrid>
      <w:tr w:rsidR="00F3407D" w:rsidTr="00561EA7">
        <w:trPr>
          <w:gridAfter w:val="1"/>
          <w:wAfter w:w="1269" w:type="dxa"/>
          <w:trHeight w:val="277"/>
        </w:trPr>
        <w:tc>
          <w:tcPr>
            <w:tcW w:w="7973" w:type="dxa"/>
            <w:gridSpan w:val="3"/>
            <w:tcBorders>
              <w:top w:val="single" w:sz="4" w:space="0" w:color="auto"/>
              <w:left w:val="single" w:sz="4" w:space="0" w:color="auto"/>
              <w:bottom w:val="single" w:sz="4" w:space="0" w:color="auto"/>
              <w:right w:val="single" w:sz="4" w:space="0" w:color="auto"/>
            </w:tcBorders>
          </w:tcPr>
          <w:p w:rsidR="00F3407D" w:rsidRDefault="00F3407D" w:rsidP="00F3407D">
            <w:r>
              <w:rPr>
                <w:b/>
              </w:rPr>
              <w:lastRenderedPageBreak/>
              <w:t>Respondents – factors that do not change as care relinquished</w:t>
            </w:r>
          </w:p>
        </w:tc>
      </w:tr>
      <w:tr w:rsidR="00F3407D" w:rsidTr="007B28D7">
        <w:trPr>
          <w:gridAfter w:val="1"/>
          <w:wAfter w:w="1269" w:type="dxa"/>
        </w:trPr>
        <w:tc>
          <w:tcPr>
            <w:tcW w:w="534" w:type="dxa"/>
            <w:tcBorders>
              <w:top w:val="single" w:sz="4" w:space="0" w:color="auto"/>
              <w:left w:val="single" w:sz="4" w:space="0" w:color="auto"/>
              <w:bottom w:val="single" w:sz="4" w:space="0" w:color="auto"/>
              <w:right w:val="single" w:sz="4" w:space="0" w:color="auto"/>
            </w:tcBorders>
          </w:tcPr>
          <w:p w:rsidR="00F3407D" w:rsidRDefault="00F3407D" w:rsidP="006733A9"/>
        </w:tc>
        <w:tc>
          <w:tcPr>
            <w:tcW w:w="5913" w:type="dxa"/>
            <w:tcBorders>
              <w:top w:val="single" w:sz="4" w:space="0" w:color="auto"/>
              <w:left w:val="single" w:sz="4" w:space="0" w:color="auto"/>
              <w:bottom w:val="single" w:sz="4" w:space="0" w:color="auto"/>
              <w:right w:val="single" w:sz="4" w:space="0" w:color="auto"/>
            </w:tcBorders>
            <w:hideMark/>
          </w:tcPr>
          <w:p w:rsidR="00F3407D" w:rsidRDefault="00F3407D" w:rsidP="006733A9">
            <w:r>
              <w:t>Gender – male</w:t>
            </w:r>
          </w:p>
        </w:tc>
        <w:tc>
          <w:tcPr>
            <w:tcW w:w="1526" w:type="dxa"/>
            <w:tcBorders>
              <w:top w:val="single" w:sz="4" w:space="0" w:color="auto"/>
              <w:left w:val="single" w:sz="4" w:space="0" w:color="auto"/>
              <w:bottom w:val="single" w:sz="4" w:space="0" w:color="auto"/>
              <w:right w:val="single" w:sz="4" w:space="0" w:color="auto"/>
            </w:tcBorders>
            <w:hideMark/>
          </w:tcPr>
          <w:p w:rsidR="00F3407D" w:rsidRDefault="00F3407D" w:rsidP="006733A9">
            <w:r>
              <w:t>274 (29.7)</w:t>
            </w:r>
          </w:p>
        </w:tc>
      </w:tr>
      <w:tr w:rsidR="00F3407D" w:rsidTr="007B28D7">
        <w:trPr>
          <w:gridAfter w:val="1"/>
          <w:wAfter w:w="1269" w:type="dxa"/>
        </w:trPr>
        <w:tc>
          <w:tcPr>
            <w:tcW w:w="534" w:type="dxa"/>
            <w:tcBorders>
              <w:top w:val="single" w:sz="4" w:space="0" w:color="auto"/>
              <w:left w:val="single" w:sz="4" w:space="0" w:color="auto"/>
              <w:bottom w:val="single" w:sz="4" w:space="0" w:color="auto"/>
              <w:right w:val="single" w:sz="4" w:space="0" w:color="auto"/>
            </w:tcBorders>
          </w:tcPr>
          <w:p w:rsidR="00F3407D" w:rsidRDefault="00F3407D" w:rsidP="006733A9"/>
        </w:tc>
        <w:tc>
          <w:tcPr>
            <w:tcW w:w="5913" w:type="dxa"/>
            <w:tcBorders>
              <w:top w:val="single" w:sz="4" w:space="0" w:color="auto"/>
              <w:left w:val="single" w:sz="4" w:space="0" w:color="auto"/>
              <w:bottom w:val="single" w:sz="4" w:space="0" w:color="auto"/>
              <w:right w:val="single" w:sz="4" w:space="0" w:color="auto"/>
            </w:tcBorders>
            <w:hideMark/>
          </w:tcPr>
          <w:p w:rsidR="00F3407D" w:rsidRDefault="00F3407D" w:rsidP="006733A9">
            <w:r>
              <w:t>Mean (SD) age of caregivers</w:t>
            </w:r>
          </w:p>
        </w:tc>
        <w:tc>
          <w:tcPr>
            <w:tcW w:w="1526" w:type="dxa"/>
            <w:tcBorders>
              <w:top w:val="single" w:sz="4" w:space="0" w:color="auto"/>
              <w:left w:val="single" w:sz="4" w:space="0" w:color="auto"/>
              <w:bottom w:val="single" w:sz="4" w:space="0" w:color="auto"/>
              <w:right w:val="single" w:sz="4" w:space="0" w:color="auto"/>
            </w:tcBorders>
            <w:hideMark/>
          </w:tcPr>
          <w:p w:rsidR="00F3407D" w:rsidRDefault="00F3407D" w:rsidP="006733A9">
            <w:r>
              <w:t>53.4 (15.9)</w:t>
            </w:r>
          </w:p>
        </w:tc>
      </w:tr>
      <w:tr w:rsidR="00F3407D" w:rsidTr="007B28D7">
        <w:trPr>
          <w:gridAfter w:val="1"/>
          <w:wAfter w:w="1269" w:type="dxa"/>
        </w:trPr>
        <w:tc>
          <w:tcPr>
            <w:tcW w:w="534" w:type="dxa"/>
            <w:tcBorders>
              <w:top w:val="single" w:sz="4" w:space="0" w:color="auto"/>
              <w:left w:val="single" w:sz="4" w:space="0" w:color="auto"/>
              <w:bottom w:val="single" w:sz="4" w:space="0" w:color="auto"/>
              <w:right w:val="single" w:sz="4" w:space="0" w:color="auto"/>
            </w:tcBorders>
          </w:tcPr>
          <w:p w:rsidR="00F3407D" w:rsidRDefault="00F3407D" w:rsidP="006733A9"/>
        </w:tc>
        <w:tc>
          <w:tcPr>
            <w:tcW w:w="5913" w:type="dxa"/>
            <w:tcBorders>
              <w:top w:val="single" w:sz="4" w:space="0" w:color="auto"/>
              <w:left w:val="single" w:sz="4" w:space="0" w:color="auto"/>
              <w:bottom w:val="single" w:sz="4" w:space="0" w:color="auto"/>
              <w:right w:val="single" w:sz="4" w:space="0" w:color="auto"/>
            </w:tcBorders>
            <w:hideMark/>
          </w:tcPr>
          <w:p w:rsidR="00F3407D" w:rsidRDefault="00F3407D" w:rsidP="006733A9">
            <w:r>
              <w:t>Generation:</w:t>
            </w:r>
          </w:p>
          <w:p w:rsidR="00F3407D" w:rsidRDefault="00F3407D" w:rsidP="006733A9">
            <w:r>
              <w:t>- Pre 1925:</w:t>
            </w:r>
          </w:p>
          <w:p w:rsidR="00F3407D" w:rsidRDefault="00F3407D" w:rsidP="006733A9">
            <w:r>
              <w:t>- 1925-1945:</w:t>
            </w:r>
          </w:p>
          <w:p w:rsidR="00F3407D" w:rsidRDefault="00F3407D" w:rsidP="006733A9">
            <w:r>
              <w:t>- 1946-1964:</w:t>
            </w:r>
          </w:p>
          <w:p w:rsidR="00F3407D" w:rsidRDefault="00F3407D" w:rsidP="006733A9">
            <w:r>
              <w:t>- 1965-1980:</w:t>
            </w:r>
          </w:p>
          <w:p w:rsidR="00F3407D" w:rsidRDefault="00F3407D" w:rsidP="006733A9">
            <w:r>
              <w:t>- 1981-1995:</w:t>
            </w:r>
          </w:p>
        </w:tc>
        <w:tc>
          <w:tcPr>
            <w:tcW w:w="1526" w:type="dxa"/>
            <w:tcBorders>
              <w:top w:val="single" w:sz="4" w:space="0" w:color="auto"/>
              <w:left w:val="single" w:sz="4" w:space="0" w:color="auto"/>
              <w:bottom w:val="single" w:sz="4" w:space="0" w:color="auto"/>
              <w:right w:val="single" w:sz="4" w:space="0" w:color="auto"/>
            </w:tcBorders>
          </w:tcPr>
          <w:p w:rsidR="00F3407D" w:rsidRDefault="00F3407D" w:rsidP="006733A9"/>
          <w:p w:rsidR="00F3407D" w:rsidRDefault="00F3407D" w:rsidP="006733A9">
            <w:r>
              <w:t>41 (4.4)</w:t>
            </w:r>
          </w:p>
          <w:p w:rsidR="00F3407D" w:rsidRDefault="00F3407D" w:rsidP="006733A9">
            <w:r>
              <w:t>311 (33.7)</w:t>
            </w:r>
          </w:p>
          <w:p w:rsidR="00F3407D" w:rsidRDefault="00F3407D" w:rsidP="006733A9">
            <w:r>
              <w:t>380 (41.2)</w:t>
            </w:r>
          </w:p>
          <w:p w:rsidR="00F3407D" w:rsidRDefault="00F3407D" w:rsidP="006733A9">
            <w:r>
              <w:t>157 (17.0)</w:t>
            </w:r>
          </w:p>
          <w:p w:rsidR="00F3407D" w:rsidRDefault="00F3407D" w:rsidP="006733A9">
            <w:r>
              <w:t>33 (3.6)</w:t>
            </w:r>
          </w:p>
        </w:tc>
      </w:tr>
      <w:tr w:rsidR="00F3407D" w:rsidTr="007B28D7">
        <w:trPr>
          <w:gridAfter w:val="1"/>
          <w:wAfter w:w="1269" w:type="dxa"/>
        </w:trPr>
        <w:tc>
          <w:tcPr>
            <w:tcW w:w="534" w:type="dxa"/>
            <w:tcBorders>
              <w:top w:val="single" w:sz="4" w:space="0" w:color="auto"/>
              <w:left w:val="single" w:sz="4" w:space="0" w:color="auto"/>
              <w:bottom w:val="single" w:sz="4" w:space="0" w:color="auto"/>
              <w:right w:val="single" w:sz="4" w:space="0" w:color="auto"/>
            </w:tcBorders>
          </w:tcPr>
          <w:p w:rsidR="00F3407D" w:rsidRDefault="00F3407D" w:rsidP="006733A9"/>
        </w:tc>
        <w:tc>
          <w:tcPr>
            <w:tcW w:w="5913" w:type="dxa"/>
            <w:tcBorders>
              <w:top w:val="single" w:sz="4" w:space="0" w:color="auto"/>
              <w:left w:val="single" w:sz="4" w:space="0" w:color="auto"/>
              <w:bottom w:val="single" w:sz="4" w:space="0" w:color="auto"/>
              <w:right w:val="single" w:sz="4" w:space="0" w:color="auto"/>
            </w:tcBorders>
            <w:hideMark/>
          </w:tcPr>
          <w:p w:rsidR="00F3407D" w:rsidRDefault="00F3407D" w:rsidP="006733A9">
            <w:r>
              <w:t>Educational attainment – beyond school</w:t>
            </w:r>
          </w:p>
        </w:tc>
        <w:tc>
          <w:tcPr>
            <w:tcW w:w="1526" w:type="dxa"/>
            <w:tcBorders>
              <w:top w:val="single" w:sz="4" w:space="0" w:color="auto"/>
              <w:left w:val="single" w:sz="4" w:space="0" w:color="auto"/>
              <w:bottom w:val="single" w:sz="4" w:space="0" w:color="auto"/>
              <w:right w:val="single" w:sz="4" w:space="0" w:color="auto"/>
            </w:tcBorders>
            <w:hideMark/>
          </w:tcPr>
          <w:p w:rsidR="00F3407D" w:rsidRDefault="00F3407D" w:rsidP="006733A9">
            <w:r>
              <w:t>489 (53)</w:t>
            </w:r>
          </w:p>
        </w:tc>
      </w:tr>
      <w:tr w:rsidR="00F3407D" w:rsidTr="007B28D7">
        <w:trPr>
          <w:gridAfter w:val="1"/>
          <w:wAfter w:w="1269" w:type="dxa"/>
        </w:trPr>
        <w:tc>
          <w:tcPr>
            <w:tcW w:w="534" w:type="dxa"/>
            <w:tcBorders>
              <w:top w:val="single" w:sz="4" w:space="0" w:color="auto"/>
              <w:left w:val="single" w:sz="4" w:space="0" w:color="auto"/>
              <w:bottom w:val="single" w:sz="4" w:space="0" w:color="auto"/>
              <w:right w:val="single" w:sz="4" w:space="0" w:color="auto"/>
            </w:tcBorders>
          </w:tcPr>
          <w:p w:rsidR="00F3407D" w:rsidRDefault="00F3407D" w:rsidP="006733A9"/>
        </w:tc>
        <w:tc>
          <w:tcPr>
            <w:tcW w:w="5913" w:type="dxa"/>
            <w:tcBorders>
              <w:top w:val="single" w:sz="4" w:space="0" w:color="auto"/>
              <w:left w:val="single" w:sz="4" w:space="0" w:color="auto"/>
              <w:bottom w:val="single" w:sz="4" w:space="0" w:color="auto"/>
              <w:right w:val="single" w:sz="4" w:space="0" w:color="auto"/>
            </w:tcBorders>
            <w:hideMark/>
          </w:tcPr>
          <w:p w:rsidR="00F3407D" w:rsidRDefault="00F3407D" w:rsidP="006733A9">
            <w:r>
              <w:t>Country of birth – non-English speaking</w:t>
            </w:r>
          </w:p>
        </w:tc>
        <w:tc>
          <w:tcPr>
            <w:tcW w:w="1526" w:type="dxa"/>
            <w:tcBorders>
              <w:top w:val="single" w:sz="4" w:space="0" w:color="auto"/>
              <w:left w:val="single" w:sz="4" w:space="0" w:color="auto"/>
              <w:bottom w:val="single" w:sz="4" w:space="0" w:color="auto"/>
              <w:right w:val="single" w:sz="4" w:space="0" w:color="auto"/>
            </w:tcBorders>
            <w:hideMark/>
          </w:tcPr>
          <w:p w:rsidR="00F3407D" w:rsidRDefault="00F3407D" w:rsidP="006733A9">
            <w:r>
              <w:t>96 (10.4)</w:t>
            </w:r>
          </w:p>
        </w:tc>
      </w:tr>
      <w:tr w:rsidR="00F3407D" w:rsidTr="007B28D7">
        <w:trPr>
          <w:gridAfter w:val="1"/>
          <w:wAfter w:w="1269" w:type="dxa"/>
        </w:trPr>
        <w:tc>
          <w:tcPr>
            <w:tcW w:w="534" w:type="dxa"/>
            <w:tcBorders>
              <w:top w:val="single" w:sz="4" w:space="0" w:color="auto"/>
              <w:left w:val="single" w:sz="4" w:space="0" w:color="auto"/>
              <w:bottom w:val="single" w:sz="4" w:space="0" w:color="auto"/>
              <w:right w:val="single" w:sz="4" w:space="0" w:color="auto"/>
            </w:tcBorders>
          </w:tcPr>
          <w:p w:rsidR="00F3407D" w:rsidRDefault="00F3407D" w:rsidP="006733A9"/>
        </w:tc>
        <w:tc>
          <w:tcPr>
            <w:tcW w:w="5913" w:type="dxa"/>
            <w:tcBorders>
              <w:top w:val="single" w:sz="4" w:space="0" w:color="auto"/>
              <w:left w:val="single" w:sz="4" w:space="0" w:color="auto"/>
              <w:bottom w:val="single" w:sz="4" w:space="0" w:color="auto"/>
              <w:right w:val="single" w:sz="4" w:space="0" w:color="auto"/>
            </w:tcBorders>
            <w:hideMark/>
          </w:tcPr>
          <w:p w:rsidR="00F3407D" w:rsidRDefault="00F3407D" w:rsidP="006733A9">
            <w:r>
              <w:t>Relationship to deceased – spouse/parent/child</w:t>
            </w:r>
          </w:p>
        </w:tc>
        <w:tc>
          <w:tcPr>
            <w:tcW w:w="1526" w:type="dxa"/>
            <w:tcBorders>
              <w:top w:val="single" w:sz="4" w:space="0" w:color="auto"/>
              <w:left w:val="single" w:sz="4" w:space="0" w:color="auto"/>
              <w:bottom w:val="single" w:sz="4" w:space="0" w:color="auto"/>
              <w:right w:val="single" w:sz="4" w:space="0" w:color="auto"/>
            </w:tcBorders>
            <w:hideMark/>
          </w:tcPr>
          <w:p w:rsidR="00F3407D" w:rsidRDefault="00F3407D" w:rsidP="006733A9">
            <w:r>
              <w:t>529 (57.4)</w:t>
            </w:r>
          </w:p>
        </w:tc>
      </w:tr>
      <w:tr w:rsidR="00F3407D" w:rsidTr="00561EA7">
        <w:trPr>
          <w:gridAfter w:val="1"/>
          <w:wAfter w:w="1269" w:type="dxa"/>
        </w:trPr>
        <w:tc>
          <w:tcPr>
            <w:tcW w:w="7973" w:type="dxa"/>
            <w:gridSpan w:val="3"/>
            <w:tcBorders>
              <w:top w:val="single" w:sz="4" w:space="0" w:color="auto"/>
              <w:left w:val="single" w:sz="4" w:space="0" w:color="auto"/>
              <w:bottom w:val="single" w:sz="4" w:space="0" w:color="auto"/>
              <w:right w:val="single" w:sz="4" w:space="0" w:color="auto"/>
            </w:tcBorders>
          </w:tcPr>
          <w:p w:rsidR="00F3407D" w:rsidRDefault="00F3407D" w:rsidP="006733A9">
            <w:r>
              <w:rPr>
                <w:b/>
              </w:rPr>
              <w:t>Respondents – factors that may change as care relinquished</w:t>
            </w:r>
          </w:p>
        </w:tc>
      </w:tr>
      <w:tr w:rsidR="00F3407D" w:rsidTr="007B28D7">
        <w:trPr>
          <w:gridAfter w:val="1"/>
          <w:wAfter w:w="1269" w:type="dxa"/>
        </w:trPr>
        <w:tc>
          <w:tcPr>
            <w:tcW w:w="534" w:type="dxa"/>
            <w:tcBorders>
              <w:top w:val="single" w:sz="4" w:space="0" w:color="auto"/>
              <w:left w:val="single" w:sz="4" w:space="0" w:color="auto"/>
              <w:bottom w:val="single" w:sz="4" w:space="0" w:color="auto"/>
              <w:right w:val="single" w:sz="4" w:space="0" w:color="auto"/>
            </w:tcBorders>
          </w:tcPr>
          <w:p w:rsidR="00F3407D" w:rsidRDefault="00F3407D" w:rsidP="006733A9"/>
        </w:tc>
        <w:tc>
          <w:tcPr>
            <w:tcW w:w="5913" w:type="dxa"/>
            <w:tcBorders>
              <w:top w:val="single" w:sz="4" w:space="0" w:color="auto"/>
              <w:left w:val="single" w:sz="4" w:space="0" w:color="auto"/>
              <w:bottom w:val="single" w:sz="4" w:space="0" w:color="auto"/>
              <w:right w:val="single" w:sz="4" w:space="0" w:color="auto"/>
            </w:tcBorders>
            <w:hideMark/>
          </w:tcPr>
          <w:p w:rsidR="00F3407D" w:rsidRDefault="00F3407D" w:rsidP="006733A9">
            <w:r>
              <w:t>Household income &lt;/= AU $60,000</w:t>
            </w:r>
          </w:p>
        </w:tc>
        <w:tc>
          <w:tcPr>
            <w:tcW w:w="1526" w:type="dxa"/>
            <w:tcBorders>
              <w:top w:val="single" w:sz="4" w:space="0" w:color="auto"/>
              <w:left w:val="single" w:sz="4" w:space="0" w:color="auto"/>
              <w:bottom w:val="single" w:sz="4" w:space="0" w:color="auto"/>
              <w:right w:val="single" w:sz="4" w:space="0" w:color="auto"/>
            </w:tcBorders>
            <w:hideMark/>
          </w:tcPr>
          <w:p w:rsidR="00F3407D" w:rsidRDefault="00F3407D" w:rsidP="006733A9">
            <w:r>
              <w:t>604 (65.5)</w:t>
            </w:r>
          </w:p>
        </w:tc>
      </w:tr>
      <w:tr w:rsidR="00F3407D" w:rsidTr="007B28D7">
        <w:trPr>
          <w:gridAfter w:val="1"/>
          <w:wAfter w:w="1269" w:type="dxa"/>
        </w:trPr>
        <w:tc>
          <w:tcPr>
            <w:tcW w:w="534" w:type="dxa"/>
            <w:tcBorders>
              <w:top w:val="single" w:sz="4" w:space="0" w:color="auto"/>
              <w:left w:val="single" w:sz="4" w:space="0" w:color="auto"/>
              <w:bottom w:val="single" w:sz="4" w:space="0" w:color="auto"/>
              <w:right w:val="single" w:sz="4" w:space="0" w:color="auto"/>
            </w:tcBorders>
          </w:tcPr>
          <w:p w:rsidR="00F3407D" w:rsidRDefault="00F3407D" w:rsidP="006733A9"/>
        </w:tc>
        <w:tc>
          <w:tcPr>
            <w:tcW w:w="5913" w:type="dxa"/>
            <w:tcBorders>
              <w:top w:val="single" w:sz="4" w:space="0" w:color="auto"/>
              <w:left w:val="single" w:sz="4" w:space="0" w:color="auto"/>
              <w:bottom w:val="single" w:sz="4" w:space="0" w:color="auto"/>
              <w:right w:val="single" w:sz="4" w:space="0" w:color="auto"/>
            </w:tcBorders>
            <w:hideMark/>
          </w:tcPr>
          <w:p w:rsidR="00F3407D" w:rsidRDefault="00F3407D" w:rsidP="006733A9">
            <w:r>
              <w:t>Current work status – full or part-time</w:t>
            </w:r>
          </w:p>
        </w:tc>
        <w:tc>
          <w:tcPr>
            <w:tcW w:w="1526" w:type="dxa"/>
            <w:tcBorders>
              <w:top w:val="single" w:sz="4" w:space="0" w:color="auto"/>
              <w:left w:val="single" w:sz="4" w:space="0" w:color="auto"/>
              <w:bottom w:val="single" w:sz="4" w:space="0" w:color="auto"/>
              <w:right w:val="single" w:sz="4" w:space="0" w:color="auto"/>
            </w:tcBorders>
            <w:hideMark/>
          </w:tcPr>
          <w:p w:rsidR="00F3407D" w:rsidRDefault="00F3407D" w:rsidP="006733A9">
            <w:r>
              <w:t>377 (40.9)</w:t>
            </w:r>
          </w:p>
        </w:tc>
      </w:tr>
      <w:tr w:rsidR="00F3407D" w:rsidTr="007B28D7">
        <w:trPr>
          <w:gridAfter w:val="1"/>
          <w:wAfter w:w="1269" w:type="dxa"/>
        </w:trPr>
        <w:tc>
          <w:tcPr>
            <w:tcW w:w="534" w:type="dxa"/>
            <w:tcBorders>
              <w:top w:val="single" w:sz="4" w:space="0" w:color="auto"/>
              <w:left w:val="single" w:sz="4" w:space="0" w:color="auto"/>
              <w:bottom w:val="single" w:sz="4" w:space="0" w:color="auto"/>
              <w:right w:val="single" w:sz="4" w:space="0" w:color="auto"/>
            </w:tcBorders>
          </w:tcPr>
          <w:p w:rsidR="00F3407D" w:rsidRDefault="00F3407D" w:rsidP="006733A9"/>
        </w:tc>
        <w:tc>
          <w:tcPr>
            <w:tcW w:w="5913" w:type="dxa"/>
            <w:tcBorders>
              <w:top w:val="single" w:sz="4" w:space="0" w:color="auto"/>
              <w:left w:val="single" w:sz="4" w:space="0" w:color="auto"/>
              <w:bottom w:val="single" w:sz="4" w:space="0" w:color="auto"/>
              <w:right w:val="single" w:sz="4" w:space="0" w:color="auto"/>
            </w:tcBorders>
            <w:hideMark/>
          </w:tcPr>
          <w:p w:rsidR="00F3407D" w:rsidRDefault="00F3407D" w:rsidP="006733A9">
            <w:r>
              <w:t>Region of residence - metropolitan</w:t>
            </w:r>
          </w:p>
        </w:tc>
        <w:tc>
          <w:tcPr>
            <w:tcW w:w="1526" w:type="dxa"/>
            <w:tcBorders>
              <w:top w:val="single" w:sz="4" w:space="0" w:color="auto"/>
              <w:left w:val="single" w:sz="4" w:space="0" w:color="auto"/>
              <w:bottom w:val="single" w:sz="4" w:space="0" w:color="auto"/>
              <w:right w:val="single" w:sz="4" w:space="0" w:color="auto"/>
            </w:tcBorders>
            <w:hideMark/>
          </w:tcPr>
          <w:p w:rsidR="00F3407D" w:rsidRDefault="00F3407D" w:rsidP="006733A9">
            <w:r>
              <w:t>685 (74.3)</w:t>
            </w:r>
          </w:p>
        </w:tc>
      </w:tr>
      <w:tr w:rsidR="00F3407D" w:rsidTr="007B28D7">
        <w:trPr>
          <w:gridAfter w:val="1"/>
          <w:wAfter w:w="1269" w:type="dxa"/>
        </w:trPr>
        <w:tc>
          <w:tcPr>
            <w:tcW w:w="534" w:type="dxa"/>
            <w:tcBorders>
              <w:top w:val="single" w:sz="4" w:space="0" w:color="auto"/>
              <w:left w:val="single" w:sz="4" w:space="0" w:color="auto"/>
              <w:bottom w:val="single" w:sz="4" w:space="0" w:color="auto"/>
              <w:right w:val="single" w:sz="4" w:space="0" w:color="auto"/>
            </w:tcBorders>
          </w:tcPr>
          <w:p w:rsidR="00F3407D" w:rsidRDefault="00F3407D" w:rsidP="006733A9"/>
        </w:tc>
        <w:tc>
          <w:tcPr>
            <w:tcW w:w="5913" w:type="dxa"/>
            <w:tcBorders>
              <w:top w:val="single" w:sz="4" w:space="0" w:color="auto"/>
              <w:left w:val="single" w:sz="4" w:space="0" w:color="auto"/>
              <w:bottom w:val="single" w:sz="4" w:space="0" w:color="auto"/>
              <w:right w:val="single" w:sz="4" w:space="0" w:color="auto"/>
            </w:tcBorders>
            <w:hideMark/>
          </w:tcPr>
          <w:p w:rsidR="00F3407D" w:rsidRDefault="00F3407D" w:rsidP="006733A9">
            <w:r>
              <w:t>SEIFA</w:t>
            </w:r>
          </w:p>
          <w:p w:rsidR="00F3407D" w:rsidRDefault="00F3407D" w:rsidP="006733A9">
            <w:r>
              <w:t>- Low</w:t>
            </w:r>
          </w:p>
          <w:p w:rsidR="00F3407D" w:rsidRDefault="00F3407D" w:rsidP="006733A9">
            <w:r>
              <w:t>- High</w:t>
            </w:r>
          </w:p>
        </w:tc>
        <w:tc>
          <w:tcPr>
            <w:tcW w:w="1526" w:type="dxa"/>
            <w:tcBorders>
              <w:top w:val="single" w:sz="4" w:space="0" w:color="auto"/>
              <w:left w:val="single" w:sz="4" w:space="0" w:color="auto"/>
              <w:bottom w:val="single" w:sz="4" w:space="0" w:color="auto"/>
              <w:right w:val="single" w:sz="4" w:space="0" w:color="auto"/>
            </w:tcBorders>
          </w:tcPr>
          <w:p w:rsidR="00F3407D" w:rsidRDefault="00F3407D" w:rsidP="006733A9"/>
          <w:p w:rsidR="00F3407D" w:rsidRDefault="00F3407D" w:rsidP="006733A9">
            <w:r>
              <w:t>389 (42.2)</w:t>
            </w:r>
          </w:p>
          <w:p w:rsidR="00F3407D" w:rsidRDefault="00F3407D" w:rsidP="006733A9">
            <w:r>
              <w:t>533 (57.8)</w:t>
            </w:r>
          </w:p>
        </w:tc>
      </w:tr>
      <w:tr w:rsidR="00F3407D" w:rsidTr="00561EA7">
        <w:trPr>
          <w:gridAfter w:val="1"/>
          <w:wAfter w:w="1269" w:type="dxa"/>
        </w:trPr>
        <w:tc>
          <w:tcPr>
            <w:tcW w:w="7973" w:type="dxa"/>
            <w:gridSpan w:val="3"/>
            <w:tcBorders>
              <w:top w:val="single" w:sz="4" w:space="0" w:color="auto"/>
              <w:left w:val="single" w:sz="4" w:space="0" w:color="auto"/>
              <w:bottom w:val="single" w:sz="4" w:space="0" w:color="auto"/>
              <w:right w:val="single" w:sz="4" w:space="0" w:color="auto"/>
            </w:tcBorders>
          </w:tcPr>
          <w:p w:rsidR="00F3407D" w:rsidRDefault="00F3407D" w:rsidP="006733A9">
            <w:r>
              <w:rPr>
                <w:b/>
              </w:rPr>
              <w:t>Caregiving characteristics</w:t>
            </w:r>
          </w:p>
        </w:tc>
      </w:tr>
      <w:tr w:rsidR="00F3407D" w:rsidTr="007B28D7">
        <w:trPr>
          <w:gridAfter w:val="1"/>
          <w:wAfter w:w="1269" w:type="dxa"/>
        </w:trPr>
        <w:tc>
          <w:tcPr>
            <w:tcW w:w="534" w:type="dxa"/>
            <w:tcBorders>
              <w:top w:val="single" w:sz="4" w:space="0" w:color="auto"/>
              <w:left w:val="single" w:sz="4" w:space="0" w:color="auto"/>
              <w:bottom w:val="single" w:sz="4" w:space="0" w:color="auto"/>
              <w:right w:val="single" w:sz="4" w:space="0" w:color="auto"/>
            </w:tcBorders>
          </w:tcPr>
          <w:p w:rsidR="00F3407D" w:rsidRDefault="00F3407D" w:rsidP="006733A9"/>
        </w:tc>
        <w:tc>
          <w:tcPr>
            <w:tcW w:w="5913" w:type="dxa"/>
            <w:tcBorders>
              <w:top w:val="single" w:sz="4" w:space="0" w:color="auto"/>
              <w:left w:val="single" w:sz="4" w:space="0" w:color="auto"/>
              <w:bottom w:val="single" w:sz="4" w:space="0" w:color="auto"/>
              <w:right w:val="single" w:sz="4" w:space="0" w:color="auto"/>
            </w:tcBorders>
            <w:hideMark/>
          </w:tcPr>
          <w:p w:rsidR="00F3407D" w:rsidRDefault="00F3407D" w:rsidP="006733A9">
            <w:r>
              <w:t>Level of care:</w:t>
            </w:r>
          </w:p>
          <w:p w:rsidR="00F3407D" w:rsidRDefault="00F3407D" w:rsidP="006733A9">
            <w:r>
              <w:t>Day-to-day (hands on)</w:t>
            </w:r>
          </w:p>
          <w:p w:rsidR="00F3407D" w:rsidRDefault="00F3407D" w:rsidP="006733A9">
            <w:r>
              <w:t>Intermittent</w:t>
            </w:r>
          </w:p>
        </w:tc>
        <w:tc>
          <w:tcPr>
            <w:tcW w:w="1526" w:type="dxa"/>
            <w:tcBorders>
              <w:top w:val="single" w:sz="4" w:space="0" w:color="auto"/>
              <w:left w:val="single" w:sz="4" w:space="0" w:color="auto"/>
              <w:bottom w:val="single" w:sz="4" w:space="0" w:color="auto"/>
              <w:right w:val="single" w:sz="4" w:space="0" w:color="auto"/>
            </w:tcBorders>
          </w:tcPr>
          <w:p w:rsidR="00F3407D" w:rsidRDefault="00F3407D" w:rsidP="006733A9"/>
          <w:p w:rsidR="00F3407D" w:rsidRDefault="00F3407D" w:rsidP="006733A9">
            <w:r>
              <w:t>485 (52.6)</w:t>
            </w:r>
          </w:p>
          <w:p w:rsidR="00F3407D" w:rsidRDefault="00F3407D" w:rsidP="006733A9">
            <w:r>
              <w:t>437 (47.4)</w:t>
            </w:r>
          </w:p>
        </w:tc>
      </w:tr>
      <w:tr w:rsidR="00F3407D" w:rsidTr="007B28D7">
        <w:trPr>
          <w:gridAfter w:val="1"/>
          <w:wAfter w:w="1269" w:type="dxa"/>
        </w:trPr>
        <w:tc>
          <w:tcPr>
            <w:tcW w:w="534" w:type="dxa"/>
            <w:tcBorders>
              <w:top w:val="single" w:sz="4" w:space="0" w:color="auto"/>
              <w:left w:val="single" w:sz="4" w:space="0" w:color="auto"/>
              <w:bottom w:val="single" w:sz="4" w:space="0" w:color="auto"/>
              <w:right w:val="single" w:sz="4" w:space="0" w:color="auto"/>
            </w:tcBorders>
          </w:tcPr>
          <w:p w:rsidR="00F3407D" w:rsidRDefault="00F3407D" w:rsidP="006733A9"/>
        </w:tc>
        <w:tc>
          <w:tcPr>
            <w:tcW w:w="5913" w:type="dxa"/>
            <w:tcBorders>
              <w:top w:val="single" w:sz="4" w:space="0" w:color="auto"/>
              <w:left w:val="single" w:sz="4" w:space="0" w:color="auto"/>
              <w:bottom w:val="single" w:sz="4" w:space="0" w:color="auto"/>
              <w:right w:val="single" w:sz="4" w:space="0" w:color="auto"/>
            </w:tcBorders>
            <w:hideMark/>
          </w:tcPr>
          <w:p w:rsidR="00F3407D" w:rsidRDefault="00F3407D" w:rsidP="006733A9">
            <w:r>
              <w:t>Length of care &lt; one year</w:t>
            </w:r>
          </w:p>
        </w:tc>
        <w:tc>
          <w:tcPr>
            <w:tcW w:w="1526" w:type="dxa"/>
            <w:tcBorders>
              <w:top w:val="single" w:sz="4" w:space="0" w:color="auto"/>
              <w:left w:val="single" w:sz="4" w:space="0" w:color="auto"/>
              <w:bottom w:val="single" w:sz="4" w:space="0" w:color="auto"/>
              <w:right w:val="single" w:sz="4" w:space="0" w:color="auto"/>
            </w:tcBorders>
            <w:hideMark/>
          </w:tcPr>
          <w:p w:rsidR="00F3407D" w:rsidRDefault="00F3407D" w:rsidP="006733A9">
            <w:r>
              <w:t>412 (56.5) *</w:t>
            </w:r>
          </w:p>
        </w:tc>
      </w:tr>
      <w:tr w:rsidR="00F3407D" w:rsidTr="007B28D7">
        <w:trPr>
          <w:gridAfter w:val="1"/>
          <w:wAfter w:w="1269" w:type="dxa"/>
        </w:trPr>
        <w:tc>
          <w:tcPr>
            <w:tcW w:w="534" w:type="dxa"/>
            <w:tcBorders>
              <w:top w:val="single" w:sz="4" w:space="0" w:color="auto"/>
              <w:left w:val="single" w:sz="4" w:space="0" w:color="auto"/>
              <w:bottom w:val="single" w:sz="4" w:space="0" w:color="auto"/>
              <w:right w:val="single" w:sz="4" w:space="0" w:color="auto"/>
            </w:tcBorders>
          </w:tcPr>
          <w:p w:rsidR="00F3407D" w:rsidRDefault="00F3407D" w:rsidP="006733A9"/>
        </w:tc>
        <w:tc>
          <w:tcPr>
            <w:tcW w:w="5913" w:type="dxa"/>
            <w:tcBorders>
              <w:top w:val="single" w:sz="4" w:space="0" w:color="auto"/>
              <w:left w:val="single" w:sz="4" w:space="0" w:color="auto"/>
              <w:bottom w:val="single" w:sz="4" w:space="0" w:color="auto"/>
              <w:right w:val="single" w:sz="4" w:space="0" w:color="auto"/>
            </w:tcBorders>
            <w:hideMark/>
          </w:tcPr>
          <w:p w:rsidR="00F3407D" w:rsidRDefault="00F3407D" w:rsidP="006733A9">
            <w:r>
              <w:t>Time since death – months</w:t>
            </w:r>
          </w:p>
        </w:tc>
        <w:tc>
          <w:tcPr>
            <w:tcW w:w="1526" w:type="dxa"/>
            <w:tcBorders>
              <w:top w:val="single" w:sz="4" w:space="0" w:color="auto"/>
              <w:left w:val="single" w:sz="4" w:space="0" w:color="auto"/>
              <w:bottom w:val="single" w:sz="4" w:space="0" w:color="auto"/>
              <w:right w:val="single" w:sz="4" w:space="0" w:color="auto"/>
            </w:tcBorders>
            <w:hideMark/>
          </w:tcPr>
          <w:p w:rsidR="00F3407D" w:rsidRDefault="00F3407D" w:rsidP="006733A9">
            <w:r>
              <w:t>37.1 (13.8)</w:t>
            </w:r>
          </w:p>
        </w:tc>
      </w:tr>
      <w:tr w:rsidR="00F3407D" w:rsidTr="007B28D7">
        <w:trPr>
          <w:gridAfter w:val="1"/>
          <w:wAfter w:w="1269" w:type="dxa"/>
        </w:trPr>
        <w:tc>
          <w:tcPr>
            <w:tcW w:w="534" w:type="dxa"/>
            <w:tcBorders>
              <w:top w:val="single" w:sz="4" w:space="0" w:color="auto"/>
              <w:left w:val="single" w:sz="4" w:space="0" w:color="auto"/>
              <w:bottom w:val="single" w:sz="4" w:space="0" w:color="auto"/>
              <w:right w:val="single" w:sz="4" w:space="0" w:color="auto"/>
            </w:tcBorders>
          </w:tcPr>
          <w:p w:rsidR="00F3407D" w:rsidRDefault="00F3407D" w:rsidP="006733A9"/>
        </w:tc>
        <w:tc>
          <w:tcPr>
            <w:tcW w:w="5913" w:type="dxa"/>
            <w:tcBorders>
              <w:top w:val="single" w:sz="4" w:space="0" w:color="auto"/>
              <w:left w:val="single" w:sz="4" w:space="0" w:color="auto"/>
              <w:bottom w:val="single" w:sz="4" w:space="0" w:color="auto"/>
              <w:right w:val="single" w:sz="4" w:space="0" w:color="auto"/>
            </w:tcBorders>
          </w:tcPr>
          <w:p w:rsidR="00F3407D" w:rsidRDefault="00F3407D" w:rsidP="006733A9">
            <w:proofErr w:type="spellStart"/>
            <w:r>
              <w:t>Lnyears</w:t>
            </w:r>
            <w:proofErr w:type="spellEnd"/>
          </w:p>
        </w:tc>
        <w:tc>
          <w:tcPr>
            <w:tcW w:w="1526" w:type="dxa"/>
            <w:tcBorders>
              <w:top w:val="single" w:sz="4" w:space="0" w:color="auto"/>
              <w:left w:val="single" w:sz="4" w:space="0" w:color="auto"/>
              <w:bottom w:val="single" w:sz="4" w:space="0" w:color="auto"/>
              <w:right w:val="single" w:sz="4" w:space="0" w:color="auto"/>
            </w:tcBorders>
          </w:tcPr>
          <w:p w:rsidR="00F3407D" w:rsidRDefault="00F3407D" w:rsidP="006733A9">
            <w:r>
              <w:t>1.05 (0.41)</w:t>
            </w:r>
          </w:p>
        </w:tc>
      </w:tr>
      <w:tr w:rsidR="00F3407D" w:rsidTr="007B28D7">
        <w:trPr>
          <w:gridAfter w:val="1"/>
          <w:wAfter w:w="1269" w:type="dxa"/>
        </w:trPr>
        <w:tc>
          <w:tcPr>
            <w:tcW w:w="534" w:type="dxa"/>
            <w:tcBorders>
              <w:top w:val="single" w:sz="4" w:space="0" w:color="auto"/>
              <w:left w:val="single" w:sz="4" w:space="0" w:color="auto"/>
              <w:bottom w:val="single" w:sz="4" w:space="0" w:color="auto"/>
              <w:right w:val="single" w:sz="4" w:space="0" w:color="auto"/>
            </w:tcBorders>
          </w:tcPr>
          <w:p w:rsidR="00F3407D" w:rsidRDefault="00F3407D" w:rsidP="006733A9"/>
        </w:tc>
        <w:tc>
          <w:tcPr>
            <w:tcW w:w="5913" w:type="dxa"/>
            <w:tcBorders>
              <w:top w:val="single" w:sz="4" w:space="0" w:color="auto"/>
              <w:left w:val="single" w:sz="4" w:space="0" w:color="auto"/>
              <w:bottom w:val="single" w:sz="4" w:space="0" w:color="auto"/>
              <w:right w:val="single" w:sz="4" w:space="0" w:color="auto"/>
            </w:tcBorders>
          </w:tcPr>
          <w:p w:rsidR="00F3407D" w:rsidRDefault="00F3407D" w:rsidP="006733A9">
            <w:r>
              <w:t>Perceived needs met/ had enough support</w:t>
            </w:r>
          </w:p>
        </w:tc>
        <w:tc>
          <w:tcPr>
            <w:tcW w:w="1526" w:type="dxa"/>
            <w:tcBorders>
              <w:top w:val="single" w:sz="4" w:space="0" w:color="auto"/>
              <w:left w:val="single" w:sz="4" w:space="0" w:color="auto"/>
              <w:bottom w:val="single" w:sz="4" w:space="0" w:color="auto"/>
              <w:right w:val="single" w:sz="4" w:space="0" w:color="auto"/>
            </w:tcBorders>
          </w:tcPr>
          <w:p w:rsidR="00F3407D" w:rsidRDefault="00F3407D" w:rsidP="006733A9">
            <w:r>
              <w:t>268 (29.1)</w:t>
            </w:r>
          </w:p>
        </w:tc>
      </w:tr>
      <w:tr w:rsidR="00F3407D" w:rsidTr="00561EA7">
        <w:trPr>
          <w:gridAfter w:val="1"/>
          <w:wAfter w:w="1269" w:type="dxa"/>
        </w:trPr>
        <w:tc>
          <w:tcPr>
            <w:tcW w:w="7973" w:type="dxa"/>
            <w:gridSpan w:val="3"/>
            <w:tcBorders>
              <w:top w:val="single" w:sz="4" w:space="0" w:color="auto"/>
              <w:left w:val="single" w:sz="4" w:space="0" w:color="auto"/>
              <w:bottom w:val="single" w:sz="4" w:space="0" w:color="auto"/>
              <w:right w:val="single" w:sz="4" w:space="0" w:color="auto"/>
            </w:tcBorders>
          </w:tcPr>
          <w:p w:rsidR="00F3407D" w:rsidRDefault="00F3407D" w:rsidP="006733A9">
            <w:r>
              <w:rPr>
                <w:b/>
              </w:rPr>
              <w:t>Post care factors</w:t>
            </w:r>
          </w:p>
        </w:tc>
      </w:tr>
      <w:tr w:rsidR="00F3407D" w:rsidTr="007B28D7">
        <w:trPr>
          <w:gridAfter w:val="1"/>
          <w:wAfter w:w="1269" w:type="dxa"/>
        </w:trPr>
        <w:tc>
          <w:tcPr>
            <w:tcW w:w="534" w:type="dxa"/>
            <w:tcBorders>
              <w:top w:val="single" w:sz="4" w:space="0" w:color="auto"/>
              <w:left w:val="single" w:sz="4" w:space="0" w:color="auto"/>
              <w:bottom w:val="single" w:sz="4" w:space="0" w:color="auto"/>
              <w:right w:val="single" w:sz="4" w:space="0" w:color="auto"/>
            </w:tcBorders>
          </w:tcPr>
          <w:p w:rsidR="00F3407D" w:rsidRDefault="00F3407D" w:rsidP="006733A9"/>
        </w:tc>
        <w:tc>
          <w:tcPr>
            <w:tcW w:w="5913" w:type="dxa"/>
            <w:tcBorders>
              <w:top w:val="single" w:sz="4" w:space="0" w:color="auto"/>
              <w:left w:val="single" w:sz="4" w:space="0" w:color="auto"/>
              <w:bottom w:val="single" w:sz="4" w:space="0" w:color="auto"/>
              <w:right w:val="single" w:sz="4" w:space="0" w:color="auto"/>
            </w:tcBorders>
            <w:hideMark/>
          </w:tcPr>
          <w:p w:rsidR="00F3407D" w:rsidRDefault="00F3407D" w:rsidP="006733A9"/>
        </w:tc>
        <w:tc>
          <w:tcPr>
            <w:tcW w:w="1526" w:type="dxa"/>
            <w:tcBorders>
              <w:top w:val="single" w:sz="4" w:space="0" w:color="auto"/>
              <w:left w:val="single" w:sz="4" w:space="0" w:color="auto"/>
              <w:bottom w:val="single" w:sz="4" w:space="0" w:color="auto"/>
              <w:right w:val="single" w:sz="4" w:space="0" w:color="auto"/>
            </w:tcBorders>
            <w:hideMark/>
          </w:tcPr>
          <w:p w:rsidR="00F3407D" w:rsidRDefault="00F3407D" w:rsidP="006733A9"/>
        </w:tc>
      </w:tr>
      <w:tr w:rsidR="00F3407D" w:rsidTr="007B28D7">
        <w:trPr>
          <w:gridAfter w:val="1"/>
          <w:wAfter w:w="1269" w:type="dxa"/>
        </w:trPr>
        <w:tc>
          <w:tcPr>
            <w:tcW w:w="534" w:type="dxa"/>
            <w:tcBorders>
              <w:top w:val="single" w:sz="4" w:space="0" w:color="auto"/>
              <w:left w:val="single" w:sz="4" w:space="0" w:color="auto"/>
              <w:bottom w:val="single" w:sz="4" w:space="0" w:color="auto"/>
              <w:right w:val="single" w:sz="4" w:space="0" w:color="auto"/>
            </w:tcBorders>
          </w:tcPr>
          <w:p w:rsidR="00F3407D" w:rsidRDefault="00F3407D" w:rsidP="006733A9"/>
        </w:tc>
        <w:tc>
          <w:tcPr>
            <w:tcW w:w="5913" w:type="dxa"/>
            <w:tcBorders>
              <w:top w:val="single" w:sz="4" w:space="0" w:color="auto"/>
              <w:left w:val="single" w:sz="4" w:space="0" w:color="auto"/>
              <w:bottom w:val="single" w:sz="4" w:space="0" w:color="auto"/>
              <w:right w:val="single" w:sz="4" w:space="0" w:color="auto"/>
            </w:tcBorders>
            <w:hideMark/>
          </w:tcPr>
          <w:p w:rsidR="00F3407D" w:rsidRDefault="00F3407D" w:rsidP="006733A9">
            <w:r>
              <w:t>Sought help for grief or wished they had – yes</w:t>
            </w:r>
          </w:p>
        </w:tc>
        <w:tc>
          <w:tcPr>
            <w:tcW w:w="1526" w:type="dxa"/>
            <w:tcBorders>
              <w:top w:val="single" w:sz="4" w:space="0" w:color="auto"/>
              <w:left w:val="single" w:sz="4" w:space="0" w:color="auto"/>
              <w:bottom w:val="single" w:sz="4" w:space="0" w:color="auto"/>
              <w:right w:val="single" w:sz="4" w:space="0" w:color="auto"/>
            </w:tcBorders>
            <w:hideMark/>
          </w:tcPr>
          <w:p w:rsidR="00F3407D" w:rsidRDefault="00F3407D" w:rsidP="006733A9">
            <w:r>
              <w:t>175 (38.2)*</w:t>
            </w:r>
          </w:p>
        </w:tc>
      </w:tr>
      <w:tr w:rsidR="00F3407D" w:rsidTr="007B28D7">
        <w:trPr>
          <w:gridAfter w:val="1"/>
          <w:wAfter w:w="1269" w:type="dxa"/>
        </w:trPr>
        <w:tc>
          <w:tcPr>
            <w:tcW w:w="534" w:type="dxa"/>
            <w:tcBorders>
              <w:top w:val="single" w:sz="4" w:space="0" w:color="auto"/>
              <w:left w:val="single" w:sz="4" w:space="0" w:color="auto"/>
              <w:bottom w:val="single" w:sz="4" w:space="0" w:color="auto"/>
              <w:right w:val="single" w:sz="4" w:space="0" w:color="auto"/>
            </w:tcBorders>
          </w:tcPr>
          <w:p w:rsidR="00F3407D" w:rsidRDefault="00F3407D" w:rsidP="006733A9"/>
        </w:tc>
        <w:tc>
          <w:tcPr>
            <w:tcW w:w="5913" w:type="dxa"/>
            <w:tcBorders>
              <w:top w:val="single" w:sz="4" w:space="0" w:color="auto"/>
              <w:left w:val="single" w:sz="4" w:space="0" w:color="auto"/>
              <w:bottom w:val="single" w:sz="4" w:space="0" w:color="auto"/>
              <w:right w:val="single" w:sz="4" w:space="0" w:color="auto"/>
            </w:tcBorders>
            <w:hideMark/>
          </w:tcPr>
          <w:p w:rsidR="00F3407D" w:rsidRDefault="00F3407D" w:rsidP="006733A9">
            <w:r>
              <w:t>Professional help sought (grief counselling) –yes</w:t>
            </w:r>
          </w:p>
        </w:tc>
        <w:tc>
          <w:tcPr>
            <w:tcW w:w="1526" w:type="dxa"/>
            <w:tcBorders>
              <w:top w:val="single" w:sz="4" w:space="0" w:color="auto"/>
              <w:left w:val="single" w:sz="4" w:space="0" w:color="auto"/>
              <w:bottom w:val="single" w:sz="4" w:space="0" w:color="auto"/>
              <w:right w:val="single" w:sz="4" w:space="0" w:color="auto"/>
            </w:tcBorders>
            <w:hideMark/>
          </w:tcPr>
          <w:p w:rsidR="00F3407D" w:rsidRDefault="00F3407D" w:rsidP="006733A9">
            <w:r>
              <w:t>60 (13.1)*</w:t>
            </w:r>
          </w:p>
        </w:tc>
      </w:tr>
      <w:tr w:rsidR="00F3407D" w:rsidTr="00561EA7">
        <w:trPr>
          <w:gridAfter w:val="1"/>
          <w:wAfter w:w="1269" w:type="dxa"/>
        </w:trPr>
        <w:tc>
          <w:tcPr>
            <w:tcW w:w="7973" w:type="dxa"/>
            <w:gridSpan w:val="3"/>
            <w:tcBorders>
              <w:top w:val="single" w:sz="4" w:space="0" w:color="auto"/>
              <w:left w:val="single" w:sz="4" w:space="0" w:color="auto"/>
              <w:bottom w:val="single" w:sz="4" w:space="0" w:color="auto"/>
              <w:right w:val="single" w:sz="4" w:space="0" w:color="auto"/>
            </w:tcBorders>
          </w:tcPr>
          <w:p w:rsidR="00F3407D" w:rsidRDefault="00F3407D" w:rsidP="006733A9">
            <w:r>
              <w:rPr>
                <w:b/>
              </w:rPr>
              <w:t>The deceased</w:t>
            </w:r>
          </w:p>
        </w:tc>
      </w:tr>
      <w:tr w:rsidR="00F3407D" w:rsidTr="007B28D7">
        <w:trPr>
          <w:gridAfter w:val="1"/>
          <w:wAfter w:w="1269" w:type="dxa"/>
        </w:trPr>
        <w:tc>
          <w:tcPr>
            <w:tcW w:w="534" w:type="dxa"/>
            <w:tcBorders>
              <w:top w:val="single" w:sz="4" w:space="0" w:color="auto"/>
              <w:left w:val="single" w:sz="4" w:space="0" w:color="auto"/>
              <w:bottom w:val="single" w:sz="4" w:space="0" w:color="auto"/>
              <w:right w:val="single" w:sz="4" w:space="0" w:color="auto"/>
            </w:tcBorders>
          </w:tcPr>
          <w:p w:rsidR="00F3407D" w:rsidRDefault="00F3407D" w:rsidP="006733A9"/>
        </w:tc>
        <w:tc>
          <w:tcPr>
            <w:tcW w:w="5913" w:type="dxa"/>
            <w:tcBorders>
              <w:top w:val="single" w:sz="4" w:space="0" w:color="auto"/>
              <w:left w:val="single" w:sz="4" w:space="0" w:color="auto"/>
              <w:bottom w:val="single" w:sz="4" w:space="0" w:color="auto"/>
              <w:right w:val="single" w:sz="4" w:space="0" w:color="auto"/>
            </w:tcBorders>
            <w:hideMark/>
          </w:tcPr>
          <w:p w:rsidR="00F3407D" w:rsidRDefault="00F3407D" w:rsidP="006733A9">
            <w:r>
              <w:t>Age of the deceased</w:t>
            </w:r>
          </w:p>
        </w:tc>
        <w:tc>
          <w:tcPr>
            <w:tcW w:w="1526" w:type="dxa"/>
            <w:tcBorders>
              <w:top w:val="single" w:sz="4" w:space="0" w:color="auto"/>
              <w:left w:val="single" w:sz="4" w:space="0" w:color="auto"/>
              <w:bottom w:val="single" w:sz="4" w:space="0" w:color="auto"/>
              <w:right w:val="single" w:sz="4" w:space="0" w:color="auto"/>
            </w:tcBorders>
            <w:hideMark/>
          </w:tcPr>
          <w:p w:rsidR="00F3407D" w:rsidRDefault="00F3407D" w:rsidP="006733A9">
            <w:r>
              <w:t>72.8 (63.2)*</w:t>
            </w:r>
          </w:p>
        </w:tc>
      </w:tr>
      <w:tr w:rsidR="00F3407D" w:rsidTr="007B28D7">
        <w:trPr>
          <w:gridAfter w:val="1"/>
          <w:wAfter w:w="1269" w:type="dxa"/>
        </w:trPr>
        <w:tc>
          <w:tcPr>
            <w:tcW w:w="534" w:type="dxa"/>
            <w:tcBorders>
              <w:top w:val="single" w:sz="4" w:space="0" w:color="auto"/>
              <w:left w:val="single" w:sz="4" w:space="0" w:color="auto"/>
              <w:bottom w:val="single" w:sz="4" w:space="0" w:color="auto"/>
              <w:right w:val="single" w:sz="4" w:space="0" w:color="auto"/>
            </w:tcBorders>
          </w:tcPr>
          <w:p w:rsidR="00F3407D" w:rsidRDefault="00F3407D" w:rsidP="006733A9"/>
        </w:tc>
        <w:tc>
          <w:tcPr>
            <w:tcW w:w="5913" w:type="dxa"/>
            <w:tcBorders>
              <w:top w:val="single" w:sz="4" w:space="0" w:color="auto"/>
              <w:left w:val="single" w:sz="4" w:space="0" w:color="auto"/>
              <w:bottom w:val="single" w:sz="4" w:space="0" w:color="auto"/>
              <w:right w:val="single" w:sz="4" w:space="0" w:color="auto"/>
            </w:tcBorders>
            <w:hideMark/>
          </w:tcPr>
          <w:p w:rsidR="00F3407D" w:rsidRDefault="00F3407D" w:rsidP="006733A9">
            <w:r>
              <w:t>Comfortable or very comfortable in last two weeks of life</w:t>
            </w:r>
          </w:p>
        </w:tc>
        <w:tc>
          <w:tcPr>
            <w:tcW w:w="1526" w:type="dxa"/>
            <w:tcBorders>
              <w:top w:val="single" w:sz="4" w:space="0" w:color="auto"/>
              <w:left w:val="single" w:sz="4" w:space="0" w:color="auto"/>
              <w:bottom w:val="single" w:sz="4" w:space="0" w:color="auto"/>
              <w:right w:val="single" w:sz="4" w:space="0" w:color="auto"/>
            </w:tcBorders>
          </w:tcPr>
          <w:p w:rsidR="00F3407D" w:rsidRDefault="00F3407D" w:rsidP="006733A9"/>
          <w:p w:rsidR="00F3407D" w:rsidRDefault="00F3407D" w:rsidP="006733A9">
            <w:r>
              <w:t>125 (43.4)*</w:t>
            </w:r>
          </w:p>
        </w:tc>
      </w:tr>
      <w:tr w:rsidR="00F3407D" w:rsidTr="007B28D7">
        <w:trPr>
          <w:gridAfter w:val="1"/>
          <w:wAfter w:w="1269" w:type="dxa"/>
        </w:trPr>
        <w:tc>
          <w:tcPr>
            <w:tcW w:w="534" w:type="dxa"/>
            <w:tcBorders>
              <w:top w:val="single" w:sz="4" w:space="0" w:color="auto"/>
              <w:left w:val="single" w:sz="4" w:space="0" w:color="auto"/>
              <w:bottom w:val="single" w:sz="4" w:space="0" w:color="auto"/>
              <w:right w:val="single" w:sz="4" w:space="0" w:color="auto"/>
            </w:tcBorders>
          </w:tcPr>
          <w:p w:rsidR="00F3407D" w:rsidRDefault="00F3407D" w:rsidP="006733A9"/>
        </w:tc>
        <w:tc>
          <w:tcPr>
            <w:tcW w:w="5913" w:type="dxa"/>
            <w:tcBorders>
              <w:top w:val="single" w:sz="4" w:space="0" w:color="auto"/>
              <w:left w:val="single" w:sz="4" w:space="0" w:color="auto"/>
              <w:bottom w:val="single" w:sz="4" w:space="0" w:color="auto"/>
              <w:right w:val="single" w:sz="4" w:space="0" w:color="auto"/>
            </w:tcBorders>
            <w:hideMark/>
          </w:tcPr>
          <w:p w:rsidR="00F3407D" w:rsidRDefault="00F3407D" w:rsidP="006733A9">
            <w:r>
              <w:t>Diagnosis – cancer</w:t>
            </w:r>
          </w:p>
        </w:tc>
        <w:tc>
          <w:tcPr>
            <w:tcW w:w="1526" w:type="dxa"/>
            <w:tcBorders>
              <w:top w:val="single" w:sz="4" w:space="0" w:color="auto"/>
              <w:left w:val="single" w:sz="4" w:space="0" w:color="auto"/>
              <w:bottom w:val="single" w:sz="4" w:space="0" w:color="auto"/>
              <w:right w:val="single" w:sz="4" w:space="0" w:color="auto"/>
            </w:tcBorders>
            <w:hideMark/>
          </w:tcPr>
          <w:p w:rsidR="00F3407D" w:rsidRDefault="00F3407D" w:rsidP="006733A9">
            <w:r>
              <w:t>720 (78.1)</w:t>
            </w:r>
          </w:p>
        </w:tc>
      </w:tr>
      <w:tr w:rsidR="00F3407D" w:rsidTr="007B28D7">
        <w:trPr>
          <w:gridAfter w:val="1"/>
          <w:wAfter w:w="1269" w:type="dxa"/>
        </w:trPr>
        <w:tc>
          <w:tcPr>
            <w:tcW w:w="534" w:type="dxa"/>
            <w:tcBorders>
              <w:top w:val="single" w:sz="4" w:space="0" w:color="auto"/>
              <w:left w:val="single" w:sz="4" w:space="0" w:color="auto"/>
              <w:bottom w:val="single" w:sz="4" w:space="0" w:color="auto"/>
              <w:right w:val="single" w:sz="4" w:space="0" w:color="auto"/>
            </w:tcBorders>
          </w:tcPr>
          <w:p w:rsidR="00F3407D" w:rsidRDefault="00F3407D" w:rsidP="006733A9"/>
        </w:tc>
        <w:tc>
          <w:tcPr>
            <w:tcW w:w="5913" w:type="dxa"/>
            <w:tcBorders>
              <w:top w:val="single" w:sz="4" w:space="0" w:color="auto"/>
              <w:left w:val="single" w:sz="4" w:space="0" w:color="auto"/>
              <w:bottom w:val="single" w:sz="4" w:space="0" w:color="auto"/>
              <w:right w:val="single" w:sz="4" w:space="0" w:color="auto"/>
            </w:tcBorders>
            <w:hideMark/>
          </w:tcPr>
          <w:p w:rsidR="00F3407D" w:rsidRDefault="00F3407D" w:rsidP="006733A9">
            <w:r>
              <w:t>Place of death – institution (hospital or hospice)</w:t>
            </w:r>
          </w:p>
        </w:tc>
        <w:tc>
          <w:tcPr>
            <w:tcW w:w="1526" w:type="dxa"/>
            <w:tcBorders>
              <w:top w:val="single" w:sz="4" w:space="0" w:color="auto"/>
              <w:left w:val="single" w:sz="4" w:space="0" w:color="auto"/>
              <w:bottom w:val="single" w:sz="4" w:space="0" w:color="auto"/>
              <w:right w:val="single" w:sz="4" w:space="0" w:color="auto"/>
            </w:tcBorders>
            <w:hideMark/>
          </w:tcPr>
          <w:p w:rsidR="00F3407D" w:rsidRDefault="00F3407D" w:rsidP="006733A9">
            <w:r>
              <w:t>320 (69.9)*</w:t>
            </w:r>
          </w:p>
        </w:tc>
      </w:tr>
      <w:tr w:rsidR="00F3407D" w:rsidTr="00561EA7">
        <w:trPr>
          <w:gridAfter w:val="1"/>
          <w:wAfter w:w="1269" w:type="dxa"/>
        </w:trPr>
        <w:tc>
          <w:tcPr>
            <w:tcW w:w="7973" w:type="dxa"/>
            <w:gridSpan w:val="3"/>
            <w:tcBorders>
              <w:top w:val="single" w:sz="4" w:space="0" w:color="auto"/>
              <w:left w:val="single" w:sz="4" w:space="0" w:color="auto"/>
              <w:bottom w:val="single" w:sz="4" w:space="0" w:color="auto"/>
              <w:right w:val="single" w:sz="4" w:space="0" w:color="auto"/>
            </w:tcBorders>
          </w:tcPr>
          <w:p w:rsidR="00F3407D" w:rsidRDefault="00F3407D" w:rsidP="006733A9">
            <w:r>
              <w:rPr>
                <w:b/>
              </w:rPr>
              <w:t>Service factors</w:t>
            </w:r>
          </w:p>
        </w:tc>
      </w:tr>
      <w:tr w:rsidR="00F3407D" w:rsidTr="007B28D7">
        <w:trPr>
          <w:gridAfter w:val="1"/>
          <w:wAfter w:w="1269" w:type="dxa"/>
        </w:trPr>
        <w:tc>
          <w:tcPr>
            <w:tcW w:w="534" w:type="dxa"/>
            <w:tcBorders>
              <w:top w:val="single" w:sz="4" w:space="0" w:color="auto"/>
              <w:left w:val="single" w:sz="4" w:space="0" w:color="auto"/>
              <w:bottom w:val="single" w:sz="4" w:space="0" w:color="auto"/>
              <w:right w:val="single" w:sz="4" w:space="0" w:color="auto"/>
            </w:tcBorders>
          </w:tcPr>
          <w:p w:rsidR="00F3407D" w:rsidRDefault="00F3407D" w:rsidP="006733A9"/>
        </w:tc>
        <w:tc>
          <w:tcPr>
            <w:tcW w:w="5913" w:type="dxa"/>
            <w:tcBorders>
              <w:top w:val="single" w:sz="4" w:space="0" w:color="auto"/>
              <w:left w:val="single" w:sz="4" w:space="0" w:color="auto"/>
              <w:bottom w:val="single" w:sz="4" w:space="0" w:color="auto"/>
              <w:right w:val="single" w:sz="4" w:space="0" w:color="auto"/>
            </w:tcBorders>
            <w:hideMark/>
          </w:tcPr>
          <w:p w:rsidR="00F3407D" w:rsidRDefault="00F3407D" w:rsidP="006733A9">
            <w:r>
              <w:t>Palliative care service use - yes</w:t>
            </w:r>
          </w:p>
        </w:tc>
        <w:tc>
          <w:tcPr>
            <w:tcW w:w="1526" w:type="dxa"/>
            <w:tcBorders>
              <w:top w:val="single" w:sz="4" w:space="0" w:color="auto"/>
              <w:left w:val="single" w:sz="4" w:space="0" w:color="auto"/>
              <w:bottom w:val="single" w:sz="4" w:space="0" w:color="auto"/>
              <w:right w:val="single" w:sz="4" w:space="0" w:color="auto"/>
            </w:tcBorders>
            <w:hideMark/>
          </w:tcPr>
          <w:p w:rsidR="00F3407D" w:rsidRDefault="00F3407D" w:rsidP="006733A9">
            <w:r>
              <w:t>585 (63.4)</w:t>
            </w:r>
          </w:p>
        </w:tc>
      </w:tr>
      <w:tr w:rsidR="00F3407D" w:rsidTr="007B28D7">
        <w:tc>
          <w:tcPr>
            <w:tcW w:w="534" w:type="dxa"/>
            <w:tcBorders>
              <w:top w:val="nil"/>
              <w:left w:val="nil"/>
              <w:bottom w:val="nil"/>
              <w:right w:val="nil"/>
            </w:tcBorders>
          </w:tcPr>
          <w:p w:rsidR="00F3407D" w:rsidRDefault="00F3407D" w:rsidP="006733A9"/>
        </w:tc>
        <w:tc>
          <w:tcPr>
            <w:tcW w:w="8708" w:type="dxa"/>
            <w:gridSpan w:val="3"/>
            <w:tcBorders>
              <w:top w:val="nil"/>
              <w:left w:val="nil"/>
              <w:bottom w:val="nil"/>
              <w:right w:val="nil"/>
            </w:tcBorders>
            <w:hideMark/>
          </w:tcPr>
          <w:p w:rsidR="00F3407D" w:rsidRDefault="00F3407D" w:rsidP="006733A9">
            <w:r>
              <w:t>* The denominator is less than 922 for several factors as not all questions were asked to all subjects every year.</w:t>
            </w:r>
          </w:p>
        </w:tc>
      </w:tr>
    </w:tbl>
    <w:p w:rsidR="006733A9" w:rsidRDefault="006733A9" w:rsidP="006733A9">
      <w:pPr>
        <w:rPr>
          <w:b/>
        </w:rPr>
      </w:pPr>
      <w:r w:rsidRPr="00463862">
        <w:rPr>
          <w:b/>
        </w:rPr>
        <w:t xml:space="preserve">Table 1: Characteristics of </w:t>
      </w:r>
      <w:r>
        <w:rPr>
          <w:b/>
        </w:rPr>
        <w:t xml:space="preserve">922 </w:t>
      </w:r>
      <w:r w:rsidRPr="00463862">
        <w:rPr>
          <w:b/>
        </w:rPr>
        <w:t>hands-on caregivers who had someone close to the die in the 5 years before the face-to-face interview for the South Australian Health Omnibus</w:t>
      </w:r>
    </w:p>
    <w:p w:rsidR="00DD0690" w:rsidRDefault="00DD0690"/>
    <w:p w:rsidR="00DD0690" w:rsidRDefault="00DD0690">
      <w:r>
        <w:br w:type="page"/>
      </w:r>
    </w:p>
    <w:tbl>
      <w:tblPr>
        <w:tblW w:w="9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9"/>
        <w:gridCol w:w="1469"/>
        <w:gridCol w:w="1468"/>
        <w:gridCol w:w="1468"/>
        <w:gridCol w:w="1468"/>
        <w:gridCol w:w="1024"/>
      </w:tblGrid>
      <w:tr w:rsidR="00343716" w:rsidRPr="00C45C5B" w:rsidTr="00463862">
        <w:trPr>
          <w:cantSplit/>
        </w:trPr>
        <w:tc>
          <w:tcPr>
            <w:tcW w:w="9346" w:type="dxa"/>
            <w:gridSpan w:val="6"/>
            <w:tcBorders>
              <w:top w:val="nil"/>
              <w:left w:val="nil"/>
              <w:bottom w:val="nil"/>
              <w:right w:val="nil"/>
            </w:tcBorders>
            <w:shd w:val="clear" w:color="auto" w:fill="FFFFFF"/>
            <w:vAlign w:val="center"/>
          </w:tcPr>
          <w:p w:rsidR="00343716" w:rsidRPr="00C45C5B" w:rsidRDefault="00343716" w:rsidP="00463862">
            <w:r w:rsidRPr="0087563C">
              <w:rPr>
                <w:b/>
              </w:rPr>
              <w:lastRenderedPageBreak/>
              <w:t>T</w:t>
            </w:r>
            <w:r w:rsidR="00F822F7">
              <w:rPr>
                <w:b/>
              </w:rPr>
              <w:t>able</w:t>
            </w:r>
            <w:r w:rsidRPr="0087563C">
              <w:rPr>
                <w:b/>
              </w:rPr>
              <w:t xml:space="preserve"> </w:t>
            </w:r>
            <w:r w:rsidR="00434B19">
              <w:rPr>
                <w:b/>
              </w:rPr>
              <w:t>2</w:t>
            </w:r>
            <w:r w:rsidR="00463862">
              <w:rPr>
                <w:b/>
              </w:rPr>
              <w:t xml:space="preserve">: </w:t>
            </w:r>
            <w:r w:rsidRPr="00C45C5B">
              <w:rPr>
                <w:b/>
                <w:bCs/>
              </w:rPr>
              <w:t xml:space="preserve">Months </w:t>
            </w:r>
            <w:r>
              <w:rPr>
                <w:b/>
                <w:bCs/>
              </w:rPr>
              <w:t xml:space="preserve">since death (5 categories) * </w:t>
            </w:r>
            <w:r w:rsidRPr="00C45C5B">
              <w:rPr>
                <w:b/>
                <w:bCs/>
              </w:rPr>
              <w:t>Ability to move on with life</w:t>
            </w:r>
            <w:r>
              <w:rPr>
                <w:b/>
                <w:bCs/>
              </w:rPr>
              <w:t xml:space="preserve"> - </w:t>
            </w:r>
            <w:r w:rsidR="00463862">
              <w:rPr>
                <w:b/>
                <w:bCs/>
              </w:rPr>
              <w:t>c</w:t>
            </w:r>
            <w:r w:rsidRPr="00C45C5B">
              <w:rPr>
                <w:b/>
                <w:bCs/>
              </w:rPr>
              <w:t>ross</w:t>
            </w:r>
            <w:r w:rsidR="00463862">
              <w:rPr>
                <w:b/>
                <w:bCs/>
              </w:rPr>
              <w:t>-</w:t>
            </w:r>
            <w:r w:rsidRPr="00C45C5B">
              <w:rPr>
                <w:b/>
                <w:bCs/>
              </w:rPr>
              <w:t>tabulation</w:t>
            </w:r>
            <w:r w:rsidR="00463862">
              <w:rPr>
                <w:b/>
                <w:bCs/>
              </w:rPr>
              <w:t xml:space="preserve"> of 922 </w:t>
            </w:r>
            <w:r w:rsidR="00463862" w:rsidRPr="00463862">
              <w:rPr>
                <w:b/>
              </w:rPr>
              <w:t xml:space="preserve"> hands-on caregivers who had someone close to the die in the 5 years before the face-to-face interview for the South Australian Health Omnibus</w:t>
            </w:r>
          </w:p>
        </w:tc>
      </w:tr>
      <w:tr w:rsidR="00343716" w:rsidRPr="00C45C5B" w:rsidTr="00463862">
        <w:trPr>
          <w:cantSplit/>
        </w:trPr>
        <w:tc>
          <w:tcPr>
            <w:tcW w:w="9346" w:type="dxa"/>
            <w:gridSpan w:val="6"/>
            <w:tcBorders>
              <w:top w:val="nil"/>
              <w:left w:val="nil"/>
              <w:bottom w:val="nil"/>
              <w:right w:val="nil"/>
            </w:tcBorders>
            <w:shd w:val="clear" w:color="auto" w:fill="FFFFFF"/>
            <w:vAlign w:val="bottom"/>
          </w:tcPr>
          <w:p w:rsidR="00343716" w:rsidRPr="00C45C5B" w:rsidRDefault="00343716" w:rsidP="00B30185"/>
        </w:tc>
      </w:tr>
      <w:tr w:rsidR="00343716" w:rsidRPr="00C45C5B" w:rsidTr="00463862">
        <w:trPr>
          <w:cantSplit/>
        </w:trPr>
        <w:tc>
          <w:tcPr>
            <w:tcW w:w="3918" w:type="dxa"/>
            <w:gridSpan w:val="2"/>
            <w:vMerge w:val="restart"/>
            <w:tcBorders>
              <w:top w:val="single" w:sz="16" w:space="0" w:color="000000"/>
              <w:left w:val="single" w:sz="16" w:space="0" w:color="000000"/>
              <w:bottom w:val="nil"/>
              <w:right w:val="nil"/>
            </w:tcBorders>
            <w:shd w:val="clear" w:color="auto" w:fill="FFFFFF"/>
            <w:vAlign w:val="bottom"/>
          </w:tcPr>
          <w:p w:rsidR="00343716" w:rsidRPr="00C45C5B" w:rsidRDefault="00343716" w:rsidP="00B30185"/>
        </w:tc>
        <w:tc>
          <w:tcPr>
            <w:tcW w:w="4404" w:type="dxa"/>
            <w:gridSpan w:val="3"/>
            <w:tcBorders>
              <w:top w:val="single" w:sz="16" w:space="0" w:color="000000"/>
              <w:left w:val="single" w:sz="16" w:space="0" w:color="000000"/>
            </w:tcBorders>
            <w:shd w:val="clear" w:color="auto" w:fill="FFFFFF"/>
            <w:vAlign w:val="bottom"/>
          </w:tcPr>
          <w:p w:rsidR="00343716" w:rsidRPr="00C45C5B" w:rsidRDefault="00343716" w:rsidP="00B30185">
            <w:r w:rsidRPr="00C45C5B">
              <w:t>Ability to move on with life</w:t>
            </w:r>
          </w:p>
        </w:tc>
        <w:tc>
          <w:tcPr>
            <w:tcW w:w="1024" w:type="dxa"/>
            <w:vMerge w:val="restart"/>
            <w:tcBorders>
              <w:top w:val="single" w:sz="16" w:space="0" w:color="000000"/>
              <w:right w:val="single" w:sz="16" w:space="0" w:color="000000"/>
            </w:tcBorders>
            <w:shd w:val="clear" w:color="auto" w:fill="FFFFFF"/>
            <w:vAlign w:val="bottom"/>
          </w:tcPr>
          <w:p w:rsidR="00343716" w:rsidRPr="00C45C5B" w:rsidRDefault="00343716" w:rsidP="00B30185">
            <w:r w:rsidRPr="00C45C5B">
              <w:t>Total</w:t>
            </w:r>
          </w:p>
        </w:tc>
      </w:tr>
      <w:tr w:rsidR="00343716" w:rsidRPr="00C45C5B" w:rsidTr="00463862">
        <w:trPr>
          <w:cantSplit/>
        </w:trPr>
        <w:tc>
          <w:tcPr>
            <w:tcW w:w="3918" w:type="dxa"/>
            <w:gridSpan w:val="2"/>
            <w:vMerge/>
            <w:tcBorders>
              <w:top w:val="single" w:sz="16" w:space="0" w:color="000000"/>
              <w:left w:val="single" w:sz="16" w:space="0" w:color="000000"/>
              <w:bottom w:val="nil"/>
              <w:right w:val="nil"/>
            </w:tcBorders>
            <w:shd w:val="clear" w:color="auto" w:fill="FFFFFF"/>
            <w:vAlign w:val="bottom"/>
          </w:tcPr>
          <w:p w:rsidR="00343716" w:rsidRPr="00C45C5B" w:rsidRDefault="00343716" w:rsidP="00B30185"/>
        </w:tc>
        <w:tc>
          <w:tcPr>
            <w:tcW w:w="1468" w:type="dxa"/>
            <w:tcBorders>
              <w:left w:val="single" w:sz="16" w:space="0" w:color="000000"/>
              <w:bottom w:val="single" w:sz="16" w:space="0" w:color="000000"/>
            </w:tcBorders>
            <w:shd w:val="clear" w:color="auto" w:fill="FFFFFF"/>
            <w:vAlign w:val="bottom"/>
          </w:tcPr>
          <w:p w:rsidR="00343716" w:rsidRPr="00C45C5B" w:rsidRDefault="00343716" w:rsidP="00B30185">
            <w:r w:rsidRPr="00C45C5B">
              <w:t>I have been able to move on with my life</w:t>
            </w:r>
          </w:p>
        </w:tc>
        <w:tc>
          <w:tcPr>
            <w:tcW w:w="1468" w:type="dxa"/>
            <w:tcBorders>
              <w:bottom w:val="single" w:sz="16" w:space="0" w:color="000000"/>
            </w:tcBorders>
            <w:shd w:val="clear" w:color="auto" w:fill="FFFFFF"/>
            <w:vAlign w:val="bottom"/>
          </w:tcPr>
          <w:p w:rsidR="00343716" w:rsidRPr="00C45C5B" w:rsidRDefault="00343716" w:rsidP="00B30185">
            <w:r w:rsidRPr="00C45C5B">
              <w:t>I am starting to move on with my life</w:t>
            </w:r>
          </w:p>
        </w:tc>
        <w:tc>
          <w:tcPr>
            <w:tcW w:w="1468" w:type="dxa"/>
            <w:tcBorders>
              <w:bottom w:val="single" w:sz="16" w:space="0" w:color="000000"/>
            </w:tcBorders>
            <w:shd w:val="clear" w:color="auto" w:fill="FFFFFF"/>
            <w:vAlign w:val="bottom"/>
          </w:tcPr>
          <w:p w:rsidR="00343716" w:rsidRPr="00C45C5B" w:rsidRDefault="00343716" w:rsidP="00B30185">
            <w:r w:rsidRPr="00C45C5B">
              <w:t>I have not been able to move on</w:t>
            </w:r>
          </w:p>
        </w:tc>
        <w:tc>
          <w:tcPr>
            <w:tcW w:w="1024" w:type="dxa"/>
            <w:vMerge/>
            <w:tcBorders>
              <w:top w:val="single" w:sz="16" w:space="0" w:color="000000"/>
              <w:right w:val="single" w:sz="16" w:space="0" w:color="000000"/>
            </w:tcBorders>
            <w:shd w:val="clear" w:color="auto" w:fill="FFFFFF"/>
            <w:vAlign w:val="bottom"/>
          </w:tcPr>
          <w:p w:rsidR="00343716" w:rsidRPr="00C45C5B" w:rsidRDefault="00343716" w:rsidP="00B30185"/>
        </w:tc>
      </w:tr>
      <w:tr w:rsidR="00343716" w:rsidRPr="00C45C5B" w:rsidTr="007B28D7">
        <w:trPr>
          <w:cantSplit/>
        </w:trPr>
        <w:tc>
          <w:tcPr>
            <w:tcW w:w="2449" w:type="dxa"/>
            <w:vMerge w:val="restart"/>
            <w:tcBorders>
              <w:top w:val="single" w:sz="16" w:space="0" w:color="000000"/>
              <w:left w:val="single" w:sz="16" w:space="0" w:color="000000"/>
              <w:bottom w:val="nil"/>
              <w:right w:val="nil"/>
            </w:tcBorders>
            <w:shd w:val="clear" w:color="auto" w:fill="FFFFFF"/>
          </w:tcPr>
          <w:p w:rsidR="00343716" w:rsidRPr="00C45C5B" w:rsidRDefault="00343716" w:rsidP="00B30185">
            <w:r w:rsidRPr="00C45C5B">
              <w:t>Months since death (5 categories)</w:t>
            </w:r>
          </w:p>
        </w:tc>
        <w:tc>
          <w:tcPr>
            <w:tcW w:w="1469" w:type="dxa"/>
            <w:tcBorders>
              <w:top w:val="single" w:sz="16" w:space="0" w:color="000000"/>
              <w:left w:val="nil"/>
              <w:bottom w:val="nil"/>
              <w:right w:val="single" w:sz="16" w:space="0" w:color="000000"/>
            </w:tcBorders>
            <w:shd w:val="clear" w:color="auto" w:fill="FFFFFF"/>
          </w:tcPr>
          <w:p w:rsidR="00343716" w:rsidRPr="00C45C5B" w:rsidRDefault="00343716" w:rsidP="00B30185">
            <w:r w:rsidRPr="00C45C5B">
              <w:t>13-24 months</w:t>
            </w:r>
          </w:p>
        </w:tc>
        <w:tc>
          <w:tcPr>
            <w:tcW w:w="1468" w:type="dxa"/>
            <w:tcBorders>
              <w:top w:val="single" w:sz="16" w:space="0" w:color="000000"/>
              <w:left w:val="single" w:sz="16" w:space="0" w:color="000000"/>
              <w:bottom w:val="nil"/>
            </w:tcBorders>
            <w:shd w:val="clear" w:color="auto" w:fill="FFFFFF"/>
            <w:vAlign w:val="center"/>
          </w:tcPr>
          <w:p w:rsidR="00343716" w:rsidRPr="00C45C5B" w:rsidRDefault="00343716" w:rsidP="007B28D7">
            <w:pPr>
              <w:jc w:val="center"/>
            </w:pPr>
            <w:r w:rsidRPr="00C45C5B">
              <w:t>228</w:t>
            </w:r>
            <w:r>
              <w:t xml:space="preserve"> </w:t>
            </w:r>
          </w:p>
        </w:tc>
        <w:tc>
          <w:tcPr>
            <w:tcW w:w="1468" w:type="dxa"/>
            <w:tcBorders>
              <w:top w:val="single" w:sz="16" w:space="0" w:color="000000"/>
              <w:bottom w:val="nil"/>
            </w:tcBorders>
            <w:shd w:val="clear" w:color="auto" w:fill="FFFFFF"/>
            <w:vAlign w:val="center"/>
          </w:tcPr>
          <w:p w:rsidR="00343716" w:rsidRPr="00C45C5B" w:rsidRDefault="00343716" w:rsidP="007B28D7">
            <w:pPr>
              <w:jc w:val="center"/>
            </w:pPr>
            <w:r w:rsidRPr="00C45C5B">
              <w:t>66</w:t>
            </w:r>
            <w:r>
              <w:t xml:space="preserve"> </w:t>
            </w:r>
          </w:p>
        </w:tc>
        <w:tc>
          <w:tcPr>
            <w:tcW w:w="1468" w:type="dxa"/>
            <w:tcBorders>
              <w:top w:val="single" w:sz="16" w:space="0" w:color="000000"/>
              <w:bottom w:val="nil"/>
            </w:tcBorders>
            <w:shd w:val="clear" w:color="auto" w:fill="FFFFFF"/>
            <w:vAlign w:val="center"/>
          </w:tcPr>
          <w:p w:rsidR="00343716" w:rsidRPr="00C45C5B" w:rsidRDefault="00343716" w:rsidP="007B28D7">
            <w:pPr>
              <w:jc w:val="center"/>
            </w:pPr>
            <w:r w:rsidRPr="00C45C5B">
              <w:t>12</w:t>
            </w:r>
            <w:r>
              <w:t xml:space="preserve"> </w:t>
            </w:r>
          </w:p>
        </w:tc>
        <w:tc>
          <w:tcPr>
            <w:tcW w:w="1024" w:type="dxa"/>
            <w:tcBorders>
              <w:top w:val="single" w:sz="16" w:space="0" w:color="000000"/>
              <w:bottom w:val="nil"/>
              <w:right w:val="single" w:sz="16" w:space="0" w:color="000000"/>
            </w:tcBorders>
            <w:shd w:val="clear" w:color="auto" w:fill="FFFFFF"/>
            <w:vAlign w:val="center"/>
          </w:tcPr>
          <w:p w:rsidR="00343716" w:rsidRPr="00C45C5B" w:rsidRDefault="00343716" w:rsidP="007B28D7">
            <w:pPr>
              <w:jc w:val="center"/>
            </w:pPr>
            <w:r w:rsidRPr="00C45C5B">
              <w:t>306</w:t>
            </w:r>
          </w:p>
        </w:tc>
      </w:tr>
      <w:tr w:rsidR="00343716" w:rsidRPr="00C45C5B" w:rsidTr="007B28D7">
        <w:trPr>
          <w:cantSplit/>
        </w:trPr>
        <w:tc>
          <w:tcPr>
            <w:tcW w:w="2449" w:type="dxa"/>
            <w:vMerge/>
            <w:tcBorders>
              <w:top w:val="single" w:sz="16" w:space="0" w:color="000000"/>
              <w:left w:val="single" w:sz="16" w:space="0" w:color="000000"/>
              <w:bottom w:val="nil"/>
              <w:right w:val="nil"/>
            </w:tcBorders>
            <w:shd w:val="clear" w:color="auto" w:fill="FFFFFF"/>
          </w:tcPr>
          <w:p w:rsidR="00343716" w:rsidRPr="00C45C5B" w:rsidRDefault="00343716" w:rsidP="00B30185"/>
        </w:tc>
        <w:tc>
          <w:tcPr>
            <w:tcW w:w="1469" w:type="dxa"/>
            <w:tcBorders>
              <w:top w:val="nil"/>
              <w:left w:val="nil"/>
              <w:bottom w:val="nil"/>
              <w:right w:val="single" w:sz="16" w:space="0" w:color="000000"/>
            </w:tcBorders>
            <w:shd w:val="clear" w:color="auto" w:fill="FFFFFF"/>
          </w:tcPr>
          <w:p w:rsidR="00343716" w:rsidRPr="00C45C5B" w:rsidRDefault="00343716" w:rsidP="00B30185">
            <w:r w:rsidRPr="00C45C5B">
              <w:t>25-36 months</w:t>
            </w:r>
          </w:p>
        </w:tc>
        <w:tc>
          <w:tcPr>
            <w:tcW w:w="1468" w:type="dxa"/>
            <w:tcBorders>
              <w:top w:val="nil"/>
              <w:left w:val="single" w:sz="16" w:space="0" w:color="000000"/>
              <w:bottom w:val="nil"/>
            </w:tcBorders>
            <w:shd w:val="clear" w:color="auto" w:fill="FFFFFF"/>
            <w:vAlign w:val="center"/>
          </w:tcPr>
          <w:p w:rsidR="00343716" w:rsidRPr="00C45C5B" w:rsidRDefault="00343716" w:rsidP="007B28D7">
            <w:pPr>
              <w:jc w:val="center"/>
            </w:pPr>
            <w:r w:rsidRPr="00C45C5B">
              <w:t>207</w:t>
            </w:r>
            <w:r>
              <w:t xml:space="preserve"> </w:t>
            </w:r>
          </w:p>
        </w:tc>
        <w:tc>
          <w:tcPr>
            <w:tcW w:w="1468" w:type="dxa"/>
            <w:tcBorders>
              <w:top w:val="nil"/>
              <w:bottom w:val="nil"/>
            </w:tcBorders>
            <w:shd w:val="clear" w:color="auto" w:fill="FFFFFF"/>
            <w:vAlign w:val="center"/>
          </w:tcPr>
          <w:p w:rsidR="00343716" w:rsidRPr="00C45C5B" w:rsidRDefault="00343716" w:rsidP="007B28D7">
            <w:pPr>
              <w:jc w:val="center"/>
            </w:pPr>
            <w:r w:rsidRPr="00C45C5B">
              <w:t>38</w:t>
            </w:r>
            <w:r>
              <w:t xml:space="preserve"> </w:t>
            </w:r>
          </w:p>
        </w:tc>
        <w:tc>
          <w:tcPr>
            <w:tcW w:w="1468" w:type="dxa"/>
            <w:tcBorders>
              <w:top w:val="nil"/>
              <w:bottom w:val="nil"/>
            </w:tcBorders>
            <w:shd w:val="clear" w:color="auto" w:fill="FFFFFF"/>
            <w:vAlign w:val="center"/>
          </w:tcPr>
          <w:p w:rsidR="00343716" w:rsidRPr="00C45C5B" w:rsidRDefault="00343716" w:rsidP="007B28D7">
            <w:pPr>
              <w:jc w:val="center"/>
            </w:pPr>
            <w:r w:rsidRPr="00C45C5B">
              <w:t>8</w:t>
            </w:r>
            <w:r>
              <w:t xml:space="preserve"> </w:t>
            </w:r>
          </w:p>
        </w:tc>
        <w:tc>
          <w:tcPr>
            <w:tcW w:w="1024" w:type="dxa"/>
            <w:tcBorders>
              <w:top w:val="nil"/>
              <w:bottom w:val="nil"/>
              <w:right w:val="single" w:sz="16" w:space="0" w:color="000000"/>
            </w:tcBorders>
            <w:shd w:val="clear" w:color="auto" w:fill="FFFFFF"/>
            <w:vAlign w:val="center"/>
          </w:tcPr>
          <w:p w:rsidR="00343716" w:rsidRPr="00C45C5B" w:rsidRDefault="00343716" w:rsidP="007B28D7">
            <w:pPr>
              <w:jc w:val="center"/>
            </w:pPr>
            <w:r w:rsidRPr="00C45C5B">
              <w:t>253</w:t>
            </w:r>
          </w:p>
        </w:tc>
      </w:tr>
      <w:tr w:rsidR="00343716" w:rsidRPr="00C45C5B" w:rsidTr="007B28D7">
        <w:trPr>
          <w:cantSplit/>
        </w:trPr>
        <w:tc>
          <w:tcPr>
            <w:tcW w:w="2449" w:type="dxa"/>
            <w:vMerge/>
            <w:tcBorders>
              <w:top w:val="single" w:sz="16" w:space="0" w:color="000000"/>
              <w:left w:val="single" w:sz="16" w:space="0" w:color="000000"/>
              <w:bottom w:val="nil"/>
              <w:right w:val="nil"/>
            </w:tcBorders>
            <w:shd w:val="clear" w:color="auto" w:fill="FFFFFF"/>
          </w:tcPr>
          <w:p w:rsidR="00343716" w:rsidRPr="00C45C5B" w:rsidRDefault="00343716" w:rsidP="00B30185"/>
        </w:tc>
        <w:tc>
          <w:tcPr>
            <w:tcW w:w="1469" w:type="dxa"/>
            <w:tcBorders>
              <w:top w:val="nil"/>
              <w:left w:val="nil"/>
              <w:bottom w:val="nil"/>
              <w:right w:val="single" w:sz="16" w:space="0" w:color="000000"/>
            </w:tcBorders>
            <w:shd w:val="clear" w:color="auto" w:fill="FFFFFF"/>
          </w:tcPr>
          <w:p w:rsidR="00343716" w:rsidRPr="00C45C5B" w:rsidRDefault="00343716" w:rsidP="00B30185">
            <w:r w:rsidRPr="00C45C5B">
              <w:t>37-48 months</w:t>
            </w:r>
          </w:p>
        </w:tc>
        <w:tc>
          <w:tcPr>
            <w:tcW w:w="1468" w:type="dxa"/>
            <w:tcBorders>
              <w:top w:val="nil"/>
              <w:left w:val="single" w:sz="16" w:space="0" w:color="000000"/>
              <w:bottom w:val="nil"/>
            </w:tcBorders>
            <w:shd w:val="clear" w:color="auto" w:fill="FFFFFF"/>
            <w:vAlign w:val="center"/>
          </w:tcPr>
          <w:p w:rsidR="00343716" w:rsidRPr="00C45C5B" w:rsidRDefault="00343716" w:rsidP="007B28D7">
            <w:pPr>
              <w:jc w:val="center"/>
            </w:pPr>
            <w:r w:rsidRPr="00C45C5B">
              <w:t>191</w:t>
            </w:r>
            <w:r>
              <w:t xml:space="preserve"> </w:t>
            </w:r>
          </w:p>
        </w:tc>
        <w:tc>
          <w:tcPr>
            <w:tcW w:w="1468" w:type="dxa"/>
            <w:tcBorders>
              <w:top w:val="nil"/>
              <w:bottom w:val="nil"/>
            </w:tcBorders>
            <w:shd w:val="clear" w:color="auto" w:fill="FFFFFF"/>
            <w:vAlign w:val="center"/>
          </w:tcPr>
          <w:p w:rsidR="00343716" w:rsidRPr="00C45C5B" w:rsidRDefault="00343716" w:rsidP="007B28D7">
            <w:pPr>
              <w:jc w:val="center"/>
            </w:pPr>
            <w:r w:rsidRPr="00C45C5B">
              <w:t>20</w:t>
            </w:r>
            <w:r>
              <w:t xml:space="preserve"> </w:t>
            </w:r>
          </w:p>
        </w:tc>
        <w:tc>
          <w:tcPr>
            <w:tcW w:w="1468" w:type="dxa"/>
            <w:tcBorders>
              <w:top w:val="nil"/>
              <w:bottom w:val="nil"/>
            </w:tcBorders>
            <w:shd w:val="clear" w:color="auto" w:fill="FFFFFF"/>
            <w:vAlign w:val="center"/>
          </w:tcPr>
          <w:p w:rsidR="00343716" w:rsidRPr="00C45C5B" w:rsidRDefault="00343716" w:rsidP="007B28D7">
            <w:pPr>
              <w:jc w:val="center"/>
            </w:pPr>
            <w:r w:rsidRPr="00C45C5B">
              <w:t>6</w:t>
            </w:r>
            <w:r>
              <w:t xml:space="preserve"> </w:t>
            </w:r>
          </w:p>
        </w:tc>
        <w:tc>
          <w:tcPr>
            <w:tcW w:w="1024" w:type="dxa"/>
            <w:tcBorders>
              <w:top w:val="nil"/>
              <w:bottom w:val="nil"/>
              <w:right w:val="single" w:sz="16" w:space="0" w:color="000000"/>
            </w:tcBorders>
            <w:shd w:val="clear" w:color="auto" w:fill="FFFFFF"/>
            <w:vAlign w:val="center"/>
          </w:tcPr>
          <w:p w:rsidR="00343716" w:rsidRPr="00C45C5B" w:rsidRDefault="00343716" w:rsidP="007B28D7">
            <w:pPr>
              <w:jc w:val="center"/>
            </w:pPr>
            <w:r w:rsidRPr="00C45C5B">
              <w:t>217</w:t>
            </w:r>
          </w:p>
        </w:tc>
      </w:tr>
      <w:tr w:rsidR="00343716" w:rsidRPr="00C45C5B" w:rsidTr="007B28D7">
        <w:trPr>
          <w:cantSplit/>
        </w:trPr>
        <w:tc>
          <w:tcPr>
            <w:tcW w:w="2449" w:type="dxa"/>
            <w:vMerge/>
            <w:tcBorders>
              <w:top w:val="single" w:sz="16" w:space="0" w:color="000000"/>
              <w:left w:val="single" w:sz="16" w:space="0" w:color="000000"/>
              <w:bottom w:val="nil"/>
              <w:right w:val="nil"/>
            </w:tcBorders>
            <w:shd w:val="clear" w:color="auto" w:fill="FFFFFF"/>
          </w:tcPr>
          <w:p w:rsidR="00343716" w:rsidRPr="00C45C5B" w:rsidRDefault="00343716" w:rsidP="00B30185"/>
        </w:tc>
        <w:tc>
          <w:tcPr>
            <w:tcW w:w="1469" w:type="dxa"/>
            <w:tcBorders>
              <w:top w:val="nil"/>
              <w:left w:val="nil"/>
              <w:bottom w:val="nil"/>
              <w:right w:val="single" w:sz="16" w:space="0" w:color="000000"/>
            </w:tcBorders>
            <w:shd w:val="clear" w:color="auto" w:fill="FFFFFF"/>
          </w:tcPr>
          <w:p w:rsidR="00343716" w:rsidRPr="00C45C5B" w:rsidRDefault="00343716" w:rsidP="00B30185">
            <w:r w:rsidRPr="00C45C5B">
              <w:t>49-60 months</w:t>
            </w:r>
          </w:p>
        </w:tc>
        <w:tc>
          <w:tcPr>
            <w:tcW w:w="1468" w:type="dxa"/>
            <w:tcBorders>
              <w:top w:val="nil"/>
              <w:left w:val="single" w:sz="16" w:space="0" w:color="000000"/>
              <w:bottom w:val="nil"/>
            </w:tcBorders>
            <w:shd w:val="clear" w:color="auto" w:fill="FFFFFF"/>
            <w:vAlign w:val="center"/>
          </w:tcPr>
          <w:p w:rsidR="00343716" w:rsidRPr="00C45C5B" w:rsidRDefault="00343716" w:rsidP="007B28D7">
            <w:pPr>
              <w:jc w:val="center"/>
            </w:pPr>
            <w:r w:rsidRPr="00C45C5B">
              <w:t>119</w:t>
            </w:r>
            <w:r>
              <w:t xml:space="preserve"> </w:t>
            </w:r>
          </w:p>
        </w:tc>
        <w:tc>
          <w:tcPr>
            <w:tcW w:w="1468" w:type="dxa"/>
            <w:tcBorders>
              <w:top w:val="nil"/>
              <w:bottom w:val="nil"/>
            </w:tcBorders>
            <w:shd w:val="clear" w:color="auto" w:fill="FFFFFF"/>
            <w:vAlign w:val="center"/>
          </w:tcPr>
          <w:p w:rsidR="00343716" w:rsidRPr="00C45C5B" w:rsidRDefault="00343716" w:rsidP="007B28D7">
            <w:pPr>
              <w:jc w:val="center"/>
            </w:pPr>
            <w:r w:rsidRPr="00C45C5B">
              <w:t>22</w:t>
            </w:r>
            <w:r>
              <w:t xml:space="preserve"> </w:t>
            </w:r>
          </w:p>
        </w:tc>
        <w:tc>
          <w:tcPr>
            <w:tcW w:w="1468" w:type="dxa"/>
            <w:tcBorders>
              <w:top w:val="nil"/>
              <w:bottom w:val="nil"/>
            </w:tcBorders>
            <w:shd w:val="clear" w:color="auto" w:fill="FFFFFF"/>
            <w:vAlign w:val="center"/>
          </w:tcPr>
          <w:p w:rsidR="00343716" w:rsidRPr="00C45C5B" w:rsidRDefault="00343716" w:rsidP="007B28D7">
            <w:pPr>
              <w:jc w:val="center"/>
            </w:pPr>
            <w:r w:rsidRPr="00C45C5B">
              <w:t>5</w:t>
            </w:r>
            <w:r>
              <w:t xml:space="preserve"> </w:t>
            </w:r>
          </w:p>
        </w:tc>
        <w:tc>
          <w:tcPr>
            <w:tcW w:w="1024" w:type="dxa"/>
            <w:tcBorders>
              <w:top w:val="nil"/>
              <w:bottom w:val="nil"/>
              <w:right w:val="single" w:sz="16" w:space="0" w:color="000000"/>
            </w:tcBorders>
            <w:shd w:val="clear" w:color="auto" w:fill="FFFFFF"/>
            <w:vAlign w:val="center"/>
          </w:tcPr>
          <w:p w:rsidR="00343716" w:rsidRPr="00C45C5B" w:rsidRDefault="00343716" w:rsidP="007B28D7">
            <w:pPr>
              <w:jc w:val="center"/>
            </w:pPr>
            <w:r w:rsidRPr="00C45C5B">
              <w:t>146</w:t>
            </w:r>
          </w:p>
        </w:tc>
      </w:tr>
      <w:tr w:rsidR="00343716" w:rsidRPr="00C45C5B" w:rsidTr="007B28D7">
        <w:trPr>
          <w:cantSplit/>
        </w:trPr>
        <w:tc>
          <w:tcPr>
            <w:tcW w:w="3918" w:type="dxa"/>
            <w:gridSpan w:val="2"/>
            <w:tcBorders>
              <w:top w:val="nil"/>
              <w:left w:val="single" w:sz="16" w:space="0" w:color="000000"/>
              <w:bottom w:val="single" w:sz="16" w:space="0" w:color="000000"/>
              <w:right w:val="nil"/>
            </w:tcBorders>
            <w:shd w:val="clear" w:color="auto" w:fill="FFFFFF"/>
          </w:tcPr>
          <w:p w:rsidR="00343716" w:rsidRPr="00C45C5B" w:rsidRDefault="00343716" w:rsidP="00B30185">
            <w:r w:rsidRPr="00C45C5B">
              <w:t>Total</w:t>
            </w:r>
          </w:p>
        </w:tc>
        <w:tc>
          <w:tcPr>
            <w:tcW w:w="1468" w:type="dxa"/>
            <w:tcBorders>
              <w:top w:val="nil"/>
              <w:left w:val="single" w:sz="16" w:space="0" w:color="000000"/>
              <w:bottom w:val="single" w:sz="16" w:space="0" w:color="000000"/>
            </w:tcBorders>
            <w:shd w:val="clear" w:color="auto" w:fill="FFFFFF"/>
            <w:vAlign w:val="center"/>
          </w:tcPr>
          <w:p w:rsidR="00343716" w:rsidRPr="00C45C5B" w:rsidRDefault="00343716" w:rsidP="007B28D7">
            <w:pPr>
              <w:jc w:val="center"/>
            </w:pPr>
            <w:r w:rsidRPr="00C45C5B">
              <w:t>745</w:t>
            </w:r>
          </w:p>
        </w:tc>
        <w:tc>
          <w:tcPr>
            <w:tcW w:w="1468" w:type="dxa"/>
            <w:tcBorders>
              <w:top w:val="nil"/>
              <w:bottom w:val="single" w:sz="16" w:space="0" w:color="000000"/>
            </w:tcBorders>
            <w:shd w:val="clear" w:color="auto" w:fill="FFFFFF"/>
            <w:vAlign w:val="center"/>
          </w:tcPr>
          <w:p w:rsidR="00343716" w:rsidRPr="00C45C5B" w:rsidRDefault="00343716" w:rsidP="007B28D7">
            <w:pPr>
              <w:jc w:val="center"/>
            </w:pPr>
            <w:r w:rsidRPr="00C45C5B">
              <w:t>146</w:t>
            </w:r>
          </w:p>
        </w:tc>
        <w:tc>
          <w:tcPr>
            <w:tcW w:w="1468" w:type="dxa"/>
            <w:tcBorders>
              <w:top w:val="nil"/>
              <w:bottom w:val="single" w:sz="16" w:space="0" w:color="000000"/>
            </w:tcBorders>
            <w:shd w:val="clear" w:color="auto" w:fill="FFFFFF"/>
            <w:vAlign w:val="center"/>
          </w:tcPr>
          <w:p w:rsidR="00343716" w:rsidRPr="00C45C5B" w:rsidRDefault="00343716" w:rsidP="007B28D7">
            <w:pPr>
              <w:jc w:val="center"/>
            </w:pPr>
            <w:r w:rsidRPr="00C45C5B">
              <w:t>31</w:t>
            </w:r>
          </w:p>
        </w:tc>
        <w:tc>
          <w:tcPr>
            <w:tcW w:w="1024" w:type="dxa"/>
            <w:tcBorders>
              <w:top w:val="nil"/>
              <w:bottom w:val="single" w:sz="16" w:space="0" w:color="000000"/>
              <w:right w:val="single" w:sz="16" w:space="0" w:color="000000"/>
            </w:tcBorders>
            <w:shd w:val="clear" w:color="auto" w:fill="FFFFFF"/>
            <w:vAlign w:val="center"/>
          </w:tcPr>
          <w:p w:rsidR="00343716" w:rsidRPr="00C45C5B" w:rsidRDefault="00343716" w:rsidP="007B28D7">
            <w:pPr>
              <w:jc w:val="center"/>
            </w:pPr>
            <w:r w:rsidRPr="00C45C5B">
              <w:t>922</w:t>
            </w:r>
          </w:p>
        </w:tc>
      </w:tr>
    </w:tbl>
    <w:p w:rsidR="00343716" w:rsidRDefault="00343716" w:rsidP="00343716"/>
    <w:p w:rsidR="00343716" w:rsidRDefault="00343716" w:rsidP="00343716">
      <w:r>
        <w:t>Chi-square 16.0017, p=0.014</w:t>
      </w:r>
    </w:p>
    <w:p w:rsidR="00343716" w:rsidRPr="00C45C5B" w:rsidRDefault="00343716" w:rsidP="00343716">
      <w:r>
        <w:t>NOTE: The time-frames refer to time of survey completion</w:t>
      </w:r>
    </w:p>
    <w:p w:rsidR="00343716" w:rsidRDefault="00343716" w:rsidP="00343716"/>
    <w:p w:rsidR="00343716" w:rsidRDefault="00343716">
      <w:r>
        <w:br w:type="page"/>
      </w:r>
    </w:p>
    <w:p w:rsidR="005F4071" w:rsidRPr="00122236" w:rsidRDefault="005F4071" w:rsidP="005F4071">
      <w:pPr>
        <w:rPr>
          <w:b/>
        </w:rPr>
      </w:pPr>
      <w:r w:rsidRPr="00122236">
        <w:rPr>
          <w:b/>
        </w:rPr>
        <w:lastRenderedPageBreak/>
        <w:t xml:space="preserve">Table </w:t>
      </w:r>
      <w:r>
        <w:rPr>
          <w:b/>
        </w:rPr>
        <w:t>3</w:t>
      </w:r>
      <w:r w:rsidRPr="00122236">
        <w:rPr>
          <w:b/>
        </w:rPr>
        <w:t xml:space="preserve"> - Characteristics </w:t>
      </w:r>
      <w:r>
        <w:rPr>
          <w:b/>
        </w:rPr>
        <w:t xml:space="preserve">identified through multivariable logistic regression </w:t>
      </w:r>
      <w:r w:rsidRPr="00122236">
        <w:rPr>
          <w:b/>
        </w:rPr>
        <w:t xml:space="preserve">reported as odds ratios </w:t>
      </w:r>
      <w:r>
        <w:rPr>
          <w:b/>
        </w:rPr>
        <w:t xml:space="preserve">(95% CI) </w:t>
      </w:r>
      <w:r w:rsidRPr="00122236">
        <w:rPr>
          <w:b/>
        </w:rPr>
        <w:t>of hands-on caregivers having</w:t>
      </w:r>
      <w:r>
        <w:rPr>
          <w:b/>
        </w:rPr>
        <w:t xml:space="preserve"> </w:t>
      </w:r>
      <w:r w:rsidRPr="00122236">
        <w:rPr>
          <w:b/>
          <w:i/>
        </w:rPr>
        <w:t>moved on</w:t>
      </w:r>
      <w:r w:rsidRPr="00122236">
        <w:rPr>
          <w:b/>
        </w:rPr>
        <w:t xml:space="preserve"> 13 -60 months </w:t>
      </w:r>
      <w:r w:rsidRPr="00CA1E39">
        <w:rPr>
          <w:b/>
        </w:rPr>
        <w:t>(n=745)</w:t>
      </w:r>
      <w:r>
        <w:rPr>
          <w:b/>
        </w:rPr>
        <w:t xml:space="preserve"> </w:t>
      </w:r>
      <w:r w:rsidRPr="00122236">
        <w:rPr>
          <w:b/>
        </w:rPr>
        <w:t xml:space="preserve">after the death of the care recipient </w:t>
      </w:r>
    </w:p>
    <w:tbl>
      <w:tblPr>
        <w:tblStyle w:val="TableGrid"/>
        <w:tblW w:w="0" w:type="auto"/>
        <w:tblLook w:val="04A0" w:firstRow="1" w:lastRow="0" w:firstColumn="1" w:lastColumn="0" w:noHBand="0" w:noVBand="1"/>
      </w:tblPr>
      <w:tblGrid>
        <w:gridCol w:w="3121"/>
        <w:gridCol w:w="3065"/>
        <w:gridCol w:w="3056"/>
      </w:tblGrid>
      <w:tr w:rsidR="00343716" w:rsidTr="00B30185">
        <w:trPr>
          <w:trHeight w:val="557"/>
        </w:trPr>
        <w:tc>
          <w:tcPr>
            <w:tcW w:w="3121" w:type="dxa"/>
          </w:tcPr>
          <w:p w:rsidR="00343716" w:rsidRDefault="00343716" w:rsidP="00B30185"/>
        </w:tc>
        <w:tc>
          <w:tcPr>
            <w:tcW w:w="3065" w:type="dxa"/>
          </w:tcPr>
          <w:p w:rsidR="00343716" w:rsidRDefault="00343716" w:rsidP="00B30185">
            <w:r>
              <w:t>MULTIVARIABLE OR (95% CI)</w:t>
            </w:r>
          </w:p>
        </w:tc>
        <w:tc>
          <w:tcPr>
            <w:tcW w:w="3056" w:type="dxa"/>
          </w:tcPr>
          <w:p w:rsidR="00343716" w:rsidRDefault="00343716" w:rsidP="00B30185">
            <w:r>
              <w:t>P-value</w:t>
            </w:r>
          </w:p>
        </w:tc>
      </w:tr>
      <w:tr w:rsidR="00343716" w:rsidTr="00B30185">
        <w:tc>
          <w:tcPr>
            <w:tcW w:w="3121" w:type="dxa"/>
          </w:tcPr>
          <w:p w:rsidR="00343716" w:rsidRDefault="00343716" w:rsidP="00B30185">
            <w:r>
              <w:t>Males</w:t>
            </w:r>
          </w:p>
          <w:p w:rsidR="00343716" w:rsidRDefault="00343716" w:rsidP="00B30185">
            <w:r>
              <w:tab/>
              <w:t xml:space="preserve">Non-ESB </w:t>
            </w:r>
          </w:p>
          <w:p w:rsidR="00343716" w:rsidRDefault="00343716" w:rsidP="00B30185">
            <w:r>
              <w:tab/>
              <w:t>ESB</w:t>
            </w:r>
          </w:p>
        </w:tc>
        <w:tc>
          <w:tcPr>
            <w:tcW w:w="3065" w:type="dxa"/>
          </w:tcPr>
          <w:p w:rsidR="00343716" w:rsidRDefault="00343716" w:rsidP="00B30185"/>
          <w:p w:rsidR="00343716" w:rsidRDefault="00343716" w:rsidP="00B30185">
            <w:r>
              <w:t>1 (ref.)</w:t>
            </w:r>
          </w:p>
          <w:p w:rsidR="00343716" w:rsidRPr="006A6B5F" w:rsidRDefault="00343716" w:rsidP="00B30185">
            <w:pPr>
              <w:rPr>
                <w:b/>
              </w:rPr>
            </w:pPr>
            <w:r w:rsidRPr="006A6B5F">
              <w:rPr>
                <w:b/>
              </w:rPr>
              <w:t>3.38 (1.54, 7.41)</w:t>
            </w:r>
          </w:p>
        </w:tc>
        <w:tc>
          <w:tcPr>
            <w:tcW w:w="3056" w:type="dxa"/>
          </w:tcPr>
          <w:p w:rsidR="00343716" w:rsidRDefault="00343716" w:rsidP="00B30185"/>
          <w:p w:rsidR="00343716" w:rsidRDefault="00343716" w:rsidP="00B30185"/>
          <w:p w:rsidR="00343716" w:rsidRPr="006A6B5F" w:rsidRDefault="00343716" w:rsidP="00B30185">
            <w:pPr>
              <w:rPr>
                <w:b/>
              </w:rPr>
            </w:pPr>
            <w:r w:rsidRPr="006A6B5F">
              <w:rPr>
                <w:b/>
              </w:rPr>
              <w:t>0.002</w:t>
            </w:r>
          </w:p>
        </w:tc>
      </w:tr>
      <w:tr w:rsidR="00343716" w:rsidTr="00B30185">
        <w:tc>
          <w:tcPr>
            <w:tcW w:w="3121" w:type="dxa"/>
          </w:tcPr>
          <w:p w:rsidR="00343716" w:rsidRDefault="00343716" w:rsidP="00B30185">
            <w:r>
              <w:t>Females</w:t>
            </w:r>
          </w:p>
          <w:p w:rsidR="00343716" w:rsidRDefault="00343716" w:rsidP="00B30185">
            <w:r>
              <w:tab/>
              <w:t xml:space="preserve">Non-ESB </w:t>
            </w:r>
          </w:p>
          <w:p w:rsidR="00343716" w:rsidRDefault="00343716" w:rsidP="00B30185">
            <w:r>
              <w:tab/>
              <w:t>ESB</w:t>
            </w:r>
          </w:p>
        </w:tc>
        <w:tc>
          <w:tcPr>
            <w:tcW w:w="3065" w:type="dxa"/>
          </w:tcPr>
          <w:p w:rsidR="00343716" w:rsidRDefault="00343716" w:rsidP="00B30185"/>
          <w:p w:rsidR="00343716" w:rsidRDefault="00343716" w:rsidP="00B30185">
            <w:r>
              <w:t>1 (ref.)</w:t>
            </w:r>
          </w:p>
          <w:p w:rsidR="00343716" w:rsidRPr="00A10F5C" w:rsidRDefault="00343716" w:rsidP="00B30185">
            <w:r>
              <w:t>0.94 (0.46, 1.90)</w:t>
            </w:r>
          </w:p>
        </w:tc>
        <w:tc>
          <w:tcPr>
            <w:tcW w:w="3056" w:type="dxa"/>
          </w:tcPr>
          <w:p w:rsidR="00343716" w:rsidRDefault="00343716" w:rsidP="00B30185"/>
          <w:p w:rsidR="00343716" w:rsidRDefault="00343716" w:rsidP="00B30185"/>
          <w:p w:rsidR="00343716" w:rsidRDefault="00343716" w:rsidP="00B30185">
            <w:r>
              <w:t>0.86</w:t>
            </w:r>
          </w:p>
        </w:tc>
      </w:tr>
      <w:tr w:rsidR="00343716" w:rsidTr="00B30185">
        <w:tc>
          <w:tcPr>
            <w:tcW w:w="3121" w:type="dxa"/>
          </w:tcPr>
          <w:p w:rsidR="00343716" w:rsidRDefault="00343716" w:rsidP="00B30185">
            <w:r w:rsidRPr="00B43A1A">
              <w:rPr>
                <w:b/>
              </w:rPr>
              <w:t>Age&gt;65</w:t>
            </w:r>
          </w:p>
        </w:tc>
        <w:tc>
          <w:tcPr>
            <w:tcW w:w="3065" w:type="dxa"/>
          </w:tcPr>
          <w:p w:rsidR="00343716" w:rsidRDefault="00343716" w:rsidP="00B30185">
            <w:r>
              <w:rPr>
                <w:b/>
              </w:rPr>
              <w:t>2.41 (1.46 to 3.97)</w:t>
            </w:r>
          </w:p>
        </w:tc>
        <w:tc>
          <w:tcPr>
            <w:tcW w:w="3056" w:type="dxa"/>
          </w:tcPr>
          <w:p w:rsidR="00343716" w:rsidRDefault="00343716" w:rsidP="00B30185">
            <w:r>
              <w:rPr>
                <w:b/>
              </w:rPr>
              <w:t>0.001</w:t>
            </w:r>
          </w:p>
        </w:tc>
      </w:tr>
      <w:tr w:rsidR="00343716" w:rsidTr="00B30185">
        <w:tc>
          <w:tcPr>
            <w:tcW w:w="3121" w:type="dxa"/>
          </w:tcPr>
          <w:p w:rsidR="00343716" w:rsidRDefault="00343716" w:rsidP="00B30185">
            <w:r>
              <w:t>Educational attainment – beyond school</w:t>
            </w:r>
          </w:p>
        </w:tc>
        <w:tc>
          <w:tcPr>
            <w:tcW w:w="3065" w:type="dxa"/>
          </w:tcPr>
          <w:p w:rsidR="00343716" w:rsidRDefault="00343716" w:rsidP="00B30185"/>
          <w:p w:rsidR="00343716" w:rsidRDefault="00343716" w:rsidP="00B30185">
            <w:r>
              <w:t>1.48 (1.03 to 2.13)</w:t>
            </w:r>
          </w:p>
        </w:tc>
        <w:tc>
          <w:tcPr>
            <w:tcW w:w="3056" w:type="dxa"/>
          </w:tcPr>
          <w:p w:rsidR="00343716" w:rsidRDefault="00343716" w:rsidP="00B30185"/>
          <w:p w:rsidR="00343716" w:rsidRDefault="00343716" w:rsidP="00B30185">
            <w:r>
              <w:t>0.035</w:t>
            </w:r>
          </w:p>
        </w:tc>
      </w:tr>
      <w:tr w:rsidR="00343716" w:rsidTr="00B30185">
        <w:tc>
          <w:tcPr>
            <w:tcW w:w="3121" w:type="dxa"/>
          </w:tcPr>
          <w:p w:rsidR="00343716" w:rsidRDefault="00343716" w:rsidP="00B30185">
            <w:r>
              <w:t>Relationship</w:t>
            </w:r>
          </w:p>
          <w:p w:rsidR="00343716" w:rsidRDefault="00343716" w:rsidP="00B30185">
            <w:pPr>
              <w:pStyle w:val="ListParagraph"/>
              <w:numPr>
                <w:ilvl w:val="0"/>
                <w:numId w:val="1"/>
              </w:numPr>
            </w:pPr>
            <w:r>
              <w:t>Spouse</w:t>
            </w:r>
          </w:p>
          <w:p w:rsidR="00343716" w:rsidRPr="00B43A1A" w:rsidRDefault="00343716" w:rsidP="00B30185">
            <w:pPr>
              <w:pStyle w:val="ListParagraph"/>
              <w:numPr>
                <w:ilvl w:val="0"/>
                <w:numId w:val="1"/>
              </w:numPr>
              <w:rPr>
                <w:b/>
              </w:rPr>
            </w:pPr>
            <w:r w:rsidRPr="00B43A1A">
              <w:rPr>
                <w:b/>
              </w:rPr>
              <w:t>Parent/child/sibling</w:t>
            </w:r>
          </w:p>
          <w:p w:rsidR="00343716" w:rsidRPr="00B43A1A" w:rsidRDefault="00343716" w:rsidP="00B30185">
            <w:pPr>
              <w:pStyle w:val="ListParagraph"/>
              <w:numPr>
                <w:ilvl w:val="0"/>
                <w:numId w:val="1"/>
              </w:numPr>
              <w:rPr>
                <w:b/>
              </w:rPr>
            </w:pPr>
            <w:r w:rsidRPr="00B43A1A">
              <w:rPr>
                <w:b/>
              </w:rPr>
              <w:t>Other</w:t>
            </w:r>
          </w:p>
        </w:tc>
        <w:tc>
          <w:tcPr>
            <w:tcW w:w="3065" w:type="dxa"/>
          </w:tcPr>
          <w:p w:rsidR="00343716" w:rsidRDefault="00343716" w:rsidP="00B30185"/>
          <w:p w:rsidR="00343716" w:rsidRPr="00015F7E" w:rsidRDefault="00343716" w:rsidP="00B30185">
            <w:r w:rsidRPr="00015F7E">
              <w:t>1 (base)</w:t>
            </w:r>
          </w:p>
          <w:p w:rsidR="00343716" w:rsidRDefault="00343716" w:rsidP="00B30185">
            <w:pPr>
              <w:rPr>
                <w:b/>
              </w:rPr>
            </w:pPr>
            <w:r>
              <w:rPr>
                <w:b/>
              </w:rPr>
              <w:t>2.77 (1.68 to 4.56)</w:t>
            </w:r>
          </w:p>
          <w:p w:rsidR="00343716" w:rsidRPr="00B43A1A" w:rsidRDefault="00343716" w:rsidP="00B30185">
            <w:pPr>
              <w:rPr>
                <w:b/>
              </w:rPr>
            </w:pPr>
            <w:r>
              <w:rPr>
                <w:b/>
              </w:rPr>
              <w:t>6.23 (3.46 to 11.22)</w:t>
            </w:r>
          </w:p>
        </w:tc>
        <w:tc>
          <w:tcPr>
            <w:tcW w:w="3056" w:type="dxa"/>
          </w:tcPr>
          <w:p w:rsidR="00343716" w:rsidRDefault="00343716" w:rsidP="00B30185"/>
          <w:p w:rsidR="00343716" w:rsidRDefault="00343716" w:rsidP="00B30185"/>
          <w:p w:rsidR="00343716" w:rsidRPr="00B43A1A" w:rsidRDefault="00343716" w:rsidP="00B30185">
            <w:pPr>
              <w:rPr>
                <w:b/>
              </w:rPr>
            </w:pPr>
            <w:r>
              <w:rPr>
                <w:b/>
              </w:rPr>
              <w:t>&lt;0.001</w:t>
            </w:r>
          </w:p>
          <w:p w:rsidR="00343716" w:rsidRPr="00B43A1A" w:rsidRDefault="00343716" w:rsidP="00B30185">
            <w:pPr>
              <w:rPr>
                <w:b/>
              </w:rPr>
            </w:pPr>
            <w:r>
              <w:rPr>
                <w:b/>
              </w:rPr>
              <w:t>&lt;0.001</w:t>
            </w:r>
          </w:p>
        </w:tc>
      </w:tr>
      <w:tr w:rsidR="00343716" w:rsidTr="00B30185">
        <w:tc>
          <w:tcPr>
            <w:tcW w:w="3121" w:type="dxa"/>
          </w:tcPr>
          <w:p w:rsidR="00343716" w:rsidRDefault="00343716" w:rsidP="00B30185">
            <w:r>
              <w:t>SEIFA:</w:t>
            </w:r>
          </w:p>
          <w:p w:rsidR="00343716" w:rsidRDefault="00343716" w:rsidP="00B30185">
            <w:pPr>
              <w:pStyle w:val="ListParagraph"/>
              <w:numPr>
                <w:ilvl w:val="0"/>
                <w:numId w:val="1"/>
              </w:numPr>
            </w:pPr>
            <w:r>
              <w:t>low</w:t>
            </w:r>
          </w:p>
          <w:p w:rsidR="00343716" w:rsidRPr="00015F7E" w:rsidRDefault="00343716" w:rsidP="00B30185">
            <w:pPr>
              <w:pStyle w:val="ListParagraph"/>
              <w:numPr>
                <w:ilvl w:val="0"/>
                <w:numId w:val="1"/>
              </w:numPr>
            </w:pPr>
            <w:r w:rsidRPr="00015F7E">
              <w:t>high</w:t>
            </w:r>
          </w:p>
        </w:tc>
        <w:tc>
          <w:tcPr>
            <w:tcW w:w="3065" w:type="dxa"/>
          </w:tcPr>
          <w:p w:rsidR="00343716" w:rsidRDefault="00343716" w:rsidP="00B30185"/>
          <w:p w:rsidR="00343716" w:rsidRDefault="00343716" w:rsidP="00B30185">
            <w:r>
              <w:t>1 (base)</w:t>
            </w:r>
          </w:p>
          <w:p w:rsidR="00343716" w:rsidRPr="00015F7E" w:rsidRDefault="00343716" w:rsidP="00B30185">
            <w:r w:rsidRPr="00015F7E">
              <w:t>1.39 (0.98 to 1.98)</w:t>
            </w:r>
          </w:p>
        </w:tc>
        <w:tc>
          <w:tcPr>
            <w:tcW w:w="3056" w:type="dxa"/>
          </w:tcPr>
          <w:p w:rsidR="00343716" w:rsidRDefault="00343716" w:rsidP="00B30185"/>
          <w:p w:rsidR="00343716" w:rsidRDefault="00343716" w:rsidP="00B30185"/>
          <w:p w:rsidR="00343716" w:rsidRPr="00015F7E" w:rsidRDefault="00343716" w:rsidP="00B30185">
            <w:r w:rsidRPr="00015F7E">
              <w:t>0.068</w:t>
            </w:r>
          </w:p>
        </w:tc>
      </w:tr>
      <w:tr w:rsidR="00343716" w:rsidTr="00B30185">
        <w:tc>
          <w:tcPr>
            <w:tcW w:w="3121" w:type="dxa"/>
          </w:tcPr>
          <w:p w:rsidR="00343716" w:rsidRDefault="00343716" w:rsidP="00B30185">
            <w:r>
              <w:t>Level of care:</w:t>
            </w:r>
          </w:p>
          <w:p w:rsidR="00343716" w:rsidRDefault="00343716" w:rsidP="00B30185">
            <w:pPr>
              <w:pStyle w:val="ListParagraph"/>
              <w:numPr>
                <w:ilvl w:val="0"/>
                <w:numId w:val="1"/>
              </w:numPr>
            </w:pPr>
            <w:r>
              <w:t xml:space="preserve">Daily </w:t>
            </w:r>
          </w:p>
          <w:p w:rsidR="00343716" w:rsidRPr="00015F7E" w:rsidRDefault="00343716" w:rsidP="00B30185">
            <w:pPr>
              <w:pStyle w:val="ListParagraph"/>
              <w:numPr>
                <w:ilvl w:val="0"/>
                <w:numId w:val="1"/>
              </w:numPr>
            </w:pPr>
            <w:r w:rsidRPr="00015F7E">
              <w:t>Intermittent</w:t>
            </w:r>
          </w:p>
        </w:tc>
        <w:tc>
          <w:tcPr>
            <w:tcW w:w="3065" w:type="dxa"/>
          </w:tcPr>
          <w:p w:rsidR="00343716" w:rsidRDefault="00343716" w:rsidP="00B30185"/>
          <w:p w:rsidR="00343716" w:rsidRDefault="00343716" w:rsidP="00B30185">
            <w:r>
              <w:t>1 (base)</w:t>
            </w:r>
          </w:p>
          <w:p w:rsidR="00343716" w:rsidRPr="00015F7E" w:rsidRDefault="00343716" w:rsidP="00B30185">
            <w:r w:rsidRPr="00015F7E">
              <w:t>1.46 (0.98 to 2.19)</w:t>
            </w:r>
          </w:p>
        </w:tc>
        <w:tc>
          <w:tcPr>
            <w:tcW w:w="3056" w:type="dxa"/>
          </w:tcPr>
          <w:p w:rsidR="00343716" w:rsidRDefault="00343716" w:rsidP="00B30185"/>
          <w:p w:rsidR="00343716" w:rsidRDefault="00343716" w:rsidP="00B30185"/>
          <w:p w:rsidR="00343716" w:rsidRPr="00015F7E" w:rsidRDefault="00343716" w:rsidP="00B30185">
            <w:r w:rsidRPr="00015F7E">
              <w:t>0.065</w:t>
            </w:r>
          </w:p>
        </w:tc>
      </w:tr>
      <w:tr w:rsidR="00343716" w:rsidTr="00B30185">
        <w:tc>
          <w:tcPr>
            <w:tcW w:w="3121" w:type="dxa"/>
          </w:tcPr>
          <w:p w:rsidR="00343716" w:rsidRDefault="00122236" w:rsidP="00B30185">
            <w:r>
              <w:rPr>
                <w:b/>
              </w:rPr>
              <w:t>L</w:t>
            </w:r>
            <w:r w:rsidR="00343716" w:rsidRPr="00877071">
              <w:rPr>
                <w:b/>
              </w:rPr>
              <w:t>n</w:t>
            </w:r>
            <w:r>
              <w:rPr>
                <w:b/>
              </w:rPr>
              <w:t xml:space="preserve"> </w:t>
            </w:r>
            <w:r w:rsidR="00343716" w:rsidRPr="00877071">
              <w:rPr>
                <w:b/>
              </w:rPr>
              <w:t>years</w:t>
            </w:r>
          </w:p>
        </w:tc>
        <w:tc>
          <w:tcPr>
            <w:tcW w:w="3065" w:type="dxa"/>
          </w:tcPr>
          <w:p w:rsidR="00343716" w:rsidRDefault="00343716" w:rsidP="00B30185">
            <w:r w:rsidRPr="00877071">
              <w:rPr>
                <w:b/>
              </w:rPr>
              <w:t>2.46 (1.62 to 3.73)</w:t>
            </w:r>
          </w:p>
        </w:tc>
        <w:tc>
          <w:tcPr>
            <w:tcW w:w="3056" w:type="dxa"/>
          </w:tcPr>
          <w:p w:rsidR="00343716" w:rsidRDefault="00343716" w:rsidP="00B30185">
            <w:r w:rsidRPr="00877071">
              <w:rPr>
                <w:b/>
              </w:rPr>
              <w:t>&lt;0.001</w:t>
            </w:r>
          </w:p>
        </w:tc>
      </w:tr>
      <w:tr w:rsidR="00343716" w:rsidTr="00B30185">
        <w:tc>
          <w:tcPr>
            <w:tcW w:w="3121" w:type="dxa"/>
          </w:tcPr>
          <w:p w:rsidR="00122236" w:rsidRDefault="00122236" w:rsidP="00122236">
            <w:pPr>
              <w:rPr>
                <w:b/>
              </w:rPr>
            </w:pPr>
            <w:r>
              <w:rPr>
                <w:b/>
              </w:rPr>
              <w:t>Perceived n</w:t>
            </w:r>
            <w:r w:rsidR="00343716" w:rsidRPr="00877071">
              <w:rPr>
                <w:b/>
              </w:rPr>
              <w:t>eeds met</w:t>
            </w:r>
            <w:r>
              <w:rPr>
                <w:b/>
              </w:rPr>
              <w:t xml:space="preserve"> </w:t>
            </w:r>
            <w:r w:rsidR="00343716">
              <w:rPr>
                <w:b/>
              </w:rPr>
              <w:t xml:space="preserve">/ </w:t>
            </w:r>
          </w:p>
          <w:p w:rsidR="00343716" w:rsidRPr="00877071" w:rsidRDefault="00343716" w:rsidP="00122236">
            <w:pPr>
              <w:rPr>
                <w:b/>
              </w:rPr>
            </w:pPr>
            <w:r>
              <w:rPr>
                <w:b/>
              </w:rPr>
              <w:t>had enough support</w:t>
            </w:r>
          </w:p>
        </w:tc>
        <w:tc>
          <w:tcPr>
            <w:tcW w:w="3065" w:type="dxa"/>
          </w:tcPr>
          <w:p w:rsidR="00343716" w:rsidRPr="00877071" w:rsidRDefault="00343716" w:rsidP="00B30185">
            <w:pPr>
              <w:rPr>
                <w:b/>
              </w:rPr>
            </w:pPr>
            <w:r w:rsidRPr="00877071">
              <w:rPr>
                <w:b/>
              </w:rPr>
              <w:t>1.84 (1.22 to 2.78)</w:t>
            </w:r>
          </w:p>
        </w:tc>
        <w:tc>
          <w:tcPr>
            <w:tcW w:w="3056" w:type="dxa"/>
          </w:tcPr>
          <w:p w:rsidR="00343716" w:rsidRPr="00877071" w:rsidRDefault="00343716" w:rsidP="00B30185">
            <w:pPr>
              <w:rPr>
                <w:b/>
              </w:rPr>
            </w:pPr>
            <w:r w:rsidRPr="00877071">
              <w:rPr>
                <w:b/>
              </w:rPr>
              <w:t>0.004</w:t>
            </w:r>
          </w:p>
        </w:tc>
      </w:tr>
      <w:tr w:rsidR="00343716" w:rsidTr="00B30185">
        <w:tc>
          <w:tcPr>
            <w:tcW w:w="3121" w:type="dxa"/>
          </w:tcPr>
          <w:p w:rsidR="00343716" w:rsidRDefault="00343716" w:rsidP="00B30185">
            <w:r>
              <w:t>Cancer diagnosis</w:t>
            </w:r>
          </w:p>
          <w:p w:rsidR="00343716" w:rsidRDefault="00343716" w:rsidP="00B30185">
            <w:pPr>
              <w:pStyle w:val="ListParagraph"/>
              <w:numPr>
                <w:ilvl w:val="0"/>
                <w:numId w:val="1"/>
              </w:numPr>
            </w:pPr>
            <w:r>
              <w:t>No</w:t>
            </w:r>
          </w:p>
          <w:p w:rsidR="00343716" w:rsidRPr="00EA216D" w:rsidRDefault="00343716" w:rsidP="00B30185">
            <w:pPr>
              <w:pStyle w:val="ListParagraph"/>
              <w:numPr>
                <w:ilvl w:val="0"/>
                <w:numId w:val="1"/>
              </w:numPr>
              <w:rPr>
                <w:b/>
              </w:rPr>
            </w:pPr>
            <w:r>
              <w:t>Yes</w:t>
            </w:r>
          </w:p>
        </w:tc>
        <w:tc>
          <w:tcPr>
            <w:tcW w:w="3065" w:type="dxa"/>
          </w:tcPr>
          <w:p w:rsidR="00343716" w:rsidRDefault="00343716" w:rsidP="00B30185"/>
          <w:p w:rsidR="00343716" w:rsidRDefault="00343716" w:rsidP="00B30185">
            <w:r>
              <w:t>1 (base)</w:t>
            </w:r>
          </w:p>
          <w:p w:rsidR="00343716" w:rsidRPr="00877071" w:rsidRDefault="00343716" w:rsidP="00B30185">
            <w:pPr>
              <w:rPr>
                <w:b/>
              </w:rPr>
            </w:pPr>
            <w:r>
              <w:t>0.76 (0.49 to 1.16)</w:t>
            </w:r>
          </w:p>
        </w:tc>
        <w:tc>
          <w:tcPr>
            <w:tcW w:w="3056" w:type="dxa"/>
          </w:tcPr>
          <w:p w:rsidR="00343716" w:rsidRDefault="00343716" w:rsidP="00B30185"/>
          <w:p w:rsidR="00343716" w:rsidRDefault="00343716" w:rsidP="00B30185"/>
          <w:p w:rsidR="00343716" w:rsidRPr="00877071" w:rsidRDefault="00343716" w:rsidP="00B30185">
            <w:pPr>
              <w:rPr>
                <w:b/>
              </w:rPr>
            </w:pPr>
            <w:r>
              <w:t>0.203</w:t>
            </w:r>
          </w:p>
        </w:tc>
      </w:tr>
      <w:tr w:rsidR="00343716" w:rsidTr="00B30185">
        <w:tc>
          <w:tcPr>
            <w:tcW w:w="3121" w:type="dxa"/>
          </w:tcPr>
          <w:p w:rsidR="00343716" w:rsidRPr="00877071" w:rsidRDefault="00343716" w:rsidP="00B30185">
            <w:pPr>
              <w:rPr>
                <w:b/>
              </w:rPr>
            </w:pPr>
            <w:r>
              <w:t>Palliative care service used</w:t>
            </w:r>
          </w:p>
        </w:tc>
        <w:tc>
          <w:tcPr>
            <w:tcW w:w="3065" w:type="dxa"/>
          </w:tcPr>
          <w:p w:rsidR="00343716" w:rsidRPr="00877071" w:rsidRDefault="00343716" w:rsidP="00B30185">
            <w:pPr>
              <w:rPr>
                <w:b/>
              </w:rPr>
            </w:pPr>
            <w:r>
              <w:t>1.07 (0.74 to 1.54)</w:t>
            </w:r>
          </w:p>
        </w:tc>
        <w:tc>
          <w:tcPr>
            <w:tcW w:w="3056" w:type="dxa"/>
          </w:tcPr>
          <w:p w:rsidR="00343716" w:rsidRPr="00877071" w:rsidRDefault="00343716" w:rsidP="00B30185">
            <w:pPr>
              <w:rPr>
                <w:b/>
              </w:rPr>
            </w:pPr>
            <w:r>
              <w:t>0.733</w:t>
            </w:r>
          </w:p>
        </w:tc>
      </w:tr>
    </w:tbl>
    <w:p w:rsidR="00343716" w:rsidRDefault="00343716"/>
    <w:p w:rsidR="00343716" w:rsidRDefault="00343716">
      <w:r>
        <w:br w:type="page"/>
      </w:r>
    </w:p>
    <w:p w:rsidR="00122236" w:rsidRPr="00122236" w:rsidRDefault="00343716" w:rsidP="00122236">
      <w:pPr>
        <w:rPr>
          <w:b/>
        </w:rPr>
      </w:pPr>
      <w:r w:rsidRPr="00122236">
        <w:rPr>
          <w:b/>
        </w:rPr>
        <w:lastRenderedPageBreak/>
        <w:t xml:space="preserve">Table 4 - </w:t>
      </w:r>
      <w:r w:rsidR="00122236" w:rsidRPr="00122236">
        <w:rPr>
          <w:b/>
        </w:rPr>
        <w:t xml:space="preserve">Characteristics </w:t>
      </w:r>
      <w:r w:rsidR="00122236">
        <w:rPr>
          <w:b/>
        </w:rPr>
        <w:t xml:space="preserve">identified through multivariable logistic regression </w:t>
      </w:r>
      <w:r w:rsidR="00122236" w:rsidRPr="00122236">
        <w:rPr>
          <w:b/>
        </w:rPr>
        <w:t xml:space="preserve">reported as odds ratios </w:t>
      </w:r>
      <w:r w:rsidR="00122236">
        <w:rPr>
          <w:b/>
        </w:rPr>
        <w:t>(95</w:t>
      </w:r>
      <w:r w:rsidR="005F4071">
        <w:rPr>
          <w:b/>
        </w:rPr>
        <w:t>%</w:t>
      </w:r>
      <w:r w:rsidR="00122236">
        <w:rPr>
          <w:b/>
        </w:rPr>
        <w:t xml:space="preserve"> CI) </w:t>
      </w:r>
      <w:r w:rsidR="00122236" w:rsidRPr="00122236">
        <w:rPr>
          <w:b/>
        </w:rPr>
        <w:t>of hands-on caregivers having</w:t>
      </w:r>
      <w:r w:rsidR="00122236">
        <w:rPr>
          <w:b/>
        </w:rPr>
        <w:t xml:space="preserve"> not</w:t>
      </w:r>
      <w:r w:rsidR="00122236" w:rsidRPr="00122236">
        <w:rPr>
          <w:b/>
        </w:rPr>
        <w:t xml:space="preserve"> </w:t>
      </w:r>
      <w:r w:rsidR="00122236" w:rsidRPr="00122236">
        <w:rPr>
          <w:b/>
          <w:i/>
        </w:rPr>
        <w:t>moved on</w:t>
      </w:r>
      <w:r w:rsidR="00122236" w:rsidRPr="00122236">
        <w:rPr>
          <w:b/>
        </w:rPr>
        <w:t xml:space="preserve"> 13 -60 months after the death of the care </w:t>
      </w:r>
      <w:r w:rsidR="00122236" w:rsidRPr="00CA1E39">
        <w:rPr>
          <w:b/>
        </w:rPr>
        <w:t>recipient</w:t>
      </w:r>
      <w:r w:rsidR="005F4071" w:rsidRPr="00CA1E39">
        <w:rPr>
          <w:b/>
        </w:rPr>
        <w:t xml:space="preserve"> (n=</w:t>
      </w:r>
      <w:r w:rsidR="000008A6" w:rsidRPr="00CA1E39">
        <w:rPr>
          <w:b/>
        </w:rPr>
        <w:t>31</w:t>
      </w:r>
      <w:r w:rsidR="005F4071" w:rsidRPr="00CA1E39">
        <w:rPr>
          <w:b/>
        </w:rPr>
        <w:t>)</w:t>
      </w:r>
      <w:r w:rsidR="00122236" w:rsidRPr="00122236">
        <w:rPr>
          <w:b/>
        </w:rPr>
        <w:t xml:space="preserve"> </w:t>
      </w:r>
    </w:p>
    <w:p w:rsidR="00343716" w:rsidRDefault="00343716"/>
    <w:tbl>
      <w:tblPr>
        <w:tblStyle w:val="TableGrid"/>
        <w:tblW w:w="0" w:type="auto"/>
        <w:tblLook w:val="04A0" w:firstRow="1" w:lastRow="0" w:firstColumn="1" w:lastColumn="0" w:noHBand="0" w:noVBand="1"/>
      </w:tblPr>
      <w:tblGrid>
        <w:gridCol w:w="3080"/>
        <w:gridCol w:w="3081"/>
        <w:gridCol w:w="3081"/>
      </w:tblGrid>
      <w:tr w:rsidR="00343716" w:rsidTr="00B30185">
        <w:trPr>
          <w:trHeight w:val="557"/>
        </w:trPr>
        <w:tc>
          <w:tcPr>
            <w:tcW w:w="3080" w:type="dxa"/>
          </w:tcPr>
          <w:p w:rsidR="00343716" w:rsidRDefault="00343716" w:rsidP="00B30185"/>
        </w:tc>
        <w:tc>
          <w:tcPr>
            <w:tcW w:w="3081" w:type="dxa"/>
          </w:tcPr>
          <w:p w:rsidR="00343716" w:rsidRDefault="00343716" w:rsidP="00B30185">
            <w:r>
              <w:t>MULTIVARIABLE OR (95% CI)</w:t>
            </w:r>
          </w:p>
        </w:tc>
        <w:tc>
          <w:tcPr>
            <w:tcW w:w="3081" w:type="dxa"/>
          </w:tcPr>
          <w:p w:rsidR="00343716" w:rsidRDefault="00343716" w:rsidP="00B30185">
            <w:r>
              <w:t>P-value</w:t>
            </w:r>
          </w:p>
        </w:tc>
      </w:tr>
      <w:tr w:rsidR="00343716" w:rsidTr="00B30185">
        <w:tc>
          <w:tcPr>
            <w:tcW w:w="3080" w:type="dxa"/>
          </w:tcPr>
          <w:p w:rsidR="00343716" w:rsidRPr="0083413A" w:rsidRDefault="00D33BA7" w:rsidP="00B30185">
            <w:pPr>
              <w:rPr>
                <w:b/>
              </w:rPr>
            </w:pPr>
            <w:r>
              <w:rPr>
                <w:b/>
              </w:rPr>
              <w:t>Males</w:t>
            </w:r>
          </w:p>
        </w:tc>
        <w:tc>
          <w:tcPr>
            <w:tcW w:w="3081" w:type="dxa"/>
          </w:tcPr>
          <w:p w:rsidR="00343716" w:rsidRPr="0083413A" w:rsidRDefault="00343716" w:rsidP="00B30185">
            <w:pPr>
              <w:rPr>
                <w:b/>
              </w:rPr>
            </w:pPr>
            <w:r w:rsidRPr="0083413A">
              <w:rPr>
                <w:b/>
              </w:rPr>
              <w:t>2.64 (1.23 to 5.64)</w:t>
            </w:r>
          </w:p>
        </w:tc>
        <w:tc>
          <w:tcPr>
            <w:tcW w:w="3081" w:type="dxa"/>
          </w:tcPr>
          <w:p w:rsidR="00343716" w:rsidRPr="0083413A" w:rsidRDefault="00343716" w:rsidP="00B30185">
            <w:pPr>
              <w:rPr>
                <w:b/>
              </w:rPr>
            </w:pPr>
            <w:r w:rsidRPr="0083413A">
              <w:rPr>
                <w:b/>
              </w:rPr>
              <w:t>0.012</w:t>
            </w:r>
          </w:p>
        </w:tc>
      </w:tr>
      <w:tr w:rsidR="00343716" w:rsidTr="00B30185">
        <w:tc>
          <w:tcPr>
            <w:tcW w:w="3080" w:type="dxa"/>
          </w:tcPr>
          <w:p w:rsidR="00343716" w:rsidRPr="00DC7D15" w:rsidRDefault="00343716" w:rsidP="00B30185">
            <w:r w:rsidRPr="00DC7D15">
              <w:t>Age&gt;65</w:t>
            </w:r>
          </w:p>
        </w:tc>
        <w:tc>
          <w:tcPr>
            <w:tcW w:w="3081" w:type="dxa"/>
          </w:tcPr>
          <w:p w:rsidR="00343716" w:rsidRPr="009418BB" w:rsidRDefault="00343716" w:rsidP="00B30185">
            <w:r w:rsidRPr="009418BB">
              <w:t>0.49 (0.18 to 1.32)</w:t>
            </w:r>
          </w:p>
        </w:tc>
        <w:tc>
          <w:tcPr>
            <w:tcW w:w="3081" w:type="dxa"/>
          </w:tcPr>
          <w:p w:rsidR="00343716" w:rsidRPr="009418BB" w:rsidRDefault="00343716" w:rsidP="00B30185">
            <w:r w:rsidRPr="009418BB">
              <w:t>0.158</w:t>
            </w:r>
          </w:p>
        </w:tc>
      </w:tr>
      <w:tr w:rsidR="00343716" w:rsidTr="00B30185">
        <w:tc>
          <w:tcPr>
            <w:tcW w:w="3080" w:type="dxa"/>
          </w:tcPr>
          <w:p w:rsidR="00343716" w:rsidRDefault="00343716" w:rsidP="00B30185">
            <w:r>
              <w:t>Educational attainment – beyond school</w:t>
            </w:r>
          </w:p>
        </w:tc>
        <w:tc>
          <w:tcPr>
            <w:tcW w:w="3081" w:type="dxa"/>
          </w:tcPr>
          <w:p w:rsidR="00343716" w:rsidRDefault="00343716" w:rsidP="00B30185"/>
          <w:p w:rsidR="00343716" w:rsidRDefault="00343716" w:rsidP="00B30185">
            <w:r>
              <w:t>0.53 (0.24 to 1.17)</w:t>
            </w:r>
          </w:p>
        </w:tc>
        <w:tc>
          <w:tcPr>
            <w:tcW w:w="3081" w:type="dxa"/>
          </w:tcPr>
          <w:p w:rsidR="00343716" w:rsidRDefault="00343716" w:rsidP="00B30185"/>
          <w:p w:rsidR="00343716" w:rsidRDefault="00343716" w:rsidP="00B30185">
            <w:r>
              <w:t>0.116</w:t>
            </w:r>
          </w:p>
        </w:tc>
      </w:tr>
      <w:tr w:rsidR="00343716" w:rsidTr="00B30185">
        <w:tc>
          <w:tcPr>
            <w:tcW w:w="3080" w:type="dxa"/>
          </w:tcPr>
          <w:p w:rsidR="00343716" w:rsidRDefault="00343716" w:rsidP="00B30185">
            <w:r>
              <w:t>English speaking background</w:t>
            </w:r>
          </w:p>
        </w:tc>
        <w:tc>
          <w:tcPr>
            <w:tcW w:w="3081" w:type="dxa"/>
          </w:tcPr>
          <w:p w:rsidR="00343716" w:rsidRDefault="00343716" w:rsidP="00B30185">
            <w:r>
              <w:t>0.50 (0.19 to 1.29)</w:t>
            </w:r>
          </w:p>
        </w:tc>
        <w:tc>
          <w:tcPr>
            <w:tcW w:w="3081" w:type="dxa"/>
          </w:tcPr>
          <w:p w:rsidR="00343716" w:rsidRDefault="00343716" w:rsidP="00B30185">
            <w:r>
              <w:t>0.150</w:t>
            </w:r>
          </w:p>
        </w:tc>
      </w:tr>
      <w:tr w:rsidR="00343716" w:rsidTr="00B30185">
        <w:tc>
          <w:tcPr>
            <w:tcW w:w="3080" w:type="dxa"/>
          </w:tcPr>
          <w:p w:rsidR="00343716" w:rsidRDefault="00343716" w:rsidP="00B30185">
            <w:r>
              <w:t>Relationship</w:t>
            </w:r>
          </w:p>
          <w:p w:rsidR="00343716" w:rsidRDefault="00343716" w:rsidP="00B30185">
            <w:pPr>
              <w:pStyle w:val="ListParagraph"/>
              <w:numPr>
                <w:ilvl w:val="0"/>
                <w:numId w:val="1"/>
              </w:numPr>
            </w:pPr>
            <w:r>
              <w:t>Spouse</w:t>
            </w:r>
          </w:p>
          <w:p w:rsidR="00343716" w:rsidRPr="00DC7D15" w:rsidRDefault="00343716" w:rsidP="00B30185">
            <w:pPr>
              <w:pStyle w:val="ListParagraph"/>
              <w:numPr>
                <w:ilvl w:val="0"/>
                <w:numId w:val="1"/>
              </w:numPr>
            </w:pPr>
            <w:r w:rsidRPr="00DC7D15">
              <w:t>Parent/child/sibling</w:t>
            </w:r>
          </w:p>
          <w:p w:rsidR="00343716" w:rsidRPr="0083413A" w:rsidRDefault="00343716" w:rsidP="00B30185">
            <w:pPr>
              <w:pStyle w:val="ListParagraph"/>
              <w:numPr>
                <w:ilvl w:val="0"/>
                <w:numId w:val="1"/>
              </w:numPr>
              <w:rPr>
                <w:b/>
              </w:rPr>
            </w:pPr>
            <w:r w:rsidRPr="0083413A">
              <w:rPr>
                <w:b/>
              </w:rPr>
              <w:t>Other</w:t>
            </w:r>
          </w:p>
        </w:tc>
        <w:tc>
          <w:tcPr>
            <w:tcW w:w="3081" w:type="dxa"/>
          </w:tcPr>
          <w:p w:rsidR="00343716" w:rsidRPr="0083413A" w:rsidRDefault="00343716" w:rsidP="00B30185"/>
          <w:p w:rsidR="00343716" w:rsidRPr="0083413A" w:rsidRDefault="00343716" w:rsidP="00B30185">
            <w:r w:rsidRPr="0083413A">
              <w:t>1 (base)</w:t>
            </w:r>
          </w:p>
          <w:p w:rsidR="00343716" w:rsidRPr="0083413A" w:rsidRDefault="00343716" w:rsidP="00B30185">
            <w:r w:rsidRPr="0083413A">
              <w:t>0.36 (0.13 to 1.01)</w:t>
            </w:r>
          </w:p>
          <w:p w:rsidR="00343716" w:rsidRPr="0083413A" w:rsidRDefault="00343716" w:rsidP="00B30185">
            <w:pPr>
              <w:rPr>
                <w:b/>
              </w:rPr>
            </w:pPr>
            <w:r w:rsidRPr="0083413A">
              <w:rPr>
                <w:b/>
              </w:rPr>
              <w:t>0.25 (0.08 to 0.84)</w:t>
            </w:r>
          </w:p>
        </w:tc>
        <w:tc>
          <w:tcPr>
            <w:tcW w:w="3081" w:type="dxa"/>
          </w:tcPr>
          <w:p w:rsidR="00343716" w:rsidRPr="0083413A" w:rsidRDefault="00343716" w:rsidP="00B30185"/>
          <w:p w:rsidR="00343716" w:rsidRPr="0083413A" w:rsidRDefault="00343716" w:rsidP="00B30185"/>
          <w:p w:rsidR="00343716" w:rsidRPr="0083413A" w:rsidRDefault="00343716" w:rsidP="00B30185">
            <w:r w:rsidRPr="0083413A">
              <w:t>0.053</w:t>
            </w:r>
          </w:p>
          <w:p w:rsidR="00343716" w:rsidRPr="0083413A" w:rsidRDefault="00343716" w:rsidP="00B30185">
            <w:pPr>
              <w:rPr>
                <w:b/>
              </w:rPr>
            </w:pPr>
            <w:r w:rsidRPr="0083413A">
              <w:rPr>
                <w:b/>
              </w:rPr>
              <w:t>0.025</w:t>
            </w:r>
          </w:p>
        </w:tc>
      </w:tr>
      <w:tr w:rsidR="00343716" w:rsidTr="00B30185">
        <w:tc>
          <w:tcPr>
            <w:tcW w:w="3080" w:type="dxa"/>
          </w:tcPr>
          <w:p w:rsidR="00343716" w:rsidRDefault="00343716" w:rsidP="00B30185">
            <w:r>
              <w:t>SEIFA:</w:t>
            </w:r>
          </w:p>
          <w:p w:rsidR="00343716" w:rsidRDefault="00343716" w:rsidP="00B30185">
            <w:pPr>
              <w:pStyle w:val="ListParagraph"/>
              <w:numPr>
                <w:ilvl w:val="0"/>
                <w:numId w:val="1"/>
              </w:numPr>
            </w:pPr>
            <w:r>
              <w:t>low</w:t>
            </w:r>
          </w:p>
          <w:p w:rsidR="00343716" w:rsidRPr="009418BB" w:rsidRDefault="00343716" w:rsidP="00B30185">
            <w:pPr>
              <w:pStyle w:val="ListParagraph"/>
              <w:numPr>
                <w:ilvl w:val="0"/>
                <w:numId w:val="1"/>
              </w:numPr>
              <w:rPr>
                <w:b/>
              </w:rPr>
            </w:pPr>
            <w:r w:rsidRPr="009418BB">
              <w:rPr>
                <w:b/>
              </w:rPr>
              <w:t>high</w:t>
            </w:r>
          </w:p>
        </w:tc>
        <w:tc>
          <w:tcPr>
            <w:tcW w:w="3081" w:type="dxa"/>
          </w:tcPr>
          <w:p w:rsidR="00343716" w:rsidRDefault="00343716" w:rsidP="00B30185"/>
          <w:p w:rsidR="00343716" w:rsidRPr="009418BB" w:rsidRDefault="00343716" w:rsidP="00B30185">
            <w:r w:rsidRPr="009418BB">
              <w:t>1 (base)</w:t>
            </w:r>
          </w:p>
          <w:p w:rsidR="00343716" w:rsidRPr="00B43A1A" w:rsidRDefault="00343716" w:rsidP="00B30185">
            <w:pPr>
              <w:rPr>
                <w:b/>
              </w:rPr>
            </w:pPr>
            <w:r>
              <w:rPr>
                <w:b/>
              </w:rPr>
              <w:t>0.39 (0.18 to 0.87)</w:t>
            </w:r>
          </w:p>
        </w:tc>
        <w:tc>
          <w:tcPr>
            <w:tcW w:w="3081" w:type="dxa"/>
          </w:tcPr>
          <w:p w:rsidR="00343716" w:rsidRDefault="00343716" w:rsidP="00B30185"/>
          <w:p w:rsidR="00343716" w:rsidRDefault="00343716" w:rsidP="00B30185"/>
          <w:p w:rsidR="00343716" w:rsidRPr="00B43A1A" w:rsidRDefault="00343716" w:rsidP="00B30185">
            <w:pPr>
              <w:rPr>
                <w:b/>
              </w:rPr>
            </w:pPr>
            <w:r>
              <w:rPr>
                <w:b/>
              </w:rPr>
              <w:t>0.021</w:t>
            </w:r>
          </w:p>
        </w:tc>
      </w:tr>
      <w:tr w:rsidR="00343716" w:rsidTr="00B30185">
        <w:tc>
          <w:tcPr>
            <w:tcW w:w="3080" w:type="dxa"/>
          </w:tcPr>
          <w:p w:rsidR="00343716" w:rsidRDefault="00343716" w:rsidP="00B30185">
            <w:r>
              <w:t>Level of care:</w:t>
            </w:r>
          </w:p>
          <w:p w:rsidR="00343716" w:rsidRDefault="00343716" w:rsidP="00B30185">
            <w:pPr>
              <w:pStyle w:val="ListParagraph"/>
              <w:numPr>
                <w:ilvl w:val="0"/>
                <w:numId w:val="1"/>
              </w:numPr>
            </w:pPr>
            <w:r>
              <w:t xml:space="preserve">Daily </w:t>
            </w:r>
          </w:p>
          <w:p w:rsidR="00343716" w:rsidRPr="00DC7D15" w:rsidRDefault="00343716" w:rsidP="00B30185">
            <w:pPr>
              <w:pStyle w:val="ListParagraph"/>
              <w:numPr>
                <w:ilvl w:val="0"/>
                <w:numId w:val="1"/>
              </w:numPr>
            </w:pPr>
            <w:r w:rsidRPr="00DC7D15">
              <w:t>Intermittent</w:t>
            </w:r>
          </w:p>
        </w:tc>
        <w:tc>
          <w:tcPr>
            <w:tcW w:w="3081" w:type="dxa"/>
          </w:tcPr>
          <w:p w:rsidR="00343716" w:rsidRDefault="00343716" w:rsidP="00B30185"/>
          <w:p w:rsidR="00343716" w:rsidRDefault="00343716" w:rsidP="00B30185">
            <w:r>
              <w:t>1 (base)</w:t>
            </w:r>
          </w:p>
          <w:p w:rsidR="00343716" w:rsidRPr="009418BB" w:rsidRDefault="00343716" w:rsidP="00B30185">
            <w:r w:rsidRPr="009418BB">
              <w:t>0.61 (0.24 to 1.55)</w:t>
            </w:r>
          </w:p>
        </w:tc>
        <w:tc>
          <w:tcPr>
            <w:tcW w:w="3081" w:type="dxa"/>
          </w:tcPr>
          <w:p w:rsidR="00343716" w:rsidRDefault="00343716" w:rsidP="00B30185"/>
          <w:p w:rsidR="00343716" w:rsidRDefault="00343716" w:rsidP="00B30185"/>
          <w:p w:rsidR="00343716" w:rsidRPr="009418BB" w:rsidRDefault="00343716" w:rsidP="00B30185">
            <w:r w:rsidRPr="009418BB">
              <w:t>0.299</w:t>
            </w:r>
          </w:p>
        </w:tc>
      </w:tr>
      <w:tr w:rsidR="00343716" w:rsidTr="00B30185">
        <w:tc>
          <w:tcPr>
            <w:tcW w:w="3080" w:type="dxa"/>
          </w:tcPr>
          <w:p w:rsidR="00343716" w:rsidRDefault="00CA1E39" w:rsidP="00B30185">
            <w:r>
              <w:t>Years since death</w:t>
            </w:r>
          </w:p>
        </w:tc>
        <w:tc>
          <w:tcPr>
            <w:tcW w:w="3081" w:type="dxa"/>
          </w:tcPr>
          <w:p w:rsidR="00343716" w:rsidRDefault="00343716" w:rsidP="00B30185">
            <w:r>
              <w:t>0.67 (0.28 to 1.60)</w:t>
            </w:r>
          </w:p>
        </w:tc>
        <w:tc>
          <w:tcPr>
            <w:tcW w:w="3081" w:type="dxa"/>
          </w:tcPr>
          <w:p w:rsidR="00343716" w:rsidRDefault="00343716" w:rsidP="00B30185">
            <w:r>
              <w:t>0.373</w:t>
            </w:r>
          </w:p>
        </w:tc>
      </w:tr>
      <w:tr w:rsidR="00343716" w:rsidTr="00B30185">
        <w:tc>
          <w:tcPr>
            <w:tcW w:w="3080" w:type="dxa"/>
          </w:tcPr>
          <w:p w:rsidR="004E242C" w:rsidRDefault="004E242C" w:rsidP="004E242C">
            <w:r>
              <w:t>Perceived n</w:t>
            </w:r>
            <w:r w:rsidR="00343716">
              <w:t>eeds met</w:t>
            </w:r>
            <w:r>
              <w:t xml:space="preserve"> </w:t>
            </w:r>
            <w:r w:rsidR="00343716">
              <w:t xml:space="preserve">/ </w:t>
            </w:r>
          </w:p>
          <w:p w:rsidR="00343716" w:rsidRDefault="00343716" w:rsidP="004E242C">
            <w:r>
              <w:t>had enough support</w:t>
            </w:r>
          </w:p>
        </w:tc>
        <w:tc>
          <w:tcPr>
            <w:tcW w:w="3081" w:type="dxa"/>
          </w:tcPr>
          <w:p w:rsidR="00343716" w:rsidRDefault="00343716" w:rsidP="00B30185">
            <w:r>
              <w:t>0.42 (0.15 to 1.13)</w:t>
            </w:r>
          </w:p>
        </w:tc>
        <w:tc>
          <w:tcPr>
            <w:tcW w:w="3081" w:type="dxa"/>
          </w:tcPr>
          <w:p w:rsidR="00343716" w:rsidRDefault="00343716" w:rsidP="00B30185">
            <w:r>
              <w:t>0.084</w:t>
            </w:r>
          </w:p>
        </w:tc>
      </w:tr>
      <w:tr w:rsidR="00343716" w:rsidTr="00B30185">
        <w:tc>
          <w:tcPr>
            <w:tcW w:w="3080" w:type="dxa"/>
          </w:tcPr>
          <w:p w:rsidR="00343716" w:rsidRDefault="00343716" w:rsidP="00B30185">
            <w:r>
              <w:t>Cancer diagnosis</w:t>
            </w:r>
          </w:p>
          <w:p w:rsidR="00343716" w:rsidRDefault="00343716" w:rsidP="00B30185">
            <w:pPr>
              <w:pStyle w:val="ListParagraph"/>
              <w:numPr>
                <w:ilvl w:val="0"/>
                <w:numId w:val="1"/>
              </w:numPr>
            </w:pPr>
            <w:r>
              <w:t xml:space="preserve">No </w:t>
            </w:r>
          </w:p>
          <w:p w:rsidR="00343716" w:rsidRDefault="00343716" w:rsidP="00B30185">
            <w:pPr>
              <w:pStyle w:val="ListParagraph"/>
              <w:numPr>
                <w:ilvl w:val="0"/>
                <w:numId w:val="1"/>
              </w:numPr>
            </w:pPr>
            <w:r>
              <w:t>Yes</w:t>
            </w:r>
          </w:p>
        </w:tc>
        <w:tc>
          <w:tcPr>
            <w:tcW w:w="3081" w:type="dxa"/>
          </w:tcPr>
          <w:p w:rsidR="00343716" w:rsidRDefault="00343716" w:rsidP="00B30185"/>
          <w:p w:rsidR="00343716" w:rsidRDefault="00343716" w:rsidP="00B30185">
            <w:r>
              <w:t>1 (base)</w:t>
            </w:r>
          </w:p>
          <w:p w:rsidR="00343716" w:rsidRDefault="00343716" w:rsidP="00B30185">
            <w:r>
              <w:t>1.46 (0.56 to 3.78)</w:t>
            </w:r>
          </w:p>
        </w:tc>
        <w:tc>
          <w:tcPr>
            <w:tcW w:w="3081" w:type="dxa"/>
          </w:tcPr>
          <w:p w:rsidR="00343716" w:rsidRDefault="00343716" w:rsidP="00B30185"/>
          <w:p w:rsidR="00343716" w:rsidRDefault="00343716" w:rsidP="00B30185"/>
          <w:p w:rsidR="00343716" w:rsidRDefault="00343716" w:rsidP="00B30185">
            <w:r>
              <w:t>0.438</w:t>
            </w:r>
          </w:p>
        </w:tc>
      </w:tr>
      <w:tr w:rsidR="00343716" w:rsidTr="00B30185">
        <w:tc>
          <w:tcPr>
            <w:tcW w:w="3080" w:type="dxa"/>
          </w:tcPr>
          <w:p w:rsidR="00343716" w:rsidRDefault="00343716" w:rsidP="00B30185">
            <w:r>
              <w:t>Palliative care service used</w:t>
            </w:r>
          </w:p>
        </w:tc>
        <w:tc>
          <w:tcPr>
            <w:tcW w:w="3081" w:type="dxa"/>
          </w:tcPr>
          <w:p w:rsidR="00343716" w:rsidRDefault="00343716" w:rsidP="00B30185">
            <w:r>
              <w:t>1.01 (0.45 to 2.28)</w:t>
            </w:r>
          </w:p>
        </w:tc>
        <w:tc>
          <w:tcPr>
            <w:tcW w:w="3081" w:type="dxa"/>
          </w:tcPr>
          <w:p w:rsidR="00343716" w:rsidRDefault="00343716" w:rsidP="00B30185">
            <w:r>
              <w:t>0.972</w:t>
            </w:r>
          </w:p>
        </w:tc>
      </w:tr>
    </w:tbl>
    <w:p w:rsidR="00343716" w:rsidRDefault="00343716"/>
    <w:p w:rsidR="00343716" w:rsidRDefault="00343716">
      <w:r>
        <w:br w:type="page"/>
      </w:r>
    </w:p>
    <w:p w:rsidR="006A0577" w:rsidRPr="00122236" w:rsidRDefault="00343716" w:rsidP="006A0577">
      <w:pPr>
        <w:rPr>
          <w:b/>
        </w:rPr>
      </w:pPr>
      <w:r w:rsidRPr="000008A6">
        <w:rPr>
          <w:b/>
        </w:rPr>
        <w:lastRenderedPageBreak/>
        <w:t xml:space="preserve">Table 5 - </w:t>
      </w:r>
      <w:r w:rsidR="006A0577" w:rsidRPr="000008A6">
        <w:rPr>
          <w:b/>
        </w:rPr>
        <w:t>Characteristics</w:t>
      </w:r>
      <w:r w:rsidR="006A0577" w:rsidRPr="00122236">
        <w:rPr>
          <w:b/>
        </w:rPr>
        <w:t xml:space="preserve"> </w:t>
      </w:r>
      <w:r w:rsidR="006A0577">
        <w:rPr>
          <w:b/>
        </w:rPr>
        <w:t xml:space="preserve">identified through multivariable logistic regression </w:t>
      </w:r>
      <w:r w:rsidR="006A0577" w:rsidRPr="00122236">
        <w:rPr>
          <w:b/>
        </w:rPr>
        <w:t xml:space="preserve">reported as odds ratios </w:t>
      </w:r>
      <w:r w:rsidR="006A0577">
        <w:rPr>
          <w:b/>
        </w:rPr>
        <w:t xml:space="preserve">(95% CI) </w:t>
      </w:r>
      <w:r w:rsidR="006A0577" w:rsidRPr="00122236">
        <w:rPr>
          <w:b/>
        </w:rPr>
        <w:t>of hands-on caregivers having</w:t>
      </w:r>
      <w:r w:rsidR="006A0577">
        <w:rPr>
          <w:b/>
        </w:rPr>
        <w:t xml:space="preserve"> </w:t>
      </w:r>
      <w:r w:rsidR="006A0577" w:rsidRPr="00122236">
        <w:rPr>
          <w:b/>
          <w:i/>
        </w:rPr>
        <w:t>moved on</w:t>
      </w:r>
      <w:r w:rsidR="006A0577" w:rsidRPr="00122236">
        <w:rPr>
          <w:b/>
        </w:rPr>
        <w:t xml:space="preserve"> 13 -</w:t>
      </w:r>
      <w:r w:rsidR="006A0577">
        <w:rPr>
          <w:b/>
        </w:rPr>
        <w:t>24</w:t>
      </w:r>
      <w:r w:rsidR="006A0577" w:rsidRPr="00122236">
        <w:rPr>
          <w:b/>
        </w:rPr>
        <w:t xml:space="preserve"> months after the death of the care recipient</w:t>
      </w:r>
      <w:r w:rsidR="006A0577">
        <w:rPr>
          <w:b/>
        </w:rPr>
        <w:t xml:space="preserve"> (</w:t>
      </w:r>
      <w:r w:rsidR="006A0577" w:rsidRPr="00D61DF8">
        <w:rPr>
          <w:b/>
        </w:rPr>
        <w:t>n=</w:t>
      </w:r>
      <w:r w:rsidR="000008A6" w:rsidRPr="00D61DF8">
        <w:rPr>
          <w:b/>
        </w:rPr>
        <w:t>228</w:t>
      </w:r>
      <w:r w:rsidR="006A0577" w:rsidRPr="00D61DF8">
        <w:rPr>
          <w:b/>
        </w:rPr>
        <w:t>)</w:t>
      </w:r>
      <w:r w:rsidR="006A0577" w:rsidRPr="00122236">
        <w:rPr>
          <w:b/>
        </w:rPr>
        <w:t xml:space="preserve"> </w:t>
      </w:r>
    </w:p>
    <w:tbl>
      <w:tblPr>
        <w:tblStyle w:val="TableGrid"/>
        <w:tblW w:w="0" w:type="auto"/>
        <w:tblLook w:val="04A0" w:firstRow="1" w:lastRow="0" w:firstColumn="1" w:lastColumn="0" w:noHBand="0" w:noVBand="1"/>
      </w:tblPr>
      <w:tblGrid>
        <w:gridCol w:w="3121"/>
        <w:gridCol w:w="3065"/>
        <w:gridCol w:w="3056"/>
      </w:tblGrid>
      <w:tr w:rsidR="00343716" w:rsidTr="00B30185">
        <w:trPr>
          <w:trHeight w:val="557"/>
        </w:trPr>
        <w:tc>
          <w:tcPr>
            <w:tcW w:w="3121" w:type="dxa"/>
          </w:tcPr>
          <w:p w:rsidR="00343716" w:rsidRDefault="00343716" w:rsidP="00B30185"/>
        </w:tc>
        <w:tc>
          <w:tcPr>
            <w:tcW w:w="3065" w:type="dxa"/>
          </w:tcPr>
          <w:p w:rsidR="00343716" w:rsidRDefault="00343716" w:rsidP="00B30185">
            <w:r>
              <w:t>MULTIVARIABLE OR (95% CI)</w:t>
            </w:r>
          </w:p>
        </w:tc>
        <w:tc>
          <w:tcPr>
            <w:tcW w:w="3056" w:type="dxa"/>
          </w:tcPr>
          <w:p w:rsidR="00343716" w:rsidRDefault="00343716" w:rsidP="00B30185">
            <w:r>
              <w:t>P-value</w:t>
            </w:r>
          </w:p>
        </w:tc>
      </w:tr>
      <w:tr w:rsidR="00343716" w:rsidTr="00B30185">
        <w:tc>
          <w:tcPr>
            <w:tcW w:w="3121" w:type="dxa"/>
          </w:tcPr>
          <w:p w:rsidR="00343716" w:rsidRDefault="00343716" w:rsidP="00B30185">
            <w:r>
              <w:t>Males</w:t>
            </w:r>
          </w:p>
          <w:p w:rsidR="00343716" w:rsidRDefault="00343716" w:rsidP="00B30185">
            <w:r>
              <w:tab/>
              <w:t xml:space="preserve">Not educated </w:t>
            </w:r>
          </w:p>
          <w:p w:rsidR="00343716" w:rsidRDefault="00343716" w:rsidP="00B30185">
            <w:r>
              <w:tab/>
              <w:t>Educated</w:t>
            </w:r>
          </w:p>
        </w:tc>
        <w:tc>
          <w:tcPr>
            <w:tcW w:w="3065" w:type="dxa"/>
          </w:tcPr>
          <w:p w:rsidR="00343716" w:rsidRDefault="00343716" w:rsidP="00B30185"/>
          <w:p w:rsidR="00343716" w:rsidRDefault="00343716" w:rsidP="00B30185">
            <w:r>
              <w:t>1 (ref.)</w:t>
            </w:r>
          </w:p>
          <w:p w:rsidR="00343716" w:rsidRPr="00187709" w:rsidRDefault="00343716" w:rsidP="00B30185">
            <w:pPr>
              <w:rPr>
                <w:b/>
              </w:rPr>
            </w:pPr>
            <w:r>
              <w:rPr>
                <w:b/>
              </w:rPr>
              <w:t>3.00 (1.05 to</w:t>
            </w:r>
            <w:r w:rsidRPr="00187709">
              <w:rPr>
                <w:b/>
              </w:rPr>
              <w:t xml:space="preserve"> 8.58)</w:t>
            </w:r>
          </w:p>
        </w:tc>
        <w:tc>
          <w:tcPr>
            <w:tcW w:w="3056" w:type="dxa"/>
          </w:tcPr>
          <w:p w:rsidR="00343716" w:rsidRDefault="00343716" w:rsidP="00B30185"/>
          <w:p w:rsidR="00343716" w:rsidRDefault="00343716" w:rsidP="00B30185"/>
          <w:p w:rsidR="00343716" w:rsidRPr="00187709" w:rsidRDefault="00343716" w:rsidP="00B30185">
            <w:pPr>
              <w:rPr>
                <w:b/>
              </w:rPr>
            </w:pPr>
            <w:r w:rsidRPr="00187709">
              <w:rPr>
                <w:b/>
              </w:rPr>
              <w:t>0.04</w:t>
            </w:r>
          </w:p>
        </w:tc>
      </w:tr>
      <w:tr w:rsidR="00343716" w:rsidTr="00B30185">
        <w:tc>
          <w:tcPr>
            <w:tcW w:w="3121" w:type="dxa"/>
          </w:tcPr>
          <w:p w:rsidR="00343716" w:rsidRDefault="00343716" w:rsidP="00B30185">
            <w:r>
              <w:t>Females</w:t>
            </w:r>
          </w:p>
          <w:p w:rsidR="00343716" w:rsidRDefault="00343716" w:rsidP="00B30185">
            <w:r>
              <w:tab/>
              <w:t xml:space="preserve">Not educated </w:t>
            </w:r>
          </w:p>
          <w:p w:rsidR="00343716" w:rsidRDefault="00343716" w:rsidP="00B30185">
            <w:r>
              <w:tab/>
              <w:t>Educated</w:t>
            </w:r>
          </w:p>
        </w:tc>
        <w:tc>
          <w:tcPr>
            <w:tcW w:w="3065" w:type="dxa"/>
          </w:tcPr>
          <w:p w:rsidR="00343716" w:rsidRDefault="00343716" w:rsidP="00B30185"/>
          <w:p w:rsidR="00343716" w:rsidRDefault="00343716" w:rsidP="00B30185">
            <w:r>
              <w:t>1(ref.)</w:t>
            </w:r>
          </w:p>
          <w:p w:rsidR="00343716" w:rsidRDefault="00343716" w:rsidP="00B30185">
            <w:r>
              <w:t>0.86 (0.43 to 1.72)</w:t>
            </w:r>
          </w:p>
        </w:tc>
        <w:tc>
          <w:tcPr>
            <w:tcW w:w="3056" w:type="dxa"/>
          </w:tcPr>
          <w:p w:rsidR="00343716" w:rsidRDefault="00343716" w:rsidP="00B30185"/>
          <w:p w:rsidR="00343716" w:rsidRDefault="00343716" w:rsidP="00B30185"/>
          <w:p w:rsidR="00343716" w:rsidRDefault="00343716" w:rsidP="00B30185">
            <w:r>
              <w:t>0.66</w:t>
            </w:r>
          </w:p>
        </w:tc>
      </w:tr>
      <w:tr w:rsidR="00343716" w:rsidTr="00B30185">
        <w:tc>
          <w:tcPr>
            <w:tcW w:w="3121" w:type="dxa"/>
          </w:tcPr>
          <w:p w:rsidR="00343716" w:rsidRPr="00B43A1A" w:rsidRDefault="00343716" w:rsidP="00B30185">
            <w:pPr>
              <w:rPr>
                <w:b/>
              </w:rPr>
            </w:pPr>
            <w:r w:rsidRPr="00B43A1A">
              <w:rPr>
                <w:b/>
              </w:rPr>
              <w:t>Age&gt;65</w:t>
            </w:r>
          </w:p>
        </w:tc>
        <w:tc>
          <w:tcPr>
            <w:tcW w:w="3065" w:type="dxa"/>
          </w:tcPr>
          <w:p w:rsidR="00343716" w:rsidRPr="00B43A1A" w:rsidRDefault="00343716" w:rsidP="00B30185">
            <w:pPr>
              <w:rPr>
                <w:b/>
              </w:rPr>
            </w:pPr>
            <w:r>
              <w:rPr>
                <w:b/>
              </w:rPr>
              <w:t>2.47 (1.10 to 5.54)</w:t>
            </w:r>
          </w:p>
        </w:tc>
        <w:tc>
          <w:tcPr>
            <w:tcW w:w="3056" w:type="dxa"/>
          </w:tcPr>
          <w:p w:rsidR="00343716" w:rsidRPr="00B43A1A" w:rsidRDefault="00343716" w:rsidP="00B30185">
            <w:pPr>
              <w:rPr>
                <w:b/>
              </w:rPr>
            </w:pPr>
            <w:r>
              <w:rPr>
                <w:b/>
              </w:rPr>
              <w:t>0.029</w:t>
            </w:r>
          </w:p>
        </w:tc>
      </w:tr>
      <w:tr w:rsidR="00343716" w:rsidTr="00B30185">
        <w:tc>
          <w:tcPr>
            <w:tcW w:w="3121" w:type="dxa"/>
          </w:tcPr>
          <w:p w:rsidR="00343716" w:rsidRDefault="00343716" w:rsidP="00B30185">
            <w:r>
              <w:t>English speaking background</w:t>
            </w:r>
          </w:p>
        </w:tc>
        <w:tc>
          <w:tcPr>
            <w:tcW w:w="3065" w:type="dxa"/>
          </w:tcPr>
          <w:p w:rsidR="00343716" w:rsidRDefault="00343716" w:rsidP="00B30185">
            <w:r>
              <w:t>1.03 (0.40 to 2.66)</w:t>
            </w:r>
          </w:p>
        </w:tc>
        <w:tc>
          <w:tcPr>
            <w:tcW w:w="3056" w:type="dxa"/>
          </w:tcPr>
          <w:p w:rsidR="00343716" w:rsidRDefault="00343716" w:rsidP="00B30185">
            <w:r>
              <w:t>0.947</w:t>
            </w:r>
          </w:p>
        </w:tc>
      </w:tr>
      <w:tr w:rsidR="00343716" w:rsidTr="00B30185">
        <w:tc>
          <w:tcPr>
            <w:tcW w:w="3121" w:type="dxa"/>
          </w:tcPr>
          <w:p w:rsidR="00343716" w:rsidRDefault="00343716" w:rsidP="00B30185">
            <w:r>
              <w:t>Relationship</w:t>
            </w:r>
          </w:p>
          <w:p w:rsidR="00343716" w:rsidRDefault="00343716" w:rsidP="00B30185">
            <w:pPr>
              <w:pStyle w:val="ListParagraph"/>
              <w:numPr>
                <w:ilvl w:val="0"/>
                <w:numId w:val="1"/>
              </w:numPr>
            </w:pPr>
            <w:r>
              <w:t>Spouse</w:t>
            </w:r>
          </w:p>
          <w:p w:rsidR="00343716" w:rsidRPr="00B43A1A" w:rsidRDefault="00343716" w:rsidP="00B30185">
            <w:pPr>
              <w:pStyle w:val="ListParagraph"/>
              <w:numPr>
                <w:ilvl w:val="0"/>
                <w:numId w:val="1"/>
              </w:numPr>
              <w:rPr>
                <w:b/>
              </w:rPr>
            </w:pPr>
            <w:r w:rsidRPr="00B43A1A">
              <w:rPr>
                <w:b/>
              </w:rPr>
              <w:t>Parent/child/sibling</w:t>
            </w:r>
          </w:p>
          <w:p w:rsidR="00343716" w:rsidRPr="00B43A1A" w:rsidRDefault="00343716" w:rsidP="00B30185">
            <w:pPr>
              <w:pStyle w:val="ListParagraph"/>
              <w:numPr>
                <w:ilvl w:val="0"/>
                <w:numId w:val="1"/>
              </w:numPr>
              <w:rPr>
                <w:b/>
              </w:rPr>
            </w:pPr>
            <w:r w:rsidRPr="00B43A1A">
              <w:rPr>
                <w:b/>
              </w:rPr>
              <w:t>Other</w:t>
            </w:r>
          </w:p>
        </w:tc>
        <w:tc>
          <w:tcPr>
            <w:tcW w:w="3065" w:type="dxa"/>
          </w:tcPr>
          <w:p w:rsidR="00343716" w:rsidRDefault="00343716" w:rsidP="00B30185"/>
          <w:p w:rsidR="00343716" w:rsidRPr="008431DD" w:rsidRDefault="00343716" w:rsidP="00B30185">
            <w:r w:rsidRPr="008431DD">
              <w:t>1 (</w:t>
            </w:r>
            <w:r>
              <w:t>ref.</w:t>
            </w:r>
            <w:r w:rsidRPr="008431DD">
              <w:t>)</w:t>
            </w:r>
          </w:p>
          <w:p w:rsidR="00343716" w:rsidRDefault="00343716" w:rsidP="00B30185">
            <w:pPr>
              <w:rPr>
                <w:b/>
              </w:rPr>
            </w:pPr>
            <w:r>
              <w:rPr>
                <w:b/>
              </w:rPr>
              <w:t>3.09 (1.30 to 7.34)</w:t>
            </w:r>
          </w:p>
          <w:p w:rsidR="00343716" w:rsidRPr="00B43A1A" w:rsidRDefault="00343716" w:rsidP="00B30185">
            <w:pPr>
              <w:rPr>
                <w:b/>
              </w:rPr>
            </w:pPr>
            <w:r>
              <w:rPr>
                <w:b/>
              </w:rPr>
              <w:t>6.32 (2.44 to 16.32)</w:t>
            </w:r>
          </w:p>
        </w:tc>
        <w:tc>
          <w:tcPr>
            <w:tcW w:w="3056" w:type="dxa"/>
          </w:tcPr>
          <w:p w:rsidR="00343716" w:rsidRDefault="00343716" w:rsidP="00B30185"/>
          <w:p w:rsidR="00343716" w:rsidRDefault="00343716" w:rsidP="00B30185"/>
          <w:p w:rsidR="00343716" w:rsidRPr="00B43A1A" w:rsidRDefault="00343716" w:rsidP="00B30185">
            <w:pPr>
              <w:rPr>
                <w:b/>
              </w:rPr>
            </w:pPr>
            <w:r>
              <w:rPr>
                <w:b/>
              </w:rPr>
              <w:t>0.011</w:t>
            </w:r>
          </w:p>
          <w:p w:rsidR="00343716" w:rsidRPr="00B43A1A" w:rsidRDefault="00343716" w:rsidP="00B30185">
            <w:pPr>
              <w:rPr>
                <w:b/>
              </w:rPr>
            </w:pPr>
            <w:r>
              <w:rPr>
                <w:b/>
              </w:rPr>
              <w:t>&lt;0.001</w:t>
            </w:r>
          </w:p>
        </w:tc>
      </w:tr>
      <w:tr w:rsidR="00343716" w:rsidTr="00B30185">
        <w:tc>
          <w:tcPr>
            <w:tcW w:w="3121" w:type="dxa"/>
          </w:tcPr>
          <w:p w:rsidR="00343716" w:rsidRDefault="00343716" w:rsidP="00B30185">
            <w:r>
              <w:t>SEIFA:</w:t>
            </w:r>
          </w:p>
          <w:p w:rsidR="00343716" w:rsidRDefault="00343716" w:rsidP="00B30185">
            <w:pPr>
              <w:pStyle w:val="ListParagraph"/>
              <w:numPr>
                <w:ilvl w:val="0"/>
                <w:numId w:val="1"/>
              </w:numPr>
            </w:pPr>
            <w:r>
              <w:t>low</w:t>
            </w:r>
          </w:p>
          <w:p w:rsidR="00343716" w:rsidRPr="00B43A1A" w:rsidRDefault="00343716" w:rsidP="00B30185">
            <w:pPr>
              <w:pStyle w:val="ListParagraph"/>
              <w:numPr>
                <w:ilvl w:val="0"/>
                <w:numId w:val="1"/>
              </w:numPr>
              <w:rPr>
                <w:b/>
              </w:rPr>
            </w:pPr>
            <w:r w:rsidRPr="00B43A1A">
              <w:rPr>
                <w:b/>
              </w:rPr>
              <w:t>high</w:t>
            </w:r>
          </w:p>
        </w:tc>
        <w:tc>
          <w:tcPr>
            <w:tcW w:w="3065" w:type="dxa"/>
          </w:tcPr>
          <w:p w:rsidR="00343716" w:rsidRDefault="00343716" w:rsidP="00B30185"/>
          <w:p w:rsidR="00343716" w:rsidRDefault="00343716" w:rsidP="00B30185">
            <w:r>
              <w:t>1 (ref.)</w:t>
            </w:r>
          </w:p>
          <w:p w:rsidR="00343716" w:rsidRPr="00B43A1A" w:rsidRDefault="00343716" w:rsidP="00B30185">
            <w:pPr>
              <w:rPr>
                <w:b/>
              </w:rPr>
            </w:pPr>
            <w:r>
              <w:rPr>
                <w:b/>
              </w:rPr>
              <w:t>1.86 (1.05 to 3.30)</w:t>
            </w:r>
          </w:p>
        </w:tc>
        <w:tc>
          <w:tcPr>
            <w:tcW w:w="3056" w:type="dxa"/>
          </w:tcPr>
          <w:p w:rsidR="00343716" w:rsidRDefault="00343716" w:rsidP="00B30185"/>
          <w:p w:rsidR="00343716" w:rsidRDefault="00343716" w:rsidP="00B30185"/>
          <w:p w:rsidR="00343716" w:rsidRPr="00B43A1A" w:rsidRDefault="00343716" w:rsidP="00B30185">
            <w:pPr>
              <w:rPr>
                <w:b/>
              </w:rPr>
            </w:pPr>
            <w:r>
              <w:rPr>
                <w:b/>
              </w:rPr>
              <w:t>0.034</w:t>
            </w:r>
          </w:p>
        </w:tc>
      </w:tr>
      <w:tr w:rsidR="00343716" w:rsidTr="00B30185">
        <w:tc>
          <w:tcPr>
            <w:tcW w:w="3121" w:type="dxa"/>
          </w:tcPr>
          <w:p w:rsidR="00343716" w:rsidRDefault="00343716" w:rsidP="00B30185">
            <w:r>
              <w:t>Level of care:</w:t>
            </w:r>
          </w:p>
          <w:p w:rsidR="00343716" w:rsidRDefault="00343716" w:rsidP="00B30185">
            <w:pPr>
              <w:pStyle w:val="ListParagraph"/>
              <w:numPr>
                <w:ilvl w:val="0"/>
                <w:numId w:val="1"/>
              </w:numPr>
            </w:pPr>
            <w:r>
              <w:t xml:space="preserve">Daily </w:t>
            </w:r>
          </w:p>
          <w:p w:rsidR="00343716" w:rsidRPr="00B43A1A" w:rsidRDefault="00343716" w:rsidP="00B30185">
            <w:pPr>
              <w:pStyle w:val="ListParagraph"/>
              <w:numPr>
                <w:ilvl w:val="0"/>
                <w:numId w:val="1"/>
              </w:numPr>
              <w:rPr>
                <w:b/>
              </w:rPr>
            </w:pPr>
            <w:r w:rsidRPr="00B43A1A">
              <w:rPr>
                <w:b/>
              </w:rPr>
              <w:t>Intermittent</w:t>
            </w:r>
          </w:p>
        </w:tc>
        <w:tc>
          <w:tcPr>
            <w:tcW w:w="3065" w:type="dxa"/>
          </w:tcPr>
          <w:p w:rsidR="00343716" w:rsidRDefault="00343716" w:rsidP="00B30185"/>
          <w:p w:rsidR="00343716" w:rsidRPr="008431DD" w:rsidRDefault="00343716" w:rsidP="00B30185">
            <w:r w:rsidRPr="008431DD">
              <w:t>1 (</w:t>
            </w:r>
            <w:r>
              <w:t>ref.</w:t>
            </w:r>
            <w:r w:rsidRPr="008431DD">
              <w:t>)</w:t>
            </w:r>
          </w:p>
          <w:p w:rsidR="00343716" w:rsidRPr="00B43A1A" w:rsidRDefault="00343716" w:rsidP="00B30185">
            <w:pPr>
              <w:rPr>
                <w:b/>
              </w:rPr>
            </w:pPr>
            <w:r>
              <w:rPr>
                <w:b/>
              </w:rPr>
              <w:t>2.23 (1.13 to 4.41)</w:t>
            </w:r>
          </w:p>
        </w:tc>
        <w:tc>
          <w:tcPr>
            <w:tcW w:w="3056" w:type="dxa"/>
          </w:tcPr>
          <w:p w:rsidR="00343716" w:rsidRDefault="00343716" w:rsidP="00B30185"/>
          <w:p w:rsidR="00343716" w:rsidRDefault="00343716" w:rsidP="00B30185"/>
          <w:p w:rsidR="00343716" w:rsidRPr="00B43A1A" w:rsidRDefault="00343716" w:rsidP="00B30185">
            <w:pPr>
              <w:rPr>
                <w:b/>
              </w:rPr>
            </w:pPr>
            <w:r>
              <w:rPr>
                <w:b/>
              </w:rPr>
              <w:t>0.021</w:t>
            </w:r>
          </w:p>
        </w:tc>
      </w:tr>
      <w:tr w:rsidR="00343716" w:rsidTr="00B30185">
        <w:tc>
          <w:tcPr>
            <w:tcW w:w="3121" w:type="dxa"/>
          </w:tcPr>
          <w:p w:rsidR="004E242C" w:rsidRDefault="004E242C" w:rsidP="004E242C">
            <w:r>
              <w:t>Perceived n</w:t>
            </w:r>
            <w:r w:rsidR="00343716">
              <w:t>eeds met</w:t>
            </w:r>
            <w:r>
              <w:t xml:space="preserve"> </w:t>
            </w:r>
            <w:r w:rsidR="00343716">
              <w:t xml:space="preserve">/ </w:t>
            </w:r>
          </w:p>
          <w:p w:rsidR="00343716" w:rsidRDefault="00343716" w:rsidP="004E242C">
            <w:r>
              <w:t>had enough support</w:t>
            </w:r>
          </w:p>
        </w:tc>
        <w:tc>
          <w:tcPr>
            <w:tcW w:w="3065" w:type="dxa"/>
          </w:tcPr>
          <w:p w:rsidR="00343716" w:rsidRDefault="00343716" w:rsidP="00B30185">
            <w:r>
              <w:t>1.78 (0.93 to 3.44)</w:t>
            </w:r>
          </w:p>
        </w:tc>
        <w:tc>
          <w:tcPr>
            <w:tcW w:w="3056" w:type="dxa"/>
          </w:tcPr>
          <w:p w:rsidR="00343716" w:rsidRDefault="00343716" w:rsidP="00B30185">
            <w:r>
              <w:t>0.083</w:t>
            </w:r>
          </w:p>
        </w:tc>
      </w:tr>
      <w:tr w:rsidR="00343716" w:rsidTr="00B30185">
        <w:tc>
          <w:tcPr>
            <w:tcW w:w="3121" w:type="dxa"/>
          </w:tcPr>
          <w:p w:rsidR="00343716" w:rsidRDefault="00343716" w:rsidP="00B30185">
            <w:r>
              <w:t>Cancer diagnosis</w:t>
            </w:r>
          </w:p>
          <w:p w:rsidR="00343716" w:rsidRDefault="00343716" w:rsidP="00B30185">
            <w:pPr>
              <w:pStyle w:val="ListParagraph"/>
              <w:numPr>
                <w:ilvl w:val="0"/>
                <w:numId w:val="1"/>
              </w:numPr>
            </w:pPr>
            <w:r>
              <w:t>No</w:t>
            </w:r>
          </w:p>
          <w:p w:rsidR="00343716" w:rsidRDefault="00343716" w:rsidP="00B30185">
            <w:pPr>
              <w:pStyle w:val="ListParagraph"/>
              <w:numPr>
                <w:ilvl w:val="0"/>
                <w:numId w:val="1"/>
              </w:numPr>
            </w:pPr>
            <w:r>
              <w:t>Yes</w:t>
            </w:r>
          </w:p>
        </w:tc>
        <w:tc>
          <w:tcPr>
            <w:tcW w:w="3065" w:type="dxa"/>
          </w:tcPr>
          <w:p w:rsidR="00343716" w:rsidRDefault="00343716" w:rsidP="00B30185"/>
          <w:p w:rsidR="00343716" w:rsidRDefault="00343716" w:rsidP="00B30185">
            <w:r>
              <w:t>1 (ref.)</w:t>
            </w:r>
          </w:p>
          <w:p w:rsidR="00343716" w:rsidRDefault="00343716" w:rsidP="00B30185">
            <w:r>
              <w:t>0.61 (0.30 to 1.25)</w:t>
            </w:r>
          </w:p>
        </w:tc>
        <w:tc>
          <w:tcPr>
            <w:tcW w:w="3056" w:type="dxa"/>
          </w:tcPr>
          <w:p w:rsidR="00343716" w:rsidRDefault="00343716" w:rsidP="00B30185"/>
          <w:p w:rsidR="00343716" w:rsidRDefault="00343716" w:rsidP="00B30185"/>
          <w:p w:rsidR="00343716" w:rsidRDefault="00343716" w:rsidP="00B30185">
            <w:r>
              <w:t>0.176</w:t>
            </w:r>
          </w:p>
        </w:tc>
      </w:tr>
      <w:tr w:rsidR="00343716" w:rsidTr="00B30185">
        <w:tc>
          <w:tcPr>
            <w:tcW w:w="3121" w:type="dxa"/>
          </w:tcPr>
          <w:p w:rsidR="00343716" w:rsidRDefault="00343716" w:rsidP="00B30185">
            <w:r>
              <w:t>Palliative care service used</w:t>
            </w:r>
          </w:p>
        </w:tc>
        <w:tc>
          <w:tcPr>
            <w:tcW w:w="3065" w:type="dxa"/>
          </w:tcPr>
          <w:p w:rsidR="00343716" w:rsidRDefault="00343716" w:rsidP="00B30185">
            <w:r>
              <w:t>1.13 (0.61 to 2.07)</w:t>
            </w:r>
          </w:p>
        </w:tc>
        <w:tc>
          <w:tcPr>
            <w:tcW w:w="3056" w:type="dxa"/>
          </w:tcPr>
          <w:p w:rsidR="00343716" w:rsidRDefault="00343716" w:rsidP="00B30185">
            <w:r>
              <w:t>0.702</w:t>
            </w:r>
          </w:p>
        </w:tc>
      </w:tr>
    </w:tbl>
    <w:p w:rsidR="00343716" w:rsidRDefault="00343716"/>
    <w:p w:rsidR="00DD0690" w:rsidRDefault="00DD0690"/>
    <w:sectPr w:rsidR="00DD0690" w:rsidSect="002A5E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BEB" w:rsidRDefault="005C2BEB" w:rsidP="000821F3">
      <w:pPr>
        <w:spacing w:after="0" w:line="240" w:lineRule="auto"/>
      </w:pPr>
      <w:r>
        <w:separator/>
      </w:r>
    </w:p>
  </w:endnote>
  <w:endnote w:type="continuationSeparator" w:id="0">
    <w:p w:rsidR="005C2BEB" w:rsidRDefault="005C2BEB" w:rsidP="00082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BEB" w:rsidRDefault="005C2BEB" w:rsidP="000821F3">
      <w:pPr>
        <w:spacing w:after="0" w:line="240" w:lineRule="auto"/>
      </w:pPr>
      <w:r>
        <w:separator/>
      </w:r>
    </w:p>
  </w:footnote>
  <w:footnote w:type="continuationSeparator" w:id="0">
    <w:p w:rsidR="005C2BEB" w:rsidRDefault="005C2BEB" w:rsidP="000821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269F"/>
    <w:multiLevelType w:val="hybridMultilevel"/>
    <w:tmpl w:val="B45A5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D43367"/>
    <w:multiLevelType w:val="hybridMultilevel"/>
    <w:tmpl w:val="867EF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1E01EC7"/>
    <w:multiLevelType w:val="hybridMultilevel"/>
    <w:tmpl w:val="B032F76A"/>
    <w:lvl w:ilvl="0" w:tplc="554A744A">
      <w:start w:val="1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F066EBA"/>
    <w:multiLevelType w:val="hybridMultilevel"/>
    <w:tmpl w:val="5E5A2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5E5"/>
    <w:rsid w:val="000008A6"/>
    <w:rsid w:val="000014E7"/>
    <w:rsid w:val="00002790"/>
    <w:rsid w:val="000043B3"/>
    <w:rsid w:val="0001029A"/>
    <w:rsid w:val="0002096A"/>
    <w:rsid w:val="00021294"/>
    <w:rsid w:val="000223F3"/>
    <w:rsid w:val="00023176"/>
    <w:rsid w:val="00024E1B"/>
    <w:rsid w:val="00024F4C"/>
    <w:rsid w:val="00030777"/>
    <w:rsid w:val="00032CA9"/>
    <w:rsid w:val="00032E11"/>
    <w:rsid w:val="00033F41"/>
    <w:rsid w:val="000341C3"/>
    <w:rsid w:val="00034FFC"/>
    <w:rsid w:val="00037403"/>
    <w:rsid w:val="00041077"/>
    <w:rsid w:val="000411C3"/>
    <w:rsid w:val="0004149F"/>
    <w:rsid w:val="00042856"/>
    <w:rsid w:val="00043988"/>
    <w:rsid w:val="00050006"/>
    <w:rsid w:val="00052B72"/>
    <w:rsid w:val="00053ED7"/>
    <w:rsid w:val="00054DEB"/>
    <w:rsid w:val="00055CC2"/>
    <w:rsid w:val="00056218"/>
    <w:rsid w:val="00060464"/>
    <w:rsid w:val="00060968"/>
    <w:rsid w:val="000617EC"/>
    <w:rsid w:val="000619AC"/>
    <w:rsid w:val="00063693"/>
    <w:rsid w:val="00073254"/>
    <w:rsid w:val="000736D2"/>
    <w:rsid w:val="00073B32"/>
    <w:rsid w:val="00074445"/>
    <w:rsid w:val="00074DDA"/>
    <w:rsid w:val="00076FAF"/>
    <w:rsid w:val="00077832"/>
    <w:rsid w:val="00081236"/>
    <w:rsid w:val="000821F3"/>
    <w:rsid w:val="000830B7"/>
    <w:rsid w:val="00085FA8"/>
    <w:rsid w:val="00087881"/>
    <w:rsid w:val="000A1C8A"/>
    <w:rsid w:val="000A26A5"/>
    <w:rsid w:val="000A2A44"/>
    <w:rsid w:val="000A3A38"/>
    <w:rsid w:val="000A5BFA"/>
    <w:rsid w:val="000A78F3"/>
    <w:rsid w:val="000B09E9"/>
    <w:rsid w:val="000B0EF2"/>
    <w:rsid w:val="000C08C0"/>
    <w:rsid w:val="000C17A5"/>
    <w:rsid w:val="000C2F28"/>
    <w:rsid w:val="000C36E0"/>
    <w:rsid w:val="000C6A94"/>
    <w:rsid w:val="000D2267"/>
    <w:rsid w:val="000D2557"/>
    <w:rsid w:val="000D3EE8"/>
    <w:rsid w:val="000D4AE2"/>
    <w:rsid w:val="000D555A"/>
    <w:rsid w:val="000D5FE7"/>
    <w:rsid w:val="000D6C8D"/>
    <w:rsid w:val="000E5184"/>
    <w:rsid w:val="000E798F"/>
    <w:rsid w:val="000E7F5C"/>
    <w:rsid w:val="000F043C"/>
    <w:rsid w:val="000F046D"/>
    <w:rsid w:val="000F2E17"/>
    <w:rsid w:val="000F48B0"/>
    <w:rsid w:val="000F6202"/>
    <w:rsid w:val="000F6AE1"/>
    <w:rsid w:val="00101C11"/>
    <w:rsid w:val="00102125"/>
    <w:rsid w:val="00103FE8"/>
    <w:rsid w:val="00105394"/>
    <w:rsid w:val="001064D4"/>
    <w:rsid w:val="00111352"/>
    <w:rsid w:val="001130D5"/>
    <w:rsid w:val="00120190"/>
    <w:rsid w:val="00122236"/>
    <w:rsid w:val="00126E3A"/>
    <w:rsid w:val="001312F1"/>
    <w:rsid w:val="00133810"/>
    <w:rsid w:val="00144E1F"/>
    <w:rsid w:val="00146E92"/>
    <w:rsid w:val="00147AB0"/>
    <w:rsid w:val="00150DD6"/>
    <w:rsid w:val="0015206F"/>
    <w:rsid w:val="00152A67"/>
    <w:rsid w:val="00153BD0"/>
    <w:rsid w:val="0015553C"/>
    <w:rsid w:val="00155778"/>
    <w:rsid w:val="00162915"/>
    <w:rsid w:val="00162D84"/>
    <w:rsid w:val="00166D66"/>
    <w:rsid w:val="00172003"/>
    <w:rsid w:val="00172AAE"/>
    <w:rsid w:val="00176CD1"/>
    <w:rsid w:val="00177A32"/>
    <w:rsid w:val="00184462"/>
    <w:rsid w:val="00186509"/>
    <w:rsid w:val="00186A44"/>
    <w:rsid w:val="001973AF"/>
    <w:rsid w:val="00197A4B"/>
    <w:rsid w:val="001A5889"/>
    <w:rsid w:val="001B61C8"/>
    <w:rsid w:val="001B61E5"/>
    <w:rsid w:val="001B652D"/>
    <w:rsid w:val="001C1D6A"/>
    <w:rsid w:val="001D17B9"/>
    <w:rsid w:val="001D1941"/>
    <w:rsid w:val="001D336E"/>
    <w:rsid w:val="001D60A0"/>
    <w:rsid w:val="001D7A9E"/>
    <w:rsid w:val="001E03C4"/>
    <w:rsid w:val="001E3A4B"/>
    <w:rsid w:val="001F0DAD"/>
    <w:rsid w:val="001F2215"/>
    <w:rsid w:val="001F29E2"/>
    <w:rsid w:val="001F4D35"/>
    <w:rsid w:val="001F51C6"/>
    <w:rsid w:val="001F6E3A"/>
    <w:rsid w:val="00203783"/>
    <w:rsid w:val="00206220"/>
    <w:rsid w:val="00206EE2"/>
    <w:rsid w:val="0021044B"/>
    <w:rsid w:val="00210A7C"/>
    <w:rsid w:val="00212AEF"/>
    <w:rsid w:val="0021490F"/>
    <w:rsid w:val="00215F07"/>
    <w:rsid w:val="00216B2F"/>
    <w:rsid w:val="002230EF"/>
    <w:rsid w:val="00226F5A"/>
    <w:rsid w:val="00232F1D"/>
    <w:rsid w:val="00233012"/>
    <w:rsid w:val="00244239"/>
    <w:rsid w:val="00261BFA"/>
    <w:rsid w:val="00263EEA"/>
    <w:rsid w:val="00263F51"/>
    <w:rsid w:val="002655C3"/>
    <w:rsid w:val="00266EA4"/>
    <w:rsid w:val="002679BD"/>
    <w:rsid w:val="00273426"/>
    <w:rsid w:val="00273501"/>
    <w:rsid w:val="00274437"/>
    <w:rsid w:val="00275641"/>
    <w:rsid w:val="00275D7A"/>
    <w:rsid w:val="00282ED9"/>
    <w:rsid w:val="00282F23"/>
    <w:rsid w:val="00286A76"/>
    <w:rsid w:val="0028742F"/>
    <w:rsid w:val="00290B8C"/>
    <w:rsid w:val="00291A4F"/>
    <w:rsid w:val="00295898"/>
    <w:rsid w:val="00295A4E"/>
    <w:rsid w:val="00296AB5"/>
    <w:rsid w:val="002A135C"/>
    <w:rsid w:val="002A2151"/>
    <w:rsid w:val="002A2E3E"/>
    <w:rsid w:val="002A5EC6"/>
    <w:rsid w:val="002A6FF7"/>
    <w:rsid w:val="002B7C1A"/>
    <w:rsid w:val="002C0E9C"/>
    <w:rsid w:val="002C149E"/>
    <w:rsid w:val="002C2514"/>
    <w:rsid w:val="002E6411"/>
    <w:rsid w:val="002E6A0F"/>
    <w:rsid w:val="002E7137"/>
    <w:rsid w:val="002E7D37"/>
    <w:rsid w:val="002F0D15"/>
    <w:rsid w:val="002F6DD4"/>
    <w:rsid w:val="00306562"/>
    <w:rsid w:val="00310C18"/>
    <w:rsid w:val="003116B6"/>
    <w:rsid w:val="00320E3E"/>
    <w:rsid w:val="003224C0"/>
    <w:rsid w:val="003311D1"/>
    <w:rsid w:val="003318E8"/>
    <w:rsid w:val="00343716"/>
    <w:rsid w:val="00345A4B"/>
    <w:rsid w:val="00345EF1"/>
    <w:rsid w:val="0035265E"/>
    <w:rsid w:val="003569ED"/>
    <w:rsid w:val="003741FE"/>
    <w:rsid w:val="0037598B"/>
    <w:rsid w:val="00392955"/>
    <w:rsid w:val="00393623"/>
    <w:rsid w:val="00395AF8"/>
    <w:rsid w:val="00397790"/>
    <w:rsid w:val="003A4375"/>
    <w:rsid w:val="003A5F64"/>
    <w:rsid w:val="003B0265"/>
    <w:rsid w:val="003B1F6B"/>
    <w:rsid w:val="003B3BAA"/>
    <w:rsid w:val="003B4D37"/>
    <w:rsid w:val="003B7EBA"/>
    <w:rsid w:val="003C16F1"/>
    <w:rsid w:val="003C16F6"/>
    <w:rsid w:val="003C2ECF"/>
    <w:rsid w:val="003C3011"/>
    <w:rsid w:val="003C43CF"/>
    <w:rsid w:val="003D177D"/>
    <w:rsid w:val="003D4C85"/>
    <w:rsid w:val="003E1D14"/>
    <w:rsid w:val="003E7403"/>
    <w:rsid w:val="003F1DB7"/>
    <w:rsid w:val="003F255A"/>
    <w:rsid w:val="003F6CA3"/>
    <w:rsid w:val="003F7659"/>
    <w:rsid w:val="00401C0E"/>
    <w:rsid w:val="00407AF4"/>
    <w:rsid w:val="00412AB5"/>
    <w:rsid w:val="00412F6E"/>
    <w:rsid w:val="004136DA"/>
    <w:rsid w:val="00413CA3"/>
    <w:rsid w:val="00417842"/>
    <w:rsid w:val="0042378B"/>
    <w:rsid w:val="00427B16"/>
    <w:rsid w:val="00431175"/>
    <w:rsid w:val="00431722"/>
    <w:rsid w:val="004326CE"/>
    <w:rsid w:val="0043428D"/>
    <w:rsid w:val="00434B19"/>
    <w:rsid w:val="00435D2F"/>
    <w:rsid w:val="0044039F"/>
    <w:rsid w:val="00441F60"/>
    <w:rsid w:val="00455BB8"/>
    <w:rsid w:val="00457201"/>
    <w:rsid w:val="00463862"/>
    <w:rsid w:val="0046596A"/>
    <w:rsid w:val="004703F3"/>
    <w:rsid w:val="00473482"/>
    <w:rsid w:val="0047777D"/>
    <w:rsid w:val="00492FAB"/>
    <w:rsid w:val="00494505"/>
    <w:rsid w:val="00494EA2"/>
    <w:rsid w:val="004A2EAE"/>
    <w:rsid w:val="004A54B5"/>
    <w:rsid w:val="004A7176"/>
    <w:rsid w:val="004B1369"/>
    <w:rsid w:val="004B3B59"/>
    <w:rsid w:val="004C442C"/>
    <w:rsid w:val="004C447D"/>
    <w:rsid w:val="004E242C"/>
    <w:rsid w:val="004E64D0"/>
    <w:rsid w:val="004F00E2"/>
    <w:rsid w:val="004F0A90"/>
    <w:rsid w:val="005008F5"/>
    <w:rsid w:val="00503E73"/>
    <w:rsid w:val="005059F4"/>
    <w:rsid w:val="00512A4F"/>
    <w:rsid w:val="00514FBE"/>
    <w:rsid w:val="005150D4"/>
    <w:rsid w:val="0052108A"/>
    <w:rsid w:val="005211C4"/>
    <w:rsid w:val="00526FA8"/>
    <w:rsid w:val="0053169F"/>
    <w:rsid w:val="00534BA8"/>
    <w:rsid w:val="005363AF"/>
    <w:rsid w:val="005431CD"/>
    <w:rsid w:val="005508FC"/>
    <w:rsid w:val="005530C6"/>
    <w:rsid w:val="00553117"/>
    <w:rsid w:val="00554D7D"/>
    <w:rsid w:val="00557520"/>
    <w:rsid w:val="00561EA7"/>
    <w:rsid w:val="00563C76"/>
    <w:rsid w:val="00570949"/>
    <w:rsid w:val="00574E4D"/>
    <w:rsid w:val="00577FE8"/>
    <w:rsid w:val="00583660"/>
    <w:rsid w:val="00585703"/>
    <w:rsid w:val="00590877"/>
    <w:rsid w:val="00590BB1"/>
    <w:rsid w:val="005926D0"/>
    <w:rsid w:val="00592B24"/>
    <w:rsid w:val="00594A1A"/>
    <w:rsid w:val="00596233"/>
    <w:rsid w:val="005A0658"/>
    <w:rsid w:val="005A10E3"/>
    <w:rsid w:val="005A281A"/>
    <w:rsid w:val="005A3436"/>
    <w:rsid w:val="005A4E76"/>
    <w:rsid w:val="005C07CD"/>
    <w:rsid w:val="005C092C"/>
    <w:rsid w:val="005C28AC"/>
    <w:rsid w:val="005C2BEB"/>
    <w:rsid w:val="005C5C94"/>
    <w:rsid w:val="005D1EF8"/>
    <w:rsid w:val="005D679D"/>
    <w:rsid w:val="005D7A85"/>
    <w:rsid w:val="005E01FD"/>
    <w:rsid w:val="005E0386"/>
    <w:rsid w:val="005E1FBB"/>
    <w:rsid w:val="005E495C"/>
    <w:rsid w:val="005F0542"/>
    <w:rsid w:val="005F3E23"/>
    <w:rsid w:val="005F4071"/>
    <w:rsid w:val="00601E2E"/>
    <w:rsid w:val="00602606"/>
    <w:rsid w:val="00605B0F"/>
    <w:rsid w:val="00610483"/>
    <w:rsid w:val="0061195E"/>
    <w:rsid w:val="00615DB0"/>
    <w:rsid w:val="006167E1"/>
    <w:rsid w:val="0061754C"/>
    <w:rsid w:val="00617DF4"/>
    <w:rsid w:val="00624185"/>
    <w:rsid w:val="006267A2"/>
    <w:rsid w:val="006534D4"/>
    <w:rsid w:val="006559B4"/>
    <w:rsid w:val="00657576"/>
    <w:rsid w:val="006638F9"/>
    <w:rsid w:val="00663ECE"/>
    <w:rsid w:val="00665848"/>
    <w:rsid w:val="00665FCD"/>
    <w:rsid w:val="00671A29"/>
    <w:rsid w:val="006733A9"/>
    <w:rsid w:val="00673937"/>
    <w:rsid w:val="00673AB7"/>
    <w:rsid w:val="0067437A"/>
    <w:rsid w:val="00675419"/>
    <w:rsid w:val="006761A6"/>
    <w:rsid w:val="00680CCC"/>
    <w:rsid w:val="006828E1"/>
    <w:rsid w:val="0069145D"/>
    <w:rsid w:val="006932F6"/>
    <w:rsid w:val="006A0577"/>
    <w:rsid w:val="006A1E9E"/>
    <w:rsid w:val="006A44AE"/>
    <w:rsid w:val="006A72C3"/>
    <w:rsid w:val="006B02CC"/>
    <w:rsid w:val="006B138E"/>
    <w:rsid w:val="006B744C"/>
    <w:rsid w:val="006B7F58"/>
    <w:rsid w:val="006C4CAF"/>
    <w:rsid w:val="006C50CD"/>
    <w:rsid w:val="006D3553"/>
    <w:rsid w:val="006D6673"/>
    <w:rsid w:val="006E340C"/>
    <w:rsid w:val="006F1A9D"/>
    <w:rsid w:val="006F2438"/>
    <w:rsid w:val="006F31D0"/>
    <w:rsid w:val="006F34A9"/>
    <w:rsid w:val="006F36B4"/>
    <w:rsid w:val="007007D7"/>
    <w:rsid w:val="00701742"/>
    <w:rsid w:val="00704898"/>
    <w:rsid w:val="00707617"/>
    <w:rsid w:val="007166EB"/>
    <w:rsid w:val="007167C5"/>
    <w:rsid w:val="00722C02"/>
    <w:rsid w:val="00724DD8"/>
    <w:rsid w:val="007256A0"/>
    <w:rsid w:val="007310B5"/>
    <w:rsid w:val="007314E8"/>
    <w:rsid w:val="00733DF6"/>
    <w:rsid w:val="007352A6"/>
    <w:rsid w:val="00736C93"/>
    <w:rsid w:val="00746D59"/>
    <w:rsid w:val="00747BE8"/>
    <w:rsid w:val="00752F6B"/>
    <w:rsid w:val="00754493"/>
    <w:rsid w:val="00754B57"/>
    <w:rsid w:val="0076179A"/>
    <w:rsid w:val="007714C3"/>
    <w:rsid w:val="007746FD"/>
    <w:rsid w:val="007767BF"/>
    <w:rsid w:val="00776DC8"/>
    <w:rsid w:val="00782884"/>
    <w:rsid w:val="007A16C4"/>
    <w:rsid w:val="007B264D"/>
    <w:rsid w:val="007B28D7"/>
    <w:rsid w:val="007B4277"/>
    <w:rsid w:val="007B5029"/>
    <w:rsid w:val="007B582D"/>
    <w:rsid w:val="007B6C99"/>
    <w:rsid w:val="007B7938"/>
    <w:rsid w:val="007C1554"/>
    <w:rsid w:val="007C3F40"/>
    <w:rsid w:val="007C590F"/>
    <w:rsid w:val="007C6AC0"/>
    <w:rsid w:val="007C6ECA"/>
    <w:rsid w:val="007C76BA"/>
    <w:rsid w:val="007D2613"/>
    <w:rsid w:val="007D2A0B"/>
    <w:rsid w:val="007D3302"/>
    <w:rsid w:val="007D3A09"/>
    <w:rsid w:val="007D4195"/>
    <w:rsid w:val="007F3B54"/>
    <w:rsid w:val="007F3CB6"/>
    <w:rsid w:val="007F45B9"/>
    <w:rsid w:val="00800411"/>
    <w:rsid w:val="008010AB"/>
    <w:rsid w:val="00802DF8"/>
    <w:rsid w:val="00803156"/>
    <w:rsid w:val="008079EC"/>
    <w:rsid w:val="0081139C"/>
    <w:rsid w:val="00817DBC"/>
    <w:rsid w:val="00824E53"/>
    <w:rsid w:val="00830E96"/>
    <w:rsid w:val="00832B9F"/>
    <w:rsid w:val="0084012D"/>
    <w:rsid w:val="0084177D"/>
    <w:rsid w:val="00845AE0"/>
    <w:rsid w:val="008555B2"/>
    <w:rsid w:val="008560EF"/>
    <w:rsid w:val="00857471"/>
    <w:rsid w:val="008631DC"/>
    <w:rsid w:val="00864F5D"/>
    <w:rsid w:val="00865691"/>
    <w:rsid w:val="008676C8"/>
    <w:rsid w:val="00867791"/>
    <w:rsid w:val="00872FA3"/>
    <w:rsid w:val="00873909"/>
    <w:rsid w:val="008740FC"/>
    <w:rsid w:val="00877D34"/>
    <w:rsid w:val="00880EFD"/>
    <w:rsid w:val="0088200E"/>
    <w:rsid w:val="00887122"/>
    <w:rsid w:val="00887B0D"/>
    <w:rsid w:val="008914FD"/>
    <w:rsid w:val="00892A05"/>
    <w:rsid w:val="00893172"/>
    <w:rsid w:val="0089744D"/>
    <w:rsid w:val="008A6471"/>
    <w:rsid w:val="008A7E4A"/>
    <w:rsid w:val="008B13DB"/>
    <w:rsid w:val="008B3914"/>
    <w:rsid w:val="008B66E7"/>
    <w:rsid w:val="008B7140"/>
    <w:rsid w:val="008C0532"/>
    <w:rsid w:val="008C1DF8"/>
    <w:rsid w:val="008C1F51"/>
    <w:rsid w:val="008C1F57"/>
    <w:rsid w:val="008C4ADE"/>
    <w:rsid w:val="008C51E5"/>
    <w:rsid w:val="008C57C3"/>
    <w:rsid w:val="008D6D2E"/>
    <w:rsid w:val="008E1833"/>
    <w:rsid w:val="008E4359"/>
    <w:rsid w:val="008E43AF"/>
    <w:rsid w:val="008E599F"/>
    <w:rsid w:val="008E5EE5"/>
    <w:rsid w:val="008F27FD"/>
    <w:rsid w:val="008F3224"/>
    <w:rsid w:val="0090017E"/>
    <w:rsid w:val="0090054C"/>
    <w:rsid w:val="00902D10"/>
    <w:rsid w:val="00903CA9"/>
    <w:rsid w:val="00906444"/>
    <w:rsid w:val="009113A3"/>
    <w:rsid w:val="009139D1"/>
    <w:rsid w:val="00913A42"/>
    <w:rsid w:val="00917BEC"/>
    <w:rsid w:val="009270AD"/>
    <w:rsid w:val="0093274E"/>
    <w:rsid w:val="0093308E"/>
    <w:rsid w:val="00935D4F"/>
    <w:rsid w:val="00936218"/>
    <w:rsid w:val="00936471"/>
    <w:rsid w:val="00936CEA"/>
    <w:rsid w:val="009552A6"/>
    <w:rsid w:val="009573E1"/>
    <w:rsid w:val="00957594"/>
    <w:rsid w:val="009607D6"/>
    <w:rsid w:val="00962FD3"/>
    <w:rsid w:val="00963EEB"/>
    <w:rsid w:val="009760E1"/>
    <w:rsid w:val="00976926"/>
    <w:rsid w:val="0098100D"/>
    <w:rsid w:val="00983EDF"/>
    <w:rsid w:val="0098420D"/>
    <w:rsid w:val="009854B5"/>
    <w:rsid w:val="00990107"/>
    <w:rsid w:val="00990B1E"/>
    <w:rsid w:val="009947C2"/>
    <w:rsid w:val="009950FF"/>
    <w:rsid w:val="009974E2"/>
    <w:rsid w:val="009A026F"/>
    <w:rsid w:val="009A2CD6"/>
    <w:rsid w:val="009B2FDF"/>
    <w:rsid w:val="009B57B2"/>
    <w:rsid w:val="009B7536"/>
    <w:rsid w:val="009B7754"/>
    <w:rsid w:val="009C1180"/>
    <w:rsid w:val="009C177E"/>
    <w:rsid w:val="009C191D"/>
    <w:rsid w:val="009C44AE"/>
    <w:rsid w:val="009C453E"/>
    <w:rsid w:val="009C59C4"/>
    <w:rsid w:val="009E028C"/>
    <w:rsid w:val="009E063B"/>
    <w:rsid w:val="009E3627"/>
    <w:rsid w:val="009E3686"/>
    <w:rsid w:val="009E4C45"/>
    <w:rsid w:val="009E51AB"/>
    <w:rsid w:val="00A025ED"/>
    <w:rsid w:val="00A07BE5"/>
    <w:rsid w:val="00A10583"/>
    <w:rsid w:val="00A113D2"/>
    <w:rsid w:val="00A119FD"/>
    <w:rsid w:val="00A16176"/>
    <w:rsid w:val="00A21AE3"/>
    <w:rsid w:val="00A22D53"/>
    <w:rsid w:val="00A2741C"/>
    <w:rsid w:val="00A31ACD"/>
    <w:rsid w:val="00A34CDA"/>
    <w:rsid w:val="00A363B6"/>
    <w:rsid w:val="00A54999"/>
    <w:rsid w:val="00A55909"/>
    <w:rsid w:val="00A56EA6"/>
    <w:rsid w:val="00A74879"/>
    <w:rsid w:val="00A76EE7"/>
    <w:rsid w:val="00A770B0"/>
    <w:rsid w:val="00A803CD"/>
    <w:rsid w:val="00A81CAD"/>
    <w:rsid w:val="00A842C3"/>
    <w:rsid w:val="00A86443"/>
    <w:rsid w:val="00A913DF"/>
    <w:rsid w:val="00A93367"/>
    <w:rsid w:val="00AA1FE0"/>
    <w:rsid w:val="00AA25C2"/>
    <w:rsid w:val="00AA6773"/>
    <w:rsid w:val="00AA7A5F"/>
    <w:rsid w:val="00AA7D38"/>
    <w:rsid w:val="00AB0E23"/>
    <w:rsid w:val="00AB10AB"/>
    <w:rsid w:val="00AB437C"/>
    <w:rsid w:val="00AB63F1"/>
    <w:rsid w:val="00AB6A7C"/>
    <w:rsid w:val="00AC46B8"/>
    <w:rsid w:val="00AC74E3"/>
    <w:rsid w:val="00AC7CC4"/>
    <w:rsid w:val="00AD2E80"/>
    <w:rsid w:val="00AD461D"/>
    <w:rsid w:val="00AD4A49"/>
    <w:rsid w:val="00AD5160"/>
    <w:rsid w:val="00AE0535"/>
    <w:rsid w:val="00AE0629"/>
    <w:rsid w:val="00AE1C06"/>
    <w:rsid w:val="00AE4254"/>
    <w:rsid w:val="00AF30DA"/>
    <w:rsid w:val="00AF4D16"/>
    <w:rsid w:val="00AF506A"/>
    <w:rsid w:val="00AF7E18"/>
    <w:rsid w:val="00B000BE"/>
    <w:rsid w:val="00B05582"/>
    <w:rsid w:val="00B07DA1"/>
    <w:rsid w:val="00B100CA"/>
    <w:rsid w:val="00B15132"/>
    <w:rsid w:val="00B30185"/>
    <w:rsid w:val="00B35603"/>
    <w:rsid w:val="00B404F3"/>
    <w:rsid w:val="00B4340B"/>
    <w:rsid w:val="00B5018A"/>
    <w:rsid w:val="00B50499"/>
    <w:rsid w:val="00B6000C"/>
    <w:rsid w:val="00B60C38"/>
    <w:rsid w:val="00B62077"/>
    <w:rsid w:val="00B6341B"/>
    <w:rsid w:val="00B66B94"/>
    <w:rsid w:val="00B677A8"/>
    <w:rsid w:val="00B70800"/>
    <w:rsid w:val="00B70A27"/>
    <w:rsid w:val="00B7483C"/>
    <w:rsid w:val="00B7632C"/>
    <w:rsid w:val="00B77BFE"/>
    <w:rsid w:val="00B83653"/>
    <w:rsid w:val="00B8593A"/>
    <w:rsid w:val="00B92F3E"/>
    <w:rsid w:val="00B940F4"/>
    <w:rsid w:val="00B96A09"/>
    <w:rsid w:val="00BA0B1E"/>
    <w:rsid w:val="00BA28C1"/>
    <w:rsid w:val="00BA54BA"/>
    <w:rsid w:val="00BA635A"/>
    <w:rsid w:val="00BB038C"/>
    <w:rsid w:val="00BB16E9"/>
    <w:rsid w:val="00BB5566"/>
    <w:rsid w:val="00BB686C"/>
    <w:rsid w:val="00BC181F"/>
    <w:rsid w:val="00BC25E5"/>
    <w:rsid w:val="00BC2861"/>
    <w:rsid w:val="00BC49F9"/>
    <w:rsid w:val="00BD6207"/>
    <w:rsid w:val="00BE4003"/>
    <w:rsid w:val="00BE5CA5"/>
    <w:rsid w:val="00BE6B65"/>
    <w:rsid w:val="00C027B8"/>
    <w:rsid w:val="00C04A1F"/>
    <w:rsid w:val="00C110F2"/>
    <w:rsid w:val="00C15213"/>
    <w:rsid w:val="00C31685"/>
    <w:rsid w:val="00C32662"/>
    <w:rsid w:val="00C34D4C"/>
    <w:rsid w:val="00C353F0"/>
    <w:rsid w:val="00C41B41"/>
    <w:rsid w:val="00C4234D"/>
    <w:rsid w:val="00C4333D"/>
    <w:rsid w:val="00C46EFC"/>
    <w:rsid w:val="00C4742D"/>
    <w:rsid w:val="00C517A7"/>
    <w:rsid w:val="00C54205"/>
    <w:rsid w:val="00C638A5"/>
    <w:rsid w:val="00C661CF"/>
    <w:rsid w:val="00C70681"/>
    <w:rsid w:val="00C72E26"/>
    <w:rsid w:val="00C82F30"/>
    <w:rsid w:val="00C83442"/>
    <w:rsid w:val="00C931EC"/>
    <w:rsid w:val="00C93E6F"/>
    <w:rsid w:val="00C9421B"/>
    <w:rsid w:val="00CA1963"/>
    <w:rsid w:val="00CA1E39"/>
    <w:rsid w:val="00CA2CD6"/>
    <w:rsid w:val="00CA5602"/>
    <w:rsid w:val="00CC59E2"/>
    <w:rsid w:val="00CC60B1"/>
    <w:rsid w:val="00CC7BCD"/>
    <w:rsid w:val="00CD46EC"/>
    <w:rsid w:val="00CD4C16"/>
    <w:rsid w:val="00CD4F05"/>
    <w:rsid w:val="00CD599A"/>
    <w:rsid w:val="00CE3A58"/>
    <w:rsid w:val="00CE3DB6"/>
    <w:rsid w:val="00CE5803"/>
    <w:rsid w:val="00CE7434"/>
    <w:rsid w:val="00CF2760"/>
    <w:rsid w:val="00CF2AB5"/>
    <w:rsid w:val="00CF4AA5"/>
    <w:rsid w:val="00CF66EC"/>
    <w:rsid w:val="00CF7E17"/>
    <w:rsid w:val="00D01BB5"/>
    <w:rsid w:val="00D04AF5"/>
    <w:rsid w:val="00D07C6E"/>
    <w:rsid w:val="00D13A71"/>
    <w:rsid w:val="00D14441"/>
    <w:rsid w:val="00D150A8"/>
    <w:rsid w:val="00D16C82"/>
    <w:rsid w:val="00D17E40"/>
    <w:rsid w:val="00D27771"/>
    <w:rsid w:val="00D3201B"/>
    <w:rsid w:val="00D33BA7"/>
    <w:rsid w:val="00D37004"/>
    <w:rsid w:val="00D432F0"/>
    <w:rsid w:val="00D43BD0"/>
    <w:rsid w:val="00D501CE"/>
    <w:rsid w:val="00D513C8"/>
    <w:rsid w:val="00D524D7"/>
    <w:rsid w:val="00D53391"/>
    <w:rsid w:val="00D60F5A"/>
    <w:rsid w:val="00D60FFC"/>
    <w:rsid w:val="00D61DF8"/>
    <w:rsid w:val="00D61FDA"/>
    <w:rsid w:val="00D70F8A"/>
    <w:rsid w:val="00D803E0"/>
    <w:rsid w:val="00D807FC"/>
    <w:rsid w:val="00D83A09"/>
    <w:rsid w:val="00D859B5"/>
    <w:rsid w:val="00D925F6"/>
    <w:rsid w:val="00D95350"/>
    <w:rsid w:val="00D96209"/>
    <w:rsid w:val="00D97A14"/>
    <w:rsid w:val="00DA139D"/>
    <w:rsid w:val="00DA14F9"/>
    <w:rsid w:val="00DA2C81"/>
    <w:rsid w:val="00DA4B58"/>
    <w:rsid w:val="00DA6DF1"/>
    <w:rsid w:val="00DA7359"/>
    <w:rsid w:val="00DA73C9"/>
    <w:rsid w:val="00DB47F9"/>
    <w:rsid w:val="00DB72E5"/>
    <w:rsid w:val="00DC023E"/>
    <w:rsid w:val="00DC0C5F"/>
    <w:rsid w:val="00DC0F59"/>
    <w:rsid w:val="00DC1C93"/>
    <w:rsid w:val="00DC506B"/>
    <w:rsid w:val="00DC6DCA"/>
    <w:rsid w:val="00DC7D04"/>
    <w:rsid w:val="00DD005B"/>
    <w:rsid w:val="00DD0690"/>
    <w:rsid w:val="00DD170A"/>
    <w:rsid w:val="00DE359D"/>
    <w:rsid w:val="00DE5697"/>
    <w:rsid w:val="00DE7FB5"/>
    <w:rsid w:val="00DF2EEC"/>
    <w:rsid w:val="00E00059"/>
    <w:rsid w:val="00E07055"/>
    <w:rsid w:val="00E13055"/>
    <w:rsid w:val="00E1395E"/>
    <w:rsid w:val="00E1455A"/>
    <w:rsid w:val="00E17DCC"/>
    <w:rsid w:val="00E22541"/>
    <w:rsid w:val="00E25B81"/>
    <w:rsid w:val="00E2703B"/>
    <w:rsid w:val="00E32FAC"/>
    <w:rsid w:val="00E3698D"/>
    <w:rsid w:val="00E37C20"/>
    <w:rsid w:val="00E4343B"/>
    <w:rsid w:val="00E54B59"/>
    <w:rsid w:val="00E57884"/>
    <w:rsid w:val="00E603E4"/>
    <w:rsid w:val="00E6053D"/>
    <w:rsid w:val="00E61EFE"/>
    <w:rsid w:val="00E64338"/>
    <w:rsid w:val="00E64568"/>
    <w:rsid w:val="00E66524"/>
    <w:rsid w:val="00E711A4"/>
    <w:rsid w:val="00E731C8"/>
    <w:rsid w:val="00E80396"/>
    <w:rsid w:val="00E810CE"/>
    <w:rsid w:val="00E82ED9"/>
    <w:rsid w:val="00E82F12"/>
    <w:rsid w:val="00E84500"/>
    <w:rsid w:val="00E859F4"/>
    <w:rsid w:val="00E86321"/>
    <w:rsid w:val="00E86DEB"/>
    <w:rsid w:val="00E87689"/>
    <w:rsid w:val="00E90B5A"/>
    <w:rsid w:val="00E91BB1"/>
    <w:rsid w:val="00E91C6D"/>
    <w:rsid w:val="00E93C7B"/>
    <w:rsid w:val="00E94B4B"/>
    <w:rsid w:val="00E94C40"/>
    <w:rsid w:val="00E96006"/>
    <w:rsid w:val="00E9602B"/>
    <w:rsid w:val="00E97FCC"/>
    <w:rsid w:val="00EA7442"/>
    <w:rsid w:val="00EB427F"/>
    <w:rsid w:val="00EB6218"/>
    <w:rsid w:val="00EC4171"/>
    <w:rsid w:val="00EC466A"/>
    <w:rsid w:val="00EC63C0"/>
    <w:rsid w:val="00EC6C99"/>
    <w:rsid w:val="00ED1915"/>
    <w:rsid w:val="00ED3FF5"/>
    <w:rsid w:val="00ED4D2C"/>
    <w:rsid w:val="00ED798B"/>
    <w:rsid w:val="00EE4AF1"/>
    <w:rsid w:val="00EE5F36"/>
    <w:rsid w:val="00EF03C1"/>
    <w:rsid w:val="00EF0FF7"/>
    <w:rsid w:val="00EF33FB"/>
    <w:rsid w:val="00EF4E21"/>
    <w:rsid w:val="00EF582D"/>
    <w:rsid w:val="00F00884"/>
    <w:rsid w:val="00F0268C"/>
    <w:rsid w:val="00F038FA"/>
    <w:rsid w:val="00F0659E"/>
    <w:rsid w:val="00F079D6"/>
    <w:rsid w:val="00F1423A"/>
    <w:rsid w:val="00F1713E"/>
    <w:rsid w:val="00F17395"/>
    <w:rsid w:val="00F208EC"/>
    <w:rsid w:val="00F23296"/>
    <w:rsid w:val="00F27134"/>
    <w:rsid w:val="00F27B1F"/>
    <w:rsid w:val="00F31462"/>
    <w:rsid w:val="00F3407D"/>
    <w:rsid w:val="00F341D0"/>
    <w:rsid w:val="00F36009"/>
    <w:rsid w:val="00F3652D"/>
    <w:rsid w:val="00F36F3F"/>
    <w:rsid w:val="00F44512"/>
    <w:rsid w:val="00F45C6B"/>
    <w:rsid w:val="00F46A2A"/>
    <w:rsid w:val="00F539B2"/>
    <w:rsid w:val="00F53CFC"/>
    <w:rsid w:val="00F56A00"/>
    <w:rsid w:val="00F60B51"/>
    <w:rsid w:val="00F6364C"/>
    <w:rsid w:val="00F66D43"/>
    <w:rsid w:val="00F66E7A"/>
    <w:rsid w:val="00F66F35"/>
    <w:rsid w:val="00F70DB3"/>
    <w:rsid w:val="00F778F4"/>
    <w:rsid w:val="00F8007E"/>
    <w:rsid w:val="00F80F84"/>
    <w:rsid w:val="00F820A0"/>
    <w:rsid w:val="00F822F7"/>
    <w:rsid w:val="00F8629E"/>
    <w:rsid w:val="00F9055D"/>
    <w:rsid w:val="00F91CE9"/>
    <w:rsid w:val="00F95A50"/>
    <w:rsid w:val="00FA0EF9"/>
    <w:rsid w:val="00FA33EE"/>
    <w:rsid w:val="00FA4E4B"/>
    <w:rsid w:val="00FA5F18"/>
    <w:rsid w:val="00FB344B"/>
    <w:rsid w:val="00FB4F3F"/>
    <w:rsid w:val="00FB5359"/>
    <w:rsid w:val="00FC37F9"/>
    <w:rsid w:val="00FC7370"/>
    <w:rsid w:val="00FD19AA"/>
    <w:rsid w:val="00FD209A"/>
    <w:rsid w:val="00FD4607"/>
    <w:rsid w:val="00FD4AAC"/>
    <w:rsid w:val="00FE0169"/>
    <w:rsid w:val="00FE0EDA"/>
    <w:rsid w:val="00FE69CB"/>
    <w:rsid w:val="00FE7D65"/>
    <w:rsid w:val="00FF2121"/>
    <w:rsid w:val="00FF23A3"/>
    <w:rsid w:val="00FF5456"/>
    <w:rsid w:val="00FF63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03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39F"/>
    <w:rPr>
      <w:rFonts w:ascii="Tahoma" w:hAnsi="Tahoma" w:cs="Tahoma"/>
      <w:sz w:val="16"/>
      <w:szCs w:val="16"/>
    </w:rPr>
  </w:style>
  <w:style w:type="paragraph" w:styleId="Header">
    <w:name w:val="header"/>
    <w:basedOn w:val="Normal"/>
    <w:link w:val="HeaderChar"/>
    <w:uiPriority w:val="99"/>
    <w:unhideWhenUsed/>
    <w:rsid w:val="000821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1F3"/>
  </w:style>
  <w:style w:type="paragraph" w:styleId="Footer">
    <w:name w:val="footer"/>
    <w:basedOn w:val="Normal"/>
    <w:link w:val="FooterChar"/>
    <w:uiPriority w:val="99"/>
    <w:unhideWhenUsed/>
    <w:rsid w:val="000821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1F3"/>
  </w:style>
  <w:style w:type="character" w:styleId="CommentReference">
    <w:name w:val="annotation reference"/>
    <w:basedOn w:val="DefaultParagraphFont"/>
    <w:uiPriority w:val="99"/>
    <w:semiHidden/>
    <w:unhideWhenUsed/>
    <w:rsid w:val="00B4340B"/>
    <w:rPr>
      <w:sz w:val="16"/>
      <w:szCs w:val="16"/>
    </w:rPr>
  </w:style>
  <w:style w:type="paragraph" w:styleId="CommentText">
    <w:name w:val="annotation text"/>
    <w:basedOn w:val="Normal"/>
    <w:link w:val="CommentTextChar"/>
    <w:uiPriority w:val="99"/>
    <w:unhideWhenUsed/>
    <w:rsid w:val="00B4340B"/>
    <w:pPr>
      <w:spacing w:line="240" w:lineRule="auto"/>
    </w:pPr>
    <w:rPr>
      <w:sz w:val="20"/>
      <w:szCs w:val="20"/>
    </w:rPr>
  </w:style>
  <w:style w:type="character" w:customStyle="1" w:styleId="CommentTextChar">
    <w:name w:val="Comment Text Char"/>
    <w:basedOn w:val="DefaultParagraphFont"/>
    <w:link w:val="CommentText"/>
    <w:uiPriority w:val="99"/>
    <w:rsid w:val="00B4340B"/>
    <w:rPr>
      <w:sz w:val="20"/>
      <w:szCs w:val="20"/>
    </w:rPr>
  </w:style>
  <w:style w:type="paragraph" w:styleId="CommentSubject">
    <w:name w:val="annotation subject"/>
    <w:basedOn w:val="CommentText"/>
    <w:next w:val="CommentText"/>
    <w:link w:val="CommentSubjectChar"/>
    <w:uiPriority w:val="99"/>
    <w:semiHidden/>
    <w:unhideWhenUsed/>
    <w:rsid w:val="00B4340B"/>
    <w:rPr>
      <w:b/>
      <w:bCs/>
    </w:rPr>
  </w:style>
  <w:style w:type="character" w:customStyle="1" w:styleId="CommentSubjectChar">
    <w:name w:val="Comment Subject Char"/>
    <w:basedOn w:val="CommentTextChar"/>
    <w:link w:val="CommentSubject"/>
    <w:uiPriority w:val="99"/>
    <w:semiHidden/>
    <w:rsid w:val="00B4340B"/>
    <w:rPr>
      <w:b/>
      <w:bCs/>
      <w:sz w:val="20"/>
      <w:szCs w:val="20"/>
    </w:rPr>
  </w:style>
  <w:style w:type="paragraph" w:customStyle="1" w:styleId="title1">
    <w:name w:val="title1"/>
    <w:basedOn w:val="Normal"/>
    <w:rsid w:val="00DB72E5"/>
    <w:pPr>
      <w:spacing w:after="0" w:line="240" w:lineRule="auto"/>
    </w:pPr>
    <w:rPr>
      <w:rFonts w:ascii="Times New Roman" w:eastAsia="Times New Roman" w:hAnsi="Times New Roman" w:cs="Times New Roman"/>
      <w:sz w:val="27"/>
      <w:szCs w:val="27"/>
    </w:rPr>
  </w:style>
  <w:style w:type="paragraph" w:customStyle="1" w:styleId="desc2">
    <w:name w:val="desc2"/>
    <w:basedOn w:val="Normal"/>
    <w:rsid w:val="00DB72E5"/>
    <w:pPr>
      <w:spacing w:after="0" w:line="240" w:lineRule="auto"/>
    </w:pPr>
    <w:rPr>
      <w:rFonts w:ascii="Times New Roman" w:eastAsia="Times New Roman" w:hAnsi="Times New Roman" w:cs="Times New Roman"/>
      <w:sz w:val="26"/>
      <w:szCs w:val="26"/>
    </w:rPr>
  </w:style>
  <w:style w:type="paragraph" w:customStyle="1" w:styleId="details1">
    <w:name w:val="details1"/>
    <w:basedOn w:val="Normal"/>
    <w:rsid w:val="00DB72E5"/>
    <w:pPr>
      <w:spacing w:after="0" w:line="240" w:lineRule="auto"/>
    </w:pPr>
    <w:rPr>
      <w:rFonts w:ascii="Times New Roman" w:eastAsia="Times New Roman" w:hAnsi="Times New Roman" w:cs="Times New Roman"/>
    </w:rPr>
  </w:style>
  <w:style w:type="character" w:customStyle="1" w:styleId="jrnl">
    <w:name w:val="jrnl"/>
    <w:basedOn w:val="DefaultParagraphFont"/>
    <w:rsid w:val="00DB72E5"/>
  </w:style>
  <w:style w:type="paragraph" w:styleId="Revision">
    <w:name w:val="Revision"/>
    <w:hidden/>
    <w:uiPriority w:val="99"/>
    <w:semiHidden/>
    <w:rsid w:val="00A31ACD"/>
    <w:pPr>
      <w:spacing w:after="0" w:line="240" w:lineRule="auto"/>
    </w:pPr>
  </w:style>
  <w:style w:type="table" w:styleId="TableGrid">
    <w:name w:val="Table Grid"/>
    <w:basedOn w:val="TableNormal"/>
    <w:uiPriority w:val="59"/>
    <w:rsid w:val="00B77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0690"/>
    <w:rPr>
      <w:color w:val="0000FF" w:themeColor="hyperlink"/>
      <w:u w:val="single"/>
    </w:rPr>
  </w:style>
  <w:style w:type="paragraph" w:styleId="ListParagraph">
    <w:name w:val="List Paragraph"/>
    <w:basedOn w:val="Normal"/>
    <w:uiPriority w:val="34"/>
    <w:qFormat/>
    <w:rsid w:val="003437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03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39F"/>
    <w:rPr>
      <w:rFonts w:ascii="Tahoma" w:hAnsi="Tahoma" w:cs="Tahoma"/>
      <w:sz w:val="16"/>
      <w:szCs w:val="16"/>
    </w:rPr>
  </w:style>
  <w:style w:type="paragraph" w:styleId="Header">
    <w:name w:val="header"/>
    <w:basedOn w:val="Normal"/>
    <w:link w:val="HeaderChar"/>
    <w:uiPriority w:val="99"/>
    <w:unhideWhenUsed/>
    <w:rsid w:val="000821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1F3"/>
  </w:style>
  <w:style w:type="paragraph" w:styleId="Footer">
    <w:name w:val="footer"/>
    <w:basedOn w:val="Normal"/>
    <w:link w:val="FooterChar"/>
    <w:uiPriority w:val="99"/>
    <w:unhideWhenUsed/>
    <w:rsid w:val="000821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1F3"/>
  </w:style>
  <w:style w:type="character" w:styleId="CommentReference">
    <w:name w:val="annotation reference"/>
    <w:basedOn w:val="DefaultParagraphFont"/>
    <w:uiPriority w:val="99"/>
    <w:semiHidden/>
    <w:unhideWhenUsed/>
    <w:rsid w:val="00B4340B"/>
    <w:rPr>
      <w:sz w:val="16"/>
      <w:szCs w:val="16"/>
    </w:rPr>
  </w:style>
  <w:style w:type="paragraph" w:styleId="CommentText">
    <w:name w:val="annotation text"/>
    <w:basedOn w:val="Normal"/>
    <w:link w:val="CommentTextChar"/>
    <w:uiPriority w:val="99"/>
    <w:unhideWhenUsed/>
    <w:rsid w:val="00B4340B"/>
    <w:pPr>
      <w:spacing w:line="240" w:lineRule="auto"/>
    </w:pPr>
    <w:rPr>
      <w:sz w:val="20"/>
      <w:szCs w:val="20"/>
    </w:rPr>
  </w:style>
  <w:style w:type="character" w:customStyle="1" w:styleId="CommentTextChar">
    <w:name w:val="Comment Text Char"/>
    <w:basedOn w:val="DefaultParagraphFont"/>
    <w:link w:val="CommentText"/>
    <w:uiPriority w:val="99"/>
    <w:rsid w:val="00B4340B"/>
    <w:rPr>
      <w:sz w:val="20"/>
      <w:szCs w:val="20"/>
    </w:rPr>
  </w:style>
  <w:style w:type="paragraph" w:styleId="CommentSubject">
    <w:name w:val="annotation subject"/>
    <w:basedOn w:val="CommentText"/>
    <w:next w:val="CommentText"/>
    <w:link w:val="CommentSubjectChar"/>
    <w:uiPriority w:val="99"/>
    <w:semiHidden/>
    <w:unhideWhenUsed/>
    <w:rsid w:val="00B4340B"/>
    <w:rPr>
      <w:b/>
      <w:bCs/>
    </w:rPr>
  </w:style>
  <w:style w:type="character" w:customStyle="1" w:styleId="CommentSubjectChar">
    <w:name w:val="Comment Subject Char"/>
    <w:basedOn w:val="CommentTextChar"/>
    <w:link w:val="CommentSubject"/>
    <w:uiPriority w:val="99"/>
    <w:semiHidden/>
    <w:rsid w:val="00B4340B"/>
    <w:rPr>
      <w:b/>
      <w:bCs/>
      <w:sz w:val="20"/>
      <w:szCs w:val="20"/>
    </w:rPr>
  </w:style>
  <w:style w:type="paragraph" w:customStyle="1" w:styleId="title1">
    <w:name w:val="title1"/>
    <w:basedOn w:val="Normal"/>
    <w:rsid w:val="00DB72E5"/>
    <w:pPr>
      <w:spacing w:after="0" w:line="240" w:lineRule="auto"/>
    </w:pPr>
    <w:rPr>
      <w:rFonts w:ascii="Times New Roman" w:eastAsia="Times New Roman" w:hAnsi="Times New Roman" w:cs="Times New Roman"/>
      <w:sz w:val="27"/>
      <w:szCs w:val="27"/>
    </w:rPr>
  </w:style>
  <w:style w:type="paragraph" w:customStyle="1" w:styleId="desc2">
    <w:name w:val="desc2"/>
    <w:basedOn w:val="Normal"/>
    <w:rsid w:val="00DB72E5"/>
    <w:pPr>
      <w:spacing w:after="0" w:line="240" w:lineRule="auto"/>
    </w:pPr>
    <w:rPr>
      <w:rFonts w:ascii="Times New Roman" w:eastAsia="Times New Roman" w:hAnsi="Times New Roman" w:cs="Times New Roman"/>
      <w:sz w:val="26"/>
      <w:szCs w:val="26"/>
    </w:rPr>
  </w:style>
  <w:style w:type="paragraph" w:customStyle="1" w:styleId="details1">
    <w:name w:val="details1"/>
    <w:basedOn w:val="Normal"/>
    <w:rsid w:val="00DB72E5"/>
    <w:pPr>
      <w:spacing w:after="0" w:line="240" w:lineRule="auto"/>
    </w:pPr>
    <w:rPr>
      <w:rFonts w:ascii="Times New Roman" w:eastAsia="Times New Roman" w:hAnsi="Times New Roman" w:cs="Times New Roman"/>
    </w:rPr>
  </w:style>
  <w:style w:type="character" w:customStyle="1" w:styleId="jrnl">
    <w:name w:val="jrnl"/>
    <w:basedOn w:val="DefaultParagraphFont"/>
    <w:rsid w:val="00DB72E5"/>
  </w:style>
  <w:style w:type="paragraph" w:styleId="Revision">
    <w:name w:val="Revision"/>
    <w:hidden/>
    <w:uiPriority w:val="99"/>
    <w:semiHidden/>
    <w:rsid w:val="00A31ACD"/>
    <w:pPr>
      <w:spacing w:after="0" w:line="240" w:lineRule="auto"/>
    </w:pPr>
  </w:style>
  <w:style w:type="table" w:styleId="TableGrid">
    <w:name w:val="Table Grid"/>
    <w:basedOn w:val="TableNormal"/>
    <w:uiPriority w:val="59"/>
    <w:rsid w:val="00B77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0690"/>
    <w:rPr>
      <w:color w:val="0000FF" w:themeColor="hyperlink"/>
      <w:u w:val="single"/>
    </w:rPr>
  </w:style>
  <w:style w:type="paragraph" w:styleId="ListParagraph">
    <w:name w:val="List Paragraph"/>
    <w:basedOn w:val="Normal"/>
    <w:uiPriority w:val="34"/>
    <w:qFormat/>
    <w:rsid w:val="003437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613949">
      <w:bodyDiv w:val="1"/>
      <w:marLeft w:val="0"/>
      <w:marRight w:val="0"/>
      <w:marTop w:val="0"/>
      <w:marBottom w:val="0"/>
      <w:divBdr>
        <w:top w:val="none" w:sz="0" w:space="0" w:color="auto"/>
        <w:left w:val="none" w:sz="0" w:space="0" w:color="auto"/>
        <w:bottom w:val="none" w:sz="0" w:space="0" w:color="auto"/>
        <w:right w:val="none" w:sz="0" w:space="0" w:color="auto"/>
      </w:divBdr>
      <w:divsChild>
        <w:div w:id="1094135260">
          <w:marLeft w:val="0"/>
          <w:marRight w:val="0"/>
          <w:marTop w:val="0"/>
          <w:marBottom w:val="0"/>
          <w:divBdr>
            <w:top w:val="none" w:sz="0" w:space="0" w:color="auto"/>
            <w:left w:val="none" w:sz="0" w:space="0" w:color="auto"/>
            <w:bottom w:val="none" w:sz="0" w:space="0" w:color="auto"/>
            <w:right w:val="none" w:sz="0" w:space="0" w:color="auto"/>
          </w:divBdr>
          <w:divsChild>
            <w:div w:id="1582523627">
              <w:marLeft w:val="0"/>
              <w:marRight w:val="0"/>
              <w:marTop w:val="0"/>
              <w:marBottom w:val="0"/>
              <w:divBdr>
                <w:top w:val="none" w:sz="0" w:space="0" w:color="auto"/>
                <w:left w:val="none" w:sz="0" w:space="0" w:color="auto"/>
                <w:bottom w:val="none" w:sz="0" w:space="0" w:color="auto"/>
                <w:right w:val="none" w:sz="0" w:space="0" w:color="auto"/>
              </w:divBdr>
              <w:divsChild>
                <w:div w:id="62148276">
                  <w:marLeft w:val="0"/>
                  <w:marRight w:val="0"/>
                  <w:marTop w:val="0"/>
                  <w:marBottom w:val="0"/>
                  <w:divBdr>
                    <w:top w:val="none" w:sz="0" w:space="0" w:color="auto"/>
                    <w:left w:val="none" w:sz="0" w:space="0" w:color="auto"/>
                    <w:bottom w:val="none" w:sz="0" w:space="0" w:color="auto"/>
                    <w:right w:val="none" w:sz="0" w:space="0" w:color="auto"/>
                  </w:divBdr>
                  <w:divsChild>
                    <w:div w:id="646862480">
                      <w:marLeft w:val="75"/>
                      <w:marRight w:val="0"/>
                      <w:marTop w:val="150"/>
                      <w:marBottom w:val="0"/>
                      <w:divBdr>
                        <w:top w:val="none" w:sz="0" w:space="0" w:color="auto"/>
                        <w:left w:val="none" w:sz="0" w:space="0" w:color="auto"/>
                        <w:bottom w:val="none" w:sz="0" w:space="0" w:color="auto"/>
                        <w:right w:val="none" w:sz="0" w:space="0" w:color="auto"/>
                      </w:divBdr>
                      <w:divsChild>
                        <w:div w:id="1680892362">
                          <w:marLeft w:val="0"/>
                          <w:marRight w:val="0"/>
                          <w:marTop w:val="0"/>
                          <w:marBottom w:val="0"/>
                          <w:divBdr>
                            <w:top w:val="none" w:sz="0" w:space="0" w:color="auto"/>
                            <w:left w:val="none" w:sz="0" w:space="0" w:color="auto"/>
                            <w:bottom w:val="none" w:sz="0" w:space="0" w:color="auto"/>
                            <w:right w:val="none" w:sz="0" w:space="0" w:color="auto"/>
                          </w:divBdr>
                          <w:divsChild>
                            <w:div w:id="30278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x.doi.org/10.3402/ejpt.v6.273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55E4D-2F7C-428F-83CA-7820312F7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7076</Words>
  <Characters>40334</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Debbie Marriott</cp:lastModifiedBy>
  <cp:revision>2</cp:revision>
  <cp:lastPrinted>2017-04-15T20:00:00Z</cp:lastPrinted>
  <dcterms:created xsi:type="dcterms:W3CDTF">2017-08-03T04:04:00Z</dcterms:created>
  <dcterms:modified xsi:type="dcterms:W3CDTF">2017-08-03T04:04:00Z</dcterms:modified>
</cp:coreProperties>
</file>