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2D1" w:rsidRPr="00713D16" w:rsidRDefault="003C4D7A" w:rsidP="00713D16">
      <w:pPr>
        <w:pStyle w:val="Heading2"/>
        <w:numPr>
          <w:ilvl w:val="0"/>
          <w:numId w:val="0"/>
        </w:numPr>
        <w:spacing w:before="0" w:after="0"/>
        <w:jc w:val="center"/>
      </w:pPr>
      <w:bookmarkStart w:id="0" w:name="_Toc379787252"/>
      <w:r w:rsidRPr="00713D16">
        <w:rPr>
          <w:bCs/>
          <w:szCs w:val="24"/>
        </w:rPr>
        <w:t>MARKET REACTIONS WHEN ZERO-LEVERAGE FIRMS OBTAIN BANK FINANCE</w:t>
      </w:r>
      <w:bookmarkEnd w:id="0"/>
    </w:p>
    <w:p w:rsidR="00C97C45" w:rsidRDefault="00740E8D" w:rsidP="00713D16">
      <w:pPr>
        <w:ind w:firstLine="0"/>
        <w:jc w:val="center"/>
        <w:rPr>
          <w:rFonts w:cs="Times New Roman"/>
          <w:b/>
          <w:szCs w:val="24"/>
        </w:rPr>
      </w:pPr>
      <w:r w:rsidRPr="00713D16">
        <w:rPr>
          <w:rFonts w:cs="Times New Roman"/>
          <w:b/>
          <w:szCs w:val="24"/>
        </w:rPr>
        <w:t>Andrew Ferguson</w:t>
      </w:r>
      <w:r w:rsidR="0088623F">
        <w:rPr>
          <w:rFonts w:cs="Times New Roman"/>
          <w:b/>
          <w:szCs w:val="24"/>
        </w:rPr>
        <w:t>*</w:t>
      </w:r>
      <w:r w:rsidR="00055A13" w:rsidRPr="00713D16">
        <w:rPr>
          <w:rFonts w:cs="Times New Roman"/>
          <w:b/>
          <w:szCs w:val="24"/>
        </w:rPr>
        <w:t xml:space="preserve"> and </w:t>
      </w:r>
      <w:r w:rsidR="00C97C45" w:rsidRPr="00713D16">
        <w:rPr>
          <w:rFonts w:cs="Times New Roman"/>
          <w:b/>
          <w:szCs w:val="24"/>
        </w:rPr>
        <w:t>Matthew Grosse</w:t>
      </w:r>
    </w:p>
    <w:p w:rsidR="00FC0F38" w:rsidRPr="00713D16" w:rsidRDefault="00FC0F38" w:rsidP="00713D16">
      <w:pPr>
        <w:ind w:firstLine="0"/>
        <w:jc w:val="center"/>
        <w:rPr>
          <w:rFonts w:cs="Times New Roman"/>
          <w:b/>
          <w:i/>
          <w:szCs w:val="24"/>
        </w:rPr>
      </w:pPr>
      <w:r w:rsidRPr="00713D16">
        <w:rPr>
          <w:rFonts w:cs="Times New Roman"/>
          <w:b/>
          <w:i/>
          <w:szCs w:val="24"/>
        </w:rPr>
        <w:t>University of Technology, Sydney</w:t>
      </w:r>
    </w:p>
    <w:p w:rsidR="0088623F" w:rsidRPr="00713D16" w:rsidRDefault="0088623F" w:rsidP="00713D16">
      <w:pPr>
        <w:ind w:firstLine="0"/>
        <w:jc w:val="center"/>
        <w:rPr>
          <w:rFonts w:cs="Times New Roman"/>
          <w:b/>
          <w:szCs w:val="24"/>
        </w:rPr>
      </w:pPr>
    </w:p>
    <w:p w:rsidR="00055A13" w:rsidRPr="00713D16" w:rsidRDefault="00055A13" w:rsidP="00713D16">
      <w:pPr>
        <w:spacing w:line="240" w:lineRule="auto"/>
        <w:ind w:firstLine="0"/>
        <w:rPr>
          <w:rFonts w:cs="Times New Roman"/>
          <w:b/>
          <w:szCs w:val="24"/>
        </w:rPr>
      </w:pPr>
      <w:r w:rsidRPr="00713D16">
        <w:rPr>
          <w:rFonts w:cs="Times New Roman"/>
          <w:b/>
          <w:szCs w:val="24"/>
        </w:rPr>
        <w:t>Abstract</w:t>
      </w:r>
    </w:p>
    <w:p w:rsidR="002A62D1" w:rsidRPr="00B840E2" w:rsidRDefault="002A62D1" w:rsidP="00713D16">
      <w:pPr>
        <w:pStyle w:val="NoSpacing"/>
        <w:spacing w:line="240" w:lineRule="auto"/>
        <w:rPr>
          <w:szCs w:val="24"/>
        </w:rPr>
      </w:pPr>
      <w:r w:rsidRPr="00713D16">
        <w:rPr>
          <w:rFonts w:cs="Times New Roman"/>
          <w:szCs w:val="24"/>
        </w:rPr>
        <w:t xml:space="preserve">Prior studies of </w:t>
      </w:r>
      <w:r w:rsidR="00A0098A" w:rsidRPr="00713D16">
        <w:rPr>
          <w:rFonts w:cs="Times New Roman"/>
          <w:szCs w:val="24"/>
        </w:rPr>
        <w:t>bank loan</w:t>
      </w:r>
      <w:r w:rsidR="00FA3E45" w:rsidRPr="00713D16">
        <w:rPr>
          <w:rFonts w:cs="Times New Roman"/>
          <w:szCs w:val="24"/>
        </w:rPr>
        <w:t xml:space="preserve"> announcements depict</w:t>
      </w:r>
      <w:r w:rsidR="00F0078B" w:rsidRPr="00713D16">
        <w:rPr>
          <w:rFonts w:cs="Times New Roman"/>
          <w:szCs w:val="24"/>
        </w:rPr>
        <w:t xml:space="preserve"> significant capital market reactions. More recent evidence however, fails to </w:t>
      </w:r>
      <w:r w:rsidR="00FA3E45" w:rsidRPr="00713D16">
        <w:rPr>
          <w:rFonts w:cs="Times New Roman"/>
          <w:szCs w:val="24"/>
        </w:rPr>
        <w:t>identify such reactions</w:t>
      </w:r>
      <w:r w:rsidR="00BD1A6D">
        <w:rPr>
          <w:rFonts w:cs="Times New Roman"/>
          <w:szCs w:val="24"/>
        </w:rPr>
        <w:t xml:space="preserve"> </w:t>
      </w:r>
      <w:r w:rsidR="00BD1A6D">
        <w:rPr>
          <w:noProof/>
        </w:rPr>
        <w:t>(</w:t>
      </w:r>
      <w:hyperlink w:anchor="_ENREF_53" w:tooltip="Fields, 2006 #28" w:history="1">
        <w:r w:rsidR="00BD1A6D">
          <w:rPr>
            <w:noProof/>
          </w:rPr>
          <w:t>Fields</w:t>
        </w:r>
        <w:r w:rsidR="00BD1A6D" w:rsidRPr="00E57BF3">
          <w:rPr>
            <w:i/>
            <w:noProof/>
          </w:rPr>
          <w:t xml:space="preserve"> et al.</w:t>
        </w:r>
        <w:r w:rsidR="00BD1A6D">
          <w:rPr>
            <w:noProof/>
          </w:rPr>
          <w:t xml:space="preserve"> 2006</w:t>
        </w:r>
      </w:hyperlink>
      <w:r w:rsidR="00BD1A6D">
        <w:rPr>
          <w:noProof/>
        </w:rPr>
        <w:t xml:space="preserve">, </w:t>
      </w:r>
      <w:hyperlink w:anchor="_ENREF_72" w:tooltip="Maskara, 2011 #24" w:history="1">
        <w:r w:rsidR="00BD1A6D">
          <w:rPr>
            <w:noProof/>
          </w:rPr>
          <w:t>Maskara &amp; Mullineaux 2011</w:t>
        </w:r>
      </w:hyperlink>
      <w:r w:rsidR="00BD1A6D">
        <w:rPr>
          <w:noProof/>
        </w:rPr>
        <w:t xml:space="preserve">). </w:t>
      </w:r>
      <w:r w:rsidRPr="00713D16">
        <w:rPr>
          <w:rFonts w:cs="Times New Roman"/>
          <w:szCs w:val="24"/>
        </w:rPr>
        <w:t xml:space="preserve">In this study, we consider market reactions to loan initiations where the borrower has no prior record of bank lending. </w:t>
      </w:r>
      <w:r w:rsidRPr="00B840E2">
        <w:rPr>
          <w:szCs w:val="24"/>
        </w:rPr>
        <w:t xml:space="preserve">Zero-leverage firms are firms that have zero outstanding short-term or long-term debt in their capital structure </w:t>
      </w:r>
      <w:r w:rsidRPr="00B840E2">
        <w:rPr>
          <w:szCs w:val="24"/>
        </w:rPr>
        <w:fldChar w:fldCharType="begin"/>
      </w:r>
      <w:r w:rsidRPr="00713D16">
        <w:rPr>
          <w:szCs w:val="24"/>
        </w:rPr>
        <w:instrText xml:space="preserve"> ADDIN EN.CITE &lt;EndNote&gt;&lt;Cite&gt;&lt;Author&gt;Strebulaev&lt;/Author&gt;&lt;Year&gt;2013&lt;/Year&gt;&lt;RecNum&gt;53&lt;/RecNum&gt;&lt;DisplayText&gt;(Strebulaev &amp;amp; Yang 2013)&lt;/DisplayText&gt;&lt;record&gt;&lt;rec-number&gt;53&lt;/rec-number&gt;&lt;foreign-keys&gt;&lt;key app="EN" db-id="xpprp0f0rzw05ved0s9xwzaqtxz0v9sfawwv"&gt;53&lt;/key&gt;&lt;/foreign-keys&gt;&lt;ref-type name="Journal Article"&gt;17&lt;/ref-type&gt;&lt;contributors&gt;&lt;authors&gt;&lt;author&gt;Strebulaev, Ilya A.&lt;/author&gt;&lt;author&gt;Yang, Baozhong&lt;/author&gt;&lt;/authors&gt;&lt;/contributors&gt;&lt;titles&gt;&lt;title&gt;The mystery of zero-leverage firms&lt;/title&gt;&lt;secondary-title&gt;Journal of Financial Economics&lt;/secondary-title&gt;&lt;/titles&gt;&lt;periodical&gt;&lt;full-title&gt;Journal of Financial Economics&lt;/full-title&gt;&lt;/periodical&gt;&lt;volume&gt;Forthcoming&lt;/volume&gt;&lt;number&gt;0&lt;/number&gt;&lt;keywords&gt;&lt;keyword&gt;Leverage&lt;/keyword&gt;&lt;keyword&gt;Debt financing&lt;/keyword&gt;&lt;keyword&gt;Capital structure&lt;/keyword&gt;&lt;keyword&gt;Zero leverage&lt;/keyword&gt;&lt;keyword&gt;Financing decisions&lt;/keyword&gt;&lt;keyword&gt;Low-leverage puzzle&lt;/keyword&gt;&lt;/keywords&gt;&lt;dates&gt;&lt;year&gt;2013&lt;/year&gt;&lt;/dates&gt;&lt;isbn&gt;0304-405X&lt;/isbn&gt;&lt;urls&gt;&lt;related-urls&gt;&lt;url&gt;http://www.sciencedirect.com/science/article/pii/S0304405X13000317&lt;/url&gt;&lt;/related-urls&gt;&lt;/urls&gt;&lt;electronic-resource-num&gt;http://dx.doi.org/10.1016/j.jfineco.2013.02.001&lt;/electronic-resource-num&gt;&lt;/record&gt;&lt;/Cite&gt;&lt;/EndNote&gt;</w:instrText>
      </w:r>
      <w:r w:rsidRPr="00B840E2">
        <w:rPr>
          <w:szCs w:val="24"/>
        </w:rPr>
        <w:fldChar w:fldCharType="separate"/>
      </w:r>
      <w:r w:rsidRPr="00B840E2">
        <w:rPr>
          <w:noProof/>
          <w:szCs w:val="24"/>
        </w:rPr>
        <w:t>(</w:t>
      </w:r>
      <w:r w:rsidRPr="00EB17C4">
        <w:rPr>
          <w:noProof/>
          <w:szCs w:val="24"/>
        </w:rPr>
        <w:t>Strebulaev &amp; Yang 2013</w:t>
      </w:r>
      <w:r w:rsidRPr="00B840E2">
        <w:rPr>
          <w:noProof/>
          <w:szCs w:val="24"/>
        </w:rPr>
        <w:t>)</w:t>
      </w:r>
      <w:r w:rsidRPr="00B840E2">
        <w:rPr>
          <w:szCs w:val="24"/>
        </w:rPr>
        <w:fldChar w:fldCharType="end"/>
      </w:r>
      <w:r w:rsidRPr="00B840E2">
        <w:rPr>
          <w:szCs w:val="24"/>
        </w:rPr>
        <w:t xml:space="preserve">. Using a unique </w:t>
      </w:r>
      <w:r w:rsidR="00B840E2" w:rsidRPr="00B840E2">
        <w:rPr>
          <w:szCs w:val="24"/>
        </w:rPr>
        <w:t xml:space="preserve">hand collected </w:t>
      </w:r>
      <w:r w:rsidRPr="00B840E2">
        <w:rPr>
          <w:szCs w:val="24"/>
        </w:rPr>
        <w:t xml:space="preserve">sample of </w:t>
      </w:r>
      <w:r w:rsidR="00B840E2" w:rsidRPr="00B840E2">
        <w:rPr>
          <w:szCs w:val="24"/>
        </w:rPr>
        <w:t xml:space="preserve">bank loan announcements for </w:t>
      </w:r>
      <w:r w:rsidRPr="00BD1A6D">
        <w:rPr>
          <w:szCs w:val="24"/>
        </w:rPr>
        <w:t>Austr</w:t>
      </w:r>
      <w:r w:rsidR="00B840E2" w:rsidRPr="00BD1A6D">
        <w:rPr>
          <w:szCs w:val="24"/>
        </w:rPr>
        <w:t>alian Mining Development Stage e</w:t>
      </w:r>
      <w:r w:rsidRPr="00BD1A6D">
        <w:rPr>
          <w:szCs w:val="24"/>
        </w:rPr>
        <w:t xml:space="preserve">ntities, we find that </w:t>
      </w:r>
      <w:r w:rsidR="00B840E2" w:rsidRPr="00BD1A6D">
        <w:rPr>
          <w:szCs w:val="24"/>
        </w:rPr>
        <w:t xml:space="preserve">both </w:t>
      </w:r>
      <w:r w:rsidRPr="00BD1A6D">
        <w:rPr>
          <w:szCs w:val="24"/>
        </w:rPr>
        <w:t xml:space="preserve">initial bank loans </w:t>
      </w:r>
      <w:r w:rsidR="00B840E2" w:rsidRPr="00BD1A6D">
        <w:rPr>
          <w:szCs w:val="24"/>
        </w:rPr>
        <w:t xml:space="preserve">and subsequent bank loans attract significant market reactions. Further, </w:t>
      </w:r>
      <w:r w:rsidR="00B840E2" w:rsidRPr="00F268CB">
        <w:rPr>
          <w:szCs w:val="24"/>
        </w:rPr>
        <w:t xml:space="preserve">we produce evidence </w:t>
      </w:r>
      <w:r w:rsidR="00B840E2" w:rsidRPr="00663AE5">
        <w:rPr>
          <w:szCs w:val="24"/>
        </w:rPr>
        <w:t xml:space="preserve">consistent with announcements of </w:t>
      </w:r>
      <w:r w:rsidR="00B840E2" w:rsidRPr="00B840E2">
        <w:rPr>
          <w:szCs w:val="24"/>
        </w:rPr>
        <w:t xml:space="preserve">such loans reducing information asymmetry which we proxy for with bid-ask spreads and trading volume. Our final analysis examines evidence of bank specialisation. </w:t>
      </w:r>
      <w:r w:rsidR="00B840E2">
        <w:rPr>
          <w:szCs w:val="24"/>
        </w:rPr>
        <w:t>We find that borrowers from the</w:t>
      </w:r>
      <w:r w:rsidR="00B840E2" w:rsidRPr="00B840E2">
        <w:rPr>
          <w:szCs w:val="24"/>
        </w:rPr>
        <w:t xml:space="preserve"> industry leader in terms of loan origination (Macquarie Bank) </w:t>
      </w:r>
      <w:r w:rsidR="00663AE5">
        <w:rPr>
          <w:szCs w:val="24"/>
        </w:rPr>
        <w:t xml:space="preserve">in this sector </w:t>
      </w:r>
      <w:r w:rsidR="00B840E2">
        <w:rPr>
          <w:szCs w:val="24"/>
        </w:rPr>
        <w:t>exhibit stronger abnormal returns.</w:t>
      </w:r>
      <w:r w:rsidR="00B840E2" w:rsidRPr="00B840E2">
        <w:rPr>
          <w:szCs w:val="24"/>
        </w:rPr>
        <w:t xml:space="preserve"> </w:t>
      </w:r>
    </w:p>
    <w:p w:rsidR="00696F64" w:rsidRPr="00713D16" w:rsidRDefault="00696F64" w:rsidP="00713D16">
      <w:pPr>
        <w:spacing w:line="240" w:lineRule="auto"/>
        <w:ind w:firstLine="0"/>
        <w:rPr>
          <w:rFonts w:cs="Times New Roman"/>
          <w:szCs w:val="24"/>
        </w:rPr>
      </w:pPr>
    </w:p>
    <w:p w:rsidR="00696F64" w:rsidRDefault="00696F64" w:rsidP="00713D16">
      <w:pPr>
        <w:spacing w:line="240" w:lineRule="auto"/>
        <w:ind w:firstLine="0"/>
        <w:rPr>
          <w:rFonts w:cs="Times New Roman"/>
          <w:b/>
          <w:szCs w:val="24"/>
        </w:rPr>
      </w:pPr>
    </w:p>
    <w:p w:rsidR="00696F64" w:rsidRDefault="00696F64" w:rsidP="00713D16">
      <w:pPr>
        <w:spacing w:line="240" w:lineRule="auto"/>
        <w:ind w:firstLine="0"/>
        <w:rPr>
          <w:rFonts w:cs="Times New Roman"/>
          <w:b/>
          <w:szCs w:val="24"/>
        </w:rPr>
      </w:pPr>
    </w:p>
    <w:p w:rsidR="00055A13" w:rsidRPr="00713D16" w:rsidRDefault="003137DE" w:rsidP="00713D16">
      <w:pPr>
        <w:spacing w:line="240" w:lineRule="auto"/>
        <w:ind w:firstLine="0"/>
        <w:rPr>
          <w:rFonts w:cs="Times New Roman"/>
          <w:szCs w:val="24"/>
        </w:rPr>
      </w:pPr>
      <w:r w:rsidRPr="00713D16">
        <w:rPr>
          <w:rFonts w:cs="Times New Roman"/>
          <w:szCs w:val="24"/>
        </w:rPr>
        <w:t xml:space="preserve">Keywords; initial bank loans, bank specialisation, market reactions, mining industry </w:t>
      </w:r>
    </w:p>
    <w:p w:rsidR="0088623F" w:rsidRDefault="0088623F" w:rsidP="0088623F">
      <w:pPr>
        <w:spacing w:after="0" w:line="240" w:lineRule="auto"/>
        <w:rPr>
          <w:rFonts w:cs="Times New Roman"/>
          <w:bCs/>
          <w:szCs w:val="24"/>
        </w:rPr>
      </w:pPr>
    </w:p>
    <w:p w:rsidR="0088623F" w:rsidRDefault="0088623F" w:rsidP="00713D16">
      <w:pPr>
        <w:spacing w:after="0" w:line="240" w:lineRule="auto"/>
        <w:ind w:firstLine="0"/>
        <w:rPr>
          <w:rFonts w:cs="Times New Roman"/>
          <w:bCs/>
          <w:szCs w:val="24"/>
        </w:rPr>
      </w:pPr>
      <w:r>
        <w:rPr>
          <w:rFonts w:cs="Times New Roman"/>
          <w:bCs/>
          <w:szCs w:val="24"/>
        </w:rPr>
        <w:t>*Corresponding author: Andrew Ferguson, Accounting Discipline Group, UTS, P.O. Box 123 Broadway NSW 2007, Australia.</w:t>
      </w:r>
    </w:p>
    <w:p w:rsidR="0088623F" w:rsidRDefault="0088623F" w:rsidP="00713D16">
      <w:pPr>
        <w:spacing w:after="0" w:line="240" w:lineRule="auto"/>
        <w:ind w:firstLine="0"/>
        <w:rPr>
          <w:rFonts w:cs="Times New Roman"/>
          <w:bCs/>
          <w:szCs w:val="24"/>
        </w:rPr>
      </w:pPr>
      <w:r>
        <w:rPr>
          <w:rFonts w:cs="Times New Roman"/>
          <w:bCs/>
          <w:szCs w:val="24"/>
        </w:rPr>
        <w:t xml:space="preserve">Phone: +61 2 9514 3565 </w:t>
      </w:r>
    </w:p>
    <w:p w:rsidR="0088623F" w:rsidRDefault="0088623F" w:rsidP="00713D16">
      <w:pPr>
        <w:spacing w:after="0" w:line="240" w:lineRule="auto"/>
        <w:ind w:firstLine="0"/>
        <w:rPr>
          <w:rFonts w:cs="Times New Roman"/>
          <w:bCs/>
          <w:szCs w:val="24"/>
        </w:rPr>
      </w:pPr>
      <w:r>
        <w:rPr>
          <w:rFonts w:cs="Times New Roman"/>
          <w:bCs/>
          <w:szCs w:val="24"/>
        </w:rPr>
        <w:t>Fax: +61 2 9514 3669</w:t>
      </w:r>
    </w:p>
    <w:p w:rsidR="0088623F" w:rsidRDefault="0088623F" w:rsidP="00713D16">
      <w:pPr>
        <w:ind w:firstLine="0"/>
        <w:rPr>
          <w:rFonts w:cs="Times New Roman"/>
          <w:bCs/>
          <w:szCs w:val="24"/>
          <w:u w:val="single"/>
        </w:rPr>
      </w:pPr>
      <w:r>
        <w:rPr>
          <w:rFonts w:cs="Times New Roman"/>
          <w:bCs/>
          <w:szCs w:val="24"/>
        </w:rPr>
        <w:t>Email address:</w:t>
      </w:r>
      <w:r>
        <w:rPr>
          <w:rFonts w:cs="Times New Roman"/>
          <w:bCs/>
          <w:szCs w:val="24"/>
          <w:u w:val="single"/>
        </w:rPr>
        <w:t xml:space="preserve"> </w:t>
      </w:r>
      <w:hyperlink r:id="rId9" w:history="1">
        <w:r>
          <w:rPr>
            <w:rStyle w:val="Hyperlink"/>
            <w:rFonts w:cs="Times New Roman"/>
            <w:bCs/>
            <w:szCs w:val="24"/>
          </w:rPr>
          <w:t>Andrew.Ferguson@uts.edu.au</w:t>
        </w:r>
      </w:hyperlink>
    </w:p>
    <w:p w:rsidR="0088623F" w:rsidRDefault="0088623F" w:rsidP="00713D16">
      <w:pPr>
        <w:ind w:firstLine="0"/>
        <w:rPr>
          <w:rFonts w:cs="Times New Roman"/>
          <w:sz w:val="28"/>
          <w:szCs w:val="28"/>
        </w:rPr>
      </w:pPr>
      <w:r>
        <w:rPr>
          <w:rFonts w:cs="Times New Roman"/>
          <w:bCs/>
          <w:szCs w:val="24"/>
        </w:rPr>
        <w:t>The authors acknowledge comment</w:t>
      </w:r>
      <w:r w:rsidR="00FC0F38">
        <w:rPr>
          <w:rFonts w:cs="Times New Roman"/>
          <w:bCs/>
          <w:szCs w:val="24"/>
        </w:rPr>
        <w:t>s and suggestions of …</w:t>
      </w:r>
    </w:p>
    <w:p w:rsidR="00C97C45" w:rsidRDefault="00C97C45" w:rsidP="00E61494">
      <w:pPr>
        <w:ind w:firstLine="0"/>
        <w:rPr>
          <w:rFonts w:cs="Times New Roman"/>
          <w:b/>
          <w:szCs w:val="24"/>
        </w:rPr>
        <w:sectPr w:rsidR="00C97C45">
          <w:footerReference w:type="default" r:id="rId10"/>
          <w:pgSz w:w="11906" w:h="16838"/>
          <w:pgMar w:top="1440" w:right="1440" w:bottom="1440" w:left="1440" w:header="708" w:footer="708" w:gutter="0"/>
          <w:cols w:space="708"/>
          <w:docGrid w:linePitch="360"/>
        </w:sectPr>
      </w:pPr>
    </w:p>
    <w:p w:rsidR="009C7151" w:rsidRDefault="001E19D3" w:rsidP="00713D16">
      <w:pPr>
        <w:pStyle w:val="Heading1"/>
        <w:spacing w:after="240"/>
      </w:pPr>
      <w:bookmarkStart w:id="1" w:name="_Toc379787258"/>
      <w:r>
        <w:lastRenderedPageBreak/>
        <w:t>Introduction</w:t>
      </w:r>
      <w:bookmarkEnd w:id="1"/>
    </w:p>
    <w:p w:rsidR="009C7151" w:rsidRDefault="009C7151" w:rsidP="00713D16">
      <w:r>
        <w:rPr>
          <w:szCs w:val="24"/>
        </w:rPr>
        <w:t>F</w:t>
      </w:r>
      <w:r w:rsidRPr="0085279D">
        <w:rPr>
          <w:szCs w:val="24"/>
        </w:rPr>
        <w:t>in</w:t>
      </w:r>
      <w:r>
        <w:rPr>
          <w:szCs w:val="24"/>
        </w:rPr>
        <w:t xml:space="preserve">ancial intermediation theory </w:t>
      </w:r>
      <w:r w:rsidRPr="0085279D">
        <w:rPr>
          <w:szCs w:val="24"/>
        </w:rPr>
        <w:t xml:space="preserve">suggests banks play an important role in </w:t>
      </w:r>
      <w:r>
        <w:rPr>
          <w:szCs w:val="24"/>
        </w:rPr>
        <w:t>information production within an economy.</w:t>
      </w:r>
      <w:r w:rsidRPr="0085279D">
        <w:rPr>
          <w:szCs w:val="24"/>
        </w:rPr>
        <w:t xml:space="preserve"> </w:t>
      </w:r>
      <w:r>
        <w:rPr>
          <w:szCs w:val="24"/>
        </w:rPr>
        <w:t>B</w:t>
      </w:r>
      <w:r w:rsidRPr="0085279D">
        <w:rPr>
          <w:rFonts w:eastAsiaTheme="minorHAnsi"/>
          <w:szCs w:val="24"/>
        </w:rPr>
        <w:t xml:space="preserve">anks </w:t>
      </w:r>
      <w:r>
        <w:rPr>
          <w:rFonts w:eastAsiaTheme="minorHAnsi"/>
          <w:szCs w:val="24"/>
        </w:rPr>
        <w:t xml:space="preserve">have private </w:t>
      </w:r>
      <w:r w:rsidRPr="0085279D">
        <w:rPr>
          <w:rFonts w:eastAsiaTheme="minorHAnsi"/>
          <w:szCs w:val="24"/>
        </w:rPr>
        <w:t>information</w:t>
      </w:r>
      <w:r>
        <w:rPr>
          <w:rFonts w:eastAsiaTheme="minorHAnsi"/>
          <w:szCs w:val="24"/>
        </w:rPr>
        <w:t xml:space="preserve"> suggesting they</w:t>
      </w:r>
      <w:r w:rsidRPr="0085279D">
        <w:rPr>
          <w:rFonts w:eastAsiaTheme="minorHAnsi"/>
          <w:szCs w:val="24"/>
        </w:rPr>
        <w:t xml:space="preserve"> know more about the prospects of the firms they lend to than other</w:t>
      </w:r>
      <w:r>
        <w:rPr>
          <w:rFonts w:eastAsiaTheme="minorHAnsi"/>
          <w:szCs w:val="24"/>
        </w:rPr>
        <w:t xml:space="preserve"> external parties</w:t>
      </w:r>
      <w:r w:rsidRPr="0085279D">
        <w:rPr>
          <w:rFonts w:eastAsiaTheme="minorHAnsi"/>
          <w:szCs w:val="24"/>
        </w:rPr>
        <w:t>.</w:t>
      </w:r>
      <w:r w:rsidR="00713D16">
        <w:rPr>
          <w:rFonts w:eastAsiaTheme="minorHAnsi"/>
          <w:szCs w:val="24"/>
        </w:rPr>
        <w:t xml:space="preserve"> </w:t>
      </w:r>
      <w:r>
        <w:t>Early empirical evidence provides support for the belief that bank loan agreements act to reduce information asymmetries, and signal positive news to the market. Studies observing a positive share price reaction surrounding bank loan announcements</w:t>
      </w:r>
      <w:r w:rsidR="0021579D">
        <w:t xml:space="preserve"> include </w:t>
      </w:r>
      <w:proofErr w:type="spellStart"/>
      <w:r w:rsidR="0021579D">
        <w:t>Mikkelson</w:t>
      </w:r>
      <w:proofErr w:type="spellEnd"/>
      <w:r w:rsidR="0021579D">
        <w:t xml:space="preserve"> &amp; </w:t>
      </w:r>
      <w:proofErr w:type="spellStart"/>
      <w:r w:rsidR="0021579D">
        <w:t>Partch</w:t>
      </w:r>
      <w:proofErr w:type="spellEnd"/>
      <w:r w:rsidR="0021579D">
        <w:t xml:space="preserve"> 1986, James 1987 and </w:t>
      </w:r>
      <w:proofErr w:type="spellStart"/>
      <w:r w:rsidR="0021579D">
        <w:t>Lummer</w:t>
      </w:r>
      <w:proofErr w:type="spellEnd"/>
      <w:r w:rsidR="0021579D">
        <w:t xml:space="preserve"> &amp; McConnell 1989</w:t>
      </w:r>
      <w:r>
        <w:t>.</w:t>
      </w:r>
      <w:r>
        <w:rPr>
          <w:rStyle w:val="FootnoteReference"/>
        </w:rPr>
        <w:footnoteReference w:id="1"/>
      </w:r>
      <w:r>
        <w:t xml:space="preserve"> However, recent studies show that market reactions to bank loan announcements may not be positive, with doubt placed upon the effectiveness of bank loan decisions to signal information to equity investors </w:t>
      </w:r>
      <w:r>
        <w:fldChar w:fldCharType="begin"/>
      </w:r>
      <w:r>
        <w:instrText xml:space="preserve"> ADDIN EN.CITE &lt;EndNote&gt;&lt;Cite&gt;&lt;Author&gt;Fields&lt;/Author&gt;&lt;Year&gt;2006&lt;/Year&gt;&lt;RecNum&gt;28&lt;/RecNum&gt;&lt;DisplayText&gt;(Fields&lt;style face="italic"&gt; et al.&lt;/style&gt; 2006; Maskara &amp;amp; Mullineaux 2011)&lt;/DisplayText&gt;&lt;record&gt;&lt;rec-number&gt;28&lt;/rec-number&gt;&lt;foreign-keys&gt;&lt;key app="EN" db-id="xpprp0f0rzw05ved0s9xwzaqtxz0v9sfawwv"&gt;28&lt;/key&gt;&lt;/foreign-keys&gt;&lt;ref-type name="Journal Article"&gt;17&lt;/ref-type&gt;&lt;contributors&gt;&lt;authors&gt;&lt;author&gt;Fields, L.P.&lt;/author&gt;&lt;author&gt;Fraser, D.R.&lt;/author&gt;&lt;author&gt;Berry, T.L.&lt;/author&gt;&lt;author&gt;Byers, S.&lt;/author&gt;&lt;/authors&gt;&lt;/contributors&gt;&lt;titles&gt;&lt;title&gt;Do bank loan relationships still matter?&lt;/title&gt;&lt;secondary-title&gt;Journal of Money, Credit, and Banking&lt;/secondary-title&gt;&lt;/titles&gt;&lt;periodical&gt;&lt;full-title&gt;Journal of Money, Credit, and Banking&lt;/full-title&gt;&lt;/periodical&gt;&lt;pages&gt;1195-1209&lt;/pages&gt;&lt;volume&gt;38&lt;/volume&gt;&lt;number&gt;5&lt;/number&gt;&lt;dates&gt;&lt;year&gt;2006&lt;/year&gt;&lt;/dates&gt;&lt;isbn&gt;1538-4616&lt;/isbn&gt;&lt;urls&gt;&lt;/urls&gt;&lt;/record&gt;&lt;/Cite&gt;&lt;Cite&gt;&lt;Author&gt;Maskara&lt;/Author&gt;&lt;Year&gt;2011&lt;/Year&gt;&lt;RecNum&gt;24&lt;/RecNum&gt;&lt;record&gt;&lt;rec-number&gt;24&lt;/rec-number&gt;&lt;foreign-keys&gt;&lt;key app="EN" db-id="xpprp0f0rzw05ved0s9xwzaqtxz0v9sfawwv"&gt;24&lt;/key&gt;&lt;/foreign-keys&gt;&lt;ref-type name="Journal Article"&gt;17&lt;/ref-type&gt;&lt;contributors&gt;&lt;authors&gt;&lt;author&gt;Maskara, P.K.&lt;/author&gt;&lt;author&gt;Mullineaux, D.J.&lt;/author&gt;&lt;/authors&gt;&lt;/contributors&gt;&lt;titles&gt;&lt;title&gt;Information asymmetry and self-selection bias in bank loan announcement studies&lt;/title&gt;&lt;secondary-title&gt;Journal of Financial Economics&lt;/secondary-title&gt;&lt;/titles&gt;&lt;periodical&gt;&lt;full-title&gt;Journal of Financial Economics&lt;/full-title&gt;&lt;/periodical&gt;&lt;pages&gt;684-694&lt;/pages&gt;&lt;volume&gt;101&lt;/volume&gt;&lt;number&gt;3&lt;/number&gt;&lt;dates&gt;&lt;year&gt;2011&lt;/year&gt;&lt;/dates&gt;&lt;isbn&gt;0304-405X&lt;/isbn&gt;&lt;urls&gt;&lt;/urls&gt;&lt;/record&gt;&lt;/Cite&gt;&lt;/EndNote&gt;</w:instrText>
      </w:r>
      <w:r>
        <w:fldChar w:fldCharType="separate"/>
      </w:r>
      <w:r>
        <w:rPr>
          <w:noProof/>
        </w:rPr>
        <w:t>(</w:t>
      </w:r>
      <w:hyperlink w:anchor="_ENREF_53" w:tooltip="Fields, 2006 #28" w:history="1">
        <w:r>
          <w:rPr>
            <w:noProof/>
          </w:rPr>
          <w:t>Fields</w:t>
        </w:r>
        <w:r w:rsidRPr="00E57BF3">
          <w:rPr>
            <w:i/>
            <w:noProof/>
          </w:rPr>
          <w:t xml:space="preserve"> et al.</w:t>
        </w:r>
        <w:r>
          <w:rPr>
            <w:noProof/>
          </w:rPr>
          <w:t xml:space="preserve"> 2006</w:t>
        </w:r>
      </w:hyperlink>
      <w:r>
        <w:rPr>
          <w:noProof/>
        </w:rPr>
        <w:t xml:space="preserve">; </w:t>
      </w:r>
      <w:hyperlink w:anchor="_ENREF_72" w:tooltip="Maskara, 2011 #24" w:history="1">
        <w:r>
          <w:rPr>
            <w:noProof/>
          </w:rPr>
          <w:t>Maskara &amp; Mullineaux 2011</w:t>
        </w:r>
      </w:hyperlink>
      <w:r>
        <w:rPr>
          <w:noProof/>
        </w:rPr>
        <w:t>)</w:t>
      </w:r>
      <w:r>
        <w:fldChar w:fldCharType="end"/>
      </w:r>
      <w:r>
        <w:t>. One possible reason why studies fail to observe positive market reactions might be the distinction between initial and subsequent bank loans. Most empirical studies to date consider samples where bank loan announcements are observed for firms with established credit or borrowing histories.</w:t>
      </w:r>
    </w:p>
    <w:p w:rsidR="007A0E18" w:rsidRDefault="004F4D2A" w:rsidP="00713D16">
      <w:pPr>
        <w:pStyle w:val="NoSpacing"/>
        <w:ind w:firstLine="720"/>
      </w:pPr>
      <w:r>
        <w:t>Our study has three main objectives. First, we</w:t>
      </w:r>
      <w:r w:rsidRPr="002676C8">
        <w:t xml:space="preserve"> aim to provide a </w:t>
      </w:r>
      <w:r w:rsidR="007A0E18">
        <w:t xml:space="preserve">better understanding of signalling around bank loan announcements </w:t>
      </w:r>
      <w:r>
        <w:rPr>
          <w:rFonts w:eastAsiaTheme="minorHAnsi" w:cs="Times New Roman"/>
        </w:rPr>
        <w:t xml:space="preserve">by observing market reactions surrounding zero-leverage firms making initial bank loan announcements. Observing initial loan announcements can indicate </w:t>
      </w:r>
      <w:r w:rsidRPr="002676C8">
        <w:rPr>
          <w:rFonts w:eastAsiaTheme="minorHAnsi" w:cs="Times New Roman"/>
        </w:rPr>
        <w:t>whether banks have an information</w:t>
      </w:r>
      <w:r>
        <w:rPr>
          <w:rFonts w:eastAsiaTheme="minorHAnsi" w:cs="Times New Roman"/>
        </w:rPr>
        <w:t xml:space="preserve"> </w:t>
      </w:r>
      <w:r w:rsidRPr="002676C8">
        <w:rPr>
          <w:rFonts w:eastAsiaTheme="minorHAnsi" w:cs="Times New Roman"/>
        </w:rPr>
        <w:t>advantage over other capital</w:t>
      </w:r>
      <w:r>
        <w:rPr>
          <w:rFonts w:eastAsiaTheme="minorHAnsi" w:cs="Times New Roman"/>
        </w:rPr>
        <w:t xml:space="preserve"> </w:t>
      </w:r>
      <w:r w:rsidRPr="002676C8">
        <w:rPr>
          <w:rFonts w:eastAsiaTheme="minorHAnsi" w:cs="Times New Roman"/>
        </w:rPr>
        <w:t>market participants at the outset of a loan</w:t>
      </w:r>
      <w:r>
        <w:rPr>
          <w:rFonts w:eastAsiaTheme="minorHAnsi" w:cs="Times New Roman"/>
        </w:rPr>
        <w:t xml:space="preserve"> </w:t>
      </w:r>
      <w:r w:rsidRPr="002676C8">
        <w:rPr>
          <w:rFonts w:eastAsiaTheme="minorHAnsi" w:cs="Times New Roman"/>
        </w:rPr>
        <w:t>agreement</w:t>
      </w:r>
      <w:r>
        <w:rPr>
          <w:rFonts w:eastAsiaTheme="minorHAnsi" w:cs="Times New Roman"/>
        </w:rPr>
        <w:t>,</w:t>
      </w:r>
      <w:r w:rsidRPr="002676C8">
        <w:rPr>
          <w:rFonts w:eastAsiaTheme="minorHAnsi" w:cs="Times New Roman"/>
        </w:rPr>
        <w:t xml:space="preserve"> or whether </w:t>
      </w:r>
      <w:r>
        <w:rPr>
          <w:rFonts w:eastAsiaTheme="minorHAnsi" w:cs="Times New Roman"/>
        </w:rPr>
        <w:t xml:space="preserve">an information </w:t>
      </w:r>
      <w:r w:rsidRPr="002676C8">
        <w:rPr>
          <w:rFonts w:eastAsiaTheme="minorHAnsi" w:cs="Times New Roman"/>
        </w:rPr>
        <w:t xml:space="preserve">advantage </w:t>
      </w:r>
      <w:r>
        <w:rPr>
          <w:rFonts w:eastAsiaTheme="minorHAnsi" w:cs="Times New Roman"/>
        </w:rPr>
        <w:t>develops</w:t>
      </w:r>
      <w:r w:rsidRPr="002676C8">
        <w:rPr>
          <w:rFonts w:eastAsiaTheme="minorHAnsi" w:cs="Times New Roman"/>
        </w:rPr>
        <w:t xml:space="preserve"> </w:t>
      </w:r>
      <w:r>
        <w:rPr>
          <w:rFonts w:eastAsiaTheme="minorHAnsi" w:cs="Times New Roman"/>
        </w:rPr>
        <w:t xml:space="preserve">from </w:t>
      </w:r>
      <w:r w:rsidRPr="002676C8">
        <w:rPr>
          <w:rFonts w:eastAsiaTheme="minorHAnsi" w:cs="Times New Roman"/>
        </w:rPr>
        <w:t>a continuing</w:t>
      </w:r>
      <w:r>
        <w:rPr>
          <w:rFonts w:eastAsiaTheme="minorHAnsi" w:cs="Times New Roman"/>
        </w:rPr>
        <w:t xml:space="preserve"> </w:t>
      </w:r>
      <w:r w:rsidRPr="002676C8">
        <w:rPr>
          <w:rFonts w:eastAsiaTheme="minorHAnsi" w:cs="Times New Roman"/>
        </w:rPr>
        <w:t>working relationship with</w:t>
      </w:r>
      <w:r>
        <w:rPr>
          <w:rFonts w:eastAsiaTheme="minorHAnsi" w:cs="Times New Roman"/>
        </w:rPr>
        <w:t xml:space="preserve"> a</w:t>
      </w:r>
      <w:r w:rsidRPr="002676C8">
        <w:rPr>
          <w:rFonts w:eastAsiaTheme="minorHAnsi" w:cs="Times New Roman"/>
        </w:rPr>
        <w:t xml:space="preserve"> borrower.</w:t>
      </w:r>
      <w:r>
        <w:rPr>
          <w:rFonts w:eastAsiaTheme="minorHAnsi" w:cs="Times New Roman"/>
        </w:rPr>
        <w:t xml:space="preserve"> Prior studies have concluded that b</w:t>
      </w:r>
      <w:r>
        <w:rPr>
          <w:rFonts w:eastAsiaTheme="minorHAnsi" w:cs="Times New Roman"/>
          <w:szCs w:val="24"/>
        </w:rPr>
        <w:t xml:space="preserve">anks enter new credit agreements with no information advantage relative to </w:t>
      </w:r>
      <w:r>
        <w:rPr>
          <w:rFonts w:eastAsiaTheme="minorHAnsi" w:cs="Times New Roman"/>
          <w:szCs w:val="24"/>
        </w:rPr>
        <w:lastRenderedPageBreak/>
        <w:t>other investors. However, as banks maintain a lending relationship with their customers, they produce superior information which gives them a relative information advantage over external parties</w:t>
      </w:r>
      <w:r w:rsidR="003764AD">
        <w:rPr>
          <w:rFonts w:eastAsiaTheme="minorHAnsi" w:cs="Times New Roman"/>
          <w:szCs w:val="24"/>
        </w:rPr>
        <w:t xml:space="preserve"> (</w:t>
      </w:r>
      <w:proofErr w:type="spellStart"/>
      <w:r w:rsidR="003764AD">
        <w:rPr>
          <w:rFonts w:eastAsiaTheme="minorHAnsi" w:cs="Times New Roman"/>
          <w:szCs w:val="24"/>
        </w:rPr>
        <w:t>Lummer</w:t>
      </w:r>
      <w:proofErr w:type="spellEnd"/>
      <w:r w:rsidR="003764AD">
        <w:rPr>
          <w:rFonts w:eastAsiaTheme="minorHAnsi" w:cs="Times New Roman"/>
          <w:szCs w:val="24"/>
        </w:rPr>
        <w:t xml:space="preserve"> &amp; McConnell 1989).</w:t>
      </w:r>
      <w:r>
        <w:rPr>
          <w:rFonts w:eastAsiaTheme="minorHAnsi" w:cs="Times New Roman"/>
          <w:szCs w:val="24"/>
        </w:rPr>
        <w:t xml:space="preserve"> </w:t>
      </w:r>
      <w:r w:rsidR="003764AD">
        <w:rPr>
          <w:rFonts w:eastAsiaTheme="minorHAnsi" w:cs="Times New Roman"/>
          <w:szCs w:val="24"/>
        </w:rPr>
        <w:t>These</w:t>
      </w:r>
      <w:r>
        <w:rPr>
          <w:rFonts w:eastAsiaTheme="minorHAnsi" w:cs="Times New Roman"/>
          <w:szCs w:val="24"/>
        </w:rPr>
        <w:t xml:space="preserve"> conclusions are based on samples of </w:t>
      </w:r>
      <w:r>
        <w:t>observed bank switches and bank</w:t>
      </w:r>
      <w:r w:rsidR="007A0E18">
        <w:t xml:space="preserve"> loan renewals. In contrast, a loan initiation sample provides an interesting setting to examine whether bank lending decisions can signal superior private information to investors. We argue that </w:t>
      </w:r>
      <w:proofErr w:type="gramStart"/>
      <w:r w:rsidR="007A0E18">
        <w:t>observing loan initiations, as opposed to bank switches and renewals as in previous studies, is</w:t>
      </w:r>
      <w:proofErr w:type="gramEnd"/>
      <w:r w:rsidR="007A0E18">
        <w:t xml:space="preserve"> a better setting in which to observe bank lending signals. </w:t>
      </w:r>
    </w:p>
    <w:p w:rsidR="007A0E18" w:rsidRDefault="007A0E18" w:rsidP="007A0E18">
      <w:pPr>
        <w:rPr>
          <w:rFonts w:eastAsiaTheme="minorHAnsi"/>
        </w:rPr>
      </w:pPr>
      <w:r>
        <w:t>Second, we consider whether bank loans resolve information asymmetry by signalling private information to the market. We analyse changes in the borrowing firm’s bid-ask spread and trading volume surrounding bank loan announcements to proxy for changes in the level of information asymmetry. A negative association between b</w:t>
      </w:r>
      <w:r>
        <w:rPr>
          <w:rFonts w:eastAsiaTheme="minorHAnsi"/>
        </w:rPr>
        <w:t xml:space="preserve">ank loans and borrower information asymmetry would be consistent with </w:t>
      </w:r>
      <w:r>
        <w:rPr>
          <w:rFonts w:eastAsiaTheme="minorHAnsi"/>
        </w:rPr>
        <w:fldChar w:fldCharType="begin"/>
      </w:r>
      <w:r>
        <w:rPr>
          <w:rFonts w:eastAsiaTheme="minorHAnsi"/>
        </w:rPr>
        <w:instrText xml:space="preserve"> ADDIN EN.CITE &lt;EndNote&gt;&lt;Cite AuthorYear="1"&gt;&lt;Author&gt;Fama&lt;/Author&gt;&lt;Year&gt;1985&lt;/Year&gt;&lt;RecNum&gt;5&lt;/RecNum&gt;&lt;DisplayText&gt;Fama (1985)&lt;/DisplayText&gt;&lt;record&gt;&lt;rec-number&gt;5&lt;/rec-number&gt;&lt;foreign-keys&gt;&lt;key app="EN" db-id="xpprp0f0rzw05ved0s9xwzaqtxz0v9sfawwv"&gt;5&lt;/key&gt;&lt;/foreign-keys&gt;&lt;ref-type name="Journal Article"&gt;17&lt;/ref-type&gt;&lt;contributors&gt;&lt;authors&gt;&lt;author&gt;Fama, Eugene F.&lt;/author&gt;&lt;/authors&gt;&lt;/contributors&gt;&lt;titles&gt;&lt;title&gt;What&amp;apos;s different about banks?&lt;/title&gt;&lt;secondary-title&gt;Journal of Monetary Economics&lt;/secondary-title&gt;&lt;/titles&gt;&lt;periodical&gt;&lt;full-title&gt;Journal of Monetary Economics&lt;/full-title&gt;&lt;/periodical&gt;&lt;pages&gt;29-39&lt;/pages&gt;&lt;volume&gt;15&lt;/volume&gt;&lt;number&gt;1&lt;/number&gt;&lt;dates&gt;&lt;year&gt;1985&lt;/year&gt;&lt;/dates&gt;&lt;isbn&gt;0304-3932&lt;/isbn&gt;&lt;urls&gt;&lt;related-urls&gt;&lt;url&gt;http://www.sciencedirect.com/science/article/pii/0304393285900510&lt;/url&gt;&lt;/related-urls&gt;&lt;/urls&gt;&lt;electronic-resource-num&gt;10.1016/0304-3932(85)90051-0&lt;/electronic-resource-num&gt;&lt;/record&gt;&lt;/Cite&gt;&lt;/EndNote&gt;</w:instrText>
      </w:r>
      <w:r>
        <w:rPr>
          <w:rFonts w:eastAsiaTheme="minorHAnsi"/>
        </w:rPr>
        <w:fldChar w:fldCharType="separate"/>
      </w:r>
      <w:hyperlink w:anchor="_ENREF_42" w:tooltip="Fama, 1985 #5" w:history="1">
        <w:r>
          <w:rPr>
            <w:rFonts w:eastAsiaTheme="minorHAnsi"/>
            <w:noProof/>
          </w:rPr>
          <w:t>Fama (1985</w:t>
        </w:r>
      </w:hyperlink>
      <w:r>
        <w:rPr>
          <w:rFonts w:eastAsiaTheme="minorHAnsi"/>
          <w:noProof/>
        </w:rPr>
        <w:t>)</w:t>
      </w:r>
      <w:r>
        <w:rPr>
          <w:rFonts w:eastAsiaTheme="minorHAnsi"/>
        </w:rPr>
        <w:fldChar w:fldCharType="end"/>
      </w:r>
      <w:r>
        <w:rPr>
          <w:rFonts w:eastAsiaTheme="minorHAnsi"/>
        </w:rPr>
        <w:t>,</w:t>
      </w:r>
      <w:r>
        <w:t xml:space="preserve"> </w:t>
      </w:r>
      <w:r w:rsidR="005C1659">
        <w:t xml:space="preserve">who argues </w:t>
      </w:r>
      <w:r>
        <w:rPr>
          <w:rFonts w:eastAsiaTheme="minorHAnsi"/>
        </w:rPr>
        <w:t>that many organizations pay periodic monitoring fees for lines of credit from banks that remain unused, for the sole purpose of providing positive signals about the firm’s</w:t>
      </w:r>
      <w:r w:rsidR="005C1659">
        <w:rPr>
          <w:rFonts w:eastAsiaTheme="minorHAnsi"/>
        </w:rPr>
        <w:t xml:space="preserve"> incomplete contracts</w:t>
      </w:r>
      <w:r>
        <w:rPr>
          <w:rFonts w:eastAsiaTheme="minorHAnsi"/>
        </w:rPr>
        <w:t xml:space="preserve">. </w:t>
      </w:r>
      <w:r w:rsidR="0041173F">
        <w:rPr>
          <w:rFonts w:eastAsiaTheme="minorHAnsi"/>
        </w:rPr>
        <w:t xml:space="preserve">Other literature suggests </w:t>
      </w:r>
      <w:r>
        <w:rPr>
          <w:rFonts w:eastAsiaTheme="minorHAnsi"/>
        </w:rPr>
        <w:t>that the presence of bank debt in firms' capital structures lower</w:t>
      </w:r>
      <w:r w:rsidR="0041173F">
        <w:rPr>
          <w:rFonts w:eastAsiaTheme="minorHAnsi"/>
        </w:rPr>
        <w:t>s</w:t>
      </w:r>
      <w:r>
        <w:rPr>
          <w:rFonts w:eastAsiaTheme="minorHAnsi"/>
        </w:rPr>
        <w:t xml:space="preserve"> information asymmetry in that it attenuates IPO under-pricing </w:t>
      </w:r>
      <w:r>
        <w:rPr>
          <w:rFonts w:eastAsiaTheme="minorHAnsi"/>
        </w:rPr>
        <w:fldChar w:fldCharType="begin"/>
      </w:r>
      <w:r>
        <w:rPr>
          <w:rFonts w:eastAsiaTheme="minorHAnsi"/>
        </w:rPr>
        <w:instrText xml:space="preserve"> ADDIN EN.CITE &lt;EndNote&gt;&lt;Cite&gt;&lt;Author&gt;James&lt;/Author&gt;&lt;Year&gt;1990&lt;/Year&gt;&lt;RecNum&gt;110&lt;/RecNum&gt;&lt;DisplayText&gt;(James &amp;amp; Wier 1990; Slovin &amp;amp; Young 1990)&lt;/DisplayText&gt;&lt;record&gt;&lt;rec-number&gt;110&lt;/rec-number&gt;&lt;foreign-keys&gt;&lt;key app="EN" db-id="xpprp0f0rzw05ved0s9xwzaqtxz0v9sfawwv"&gt;110&lt;/key&gt;&lt;/foreign-keys&gt;&lt;ref-type name="Journal Article"&gt;17&lt;/ref-type&gt;&lt;contributors&gt;&lt;authors&gt;&lt;author&gt;James, Christopher&lt;/author&gt;&lt;author&gt;Wier, Peggy&lt;/author&gt;&lt;/authors&gt;&lt;/contributors&gt;&lt;titles&gt;&lt;title&gt;Borrowing relationships, intermediation, and the cost of issuing public securities&lt;/title&gt;&lt;secondary-title&gt;Journal of Financial Economics&lt;/secondary-title&gt;&lt;/titles&gt;&lt;periodical&gt;&lt;full-title&gt;Journal of Financial Economics&lt;/full-title&gt;&lt;/periodical&gt;&lt;pages&gt;149-171&lt;/pages&gt;&lt;volume&gt;28&lt;/volume&gt;&lt;number&gt;1&lt;/number&gt;&lt;dates&gt;&lt;year&gt;1990&lt;/year&gt;&lt;/dates&gt;&lt;isbn&gt;0304-405X&lt;/isbn&gt;&lt;urls&gt;&lt;/urls&gt;&lt;/record&gt;&lt;/Cite&gt;&lt;Cite&gt;&lt;Author&gt;Slovin&lt;/Author&gt;&lt;Year&gt;1990&lt;/Year&gt;&lt;RecNum&gt;111&lt;/RecNum&gt;&lt;record&gt;&lt;rec-number&gt;111&lt;/rec-number&gt;&lt;foreign-keys&gt;&lt;key app="EN" db-id="xpprp0f0rzw05ved0s9xwzaqtxz0v9sfawwv"&gt;111&lt;/key&gt;&lt;/foreign-keys&gt;&lt;ref-type name="Journal Article"&gt;17&lt;/ref-type&gt;&lt;contributors&gt;&lt;authors&gt;&lt;author&gt;Slovin, Myron B&lt;/author&gt;&lt;author&gt;Young, John E&lt;/author&gt;&lt;/authors&gt;&lt;/contributors&gt;&lt;titles&gt;&lt;title&gt;Bank lending and initial public offerings&lt;/title&gt;&lt;secondary-title&gt;Journal of Banking &amp;amp; Finance&lt;/secondary-title&gt;&lt;/titles&gt;&lt;periodical&gt;&lt;full-title&gt;Journal of Banking &amp;amp; Finance&lt;/full-title&gt;&lt;/periodical&gt;&lt;pages&gt;729-740&lt;/pages&gt;&lt;volume&gt;14&lt;/volume&gt;&lt;number&gt;4&lt;/number&gt;&lt;dates&gt;&lt;year&gt;1990&lt;/year&gt;&lt;/dates&gt;&lt;isbn&gt;0378-4266&lt;/isbn&gt;&lt;urls&gt;&lt;/urls&gt;&lt;/record&gt;&lt;/Cite&gt;&lt;/EndNote&gt;</w:instrText>
      </w:r>
      <w:r>
        <w:rPr>
          <w:rFonts w:eastAsiaTheme="minorHAnsi"/>
        </w:rPr>
        <w:fldChar w:fldCharType="separate"/>
      </w:r>
      <w:r>
        <w:rPr>
          <w:rFonts w:eastAsiaTheme="minorHAnsi"/>
          <w:noProof/>
        </w:rPr>
        <w:t>(</w:t>
      </w:r>
      <w:hyperlink w:anchor="_ENREF_61" w:tooltip="James, 1990 #110" w:history="1">
        <w:r>
          <w:rPr>
            <w:rFonts w:eastAsiaTheme="minorHAnsi"/>
            <w:noProof/>
          </w:rPr>
          <w:t>James &amp; Wier 1990</w:t>
        </w:r>
      </w:hyperlink>
      <w:r>
        <w:rPr>
          <w:rFonts w:eastAsiaTheme="minorHAnsi"/>
          <w:noProof/>
        </w:rPr>
        <w:t xml:space="preserve">; </w:t>
      </w:r>
      <w:hyperlink w:anchor="_ENREF_94" w:tooltip="Slovin, 1990 #111" w:history="1">
        <w:r>
          <w:rPr>
            <w:rFonts w:eastAsiaTheme="minorHAnsi"/>
            <w:noProof/>
          </w:rPr>
          <w:t>Slovin &amp; Young 1990</w:t>
        </w:r>
      </w:hyperlink>
      <w:r>
        <w:rPr>
          <w:rFonts w:eastAsiaTheme="minorHAnsi"/>
          <w:noProof/>
        </w:rPr>
        <w:t>)</w:t>
      </w:r>
      <w:r>
        <w:rPr>
          <w:rFonts w:eastAsiaTheme="minorHAnsi"/>
        </w:rPr>
        <w:fldChar w:fldCharType="end"/>
      </w:r>
      <w:r>
        <w:rPr>
          <w:rFonts w:eastAsiaTheme="minorHAnsi"/>
        </w:rPr>
        <w:t>, negative share pr</w:t>
      </w:r>
      <w:r w:rsidR="0041173F">
        <w:rPr>
          <w:rFonts w:eastAsiaTheme="minorHAnsi"/>
        </w:rPr>
        <w:t>ice response to SEO’</w:t>
      </w:r>
      <w:r w:rsidRPr="001C65D5">
        <w:rPr>
          <w:rFonts w:eastAsiaTheme="minorHAnsi"/>
        </w:rPr>
        <w:t>s</w:t>
      </w:r>
      <w:r>
        <w:rPr>
          <w:rFonts w:eastAsiaTheme="minorHAnsi"/>
        </w:rPr>
        <w:t xml:space="preserve"> </w:t>
      </w:r>
      <w:r>
        <w:rPr>
          <w:rFonts w:eastAsiaTheme="minorHAnsi"/>
        </w:rPr>
        <w:fldChar w:fldCharType="begin"/>
      </w:r>
      <w:r>
        <w:rPr>
          <w:rFonts w:eastAsiaTheme="minorHAnsi"/>
        </w:rPr>
        <w:instrText xml:space="preserve"> ADDIN EN.CITE &lt;EndNote&gt;&lt;Cite&gt;&lt;Author&gt;Slovin&lt;/Author&gt;&lt;Year&gt;1990&lt;/Year&gt;&lt;RecNum&gt;112&lt;/RecNum&gt;&lt;DisplayText&gt;(Slovin&lt;style face="italic"&gt; et al.&lt;/style&gt; 1990)&lt;/DisplayText&gt;&lt;record&gt;&lt;rec-number&gt;112&lt;/rec-number&gt;&lt;foreign-keys&gt;&lt;key app="EN" db-id="xpprp0f0rzw05ved0s9xwzaqtxz0v9sfawwv"&gt;112&lt;/key&gt;&lt;/foreign-keys&gt;&lt;ref-type name="Journal Article"&gt;17&lt;/ref-type&gt;&lt;contributors&gt;&lt;authors&gt;&lt;author&gt;Slovin, Myron B&lt;/author&gt;&lt;author&gt;Sushka, Marie E&lt;/author&gt;&lt;author&gt;Hudson, Carl D&lt;/author&gt;&lt;/authors&gt;&lt;/contributors&gt;&lt;titles&gt;&lt;title&gt;External monitoring and its effect on seasoned common stock issues&lt;/title&gt;&lt;secondary-title&gt;Journal of Accounting and Economics&lt;/secondary-title&gt;&lt;/titles&gt;&lt;periodical&gt;&lt;full-title&gt;Journal of Accounting and Economics&lt;/full-title&gt;&lt;/periodical&gt;&lt;pages&gt;397-417&lt;/pages&gt;&lt;volume&gt;12&lt;/volume&gt;&lt;number&gt;4&lt;/number&gt;&lt;dates&gt;&lt;year&gt;1990&lt;/year&gt;&lt;/dates&gt;&lt;isbn&gt;0165-4101&lt;/isbn&gt;&lt;urls&gt;&lt;/urls&gt;&lt;/record&gt;&lt;/Cite&gt;&lt;/EndNote&gt;</w:instrText>
      </w:r>
      <w:r>
        <w:rPr>
          <w:rFonts w:eastAsiaTheme="minorHAnsi"/>
        </w:rPr>
        <w:fldChar w:fldCharType="separate"/>
      </w:r>
      <w:r>
        <w:rPr>
          <w:rFonts w:eastAsiaTheme="minorHAnsi"/>
          <w:noProof/>
        </w:rPr>
        <w:t>(</w:t>
      </w:r>
      <w:hyperlink w:anchor="_ENREF_93" w:tooltip="Slovin, 1990 #112" w:history="1">
        <w:r>
          <w:rPr>
            <w:rFonts w:eastAsiaTheme="minorHAnsi"/>
            <w:noProof/>
          </w:rPr>
          <w:t>Slovin</w:t>
        </w:r>
        <w:r w:rsidRPr="001C65D5">
          <w:rPr>
            <w:rFonts w:eastAsiaTheme="minorHAnsi"/>
            <w:i/>
            <w:noProof/>
          </w:rPr>
          <w:t xml:space="preserve"> et al.</w:t>
        </w:r>
        <w:r>
          <w:rPr>
            <w:rFonts w:eastAsiaTheme="minorHAnsi"/>
            <w:noProof/>
          </w:rPr>
          <w:t xml:space="preserve"> 1990</w:t>
        </w:r>
      </w:hyperlink>
      <w:r>
        <w:rPr>
          <w:rFonts w:eastAsiaTheme="minorHAnsi"/>
          <w:noProof/>
        </w:rPr>
        <w:t>)</w:t>
      </w:r>
      <w:r>
        <w:rPr>
          <w:rFonts w:eastAsiaTheme="minorHAnsi"/>
        </w:rPr>
        <w:fldChar w:fldCharType="end"/>
      </w:r>
      <w:r>
        <w:rPr>
          <w:rFonts w:eastAsiaTheme="minorHAnsi"/>
        </w:rPr>
        <w:t xml:space="preserve"> and lowers the cost of debt capital for bond issuances </w:t>
      </w:r>
      <w:r>
        <w:rPr>
          <w:rFonts w:eastAsiaTheme="minorHAnsi"/>
        </w:rPr>
        <w:fldChar w:fldCharType="begin"/>
      </w:r>
      <w:r>
        <w:rPr>
          <w:rFonts w:eastAsiaTheme="minorHAnsi"/>
        </w:rPr>
        <w:instrText xml:space="preserve"> ADDIN EN.CITE &lt;EndNote&gt;&lt;Cite&gt;&lt;Author&gt;Datta&lt;/Author&gt;&lt;Year&gt;1999&lt;/Year&gt;&lt;RecNum&gt;81&lt;/RecNum&gt;&lt;DisplayText&gt;(Datta&lt;style face="italic"&gt; et al.&lt;/style&gt; 1999)&lt;/DisplayText&gt;&lt;record&gt;&lt;rec-number&gt;81&lt;/rec-number&gt;&lt;foreign-keys&gt;&lt;key app="EN" db-id="xpprp0f0rzw05ved0s9xwzaqtxz0v9sfawwv"&gt;81&lt;/key&gt;&lt;/foreign-keys&gt;&lt;ref-type name="Journal Article"&gt;17&lt;/ref-type&gt;&lt;contributors&gt;&lt;authors&gt;&lt;author&gt;Datta, Sudip&lt;/author&gt;&lt;author&gt;Iskandar-Datta, Mai&lt;/author&gt;&lt;author&gt;Patel, Ajay&lt;/author&gt;&lt;/authors&gt;&lt;/contributors&gt;&lt;titles&gt;&lt;title&gt;Bank monitoring and the pricing of corporate public debt&lt;/title&gt;&lt;secondary-title&gt;Journal of Financial Economics&lt;/secondary-title&gt;&lt;/titles&gt;&lt;periodical&gt;&lt;full-title&gt;Journal of Financial Economics&lt;/full-title&gt;&lt;/periodical&gt;&lt;pages&gt;435-449&lt;/pages&gt;&lt;volume&gt;51&lt;/volume&gt;&lt;number&gt;3&lt;/number&gt;&lt;dates&gt;&lt;year&gt;1999&lt;/year&gt;&lt;/dates&gt;&lt;isbn&gt;0304-405X&lt;/isbn&gt;&lt;urls&gt;&lt;/urls&gt;&lt;/record&gt;&lt;/Cite&gt;&lt;/EndNote&gt;</w:instrText>
      </w:r>
      <w:r>
        <w:rPr>
          <w:rFonts w:eastAsiaTheme="minorHAnsi"/>
        </w:rPr>
        <w:fldChar w:fldCharType="separate"/>
      </w:r>
      <w:r>
        <w:rPr>
          <w:rFonts w:eastAsiaTheme="minorHAnsi"/>
          <w:noProof/>
        </w:rPr>
        <w:t>(</w:t>
      </w:r>
      <w:hyperlink w:anchor="_ENREF_32" w:tooltip="Datta, 1999 #81" w:history="1">
        <w:r>
          <w:rPr>
            <w:rFonts w:eastAsiaTheme="minorHAnsi"/>
            <w:noProof/>
          </w:rPr>
          <w:t>Datta</w:t>
        </w:r>
        <w:r w:rsidRPr="00770F05">
          <w:rPr>
            <w:rFonts w:eastAsiaTheme="minorHAnsi"/>
            <w:i/>
            <w:noProof/>
          </w:rPr>
          <w:t xml:space="preserve"> et al.</w:t>
        </w:r>
        <w:r>
          <w:rPr>
            <w:rFonts w:eastAsiaTheme="minorHAnsi"/>
            <w:noProof/>
          </w:rPr>
          <w:t xml:space="preserve"> 1999</w:t>
        </w:r>
      </w:hyperlink>
      <w:r>
        <w:rPr>
          <w:rFonts w:eastAsiaTheme="minorHAnsi"/>
          <w:noProof/>
        </w:rPr>
        <w:t>)</w:t>
      </w:r>
      <w:r>
        <w:rPr>
          <w:rFonts w:eastAsiaTheme="minorHAnsi"/>
        </w:rPr>
        <w:fldChar w:fldCharType="end"/>
      </w:r>
      <w:r w:rsidRPr="001C65D5">
        <w:rPr>
          <w:rFonts w:eastAsiaTheme="minorHAnsi"/>
        </w:rPr>
        <w:t>.</w:t>
      </w:r>
      <w:r>
        <w:rPr>
          <w:rFonts w:eastAsiaTheme="minorHAnsi"/>
        </w:rPr>
        <w:t xml:space="preserve"> </w:t>
      </w:r>
    </w:p>
    <w:p w:rsidR="007963CE" w:rsidRPr="00583FAD" w:rsidRDefault="007963CE" w:rsidP="007963CE">
      <w:pPr>
        <w:rPr>
          <w:szCs w:val="24"/>
        </w:rPr>
      </w:pPr>
      <w:r>
        <w:t>Third, we extend the lender identity literature and investigate whether industry specialist lenders provide incremental</w:t>
      </w:r>
      <w:r w:rsidR="00B87721">
        <w:t xml:space="preserve"> signalling benefits</w:t>
      </w:r>
      <w:r>
        <w:t xml:space="preserve">. Prior literature has found that higher quality lenders are associated with larger share price reactions upon the announcement of bank loans </w:t>
      </w:r>
      <w:r>
        <w:fldChar w:fldCharType="begin"/>
      </w:r>
      <w:r>
        <w:instrText xml:space="preserve"> ADDIN EN.CITE &lt;EndNote&gt;&lt;Cite&gt;&lt;Author&gt;Ross&lt;/Author&gt;&lt;Year&gt;2010&lt;/Year&gt;&lt;RecNum&gt;133&lt;/RecNum&gt;&lt;DisplayText&gt;(Lee &amp;amp; Sharpe 2009; Ross 2010)&lt;/DisplayText&gt;&lt;record&gt;&lt;rec-number&gt;133&lt;/rec-number&gt;&lt;foreign-keys&gt;&lt;key app="EN" db-id="xpprp0f0rzw05ved0s9xwzaqtxz0v9sfawwv"&gt;133&lt;/key&gt;&lt;/foreign-keys&gt;&lt;ref-type name="Journal Article"&gt;17&lt;/ref-type&gt;&lt;contributors&gt;&lt;authors&gt;&lt;author&gt;Ross, David Gaddis&lt;/author&gt;&lt;/authors&gt;&lt;/contributors&gt;&lt;titles&gt;&lt;title&gt;The “dominant bank effect:” How high lender reputation affects the information content and terms of bank loans&lt;/title&gt;&lt;secondary-title&gt;Review of financial studies&lt;/secondary-title&gt;&lt;/titles&gt;&lt;periodical&gt;&lt;full-title&gt;Review of financial studies&lt;/full-title&gt;&lt;/periodical&gt;&lt;pages&gt;2730-2756&lt;/pages&gt;&lt;volume&gt;23&lt;/volume&gt;&lt;number&gt;7&lt;/number&gt;&lt;dates&gt;&lt;year&gt;2010&lt;/year&gt;&lt;/dates&gt;&lt;isbn&gt;0893-9454&lt;/isbn&gt;&lt;urls&gt;&lt;/urls&gt;&lt;/record&gt;&lt;/Cite&gt;&lt;Cite&gt;&lt;Author&gt;Lee&lt;/Author&gt;&lt;Year&gt;2009&lt;/Year&gt;&lt;RecNum&gt;108&lt;/RecNum&gt;&lt;record&gt;&lt;rec-number&gt;108&lt;/rec-number&gt;&lt;foreign-keys&gt;&lt;key app="EN" db-id="xpprp0f0rzw05ved0s9xwzaqtxz0v9sfawwv"&gt;108&lt;/key&gt;&lt;/foreign-keys&gt;&lt;ref-type name="Journal Article"&gt;17&lt;/ref-type&gt;&lt;contributors&gt;&lt;authors&gt;&lt;author&gt;Lee, Kwang-Won&lt;/author&gt;&lt;author&gt;Sharpe, Ian G&lt;/author&gt;&lt;/authors&gt;&lt;/contributors&gt;&lt;titles&gt;&lt;title&gt;Does a Bank’s Loan Screening and Monitoring Matter?&lt;/title&gt;&lt;secondary-title&gt;Journal of Financial Services Research&lt;/secondary-title&gt;&lt;/titles&gt;&lt;periodical&gt;&lt;full-title&gt;Journal of Financial Services Research&lt;/full-title&gt;&lt;/periodical&gt;&lt;pages&gt;33-52&lt;/pages&gt;&lt;volume&gt;35&lt;/volume&gt;&lt;number&gt;1&lt;/number&gt;&lt;dates&gt;&lt;year&gt;2009&lt;/year&gt;&lt;/dates&gt;&lt;isbn&gt;0920-8550&lt;/isbn&gt;&lt;urls&gt;&lt;/urls&gt;&lt;/record&gt;&lt;/Cite&gt;&lt;/EndNote&gt;</w:instrText>
      </w:r>
      <w:r>
        <w:fldChar w:fldCharType="separate"/>
      </w:r>
      <w:r>
        <w:rPr>
          <w:noProof/>
        </w:rPr>
        <w:t>(</w:t>
      </w:r>
      <w:hyperlink w:anchor="_ENREF_67" w:tooltip="Lee, 2009 #108" w:history="1">
        <w:r>
          <w:rPr>
            <w:noProof/>
          </w:rPr>
          <w:t>Lee &amp; Sharpe 2009</w:t>
        </w:r>
      </w:hyperlink>
      <w:r>
        <w:rPr>
          <w:noProof/>
        </w:rPr>
        <w:t xml:space="preserve">; </w:t>
      </w:r>
      <w:hyperlink w:anchor="_ENREF_87" w:tooltip="Ross, 2010 #133" w:history="1">
        <w:r>
          <w:rPr>
            <w:noProof/>
          </w:rPr>
          <w:t>Ross 2010</w:t>
        </w:r>
      </w:hyperlink>
      <w:r>
        <w:rPr>
          <w:noProof/>
        </w:rPr>
        <w:t>)</w:t>
      </w:r>
      <w:r>
        <w:fldChar w:fldCharType="end"/>
      </w:r>
      <w:r>
        <w:t xml:space="preserve">. </w:t>
      </w:r>
      <w:r w:rsidRPr="00A530E9">
        <w:rPr>
          <w:szCs w:val="24"/>
        </w:rPr>
        <w:t>T</w:t>
      </w:r>
      <w:r w:rsidRPr="00A530E9">
        <w:rPr>
          <w:rFonts w:cs="AdvP497E2"/>
          <w:szCs w:val="24"/>
        </w:rPr>
        <w:t xml:space="preserve">heory indicates that banking industry specialisation should exist with </w:t>
      </w:r>
      <w:r w:rsidRPr="00A530E9">
        <w:rPr>
          <w:rFonts w:cs="AdvP497E2"/>
          <w:szCs w:val="24"/>
        </w:rPr>
        <w:fldChar w:fldCharType="begin"/>
      </w:r>
      <w:r>
        <w:rPr>
          <w:rFonts w:cs="AdvP497E2"/>
          <w:szCs w:val="24"/>
        </w:rPr>
        <w:instrText xml:space="preserve"> ADDIN EN.CITE &lt;EndNote&gt;&lt;Cite AuthorYear="1"&gt;&lt;Author&gt;Almazan&lt;/Author&gt;&lt;Year&gt;2002&lt;/Year&gt;&lt;RecNum&gt;34&lt;/RecNum&gt;&lt;DisplayText&gt;Almazan (2002)&lt;/DisplayText&gt;&lt;record&gt;&lt;rec-number&gt;34&lt;/rec-number&gt;&lt;foreign-keys&gt;&lt;key app="EN" db-id="xpprp0f0rzw05ved0s9xwzaqtxz0v9sfawwv"&gt;34&lt;/key&gt;&lt;/foreign-keys&gt;&lt;ref-type name="Journal Article"&gt;17&lt;/ref-type&gt;&lt;contributors&gt;&lt;authors&gt;&lt;author&gt;Almazan, A.&lt;/author&gt;&lt;/authors&gt;&lt;/contributors&gt;&lt;titles&gt;&lt;title&gt;A model of competition in banking: Bank capital vs expertise&lt;/title&gt;&lt;secondary-title&gt;Journal of Financial Intermediation&lt;/secondary-title&gt;&lt;/titles&gt;&lt;periodical&gt;&lt;full-title&gt;Journal of Financial Intermediation&lt;/full-title&gt;&lt;/periodical&gt;&lt;pages&gt;87-121&lt;/pages&gt;&lt;volume&gt;11&lt;/volume&gt;&lt;number&gt;1&lt;/number&gt;&lt;dates&gt;&lt;year&gt;2002&lt;/year&gt;&lt;/dates&gt;&lt;isbn&gt;1042-9573&lt;/isbn&gt;&lt;urls&gt;&lt;/urls&gt;&lt;/record&gt;&lt;/Cite&gt;&lt;/EndNote&gt;</w:instrText>
      </w:r>
      <w:r w:rsidRPr="00A530E9">
        <w:rPr>
          <w:rFonts w:cs="AdvP497E2"/>
          <w:szCs w:val="24"/>
        </w:rPr>
        <w:fldChar w:fldCharType="separate"/>
      </w:r>
      <w:hyperlink w:anchor="_ENREF_3" w:tooltip="Almazan, 2002 #34" w:history="1">
        <w:r w:rsidRPr="00A530E9">
          <w:rPr>
            <w:rFonts w:cs="AdvP497E2"/>
            <w:noProof/>
            <w:szCs w:val="24"/>
          </w:rPr>
          <w:t>Almazan (2002</w:t>
        </w:r>
      </w:hyperlink>
      <w:r w:rsidRPr="00A530E9">
        <w:rPr>
          <w:rFonts w:cs="AdvP497E2"/>
          <w:noProof/>
          <w:szCs w:val="24"/>
        </w:rPr>
        <w:t>)</w:t>
      </w:r>
      <w:r w:rsidRPr="00A530E9">
        <w:rPr>
          <w:rFonts w:cs="AdvP497E2"/>
          <w:szCs w:val="24"/>
        </w:rPr>
        <w:fldChar w:fldCharType="end"/>
      </w:r>
      <w:r w:rsidRPr="00A530E9">
        <w:rPr>
          <w:rFonts w:cs="AdvP497E2"/>
          <w:szCs w:val="24"/>
        </w:rPr>
        <w:t xml:space="preserve"> suggesting that </w:t>
      </w:r>
      <w:r w:rsidRPr="00A530E9">
        <w:rPr>
          <w:rFonts w:cs="Times-Roman"/>
          <w:szCs w:val="24"/>
        </w:rPr>
        <w:t xml:space="preserve">banks tend to concentrate their portfolios by either region or industry, and that increasing bank expertise in an area can </w:t>
      </w:r>
      <w:r w:rsidRPr="00A530E9">
        <w:rPr>
          <w:rFonts w:cs="Times-Roman"/>
          <w:szCs w:val="24"/>
        </w:rPr>
        <w:lastRenderedPageBreak/>
        <w:t>lead to decreased information production and monitoring costs.</w:t>
      </w:r>
      <w:r w:rsidRPr="00E45E6B">
        <w:rPr>
          <w:szCs w:val="24"/>
        </w:rPr>
        <w:t xml:space="preserve"> </w:t>
      </w:r>
      <w:r w:rsidR="00B87721">
        <w:rPr>
          <w:szCs w:val="24"/>
        </w:rPr>
        <w:t xml:space="preserve">We </w:t>
      </w:r>
      <w:r>
        <w:rPr>
          <w:szCs w:val="24"/>
        </w:rPr>
        <w:t>te</w:t>
      </w:r>
      <w:r w:rsidR="00B87721">
        <w:rPr>
          <w:szCs w:val="24"/>
        </w:rPr>
        <w:t>st</w:t>
      </w:r>
      <w:r>
        <w:rPr>
          <w:szCs w:val="24"/>
        </w:rPr>
        <w:t xml:space="preserve"> whether a </w:t>
      </w:r>
      <w:r w:rsidRPr="00E45E6B">
        <w:rPr>
          <w:szCs w:val="24"/>
        </w:rPr>
        <w:t xml:space="preserve">subset of industry specialists </w:t>
      </w:r>
      <w:r w:rsidR="00B87721">
        <w:rPr>
          <w:szCs w:val="24"/>
        </w:rPr>
        <w:t xml:space="preserve">lenders </w:t>
      </w:r>
      <w:r w:rsidRPr="00E45E6B">
        <w:rPr>
          <w:szCs w:val="24"/>
        </w:rPr>
        <w:t xml:space="preserve">signal more information to the market </w:t>
      </w:r>
      <w:r w:rsidR="00B87721">
        <w:rPr>
          <w:szCs w:val="24"/>
        </w:rPr>
        <w:t xml:space="preserve">around </w:t>
      </w:r>
      <w:r w:rsidRPr="00E45E6B">
        <w:rPr>
          <w:szCs w:val="24"/>
        </w:rPr>
        <w:t>loan announcem</w:t>
      </w:r>
      <w:r w:rsidR="00B87721">
        <w:rPr>
          <w:szCs w:val="24"/>
        </w:rPr>
        <w:t>ents compared to non-specialist</w:t>
      </w:r>
      <w:r>
        <w:rPr>
          <w:szCs w:val="24"/>
        </w:rPr>
        <w:t>s.</w:t>
      </w:r>
    </w:p>
    <w:p w:rsidR="001E19D3" w:rsidRDefault="004015C3" w:rsidP="004015C3">
      <w:r>
        <w:t xml:space="preserve">In this study, we examine market reactions to bank loan announcements in a new setting, Australia and in an industry typified by high information asymmetry (the </w:t>
      </w:r>
      <w:r w:rsidR="00713D16">
        <w:t>mining</w:t>
      </w:r>
      <w:r>
        <w:t xml:space="preserve"> industry). </w:t>
      </w:r>
      <w:r w:rsidR="001E19D3" w:rsidRPr="003E64FA">
        <w:t>Bank loans are theor</w:t>
      </w:r>
      <w:r w:rsidR="001E19D3">
        <w:t xml:space="preserve">ised to </w:t>
      </w:r>
      <w:r w:rsidR="001E19D3" w:rsidRPr="003E64FA">
        <w:t xml:space="preserve">benefit a firm characterised by having </w:t>
      </w:r>
      <w:r w:rsidR="001E19D3">
        <w:t xml:space="preserve">no other monitors </w:t>
      </w:r>
      <w:r w:rsidR="001B0127">
        <w:fldChar w:fldCharType="begin"/>
      </w:r>
      <w:r w:rsidR="003A641D">
        <w:instrText xml:space="preserve"> ADDIN EN.CITE &lt;EndNote&gt;&lt;Cite&gt;&lt;Author&gt;Diamond&lt;/Author&gt;&lt;Year&gt;1984&lt;/Year&gt;&lt;RecNum&gt;7&lt;/RecNum&gt;&lt;DisplayText&gt;(Diamond 1984)&lt;/DisplayText&gt;&lt;record&gt;&lt;rec-number&gt;7&lt;/rec-number&gt;&lt;foreign-keys&gt;&lt;key app="EN" db-id="xpprp0f0rzw05ved0s9xwzaqtxz0v9sfawwv"&gt;7&lt;/key&gt;&lt;/foreign-keys&gt;&lt;ref-type name="Journal Article"&gt;17&lt;/ref-type&gt;&lt;contributors&gt;&lt;authors&gt;&lt;author&gt;Diamond, Douglas W.&lt;/author&gt;&lt;/authors&gt;&lt;/contributors&gt;&lt;titles&gt;&lt;title&gt;Financial Intermediation and Delegated Monitoring&lt;/title&gt;&lt;secondary-title&gt;The Review of Economic Studies&lt;/secondary-title&gt;&lt;/titles&gt;&lt;periodical&gt;&lt;full-title&gt;The Review of Economic Studies&lt;/full-title&gt;&lt;/periodical&gt;&lt;pages&gt;393-414&lt;/pages&gt;&lt;volume&gt;51&lt;/volume&gt;&lt;number&gt;3&lt;/number&gt;&lt;dates&gt;&lt;year&gt;1984&lt;/year&gt;&lt;/dates&gt;&lt;publisher&gt;Oxford University Press&lt;/publisher&gt;&lt;isbn&gt;00346527&lt;/isbn&gt;&lt;urls&gt;&lt;related-urls&gt;&lt;url&gt;http://www.jstor.org/stable/2297430&lt;/url&gt;&lt;/related-urls&gt;&lt;/urls&gt;&lt;/record&gt;&lt;/Cite&gt;&lt;/EndNote&gt;</w:instrText>
      </w:r>
      <w:r w:rsidR="001B0127">
        <w:fldChar w:fldCharType="separate"/>
      </w:r>
      <w:r w:rsidR="001E19D3">
        <w:rPr>
          <w:noProof/>
        </w:rPr>
        <w:t>(</w:t>
      </w:r>
      <w:hyperlink w:anchor="_ENREF_36" w:tooltip="Diamond, 1984 #7" w:history="1">
        <w:r w:rsidR="005B6334">
          <w:rPr>
            <w:noProof/>
          </w:rPr>
          <w:t>Diamond 1984</w:t>
        </w:r>
      </w:hyperlink>
      <w:r w:rsidR="001E19D3">
        <w:rPr>
          <w:noProof/>
        </w:rPr>
        <w:t>)</w:t>
      </w:r>
      <w:r w:rsidR="001B0127">
        <w:fldChar w:fldCharType="end"/>
      </w:r>
      <w:r w:rsidR="001E19D3">
        <w:t xml:space="preserve">, a poor information environment </w:t>
      </w:r>
      <w:r w:rsidR="001B0127">
        <w:fldChar w:fldCharType="begin"/>
      </w:r>
      <w:r w:rsidR="003A641D">
        <w:instrText xml:space="preserve"> ADDIN EN.CITE &lt;EndNote&gt;&lt;Cite&gt;&lt;Author&gt;Dhaliwal&lt;/Author&gt;&lt;Year&gt;2011&lt;/Year&gt;&lt;RecNum&gt;30&lt;/RecNum&gt;&lt;DisplayText&gt;(Dhaliwal&lt;style face="italic"&gt; et al.&lt;/style&gt; 2011)&lt;/DisplayText&gt;&lt;record&gt;&lt;rec-number&gt;30&lt;/rec-number&gt;&lt;foreign-keys&gt;&lt;key app="EN" db-id="xpprp0f0rzw05ved0s9xwzaqtxz0v9sfawwv"&gt;30&lt;/key&gt;&lt;/foreign-keys&gt;&lt;ref-type name="Journal Article"&gt;17&lt;/ref-type&gt;&lt;contributors&gt;&lt;authors&gt;&lt;author&gt;Dhaliwal, Dan S.&lt;/author&gt;&lt;author&gt;Khurana, Inder K.&lt;/author&gt;&lt;author&gt;Pereira, Raynolde&lt;/author&gt;&lt;/authors&gt;&lt;/contributors&gt;&lt;titles&gt;&lt;title&gt;Firm Disclosure Policy and the Choice Between Private and Public Debt&lt;/title&gt;&lt;secondary-title&gt;Contemporary Accounting Research&lt;/secondary-title&gt;&lt;/titles&gt;&lt;periodical&gt;&lt;full-title&gt;Contemporary Accounting Research&lt;/full-title&gt;&lt;/periodical&gt;&lt;pages&gt;293-330&lt;/pages&gt;&lt;volume&gt;28&lt;/volume&gt;&lt;number&gt;1&lt;/number&gt;&lt;keywords&gt;&lt;keyword&gt;ACCOUNTING -- Standards&lt;/keyword&gt;&lt;keyword&gt;CAPITAL structure&lt;/keyword&gt;&lt;keyword&gt;QUALITY of service&lt;/keyword&gt;&lt;keyword&gt;DEBT financing (Corporations)&lt;/keyword&gt;&lt;keyword&gt;DISCLOSURE&lt;/keyword&gt;&lt;keyword&gt;CORPORATIONS -- Finance&lt;/keyword&gt;&lt;keyword&gt;FINANCIAL disclosure&lt;/keyword&gt;&lt;keyword&gt;PRIVATE equity&lt;/keyword&gt;&lt;keyword&gt;CORPORATE debt&lt;/keyword&gt;&lt;keyword&gt;FINANCIAL statements&lt;/keyword&gt;&lt;keyword&gt;FINANCIAL performance&lt;/keyword&gt;&lt;keyword&gt;COST effectiveness&lt;/keyword&gt;&lt;/keywords&gt;&lt;dates&gt;&lt;year&gt;2011&lt;/year&gt;&lt;pub-dates&gt;&lt;date&gt;Spring2011&lt;/date&gt;&lt;/pub-dates&gt;&lt;/dates&gt;&lt;publisher&gt;Canadian Academic Accounting Association&lt;/publisher&gt;&lt;isbn&gt;08239150&lt;/isbn&gt;&lt;accession-num&gt;59161429&lt;/accession-num&gt;&lt;work-type&gt;Article&lt;/work-type&gt;&lt;urls&gt;&lt;related-urls&gt;&lt;url&gt;http://www.lib.uts.edu.au/sso/goto.php?url=http://search.ebscohost.com/login.aspx?direct=true&amp;amp;db=bth&amp;amp;AN=59161429&amp;amp;site=ehost-live&lt;/url&gt;&lt;/related-urls&gt;&lt;/urls&gt;&lt;electronic-resource-num&gt;10.1111/j.1911-3846.2010.01039.x&lt;/electronic-resource-num&gt;&lt;remote-database-name&gt;bth&lt;/remote-database-name&gt;&lt;remote-database-provider&gt;EBSCOhost&lt;/remote-database-provider&gt;&lt;/record&gt;&lt;/Cite&gt;&lt;/EndNote&gt;</w:instrText>
      </w:r>
      <w:r w:rsidR="001B0127">
        <w:fldChar w:fldCharType="separate"/>
      </w:r>
      <w:r w:rsidR="001E19D3">
        <w:rPr>
          <w:noProof/>
        </w:rPr>
        <w:t>(</w:t>
      </w:r>
      <w:hyperlink w:anchor="_ENREF_35" w:tooltip="Dhaliwal, 2011 #30" w:history="1">
        <w:r w:rsidR="005B6334">
          <w:rPr>
            <w:noProof/>
          </w:rPr>
          <w:t>Dhaliwal</w:t>
        </w:r>
        <w:r w:rsidR="005B6334" w:rsidRPr="00024694">
          <w:rPr>
            <w:i/>
            <w:noProof/>
          </w:rPr>
          <w:t xml:space="preserve"> et al.</w:t>
        </w:r>
        <w:r w:rsidR="005B6334">
          <w:rPr>
            <w:noProof/>
          </w:rPr>
          <w:t xml:space="preserve"> 2011</w:t>
        </w:r>
      </w:hyperlink>
      <w:r w:rsidR="001E19D3">
        <w:rPr>
          <w:noProof/>
        </w:rPr>
        <w:t>)</w:t>
      </w:r>
      <w:r w:rsidR="001B0127">
        <w:fldChar w:fldCharType="end"/>
      </w:r>
      <w:r w:rsidR="001E19D3">
        <w:t xml:space="preserve">, </w:t>
      </w:r>
      <w:r w:rsidR="001E19D3" w:rsidRPr="003E64FA">
        <w:t>high information asymmetry</w:t>
      </w:r>
      <w:r w:rsidR="001E19D3">
        <w:t xml:space="preserve"> </w:t>
      </w:r>
      <w:r w:rsidR="001B0127">
        <w:fldChar w:fldCharType="begin"/>
      </w:r>
      <w:r w:rsidR="003A641D">
        <w:instrText xml:space="preserve"> ADDIN EN.CITE &lt;EndNote&gt;&lt;Cite&gt;&lt;Author&gt;Boyd&lt;/Author&gt;&lt;Year&gt;1986&lt;/Year&gt;&lt;RecNum&gt;31&lt;/RecNum&gt;&lt;DisplayText&gt;(Boyd &amp;amp; Prescott 1986)&lt;/DisplayText&gt;&lt;record&gt;&lt;rec-number&gt;31&lt;/rec-number&gt;&lt;foreign-keys&gt;&lt;key app="EN" db-id="xpprp0f0rzw05ved0s9xwzaqtxz0v9sfawwv"&gt;31&lt;/key&gt;&lt;/foreign-keys&gt;&lt;ref-type name="Journal Article"&gt;17&lt;/ref-type&gt;&lt;contributors&gt;&lt;authors&gt;&lt;author&gt;Boyd, J.H.&lt;/author&gt;&lt;author&gt;Prescott, E.C.&lt;/author&gt;&lt;/authors&gt;&lt;/contributors&gt;&lt;titles&gt;&lt;title&gt;Financial intermediary-coalitions&lt;/title&gt;&lt;secondary-title&gt;Journal of Economic Theory&lt;/secondary-title&gt;&lt;/titles&gt;&lt;periodical&gt;&lt;full-title&gt;Journal of Economic Theory&lt;/full-title&gt;&lt;/periodical&gt;&lt;pages&gt;211-232&lt;/pages&gt;&lt;volume&gt;38&lt;/volume&gt;&lt;number&gt;2&lt;/number&gt;&lt;dates&gt;&lt;year&gt;1986&lt;/year&gt;&lt;/dates&gt;&lt;isbn&gt;0022-0531&lt;/isbn&gt;&lt;urls&gt;&lt;/urls&gt;&lt;/record&gt;&lt;/Cite&gt;&lt;/EndNote&gt;</w:instrText>
      </w:r>
      <w:r w:rsidR="001B0127">
        <w:fldChar w:fldCharType="separate"/>
      </w:r>
      <w:r w:rsidR="001E19D3">
        <w:rPr>
          <w:noProof/>
        </w:rPr>
        <w:t>(</w:t>
      </w:r>
      <w:hyperlink w:anchor="_ENREF_18" w:tooltip="Boyd, 1986 #31" w:history="1">
        <w:r w:rsidR="005B6334">
          <w:rPr>
            <w:noProof/>
          </w:rPr>
          <w:t>Boyd &amp; Prescott 1986</w:t>
        </w:r>
      </w:hyperlink>
      <w:r w:rsidR="001E19D3">
        <w:rPr>
          <w:noProof/>
        </w:rPr>
        <w:t>)</w:t>
      </w:r>
      <w:r w:rsidR="001B0127">
        <w:fldChar w:fldCharType="end"/>
      </w:r>
      <w:r w:rsidR="001E19D3" w:rsidRPr="003E64FA">
        <w:t>, low anal</w:t>
      </w:r>
      <w:r w:rsidR="001E19D3">
        <w:t xml:space="preserve">yst coverage </w:t>
      </w:r>
      <w:r w:rsidR="001B0127">
        <w:fldChar w:fldCharType="begin"/>
      </w:r>
      <w:r w:rsidR="003A641D">
        <w:instrText xml:space="preserve"> ADDIN EN.CITE &lt;EndNote&gt;&lt;Cite&gt;&lt;Author&gt;Best&lt;/Author&gt;&lt;Year&gt;1993&lt;/Year&gt;&lt;RecNum&gt;9&lt;/RecNum&gt;&lt;DisplayText&gt;(Best &amp;amp; Zhang 1993)&lt;/DisplayText&gt;&lt;record&gt;&lt;rec-number&gt;9&lt;/rec-number&gt;&lt;foreign-keys&gt;&lt;key app="EN" db-id="xpprp0f0rzw05ved0s9xwzaqtxz0v9sfawwv"&gt;9&lt;/key&gt;&lt;/foreign-keys&gt;&lt;ref-type name="Journal Article"&gt;17&lt;/ref-type&gt;&lt;contributors&gt;&lt;authors&gt;&lt;author&gt;Best, Ronald&lt;/author&gt;&lt;author&gt;Zhang, Hang&lt;/author&gt;&lt;/authors&gt;&lt;/contributors&gt;&lt;titles&gt;&lt;title&gt;Alternative Information Sources and the Information Content of Bank Loans&lt;/title&gt;&lt;secondary-title&gt;The Journal of Finance&lt;/secondary-title&gt;&lt;/titles&gt;&lt;periodical&gt;&lt;full-title&gt;The Journal of Finance&lt;/full-title&gt;&lt;/periodical&gt;&lt;pages&gt;1507-1522&lt;/pages&gt;&lt;volume&gt;48&lt;/volume&gt;&lt;number&gt;4&lt;/number&gt;&lt;keywords&gt;&lt;keyword&gt;Bank Loans, Analyst Coverage, Information Asymmetry&lt;/keyword&gt;&lt;/keywords&gt;&lt;dates&gt;&lt;year&gt;1993&lt;/year&gt;&lt;/dates&gt;&lt;publisher&gt;Blackwell Publishing Ltd&lt;/publisher&gt;&lt;isbn&gt;1540-6261&lt;/isbn&gt;&lt;urls&gt;&lt;related-urls&gt;&lt;url&gt;http://dx.doi.org/10.1111/j.1540-6261.1993.tb04765.x&lt;/url&gt;&lt;/related-urls&gt;&lt;/urls&gt;&lt;electronic-resource-num&gt;10.1111/j.1540-6261.1993.tb04765.x&lt;/electronic-resource-num&gt;&lt;/record&gt;&lt;/Cite&gt;&lt;/EndNote&gt;</w:instrText>
      </w:r>
      <w:r w:rsidR="001B0127">
        <w:fldChar w:fldCharType="separate"/>
      </w:r>
      <w:r w:rsidR="001E19D3">
        <w:rPr>
          <w:noProof/>
        </w:rPr>
        <w:t>(</w:t>
      </w:r>
      <w:hyperlink w:anchor="_ENREF_7" w:tooltip="Best, 1993 #9" w:history="1">
        <w:r w:rsidR="005B6334">
          <w:rPr>
            <w:noProof/>
          </w:rPr>
          <w:t>Best &amp; Zhang 1993</w:t>
        </w:r>
      </w:hyperlink>
      <w:r w:rsidR="001E19D3">
        <w:rPr>
          <w:noProof/>
        </w:rPr>
        <w:t>)</w:t>
      </w:r>
      <w:r w:rsidR="001B0127">
        <w:fldChar w:fldCharType="end"/>
      </w:r>
      <w:r w:rsidR="001E19D3">
        <w:t>,</w:t>
      </w:r>
      <w:r w:rsidR="001E19D3" w:rsidRPr="003E64FA">
        <w:t xml:space="preserve"> low auditor impact, high risk </w:t>
      </w:r>
      <w:r w:rsidR="001B0127">
        <w:fldChar w:fldCharType="begin"/>
      </w:r>
      <w:r w:rsidR="003A641D">
        <w:instrText xml:space="preserve"> ADDIN EN.CITE &lt;EndNote&gt;&lt;Cite&gt;&lt;Author&gt;Diamond&lt;/Author&gt;&lt;Year&gt;1991&lt;/Year&gt;&lt;RecNum&gt;32&lt;/RecNum&gt;&lt;DisplayText&gt;(Diamond 1991)&lt;/DisplayText&gt;&lt;record&gt;&lt;rec-number&gt;32&lt;/rec-number&gt;&lt;foreign-keys&gt;&lt;key app="EN" db-id="xpprp0f0rzw05ved0s9xwzaqtxz0v9sfawwv"&gt;32&lt;/key&gt;&lt;/foreign-keys&gt;&lt;ref-type name="Journal Article"&gt;17&lt;/ref-type&gt;&lt;contributors&gt;&lt;authors&gt;&lt;author&gt;Diamond, D.W.&lt;/author&gt;&lt;/authors&gt;&lt;/contributors&gt;&lt;titles&gt;&lt;title&gt;Monitoring and reputation: The choice between bank loans and directly placed debt&lt;/title&gt;&lt;secondary-title&gt;Journal of Political Economy&lt;/secondary-title&gt;&lt;/titles&gt;&lt;periodical&gt;&lt;full-title&gt;Journal of Political Economy&lt;/full-title&gt;&lt;/periodical&gt;&lt;pages&gt;689-721&lt;/pages&gt;&lt;dates&gt;&lt;year&gt;1991&lt;/year&gt;&lt;/dates&gt;&lt;isbn&gt;0022-3808&lt;/isbn&gt;&lt;urls&gt;&lt;/urls&gt;&lt;/record&gt;&lt;/Cite&gt;&lt;/EndNote&gt;</w:instrText>
      </w:r>
      <w:r w:rsidR="001B0127">
        <w:fldChar w:fldCharType="separate"/>
      </w:r>
      <w:r w:rsidR="001E19D3">
        <w:rPr>
          <w:noProof/>
        </w:rPr>
        <w:t>(</w:t>
      </w:r>
      <w:hyperlink w:anchor="_ENREF_38" w:tooltip="Diamond, 1991 #32" w:history="1">
        <w:r w:rsidR="005B6334">
          <w:rPr>
            <w:noProof/>
          </w:rPr>
          <w:t>Diamond 1991</w:t>
        </w:r>
      </w:hyperlink>
      <w:r w:rsidR="001E19D3">
        <w:rPr>
          <w:noProof/>
        </w:rPr>
        <w:t>)</w:t>
      </w:r>
      <w:r w:rsidR="001B0127">
        <w:fldChar w:fldCharType="end"/>
      </w:r>
      <w:r w:rsidR="001E19D3">
        <w:t xml:space="preserve">, and small firm size </w:t>
      </w:r>
      <w:r w:rsidR="001B0127">
        <w:fldChar w:fldCharType="begin"/>
      </w:r>
      <w:r w:rsidR="003A641D">
        <w:instrText xml:space="preserve"> ADDIN EN.CITE &lt;EndNote&gt;&lt;Cite&gt;&lt;Author&gt;Fama&lt;/Author&gt;&lt;Year&gt;1985&lt;/Year&gt;&lt;RecNum&gt;5&lt;/RecNum&gt;&lt;DisplayText&gt;(Fama 1985)&lt;/DisplayText&gt;&lt;record&gt;&lt;rec-number&gt;5&lt;/rec-number&gt;&lt;foreign-keys&gt;&lt;key app="EN" db-id="xpprp0f0rzw05ved0s9xwzaqtxz0v9sfawwv"&gt;5&lt;/key&gt;&lt;/foreign-keys&gt;&lt;ref-type name="Journal Article"&gt;17&lt;/ref-type&gt;&lt;contributors&gt;&lt;authors&gt;&lt;author&gt;Fama, Eugene F.&lt;/author&gt;&lt;/authors&gt;&lt;/contributors&gt;&lt;titles&gt;&lt;title&gt;What&amp;apos;s different about banks?&lt;/title&gt;&lt;secondary-title&gt;Journal of Monetary Economics&lt;/secondary-title&gt;&lt;/titles&gt;&lt;periodical&gt;&lt;full-title&gt;Journal of Monetary Economics&lt;/full-title&gt;&lt;/periodical&gt;&lt;pages&gt;29-39&lt;/pages&gt;&lt;volume&gt;15&lt;/volume&gt;&lt;number&gt;1&lt;/number&gt;&lt;dates&gt;&lt;year&gt;1985&lt;/year&gt;&lt;/dates&gt;&lt;isbn&gt;0304-3932&lt;/isbn&gt;&lt;urls&gt;&lt;related-urls&gt;&lt;url&gt;http://www.sciencedirect.com/science/article/pii/0304393285900510&lt;/url&gt;&lt;/related-urls&gt;&lt;/urls&gt;&lt;electronic-resource-num&gt;10.1016/0304-3932(85)90051-0&lt;/electronic-resource-num&gt;&lt;/record&gt;&lt;/Cite&gt;&lt;/EndNote&gt;</w:instrText>
      </w:r>
      <w:r w:rsidR="001B0127">
        <w:fldChar w:fldCharType="separate"/>
      </w:r>
      <w:r w:rsidR="001E19D3">
        <w:rPr>
          <w:noProof/>
        </w:rPr>
        <w:t>(</w:t>
      </w:r>
      <w:hyperlink w:anchor="_ENREF_42" w:tooltip="Fama, 1985 #5" w:history="1">
        <w:r w:rsidR="005B6334">
          <w:rPr>
            <w:noProof/>
          </w:rPr>
          <w:t>Fama 1985</w:t>
        </w:r>
      </w:hyperlink>
      <w:r w:rsidR="001E19D3">
        <w:rPr>
          <w:noProof/>
        </w:rPr>
        <w:t>)</w:t>
      </w:r>
      <w:r w:rsidR="001B0127">
        <w:fldChar w:fldCharType="end"/>
      </w:r>
      <w:r w:rsidR="001E19D3" w:rsidRPr="003E64FA">
        <w:t xml:space="preserve">. These characteristics </w:t>
      </w:r>
      <w:r w:rsidR="001E19D3">
        <w:t>broadly</w:t>
      </w:r>
      <w:r w:rsidR="001E19D3" w:rsidRPr="003E64FA">
        <w:t xml:space="preserve"> describe </w:t>
      </w:r>
      <w:r w:rsidR="001E19D3">
        <w:t xml:space="preserve">mining firms </w:t>
      </w:r>
      <w:r w:rsidR="001B0127">
        <w:fldChar w:fldCharType="begin">
          <w:fldData xml:space="preserve">PEVuZE5vdGU+PENpdGU+PEF1dGhvcj5GZXJndXNvbjwvQXV0aG9yPjxZZWFyPjIwMTE8L1llYXI+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</w:fldData>
        </w:fldChar>
      </w:r>
      <w:r w:rsidR="003A641D">
        <w:instrText xml:space="preserve"> ADDIN EN.CITE </w:instrText>
      </w:r>
      <w:r w:rsidR="003A641D">
        <w:fldChar w:fldCharType="begin">
          <w:fldData xml:space="preserve">PEVuZE5vdGU+PENpdGU+PEF1dGhvcj5GZXJndXNvbjwvQXV0aG9yPjxZZWFyPjIwMTE8L1llYXI+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</w:fldData>
        </w:fldChar>
      </w:r>
      <w:r w:rsidR="003A641D">
        <w:instrText xml:space="preserve"> ADDIN EN.CITE.DATA </w:instrText>
      </w:r>
      <w:r w:rsidR="003A641D">
        <w:fldChar w:fldCharType="end"/>
      </w:r>
      <w:r w:rsidR="001B0127">
        <w:fldChar w:fldCharType="separate"/>
      </w:r>
      <w:r w:rsidR="001E19D3">
        <w:rPr>
          <w:noProof/>
        </w:rPr>
        <w:t>(</w:t>
      </w:r>
      <w:hyperlink w:anchor="_ENREF_45" w:tooltip="Ferguson, 2011 #37" w:history="1">
        <w:r w:rsidR="005B6334">
          <w:rPr>
            <w:noProof/>
          </w:rPr>
          <w:t>Ferguson</w:t>
        </w:r>
        <w:r w:rsidR="005B6334" w:rsidRPr="00F930E5">
          <w:rPr>
            <w:i/>
            <w:noProof/>
          </w:rPr>
          <w:t xml:space="preserve"> et al.</w:t>
        </w:r>
        <w:r w:rsidR="005B6334">
          <w:rPr>
            <w:noProof/>
          </w:rPr>
          <w:t xml:space="preserve"> 2011a</w:t>
        </w:r>
      </w:hyperlink>
      <w:r w:rsidR="001E19D3">
        <w:rPr>
          <w:noProof/>
        </w:rPr>
        <w:t xml:space="preserve">; </w:t>
      </w:r>
      <w:hyperlink w:anchor="_ENREF_48" w:tooltip="Ferguson, 2011 #36" w:history="1">
        <w:r w:rsidR="005B6334">
          <w:rPr>
            <w:noProof/>
          </w:rPr>
          <w:t>Ferguson</w:t>
        </w:r>
        <w:r w:rsidR="005B6334" w:rsidRPr="00F930E5">
          <w:rPr>
            <w:i/>
            <w:noProof/>
          </w:rPr>
          <w:t xml:space="preserve"> et al.</w:t>
        </w:r>
        <w:r w:rsidR="005B6334">
          <w:rPr>
            <w:noProof/>
          </w:rPr>
          <w:t xml:space="preserve"> 2011b</w:t>
        </w:r>
      </w:hyperlink>
      <w:r w:rsidR="001E19D3">
        <w:rPr>
          <w:noProof/>
        </w:rPr>
        <w:t>)</w:t>
      </w:r>
      <w:r w:rsidR="001B0127">
        <w:fldChar w:fldCharType="end"/>
      </w:r>
      <w:r w:rsidR="001E19D3">
        <w:t xml:space="preserve">. Additionally, the majority of mining firms follow a </w:t>
      </w:r>
      <w:r w:rsidR="004C4CB6">
        <w:t>predictable</w:t>
      </w:r>
      <w:r w:rsidR="001E19D3">
        <w:t xml:space="preserve"> lifecycle and will list on the ASX with zero leverage. This makes mining firms an ideal sample setting </w:t>
      </w:r>
      <w:r w:rsidR="001E19D3" w:rsidRPr="003E64FA">
        <w:t xml:space="preserve">to </w:t>
      </w:r>
      <w:r w:rsidR="004C4CB6">
        <w:t>consider</w:t>
      </w:r>
      <w:r w:rsidR="001E19D3" w:rsidRPr="003E64FA">
        <w:t xml:space="preserve"> the effect</w:t>
      </w:r>
      <w:r w:rsidR="004C4CB6">
        <w:t>s</w:t>
      </w:r>
      <w:r w:rsidR="001E19D3" w:rsidRPr="003E64FA">
        <w:t xml:space="preserve"> of bank financ</w:t>
      </w:r>
      <w:r w:rsidR="001E19D3">
        <w:t>ing</w:t>
      </w:r>
      <w:r w:rsidR="005503FC">
        <w:t>,</w:t>
      </w:r>
      <w:r w:rsidR="001E19D3">
        <w:t xml:space="preserve"> as bank loan ini</w:t>
      </w:r>
      <w:r w:rsidR="00A96595">
        <w:t>ti</w:t>
      </w:r>
      <w:r w:rsidR="001E19D3">
        <w:t xml:space="preserve">ation is </w:t>
      </w:r>
      <w:r w:rsidR="004C4CB6">
        <w:t xml:space="preserve">both </w:t>
      </w:r>
      <w:r w:rsidR="001E19D3">
        <w:t xml:space="preserve">observable and </w:t>
      </w:r>
      <w:r w:rsidR="001E19D3" w:rsidRPr="003E64FA">
        <w:t>likely to resolve a substantial information asymmetr</w:t>
      </w:r>
      <w:r w:rsidR="001E19D3">
        <w:t>y. If bank loan announcements contain no significant information in a setting where theory predicts reaction</w:t>
      </w:r>
      <w:r w:rsidR="000D4CD2">
        <w:t>s</w:t>
      </w:r>
      <w:r w:rsidR="001E19D3">
        <w:t xml:space="preserve"> will be strong, then it provide</w:t>
      </w:r>
      <w:r w:rsidR="000D4CD2">
        <w:t>s</w:t>
      </w:r>
      <w:r w:rsidR="001E19D3">
        <w:t xml:space="preserve"> support for recent claims that bank loans contain no relevant information </w:t>
      </w:r>
      <w:r w:rsidR="001B0127">
        <w:fldChar w:fldCharType="begin"/>
      </w:r>
      <w:r w:rsidR="003A641D">
        <w:instrText xml:space="preserve"> ADDIN EN.CITE &lt;EndNote&gt;&lt;Cite&gt;&lt;Author&gt;Fields&lt;/Author&gt;&lt;Year&gt;2006&lt;/Year&gt;&lt;RecNum&gt;28&lt;/RecNum&gt;&lt;DisplayText&gt;(Fields&lt;style face="italic"&gt; et al.&lt;/style&gt; 2006)&lt;/DisplayText&gt;&lt;record&gt;&lt;rec-number&gt;28&lt;/rec-number&gt;&lt;foreign-keys&gt;&lt;key app="EN" db-id="xpprp0f0rzw05ved0s9xwzaqtxz0v9sfawwv"&gt;28&lt;/key&gt;&lt;/foreign-keys&gt;&lt;ref-type name="Journal Article"&gt;17&lt;/ref-type&gt;&lt;contributors&gt;&lt;authors&gt;&lt;author&gt;Fields, L.P.&lt;/author&gt;&lt;author&gt;Fraser, D.R.&lt;/author&gt;&lt;author&gt;Berry, T.L.&lt;/author&gt;&lt;author&gt;Byers, S.&lt;/author&gt;&lt;/authors&gt;&lt;/contributors&gt;&lt;titles&gt;&lt;title&gt;Do bank loan relationships still matter?&lt;/title&gt;&lt;secondary-title&gt;Journal of Money, Credit, and Banking&lt;/secondary-title&gt;&lt;/titles&gt;&lt;periodical&gt;&lt;full-title&gt;Journal of Money, Credit, and Banking&lt;/full-title&gt;&lt;/periodical&gt;&lt;pages&gt;1195-1209&lt;/pages&gt;&lt;volume&gt;38&lt;/volume&gt;&lt;number&gt;5&lt;/number&gt;&lt;dates&gt;&lt;year&gt;2006&lt;/year&gt;&lt;/dates&gt;&lt;isbn&gt;1538-4616&lt;/isbn&gt;&lt;urls&gt;&lt;/urls&gt;&lt;/record&gt;&lt;/Cite&gt;&lt;/EndNote&gt;</w:instrText>
      </w:r>
      <w:r w:rsidR="001B0127">
        <w:fldChar w:fldCharType="separate"/>
      </w:r>
      <w:r w:rsidR="001E19D3">
        <w:rPr>
          <w:noProof/>
        </w:rPr>
        <w:t>(</w:t>
      </w:r>
      <w:hyperlink w:anchor="_ENREF_53" w:tooltip="Fields, 2006 #28" w:history="1">
        <w:r w:rsidR="005B6334">
          <w:rPr>
            <w:noProof/>
          </w:rPr>
          <w:t>Fields</w:t>
        </w:r>
        <w:r w:rsidR="005B6334" w:rsidRPr="00024694">
          <w:rPr>
            <w:i/>
            <w:noProof/>
          </w:rPr>
          <w:t xml:space="preserve"> et al.</w:t>
        </w:r>
        <w:r w:rsidR="005B6334">
          <w:rPr>
            <w:noProof/>
          </w:rPr>
          <w:t xml:space="preserve"> 2006</w:t>
        </w:r>
      </w:hyperlink>
      <w:r w:rsidR="001E19D3">
        <w:rPr>
          <w:noProof/>
        </w:rPr>
        <w:t>)</w:t>
      </w:r>
      <w:r w:rsidR="001B0127">
        <w:fldChar w:fldCharType="end"/>
      </w:r>
      <w:r w:rsidR="00915465">
        <w:t>.</w:t>
      </w:r>
    </w:p>
    <w:p w:rsidR="00985B07" w:rsidRDefault="00F2477F" w:rsidP="00713D16">
      <w:pPr>
        <w:pStyle w:val="NoSpacing"/>
        <w:ind w:firstLine="720"/>
      </w:pPr>
      <w:r>
        <w:t xml:space="preserve">We find </w:t>
      </w:r>
      <w:r w:rsidR="00950A7F">
        <w:t>that</w:t>
      </w:r>
      <w:r w:rsidR="008F7625">
        <w:t xml:space="preserve"> b</w:t>
      </w:r>
      <w:r w:rsidR="00256F34">
        <w:t>oth initial and subsequent loan announcements</w:t>
      </w:r>
      <w:r>
        <w:t xml:space="preserve"> generate significant market reactions in this setting consistent with expectations</w:t>
      </w:r>
      <w:r w:rsidR="000405DA">
        <w:t>. M</w:t>
      </w:r>
      <w:r w:rsidR="00985B07">
        <w:t xml:space="preserve">ultivariate </w:t>
      </w:r>
      <w:r>
        <w:t xml:space="preserve">tests indicate no distinction between loan initiations and </w:t>
      </w:r>
      <w:r w:rsidR="00985B07">
        <w:t>subsequent loan</w:t>
      </w:r>
      <w:r>
        <w:t>s, suggesting</w:t>
      </w:r>
      <w:r w:rsidR="00A82729">
        <w:t xml:space="preserve"> </w:t>
      </w:r>
      <w:r>
        <w:t>t</w:t>
      </w:r>
      <w:r w:rsidR="00A82729">
        <w:t xml:space="preserve">he banks prior relationship with the borrowing firm is insignificant in explaining announcement returns. </w:t>
      </w:r>
      <w:r>
        <w:t>Rather, announcement returns are driven by loan characterist</w:t>
      </w:r>
      <w:r w:rsidR="001D789D">
        <w:t>ics including size of the loan and the sequencing of loan announcements. Further, w</w:t>
      </w:r>
      <w:r w:rsidR="00C309E0">
        <w:t xml:space="preserve">e </w:t>
      </w:r>
      <w:r w:rsidR="00985B07">
        <w:t>find that bank loan announcements are associated with a reduction in firm information asymmetry.</w:t>
      </w:r>
      <w:r w:rsidR="00DB4CE1">
        <w:t xml:space="preserve"> Average abnormal trading turnover is significantly positive on the bank loan announcement day, and cumulative average abnormal turnover is significantly positive in the two trading weeks after loan </w:t>
      </w:r>
      <w:r w:rsidR="00DB4CE1">
        <w:lastRenderedPageBreak/>
        <w:t xml:space="preserve">announcement. </w:t>
      </w:r>
      <w:r w:rsidR="00C309E0">
        <w:t>C</w:t>
      </w:r>
      <w:r w:rsidR="00DB4CE1">
        <w:t xml:space="preserve">umulative average abnormal spread is significantly negative in the two trading weeks following a bank loan announcement. </w:t>
      </w:r>
      <w:r w:rsidR="001D789D">
        <w:t>I</w:t>
      </w:r>
      <w:r w:rsidR="00DB4CE1">
        <w:t>ncrease</w:t>
      </w:r>
      <w:r w:rsidR="001D789D">
        <w:t>d</w:t>
      </w:r>
      <w:r w:rsidR="00DB4CE1">
        <w:t xml:space="preserve"> trading volume and decrease</w:t>
      </w:r>
      <w:r w:rsidR="001D789D">
        <w:t>d</w:t>
      </w:r>
      <w:r w:rsidR="00DB4CE1">
        <w:t xml:space="preserve"> bid-ask spread is consistent with a reduction in the borrowin</w:t>
      </w:r>
      <w:r w:rsidR="00C309E0">
        <w:t>g firm’s information asymmetry.</w:t>
      </w:r>
    </w:p>
    <w:p w:rsidR="00C879FD" w:rsidRDefault="001D789D" w:rsidP="00C879FD">
      <w:r>
        <w:t>Last</w:t>
      </w:r>
      <w:r w:rsidR="00DB4CE1">
        <w:t xml:space="preserve">, the industry leader in mine </w:t>
      </w:r>
      <w:r>
        <w:t>financing in Australia (</w:t>
      </w:r>
      <w:r w:rsidR="00DA7BE4">
        <w:t>Macquarie Bank</w:t>
      </w:r>
      <w:r>
        <w:t>)</w:t>
      </w:r>
      <w:r w:rsidR="00DA7BE4">
        <w:t xml:space="preserve"> </w:t>
      </w:r>
      <w:r>
        <w:t xml:space="preserve">is </w:t>
      </w:r>
      <w:r w:rsidR="00DB4CE1">
        <w:t>associated with larger cumulative average abnormal return</w:t>
      </w:r>
      <w:r>
        <w:t>s</w:t>
      </w:r>
      <w:r w:rsidR="00B322B6">
        <w:t xml:space="preserve">. These results are present in both </w:t>
      </w:r>
      <w:r w:rsidR="00DB4CE1">
        <w:t xml:space="preserve">univariate </w:t>
      </w:r>
      <w:r w:rsidR="00DA7BE4">
        <w:t>level</w:t>
      </w:r>
      <w:r w:rsidR="00DB4CE1">
        <w:t xml:space="preserve"> </w:t>
      </w:r>
      <w:r w:rsidR="00B322B6">
        <w:t xml:space="preserve">and multivariate </w:t>
      </w:r>
      <w:r w:rsidR="00DB4CE1">
        <w:t>analysis after controlling for firm and loan characteristics. This result provides support for the hypothesis that industry specialist lenders provide more</w:t>
      </w:r>
      <w:r w:rsidR="00DA7BE4">
        <w:t xml:space="preserve"> informative </w:t>
      </w:r>
      <w:r w:rsidR="00DB4CE1">
        <w:t>signal</w:t>
      </w:r>
      <w:r w:rsidR="00DA7BE4">
        <w:t>s</w:t>
      </w:r>
      <w:r w:rsidR="00DB4CE1">
        <w:t xml:space="preserve"> about the borrowing firm’s credit</w:t>
      </w:r>
      <w:r w:rsidR="00DA7BE4">
        <w:t>worthiness and future prospects.</w:t>
      </w:r>
      <w:r w:rsidR="00F268CB">
        <w:t xml:space="preserve"> The remainder of this paper is structured as follows. The second section details prior literature and research hypothesis. </w:t>
      </w:r>
      <w:r w:rsidR="00A50E39">
        <w:t xml:space="preserve">The third section outlines the research design. </w:t>
      </w:r>
      <w:r w:rsidR="00F268CB">
        <w:t xml:space="preserve">The fourth section contains empirical results, while the fifth section concludes. </w:t>
      </w:r>
    </w:p>
    <w:p w:rsidR="000421D1" w:rsidRPr="00C6573E" w:rsidRDefault="000F5078" w:rsidP="00C6573E">
      <w:pPr>
        <w:pStyle w:val="Heading1"/>
      </w:pPr>
      <w:bookmarkStart w:id="2" w:name="_Toc379787274"/>
      <w:r w:rsidRPr="00C6573E">
        <w:t xml:space="preserve">Background and hypothesis </w:t>
      </w:r>
      <w:r w:rsidR="00FF1821" w:rsidRPr="00C6573E">
        <w:t>development</w:t>
      </w:r>
      <w:bookmarkEnd w:id="2"/>
    </w:p>
    <w:p w:rsidR="000421D1" w:rsidRDefault="000421D1" w:rsidP="003A3939">
      <w:pPr>
        <w:spacing w:before="240"/>
      </w:pPr>
      <w:r>
        <w:t xml:space="preserve">There are numerous reasons to expect a positive share price reaction </w:t>
      </w:r>
      <w:r w:rsidR="000F5078">
        <w:t xml:space="preserve">to an </w:t>
      </w:r>
      <w:r>
        <w:t>announcement of an initial loan. First, theory suggests that banks are better able to screen potential loans relative to outside lenders due to their access to a borrowing firm’s private information</w:t>
      </w:r>
      <w:r w:rsidR="003F5E91">
        <w:t xml:space="preserve"> </w:t>
      </w:r>
      <w:r w:rsidR="003F5E91">
        <w:fldChar w:fldCharType="begin"/>
      </w:r>
      <w:r w:rsidR="003F5E91">
        <w:instrText xml:space="preserve"> ADDIN EN.CITE &lt;EndNote&gt;&lt;Cite&gt;&lt;Author&gt;Leland&lt;/Author&gt;&lt;Year&gt;1977&lt;/Year&gt;&lt;RecNum&gt;12&lt;/RecNum&gt;&lt;DisplayText&gt;(Leland &amp;amp; Pyle 1977)&lt;/DisplayText&gt;&lt;record&gt;&lt;rec-number&gt;12&lt;/rec-number&gt;&lt;foreign-keys&gt;&lt;key app="EN" db-id="xpprp0f0rzw05ved0s9xwzaqtxz0v9sfawwv"&gt;12&lt;/key&gt;&lt;/foreign-keys&gt;&lt;ref-type name="Journal Article"&gt;17&lt;/ref-type&gt;&lt;contributors&gt;&lt;authors&gt;&lt;author&gt;Leland, Hayne E.&lt;/author&gt;&lt;author&gt;Pyle, David H.&lt;/author&gt;&lt;/authors&gt;&lt;/contributors&gt;&lt;titles&gt;&lt;title&gt;Informational Asymmetries, Financial Structure, and Financial Intermediation&lt;/title&gt;&lt;secondary-title&gt;The Journal of Finance&lt;/secondary-title&gt;&lt;/titles&gt;&lt;periodical&gt;&lt;full-title&gt;The Journal of Finance&lt;/full-title&gt;&lt;/periodical&gt;&lt;pages&gt;371-387&lt;/pages&gt;&lt;volume&gt;32&lt;/volume&gt;&lt;number&gt;2&lt;/number&gt;&lt;dates&gt;&lt;year&gt;1977&lt;/year&gt;&lt;/dates&gt;&lt;publisher&gt;Blackwell Publishing Ltd&lt;/publisher&gt;&lt;isbn&gt;1540-6261&lt;/isbn&gt;&lt;urls&gt;&lt;related-urls&gt;&lt;url&gt;http://dx.doi.org/10.1111/j.1540-6261.1977.tb03277.x&lt;/url&gt;&lt;/related-urls&gt;&lt;/urls&gt;&lt;electronic-resource-num&gt;10.1111/j.1540-6261.1977.tb03277.x&lt;/electronic-resource-num&gt;&lt;/record&gt;&lt;/Cite&gt;&lt;/EndNote&gt;</w:instrText>
      </w:r>
      <w:r w:rsidR="003F5E91">
        <w:fldChar w:fldCharType="separate"/>
      </w:r>
      <w:r w:rsidR="003F5E91">
        <w:rPr>
          <w:noProof/>
        </w:rPr>
        <w:t>(</w:t>
      </w:r>
      <w:hyperlink w:anchor="_ENREF_68" w:tooltip="Leland, 1977 #12" w:history="1">
        <w:r w:rsidR="005B6334">
          <w:rPr>
            <w:noProof/>
          </w:rPr>
          <w:t>Leland &amp; Pyle 1977</w:t>
        </w:r>
      </w:hyperlink>
      <w:r w:rsidR="003F5E91">
        <w:rPr>
          <w:noProof/>
        </w:rPr>
        <w:t>)</w:t>
      </w:r>
      <w:r w:rsidR="003F5E91">
        <w:fldChar w:fldCharType="end"/>
      </w:r>
      <w:r>
        <w:t xml:space="preserve">. Capital market participants will act on signals provided by information intermediaries only when an intermediary has a sufficient stake in the market to remove incentives to misrepresent their information </w:t>
      </w:r>
      <w:r w:rsidR="001B0127">
        <w:fldChar w:fldCharType="begin"/>
      </w:r>
      <w:r w:rsidR="003A641D">
        <w:instrText xml:space="preserve"> ADDIN EN.CITE &lt;EndNote&gt;&lt;Cite&gt;&lt;Author&gt;Campbell&lt;/Author&gt;&lt;Year&gt;1980&lt;/Year&gt;&lt;RecNum&gt;13&lt;/RecNum&gt;&lt;DisplayText&gt;(Campbell &amp;amp; Kracaw 1980)&lt;/DisplayText&gt;&lt;record&gt;&lt;rec-number&gt;13&lt;/rec-number&gt;&lt;foreign-keys&gt;&lt;key app="EN" db-id="xpprp0f0rzw05ved0s9xwzaqtxz0v9sfawwv"&gt;13&lt;/key&gt;&lt;/foreign-keys&gt;&lt;ref-type name="Journal Article"&gt;17&lt;/ref-type&gt;&lt;contributors&gt;&lt;authors&gt;&lt;author&gt;Campbell, Tim S.&lt;/author&gt;&lt;author&gt;Kracaw, William A.&lt;/author&gt;&lt;/authors&gt;&lt;/contributors&gt;&lt;titles&gt;&lt;title&gt;Information Production, Market Signalling, and the Theory of Financial Intermediation&lt;/title&gt;&lt;secondary-title&gt;The Journal of Finance&lt;/secondary-title&gt;&lt;/titles&gt;&lt;periodical&gt;&lt;full-title&gt;The Journal of Finance&lt;/full-title&gt;&lt;/periodical&gt;&lt;pages&gt;863-882&lt;/pages&gt;&lt;volume&gt;35&lt;/volume&gt;&lt;number&gt;4&lt;/number&gt;&lt;dates&gt;&lt;year&gt;1980&lt;/year&gt;&lt;/dates&gt;&lt;publisher&gt;Wiley-Blackwell for the American Finance Association&lt;/publisher&gt;&lt;isbn&gt;00221082&lt;/isbn&gt;&lt;urls&gt;&lt;related-urls&gt;&lt;url&gt;http://www.jstor.org/stable/2327206&lt;/url&gt;&lt;/related-urls&gt;&lt;/urls&gt;&lt;/record&gt;&lt;/Cite&gt;&lt;/EndNote&gt;</w:instrText>
      </w:r>
      <w:r w:rsidR="001B0127">
        <w:fldChar w:fldCharType="separate"/>
      </w:r>
      <w:r>
        <w:rPr>
          <w:noProof/>
        </w:rPr>
        <w:t>(</w:t>
      </w:r>
      <w:hyperlink w:anchor="_ENREF_26" w:tooltip="Campbell, 1980 #13" w:history="1">
        <w:r w:rsidR="005B6334">
          <w:rPr>
            <w:noProof/>
          </w:rPr>
          <w:t>Campbell &amp; Kracaw 1980</w:t>
        </w:r>
      </w:hyperlink>
      <w:r>
        <w:rPr>
          <w:noProof/>
        </w:rPr>
        <w:t>)</w:t>
      </w:r>
      <w:r w:rsidR="001B0127">
        <w:fldChar w:fldCharType="end"/>
      </w:r>
      <w:r>
        <w:t>.</w:t>
      </w:r>
      <w:r w:rsidR="00142009">
        <w:t xml:space="preserve"> </w:t>
      </w:r>
      <w:r>
        <w:t xml:space="preserve">Bank loans </w:t>
      </w:r>
      <w:r w:rsidR="00FD53FB">
        <w:t xml:space="preserve">are a </w:t>
      </w:r>
      <w:r>
        <w:t xml:space="preserve">credible signal </w:t>
      </w:r>
      <w:r w:rsidR="00FD53FB">
        <w:t xml:space="preserve">in this sense since they </w:t>
      </w:r>
      <w:r>
        <w:t>back their opinions by either allocating or declining resources to borrow</w:t>
      </w:r>
      <w:r w:rsidR="00FD53FB">
        <w:t>ers</w:t>
      </w:r>
      <w:r>
        <w:t xml:space="preserve"> </w:t>
      </w:r>
      <w:r w:rsidR="001B0127">
        <w:fldChar w:fldCharType="begin"/>
      </w:r>
      <w:r w:rsidR="003A641D">
        <w:instrText xml:space="preserve"> ADDIN EN.CITE &lt;EndNote&gt;&lt;Cite&gt;&lt;Author&gt;Fama&lt;/Author&gt;&lt;Year&gt;1985&lt;/Year&gt;&lt;RecNum&gt;5&lt;/RecNum&gt;&lt;DisplayText&gt;(Fama 1985)&lt;/DisplayText&gt;&lt;record&gt;&lt;rec-number&gt;5&lt;/rec-number&gt;&lt;foreign-keys&gt;&lt;key app="EN" db-id="xpprp0f0rzw05ved0s9xwzaqtxz0v9sfawwv"&gt;5&lt;/key&gt;&lt;/foreign-keys&gt;&lt;ref-type name="Journal Article"&gt;17&lt;/ref-type&gt;&lt;contributors&gt;&lt;authors&gt;&lt;author&gt;Fama, Eugene F.&lt;/author&gt;&lt;/authors&gt;&lt;/contributors&gt;&lt;titles&gt;&lt;title&gt;What&amp;apos;s different about banks?&lt;/title&gt;&lt;secondary-title&gt;Journal of Monetary Economics&lt;/secondary-title&gt;&lt;/titles&gt;&lt;periodical&gt;&lt;full-title&gt;Journal of Monetary Economics&lt;/full-title&gt;&lt;/periodical&gt;&lt;pages&gt;29-39&lt;/pages&gt;&lt;volume&gt;15&lt;/volume&gt;&lt;number&gt;1&lt;/number&gt;&lt;dates&gt;&lt;year&gt;1985&lt;/year&gt;&lt;/dates&gt;&lt;isbn&gt;0304-3932&lt;/isbn&gt;&lt;urls&gt;&lt;related-urls&gt;&lt;url&gt;http://www.sciencedirect.com/science/article/pii/0304393285900510&lt;/url&gt;&lt;/related-urls&gt;&lt;/urls&gt;&lt;electronic-resource-num&gt;10.1016/0304-3932(85)90051-0&lt;/electronic-resource-num&gt;&lt;/record&gt;&lt;/Cite&gt;&lt;/EndNote&gt;</w:instrText>
      </w:r>
      <w:r w:rsidR="001B0127">
        <w:fldChar w:fldCharType="separate"/>
      </w:r>
      <w:r>
        <w:rPr>
          <w:noProof/>
        </w:rPr>
        <w:t>(</w:t>
      </w:r>
      <w:hyperlink w:anchor="_ENREF_42" w:tooltip="Fama, 1985 #5" w:history="1">
        <w:r w:rsidR="005B6334">
          <w:rPr>
            <w:noProof/>
          </w:rPr>
          <w:t>Fama 1985</w:t>
        </w:r>
      </w:hyperlink>
      <w:r>
        <w:rPr>
          <w:noProof/>
        </w:rPr>
        <w:t>)</w:t>
      </w:r>
      <w:r w:rsidR="001B0127">
        <w:fldChar w:fldCharType="end"/>
      </w:r>
      <w:r>
        <w:t xml:space="preserve">. Based on the informational advantages banks possess over external parties, and the credibility their lending decisions can signal, investors will gain insight into the quality of a firm’s </w:t>
      </w:r>
      <w:r w:rsidR="00067BC0">
        <w:t xml:space="preserve">incomplete contracts </w:t>
      </w:r>
      <w:r>
        <w:t>after loan</w:t>
      </w:r>
      <w:r w:rsidR="00067BC0">
        <w:t xml:space="preserve"> approval</w:t>
      </w:r>
      <w:r>
        <w:t xml:space="preserve">. </w:t>
      </w:r>
      <w:r w:rsidR="00514258">
        <w:t xml:space="preserve">We argue that </w:t>
      </w:r>
      <w:r w:rsidR="00B80A87">
        <w:t xml:space="preserve">initial </w:t>
      </w:r>
      <w:r>
        <w:t xml:space="preserve">loan announcements may be associated with </w:t>
      </w:r>
      <w:r w:rsidR="00514258">
        <w:t xml:space="preserve">more </w:t>
      </w:r>
      <w:r>
        <w:t>positive share price reaction</w:t>
      </w:r>
      <w:r w:rsidR="00514258">
        <w:t xml:space="preserve">, since this is the first signal of bank lending credibility sent to the market. </w:t>
      </w:r>
    </w:p>
    <w:p w:rsidR="000421D1" w:rsidRDefault="000421D1" w:rsidP="000421D1">
      <w:pPr>
        <w:rPr>
          <w:rFonts w:cs="Times New Roman"/>
          <w:szCs w:val="24"/>
        </w:rPr>
      </w:pPr>
      <w:r>
        <w:lastRenderedPageBreak/>
        <w:t>Second,</w:t>
      </w:r>
      <w:r w:rsidR="000405DA">
        <w:t xml:space="preserve"> banks provide</w:t>
      </w:r>
      <w:r>
        <w:t xml:space="preserve"> ex-post monitoring </w:t>
      </w:r>
      <w:r w:rsidR="000405DA">
        <w:t>which</w:t>
      </w:r>
      <w:r>
        <w:t xml:space="preserve"> </w:t>
      </w:r>
      <w:r w:rsidR="00514258">
        <w:t xml:space="preserve">can </w:t>
      </w:r>
      <w:r>
        <w:t xml:space="preserve">raise the probability of firm success through enforcement of efficient project choice, or the owner’s effort </w:t>
      </w:r>
      <w:r w:rsidR="001B0127">
        <w:fldChar w:fldCharType="begin">
          <w:fldData xml:space="preserve">PEVuZE5vdGU+PENpdGU+PEF1dGhvcj5GYXVsa2VuZGVyPC9BdXRob3I+PFllYXI+MjAwNjwvWWVh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</w:fldData>
        </w:fldChar>
      </w:r>
      <w:r w:rsidR="003A641D">
        <w:instrText xml:space="preserve"> ADDIN EN.CITE </w:instrText>
      </w:r>
      <w:r w:rsidR="003A641D">
        <w:fldChar w:fldCharType="begin">
          <w:fldData xml:space="preserve">PEVuZE5vdGU+PENpdGU+PEF1dGhvcj5GYXVsa2VuZGVyPC9BdXRob3I+PFllYXI+MjAwNjwvWWVh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</w:fldData>
        </w:fldChar>
      </w:r>
      <w:r w:rsidR="003A641D">
        <w:instrText xml:space="preserve"> ADDIN EN.CITE.DATA </w:instrText>
      </w:r>
      <w:r w:rsidR="003A641D">
        <w:fldChar w:fldCharType="end"/>
      </w:r>
      <w:r w:rsidR="001B0127">
        <w:fldChar w:fldCharType="separate"/>
      </w:r>
      <w:r>
        <w:rPr>
          <w:noProof/>
        </w:rPr>
        <w:t>(</w:t>
      </w:r>
      <w:hyperlink w:anchor="_ENREF_38" w:tooltip="Diamond, 1991 #32" w:history="1">
        <w:r w:rsidR="005B6334">
          <w:rPr>
            <w:noProof/>
          </w:rPr>
          <w:t>Diamond 1991</w:t>
        </w:r>
      </w:hyperlink>
      <w:r>
        <w:rPr>
          <w:noProof/>
        </w:rPr>
        <w:t xml:space="preserve">; </w:t>
      </w:r>
      <w:hyperlink w:anchor="_ENREF_44" w:tooltip="Faulkender, 2006 #92" w:history="1">
        <w:r w:rsidR="005B6334">
          <w:rPr>
            <w:noProof/>
          </w:rPr>
          <w:t>Faulkender &amp; Petersen 2006</w:t>
        </w:r>
      </w:hyperlink>
      <w:r>
        <w:rPr>
          <w:noProof/>
        </w:rPr>
        <w:t xml:space="preserve">; </w:t>
      </w:r>
      <w:hyperlink w:anchor="_ENREF_77" w:tooltip="Mester, 2007 #93" w:history="1">
        <w:r w:rsidR="005B6334">
          <w:rPr>
            <w:noProof/>
          </w:rPr>
          <w:t>Mester</w:t>
        </w:r>
        <w:r w:rsidR="005B6334" w:rsidRPr="0023406A">
          <w:rPr>
            <w:i/>
            <w:noProof/>
          </w:rPr>
          <w:t xml:space="preserve"> et al.</w:t>
        </w:r>
        <w:r w:rsidR="005B6334">
          <w:rPr>
            <w:noProof/>
          </w:rPr>
          <w:t xml:space="preserve"> 2007</w:t>
        </w:r>
      </w:hyperlink>
      <w:r>
        <w:rPr>
          <w:noProof/>
        </w:rPr>
        <w:t>)</w:t>
      </w:r>
      <w:r w:rsidR="001B0127">
        <w:fldChar w:fldCharType="end"/>
      </w:r>
      <w:r>
        <w:t xml:space="preserve">. </w:t>
      </w:r>
      <w:r>
        <w:rPr>
          <w:rFonts w:cs="Times New Roman"/>
          <w:szCs w:val="24"/>
        </w:rPr>
        <w:t>Additionally t</w:t>
      </w:r>
      <w:r>
        <w:t xml:space="preserve">he bank may take a position on the board of directors </w:t>
      </w:r>
      <w:r w:rsidR="001B0127">
        <w:fldChar w:fldCharType="begin"/>
      </w:r>
      <w:r w:rsidR="003A641D">
        <w:instrText xml:space="preserve"> ADDIN EN.CITE &lt;EndNote&gt;&lt;Cite&gt;&lt;Author&gt;Fama&lt;/Author&gt;&lt;Year&gt;1985&lt;/Year&gt;&lt;RecNum&gt;5&lt;/RecNum&gt;&lt;DisplayText&gt;(Fama 1985)&lt;/DisplayText&gt;&lt;record&gt;&lt;rec-number&gt;5&lt;/rec-number&gt;&lt;foreign-keys&gt;&lt;key app="EN" db-id="xpprp0f0rzw05ved0s9xwzaqtxz0v9sfawwv"&gt;5&lt;/key&gt;&lt;/foreign-keys&gt;&lt;ref-type name="Journal Article"&gt;17&lt;/ref-type&gt;&lt;contributors&gt;&lt;authors&gt;&lt;author&gt;Fama, Eugene F.&lt;/author&gt;&lt;/authors&gt;&lt;/contributors&gt;&lt;titles&gt;&lt;title&gt;What&amp;apos;s different about banks?&lt;/title&gt;&lt;secondary-title&gt;Journal of Monetary Economics&lt;/secondary-title&gt;&lt;/titles&gt;&lt;periodical&gt;&lt;full-title&gt;Journal of Monetary Economics&lt;/full-title&gt;&lt;/periodical&gt;&lt;pages&gt;29-39&lt;/pages&gt;&lt;volume&gt;15&lt;/volume&gt;&lt;number&gt;1&lt;/number&gt;&lt;dates&gt;&lt;year&gt;1985&lt;/year&gt;&lt;/dates&gt;&lt;isbn&gt;0304-3932&lt;/isbn&gt;&lt;urls&gt;&lt;related-urls&gt;&lt;url&gt;http://www.sciencedirect.com/science/article/pii/0304393285900510&lt;/url&gt;&lt;/related-urls&gt;&lt;/urls&gt;&lt;electronic-resource-num&gt;10.1016/0304-3932(85)90051-0&lt;/electronic-resource-num&gt;&lt;/record&gt;&lt;/Cite&gt;&lt;/EndNote&gt;</w:instrText>
      </w:r>
      <w:r w:rsidR="001B0127">
        <w:fldChar w:fldCharType="separate"/>
      </w:r>
      <w:r>
        <w:rPr>
          <w:noProof/>
        </w:rPr>
        <w:t>(</w:t>
      </w:r>
      <w:hyperlink w:anchor="_ENREF_42" w:tooltip="Fama, 1985 #5" w:history="1">
        <w:r w:rsidR="005B6334">
          <w:rPr>
            <w:noProof/>
          </w:rPr>
          <w:t>Fama 1985</w:t>
        </w:r>
      </w:hyperlink>
      <w:r>
        <w:rPr>
          <w:noProof/>
        </w:rPr>
        <w:t>)</w:t>
      </w:r>
      <w:r w:rsidR="001B0127">
        <w:fldChar w:fldCharType="end"/>
      </w:r>
      <w:r>
        <w:t>.</w:t>
      </w:r>
      <w:r w:rsidR="00063C68">
        <w:rPr>
          <w:rStyle w:val="FootnoteReference"/>
        </w:rPr>
        <w:footnoteReference w:id="2"/>
      </w:r>
      <w:r>
        <w:t xml:space="preserve"> </w:t>
      </w:r>
      <w:r w:rsidR="00CF7326">
        <w:t xml:space="preserve">Further, </w:t>
      </w:r>
      <w:r w:rsidR="007D36FB">
        <w:t>b</w:t>
      </w:r>
      <w:r w:rsidRPr="006A795B">
        <w:rPr>
          <w:rFonts w:cs="Times New Roman"/>
          <w:szCs w:val="24"/>
        </w:rPr>
        <w:t xml:space="preserve">anks </w:t>
      </w:r>
      <w:r>
        <w:rPr>
          <w:rFonts w:cs="Times New Roman"/>
          <w:szCs w:val="24"/>
        </w:rPr>
        <w:t>are more</w:t>
      </w:r>
      <w:r w:rsidRPr="006A795B">
        <w:rPr>
          <w:rFonts w:cs="Times New Roman"/>
          <w:szCs w:val="24"/>
        </w:rPr>
        <w:t xml:space="preserve"> efficient at restructuring firms in financial distress</w:t>
      </w:r>
      <w:r>
        <w:rPr>
          <w:rFonts w:cs="Times New Roman"/>
          <w:szCs w:val="24"/>
        </w:rPr>
        <w:t xml:space="preserve"> relative to outside lenders </w:t>
      </w:r>
      <w:r w:rsidR="001B0127">
        <w:rPr>
          <w:rFonts w:cs="Times New Roman"/>
          <w:szCs w:val="24"/>
        </w:rPr>
        <w:fldChar w:fldCharType="begin"/>
      </w:r>
      <w:r w:rsidR="003A641D">
        <w:rPr>
          <w:rFonts w:cs="Times New Roman"/>
          <w:szCs w:val="24"/>
        </w:rPr>
        <w:instrText xml:space="preserve"> ADDIN EN.CITE &lt;EndNote&gt;&lt;Cite&gt;&lt;Author&gt;Bolton&lt;/Author&gt;&lt;Year&gt;1996&lt;/Year&gt;&lt;RecNum&gt;95&lt;/RecNum&gt;&lt;DisplayText&gt;(Bolton &amp;amp; Scharfstein 1996; Bolton &amp;amp; Freixas 2000)&lt;/DisplayText&gt;&lt;record&gt;&lt;rec-number&gt;95&lt;/rec-number&gt;&lt;foreign-keys&gt;&lt;key app="EN" db-id="xpprp0f0rzw05ved0s9xwzaqtxz0v9sfawwv"&gt;95&lt;/key&gt;&lt;/foreign-keys&gt;&lt;ref-type name="Journal Article"&gt;17&lt;/ref-type&gt;&lt;contributors&gt;&lt;authors&gt;&lt;author&gt;Bolton, Patrick&lt;/author&gt;&lt;author&gt;Scharfstein, David S&lt;/author&gt;&lt;/authors&gt;&lt;/contributors&gt;&lt;titles&gt;&lt;title&gt;Optimal debt structure and the number of creditors&lt;/title&gt;&lt;secondary-title&gt;Journal of Political Economy&lt;/secondary-title&gt;&lt;/titles&gt;&lt;periodical&gt;&lt;full-title&gt;Journal of Political Economy&lt;/full-title&gt;&lt;/periodical&gt;&lt;pages&gt;1-25&lt;/pages&gt;&lt;dates&gt;&lt;year&gt;1996&lt;/year&gt;&lt;/dates&gt;&lt;isbn&gt;0022-3808&lt;/isbn&gt;&lt;urls&gt;&lt;/urls&gt;&lt;/record&gt;&lt;/Cite&gt;&lt;Cite&gt;&lt;Author&gt;Bolton&lt;/Author&gt;&lt;Year&gt;2000&lt;/Year&gt;&lt;RecNum&gt;94&lt;/RecNum&gt;&lt;record&gt;&lt;rec-number&gt;94&lt;/rec-number&gt;&lt;foreign-keys&gt;&lt;key app="EN" db-id="xpprp0f0rzw05ved0s9xwzaqtxz0v9sfawwv"&gt;94&lt;/key&gt;&lt;/foreign-keys&gt;&lt;ref-type name="Journal Article"&gt;17&lt;/ref-type&gt;&lt;contributors&gt;&lt;authors&gt;&lt;author&gt;Bolton, Patrick&lt;/author&gt;&lt;author&gt;Freixas, Xavier&lt;/author&gt;&lt;/authors&gt;&lt;/contributors&gt;&lt;titles&gt;&lt;title&gt;Equity, bonds, and bank debt: Capital structure and financial market equilibrium under asymmetric information&lt;/title&gt;&lt;secondary-title&gt;Journal of Political Economy&lt;/secondary-title&gt;&lt;/titles&gt;&lt;periodical&gt;&lt;full-title&gt;Journal of Political Economy&lt;/full-title&gt;&lt;/periodical&gt;&lt;pages&gt;324-351&lt;/pages&gt;&lt;volume&gt;108&lt;/volume&gt;&lt;number&gt;2&lt;/number&gt;&lt;dates&gt;&lt;year&gt;2000&lt;/year&gt;&lt;/dates&gt;&lt;isbn&gt;0022-3808&lt;/isbn&gt;&lt;urls&gt;&lt;/urls&gt;&lt;/record&gt;&lt;/Cite&gt;&lt;/EndNote&gt;</w:instrText>
      </w:r>
      <w:r w:rsidR="001B0127">
        <w:rPr>
          <w:rFonts w:cs="Times New Roman"/>
          <w:szCs w:val="24"/>
        </w:rPr>
        <w:fldChar w:fldCharType="separate"/>
      </w:r>
      <w:r>
        <w:rPr>
          <w:rFonts w:cs="Times New Roman"/>
          <w:noProof/>
          <w:szCs w:val="24"/>
        </w:rPr>
        <w:t>(</w:t>
      </w:r>
      <w:hyperlink w:anchor="_ENREF_13" w:tooltip="Bolton, 1996 #95" w:history="1">
        <w:r w:rsidR="005B6334">
          <w:rPr>
            <w:rFonts w:cs="Times New Roman"/>
            <w:noProof/>
            <w:szCs w:val="24"/>
          </w:rPr>
          <w:t>Bolton &amp; Scharfstein 1996</w:t>
        </w:r>
      </w:hyperlink>
      <w:r>
        <w:rPr>
          <w:rFonts w:cs="Times New Roman"/>
          <w:noProof/>
          <w:szCs w:val="24"/>
        </w:rPr>
        <w:t xml:space="preserve">; </w:t>
      </w:r>
      <w:hyperlink w:anchor="_ENREF_12" w:tooltip="Bolton, 2000 #94" w:history="1">
        <w:r w:rsidR="005B6334">
          <w:rPr>
            <w:rFonts w:cs="Times New Roman"/>
            <w:noProof/>
            <w:szCs w:val="24"/>
          </w:rPr>
          <w:t>Bolton &amp; Freixas 2000</w:t>
        </w:r>
      </w:hyperlink>
      <w:r>
        <w:rPr>
          <w:rFonts w:cs="Times New Roman"/>
          <w:noProof/>
          <w:szCs w:val="24"/>
        </w:rPr>
        <w:t>)</w:t>
      </w:r>
      <w:r w:rsidR="001B0127">
        <w:rPr>
          <w:rFonts w:cs="Times New Roman"/>
          <w:szCs w:val="24"/>
        </w:rPr>
        <w:fldChar w:fldCharType="end"/>
      </w:r>
      <w:r>
        <w:rPr>
          <w:rFonts w:cs="Times New Roman"/>
          <w:szCs w:val="24"/>
        </w:rPr>
        <w:t>. Thus</w:t>
      </w:r>
      <w:r w:rsidR="00514258">
        <w:rPr>
          <w:rFonts w:cs="Times New Roman"/>
          <w:szCs w:val="24"/>
        </w:rPr>
        <w:t>,</w:t>
      </w:r>
      <w:r>
        <w:rPr>
          <w:rFonts w:cs="Times New Roman"/>
          <w:szCs w:val="24"/>
        </w:rPr>
        <w:t xml:space="preserve"> ex-post monitoring provided by</w:t>
      </w:r>
      <w:r w:rsidR="00B80A87">
        <w:rPr>
          <w:rFonts w:cs="Times New Roman"/>
          <w:szCs w:val="24"/>
        </w:rPr>
        <w:t xml:space="preserve"> a</w:t>
      </w:r>
      <w:r>
        <w:rPr>
          <w:rFonts w:cs="Times New Roman"/>
          <w:szCs w:val="24"/>
        </w:rPr>
        <w:t xml:space="preserve"> bank</w:t>
      </w:r>
      <w:r w:rsidR="00B80A87">
        <w:rPr>
          <w:rFonts w:cs="Times New Roman"/>
          <w:szCs w:val="24"/>
        </w:rPr>
        <w:t xml:space="preserve"> </w:t>
      </w:r>
      <w:r w:rsidR="00E265AD">
        <w:rPr>
          <w:rFonts w:cs="Times New Roman"/>
          <w:szCs w:val="24"/>
        </w:rPr>
        <w:t xml:space="preserve">after an </w:t>
      </w:r>
      <w:r w:rsidR="00B80A87">
        <w:rPr>
          <w:rFonts w:cs="Times New Roman"/>
          <w:szCs w:val="24"/>
        </w:rPr>
        <w:t xml:space="preserve">initial loan </w:t>
      </w:r>
      <w:r w:rsidR="00E265AD">
        <w:rPr>
          <w:rFonts w:cs="Times New Roman"/>
          <w:szCs w:val="24"/>
        </w:rPr>
        <w:t>may have a more substantive effect on the borrower’s operations than subsequent loans, thus</w:t>
      </w:r>
      <w:r>
        <w:rPr>
          <w:rFonts w:cs="Times New Roman"/>
          <w:szCs w:val="24"/>
        </w:rPr>
        <w:t xml:space="preserve"> </w:t>
      </w:r>
      <w:r w:rsidR="00E265AD">
        <w:rPr>
          <w:rFonts w:cs="Times New Roman"/>
          <w:szCs w:val="24"/>
        </w:rPr>
        <w:t>having</w:t>
      </w:r>
      <w:r>
        <w:rPr>
          <w:rFonts w:cs="Times New Roman"/>
          <w:szCs w:val="24"/>
        </w:rPr>
        <w:t xml:space="preserve"> a </w:t>
      </w:r>
      <w:r w:rsidR="00E265AD">
        <w:rPr>
          <w:rFonts w:cs="Times New Roman"/>
          <w:szCs w:val="24"/>
        </w:rPr>
        <w:t xml:space="preserve">greater effect on a </w:t>
      </w:r>
      <w:r>
        <w:rPr>
          <w:rFonts w:cs="Times New Roman"/>
          <w:szCs w:val="24"/>
        </w:rPr>
        <w:t>borrowing firm’s value</w:t>
      </w:r>
      <w:r w:rsidR="00E265AD">
        <w:rPr>
          <w:rFonts w:cs="Times New Roman"/>
          <w:szCs w:val="24"/>
        </w:rPr>
        <w:t>.</w:t>
      </w:r>
    </w:p>
    <w:p w:rsidR="00E61494" w:rsidRDefault="000421D1" w:rsidP="00E61494">
      <w:r>
        <w:t xml:space="preserve">Finally </w:t>
      </w:r>
      <w:r w:rsidR="00BF28BF">
        <w:fldChar w:fldCharType="begin"/>
      </w:r>
      <w:r w:rsidR="003A641D">
        <w:instrText xml:space="preserve"> ADDIN EN.CITE &lt;EndNote&gt;&lt;Cite AuthorYear="1"&gt;&lt;Author&gt;Ross&lt;/Author&gt;&lt;Year&gt;1977&lt;/Year&gt;&lt;RecNum&gt;109&lt;/RecNum&gt;&lt;DisplayText&gt;Ross (1977)&lt;/DisplayText&gt;&lt;record&gt;&lt;rec-number&gt;109&lt;/rec-number&gt;&lt;foreign-keys&gt;&lt;key app="EN" db-id="xpprp0f0rzw05ved0s9xwzaqtxz0v9sfawwv"&gt;109&lt;/key&gt;&lt;/foreign-keys&gt;&lt;ref-type name="Journal Article"&gt;17&lt;/ref-type&gt;&lt;contributors&gt;&lt;authors&gt;&lt;author&gt;Ross, Stephen A&lt;/author&gt;&lt;/authors&gt;&lt;/contributors&gt;&lt;titles&gt;&lt;title&gt;The determination of financial structure: the incentive-signalling approach&lt;/title&gt;&lt;secondary-title&gt;The Bell Journal of Economics&lt;/secondary-title&gt;&lt;/titles&gt;&lt;periodical&gt;&lt;full-title&gt;The Bell Journal of Economics&lt;/full-title&gt;&lt;/periodical&gt;&lt;pages&gt;23-40&lt;/pages&gt;&lt;dates&gt;&lt;year&gt;1977&lt;/year&gt;&lt;/dates&gt;&lt;isbn&gt;0361-915X&lt;/isbn&gt;&lt;urls&gt;&lt;/urls&gt;&lt;/record&gt;&lt;/Cite&gt;&lt;/EndNote&gt;</w:instrText>
      </w:r>
      <w:r w:rsidR="00BF28BF">
        <w:fldChar w:fldCharType="separate"/>
      </w:r>
      <w:hyperlink w:anchor="_ENREF_88" w:tooltip="Ross, 1977 #109" w:history="1">
        <w:r w:rsidR="005B6334">
          <w:rPr>
            <w:noProof/>
          </w:rPr>
          <w:t>Ross (1977</w:t>
        </w:r>
      </w:hyperlink>
      <w:r w:rsidR="00BF28BF">
        <w:rPr>
          <w:noProof/>
        </w:rPr>
        <w:t>)</w:t>
      </w:r>
      <w:r w:rsidR="00BF28BF">
        <w:fldChar w:fldCharType="end"/>
      </w:r>
      <w:r w:rsidR="004F508F">
        <w:t xml:space="preserve"> </w:t>
      </w:r>
      <w:r>
        <w:t xml:space="preserve">argues that </w:t>
      </w:r>
      <w:r w:rsidR="001F184F">
        <w:t>management is</w:t>
      </w:r>
      <w:r w:rsidRPr="00AD632E">
        <w:t xml:space="preserve"> likely to have inside information about the </w:t>
      </w:r>
      <w:r w:rsidR="00986634">
        <w:t xml:space="preserve">firm </w:t>
      </w:r>
      <w:r w:rsidRPr="00AD632E">
        <w:t>value</w:t>
      </w:r>
      <w:r w:rsidR="00986634">
        <w:t>,</w:t>
      </w:r>
      <w:r w:rsidRPr="00AD632E">
        <w:t xml:space="preserve"> </w:t>
      </w:r>
      <w:r w:rsidR="00986634">
        <w:t xml:space="preserve">with </w:t>
      </w:r>
      <w:r w:rsidRPr="00AD632E">
        <w:t xml:space="preserve">firms that are truly </w:t>
      </w:r>
      <w:r>
        <w:t>high quality</w:t>
      </w:r>
      <w:r w:rsidR="00986634">
        <w:t xml:space="preserve"> having incentives to engage in signalling. </w:t>
      </w:r>
      <w:r w:rsidR="00BF28BF">
        <w:fldChar w:fldCharType="begin"/>
      </w:r>
      <w:r w:rsidR="003A641D">
        <w:instrText xml:space="preserve"> ADDIN EN.CITE &lt;EndNote&gt;&lt;Cite AuthorYear="1"&gt;&lt;Author&gt;Ross&lt;/Author&gt;&lt;Year&gt;1977&lt;/Year&gt;&lt;RecNum&gt;109&lt;/RecNum&gt;&lt;DisplayText&gt;Ross (1977)&lt;/DisplayText&gt;&lt;record&gt;&lt;rec-number&gt;109&lt;/rec-number&gt;&lt;foreign-keys&gt;&lt;key app="EN" db-id="xpprp0f0rzw05ved0s9xwzaqtxz0v9sfawwv"&gt;109&lt;/key&gt;&lt;/foreign-keys&gt;&lt;ref-type name="Journal Article"&gt;17&lt;/ref-type&gt;&lt;contributors&gt;&lt;authors&gt;&lt;author&gt;Ross, Stephen A&lt;/author&gt;&lt;/authors&gt;&lt;/contributors&gt;&lt;titles&gt;&lt;title&gt;The determination of financial structure: the incentive-signalling approach&lt;/title&gt;&lt;secondary-title&gt;The Bell Journal of Economics&lt;/secondary-title&gt;&lt;/titles&gt;&lt;periodical&gt;&lt;full-title&gt;The Bell Journal of Economics&lt;/full-title&gt;&lt;/periodical&gt;&lt;pages&gt;23-40&lt;/pages&gt;&lt;dates&gt;&lt;year&gt;1977&lt;/year&gt;&lt;/dates&gt;&lt;isbn&gt;0361-915X&lt;/isbn&gt;&lt;urls&gt;&lt;/urls&gt;&lt;/record&gt;&lt;/Cite&gt;&lt;/EndNote&gt;</w:instrText>
      </w:r>
      <w:r w:rsidR="00BF28BF">
        <w:fldChar w:fldCharType="separate"/>
      </w:r>
      <w:hyperlink w:anchor="_ENREF_88" w:tooltip="Ross, 1977 #109" w:history="1">
        <w:r w:rsidR="005B6334">
          <w:rPr>
            <w:noProof/>
          </w:rPr>
          <w:t>Ross (1977</w:t>
        </w:r>
      </w:hyperlink>
      <w:r w:rsidR="00BF28BF">
        <w:rPr>
          <w:noProof/>
        </w:rPr>
        <w:t>)</w:t>
      </w:r>
      <w:r w:rsidR="00BF28BF">
        <w:fldChar w:fldCharType="end"/>
      </w:r>
      <w:r w:rsidR="00747C08">
        <w:t xml:space="preserve"> </w:t>
      </w:r>
      <w:r w:rsidRPr="00AD632E">
        <w:t xml:space="preserve">suggests that one such signal may be </w:t>
      </w:r>
      <w:r>
        <w:t>the</w:t>
      </w:r>
      <w:r w:rsidRPr="00AD632E">
        <w:t xml:space="preserve"> fi</w:t>
      </w:r>
      <w:r>
        <w:t>rms' use of debt financing. As</w:t>
      </w:r>
      <w:r w:rsidRPr="00AD632E">
        <w:t xml:space="preserve"> managers incur a penalty if their firm goes bankrupt, </w:t>
      </w:r>
      <w:r>
        <w:t xml:space="preserve">high quality </w:t>
      </w:r>
      <w:r w:rsidRPr="00AD632E">
        <w:t xml:space="preserve">firms will have a higher tolerance for debt </w:t>
      </w:r>
      <w:r>
        <w:t>than lower quality firms</w:t>
      </w:r>
      <w:r w:rsidRPr="00AD632E">
        <w:t>. The implication is that the market should interpret higher debt as a signal of higher value</w:t>
      </w:r>
      <w:r w:rsidR="00986634">
        <w:t>. A special case is of course loan initiation, where a more unambiguous quality signal is being sent, compared to subsequent loans.</w:t>
      </w:r>
      <w:r w:rsidR="00491E38">
        <w:rPr>
          <w:rStyle w:val="FootnoteReference"/>
        </w:rPr>
        <w:footnoteReference w:id="3"/>
      </w:r>
      <w:r w:rsidR="00533CC8">
        <w:t>,</w:t>
      </w:r>
      <w:r w:rsidR="00B51490">
        <w:rPr>
          <w:rStyle w:val="FootnoteReference"/>
        </w:rPr>
        <w:footnoteReference w:id="4"/>
      </w:r>
    </w:p>
    <w:p w:rsidR="004667EA" w:rsidRPr="004667EA" w:rsidRDefault="004A0AC1" w:rsidP="00985D68">
      <w:pPr>
        <w:rPr>
          <w:rFonts w:cs="Times New Roman"/>
          <w:szCs w:val="24"/>
        </w:rPr>
      </w:pPr>
      <w:r>
        <w:lastRenderedPageBreak/>
        <w:t>I</w:t>
      </w:r>
      <w:r w:rsidR="004667EA">
        <w:t xml:space="preserve">n summary, </w:t>
      </w:r>
      <w:r w:rsidR="00111811">
        <w:t>we</w:t>
      </w:r>
      <w:r w:rsidR="004667EA">
        <w:t xml:space="preserve"> hypothesise that the announcement of a firm obtaining its first bank loan and changing from a zero-leverage capital structure to having private debt, </w:t>
      </w:r>
      <w:r w:rsidR="0037056A">
        <w:t xml:space="preserve">is associated with </w:t>
      </w:r>
      <w:r w:rsidR="004667EA">
        <w:t>a positive share price reaction.</w:t>
      </w:r>
      <w:r w:rsidR="003D6954">
        <w:t xml:space="preserve"> We pose H1 as follows</w:t>
      </w:r>
      <w:r w:rsidR="004667EA">
        <w:t>:</w:t>
      </w:r>
    </w:p>
    <w:p w:rsidR="001664AD" w:rsidRPr="001664AD" w:rsidRDefault="004667EA" w:rsidP="001664AD">
      <w:pPr>
        <w:spacing w:before="240"/>
        <w:rPr>
          <w:i/>
          <w:szCs w:val="24"/>
        </w:rPr>
      </w:pPr>
      <w:r w:rsidRPr="00B677BD">
        <w:rPr>
          <w:rFonts w:cs="Times New Roman"/>
          <w:b/>
          <w:szCs w:val="24"/>
        </w:rPr>
        <w:t>H</w:t>
      </w:r>
      <w:r>
        <w:rPr>
          <w:rFonts w:cs="Times New Roman"/>
          <w:b/>
          <w:szCs w:val="24"/>
        </w:rPr>
        <w:t>1</w:t>
      </w:r>
      <w:r w:rsidRPr="00B677BD">
        <w:rPr>
          <w:rFonts w:cs="Times New Roman"/>
          <w:szCs w:val="24"/>
        </w:rPr>
        <w:t xml:space="preserve">: </w:t>
      </w:r>
      <w:r>
        <w:rPr>
          <w:i/>
          <w:szCs w:val="24"/>
        </w:rPr>
        <w:t>Initial</w:t>
      </w:r>
      <w:r w:rsidRPr="00B677BD">
        <w:rPr>
          <w:i/>
          <w:szCs w:val="24"/>
        </w:rPr>
        <w:t xml:space="preserve"> loan announcements</w:t>
      </w:r>
      <w:r>
        <w:rPr>
          <w:i/>
          <w:szCs w:val="24"/>
        </w:rPr>
        <w:t xml:space="preserve"> </w:t>
      </w:r>
      <w:r w:rsidRPr="00B677BD">
        <w:rPr>
          <w:i/>
          <w:szCs w:val="24"/>
        </w:rPr>
        <w:t>are associated with</w:t>
      </w:r>
      <w:r>
        <w:rPr>
          <w:i/>
          <w:szCs w:val="24"/>
        </w:rPr>
        <w:t xml:space="preserve"> a positive share price reaction</w:t>
      </w:r>
      <w:r w:rsidRPr="00B677BD">
        <w:rPr>
          <w:i/>
          <w:szCs w:val="24"/>
        </w:rPr>
        <w:t>.</w:t>
      </w:r>
      <w:bookmarkStart w:id="3" w:name="_Toc379787277"/>
    </w:p>
    <w:bookmarkEnd w:id="3"/>
    <w:p w:rsidR="000421D1" w:rsidRDefault="000421D1" w:rsidP="00967D33">
      <w:pPr>
        <w:pStyle w:val="NoSpacing"/>
        <w:ind w:firstLine="720"/>
      </w:pPr>
      <w:r>
        <w:t>T</w:t>
      </w:r>
      <w:r w:rsidRPr="000A7E21">
        <w:t>heories of financial interm</w:t>
      </w:r>
      <w:r>
        <w:t>ediation explain</w:t>
      </w:r>
      <w:r w:rsidRPr="000A7E21">
        <w:t xml:space="preserve"> the role of banks in reduc</w:t>
      </w:r>
      <w:r>
        <w:t xml:space="preserve">ing information asymmetry. </w:t>
      </w:r>
      <w:r w:rsidR="00BF28BF">
        <w:fldChar w:fldCharType="begin"/>
      </w:r>
      <w:r w:rsidR="003A641D">
        <w:instrText xml:space="preserve"> ADDIN EN.CITE &lt;EndNote&gt;&lt;Cite AuthorYear="1"&gt;&lt;Author&gt;Leland&lt;/Author&gt;&lt;Year&gt;1977&lt;/Year&gt;&lt;RecNum&gt;12&lt;/RecNum&gt;&lt;DisplayText&gt;Leland and Pyle (1977)&lt;/DisplayText&gt;&lt;record&gt;&lt;rec-number&gt;12&lt;/rec-number&gt;&lt;foreign-keys&gt;&lt;key app="EN" db-id="xpprp0f0rzw05ved0s9xwzaqtxz0v9sfawwv"&gt;12&lt;/key&gt;&lt;/foreign-keys&gt;&lt;ref-type name="Journal Article"&gt;17&lt;/ref-type&gt;&lt;contributors&gt;&lt;authors&gt;&lt;author&gt;Leland, Hayne E.&lt;/author&gt;&lt;author&gt;Pyle, David H.&lt;/author&gt;&lt;/authors&gt;&lt;/contributors&gt;&lt;titles&gt;&lt;title&gt;Informational Asymmetries, Financial Structure, and Financial Intermediation&lt;/title&gt;&lt;secondary-title&gt;The Journal of Finance&lt;/secondary-title&gt;&lt;/titles&gt;&lt;periodical&gt;&lt;full-title&gt;The Journal of Finance&lt;/full-title&gt;&lt;/periodical&gt;&lt;pages&gt;371-387&lt;/pages&gt;&lt;volume&gt;32&lt;/volume&gt;&lt;number&gt;2&lt;/number&gt;&lt;dates&gt;&lt;year&gt;1977&lt;/year&gt;&lt;/dates&gt;&lt;publisher&gt;Blackwell Publishing Ltd&lt;/publisher&gt;&lt;isbn&gt;1540-6261&lt;/isbn&gt;&lt;urls&gt;&lt;related-urls&gt;&lt;url&gt;http://dx.doi.org/10.1111/j.1540-6261.1977.tb03277.x&lt;/url&gt;&lt;/related-urls&gt;&lt;/urls&gt;&lt;electronic-resource-num&gt;10.1111/j.1540-6261.1977.tb03277.x&lt;/electronic-resource-num&gt;&lt;/record&gt;&lt;/Cite&gt;&lt;/EndNote&gt;</w:instrText>
      </w:r>
      <w:r w:rsidR="00BF28BF">
        <w:fldChar w:fldCharType="separate"/>
      </w:r>
      <w:hyperlink w:anchor="_ENREF_68" w:tooltip="Leland, 1977 #12" w:history="1">
        <w:r w:rsidR="005B6334">
          <w:rPr>
            <w:noProof/>
          </w:rPr>
          <w:t>Leland and Pyle (1977</w:t>
        </w:r>
      </w:hyperlink>
      <w:r w:rsidR="00BF28BF">
        <w:rPr>
          <w:noProof/>
        </w:rPr>
        <w:t>)</w:t>
      </w:r>
      <w:r w:rsidR="00BF28BF">
        <w:fldChar w:fldCharType="end"/>
      </w:r>
      <w:r w:rsidR="0097036F">
        <w:t xml:space="preserve"> </w:t>
      </w:r>
      <w:r>
        <w:t>suggest that information asymmetry</w:t>
      </w:r>
      <w:r w:rsidRPr="000A7E21">
        <w:t xml:space="preserve"> may be the primary reason that intermediaries exist. </w:t>
      </w:r>
      <w:r w:rsidR="00BF28BF">
        <w:fldChar w:fldCharType="begin"/>
      </w:r>
      <w:r w:rsidR="003A641D">
        <w:instrText xml:space="preserve"> ADDIN EN.CITE &lt;EndNote&gt;&lt;Cite AuthorYear="1"&gt;&lt;Author&gt;Campbell&lt;/Author&gt;&lt;Year&gt;1980&lt;/Year&gt;&lt;RecNum&gt;13&lt;/RecNum&gt;&lt;DisplayText&gt;Campbell and Kracaw (1980)&lt;/DisplayText&gt;&lt;record&gt;&lt;rec-number&gt;13&lt;/rec-number&gt;&lt;foreign-keys&gt;&lt;key app="EN" db-id="xpprp0f0rzw05ved0s9xwzaqtxz0v9sfawwv"&gt;13&lt;/key&gt;&lt;/foreign-keys&gt;&lt;ref-type name="Journal Article"&gt;17&lt;/ref-type&gt;&lt;contributors&gt;&lt;authors&gt;&lt;author&gt;Campbell, Tim S.&lt;/author&gt;&lt;author&gt;Kracaw, William A.&lt;/author&gt;&lt;/authors&gt;&lt;/contributors&gt;&lt;titles&gt;&lt;title&gt;Information Production, Market Signalling, and the Theory of Financial Intermediation&lt;/title&gt;&lt;secondary-title&gt;The Journal of Finance&lt;/secondary-title&gt;&lt;/titles&gt;&lt;periodical&gt;&lt;full-title&gt;The Journal of Finance&lt;/full-title&gt;&lt;/periodical&gt;&lt;pages&gt;863-882&lt;/pages&gt;&lt;volume&gt;35&lt;/volume&gt;&lt;number&gt;4&lt;/number&gt;&lt;dates&gt;&lt;year&gt;1980&lt;/year&gt;&lt;/dates&gt;&lt;publisher&gt;Wiley-Blackwell for the American Finance Association&lt;/publisher&gt;&lt;isbn&gt;00221082&lt;/isbn&gt;&lt;urls&gt;&lt;related-urls&gt;&lt;url&gt;http://www.jstor.org/stable/2327206&lt;/url&gt;&lt;/related-urls&gt;&lt;/urls&gt;&lt;/record&gt;&lt;/Cite&gt;&lt;/EndNote&gt;</w:instrText>
      </w:r>
      <w:r w:rsidR="00BF28BF">
        <w:fldChar w:fldCharType="separate"/>
      </w:r>
      <w:hyperlink w:anchor="_ENREF_26" w:tooltip="Campbell, 1980 #13" w:history="1">
        <w:r w:rsidR="005B6334">
          <w:rPr>
            <w:noProof/>
          </w:rPr>
          <w:t>Campbell and Kracaw (1980</w:t>
        </w:r>
      </w:hyperlink>
      <w:r w:rsidR="00BF28BF">
        <w:rPr>
          <w:noProof/>
        </w:rPr>
        <w:t>)</w:t>
      </w:r>
      <w:r w:rsidR="00BF28BF">
        <w:fldChar w:fldCharType="end"/>
      </w:r>
      <w:r w:rsidR="0097036F">
        <w:t xml:space="preserve"> </w:t>
      </w:r>
      <w:r w:rsidRPr="000A7E21">
        <w:t xml:space="preserve">demonstrate that an important function of financial intermediation is the production of information. These theories argue that banks provide unique information production services </w:t>
      </w:r>
      <w:r w:rsidR="001B0127">
        <w:fldChar w:fldCharType="begin"/>
      </w:r>
      <w:r w:rsidR="003A641D">
        <w:instrText xml:space="preserve"> ADDIN EN.CITE &lt;EndNote&gt;&lt;Cite&gt;&lt;Author&gt;Best&lt;/Author&gt;&lt;Year&gt;1993&lt;/Year&gt;&lt;RecNum&gt;9&lt;/RecNum&gt;&lt;DisplayText&gt;(Best &amp;amp; Zhang 1993)&lt;/DisplayText&gt;&lt;record&gt;&lt;rec-number&gt;9&lt;/rec-number&gt;&lt;foreign-keys&gt;&lt;key app="EN" db-id="xpprp0f0rzw05ved0s9xwzaqtxz0v9sfawwv"&gt;9&lt;/key&gt;&lt;/foreign-keys&gt;&lt;ref-type name="Journal Article"&gt;17&lt;/ref-type&gt;&lt;contributors&gt;&lt;authors&gt;&lt;author&gt;Best, Ronald&lt;/author&gt;&lt;author&gt;Zhang, Hang&lt;/author&gt;&lt;/authors&gt;&lt;/contributors&gt;&lt;titles&gt;&lt;title&gt;Alternative Information Sources and the Information Content of Bank Loans&lt;/title&gt;&lt;secondary-title&gt;The Journal of Finance&lt;/secondary-title&gt;&lt;/titles&gt;&lt;periodical&gt;&lt;full-title&gt;The Journal of Finance&lt;/full-title&gt;&lt;/periodical&gt;&lt;pages&gt;1507-1522&lt;/pages&gt;&lt;volume&gt;48&lt;/volume&gt;&lt;number&gt;4&lt;/number&gt;&lt;keywords&gt;&lt;keyword&gt;Bank Loans, Analyst Coverage, Information Asymmetry&lt;/keyword&gt;&lt;/keywords&gt;&lt;dates&gt;&lt;year&gt;1993&lt;/year&gt;&lt;/dates&gt;&lt;publisher&gt;Blackwell Publishing Ltd&lt;/publisher&gt;&lt;isbn&gt;1540-6261&lt;/isbn&gt;&lt;urls&gt;&lt;related-urls&gt;&lt;url&gt;http://dx.doi.org/10.1111/j.1540-6261.1993.tb04765.x&lt;/url&gt;&lt;/related-urls&gt;&lt;/urls&gt;&lt;electronic-resource-num&gt;10.1111/j.1540-6261.1993.tb04765.x&lt;/electronic-resource-num&gt;&lt;/record&gt;&lt;/Cite&gt;&lt;/EndNote&gt;</w:instrText>
      </w:r>
      <w:r w:rsidR="001B0127">
        <w:fldChar w:fldCharType="separate"/>
      </w:r>
      <w:r>
        <w:rPr>
          <w:noProof/>
        </w:rPr>
        <w:t>(</w:t>
      </w:r>
      <w:hyperlink w:anchor="_ENREF_7" w:tooltip="Best, 1993 #9" w:history="1">
        <w:r w:rsidR="005B6334">
          <w:rPr>
            <w:noProof/>
          </w:rPr>
          <w:t>Best &amp; Zhang 1993</w:t>
        </w:r>
      </w:hyperlink>
      <w:r>
        <w:rPr>
          <w:noProof/>
        </w:rPr>
        <w:t>)</w:t>
      </w:r>
      <w:r w:rsidR="001B0127">
        <w:fldChar w:fldCharType="end"/>
      </w:r>
      <w:r w:rsidRPr="000A7E21">
        <w:t>.</w:t>
      </w:r>
      <w:r>
        <w:t xml:space="preserve"> </w:t>
      </w:r>
      <w:r w:rsidRPr="000A7E21">
        <w:t xml:space="preserve">They suggest banks know more about the prospects of the firms they lend to than others. Thus, </w:t>
      </w:r>
      <w:r>
        <w:t>a bank’s lending decision can signal private information to the market and lower the information a</w:t>
      </w:r>
      <w:r w:rsidR="00F65688">
        <w:t>symmetry of the borrow</w:t>
      </w:r>
      <w:r w:rsidR="00BD52AD">
        <w:t>er</w:t>
      </w:r>
      <w:r w:rsidR="00F65688">
        <w:t>.</w:t>
      </w:r>
    </w:p>
    <w:p w:rsidR="000421D1" w:rsidRDefault="000421D1" w:rsidP="00D05492">
      <w:pPr>
        <w:rPr>
          <w:rFonts w:eastAsiaTheme="minorHAnsi"/>
        </w:rPr>
      </w:pPr>
      <w:r>
        <w:rPr>
          <w:rFonts w:eastAsiaTheme="minorHAnsi"/>
        </w:rPr>
        <w:t xml:space="preserve">Bank loans being associated with a reduction in </w:t>
      </w:r>
      <w:r w:rsidR="003137DE">
        <w:rPr>
          <w:rFonts w:eastAsiaTheme="minorHAnsi"/>
        </w:rPr>
        <w:t>a</w:t>
      </w:r>
      <w:r>
        <w:rPr>
          <w:rFonts w:eastAsiaTheme="minorHAnsi"/>
        </w:rPr>
        <w:t xml:space="preserve"> borrow</w:t>
      </w:r>
      <w:r w:rsidR="003137DE">
        <w:rPr>
          <w:rFonts w:eastAsiaTheme="minorHAnsi"/>
        </w:rPr>
        <w:t>ers</w:t>
      </w:r>
      <w:r>
        <w:rPr>
          <w:rFonts w:eastAsiaTheme="minorHAnsi"/>
        </w:rPr>
        <w:t xml:space="preserve"> information asymmetry </w:t>
      </w:r>
      <w:r w:rsidR="00CC5B00">
        <w:rPr>
          <w:rFonts w:eastAsiaTheme="minorHAnsi"/>
        </w:rPr>
        <w:t xml:space="preserve">is </w:t>
      </w:r>
      <w:r>
        <w:rPr>
          <w:rFonts w:eastAsiaTheme="minorHAnsi"/>
        </w:rPr>
        <w:t>consistent with</w:t>
      </w:r>
      <w:r w:rsidR="007659DE">
        <w:rPr>
          <w:rFonts w:eastAsiaTheme="minorHAnsi"/>
        </w:rPr>
        <w:t xml:space="preserve"> </w:t>
      </w:r>
      <w:r w:rsidR="00BF28BF">
        <w:rPr>
          <w:rFonts w:eastAsiaTheme="minorHAnsi"/>
        </w:rPr>
        <w:fldChar w:fldCharType="begin"/>
      </w:r>
      <w:r w:rsidR="003A641D">
        <w:rPr>
          <w:rFonts w:eastAsiaTheme="minorHAnsi"/>
        </w:rPr>
        <w:instrText xml:space="preserve"> ADDIN EN.CITE &lt;EndNote&gt;&lt;Cite AuthorYear="1"&gt;&lt;Author&gt;Fama&lt;/Author&gt;&lt;Year&gt;1985&lt;/Year&gt;&lt;RecNum&gt;5&lt;/RecNum&gt;&lt;DisplayText&gt;Fama (1985)&lt;/DisplayText&gt;&lt;record&gt;&lt;rec-number&gt;5&lt;/rec-number&gt;&lt;foreign-keys&gt;&lt;key app="EN" db-id="xpprp0f0rzw05ved0s9xwzaqtxz0v9sfawwv"&gt;5&lt;/key&gt;&lt;/foreign-keys&gt;&lt;ref-type name="Journal Article"&gt;17&lt;/ref-type&gt;&lt;contributors&gt;&lt;authors&gt;&lt;author&gt;Fama, Eugene F.&lt;/author&gt;&lt;/authors&gt;&lt;/contributors&gt;&lt;titles&gt;&lt;title&gt;What&amp;apos;s different about banks?&lt;/title&gt;&lt;secondary-title&gt;Journal of Monetary Economics&lt;/secondary-title&gt;&lt;/titles&gt;&lt;periodical&gt;&lt;full-title&gt;Journal of Monetary Economics&lt;/full-title&gt;&lt;/periodical&gt;&lt;pages&gt;29-39&lt;/pages&gt;&lt;volume&gt;15&lt;/volume&gt;&lt;number&gt;1&lt;/number&gt;&lt;dates&gt;&lt;year&gt;1985&lt;/year&gt;&lt;/dates&gt;&lt;isbn&gt;0304-3932&lt;/isbn&gt;&lt;urls&gt;&lt;related-urls&gt;&lt;url&gt;http://www.sciencedirect.com/science/article/pii/0304393285900510&lt;/url&gt;&lt;/related-urls&gt;&lt;/urls&gt;&lt;electronic-resource-num&gt;10.1016/0304-3932(85)90051-0&lt;/electronic-resource-num&gt;&lt;/record&gt;&lt;/Cite&gt;&lt;/EndNote&gt;</w:instrText>
      </w:r>
      <w:r w:rsidR="00BF28BF">
        <w:rPr>
          <w:rFonts w:eastAsiaTheme="minorHAnsi"/>
        </w:rPr>
        <w:fldChar w:fldCharType="separate"/>
      </w:r>
      <w:hyperlink w:anchor="_ENREF_42" w:tooltip="Fama, 1985 #5" w:history="1">
        <w:r w:rsidR="005B6334">
          <w:rPr>
            <w:rFonts w:eastAsiaTheme="minorHAnsi"/>
            <w:noProof/>
          </w:rPr>
          <w:t>Fama (1985</w:t>
        </w:r>
      </w:hyperlink>
      <w:r w:rsidR="00BF28BF">
        <w:rPr>
          <w:rFonts w:eastAsiaTheme="minorHAnsi"/>
          <w:noProof/>
        </w:rPr>
        <w:t>)</w:t>
      </w:r>
      <w:r w:rsidR="00BF28BF">
        <w:rPr>
          <w:rFonts w:eastAsiaTheme="minorHAnsi"/>
        </w:rPr>
        <w:fldChar w:fldCharType="end"/>
      </w:r>
      <w:r>
        <w:t xml:space="preserve"> </w:t>
      </w:r>
      <w:r w:rsidR="003137DE">
        <w:t xml:space="preserve">in </w:t>
      </w:r>
      <w:r>
        <w:rPr>
          <w:rFonts w:eastAsiaTheme="minorHAnsi"/>
        </w:rPr>
        <w:t>that many organizations pay periodic monitoring fees for lines of credit from banks even though they do</w:t>
      </w:r>
      <w:r w:rsidR="00157F87">
        <w:rPr>
          <w:rFonts w:eastAsiaTheme="minorHAnsi"/>
        </w:rPr>
        <w:t xml:space="preserve"> no</w:t>
      </w:r>
      <w:r w:rsidR="00AB123F">
        <w:rPr>
          <w:rFonts w:eastAsiaTheme="minorHAnsi"/>
        </w:rPr>
        <w:t>t</w:t>
      </w:r>
      <w:r w:rsidR="003137DE">
        <w:rPr>
          <w:rFonts w:eastAsiaTheme="minorHAnsi"/>
        </w:rPr>
        <w:t xml:space="preserve"> access the finance</w:t>
      </w:r>
      <w:r w:rsidR="00AB123F">
        <w:rPr>
          <w:rFonts w:eastAsiaTheme="minorHAnsi"/>
        </w:rPr>
        <w:t>. T</w:t>
      </w:r>
      <w:r>
        <w:rPr>
          <w:rFonts w:eastAsiaTheme="minorHAnsi"/>
        </w:rPr>
        <w:t xml:space="preserve">he sole purpose of </w:t>
      </w:r>
      <w:r w:rsidR="00157F87">
        <w:rPr>
          <w:rFonts w:eastAsiaTheme="minorHAnsi"/>
        </w:rPr>
        <w:t>maintaining the loans is to provide</w:t>
      </w:r>
      <w:r>
        <w:rPr>
          <w:rFonts w:eastAsiaTheme="minorHAnsi"/>
        </w:rPr>
        <w:t xml:space="preserve"> positive signals about the firm’s</w:t>
      </w:r>
      <w:r w:rsidR="003137DE">
        <w:rPr>
          <w:rFonts w:eastAsiaTheme="minorHAnsi"/>
        </w:rPr>
        <w:t xml:space="preserve"> incomplete contracts</w:t>
      </w:r>
      <w:r>
        <w:rPr>
          <w:rFonts w:eastAsiaTheme="minorHAnsi"/>
        </w:rPr>
        <w:t xml:space="preserve">. </w:t>
      </w:r>
      <w:r w:rsidR="001664AD">
        <w:rPr>
          <w:rFonts w:eastAsiaTheme="minorHAnsi"/>
        </w:rPr>
        <w:t>T</w:t>
      </w:r>
      <w:r>
        <w:rPr>
          <w:rFonts w:eastAsiaTheme="minorHAnsi"/>
        </w:rPr>
        <w:t xml:space="preserve">he presence of bank debt in firms' capital structures </w:t>
      </w:r>
      <w:r w:rsidR="00770F05">
        <w:rPr>
          <w:rFonts w:eastAsiaTheme="minorHAnsi"/>
        </w:rPr>
        <w:t xml:space="preserve">is seen to lower information </w:t>
      </w:r>
      <w:r w:rsidR="003137DE">
        <w:rPr>
          <w:rFonts w:eastAsiaTheme="minorHAnsi"/>
        </w:rPr>
        <w:t xml:space="preserve">by mitigating </w:t>
      </w:r>
      <w:r>
        <w:rPr>
          <w:rFonts w:eastAsiaTheme="minorHAnsi"/>
        </w:rPr>
        <w:t>IPO under</w:t>
      </w:r>
      <w:r w:rsidR="00072DCC">
        <w:rPr>
          <w:rFonts w:eastAsiaTheme="minorHAnsi"/>
        </w:rPr>
        <w:t>-</w:t>
      </w:r>
      <w:r>
        <w:rPr>
          <w:rFonts w:eastAsiaTheme="minorHAnsi"/>
        </w:rPr>
        <w:t>pricing</w:t>
      </w:r>
      <w:r w:rsidR="00072DCC">
        <w:rPr>
          <w:rFonts w:eastAsiaTheme="minorHAnsi"/>
        </w:rPr>
        <w:t xml:space="preserve"> </w:t>
      </w:r>
      <w:r w:rsidR="001B0127">
        <w:rPr>
          <w:rFonts w:eastAsiaTheme="minorHAnsi"/>
        </w:rPr>
        <w:fldChar w:fldCharType="begin"/>
      </w:r>
      <w:r w:rsidR="003A641D">
        <w:rPr>
          <w:rFonts w:eastAsiaTheme="minorHAnsi"/>
        </w:rPr>
        <w:instrText xml:space="preserve"> ADDIN EN.CITE &lt;EndNote&gt;&lt;Cite&gt;&lt;Author&gt;James&lt;/Author&gt;&lt;Year&gt;1990&lt;/Year&gt;&lt;RecNum&gt;110&lt;/RecNum&gt;&lt;DisplayText&gt;(James &amp;amp; Wier 1990; Slovin &amp;amp; Young 1990)&lt;/DisplayText&gt;&lt;record&gt;&lt;rec-number&gt;110&lt;/rec-number&gt;&lt;foreign-keys&gt;&lt;key app="EN" db-id="xpprp0f0rzw05ved0s9xwzaqtxz0v9sfawwv"&gt;110&lt;/key&gt;&lt;/foreign-keys&gt;&lt;ref-type name="Journal Article"&gt;17&lt;/ref-type&gt;&lt;contributors&gt;&lt;authors&gt;&lt;author&gt;James, Christopher&lt;/author&gt;&lt;author&gt;Wier, Peggy&lt;/author&gt;&lt;/authors&gt;&lt;/contributors&gt;&lt;titles&gt;&lt;title&gt;Borrowing relationships, intermediation, and the cost of issuing public securities&lt;/title&gt;&lt;secondary-title&gt;Journal of Financial Economics&lt;/secondary-title&gt;&lt;/titles&gt;&lt;periodical&gt;&lt;full-title&gt;Journal of Financial Economics&lt;/full-title&gt;&lt;/periodical&gt;&lt;pages&gt;149-171&lt;/pages&gt;&lt;volume&gt;28&lt;/volume&gt;&lt;number&gt;1&lt;/number&gt;&lt;dates&gt;&lt;year&gt;1990&lt;/year&gt;&lt;/dates&gt;&lt;isbn&gt;0304-405X&lt;/isbn&gt;&lt;urls&gt;&lt;/urls&gt;&lt;/record&gt;&lt;/Cite&gt;&lt;Cite&gt;&lt;Author&gt;Slovin&lt;/Author&gt;&lt;Year&gt;1990&lt;/Year&gt;&lt;RecNum&gt;111&lt;/RecNum&gt;&lt;record&gt;&lt;rec-number&gt;111&lt;/rec-number&gt;&lt;foreign-keys&gt;&lt;key app="EN" db-id="xpprp0f0rzw05ved0s9xwzaqtxz0v9sfawwv"&gt;111&lt;/key&gt;&lt;/foreign-keys&gt;&lt;ref-type name="Journal Article"&gt;17&lt;/ref-type&gt;&lt;contributors&gt;&lt;authors&gt;&lt;author&gt;Slovin, Myron B&lt;/author&gt;&lt;author&gt;Young, John E&lt;/author&gt;&lt;/authors&gt;&lt;/contributors&gt;&lt;titles&gt;&lt;title&gt;Bank lending and initial public offerings&lt;/title&gt;&lt;secondary-title&gt;Journal of Banking &amp;amp; Finance&lt;/secondary-title&gt;&lt;/titles&gt;&lt;periodical&gt;&lt;full-title&gt;Journal of Banking &amp;amp; Finance&lt;/full-title&gt;&lt;/periodical&gt;&lt;pages&gt;729-740&lt;/pages&gt;&lt;volume&gt;14&lt;/volume&gt;&lt;number&gt;4&lt;/number&gt;&lt;dates&gt;&lt;year&gt;1990&lt;/year&gt;&lt;/dates&gt;&lt;isbn&gt;0378-4266&lt;/isbn&gt;&lt;urls&gt;&lt;/urls&gt;&lt;/record&gt;&lt;/Cite&gt;&lt;/EndNote&gt;</w:instrText>
      </w:r>
      <w:r w:rsidR="001B0127">
        <w:rPr>
          <w:rFonts w:eastAsiaTheme="minorHAnsi"/>
        </w:rPr>
        <w:fldChar w:fldCharType="separate"/>
      </w:r>
      <w:r w:rsidR="00072DCC">
        <w:rPr>
          <w:rFonts w:eastAsiaTheme="minorHAnsi"/>
          <w:noProof/>
        </w:rPr>
        <w:t>(</w:t>
      </w:r>
      <w:hyperlink w:anchor="_ENREF_61" w:tooltip="James, 1990 #110" w:history="1">
        <w:r w:rsidR="005B6334">
          <w:rPr>
            <w:rFonts w:eastAsiaTheme="minorHAnsi"/>
            <w:noProof/>
          </w:rPr>
          <w:t>James &amp; Wier 1990</w:t>
        </w:r>
      </w:hyperlink>
      <w:r w:rsidR="00072DCC">
        <w:rPr>
          <w:rFonts w:eastAsiaTheme="minorHAnsi"/>
          <w:noProof/>
        </w:rPr>
        <w:t xml:space="preserve">; </w:t>
      </w:r>
      <w:hyperlink w:anchor="_ENREF_94" w:tooltip="Slovin, 1990 #111" w:history="1">
        <w:r w:rsidR="005B6334">
          <w:rPr>
            <w:rFonts w:eastAsiaTheme="minorHAnsi"/>
            <w:noProof/>
          </w:rPr>
          <w:t>Slovin &amp; Young 1990</w:t>
        </w:r>
      </w:hyperlink>
      <w:r w:rsidR="00072DCC">
        <w:rPr>
          <w:rFonts w:eastAsiaTheme="minorHAnsi"/>
          <w:noProof/>
        </w:rPr>
        <w:t>)</w:t>
      </w:r>
      <w:r w:rsidR="001B0127">
        <w:rPr>
          <w:rFonts w:eastAsiaTheme="minorHAnsi"/>
        </w:rPr>
        <w:fldChar w:fldCharType="end"/>
      </w:r>
      <w:r w:rsidR="00770F05">
        <w:rPr>
          <w:rFonts w:eastAsiaTheme="minorHAnsi"/>
        </w:rPr>
        <w:t xml:space="preserve">, </w:t>
      </w:r>
      <w:r>
        <w:rPr>
          <w:rFonts w:eastAsiaTheme="minorHAnsi"/>
        </w:rPr>
        <w:t xml:space="preserve">negative share price response to </w:t>
      </w:r>
      <w:r w:rsidR="003137DE">
        <w:rPr>
          <w:rFonts w:eastAsiaTheme="minorHAnsi"/>
        </w:rPr>
        <w:t xml:space="preserve">SEO’s </w:t>
      </w:r>
      <w:r w:rsidR="001B0127">
        <w:rPr>
          <w:rFonts w:eastAsiaTheme="minorHAnsi"/>
        </w:rPr>
        <w:fldChar w:fldCharType="begin"/>
      </w:r>
      <w:r w:rsidR="003A641D">
        <w:rPr>
          <w:rFonts w:eastAsiaTheme="minorHAnsi"/>
        </w:rPr>
        <w:instrText xml:space="preserve"> ADDIN EN.CITE &lt;EndNote&gt;&lt;Cite&gt;&lt;Author&gt;Slovin&lt;/Author&gt;&lt;Year&gt;1990&lt;/Year&gt;&lt;RecNum&gt;112&lt;/RecNum&gt;&lt;DisplayText&gt;(Slovin&lt;style face="italic"&gt; et al.&lt;/style&gt; 1990)&lt;/DisplayText&gt;&lt;record&gt;&lt;rec-number&gt;112&lt;/rec-number&gt;&lt;foreign-keys&gt;&lt;key app="EN" db-id="xpprp0f0rzw05ved0s9xwzaqtxz0v9sfawwv"&gt;112&lt;/key&gt;&lt;/foreign-keys&gt;&lt;ref-type name="Journal Article"&gt;17&lt;/ref-type&gt;&lt;contributors&gt;&lt;authors&gt;&lt;author&gt;Slovin, Myron B&lt;/author&gt;&lt;author&gt;Sushka, Marie E&lt;/author&gt;&lt;author&gt;Hudson, Carl D&lt;/author&gt;&lt;/authors&gt;&lt;/contributors&gt;&lt;titles&gt;&lt;title&gt;External monitoring and its effect on seasoned common stock issues&lt;/title&gt;&lt;secondary-title&gt;Journal of Accounting and Economics&lt;/secondary-title&gt;&lt;/titles&gt;&lt;periodical&gt;&lt;full-title&gt;Journal of Accounting and Economics&lt;/full-title&gt;&lt;/periodical&gt;&lt;pages&gt;397-417&lt;/pages&gt;&lt;volume&gt;12&lt;/volume&gt;&lt;number&gt;4&lt;/number&gt;&lt;dates&gt;&lt;year&gt;1990&lt;/year&gt;&lt;/dates&gt;&lt;isbn&gt;0165-4101&lt;/isbn&gt;&lt;urls&gt;&lt;/urls&gt;&lt;/record&gt;&lt;/Cite&gt;&lt;/EndNote&gt;</w:instrText>
      </w:r>
      <w:r w:rsidR="001B0127">
        <w:rPr>
          <w:rFonts w:eastAsiaTheme="minorHAnsi"/>
        </w:rPr>
        <w:fldChar w:fldCharType="separate"/>
      </w:r>
      <w:r w:rsidR="001C65D5">
        <w:rPr>
          <w:rFonts w:eastAsiaTheme="minorHAnsi"/>
          <w:noProof/>
        </w:rPr>
        <w:t>(</w:t>
      </w:r>
      <w:hyperlink w:anchor="_ENREF_93" w:tooltip="Slovin, 1990 #112" w:history="1">
        <w:r w:rsidR="005B6334">
          <w:rPr>
            <w:rFonts w:eastAsiaTheme="minorHAnsi"/>
            <w:noProof/>
          </w:rPr>
          <w:t>Slovin</w:t>
        </w:r>
        <w:r w:rsidR="005B6334" w:rsidRPr="001C65D5">
          <w:rPr>
            <w:rFonts w:eastAsiaTheme="minorHAnsi"/>
            <w:i/>
            <w:noProof/>
          </w:rPr>
          <w:t xml:space="preserve"> et al.</w:t>
        </w:r>
        <w:r w:rsidR="005B6334">
          <w:rPr>
            <w:rFonts w:eastAsiaTheme="minorHAnsi"/>
            <w:noProof/>
          </w:rPr>
          <w:t xml:space="preserve"> 1990</w:t>
        </w:r>
      </w:hyperlink>
      <w:r w:rsidR="001C65D5">
        <w:rPr>
          <w:rFonts w:eastAsiaTheme="minorHAnsi"/>
          <w:noProof/>
        </w:rPr>
        <w:t>)</w:t>
      </w:r>
      <w:r w:rsidR="001B0127">
        <w:rPr>
          <w:rFonts w:eastAsiaTheme="minorHAnsi"/>
        </w:rPr>
        <w:fldChar w:fldCharType="end"/>
      </w:r>
      <w:r w:rsidR="00770F05">
        <w:rPr>
          <w:rFonts w:eastAsiaTheme="minorHAnsi"/>
        </w:rPr>
        <w:t xml:space="preserve"> and lowers the cost of debt capital for bond issuances </w:t>
      </w:r>
      <w:r w:rsidR="001B0127">
        <w:rPr>
          <w:rFonts w:eastAsiaTheme="minorHAnsi"/>
        </w:rPr>
        <w:fldChar w:fldCharType="begin"/>
      </w:r>
      <w:r w:rsidR="003A641D">
        <w:rPr>
          <w:rFonts w:eastAsiaTheme="minorHAnsi"/>
        </w:rPr>
        <w:instrText xml:space="preserve"> ADDIN EN.CITE &lt;EndNote&gt;&lt;Cite&gt;&lt;Author&gt;Datta&lt;/Author&gt;&lt;Year&gt;1999&lt;/Year&gt;&lt;RecNum&gt;81&lt;/RecNum&gt;&lt;DisplayText&gt;(Datta&lt;style face="italic"&gt; et al.&lt;/style&gt; 1999)&lt;/DisplayText&gt;&lt;record&gt;&lt;rec-number&gt;81&lt;/rec-number&gt;&lt;foreign-keys&gt;&lt;key app="EN" db-id="xpprp0f0rzw05ved0s9xwzaqtxz0v9sfawwv"&gt;81&lt;/key&gt;&lt;/foreign-keys&gt;&lt;ref-type name="Journal Article"&gt;17&lt;/ref-type&gt;&lt;contributors&gt;&lt;authors&gt;&lt;author&gt;Datta, Sudip&lt;/author&gt;&lt;author&gt;Iskandar-Datta, Mai&lt;/author&gt;&lt;author&gt;Patel, Ajay&lt;/author&gt;&lt;/authors&gt;&lt;/contributors&gt;&lt;titles&gt;&lt;title&gt;Bank monitoring and the pricing of corporate public debt&lt;/title&gt;&lt;secondary-title&gt;Journal of Financial Economics&lt;/secondary-title&gt;&lt;/titles&gt;&lt;periodical&gt;&lt;full-title&gt;Journal of Financial Economics&lt;/full-title&gt;&lt;/periodical&gt;&lt;pages&gt;435-449&lt;/pages&gt;&lt;volume&gt;51&lt;/volume&gt;&lt;number&gt;3&lt;/number&gt;&lt;dates&gt;&lt;year&gt;1999&lt;/year&gt;&lt;/dates&gt;&lt;isbn&gt;0304-405X&lt;/isbn&gt;&lt;urls&gt;&lt;/urls&gt;&lt;/record&gt;&lt;/Cite&gt;&lt;/EndNote&gt;</w:instrText>
      </w:r>
      <w:r w:rsidR="001B0127">
        <w:rPr>
          <w:rFonts w:eastAsiaTheme="minorHAnsi"/>
        </w:rPr>
        <w:fldChar w:fldCharType="separate"/>
      </w:r>
      <w:r w:rsidR="00770F05">
        <w:rPr>
          <w:rFonts w:eastAsiaTheme="minorHAnsi"/>
          <w:noProof/>
        </w:rPr>
        <w:t>(</w:t>
      </w:r>
      <w:hyperlink w:anchor="_ENREF_32" w:tooltip="Datta, 1999 #81" w:history="1">
        <w:r w:rsidR="005B6334">
          <w:rPr>
            <w:rFonts w:eastAsiaTheme="minorHAnsi"/>
            <w:noProof/>
          </w:rPr>
          <w:t>Datta</w:t>
        </w:r>
        <w:r w:rsidR="005B6334" w:rsidRPr="00770F05">
          <w:rPr>
            <w:rFonts w:eastAsiaTheme="minorHAnsi"/>
            <w:i/>
            <w:noProof/>
          </w:rPr>
          <w:t xml:space="preserve"> et al.</w:t>
        </w:r>
        <w:r w:rsidR="005B6334">
          <w:rPr>
            <w:rFonts w:eastAsiaTheme="minorHAnsi"/>
            <w:noProof/>
          </w:rPr>
          <w:t xml:space="preserve"> 1999</w:t>
        </w:r>
      </w:hyperlink>
      <w:r w:rsidR="00770F05">
        <w:rPr>
          <w:rFonts w:eastAsiaTheme="minorHAnsi"/>
          <w:noProof/>
        </w:rPr>
        <w:t>)</w:t>
      </w:r>
      <w:r w:rsidR="001B0127">
        <w:rPr>
          <w:rFonts w:eastAsiaTheme="minorHAnsi"/>
        </w:rPr>
        <w:fldChar w:fldCharType="end"/>
      </w:r>
      <w:r w:rsidRPr="001C65D5">
        <w:rPr>
          <w:rFonts w:eastAsiaTheme="minorHAnsi"/>
        </w:rPr>
        <w:t>.</w:t>
      </w:r>
      <w:r>
        <w:rPr>
          <w:rFonts w:eastAsiaTheme="minorHAnsi"/>
        </w:rPr>
        <w:t xml:space="preserve"> Thus, there is evidence that banks help lower information asymmetry and mitigate adverse selection and moral hazard problems intrinsic to external financing.</w:t>
      </w:r>
    </w:p>
    <w:p w:rsidR="00D05492" w:rsidRDefault="00597062" w:rsidP="00D05492">
      <w:pPr>
        <w:rPr>
          <w:rFonts w:eastAsiaTheme="minorHAnsi"/>
        </w:rPr>
      </w:pPr>
      <w:r>
        <w:rPr>
          <w:rFonts w:eastAsiaTheme="minorHAnsi"/>
        </w:rPr>
        <w:t xml:space="preserve">However, </w:t>
      </w:r>
      <w:r w:rsidR="003137DE">
        <w:rPr>
          <w:rFonts w:eastAsiaTheme="minorHAnsi"/>
        </w:rPr>
        <w:t xml:space="preserve">despite theory predicting banks monitoring will reduce borrower information asymmetry, </w:t>
      </w:r>
      <w:r>
        <w:rPr>
          <w:rFonts w:eastAsiaTheme="minorHAnsi"/>
        </w:rPr>
        <w:t>no study</w:t>
      </w:r>
      <w:r w:rsidR="00D05492">
        <w:rPr>
          <w:rFonts w:eastAsiaTheme="minorHAnsi"/>
        </w:rPr>
        <w:t xml:space="preserve"> has directly tested </w:t>
      </w:r>
      <w:r w:rsidR="00A271EF">
        <w:rPr>
          <w:rFonts w:eastAsiaTheme="minorHAnsi"/>
        </w:rPr>
        <w:t>whether</w:t>
      </w:r>
      <w:r w:rsidR="00D05492">
        <w:rPr>
          <w:rFonts w:eastAsiaTheme="minorHAnsi"/>
        </w:rPr>
        <w:t xml:space="preserve"> bank loan announcements are </w:t>
      </w:r>
      <w:r w:rsidR="00D05492">
        <w:rPr>
          <w:rFonts w:eastAsiaTheme="minorHAnsi"/>
        </w:rPr>
        <w:lastRenderedPageBreak/>
        <w:t xml:space="preserve">associated with </w:t>
      </w:r>
      <w:r w:rsidR="003137DE">
        <w:rPr>
          <w:rFonts w:eastAsiaTheme="minorHAnsi"/>
        </w:rPr>
        <w:t xml:space="preserve">such </w:t>
      </w:r>
      <w:r w:rsidR="00D05492">
        <w:rPr>
          <w:rFonts w:eastAsiaTheme="minorHAnsi"/>
        </w:rPr>
        <w:t>a reduction.</w:t>
      </w:r>
      <w:r w:rsidR="00A271EF">
        <w:rPr>
          <w:rFonts w:eastAsiaTheme="minorHAnsi"/>
        </w:rPr>
        <w:t xml:space="preserve"> </w:t>
      </w:r>
      <w:r w:rsidR="000421D1">
        <w:rPr>
          <w:rFonts w:eastAsiaTheme="minorHAnsi"/>
        </w:rPr>
        <w:t xml:space="preserve">If banks mitigate </w:t>
      </w:r>
      <w:r w:rsidR="003137DE">
        <w:rPr>
          <w:rFonts w:eastAsiaTheme="minorHAnsi"/>
        </w:rPr>
        <w:t xml:space="preserve">information asymmetry, we expect a </w:t>
      </w:r>
      <w:r w:rsidR="00D05492">
        <w:rPr>
          <w:rFonts w:eastAsiaTheme="minorHAnsi"/>
        </w:rPr>
        <w:t>reduction in the borrow</w:t>
      </w:r>
      <w:r w:rsidR="003137DE">
        <w:rPr>
          <w:rFonts w:eastAsiaTheme="minorHAnsi"/>
        </w:rPr>
        <w:t>ers</w:t>
      </w:r>
      <w:r w:rsidR="00D05492">
        <w:rPr>
          <w:rFonts w:eastAsiaTheme="minorHAnsi"/>
        </w:rPr>
        <w:t xml:space="preserve"> bid-ask spread and an increase in trading </w:t>
      </w:r>
      <w:r w:rsidR="003137DE">
        <w:rPr>
          <w:rFonts w:eastAsiaTheme="minorHAnsi"/>
        </w:rPr>
        <w:t xml:space="preserve">volume </w:t>
      </w:r>
      <w:r w:rsidR="00D05492" w:rsidRPr="00D05492">
        <w:rPr>
          <w:rFonts w:eastAsiaTheme="minorHAnsi"/>
        </w:rPr>
        <w:t>after a bank</w:t>
      </w:r>
      <w:r w:rsidR="00AB123F">
        <w:rPr>
          <w:rFonts w:eastAsiaTheme="minorHAnsi"/>
        </w:rPr>
        <w:t xml:space="preserve"> loan announcement</w:t>
      </w:r>
      <w:r w:rsidR="00D05492">
        <w:rPr>
          <w:rFonts w:eastAsiaTheme="minorHAnsi"/>
        </w:rPr>
        <w:t>.</w:t>
      </w:r>
      <w:r w:rsidR="00A271EF">
        <w:rPr>
          <w:rFonts w:eastAsiaTheme="minorHAnsi"/>
        </w:rPr>
        <w:t xml:space="preserve"> </w:t>
      </w:r>
      <w:r w:rsidR="001664AD">
        <w:rPr>
          <w:rFonts w:eastAsiaTheme="minorHAnsi"/>
        </w:rPr>
        <w:t>We</w:t>
      </w:r>
      <w:r w:rsidR="00A271EF">
        <w:rPr>
          <w:rFonts w:eastAsiaTheme="minorHAnsi"/>
        </w:rPr>
        <w:t xml:space="preserve"> test </w:t>
      </w:r>
      <w:r w:rsidR="009F3BD1">
        <w:rPr>
          <w:rFonts w:eastAsiaTheme="minorHAnsi"/>
        </w:rPr>
        <w:t>this</w:t>
      </w:r>
      <w:r w:rsidR="00A271EF">
        <w:rPr>
          <w:rFonts w:eastAsiaTheme="minorHAnsi"/>
        </w:rPr>
        <w:t xml:space="preserve"> assertion in the following manner;</w:t>
      </w:r>
    </w:p>
    <w:p w:rsidR="00CC5B00" w:rsidRDefault="00CC5B00" w:rsidP="00B701AC">
      <w:pPr>
        <w:spacing w:before="240"/>
        <w:ind w:firstLine="0"/>
        <w:rPr>
          <w:i/>
        </w:rPr>
      </w:pPr>
      <w:r w:rsidRPr="002734E4">
        <w:rPr>
          <w:b/>
        </w:rPr>
        <w:t>H</w:t>
      </w:r>
      <w:r w:rsidR="003D6954">
        <w:rPr>
          <w:b/>
        </w:rPr>
        <w:t>2</w:t>
      </w:r>
      <w:r w:rsidRPr="002734E4">
        <w:rPr>
          <w:b/>
        </w:rPr>
        <w:t>:</w:t>
      </w:r>
      <w:r>
        <w:t xml:space="preserve"> </w:t>
      </w:r>
      <w:r w:rsidR="00B701AC" w:rsidRPr="00B701AC">
        <w:rPr>
          <w:i/>
        </w:rPr>
        <w:t>L</w:t>
      </w:r>
      <w:r w:rsidRPr="00B701AC">
        <w:rPr>
          <w:i/>
        </w:rPr>
        <w:t>oan announcements are associated with a reduction in firm information asymmetry.</w:t>
      </w:r>
    </w:p>
    <w:p w:rsidR="000421D1" w:rsidRDefault="000421D1" w:rsidP="00C6573E">
      <w:pPr>
        <w:rPr>
          <w:rFonts w:cs="Times New Roman"/>
          <w:szCs w:val="24"/>
        </w:rPr>
      </w:pPr>
      <w:r>
        <w:rPr>
          <w:rFonts w:eastAsiaTheme="minorHAnsi"/>
        </w:rPr>
        <w:t xml:space="preserve">Prior research </w:t>
      </w:r>
      <w:r w:rsidR="00A271EF">
        <w:rPr>
          <w:rFonts w:eastAsiaTheme="minorHAnsi"/>
        </w:rPr>
        <w:t>indicates that</w:t>
      </w:r>
      <w:r>
        <w:rPr>
          <w:rFonts w:eastAsiaTheme="minorHAnsi"/>
        </w:rPr>
        <w:t xml:space="preserve"> lender identity </w:t>
      </w:r>
      <w:r w:rsidR="00A271EF">
        <w:rPr>
          <w:rFonts w:eastAsiaTheme="minorHAnsi"/>
        </w:rPr>
        <w:t>is</w:t>
      </w:r>
      <w:r>
        <w:rPr>
          <w:rFonts w:eastAsiaTheme="minorHAnsi"/>
        </w:rPr>
        <w:t xml:space="preserve"> associated with bank loan announcement returns</w:t>
      </w:r>
      <w:r w:rsidR="00473255">
        <w:rPr>
          <w:rFonts w:eastAsiaTheme="minorHAnsi"/>
        </w:rPr>
        <w:t>.</w:t>
      </w:r>
      <w:r>
        <w:rPr>
          <w:rFonts w:eastAsiaTheme="minorHAnsi"/>
        </w:rPr>
        <w:t xml:space="preserve"> </w:t>
      </w:r>
      <w:r w:rsidR="00473255">
        <w:rPr>
          <w:rFonts w:eastAsiaTheme="minorHAnsi"/>
        </w:rPr>
        <w:t>B</w:t>
      </w:r>
      <w:r w:rsidR="005A6890">
        <w:rPr>
          <w:rFonts w:eastAsiaTheme="minorHAnsi"/>
        </w:rPr>
        <w:t>orrow</w:t>
      </w:r>
      <w:r w:rsidR="00AF4D8C">
        <w:rPr>
          <w:rFonts w:eastAsiaTheme="minorHAnsi"/>
        </w:rPr>
        <w:t>ers</w:t>
      </w:r>
      <w:r w:rsidR="005A6890">
        <w:rPr>
          <w:rFonts w:eastAsiaTheme="minorHAnsi"/>
        </w:rPr>
        <w:t xml:space="preserve"> experience</w:t>
      </w:r>
      <w:r>
        <w:rPr>
          <w:rFonts w:eastAsiaTheme="minorHAnsi"/>
        </w:rPr>
        <w:t xml:space="preserve"> a larger positive abnormal return surrounding bank loan announcements issued by higher quality banks </w:t>
      </w:r>
      <w:r w:rsidR="001B0127">
        <w:rPr>
          <w:rFonts w:eastAsiaTheme="minorHAnsi"/>
        </w:rPr>
        <w:fldChar w:fldCharType="begin">
          <w:fldData xml:space="preserve">PEVuZE5vdGU+PENpdGU+PEF1dGhvcj5CaWxsZXR0PC9BdXRob3I+PFllYXI+MTk5NTwvWWVhcj48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</w:fldData>
        </w:fldChar>
      </w:r>
      <w:r w:rsidR="003A641D">
        <w:rPr>
          <w:rFonts w:eastAsiaTheme="minorHAnsi"/>
        </w:rPr>
        <w:instrText xml:space="preserve"> ADDIN EN.CITE </w:instrText>
      </w:r>
      <w:r w:rsidR="003A641D">
        <w:rPr>
          <w:rFonts w:eastAsiaTheme="minorHAnsi"/>
        </w:rPr>
        <w:fldChar w:fldCharType="begin">
          <w:fldData xml:space="preserve">PEVuZE5vdGU+PENpdGU+PEF1dGhvcj5CaWxsZXR0PC9BdXRob3I+PFllYXI+MTk5NTwvWWVhcj48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</w:fldData>
        </w:fldChar>
      </w:r>
      <w:r w:rsidR="003A641D">
        <w:rPr>
          <w:rFonts w:eastAsiaTheme="minorHAnsi"/>
        </w:rPr>
        <w:instrText xml:space="preserve"> ADDIN EN.CITE.DATA </w:instrText>
      </w:r>
      <w:r w:rsidR="003A641D">
        <w:rPr>
          <w:rFonts w:eastAsiaTheme="minorHAnsi"/>
        </w:rPr>
      </w:r>
      <w:r w:rsidR="003A641D">
        <w:rPr>
          <w:rFonts w:eastAsiaTheme="minorHAnsi"/>
        </w:rPr>
        <w:fldChar w:fldCharType="end"/>
      </w:r>
      <w:r w:rsidR="001B0127">
        <w:rPr>
          <w:rFonts w:eastAsiaTheme="minorHAnsi"/>
        </w:rPr>
      </w:r>
      <w:r w:rsidR="001B0127">
        <w:rPr>
          <w:rFonts w:eastAsiaTheme="minorHAnsi"/>
        </w:rPr>
        <w:fldChar w:fldCharType="separate"/>
      </w:r>
      <w:r w:rsidR="00C367A6">
        <w:rPr>
          <w:rFonts w:eastAsiaTheme="minorHAnsi"/>
          <w:noProof/>
        </w:rPr>
        <w:t>(</w:t>
      </w:r>
      <w:hyperlink w:anchor="_ENREF_8" w:tooltip="Billett, 1995 #17" w:history="1">
        <w:r w:rsidR="005B6334">
          <w:rPr>
            <w:rFonts w:eastAsiaTheme="minorHAnsi"/>
            <w:noProof/>
          </w:rPr>
          <w:t>Billett</w:t>
        </w:r>
        <w:r w:rsidR="005B6334" w:rsidRPr="00C367A6">
          <w:rPr>
            <w:rFonts w:eastAsiaTheme="minorHAnsi"/>
            <w:i/>
            <w:noProof/>
          </w:rPr>
          <w:t xml:space="preserve"> et al.</w:t>
        </w:r>
        <w:r w:rsidR="005B6334">
          <w:rPr>
            <w:rFonts w:eastAsiaTheme="minorHAnsi"/>
            <w:noProof/>
          </w:rPr>
          <w:t xml:space="preserve"> 1995</w:t>
        </w:r>
      </w:hyperlink>
      <w:r w:rsidR="00C367A6">
        <w:rPr>
          <w:rFonts w:eastAsiaTheme="minorHAnsi"/>
          <w:noProof/>
        </w:rPr>
        <w:t xml:space="preserve">; </w:t>
      </w:r>
      <w:hyperlink w:anchor="_ENREF_62" w:tooltip="Johnson, 1997 #18" w:history="1">
        <w:r w:rsidR="005B6334">
          <w:rPr>
            <w:rFonts w:eastAsiaTheme="minorHAnsi"/>
            <w:noProof/>
          </w:rPr>
          <w:t>Johnson 1997</w:t>
        </w:r>
      </w:hyperlink>
      <w:r w:rsidR="00C367A6">
        <w:rPr>
          <w:rFonts w:eastAsiaTheme="minorHAnsi"/>
          <w:noProof/>
        </w:rPr>
        <w:t xml:space="preserve">; </w:t>
      </w:r>
      <w:hyperlink w:anchor="_ENREF_67" w:tooltip="Lee, 2009 #108" w:history="1">
        <w:r w:rsidR="005B6334">
          <w:rPr>
            <w:rFonts w:eastAsiaTheme="minorHAnsi"/>
            <w:noProof/>
          </w:rPr>
          <w:t>Lee &amp; Sharpe 2009</w:t>
        </w:r>
      </w:hyperlink>
      <w:r w:rsidR="00C367A6">
        <w:rPr>
          <w:rFonts w:eastAsiaTheme="minorHAnsi"/>
          <w:noProof/>
        </w:rPr>
        <w:t xml:space="preserve">; </w:t>
      </w:r>
      <w:hyperlink w:anchor="_ENREF_87" w:tooltip="Ross, 2010 #133" w:history="1">
        <w:r w:rsidR="005B6334">
          <w:rPr>
            <w:rFonts w:eastAsiaTheme="minorHAnsi"/>
            <w:noProof/>
          </w:rPr>
          <w:t>Ross 2010</w:t>
        </w:r>
      </w:hyperlink>
      <w:r w:rsidR="00C367A6">
        <w:rPr>
          <w:rFonts w:eastAsiaTheme="minorHAnsi"/>
          <w:noProof/>
        </w:rPr>
        <w:t>)</w:t>
      </w:r>
      <w:r w:rsidR="001B0127">
        <w:rPr>
          <w:rFonts w:eastAsiaTheme="minorHAnsi"/>
        </w:rPr>
        <w:fldChar w:fldCharType="end"/>
      </w:r>
      <w:r>
        <w:rPr>
          <w:rFonts w:eastAsiaTheme="minorHAnsi"/>
        </w:rPr>
        <w:t xml:space="preserve">. </w:t>
      </w:r>
      <w:r w:rsidR="002211D9">
        <w:rPr>
          <w:rFonts w:eastAsiaTheme="minorHAnsi"/>
        </w:rPr>
        <w:t xml:space="preserve">Ross (2010) defines the three largest banks by market share in the syndicated lending market as high quality, and reports a positive association between loans arranged by the </w:t>
      </w:r>
      <w:r w:rsidR="00AF4D8C">
        <w:rPr>
          <w:rFonts w:eastAsiaTheme="minorHAnsi"/>
        </w:rPr>
        <w:t xml:space="preserve">high quality </w:t>
      </w:r>
      <w:r w:rsidR="002211D9">
        <w:rPr>
          <w:rFonts w:eastAsiaTheme="minorHAnsi"/>
        </w:rPr>
        <w:t xml:space="preserve">banks and abnormal price reactions </w:t>
      </w:r>
      <w:r w:rsidR="00AF4D8C">
        <w:rPr>
          <w:rFonts w:eastAsiaTheme="minorHAnsi"/>
        </w:rPr>
        <w:t xml:space="preserve">around </w:t>
      </w:r>
      <w:r w:rsidR="002211D9">
        <w:rPr>
          <w:rFonts w:eastAsiaTheme="minorHAnsi"/>
        </w:rPr>
        <w:t xml:space="preserve">loan announcements. </w:t>
      </w:r>
      <w:r w:rsidR="00BF28BF">
        <w:rPr>
          <w:rFonts w:eastAsiaTheme="minorHAnsi"/>
        </w:rPr>
        <w:fldChar w:fldCharType="begin"/>
      </w:r>
      <w:r w:rsidR="003A641D">
        <w:rPr>
          <w:rFonts w:eastAsiaTheme="minorHAnsi"/>
        </w:rPr>
        <w:instrText xml:space="preserve"> ADDIN EN.CITE &lt;EndNote&gt;&lt;Cite AuthorYear="1"&gt;&lt;Author&gt;Bushman&lt;/Author&gt;&lt;Year&gt;2012&lt;/Year&gt;&lt;RecNum&gt;132&lt;/RecNum&gt;&lt;DisplayText&gt;Bushman and Wittenberg-Moerman (2012)&lt;/DisplayText&gt;&lt;record&gt;&lt;rec-number&gt;132&lt;/rec-number&gt;&lt;foreign-keys&gt;&lt;key app="EN" db-id="xpprp0f0rzw05ved0s9xwzaqtxz0v9sfawwv"&gt;132&lt;/key&gt;&lt;/foreign-keys&gt;&lt;ref-type name="Journal Article"&gt;17&lt;/ref-type&gt;&lt;contributors&gt;&lt;authors&gt;&lt;author&gt;Bushman, Robert M&lt;/author&gt;&lt;author&gt;Wittenberg-Moerman, Regina&lt;/author&gt;&lt;/authors&gt;&lt;/contributors&gt;&lt;titles&gt;&lt;title&gt;The role of bank reputation in “certifying” future performance implications of borrowers’ accounting numbers&lt;/title&gt;&lt;secondary-title&gt;Journal of Accounting Research&lt;/secondary-title&gt;&lt;/titles&gt;&lt;periodical&gt;&lt;full-title&gt;Journal of accounting research&lt;/full-title&gt;&lt;/periodical&gt;&lt;pages&gt;883-930&lt;/pages&gt;&lt;volume&gt;50&lt;/volume&gt;&lt;number&gt;4&lt;/number&gt;&lt;dates&gt;&lt;year&gt;2012&lt;/year&gt;&lt;/dates&gt;&lt;isbn&gt;1475-679X&lt;/isbn&gt;&lt;urls&gt;&lt;/urls&gt;&lt;/record&gt;&lt;/Cite&gt;&lt;/EndNote&gt;</w:instrText>
      </w:r>
      <w:r w:rsidR="00BF28BF">
        <w:rPr>
          <w:rFonts w:eastAsiaTheme="minorHAnsi"/>
        </w:rPr>
        <w:fldChar w:fldCharType="separate"/>
      </w:r>
      <w:hyperlink w:anchor="_ENREF_23" w:tooltip="Bushman, 2012 #132" w:history="1">
        <w:r w:rsidR="005B6334">
          <w:rPr>
            <w:rFonts w:eastAsiaTheme="minorHAnsi"/>
            <w:noProof/>
          </w:rPr>
          <w:t>Bushman and Wittenberg-Moerman (2012</w:t>
        </w:r>
      </w:hyperlink>
      <w:r w:rsidR="00BF28BF">
        <w:rPr>
          <w:rFonts w:eastAsiaTheme="minorHAnsi"/>
          <w:noProof/>
        </w:rPr>
        <w:t>)</w:t>
      </w:r>
      <w:r w:rsidR="00BF28BF">
        <w:rPr>
          <w:rFonts w:eastAsiaTheme="minorHAnsi"/>
        </w:rPr>
        <w:fldChar w:fldCharType="end"/>
      </w:r>
      <w:r w:rsidR="00183484">
        <w:rPr>
          <w:rFonts w:eastAsiaTheme="minorHAnsi"/>
        </w:rPr>
        <w:t xml:space="preserve"> </w:t>
      </w:r>
      <w:r w:rsidR="007551BA">
        <w:rPr>
          <w:rFonts w:eastAsiaTheme="minorHAnsi"/>
        </w:rPr>
        <w:t xml:space="preserve">find </w:t>
      </w:r>
      <w:r w:rsidR="00183484">
        <w:rPr>
          <w:rFonts w:eastAsiaTheme="minorHAnsi"/>
        </w:rPr>
        <w:t>that loans</w:t>
      </w:r>
      <w:r w:rsidR="002211D9">
        <w:rPr>
          <w:rFonts w:eastAsiaTheme="minorHAnsi"/>
        </w:rPr>
        <w:t xml:space="preserve"> from higher reputation lenders, classified as the six largest banks active in the syndicated loan market </w:t>
      </w:r>
      <w:r w:rsidR="00183484">
        <w:rPr>
          <w:rFonts w:eastAsiaTheme="minorHAnsi"/>
        </w:rPr>
        <w:t xml:space="preserve">are associated with higher </w:t>
      </w:r>
      <w:r w:rsidR="00E76CBC">
        <w:rPr>
          <w:rFonts w:eastAsiaTheme="minorHAnsi"/>
        </w:rPr>
        <w:t xml:space="preserve">firm </w:t>
      </w:r>
      <w:r w:rsidR="00183484">
        <w:rPr>
          <w:rFonts w:eastAsiaTheme="minorHAnsi"/>
        </w:rPr>
        <w:t xml:space="preserve">profitability and credit quality in the subsequent </w:t>
      </w:r>
      <w:r w:rsidR="007551BA">
        <w:rPr>
          <w:rFonts w:eastAsiaTheme="minorHAnsi"/>
        </w:rPr>
        <w:t xml:space="preserve">three years </w:t>
      </w:r>
      <w:r w:rsidR="00183484">
        <w:rPr>
          <w:rFonts w:eastAsiaTheme="minorHAnsi"/>
        </w:rPr>
        <w:t>to the loan</w:t>
      </w:r>
      <w:r w:rsidR="00C405B6">
        <w:rPr>
          <w:rFonts w:eastAsiaTheme="minorHAnsi"/>
        </w:rPr>
        <w:t xml:space="preserve">. </w:t>
      </w:r>
      <w:r w:rsidR="00BE7E1A">
        <w:rPr>
          <w:rFonts w:eastAsiaTheme="minorHAnsi"/>
        </w:rPr>
        <w:t>L</w:t>
      </w:r>
      <w:r w:rsidR="00BE7E1A" w:rsidRPr="008D56E0">
        <w:rPr>
          <w:rFonts w:eastAsiaTheme="minorHAnsi"/>
        </w:rPr>
        <w:t xml:space="preserve">enders may have different </w:t>
      </w:r>
      <w:r w:rsidR="00BE7E1A" w:rsidRPr="008D56E0">
        <w:rPr>
          <w:rFonts w:eastAsiaTheme="minorHAnsi"/>
          <w:iCs/>
        </w:rPr>
        <w:t>monitoring</w:t>
      </w:r>
      <w:r w:rsidR="00BE7E1A" w:rsidRPr="008D56E0">
        <w:rPr>
          <w:rFonts w:eastAsiaTheme="minorHAnsi"/>
          <w:i/>
          <w:iCs/>
        </w:rPr>
        <w:t xml:space="preserve"> </w:t>
      </w:r>
      <w:r w:rsidR="00BE7E1A" w:rsidRPr="008D56E0">
        <w:rPr>
          <w:rFonts w:eastAsiaTheme="minorHAnsi"/>
        </w:rPr>
        <w:t>abilities, which enhance a borrower's value by assuring that appropriate investment and spending decisions are implemented</w:t>
      </w:r>
      <w:r w:rsidR="00BE7E1A">
        <w:rPr>
          <w:rFonts w:eastAsiaTheme="minorHAnsi"/>
        </w:rPr>
        <w:t xml:space="preserve"> </w:t>
      </w:r>
      <w:r w:rsidR="00BE7E1A">
        <w:rPr>
          <w:rFonts w:eastAsiaTheme="minorHAnsi"/>
        </w:rPr>
        <w:fldChar w:fldCharType="begin"/>
      </w:r>
      <w:r w:rsidR="00BE7E1A">
        <w:rPr>
          <w:rFonts w:eastAsiaTheme="minorHAnsi"/>
        </w:rPr>
        <w:instrText xml:space="preserve"> ADDIN EN.CITE &lt;EndNote&gt;&lt;Cite&gt;&lt;Author&gt;Fama&lt;/Author&gt;&lt;Year&gt;1985&lt;/Year&gt;&lt;RecNum&gt;5&lt;/RecNum&gt;&lt;DisplayText&gt;(Fama 1985)&lt;/DisplayText&gt;&lt;record&gt;&lt;rec-number&gt;5&lt;/rec-number&gt;&lt;foreign-keys&gt;&lt;key app="EN" db-id="xpprp0f0rzw05ved0s9xwzaqtxz0v9sfawwv"&gt;5&lt;/key&gt;&lt;/foreign-keys&gt;&lt;ref-type name="Journal Article"&gt;17&lt;/ref-type&gt;&lt;contributors&gt;&lt;authors&gt;&lt;author&gt;Fama, Eugene F.&lt;/author&gt;&lt;/authors&gt;&lt;/contributors&gt;&lt;titles&gt;&lt;title&gt;What&amp;apos;s different about banks?&lt;/title&gt;&lt;secondary-title&gt;Journal of Monetary Economics&lt;/secondary-title&gt;&lt;/titles&gt;&lt;periodical&gt;&lt;full-title&gt;Journal of Monetary Economics&lt;/full-title&gt;&lt;/periodical&gt;&lt;pages&gt;29-39&lt;/pages&gt;&lt;volume&gt;15&lt;/volume&gt;&lt;number&gt;1&lt;/number&gt;&lt;dates&gt;&lt;year&gt;1985&lt;/year&gt;&lt;/dates&gt;&lt;isbn&gt;0304-3932&lt;/isbn&gt;&lt;urls&gt;&lt;related-urls&gt;&lt;url&gt;http://www.sciencedirect.com/science/article/pii/0304393285900510&lt;/url&gt;&lt;/related-urls&gt;&lt;/urls&gt;&lt;electronic-resource-num&gt;10.1016/0304-3932(85)90051-0&lt;/electronic-resource-num&gt;&lt;/record&gt;&lt;/Cite&gt;&lt;/EndNote&gt;</w:instrText>
      </w:r>
      <w:r w:rsidR="00BE7E1A">
        <w:rPr>
          <w:rFonts w:eastAsiaTheme="minorHAnsi"/>
        </w:rPr>
        <w:fldChar w:fldCharType="separate"/>
      </w:r>
      <w:r w:rsidR="00BE7E1A">
        <w:rPr>
          <w:rFonts w:eastAsiaTheme="minorHAnsi"/>
          <w:noProof/>
        </w:rPr>
        <w:t>(</w:t>
      </w:r>
      <w:hyperlink w:anchor="_ENREF_42" w:tooltip="Fama, 1985 #5" w:history="1">
        <w:r w:rsidR="00BE7E1A">
          <w:rPr>
            <w:rFonts w:eastAsiaTheme="minorHAnsi"/>
            <w:noProof/>
          </w:rPr>
          <w:t>Fama 1985</w:t>
        </w:r>
      </w:hyperlink>
      <w:r w:rsidR="00BE7E1A">
        <w:rPr>
          <w:rFonts w:eastAsiaTheme="minorHAnsi"/>
          <w:noProof/>
        </w:rPr>
        <w:t>)</w:t>
      </w:r>
      <w:r w:rsidR="00BE7E1A">
        <w:rPr>
          <w:rFonts w:eastAsiaTheme="minorHAnsi"/>
        </w:rPr>
        <w:fldChar w:fldCharType="end"/>
      </w:r>
      <w:r w:rsidR="00BE7E1A" w:rsidRPr="008D56E0">
        <w:rPr>
          <w:rFonts w:eastAsiaTheme="minorHAnsi"/>
        </w:rPr>
        <w:t xml:space="preserve">. If negotiating and managing high-risk loans (with many covenants to be designed and enforced) requires different skills than low-risk credits, individual lenders may choose to specialize </w:t>
      </w:r>
      <w:r w:rsidR="00BE7E1A">
        <w:rPr>
          <w:rFonts w:eastAsiaTheme="minorHAnsi"/>
        </w:rPr>
        <w:fldChar w:fldCharType="begin"/>
      </w:r>
      <w:r w:rsidR="00BE7E1A">
        <w:rPr>
          <w:rFonts w:eastAsiaTheme="minorHAnsi"/>
        </w:rPr>
        <w:instrText xml:space="preserve"> ADDIN EN.CITE &lt;EndNote&gt;&lt;Cite&gt;&lt;Author&gt;Billett&lt;/Author&gt;&lt;Year&gt;1995&lt;/Year&gt;&lt;RecNum&gt;17&lt;/RecNum&gt;&lt;DisplayText&gt;(Billett&lt;style face="italic"&gt; et al.&lt;/style&gt; 1995)&lt;/DisplayText&gt;&lt;record&gt;&lt;rec-number&gt;17&lt;/rec-number&gt;&lt;foreign-keys&gt;&lt;key app="EN" db-id="xpprp0f0rzw05ved0s9xwzaqtxz0v9sfawwv"&gt;17&lt;/key&gt;&lt;/foreign-keys&gt;&lt;ref-type name="Journal Article"&gt;17&lt;/ref-type&gt;&lt;contributors&gt;&lt;authors&gt;&lt;author&gt;Billett, Matthew T.&lt;/author&gt;&lt;author&gt;Flannery, Mark J.&lt;/author&gt;&lt;author&gt;Garfinkel, Jon A.&lt;/author&gt;&lt;/authors&gt;&lt;/contributors&gt;&lt;titles&gt;&lt;title&gt;The Effect of Lender Identity on a Borrowing Firm&amp;apos;s Equity Return&lt;/title&gt;&lt;secondary-title&gt;The Journal of Finance&lt;/secondary-title&gt;&lt;/titles&gt;&lt;periodical&gt;&lt;full-title&gt;The Journal of Finance&lt;/full-title&gt;&lt;/periodical&gt;&lt;pages&gt;699-718&lt;/pages&gt;&lt;volume&gt;50&lt;/volume&gt;&lt;number&gt;2&lt;/number&gt;&lt;keywords&gt;&lt;keyword&gt;Bank Loans Event Study&lt;/keyword&gt;&lt;/keywords&gt;&lt;dates&gt;&lt;year&gt;1995&lt;/year&gt;&lt;/dates&gt;&lt;publisher&gt;Blackwell Publishing Ltd&lt;/publisher&gt;&lt;isbn&gt;1540-6261&lt;/isbn&gt;&lt;urls&gt;&lt;related-urls&gt;&lt;url&gt;http://dx.doi.org/10.1111/j.1540-6261.1995.tb04801.x&lt;/url&gt;&lt;/related-urls&gt;&lt;/urls&gt;&lt;electronic-resource-num&gt;10.1111/j.1540-6261.1995.tb04801.x&lt;/electronic-resource-num&gt;&lt;/record&gt;&lt;/Cite&gt;&lt;/EndNote&gt;</w:instrText>
      </w:r>
      <w:r w:rsidR="00BE7E1A">
        <w:rPr>
          <w:rFonts w:eastAsiaTheme="minorHAnsi"/>
        </w:rPr>
        <w:fldChar w:fldCharType="separate"/>
      </w:r>
      <w:r w:rsidR="00BE7E1A">
        <w:rPr>
          <w:rFonts w:eastAsiaTheme="minorHAnsi"/>
          <w:noProof/>
        </w:rPr>
        <w:t>(</w:t>
      </w:r>
      <w:hyperlink w:anchor="_ENREF_8" w:tooltip="Billett, 1995 #17" w:history="1">
        <w:r w:rsidR="00BE7E1A">
          <w:rPr>
            <w:rFonts w:eastAsiaTheme="minorHAnsi"/>
            <w:noProof/>
          </w:rPr>
          <w:t>Billett</w:t>
        </w:r>
        <w:r w:rsidR="00BE7E1A" w:rsidRPr="000B4ADF">
          <w:rPr>
            <w:rFonts w:eastAsiaTheme="minorHAnsi"/>
            <w:i/>
            <w:noProof/>
          </w:rPr>
          <w:t xml:space="preserve"> et al.</w:t>
        </w:r>
        <w:r w:rsidR="00BE7E1A">
          <w:rPr>
            <w:rFonts w:eastAsiaTheme="minorHAnsi"/>
            <w:noProof/>
          </w:rPr>
          <w:t xml:space="preserve"> 1995</w:t>
        </w:r>
      </w:hyperlink>
      <w:r w:rsidR="00BE7E1A">
        <w:rPr>
          <w:rFonts w:eastAsiaTheme="minorHAnsi"/>
          <w:noProof/>
        </w:rPr>
        <w:t>)</w:t>
      </w:r>
      <w:r w:rsidR="00BE7E1A">
        <w:rPr>
          <w:rFonts w:eastAsiaTheme="minorHAnsi"/>
        </w:rPr>
        <w:fldChar w:fldCharType="end"/>
      </w:r>
      <w:r w:rsidR="00BE7E1A" w:rsidRPr="00857E22">
        <w:rPr>
          <w:rFonts w:eastAsiaTheme="minorHAnsi"/>
        </w:rPr>
        <w:t>.</w:t>
      </w:r>
      <w:r w:rsidR="00BE7E1A">
        <w:rPr>
          <w:rFonts w:eastAsiaTheme="minorHAnsi"/>
        </w:rPr>
        <w:t xml:space="preserve"> </w:t>
      </w:r>
      <w:r w:rsidR="00BF0E2B">
        <w:t>We</w:t>
      </w:r>
      <w:r>
        <w:t xml:space="preserve"> extend this literature by testing </w:t>
      </w:r>
      <w:r w:rsidR="007551BA">
        <w:t xml:space="preserve">whether a mining </w:t>
      </w:r>
      <w:r>
        <w:t>specialis</w:t>
      </w:r>
      <w:r w:rsidR="007551BA">
        <w:t xml:space="preserve">t lender </w:t>
      </w:r>
      <w:r>
        <w:t>signal</w:t>
      </w:r>
      <w:r w:rsidR="00473255">
        <w:t>s</w:t>
      </w:r>
      <w:r>
        <w:t xml:space="preserve"> more information about the borro</w:t>
      </w:r>
      <w:r w:rsidR="002211D9">
        <w:t>w</w:t>
      </w:r>
      <w:r w:rsidR="007551BA">
        <w:t>er</w:t>
      </w:r>
      <w:r w:rsidR="002211D9">
        <w:t xml:space="preserve"> to outside investors.</w:t>
      </w:r>
    </w:p>
    <w:p w:rsidR="000421D1" w:rsidRPr="008D56E0" w:rsidRDefault="000421D1" w:rsidP="000421D1">
      <w:pPr>
        <w:autoSpaceDE w:val="0"/>
        <w:autoSpaceDN w:val="0"/>
        <w:adjustRightInd w:val="0"/>
        <w:spacing w:before="240" w:after="0"/>
        <w:rPr>
          <w:rFonts w:eastAsiaTheme="minorHAnsi" w:cs="Times New Roman"/>
          <w:szCs w:val="24"/>
        </w:rPr>
      </w:pPr>
      <w:r w:rsidRPr="008D56E0">
        <w:rPr>
          <w:rFonts w:eastAsiaTheme="minorHAnsi" w:cs="Times New Roman"/>
          <w:szCs w:val="24"/>
        </w:rPr>
        <w:t xml:space="preserve">Industry specialisation and leadership has been shown to exist amongst financial intermediaries such as underwriters </w:t>
      </w:r>
      <w:r w:rsidR="001B0127">
        <w:rPr>
          <w:rFonts w:eastAsiaTheme="minorHAnsi" w:cs="Times New Roman"/>
          <w:szCs w:val="24"/>
        </w:rPr>
        <w:fldChar w:fldCharType="begin"/>
      </w:r>
      <w:r w:rsidR="003A641D">
        <w:rPr>
          <w:rFonts w:eastAsiaTheme="minorHAnsi" w:cs="Times New Roman"/>
          <w:szCs w:val="24"/>
        </w:rPr>
        <w:instrText xml:space="preserve"> ADDIN EN.CITE &lt;EndNote&gt;&lt;Cite&gt;&lt;Author&gt;Carter&lt;/Author&gt;&lt;Year&gt;1990&lt;/Year&gt;&lt;RecNum&gt;114&lt;/RecNum&gt;&lt;DisplayText&gt;(Carter &amp;amp; Manaster 1990; Booth &amp;amp; Chua 1996)&lt;/DisplayText&gt;&lt;record&gt;&lt;rec-number&gt;114&lt;/rec-number&gt;&lt;foreign-keys&gt;&lt;key app="EN" db-id="xpprp0f0rzw05ved0s9xwzaqtxz0v9sfawwv"&gt;114&lt;/key&gt;&lt;/foreign-keys&gt;&lt;ref-type name="Journal Article"&gt;17&lt;/ref-type&gt;&lt;contributors&gt;&lt;authors&gt;&lt;author&gt;Carter, Richard&lt;/author&gt;&lt;author&gt;Manaster, Steven&lt;/author&gt;&lt;/authors&gt;&lt;/contributors&gt;&lt;titles&gt;&lt;title&gt;Initial public offerings and underwriter reputation&lt;/title&gt;&lt;secondary-title&gt;The Journal of Finance&lt;/secondary-title&gt;&lt;/titles&gt;&lt;periodical&gt;&lt;full-title&gt;The Journal of Finance&lt;/full-title&gt;&lt;/periodical&gt;&lt;pages&gt;1045-1067&lt;/pages&gt;&lt;volume&gt;45&lt;/volume&gt;&lt;number&gt;4&lt;/number&gt;&lt;dates&gt;&lt;year&gt;1990&lt;/year&gt;&lt;/dates&gt;&lt;isbn&gt;1540-6261&lt;/isbn&gt;&lt;urls&gt;&lt;/urls&gt;&lt;/record&gt;&lt;/Cite&gt;&lt;Cite&gt;&lt;Author&gt;Booth&lt;/Author&gt;&lt;Year&gt;1996&lt;/Year&gt;&lt;RecNum&gt;33&lt;/RecNum&gt;&lt;record&gt;&lt;rec-number&gt;33&lt;/rec-number&gt;&lt;foreign-keys&gt;&lt;key app="EN" db-id="xpprp0f0rzw05ved0s9xwzaqtxz0v9sfawwv"&gt;33&lt;/key&gt;&lt;/foreign-keys&gt;&lt;ref-type name="Journal Article"&gt;17&lt;/ref-type&gt;&lt;contributors&gt;&lt;authors&gt;&lt;author&gt;Booth, J.R.&lt;/author&gt;&lt;author&gt;Chua, L.&lt;/author&gt;&lt;/authors&gt;&lt;/contributors&gt;&lt;titles&gt;&lt;title&gt;Ownership dispersion, costly information, and IPO underpricing&lt;/title&gt;&lt;secondary-title&gt;Journal of Financial Economics&lt;/secondary-title&gt;&lt;/titles&gt;&lt;periodical&gt;&lt;full-title&gt;Journal of Financial Economics&lt;/full-title&gt;&lt;/periodical&gt;&lt;pages&gt;291-310&lt;/pages&gt;&lt;volume&gt;41&lt;/volume&gt;&lt;number&gt;2&lt;/number&gt;&lt;dates&gt;&lt;year&gt;1996&lt;/year&gt;&lt;/dates&gt;&lt;isbn&gt;0304-405X&lt;/isbn&gt;&lt;urls&gt;&lt;/urls&gt;&lt;/record&gt;&lt;/Cite&gt;&lt;/EndNote&gt;</w:instrText>
      </w:r>
      <w:r w:rsidR="001B0127">
        <w:rPr>
          <w:rFonts w:eastAsiaTheme="minorHAnsi" w:cs="Times New Roman"/>
          <w:szCs w:val="24"/>
        </w:rPr>
        <w:fldChar w:fldCharType="separate"/>
      </w:r>
      <w:r w:rsidR="00FF64FE">
        <w:rPr>
          <w:rFonts w:eastAsiaTheme="minorHAnsi" w:cs="Times New Roman"/>
          <w:noProof/>
          <w:szCs w:val="24"/>
        </w:rPr>
        <w:t>(</w:t>
      </w:r>
      <w:hyperlink w:anchor="_ENREF_28" w:tooltip="Carter, 1990 #114" w:history="1">
        <w:r w:rsidR="005B6334">
          <w:rPr>
            <w:rFonts w:eastAsiaTheme="minorHAnsi" w:cs="Times New Roman"/>
            <w:noProof/>
            <w:szCs w:val="24"/>
          </w:rPr>
          <w:t>Carter &amp; Manaster 1990</w:t>
        </w:r>
      </w:hyperlink>
      <w:r w:rsidR="00FF64FE">
        <w:rPr>
          <w:rFonts w:eastAsiaTheme="minorHAnsi" w:cs="Times New Roman"/>
          <w:noProof/>
          <w:szCs w:val="24"/>
        </w:rPr>
        <w:t xml:space="preserve">; </w:t>
      </w:r>
      <w:hyperlink w:anchor="_ENREF_16" w:tooltip="Booth, 1996 #33" w:history="1">
        <w:r w:rsidR="005B6334">
          <w:rPr>
            <w:rFonts w:eastAsiaTheme="minorHAnsi" w:cs="Times New Roman"/>
            <w:noProof/>
            <w:szCs w:val="24"/>
          </w:rPr>
          <w:t>Booth &amp; Chua 1996</w:t>
        </w:r>
      </w:hyperlink>
      <w:r w:rsidR="00FF64FE">
        <w:rPr>
          <w:rFonts w:eastAsiaTheme="minorHAnsi" w:cs="Times New Roman"/>
          <w:noProof/>
          <w:szCs w:val="24"/>
        </w:rPr>
        <w:t>)</w:t>
      </w:r>
      <w:r w:rsidR="001B0127">
        <w:rPr>
          <w:rFonts w:eastAsiaTheme="minorHAnsi" w:cs="Times New Roman"/>
          <w:szCs w:val="24"/>
        </w:rPr>
        <w:fldChar w:fldCharType="end"/>
      </w:r>
      <w:r w:rsidR="00E76CBC">
        <w:rPr>
          <w:rFonts w:eastAsiaTheme="minorHAnsi" w:cs="Times New Roman"/>
          <w:szCs w:val="24"/>
        </w:rPr>
        <w:t>,</w:t>
      </w:r>
      <w:r w:rsidR="00FF64FE">
        <w:rPr>
          <w:rFonts w:eastAsiaTheme="minorHAnsi" w:cs="Times New Roman"/>
          <w:szCs w:val="24"/>
        </w:rPr>
        <w:t xml:space="preserve"> </w:t>
      </w:r>
      <w:r>
        <w:rPr>
          <w:rFonts w:eastAsiaTheme="minorHAnsi" w:cs="Times New Roman"/>
          <w:szCs w:val="24"/>
        </w:rPr>
        <w:t xml:space="preserve">auditors </w:t>
      </w:r>
      <w:r w:rsidR="001B0127">
        <w:rPr>
          <w:rFonts w:eastAsiaTheme="minorHAnsi" w:cs="Times New Roman"/>
          <w:szCs w:val="24"/>
        </w:rPr>
        <w:fldChar w:fldCharType="begin">
          <w:fldData xml:space="preserve">PEVuZE5vdGU+PENpdGU+PEF1dGhvcj5DcmFzd2VsbDwvQXV0aG9yPjxZZWFyPjE5OTU8L1llYXI+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</w:fldData>
        </w:fldChar>
      </w:r>
      <w:r w:rsidR="003A641D">
        <w:rPr>
          <w:rFonts w:eastAsiaTheme="minorHAnsi" w:cs="Times New Roman"/>
          <w:szCs w:val="24"/>
        </w:rPr>
        <w:instrText xml:space="preserve"> ADDIN EN.CITE </w:instrText>
      </w:r>
      <w:r w:rsidR="003A641D">
        <w:rPr>
          <w:rFonts w:eastAsiaTheme="minorHAnsi" w:cs="Times New Roman"/>
          <w:szCs w:val="24"/>
        </w:rPr>
        <w:fldChar w:fldCharType="begin">
          <w:fldData xml:space="preserve">PEVuZE5vdGU+PENpdGU+PEF1dGhvcj5DcmFzd2VsbDwvQXV0aG9yPjxZZWFyPjE5OTU8L1llYXI+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</w:fldData>
        </w:fldChar>
      </w:r>
      <w:r w:rsidR="003A641D">
        <w:rPr>
          <w:rFonts w:eastAsiaTheme="minorHAnsi" w:cs="Times New Roman"/>
          <w:szCs w:val="24"/>
        </w:rPr>
        <w:instrText xml:space="preserve"> ADDIN EN.CITE.DATA </w:instrText>
      </w:r>
      <w:r w:rsidR="003A641D">
        <w:rPr>
          <w:rFonts w:eastAsiaTheme="minorHAnsi" w:cs="Times New Roman"/>
          <w:szCs w:val="24"/>
        </w:rPr>
      </w:r>
      <w:r w:rsidR="003A641D">
        <w:rPr>
          <w:rFonts w:eastAsiaTheme="minorHAnsi" w:cs="Times New Roman"/>
          <w:szCs w:val="24"/>
        </w:rPr>
        <w:fldChar w:fldCharType="end"/>
      </w:r>
      <w:r w:rsidR="001B0127">
        <w:rPr>
          <w:rFonts w:eastAsiaTheme="minorHAnsi" w:cs="Times New Roman"/>
          <w:szCs w:val="24"/>
        </w:rPr>
      </w:r>
      <w:r w:rsidR="001B0127">
        <w:rPr>
          <w:rFonts w:eastAsiaTheme="minorHAnsi" w:cs="Times New Roman"/>
          <w:szCs w:val="24"/>
        </w:rPr>
        <w:fldChar w:fldCharType="separate"/>
      </w:r>
      <w:r w:rsidR="00FF64FE">
        <w:rPr>
          <w:rFonts w:eastAsiaTheme="minorHAnsi" w:cs="Times New Roman"/>
          <w:noProof/>
          <w:szCs w:val="24"/>
        </w:rPr>
        <w:t>(</w:t>
      </w:r>
      <w:hyperlink w:anchor="_ENREF_31" w:tooltip="Craswell, 1995 #115" w:history="1">
        <w:r w:rsidR="005B6334">
          <w:rPr>
            <w:rFonts w:eastAsiaTheme="minorHAnsi" w:cs="Times New Roman"/>
            <w:noProof/>
            <w:szCs w:val="24"/>
          </w:rPr>
          <w:t>Craswell</w:t>
        </w:r>
        <w:r w:rsidR="005B6334" w:rsidRPr="00FF64FE">
          <w:rPr>
            <w:rFonts w:eastAsiaTheme="minorHAnsi" w:cs="Times New Roman"/>
            <w:i/>
            <w:noProof/>
            <w:szCs w:val="24"/>
          </w:rPr>
          <w:t xml:space="preserve"> et al.</w:t>
        </w:r>
        <w:r w:rsidR="005B6334">
          <w:rPr>
            <w:rFonts w:eastAsiaTheme="minorHAnsi" w:cs="Times New Roman"/>
            <w:noProof/>
            <w:szCs w:val="24"/>
          </w:rPr>
          <w:t xml:space="preserve"> 1995</w:t>
        </w:r>
      </w:hyperlink>
      <w:r w:rsidR="00FF64FE">
        <w:rPr>
          <w:rFonts w:eastAsiaTheme="minorHAnsi" w:cs="Times New Roman"/>
          <w:noProof/>
          <w:szCs w:val="24"/>
        </w:rPr>
        <w:t xml:space="preserve">; </w:t>
      </w:r>
      <w:hyperlink w:anchor="_ENREF_51" w:tooltip="Ferguson, 2002 #117" w:history="1">
        <w:r w:rsidR="005B6334">
          <w:rPr>
            <w:rFonts w:eastAsiaTheme="minorHAnsi" w:cs="Times New Roman"/>
            <w:noProof/>
            <w:szCs w:val="24"/>
          </w:rPr>
          <w:t>Ferguson &amp; Stokes 2002</w:t>
        </w:r>
      </w:hyperlink>
      <w:r w:rsidR="00FF64FE">
        <w:rPr>
          <w:rFonts w:eastAsiaTheme="minorHAnsi" w:cs="Times New Roman"/>
          <w:noProof/>
          <w:szCs w:val="24"/>
        </w:rPr>
        <w:t xml:space="preserve">; </w:t>
      </w:r>
      <w:hyperlink w:anchor="_ENREF_47" w:tooltip="Ferguson, 2003 #116" w:history="1">
        <w:r w:rsidR="005B6334">
          <w:rPr>
            <w:rFonts w:eastAsiaTheme="minorHAnsi" w:cs="Times New Roman"/>
            <w:noProof/>
            <w:szCs w:val="24"/>
          </w:rPr>
          <w:t>Ferguson</w:t>
        </w:r>
        <w:r w:rsidR="005B6334" w:rsidRPr="00FF64FE">
          <w:rPr>
            <w:rFonts w:eastAsiaTheme="minorHAnsi" w:cs="Times New Roman"/>
            <w:i/>
            <w:noProof/>
            <w:szCs w:val="24"/>
          </w:rPr>
          <w:t xml:space="preserve"> et al.</w:t>
        </w:r>
        <w:r w:rsidR="005B6334">
          <w:rPr>
            <w:rFonts w:eastAsiaTheme="minorHAnsi" w:cs="Times New Roman"/>
            <w:noProof/>
            <w:szCs w:val="24"/>
          </w:rPr>
          <w:t xml:space="preserve"> 2003</w:t>
        </w:r>
      </w:hyperlink>
      <w:r w:rsidR="00FF64FE">
        <w:rPr>
          <w:rFonts w:eastAsiaTheme="minorHAnsi" w:cs="Times New Roman"/>
          <w:noProof/>
          <w:szCs w:val="24"/>
        </w:rPr>
        <w:t>)</w:t>
      </w:r>
      <w:r w:rsidR="001B0127">
        <w:rPr>
          <w:rFonts w:eastAsiaTheme="minorHAnsi" w:cs="Times New Roman"/>
          <w:szCs w:val="24"/>
        </w:rPr>
        <w:fldChar w:fldCharType="end"/>
      </w:r>
      <w:r>
        <w:rPr>
          <w:rFonts w:eastAsiaTheme="minorHAnsi" w:cs="Times New Roman"/>
          <w:szCs w:val="24"/>
        </w:rPr>
        <w:t xml:space="preserve"> and non-financial assur</w:t>
      </w:r>
      <w:r w:rsidR="00BE7E1A">
        <w:rPr>
          <w:rFonts w:eastAsiaTheme="minorHAnsi" w:cs="Times New Roman"/>
          <w:szCs w:val="24"/>
        </w:rPr>
        <w:t>ers</w:t>
      </w:r>
      <w:r>
        <w:rPr>
          <w:rFonts w:eastAsiaTheme="minorHAnsi" w:cs="Times New Roman"/>
          <w:szCs w:val="24"/>
        </w:rPr>
        <w:t xml:space="preserve"> </w:t>
      </w:r>
      <w:r w:rsidR="001B0127">
        <w:rPr>
          <w:rFonts w:eastAsiaTheme="minorHAnsi" w:cs="Times New Roman"/>
          <w:szCs w:val="24"/>
        </w:rPr>
        <w:fldChar w:fldCharType="begin"/>
      </w:r>
      <w:r w:rsidR="003A641D">
        <w:rPr>
          <w:rFonts w:eastAsiaTheme="minorHAnsi" w:cs="Times New Roman"/>
          <w:szCs w:val="24"/>
        </w:rPr>
        <w:instrText xml:space="preserve"> ADDIN EN.CITE &lt;EndNote&gt;&lt;Cite&gt;&lt;Author&gt;Ferguson&lt;/Author&gt;&lt;Year&gt;2013&lt;/Year&gt;&lt;RecNum&gt;118&lt;/RecNum&gt;&lt;DisplayText&gt;(Ferguson &amp;amp; Pundrich 2013)&lt;/DisplayText&gt;&lt;record&gt;&lt;rec-number&gt;118&lt;/rec-number&gt;&lt;foreign-keys&gt;&lt;key app="EN" db-id="xpprp0f0rzw05ved0s9xwzaqtxz0v9sfawwv"&gt;118&lt;/key&gt;&lt;/foreign-keys&gt;&lt;ref-type name="Journal Article"&gt;17&lt;/ref-type&gt;&lt;contributors&gt;&lt;authors&gt;&lt;author&gt;Ferguson, Andrew&lt;/author&gt;&lt;author&gt;Pundrich, Gabriel&lt;/author&gt;&lt;/authors&gt;&lt;/contributors&gt;&lt;titles&gt;&lt;title&gt;Does Non-GAAP Expertise Matter to Investors?&lt;/title&gt;&lt;secondary-title&gt;Available at SSRN 2298534&lt;/secondary-title&gt;&lt;/titles&gt;&lt;periodical&gt;&lt;full-title&gt;Available at SSRN 2298534&lt;/full-title&gt;&lt;/periodical&gt;&lt;dates&gt;&lt;year&gt;2013&lt;/year&gt;&lt;/dates&gt;&lt;urls&gt;&lt;/urls&gt;&lt;/record&gt;&lt;/Cite&gt;&lt;/EndNote&gt;</w:instrText>
      </w:r>
      <w:r w:rsidR="001B0127">
        <w:rPr>
          <w:rFonts w:eastAsiaTheme="minorHAnsi" w:cs="Times New Roman"/>
          <w:szCs w:val="24"/>
        </w:rPr>
        <w:fldChar w:fldCharType="separate"/>
      </w:r>
      <w:r w:rsidR="00AA4433">
        <w:rPr>
          <w:rFonts w:eastAsiaTheme="minorHAnsi" w:cs="Times New Roman"/>
          <w:noProof/>
          <w:szCs w:val="24"/>
        </w:rPr>
        <w:t>(</w:t>
      </w:r>
      <w:hyperlink w:anchor="_ENREF_49" w:tooltip="Ferguson, 2013 #118" w:history="1">
        <w:r w:rsidR="005B6334">
          <w:rPr>
            <w:rFonts w:eastAsiaTheme="minorHAnsi" w:cs="Times New Roman"/>
            <w:noProof/>
            <w:szCs w:val="24"/>
          </w:rPr>
          <w:t>Ferguson &amp; Pundrich 2013</w:t>
        </w:r>
      </w:hyperlink>
      <w:r w:rsidR="00AA4433">
        <w:rPr>
          <w:rFonts w:eastAsiaTheme="minorHAnsi" w:cs="Times New Roman"/>
          <w:noProof/>
          <w:szCs w:val="24"/>
        </w:rPr>
        <w:t>)</w:t>
      </w:r>
      <w:r w:rsidR="001B0127">
        <w:rPr>
          <w:rFonts w:eastAsiaTheme="minorHAnsi" w:cs="Times New Roman"/>
          <w:szCs w:val="24"/>
        </w:rPr>
        <w:fldChar w:fldCharType="end"/>
      </w:r>
      <w:r w:rsidR="00AA4433">
        <w:rPr>
          <w:rFonts w:eastAsiaTheme="minorHAnsi" w:cs="Times New Roman"/>
          <w:szCs w:val="24"/>
        </w:rPr>
        <w:t>.</w:t>
      </w:r>
      <w:r w:rsidR="003D338C">
        <w:rPr>
          <w:rFonts w:eastAsiaTheme="minorHAnsi" w:cs="Times New Roman"/>
          <w:szCs w:val="24"/>
        </w:rPr>
        <w:t xml:space="preserve"> </w:t>
      </w:r>
      <w:r w:rsidR="00BF28BF">
        <w:rPr>
          <w:rFonts w:eastAsiaTheme="minorHAnsi" w:cs="Times New Roman"/>
          <w:szCs w:val="24"/>
        </w:rPr>
        <w:fldChar w:fldCharType="begin"/>
      </w:r>
      <w:r w:rsidR="003A641D">
        <w:rPr>
          <w:rFonts w:eastAsiaTheme="minorHAnsi" w:cs="Times New Roman"/>
          <w:szCs w:val="24"/>
        </w:rPr>
        <w:instrText xml:space="preserve"> ADDIN EN.CITE &lt;EndNote&gt;&lt;Cite AuthorYear="1"&gt;&lt;Author&gt;Almazan&lt;/Author&gt;&lt;Year&gt;2002&lt;/Year&gt;&lt;RecNum&gt;34&lt;/RecNum&gt;&lt;DisplayText&gt;Almazan (2002)&lt;/DisplayText&gt;&lt;record&gt;&lt;rec-number&gt;34&lt;/rec-number&gt;&lt;foreign-keys&gt;&lt;key app="EN" db-id="xpprp0f0rzw05ved0s9xwzaqtxz0v9sfawwv"&gt;34&lt;/key&gt;&lt;/foreign-keys&gt;&lt;ref-type name="Journal Article"&gt;17&lt;/ref-type&gt;&lt;contributors&gt;&lt;authors&gt;&lt;author&gt;Almazan, A.&lt;/author&gt;&lt;/authors&gt;&lt;/contributors&gt;&lt;titles&gt;&lt;title&gt;A model of competition in banking: Bank capital vs expertise&lt;/title&gt;&lt;secondary-title&gt;Journal of Financial Intermediation&lt;/secondary-title&gt;&lt;/titles&gt;&lt;periodical&gt;&lt;full-title&gt;Journal of Financial Intermediation&lt;/full-title&gt;&lt;/periodical&gt;&lt;pages&gt;87-121&lt;/pages&gt;&lt;volume&gt;11&lt;/volume&gt;&lt;number&gt;1&lt;/number&gt;&lt;dates&gt;&lt;year&gt;2002&lt;/year&gt;&lt;/dates&gt;&lt;isbn&gt;1042-9573&lt;/isbn&gt;&lt;urls&gt;&lt;/urls&gt;&lt;/record&gt;&lt;/Cite&gt;&lt;/EndNote&gt;</w:instrText>
      </w:r>
      <w:r w:rsidR="00BF28BF">
        <w:rPr>
          <w:rFonts w:eastAsiaTheme="minorHAnsi" w:cs="Times New Roman"/>
          <w:szCs w:val="24"/>
        </w:rPr>
        <w:fldChar w:fldCharType="separate"/>
      </w:r>
      <w:hyperlink w:anchor="_ENREF_3" w:tooltip="Almazan, 2002 #34" w:history="1">
        <w:r w:rsidR="005B6334">
          <w:rPr>
            <w:rFonts w:eastAsiaTheme="minorHAnsi" w:cs="Times New Roman"/>
            <w:noProof/>
            <w:szCs w:val="24"/>
          </w:rPr>
          <w:t>Almazan (2002</w:t>
        </w:r>
      </w:hyperlink>
      <w:r w:rsidR="00BF28BF">
        <w:rPr>
          <w:rFonts w:eastAsiaTheme="minorHAnsi" w:cs="Times New Roman"/>
          <w:noProof/>
          <w:szCs w:val="24"/>
        </w:rPr>
        <w:t>)</w:t>
      </w:r>
      <w:r w:rsidR="00BF28BF">
        <w:rPr>
          <w:rFonts w:eastAsiaTheme="minorHAnsi" w:cs="Times New Roman"/>
          <w:szCs w:val="24"/>
        </w:rPr>
        <w:fldChar w:fldCharType="end"/>
      </w:r>
      <w:r w:rsidRPr="004F79D6">
        <w:rPr>
          <w:rFonts w:eastAsiaTheme="minorHAnsi" w:cs="Times New Roman"/>
          <w:szCs w:val="24"/>
        </w:rPr>
        <w:t xml:space="preserve"> </w:t>
      </w:r>
      <w:r w:rsidR="00D8551E">
        <w:rPr>
          <w:rFonts w:eastAsiaTheme="minorHAnsi" w:cs="Times New Roman"/>
          <w:szCs w:val="24"/>
        </w:rPr>
        <w:t>reports</w:t>
      </w:r>
      <w:r w:rsidRPr="008D56E0">
        <w:rPr>
          <w:rFonts w:eastAsiaTheme="minorHAnsi" w:cs="Times New Roman"/>
          <w:szCs w:val="24"/>
        </w:rPr>
        <w:t xml:space="preserve"> that banks tend to concentrate their portfolios by either region or industry, and that increasing bank </w:t>
      </w:r>
      <w:r>
        <w:rPr>
          <w:rFonts w:eastAsiaTheme="minorHAnsi" w:cs="Times New Roman"/>
          <w:szCs w:val="24"/>
        </w:rPr>
        <w:t>specialisation</w:t>
      </w:r>
      <w:r w:rsidRPr="008D56E0">
        <w:rPr>
          <w:rFonts w:eastAsiaTheme="minorHAnsi" w:cs="Times New Roman"/>
          <w:szCs w:val="24"/>
        </w:rPr>
        <w:t xml:space="preserve"> can lead </w:t>
      </w:r>
      <w:r w:rsidRPr="008D56E0">
        <w:rPr>
          <w:rFonts w:eastAsiaTheme="minorHAnsi" w:cs="Times New Roman"/>
          <w:szCs w:val="24"/>
        </w:rPr>
        <w:lastRenderedPageBreak/>
        <w:t>to decreased information production and monitoring costs due to learning.</w:t>
      </w:r>
      <w:r w:rsidR="00BF28BF">
        <w:rPr>
          <w:rFonts w:eastAsiaTheme="minorHAnsi" w:cs="Times New Roman"/>
          <w:szCs w:val="24"/>
        </w:rPr>
        <w:fldChar w:fldCharType="begin"/>
      </w:r>
      <w:r w:rsidR="003A641D">
        <w:rPr>
          <w:rFonts w:eastAsiaTheme="minorHAnsi" w:cs="Times New Roman"/>
          <w:szCs w:val="24"/>
        </w:rPr>
        <w:instrText xml:space="preserve"> ADDIN EN.CITE &lt;EndNote&gt;&lt;Cite AuthorYear="1"&gt;&lt;Author&gt;Winton&lt;/Author&gt;&lt;Year&gt;1999&lt;/Year&gt;&lt;RecNum&gt;119&lt;/RecNum&gt;&lt;DisplayText&gt;Winton (1999)&lt;/DisplayText&gt;&lt;record&gt;&lt;rec-number&gt;119&lt;/rec-number&gt;&lt;foreign-keys&gt;&lt;key app="EN" db-id="xpprp0f0rzw05ved0s9xwzaqtxz0v9sfawwv"&gt;119&lt;/key&gt;&lt;/foreign-keys&gt;&lt;ref-type name="Journal Article"&gt;17&lt;/ref-type&gt;&lt;contributors&gt;&lt;authors&gt;&lt;author&gt;Winton, Andrew&lt;/author&gt;&lt;/authors&gt;&lt;/contributors&gt;&lt;titles&gt;&lt;title&gt;Don&amp;apos;t put all your eggs in one basket? Diversification and specialization in lending&lt;/title&gt;&lt;secondary-title&gt;Diversification and Specialization in Lending (September 27, 1999)&lt;/secondary-title&gt;&lt;/titles&gt;&lt;periodical&gt;&lt;full-title&gt;Diversification and Specialization in Lending (September 27, 1999)&lt;/full-title&gt;&lt;/periodical&gt;&lt;dates&gt;&lt;year&gt;1999&lt;/year&gt;&lt;/dates&gt;&lt;urls&gt;&lt;/urls&gt;&lt;/record&gt;&lt;/Cite&gt;&lt;/EndNote&gt;</w:instrText>
      </w:r>
      <w:r w:rsidR="00BF28BF">
        <w:rPr>
          <w:rFonts w:eastAsiaTheme="minorHAnsi" w:cs="Times New Roman"/>
          <w:szCs w:val="24"/>
        </w:rPr>
        <w:fldChar w:fldCharType="separate"/>
      </w:r>
      <w:hyperlink w:anchor="_ENREF_101" w:tooltip="Winton, 1999 #119" w:history="1">
        <w:r w:rsidR="005B6334">
          <w:rPr>
            <w:rFonts w:eastAsiaTheme="minorHAnsi" w:cs="Times New Roman"/>
            <w:noProof/>
            <w:szCs w:val="24"/>
          </w:rPr>
          <w:t>Winton (1999</w:t>
        </w:r>
      </w:hyperlink>
      <w:r w:rsidR="00BF28BF">
        <w:rPr>
          <w:rFonts w:eastAsiaTheme="minorHAnsi" w:cs="Times New Roman"/>
          <w:noProof/>
          <w:szCs w:val="24"/>
        </w:rPr>
        <w:t>)</w:t>
      </w:r>
      <w:r w:rsidR="00BF28BF">
        <w:rPr>
          <w:rFonts w:eastAsiaTheme="minorHAnsi" w:cs="Times New Roman"/>
          <w:szCs w:val="24"/>
        </w:rPr>
        <w:fldChar w:fldCharType="end"/>
      </w:r>
      <w:r w:rsidRPr="008D56E0">
        <w:rPr>
          <w:rFonts w:eastAsiaTheme="minorHAnsi" w:cs="Times New Roman"/>
          <w:szCs w:val="24"/>
        </w:rPr>
        <w:t xml:space="preserve"> shows that banks benefit from specialisation due to more effective monitoring</w:t>
      </w:r>
      <w:r>
        <w:rPr>
          <w:rFonts w:eastAsiaTheme="minorHAnsi" w:cs="Times New Roman"/>
          <w:szCs w:val="24"/>
        </w:rPr>
        <w:t xml:space="preserve"> of borrowers,</w:t>
      </w:r>
      <w:r w:rsidRPr="008D56E0">
        <w:rPr>
          <w:rFonts w:eastAsiaTheme="minorHAnsi" w:cs="Times New Roman"/>
          <w:szCs w:val="24"/>
        </w:rPr>
        <w:t xml:space="preserve"> leading to decre</w:t>
      </w:r>
      <w:r w:rsidR="00C14C97">
        <w:rPr>
          <w:rFonts w:eastAsiaTheme="minorHAnsi" w:cs="Times New Roman"/>
          <w:szCs w:val="24"/>
        </w:rPr>
        <w:t xml:space="preserve">ased adverse selection costs. Empirical support </w:t>
      </w:r>
      <w:r w:rsidR="00A271EF">
        <w:rPr>
          <w:rFonts w:eastAsiaTheme="minorHAnsi" w:cs="Times New Roman"/>
          <w:szCs w:val="24"/>
        </w:rPr>
        <w:t>for</w:t>
      </w:r>
      <w:r w:rsidR="00C14C97">
        <w:rPr>
          <w:rFonts w:eastAsiaTheme="minorHAnsi" w:cs="Times New Roman"/>
          <w:szCs w:val="24"/>
        </w:rPr>
        <w:t xml:space="preserve"> these claims is provided by </w:t>
      </w:r>
      <w:r w:rsidR="00BF28BF">
        <w:rPr>
          <w:rFonts w:eastAsiaTheme="minorHAnsi" w:cs="Times New Roman"/>
          <w:szCs w:val="24"/>
        </w:rPr>
        <w:fldChar w:fldCharType="begin"/>
      </w:r>
      <w:r w:rsidR="003A641D">
        <w:rPr>
          <w:rFonts w:eastAsiaTheme="minorHAnsi" w:cs="Times New Roman"/>
          <w:szCs w:val="24"/>
        </w:rPr>
        <w:instrText xml:space="preserve"> ADDIN EN.CITE &lt;EndNote&gt;&lt;Cite AuthorYear="1"&gt;&lt;Author&gt;Acharya&lt;/Author&gt;&lt;Year&gt;2006&lt;/Year&gt;&lt;RecNum&gt;120&lt;/RecNum&gt;&lt;DisplayText&gt;Acharya&lt;style face="italic"&gt; et al.&lt;/style&gt; (2006)&lt;/DisplayText&gt;&lt;record&gt;&lt;rec-number&gt;120&lt;/rec-number&gt;&lt;foreign-keys&gt;&lt;key app="EN" db-id="xpprp0f0rzw05ved0s9xwzaqtxz0v9sfawwv"&gt;120&lt;/key&gt;&lt;/foreign-keys&gt;&lt;ref-type name="Journal Article"&gt;17&lt;/ref-type&gt;&lt;contributors&gt;&lt;authors&gt;&lt;author&gt;Acharya, Viral V&lt;/author&gt;&lt;author&gt;Hasan, Iftekhar&lt;/author&gt;&lt;author&gt;Saunders, Anthony&lt;/author&gt;&lt;/authors&gt;&lt;/contributors&gt;&lt;titles&gt;&lt;title&gt;Should Banks Be Diversified? Evidence from Individual Bank Loan Portfolios&lt;/title&gt;&lt;secondary-title&gt;The Journal of Business&lt;/secondary-title&gt;&lt;/titles&gt;&lt;periodical&gt;&lt;full-title&gt;The Journal of Business&lt;/full-title&gt;&lt;/periodical&gt;&lt;pages&gt;1355-1412&lt;/pages&gt;&lt;volume&gt;79&lt;/volume&gt;&lt;number&gt;3&lt;/number&gt;&lt;dates&gt;&lt;year&gt;2006&lt;/year&gt;&lt;/dates&gt;&lt;urls&gt;&lt;/urls&gt;&lt;/record&gt;&lt;/Cite&gt;&lt;/EndNote&gt;</w:instrText>
      </w:r>
      <w:r w:rsidR="00BF28BF">
        <w:rPr>
          <w:rFonts w:eastAsiaTheme="minorHAnsi" w:cs="Times New Roman"/>
          <w:szCs w:val="24"/>
        </w:rPr>
        <w:fldChar w:fldCharType="separate"/>
      </w:r>
      <w:hyperlink w:anchor="_ENREF_1" w:tooltip="Acharya, 2006 #120" w:history="1">
        <w:r w:rsidR="005B6334">
          <w:rPr>
            <w:rFonts w:eastAsiaTheme="minorHAnsi" w:cs="Times New Roman"/>
            <w:noProof/>
            <w:szCs w:val="24"/>
          </w:rPr>
          <w:t>Acharya</w:t>
        </w:r>
        <w:r w:rsidR="005B6334" w:rsidRPr="00C14C97">
          <w:rPr>
            <w:rFonts w:eastAsiaTheme="minorHAnsi" w:cs="Times New Roman"/>
            <w:i/>
            <w:noProof/>
            <w:szCs w:val="24"/>
          </w:rPr>
          <w:t xml:space="preserve"> et al.</w:t>
        </w:r>
        <w:r w:rsidR="005B6334">
          <w:rPr>
            <w:rFonts w:eastAsiaTheme="minorHAnsi" w:cs="Times New Roman"/>
            <w:noProof/>
            <w:szCs w:val="24"/>
          </w:rPr>
          <w:t xml:space="preserve"> (2006</w:t>
        </w:r>
      </w:hyperlink>
      <w:r w:rsidR="00BF28BF">
        <w:rPr>
          <w:rFonts w:eastAsiaTheme="minorHAnsi" w:cs="Times New Roman"/>
          <w:noProof/>
          <w:szCs w:val="24"/>
        </w:rPr>
        <w:t>)</w:t>
      </w:r>
      <w:r w:rsidR="00BF28BF">
        <w:rPr>
          <w:rFonts w:eastAsiaTheme="minorHAnsi" w:cs="Times New Roman"/>
          <w:szCs w:val="24"/>
        </w:rPr>
        <w:fldChar w:fldCharType="end"/>
      </w:r>
      <w:r w:rsidRPr="008D56E0">
        <w:rPr>
          <w:rFonts w:eastAsiaTheme="minorHAnsi" w:cs="Times New Roman"/>
          <w:szCs w:val="24"/>
        </w:rPr>
        <w:t xml:space="preserve"> </w:t>
      </w:r>
      <w:r w:rsidR="00C14C97">
        <w:rPr>
          <w:rFonts w:eastAsiaTheme="minorHAnsi" w:cs="Times New Roman"/>
          <w:szCs w:val="24"/>
        </w:rPr>
        <w:t xml:space="preserve">who show that </w:t>
      </w:r>
      <w:r w:rsidR="00BE7E1A">
        <w:rPr>
          <w:rFonts w:eastAsiaTheme="minorHAnsi" w:cs="Times New Roman"/>
          <w:szCs w:val="24"/>
        </w:rPr>
        <w:t xml:space="preserve">specialist </w:t>
      </w:r>
      <w:r w:rsidR="00C14C97">
        <w:rPr>
          <w:rFonts w:eastAsiaTheme="minorHAnsi" w:cs="Times New Roman"/>
          <w:szCs w:val="24"/>
        </w:rPr>
        <w:t>banks have higher returns and lower risk than diversified banks, due to improved information production and monitoring capabilities.</w:t>
      </w:r>
    </w:p>
    <w:p w:rsidR="00A271EF" w:rsidRDefault="000421D1" w:rsidP="003C0E38">
      <w:pPr>
        <w:rPr>
          <w:rFonts w:eastAsiaTheme="minorHAnsi"/>
        </w:rPr>
      </w:pPr>
      <w:r w:rsidRPr="008D56E0">
        <w:rPr>
          <w:rFonts w:eastAsiaTheme="minorHAnsi" w:cs="Times New Roman"/>
          <w:szCs w:val="24"/>
        </w:rPr>
        <w:t>The existence of bank industry specialisation is expected to occur in settings with high information</w:t>
      </w:r>
      <w:r w:rsidRPr="00801E71">
        <w:rPr>
          <w:rFonts w:eastAsiaTheme="minorHAnsi" w:cs="Times New Roman"/>
          <w:szCs w:val="24"/>
        </w:rPr>
        <w:t xml:space="preserve"> asymmetry </w:t>
      </w:r>
      <w:r w:rsidR="001B0127">
        <w:rPr>
          <w:rFonts w:eastAsiaTheme="minorHAnsi" w:cs="Times New Roman"/>
          <w:szCs w:val="24"/>
        </w:rPr>
        <w:fldChar w:fldCharType="begin"/>
      </w:r>
      <w:r w:rsidR="003A641D">
        <w:rPr>
          <w:rFonts w:eastAsiaTheme="minorHAnsi" w:cs="Times New Roman"/>
          <w:szCs w:val="24"/>
        </w:rPr>
        <w:instrText xml:space="preserve"> ADDIN EN.CITE &lt;EndNote&gt;&lt;Cite&gt;&lt;Author&gt;Bonaccorsi di Patti&lt;/Author&gt;&lt;Year&gt;2004&lt;/Year&gt;&lt;RecNum&gt;121&lt;/RecNum&gt;&lt;DisplayText&gt;(Bonaccorsi di Patti &amp;amp; Dell&amp;apos;Ariccia 2004)&lt;/DisplayText&gt;&lt;record&gt;&lt;rec-number&gt;121&lt;/rec-number&gt;&lt;foreign-keys&gt;&lt;key app="EN" db-id="xpprp0f0rzw05ved0s9xwzaqtxz0v9sfawwv"&gt;121&lt;/key&gt;&lt;/foreign-keys&gt;&lt;ref-type name="Journal Article"&gt;17&lt;/ref-type&gt;&lt;contributors&gt;&lt;authors&gt;&lt;author&gt;Bonaccorsi di Patti, Emilia&lt;/author&gt;&lt;author&gt;Dell&amp;apos;Ariccia, Giovanni&lt;/author&gt;&lt;/authors&gt;&lt;/contributors&gt;&lt;titles&gt;&lt;title&gt;Bank Competition and Firm Creation&lt;/title&gt;&lt;secondary-title&gt;Journal of Money, Credit, and Banking&lt;/secondary-title&gt;&lt;/titles&gt;&lt;periodical&gt;&lt;full-title&gt;Journal of Money, Credit, and Banking&lt;/full-title&gt;&lt;/periodical&gt;&lt;pages&gt;225-251&lt;/pages&gt;&lt;volume&gt;36&lt;/volume&gt;&lt;number&gt;2&lt;/number&gt;&lt;dates&gt;&lt;year&gt;2004&lt;/year&gt;&lt;/dates&gt;&lt;isbn&gt;1538-4616&lt;/isbn&gt;&lt;urls&gt;&lt;/urls&gt;&lt;/record&gt;&lt;/Cite&gt;&lt;/EndNote&gt;</w:instrText>
      </w:r>
      <w:r w:rsidR="001B0127">
        <w:rPr>
          <w:rFonts w:eastAsiaTheme="minorHAnsi" w:cs="Times New Roman"/>
          <w:szCs w:val="24"/>
        </w:rPr>
        <w:fldChar w:fldCharType="separate"/>
      </w:r>
      <w:r w:rsidR="004E3AD3">
        <w:rPr>
          <w:rFonts w:eastAsiaTheme="minorHAnsi" w:cs="Times New Roman"/>
          <w:noProof/>
          <w:szCs w:val="24"/>
        </w:rPr>
        <w:t>(</w:t>
      </w:r>
      <w:hyperlink w:anchor="_ENREF_14" w:tooltip="Bonaccorsi di Patti, 2004 #121" w:history="1">
        <w:r w:rsidR="005B6334">
          <w:rPr>
            <w:rFonts w:eastAsiaTheme="minorHAnsi" w:cs="Times New Roman"/>
            <w:noProof/>
            <w:szCs w:val="24"/>
          </w:rPr>
          <w:t>Bonaccorsi di Patti &amp; Dell'Ariccia 2004</w:t>
        </w:r>
      </w:hyperlink>
      <w:r w:rsidR="004E3AD3">
        <w:rPr>
          <w:rFonts w:eastAsiaTheme="minorHAnsi" w:cs="Times New Roman"/>
          <w:noProof/>
          <w:szCs w:val="24"/>
        </w:rPr>
        <w:t>)</w:t>
      </w:r>
      <w:r w:rsidR="001B0127">
        <w:rPr>
          <w:rFonts w:eastAsiaTheme="minorHAnsi" w:cs="Times New Roman"/>
          <w:szCs w:val="24"/>
        </w:rPr>
        <w:fldChar w:fldCharType="end"/>
      </w:r>
      <w:r>
        <w:rPr>
          <w:rFonts w:eastAsiaTheme="minorHAnsi" w:cs="Times New Roman"/>
          <w:szCs w:val="24"/>
        </w:rPr>
        <w:t xml:space="preserve">. High </w:t>
      </w:r>
      <w:r w:rsidRPr="00801E71">
        <w:rPr>
          <w:rFonts w:eastAsiaTheme="minorHAnsi" w:cs="Times New Roman"/>
          <w:szCs w:val="24"/>
        </w:rPr>
        <w:t>information asymmetry lead</w:t>
      </w:r>
      <w:r>
        <w:rPr>
          <w:rFonts w:eastAsiaTheme="minorHAnsi" w:cs="Times New Roman"/>
          <w:szCs w:val="24"/>
        </w:rPr>
        <w:t>s</w:t>
      </w:r>
      <w:r w:rsidRPr="008D56E0">
        <w:rPr>
          <w:rFonts w:eastAsiaTheme="minorHAnsi" w:cs="Times New Roman"/>
          <w:szCs w:val="24"/>
        </w:rPr>
        <w:t xml:space="preserve"> to banks carving out a captive market by overinvesting in information acquisition, enhancing lending efficiency and leading to excessive information production </w:t>
      </w:r>
      <w:r w:rsidR="001B0127">
        <w:rPr>
          <w:rFonts w:eastAsiaTheme="minorHAnsi" w:cs="Times New Roman"/>
          <w:szCs w:val="24"/>
        </w:rPr>
        <w:fldChar w:fldCharType="begin"/>
      </w:r>
      <w:r w:rsidR="003A641D">
        <w:rPr>
          <w:rFonts w:eastAsiaTheme="minorHAnsi" w:cs="Times New Roman"/>
          <w:szCs w:val="24"/>
        </w:rPr>
        <w:instrText xml:space="preserve"> ADDIN EN.CITE &lt;EndNote&gt;&lt;Cite&gt;&lt;Author&gt;Hauswald&lt;/Author&gt;&lt;Year&gt;2006&lt;/Year&gt;&lt;RecNum&gt;122&lt;/RecNum&gt;&lt;DisplayText&gt;(Hauswald &amp;amp; Marquez 2006)&lt;/DisplayText&gt;&lt;record&gt;&lt;rec-number&gt;122&lt;/rec-number&gt;&lt;foreign-keys&gt;&lt;key app="EN" db-id="xpprp0f0rzw05ved0s9xwzaqtxz0v9sfawwv"&gt;122&lt;/key&gt;&lt;/foreign-keys&gt;&lt;ref-type name="Journal Article"&gt;17&lt;/ref-type&gt;&lt;contributors&gt;&lt;authors&gt;&lt;author&gt;Hauswald, Robert&lt;/author&gt;&lt;author&gt;Marquez, Robert&lt;/author&gt;&lt;/authors&gt;&lt;/contributors&gt;&lt;titles&gt;&lt;title&gt;Competition and strategic information acquisition in credit markets&lt;/title&gt;&lt;secondary-title&gt;Review of financial studies&lt;/secondary-title&gt;&lt;/titles&gt;&lt;periodical&gt;&lt;full-title&gt;Review of financial studies&lt;/full-title&gt;&lt;/periodical&gt;&lt;pages&gt;967-1000&lt;/pages&gt;&lt;volume&gt;19&lt;/volume&gt;&lt;number&gt;3&lt;/number&gt;&lt;dates&gt;&lt;year&gt;2006&lt;/year&gt;&lt;/dates&gt;&lt;isbn&gt;0893-9454&lt;/isbn&gt;&lt;urls&gt;&lt;/urls&gt;&lt;/record&gt;&lt;/Cite&gt;&lt;/EndNote&gt;</w:instrText>
      </w:r>
      <w:r w:rsidR="001B0127">
        <w:rPr>
          <w:rFonts w:eastAsiaTheme="minorHAnsi" w:cs="Times New Roman"/>
          <w:szCs w:val="24"/>
        </w:rPr>
        <w:fldChar w:fldCharType="separate"/>
      </w:r>
      <w:r w:rsidR="00611508">
        <w:rPr>
          <w:rFonts w:eastAsiaTheme="minorHAnsi" w:cs="Times New Roman"/>
          <w:noProof/>
          <w:szCs w:val="24"/>
        </w:rPr>
        <w:t>(</w:t>
      </w:r>
      <w:hyperlink w:anchor="_ENREF_57" w:tooltip="Hauswald, 2006 #122" w:history="1">
        <w:r w:rsidR="005B6334">
          <w:rPr>
            <w:rFonts w:eastAsiaTheme="minorHAnsi" w:cs="Times New Roman"/>
            <w:noProof/>
            <w:szCs w:val="24"/>
          </w:rPr>
          <w:t>Hauswald &amp; Marquez 2006</w:t>
        </w:r>
      </w:hyperlink>
      <w:r w:rsidR="00611508">
        <w:rPr>
          <w:rFonts w:eastAsiaTheme="minorHAnsi" w:cs="Times New Roman"/>
          <w:noProof/>
          <w:szCs w:val="24"/>
        </w:rPr>
        <w:t>)</w:t>
      </w:r>
      <w:r w:rsidR="001B0127">
        <w:rPr>
          <w:rFonts w:eastAsiaTheme="minorHAnsi" w:cs="Times New Roman"/>
          <w:szCs w:val="24"/>
        </w:rPr>
        <w:fldChar w:fldCharType="end"/>
      </w:r>
      <w:r w:rsidRPr="008D56E0">
        <w:rPr>
          <w:rFonts w:eastAsiaTheme="minorHAnsi" w:cs="Times New Roman"/>
          <w:szCs w:val="24"/>
        </w:rPr>
        <w:t xml:space="preserve">. </w:t>
      </w:r>
      <w:r>
        <w:rPr>
          <w:rFonts w:eastAsiaTheme="minorHAnsi" w:cs="Times New Roman"/>
          <w:szCs w:val="24"/>
        </w:rPr>
        <w:t>Thus, t</w:t>
      </w:r>
      <w:r w:rsidRPr="008D56E0">
        <w:rPr>
          <w:rFonts w:eastAsiaTheme="minorHAnsi" w:cs="Times New Roman"/>
          <w:szCs w:val="24"/>
        </w:rPr>
        <w:t xml:space="preserve">he </w:t>
      </w:r>
      <w:r>
        <w:rPr>
          <w:rFonts w:eastAsiaTheme="minorHAnsi" w:cs="Times New Roman"/>
          <w:szCs w:val="24"/>
        </w:rPr>
        <w:t xml:space="preserve">Australian </w:t>
      </w:r>
      <w:r w:rsidR="00BE7E1A">
        <w:rPr>
          <w:rFonts w:eastAsiaTheme="minorHAnsi" w:cs="Times New Roman"/>
          <w:szCs w:val="24"/>
        </w:rPr>
        <w:t xml:space="preserve">MDSE </w:t>
      </w:r>
      <w:r w:rsidRPr="008D56E0">
        <w:rPr>
          <w:rFonts w:eastAsiaTheme="minorHAnsi" w:cs="Times New Roman"/>
          <w:szCs w:val="24"/>
        </w:rPr>
        <w:t xml:space="preserve">setting </w:t>
      </w:r>
      <w:r>
        <w:rPr>
          <w:rFonts w:eastAsiaTheme="minorHAnsi" w:cs="Times New Roman"/>
          <w:szCs w:val="24"/>
        </w:rPr>
        <w:t xml:space="preserve">is ideal </w:t>
      </w:r>
      <w:r w:rsidRPr="008D56E0">
        <w:rPr>
          <w:rFonts w:eastAsiaTheme="minorHAnsi" w:cs="Times New Roman"/>
          <w:szCs w:val="24"/>
        </w:rPr>
        <w:t>to test for the effects of banking industry specialisation</w:t>
      </w:r>
      <w:r w:rsidR="00611508">
        <w:rPr>
          <w:rFonts w:eastAsiaTheme="minorHAnsi" w:cs="Times New Roman"/>
          <w:szCs w:val="24"/>
        </w:rPr>
        <w:t xml:space="preserve"> due to the high level of information asymmetry </w:t>
      </w:r>
      <w:r w:rsidR="00D8551E">
        <w:rPr>
          <w:rFonts w:eastAsiaTheme="minorHAnsi" w:cs="Times New Roman"/>
          <w:szCs w:val="24"/>
        </w:rPr>
        <w:t xml:space="preserve">and specialist geological knowledge required to </w:t>
      </w:r>
      <w:r w:rsidR="0073387A">
        <w:rPr>
          <w:rFonts w:eastAsiaTheme="minorHAnsi" w:cs="Times New Roman"/>
          <w:szCs w:val="24"/>
        </w:rPr>
        <w:t>understand a mining project</w:t>
      </w:r>
      <w:r w:rsidR="00611508">
        <w:rPr>
          <w:rFonts w:eastAsiaTheme="minorHAnsi" w:cs="Times New Roman"/>
          <w:szCs w:val="24"/>
        </w:rPr>
        <w:t>.</w:t>
      </w:r>
      <w:r>
        <w:rPr>
          <w:rFonts w:eastAsiaTheme="minorHAnsi" w:cs="Times New Roman"/>
          <w:szCs w:val="24"/>
        </w:rPr>
        <w:t xml:space="preserve"> </w:t>
      </w:r>
      <w:r w:rsidR="00BE7E1A">
        <w:rPr>
          <w:rFonts w:eastAsiaTheme="minorHAnsi" w:cs="Times New Roman"/>
          <w:szCs w:val="24"/>
        </w:rPr>
        <w:t>Anecdotal e</w:t>
      </w:r>
      <w:r w:rsidR="00BE7E1A" w:rsidRPr="008D56E0">
        <w:rPr>
          <w:rFonts w:eastAsiaTheme="minorHAnsi" w:cs="Times New Roman"/>
          <w:szCs w:val="24"/>
        </w:rPr>
        <w:t>vidence support</w:t>
      </w:r>
      <w:r w:rsidR="00BE7E1A">
        <w:rPr>
          <w:rFonts w:eastAsiaTheme="minorHAnsi" w:cs="Times New Roman"/>
          <w:szCs w:val="24"/>
        </w:rPr>
        <w:t>s</w:t>
      </w:r>
      <w:r w:rsidR="00BE7E1A" w:rsidRPr="008D56E0">
        <w:rPr>
          <w:rFonts w:eastAsiaTheme="minorHAnsi" w:cs="Times New Roman"/>
          <w:szCs w:val="24"/>
        </w:rPr>
        <w:t xml:space="preserve"> the existence of banking industry specialisation within the mining industry</w:t>
      </w:r>
      <w:r w:rsidR="00BE7E1A">
        <w:rPr>
          <w:rFonts w:eastAsiaTheme="minorHAnsi" w:cs="Times New Roman"/>
          <w:szCs w:val="24"/>
        </w:rPr>
        <w:t xml:space="preserve"> in Australia.</w:t>
      </w:r>
      <w:r w:rsidR="00BE7E1A">
        <w:rPr>
          <w:rStyle w:val="FootnoteReference"/>
          <w:rFonts w:eastAsiaTheme="minorHAnsi" w:cs="Times New Roman"/>
          <w:szCs w:val="24"/>
        </w:rPr>
        <w:footnoteReference w:id="5"/>
      </w:r>
      <w:r w:rsidR="00BE7E1A">
        <w:rPr>
          <w:rFonts w:eastAsiaTheme="minorHAnsi" w:cs="Times New Roman"/>
          <w:szCs w:val="24"/>
        </w:rPr>
        <w:t xml:space="preserve"> </w:t>
      </w:r>
      <w:r w:rsidR="003C0E38">
        <w:rPr>
          <w:rFonts w:eastAsiaTheme="minorHAnsi" w:cs="Times New Roman"/>
          <w:szCs w:val="24"/>
        </w:rPr>
        <w:t>W</w:t>
      </w:r>
      <w:r w:rsidR="00E76CBC">
        <w:rPr>
          <w:rFonts w:eastAsiaTheme="minorHAnsi" w:cs="Times New Roman"/>
          <w:szCs w:val="24"/>
        </w:rPr>
        <w:t>e</w:t>
      </w:r>
      <w:r w:rsidR="00D63A41">
        <w:rPr>
          <w:rFonts w:eastAsiaTheme="minorHAnsi" w:cs="Times New Roman"/>
          <w:szCs w:val="24"/>
        </w:rPr>
        <w:t xml:space="preserve"> predict that specialist lenders will signal more private information to outside investors </w:t>
      </w:r>
      <w:r w:rsidR="00BE7E1A">
        <w:rPr>
          <w:rFonts w:eastAsiaTheme="minorHAnsi" w:cs="Times New Roman"/>
          <w:szCs w:val="24"/>
        </w:rPr>
        <w:t xml:space="preserve">leading to </w:t>
      </w:r>
      <w:r w:rsidR="00D63A41">
        <w:rPr>
          <w:rFonts w:eastAsiaTheme="minorHAnsi" w:cs="Times New Roman"/>
          <w:szCs w:val="24"/>
        </w:rPr>
        <w:t>higher</w:t>
      </w:r>
      <w:r>
        <w:rPr>
          <w:rFonts w:eastAsiaTheme="minorHAnsi" w:cs="Times New Roman"/>
          <w:szCs w:val="24"/>
        </w:rPr>
        <w:t xml:space="preserve"> </w:t>
      </w:r>
      <w:r w:rsidRPr="008D56E0">
        <w:rPr>
          <w:rFonts w:eastAsiaTheme="minorHAnsi" w:cs="Times New Roman"/>
          <w:szCs w:val="24"/>
        </w:rPr>
        <w:t>bank loan announcement returns</w:t>
      </w:r>
      <w:r w:rsidR="00D63A41">
        <w:rPr>
          <w:rFonts w:eastAsiaTheme="minorHAnsi" w:cs="Times New Roman"/>
          <w:szCs w:val="24"/>
        </w:rPr>
        <w:t>.</w:t>
      </w:r>
      <w:r w:rsidR="00E76CBC">
        <w:rPr>
          <w:rFonts w:eastAsiaTheme="minorHAnsi" w:cs="Times New Roman"/>
          <w:szCs w:val="24"/>
        </w:rPr>
        <w:t xml:space="preserve"> </w:t>
      </w:r>
      <w:r w:rsidR="00A271EF">
        <w:rPr>
          <w:rFonts w:eastAsiaTheme="minorHAnsi"/>
        </w:rPr>
        <w:t>This hypothesis can be formally stated as:</w:t>
      </w:r>
    </w:p>
    <w:p w:rsidR="004E3CD2" w:rsidRPr="004E3CD2" w:rsidRDefault="0012699C" w:rsidP="007B1D53">
      <w:pPr>
        <w:spacing w:before="240"/>
        <w:rPr>
          <w:rFonts w:eastAsiaTheme="minorHAnsi" w:cs="Times New Roman"/>
          <w:i/>
          <w:szCs w:val="24"/>
        </w:rPr>
      </w:pPr>
      <w:r>
        <w:rPr>
          <w:rFonts w:eastAsiaTheme="minorHAnsi" w:cs="Times New Roman"/>
          <w:b/>
          <w:szCs w:val="24"/>
        </w:rPr>
        <w:lastRenderedPageBreak/>
        <w:t>H3</w:t>
      </w:r>
      <w:r w:rsidR="00A271EF" w:rsidRPr="00524E7B">
        <w:rPr>
          <w:rFonts w:eastAsiaTheme="minorHAnsi" w:cs="Times New Roman"/>
          <w:b/>
          <w:szCs w:val="24"/>
        </w:rPr>
        <w:t xml:space="preserve">: </w:t>
      </w:r>
      <w:r w:rsidR="00A271EF">
        <w:rPr>
          <w:rFonts w:eastAsiaTheme="minorHAnsi" w:cs="Times New Roman"/>
          <w:i/>
          <w:szCs w:val="24"/>
        </w:rPr>
        <w:t xml:space="preserve">Firms that receive loans from an industry specialist </w:t>
      </w:r>
      <w:r w:rsidR="00A271EF" w:rsidRPr="00524E7B">
        <w:rPr>
          <w:rFonts w:eastAsiaTheme="minorHAnsi" w:cs="Times New Roman"/>
          <w:i/>
          <w:szCs w:val="24"/>
        </w:rPr>
        <w:t>will have higher abnormal bank loan announcement ret</w:t>
      </w:r>
      <w:r w:rsidR="00A271EF">
        <w:rPr>
          <w:rFonts w:eastAsiaTheme="minorHAnsi" w:cs="Times New Roman"/>
          <w:i/>
          <w:szCs w:val="24"/>
        </w:rPr>
        <w:t>urns relative to loans received from non-industry-specialist</w:t>
      </w:r>
      <w:r w:rsidR="007B1D53">
        <w:rPr>
          <w:rFonts w:eastAsiaTheme="minorHAnsi" w:cs="Times New Roman"/>
          <w:i/>
          <w:szCs w:val="24"/>
        </w:rPr>
        <w:t>s</w:t>
      </w:r>
      <w:r w:rsidR="00A271EF">
        <w:rPr>
          <w:rFonts w:eastAsiaTheme="minorHAnsi" w:cs="Times New Roman"/>
          <w:i/>
          <w:szCs w:val="24"/>
        </w:rPr>
        <w:t>.</w:t>
      </w:r>
    </w:p>
    <w:p w:rsidR="00056727" w:rsidRDefault="00056727" w:rsidP="00056727">
      <w:pPr>
        <w:pStyle w:val="Heading1"/>
      </w:pPr>
      <w:bookmarkStart w:id="4" w:name="_Toc379787279"/>
      <w:r>
        <w:t>Research Design</w:t>
      </w:r>
      <w:bookmarkEnd w:id="4"/>
    </w:p>
    <w:p w:rsidR="00056727" w:rsidRPr="00C6573E" w:rsidRDefault="00573181" w:rsidP="00C6573E">
      <w:pPr>
        <w:pStyle w:val="Heading2"/>
      </w:pPr>
      <w:bookmarkStart w:id="5" w:name="_Ref378224816"/>
      <w:bookmarkStart w:id="6" w:name="_Toc379787280"/>
      <w:r w:rsidRPr="00C6573E">
        <w:t>Sample &amp; d</w:t>
      </w:r>
      <w:r w:rsidR="00056727" w:rsidRPr="00C6573E">
        <w:t>ata</w:t>
      </w:r>
      <w:bookmarkEnd w:id="5"/>
      <w:bookmarkEnd w:id="6"/>
    </w:p>
    <w:p w:rsidR="001B3452" w:rsidRDefault="00575790" w:rsidP="00E76CBC">
      <w:pPr>
        <w:pStyle w:val="NoSpacing"/>
        <w:rPr>
          <w:szCs w:val="24"/>
        </w:rPr>
      </w:pPr>
      <w:r>
        <w:t>This study draws on a sample of l</w:t>
      </w:r>
      <w:r w:rsidR="00E76CBC">
        <w:t>isted Australian</w:t>
      </w:r>
      <w:r w:rsidR="003C0E38">
        <w:t xml:space="preserve"> MDSE</w:t>
      </w:r>
      <w:r w:rsidR="004E3CD2">
        <w:t>s</w:t>
      </w:r>
      <w:r w:rsidR="00E76CBC">
        <w:t xml:space="preserve">. </w:t>
      </w:r>
      <w:r w:rsidR="005B1D2E">
        <w:t xml:space="preserve">The sample period used for this </w:t>
      </w:r>
      <w:r w:rsidR="00A93B98">
        <w:t>study</w:t>
      </w:r>
      <w:r w:rsidR="005B1D2E">
        <w:t xml:space="preserve"> spans September 1998 to </w:t>
      </w:r>
      <w:r w:rsidR="00E70B91">
        <w:t>July</w:t>
      </w:r>
      <w:r w:rsidR="00EE4AAB">
        <w:t xml:space="preserve"> 201</w:t>
      </w:r>
      <w:r w:rsidR="00E70B91">
        <w:t>3</w:t>
      </w:r>
      <w:r w:rsidR="00C00CCB">
        <w:t>.</w:t>
      </w:r>
      <w:r w:rsidR="001C4D1E">
        <w:rPr>
          <w:rStyle w:val="FootnoteReference"/>
        </w:rPr>
        <w:footnoteReference w:id="6"/>
      </w:r>
      <w:r w:rsidR="00C00CCB">
        <w:t xml:space="preserve"> </w:t>
      </w:r>
      <w:r w:rsidR="0050756E">
        <w:t>Text searches of ASX announcements serve</w:t>
      </w:r>
      <w:r w:rsidR="0050756E" w:rsidRPr="00AA054D">
        <w:t xml:space="preserve"> as t</w:t>
      </w:r>
      <w:r w:rsidR="0050756E">
        <w:t>he primary source of bank loan announcement identification.</w:t>
      </w:r>
      <w:r w:rsidR="00E76CBC">
        <w:t xml:space="preserve"> </w:t>
      </w:r>
      <w:r w:rsidR="00B1564F">
        <w:t>The characteristics of each announced loan are hand collected from the bank loan announcement document</w:t>
      </w:r>
      <w:r w:rsidR="004E3CD2">
        <w:t>s</w:t>
      </w:r>
      <w:r w:rsidR="00B1564F">
        <w:t xml:space="preserve">. </w:t>
      </w:r>
      <w:r w:rsidR="00434E90">
        <w:t xml:space="preserve">Capital market data such as </w:t>
      </w:r>
      <w:r w:rsidR="002D5BFF">
        <w:t>d</w:t>
      </w:r>
      <w:r w:rsidR="00177CC3" w:rsidRPr="00FA747B">
        <w:t>a</w:t>
      </w:r>
      <w:r w:rsidR="006D4165">
        <w:t>ily price</w:t>
      </w:r>
      <w:r w:rsidR="00177CC3" w:rsidRPr="00FA747B">
        <w:t>, bid, ask</w:t>
      </w:r>
      <w:proofErr w:type="gramStart"/>
      <w:r w:rsidR="00177CC3" w:rsidRPr="00FA747B">
        <w:t>,</w:t>
      </w:r>
      <w:proofErr w:type="gramEnd"/>
      <w:r w:rsidR="00177CC3" w:rsidRPr="00FA747B">
        <w:t xml:space="preserve"> volum</w:t>
      </w:r>
      <w:r w:rsidR="007E3A1D">
        <w:t xml:space="preserve">e and market capitalisation </w:t>
      </w:r>
      <w:r w:rsidR="00D9790C">
        <w:t>is</w:t>
      </w:r>
      <w:r w:rsidR="00177CC3" w:rsidRPr="00FA747B">
        <w:t xml:space="preserve"> obtained</w:t>
      </w:r>
      <w:r w:rsidR="00177CC3">
        <w:t xml:space="preserve"> from </w:t>
      </w:r>
      <w:proofErr w:type="spellStart"/>
      <w:r w:rsidR="00177CC3">
        <w:t>Datasteam</w:t>
      </w:r>
      <w:proofErr w:type="spellEnd"/>
      <w:r w:rsidR="00177CC3" w:rsidRPr="00FA747B">
        <w:t xml:space="preserve">. Firm level financial data </w:t>
      </w:r>
      <w:r w:rsidR="007E3A1D">
        <w:t>is</w:t>
      </w:r>
      <w:r w:rsidR="00B1564F">
        <w:t xml:space="preserve"> obtained from Aspect Huntley</w:t>
      </w:r>
      <w:r w:rsidR="00177CC3">
        <w:t xml:space="preserve">. </w:t>
      </w:r>
      <w:r w:rsidR="00177CC3" w:rsidRPr="00CC081E">
        <w:rPr>
          <w:szCs w:val="24"/>
        </w:rPr>
        <w:t>Analyst information is extracted from the Institutional Brokers' Estimate System (I/B/E/S)</w:t>
      </w:r>
      <w:r w:rsidR="00177CC3">
        <w:rPr>
          <w:szCs w:val="24"/>
        </w:rPr>
        <w:t>.</w:t>
      </w:r>
    </w:p>
    <w:p w:rsidR="0056081D" w:rsidRDefault="0056081D" w:rsidP="0056081D">
      <w:r w:rsidRPr="007E2948">
        <w:fldChar w:fldCharType="begin"/>
      </w:r>
      <w:r w:rsidRPr="007E2948">
        <w:instrText xml:space="preserve"> REF _Ref377996056 \h  \* MERGEFORMAT </w:instrText>
      </w:r>
      <w:r w:rsidRPr="007E2948">
        <w:fldChar w:fldCharType="separate"/>
      </w:r>
      <w:r w:rsidR="0089071A" w:rsidRPr="00F521A0">
        <w:t>Table</w:t>
      </w:r>
      <w:r w:rsidR="0089071A">
        <w:t xml:space="preserve"> </w:t>
      </w:r>
      <w:r w:rsidRPr="007E2948">
        <w:fldChar w:fldCharType="end"/>
      </w:r>
      <w:r w:rsidRPr="007E2948">
        <w:t xml:space="preserve"> displays the sample size of </w:t>
      </w:r>
      <w:r w:rsidR="004E3CD2">
        <w:t xml:space="preserve">both </w:t>
      </w:r>
      <w:r w:rsidRPr="007E2948">
        <w:t>initial and subsequent loan announcements. An initial loan is defined</w:t>
      </w:r>
      <w:r>
        <w:t xml:space="preserve"> as a loan issued by a zero-leverage firm initiating its first debt position. A subsequent loan is defined as a loan issued to a firm who has a positive debt level prior to the loan announcement. A total of 216 initial loan announcements and 191 subsequent loan announcements are identified in the period 1998 to 2013.</w:t>
      </w:r>
      <w:r>
        <w:rPr>
          <w:rStyle w:val="FootnoteReference"/>
        </w:rPr>
        <w:footnoteReference w:id="7"/>
      </w:r>
      <w:r>
        <w:t xml:space="preserve"> These announcements are made by 126 and 96 unique companies respectively.</w:t>
      </w:r>
      <w:r>
        <w:rPr>
          <w:rStyle w:val="FootnoteReference"/>
        </w:rPr>
        <w:footnoteReference w:id="8"/>
      </w:r>
    </w:p>
    <w:p w:rsidR="00255AE9" w:rsidRPr="00C6573E" w:rsidRDefault="007B46B9" w:rsidP="00C6573E">
      <w:pPr>
        <w:pStyle w:val="Heading2"/>
      </w:pPr>
      <w:bookmarkStart w:id="7" w:name="_Toc379787285"/>
      <w:r w:rsidRPr="00C6573E">
        <w:t>Loan announcement returns</w:t>
      </w:r>
      <w:bookmarkEnd w:id="7"/>
    </w:p>
    <w:p w:rsidR="00FD22DC" w:rsidRDefault="00BF0E2B" w:rsidP="00D151A2">
      <w:pPr>
        <w:pStyle w:val="NoSpacing"/>
        <w:rPr>
          <w:lang w:val="en-NZ"/>
        </w:rPr>
      </w:pPr>
      <w:r>
        <w:rPr>
          <w:lang w:val="en-NZ"/>
        </w:rPr>
        <w:t>A</w:t>
      </w:r>
      <w:r w:rsidR="00FD22DC" w:rsidRPr="00053BED">
        <w:rPr>
          <w:lang w:val="en-NZ"/>
        </w:rPr>
        <w:t>bnormal return</w:t>
      </w:r>
      <w:r w:rsidR="00E43F4B">
        <w:rPr>
          <w:lang w:val="en-NZ"/>
        </w:rPr>
        <w:t>s</w:t>
      </w:r>
      <w:r>
        <w:rPr>
          <w:lang w:val="en-NZ"/>
        </w:rPr>
        <w:t xml:space="preserve"> are calculated</w:t>
      </w:r>
      <w:r w:rsidR="00FD22DC" w:rsidRPr="00053BED">
        <w:rPr>
          <w:lang w:val="en-NZ"/>
        </w:rPr>
        <w:t xml:space="preserve"> as:</w:t>
      </w:r>
    </w:p>
    <w:p w:rsidR="00FD22DC" w:rsidRDefault="000A24D2" w:rsidP="00BD3BD6">
      <w:pPr>
        <w:ind w:firstLine="0"/>
        <w:rPr>
          <w:rFonts w:cs="Times New Roman"/>
          <w:szCs w:val="24"/>
          <w:lang w:val="en-NZ"/>
        </w:rPr>
      </w:pPr>
      <m:oMath>
        <m:sSub>
          <m:sSubPr>
            <m:ctrlPr>
              <w:rPr>
                <w:rFonts w:ascii="Cambria Math" w:hAnsi="Cambria Math" w:cs="Times New Roman"/>
                <w:i/>
                <w:szCs w:val="24"/>
                <w:lang w:val="en-NZ"/>
              </w:rPr>
            </m:ctrlPr>
          </m:sSubPr>
          <m:e>
            <m:r>
              <w:rPr>
                <w:rFonts w:ascii="Cambria Math" w:hAnsi="Cambria Math" w:cs="Times New Roman"/>
                <w:szCs w:val="24"/>
                <w:lang w:val="en-NZ"/>
              </w:rPr>
              <m:t>AR</m:t>
            </m:r>
          </m:e>
          <m:sub>
            <m:r>
              <w:rPr>
                <w:rFonts w:ascii="Cambria Math" w:hAnsi="Cambria Math" w:cs="Times New Roman"/>
                <w:szCs w:val="24"/>
                <w:lang w:val="en-NZ"/>
              </w:rPr>
              <m:t>i,  t</m:t>
            </m:r>
          </m:sub>
        </m:sSub>
        <m:r>
          <w:rPr>
            <w:rFonts w:ascii="Cambria Math" w:hAnsi="Cambria Math" w:cs="Times New Roman"/>
            <w:szCs w:val="24"/>
            <w:lang w:val="en-NZ"/>
          </w:rPr>
          <m:t>= ln</m:t>
        </m:r>
        <m:d>
          <m:dPr>
            <m:begChr m:val="["/>
            <m:endChr m:val="]"/>
            <m:ctrlPr>
              <w:rPr>
                <w:rFonts w:ascii="Cambria Math" w:hAnsi="Cambria Math" w:cs="Times New Roman"/>
                <w:i/>
                <w:szCs w:val="24"/>
                <w:lang w:val="en-NZ"/>
              </w:rPr>
            </m:ctrlPr>
          </m:dPr>
          <m:e>
            <m:f>
              <m:fPr>
                <m:ctrlPr>
                  <w:rPr>
                    <w:rFonts w:ascii="Cambria Math" w:hAnsi="Cambria Math" w:cs="Times New Roman"/>
                    <w:i/>
                    <w:szCs w:val="24"/>
                    <w:lang w:val="en-NZ"/>
                  </w:rPr>
                </m:ctrlPr>
              </m:fPr>
              <m:num>
                <m:sSub>
                  <m:sSubPr>
                    <m:ctrlPr>
                      <w:rPr>
                        <w:rFonts w:ascii="Cambria Math" w:hAnsi="Cambria Math" w:cs="Times New Roman"/>
                        <w:i/>
                        <w:szCs w:val="24"/>
                        <w:lang w:val="en-NZ"/>
                      </w:rPr>
                    </m:ctrlPr>
                  </m:sSubPr>
                  <m:e>
                    <m:r>
                      <w:rPr>
                        <w:rFonts w:ascii="Cambria Math" w:hAnsi="Cambria Math" w:cs="Times New Roman"/>
                        <w:szCs w:val="24"/>
                        <w:lang w:val="en-NZ"/>
                      </w:rPr>
                      <m:t>P</m:t>
                    </m:r>
                  </m:e>
                  <m:sub>
                    <m:r>
                      <w:rPr>
                        <w:rFonts w:ascii="Cambria Math" w:hAnsi="Cambria Math" w:cs="Times New Roman"/>
                        <w:szCs w:val="24"/>
                        <w:lang w:val="en-NZ"/>
                      </w:rPr>
                      <m:t>i,t</m:t>
                    </m:r>
                  </m:sub>
                </m:sSub>
              </m:num>
              <m:den>
                <m:sSub>
                  <m:sSubPr>
                    <m:ctrlPr>
                      <w:rPr>
                        <w:rFonts w:ascii="Cambria Math" w:hAnsi="Cambria Math" w:cs="Times New Roman"/>
                        <w:i/>
                        <w:szCs w:val="24"/>
                        <w:lang w:val="en-NZ"/>
                      </w:rPr>
                    </m:ctrlPr>
                  </m:sSubPr>
                  <m:e>
                    <m:r>
                      <w:rPr>
                        <w:rFonts w:ascii="Cambria Math" w:hAnsi="Cambria Math" w:cs="Times New Roman"/>
                        <w:szCs w:val="24"/>
                        <w:lang w:val="en-NZ"/>
                      </w:rPr>
                      <m:t>P</m:t>
                    </m:r>
                  </m:e>
                  <m:sub>
                    <m:r>
                      <w:rPr>
                        <w:rFonts w:ascii="Cambria Math" w:hAnsi="Cambria Math" w:cs="Times New Roman"/>
                        <w:szCs w:val="24"/>
                        <w:lang w:val="en-NZ"/>
                      </w:rPr>
                      <m:t>i,t-1</m:t>
                    </m:r>
                  </m:sub>
                </m:sSub>
              </m:den>
            </m:f>
          </m:e>
        </m:d>
        <m:r>
          <w:rPr>
            <w:rFonts w:ascii="Cambria Math" w:hAnsi="Cambria Math" w:cs="Times New Roman"/>
            <w:szCs w:val="24"/>
            <w:lang w:val="en-NZ"/>
          </w:rPr>
          <m:t>-ln</m:t>
        </m:r>
        <m:d>
          <m:dPr>
            <m:begChr m:val="["/>
            <m:endChr m:val="]"/>
            <m:ctrlPr>
              <w:rPr>
                <w:rFonts w:ascii="Cambria Math" w:hAnsi="Cambria Math" w:cs="Times New Roman"/>
                <w:i/>
                <w:szCs w:val="24"/>
                <w:lang w:val="en-NZ"/>
              </w:rPr>
            </m:ctrlPr>
          </m:dPr>
          <m:e>
            <m:f>
              <m:fPr>
                <m:ctrlPr>
                  <w:rPr>
                    <w:rFonts w:ascii="Cambria Math" w:hAnsi="Cambria Math" w:cs="Times New Roman"/>
                    <w:i/>
                    <w:szCs w:val="24"/>
                    <w:lang w:val="en-NZ"/>
                  </w:rPr>
                </m:ctrlPr>
              </m:fPr>
              <m:num>
                <m:sSub>
                  <m:sSubPr>
                    <m:ctrlPr>
                      <w:rPr>
                        <w:rFonts w:ascii="Cambria Math" w:hAnsi="Cambria Math" w:cs="Times New Roman"/>
                        <w:i/>
                        <w:szCs w:val="24"/>
                        <w:lang w:val="en-NZ"/>
                      </w:rPr>
                    </m:ctrlPr>
                  </m:sSubPr>
                  <m:e>
                    <m:r>
                      <w:rPr>
                        <w:rFonts w:ascii="Cambria Math" w:hAnsi="Cambria Math" w:cs="Times New Roman"/>
                        <w:szCs w:val="24"/>
                        <w:lang w:val="en-NZ"/>
                      </w:rPr>
                      <m:t>P</m:t>
                    </m:r>
                  </m:e>
                  <m:sub>
                    <m:r>
                      <w:rPr>
                        <w:rFonts w:ascii="Cambria Math" w:hAnsi="Cambria Math" w:cs="Times New Roman"/>
                        <w:szCs w:val="24"/>
                        <w:lang w:val="en-NZ"/>
                      </w:rPr>
                      <m:t>m,t</m:t>
                    </m:r>
                  </m:sub>
                </m:sSub>
              </m:num>
              <m:den>
                <m:sSub>
                  <m:sSubPr>
                    <m:ctrlPr>
                      <w:rPr>
                        <w:rFonts w:ascii="Cambria Math" w:hAnsi="Cambria Math" w:cs="Times New Roman"/>
                        <w:i/>
                        <w:szCs w:val="24"/>
                        <w:lang w:val="en-NZ"/>
                      </w:rPr>
                    </m:ctrlPr>
                  </m:sSubPr>
                  <m:e>
                    <m:r>
                      <w:rPr>
                        <w:rFonts w:ascii="Cambria Math" w:hAnsi="Cambria Math" w:cs="Times New Roman"/>
                        <w:szCs w:val="24"/>
                        <w:lang w:val="en-NZ"/>
                      </w:rPr>
                      <m:t>P</m:t>
                    </m:r>
                  </m:e>
                  <m:sub>
                    <m:r>
                      <w:rPr>
                        <w:rFonts w:ascii="Cambria Math" w:hAnsi="Cambria Math" w:cs="Times New Roman"/>
                        <w:szCs w:val="24"/>
                        <w:lang w:val="en-NZ"/>
                      </w:rPr>
                      <m:t>m,t-1</m:t>
                    </m:r>
                  </m:sub>
                </m:sSub>
              </m:den>
            </m:f>
          </m:e>
        </m:d>
      </m:oMath>
      <w:r w:rsidR="00192C04">
        <w:rPr>
          <w:rFonts w:cs="Times New Roman"/>
          <w:szCs w:val="24"/>
          <w:lang w:val="en-NZ"/>
        </w:rPr>
        <w:tab/>
      </w:r>
      <w:r w:rsidR="00192C04">
        <w:rPr>
          <w:rFonts w:cs="Times New Roman"/>
          <w:szCs w:val="24"/>
          <w:lang w:val="en-NZ"/>
        </w:rPr>
        <w:tab/>
      </w:r>
      <w:r w:rsidR="00192C04">
        <w:rPr>
          <w:rFonts w:cs="Times New Roman"/>
          <w:szCs w:val="24"/>
          <w:lang w:val="en-NZ"/>
        </w:rPr>
        <w:tab/>
      </w:r>
      <w:r w:rsidR="00192C04">
        <w:rPr>
          <w:rFonts w:cs="Times New Roman"/>
          <w:szCs w:val="24"/>
          <w:lang w:val="en-NZ"/>
        </w:rPr>
        <w:tab/>
      </w:r>
      <w:r w:rsidR="00192C04">
        <w:rPr>
          <w:rFonts w:cs="Times New Roman"/>
          <w:szCs w:val="24"/>
          <w:lang w:val="en-NZ"/>
        </w:rPr>
        <w:tab/>
      </w:r>
      <w:r w:rsidR="00192C04">
        <w:rPr>
          <w:rFonts w:cs="Times New Roman"/>
          <w:szCs w:val="24"/>
          <w:lang w:val="en-NZ"/>
        </w:rPr>
        <w:tab/>
      </w:r>
      <w:r w:rsidR="00FD22DC">
        <w:rPr>
          <w:rFonts w:cs="Times New Roman"/>
          <w:szCs w:val="24"/>
          <w:lang w:val="en-NZ"/>
        </w:rPr>
        <w:t>(1)</w:t>
      </w:r>
    </w:p>
    <w:p w:rsidR="00FD22DC" w:rsidRPr="00FA747B" w:rsidRDefault="004E3CD2" w:rsidP="00890500">
      <w:pPr>
        <w:rPr>
          <w:lang w:val="en-NZ"/>
        </w:rPr>
      </w:pPr>
      <w:r>
        <w:rPr>
          <w:rFonts w:cs="Times New Roman"/>
          <w:szCs w:val="24"/>
          <w:lang w:val="en-NZ"/>
        </w:rPr>
        <w:lastRenderedPageBreak/>
        <w:t>w</w:t>
      </w:r>
      <w:r w:rsidR="00FD22DC" w:rsidRPr="00053BED">
        <w:rPr>
          <w:rFonts w:cs="Times New Roman"/>
          <w:szCs w:val="24"/>
          <w:lang w:val="en-NZ"/>
        </w:rPr>
        <w:t>here</w:t>
      </w:r>
      <w:r>
        <w:rPr>
          <w:rFonts w:cs="Times New Roman"/>
          <w:szCs w:val="24"/>
          <w:lang w:val="en-NZ"/>
        </w:rPr>
        <w:t>;</w:t>
      </w:r>
      <w:r w:rsidR="00FD22DC" w:rsidRPr="00053BED">
        <w:rPr>
          <w:rFonts w:cs="Times New Roman"/>
          <w:szCs w:val="24"/>
          <w:lang w:val="en-NZ"/>
        </w:rPr>
        <w:t xml:space="preserve"> </w:t>
      </w:r>
      <m:oMath>
        <m:sSub>
          <m:sSubPr>
            <m:ctrlPr>
              <w:rPr>
                <w:rFonts w:ascii="Cambria Math" w:hAnsi="Cambria Math" w:cs="Times New Roman"/>
                <w:i/>
                <w:szCs w:val="24"/>
                <w:lang w:val="en-NZ"/>
              </w:rPr>
            </m:ctrlPr>
          </m:sSubPr>
          <m:e>
            <m:r>
              <w:rPr>
                <w:rFonts w:ascii="Cambria Math" w:hAnsi="Cambria Math" w:cs="Times New Roman"/>
                <w:szCs w:val="24"/>
                <w:lang w:val="en-NZ"/>
              </w:rPr>
              <m:t>AR</m:t>
            </m:r>
          </m:e>
          <m:sub>
            <m:r>
              <w:rPr>
                <w:rFonts w:ascii="Cambria Math" w:hAnsi="Cambria Math" w:cs="Times New Roman"/>
                <w:szCs w:val="24"/>
                <w:lang w:val="en-NZ"/>
              </w:rPr>
              <m:t>i,t</m:t>
            </m:r>
          </m:sub>
        </m:sSub>
      </m:oMath>
      <w:r w:rsidR="00FD22DC" w:rsidRPr="00053BED">
        <w:rPr>
          <w:rFonts w:cs="Times New Roman"/>
          <w:szCs w:val="24"/>
          <w:lang w:val="en-NZ"/>
        </w:rPr>
        <w:t xml:space="preserve"> is the abnormal return of firm </w:t>
      </w:r>
      <w:proofErr w:type="spellStart"/>
      <w:r w:rsidR="00DF39B6" w:rsidRPr="00DF39B6">
        <w:rPr>
          <w:rFonts w:cs="Times New Roman"/>
          <w:i/>
          <w:szCs w:val="24"/>
          <w:lang w:val="en-NZ"/>
        </w:rPr>
        <w:t>i</w:t>
      </w:r>
      <w:proofErr w:type="spellEnd"/>
      <w:r w:rsidR="00FD22DC" w:rsidRPr="00053BED">
        <w:rPr>
          <w:rFonts w:cs="Times New Roman"/>
          <w:szCs w:val="24"/>
          <w:lang w:val="en-NZ"/>
        </w:rPr>
        <w:t xml:space="preserve"> at time </w:t>
      </w:r>
      <w:r w:rsidR="00FD22DC" w:rsidRPr="00053BED">
        <w:rPr>
          <w:rFonts w:cs="Times New Roman"/>
          <w:i/>
          <w:szCs w:val="24"/>
          <w:lang w:val="en-NZ"/>
        </w:rPr>
        <w:t>t</w:t>
      </w:r>
      <w:r w:rsidR="00FD22DC" w:rsidRPr="00053BED">
        <w:rPr>
          <w:rFonts w:cs="Times New Roman"/>
          <w:szCs w:val="24"/>
          <w:lang w:val="en-NZ"/>
        </w:rPr>
        <w:t>,</w:t>
      </w:r>
      <w:r w:rsidR="00CD75A3">
        <w:rPr>
          <w:rFonts w:cs="Times New Roman"/>
          <w:szCs w:val="24"/>
          <w:lang w:val="en-NZ"/>
        </w:rPr>
        <w:t xml:space="preserve"> with time </w:t>
      </w:r>
      <w:r w:rsidR="00CD75A3" w:rsidRPr="00CD75A3">
        <w:rPr>
          <w:rFonts w:cs="Times New Roman"/>
          <w:i/>
          <w:szCs w:val="24"/>
          <w:lang w:val="en-NZ"/>
        </w:rPr>
        <w:t>t</w:t>
      </w:r>
      <w:r w:rsidR="00CD75A3">
        <w:rPr>
          <w:rFonts w:cs="Times New Roman"/>
          <w:szCs w:val="24"/>
          <w:lang w:val="en-NZ"/>
        </w:rPr>
        <w:t xml:space="preserve"> being the event date of a bank loan announcement,</w:t>
      </w:r>
      <w:r w:rsidR="00FD22DC" w:rsidRPr="00053BED">
        <w:rPr>
          <w:rFonts w:cs="Times New Roman"/>
          <w:szCs w:val="24"/>
          <w:lang w:val="en-NZ"/>
        </w:rPr>
        <w:t xml:space="preserve"> </w:t>
      </w:r>
      <m:oMath>
        <m:sSub>
          <m:sSubPr>
            <m:ctrlPr>
              <w:rPr>
                <w:rFonts w:ascii="Cambria Math" w:hAnsi="Cambria Math" w:cs="Times New Roman"/>
                <w:i/>
                <w:szCs w:val="24"/>
                <w:lang w:val="en-NZ"/>
              </w:rPr>
            </m:ctrlPr>
          </m:sSubPr>
          <m:e>
            <m:r>
              <w:rPr>
                <w:rFonts w:ascii="Cambria Math" w:hAnsi="Cambria Math" w:cs="Times New Roman"/>
                <w:szCs w:val="24"/>
                <w:lang w:val="en-NZ"/>
              </w:rPr>
              <m:t>P</m:t>
            </m:r>
          </m:e>
          <m:sub>
            <m:r>
              <w:rPr>
                <w:rFonts w:ascii="Cambria Math" w:hAnsi="Cambria Math" w:cs="Times New Roman"/>
                <w:szCs w:val="24"/>
                <w:lang w:val="en-NZ"/>
              </w:rPr>
              <m:t>i,t</m:t>
            </m:r>
          </m:sub>
        </m:sSub>
      </m:oMath>
      <w:r w:rsidR="00FD22DC" w:rsidRPr="00053BED">
        <w:rPr>
          <w:rFonts w:cs="Times New Roman"/>
          <w:szCs w:val="24"/>
          <w:lang w:val="en-NZ"/>
        </w:rPr>
        <w:t xml:space="preserve"> is the share price of firm </w:t>
      </w:r>
      <w:proofErr w:type="spellStart"/>
      <w:r w:rsidR="00DF39B6">
        <w:rPr>
          <w:rFonts w:cs="Times New Roman"/>
          <w:i/>
          <w:szCs w:val="24"/>
          <w:lang w:val="en-NZ"/>
        </w:rPr>
        <w:t>i</w:t>
      </w:r>
      <w:proofErr w:type="spellEnd"/>
      <w:r w:rsidR="00FD22DC" w:rsidRPr="00053BED">
        <w:rPr>
          <w:rFonts w:cs="Times New Roman"/>
          <w:szCs w:val="24"/>
          <w:lang w:val="en-NZ"/>
        </w:rPr>
        <w:t xml:space="preserve"> at time </w:t>
      </w:r>
      <w:r w:rsidR="00FD22DC" w:rsidRPr="00053BED">
        <w:rPr>
          <w:rFonts w:cs="Times New Roman"/>
          <w:i/>
          <w:szCs w:val="24"/>
          <w:lang w:val="en-NZ"/>
        </w:rPr>
        <w:t>t</w:t>
      </w:r>
      <w:r w:rsidR="00FD22DC" w:rsidRPr="00053BED">
        <w:rPr>
          <w:rFonts w:cs="Times New Roman"/>
          <w:szCs w:val="24"/>
          <w:lang w:val="en-NZ"/>
        </w:rPr>
        <w:t xml:space="preserve"> and </w:t>
      </w:r>
      <m:oMath>
        <m:sSub>
          <m:sSubPr>
            <m:ctrlPr>
              <w:rPr>
                <w:rFonts w:ascii="Cambria Math" w:hAnsi="Cambria Math" w:cs="Times New Roman"/>
                <w:i/>
                <w:szCs w:val="24"/>
                <w:lang w:val="en-NZ"/>
              </w:rPr>
            </m:ctrlPr>
          </m:sSubPr>
          <m:e>
            <m:r>
              <w:rPr>
                <w:rFonts w:ascii="Cambria Math" w:hAnsi="Cambria Math" w:cs="Times New Roman"/>
                <w:szCs w:val="24"/>
                <w:lang w:val="en-NZ"/>
              </w:rPr>
              <m:t>P</m:t>
            </m:r>
          </m:e>
          <m:sub>
            <m:r>
              <w:rPr>
                <w:rFonts w:ascii="Cambria Math" w:hAnsi="Cambria Math" w:cs="Times New Roman"/>
                <w:szCs w:val="24"/>
                <w:lang w:val="en-NZ"/>
              </w:rPr>
              <m:t>m,t</m:t>
            </m:r>
          </m:sub>
        </m:sSub>
      </m:oMath>
      <w:r w:rsidR="00FD22DC" w:rsidRPr="00053BED">
        <w:rPr>
          <w:rFonts w:cs="Times New Roman"/>
          <w:szCs w:val="24"/>
          <w:lang w:val="en-NZ"/>
        </w:rPr>
        <w:t xml:space="preserve"> is the </w:t>
      </w:r>
      <w:r w:rsidR="00384344">
        <w:rPr>
          <w:rFonts w:cs="Times New Roman"/>
          <w:szCs w:val="24"/>
          <w:lang w:val="en-NZ"/>
        </w:rPr>
        <w:t xml:space="preserve">index value of the All Ordinaries </w:t>
      </w:r>
      <w:r w:rsidR="00FD22DC" w:rsidRPr="00053BED">
        <w:rPr>
          <w:rFonts w:cs="Times New Roman"/>
          <w:szCs w:val="24"/>
          <w:lang w:val="en-NZ"/>
        </w:rPr>
        <w:t xml:space="preserve">at time </w:t>
      </w:r>
      <w:r w:rsidR="00FD22DC" w:rsidRPr="00053BED">
        <w:rPr>
          <w:rFonts w:cs="Times New Roman"/>
          <w:i/>
          <w:szCs w:val="24"/>
          <w:lang w:val="en-NZ"/>
        </w:rPr>
        <w:t>t</w:t>
      </w:r>
      <w:r w:rsidR="00FD22DC" w:rsidRPr="00053BED">
        <w:rPr>
          <w:rFonts w:cs="Times New Roman"/>
          <w:szCs w:val="24"/>
          <w:lang w:val="en-NZ"/>
        </w:rPr>
        <w:t>.</w:t>
      </w:r>
      <w:r w:rsidR="00FD22DC" w:rsidRPr="00053BED">
        <w:rPr>
          <w:rFonts w:cs="Times New Roman"/>
          <w:szCs w:val="24"/>
          <w:vertAlign w:val="superscript"/>
          <w:lang w:val="en-NZ"/>
        </w:rPr>
        <w:footnoteReference w:id="9"/>
      </w:r>
      <w:r w:rsidR="00890500">
        <w:rPr>
          <w:lang w:val="en-NZ"/>
        </w:rPr>
        <w:t xml:space="preserve"> </w:t>
      </w:r>
      <w:r w:rsidR="00FD22DC" w:rsidRPr="00FA747B">
        <w:rPr>
          <w:lang w:val="en-NZ"/>
        </w:rPr>
        <w:t xml:space="preserve">The cumulative abnormal return from event day </w:t>
      </w:r>
      <w:r w:rsidR="00FD22DC" w:rsidRPr="00024694">
        <w:rPr>
          <w:i/>
          <w:lang w:val="en-NZ"/>
        </w:rPr>
        <w:t>q</w:t>
      </w:r>
      <w:r w:rsidR="00FD22DC" w:rsidRPr="00FA747B">
        <w:rPr>
          <w:lang w:val="en-NZ"/>
        </w:rPr>
        <w:t xml:space="preserve"> to event day </w:t>
      </w:r>
      <w:r w:rsidR="00FD22DC" w:rsidRPr="00024694">
        <w:rPr>
          <w:i/>
          <w:lang w:val="en-NZ"/>
        </w:rPr>
        <w:t>s</w:t>
      </w:r>
      <w:r w:rsidR="00FD22DC" w:rsidRPr="00FA747B">
        <w:rPr>
          <w:lang w:val="en-NZ"/>
        </w:rPr>
        <w:t xml:space="preserve"> is the summation of the abnormal returns, calculated as:</w:t>
      </w:r>
    </w:p>
    <w:p w:rsidR="00FD22DC" w:rsidRPr="00FA747B" w:rsidRDefault="000A24D2" w:rsidP="00BD3BD6">
      <w:pPr>
        <w:ind w:firstLine="0"/>
        <w:rPr>
          <w:rFonts w:cs="Times New Roman"/>
          <w:lang w:val="en-NZ"/>
        </w:rPr>
      </w:pPr>
      <m:oMath>
        <m:sSub>
          <m:sSubPr>
            <m:ctrlPr>
              <w:rPr>
                <w:rFonts w:ascii="Cambria Math" w:hAnsi="Cambria Math" w:cs="Times New Roman"/>
                <w:i/>
                <w:lang w:val="en-NZ"/>
              </w:rPr>
            </m:ctrlPr>
          </m:sSubPr>
          <m:e>
            <m:r>
              <w:rPr>
                <w:rFonts w:ascii="Cambria Math" w:hAnsi="Cambria Math" w:cs="Times New Roman"/>
                <w:lang w:val="en-NZ"/>
              </w:rPr>
              <m:t>CAR</m:t>
            </m:r>
          </m:e>
          <m:sub>
            <m:r>
              <w:rPr>
                <w:rFonts w:ascii="Cambria Math" w:hAnsi="Cambria Math" w:cs="Times New Roman"/>
                <w:lang w:val="en-NZ"/>
              </w:rPr>
              <m:t>i,t</m:t>
            </m:r>
          </m:sub>
        </m:sSub>
        <m:d>
          <m:dPr>
            <m:ctrlPr>
              <w:rPr>
                <w:rFonts w:ascii="Cambria Math" w:hAnsi="Cambria Math" w:cs="Times New Roman"/>
                <w:i/>
                <w:lang w:val="en-NZ"/>
              </w:rPr>
            </m:ctrlPr>
          </m:dPr>
          <m:e>
            <m:r>
              <w:rPr>
                <w:rFonts w:ascii="Cambria Math" w:hAnsi="Cambria Math" w:cs="Times New Roman"/>
                <w:lang w:val="en-NZ"/>
              </w:rPr>
              <m:t>q,s</m:t>
            </m:r>
          </m:e>
        </m:d>
        <m:r>
          <w:rPr>
            <w:rFonts w:ascii="Cambria Math" w:hAnsi="Cambria Math" w:cs="Times New Roman"/>
            <w:lang w:val="en-NZ"/>
          </w:rPr>
          <m:t>=</m:t>
        </m:r>
        <m:nary>
          <m:naryPr>
            <m:chr m:val="∑"/>
            <m:limLoc m:val="undOvr"/>
            <m:ctrlPr>
              <w:rPr>
                <w:rFonts w:ascii="Cambria Math" w:hAnsi="Cambria Math" w:cs="Times New Roman"/>
                <w:i/>
                <w:lang w:val="en-NZ"/>
              </w:rPr>
            </m:ctrlPr>
          </m:naryPr>
          <m:sub>
            <m:r>
              <w:rPr>
                <w:rFonts w:ascii="Cambria Math" w:hAnsi="Cambria Math" w:cs="Times New Roman"/>
                <w:lang w:val="en-NZ"/>
              </w:rPr>
              <m:t>t=q</m:t>
            </m:r>
          </m:sub>
          <m:sup>
            <m:r>
              <w:rPr>
                <w:rFonts w:ascii="Cambria Math" w:hAnsi="Cambria Math" w:cs="Times New Roman"/>
                <w:lang w:val="en-NZ"/>
              </w:rPr>
              <m:t>s</m:t>
            </m:r>
          </m:sup>
          <m:e>
            <m:sSub>
              <m:sSubPr>
                <m:ctrlPr>
                  <w:rPr>
                    <w:rFonts w:ascii="Cambria Math" w:hAnsi="Cambria Math" w:cs="Times New Roman"/>
                    <w:i/>
                    <w:lang w:val="en-NZ"/>
                  </w:rPr>
                </m:ctrlPr>
              </m:sSubPr>
              <m:e>
                <m:r>
                  <w:rPr>
                    <w:rFonts w:ascii="Cambria Math" w:hAnsi="Cambria Math" w:cs="Times New Roman"/>
                    <w:lang w:val="en-NZ"/>
                  </w:rPr>
                  <m:t>AR</m:t>
                </m:r>
              </m:e>
              <m:sub>
                <m:r>
                  <w:rPr>
                    <w:rFonts w:ascii="Cambria Math" w:hAnsi="Cambria Math" w:cs="Times New Roman"/>
                    <w:lang w:val="en-NZ"/>
                  </w:rPr>
                  <m:t>i,t</m:t>
                </m:r>
              </m:sub>
            </m:sSub>
          </m:e>
        </m:nary>
      </m:oMath>
      <w:r w:rsidR="00192C04">
        <w:rPr>
          <w:rFonts w:cs="Times New Roman"/>
          <w:lang w:val="en-NZ"/>
        </w:rPr>
        <w:t xml:space="preserve"> </w:t>
      </w:r>
      <w:r w:rsidR="00192C04">
        <w:rPr>
          <w:rFonts w:cs="Times New Roman"/>
          <w:lang w:val="en-NZ"/>
        </w:rPr>
        <w:tab/>
      </w:r>
      <w:r w:rsidR="00192C04">
        <w:rPr>
          <w:rFonts w:cs="Times New Roman"/>
          <w:lang w:val="en-NZ"/>
        </w:rPr>
        <w:tab/>
      </w:r>
      <w:r w:rsidR="00192C04">
        <w:rPr>
          <w:rFonts w:cs="Times New Roman"/>
          <w:lang w:val="en-NZ"/>
        </w:rPr>
        <w:tab/>
      </w:r>
      <w:r w:rsidR="00192C04">
        <w:rPr>
          <w:rFonts w:cs="Times New Roman"/>
          <w:lang w:val="en-NZ"/>
        </w:rPr>
        <w:tab/>
      </w:r>
      <w:r w:rsidR="00192C04">
        <w:rPr>
          <w:rFonts w:cs="Times New Roman"/>
          <w:lang w:val="en-NZ"/>
        </w:rPr>
        <w:tab/>
      </w:r>
      <w:r w:rsidR="00192C04">
        <w:rPr>
          <w:rFonts w:cs="Times New Roman"/>
          <w:lang w:val="en-NZ"/>
        </w:rPr>
        <w:tab/>
      </w:r>
      <w:r w:rsidR="00192C04">
        <w:rPr>
          <w:rFonts w:cs="Times New Roman"/>
          <w:lang w:val="en-NZ"/>
        </w:rPr>
        <w:tab/>
      </w:r>
      <w:r w:rsidR="00FD22DC" w:rsidRPr="00FA747B">
        <w:rPr>
          <w:rFonts w:cs="Times New Roman"/>
          <w:lang w:val="en-NZ"/>
        </w:rPr>
        <w:t>(2)</w:t>
      </w:r>
    </w:p>
    <w:p w:rsidR="00255AE9" w:rsidRPr="00C6573E" w:rsidRDefault="00255AE9" w:rsidP="00C6573E">
      <w:pPr>
        <w:pStyle w:val="Heading2"/>
      </w:pPr>
      <w:bookmarkStart w:id="8" w:name="_Ref377133977"/>
      <w:bookmarkStart w:id="9" w:name="_Toc379787287"/>
      <w:r w:rsidRPr="00C6573E">
        <w:t>M</w:t>
      </w:r>
      <w:r w:rsidR="004E3CD2" w:rsidRPr="00C6573E">
        <w:t>odel specification</w:t>
      </w:r>
      <w:bookmarkEnd w:id="8"/>
      <w:bookmarkEnd w:id="9"/>
    </w:p>
    <w:p w:rsidR="00255AE9" w:rsidRPr="00FA747B" w:rsidRDefault="00255AE9" w:rsidP="00B346D2">
      <w:pPr>
        <w:pStyle w:val="NoSpacing"/>
      </w:pPr>
      <w:r w:rsidRPr="00FA747B">
        <w:t>In order to provide additional insight into the cross-sectional variation of the abnormal returns surrounding bank loan announcement</w:t>
      </w:r>
      <w:r w:rsidR="00890500">
        <w:t>s</w:t>
      </w:r>
      <w:r w:rsidRPr="00FA747B">
        <w:t xml:space="preserve">, </w:t>
      </w:r>
      <w:r w:rsidR="00890500">
        <w:t>an OLS regression model</w:t>
      </w:r>
      <w:r w:rsidR="00BF0E2B">
        <w:t xml:space="preserve"> is used</w:t>
      </w:r>
      <w:r w:rsidR="00890500">
        <w:t xml:space="preserve">. This model is specified as follows; </w:t>
      </w:r>
    </w:p>
    <w:p w:rsidR="00255AE9" w:rsidRPr="00FA747B" w:rsidRDefault="000A24D2" w:rsidP="00255AE9">
      <w:pPr>
        <w:tabs>
          <w:tab w:val="left" w:pos="680"/>
        </w:tabs>
        <w:spacing w:after="0"/>
        <w:jc w:val="both"/>
        <w:rPr>
          <w:rFonts w:cs="Times New Roman"/>
          <w:szCs w:val="24"/>
          <w:lang w:val="en-NZ"/>
        </w:rPr>
      </w:pPr>
      <m:oMath>
        <m:sSub>
          <m:sSubPr>
            <m:ctrlPr>
              <w:rPr>
                <w:rFonts w:ascii="Cambria Math" w:hAnsi="Cambria Math" w:cs="Times New Roman"/>
                <w:i/>
                <w:szCs w:val="24"/>
                <w:lang w:val="en-NZ"/>
              </w:rPr>
            </m:ctrlPr>
          </m:sSubPr>
          <m:e>
            <m:sSub>
              <m:sSubPr>
                <m:ctrlPr>
                  <w:rPr>
                    <w:rFonts w:ascii="Cambria Math" w:hAnsi="Cambria Math" w:cs="Times New Roman"/>
                    <w:i/>
                    <w:szCs w:val="24"/>
                    <w:lang w:val="en-NZ"/>
                  </w:rPr>
                </m:ctrlPr>
              </m:sSubPr>
              <m:e>
                <m:r>
                  <w:rPr>
                    <w:rFonts w:ascii="Cambria Math" w:hAnsi="Cambria Math" w:cs="Times New Roman"/>
                    <w:szCs w:val="24"/>
                    <w:lang w:val="en-NZ"/>
                  </w:rPr>
                  <m:t>CAR</m:t>
                </m:r>
              </m:e>
              <m:sub>
                <m:r>
                  <w:rPr>
                    <w:rFonts w:ascii="Cambria Math" w:hAnsi="Cambria Math" w:cs="Times New Roman"/>
                    <w:szCs w:val="24"/>
                    <w:lang w:val="en-NZ"/>
                  </w:rPr>
                  <m:t>i,t</m:t>
                </m:r>
              </m:sub>
            </m:sSub>
            <m:d>
              <m:dPr>
                <m:ctrlPr>
                  <w:rPr>
                    <w:rFonts w:ascii="Cambria Math" w:hAnsi="Cambria Math" w:cs="Times New Roman"/>
                    <w:i/>
                    <w:szCs w:val="24"/>
                    <w:lang w:val="en-NZ"/>
                  </w:rPr>
                </m:ctrlPr>
              </m:dPr>
              <m:e>
                <m:r>
                  <w:rPr>
                    <w:rFonts w:ascii="Cambria Math" w:hAnsi="Cambria Math" w:cs="Times New Roman"/>
                    <w:szCs w:val="24"/>
                    <w:lang w:val="en-NZ"/>
                  </w:rPr>
                  <m:t>q,s</m:t>
                </m:r>
              </m:e>
            </m:d>
            <m:r>
              <w:rPr>
                <w:rFonts w:ascii="Cambria Math" w:hAnsi="Cambria Math" w:cs="Times New Roman"/>
                <w:szCs w:val="24"/>
                <w:lang w:val="en-NZ"/>
              </w:rPr>
              <m:t>=β</m:t>
            </m:r>
          </m:e>
          <m:sub>
            <m:r>
              <w:rPr>
                <w:rFonts w:ascii="Cambria Math" w:hAnsi="Cambria Math" w:cs="Times New Roman"/>
                <w:szCs w:val="24"/>
                <w:lang w:val="en-NZ"/>
              </w:rPr>
              <m:t>0</m:t>
            </m:r>
          </m:sub>
        </m:sSub>
        <m:r>
          <w:rPr>
            <w:rFonts w:ascii="Cambria Math" w:hAnsi="Cambria Math" w:cs="Times New Roman"/>
            <w:szCs w:val="24"/>
            <w:lang w:val="en-NZ"/>
          </w:rPr>
          <m:t>+</m:t>
        </m:r>
        <m:sSub>
          <m:sSubPr>
            <m:ctrlPr>
              <w:rPr>
                <w:rFonts w:ascii="Cambria Math" w:hAnsi="Cambria Math" w:cs="Times New Roman"/>
                <w:i/>
                <w:szCs w:val="24"/>
                <w:lang w:val="en-NZ"/>
              </w:rPr>
            </m:ctrlPr>
          </m:sSubPr>
          <m:e>
            <m:r>
              <w:rPr>
                <w:rFonts w:ascii="Cambria Math" w:hAnsi="Cambria Math" w:cs="Times New Roman"/>
                <w:szCs w:val="24"/>
                <w:lang w:val="en-NZ"/>
              </w:rPr>
              <m:t>β</m:t>
            </m:r>
          </m:e>
          <m:sub>
            <m:r>
              <w:rPr>
                <w:rFonts w:ascii="Cambria Math" w:hAnsi="Cambria Math" w:cs="Times New Roman"/>
                <w:szCs w:val="24"/>
                <w:lang w:val="en-NZ"/>
              </w:rPr>
              <m:t>1</m:t>
            </m:r>
          </m:sub>
        </m:sSub>
        <m:r>
          <w:rPr>
            <w:rFonts w:ascii="Cambria Math" w:hAnsi="Cambria Math" w:cs="Times New Roman"/>
            <w:szCs w:val="24"/>
            <w:lang w:val="en-NZ"/>
          </w:rPr>
          <m:t>Initial+</m:t>
        </m:r>
        <m:sSub>
          <m:sSubPr>
            <m:ctrlPr>
              <w:rPr>
                <w:rFonts w:ascii="Cambria Math" w:hAnsi="Cambria Math" w:cs="Times New Roman"/>
                <w:i/>
                <w:szCs w:val="24"/>
                <w:lang w:val="en-NZ"/>
              </w:rPr>
            </m:ctrlPr>
          </m:sSubPr>
          <m:e>
            <m:r>
              <w:rPr>
                <w:rFonts w:ascii="Cambria Math" w:hAnsi="Cambria Math" w:cs="Times New Roman"/>
                <w:szCs w:val="24"/>
                <w:lang w:val="en-NZ"/>
              </w:rPr>
              <m:t>β</m:t>
            </m:r>
          </m:e>
          <m:sub>
            <m:r>
              <w:rPr>
                <w:rFonts w:ascii="Cambria Math" w:hAnsi="Cambria Math" w:cs="Times New Roman"/>
                <w:szCs w:val="24"/>
                <w:lang w:val="en-NZ"/>
              </w:rPr>
              <m:t>2</m:t>
            </m:r>
          </m:sub>
        </m:sSub>
        <m:r>
          <w:rPr>
            <w:rFonts w:ascii="Cambria Math" w:hAnsi="Cambria Math" w:cs="Times New Roman"/>
            <w:szCs w:val="24"/>
            <w:lang w:val="en-NZ"/>
          </w:rPr>
          <m:t xml:space="preserve">FirstAnn+ </m:t>
        </m:r>
        <m:sSub>
          <m:sSubPr>
            <m:ctrlPr>
              <w:rPr>
                <w:rFonts w:ascii="Cambria Math" w:hAnsi="Cambria Math" w:cs="Times New Roman"/>
                <w:i/>
                <w:szCs w:val="24"/>
                <w:lang w:val="en-NZ"/>
              </w:rPr>
            </m:ctrlPr>
          </m:sSubPr>
          <m:e>
            <m:r>
              <w:rPr>
                <w:rFonts w:ascii="Cambria Math" w:hAnsi="Cambria Math" w:cs="Times New Roman"/>
                <w:szCs w:val="24"/>
                <w:lang w:val="en-NZ"/>
              </w:rPr>
              <m:t>β</m:t>
            </m:r>
          </m:e>
          <m:sub>
            <m:r>
              <w:rPr>
                <w:rFonts w:ascii="Cambria Math" w:hAnsi="Cambria Math" w:cs="Times New Roman"/>
                <w:szCs w:val="24"/>
                <w:lang w:val="en-NZ"/>
              </w:rPr>
              <m:t>3</m:t>
            </m:r>
          </m:sub>
        </m:sSub>
        <m:r>
          <w:rPr>
            <w:rFonts w:ascii="Cambria Math" w:hAnsi="Cambria Math" w:cs="Times New Roman"/>
            <w:szCs w:val="24"/>
            <w:lang w:val="en-NZ"/>
          </w:rPr>
          <m:t>LnAmount+</m:t>
        </m:r>
        <m:sSub>
          <m:sSubPr>
            <m:ctrlPr>
              <w:rPr>
                <w:rFonts w:ascii="Cambria Math" w:hAnsi="Cambria Math" w:cs="Times New Roman"/>
                <w:i/>
                <w:szCs w:val="24"/>
                <w:lang w:val="en-NZ"/>
              </w:rPr>
            </m:ctrlPr>
          </m:sSubPr>
          <m:e>
            <m:r>
              <w:rPr>
                <w:rFonts w:ascii="Cambria Math" w:hAnsi="Cambria Math" w:cs="Times New Roman"/>
                <w:szCs w:val="24"/>
                <w:lang w:val="en-NZ"/>
              </w:rPr>
              <m:t>β</m:t>
            </m:r>
          </m:e>
          <m:sub>
            <m:r>
              <w:rPr>
                <w:rFonts w:ascii="Cambria Math" w:hAnsi="Cambria Math" w:cs="Times New Roman"/>
                <w:szCs w:val="24"/>
                <w:lang w:val="en-NZ"/>
              </w:rPr>
              <m:t>4</m:t>
            </m:r>
          </m:sub>
        </m:sSub>
        <m:r>
          <w:rPr>
            <w:rFonts w:ascii="Cambria Math" w:hAnsi="Cambria Math" w:cs="Times New Roman"/>
            <w:szCs w:val="24"/>
            <w:lang w:val="en-NZ"/>
          </w:rPr>
          <m:t>Lenders+</m:t>
        </m:r>
        <m:sSub>
          <m:sSubPr>
            <m:ctrlPr>
              <w:rPr>
                <w:rFonts w:ascii="Cambria Math" w:hAnsi="Cambria Math" w:cs="Times New Roman"/>
                <w:i/>
                <w:szCs w:val="24"/>
                <w:lang w:val="en-NZ"/>
              </w:rPr>
            </m:ctrlPr>
          </m:sSubPr>
          <m:e>
            <m:r>
              <w:rPr>
                <w:rFonts w:ascii="Cambria Math" w:hAnsi="Cambria Math" w:cs="Times New Roman"/>
                <w:szCs w:val="24"/>
                <w:lang w:val="en-NZ"/>
              </w:rPr>
              <m:t>β</m:t>
            </m:r>
          </m:e>
          <m:sub>
            <m:r>
              <w:rPr>
                <w:rFonts w:ascii="Cambria Math" w:hAnsi="Cambria Math" w:cs="Times New Roman"/>
                <w:szCs w:val="24"/>
                <w:lang w:val="en-NZ"/>
              </w:rPr>
              <m:t>5</m:t>
            </m:r>
          </m:sub>
        </m:sSub>
        <m:r>
          <w:rPr>
            <w:rFonts w:ascii="Cambria Math" w:hAnsi="Cambria Math" w:cs="Times New Roman"/>
            <w:szCs w:val="24"/>
            <w:lang w:val="en-NZ"/>
          </w:rPr>
          <m:t>Hedge+</m:t>
        </m:r>
        <m:sSub>
          <m:sSubPr>
            <m:ctrlPr>
              <w:rPr>
                <w:rFonts w:ascii="Cambria Math" w:hAnsi="Cambria Math" w:cs="Times New Roman"/>
                <w:i/>
                <w:szCs w:val="24"/>
                <w:lang w:val="en-NZ"/>
              </w:rPr>
            </m:ctrlPr>
          </m:sSubPr>
          <m:e>
            <m:r>
              <w:rPr>
                <w:rFonts w:ascii="Cambria Math" w:hAnsi="Cambria Math" w:cs="Times New Roman"/>
                <w:szCs w:val="24"/>
                <w:lang w:val="en-NZ"/>
              </w:rPr>
              <m:t>β</m:t>
            </m:r>
          </m:e>
          <m:sub>
            <m:r>
              <w:rPr>
                <w:rFonts w:ascii="Cambria Math" w:hAnsi="Cambria Math" w:cs="Times New Roman"/>
                <w:szCs w:val="24"/>
                <w:lang w:val="en-NZ"/>
              </w:rPr>
              <m:t>6</m:t>
            </m:r>
          </m:sub>
        </m:sSub>
        <m:r>
          <w:rPr>
            <w:rFonts w:ascii="Cambria Math" w:hAnsi="Cambria Math" w:cs="Times New Roman"/>
            <w:szCs w:val="24"/>
            <w:lang w:val="en-NZ"/>
          </w:rPr>
          <m:t>BankEquity+</m:t>
        </m:r>
        <m:sSub>
          <m:sSubPr>
            <m:ctrlPr>
              <w:rPr>
                <w:rFonts w:ascii="Cambria Math" w:hAnsi="Cambria Math" w:cs="Times New Roman"/>
                <w:i/>
                <w:szCs w:val="24"/>
                <w:lang w:val="en-NZ"/>
              </w:rPr>
            </m:ctrlPr>
          </m:sSubPr>
          <m:e>
            <m:r>
              <w:rPr>
                <w:rFonts w:ascii="Cambria Math" w:hAnsi="Cambria Math" w:cs="Times New Roman"/>
                <w:szCs w:val="24"/>
                <w:lang w:val="en-NZ"/>
              </w:rPr>
              <m:t>β</m:t>
            </m:r>
          </m:e>
          <m:sub>
            <m:r>
              <w:rPr>
                <w:rFonts w:ascii="Cambria Math" w:hAnsi="Cambria Math" w:cs="Times New Roman"/>
                <w:szCs w:val="24"/>
                <w:lang w:val="en-NZ"/>
              </w:rPr>
              <m:t>7</m:t>
            </m:r>
          </m:sub>
        </m:sSub>
        <m:r>
          <w:rPr>
            <w:rFonts w:ascii="Cambria Math" w:hAnsi="Cambria Math" w:cs="Times New Roman"/>
            <w:szCs w:val="24"/>
            <w:lang w:val="en-NZ"/>
          </w:rPr>
          <m:t>EquityRaise+</m:t>
        </m:r>
        <m:sSub>
          <m:sSubPr>
            <m:ctrlPr>
              <w:rPr>
                <w:rFonts w:ascii="Cambria Math" w:hAnsi="Cambria Math" w:cs="Times New Roman"/>
                <w:i/>
                <w:szCs w:val="24"/>
                <w:lang w:val="en-NZ"/>
              </w:rPr>
            </m:ctrlPr>
          </m:sSubPr>
          <m:e>
            <m:r>
              <w:rPr>
                <w:rFonts w:ascii="Cambria Math" w:hAnsi="Cambria Math" w:cs="Times New Roman"/>
                <w:szCs w:val="24"/>
                <w:lang w:val="en-NZ"/>
              </w:rPr>
              <m:t>β</m:t>
            </m:r>
          </m:e>
          <m:sub>
            <m:r>
              <w:rPr>
                <w:rFonts w:ascii="Cambria Math" w:hAnsi="Cambria Math" w:cs="Times New Roman"/>
                <w:szCs w:val="24"/>
                <w:lang w:val="en-NZ"/>
              </w:rPr>
              <m:t>8</m:t>
            </m:r>
          </m:sub>
        </m:sSub>
        <m:r>
          <w:rPr>
            <w:rFonts w:ascii="Cambria Math" w:hAnsi="Cambria Math" w:cs="Times New Roman"/>
            <w:szCs w:val="24"/>
            <w:lang w:val="en-NZ"/>
          </w:rPr>
          <m:t>LnMCap+</m:t>
        </m:r>
        <m:sSub>
          <m:sSubPr>
            <m:ctrlPr>
              <w:rPr>
                <w:rFonts w:ascii="Cambria Math" w:hAnsi="Cambria Math" w:cs="Times New Roman"/>
                <w:i/>
                <w:szCs w:val="24"/>
                <w:lang w:val="en-NZ"/>
              </w:rPr>
            </m:ctrlPr>
          </m:sSubPr>
          <m:e>
            <m:r>
              <w:rPr>
                <w:rFonts w:ascii="Cambria Math" w:hAnsi="Cambria Math" w:cs="Times New Roman"/>
                <w:szCs w:val="24"/>
                <w:lang w:val="en-NZ"/>
              </w:rPr>
              <m:t>β</m:t>
            </m:r>
          </m:e>
          <m:sub>
            <m:r>
              <w:rPr>
                <w:rFonts w:ascii="Cambria Math" w:hAnsi="Cambria Math" w:cs="Times New Roman"/>
                <w:szCs w:val="24"/>
                <w:lang w:val="en-NZ"/>
              </w:rPr>
              <m:t>9</m:t>
            </m:r>
          </m:sub>
        </m:sSub>
        <m:r>
          <w:rPr>
            <w:rFonts w:ascii="Cambria Math" w:hAnsi="Cambria Math" w:cs="Times New Roman"/>
            <w:szCs w:val="24"/>
            <w:lang w:val="en-NZ"/>
          </w:rPr>
          <m:t>Loss+</m:t>
        </m:r>
        <m:sSub>
          <m:sSubPr>
            <m:ctrlPr>
              <w:rPr>
                <w:rFonts w:ascii="Cambria Math" w:hAnsi="Cambria Math" w:cs="Times New Roman"/>
                <w:i/>
                <w:szCs w:val="24"/>
                <w:lang w:val="en-NZ"/>
              </w:rPr>
            </m:ctrlPr>
          </m:sSubPr>
          <m:e>
            <m:r>
              <w:rPr>
                <w:rFonts w:ascii="Cambria Math" w:hAnsi="Cambria Math" w:cs="Times New Roman"/>
                <w:szCs w:val="24"/>
                <w:lang w:val="en-NZ"/>
              </w:rPr>
              <m:t>β</m:t>
            </m:r>
          </m:e>
          <m:sub>
            <m:r>
              <w:rPr>
                <w:rFonts w:ascii="Cambria Math" w:hAnsi="Cambria Math" w:cs="Times New Roman"/>
                <w:szCs w:val="24"/>
                <w:lang w:val="en-NZ"/>
              </w:rPr>
              <m:t>10</m:t>
            </m:r>
          </m:sub>
        </m:sSub>
        <m:r>
          <w:rPr>
            <w:rFonts w:ascii="Cambria Math" w:hAnsi="Cambria Math" w:cs="Times New Roman"/>
            <w:szCs w:val="24"/>
            <w:lang w:val="en-NZ"/>
          </w:rPr>
          <m:t>NumAnalyst+ε</m:t>
        </m:r>
      </m:oMath>
      <w:r w:rsidR="00255AE9" w:rsidRPr="00FA747B">
        <w:rPr>
          <w:rFonts w:cs="Times New Roman"/>
          <w:b/>
          <w:szCs w:val="24"/>
          <w:lang w:val="en-NZ"/>
        </w:rPr>
        <w:t xml:space="preserve"> </w:t>
      </w:r>
      <w:r w:rsidR="00255AE9" w:rsidRPr="00FA747B">
        <w:rPr>
          <w:rFonts w:cs="Times New Roman"/>
          <w:b/>
          <w:szCs w:val="24"/>
          <w:lang w:val="en-NZ"/>
        </w:rPr>
        <w:tab/>
        <w:t xml:space="preserve"> </w:t>
      </w:r>
      <w:r w:rsidR="00255AE9" w:rsidRPr="00FA747B">
        <w:rPr>
          <w:rFonts w:cs="Times New Roman"/>
          <w:szCs w:val="24"/>
          <w:lang w:val="en-NZ"/>
        </w:rPr>
        <w:tab/>
      </w:r>
      <w:r w:rsidR="00192C04">
        <w:rPr>
          <w:rFonts w:cs="Times New Roman"/>
          <w:szCs w:val="24"/>
          <w:lang w:val="en-NZ"/>
        </w:rPr>
        <w:tab/>
      </w:r>
      <w:r w:rsidR="00192C04">
        <w:rPr>
          <w:rFonts w:cs="Times New Roman"/>
          <w:szCs w:val="24"/>
          <w:lang w:val="en-NZ"/>
        </w:rPr>
        <w:tab/>
      </w:r>
      <w:r w:rsidR="00192C04">
        <w:rPr>
          <w:rFonts w:cs="Times New Roman"/>
          <w:szCs w:val="24"/>
          <w:lang w:val="en-NZ"/>
        </w:rPr>
        <w:tab/>
      </w:r>
      <w:r w:rsidR="00192C04">
        <w:rPr>
          <w:rFonts w:cs="Times New Roman"/>
          <w:szCs w:val="24"/>
          <w:lang w:val="en-NZ"/>
        </w:rPr>
        <w:tab/>
      </w:r>
      <w:r w:rsidR="00192C04">
        <w:rPr>
          <w:rFonts w:cs="Times New Roman"/>
          <w:szCs w:val="24"/>
          <w:lang w:val="en-NZ"/>
        </w:rPr>
        <w:tab/>
      </w:r>
      <w:r w:rsidR="00192C04">
        <w:rPr>
          <w:rFonts w:cs="Times New Roman"/>
          <w:szCs w:val="24"/>
          <w:lang w:val="en-NZ"/>
        </w:rPr>
        <w:tab/>
      </w:r>
      <w:r w:rsidR="00192C04">
        <w:rPr>
          <w:rFonts w:cs="Times New Roman"/>
          <w:szCs w:val="24"/>
          <w:lang w:val="en-NZ"/>
        </w:rPr>
        <w:tab/>
      </w:r>
      <w:r w:rsidR="00255AE9" w:rsidRPr="00FA747B">
        <w:rPr>
          <w:rFonts w:cs="Times New Roman"/>
          <w:szCs w:val="24"/>
          <w:lang w:val="en-NZ"/>
        </w:rPr>
        <w:t>(</w:t>
      </w:r>
      <w:r w:rsidR="0084734A">
        <w:rPr>
          <w:rFonts w:cs="Times New Roman"/>
          <w:szCs w:val="24"/>
          <w:lang w:val="en-NZ"/>
        </w:rPr>
        <w:t>3</w:t>
      </w:r>
      <w:r w:rsidR="00255AE9" w:rsidRPr="00FA747B">
        <w:rPr>
          <w:rFonts w:cs="Times New Roman"/>
          <w:szCs w:val="24"/>
          <w:lang w:val="en-NZ"/>
        </w:rPr>
        <w:t>)</w:t>
      </w:r>
    </w:p>
    <w:p w:rsidR="00F55928" w:rsidRDefault="00890500" w:rsidP="007D5FBA">
      <w:pPr>
        <w:tabs>
          <w:tab w:val="left" w:pos="680"/>
        </w:tabs>
        <w:spacing w:after="0"/>
        <w:ind w:firstLine="0"/>
        <w:jc w:val="both"/>
        <w:rPr>
          <w:rFonts w:cs="Times New Roman"/>
          <w:szCs w:val="24"/>
          <w:lang w:val="en-NZ"/>
        </w:rPr>
      </w:pPr>
      <w:r>
        <w:rPr>
          <w:rFonts w:cs="Times New Roman"/>
          <w:i/>
          <w:szCs w:val="24"/>
          <w:lang w:val="en-NZ"/>
        </w:rPr>
        <w:tab/>
      </w:r>
      <w:proofErr w:type="gramStart"/>
      <w:r w:rsidRPr="00506C2B">
        <w:rPr>
          <w:rFonts w:cs="Times New Roman"/>
          <w:i/>
          <w:szCs w:val="24"/>
          <w:lang w:val="en-NZ"/>
        </w:rPr>
        <w:t>w</w:t>
      </w:r>
      <w:r w:rsidR="00255AE9" w:rsidRPr="00506C2B">
        <w:rPr>
          <w:rFonts w:cs="Times New Roman"/>
          <w:i/>
          <w:szCs w:val="24"/>
          <w:lang w:val="en-NZ"/>
        </w:rPr>
        <w:t>here</w:t>
      </w:r>
      <w:proofErr w:type="gramEnd"/>
      <w:r w:rsidRPr="00506C2B">
        <w:rPr>
          <w:rFonts w:cs="Times New Roman"/>
          <w:i/>
          <w:szCs w:val="24"/>
          <w:lang w:val="en-NZ"/>
        </w:rPr>
        <w:t>;</w:t>
      </w:r>
      <w:r>
        <w:rPr>
          <w:rFonts w:cs="Times New Roman"/>
          <w:szCs w:val="24"/>
          <w:lang w:val="en-NZ"/>
        </w:rPr>
        <w:t xml:space="preserve"> the dependent variable</w:t>
      </w:r>
      <w:r w:rsidR="006356B6">
        <w:rPr>
          <w:rFonts w:cs="Times New Roman"/>
          <w:szCs w:val="24"/>
          <w:lang w:val="en-NZ"/>
        </w:rPr>
        <w:t>,</w:t>
      </w:r>
      <w:r>
        <w:rPr>
          <w:rFonts w:cs="Times New Roman"/>
          <w:szCs w:val="24"/>
          <w:lang w:val="en-NZ"/>
        </w:rPr>
        <w:t xml:space="preserve"> </w:t>
      </w:r>
      <m:oMath>
        <m:r>
          <w:rPr>
            <w:rFonts w:ascii="Cambria Math" w:hAnsi="Cambria Math" w:cs="Times New Roman"/>
            <w:szCs w:val="24"/>
            <w:lang w:val="en-NZ"/>
          </w:rPr>
          <m:t xml:space="preserve"> </m:t>
        </m:r>
        <m:sSub>
          <m:sSubPr>
            <m:ctrlPr>
              <w:rPr>
                <w:rFonts w:ascii="Cambria Math" w:hAnsi="Cambria Math" w:cs="Times New Roman"/>
                <w:i/>
                <w:szCs w:val="24"/>
                <w:lang w:val="en-NZ"/>
              </w:rPr>
            </m:ctrlPr>
          </m:sSubPr>
          <m:e>
            <m:r>
              <w:rPr>
                <w:rFonts w:ascii="Cambria Math" w:hAnsi="Cambria Math" w:cs="Times New Roman"/>
                <w:szCs w:val="24"/>
                <w:lang w:val="en-NZ"/>
              </w:rPr>
              <m:t>CAR</m:t>
            </m:r>
          </m:e>
          <m:sub>
            <m:r>
              <w:rPr>
                <w:rFonts w:ascii="Cambria Math" w:hAnsi="Cambria Math" w:cs="Times New Roman"/>
                <w:szCs w:val="24"/>
                <w:lang w:val="en-NZ"/>
              </w:rPr>
              <m:t>i,t</m:t>
            </m:r>
          </m:sub>
        </m:sSub>
        <m:d>
          <m:dPr>
            <m:ctrlPr>
              <w:rPr>
                <w:rFonts w:ascii="Cambria Math" w:hAnsi="Cambria Math" w:cs="Times New Roman"/>
                <w:i/>
                <w:szCs w:val="24"/>
                <w:lang w:val="en-NZ"/>
              </w:rPr>
            </m:ctrlPr>
          </m:dPr>
          <m:e>
            <m:r>
              <w:rPr>
                <w:rFonts w:ascii="Cambria Math" w:hAnsi="Cambria Math" w:cs="Times New Roman"/>
                <w:szCs w:val="24"/>
                <w:lang w:val="en-NZ"/>
              </w:rPr>
              <m:t>q,s</m:t>
            </m:r>
          </m:e>
        </m:d>
        <m:r>
          <w:rPr>
            <w:rFonts w:ascii="Cambria Math" w:hAnsi="Cambria Math" w:cs="Times New Roman"/>
            <w:szCs w:val="24"/>
            <w:lang w:val="en-NZ"/>
          </w:rPr>
          <m:t xml:space="preserve"> </m:t>
        </m:r>
      </m:oMath>
      <w:r w:rsidR="00255AE9" w:rsidRPr="00FA747B">
        <w:rPr>
          <w:rFonts w:cs="Times New Roman"/>
          <w:szCs w:val="24"/>
          <w:lang w:val="en-NZ"/>
        </w:rPr>
        <w:t xml:space="preserve">= the cumulative abnormal return for firm </w:t>
      </w:r>
      <w:proofErr w:type="spellStart"/>
      <w:r w:rsidR="00255AE9" w:rsidRPr="00FA747B">
        <w:rPr>
          <w:rFonts w:cs="Times New Roman"/>
          <w:i/>
          <w:szCs w:val="24"/>
          <w:lang w:val="en-NZ"/>
        </w:rPr>
        <w:t>i</w:t>
      </w:r>
      <w:proofErr w:type="spellEnd"/>
      <w:r w:rsidR="00255AE9" w:rsidRPr="00FA747B">
        <w:rPr>
          <w:rFonts w:cs="Times New Roman"/>
          <w:i/>
          <w:szCs w:val="24"/>
          <w:lang w:val="en-NZ"/>
        </w:rPr>
        <w:t xml:space="preserve"> </w:t>
      </w:r>
      <w:r w:rsidR="00255AE9" w:rsidRPr="00FA747B">
        <w:rPr>
          <w:rFonts w:cs="Times New Roman"/>
          <w:szCs w:val="24"/>
          <w:lang w:val="en-NZ"/>
        </w:rPr>
        <w:t xml:space="preserve">at time </w:t>
      </w:r>
      <w:r w:rsidR="00255AE9" w:rsidRPr="00FA747B">
        <w:rPr>
          <w:rFonts w:cs="Times New Roman"/>
          <w:i/>
          <w:szCs w:val="24"/>
          <w:lang w:val="en-NZ"/>
        </w:rPr>
        <w:t>t</w:t>
      </w:r>
      <w:r w:rsidR="00255AE9" w:rsidRPr="00FA747B">
        <w:rPr>
          <w:rFonts w:cs="Times New Roman"/>
          <w:szCs w:val="24"/>
          <w:lang w:val="en-NZ"/>
        </w:rPr>
        <w:t xml:space="preserve"> over the window </w:t>
      </w:r>
      <w:r w:rsidR="00255AE9" w:rsidRPr="00FA747B">
        <w:rPr>
          <w:rFonts w:cs="Times New Roman"/>
          <w:i/>
          <w:szCs w:val="24"/>
          <w:lang w:val="en-NZ"/>
        </w:rPr>
        <w:t xml:space="preserve">q </w:t>
      </w:r>
      <w:r w:rsidR="00255AE9" w:rsidRPr="00FA747B">
        <w:rPr>
          <w:rFonts w:cs="Times New Roman"/>
          <w:szCs w:val="24"/>
          <w:lang w:val="en-NZ"/>
        </w:rPr>
        <w:t xml:space="preserve">to </w:t>
      </w:r>
      <w:r w:rsidR="00255AE9" w:rsidRPr="00FA747B">
        <w:rPr>
          <w:rFonts w:cs="Times New Roman"/>
          <w:i/>
          <w:szCs w:val="24"/>
          <w:lang w:val="en-NZ"/>
        </w:rPr>
        <w:t>s</w:t>
      </w:r>
      <w:r w:rsidR="00255AE9" w:rsidRPr="00FA747B">
        <w:rPr>
          <w:rFonts w:cs="Times New Roman"/>
          <w:szCs w:val="24"/>
          <w:lang w:val="en-NZ"/>
        </w:rPr>
        <w:t xml:space="preserve">, calculated as per </w:t>
      </w:r>
      <w:r w:rsidR="004E3CD2">
        <w:rPr>
          <w:rFonts w:cs="Times New Roman"/>
          <w:szCs w:val="24"/>
          <w:lang w:val="en-NZ"/>
        </w:rPr>
        <w:t>(</w:t>
      </w:r>
      <w:r w:rsidR="00255AE9" w:rsidRPr="00FA747B">
        <w:rPr>
          <w:rFonts w:cs="Times New Roman"/>
          <w:szCs w:val="24"/>
          <w:lang w:val="en-NZ"/>
        </w:rPr>
        <w:t>2</w:t>
      </w:r>
      <w:r w:rsidR="004E3CD2">
        <w:rPr>
          <w:rFonts w:cs="Times New Roman"/>
          <w:szCs w:val="24"/>
          <w:lang w:val="en-NZ"/>
        </w:rPr>
        <w:t>)</w:t>
      </w:r>
      <w:r w:rsidR="00255AE9" w:rsidRPr="00FA747B">
        <w:rPr>
          <w:rFonts w:cs="Times New Roman"/>
          <w:szCs w:val="24"/>
          <w:lang w:val="en-NZ"/>
        </w:rPr>
        <w:t>.</w:t>
      </w:r>
      <w:r w:rsidR="007D5FBA">
        <w:rPr>
          <w:rFonts w:cs="Times New Roman"/>
          <w:szCs w:val="24"/>
          <w:lang w:val="en-NZ"/>
        </w:rPr>
        <w:t xml:space="preserve"> </w:t>
      </w:r>
      <w:r w:rsidR="00FF423F" w:rsidRPr="00FA747B">
        <w:rPr>
          <w:rFonts w:cs="Times New Roman"/>
          <w:i/>
          <w:szCs w:val="24"/>
          <w:lang w:val="en-NZ"/>
        </w:rPr>
        <w:t>Initia</w:t>
      </w:r>
      <w:r w:rsidR="00FF423F">
        <w:rPr>
          <w:rFonts w:cs="Times New Roman"/>
          <w:i/>
          <w:szCs w:val="24"/>
          <w:lang w:val="en-NZ"/>
        </w:rPr>
        <w:t>l</w:t>
      </w:r>
      <w:r w:rsidR="00FF423F">
        <w:rPr>
          <w:rFonts w:cs="Times New Roman"/>
          <w:szCs w:val="24"/>
          <w:lang w:val="en-NZ"/>
        </w:rPr>
        <w:t xml:space="preserve"> r</w:t>
      </w:r>
      <w:r w:rsidR="00FF423F" w:rsidRPr="00FA747B">
        <w:rPr>
          <w:rFonts w:cs="Times New Roman"/>
          <w:szCs w:val="24"/>
          <w:lang w:val="en-NZ"/>
        </w:rPr>
        <w:t xml:space="preserve">epresents a </w:t>
      </w:r>
      <w:r w:rsidR="00FF423F">
        <w:rPr>
          <w:rFonts w:cs="Times New Roman"/>
          <w:szCs w:val="24"/>
          <w:lang w:val="en-NZ"/>
        </w:rPr>
        <w:t>binary variable capturing</w:t>
      </w:r>
      <w:r w:rsidR="00FF423F" w:rsidRPr="00FA747B">
        <w:rPr>
          <w:rFonts w:cs="Times New Roman"/>
          <w:szCs w:val="24"/>
          <w:lang w:val="en-NZ"/>
        </w:rPr>
        <w:t xml:space="preserve"> </w:t>
      </w:r>
      <w:r w:rsidR="00FF423F">
        <w:rPr>
          <w:rFonts w:cs="Times New Roman"/>
          <w:szCs w:val="24"/>
          <w:lang w:val="en-NZ"/>
        </w:rPr>
        <w:t>whether</w:t>
      </w:r>
      <w:r w:rsidR="00FF423F" w:rsidRPr="00FA747B">
        <w:rPr>
          <w:rFonts w:cs="Times New Roman"/>
          <w:szCs w:val="24"/>
          <w:lang w:val="en-NZ"/>
        </w:rPr>
        <w:t xml:space="preserve"> the loan is an initial loan</w:t>
      </w:r>
      <w:r w:rsidR="00FF423F">
        <w:rPr>
          <w:rFonts w:cs="Times New Roman"/>
          <w:szCs w:val="24"/>
          <w:lang w:val="en-NZ"/>
        </w:rPr>
        <w:t>. An initial loan is defined as the first loan a firm obtains as it changes its capital structure from a zero-leverage fi</w:t>
      </w:r>
      <w:r w:rsidR="00A837F9">
        <w:rPr>
          <w:rFonts w:cs="Times New Roman"/>
          <w:szCs w:val="24"/>
          <w:lang w:val="en-NZ"/>
        </w:rPr>
        <w:t>rm to a positive leverage firm.</w:t>
      </w:r>
      <w:r w:rsidR="004E3CD2">
        <w:rPr>
          <w:rFonts w:cs="Times New Roman"/>
          <w:i/>
          <w:szCs w:val="24"/>
          <w:lang w:val="en-NZ"/>
        </w:rPr>
        <w:t xml:space="preserve"> </w:t>
      </w:r>
      <w:proofErr w:type="spellStart"/>
      <w:r w:rsidR="00FF423F">
        <w:rPr>
          <w:rFonts w:cs="Times New Roman"/>
          <w:i/>
          <w:szCs w:val="24"/>
          <w:lang w:val="en-NZ"/>
        </w:rPr>
        <w:t>FirstAnn</w:t>
      </w:r>
      <w:proofErr w:type="spellEnd"/>
      <w:r w:rsidR="00FF423F">
        <w:rPr>
          <w:rFonts w:cs="Times New Roman"/>
          <w:szCs w:val="24"/>
          <w:lang w:val="en-NZ"/>
        </w:rPr>
        <w:t xml:space="preserve"> is a binary variable equal to one if the announcement is the first announcement regarding a particular loan. </w:t>
      </w:r>
      <w:proofErr w:type="spellStart"/>
      <w:r w:rsidR="00FF423F">
        <w:rPr>
          <w:rFonts w:cs="Times New Roman"/>
          <w:i/>
          <w:szCs w:val="24"/>
          <w:lang w:val="en-NZ"/>
        </w:rPr>
        <w:t>FirstAnn</w:t>
      </w:r>
      <w:proofErr w:type="spellEnd"/>
      <w:r w:rsidR="00FF423F">
        <w:rPr>
          <w:rFonts w:cs="Times New Roman"/>
          <w:szCs w:val="24"/>
          <w:lang w:val="en-NZ"/>
        </w:rPr>
        <w:t xml:space="preserve"> is predicted to be positively associated with abnormal returns, as the first announcement made to the market regarding a loan should contain the most new, and price sensitive information.</w:t>
      </w:r>
      <w:r w:rsidR="004E3CD2">
        <w:rPr>
          <w:rFonts w:cs="Times New Roman"/>
          <w:i/>
          <w:szCs w:val="24"/>
          <w:lang w:val="en-NZ"/>
        </w:rPr>
        <w:t xml:space="preserve"> </w:t>
      </w:r>
      <w:proofErr w:type="spellStart"/>
      <w:r w:rsidR="00F55928">
        <w:rPr>
          <w:rFonts w:cs="Times New Roman"/>
          <w:i/>
          <w:szCs w:val="24"/>
          <w:lang w:val="en-NZ"/>
        </w:rPr>
        <w:t>Ln</w:t>
      </w:r>
      <w:r w:rsidR="00F55928" w:rsidRPr="00FA747B">
        <w:rPr>
          <w:rFonts w:cs="Times New Roman"/>
          <w:i/>
          <w:szCs w:val="24"/>
          <w:lang w:val="en-NZ"/>
        </w:rPr>
        <w:t>Amount</w:t>
      </w:r>
      <w:proofErr w:type="spellEnd"/>
      <w:r w:rsidR="00F55928" w:rsidRPr="00FA747B">
        <w:rPr>
          <w:rFonts w:cs="Times New Roman"/>
          <w:i/>
          <w:szCs w:val="24"/>
          <w:lang w:val="en-NZ"/>
        </w:rPr>
        <w:t xml:space="preserve"> </w:t>
      </w:r>
      <w:r w:rsidR="00F55928">
        <w:rPr>
          <w:rFonts w:cs="Times New Roman"/>
          <w:szCs w:val="24"/>
          <w:lang w:val="en-NZ"/>
        </w:rPr>
        <w:t xml:space="preserve">is calculated as the dollar amount of borrowed funds scaled by the borrowing firm’s total assets in the period prior to the loan announcement. A positive association is expected between the amount of funds borrowed and </w:t>
      </w:r>
      <w:r w:rsidR="00F55928">
        <w:rPr>
          <w:rFonts w:cs="Times New Roman"/>
          <w:szCs w:val="24"/>
          <w:lang w:val="en-NZ"/>
        </w:rPr>
        <w:lastRenderedPageBreak/>
        <w:t>the abnormal market reaction. A larger loan represents a stronger vote in confidence of the firm’s creditworthiness by the bank, and signals positive news about the firm.</w:t>
      </w:r>
    </w:p>
    <w:p w:rsidR="007D5FBA" w:rsidRDefault="00F55928" w:rsidP="00AD74FF">
      <w:pPr>
        <w:tabs>
          <w:tab w:val="left" w:pos="680"/>
        </w:tabs>
        <w:spacing w:after="0"/>
        <w:jc w:val="both"/>
        <w:rPr>
          <w:rFonts w:cs="Times New Roman"/>
          <w:szCs w:val="24"/>
          <w:lang w:val="en-NZ"/>
        </w:rPr>
      </w:pPr>
      <w:proofErr w:type="gramStart"/>
      <w:r>
        <w:rPr>
          <w:rFonts w:cs="Times New Roman"/>
          <w:i/>
          <w:szCs w:val="24"/>
          <w:lang w:val="en-NZ"/>
        </w:rPr>
        <w:t>Lenders</w:t>
      </w:r>
      <w:r w:rsidR="00A837F9">
        <w:rPr>
          <w:rFonts w:cs="Times New Roman"/>
          <w:szCs w:val="24"/>
          <w:lang w:val="en-NZ"/>
        </w:rPr>
        <w:t xml:space="preserve"> </w:t>
      </w:r>
      <w:r>
        <w:rPr>
          <w:rFonts w:cs="Times New Roman"/>
          <w:szCs w:val="24"/>
          <w:lang w:val="en-NZ"/>
        </w:rPr>
        <w:t>is</w:t>
      </w:r>
      <w:proofErr w:type="gramEnd"/>
      <w:r>
        <w:rPr>
          <w:rFonts w:cs="Times New Roman"/>
          <w:szCs w:val="24"/>
          <w:lang w:val="en-NZ"/>
        </w:rPr>
        <w:t xml:space="preserve"> the number of lenders mentioned in the bank loan announcement. A negative association is expected between the number of lenders and abnormal returns. As the number of lenders increases, the ability of banks to renegotiate debt when a firm is distressed decreases </w:t>
      </w:r>
      <w:r>
        <w:rPr>
          <w:rFonts w:cs="Times New Roman"/>
          <w:szCs w:val="24"/>
          <w:lang w:val="en-NZ"/>
        </w:rPr>
        <w:fldChar w:fldCharType="begin"/>
      </w:r>
      <w:r>
        <w:rPr>
          <w:rFonts w:cs="Times New Roman"/>
          <w:szCs w:val="24"/>
          <w:lang w:val="en-NZ"/>
        </w:rPr>
        <w:instrText xml:space="preserve"> ADDIN EN.CITE &lt;EndNote&gt;&lt;Cite&gt;&lt;Author&gt;Preece&lt;/Author&gt;&lt;Year&gt;1996&lt;/Year&gt;&lt;RecNum&gt;85&lt;/RecNum&gt;&lt;DisplayText&gt;(Preece &amp;amp; Mullineaux 1996)&lt;/DisplayText&gt;&lt;record&gt;&lt;rec-number&gt;85&lt;/rec-number&gt;&lt;foreign-keys&gt;&lt;key app="EN" db-id="xpprp0f0rzw05ved0s9xwzaqtxz0v9sfawwv"&gt;85&lt;/key&gt;&lt;/foreign-keys&gt;&lt;ref-type name="Journal Article"&gt;17&lt;/ref-type&gt;&lt;contributors&gt;&lt;authors&gt;&lt;author&gt;Preece, Dianna&lt;/author&gt;&lt;author&gt;Mullineaux, Donald J.&lt;/author&gt;&lt;/authors&gt;&lt;/contributors&gt;&lt;titles&gt;&lt;title&gt;Monitoring, loan renegotiability, and firm value: The role of lending syndicates&lt;/title&gt;&lt;secondary-title&gt;Journal of Banking &amp;amp; Finance&lt;/secondary-title&gt;&lt;/titles&gt;&lt;periodical&gt;&lt;full-title&gt;Journal of Banking &amp;amp; Finance&lt;/full-title&gt;&lt;/periodical&gt;&lt;pages&gt;577-593&lt;/pages&gt;&lt;volume&gt;20&lt;/volume&gt;&lt;number&gt;3&lt;/number&gt;&lt;keywords&gt;&lt;keyword&gt;Bank loans&lt;/keyword&gt;&lt;keyword&gt;Monitoring&lt;/keyword&gt;&lt;keyword&gt;Loan renegotiations&lt;/keyword&gt;&lt;keyword&gt;Syndicates&lt;/keyword&gt;&lt;keyword&gt;Contracting costs&lt;/keyword&gt;&lt;/keywords&gt;&lt;dates&gt;&lt;year&gt;1996&lt;/year&gt;&lt;pub-dates&gt;&lt;date&gt;4//&lt;/date&gt;&lt;/pub-dates&gt;&lt;/dates&gt;&lt;isbn&gt;0378-4266&lt;/isbn&gt;&lt;urls&gt;&lt;related-urls&gt;&lt;url&gt;http://www.sciencedirect.com/science/article/pii/0378426695000062&lt;/url&gt;&lt;/related-urls&gt;&lt;/urls&gt;&lt;electronic-resource-num&gt;http://dx.doi.org/10.1016/0378-4266(95)00006-2&lt;/electronic-resource-num&gt;&lt;/record&gt;&lt;/Cite&gt;&lt;/EndNote&gt;</w:instrText>
      </w:r>
      <w:r>
        <w:rPr>
          <w:rFonts w:cs="Times New Roman"/>
          <w:szCs w:val="24"/>
          <w:lang w:val="en-NZ"/>
        </w:rPr>
        <w:fldChar w:fldCharType="separate"/>
      </w:r>
      <w:r>
        <w:rPr>
          <w:rFonts w:cs="Times New Roman"/>
          <w:noProof/>
          <w:szCs w:val="24"/>
          <w:lang w:val="en-NZ"/>
        </w:rPr>
        <w:t>(</w:t>
      </w:r>
      <w:hyperlink w:anchor="_ENREF_83" w:tooltip="Preece, 1996 #85" w:history="1">
        <w:r w:rsidR="005B6334">
          <w:rPr>
            <w:rFonts w:cs="Times New Roman"/>
            <w:noProof/>
            <w:szCs w:val="24"/>
            <w:lang w:val="en-NZ"/>
          </w:rPr>
          <w:t>Preece &amp; Mullineaux 1996</w:t>
        </w:r>
      </w:hyperlink>
      <w:r>
        <w:rPr>
          <w:rFonts w:cs="Times New Roman"/>
          <w:noProof/>
          <w:szCs w:val="24"/>
          <w:lang w:val="en-NZ"/>
        </w:rPr>
        <w:t>)</w:t>
      </w:r>
      <w:r>
        <w:rPr>
          <w:rFonts w:cs="Times New Roman"/>
          <w:szCs w:val="24"/>
          <w:lang w:val="en-NZ"/>
        </w:rPr>
        <w:fldChar w:fldCharType="end"/>
      </w:r>
      <w:r>
        <w:rPr>
          <w:rFonts w:cs="Times New Roman"/>
          <w:szCs w:val="24"/>
          <w:lang w:val="en-NZ"/>
        </w:rPr>
        <w:t>.</w:t>
      </w:r>
      <w:r w:rsidR="004E3CD2">
        <w:rPr>
          <w:rFonts w:cs="Times New Roman"/>
          <w:i/>
          <w:szCs w:val="24"/>
          <w:lang w:val="en-NZ"/>
        </w:rPr>
        <w:t xml:space="preserve"> </w:t>
      </w:r>
      <w:r>
        <w:rPr>
          <w:rFonts w:cs="Times New Roman"/>
          <w:i/>
          <w:szCs w:val="24"/>
          <w:lang w:val="en-NZ"/>
        </w:rPr>
        <w:t>Hedge</w:t>
      </w:r>
      <w:r>
        <w:rPr>
          <w:rFonts w:cs="Times New Roman"/>
          <w:szCs w:val="24"/>
          <w:lang w:val="en-NZ"/>
        </w:rPr>
        <w:t xml:space="preserve"> is a binary variable equal to 1 if it is disclosed within the bank loan announcement that commodity or foreign exchange hedging is required before a loan agreement can be completed. Hedging might have a positive or negative sign. On the positive side, hedging improves certainty regarding future firm cash flows and lowers firm risk, especially where the project has a high cost of production. However equity investors may potentially lose any upside or option value from commodity price fluctuations and consider it a burden on future profitability in times of rising commodity prices.</w:t>
      </w:r>
      <w:r w:rsidR="004E3CD2">
        <w:rPr>
          <w:rFonts w:cs="Times New Roman"/>
          <w:i/>
          <w:szCs w:val="24"/>
          <w:lang w:val="en-NZ"/>
        </w:rPr>
        <w:t xml:space="preserve"> </w:t>
      </w:r>
      <w:proofErr w:type="spellStart"/>
      <w:r>
        <w:rPr>
          <w:rFonts w:cs="Times New Roman"/>
          <w:i/>
          <w:szCs w:val="24"/>
          <w:lang w:val="en-NZ"/>
        </w:rPr>
        <w:t>BankEquity</w:t>
      </w:r>
      <w:proofErr w:type="spellEnd"/>
      <w:r>
        <w:rPr>
          <w:rFonts w:cs="Times New Roman"/>
          <w:szCs w:val="24"/>
          <w:lang w:val="en-NZ"/>
        </w:rPr>
        <w:t xml:space="preserve"> is a binary variable equal to 1 if it is disclosed within the bank loan announcement that the bank owns shares, warrants or options in the borrowing firm. A positive association is predicted between banks holding equity in the firm and providing a loan. If a bank holds an equity position, it is a signal that they believe the firm has potential upside.</w:t>
      </w:r>
      <w:r w:rsidR="004E3CD2">
        <w:rPr>
          <w:rFonts w:cs="Times New Roman"/>
          <w:i/>
          <w:szCs w:val="24"/>
          <w:lang w:val="en-NZ"/>
        </w:rPr>
        <w:t xml:space="preserve"> </w:t>
      </w:r>
      <w:proofErr w:type="spellStart"/>
      <w:r>
        <w:rPr>
          <w:rFonts w:cs="Times New Roman"/>
          <w:i/>
          <w:szCs w:val="24"/>
          <w:lang w:val="en-NZ"/>
        </w:rPr>
        <w:t>EquityRaise</w:t>
      </w:r>
      <w:proofErr w:type="spellEnd"/>
      <w:r>
        <w:rPr>
          <w:rFonts w:cs="Times New Roman"/>
          <w:szCs w:val="24"/>
          <w:lang w:val="en-NZ"/>
        </w:rPr>
        <w:t xml:space="preserve"> is a binary variable equal to 1 if it is disclosed within the bank loan announcement that the bank requires the borrowing firm to raise further equity before a loan agreement can be completed. If a bank loan is dependent on the firm issuing more equity, a negative coefficient is expected as equity raisings are associated with negative share price reactions </w:t>
      </w:r>
      <w:r>
        <w:rPr>
          <w:rFonts w:cs="Times New Roman"/>
          <w:szCs w:val="24"/>
          <w:lang w:val="en-NZ"/>
        </w:rPr>
        <w:fldChar w:fldCharType="begin"/>
      </w:r>
      <w:r>
        <w:rPr>
          <w:rFonts w:cs="Times New Roman"/>
          <w:szCs w:val="24"/>
          <w:lang w:val="en-NZ"/>
        </w:rPr>
        <w:instrText xml:space="preserve"> ADDIN EN.CITE &lt;EndNote&gt;&lt;Cite&gt;&lt;Author&gt;Mikkelson&lt;/Author&gt;&lt;Year&gt;1986&lt;/Year&gt;&lt;RecNum&gt;3&lt;/RecNum&gt;&lt;DisplayText&gt;(Mikkelson &amp;amp; Partch 1986)&lt;/DisplayText&gt;&lt;record&gt;&lt;rec-number&gt;3&lt;/rec-number&gt;&lt;foreign-keys&gt;&lt;key app="EN" db-id="xpprp0f0rzw05ved0s9xwzaqtxz0v9sfawwv"&gt;3&lt;/key&gt;&lt;/foreign-keys&gt;&lt;ref-type name="Journal Article"&gt;17&lt;/ref-type&gt;&lt;contributors&gt;&lt;authors&gt;&lt;author&gt;Mikkelson, Wayne H.&lt;/author&gt;&lt;author&gt;Partch, M. Megan&lt;/author&gt;&lt;/authors&gt;&lt;/contributors&gt;&lt;titles&gt;&lt;title&gt;Valuation effects of security offerings and the issuance process&lt;/title&gt;&lt;secondary-title&gt;Journal of Financial Economics&lt;/secondary-title&gt;&lt;/titles&gt;&lt;periodical&gt;&lt;full-title&gt;Journal of Financial Economics&lt;/full-title&gt;&lt;/periodical&gt;&lt;pages&gt;31-60&lt;/pages&gt;&lt;volume&gt;15&lt;/volume&gt;&lt;number&gt;1–2&lt;/number&gt;&lt;keywords&gt;&lt;keyword&gt;Security Issuance Event Study&lt;/keyword&gt;&lt;/keywords&gt;&lt;dates&gt;&lt;year&gt;1986&lt;/year&gt;&lt;/dates&gt;&lt;isbn&gt;0304-405X&lt;/isbn&gt;&lt;urls&gt;&lt;related-urls&gt;&lt;url&gt;http://www.sciencedirect.com/science/article/pii/0304405X86900498&lt;/url&gt;&lt;/related-urls&gt;&lt;/urls&gt;&lt;electronic-resource-num&gt;10.1016/0304-405x(86)90049-8&lt;/electronic-resource-num&gt;&lt;access-date&gt;1986/2//&lt;/access-date&gt;&lt;/record&gt;&lt;/Cite&gt;&lt;/EndNote&gt;</w:instrText>
      </w:r>
      <w:r>
        <w:rPr>
          <w:rFonts w:cs="Times New Roman"/>
          <w:szCs w:val="24"/>
          <w:lang w:val="en-NZ"/>
        </w:rPr>
        <w:fldChar w:fldCharType="separate"/>
      </w:r>
      <w:r>
        <w:rPr>
          <w:rFonts w:cs="Times New Roman"/>
          <w:noProof/>
          <w:szCs w:val="24"/>
          <w:lang w:val="en-NZ"/>
        </w:rPr>
        <w:t>(</w:t>
      </w:r>
      <w:hyperlink w:anchor="_ENREF_78" w:tooltip="Mikkelson, 1986 #3" w:history="1">
        <w:r w:rsidR="005B6334">
          <w:rPr>
            <w:rFonts w:cs="Times New Roman"/>
            <w:noProof/>
            <w:szCs w:val="24"/>
            <w:lang w:val="en-NZ"/>
          </w:rPr>
          <w:t>Mikkelson &amp; Partch 1986</w:t>
        </w:r>
      </w:hyperlink>
      <w:r>
        <w:rPr>
          <w:rFonts w:cs="Times New Roman"/>
          <w:noProof/>
          <w:szCs w:val="24"/>
          <w:lang w:val="en-NZ"/>
        </w:rPr>
        <w:t>)</w:t>
      </w:r>
      <w:r>
        <w:rPr>
          <w:rFonts w:cs="Times New Roman"/>
          <w:szCs w:val="24"/>
          <w:lang w:val="en-NZ"/>
        </w:rPr>
        <w:fldChar w:fldCharType="end"/>
      </w:r>
      <w:r>
        <w:rPr>
          <w:rFonts w:cs="Times New Roman"/>
          <w:szCs w:val="24"/>
          <w:lang w:val="en-NZ"/>
        </w:rPr>
        <w:t>.</w:t>
      </w:r>
    </w:p>
    <w:p w:rsidR="00F55928" w:rsidRPr="00F55928" w:rsidRDefault="00364A8C" w:rsidP="00B47653">
      <w:pPr>
        <w:tabs>
          <w:tab w:val="left" w:pos="680"/>
        </w:tabs>
        <w:spacing w:after="0"/>
        <w:jc w:val="both"/>
        <w:rPr>
          <w:rFonts w:cs="Times New Roman"/>
          <w:szCs w:val="24"/>
          <w:lang w:val="en-NZ"/>
        </w:rPr>
      </w:pPr>
      <w:proofErr w:type="spellStart"/>
      <w:r>
        <w:rPr>
          <w:rFonts w:cs="Times New Roman"/>
          <w:i/>
          <w:szCs w:val="24"/>
          <w:lang w:val="en-NZ"/>
        </w:rPr>
        <w:t>LnMCAP</w:t>
      </w:r>
      <w:proofErr w:type="spellEnd"/>
      <w:r>
        <w:rPr>
          <w:rFonts w:cs="Times New Roman"/>
          <w:szCs w:val="24"/>
          <w:lang w:val="en-NZ"/>
        </w:rPr>
        <w:t xml:space="preserve"> measures firm size and is calculated as</w:t>
      </w:r>
      <w:r w:rsidRPr="00FA747B">
        <w:rPr>
          <w:rFonts w:cs="Times New Roman"/>
          <w:szCs w:val="24"/>
          <w:lang w:val="en-NZ"/>
        </w:rPr>
        <w:t xml:space="preserve"> the natural logarithm of the firm’s market capitalisation 5 days before the bank loan announcement.</w:t>
      </w:r>
      <w:r>
        <w:rPr>
          <w:rFonts w:cs="Times New Roman"/>
          <w:szCs w:val="24"/>
          <w:lang w:val="en-NZ"/>
        </w:rPr>
        <w:t xml:space="preserve"> Firm s</w:t>
      </w:r>
      <w:r w:rsidRPr="001F3340">
        <w:rPr>
          <w:rFonts w:cs="Times New Roman"/>
          <w:szCs w:val="24"/>
          <w:lang w:val="en-NZ"/>
        </w:rPr>
        <w:t>ize</w:t>
      </w:r>
      <w:r>
        <w:rPr>
          <w:rFonts w:cs="Times New Roman"/>
          <w:i/>
          <w:szCs w:val="24"/>
          <w:lang w:val="en-NZ"/>
        </w:rPr>
        <w:t xml:space="preserve"> </w:t>
      </w:r>
      <w:r>
        <w:rPr>
          <w:rFonts w:cs="Times New Roman"/>
          <w:szCs w:val="24"/>
          <w:lang w:val="en-NZ"/>
        </w:rPr>
        <w:t xml:space="preserve">is expected to have a negative relation with abnormal returns. Smaller firms are </w:t>
      </w:r>
      <w:r w:rsidR="006356B6">
        <w:rPr>
          <w:rFonts w:cs="Times New Roman"/>
          <w:szCs w:val="24"/>
          <w:lang w:val="en-NZ"/>
        </w:rPr>
        <w:t>expect</w:t>
      </w:r>
      <w:r w:rsidR="00506C2B">
        <w:rPr>
          <w:rFonts w:cs="Times New Roman"/>
          <w:szCs w:val="24"/>
          <w:lang w:val="en-NZ"/>
        </w:rPr>
        <w:t>e</w:t>
      </w:r>
      <w:r w:rsidR="006356B6">
        <w:rPr>
          <w:rFonts w:cs="Times New Roman"/>
          <w:szCs w:val="24"/>
          <w:lang w:val="en-NZ"/>
        </w:rPr>
        <w:t xml:space="preserve">d to </w:t>
      </w:r>
      <w:r>
        <w:rPr>
          <w:rFonts w:cs="Times New Roman"/>
          <w:szCs w:val="24"/>
          <w:lang w:val="en-NZ"/>
        </w:rPr>
        <w:t>hav</w:t>
      </w:r>
      <w:r w:rsidR="006356B6">
        <w:rPr>
          <w:rFonts w:cs="Times New Roman"/>
          <w:szCs w:val="24"/>
          <w:lang w:val="en-NZ"/>
        </w:rPr>
        <w:t>e</w:t>
      </w:r>
      <w:r>
        <w:rPr>
          <w:rFonts w:cs="Times New Roman"/>
          <w:szCs w:val="24"/>
          <w:lang w:val="en-NZ"/>
        </w:rPr>
        <w:t xml:space="preserve"> higher levels of information asymmetry and benefit more </w:t>
      </w:r>
      <w:r w:rsidR="00506C2B">
        <w:rPr>
          <w:rFonts w:cs="Times New Roman"/>
          <w:szCs w:val="24"/>
          <w:lang w:val="en-NZ"/>
        </w:rPr>
        <w:t xml:space="preserve">from </w:t>
      </w:r>
      <w:r>
        <w:rPr>
          <w:rFonts w:cs="Times New Roman"/>
          <w:szCs w:val="24"/>
          <w:lang w:val="en-NZ"/>
        </w:rPr>
        <w:t xml:space="preserve">bank finance </w:t>
      </w:r>
      <w:r w:rsidR="006356B6">
        <w:rPr>
          <w:rFonts w:cs="Times New Roman"/>
          <w:szCs w:val="24"/>
          <w:lang w:val="en-NZ"/>
        </w:rPr>
        <w:t xml:space="preserve">signals </w:t>
      </w:r>
      <w:r>
        <w:rPr>
          <w:rFonts w:cs="Times New Roman"/>
          <w:szCs w:val="24"/>
          <w:lang w:val="en-NZ"/>
        </w:rPr>
        <w:fldChar w:fldCharType="begin">
          <w:fldData xml:space="preserve">PEVuZE5vdGU+PENpdGU+PEF1dGhvcj5TbG92aW48L0F1dGhvcj48WWVhcj4xOTkyPC9ZZWFyPjxS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=
</w:fldData>
        </w:fldChar>
      </w:r>
      <w:r w:rsidR="003A641D">
        <w:rPr>
          <w:rFonts w:cs="Times New Roman"/>
          <w:szCs w:val="24"/>
          <w:lang w:val="en-NZ"/>
        </w:rPr>
        <w:instrText xml:space="preserve"> ADDIN EN.CITE </w:instrText>
      </w:r>
      <w:r w:rsidR="003A641D">
        <w:rPr>
          <w:rFonts w:cs="Times New Roman"/>
          <w:szCs w:val="24"/>
          <w:lang w:val="en-NZ"/>
        </w:rPr>
        <w:fldChar w:fldCharType="begin">
          <w:fldData xml:space="preserve">PEVuZE5vdGU+PENpdGU+PEF1dGhvcj5TbG92aW48L0F1dGhvcj48WWVhcj4xOTkyPC9ZZWFyPjxS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=
</w:fldData>
        </w:fldChar>
      </w:r>
      <w:r w:rsidR="003A641D">
        <w:rPr>
          <w:rFonts w:cs="Times New Roman"/>
          <w:szCs w:val="24"/>
          <w:lang w:val="en-NZ"/>
        </w:rPr>
        <w:instrText xml:space="preserve"> ADDIN EN.CITE.DATA </w:instrText>
      </w:r>
      <w:r w:rsidR="003A641D">
        <w:rPr>
          <w:rFonts w:cs="Times New Roman"/>
          <w:szCs w:val="24"/>
          <w:lang w:val="en-NZ"/>
        </w:rPr>
      </w:r>
      <w:r w:rsidR="003A641D">
        <w:rPr>
          <w:rFonts w:cs="Times New Roman"/>
          <w:szCs w:val="24"/>
          <w:lang w:val="en-NZ"/>
        </w:rPr>
        <w:fldChar w:fldCharType="end"/>
      </w:r>
      <w:r>
        <w:rPr>
          <w:rFonts w:cs="Times New Roman"/>
          <w:szCs w:val="24"/>
          <w:lang w:val="en-NZ"/>
        </w:rPr>
      </w:r>
      <w:r>
        <w:rPr>
          <w:rFonts w:cs="Times New Roman"/>
          <w:szCs w:val="24"/>
          <w:lang w:val="en-NZ"/>
        </w:rPr>
        <w:fldChar w:fldCharType="separate"/>
      </w:r>
      <w:r>
        <w:rPr>
          <w:rFonts w:cs="Times New Roman"/>
          <w:noProof/>
          <w:szCs w:val="24"/>
          <w:lang w:val="en-NZ"/>
        </w:rPr>
        <w:t>(</w:t>
      </w:r>
      <w:hyperlink w:anchor="_ENREF_42" w:tooltip="Fama, 1985 #5" w:history="1">
        <w:r w:rsidR="005B6334">
          <w:rPr>
            <w:rFonts w:cs="Times New Roman"/>
            <w:noProof/>
            <w:szCs w:val="24"/>
            <w:lang w:val="en-NZ"/>
          </w:rPr>
          <w:t>Fama 1985</w:t>
        </w:r>
      </w:hyperlink>
      <w:r>
        <w:rPr>
          <w:rFonts w:cs="Times New Roman"/>
          <w:noProof/>
          <w:szCs w:val="24"/>
          <w:lang w:val="en-NZ"/>
        </w:rPr>
        <w:t xml:space="preserve">; </w:t>
      </w:r>
      <w:hyperlink w:anchor="_ENREF_37" w:tooltip="Diamond, 1989 #8" w:history="1">
        <w:r w:rsidR="005B6334">
          <w:rPr>
            <w:rFonts w:cs="Times New Roman"/>
            <w:noProof/>
            <w:szCs w:val="24"/>
            <w:lang w:val="en-NZ"/>
          </w:rPr>
          <w:t>Diamond 1989</w:t>
        </w:r>
      </w:hyperlink>
      <w:r>
        <w:rPr>
          <w:rFonts w:cs="Times New Roman"/>
          <w:noProof/>
          <w:szCs w:val="24"/>
          <w:lang w:val="en-NZ"/>
        </w:rPr>
        <w:t xml:space="preserve">; </w:t>
      </w:r>
      <w:hyperlink w:anchor="_ENREF_91" w:tooltip="Slovin, 1992 #6" w:history="1">
        <w:r w:rsidR="005B6334">
          <w:rPr>
            <w:rFonts w:cs="Times New Roman"/>
            <w:noProof/>
            <w:szCs w:val="24"/>
            <w:lang w:val="en-NZ"/>
          </w:rPr>
          <w:t>Slovin</w:t>
        </w:r>
        <w:r w:rsidR="005B6334" w:rsidRPr="00C766AA">
          <w:rPr>
            <w:rFonts w:cs="Times New Roman"/>
            <w:i/>
            <w:noProof/>
            <w:szCs w:val="24"/>
            <w:lang w:val="en-NZ"/>
          </w:rPr>
          <w:t xml:space="preserve"> et al.</w:t>
        </w:r>
        <w:r w:rsidR="005B6334">
          <w:rPr>
            <w:rFonts w:cs="Times New Roman"/>
            <w:noProof/>
            <w:szCs w:val="24"/>
            <w:lang w:val="en-NZ"/>
          </w:rPr>
          <w:t xml:space="preserve"> 1992</w:t>
        </w:r>
      </w:hyperlink>
      <w:r>
        <w:rPr>
          <w:rFonts w:cs="Times New Roman"/>
          <w:noProof/>
          <w:szCs w:val="24"/>
          <w:lang w:val="en-NZ"/>
        </w:rPr>
        <w:t>)</w:t>
      </w:r>
      <w:r>
        <w:rPr>
          <w:rFonts w:cs="Times New Roman"/>
          <w:szCs w:val="24"/>
          <w:lang w:val="en-NZ"/>
        </w:rPr>
        <w:fldChar w:fldCharType="end"/>
      </w:r>
      <w:r>
        <w:rPr>
          <w:rFonts w:cs="Times New Roman"/>
          <w:szCs w:val="24"/>
          <w:lang w:val="en-NZ"/>
        </w:rPr>
        <w:t>.</w:t>
      </w:r>
      <w:r w:rsidR="007D5FBA">
        <w:rPr>
          <w:rFonts w:cs="Times New Roman"/>
          <w:szCs w:val="24"/>
          <w:lang w:val="en-NZ"/>
        </w:rPr>
        <w:t xml:space="preserve"> </w:t>
      </w:r>
      <w:r>
        <w:rPr>
          <w:rFonts w:cs="Times New Roman"/>
          <w:i/>
          <w:szCs w:val="24"/>
          <w:lang w:val="en-NZ"/>
        </w:rPr>
        <w:t>Loss</w:t>
      </w:r>
      <w:r>
        <w:rPr>
          <w:rFonts w:cs="Times New Roman"/>
          <w:szCs w:val="24"/>
          <w:lang w:val="en-NZ"/>
        </w:rPr>
        <w:t xml:space="preserve"> is a binary variable equal to 1 if the firm reported a net profit after tax of less than zero in the annual report prior to the bank loan announcement. Loss is expected to have a positive association with announcement returns. Firms issued </w:t>
      </w:r>
      <w:r w:rsidR="002723B2">
        <w:rPr>
          <w:rFonts w:cs="Times New Roman"/>
          <w:szCs w:val="24"/>
          <w:lang w:val="en-NZ"/>
        </w:rPr>
        <w:t xml:space="preserve">a </w:t>
      </w:r>
      <w:r>
        <w:rPr>
          <w:rFonts w:cs="Times New Roman"/>
          <w:szCs w:val="24"/>
          <w:lang w:val="en-NZ"/>
        </w:rPr>
        <w:t>loan while</w:t>
      </w:r>
      <w:r w:rsidR="002723B2">
        <w:rPr>
          <w:rFonts w:cs="Times New Roman"/>
          <w:szCs w:val="24"/>
          <w:lang w:val="en-NZ"/>
        </w:rPr>
        <w:t xml:space="preserve"> making losses</w:t>
      </w:r>
      <w:r>
        <w:rPr>
          <w:rFonts w:cs="Times New Roman"/>
          <w:szCs w:val="24"/>
          <w:lang w:val="en-NZ"/>
        </w:rPr>
        <w:t xml:space="preserve"> are likely to have a larger gain in creditworthiness if a bank signals the firm is able to pay back future loaned funds.</w:t>
      </w:r>
      <w:r w:rsidR="004E3CD2">
        <w:rPr>
          <w:rFonts w:cs="Times New Roman"/>
          <w:i/>
          <w:szCs w:val="24"/>
          <w:lang w:val="en-NZ"/>
        </w:rPr>
        <w:t xml:space="preserve"> </w:t>
      </w:r>
      <w:r w:rsidR="004E3CD2">
        <w:rPr>
          <w:rFonts w:cs="Times New Roman"/>
          <w:szCs w:val="24"/>
          <w:lang w:val="en-NZ"/>
        </w:rPr>
        <w:t xml:space="preserve">Finally, </w:t>
      </w:r>
      <w:proofErr w:type="spellStart"/>
      <w:r w:rsidR="00F55928">
        <w:rPr>
          <w:rFonts w:cs="Times New Roman"/>
          <w:i/>
          <w:szCs w:val="24"/>
          <w:lang w:val="en-NZ"/>
        </w:rPr>
        <w:t>NumAnalyst</w:t>
      </w:r>
      <w:proofErr w:type="spellEnd"/>
      <w:r w:rsidR="00F55928">
        <w:rPr>
          <w:rFonts w:cs="Times New Roman"/>
          <w:szCs w:val="24"/>
          <w:lang w:val="en-NZ"/>
        </w:rPr>
        <w:t xml:space="preserve"> is the number of analysts following firm </w:t>
      </w:r>
      <w:proofErr w:type="spellStart"/>
      <w:r w:rsidR="00F55928">
        <w:rPr>
          <w:rFonts w:cs="Times New Roman"/>
          <w:i/>
          <w:szCs w:val="24"/>
          <w:lang w:val="en-NZ"/>
        </w:rPr>
        <w:t>i</w:t>
      </w:r>
      <w:proofErr w:type="spellEnd"/>
      <w:r w:rsidR="00F55928">
        <w:rPr>
          <w:rFonts w:cs="Times New Roman"/>
          <w:i/>
          <w:szCs w:val="24"/>
          <w:lang w:val="en-NZ"/>
        </w:rPr>
        <w:t xml:space="preserve"> </w:t>
      </w:r>
      <w:r w:rsidR="00F55928">
        <w:rPr>
          <w:rFonts w:cs="Times New Roman"/>
          <w:szCs w:val="24"/>
          <w:lang w:val="en-NZ"/>
        </w:rPr>
        <w:t xml:space="preserve">on the announcement date of a loan. A negative associated between the number of analysts following a firm and its abnormal returns surrounding a bank loan announcement is predicted. An increasing number of analysts covering a firm </w:t>
      </w:r>
      <w:r w:rsidR="00BD40AF">
        <w:rPr>
          <w:rFonts w:cs="Times New Roman"/>
          <w:szCs w:val="24"/>
          <w:lang w:val="en-NZ"/>
        </w:rPr>
        <w:t>represent</w:t>
      </w:r>
      <w:r w:rsidR="00F55928">
        <w:rPr>
          <w:rFonts w:cs="Times New Roman"/>
          <w:szCs w:val="24"/>
          <w:lang w:val="en-NZ"/>
        </w:rPr>
        <w:t xml:space="preserve"> an improved information environment and reduction in information asymmetry. Bank loans are predicted to signal more information when information asymmetry is high.</w:t>
      </w:r>
    </w:p>
    <w:p w:rsidR="00673F4E" w:rsidRPr="00C6573E" w:rsidRDefault="00673F4E" w:rsidP="00C6573E">
      <w:pPr>
        <w:pStyle w:val="Heading2"/>
      </w:pPr>
      <w:bookmarkStart w:id="10" w:name="_Toc379787288"/>
      <w:r w:rsidRPr="00C6573E">
        <w:t>Informati</w:t>
      </w:r>
      <w:r w:rsidR="007B46B9" w:rsidRPr="00C6573E">
        <w:t>on a</w:t>
      </w:r>
      <w:r w:rsidRPr="00C6573E">
        <w:t>symmetry</w:t>
      </w:r>
      <w:r w:rsidR="007B46B9" w:rsidRPr="00C6573E">
        <w:t xml:space="preserve"> </w:t>
      </w:r>
      <w:bookmarkEnd w:id="10"/>
    </w:p>
    <w:p w:rsidR="006A041E" w:rsidRDefault="00D47150" w:rsidP="007D5FBA">
      <w:pPr>
        <w:pStyle w:val="NoSpacing"/>
        <w:ind w:firstLine="357"/>
      </w:pPr>
      <w:r>
        <w:t xml:space="preserve">Two </w:t>
      </w:r>
      <w:r w:rsidR="00BF6377">
        <w:t>proxies</w:t>
      </w:r>
      <w:r>
        <w:t xml:space="preserve"> are</w:t>
      </w:r>
      <w:r w:rsidR="00BF6377">
        <w:t xml:space="preserve"> </w:t>
      </w:r>
      <w:r>
        <w:t>used to measure changes in information</w:t>
      </w:r>
      <w:r w:rsidR="00FC5ACA">
        <w:t xml:space="preserve"> asymmetry</w:t>
      </w:r>
      <w:r>
        <w:t xml:space="preserve">. </w:t>
      </w:r>
      <w:r w:rsidR="004E3CD2">
        <w:t>First, t</w:t>
      </w:r>
      <w:r w:rsidR="00BF6377">
        <w:t>he bid-ask spread addresses the adverse selection problem that arises from transacting in firm shar</w:t>
      </w:r>
      <w:r w:rsidR="00C9231E">
        <w:t>es in the presence of asymmetri</w:t>
      </w:r>
      <w:r w:rsidR="00BF6377">
        <w:t>cally informed investors. Less inform</w:t>
      </w:r>
      <w:r w:rsidR="00C9231E">
        <w:t>ation asymmetry implies less ad</w:t>
      </w:r>
      <w:r w:rsidR="00BF6377">
        <w:t>verse selection, which, in turn, implies a smaller bid-ask spread</w:t>
      </w:r>
      <w:r w:rsidR="00C9231E">
        <w:t xml:space="preserve"> </w:t>
      </w:r>
      <w:r w:rsidR="001B0127">
        <w:fldChar w:fldCharType="begin"/>
      </w:r>
      <w:r w:rsidR="003A641D">
        <w:instrText xml:space="preserve"> ADDIN EN.CITE &lt;EndNote&gt;&lt;Cite&gt;&lt;Author&gt;Leuz&lt;/Author&gt;&lt;Year&gt;2000&lt;/Year&gt;&lt;RecNum&gt;125&lt;/RecNum&gt;&lt;DisplayText&gt;(Leuz &amp;amp; Verrecchia 2000)&lt;/DisplayText&gt;&lt;record&gt;&lt;rec-number&gt;125&lt;/rec-number&gt;&lt;foreign-keys&gt;&lt;key app="EN" db-id="xpprp0f0rzw05ved0s9xwzaqtxz0v9sfawwv"&gt;125&lt;/key&gt;&lt;/foreign-keys&gt;&lt;ref-type name="Journal Article"&gt;17&lt;/ref-type&gt;&lt;contributors&gt;&lt;authors&gt;&lt;author&gt;Leuz, Christian&lt;/author&gt;&lt;author&gt;Verrecchia, Robert E&lt;/author&gt;&lt;/authors&gt;&lt;/contributors&gt;&lt;titles&gt;&lt;title&gt;The economic consequences of increased disclosure&lt;/title&gt;&lt;secondary-title&gt;Journal of accounting research&lt;/secondary-title&gt;&lt;/titles&gt;&lt;periodical&gt;&lt;full-title&gt;Journal of accounting research&lt;/full-title&gt;&lt;/periodical&gt;&lt;pages&gt;91-124&lt;/pages&gt;&lt;dates&gt;&lt;year&gt;2000&lt;/year&gt;&lt;/dates&gt;&lt;isbn&gt;0021-8456&lt;/isbn&gt;&lt;urls&gt;&lt;/urls&gt;&lt;/record&gt;&lt;/Cite&gt;&lt;/EndNote&gt;</w:instrText>
      </w:r>
      <w:r w:rsidR="001B0127">
        <w:fldChar w:fldCharType="separate"/>
      </w:r>
      <w:r w:rsidR="00C9231E">
        <w:rPr>
          <w:noProof/>
        </w:rPr>
        <w:t>(</w:t>
      </w:r>
      <w:hyperlink w:anchor="_ENREF_69" w:tooltip="Leuz, 2000 #125" w:history="1">
        <w:r w:rsidR="005B6334">
          <w:rPr>
            <w:noProof/>
          </w:rPr>
          <w:t>Leuz &amp; Verrecchia 2000</w:t>
        </w:r>
      </w:hyperlink>
      <w:r w:rsidR="00C9231E">
        <w:rPr>
          <w:noProof/>
        </w:rPr>
        <w:t>)</w:t>
      </w:r>
      <w:r w:rsidR="001B0127">
        <w:fldChar w:fldCharType="end"/>
      </w:r>
      <w:r w:rsidR="00BF6377">
        <w:t>.</w:t>
      </w:r>
      <w:r>
        <w:t xml:space="preserve"> Second, t</w:t>
      </w:r>
      <w:r w:rsidR="00BF6377">
        <w:t>rading volume is a measure of liquidity</w:t>
      </w:r>
      <w:r w:rsidR="006A041E">
        <w:t xml:space="preserve"> </w:t>
      </w:r>
      <w:r w:rsidR="00AE0127">
        <w:t>that captures the willingness of some investors who hold firm shares to sell and the willingness of others to buy. This willingness to transact in firm shares should be inversely rela</w:t>
      </w:r>
      <w:r w:rsidR="006A041E">
        <w:t>ted to the existence of informa</w:t>
      </w:r>
      <w:r w:rsidR="00AE0127">
        <w:t>tion asymmetries</w:t>
      </w:r>
      <w:r w:rsidR="00EE3F0A">
        <w:t xml:space="preserve"> </w:t>
      </w:r>
      <w:r w:rsidR="001B0127">
        <w:fldChar w:fldCharType="begin"/>
      </w:r>
      <w:r w:rsidR="003A641D">
        <w:instrText xml:space="preserve"> ADDIN EN.CITE &lt;EndNote&gt;&lt;Cite&gt;&lt;Author&gt;Leuz&lt;/Author&gt;&lt;Year&gt;2000&lt;/Year&gt;&lt;RecNum&gt;125&lt;/RecNum&gt;&lt;DisplayText&gt;(Leuz &amp;amp; Verrecchia 2000)&lt;/DisplayText&gt;&lt;record&gt;&lt;rec-number&gt;125&lt;/rec-number&gt;&lt;foreign-keys&gt;&lt;key app="EN" db-id="xpprp0f0rzw05ved0s9xwzaqtxz0v9sfawwv"&gt;125&lt;/key&gt;&lt;/foreign-keys&gt;&lt;ref-type name="Journal Article"&gt;17&lt;/ref-type&gt;&lt;contributors&gt;&lt;authors&gt;&lt;author&gt;Leuz, Christian&lt;/author&gt;&lt;author&gt;Verrecchia, Robert E&lt;/author&gt;&lt;/authors&gt;&lt;/contributors&gt;&lt;titles&gt;&lt;title&gt;The economic consequences of increased disclosure&lt;/title&gt;&lt;secondary-title&gt;Journal of accounting research&lt;/secondary-title&gt;&lt;/titles&gt;&lt;periodical&gt;&lt;full-title&gt;Journal of accounting research&lt;/full-title&gt;&lt;/periodical&gt;&lt;pages&gt;91-124&lt;/pages&gt;&lt;dates&gt;&lt;year&gt;2000&lt;/year&gt;&lt;/dates&gt;&lt;isbn&gt;0021-8456&lt;/isbn&gt;&lt;urls&gt;&lt;/urls&gt;&lt;/record&gt;&lt;/Cite&gt;&lt;/EndNote&gt;</w:instrText>
      </w:r>
      <w:r w:rsidR="001B0127">
        <w:fldChar w:fldCharType="separate"/>
      </w:r>
      <w:r w:rsidR="00EE3F0A">
        <w:rPr>
          <w:noProof/>
        </w:rPr>
        <w:t>(</w:t>
      </w:r>
      <w:hyperlink w:anchor="_ENREF_69" w:tooltip="Leuz, 2000 #125" w:history="1">
        <w:r w:rsidR="005B6334">
          <w:rPr>
            <w:noProof/>
          </w:rPr>
          <w:t>Leuz &amp; Verrecchia 2000</w:t>
        </w:r>
      </w:hyperlink>
      <w:r w:rsidR="00EE3F0A">
        <w:rPr>
          <w:noProof/>
        </w:rPr>
        <w:t>)</w:t>
      </w:r>
      <w:r w:rsidR="001B0127">
        <w:fldChar w:fldCharType="end"/>
      </w:r>
      <w:r w:rsidR="00AE0127">
        <w:t xml:space="preserve">. </w:t>
      </w:r>
      <w:r w:rsidR="006A041E" w:rsidRPr="003802B4">
        <w:t xml:space="preserve">When investors’ beliefs converge about the value of the firm, there is an increase in trading </w:t>
      </w:r>
      <w:r w:rsidR="006A041E">
        <w:t>turnover</w:t>
      </w:r>
      <w:r w:rsidR="006A041E" w:rsidRPr="003802B4">
        <w:t xml:space="preserve"> in the firm’s stock </w:t>
      </w:r>
      <w:r w:rsidR="001B0127">
        <w:fldChar w:fldCharType="begin"/>
      </w:r>
      <w:r w:rsidR="003A641D">
        <w:instrText xml:space="preserve"> ADDIN EN.CITE &lt;EndNote&gt;&lt;Cite&gt;&lt;Author&gt;Diamond&lt;/Author&gt;&lt;Year&gt;1991&lt;/Year&gt;&lt;RecNum&gt;127&lt;/RecNum&gt;&lt;DisplayText&gt;(Diamond &amp;amp; Verrecchia 1991)&lt;/DisplayText&gt;&lt;record&gt;&lt;rec-number&gt;127&lt;/rec-number&gt;&lt;foreign-keys&gt;&lt;key app="EN" db-id="xpprp0f0rzw05ved0s9xwzaqtxz0v9sfawwv"&gt;127&lt;/key&gt;&lt;/foreign-keys&gt;&lt;ref-type name="Journal Article"&gt;17&lt;/ref-type&gt;&lt;contributors&gt;&lt;authors&gt;&lt;author&gt;Diamond, Douglas W&lt;/author&gt;&lt;author&gt;Verrecchia, Robert E&lt;/author&gt;&lt;/authors&gt;&lt;/contributors&gt;&lt;titles&gt;&lt;title&gt;Disclosure, liquidity, and the cost of capital&lt;/title&gt;&lt;secondary-title&gt;The Journal of Finance&lt;/secondary-title&gt;&lt;/titles&gt;&lt;periodical&gt;&lt;full-title&gt;The Journal of Finance&lt;/full-title&gt;&lt;/periodical&gt;&lt;pages&gt;1325-1359&lt;/pages&gt;&lt;volume&gt;46&lt;/volume&gt;&lt;number&gt;4&lt;/number&gt;&lt;dates&gt;&lt;year&gt;1991&lt;/year&gt;&lt;/dates&gt;&lt;isbn&gt;1540-6261&lt;/isbn&gt;&lt;urls&gt;&lt;/urls&gt;&lt;/record&gt;&lt;/Cite&gt;&lt;/EndNote&gt;</w:instrText>
      </w:r>
      <w:r w:rsidR="001B0127">
        <w:fldChar w:fldCharType="separate"/>
      </w:r>
      <w:r w:rsidR="00EE3F0A">
        <w:rPr>
          <w:noProof/>
        </w:rPr>
        <w:t>(</w:t>
      </w:r>
      <w:hyperlink w:anchor="_ENREF_39" w:tooltip="Diamond, 1991 #127" w:history="1">
        <w:r w:rsidR="005B6334">
          <w:rPr>
            <w:noProof/>
          </w:rPr>
          <w:t>Diamond &amp; Verrecchia 1991</w:t>
        </w:r>
      </w:hyperlink>
      <w:r w:rsidR="00EE3F0A">
        <w:rPr>
          <w:noProof/>
        </w:rPr>
        <w:t>)</w:t>
      </w:r>
      <w:r w:rsidR="001B0127">
        <w:fldChar w:fldCharType="end"/>
      </w:r>
      <w:r w:rsidR="006A041E" w:rsidRPr="003802B4">
        <w:t xml:space="preserve">. Consistent with </w:t>
      </w:r>
      <w:r w:rsidR="006A041E">
        <w:t xml:space="preserve">this </w:t>
      </w:r>
      <w:r w:rsidR="006A041E" w:rsidRPr="003802B4">
        <w:t xml:space="preserve">proposition, </w:t>
      </w:r>
      <w:r w:rsidR="00BF28BF">
        <w:fldChar w:fldCharType="begin"/>
      </w:r>
      <w:r w:rsidR="003A641D">
        <w:instrText xml:space="preserve"> ADDIN EN.CITE &lt;EndNote&gt;&lt;Cite AuthorYear="1"&gt;&lt;Author&gt;Easley&lt;/Author&gt;&lt;Year&gt;1996&lt;/Year&gt;&lt;RecNum&gt;128&lt;/RecNum&gt;&lt;DisplayText&gt;Easley&lt;style face="italic"&gt; et al.&lt;/style&gt; (1996)&lt;/DisplayText&gt;&lt;record&gt;&lt;rec-number&gt;128&lt;/rec-number&gt;&lt;foreign-keys&gt;&lt;key app="EN" db-id="xpprp0f0rzw05ved0s9xwzaqtxz0v9sfawwv"&gt;128&lt;/key&gt;&lt;/foreign-keys&gt;&lt;ref-type name="Journal Article"&gt;17&lt;/ref-type&gt;&lt;contributors&gt;&lt;authors&gt;&lt;author&gt;Easley, David&lt;/author&gt;&lt;author&gt;Kiefer, Nicholas M&lt;/author&gt;&lt;author&gt;O&amp;apos;hara, Maureen&lt;/author&gt;&lt;author&gt;Paperman, Joseph B&lt;/author&gt;&lt;/authors&gt;&lt;/contributors&gt;&lt;titles&gt;&lt;title&gt;Liquidity, information, and infrequently traded stocks&lt;/title&gt;&lt;secondary-title&gt;The Journal of Finance&lt;/secondary-title&gt;&lt;/titles&gt;&lt;periodical&gt;&lt;full-title&gt;The Journal of Finance&lt;/full-title&gt;&lt;/periodical&gt;&lt;pages&gt;1405-1436&lt;/pages&gt;&lt;volume&gt;51&lt;/volume&gt;&lt;number&gt;4&lt;/number&gt;&lt;dates&gt;&lt;year&gt;1996&lt;/year&gt;&lt;/dates&gt;&lt;isbn&gt;1540-6261&lt;/isbn&gt;&lt;urls&gt;&lt;/urls&gt;&lt;/record&gt;&lt;/Cite&gt;&lt;/EndNote&gt;</w:instrText>
      </w:r>
      <w:r w:rsidR="00BF28BF">
        <w:fldChar w:fldCharType="separate"/>
      </w:r>
      <w:hyperlink w:anchor="_ENREF_40" w:tooltip="Easley, 1996 #128" w:history="1">
        <w:r w:rsidR="005B6334">
          <w:rPr>
            <w:noProof/>
          </w:rPr>
          <w:t>Easley</w:t>
        </w:r>
        <w:r w:rsidR="005B6334" w:rsidRPr="00DE1910">
          <w:rPr>
            <w:i/>
            <w:noProof/>
          </w:rPr>
          <w:t xml:space="preserve"> et al.</w:t>
        </w:r>
        <w:r w:rsidR="005B6334">
          <w:rPr>
            <w:noProof/>
          </w:rPr>
          <w:t xml:space="preserve"> (1996</w:t>
        </w:r>
      </w:hyperlink>
      <w:r w:rsidR="00BF28BF">
        <w:rPr>
          <w:noProof/>
        </w:rPr>
        <w:t>)</w:t>
      </w:r>
      <w:r w:rsidR="00BF28BF">
        <w:fldChar w:fldCharType="end"/>
      </w:r>
      <w:r w:rsidR="00DE1910">
        <w:t xml:space="preserve"> </w:t>
      </w:r>
      <w:r w:rsidR="006A041E" w:rsidRPr="003802B4">
        <w:t>prese</w:t>
      </w:r>
      <w:r w:rsidR="006A041E">
        <w:t>nt</w:t>
      </w:r>
      <w:r w:rsidR="006A041E" w:rsidRPr="003802B4">
        <w:t xml:space="preserve"> evidenc</w:t>
      </w:r>
      <w:r w:rsidR="006A041E">
        <w:t>e</w:t>
      </w:r>
      <w:r w:rsidR="006A041E" w:rsidRPr="003802B4">
        <w:t xml:space="preserve"> that suggests high </w:t>
      </w:r>
      <w:r w:rsidR="006A041E">
        <w:t>turnover</w:t>
      </w:r>
      <w:r w:rsidR="006A041E" w:rsidRPr="003802B4">
        <w:t xml:space="preserve"> stocks have lower information based trading. </w:t>
      </w:r>
      <w:r w:rsidR="006A041E">
        <w:t xml:space="preserve">Turnover </w:t>
      </w:r>
      <w:r w:rsidR="006A041E" w:rsidRPr="003802B4">
        <w:t>is therefor</w:t>
      </w:r>
      <w:r w:rsidR="006A041E">
        <w:t>e</w:t>
      </w:r>
      <w:r w:rsidR="006A041E" w:rsidRPr="003802B4">
        <w:t xml:space="preserve"> used a</w:t>
      </w:r>
      <w:r w:rsidR="006A041E">
        <w:t>s</w:t>
      </w:r>
      <w:r w:rsidR="006A041E" w:rsidRPr="003802B4">
        <w:t xml:space="preserve"> </w:t>
      </w:r>
      <w:r w:rsidR="006A041E">
        <w:t>a</w:t>
      </w:r>
      <w:r w:rsidR="006A041E" w:rsidRPr="003802B4">
        <w:t xml:space="preserve"> measur</w:t>
      </w:r>
      <w:r w:rsidR="006A041E">
        <w:t>e</w:t>
      </w:r>
      <w:r w:rsidR="006A041E" w:rsidRPr="003802B4">
        <w:t xml:space="preserve"> of </w:t>
      </w:r>
      <w:r w:rsidR="006A041E">
        <w:t>a firm’s le</w:t>
      </w:r>
      <w:r w:rsidR="006A041E" w:rsidRPr="003802B4">
        <w:t>ve</w:t>
      </w:r>
      <w:r w:rsidR="006A041E">
        <w:t>l</w:t>
      </w:r>
      <w:r w:rsidR="006A041E" w:rsidRPr="003802B4">
        <w:t xml:space="preserve"> </w:t>
      </w:r>
      <w:r w:rsidR="006A041E">
        <w:t>of</w:t>
      </w:r>
      <w:r w:rsidR="006A041E" w:rsidRPr="003802B4">
        <w:t xml:space="preserve"> information asymmetry</w:t>
      </w:r>
      <w:r w:rsidR="00DE1910">
        <w:t xml:space="preserve"> with increases in turnover associated with a decrease in information asymmetry.</w:t>
      </w:r>
    </w:p>
    <w:p w:rsidR="008113CF" w:rsidRDefault="008113CF" w:rsidP="007D5FBA">
      <w:pPr>
        <w:pStyle w:val="Heading3"/>
        <w:numPr>
          <w:ilvl w:val="0"/>
          <w:numId w:val="0"/>
        </w:numPr>
        <w:ind w:left="357" w:hanging="357"/>
        <w:rPr>
          <w:b w:val="0"/>
          <w:i/>
          <w:lang w:val="en-NZ"/>
        </w:rPr>
      </w:pPr>
      <w:bookmarkStart w:id="11" w:name="_Toc379787289"/>
    </w:p>
    <w:p w:rsidR="00EA3616" w:rsidRPr="007D5FBA" w:rsidRDefault="007B46B9" w:rsidP="007D5FBA">
      <w:pPr>
        <w:pStyle w:val="Heading3"/>
        <w:numPr>
          <w:ilvl w:val="0"/>
          <w:numId w:val="0"/>
        </w:numPr>
        <w:ind w:left="357" w:hanging="357"/>
        <w:rPr>
          <w:b w:val="0"/>
          <w:i/>
          <w:lang w:val="en-NZ"/>
        </w:rPr>
      </w:pPr>
      <w:r w:rsidRPr="007D5FBA">
        <w:rPr>
          <w:b w:val="0"/>
          <w:i/>
          <w:lang w:val="en-NZ"/>
        </w:rPr>
        <w:lastRenderedPageBreak/>
        <w:t>Bid-Ask s</w:t>
      </w:r>
      <w:r w:rsidR="00234958" w:rsidRPr="007D5FBA">
        <w:rPr>
          <w:b w:val="0"/>
          <w:i/>
          <w:lang w:val="en-NZ"/>
        </w:rPr>
        <w:t>pread</w:t>
      </w:r>
      <w:bookmarkEnd w:id="11"/>
    </w:p>
    <w:p w:rsidR="00673F4E" w:rsidRPr="00FA747B" w:rsidRDefault="00A837F9" w:rsidP="00673F4E">
      <w:pPr>
        <w:pStyle w:val="NoSpacing"/>
        <w:keepNext/>
        <w:rPr>
          <w:lang w:val="en-NZ"/>
        </w:rPr>
      </w:pPr>
      <w:r>
        <w:rPr>
          <w:lang w:val="en-NZ"/>
        </w:rPr>
        <w:t>We</w:t>
      </w:r>
      <w:r w:rsidR="003E6C5B">
        <w:rPr>
          <w:lang w:val="en-NZ"/>
        </w:rPr>
        <w:t xml:space="preserve"> examine </w:t>
      </w:r>
      <w:r w:rsidR="0042619A">
        <w:rPr>
          <w:lang w:val="en-NZ"/>
        </w:rPr>
        <w:t>H</w:t>
      </w:r>
      <w:r w:rsidR="003E6C5B">
        <w:rPr>
          <w:lang w:val="en-NZ"/>
        </w:rPr>
        <w:t>ypot</w:t>
      </w:r>
      <w:r w:rsidR="0021604B">
        <w:rPr>
          <w:lang w:val="en-NZ"/>
        </w:rPr>
        <w:t>hesis 2</w:t>
      </w:r>
      <w:r w:rsidR="003E6C5B">
        <w:rPr>
          <w:lang w:val="en-NZ"/>
        </w:rPr>
        <w:t xml:space="preserve"> </w:t>
      </w:r>
      <w:r w:rsidR="00673F4E">
        <w:rPr>
          <w:lang w:val="en-NZ"/>
        </w:rPr>
        <w:t xml:space="preserve">by testing for changes in the borrowing firm’s information asymmetry in the period surrounding a bank loan announcement. </w:t>
      </w:r>
      <w:r w:rsidR="0021604B">
        <w:rPr>
          <w:lang w:val="en-NZ"/>
        </w:rPr>
        <w:t>T</w:t>
      </w:r>
      <w:r w:rsidR="00673F4E" w:rsidRPr="00FA747B">
        <w:rPr>
          <w:lang w:val="en-NZ"/>
        </w:rPr>
        <w:t xml:space="preserve">he abnormal change in </w:t>
      </w:r>
      <w:r w:rsidR="00673F4E" w:rsidRPr="00FA747B">
        <w:rPr>
          <w:szCs w:val="24"/>
          <w:lang w:val="en-NZ"/>
        </w:rPr>
        <w:t xml:space="preserve">the bid-ask spread is </w:t>
      </w:r>
      <w:r w:rsidR="00673F4E">
        <w:rPr>
          <w:szCs w:val="24"/>
          <w:lang w:val="en-NZ"/>
        </w:rPr>
        <w:t>measured</w:t>
      </w:r>
      <w:r w:rsidR="00673F4E" w:rsidRPr="00FA747B">
        <w:rPr>
          <w:szCs w:val="24"/>
          <w:lang w:val="en-NZ"/>
        </w:rPr>
        <w:t xml:space="preserve"> as:</w:t>
      </w:r>
    </w:p>
    <w:p w:rsidR="00673F4E" w:rsidRPr="00FA747B" w:rsidRDefault="000A24D2" w:rsidP="00673F4E">
      <w:pPr>
        <w:tabs>
          <w:tab w:val="left" w:pos="680"/>
        </w:tabs>
        <w:spacing w:after="0"/>
        <w:jc w:val="both"/>
        <w:rPr>
          <w:rFonts w:cs="Times New Roman"/>
          <w:szCs w:val="24"/>
          <w:lang w:val="en-NZ"/>
        </w:rPr>
      </w:pPr>
      <m:oMath>
        <m:sSub>
          <m:sSubPr>
            <m:ctrlPr>
              <w:rPr>
                <w:rFonts w:ascii="Cambria Math" w:hAnsi="Cambria Math" w:cs="Times New Roman"/>
                <w:i/>
                <w:szCs w:val="24"/>
                <w:lang w:val="en-NZ"/>
              </w:rPr>
            </m:ctrlPr>
          </m:sSubPr>
          <m:e>
            <m:r>
              <w:rPr>
                <w:rFonts w:ascii="Cambria Math" w:hAnsi="Cambria Math" w:cs="Times New Roman"/>
                <w:szCs w:val="24"/>
                <w:lang w:val="en-NZ"/>
              </w:rPr>
              <m:t>SPREAD</m:t>
            </m:r>
          </m:e>
          <m:sub>
            <m:r>
              <w:rPr>
                <w:rFonts w:ascii="Cambria Math" w:hAnsi="Cambria Math" w:cs="Times New Roman"/>
                <w:szCs w:val="24"/>
                <w:lang w:val="en-NZ"/>
              </w:rPr>
              <m:t>i,t</m:t>
            </m:r>
          </m:sub>
        </m:sSub>
        <m:r>
          <w:rPr>
            <w:rFonts w:ascii="Cambria Math" w:hAnsi="Cambria Math" w:cs="Times New Roman"/>
            <w:szCs w:val="24"/>
            <w:lang w:val="en-NZ"/>
          </w:rPr>
          <m:t>=</m:t>
        </m:r>
        <m:d>
          <m:dPr>
            <m:begChr m:val="["/>
            <m:endChr m:val="]"/>
            <m:ctrlPr>
              <w:rPr>
                <w:rFonts w:ascii="Cambria Math" w:hAnsi="Cambria Math" w:cs="Times New Roman"/>
                <w:i/>
                <w:szCs w:val="24"/>
                <w:lang w:val="en-NZ"/>
              </w:rPr>
            </m:ctrlPr>
          </m:dPr>
          <m:e>
            <m:f>
              <m:fPr>
                <m:ctrlPr>
                  <w:rPr>
                    <w:rFonts w:ascii="Cambria Math" w:hAnsi="Cambria Math" w:cs="Times New Roman"/>
                    <w:i/>
                    <w:szCs w:val="24"/>
                    <w:lang w:val="en-NZ"/>
                  </w:rPr>
                </m:ctrlPr>
              </m:fPr>
              <m:num>
                <m:sSub>
                  <m:sSubPr>
                    <m:ctrlPr>
                      <w:rPr>
                        <w:rFonts w:ascii="Cambria Math" w:hAnsi="Cambria Math" w:cs="Times New Roman"/>
                        <w:i/>
                        <w:szCs w:val="24"/>
                        <w:lang w:val="en-NZ"/>
                      </w:rPr>
                    </m:ctrlPr>
                  </m:sSubPr>
                  <m:e>
                    <m:r>
                      <w:rPr>
                        <w:rFonts w:ascii="Cambria Math" w:hAnsi="Cambria Math" w:cs="Times New Roman"/>
                        <w:szCs w:val="24"/>
                        <w:lang w:val="en-NZ"/>
                      </w:rPr>
                      <m:t>(AskPrice</m:t>
                    </m:r>
                  </m:e>
                  <m:sub>
                    <m:r>
                      <w:rPr>
                        <w:rFonts w:ascii="Cambria Math" w:hAnsi="Cambria Math" w:cs="Times New Roman"/>
                        <w:szCs w:val="24"/>
                        <w:lang w:val="en-NZ"/>
                      </w:rPr>
                      <m:t>i,t</m:t>
                    </m:r>
                  </m:sub>
                </m:sSub>
                <m:r>
                  <w:rPr>
                    <w:rFonts w:ascii="Cambria Math" w:hAnsi="Cambria Math" w:cs="Times New Roman"/>
                    <w:szCs w:val="24"/>
                    <w:lang w:val="en-NZ"/>
                  </w:rPr>
                  <m:t>-</m:t>
                </m:r>
                <m:sSub>
                  <m:sSubPr>
                    <m:ctrlPr>
                      <w:rPr>
                        <w:rFonts w:ascii="Cambria Math" w:hAnsi="Cambria Math" w:cs="Times New Roman"/>
                        <w:i/>
                        <w:szCs w:val="24"/>
                        <w:lang w:val="en-NZ"/>
                      </w:rPr>
                    </m:ctrlPr>
                  </m:sSubPr>
                  <m:e>
                    <m:r>
                      <w:rPr>
                        <w:rFonts w:ascii="Cambria Math" w:hAnsi="Cambria Math" w:cs="Times New Roman"/>
                        <w:szCs w:val="24"/>
                        <w:lang w:val="en-NZ"/>
                      </w:rPr>
                      <m:t>BidPrice</m:t>
                    </m:r>
                  </m:e>
                  <m:sub>
                    <m:r>
                      <w:rPr>
                        <w:rFonts w:ascii="Cambria Math" w:hAnsi="Cambria Math" w:cs="Times New Roman"/>
                        <w:szCs w:val="24"/>
                        <w:lang w:val="en-NZ"/>
                      </w:rPr>
                      <m:t>i,t</m:t>
                    </m:r>
                  </m:sub>
                </m:sSub>
                <m:r>
                  <w:rPr>
                    <w:rFonts w:ascii="Cambria Math" w:hAnsi="Cambria Math" w:cs="Times New Roman"/>
                    <w:szCs w:val="24"/>
                    <w:lang w:val="en-NZ"/>
                  </w:rPr>
                  <m:t>)</m:t>
                </m:r>
              </m:num>
              <m:den>
                <m:f>
                  <m:fPr>
                    <m:type m:val="skw"/>
                    <m:ctrlPr>
                      <w:rPr>
                        <w:rFonts w:ascii="Cambria Math" w:hAnsi="Cambria Math" w:cs="Times New Roman"/>
                        <w:i/>
                        <w:szCs w:val="24"/>
                        <w:lang w:val="en-NZ"/>
                      </w:rPr>
                    </m:ctrlPr>
                  </m:fPr>
                  <m:num>
                    <m:r>
                      <w:rPr>
                        <w:rFonts w:ascii="Cambria Math" w:hAnsi="Cambria Math" w:cs="Times New Roman"/>
                        <w:szCs w:val="24"/>
                        <w:lang w:val="en-NZ"/>
                      </w:rPr>
                      <m:t>1</m:t>
                    </m:r>
                  </m:num>
                  <m:den>
                    <m:r>
                      <w:rPr>
                        <w:rFonts w:ascii="Cambria Math" w:hAnsi="Cambria Math" w:cs="Times New Roman"/>
                        <w:szCs w:val="24"/>
                        <w:lang w:val="en-NZ"/>
                      </w:rPr>
                      <m:t>2</m:t>
                    </m:r>
                  </m:den>
                </m:f>
                <m:d>
                  <m:dPr>
                    <m:ctrlPr>
                      <w:rPr>
                        <w:rFonts w:ascii="Cambria Math" w:hAnsi="Cambria Math" w:cs="Times New Roman"/>
                        <w:i/>
                        <w:szCs w:val="24"/>
                        <w:lang w:val="en-NZ"/>
                      </w:rPr>
                    </m:ctrlPr>
                  </m:dPr>
                  <m:e>
                    <m:sSub>
                      <m:sSubPr>
                        <m:ctrlPr>
                          <w:rPr>
                            <w:rFonts w:ascii="Cambria Math" w:hAnsi="Cambria Math" w:cs="Times New Roman"/>
                            <w:i/>
                            <w:szCs w:val="24"/>
                            <w:lang w:val="en-NZ"/>
                          </w:rPr>
                        </m:ctrlPr>
                      </m:sSubPr>
                      <m:e>
                        <m:r>
                          <w:rPr>
                            <w:rFonts w:ascii="Cambria Math" w:hAnsi="Cambria Math" w:cs="Times New Roman"/>
                            <w:szCs w:val="24"/>
                            <w:lang w:val="en-NZ"/>
                          </w:rPr>
                          <m:t>AskPrice</m:t>
                        </m:r>
                      </m:e>
                      <m:sub>
                        <m:r>
                          <w:rPr>
                            <w:rFonts w:ascii="Cambria Math" w:hAnsi="Cambria Math" w:cs="Times New Roman"/>
                            <w:szCs w:val="24"/>
                            <w:lang w:val="en-NZ"/>
                          </w:rPr>
                          <m:t>i,t</m:t>
                        </m:r>
                      </m:sub>
                    </m:sSub>
                    <m:r>
                      <w:rPr>
                        <w:rFonts w:ascii="Cambria Math" w:hAnsi="Cambria Math" w:cs="Times New Roman"/>
                        <w:szCs w:val="24"/>
                        <w:lang w:val="en-NZ"/>
                      </w:rPr>
                      <m:t>+</m:t>
                    </m:r>
                    <m:sSub>
                      <m:sSubPr>
                        <m:ctrlPr>
                          <w:rPr>
                            <w:rFonts w:ascii="Cambria Math" w:hAnsi="Cambria Math" w:cs="Times New Roman"/>
                            <w:i/>
                            <w:szCs w:val="24"/>
                            <w:lang w:val="en-NZ"/>
                          </w:rPr>
                        </m:ctrlPr>
                      </m:sSubPr>
                      <m:e>
                        <m:r>
                          <w:rPr>
                            <w:rFonts w:ascii="Cambria Math" w:hAnsi="Cambria Math" w:cs="Times New Roman"/>
                            <w:szCs w:val="24"/>
                            <w:lang w:val="en-NZ"/>
                          </w:rPr>
                          <m:t>BidPrice</m:t>
                        </m:r>
                      </m:e>
                      <m:sub>
                        <m:r>
                          <w:rPr>
                            <w:rFonts w:ascii="Cambria Math" w:hAnsi="Cambria Math" w:cs="Times New Roman"/>
                            <w:szCs w:val="24"/>
                            <w:lang w:val="en-NZ"/>
                          </w:rPr>
                          <m:t>i,t</m:t>
                        </m:r>
                      </m:sub>
                    </m:sSub>
                  </m:e>
                </m:d>
              </m:den>
            </m:f>
          </m:e>
        </m:d>
      </m:oMath>
      <w:r w:rsidR="00192C04">
        <w:rPr>
          <w:rFonts w:cs="Times New Roman"/>
          <w:szCs w:val="24"/>
          <w:lang w:val="en-NZ"/>
        </w:rPr>
        <w:tab/>
      </w:r>
      <w:r w:rsidR="00192C04">
        <w:rPr>
          <w:rFonts w:cs="Times New Roman"/>
          <w:szCs w:val="24"/>
          <w:lang w:val="en-NZ"/>
        </w:rPr>
        <w:tab/>
      </w:r>
      <w:r w:rsidR="00192C04">
        <w:rPr>
          <w:rFonts w:cs="Times New Roman"/>
          <w:szCs w:val="24"/>
          <w:lang w:val="en-NZ"/>
        </w:rPr>
        <w:tab/>
      </w:r>
      <w:r w:rsidR="00192C04">
        <w:rPr>
          <w:rFonts w:cs="Times New Roman"/>
          <w:szCs w:val="24"/>
          <w:lang w:val="en-NZ"/>
        </w:rPr>
        <w:tab/>
      </w:r>
      <w:r w:rsidR="00192C04">
        <w:rPr>
          <w:rFonts w:cs="Times New Roman"/>
          <w:szCs w:val="24"/>
          <w:lang w:val="en-NZ"/>
        </w:rPr>
        <w:tab/>
        <w:t>(</w:t>
      </w:r>
      <w:r w:rsidR="00A837F9">
        <w:rPr>
          <w:rFonts w:cs="Times New Roman"/>
          <w:szCs w:val="24"/>
          <w:lang w:val="en-NZ"/>
        </w:rPr>
        <w:t>4</w:t>
      </w:r>
      <w:r w:rsidR="00673F4E" w:rsidRPr="00FA747B">
        <w:rPr>
          <w:rFonts w:cs="Times New Roman"/>
          <w:szCs w:val="24"/>
          <w:lang w:val="en-NZ"/>
        </w:rPr>
        <w:t>)</w:t>
      </w:r>
    </w:p>
    <w:p w:rsidR="00673F4E" w:rsidRPr="00FA747B" w:rsidRDefault="000A24D2" w:rsidP="00673F4E">
      <w:pPr>
        <w:tabs>
          <w:tab w:val="left" w:pos="680"/>
        </w:tabs>
        <w:spacing w:after="0"/>
        <w:jc w:val="both"/>
        <w:rPr>
          <w:rFonts w:cs="Times New Roman"/>
          <w:szCs w:val="24"/>
          <w:lang w:val="en-NZ"/>
        </w:rPr>
      </w:pPr>
      <m:oMath>
        <m:sSub>
          <m:sSubPr>
            <m:ctrlPr>
              <w:rPr>
                <w:rFonts w:ascii="Cambria Math" w:hAnsi="Cambria Math" w:cs="Times New Roman"/>
                <w:i/>
                <w:szCs w:val="24"/>
                <w:lang w:val="en-NZ"/>
              </w:rPr>
            </m:ctrlPr>
          </m:sSubPr>
          <m:e>
            <m:r>
              <w:rPr>
                <w:rFonts w:ascii="Cambria Math" w:hAnsi="Cambria Math" w:cs="Times New Roman"/>
                <w:szCs w:val="24"/>
                <w:lang w:val="en-NZ"/>
              </w:rPr>
              <m:t>ESPREAD</m:t>
            </m:r>
          </m:e>
          <m:sub>
            <m:r>
              <w:rPr>
                <w:rFonts w:ascii="Cambria Math" w:hAnsi="Cambria Math" w:cs="Times New Roman"/>
                <w:szCs w:val="24"/>
                <w:lang w:val="en-NZ"/>
              </w:rPr>
              <m:t>i,t</m:t>
            </m:r>
          </m:sub>
        </m:sSub>
        <m:d>
          <m:dPr>
            <m:ctrlPr>
              <w:rPr>
                <w:rFonts w:ascii="Cambria Math" w:hAnsi="Cambria Math" w:cs="Times New Roman"/>
                <w:i/>
                <w:szCs w:val="24"/>
                <w:lang w:val="en-NZ"/>
              </w:rPr>
            </m:ctrlPr>
          </m:dPr>
          <m:e>
            <m:r>
              <w:rPr>
                <w:rFonts w:ascii="Cambria Math" w:hAnsi="Cambria Math" w:cs="Times New Roman"/>
                <w:szCs w:val="24"/>
                <w:lang w:val="en-NZ"/>
              </w:rPr>
              <m:t>p,q</m:t>
            </m:r>
          </m:e>
        </m:d>
        <m:r>
          <w:rPr>
            <w:rFonts w:ascii="Cambria Math" w:hAnsi="Cambria Math" w:cs="Times New Roman"/>
            <w:szCs w:val="24"/>
            <w:lang w:val="en-NZ"/>
          </w:rPr>
          <m:t>=</m:t>
        </m:r>
        <m:f>
          <m:fPr>
            <m:ctrlPr>
              <w:rPr>
                <w:rFonts w:ascii="Cambria Math" w:hAnsi="Cambria Math" w:cs="Times New Roman"/>
                <w:i/>
                <w:szCs w:val="24"/>
                <w:lang w:val="en-NZ"/>
              </w:rPr>
            </m:ctrlPr>
          </m:fPr>
          <m:num>
            <m:nary>
              <m:naryPr>
                <m:chr m:val="∑"/>
                <m:limLoc m:val="undOvr"/>
                <m:ctrlPr>
                  <w:rPr>
                    <w:rFonts w:ascii="Cambria Math" w:hAnsi="Cambria Math" w:cs="Times New Roman"/>
                    <w:i/>
                    <w:szCs w:val="24"/>
                    <w:lang w:val="en-NZ"/>
                  </w:rPr>
                </m:ctrlPr>
              </m:naryPr>
              <m:sub>
                <m:r>
                  <w:rPr>
                    <w:rFonts w:ascii="Cambria Math" w:hAnsi="Cambria Math" w:cs="Times New Roman"/>
                    <w:szCs w:val="24"/>
                    <w:lang w:val="en-NZ"/>
                  </w:rPr>
                  <m:t>t=p</m:t>
                </m:r>
              </m:sub>
              <m:sup>
                <m:r>
                  <w:rPr>
                    <w:rFonts w:ascii="Cambria Math" w:hAnsi="Cambria Math" w:cs="Times New Roman"/>
                    <w:szCs w:val="24"/>
                    <w:lang w:val="en-NZ"/>
                  </w:rPr>
                  <m:t>q</m:t>
                </m:r>
              </m:sup>
              <m:e>
                <m:sSub>
                  <m:sSubPr>
                    <m:ctrlPr>
                      <w:rPr>
                        <w:rFonts w:ascii="Cambria Math" w:hAnsi="Cambria Math" w:cs="Times New Roman"/>
                        <w:i/>
                        <w:szCs w:val="24"/>
                        <w:lang w:val="en-NZ"/>
                      </w:rPr>
                    </m:ctrlPr>
                  </m:sSubPr>
                  <m:e>
                    <m:r>
                      <w:rPr>
                        <w:rFonts w:ascii="Cambria Math" w:hAnsi="Cambria Math" w:cs="Times New Roman"/>
                        <w:szCs w:val="24"/>
                        <w:lang w:val="en-NZ"/>
                      </w:rPr>
                      <m:t>SPREAD</m:t>
                    </m:r>
                  </m:e>
                  <m:sub>
                    <m:r>
                      <w:rPr>
                        <w:rFonts w:ascii="Cambria Math" w:hAnsi="Cambria Math" w:cs="Times New Roman"/>
                        <w:szCs w:val="24"/>
                        <w:lang w:val="en-NZ"/>
                      </w:rPr>
                      <m:t>i,t</m:t>
                    </m:r>
                  </m:sub>
                </m:sSub>
              </m:e>
            </m:nary>
          </m:num>
          <m:den>
            <m:r>
              <w:rPr>
                <w:rFonts w:ascii="Cambria Math" w:hAnsi="Cambria Math" w:cs="Times New Roman"/>
                <w:szCs w:val="24"/>
                <w:lang w:val="en-NZ"/>
              </w:rPr>
              <m:t>(q-p)</m:t>
            </m:r>
          </m:den>
        </m:f>
      </m:oMath>
      <w:r w:rsidR="00673F4E">
        <w:rPr>
          <w:rFonts w:cs="Times New Roman"/>
          <w:szCs w:val="24"/>
          <w:lang w:val="en-NZ"/>
        </w:rPr>
        <w:t xml:space="preserve"> </w:t>
      </w:r>
      <w:r w:rsidR="00673F4E">
        <w:rPr>
          <w:rFonts w:cs="Times New Roman"/>
          <w:szCs w:val="24"/>
          <w:lang w:val="en-NZ"/>
        </w:rPr>
        <w:tab/>
      </w:r>
      <w:r w:rsidR="00673F4E">
        <w:rPr>
          <w:rFonts w:cs="Times New Roman"/>
          <w:szCs w:val="24"/>
          <w:lang w:val="en-NZ"/>
        </w:rPr>
        <w:tab/>
      </w:r>
      <w:r w:rsidR="00673F4E">
        <w:rPr>
          <w:rFonts w:cs="Times New Roman"/>
          <w:szCs w:val="24"/>
          <w:lang w:val="en-NZ"/>
        </w:rPr>
        <w:tab/>
      </w:r>
      <w:r w:rsidR="00673F4E">
        <w:rPr>
          <w:rFonts w:cs="Times New Roman"/>
          <w:szCs w:val="24"/>
          <w:lang w:val="en-NZ"/>
        </w:rPr>
        <w:tab/>
      </w:r>
      <w:r w:rsidR="00673F4E">
        <w:rPr>
          <w:rFonts w:cs="Times New Roman"/>
          <w:szCs w:val="24"/>
          <w:lang w:val="en-NZ"/>
        </w:rPr>
        <w:tab/>
      </w:r>
      <w:r w:rsidR="00673F4E">
        <w:rPr>
          <w:rFonts w:cs="Times New Roman"/>
          <w:szCs w:val="24"/>
          <w:lang w:val="en-NZ"/>
        </w:rPr>
        <w:tab/>
      </w:r>
      <w:r w:rsidR="00192C04">
        <w:rPr>
          <w:rFonts w:cs="Times New Roman"/>
          <w:szCs w:val="24"/>
          <w:lang w:val="en-NZ"/>
        </w:rPr>
        <w:t>(</w:t>
      </w:r>
      <w:r w:rsidR="00A837F9">
        <w:rPr>
          <w:rFonts w:cs="Times New Roman"/>
          <w:szCs w:val="24"/>
          <w:lang w:val="en-NZ"/>
        </w:rPr>
        <w:t>5</w:t>
      </w:r>
      <w:r w:rsidR="00673F4E" w:rsidRPr="00FA747B">
        <w:rPr>
          <w:rFonts w:cs="Times New Roman"/>
          <w:szCs w:val="24"/>
          <w:lang w:val="en-NZ"/>
        </w:rPr>
        <w:t>)</w:t>
      </w:r>
    </w:p>
    <w:p w:rsidR="00673F4E" w:rsidRPr="00FA747B" w:rsidRDefault="000A24D2" w:rsidP="00673F4E">
      <w:pPr>
        <w:tabs>
          <w:tab w:val="left" w:pos="680"/>
        </w:tabs>
        <w:spacing w:after="0"/>
        <w:jc w:val="both"/>
        <w:rPr>
          <w:rFonts w:cs="Times New Roman"/>
          <w:szCs w:val="24"/>
          <w:lang w:val="en-NZ"/>
        </w:rPr>
      </w:pPr>
      <m:oMath>
        <m:sSub>
          <m:sSubPr>
            <m:ctrlPr>
              <w:rPr>
                <w:rFonts w:ascii="Cambria Math" w:hAnsi="Cambria Math" w:cs="Times New Roman"/>
                <w:i/>
                <w:szCs w:val="24"/>
                <w:lang w:val="en-NZ"/>
              </w:rPr>
            </m:ctrlPr>
          </m:sSubPr>
          <m:e>
            <m:r>
              <w:rPr>
                <w:rFonts w:ascii="Cambria Math" w:hAnsi="Cambria Math" w:cs="Times New Roman"/>
                <w:szCs w:val="24"/>
                <w:lang w:val="en-NZ"/>
              </w:rPr>
              <m:t>ASPREAD</m:t>
            </m:r>
          </m:e>
          <m:sub>
            <m:r>
              <w:rPr>
                <w:rFonts w:ascii="Cambria Math" w:hAnsi="Cambria Math" w:cs="Times New Roman"/>
                <w:szCs w:val="24"/>
                <w:lang w:val="en-NZ"/>
              </w:rPr>
              <m:t>i,t</m:t>
            </m:r>
          </m:sub>
        </m:sSub>
        <m:r>
          <w:rPr>
            <w:rFonts w:ascii="Cambria Math" w:hAnsi="Cambria Math" w:cs="Times New Roman"/>
            <w:szCs w:val="24"/>
            <w:lang w:val="en-NZ"/>
          </w:rPr>
          <m:t>=</m:t>
        </m:r>
        <m:sSub>
          <m:sSubPr>
            <m:ctrlPr>
              <w:rPr>
                <w:rFonts w:ascii="Cambria Math" w:hAnsi="Cambria Math" w:cs="Times New Roman"/>
                <w:i/>
                <w:szCs w:val="24"/>
                <w:lang w:val="en-NZ"/>
              </w:rPr>
            </m:ctrlPr>
          </m:sSubPr>
          <m:e>
            <m:r>
              <w:rPr>
                <w:rFonts w:ascii="Cambria Math" w:hAnsi="Cambria Math" w:cs="Times New Roman"/>
                <w:szCs w:val="24"/>
                <w:lang w:val="en-NZ"/>
              </w:rPr>
              <m:t>SPREAD</m:t>
            </m:r>
          </m:e>
          <m:sub>
            <m:r>
              <w:rPr>
                <w:rFonts w:ascii="Cambria Math" w:hAnsi="Cambria Math" w:cs="Times New Roman"/>
                <w:szCs w:val="24"/>
                <w:lang w:val="en-NZ"/>
              </w:rPr>
              <m:t>i,t</m:t>
            </m:r>
          </m:sub>
        </m:sSub>
        <m:r>
          <w:rPr>
            <w:rFonts w:ascii="Cambria Math" w:hAnsi="Cambria Math" w:cs="Times New Roman"/>
            <w:szCs w:val="24"/>
            <w:lang w:val="en-NZ"/>
          </w:rPr>
          <m:t>-</m:t>
        </m:r>
        <m:sSub>
          <m:sSubPr>
            <m:ctrlPr>
              <w:rPr>
                <w:rFonts w:ascii="Cambria Math" w:hAnsi="Cambria Math" w:cs="Times New Roman"/>
                <w:i/>
                <w:szCs w:val="24"/>
                <w:lang w:val="en-NZ"/>
              </w:rPr>
            </m:ctrlPr>
          </m:sSubPr>
          <m:e>
            <m:r>
              <w:rPr>
                <w:rFonts w:ascii="Cambria Math" w:hAnsi="Cambria Math" w:cs="Times New Roman"/>
                <w:szCs w:val="24"/>
                <w:lang w:val="en-NZ"/>
              </w:rPr>
              <m:t>ESPREAD</m:t>
            </m:r>
          </m:e>
          <m:sub>
            <m:r>
              <w:rPr>
                <w:rFonts w:ascii="Cambria Math" w:hAnsi="Cambria Math" w:cs="Times New Roman"/>
                <w:szCs w:val="24"/>
                <w:lang w:val="en-NZ"/>
              </w:rPr>
              <m:t>i,t</m:t>
            </m:r>
          </m:sub>
        </m:sSub>
        <m:d>
          <m:dPr>
            <m:ctrlPr>
              <w:rPr>
                <w:rFonts w:ascii="Cambria Math" w:hAnsi="Cambria Math" w:cs="Times New Roman"/>
                <w:i/>
                <w:szCs w:val="24"/>
                <w:lang w:val="en-NZ"/>
              </w:rPr>
            </m:ctrlPr>
          </m:dPr>
          <m:e>
            <m:r>
              <w:rPr>
                <w:rFonts w:ascii="Cambria Math" w:hAnsi="Cambria Math" w:cs="Times New Roman"/>
                <w:szCs w:val="24"/>
                <w:lang w:val="en-NZ"/>
              </w:rPr>
              <m:t>p,q</m:t>
            </m:r>
          </m:e>
        </m:d>
      </m:oMath>
      <w:r w:rsidR="00673F4E">
        <w:rPr>
          <w:rFonts w:cs="Times New Roman"/>
          <w:szCs w:val="24"/>
          <w:lang w:val="en-NZ"/>
        </w:rPr>
        <w:t xml:space="preserve"> </w:t>
      </w:r>
      <w:r w:rsidR="00673F4E">
        <w:rPr>
          <w:rFonts w:cs="Times New Roman"/>
          <w:szCs w:val="24"/>
          <w:lang w:val="en-NZ"/>
        </w:rPr>
        <w:tab/>
      </w:r>
      <w:r w:rsidR="00673F4E">
        <w:rPr>
          <w:rFonts w:cs="Times New Roman"/>
          <w:szCs w:val="24"/>
          <w:lang w:val="en-NZ"/>
        </w:rPr>
        <w:tab/>
      </w:r>
      <w:r w:rsidR="00673F4E">
        <w:rPr>
          <w:rFonts w:cs="Times New Roman"/>
          <w:szCs w:val="24"/>
          <w:lang w:val="en-NZ"/>
        </w:rPr>
        <w:tab/>
      </w:r>
      <w:r w:rsidR="00673F4E">
        <w:rPr>
          <w:rFonts w:cs="Times New Roman"/>
          <w:szCs w:val="24"/>
          <w:lang w:val="en-NZ"/>
        </w:rPr>
        <w:tab/>
      </w:r>
      <w:r w:rsidR="00192C04">
        <w:rPr>
          <w:rFonts w:cs="Times New Roman"/>
          <w:szCs w:val="24"/>
          <w:lang w:val="en-NZ"/>
        </w:rPr>
        <w:t>(</w:t>
      </w:r>
      <w:r w:rsidR="00A837F9">
        <w:rPr>
          <w:rFonts w:cs="Times New Roman"/>
          <w:szCs w:val="24"/>
          <w:lang w:val="en-NZ"/>
        </w:rPr>
        <w:t>6</w:t>
      </w:r>
      <w:r w:rsidR="00673F4E" w:rsidRPr="00FA747B">
        <w:rPr>
          <w:rFonts w:cs="Times New Roman"/>
          <w:szCs w:val="24"/>
          <w:lang w:val="en-NZ"/>
        </w:rPr>
        <w:t>)</w:t>
      </w:r>
    </w:p>
    <w:p w:rsidR="00673F4E" w:rsidRDefault="000A24D2" w:rsidP="00673F4E">
      <w:pPr>
        <w:tabs>
          <w:tab w:val="left" w:pos="680"/>
        </w:tabs>
        <w:spacing w:after="0"/>
        <w:jc w:val="both"/>
        <w:rPr>
          <w:rFonts w:cs="Times New Roman"/>
          <w:szCs w:val="24"/>
          <w:lang w:val="en-NZ"/>
        </w:rPr>
      </w:pPr>
      <m:oMath>
        <m:sSub>
          <m:sSubPr>
            <m:ctrlPr>
              <w:rPr>
                <w:rFonts w:ascii="Cambria Math" w:hAnsi="Cambria Math" w:cs="Times New Roman"/>
                <w:i/>
                <w:szCs w:val="24"/>
                <w:lang w:val="en-NZ"/>
              </w:rPr>
            </m:ctrlPr>
          </m:sSubPr>
          <m:e>
            <m:r>
              <w:rPr>
                <w:rFonts w:ascii="Cambria Math" w:hAnsi="Cambria Math" w:cs="Times New Roman"/>
                <w:szCs w:val="24"/>
                <w:lang w:val="en-NZ"/>
              </w:rPr>
              <m:t>SPREAD</m:t>
            </m:r>
          </m:e>
          <m:sub>
            <m:r>
              <w:rPr>
                <w:rFonts w:ascii="Cambria Math" w:hAnsi="Cambria Math" w:cs="Times New Roman"/>
                <w:szCs w:val="24"/>
                <w:lang w:val="en-NZ"/>
              </w:rPr>
              <m:t>i,t</m:t>
            </m:r>
          </m:sub>
        </m:sSub>
      </m:oMath>
      <w:r w:rsidR="00673F4E" w:rsidRPr="00FA747B">
        <w:rPr>
          <w:rFonts w:cs="Times New Roman"/>
          <w:szCs w:val="24"/>
          <w:lang w:val="en-NZ"/>
        </w:rPr>
        <w:t xml:space="preserve"> is the daily average bid-ask spread for firm </w:t>
      </w:r>
      <w:proofErr w:type="spellStart"/>
      <w:r w:rsidR="00673F4E" w:rsidRPr="00FA747B">
        <w:rPr>
          <w:rFonts w:cs="Times New Roman"/>
          <w:i/>
          <w:szCs w:val="24"/>
          <w:lang w:val="en-NZ"/>
        </w:rPr>
        <w:t>i</w:t>
      </w:r>
      <w:proofErr w:type="spellEnd"/>
      <w:r w:rsidR="00673F4E" w:rsidRPr="00FA747B">
        <w:rPr>
          <w:rFonts w:cs="Times New Roman"/>
          <w:i/>
          <w:szCs w:val="24"/>
          <w:lang w:val="en-NZ"/>
        </w:rPr>
        <w:t xml:space="preserve"> </w:t>
      </w:r>
      <w:r w:rsidR="00673F4E" w:rsidRPr="00FA747B">
        <w:rPr>
          <w:rFonts w:cs="Times New Roman"/>
          <w:szCs w:val="24"/>
          <w:lang w:val="en-NZ"/>
        </w:rPr>
        <w:t xml:space="preserve">on day </w:t>
      </w:r>
      <w:r w:rsidR="00673F4E" w:rsidRPr="00FA747B">
        <w:rPr>
          <w:rFonts w:cs="Times New Roman"/>
          <w:i/>
          <w:szCs w:val="24"/>
          <w:lang w:val="en-NZ"/>
        </w:rPr>
        <w:t xml:space="preserve">t </w:t>
      </w:r>
      <w:r w:rsidR="00673F4E" w:rsidRPr="00FA747B">
        <w:rPr>
          <w:rFonts w:cs="Times New Roman"/>
          <w:szCs w:val="24"/>
          <w:lang w:val="en-NZ"/>
        </w:rPr>
        <w:t xml:space="preserve">calculated as the </w:t>
      </w:r>
      <w:r w:rsidR="00FB29C4">
        <w:rPr>
          <w:rFonts w:cs="Times New Roman"/>
          <w:szCs w:val="24"/>
          <w:lang w:val="en-NZ"/>
        </w:rPr>
        <w:t>closing</w:t>
      </w:r>
      <w:r w:rsidR="00673F4E" w:rsidRPr="00FA747B">
        <w:rPr>
          <w:rFonts w:cs="Times New Roman"/>
          <w:szCs w:val="24"/>
          <w:lang w:val="en-NZ"/>
        </w:rPr>
        <w:t xml:space="preserve"> </w:t>
      </w:r>
      <m:oMath>
        <m:sSub>
          <m:sSubPr>
            <m:ctrlPr>
              <w:rPr>
                <w:rFonts w:ascii="Cambria Math" w:hAnsi="Cambria Math" w:cs="Times New Roman"/>
                <w:i/>
                <w:szCs w:val="24"/>
                <w:lang w:val="en-NZ"/>
              </w:rPr>
            </m:ctrlPr>
          </m:sSubPr>
          <m:e>
            <m:r>
              <w:rPr>
                <w:rFonts w:ascii="Cambria Math" w:hAnsi="Cambria Math" w:cs="Times New Roman"/>
                <w:szCs w:val="24"/>
                <w:lang w:val="en-NZ"/>
              </w:rPr>
              <m:t>AskPrice</m:t>
            </m:r>
          </m:e>
          <m:sub>
            <m:r>
              <w:rPr>
                <w:rFonts w:ascii="Cambria Math" w:hAnsi="Cambria Math" w:cs="Times New Roman"/>
                <w:szCs w:val="24"/>
                <w:lang w:val="en-NZ"/>
              </w:rPr>
              <m:t>i,t</m:t>
            </m:r>
          </m:sub>
        </m:sSub>
      </m:oMath>
      <w:r w:rsidR="00673F4E" w:rsidRPr="00FA747B">
        <w:rPr>
          <w:rFonts w:cs="Times New Roman"/>
          <w:szCs w:val="24"/>
          <w:lang w:val="en-NZ"/>
        </w:rPr>
        <w:t xml:space="preserve"> for the stock of firm </w:t>
      </w:r>
      <w:proofErr w:type="spellStart"/>
      <w:r w:rsidR="00673F4E" w:rsidRPr="00FA747B">
        <w:rPr>
          <w:rFonts w:cs="Times New Roman"/>
          <w:i/>
          <w:szCs w:val="24"/>
          <w:lang w:val="en-NZ"/>
        </w:rPr>
        <w:t>i</w:t>
      </w:r>
      <w:proofErr w:type="spellEnd"/>
      <w:r w:rsidR="00673F4E" w:rsidRPr="00FA747B">
        <w:rPr>
          <w:rFonts w:cs="Times New Roman"/>
          <w:i/>
          <w:szCs w:val="24"/>
          <w:lang w:val="en-NZ"/>
        </w:rPr>
        <w:t xml:space="preserve"> </w:t>
      </w:r>
      <w:r w:rsidR="00673F4E" w:rsidRPr="00FA747B">
        <w:rPr>
          <w:rFonts w:cs="Times New Roman"/>
          <w:szCs w:val="24"/>
          <w:lang w:val="en-NZ"/>
        </w:rPr>
        <w:t xml:space="preserve">during day </w:t>
      </w:r>
      <w:r w:rsidR="00673F4E" w:rsidRPr="00FA747B">
        <w:rPr>
          <w:rFonts w:cs="Times New Roman"/>
          <w:i/>
          <w:szCs w:val="24"/>
          <w:lang w:val="en-NZ"/>
        </w:rPr>
        <w:t xml:space="preserve">t </w:t>
      </w:r>
      <w:r w:rsidR="00673F4E" w:rsidRPr="00FA747B">
        <w:rPr>
          <w:rFonts w:cs="Times New Roman"/>
          <w:szCs w:val="24"/>
          <w:lang w:val="en-NZ"/>
        </w:rPr>
        <w:t xml:space="preserve">less the </w:t>
      </w:r>
      <w:r w:rsidR="00FB29C4">
        <w:rPr>
          <w:rFonts w:cs="Times New Roman"/>
          <w:szCs w:val="24"/>
          <w:lang w:val="en-NZ"/>
        </w:rPr>
        <w:t>closing</w:t>
      </w:r>
      <w:r w:rsidR="00673F4E" w:rsidRPr="00FA747B">
        <w:rPr>
          <w:rFonts w:cs="Times New Roman"/>
          <w:szCs w:val="24"/>
          <w:lang w:val="en-NZ"/>
        </w:rPr>
        <w:t xml:space="preserve"> </w:t>
      </w:r>
      <m:oMath>
        <m:sSub>
          <m:sSubPr>
            <m:ctrlPr>
              <w:rPr>
                <w:rFonts w:ascii="Cambria Math" w:hAnsi="Cambria Math" w:cs="Times New Roman"/>
                <w:i/>
                <w:szCs w:val="24"/>
                <w:lang w:val="en-NZ"/>
              </w:rPr>
            </m:ctrlPr>
          </m:sSubPr>
          <m:e>
            <m:r>
              <w:rPr>
                <w:rFonts w:ascii="Cambria Math" w:hAnsi="Cambria Math" w:cs="Times New Roman"/>
                <w:szCs w:val="24"/>
                <w:lang w:val="en-NZ"/>
              </w:rPr>
              <m:t>BidPrice</m:t>
            </m:r>
          </m:e>
          <m:sub>
            <m:r>
              <w:rPr>
                <w:rFonts w:ascii="Cambria Math" w:hAnsi="Cambria Math" w:cs="Times New Roman"/>
                <w:szCs w:val="24"/>
                <w:lang w:val="en-NZ"/>
              </w:rPr>
              <m:t>i,t</m:t>
            </m:r>
          </m:sub>
        </m:sSub>
      </m:oMath>
      <w:r w:rsidR="00673F4E" w:rsidRPr="00FA747B">
        <w:rPr>
          <w:rFonts w:cs="Times New Roman"/>
          <w:szCs w:val="24"/>
          <w:lang w:val="en-NZ"/>
        </w:rPr>
        <w:t xml:space="preserve"> for the stock of firm </w:t>
      </w:r>
      <w:proofErr w:type="spellStart"/>
      <w:r w:rsidR="00673F4E" w:rsidRPr="00FA747B">
        <w:rPr>
          <w:rFonts w:cs="Times New Roman"/>
          <w:i/>
          <w:szCs w:val="24"/>
          <w:lang w:val="en-NZ"/>
        </w:rPr>
        <w:t>i</w:t>
      </w:r>
      <w:proofErr w:type="spellEnd"/>
      <w:r w:rsidR="00673F4E" w:rsidRPr="00FA747B">
        <w:rPr>
          <w:rFonts w:cs="Times New Roman"/>
          <w:i/>
          <w:szCs w:val="24"/>
          <w:lang w:val="en-NZ"/>
        </w:rPr>
        <w:t xml:space="preserve"> </w:t>
      </w:r>
      <w:r w:rsidR="00673F4E" w:rsidRPr="00FA747B">
        <w:rPr>
          <w:rFonts w:cs="Times New Roman"/>
          <w:szCs w:val="24"/>
          <w:lang w:val="en-NZ"/>
        </w:rPr>
        <w:t xml:space="preserve">divided by the </w:t>
      </w:r>
      <w:r w:rsidR="00FB29C4">
        <w:rPr>
          <w:rFonts w:cs="Times New Roman"/>
          <w:szCs w:val="24"/>
          <w:lang w:val="en-NZ"/>
        </w:rPr>
        <w:t>closing</w:t>
      </w:r>
      <w:r w:rsidR="00673F4E" w:rsidRPr="00FA747B">
        <w:rPr>
          <w:rFonts w:cs="Times New Roman"/>
          <w:szCs w:val="24"/>
          <w:lang w:val="en-NZ"/>
        </w:rPr>
        <w:t xml:space="preserve"> mid-point price. </w:t>
      </w:r>
      <m:oMath>
        <m:sSub>
          <m:sSubPr>
            <m:ctrlPr>
              <w:rPr>
                <w:rFonts w:ascii="Cambria Math" w:hAnsi="Cambria Math" w:cs="Times New Roman"/>
                <w:i/>
                <w:szCs w:val="24"/>
                <w:lang w:val="en-NZ"/>
              </w:rPr>
            </m:ctrlPr>
          </m:sSubPr>
          <m:e>
            <m:r>
              <w:rPr>
                <w:rFonts w:ascii="Cambria Math" w:hAnsi="Cambria Math" w:cs="Times New Roman"/>
                <w:szCs w:val="24"/>
                <w:lang w:val="en-NZ"/>
              </w:rPr>
              <m:t>ESPREAD</m:t>
            </m:r>
          </m:e>
          <m:sub>
            <m:r>
              <w:rPr>
                <w:rFonts w:ascii="Cambria Math" w:hAnsi="Cambria Math" w:cs="Times New Roman"/>
                <w:szCs w:val="24"/>
                <w:lang w:val="en-NZ"/>
              </w:rPr>
              <m:t>i,t</m:t>
            </m:r>
          </m:sub>
        </m:sSub>
      </m:oMath>
      <w:r w:rsidR="00673F4E" w:rsidRPr="00FA747B">
        <w:rPr>
          <w:rFonts w:cs="Times New Roman"/>
          <w:szCs w:val="24"/>
          <w:lang w:val="en-NZ"/>
        </w:rPr>
        <w:t xml:space="preserve"> is the average daily bid-ask spread for the stock of firm </w:t>
      </w:r>
      <w:proofErr w:type="spellStart"/>
      <w:r w:rsidR="00673F4E" w:rsidRPr="00FA747B">
        <w:rPr>
          <w:rFonts w:cs="Times New Roman"/>
          <w:i/>
          <w:szCs w:val="24"/>
          <w:lang w:val="en-NZ"/>
        </w:rPr>
        <w:t>i</w:t>
      </w:r>
      <w:proofErr w:type="spellEnd"/>
      <w:r w:rsidR="00673F4E" w:rsidRPr="00FA747B">
        <w:rPr>
          <w:rFonts w:cs="Times New Roman"/>
          <w:szCs w:val="24"/>
          <w:lang w:val="en-NZ"/>
        </w:rPr>
        <w:t xml:space="preserve"> over days </w:t>
      </w:r>
      <w:r w:rsidR="00673F4E" w:rsidRPr="00506C2B">
        <w:rPr>
          <w:rFonts w:cs="Times New Roman"/>
          <w:i/>
          <w:szCs w:val="24"/>
          <w:lang w:val="en-NZ"/>
        </w:rPr>
        <w:t>q</w:t>
      </w:r>
      <w:r w:rsidR="00673F4E" w:rsidRPr="00FA747B">
        <w:rPr>
          <w:rFonts w:cs="Times New Roman"/>
          <w:szCs w:val="24"/>
          <w:lang w:val="en-NZ"/>
        </w:rPr>
        <w:t xml:space="preserve"> to </w:t>
      </w:r>
      <w:r w:rsidR="00673F4E" w:rsidRPr="00506C2B">
        <w:rPr>
          <w:rFonts w:cs="Times New Roman"/>
          <w:i/>
          <w:szCs w:val="24"/>
          <w:lang w:val="en-NZ"/>
        </w:rPr>
        <w:t>s</w:t>
      </w:r>
      <w:r w:rsidR="00673F4E" w:rsidRPr="00FA747B">
        <w:rPr>
          <w:rFonts w:cs="Times New Roman"/>
          <w:i/>
          <w:szCs w:val="24"/>
          <w:lang w:val="en-NZ"/>
        </w:rPr>
        <w:t xml:space="preserve">. </w:t>
      </w:r>
      <m:oMath>
        <m:sSub>
          <m:sSubPr>
            <m:ctrlPr>
              <w:rPr>
                <w:rFonts w:ascii="Cambria Math" w:hAnsi="Cambria Math" w:cs="Times New Roman"/>
                <w:i/>
                <w:szCs w:val="24"/>
                <w:lang w:val="en-NZ"/>
              </w:rPr>
            </m:ctrlPr>
          </m:sSubPr>
          <m:e>
            <m:r>
              <w:rPr>
                <w:rFonts w:ascii="Cambria Math" w:hAnsi="Cambria Math" w:cs="Times New Roman"/>
                <w:szCs w:val="24"/>
                <w:lang w:val="en-NZ"/>
              </w:rPr>
              <m:t>ASPREAD</m:t>
            </m:r>
          </m:e>
          <m:sub>
            <m:r>
              <w:rPr>
                <w:rFonts w:ascii="Cambria Math" w:hAnsi="Cambria Math" w:cs="Times New Roman"/>
                <w:szCs w:val="24"/>
                <w:lang w:val="en-NZ"/>
              </w:rPr>
              <m:t>i,t</m:t>
            </m:r>
          </m:sub>
        </m:sSub>
      </m:oMath>
      <w:r w:rsidR="00673F4E" w:rsidRPr="00FA747B">
        <w:rPr>
          <w:rFonts w:cs="Times New Roman"/>
          <w:i/>
          <w:szCs w:val="24"/>
          <w:lang w:val="en-NZ"/>
        </w:rPr>
        <w:t xml:space="preserve"> </w:t>
      </w:r>
      <w:r w:rsidR="00673F4E" w:rsidRPr="00FA747B">
        <w:rPr>
          <w:rFonts w:cs="Times New Roman"/>
          <w:szCs w:val="24"/>
          <w:lang w:val="en-NZ"/>
        </w:rPr>
        <w:t xml:space="preserve">is the abnormal bid-ask spread, calculated as the difference between </w:t>
      </w:r>
      <m:oMath>
        <m:sSub>
          <m:sSubPr>
            <m:ctrlPr>
              <w:rPr>
                <w:rFonts w:ascii="Cambria Math" w:hAnsi="Cambria Math" w:cs="Times New Roman"/>
                <w:i/>
                <w:szCs w:val="24"/>
                <w:lang w:val="en-NZ"/>
              </w:rPr>
            </m:ctrlPr>
          </m:sSubPr>
          <m:e>
            <m:r>
              <w:rPr>
                <w:rFonts w:ascii="Cambria Math" w:hAnsi="Cambria Math" w:cs="Times New Roman"/>
                <w:szCs w:val="24"/>
                <w:lang w:val="en-NZ"/>
              </w:rPr>
              <m:t>SPREAD</m:t>
            </m:r>
          </m:e>
          <m:sub>
            <m:r>
              <w:rPr>
                <w:rFonts w:ascii="Cambria Math" w:hAnsi="Cambria Math" w:cs="Times New Roman"/>
                <w:szCs w:val="24"/>
                <w:lang w:val="en-NZ"/>
              </w:rPr>
              <m:t>i,t</m:t>
            </m:r>
          </m:sub>
        </m:sSub>
      </m:oMath>
      <w:r w:rsidR="00673F4E" w:rsidRPr="00FA747B">
        <w:rPr>
          <w:rFonts w:cs="Times New Roman"/>
          <w:szCs w:val="24"/>
          <w:lang w:val="en-NZ"/>
        </w:rPr>
        <w:t xml:space="preserve"> and the </w:t>
      </w:r>
      <m:oMath>
        <m:sSub>
          <m:sSubPr>
            <m:ctrlPr>
              <w:rPr>
                <w:rFonts w:ascii="Cambria Math" w:hAnsi="Cambria Math" w:cs="Times New Roman"/>
                <w:i/>
                <w:szCs w:val="24"/>
                <w:lang w:val="en-NZ"/>
              </w:rPr>
            </m:ctrlPr>
          </m:sSubPr>
          <m:e>
            <m:r>
              <w:rPr>
                <w:rFonts w:ascii="Cambria Math" w:hAnsi="Cambria Math" w:cs="Times New Roman"/>
                <w:szCs w:val="24"/>
                <w:lang w:val="en-NZ"/>
              </w:rPr>
              <m:t>ESPREAD</m:t>
            </m:r>
          </m:e>
          <m:sub>
            <m:r>
              <w:rPr>
                <w:rFonts w:ascii="Cambria Math" w:hAnsi="Cambria Math" w:cs="Times New Roman"/>
                <w:szCs w:val="24"/>
                <w:lang w:val="en-NZ"/>
              </w:rPr>
              <m:t>i,t</m:t>
            </m:r>
          </m:sub>
        </m:sSub>
      </m:oMath>
      <w:r w:rsidR="00673F4E" w:rsidRPr="00FA747B">
        <w:rPr>
          <w:rFonts w:cs="Times New Roman"/>
          <w:szCs w:val="24"/>
          <w:lang w:val="en-NZ"/>
        </w:rPr>
        <w:t>.</w:t>
      </w:r>
      <w:r w:rsidR="00673F4E">
        <w:rPr>
          <w:rFonts w:cs="Times New Roman"/>
          <w:szCs w:val="24"/>
          <w:lang w:val="en-NZ"/>
        </w:rPr>
        <w:t xml:space="preserve"> In the main results, </w:t>
      </w:r>
      <w:r w:rsidR="00673F4E">
        <w:rPr>
          <w:rFonts w:cs="Times New Roman"/>
          <w:i/>
          <w:szCs w:val="24"/>
          <w:lang w:val="en-NZ"/>
        </w:rPr>
        <w:t xml:space="preserve">p </w:t>
      </w:r>
      <w:r w:rsidR="00673F4E">
        <w:rPr>
          <w:rFonts w:cs="Times New Roman"/>
          <w:szCs w:val="24"/>
          <w:lang w:val="en-NZ"/>
        </w:rPr>
        <w:t xml:space="preserve">and </w:t>
      </w:r>
      <w:r w:rsidR="00673F4E">
        <w:rPr>
          <w:rFonts w:cs="Times New Roman"/>
          <w:i/>
          <w:szCs w:val="24"/>
          <w:lang w:val="en-NZ"/>
        </w:rPr>
        <w:t xml:space="preserve">q </w:t>
      </w:r>
      <w:r w:rsidR="00673F4E">
        <w:rPr>
          <w:rFonts w:cs="Times New Roman"/>
          <w:szCs w:val="24"/>
          <w:lang w:val="en-NZ"/>
        </w:rPr>
        <w:t xml:space="preserve">are </w:t>
      </w:r>
      <w:r w:rsidR="00673F4E">
        <w:rPr>
          <w:rFonts w:cs="Times New Roman"/>
          <w:i/>
          <w:szCs w:val="24"/>
          <w:lang w:val="en-NZ"/>
        </w:rPr>
        <w:t>t</w:t>
      </w:r>
      <w:r w:rsidR="00FB29C4">
        <w:rPr>
          <w:rFonts w:cs="Times New Roman"/>
          <w:szCs w:val="24"/>
          <w:lang w:val="en-NZ"/>
        </w:rPr>
        <w:t>-100</w:t>
      </w:r>
      <w:r w:rsidR="00673F4E">
        <w:rPr>
          <w:rFonts w:cs="Times New Roman"/>
          <w:szCs w:val="24"/>
          <w:lang w:val="en-NZ"/>
        </w:rPr>
        <w:t xml:space="preserve"> and </w:t>
      </w:r>
      <w:r w:rsidR="00673F4E">
        <w:rPr>
          <w:rFonts w:cs="Times New Roman"/>
          <w:i/>
          <w:szCs w:val="24"/>
          <w:lang w:val="en-NZ"/>
        </w:rPr>
        <w:t>t</w:t>
      </w:r>
      <w:r w:rsidR="00673F4E">
        <w:rPr>
          <w:rFonts w:cs="Times New Roman"/>
          <w:szCs w:val="24"/>
          <w:lang w:val="en-NZ"/>
        </w:rPr>
        <w:t>-1</w:t>
      </w:r>
      <w:r w:rsidR="00FB29C4">
        <w:rPr>
          <w:rFonts w:cs="Times New Roman"/>
          <w:szCs w:val="24"/>
          <w:lang w:val="en-NZ"/>
        </w:rPr>
        <w:t>5</w:t>
      </w:r>
      <w:r w:rsidR="00673F4E">
        <w:rPr>
          <w:rFonts w:cs="Times New Roman"/>
          <w:szCs w:val="24"/>
          <w:lang w:val="en-NZ"/>
        </w:rPr>
        <w:t>, respectively.</w:t>
      </w:r>
      <w:r w:rsidR="00C6768F">
        <w:rPr>
          <w:rFonts w:cs="Times New Roman"/>
          <w:szCs w:val="24"/>
          <w:lang w:val="en-NZ"/>
        </w:rPr>
        <w:t xml:space="preserve"> To examine if changes in abnormal bid-ask spread are significantly different from zero, student </w:t>
      </w:r>
      <w:r w:rsidR="00C6768F" w:rsidRPr="00C6768F">
        <w:rPr>
          <w:rFonts w:cs="Times New Roman"/>
          <w:i/>
          <w:szCs w:val="24"/>
          <w:lang w:val="en-NZ"/>
        </w:rPr>
        <w:t>t</w:t>
      </w:r>
      <w:r w:rsidR="00C6768F">
        <w:rPr>
          <w:rFonts w:cs="Times New Roman"/>
          <w:szCs w:val="24"/>
          <w:lang w:val="en-NZ"/>
        </w:rPr>
        <w:t>-tests are calculated.</w:t>
      </w:r>
    </w:p>
    <w:p w:rsidR="00192C04" w:rsidRDefault="00192C04" w:rsidP="00192C04">
      <w:pPr>
        <w:rPr>
          <w:lang w:val="en-NZ"/>
        </w:rPr>
      </w:pPr>
      <w:r w:rsidRPr="00FA747B">
        <w:rPr>
          <w:lang w:val="en-NZ"/>
        </w:rPr>
        <w:t xml:space="preserve">The cumulative </w:t>
      </w:r>
      <w:r>
        <w:rPr>
          <w:lang w:val="en-NZ"/>
        </w:rPr>
        <w:t xml:space="preserve">average </w:t>
      </w:r>
      <w:r w:rsidRPr="00FA747B">
        <w:rPr>
          <w:lang w:val="en-NZ"/>
        </w:rPr>
        <w:t xml:space="preserve">abnormal </w:t>
      </w:r>
      <w:r>
        <w:rPr>
          <w:lang w:val="en-NZ"/>
        </w:rPr>
        <w:t>spread</w:t>
      </w:r>
      <w:r w:rsidRPr="00FA747B">
        <w:rPr>
          <w:lang w:val="en-NZ"/>
        </w:rPr>
        <w:t xml:space="preserve"> from event day </w:t>
      </w:r>
      <w:r w:rsidRPr="00024694">
        <w:rPr>
          <w:i/>
          <w:lang w:val="en-NZ"/>
        </w:rPr>
        <w:t>q</w:t>
      </w:r>
      <w:r w:rsidRPr="00FA747B">
        <w:rPr>
          <w:lang w:val="en-NZ"/>
        </w:rPr>
        <w:t xml:space="preserve"> to event day </w:t>
      </w:r>
      <w:r w:rsidRPr="00024694">
        <w:rPr>
          <w:i/>
          <w:lang w:val="en-NZ"/>
        </w:rPr>
        <w:t>s</w:t>
      </w:r>
      <w:r w:rsidRPr="00FA747B">
        <w:rPr>
          <w:lang w:val="en-NZ"/>
        </w:rPr>
        <w:t xml:space="preserve"> is the summation of the abnormal </w:t>
      </w:r>
      <w:r>
        <w:rPr>
          <w:lang w:val="en-NZ"/>
        </w:rPr>
        <w:t>spread</w:t>
      </w:r>
      <w:r w:rsidRPr="00FA747B">
        <w:rPr>
          <w:lang w:val="en-NZ"/>
        </w:rPr>
        <w:t>, calculated as:</w:t>
      </w:r>
    </w:p>
    <w:p w:rsidR="00192C04" w:rsidRPr="00192C04" w:rsidRDefault="000A24D2" w:rsidP="00192C04">
      <w:pPr>
        <w:rPr>
          <w:lang w:val="en-NZ"/>
        </w:rPr>
      </w:pPr>
      <m:oMath>
        <m:sSub>
          <m:sSubPr>
            <m:ctrlPr>
              <w:rPr>
                <w:rFonts w:ascii="Cambria Math" w:hAnsi="Cambria Math"/>
                <w:lang w:val="en-NZ"/>
              </w:rPr>
            </m:ctrlPr>
          </m:sSubPr>
          <m:e>
            <m:r>
              <w:rPr>
                <w:rFonts w:ascii="Cambria Math" w:hAnsi="Cambria Math"/>
                <w:lang w:val="en-NZ"/>
              </w:rPr>
              <m:t>CAAS</m:t>
            </m:r>
          </m:e>
          <m:sub>
            <m:r>
              <w:rPr>
                <w:rFonts w:ascii="Cambria Math" w:hAnsi="Cambria Math"/>
                <w:lang w:val="en-NZ"/>
              </w:rPr>
              <m:t>i</m:t>
            </m:r>
            <m:r>
              <m:rPr>
                <m:sty m:val="p"/>
              </m:rPr>
              <w:rPr>
                <w:rFonts w:ascii="Cambria Math" w:hAnsi="Cambria Math"/>
                <w:lang w:val="en-NZ"/>
              </w:rPr>
              <m:t>,</m:t>
            </m:r>
            <m:r>
              <w:rPr>
                <w:rFonts w:ascii="Cambria Math" w:hAnsi="Cambria Math"/>
                <w:lang w:val="en-NZ"/>
              </w:rPr>
              <m:t>t</m:t>
            </m:r>
          </m:sub>
        </m:sSub>
        <m:d>
          <m:dPr>
            <m:ctrlPr>
              <w:rPr>
                <w:rFonts w:ascii="Cambria Math" w:hAnsi="Cambria Math"/>
                <w:lang w:val="en-NZ"/>
              </w:rPr>
            </m:ctrlPr>
          </m:dPr>
          <m:e>
            <m:r>
              <w:rPr>
                <w:rFonts w:ascii="Cambria Math" w:hAnsi="Cambria Math"/>
                <w:lang w:val="en-NZ"/>
              </w:rPr>
              <m:t>q</m:t>
            </m:r>
            <m:r>
              <m:rPr>
                <m:sty m:val="p"/>
              </m:rPr>
              <w:rPr>
                <w:rFonts w:ascii="Cambria Math" w:hAnsi="Cambria Math"/>
                <w:lang w:val="en-NZ"/>
              </w:rPr>
              <m:t>,</m:t>
            </m:r>
            <m:r>
              <w:rPr>
                <w:rFonts w:ascii="Cambria Math" w:hAnsi="Cambria Math"/>
                <w:lang w:val="en-NZ"/>
              </w:rPr>
              <m:t>s</m:t>
            </m:r>
          </m:e>
        </m:d>
        <m:r>
          <m:rPr>
            <m:sty m:val="p"/>
          </m:rPr>
          <w:rPr>
            <w:rFonts w:ascii="Cambria Math" w:hAnsi="Cambria Math"/>
            <w:lang w:val="en-NZ"/>
          </w:rPr>
          <m:t>=</m:t>
        </m:r>
        <m:nary>
          <m:naryPr>
            <m:chr m:val="∑"/>
            <m:limLoc m:val="undOvr"/>
            <m:ctrlPr>
              <w:rPr>
                <w:rFonts w:ascii="Cambria Math" w:hAnsi="Cambria Math"/>
                <w:lang w:val="en-NZ"/>
              </w:rPr>
            </m:ctrlPr>
          </m:naryPr>
          <m:sub>
            <m:r>
              <w:rPr>
                <w:rFonts w:ascii="Cambria Math" w:hAnsi="Cambria Math"/>
                <w:lang w:val="en-NZ"/>
              </w:rPr>
              <m:t>t</m:t>
            </m:r>
            <m:r>
              <m:rPr>
                <m:sty m:val="p"/>
              </m:rPr>
              <w:rPr>
                <w:rFonts w:ascii="Cambria Math" w:hAnsi="Cambria Math"/>
                <w:lang w:val="en-NZ"/>
              </w:rPr>
              <m:t>=</m:t>
            </m:r>
            <m:r>
              <w:rPr>
                <w:rFonts w:ascii="Cambria Math" w:hAnsi="Cambria Math"/>
                <w:lang w:val="en-NZ"/>
              </w:rPr>
              <m:t>q</m:t>
            </m:r>
          </m:sub>
          <m:sup>
            <m:r>
              <w:rPr>
                <w:rFonts w:ascii="Cambria Math" w:hAnsi="Cambria Math"/>
                <w:lang w:val="en-NZ"/>
              </w:rPr>
              <m:t>s</m:t>
            </m:r>
          </m:sup>
          <m:e>
            <m:sSub>
              <m:sSubPr>
                <m:ctrlPr>
                  <w:rPr>
                    <w:rFonts w:ascii="Cambria Math" w:hAnsi="Cambria Math"/>
                    <w:lang w:val="en-NZ"/>
                  </w:rPr>
                </m:ctrlPr>
              </m:sSubPr>
              <m:e>
                <m:r>
                  <w:rPr>
                    <w:rFonts w:ascii="Cambria Math" w:hAnsi="Cambria Math"/>
                    <w:lang w:val="en-NZ"/>
                  </w:rPr>
                  <m:t>ASPREAD</m:t>
                </m:r>
              </m:e>
              <m:sub>
                <m:r>
                  <w:rPr>
                    <w:rFonts w:ascii="Cambria Math" w:hAnsi="Cambria Math"/>
                    <w:lang w:val="en-NZ"/>
                  </w:rPr>
                  <m:t>i</m:t>
                </m:r>
                <m:r>
                  <m:rPr>
                    <m:sty m:val="p"/>
                  </m:rPr>
                  <w:rPr>
                    <w:rFonts w:ascii="Cambria Math" w:hAnsi="Cambria Math"/>
                    <w:lang w:val="en-NZ"/>
                  </w:rPr>
                  <m:t>,</m:t>
                </m:r>
                <m:r>
                  <w:rPr>
                    <w:rFonts w:ascii="Cambria Math" w:hAnsi="Cambria Math"/>
                    <w:lang w:val="en-NZ"/>
                  </w:rPr>
                  <m:t>t</m:t>
                </m:r>
              </m:sub>
            </m:sSub>
          </m:e>
        </m:nary>
      </m:oMath>
      <w:r w:rsidR="00192C04">
        <w:rPr>
          <w:lang w:val="en-NZ"/>
        </w:rPr>
        <w:tab/>
      </w:r>
      <w:r w:rsidR="00192C04">
        <w:rPr>
          <w:lang w:val="en-NZ"/>
        </w:rPr>
        <w:tab/>
      </w:r>
      <w:r w:rsidR="00192C04">
        <w:rPr>
          <w:lang w:val="en-NZ"/>
        </w:rPr>
        <w:tab/>
      </w:r>
      <w:r w:rsidR="00192C04">
        <w:rPr>
          <w:lang w:val="en-NZ"/>
        </w:rPr>
        <w:tab/>
      </w:r>
      <w:r w:rsidR="00192C04">
        <w:rPr>
          <w:lang w:val="en-NZ"/>
        </w:rPr>
        <w:tab/>
      </w:r>
      <w:r w:rsidR="00192C04">
        <w:rPr>
          <w:lang w:val="en-NZ"/>
        </w:rPr>
        <w:tab/>
        <w:t>(</w:t>
      </w:r>
      <w:r w:rsidR="00A837F9">
        <w:rPr>
          <w:lang w:val="en-NZ"/>
        </w:rPr>
        <w:t>7</w:t>
      </w:r>
      <w:r w:rsidR="00192C04">
        <w:rPr>
          <w:lang w:val="en-NZ"/>
        </w:rPr>
        <w:t>)</w:t>
      </w:r>
    </w:p>
    <w:p w:rsidR="00056727" w:rsidRPr="007D5FBA" w:rsidRDefault="00AD74FF" w:rsidP="007D5FBA">
      <w:pPr>
        <w:pStyle w:val="Heading3"/>
        <w:numPr>
          <w:ilvl w:val="0"/>
          <w:numId w:val="0"/>
        </w:numPr>
        <w:ind w:left="357" w:hanging="357"/>
        <w:rPr>
          <w:b w:val="0"/>
          <w:i/>
        </w:rPr>
      </w:pPr>
      <w:bookmarkStart w:id="12" w:name="_Toc379787290"/>
      <w:r w:rsidRPr="007D5FBA">
        <w:rPr>
          <w:b w:val="0"/>
          <w:i/>
        </w:rPr>
        <w:t xml:space="preserve">Trading </w:t>
      </w:r>
      <w:r w:rsidR="00056727" w:rsidRPr="007D5FBA">
        <w:rPr>
          <w:b w:val="0"/>
          <w:i/>
        </w:rPr>
        <w:t>Volume</w:t>
      </w:r>
      <w:bookmarkEnd w:id="12"/>
    </w:p>
    <w:p w:rsidR="00F649C5" w:rsidRPr="00053BED" w:rsidRDefault="00F649C5" w:rsidP="009340C7">
      <w:pPr>
        <w:pStyle w:val="NoSpacing"/>
        <w:rPr>
          <w:rFonts w:cs="Times New Roman"/>
          <w:szCs w:val="24"/>
          <w:lang w:val="en-NZ"/>
        </w:rPr>
      </w:pPr>
      <w:r>
        <w:t>The event study methodology is adopted to analyse whether a</w:t>
      </w:r>
      <w:r w:rsidR="001C4D1E">
        <w:t xml:space="preserve"> firm’s </w:t>
      </w:r>
      <w:r w:rsidR="002B67FC">
        <w:t>abnormal</w:t>
      </w:r>
      <w:r>
        <w:t xml:space="preserve"> trading turnover i</w:t>
      </w:r>
      <w:r w:rsidR="00DF39B6">
        <w:t>s significantly different from zero</w:t>
      </w:r>
      <w:r>
        <w:t xml:space="preserve"> follo</w:t>
      </w:r>
      <w:r w:rsidR="001C4D1E">
        <w:t xml:space="preserve">wing a bank loan announcement. Abnormal </w:t>
      </w:r>
      <w:r w:rsidRPr="00053BED">
        <w:rPr>
          <w:rFonts w:cs="Times New Roman"/>
          <w:szCs w:val="24"/>
          <w:lang w:val="en-NZ"/>
        </w:rPr>
        <w:t>turnover</w:t>
      </w:r>
      <w:r w:rsidR="00BF0E2B">
        <w:rPr>
          <w:rFonts w:cs="Times New Roman"/>
          <w:szCs w:val="24"/>
          <w:lang w:val="en-NZ"/>
        </w:rPr>
        <w:t xml:space="preserve"> is calculated</w:t>
      </w:r>
      <w:r w:rsidRPr="00053BED">
        <w:rPr>
          <w:rFonts w:cs="Times New Roman"/>
          <w:szCs w:val="24"/>
          <w:lang w:val="en-NZ"/>
        </w:rPr>
        <w:t xml:space="preserve"> as:</w:t>
      </w:r>
    </w:p>
    <w:p w:rsidR="00F649C5" w:rsidRPr="00053BED" w:rsidRDefault="000A24D2" w:rsidP="00192C04">
      <w:pPr>
        <w:tabs>
          <w:tab w:val="left" w:pos="680"/>
        </w:tabs>
        <w:spacing w:after="0"/>
        <w:jc w:val="both"/>
        <w:rPr>
          <w:rFonts w:cs="Times New Roman"/>
          <w:szCs w:val="24"/>
          <w:lang w:val="en-NZ"/>
        </w:rPr>
      </w:pPr>
      <m:oMath>
        <m:sSub>
          <m:sSubPr>
            <m:ctrlPr>
              <w:rPr>
                <w:rFonts w:ascii="Cambria Math" w:hAnsi="Cambria Math" w:cs="Times New Roman"/>
                <w:i/>
                <w:szCs w:val="24"/>
                <w:lang w:val="en-NZ"/>
              </w:rPr>
            </m:ctrlPr>
          </m:sSubPr>
          <m:e>
            <m:r>
              <w:rPr>
                <w:rFonts w:ascii="Cambria Math" w:hAnsi="Cambria Math" w:cs="Times New Roman"/>
                <w:szCs w:val="24"/>
                <w:lang w:val="en-NZ"/>
              </w:rPr>
              <m:t>TURN</m:t>
            </m:r>
          </m:e>
          <m:sub>
            <m:r>
              <w:rPr>
                <w:rFonts w:ascii="Cambria Math" w:hAnsi="Cambria Math" w:cs="Times New Roman"/>
                <w:szCs w:val="24"/>
                <w:lang w:val="en-NZ"/>
              </w:rPr>
              <m:t>i,t</m:t>
            </m:r>
          </m:sub>
        </m:sSub>
        <m:r>
          <w:rPr>
            <w:rFonts w:ascii="Cambria Math" w:hAnsi="Cambria Math" w:cs="Times New Roman"/>
            <w:szCs w:val="24"/>
            <w:lang w:val="en-NZ"/>
          </w:rPr>
          <m:t>=</m:t>
        </m:r>
        <m:f>
          <m:fPr>
            <m:ctrlPr>
              <w:rPr>
                <w:rFonts w:ascii="Cambria Math" w:hAnsi="Cambria Math" w:cs="Times New Roman"/>
                <w:i/>
                <w:szCs w:val="24"/>
                <w:lang w:val="en-NZ"/>
              </w:rPr>
            </m:ctrlPr>
          </m:fPr>
          <m:num>
            <m:sSub>
              <m:sSubPr>
                <m:ctrlPr>
                  <w:rPr>
                    <w:rFonts w:ascii="Cambria Math" w:hAnsi="Cambria Math" w:cs="Times New Roman"/>
                    <w:i/>
                    <w:szCs w:val="24"/>
                    <w:lang w:val="en-NZ"/>
                  </w:rPr>
                </m:ctrlPr>
              </m:sSubPr>
              <m:e>
                <m:r>
                  <w:rPr>
                    <w:rFonts w:ascii="Cambria Math" w:hAnsi="Cambria Math" w:cs="Times New Roman"/>
                    <w:szCs w:val="24"/>
                    <w:lang w:val="en-NZ"/>
                  </w:rPr>
                  <m:t>VOL</m:t>
                </m:r>
              </m:e>
              <m:sub>
                <m:r>
                  <w:rPr>
                    <w:rFonts w:ascii="Cambria Math" w:hAnsi="Cambria Math" w:cs="Times New Roman"/>
                    <w:szCs w:val="24"/>
                    <w:lang w:val="en-NZ"/>
                  </w:rPr>
                  <m:t>i,t</m:t>
                </m:r>
              </m:sub>
            </m:sSub>
          </m:num>
          <m:den>
            <m:sSub>
              <m:sSubPr>
                <m:ctrlPr>
                  <w:rPr>
                    <w:rFonts w:ascii="Cambria Math" w:hAnsi="Cambria Math" w:cs="Times New Roman"/>
                    <w:i/>
                    <w:szCs w:val="24"/>
                    <w:lang w:val="en-NZ"/>
                  </w:rPr>
                </m:ctrlPr>
              </m:sSubPr>
              <m:e>
                <m:r>
                  <w:rPr>
                    <w:rFonts w:ascii="Cambria Math" w:hAnsi="Cambria Math" w:cs="Times New Roman"/>
                    <w:szCs w:val="24"/>
                    <w:lang w:val="en-NZ"/>
                  </w:rPr>
                  <m:t>#Shares</m:t>
                </m:r>
              </m:e>
              <m:sub>
                <m:r>
                  <w:rPr>
                    <w:rFonts w:ascii="Cambria Math" w:hAnsi="Cambria Math" w:cs="Times New Roman"/>
                    <w:szCs w:val="24"/>
                    <w:lang w:val="en-NZ"/>
                  </w:rPr>
                  <m:t>i,t</m:t>
                </m:r>
              </m:sub>
            </m:sSub>
          </m:den>
        </m:f>
      </m:oMath>
      <w:r w:rsidR="00F649C5" w:rsidRPr="00053BED">
        <w:rPr>
          <w:rFonts w:cs="Times New Roman"/>
          <w:szCs w:val="24"/>
          <w:lang w:val="en-NZ"/>
        </w:rPr>
        <w:tab/>
        <w:t xml:space="preserve"> </w:t>
      </w:r>
      <w:r w:rsidR="00F649C5" w:rsidRPr="00053BED">
        <w:rPr>
          <w:rFonts w:cs="Times New Roman"/>
          <w:szCs w:val="24"/>
          <w:lang w:val="en-NZ"/>
        </w:rPr>
        <w:tab/>
      </w:r>
      <w:r w:rsidR="00F649C5" w:rsidRPr="00053BED">
        <w:rPr>
          <w:rFonts w:cs="Times New Roman"/>
          <w:szCs w:val="24"/>
          <w:lang w:val="en-NZ"/>
        </w:rPr>
        <w:tab/>
      </w:r>
      <w:r w:rsidR="00F649C5" w:rsidRPr="00053BED">
        <w:rPr>
          <w:rFonts w:cs="Times New Roman"/>
          <w:szCs w:val="24"/>
          <w:lang w:val="en-NZ"/>
        </w:rPr>
        <w:tab/>
      </w:r>
      <w:r w:rsidR="00F649C5" w:rsidRPr="00053BED">
        <w:rPr>
          <w:rFonts w:cs="Times New Roman"/>
          <w:szCs w:val="24"/>
          <w:lang w:val="en-NZ"/>
        </w:rPr>
        <w:tab/>
      </w:r>
      <w:r w:rsidR="00F649C5" w:rsidRPr="00053BED">
        <w:rPr>
          <w:rFonts w:cs="Times New Roman"/>
          <w:szCs w:val="24"/>
          <w:lang w:val="en-NZ"/>
        </w:rPr>
        <w:tab/>
      </w:r>
      <w:r w:rsidR="00F649C5" w:rsidRPr="00053BED">
        <w:rPr>
          <w:rFonts w:cs="Times New Roman"/>
          <w:szCs w:val="24"/>
          <w:lang w:val="en-NZ"/>
        </w:rPr>
        <w:tab/>
      </w:r>
      <w:r w:rsidR="00F649C5" w:rsidRPr="00053BED">
        <w:rPr>
          <w:rFonts w:cs="Times New Roman"/>
          <w:szCs w:val="24"/>
          <w:lang w:val="en-NZ"/>
        </w:rPr>
        <w:tab/>
        <w:t>(</w:t>
      </w:r>
      <w:r w:rsidR="00A837F9">
        <w:rPr>
          <w:rFonts w:cs="Times New Roman"/>
          <w:szCs w:val="24"/>
          <w:lang w:val="en-NZ"/>
        </w:rPr>
        <w:t>8</w:t>
      </w:r>
      <w:r w:rsidR="00F649C5" w:rsidRPr="00053BED">
        <w:rPr>
          <w:rFonts w:cs="Times New Roman"/>
          <w:szCs w:val="24"/>
          <w:lang w:val="en-NZ"/>
        </w:rPr>
        <w:t>)</w:t>
      </w:r>
    </w:p>
    <w:p w:rsidR="00F649C5" w:rsidRPr="00053BED" w:rsidRDefault="000A24D2" w:rsidP="00192C04">
      <w:pPr>
        <w:tabs>
          <w:tab w:val="left" w:pos="680"/>
        </w:tabs>
        <w:spacing w:after="0"/>
        <w:jc w:val="both"/>
        <w:rPr>
          <w:rFonts w:cs="Times New Roman"/>
          <w:szCs w:val="24"/>
          <w:lang w:val="en-NZ"/>
        </w:rPr>
      </w:pPr>
      <m:oMath>
        <m:sSub>
          <m:sSubPr>
            <m:ctrlPr>
              <w:rPr>
                <w:rFonts w:ascii="Cambria Math" w:hAnsi="Cambria Math" w:cs="Times New Roman"/>
                <w:i/>
                <w:szCs w:val="24"/>
                <w:lang w:val="en-NZ"/>
              </w:rPr>
            </m:ctrlPr>
          </m:sSubPr>
          <m:e>
            <m:r>
              <w:rPr>
                <w:rFonts w:ascii="Cambria Math" w:hAnsi="Cambria Math" w:cs="Times New Roman"/>
                <w:szCs w:val="24"/>
                <w:lang w:val="en-NZ"/>
              </w:rPr>
              <m:t>ETURN</m:t>
            </m:r>
          </m:e>
          <m:sub>
            <m:r>
              <w:rPr>
                <w:rFonts w:ascii="Cambria Math" w:hAnsi="Cambria Math" w:cs="Times New Roman"/>
                <w:szCs w:val="24"/>
                <w:lang w:val="en-NZ"/>
              </w:rPr>
              <m:t>i,t</m:t>
            </m:r>
          </m:sub>
        </m:sSub>
        <m:d>
          <m:dPr>
            <m:ctrlPr>
              <w:rPr>
                <w:rFonts w:ascii="Cambria Math" w:hAnsi="Cambria Math" w:cs="Times New Roman"/>
                <w:i/>
                <w:szCs w:val="24"/>
                <w:lang w:val="en-NZ"/>
              </w:rPr>
            </m:ctrlPr>
          </m:dPr>
          <m:e>
            <m:r>
              <w:rPr>
                <w:rFonts w:ascii="Cambria Math" w:hAnsi="Cambria Math" w:cs="Times New Roman"/>
                <w:szCs w:val="24"/>
                <w:lang w:val="en-NZ"/>
              </w:rPr>
              <m:t>p,q</m:t>
            </m:r>
          </m:e>
        </m:d>
        <m:r>
          <w:rPr>
            <w:rFonts w:ascii="Cambria Math" w:hAnsi="Cambria Math" w:cs="Times New Roman"/>
            <w:szCs w:val="24"/>
            <w:lang w:val="en-NZ"/>
          </w:rPr>
          <m:t>=</m:t>
        </m:r>
        <m:f>
          <m:fPr>
            <m:ctrlPr>
              <w:rPr>
                <w:rFonts w:ascii="Cambria Math" w:hAnsi="Cambria Math" w:cs="Times New Roman"/>
                <w:i/>
                <w:szCs w:val="24"/>
                <w:lang w:val="en-NZ"/>
              </w:rPr>
            </m:ctrlPr>
          </m:fPr>
          <m:num>
            <m:nary>
              <m:naryPr>
                <m:chr m:val="∑"/>
                <m:limLoc m:val="undOvr"/>
                <m:ctrlPr>
                  <w:rPr>
                    <w:rFonts w:ascii="Cambria Math" w:hAnsi="Cambria Math" w:cs="Times New Roman"/>
                    <w:i/>
                    <w:szCs w:val="24"/>
                    <w:lang w:val="en-NZ"/>
                  </w:rPr>
                </m:ctrlPr>
              </m:naryPr>
              <m:sub>
                <m:r>
                  <w:rPr>
                    <w:rFonts w:ascii="Cambria Math" w:hAnsi="Cambria Math" w:cs="Times New Roman"/>
                    <w:szCs w:val="24"/>
                    <w:lang w:val="en-NZ"/>
                  </w:rPr>
                  <m:t>t=p</m:t>
                </m:r>
              </m:sub>
              <m:sup>
                <m:r>
                  <w:rPr>
                    <w:rFonts w:ascii="Cambria Math" w:hAnsi="Cambria Math" w:cs="Times New Roman"/>
                    <w:szCs w:val="24"/>
                    <w:lang w:val="en-NZ"/>
                  </w:rPr>
                  <m:t>q</m:t>
                </m:r>
              </m:sup>
              <m:e>
                <m:f>
                  <m:fPr>
                    <m:type m:val="lin"/>
                    <m:ctrlPr>
                      <w:rPr>
                        <w:rFonts w:ascii="Cambria Math" w:hAnsi="Cambria Math" w:cs="Times New Roman"/>
                        <w:i/>
                        <w:szCs w:val="24"/>
                        <w:lang w:val="en-NZ"/>
                      </w:rPr>
                    </m:ctrlPr>
                  </m:fPr>
                  <m:num>
                    <m:sSub>
                      <m:sSubPr>
                        <m:ctrlPr>
                          <w:rPr>
                            <w:rFonts w:ascii="Cambria Math" w:hAnsi="Cambria Math" w:cs="Times New Roman"/>
                            <w:i/>
                            <w:szCs w:val="24"/>
                            <w:lang w:val="en-NZ"/>
                          </w:rPr>
                        </m:ctrlPr>
                      </m:sSubPr>
                      <m:e>
                        <m:r>
                          <w:rPr>
                            <w:rFonts w:ascii="Cambria Math" w:hAnsi="Cambria Math" w:cs="Times New Roman"/>
                            <w:szCs w:val="24"/>
                            <w:lang w:val="en-NZ"/>
                          </w:rPr>
                          <m:t>VOL</m:t>
                        </m:r>
                      </m:e>
                      <m:sub>
                        <m:r>
                          <w:rPr>
                            <w:rFonts w:ascii="Cambria Math" w:hAnsi="Cambria Math" w:cs="Times New Roman"/>
                            <w:szCs w:val="24"/>
                            <w:lang w:val="en-NZ"/>
                          </w:rPr>
                          <m:t>i,t</m:t>
                        </m:r>
                      </m:sub>
                    </m:sSub>
                  </m:num>
                  <m:den>
                    <m:r>
                      <w:rPr>
                        <w:rFonts w:ascii="Cambria Math" w:hAnsi="Cambria Math" w:cs="Times New Roman"/>
                        <w:szCs w:val="24"/>
                        <w:lang w:val="en-NZ"/>
                      </w:rPr>
                      <m:t>(q-p)</m:t>
                    </m:r>
                  </m:den>
                </m:f>
              </m:e>
            </m:nary>
          </m:num>
          <m:den>
            <m:sSub>
              <m:sSubPr>
                <m:ctrlPr>
                  <w:rPr>
                    <w:rFonts w:ascii="Cambria Math" w:hAnsi="Cambria Math" w:cs="Times New Roman"/>
                    <w:i/>
                    <w:szCs w:val="24"/>
                    <w:lang w:val="en-NZ"/>
                  </w:rPr>
                </m:ctrlPr>
              </m:sSubPr>
              <m:e>
                <m:r>
                  <w:rPr>
                    <w:rFonts w:ascii="Cambria Math" w:hAnsi="Cambria Math" w:cs="Times New Roman"/>
                    <w:szCs w:val="24"/>
                    <w:lang w:val="en-NZ"/>
                  </w:rPr>
                  <m:t>#Shares</m:t>
                </m:r>
              </m:e>
              <m:sub>
                <m:r>
                  <w:rPr>
                    <w:rFonts w:ascii="Cambria Math" w:hAnsi="Cambria Math" w:cs="Times New Roman"/>
                    <w:szCs w:val="24"/>
                    <w:lang w:val="en-NZ"/>
                  </w:rPr>
                  <m:t>i,t</m:t>
                </m:r>
              </m:sub>
            </m:sSub>
          </m:den>
        </m:f>
      </m:oMath>
      <w:r w:rsidR="00F649C5" w:rsidRPr="00053BED">
        <w:rPr>
          <w:rFonts w:cs="Times New Roman"/>
          <w:szCs w:val="24"/>
          <w:lang w:val="en-NZ"/>
        </w:rPr>
        <w:t xml:space="preserve"> </w:t>
      </w:r>
      <w:r w:rsidR="00F649C5" w:rsidRPr="00053BED">
        <w:rPr>
          <w:rFonts w:cs="Times New Roman"/>
          <w:szCs w:val="24"/>
          <w:lang w:val="en-NZ"/>
        </w:rPr>
        <w:tab/>
      </w:r>
      <w:r w:rsidR="00F649C5" w:rsidRPr="00053BED">
        <w:rPr>
          <w:rFonts w:cs="Times New Roman"/>
          <w:szCs w:val="24"/>
          <w:lang w:val="en-NZ"/>
        </w:rPr>
        <w:tab/>
      </w:r>
      <w:r w:rsidR="00F649C5" w:rsidRPr="00053BED">
        <w:rPr>
          <w:rFonts w:cs="Times New Roman"/>
          <w:szCs w:val="24"/>
          <w:lang w:val="en-NZ"/>
        </w:rPr>
        <w:tab/>
      </w:r>
      <w:r w:rsidR="00F649C5" w:rsidRPr="00053BED">
        <w:rPr>
          <w:rFonts w:cs="Times New Roman"/>
          <w:szCs w:val="24"/>
          <w:lang w:val="en-NZ"/>
        </w:rPr>
        <w:tab/>
      </w:r>
      <w:r w:rsidR="00F649C5" w:rsidRPr="00053BED">
        <w:rPr>
          <w:rFonts w:cs="Times New Roman"/>
          <w:szCs w:val="24"/>
          <w:lang w:val="en-NZ"/>
        </w:rPr>
        <w:tab/>
      </w:r>
      <w:r w:rsidR="00F649C5" w:rsidRPr="00053BED">
        <w:rPr>
          <w:rFonts w:cs="Times New Roman"/>
          <w:szCs w:val="24"/>
          <w:lang w:val="en-NZ"/>
        </w:rPr>
        <w:tab/>
        <w:t>(</w:t>
      </w:r>
      <w:r w:rsidR="00A837F9">
        <w:rPr>
          <w:rFonts w:cs="Times New Roman"/>
          <w:szCs w:val="24"/>
          <w:lang w:val="en-NZ"/>
        </w:rPr>
        <w:t>9</w:t>
      </w:r>
      <w:r w:rsidR="00F649C5" w:rsidRPr="00053BED">
        <w:rPr>
          <w:rFonts w:cs="Times New Roman"/>
          <w:szCs w:val="24"/>
          <w:lang w:val="en-NZ"/>
        </w:rPr>
        <w:t>)</w:t>
      </w:r>
    </w:p>
    <w:p w:rsidR="00F649C5" w:rsidRPr="00053BED" w:rsidRDefault="000A24D2" w:rsidP="00192C04">
      <w:pPr>
        <w:tabs>
          <w:tab w:val="left" w:pos="680"/>
        </w:tabs>
        <w:spacing w:after="0"/>
        <w:jc w:val="both"/>
        <w:rPr>
          <w:rFonts w:cs="Times New Roman"/>
          <w:szCs w:val="24"/>
          <w:lang w:val="en-NZ"/>
        </w:rPr>
      </w:pPr>
      <m:oMath>
        <m:sSub>
          <m:sSubPr>
            <m:ctrlPr>
              <w:rPr>
                <w:rFonts w:ascii="Cambria Math" w:hAnsi="Cambria Math" w:cs="Times New Roman"/>
                <w:i/>
                <w:szCs w:val="24"/>
                <w:lang w:val="en-NZ"/>
              </w:rPr>
            </m:ctrlPr>
          </m:sSubPr>
          <m:e>
            <m:r>
              <w:rPr>
                <w:rFonts w:ascii="Cambria Math" w:hAnsi="Cambria Math" w:cs="Times New Roman"/>
                <w:szCs w:val="24"/>
                <w:lang w:val="en-NZ"/>
              </w:rPr>
              <m:t>ATURN</m:t>
            </m:r>
          </m:e>
          <m:sub>
            <m:r>
              <w:rPr>
                <w:rFonts w:ascii="Cambria Math" w:hAnsi="Cambria Math" w:cs="Times New Roman"/>
                <w:szCs w:val="24"/>
                <w:lang w:val="en-NZ"/>
              </w:rPr>
              <m:t>i,t</m:t>
            </m:r>
          </m:sub>
        </m:sSub>
        <m:r>
          <w:rPr>
            <w:rFonts w:ascii="Cambria Math" w:hAnsi="Cambria Math" w:cs="Times New Roman"/>
            <w:szCs w:val="24"/>
            <w:lang w:val="en-NZ"/>
          </w:rPr>
          <m:t>=</m:t>
        </m:r>
        <m:sSub>
          <m:sSubPr>
            <m:ctrlPr>
              <w:rPr>
                <w:rFonts w:ascii="Cambria Math" w:hAnsi="Cambria Math" w:cs="Times New Roman"/>
                <w:i/>
                <w:szCs w:val="24"/>
                <w:lang w:val="en-NZ"/>
              </w:rPr>
            </m:ctrlPr>
          </m:sSubPr>
          <m:e>
            <m:r>
              <w:rPr>
                <w:rFonts w:ascii="Cambria Math" w:hAnsi="Cambria Math" w:cs="Times New Roman"/>
                <w:szCs w:val="24"/>
                <w:lang w:val="en-NZ"/>
              </w:rPr>
              <m:t>TURN</m:t>
            </m:r>
          </m:e>
          <m:sub>
            <m:r>
              <w:rPr>
                <w:rFonts w:ascii="Cambria Math" w:hAnsi="Cambria Math" w:cs="Times New Roman"/>
                <w:szCs w:val="24"/>
                <w:lang w:val="en-NZ"/>
              </w:rPr>
              <m:t>i,t</m:t>
            </m:r>
          </m:sub>
        </m:sSub>
        <m:r>
          <w:rPr>
            <w:rFonts w:ascii="Cambria Math" w:hAnsi="Cambria Math" w:cs="Times New Roman"/>
            <w:szCs w:val="24"/>
            <w:lang w:val="en-NZ"/>
          </w:rPr>
          <m:t>-</m:t>
        </m:r>
        <m:sSub>
          <m:sSubPr>
            <m:ctrlPr>
              <w:rPr>
                <w:rFonts w:ascii="Cambria Math" w:hAnsi="Cambria Math" w:cs="Times New Roman"/>
                <w:i/>
                <w:szCs w:val="24"/>
                <w:lang w:val="en-NZ"/>
              </w:rPr>
            </m:ctrlPr>
          </m:sSubPr>
          <m:e>
            <m:r>
              <w:rPr>
                <w:rFonts w:ascii="Cambria Math" w:hAnsi="Cambria Math" w:cs="Times New Roman"/>
                <w:szCs w:val="24"/>
                <w:lang w:val="en-NZ"/>
              </w:rPr>
              <m:t>ETURN</m:t>
            </m:r>
          </m:e>
          <m:sub>
            <m:r>
              <w:rPr>
                <w:rFonts w:ascii="Cambria Math" w:hAnsi="Cambria Math" w:cs="Times New Roman"/>
                <w:szCs w:val="24"/>
                <w:lang w:val="en-NZ"/>
              </w:rPr>
              <m:t>i,t</m:t>
            </m:r>
          </m:sub>
        </m:sSub>
        <m:d>
          <m:dPr>
            <m:ctrlPr>
              <w:rPr>
                <w:rFonts w:ascii="Cambria Math" w:hAnsi="Cambria Math" w:cs="Times New Roman"/>
                <w:i/>
                <w:szCs w:val="24"/>
                <w:lang w:val="en-NZ"/>
              </w:rPr>
            </m:ctrlPr>
          </m:dPr>
          <m:e>
            <m:r>
              <w:rPr>
                <w:rFonts w:ascii="Cambria Math" w:hAnsi="Cambria Math" w:cs="Times New Roman"/>
                <w:szCs w:val="24"/>
                <w:lang w:val="en-NZ"/>
              </w:rPr>
              <m:t>p,q</m:t>
            </m:r>
          </m:e>
        </m:d>
      </m:oMath>
      <w:r w:rsidR="00192C04">
        <w:rPr>
          <w:rFonts w:cs="Times New Roman"/>
          <w:szCs w:val="24"/>
          <w:lang w:val="en-NZ"/>
        </w:rPr>
        <w:t xml:space="preserve"> </w:t>
      </w:r>
      <w:r w:rsidR="00192C04">
        <w:rPr>
          <w:rFonts w:cs="Times New Roman"/>
          <w:szCs w:val="24"/>
          <w:lang w:val="en-NZ"/>
        </w:rPr>
        <w:tab/>
      </w:r>
      <w:r w:rsidR="00192C04">
        <w:rPr>
          <w:rFonts w:cs="Times New Roman"/>
          <w:szCs w:val="24"/>
          <w:lang w:val="en-NZ"/>
        </w:rPr>
        <w:tab/>
      </w:r>
      <w:r w:rsidR="00192C04">
        <w:rPr>
          <w:rFonts w:cs="Times New Roman"/>
          <w:szCs w:val="24"/>
          <w:lang w:val="en-NZ"/>
        </w:rPr>
        <w:tab/>
      </w:r>
      <w:r w:rsidR="00192C04">
        <w:rPr>
          <w:rFonts w:cs="Times New Roman"/>
          <w:szCs w:val="24"/>
          <w:lang w:val="en-NZ"/>
        </w:rPr>
        <w:tab/>
      </w:r>
      <w:r w:rsidR="00192C04">
        <w:rPr>
          <w:rFonts w:cs="Times New Roman"/>
          <w:szCs w:val="24"/>
          <w:lang w:val="en-NZ"/>
        </w:rPr>
        <w:tab/>
        <w:t>(1</w:t>
      </w:r>
      <w:r w:rsidR="00A837F9">
        <w:rPr>
          <w:rFonts w:cs="Times New Roman"/>
          <w:szCs w:val="24"/>
          <w:lang w:val="en-NZ"/>
        </w:rPr>
        <w:t>0</w:t>
      </w:r>
      <w:r w:rsidR="00F649C5" w:rsidRPr="00053BED">
        <w:rPr>
          <w:rFonts w:cs="Times New Roman"/>
          <w:szCs w:val="24"/>
          <w:lang w:val="en-NZ"/>
        </w:rPr>
        <w:t>)</w:t>
      </w:r>
    </w:p>
    <w:p w:rsidR="00192C04" w:rsidRDefault="000A24D2" w:rsidP="00AD74FF">
      <w:pPr>
        <w:rPr>
          <w:lang w:val="en-NZ"/>
        </w:rPr>
      </w:pPr>
      <m:oMath>
        <m:sSub>
          <m:sSubPr>
            <m:ctrlPr>
              <w:rPr>
                <w:rFonts w:ascii="Cambria Math" w:hAnsi="Cambria Math" w:cs="Times New Roman"/>
                <w:i/>
                <w:szCs w:val="24"/>
                <w:lang w:val="en-NZ"/>
              </w:rPr>
            </m:ctrlPr>
          </m:sSubPr>
          <m:e>
            <m:r>
              <w:rPr>
                <w:rFonts w:ascii="Cambria Math" w:hAnsi="Cambria Math" w:cs="Times New Roman"/>
                <w:szCs w:val="24"/>
                <w:lang w:val="en-NZ"/>
              </w:rPr>
              <m:t>TURN</m:t>
            </m:r>
          </m:e>
          <m:sub>
            <m:r>
              <w:rPr>
                <w:rFonts w:ascii="Cambria Math" w:hAnsi="Cambria Math" w:cs="Times New Roman"/>
                <w:szCs w:val="24"/>
                <w:lang w:val="en-NZ"/>
              </w:rPr>
              <m:t>i,t</m:t>
            </m:r>
          </m:sub>
        </m:sSub>
      </m:oMath>
      <w:r w:rsidR="00F649C5" w:rsidRPr="00053BED">
        <w:rPr>
          <w:rFonts w:cs="Times New Roman"/>
          <w:szCs w:val="24"/>
          <w:lang w:val="en-NZ"/>
        </w:rPr>
        <w:t xml:space="preserve"> </w:t>
      </w:r>
      <w:proofErr w:type="gramStart"/>
      <w:r w:rsidR="00F649C5" w:rsidRPr="00053BED">
        <w:rPr>
          <w:rFonts w:cs="Times New Roman"/>
          <w:szCs w:val="24"/>
          <w:lang w:val="en-NZ"/>
        </w:rPr>
        <w:t>is</w:t>
      </w:r>
      <w:proofErr w:type="gramEnd"/>
      <w:r w:rsidR="00F649C5" w:rsidRPr="00053BED">
        <w:rPr>
          <w:rFonts w:cs="Times New Roman"/>
          <w:szCs w:val="24"/>
          <w:lang w:val="en-NZ"/>
        </w:rPr>
        <w:t xml:space="preserve"> the turnover of </w:t>
      </w:r>
      <w:r w:rsidR="00E43F4B">
        <w:rPr>
          <w:rFonts w:cs="Times New Roman"/>
          <w:szCs w:val="24"/>
          <w:lang w:val="en-NZ"/>
        </w:rPr>
        <w:t xml:space="preserve">the stock of </w:t>
      </w:r>
      <w:r w:rsidR="00F649C5" w:rsidRPr="00053BED">
        <w:rPr>
          <w:rFonts w:cs="Times New Roman"/>
          <w:szCs w:val="24"/>
          <w:lang w:val="en-NZ"/>
        </w:rPr>
        <w:t>firm</w:t>
      </w:r>
      <w:r w:rsidR="00F649C5" w:rsidRPr="00053BED">
        <w:rPr>
          <w:rFonts w:cs="Times New Roman"/>
          <w:i/>
          <w:szCs w:val="24"/>
          <w:lang w:val="en-NZ"/>
        </w:rPr>
        <w:t xml:space="preserve"> </w:t>
      </w:r>
      <w:proofErr w:type="spellStart"/>
      <w:r w:rsidR="00F649C5" w:rsidRPr="00053BED">
        <w:rPr>
          <w:rFonts w:cs="Times New Roman"/>
          <w:i/>
          <w:szCs w:val="24"/>
          <w:lang w:val="en-NZ"/>
        </w:rPr>
        <w:t>i</w:t>
      </w:r>
      <w:proofErr w:type="spellEnd"/>
      <w:r w:rsidR="00F649C5" w:rsidRPr="00053BED">
        <w:rPr>
          <w:rFonts w:cs="Times New Roman"/>
          <w:szCs w:val="24"/>
          <w:lang w:val="en-NZ"/>
        </w:rPr>
        <w:t xml:space="preserve"> </w:t>
      </w:r>
      <w:r w:rsidR="00F649C5">
        <w:rPr>
          <w:rFonts w:cs="Times New Roman"/>
          <w:szCs w:val="24"/>
          <w:lang w:val="en-NZ"/>
        </w:rPr>
        <w:t>on</w:t>
      </w:r>
      <w:r w:rsidR="00F649C5" w:rsidRPr="00053BED">
        <w:rPr>
          <w:rFonts w:cs="Times New Roman"/>
          <w:szCs w:val="24"/>
          <w:lang w:val="en-NZ"/>
        </w:rPr>
        <w:t xml:space="preserve"> </w:t>
      </w:r>
      <w:r w:rsidR="00F649C5">
        <w:rPr>
          <w:rFonts w:cs="Times New Roman"/>
          <w:szCs w:val="24"/>
          <w:lang w:val="en-NZ"/>
        </w:rPr>
        <w:t>day</w:t>
      </w:r>
      <w:r w:rsidR="00F649C5" w:rsidRPr="00053BED">
        <w:rPr>
          <w:rFonts w:cs="Times New Roman"/>
          <w:szCs w:val="24"/>
          <w:lang w:val="en-NZ"/>
        </w:rPr>
        <w:t xml:space="preserve"> </w:t>
      </w:r>
      <w:r w:rsidR="00F649C5" w:rsidRPr="00053BED">
        <w:rPr>
          <w:rFonts w:cs="Times New Roman"/>
          <w:i/>
          <w:szCs w:val="24"/>
          <w:lang w:val="en-NZ"/>
        </w:rPr>
        <w:t>t</w:t>
      </w:r>
      <w:r w:rsidR="00F649C5" w:rsidRPr="00053BED">
        <w:rPr>
          <w:rFonts w:cs="Times New Roman"/>
          <w:szCs w:val="24"/>
          <w:lang w:val="en-NZ"/>
        </w:rPr>
        <w:t xml:space="preserve">, calculated as the volume of shares traded for firm </w:t>
      </w:r>
      <w:proofErr w:type="spellStart"/>
      <w:r w:rsidR="00F649C5" w:rsidRPr="00053BED">
        <w:rPr>
          <w:rFonts w:cs="Times New Roman"/>
          <w:i/>
          <w:szCs w:val="24"/>
          <w:lang w:val="en-NZ"/>
        </w:rPr>
        <w:t>i</w:t>
      </w:r>
      <w:proofErr w:type="spellEnd"/>
      <w:r w:rsidR="00F649C5" w:rsidRPr="00053BED">
        <w:rPr>
          <w:rFonts w:cs="Times New Roman"/>
          <w:szCs w:val="24"/>
          <w:lang w:val="en-NZ"/>
        </w:rPr>
        <w:t xml:space="preserve"> </w:t>
      </w:r>
      <w:r w:rsidR="00F649C5">
        <w:rPr>
          <w:rFonts w:cs="Times New Roman"/>
          <w:szCs w:val="24"/>
          <w:lang w:val="en-NZ"/>
        </w:rPr>
        <w:t>on day</w:t>
      </w:r>
      <w:r w:rsidR="00F649C5" w:rsidRPr="00053BED">
        <w:rPr>
          <w:rFonts w:cs="Times New Roman"/>
          <w:szCs w:val="24"/>
          <w:lang w:val="en-NZ"/>
        </w:rPr>
        <w:t xml:space="preserve"> </w:t>
      </w:r>
      <w:r w:rsidR="00F649C5" w:rsidRPr="00053BED">
        <w:rPr>
          <w:rFonts w:cs="Times New Roman"/>
          <w:i/>
          <w:szCs w:val="24"/>
          <w:lang w:val="en-NZ"/>
        </w:rPr>
        <w:t>t</w:t>
      </w:r>
      <w:r w:rsidR="00F649C5" w:rsidRPr="00053BED">
        <w:rPr>
          <w:rFonts w:cs="Times New Roman"/>
          <w:szCs w:val="24"/>
          <w:lang w:val="en-NZ"/>
        </w:rPr>
        <w:t xml:space="preserve"> (</w:t>
      </w:r>
      <m:oMath>
        <m:sSub>
          <m:sSubPr>
            <m:ctrlPr>
              <w:rPr>
                <w:rFonts w:ascii="Cambria Math" w:hAnsi="Cambria Math" w:cs="Times New Roman"/>
                <w:i/>
                <w:szCs w:val="24"/>
                <w:lang w:val="en-NZ"/>
              </w:rPr>
            </m:ctrlPr>
          </m:sSubPr>
          <m:e>
            <m:r>
              <w:rPr>
                <w:rFonts w:ascii="Cambria Math" w:hAnsi="Cambria Math" w:cs="Times New Roman"/>
                <w:szCs w:val="24"/>
                <w:lang w:val="en-NZ"/>
              </w:rPr>
              <m:t>VOL</m:t>
            </m:r>
          </m:e>
          <m:sub>
            <m:r>
              <w:rPr>
                <w:rFonts w:ascii="Cambria Math" w:hAnsi="Cambria Math" w:cs="Times New Roman"/>
                <w:szCs w:val="24"/>
                <w:lang w:val="en-NZ"/>
              </w:rPr>
              <m:t>i,t</m:t>
            </m:r>
          </m:sub>
        </m:sSub>
      </m:oMath>
      <w:r w:rsidR="00F649C5" w:rsidRPr="00053BED">
        <w:rPr>
          <w:rFonts w:cs="Times New Roman"/>
          <w:szCs w:val="24"/>
          <w:lang w:val="en-NZ"/>
        </w:rPr>
        <w:t>), divided by</w:t>
      </w:r>
      <w:r w:rsidR="00F649C5" w:rsidRPr="00053BED">
        <w:rPr>
          <w:rFonts w:cs="Times New Roman"/>
          <w:i/>
          <w:szCs w:val="24"/>
          <w:lang w:val="en-NZ"/>
        </w:rPr>
        <w:t xml:space="preserve"> </w:t>
      </w:r>
      <w:r w:rsidR="00F649C5" w:rsidRPr="00053BED">
        <w:rPr>
          <w:rFonts w:cs="Times New Roman"/>
          <w:szCs w:val="24"/>
          <w:lang w:val="en-NZ"/>
        </w:rPr>
        <w:t xml:space="preserve">the number of ordinary shares outstanding for firm </w:t>
      </w:r>
      <w:proofErr w:type="spellStart"/>
      <w:r w:rsidR="00F649C5" w:rsidRPr="00053BED">
        <w:rPr>
          <w:rFonts w:cs="Times New Roman"/>
          <w:i/>
          <w:szCs w:val="24"/>
          <w:lang w:val="en-NZ"/>
        </w:rPr>
        <w:t>i</w:t>
      </w:r>
      <w:proofErr w:type="spellEnd"/>
      <w:r w:rsidR="00F649C5" w:rsidRPr="00053BED">
        <w:rPr>
          <w:rFonts w:cs="Times New Roman"/>
          <w:i/>
          <w:szCs w:val="24"/>
          <w:lang w:val="en-NZ"/>
        </w:rPr>
        <w:t xml:space="preserve"> </w:t>
      </w:r>
      <w:r w:rsidR="00F649C5">
        <w:rPr>
          <w:rFonts w:cs="Times New Roman"/>
          <w:szCs w:val="24"/>
          <w:lang w:val="en-NZ"/>
        </w:rPr>
        <w:t>on day</w:t>
      </w:r>
      <w:r w:rsidR="00F649C5" w:rsidRPr="00053BED">
        <w:rPr>
          <w:rFonts w:cs="Times New Roman"/>
          <w:szCs w:val="24"/>
          <w:lang w:val="en-NZ"/>
        </w:rPr>
        <w:t xml:space="preserve"> </w:t>
      </w:r>
      <w:r w:rsidR="00F649C5" w:rsidRPr="00053BED">
        <w:rPr>
          <w:rFonts w:cs="Times New Roman"/>
          <w:i/>
          <w:szCs w:val="24"/>
          <w:lang w:val="en-NZ"/>
        </w:rPr>
        <w:t>t</w:t>
      </w:r>
      <w:r w:rsidR="00F649C5" w:rsidRPr="00053BED">
        <w:rPr>
          <w:rFonts w:cs="Times New Roman"/>
          <w:szCs w:val="24"/>
          <w:lang w:val="en-NZ"/>
        </w:rPr>
        <w:t xml:space="preserve"> (</w:t>
      </w:r>
      <m:oMath>
        <m:sSub>
          <m:sSubPr>
            <m:ctrlPr>
              <w:rPr>
                <w:rFonts w:ascii="Cambria Math" w:hAnsi="Cambria Math" w:cs="Times New Roman"/>
                <w:i/>
                <w:szCs w:val="24"/>
                <w:lang w:val="en-NZ"/>
              </w:rPr>
            </m:ctrlPr>
          </m:sSubPr>
          <m:e>
            <m:r>
              <w:rPr>
                <w:rFonts w:ascii="Cambria Math" w:hAnsi="Cambria Math" w:cs="Times New Roman"/>
                <w:szCs w:val="24"/>
                <w:lang w:val="en-NZ"/>
              </w:rPr>
              <m:t>#Shares</m:t>
            </m:r>
          </m:e>
          <m:sub>
            <m:r>
              <w:rPr>
                <w:rFonts w:ascii="Cambria Math" w:hAnsi="Cambria Math" w:cs="Times New Roman"/>
                <w:szCs w:val="24"/>
                <w:lang w:val="en-NZ"/>
              </w:rPr>
              <m:t>i,t</m:t>
            </m:r>
          </m:sub>
        </m:sSub>
      </m:oMath>
      <w:r w:rsidR="00F649C5" w:rsidRPr="00053BED">
        <w:rPr>
          <w:rFonts w:cs="Times New Roman"/>
          <w:szCs w:val="24"/>
          <w:lang w:val="en-NZ"/>
        </w:rPr>
        <w:t xml:space="preserve">). </w:t>
      </w:r>
      <m:oMath>
        <m:r>
          <w:rPr>
            <w:rFonts w:ascii="Cambria Math" w:hAnsi="Cambria Math" w:cs="Times New Roman"/>
            <w:szCs w:val="24"/>
            <w:lang w:val="en-NZ"/>
          </w:rPr>
          <m:t>E</m:t>
        </m:r>
        <m:sSub>
          <m:sSubPr>
            <m:ctrlPr>
              <w:rPr>
                <w:rFonts w:ascii="Cambria Math" w:hAnsi="Cambria Math" w:cs="Times New Roman"/>
                <w:i/>
                <w:szCs w:val="24"/>
                <w:lang w:val="en-NZ"/>
              </w:rPr>
            </m:ctrlPr>
          </m:sSubPr>
          <m:e>
            <m:r>
              <w:rPr>
                <w:rFonts w:ascii="Cambria Math" w:hAnsi="Cambria Math" w:cs="Times New Roman"/>
                <w:szCs w:val="24"/>
                <w:lang w:val="en-NZ"/>
              </w:rPr>
              <m:t>TURN</m:t>
            </m:r>
          </m:e>
          <m:sub>
            <m:r>
              <w:rPr>
                <w:rFonts w:ascii="Cambria Math" w:hAnsi="Cambria Math" w:cs="Times New Roman"/>
                <w:szCs w:val="24"/>
                <w:lang w:val="en-NZ"/>
              </w:rPr>
              <m:t>i,t</m:t>
            </m:r>
          </m:sub>
        </m:sSub>
      </m:oMath>
      <w:r w:rsidR="00F649C5" w:rsidRPr="00053BED">
        <w:rPr>
          <w:rFonts w:cs="Times New Roman"/>
          <w:szCs w:val="24"/>
          <w:lang w:val="en-NZ"/>
        </w:rPr>
        <w:t xml:space="preserve"> </w:t>
      </w:r>
      <w:proofErr w:type="gramStart"/>
      <w:r w:rsidR="00F649C5" w:rsidRPr="00053BED">
        <w:rPr>
          <w:rFonts w:cs="Times New Roman"/>
          <w:szCs w:val="24"/>
          <w:lang w:val="en-NZ"/>
        </w:rPr>
        <w:t>is</w:t>
      </w:r>
      <w:proofErr w:type="gramEnd"/>
      <w:r w:rsidR="00F649C5" w:rsidRPr="00053BED">
        <w:rPr>
          <w:rFonts w:cs="Times New Roman"/>
          <w:szCs w:val="24"/>
          <w:lang w:val="en-NZ"/>
        </w:rPr>
        <w:t xml:space="preserve"> the average daily turnover for the stock of firm</w:t>
      </w:r>
      <w:r w:rsidR="00F649C5" w:rsidRPr="00053BED">
        <w:rPr>
          <w:rFonts w:cs="Times New Roman"/>
          <w:i/>
          <w:szCs w:val="24"/>
          <w:lang w:val="en-NZ"/>
        </w:rPr>
        <w:t xml:space="preserve"> </w:t>
      </w:r>
      <w:proofErr w:type="spellStart"/>
      <w:r w:rsidR="00F649C5" w:rsidRPr="00053BED">
        <w:rPr>
          <w:rFonts w:cs="Times New Roman"/>
          <w:i/>
          <w:szCs w:val="24"/>
          <w:lang w:val="en-NZ"/>
        </w:rPr>
        <w:t>i</w:t>
      </w:r>
      <w:proofErr w:type="spellEnd"/>
      <w:r w:rsidR="00F649C5" w:rsidRPr="00053BED">
        <w:rPr>
          <w:rFonts w:cs="Times New Roman"/>
          <w:szCs w:val="24"/>
          <w:lang w:val="en-NZ"/>
        </w:rPr>
        <w:t xml:space="preserve"> at time </w:t>
      </w:r>
      <w:r w:rsidR="00F649C5" w:rsidRPr="00053BED">
        <w:rPr>
          <w:rFonts w:cs="Times New Roman"/>
          <w:i/>
          <w:szCs w:val="24"/>
          <w:lang w:val="en-NZ"/>
        </w:rPr>
        <w:t xml:space="preserve">t </w:t>
      </w:r>
      <w:r w:rsidR="00F649C5" w:rsidRPr="00053BED">
        <w:rPr>
          <w:rFonts w:cs="Times New Roman"/>
          <w:szCs w:val="24"/>
          <w:lang w:val="en-NZ"/>
        </w:rPr>
        <w:t xml:space="preserve">over days </w:t>
      </w:r>
      <w:r w:rsidR="00F649C5" w:rsidRPr="00053BED">
        <w:rPr>
          <w:rFonts w:cs="Times New Roman"/>
          <w:i/>
          <w:szCs w:val="24"/>
          <w:lang w:val="en-NZ"/>
        </w:rPr>
        <w:t>p</w:t>
      </w:r>
      <w:r w:rsidR="00F649C5" w:rsidRPr="00053BED">
        <w:rPr>
          <w:rFonts w:cs="Times New Roman"/>
          <w:szCs w:val="24"/>
          <w:lang w:val="en-NZ"/>
        </w:rPr>
        <w:t xml:space="preserve"> to </w:t>
      </w:r>
      <w:r w:rsidR="00F649C5" w:rsidRPr="00053BED">
        <w:rPr>
          <w:rFonts w:cs="Times New Roman"/>
          <w:i/>
          <w:szCs w:val="24"/>
          <w:lang w:val="en-NZ"/>
        </w:rPr>
        <w:t>q</w:t>
      </w:r>
      <w:r w:rsidR="00F649C5" w:rsidRPr="00053BED">
        <w:rPr>
          <w:rFonts w:cs="Times New Roman"/>
          <w:szCs w:val="24"/>
          <w:lang w:val="en-NZ"/>
        </w:rPr>
        <w:t xml:space="preserve">. </w:t>
      </w:r>
      <m:oMath>
        <m:sSub>
          <m:sSubPr>
            <m:ctrlPr>
              <w:rPr>
                <w:rFonts w:ascii="Cambria Math" w:hAnsi="Cambria Math" w:cs="Times New Roman"/>
                <w:i/>
                <w:szCs w:val="24"/>
                <w:lang w:val="en-NZ"/>
              </w:rPr>
            </m:ctrlPr>
          </m:sSubPr>
          <m:e>
            <m:r>
              <w:rPr>
                <w:rFonts w:ascii="Cambria Math" w:hAnsi="Cambria Math" w:cs="Times New Roman"/>
                <w:szCs w:val="24"/>
                <w:lang w:val="en-NZ"/>
              </w:rPr>
              <m:t>ATURN</m:t>
            </m:r>
          </m:e>
          <m:sub>
            <m:r>
              <w:rPr>
                <w:rFonts w:ascii="Cambria Math" w:hAnsi="Cambria Math" w:cs="Times New Roman"/>
                <w:szCs w:val="24"/>
                <w:lang w:val="en-NZ"/>
              </w:rPr>
              <m:t>i,t</m:t>
            </m:r>
          </m:sub>
        </m:sSub>
      </m:oMath>
      <w:r w:rsidR="00F649C5" w:rsidRPr="00053BED">
        <w:rPr>
          <w:rFonts w:cs="Times New Roman"/>
          <w:szCs w:val="24"/>
          <w:lang w:val="en-NZ"/>
        </w:rPr>
        <w:t xml:space="preserve"> is the abnormal turnover of firm</w:t>
      </w:r>
      <w:r w:rsidR="00F649C5" w:rsidRPr="00053BED">
        <w:rPr>
          <w:rFonts w:cs="Times New Roman"/>
          <w:i/>
          <w:szCs w:val="24"/>
          <w:lang w:val="en-NZ"/>
        </w:rPr>
        <w:t xml:space="preserve"> </w:t>
      </w:r>
      <w:proofErr w:type="spellStart"/>
      <w:r w:rsidR="00F649C5" w:rsidRPr="00053BED">
        <w:rPr>
          <w:rFonts w:cs="Times New Roman"/>
          <w:i/>
          <w:szCs w:val="24"/>
          <w:lang w:val="en-NZ"/>
        </w:rPr>
        <w:t>i</w:t>
      </w:r>
      <w:proofErr w:type="spellEnd"/>
      <w:r w:rsidR="00F649C5" w:rsidRPr="00053BED">
        <w:rPr>
          <w:rFonts w:cs="Times New Roman"/>
          <w:szCs w:val="24"/>
          <w:lang w:val="en-NZ"/>
        </w:rPr>
        <w:t xml:space="preserve"> at time </w:t>
      </w:r>
      <w:r w:rsidR="00F649C5" w:rsidRPr="00053BED">
        <w:rPr>
          <w:rFonts w:cs="Times New Roman"/>
          <w:i/>
          <w:szCs w:val="24"/>
          <w:lang w:val="en-NZ"/>
        </w:rPr>
        <w:t>t</w:t>
      </w:r>
      <w:r w:rsidR="00F649C5" w:rsidRPr="00053BED">
        <w:rPr>
          <w:rFonts w:cs="Times New Roman"/>
          <w:szCs w:val="24"/>
          <w:lang w:val="en-NZ"/>
        </w:rPr>
        <w:t xml:space="preserve">, calculated as the difference between </w:t>
      </w:r>
      <m:oMath>
        <m:sSub>
          <m:sSubPr>
            <m:ctrlPr>
              <w:rPr>
                <w:rFonts w:ascii="Cambria Math" w:hAnsi="Cambria Math" w:cs="Times New Roman"/>
                <w:i/>
                <w:szCs w:val="24"/>
                <w:lang w:val="en-NZ"/>
              </w:rPr>
            </m:ctrlPr>
          </m:sSubPr>
          <m:e>
            <m:r>
              <w:rPr>
                <w:rFonts w:ascii="Cambria Math" w:hAnsi="Cambria Math" w:cs="Times New Roman"/>
                <w:szCs w:val="24"/>
                <w:lang w:val="en-NZ"/>
              </w:rPr>
              <m:t>TURN</m:t>
            </m:r>
          </m:e>
          <m:sub>
            <m:r>
              <w:rPr>
                <w:rFonts w:ascii="Cambria Math" w:hAnsi="Cambria Math" w:cs="Times New Roman"/>
                <w:szCs w:val="24"/>
                <w:lang w:val="en-NZ"/>
              </w:rPr>
              <m:t>i,t</m:t>
            </m:r>
          </m:sub>
        </m:sSub>
      </m:oMath>
      <w:r w:rsidR="00F649C5" w:rsidRPr="00053BED">
        <w:rPr>
          <w:rFonts w:cs="Times New Roman"/>
          <w:szCs w:val="24"/>
          <w:lang w:val="en-NZ"/>
        </w:rPr>
        <w:t xml:space="preserve"> and </w:t>
      </w:r>
      <m:oMath>
        <m:sSub>
          <m:sSubPr>
            <m:ctrlPr>
              <w:rPr>
                <w:rFonts w:ascii="Cambria Math" w:hAnsi="Cambria Math" w:cs="Times New Roman"/>
                <w:i/>
                <w:szCs w:val="24"/>
                <w:lang w:val="en-NZ"/>
              </w:rPr>
            </m:ctrlPr>
          </m:sSubPr>
          <m:e>
            <m:r>
              <w:rPr>
                <w:rFonts w:ascii="Cambria Math" w:hAnsi="Cambria Math" w:cs="Times New Roman"/>
                <w:szCs w:val="24"/>
                <w:lang w:val="en-NZ"/>
              </w:rPr>
              <m:t>ETURN</m:t>
            </m:r>
          </m:e>
          <m:sub>
            <m:r>
              <w:rPr>
                <w:rFonts w:ascii="Cambria Math" w:hAnsi="Cambria Math" w:cs="Times New Roman"/>
                <w:szCs w:val="24"/>
                <w:lang w:val="en-NZ"/>
              </w:rPr>
              <m:t>i,t</m:t>
            </m:r>
          </m:sub>
        </m:sSub>
      </m:oMath>
      <w:r w:rsidR="00F649C5" w:rsidRPr="00053BED">
        <w:rPr>
          <w:rFonts w:cs="Times New Roman"/>
          <w:szCs w:val="24"/>
          <w:lang w:val="en-NZ"/>
        </w:rPr>
        <w:t>.</w:t>
      </w:r>
      <w:r w:rsidR="00F649C5">
        <w:rPr>
          <w:rFonts w:cs="Times New Roman"/>
          <w:szCs w:val="24"/>
          <w:lang w:val="en-NZ"/>
        </w:rPr>
        <w:t xml:space="preserve"> In the main results, </w:t>
      </w:r>
      <w:r w:rsidR="00F649C5">
        <w:rPr>
          <w:rFonts w:cs="Times New Roman"/>
          <w:i/>
          <w:szCs w:val="24"/>
          <w:lang w:val="en-NZ"/>
        </w:rPr>
        <w:t xml:space="preserve">p </w:t>
      </w:r>
      <w:r w:rsidR="00F649C5">
        <w:rPr>
          <w:rFonts w:cs="Times New Roman"/>
          <w:szCs w:val="24"/>
          <w:lang w:val="en-NZ"/>
        </w:rPr>
        <w:t xml:space="preserve">and </w:t>
      </w:r>
      <w:r w:rsidR="00F649C5">
        <w:rPr>
          <w:rFonts w:cs="Times New Roman"/>
          <w:i/>
          <w:szCs w:val="24"/>
          <w:lang w:val="en-NZ"/>
        </w:rPr>
        <w:t xml:space="preserve">q </w:t>
      </w:r>
      <w:r w:rsidR="00F649C5">
        <w:rPr>
          <w:rFonts w:cs="Times New Roman"/>
          <w:szCs w:val="24"/>
          <w:lang w:val="en-NZ"/>
        </w:rPr>
        <w:t xml:space="preserve">are </w:t>
      </w:r>
      <w:r w:rsidR="00F649C5">
        <w:rPr>
          <w:rFonts w:cs="Times New Roman"/>
          <w:i/>
          <w:szCs w:val="24"/>
          <w:lang w:val="en-NZ"/>
        </w:rPr>
        <w:t>t</w:t>
      </w:r>
      <w:r w:rsidR="00F649C5">
        <w:rPr>
          <w:rFonts w:cs="Times New Roman"/>
          <w:szCs w:val="24"/>
          <w:lang w:val="en-NZ"/>
        </w:rPr>
        <w:t xml:space="preserve">-90 and </w:t>
      </w:r>
      <w:r w:rsidR="00F649C5">
        <w:rPr>
          <w:rFonts w:cs="Times New Roman"/>
          <w:i/>
          <w:szCs w:val="24"/>
          <w:lang w:val="en-NZ"/>
        </w:rPr>
        <w:t>t</w:t>
      </w:r>
      <w:r w:rsidR="00F649C5">
        <w:rPr>
          <w:rFonts w:cs="Times New Roman"/>
          <w:szCs w:val="24"/>
          <w:lang w:val="en-NZ"/>
        </w:rPr>
        <w:t>-16, respectively.</w:t>
      </w:r>
      <w:r w:rsidR="00C6768F">
        <w:rPr>
          <w:rFonts w:cs="Times New Roman"/>
          <w:szCs w:val="24"/>
          <w:lang w:val="en-NZ"/>
        </w:rPr>
        <w:t xml:space="preserve"> To examine if changes in abnormal turnover are significantly different from zero, student</w:t>
      </w:r>
      <w:r w:rsidR="00C6768F" w:rsidRPr="00C6768F">
        <w:rPr>
          <w:rFonts w:cs="Times New Roman"/>
          <w:i/>
          <w:szCs w:val="24"/>
          <w:lang w:val="en-NZ"/>
        </w:rPr>
        <w:t xml:space="preserve"> t</w:t>
      </w:r>
      <w:r w:rsidR="00C6768F">
        <w:rPr>
          <w:rFonts w:cs="Times New Roman"/>
          <w:szCs w:val="24"/>
          <w:lang w:val="en-NZ"/>
        </w:rPr>
        <w:t>-tests are calculated.</w:t>
      </w:r>
      <w:r w:rsidR="00AD74FF">
        <w:rPr>
          <w:lang w:val="en-NZ"/>
        </w:rPr>
        <w:t xml:space="preserve"> </w:t>
      </w:r>
      <w:r w:rsidR="00192C04" w:rsidRPr="00FA747B">
        <w:rPr>
          <w:lang w:val="en-NZ"/>
        </w:rPr>
        <w:t xml:space="preserve">The cumulative </w:t>
      </w:r>
      <w:r w:rsidR="00192C04">
        <w:rPr>
          <w:lang w:val="en-NZ"/>
        </w:rPr>
        <w:t xml:space="preserve">average </w:t>
      </w:r>
      <w:r w:rsidR="00192C04" w:rsidRPr="00FA747B">
        <w:rPr>
          <w:lang w:val="en-NZ"/>
        </w:rPr>
        <w:t xml:space="preserve">abnormal </w:t>
      </w:r>
      <w:r w:rsidR="00192C04">
        <w:rPr>
          <w:lang w:val="en-NZ"/>
        </w:rPr>
        <w:t>turnover</w:t>
      </w:r>
      <w:r w:rsidR="00192C04" w:rsidRPr="00FA747B">
        <w:rPr>
          <w:lang w:val="en-NZ"/>
        </w:rPr>
        <w:t xml:space="preserve"> from event day </w:t>
      </w:r>
      <w:r w:rsidR="00192C04" w:rsidRPr="00024694">
        <w:rPr>
          <w:i/>
          <w:lang w:val="en-NZ"/>
        </w:rPr>
        <w:t>q</w:t>
      </w:r>
      <w:r w:rsidR="00192C04" w:rsidRPr="00FA747B">
        <w:rPr>
          <w:lang w:val="en-NZ"/>
        </w:rPr>
        <w:t xml:space="preserve"> to event day </w:t>
      </w:r>
      <w:r w:rsidR="00192C04" w:rsidRPr="00024694">
        <w:rPr>
          <w:i/>
          <w:lang w:val="en-NZ"/>
        </w:rPr>
        <w:t>s</w:t>
      </w:r>
      <w:r w:rsidR="00192C04" w:rsidRPr="00FA747B">
        <w:rPr>
          <w:lang w:val="en-NZ"/>
        </w:rPr>
        <w:t xml:space="preserve"> is the summation of the abnormal </w:t>
      </w:r>
      <w:r w:rsidR="00192C04">
        <w:rPr>
          <w:lang w:val="en-NZ"/>
        </w:rPr>
        <w:t>turnover</w:t>
      </w:r>
      <w:r w:rsidR="00192C04" w:rsidRPr="00FA747B">
        <w:rPr>
          <w:lang w:val="en-NZ"/>
        </w:rPr>
        <w:t>, calculated as:</w:t>
      </w:r>
    </w:p>
    <w:p w:rsidR="0021604B" w:rsidRDefault="000A24D2" w:rsidP="0021604B">
      <w:pPr>
        <w:rPr>
          <w:lang w:val="en-NZ"/>
        </w:rPr>
      </w:pPr>
      <m:oMath>
        <m:sSub>
          <m:sSubPr>
            <m:ctrlPr>
              <w:rPr>
                <w:rFonts w:ascii="Cambria Math" w:hAnsi="Cambria Math"/>
                <w:lang w:val="en-NZ"/>
              </w:rPr>
            </m:ctrlPr>
          </m:sSubPr>
          <m:e>
            <m:r>
              <w:rPr>
                <w:rFonts w:ascii="Cambria Math" w:hAnsi="Cambria Math"/>
                <w:lang w:val="en-NZ"/>
              </w:rPr>
              <m:t>CAAT</m:t>
            </m:r>
          </m:e>
          <m:sub>
            <m:r>
              <w:rPr>
                <w:rFonts w:ascii="Cambria Math" w:hAnsi="Cambria Math"/>
                <w:lang w:val="en-NZ"/>
              </w:rPr>
              <m:t>i</m:t>
            </m:r>
            <m:r>
              <m:rPr>
                <m:sty m:val="p"/>
              </m:rPr>
              <w:rPr>
                <w:rFonts w:ascii="Cambria Math" w:hAnsi="Cambria Math"/>
                <w:lang w:val="en-NZ"/>
              </w:rPr>
              <m:t>,</m:t>
            </m:r>
            <m:r>
              <w:rPr>
                <w:rFonts w:ascii="Cambria Math" w:hAnsi="Cambria Math"/>
                <w:lang w:val="en-NZ"/>
              </w:rPr>
              <m:t>t</m:t>
            </m:r>
          </m:sub>
        </m:sSub>
        <m:d>
          <m:dPr>
            <m:ctrlPr>
              <w:rPr>
                <w:rFonts w:ascii="Cambria Math" w:hAnsi="Cambria Math"/>
                <w:lang w:val="en-NZ"/>
              </w:rPr>
            </m:ctrlPr>
          </m:dPr>
          <m:e>
            <m:r>
              <w:rPr>
                <w:rFonts w:ascii="Cambria Math" w:hAnsi="Cambria Math"/>
                <w:lang w:val="en-NZ"/>
              </w:rPr>
              <m:t>q</m:t>
            </m:r>
            <m:r>
              <m:rPr>
                <m:sty m:val="p"/>
              </m:rPr>
              <w:rPr>
                <w:rFonts w:ascii="Cambria Math" w:hAnsi="Cambria Math"/>
                <w:lang w:val="en-NZ"/>
              </w:rPr>
              <m:t>,</m:t>
            </m:r>
            <m:r>
              <w:rPr>
                <w:rFonts w:ascii="Cambria Math" w:hAnsi="Cambria Math"/>
                <w:lang w:val="en-NZ"/>
              </w:rPr>
              <m:t>s</m:t>
            </m:r>
          </m:e>
        </m:d>
        <m:r>
          <m:rPr>
            <m:sty m:val="p"/>
          </m:rPr>
          <w:rPr>
            <w:rFonts w:ascii="Cambria Math" w:hAnsi="Cambria Math"/>
            <w:lang w:val="en-NZ"/>
          </w:rPr>
          <m:t>=</m:t>
        </m:r>
        <m:nary>
          <m:naryPr>
            <m:chr m:val="∑"/>
            <m:limLoc m:val="undOvr"/>
            <m:ctrlPr>
              <w:rPr>
                <w:rFonts w:ascii="Cambria Math" w:hAnsi="Cambria Math"/>
                <w:lang w:val="en-NZ"/>
              </w:rPr>
            </m:ctrlPr>
          </m:naryPr>
          <m:sub>
            <m:r>
              <w:rPr>
                <w:rFonts w:ascii="Cambria Math" w:hAnsi="Cambria Math"/>
                <w:lang w:val="en-NZ"/>
              </w:rPr>
              <m:t>t</m:t>
            </m:r>
            <m:r>
              <m:rPr>
                <m:sty m:val="p"/>
              </m:rPr>
              <w:rPr>
                <w:rFonts w:ascii="Cambria Math" w:hAnsi="Cambria Math"/>
                <w:lang w:val="en-NZ"/>
              </w:rPr>
              <m:t>=</m:t>
            </m:r>
            <m:r>
              <w:rPr>
                <w:rFonts w:ascii="Cambria Math" w:hAnsi="Cambria Math"/>
                <w:lang w:val="en-NZ"/>
              </w:rPr>
              <m:t>q</m:t>
            </m:r>
          </m:sub>
          <m:sup>
            <m:r>
              <w:rPr>
                <w:rFonts w:ascii="Cambria Math" w:hAnsi="Cambria Math"/>
                <w:lang w:val="en-NZ"/>
              </w:rPr>
              <m:t>s</m:t>
            </m:r>
          </m:sup>
          <m:e>
            <m:sSub>
              <m:sSubPr>
                <m:ctrlPr>
                  <w:rPr>
                    <w:rFonts w:ascii="Cambria Math" w:hAnsi="Cambria Math"/>
                    <w:lang w:val="en-NZ"/>
                  </w:rPr>
                </m:ctrlPr>
              </m:sSubPr>
              <m:e>
                <m:r>
                  <w:rPr>
                    <w:rFonts w:ascii="Cambria Math" w:hAnsi="Cambria Math"/>
                    <w:lang w:val="en-NZ"/>
                  </w:rPr>
                  <m:t>ATURN</m:t>
                </m:r>
              </m:e>
              <m:sub>
                <m:r>
                  <w:rPr>
                    <w:rFonts w:ascii="Cambria Math" w:hAnsi="Cambria Math"/>
                    <w:lang w:val="en-NZ"/>
                  </w:rPr>
                  <m:t>i</m:t>
                </m:r>
                <m:r>
                  <m:rPr>
                    <m:sty m:val="p"/>
                  </m:rPr>
                  <w:rPr>
                    <w:rFonts w:ascii="Cambria Math" w:hAnsi="Cambria Math"/>
                    <w:lang w:val="en-NZ"/>
                  </w:rPr>
                  <m:t>,</m:t>
                </m:r>
                <m:r>
                  <w:rPr>
                    <w:rFonts w:ascii="Cambria Math" w:hAnsi="Cambria Math"/>
                    <w:lang w:val="en-NZ"/>
                  </w:rPr>
                  <m:t>t</m:t>
                </m:r>
              </m:sub>
            </m:sSub>
          </m:e>
        </m:nary>
      </m:oMath>
      <w:r w:rsidR="00192C04">
        <w:rPr>
          <w:lang w:val="en-NZ"/>
        </w:rPr>
        <w:tab/>
      </w:r>
      <w:r w:rsidR="00192C04">
        <w:rPr>
          <w:lang w:val="en-NZ"/>
        </w:rPr>
        <w:tab/>
      </w:r>
      <w:r w:rsidR="00192C04">
        <w:rPr>
          <w:lang w:val="en-NZ"/>
        </w:rPr>
        <w:tab/>
      </w:r>
      <w:r w:rsidR="00192C04">
        <w:rPr>
          <w:lang w:val="en-NZ"/>
        </w:rPr>
        <w:tab/>
      </w:r>
      <w:r w:rsidR="00192C04">
        <w:rPr>
          <w:lang w:val="en-NZ"/>
        </w:rPr>
        <w:tab/>
      </w:r>
      <w:r w:rsidR="00192C04">
        <w:rPr>
          <w:lang w:val="en-NZ"/>
        </w:rPr>
        <w:tab/>
        <w:t>(1</w:t>
      </w:r>
      <w:r w:rsidR="00A837F9">
        <w:rPr>
          <w:lang w:val="en-NZ"/>
        </w:rPr>
        <w:t>1</w:t>
      </w:r>
      <w:r w:rsidR="00192C04">
        <w:rPr>
          <w:lang w:val="en-NZ"/>
        </w:rPr>
        <w:t>)</w:t>
      </w:r>
      <w:bookmarkStart w:id="13" w:name="_Toc379787291"/>
    </w:p>
    <w:p w:rsidR="00056727" w:rsidRPr="00C6573E" w:rsidRDefault="00056727" w:rsidP="00C6573E">
      <w:pPr>
        <w:pStyle w:val="Heading2"/>
      </w:pPr>
      <w:r w:rsidRPr="00C6573E">
        <w:t>Lender industry specialisation</w:t>
      </w:r>
      <w:bookmarkEnd w:id="13"/>
    </w:p>
    <w:p w:rsidR="00DE09A7" w:rsidRDefault="00A837F9" w:rsidP="00A837F9">
      <w:pPr>
        <w:pStyle w:val="NoSpacing"/>
        <w:keepNext/>
        <w:rPr>
          <w:lang w:val="en-NZ"/>
        </w:rPr>
      </w:pPr>
      <w:r>
        <w:rPr>
          <w:lang w:val="en-NZ"/>
        </w:rPr>
        <w:t>We</w:t>
      </w:r>
      <w:r w:rsidR="00DE09A7">
        <w:rPr>
          <w:lang w:val="en-NZ"/>
        </w:rPr>
        <w:t xml:space="preserve"> examine </w:t>
      </w:r>
      <w:r w:rsidR="0042619A">
        <w:rPr>
          <w:lang w:val="en-NZ"/>
        </w:rPr>
        <w:t>H</w:t>
      </w:r>
      <w:r w:rsidR="00DE09A7">
        <w:rPr>
          <w:lang w:val="en-NZ"/>
        </w:rPr>
        <w:t xml:space="preserve">ypothesis </w:t>
      </w:r>
      <w:r w:rsidR="0021604B">
        <w:rPr>
          <w:lang w:val="en-NZ"/>
        </w:rPr>
        <w:t>3</w:t>
      </w:r>
      <w:r w:rsidR="005C2DC1">
        <w:rPr>
          <w:lang w:val="en-NZ"/>
        </w:rPr>
        <w:t xml:space="preserve"> </w:t>
      </w:r>
      <w:r w:rsidR="00DE09A7">
        <w:rPr>
          <w:lang w:val="en-NZ"/>
        </w:rPr>
        <w:t xml:space="preserve">at </w:t>
      </w:r>
      <w:r w:rsidR="00AD74FF">
        <w:rPr>
          <w:lang w:val="en-NZ"/>
        </w:rPr>
        <w:t>the</w:t>
      </w:r>
      <w:r w:rsidR="00DE09A7">
        <w:rPr>
          <w:lang w:val="en-NZ"/>
        </w:rPr>
        <w:t xml:space="preserve"> univariate level </w:t>
      </w:r>
      <w:r w:rsidR="0042619A">
        <w:rPr>
          <w:lang w:val="en-NZ"/>
        </w:rPr>
        <w:t>comparing</w:t>
      </w:r>
      <w:r w:rsidR="001C4D1E">
        <w:rPr>
          <w:lang w:val="en-NZ"/>
        </w:rPr>
        <w:t xml:space="preserve"> event study results of</w:t>
      </w:r>
      <w:r w:rsidR="0042619A">
        <w:rPr>
          <w:lang w:val="en-NZ"/>
        </w:rPr>
        <w:t xml:space="preserve"> </w:t>
      </w:r>
      <w:r w:rsidR="005C2DC1">
        <w:rPr>
          <w:lang w:val="en-NZ"/>
        </w:rPr>
        <w:t xml:space="preserve">loans issued by banks considered industry specialists </w:t>
      </w:r>
      <w:r w:rsidR="0042619A">
        <w:rPr>
          <w:lang w:val="en-NZ"/>
        </w:rPr>
        <w:t xml:space="preserve">with </w:t>
      </w:r>
      <w:r w:rsidR="005C2DC1">
        <w:rPr>
          <w:lang w:val="en-NZ"/>
        </w:rPr>
        <w:t>a sample of loans issued by banks considered non-industry specialists.</w:t>
      </w:r>
      <w:r w:rsidR="00DE09A7">
        <w:rPr>
          <w:lang w:val="en-NZ"/>
        </w:rPr>
        <w:t xml:space="preserve"> Statistical differences between the two samples are compared using student </w:t>
      </w:r>
      <w:r w:rsidR="00DE09A7" w:rsidRPr="003075AD">
        <w:rPr>
          <w:i/>
          <w:lang w:val="en-NZ"/>
        </w:rPr>
        <w:t>t</w:t>
      </w:r>
      <w:r w:rsidR="000464A6">
        <w:rPr>
          <w:lang w:val="en-NZ"/>
        </w:rPr>
        <w:t>-tests.</w:t>
      </w:r>
      <w:r>
        <w:rPr>
          <w:lang w:val="en-NZ"/>
        </w:rPr>
        <w:t xml:space="preserve"> </w:t>
      </w:r>
      <w:r w:rsidR="00DE09A7">
        <w:rPr>
          <w:lang w:val="en-NZ"/>
        </w:rPr>
        <w:t>Next, OLS regression is used to examine the multivariate determinants of the abnormal return experienced surroun</w:t>
      </w:r>
      <w:r w:rsidR="005C2DC1">
        <w:rPr>
          <w:lang w:val="en-NZ"/>
        </w:rPr>
        <w:t xml:space="preserve">ding bank loan announcements. </w:t>
      </w:r>
      <w:r w:rsidR="00115AB3">
        <w:rPr>
          <w:lang w:val="en-NZ"/>
        </w:rPr>
        <w:t xml:space="preserve">To determine if </w:t>
      </w:r>
      <w:r w:rsidR="005C2DC1">
        <w:rPr>
          <w:lang w:val="en-NZ"/>
        </w:rPr>
        <w:t>industry specialist</w:t>
      </w:r>
      <w:r w:rsidR="00115AB3">
        <w:rPr>
          <w:lang w:val="en-NZ"/>
        </w:rPr>
        <w:t xml:space="preserve"> banks signal more information to equity investors relative to non-specialist banks, </w:t>
      </w:r>
      <w:r w:rsidR="0042619A">
        <w:rPr>
          <w:lang w:val="en-NZ"/>
        </w:rPr>
        <w:t>the model specification described in E</w:t>
      </w:r>
      <w:r>
        <w:rPr>
          <w:lang w:val="en-NZ"/>
        </w:rPr>
        <w:t>quation (3</w:t>
      </w:r>
      <w:r w:rsidR="00115AB3">
        <w:rPr>
          <w:lang w:val="en-NZ"/>
        </w:rPr>
        <w:t xml:space="preserve">) is altered to include the variable </w:t>
      </w:r>
      <w:r w:rsidR="001C4D1E">
        <w:rPr>
          <w:i/>
          <w:lang w:val="en-NZ"/>
        </w:rPr>
        <w:t xml:space="preserve">Macquarie </w:t>
      </w:r>
      <w:r w:rsidR="0042619A">
        <w:rPr>
          <w:lang w:val="en-NZ"/>
        </w:rPr>
        <w:t>as follows;</w:t>
      </w:r>
    </w:p>
    <w:p w:rsidR="000464A6" w:rsidRPr="00FA747B" w:rsidRDefault="000A24D2" w:rsidP="000464A6">
      <w:pPr>
        <w:tabs>
          <w:tab w:val="left" w:pos="680"/>
        </w:tabs>
        <w:spacing w:after="0"/>
        <w:jc w:val="both"/>
        <w:rPr>
          <w:rFonts w:cs="Times New Roman"/>
          <w:szCs w:val="24"/>
          <w:lang w:val="en-NZ"/>
        </w:rPr>
      </w:pPr>
      <m:oMath>
        <m:sSub>
          <m:sSubPr>
            <m:ctrlPr>
              <w:rPr>
                <w:rFonts w:ascii="Cambria Math" w:hAnsi="Cambria Math" w:cs="Times New Roman"/>
                <w:i/>
                <w:szCs w:val="24"/>
                <w:lang w:val="en-NZ"/>
              </w:rPr>
            </m:ctrlPr>
          </m:sSubPr>
          <m:e>
            <m:sSub>
              <m:sSubPr>
                <m:ctrlPr>
                  <w:rPr>
                    <w:rFonts w:ascii="Cambria Math" w:hAnsi="Cambria Math" w:cs="Times New Roman"/>
                    <w:i/>
                    <w:szCs w:val="24"/>
                    <w:lang w:val="en-NZ"/>
                  </w:rPr>
                </m:ctrlPr>
              </m:sSubPr>
              <m:e>
                <m:r>
                  <w:rPr>
                    <w:rFonts w:ascii="Cambria Math" w:hAnsi="Cambria Math" w:cs="Times New Roman"/>
                    <w:szCs w:val="24"/>
                    <w:lang w:val="en-NZ"/>
                  </w:rPr>
                  <m:t>CAR</m:t>
                </m:r>
              </m:e>
              <m:sub>
                <m:r>
                  <w:rPr>
                    <w:rFonts w:ascii="Cambria Math" w:hAnsi="Cambria Math" w:cs="Times New Roman"/>
                    <w:szCs w:val="24"/>
                    <w:lang w:val="en-NZ"/>
                  </w:rPr>
                  <m:t>i,t</m:t>
                </m:r>
              </m:sub>
            </m:sSub>
            <m:d>
              <m:dPr>
                <m:ctrlPr>
                  <w:rPr>
                    <w:rFonts w:ascii="Cambria Math" w:hAnsi="Cambria Math" w:cs="Times New Roman"/>
                    <w:i/>
                    <w:szCs w:val="24"/>
                    <w:lang w:val="en-NZ"/>
                  </w:rPr>
                </m:ctrlPr>
              </m:dPr>
              <m:e>
                <m:r>
                  <w:rPr>
                    <w:rFonts w:ascii="Cambria Math" w:hAnsi="Cambria Math" w:cs="Times New Roman"/>
                    <w:szCs w:val="24"/>
                    <w:lang w:val="en-NZ"/>
                  </w:rPr>
                  <m:t>q,s</m:t>
                </m:r>
              </m:e>
            </m:d>
            <m:r>
              <w:rPr>
                <w:rFonts w:ascii="Cambria Math" w:hAnsi="Cambria Math" w:cs="Times New Roman"/>
                <w:szCs w:val="24"/>
                <w:lang w:val="en-NZ"/>
              </w:rPr>
              <m:t>=β</m:t>
            </m:r>
          </m:e>
          <m:sub>
            <m:r>
              <w:rPr>
                <w:rFonts w:ascii="Cambria Math" w:hAnsi="Cambria Math" w:cs="Times New Roman"/>
                <w:szCs w:val="24"/>
                <w:lang w:val="en-NZ"/>
              </w:rPr>
              <m:t>0</m:t>
            </m:r>
          </m:sub>
        </m:sSub>
        <m:r>
          <w:rPr>
            <w:rFonts w:ascii="Cambria Math" w:hAnsi="Cambria Math" w:cs="Times New Roman"/>
            <w:szCs w:val="24"/>
            <w:lang w:val="en-NZ"/>
          </w:rPr>
          <m:t>+</m:t>
        </m:r>
        <m:sSub>
          <m:sSubPr>
            <m:ctrlPr>
              <w:rPr>
                <w:rFonts w:ascii="Cambria Math" w:hAnsi="Cambria Math" w:cs="Times New Roman"/>
                <w:i/>
                <w:szCs w:val="24"/>
                <w:lang w:val="en-NZ"/>
              </w:rPr>
            </m:ctrlPr>
          </m:sSubPr>
          <m:e>
            <m:r>
              <w:rPr>
                <w:rFonts w:ascii="Cambria Math" w:hAnsi="Cambria Math" w:cs="Times New Roman"/>
                <w:szCs w:val="24"/>
                <w:lang w:val="en-NZ"/>
              </w:rPr>
              <m:t>β</m:t>
            </m:r>
          </m:e>
          <m:sub>
            <m:r>
              <w:rPr>
                <w:rFonts w:ascii="Cambria Math" w:hAnsi="Cambria Math" w:cs="Times New Roman"/>
                <w:szCs w:val="24"/>
                <w:lang w:val="en-NZ"/>
              </w:rPr>
              <m:t>1</m:t>
            </m:r>
          </m:sub>
        </m:sSub>
        <m:r>
          <w:rPr>
            <w:rFonts w:ascii="Cambria Math" w:hAnsi="Cambria Math" w:cs="Times New Roman"/>
            <w:szCs w:val="24"/>
            <w:lang w:val="en-NZ"/>
          </w:rPr>
          <m:t xml:space="preserve">Macquarie+ </m:t>
        </m:r>
        <m:sSub>
          <m:sSubPr>
            <m:ctrlPr>
              <w:rPr>
                <w:rFonts w:ascii="Cambria Math" w:hAnsi="Cambria Math" w:cs="Times New Roman"/>
                <w:i/>
                <w:szCs w:val="24"/>
                <w:lang w:val="en-NZ"/>
              </w:rPr>
            </m:ctrlPr>
          </m:sSubPr>
          <m:e>
            <m:r>
              <w:rPr>
                <w:rFonts w:ascii="Cambria Math" w:hAnsi="Cambria Math" w:cs="Times New Roman"/>
                <w:szCs w:val="24"/>
                <w:lang w:val="en-NZ"/>
              </w:rPr>
              <m:t>β</m:t>
            </m:r>
          </m:e>
          <m:sub>
            <m:r>
              <w:rPr>
                <w:rFonts w:ascii="Cambria Math" w:hAnsi="Cambria Math" w:cs="Times New Roman"/>
                <w:szCs w:val="24"/>
                <w:lang w:val="en-NZ"/>
              </w:rPr>
              <m:t>2</m:t>
            </m:r>
          </m:sub>
        </m:sSub>
        <m:r>
          <w:rPr>
            <w:rFonts w:ascii="Cambria Math" w:hAnsi="Cambria Math" w:cs="Times New Roman"/>
            <w:szCs w:val="24"/>
            <w:lang w:val="en-NZ"/>
          </w:rPr>
          <m:t>Initial+</m:t>
        </m:r>
        <m:sSub>
          <m:sSubPr>
            <m:ctrlPr>
              <w:rPr>
                <w:rFonts w:ascii="Cambria Math" w:hAnsi="Cambria Math" w:cs="Times New Roman"/>
                <w:i/>
                <w:szCs w:val="24"/>
                <w:lang w:val="en-NZ"/>
              </w:rPr>
            </m:ctrlPr>
          </m:sSubPr>
          <m:e>
            <m:r>
              <w:rPr>
                <w:rFonts w:ascii="Cambria Math" w:hAnsi="Cambria Math" w:cs="Times New Roman"/>
                <w:szCs w:val="24"/>
                <w:lang w:val="en-NZ"/>
              </w:rPr>
              <m:t>β</m:t>
            </m:r>
          </m:e>
          <m:sub>
            <m:r>
              <w:rPr>
                <w:rFonts w:ascii="Cambria Math" w:hAnsi="Cambria Math" w:cs="Times New Roman"/>
                <w:szCs w:val="24"/>
                <w:lang w:val="en-NZ"/>
              </w:rPr>
              <m:t>3</m:t>
            </m:r>
          </m:sub>
        </m:sSub>
        <m:r>
          <w:rPr>
            <w:rFonts w:ascii="Cambria Math" w:hAnsi="Cambria Math" w:cs="Times New Roman"/>
            <w:szCs w:val="24"/>
            <w:lang w:val="en-NZ"/>
          </w:rPr>
          <m:t xml:space="preserve">FirstAnn+ </m:t>
        </m:r>
        <m:sSub>
          <m:sSubPr>
            <m:ctrlPr>
              <w:rPr>
                <w:rFonts w:ascii="Cambria Math" w:hAnsi="Cambria Math" w:cs="Times New Roman"/>
                <w:i/>
                <w:szCs w:val="24"/>
                <w:lang w:val="en-NZ"/>
              </w:rPr>
            </m:ctrlPr>
          </m:sSubPr>
          <m:e>
            <m:r>
              <w:rPr>
                <w:rFonts w:ascii="Cambria Math" w:hAnsi="Cambria Math" w:cs="Times New Roman"/>
                <w:szCs w:val="24"/>
                <w:lang w:val="en-NZ"/>
              </w:rPr>
              <m:t>β</m:t>
            </m:r>
          </m:e>
          <m:sub>
            <m:r>
              <w:rPr>
                <w:rFonts w:ascii="Cambria Math" w:hAnsi="Cambria Math" w:cs="Times New Roman"/>
                <w:szCs w:val="24"/>
                <w:lang w:val="en-NZ"/>
              </w:rPr>
              <m:t>4</m:t>
            </m:r>
          </m:sub>
        </m:sSub>
        <m:r>
          <w:rPr>
            <w:rFonts w:ascii="Cambria Math" w:hAnsi="Cambria Math" w:cs="Times New Roman"/>
            <w:szCs w:val="24"/>
            <w:lang w:val="en-NZ"/>
          </w:rPr>
          <m:t>LnAmount+</m:t>
        </m:r>
        <m:sSub>
          <m:sSubPr>
            <m:ctrlPr>
              <w:rPr>
                <w:rFonts w:ascii="Cambria Math" w:hAnsi="Cambria Math" w:cs="Times New Roman"/>
                <w:i/>
                <w:szCs w:val="24"/>
                <w:lang w:val="en-NZ"/>
              </w:rPr>
            </m:ctrlPr>
          </m:sSubPr>
          <m:e>
            <m:r>
              <w:rPr>
                <w:rFonts w:ascii="Cambria Math" w:hAnsi="Cambria Math" w:cs="Times New Roman"/>
                <w:szCs w:val="24"/>
                <w:lang w:val="en-NZ"/>
              </w:rPr>
              <m:t>β</m:t>
            </m:r>
          </m:e>
          <m:sub>
            <m:r>
              <w:rPr>
                <w:rFonts w:ascii="Cambria Math" w:hAnsi="Cambria Math" w:cs="Times New Roman"/>
                <w:szCs w:val="24"/>
                <w:lang w:val="en-NZ"/>
              </w:rPr>
              <m:t>5</m:t>
            </m:r>
          </m:sub>
        </m:sSub>
        <m:r>
          <w:rPr>
            <w:rFonts w:ascii="Cambria Math" w:hAnsi="Cambria Math" w:cs="Times New Roman"/>
            <w:szCs w:val="24"/>
            <w:lang w:val="en-NZ"/>
          </w:rPr>
          <m:t>Lenders+</m:t>
        </m:r>
        <m:sSub>
          <m:sSubPr>
            <m:ctrlPr>
              <w:rPr>
                <w:rFonts w:ascii="Cambria Math" w:hAnsi="Cambria Math" w:cs="Times New Roman"/>
                <w:i/>
                <w:szCs w:val="24"/>
                <w:lang w:val="en-NZ"/>
              </w:rPr>
            </m:ctrlPr>
          </m:sSubPr>
          <m:e>
            <m:r>
              <w:rPr>
                <w:rFonts w:ascii="Cambria Math" w:hAnsi="Cambria Math" w:cs="Times New Roman"/>
                <w:szCs w:val="24"/>
                <w:lang w:val="en-NZ"/>
              </w:rPr>
              <m:t>β</m:t>
            </m:r>
          </m:e>
          <m:sub>
            <m:r>
              <w:rPr>
                <w:rFonts w:ascii="Cambria Math" w:hAnsi="Cambria Math" w:cs="Times New Roman"/>
                <w:szCs w:val="24"/>
                <w:lang w:val="en-NZ"/>
              </w:rPr>
              <m:t>6</m:t>
            </m:r>
          </m:sub>
        </m:sSub>
        <m:r>
          <w:rPr>
            <w:rFonts w:ascii="Cambria Math" w:hAnsi="Cambria Math" w:cs="Times New Roman"/>
            <w:szCs w:val="24"/>
            <w:lang w:val="en-NZ"/>
          </w:rPr>
          <m:t>Hedge+</m:t>
        </m:r>
        <m:sSub>
          <m:sSubPr>
            <m:ctrlPr>
              <w:rPr>
                <w:rFonts w:ascii="Cambria Math" w:hAnsi="Cambria Math" w:cs="Times New Roman"/>
                <w:i/>
                <w:szCs w:val="24"/>
                <w:lang w:val="en-NZ"/>
              </w:rPr>
            </m:ctrlPr>
          </m:sSubPr>
          <m:e>
            <m:r>
              <w:rPr>
                <w:rFonts w:ascii="Cambria Math" w:hAnsi="Cambria Math" w:cs="Times New Roman"/>
                <w:szCs w:val="24"/>
                <w:lang w:val="en-NZ"/>
              </w:rPr>
              <m:t>β</m:t>
            </m:r>
          </m:e>
          <m:sub>
            <m:r>
              <w:rPr>
                <w:rFonts w:ascii="Cambria Math" w:hAnsi="Cambria Math" w:cs="Times New Roman"/>
                <w:szCs w:val="24"/>
                <w:lang w:val="en-NZ"/>
              </w:rPr>
              <m:t>7</m:t>
            </m:r>
          </m:sub>
        </m:sSub>
        <m:r>
          <w:rPr>
            <w:rFonts w:ascii="Cambria Math" w:hAnsi="Cambria Math" w:cs="Times New Roman"/>
            <w:szCs w:val="24"/>
            <w:lang w:val="en-NZ"/>
          </w:rPr>
          <m:t>BankEquity+</m:t>
        </m:r>
        <m:sSub>
          <m:sSubPr>
            <m:ctrlPr>
              <w:rPr>
                <w:rFonts w:ascii="Cambria Math" w:hAnsi="Cambria Math" w:cs="Times New Roman"/>
                <w:i/>
                <w:szCs w:val="24"/>
                <w:lang w:val="en-NZ"/>
              </w:rPr>
            </m:ctrlPr>
          </m:sSubPr>
          <m:e>
            <m:r>
              <w:rPr>
                <w:rFonts w:ascii="Cambria Math" w:hAnsi="Cambria Math" w:cs="Times New Roman"/>
                <w:szCs w:val="24"/>
                <w:lang w:val="en-NZ"/>
              </w:rPr>
              <m:t>β</m:t>
            </m:r>
          </m:e>
          <m:sub>
            <m:r>
              <w:rPr>
                <w:rFonts w:ascii="Cambria Math" w:hAnsi="Cambria Math" w:cs="Times New Roman"/>
                <w:szCs w:val="24"/>
                <w:lang w:val="en-NZ"/>
              </w:rPr>
              <m:t>8</m:t>
            </m:r>
          </m:sub>
        </m:sSub>
        <m:r>
          <w:rPr>
            <w:rFonts w:ascii="Cambria Math" w:hAnsi="Cambria Math" w:cs="Times New Roman"/>
            <w:szCs w:val="24"/>
            <w:lang w:val="en-NZ"/>
          </w:rPr>
          <m:t>EquityRaise+</m:t>
        </m:r>
        <m:sSub>
          <m:sSubPr>
            <m:ctrlPr>
              <w:rPr>
                <w:rFonts w:ascii="Cambria Math" w:hAnsi="Cambria Math" w:cs="Times New Roman"/>
                <w:i/>
                <w:szCs w:val="24"/>
                <w:lang w:val="en-NZ"/>
              </w:rPr>
            </m:ctrlPr>
          </m:sSubPr>
          <m:e>
            <m:r>
              <w:rPr>
                <w:rFonts w:ascii="Cambria Math" w:hAnsi="Cambria Math" w:cs="Times New Roman"/>
                <w:szCs w:val="24"/>
                <w:lang w:val="en-NZ"/>
              </w:rPr>
              <m:t>β</m:t>
            </m:r>
          </m:e>
          <m:sub>
            <m:r>
              <w:rPr>
                <w:rFonts w:ascii="Cambria Math" w:hAnsi="Cambria Math" w:cs="Times New Roman"/>
                <w:szCs w:val="24"/>
                <w:lang w:val="en-NZ"/>
              </w:rPr>
              <m:t>9</m:t>
            </m:r>
          </m:sub>
        </m:sSub>
        <m:r>
          <w:rPr>
            <w:rFonts w:ascii="Cambria Math" w:hAnsi="Cambria Math" w:cs="Times New Roman"/>
            <w:szCs w:val="24"/>
            <w:lang w:val="en-NZ"/>
          </w:rPr>
          <m:t>LnMCap+</m:t>
        </m:r>
        <m:sSub>
          <m:sSubPr>
            <m:ctrlPr>
              <w:rPr>
                <w:rFonts w:ascii="Cambria Math" w:hAnsi="Cambria Math" w:cs="Times New Roman"/>
                <w:i/>
                <w:szCs w:val="24"/>
                <w:lang w:val="en-NZ"/>
              </w:rPr>
            </m:ctrlPr>
          </m:sSubPr>
          <m:e>
            <m:r>
              <w:rPr>
                <w:rFonts w:ascii="Cambria Math" w:hAnsi="Cambria Math" w:cs="Times New Roman"/>
                <w:szCs w:val="24"/>
                <w:lang w:val="en-NZ"/>
              </w:rPr>
              <m:t>β</m:t>
            </m:r>
          </m:e>
          <m:sub>
            <m:r>
              <w:rPr>
                <w:rFonts w:ascii="Cambria Math" w:hAnsi="Cambria Math" w:cs="Times New Roman"/>
                <w:szCs w:val="24"/>
                <w:lang w:val="en-NZ"/>
              </w:rPr>
              <m:t>10</m:t>
            </m:r>
          </m:sub>
        </m:sSub>
        <m:r>
          <w:rPr>
            <w:rFonts w:ascii="Cambria Math" w:hAnsi="Cambria Math" w:cs="Times New Roman"/>
            <w:szCs w:val="24"/>
            <w:lang w:val="en-NZ"/>
          </w:rPr>
          <m:t>Loss+</m:t>
        </m:r>
        <m:sSub>
          <m:sSubPr>
            <m:ctrlPr>
              <w:rPr>
                <w:rFonts w:ascii="Cambria Math" w:hAnsi="Cambria Math" w:cs="Times New Roman"/>
                <w:i/>
                <w:szCs w:val="24"/>
                <w:lang w:val="en-NZ"/>
              </w:rPr>
            </m:ctrlPr>
          </m:sSubPr>
          <m:e>
            <m:r>
              <w:rPr>
                <w:rFonts w:ascii="Cambria Math" w:hAnsi="Cambria Math" w:cs="Times New Roman"/>
                <w:szCs w:val="24"/>
                <w:lang w:val="en-NZ"/>
              </w:rPr>
              <m:t>β</m:t>
            </m:r>
          </m:e>
          <m:sub>
            <m:r>
              <w:rPr>
                <w:rFonts w:ascii="Cambria Math" w:hAnsi="Cambria Math" w:cs="Times New Roman"/>
                <w:szCs w:val="24"/>
                <w:lang w:val="en-NZ"/>
              </w:rPr>
              <m:t>11</m:t>
            </m:r>
          </m:sub>
        </m:sSub>
        <m:r>
          <w:rPr>
            <w:rFonts w:ascii="Cambria Math" w:hAnsi="Cambria Math" w:cs="Times New Roman"/>
            <w:szCs w:val="24"/>
            <w:lang w:val="en-NZ"/>
          </w:rPr>
          <m:t>NumAnalyst+ε</m:t>
        </m:r>
      </m:oMath>
      <w:r w:rsidR="000464A6" w:rsidRPr="00FA747B">
        <w:rPr>
          <w:rFonts w:cs="Times New Roman"/>
          <w:b/>
          <w:szCs w:val="24"/>
          <w:lang w:val="en-NZ"/>
        </w:rPr>
        <w:tab/>
        <w:t xml:space="preserve"> </w:t>
      </w:r>
      <w:r w:rsidR="000464A6" w:rsidRPr="00FA747B">
        <w:rPr>
          <w:rFonts w:cs="Times New Roman"/>
          <w:szCs w:val="24"/>
          <w:lang w:val="en-NZ"/>
        </w:rPr>
        <w:tab/>
      </w:r>
      <w:r w:rsidR="00192C04">
        <w:rPr>
          <w:rFonts w:cs="Times New Roman"/>
          <w:szCs w:val="24"/>
          <w:lang w:val="en-NZ"/>
        </w:rPr>
        <w:tab/>
      </w:r>
      <w:r w:rsidR="00192C04">
        <w:rPr>
          <w:rFonts w:cs="Times New Roman"/>
          <w:szCs w:val="24"/>
          <w:lang w:val="en-NZ"/>
        </w:rPr>
        <w:tab/>
      </w:r>
      <w:r w:rsidR="00192C04">
        <w:rPr>
          <w:rFonts w:cs="Times New Roman"/>
          <w:szCs w:val="24"/>
          <w:lang w:val="en-NZ"/>
        </w:rPr>
        <w:tab/>
      </w:r>
      <w:r w:rsidR="00192C04">
        <w:rPr>
          <w:rFonts w:cs="Times New Roman"/>
          <w:szCs w:val="24"/>
          <w:lang w:val="en-NZ"/>
        </w:rPr>
        <w:tab/>
      </w:r>
      <w:r w:rsidR="00192C04">
        <w:rPr>
          <w:rFonts w:cs="Times New Roman"/>
          <w:szCs w:val="24"/>
          <w:lang w:val="en-NZ"/>
        </w:rPr>
        <w:tab/>
      </w:r>
      <w:r w:rsidR="00192C04">
        <w:rPr>
          <w:rFonts w:cs="Times New Roman"/>
          <w:szCs w:val="24"/>
          <w:lang w:val="en-NZ"/>
        </w:rPr>
        <w:tab/>
      </w:r>
      <w:r w:rsidR="00192C04">
        <w:rPr>
          <w:rFonts w:cs="Times New Roman"/>
          <w:szCs w:val="24"/>
          <w:lang w:val="en-NZ"/>
        </w:rPr>
        <w:tab/>
      </w:r>
      <w:r w:rsidR="000464A6" w:rsidRPr="00FA747B">
        <w:rPr>
          <w:rFonts w:cs="Times New Roman"/>
          <w:szCs w:val="24"/>
          <w:lang w:val="en-NZ"/>
        </w:rPr>
        <w:t>(</w:t>
      </w:r>
      <w:r w:rsidR="00192C04">
        <w:rPr>
          <w:rFonts w:cs="Times New Roman"/>
          <w:szCs w:val="24"/>
          <w:lang w:val="en-NZ"/>
        </w:rPr>
        <w:t>1</w:t>
      </w:r>
      <w:r w:rsidR="00A837F9">
        <w:rPr>
          <w:rFonts w:cs="Times New Roman"/>
          <w:szCs w:val="24"/>
          <w:lang w:val="en-NZ"/>
        </w:rPr>
        <w:t>2</w:t>
      </w:r>
      <w:r w:rsidR="000464A6" w:rsidRPr="00FA747B">
        <w:rPr>
          <w:rFonts w:cs="Times New Roman"/>
          <w:szCs w:val="24"/>
          <w:lang w:val="en-NZ"/>
        </w:rPr>
        <w:t>)</w:t>
      </w:r>
    </w:p>
    <w:p w:rsidR="000464A6" w:rsidRDefault="0042619A" w:rsidP="009E0D58">
      <w:pPr>
        <w:ind w:firstLine="0"/>
        <w:rPr>
          <w:lang w:val="en-NZ"/>
        </w:rPr>
      </w:pPr>
      <w:proofErr w:type="gramStart"/>
      <w:r w:rsidRPr="00506C2B">
        <w:rPr>
          <w:i/>
          <w:lang w:val="en-NZ"/>
        </w:rPr>
        <w:lastRenderedPageBreak/>
        <w:t>w</w:t>
      </w:r>
      <w:r w:rsidR="00115AB3" w:rsidRPr="00506C2B">
        <w:rPr>
          <w:i/>
          <w:lang w:val="en-NZ"/>
        </w:rPr>
        <w:t>here</w:t>
      </w:r>
      <w:proofErr w:type="gramEnd"/>
      <w:r w:rsidR="009E0D58">
        <w:rPr>
          <w:lang w:val="en-NZ"/>
        </w:rPr>
        <w:t xml:space="preserve">: All variables are defined as </w:t>
      </w:r>
      <w:r w:rsidR="00607326">
        <w:rPr>
          <w:lang w:val="en-NZ"/>
        </w:rPr>
        <w:t>previo</w:t>
      </w:r>
      <w:r w:rsidR="0056081D">
        <w:rPr>
          <w:lang w:val="en-NZ"/>
        </w:rPr>
        <w:t>usly outlined in equation (3</w:t>
      </w:r>
      <w:r w:rsidR="0021604B">
        <w:rPr>
          <w:lang w:val="en-NZ"/>
        </w:rPr>
        <w:t xml:space="preserve">) </w:t>
      </w:r>
      <w:r w:rsidR="00607326" w:rsidRPr="00607326">
        <w:rPr>
          <w:lang w:val="en-NZ"/>
        </w:rPr>
        <w:t xml:space="preserve">except for </w:t>
      </w:r>
      <w:r w:rsidR="00607326">
        <w:rPr>
          <w:lang w:val="en-NZ"/>
        </w:rPr>
        <w:t xml:space="preserve">the new test variable </w:t>
      </w:r>
      <w:r w:rsidR="004F0FFD">
        <w:rPr>
          <w:i/>
          <w:lang w:val="en-NZ"/>
        </w:rPr>
        <w:t>Macquarie. Macquarie</w:t>
      </w:r>
      <w:r w:rsidR="000464A6">
        <w:rPr>
          <w:lang w:val="en-NZ"/>
        </w:rPr>
        <w:t xml:space="preserve"> is a d</w:t>
      </w:r>
      <w:r w:rsidR="00115AB3">
        <w:rPr>
          <w:lang w:val="en-NZ"/>
        </w:rPr>
        <w:t xml:space="preserve">ummy variable </w:t>
      </w:r>
      <w:r>
        <w:rPr>
          <w:lang w:val="en-NZ"/>
        </w:rPr>
        <w:t>coded ‘</w:t>
      </w:r>
      <w:r w:rsidR="00115AB3">
        <w:rPr>
          <w:lang w:val="en-NZ"/>
        </w:rPr>
        <w:t>1</w:t>
      </w:r>
      <w:r>
        <w:rPr>
          <w:lang w:val="en-NZ"/>
        </w:rPr>
        <w:t>’</w:t>
      </w:r>
      <w:r w:rsidR="00115AB3">
        <w:rPr>
          <w:lang w:val="en-NZ"/>
        </w:rPr>
        <w:t xml:space="preserve"> if </w:t>
      </w:r>
      <w:r w:rsidR="004F0FFD">
        <w:rPr>
          <w:lang w:val="en-NZ"/>
        </w:rPr>
        <w:t xml:space="preserve">a bank loan has been issued by Macquarie Bank, the bank </w:t>
      </w:r>
      <w:r w:rsidR="00115AB3">
        <w:rPr>
          <w:lang w:val="en-NZ"/>
        </w:rPr>
        <w:t>classified as a mining industry specialist</w:t>
      </w:r>
      <w:r>
        <w:rPr>
          <w:lang w:val="en-NZ"/>
        </w:rPr>
        <w:t>, and ‘0’ otherwise</w:t>
      </w:r>
      <w:r w:rsidR="00115AB3">
        <w:rPr>
          <w:lang w:val="en-NZ"/>
        </w:rPr>
        <w:t>.</w:t>
      </w:r>
    </w:p>
    <w:p w:rsidR="000C4EBA" w:rsidRPr="00C6573E" w:rsidRDefault="000C4EBA" w:rsidP="00C6573E">
      <w:pPr>
        <w:pStyle w:val="Heading1"/>
      </w:pPr>
      <w:bookmarkStart w:id="14" w:name="_Toc379787298"/>
      <w:r w:rsidRPr="00C6573E">
        <w:t>Results</w:t>
      </w:r>
      <w:bookmarkEnd w:id="14"/>
    </w:p>
    <w:p w:rsidR="00F63A60" w:rsidRPr="00C6573E" w:rsidRDefault="00AD74FF" w:rsidP="00C6573E">
      <w:pPr>
        <w:pStyle w:val="Heading2"/>
      </w:pPr>
      <w:bookmarkStart w:id="15" w:name="_Toc379787300"/>
      <w:r w:rsidRPr="00C6573E">
        <w:t>D</w:t>
      </w:r>
      <w:r w:rsidR="00F63A60" w:rsidRPr="00C6573E">
        <w:t>escriptive statistics</w:t>
      </w:r>
      <w:bookmarkEnd w:id="15"/>
    </w:p>
    <w:p w:rsidR="005B4C8A" w:rsidRDefault="00AD74FF" w:rsidP="006158A7">
      <w:r>
        <w:t>Descriptive stat</w:t>
      </w:r>
      <w:r w:rsidR="007B1D53">
        <w:t xml:space="preserve">istics are reported in Table 2, with </w:t>
      </w:r>
      <w:r w:rsidR="00F63A60" w:rsidRPr="001F2873">
        <w:t>P</w:t>
      </w:r>
      <w:r w:rsidR="00F63A60">
        <w:t xml:space="preserve">anel </w:t>
      </w:r>
      <w:proofErr w:type="gramStart"/>
      <w:r w:rsidR="00F63A60">
        <w:t>A</w:t>
      </w:r>
      <w:proofErr w:type="gramEnd"/>
      <w:r w:rsidR="00F63A60">
        <w:t xml:space="preserve"> report</w:t>
      </w:r>
      <w:r w:rsidR="007B1D53">
        <w:t>ing</w:t>
      </w:r>
      <w:r w:rsidR="00F63A60">
        <w:t xml:space="preserve"> </w:t>
      </w:r>
      <w:proofErr w:type="spellStart"/>
      <w:r w:rsidR="00F63A60">
        <w:t>descriptive</w:t>
      </w:r>
      <w:r w:rsidR="007B1D53">
        <w:t>s</w:t>
      </w:r>
      <w:proofErr w:type="spellEnd"/>
      <w:r w:rsidR="00F63A60">
        <w:t xml:space="preserve"> </w:t>
      </w:r>
      <w:r w:rsidR="007B1D53">
        <w:t xml:space="preserve">for </w:t>
      </w:r>
      <w:r w:rsidR="00F63A60">
        <w:t>firms</w:t>
      </w:r>
      <w:r w:rsidR="00B362B7">
        <w:t xml:space="preserve"> announcing initial loans</w:t>
      </w:r>
      <w:r w:rsidR="007B1D53">
        <w:t xml:space="preserve"> and</w:t>
      </w:r>
      <w:r w:rsidR="00B362B7">
        <w:t xml:space="preserve"> </w:t>
      </w:r>
      <w:r w:rsidR="00F63A60">
        <w:t>Panel B report</w:t>
      </w:r>
      <w:r w:rsidR="007B1D53">
        <w:t>ing</w:t>
      </w:r>
      <w:r w:rsidR="00F63A60">
        <w:t xml:space="preserve"> </w:t>
      </w:r>
      <w:proofErr w:type="spellStart"/>
      <w:r w:rsidR="00F63A60">
        <w:t>descriptive</w:t>
      </w:r>
      <w:r w:rsidR="007B1D53">
        <w:t>s</w:t>
      </w:r>
      <w:proofErr w:type="spellEnd"/>
      <w:r w:rsidR="00F63A60">
        <w:t xml:space="preserve"> for firms announcing subsequent loans. </w:t>
      </w:r>
      <w:r w:rsidR="007B1D53">
        <w:t>F</w:t>
      </w:r>
      <w:r w:rsidR="005B4C8A">
        <w:t>irms announcing an initial loan are significantly smaller than firms announcing subsequent loans</w:t>
      </w:r>
      <w:r w:rsidR="007B1D53">
        <w:t>, with</w:t>
      </w:r>
      <w:r w:rsidR="005B4C8A">
        <w:t xml:space="preserve"> </w:t>
      </w:r>
      <w:r w:rsidR="007B1D53">
        <w:t>t</w:t>
      </w:r>
      <w:r w:rsidR="00F63A60">
        <w:t xml:space="preserve">he median </w:t>
      </w:r>
      <w:r w:rsidR="005B4C8A">
        <w:t>market capitalisation</w:t>
      </w:r>
      <w:r w:rsidR="00B362B7">
        <w:t xml:space="preserve"> (</w:t>
      </w:r>
      <w:r w:rsidR="00B362B7" w:rsidRPr="00B362B7">
        <w:rPr>
          <w:i/>
        </w:rPr>
        <w:t>MCAP</w:t>
      </w:r>
      <w:r w:rsidR="00B362B7">
        <w:t>)</w:t>
      </w:r>
      <w:r w:rsidR="005B4C8A">
        <w:t xml:space="preserve"> </w:t>
      </w:r>
      <w:r w:rsidR="00F63A60">
        <w:t xml:space="preserve">of a firm announcing an initial loan is approximately $80 million, </w:t>
      </w:r>
      <w:r w:rsidR="007B1D53">
        <w:t>(</w:t>
      </w:r>
      <w:r w:rsidR="00F63A60">
        <w:t>$195 million for firms announcing subsequent loans</w:t>
      </w:r>
      <w:r w:rsidR="007B1D53">
        <w:t>)</w:t>
      </w:r>
      <w:r w:rsidR="00F63A60">
        <w:t xml:space="preserve">. </w:t>
      </w:r>
      <w:r w:rsidR="005B4C8A">
        <w:t>Median total assets</w:t>
      </w:r>
      <w:r w:rsidR="00B362B7">
        <w:t xml:space="preserve"> (</w:t>
      </w:r>
      <w:r w:rsidR="00B362B7" w:rsidRPr="00B362B7">
        <w:rPr>
          <w:i/>
        </w:rPr>
        <w:t>Total Assets</w:t>
      </w:r>
      <w:r w:rsidR="00B362B7">
        <w:t>)</w:t>
      </w:r>
      <w:r w:rsidR="005B4C8A">
        <w:t xml:space="preserve"> for the initial loan sample are</w:t>
      </w:r>
      <w:r w:rsidR="00396FAE">
        <w:t xml:space="preserve"> $30 million</w:t>
      </w:r>
      <w:r w:rsidR="007B1D53">
        <w:t xml:space="preserve"> (</w:t>
      </w:r>
      <w:r w:rsidR="00396FAE">
        <w:t>$115 millio</w:t>
      </w:r>
      <w:r w:rsidR="005B4C8A">
        <w:t>n</w:t>
      </w:r>
      <w:r w:rsidR="007B1D53">
        <w:t xml:space="preserve"> for firms announcing subsequent loans)</w:t>
      </w:r>
      <w:r w:rsidR="005B4C8A">
        <w:t>. Median total book value of equity</w:t>
      </w:r>
      <w:r w:rsidR="00B362B7">
        <w:t xml:space="preserve"> (</w:t>
      </w:r>
      <w:r w:rsidR="00B362B7" w:rsidRPr="00B362B7">
        <w:rPr>
          <w:i/>
        </w:rPr>
        <w:t>Total Equity</w:t>
      </w:r>
      <w:r w:rsidR="00B362B7">
        <w:t>)</w:t>
      </w:r>
      <w:r w:rsidR="005B4C8A">
        <w:t xml:space="preserve"> is $27 million for the initial loan sample</w:t>
      </w:r>
      <w:r w:rsidR="00B362B7">
        <w:t xml:space="preserve"> </w:t>
      </w:r>
      <w:r w:rsidR="007B1D53">
        <w:t>(</w:t>
      </w:r>
      <w:r w:rsidR="005B4C8A">
        <w:t>$79 million for the subsequent loan sample</w:t>
      </w:r>
      <w:r w:rsidR="007B1D53">
        <w:t>)</w:t>
      </w:r>
      <w:r w:rsidR="005B4C8A">
        <w:t>.</w:t>
      </w:r>
      <w:r w:rsidR="00090F45">
        <w:t xml:space="preserve"> All three size measures show firms announcing initial loans to be smaller than firms announcing subsequent loans. </w:t>
      </w:r>
    </w:p>
    <w:p w:rsidR="00F63A60" w:rsidRDefault="00F63A60">
      <w:r>
        <w:t>The level of debt between the two samples</w:t>
      </w:r>
      <w:r w:rsidR="00C91352">
        <w:t>, not surprisingly,</w:t>
      </w:r>
      <w:r>
        <w:t xml:space="preserve"> is vastly different. Bank loans are classified as initial loans if the borrowing firm is a zero-leverage firm. Thus the short-term and long-term debt of the loan initiation sample is zero. Firms obtaining subsequent loans have prior debt </w:t>
      </w:r>
      <w:r w:rsidR="007B1D53">
        <w:t>(</w:t>
      </w:r>
      <w:r>
        <w:t>median borrowings of over $5 million</w:t>
      </w:r>
      <w:r w:rsidR="007B1D53">
        <w:t>)</w:t>
      </w:r>
      <w:r>
        <w:t>.</w:t>
      </w:r>
      <w:r w:rsidR="00791014">
        <w:rPr>
          <w:rStyle w:val="FootnoteReference"/>
        </w:rPr>
        <w:footnoteReference w:id="10"/>
      </w:r>
      <w:r>
        <w:t xml:space="preserve"> Both samples report a median net profit</w:t>
      </w:r>
      <w:r w:rsidR="00B362B7">
        <w:t xml:space="preserve"> (</w:t>
      </w:r>
      <w:r w:rsidR="00B362B7" w:rsidRPr="00B362B7">
        <w:rPr>
          <w:i/>
        </w:rPr>
        <w:t xml:space="preserve">Net Profit </w:t>
      </w:r>
      <w:proofErr w:type="gramStart"/>
      <w:r w:rsidR="00B362B7" w:rsidRPr="00B362B7">
        <w:rPr>
          <w:i/>
        </w:rPr>
        <w:t>After</w:t>
      </w:r>
      <w:proofErr w:type="gramEnd"/>
      <w:r w:rsidR="00B362B7" w:rsidRPr="00B362B7">
        <w:rPr>
          <w:i/>
        </w:rPr>
        <w:t xml:space="preserve"> Tax</w:t>
      </w:r>
      <w:r w:rsidR="00B362B7">
        <w:t>)</w:t>
      </w:r>
      <w:r>
        <w:t xml:space="preserve"> of approximately negative $2 million. This suggests that the majority of borrowing firms in both samples are loss making firms. </w:t>
      </w:r>
      <w:r w:rsidR="00C91352">
        <w:lastRenderedPageBreak/>
        <w:t xml:space="preserve">Descriptive statistics on the loss indicator, </w:t>
      </w:r>
      <w:r w:rsidRPr="000501D0">
        <w:rPr>
          <w:i/>
        </w:rPr>
        <w:t>Loss</w:t>
      </w:r>
      <w:r w:rsidR="00C91352">
        <w:rPr>
          <w:i/>
        </w:rPr>
        <w:t>,</w:t>
      </w:r>
      <w:r>
        <w:rPr>
          <w:i/>
        </w:rPr>
        <w:t xml:space="preserve"> </w:t>
      </w:r>
      <w:r>
        <w:t>shows that 84.36% of firms in the initial loan sample are loss making firms</w:t>
      </w:r>
      <w:r w:rsidR="00FB7874">
        <w:t xml:space="preserve"> (</w:t>
      </w:r>
      <w:r>
        <w:t>65.61% in the subsequent loan sample</w:t>
      </w:r>
      <w:r w:rsidR="00FB7874">
        <w:t>)</w:t>
      </w:r>
      <w:r>
        <w:t>.</w:t>
      </w:r>
    </w:p>
    <w:p w:rsidR="00C22779" w:rsidRDefault="004917BA" w:rsidP="00F63A60">
      <w:r>
        <w:t xml:space="preserve">Firms announcing </w:t>
      </w:r>
      <w:r w:rsidR="00DF0961">
        <w:t xml:space="preserve">an </w:t>
      </w:r>
      <w:r>
        <w:t>initial loans</w:t>
      </w:r>
      <w:r w:rsidR="00C22779">
        <w:t xml:space="preserve"> and are shown to be</w:t>
      </w:r>
      <w:r>
        <w:t xml:space="preserve"> younger in age</w:t>
      </w:r>
      <w:r w:rsidR="00C22779">
        <w:t xml:space="preserve">, </w:t>
      </w:r>
      <w:r w:rsidR="00DF0961">
        <w:t>average firm age is 1,868 days (4,749 for subsequent loans)</w:t>
      </w:r>
      <w:r w:rsidR="00C22779">
        <w:t>, and have higher information asymmetry with a median</w:t>
      </w:r>
      <w:r>
        <w:t xml:space="preserve"> spread</w:t>
      </w:r>
      <w:r w:rsidR="00532231">
        <w:t xml:space="preserve"> (</w:t>
      </w:r>
      <w:proofErr w:type="spellStart"/>
      <w:r w:rsidR="00532231" w:rsidRPr="00532231">
        <w:rPr>
          <w:i/>
        </w:rPr>
        <w:t>AvgSpread</w:t>
      </w:r>
      <w:proofErr w:type="spellEnd"/>
      <w:r w:rsidR="00532231">
        <w:t>)</w:t>
      </w:r>
      <w:r w:rsidR="00C22779">
        <w:t xml:space="preserve"> that is </w:t>
      </w:r>
      <w:r w:rsidR="00DF0961">
        <w:t>3.01% (2.40% for firms</w:t>
      </w:r>
      <w:r w:rsidR="00C22779">
        <w:t xml:space="preserve"> </w:t>
      </w:r>
      <w:r w:rsidR="00DF0961">
        <w:t xml:space="preserve">announcing subsequent loans) </w:t>
      </w:r>
      <w:r w:rsidR="00C22779">
        <w:t xml:space="preserve">larger and </w:t>
      </w:r>
      <w:r w:rsidR="00DF0961">
        <w:t>median</w:t>
      </w:r>
      <w:r w:rsidR="00C22779">
        <w:t xml:space="preserve"> turnover</w:t>
      </w:r>
      <w:r w:rsidR="00532231">
        <w:t xml:space="preserve"> (</w:t>
      </w:r>
      <w:proofErr w:type="spellStart"/>
      <w:r w:rsidR="00532231" w:rsidRPr="00532231">
        <w:rPr>
          <w:i/>
        </w:rPr>
        <w:t>AvgTurnover</w:t>
      </w:r>
      <w:proofErr w:type="spellEnd"/>
      <w:r w:rsidR="00532231">
        <w:t>)</w:t>
      </w:r>
      <w:r w:rsidR="00C22779">
        <w:t xml:space="preserve"> </w:t>
      </w:r>
      <w:r w:rsidR="00DF0961">
        <w:t>0.20% (0.20% for firms announcing subsequent loans)</w:t>
      </w:r>
      <w:r w:rsidR="00C22779">
        <w:t>. Initial loan announcing firms have fewer information intermediaries with an average of 1.62 fewer analysts</w:t>
      </w:r>
      <w:r w:rsidR="00532231">
        <w:t xml:space="preserve"> (</w:t>
      </w:r>
      <w:proofErr w:type="spellStart"/>
      <w:r w:rsidR="00532231" w:rsidRPr="00532231">
        <w:rPr>
          <w:i/>
        </w:rPr>
        <w:t>NumAnalyst</w:t>
      </w:r>
      <w:proofErr w:type="spellEnd"/>
      <w:r w:rsidR="00532231">
        <w:t>)</w:t>
      </w:r>
      <w:r w:rsidR="00C22779">
        <w:t xml:space="preserve"> following the firm. Additionally fewer initial loan firms have any analyst coverage </w:t>
      </w:r>
      <w:r w:rsidR="006E09CF">
        <w:t>(</w:t>
      </w:r>
      <w:r w:rsidR="006E09CF" w:rsidRPr="006E09CF">
        <w:rPr>
          <w:i/>
        </w:rPr>
        <w:t>Analyst</w:t>
      </w:r>
      <w:r w:rsidR="006E09CF">
        <w:t>)</w:t>
      </w:r>
      <w:r w:rsidR="00C22779">
        <w:t xml:space="preserve">or </w:t>
      </w:r>
      <w:r w:rsidR="00224432">
        <w:t>B</w:t>
      </w:r>
      <w:r w:rsidR="00FC2917">
        <w:t>ig 4 auditors</w:t>
      </w:r>
      <w:r w:rsidR="006E09CF">
        <w:t xml:space="preserve"> (</w:t>
      </w:r>
      <w:r w:rsidR="006E09CF" w:rsidRPr="006E09CF">
        <w:rPr>
          <w:i/>
        </w:rPr>
        <w:t>Big4</w:t>
      </w:r>
      <w:r w:rsidR="006E09CF">
        <w:t>)</w:t>
      </w:r>
      <w:r w:rsidR="00FC2917">
        <w:t xml:space="preserve"> with coverage of 39.53% and 59.07% respectively </w:t>
      </w:r>
      <w:r w:rsidR="006E09CF">
        <w:t>(55.03% and 68.78% for firms announcing subsequent loans)</w:t>
      </w:r>
      <w:r w:rsidR="00C22779">
        <w:t xml:space="preserve"> </w:t>
      </w:r>
      <w:r w:rsidR="000904FE">
        <w:t>Overall these descriptive statistics show that firms announcing initial loans have an information environment that is characterised by high information asymmetry.</w:t>
      </w:r>
    </w:p>
    <w:p w:rsidR="00C6573E" w:rsidRDefault="00F63A60" w:rsidP="00C6573E">
      <w:r w:rsidRPr="00C6573E">
        <w:t>Overall the descriptive</w:t>
      </w:r>
      <w:r w:rsidR="00C60FE1" w:rsidRPr="00C6573E">
        <w:t xml:space="preserve"> statistics describe a sample with characteristics that support the notion that </w:t>
      </w:r>
      <w:r w:rsidRPr="00C6573E">
        <w:t>the signal</w:t>
      </w:r>
      <w:r w:rsidR="00961F5C" w:rsidRPr="00C6573E">
        <w:t>ling benefits</w:t>
      </w:r>
      <w:r w:rsidRPr="00C6573E">
        <w:t xml:space="preserve"> provided by an outside lender</w:t>
      </w:r>
      <w:r w:rsidR="00C60FE1" w:rsidRPr="00C6573E">
        <w:t xml:space="preserve"> should</w:t>
      </w:r>
      <w:r w:rsidR="00C60FE1">
        <w:t xml:space="preserve"> matter</w:t>
      </w:r>
      <w:r>
        <w:t xml:space="preserve">. Sample firms are small as measured by market capitalisation, total assets and total equity and relatively risky as evidenced by their poor profitability records. </w:t>
      </w:r>
      <w:r w:rsidR="00BF28BF">
        <w:t xml:space="preserve">Information asymmetry is relatively high due to </w:t>
      </w:r>
      <w:r w:rsidR="00224432">
        <w:t xml:space="preserve">low </w:t>
      </w:r>
      <w:r w:rsidR="00BF28BF">
        <w:t xml:space="preserve">analyst coverage, </w:t>
      </w:r>
      <w:r>
        <w:t xml:space="preserve">and the </w:t>
      </w:r>
      <w:r w:rsidR="006158A7">
        <w:t>presence of many non-</w:t>
      </w:r>
      <w:r w:rsidR="002A07F1">
        <w:t xml:space="preserve">Big 4 auditors. </w:t>
      </w:r>
      <w:bookmarkStart w:id="16" w:name="_Toc379787301"/>
    </w:p>
    <w:p w:rsidR="00C6573E" w:rsidRPr="00C6573E" w:rsidRDefault="002B4765" w:rsidP="00C6573E">
      <w:pPr>
        <w:pStyle w:val="Heading2"/>
      </w:pPr>
      <w:r w:rsidRPr="00C6573E">
        <w:t>Borrower</w:t>
      </w:r>
      <w:r w:rsidR="00F63A60" w:rsidRPr="00C6573E">
        <w:t xml:space="preserve"> descriptive statistics</w:t>
      </w:r>
      <w:bookmarkEnd w:id="16"/>
    </w:p>
    <w:p w:rsidR="00C6573E" w:rsidRDefault="00F63A60" w:rsidP="00C6573E">
      <w:r w:rsidRPr="00C6573E">
        <w:t xml:space="preserve">Loan descriptive statistics are </w:t>
      </w:r>
      <w:r w:rsidR="00CF46AA" w:rsidRPr="00C6573E">
        <w:t>reported</w:t>
      </w:r>
      <w:r w:rsidRPr="00C6573E">
        <w:t xml:space="preserve"> in</w:t>
      </w:r>
      <w:r w:rsidR="0089071A">
        <w:t xml:space="preserve"> Table 3</w:t>
      </w:r>
      <w:r w:rsidR="00DC0896" w:rsidRPr="00C6573E">
        <w:fldChar w:fldCharType="begin"/>
      </w:r>
      <w:r w:rsidR="00DC0896" w:rsidRPr="00C6573E">
        <w:instrText xml:space="preserve"> REF _Ref379743143 \h </w:instrText>
      </w:r>
      <w:r w:rsidR="00C6573E">
        <w:instrText xml:space="preserve"> \* MERGEFORMAT </w:instrText>
      </w:r>
      <w:r w:rsidR="00DC0896" w:rsidRPr="00C6573E">
        <w:fldChar w:fldCharType="end"/>
      </w:r>
      <w:r w:rsidR="00DC0896" w:rsidRPr="00C6573E">
        <w:t xml:space="preserve">. </w:t>
      </w:r>
      <w:r w:rsidRPr="00C6573E">
        <w:t xml:space="preserve">The </w:t>
      </w:r>
      <w:r w:rsidR="00A1139E" w:rsidRPr="00C6573E">
        <w:t xml:space="preserve">size of the </w:t>
      </w:r>
      <w:r w:rsidRPr="00C6573E">
        <w:t xml:space="preserve">average loan issued to an initial borrower </w:t>
      </w:r>
      <w:r w:rsidR="00A1139E" w:rsidRPr="00C6573E">
        <w:t xml:space="preserve">(Amount), </w:t>
      </w:r>
      <w:r w:rsidRPr="00C6573E">
        <w:t>is $76 million</w:t>
      </w:r>
      <w:r w:rsidR="00A1139E" w:rsidRPr="00C6573E">
        <w:t xml:space="preserve"> </w:t>
      </w:r>
      <w:r w:rsidR="00CF46AA" w:rsidRPr="00C6573E">
        <w:t xml:space="preserve">($159 million for </w:t>
      </w:r>
      <w:r w:rsidRPr="00C6573E">
        <w:t xml:space="preserve">subsequent loans, more than double the amount borrowed by zero-leverage </w:t>
      </w:r>
      <w:r w:rsidR="00A052C1" w:rsidRPr="00C6573E">
        <w:t>MDSE</w:t>
      </w:r>
      <w:r w:rsidR="00E922AC" w:rsidRPr="00C6573E">
        <w:t>s</w:t>
      </w:r>
      <w:r w:rsidR="00CF46AA" w:rsidRPr="00C6573E">
        <w:t>)</w:t>
      </w:r>
      <w:r w:rsidRPr="00C6573E">
        <w:t xml:space="preserve">. Consistent with the loan initiation sample consisting of smaller firms, the amount borrowed is </w:t>
      </w:r>
      <w:r w:rsidR="00CF46AA" w:rsidRPr="00C6573E">
        <w:t>under half the average for subsequent borrowers</w:t>
      </w:r>
      <w:r w:rsidRPr="00C6573E">
        <w:t>. The median loan</w:t>
      </w:r>
      <w:r w:rsidR="00A052C1" w:rsidRPr="00C6573E">
        <w:t xml:space="preserve"> of $31 million </w:t>
      </w:r>
      <w:r w:rsidR="00CF46AA" w:rsidRPr="00C6573E">
        <w:t xml:space="preserve">suggests a </w:t>
      </w:r>
      <w:r w:rsidRPr="00C6573E">
        <w:t xml:space="preserve">zero-leverage firm will have a debt to equity ratio of </w:t>
      </w:r>
      <w:r w:rsidR="00A052C1" w:rsidRPr="00C6573E">
        <w:t>approximately</w:t>
      </w:r>
      <w:r w:rsidRPr="00C6573E">
        <w:t xml:space="preserve"> 50% after securing a loan. A significant variation </w:t>
      </w:r>
      <w:r w:rsidRPr="00C6573E">
        <w:lastRenderedPageBreak/>
        <w:t>in loan size is present within both samples. Minimum loan amounts of $1 million represent relatively small loans, even for the firms with the</w:t>
      </w:r>
      <w:r>
        <w:t xml:space="preserve"> smallest market capitalisation, however at the upper end of the spectrum, multi-billion dollar loans are observed to fund large projects. The median and average loan term</w:t>
      </w:r>
      <w:r w:rsidR="00A1139E">
        <w:t xml:space="preserve"> (</w:t>
      </w:r>
      <w:r w:rsidR="00A1139E" w:rsidRPr="00C6573E">
        <w:rPr>
          <w:i/>
        </w:rPr>
        <w:t>Maturity</w:t>
      </w:r>
      <w:r w:rsidR="00A1139E" w:rsidRPr="00A1139E">
        <w:t>)</w:t>
      </w:r>
      <w:r>
        <w:t xml:space="preserve"> in both samples is between 3 to 4 years representing loans of a medium term nature. The majority of loans in both samples are issued by a single lender</w:t>
      </w:r>
      <w:r w:rsidR="00A1139E">
        <w:t xml:space="preserve"> (</w:t>
      </w:r>
      <w:r w:rsidR="00A1139E" w:rsidRPr="00C6573E">
        <w:rPr>
          <w:i/>
        </w:rPr>
        <w:t>Number of lenders</w:t>
      </w:r>
      <w:r w:rsidR="00A1139E">
        <w:t>)</w:t>
      </w:r>
      <w:r>
        <w:t>.</w:t>
      </w:r>
      <w:r w:rsidR="00B47653">
        <w:rPr>
          <w:rStyle w:val="FootnoteReference"/>
        </w:rPr>
        <w:footnoteReference w:id="11"/>
      </w:r>
    </w:p>
    <w:p w:rsidR="00C6573E" w:rsidRPr="00C6573E" w:rsidRDefault="00F63A60" w:rsidP="00C6573E">
      <w:pPr>
        <w:rPr>
          <w:b/>
        </w:rPr>
      </w:pPr>
      <w:r>
        <w:t>A common way banks monitor firms is through the use of loan covenants</w:t>
      </w:r>
      <w:r w:rsidR="00B47653">
        <w:t xml:space="preserve"> and</w:t>
      </w:r>
      <w:r>
        <w:t xml:space="preserve"> </w:t>
      </w:r>
      <w:r w:rsidR="00B47653">
        <w:t>w</w:t>
      </w:r>
      <w:r>
        <w:t>ithin this sample there are two common covenants</w:t>
      </w:r>
      <w:r w:rsidR="00B47653">
        <w:t>.</w:t>
      </w:r>
      <w:r>
        <w:t xml:space="preserve"> Over 25% of loan initiations (18% of subsequent loans) require commodity or foreign exchange hedging </w:t>
      </w:r>
      <w:r w:rsidR="00906FA5">
        <w:t>(</w:t>
      </w:r>
      <w:r w:rsidR="00906FA5" w:rsidRPr="00906FA5">
        <w:rPr>
          <w:i/>
        </w:rPr>
        <w:t>Hedging</w:t>
      </w:r>
      <w:r w:rsidR="00906FA5">
        <w:t>)</w:t>
      </w:r>
      <w:r>
        <w:t xml:space="preserve"> to be implemented by the lend</w:t>
      </w:r>
      <w:r w:rsidR="00D73039">
        <w:t>er</w:t>
      </w:r>
      <w:r>
        <w:t xml:space="preserve">. The requirement to hedge production or currency risk alters the </w:t>
      </w:r>
      <w:r w:rsidR="002B4765">
        <w:t xml:space="preserve">project </w:t>
      </w:r>
      <w:r>
        <w:t xml:space="preserve">pay-off and is an example of bank monitoring potentially lowering </w:t>
      </w:r>
      <w:r w:rsidR="00906FA5">
        <w:t>firm</w:t>
      </w:r>
      <w:r>
        <w:t xml:space="preserve"> risk. Additionally, over 10% of loans were conditional upon t</w:t>
      </w:r>
      <w:r w:rsidR="00A052C1">
        <w:t xml:space="preserve">he borrowing firm </w:t>
      </w:r>
      <w:r w:rsidR="00906FA5">
        <w:t>raising</w:t>
      </w:r>
      <w:r w:rsidR="00A052C1">
        <w:t xml:space="preserve"> further equity</w:t>
      </w:r>
      <w:r w:rsidR="00906FA5">
        <w:t xml:space="preserve"> (</w:t>
      </w:r>
      <w:proofErr w:type="spellStart"/>
      <w:r w:rsidR="00906FA5" w:rsidRPr="00906FA5">
        <w:rPr>
          <w:i/>
        </w:rPr>
        <w:t>EquityRaising</w:t>
      </w:r>
      <w:proofErr w:type="spellEnd"/>
      <w:r w:rsidR="00906FA5">
        <w:t>)</w:t>
      </w:r>
      <w:r>
        <w:t xml:space="preserve"> before drawdown</w:t>
      </w:r>
      <w:r w:rsidR="002B4765">
        <w:t xml:space="preserve"> </w:t>
      </w:r>
      <w:r>
        <w:t>to ensure the borrowing firm maintained a suitable debt to equity ratio</w:t>
      </w:r>
      <w:r w:rsidR="002B4765">
        <w:t xml:space="preserve">. </w:t>
      </w:r>
    </w:p>
    <w:p w:rsidR="00C6573E" w:rsidRDefault="00F63A60" w:rsidP="00C6573E">
      <w:r>
        <w:t xml:space="preserve">Finally, the variable </w:t>
      </w:r>
      <w:proofErr w:type="spellStart"/>
      <w:r w:rsidRPr="00ED0067">
        <w:rPr>
          <w:i/>
        </w:rPr>
        <w:t>BankEquity</w:t>
      </w:r>
      <w:proofErr w:type="spellEnd"/>
      <w:r>
        <w:t xml:space="preserve"> </w:t>
      </w:r>
      <w:r w:rsidR="00D73039">
        <w:t>indicates</w:t>
      </w:r>
      <w:r>
        <w:t xml:space="preserve"> that 28% of initial loans and 22% of subsequent loans were issued to borrow</w:t>
      </w:r>
      <w:r w:rsidR="002B4765">
        <w:t>ers</w:t>
      </w:r>
      <w:r>
        <w:t xml:space="preserve"> wh</w:t>
      </w:r>
      <w:r w:rsidR="002B4765">
        <w:t>ere</w:t>
      </w:r>
      <w:r>
        <w:t xml:space="preserve"> the </w:t>
      </w:r>
      <w:r w:rsidR="00D73039">
        <w:t>lender</w:t>
      </w:r>
      <w:r>
        <w:t xml:space="preserve"> had either stock, warrant or option positions. Banks having an equity or option positio</w:t>
      </w:r>
      <w:r w:rsidR="008E7DC0">
        <w:t>n in the borrow</w:t>
      </w:r>
      <w:r w:rsidR="002B4765">
        <w:t>er</w:t>
      </w:r>
      <w:r w:rsidR="008E7DC0">
        <w:t xml:space="preserve"> can be </w:t>
      </w:r>
      <w:r>
        <w:t xml:space="preserve">interpreted as an endorsement of the firm’s future prospects as banks look to access the </w:t>
      </w:r>
      <w:r w:rsidR="000A0C40">
        <w:t>firm’s</w:t>
      </w:r>
      <w:bookmarkStart w:id="17" w:name="_Toc379787302"/>
      <w:r w:rsidR="00CB0081">
        <w:t xml:space="preserve"> future upside.</w:t>
      </w:r>
    </w:p>
    <w:p w:rsidR="00C6573E" w:rsidRPr="00C6573E" w:rsidRDefault="00442EB7" w:rsidP="0041360F">
      <w:pPr>
        <w:keepNext/>
      </w:pPr>
      <w:r w:rsidRPr="00362928">
        <w:lastRenderedPageBreak/>
        <w:t>4.3</w:t>
      </w:r>
      <w:r w:rsidRPr="00362928">
        <w:tab/>
      </w:r>
      <w:r w:rsidR="00F63A60" w:rsidRPr="00CB0081">
        <w:rPr>
          <w:b/>
        </w:rPr>
        <w:t>Lender descriptive statistics</w:t>
      </w:r>
      <w:bookmarkEnd w:id="17"/>
    </w:p>
    <w:p w:rsidR="006573AF" w:rsidRPr="00C6573E" w:rsidRDefault="00D17286" w:rsidP="0041360F">
      <w:pPr>
        <w:keepNext/>
      </w:pPr>
      <w:r w:rsidRPr="00C6573E">
        <w:t xml:space="preserve">Within the sample of loan announcements </w:t>
      </w:r>
      <w:r w:rsidR="00F63A60" w:rsidRPr="00C6573E">
        <w:t xml:space="preserve">121 unique lenders are identified, with </w:t>
      </w:r>
      <w:r w:rsidR="00036308" w:rsidRPr="00C6573E">
        <w:t>635 lender observations across the total sample</w:t>
      </w:r>
      <w:r w:rsidR="00F63A60" w:rsidRPr="00C6573E">
        <w:t>.</w:t>
      </w:r>
      <w:r w:rsidR="009F6A14" w:rsidRPr="00C6573E">
        <w:rPr>
          <w:rStyle w:val="FootnoteReference"/>
        </w:rPr>
        <w:footnoteReference w:id="12"/>
      </w:r>
      <w:r w:rsidR="00036308" w:rsidRPr="00C6573E">
        <w:t xml:space="preserve"> </w:t>
      </w:r>
      <w:r w:rsidR="000A24D2">
        <w:t>Table 4</w:t>
      </w:r>
      <w:r w:rsidR="00CD4C90" w:rsidRPr="00C6573E">
        <w:t xml:space="preserve"> presents the top 4</w:t>
      </w:r>
      <w:r w:rsidR="00F63A60" w:rsidRPr="00C6573E">
        <w:t xml:space="preserve">0 lenders sorted by the number of loans issued. </w:t>
      </w:r>
      <w:r w:rsidR="00442EB7" w:rsidRPr="00C6573E">
        <w:t>The most striking feature of Table 4 is the dominance of Macqu</w:t>
      </w:r>
      <w:r w:rsidR="00CB0081" w:rsidRPr="00C6573E">
        <w:t>arie</w:t>
      </w:r>
      <w:r w:rsidR="00442EB7" w:rsidRPr="00C6573E">
        <w:t xml:space="preserve"> Bank, who</w:t>
      </w:r>
      <w:r w:rsidR="00F63A60" w:rsidRPr="00C6573E">
        <w:t xml:space="preserve"> </w:t>
      </w:r>
      <w:r w:rsidR="00442EB7" w:rsidRPr="00C6573E">
        <w:t xml:space="preserve">wrote </w:t>
      </w:r>
      <w:r w:rsidR="00F63A60" w:rsidRPr="00C6573E">
        <w:t xml:space="preserve">70 </w:t>
      </w:r>
      <w:r w:rsidR="00442EB7" w:rsidRPr="00C6573E">
        <w:t xml:space="preserve">mining project </w:t>
      </w:r>
      <w:r w:rsidR="00F63A60" w:rsidRPr="00C6573E">
        <w:t>bank loan</w:t>
      </w:r>
      <w:r w:rsidR="00442EB7" w:rsidRPr="00C6573E">
        <w:t>s,</w:t>
      </w:r>
      <w:r w:rsidR="00F63A60" w:rsidRPr="00C6573E">
        <w:t xml:space="preserve"> a clear market leader in terms of loan frequency. Macquarie Bank </w:t>
      </w:r>
      <w:r w:rsidR="00442EB7" w:rsidRPr="00C6573E">
        <w:t xml:space="preserve">wrote </w:t>
      </w:r>
      <w:r w:rsidR="00F63A60" w:rsidRPr="00C6573E">
        <w:t>more than double the number of loan</w:t>
      </w:r>
      <w:r w:rsidR="00442EB7" w:rsidRPr="00C6573E">
        <w:t xml:space="preserve">s compared to </w:t>
      </w:r>
      <w:r w:rsidR="00F63A60" w:rsidRPr="00C6573E">
        <w:t xml:space="preserve">ANZ Bank </w:t>
      </w:r>
      <w:r w:rsidR="00442EB7" w:rsidRPr="00C6573E">
        <w:t>(</w:t>
      </w:r>
      <w:r w:rsidR="00F63A60" w:rsidRPr="00C6573E">
        <w:t>33</w:t>
      </w:r>
      <w:r w:rsidR="00442EB7" w:rsidRPr="00C6573E">
        <w:t>).</w:t>
      </w:r>
      <w:r w:rsidR="00F63A60" w:rsidRPr="00C6573E">
        <w:t xml:space="preserve"> Macquarie Bank</w:t>
      </w:r>
      <w:r w:rsidR="00442EB7" w:rsidRPr="00C6573E">
        <w:t xml:space="preserve">’s industry leadership depicted in Table 4 </w:t>
      </w:r>
      <w:r w:rsidR="00F63A60" w:rsidRPr="00C6573E">
        <w:t xml:space="preserve">is consistent with </w:t>
      </w:r>
      <w:r w:rsidR="009F6A14" w:rsidRPr="00C6573E">
        <w:t>anecdotal evidence</w:t>
      </w:r>
      <w:r w:rsidR="00442EB7" w:rsidRPr="00C6573E">
        <w:t xml:space="preserve"> docu</w:t>
      </w:r>
      <w:r w:rsidR="00CB0081" w:rsidRPr="00C6573E">
        <w:t xml:space="preserve">mented in footnote 5. </w:t>
      </w:r>
      <w:r w:rsidR="00442EB7" w:rsidRPr="00C6573E">
        <w:t>.</w:t>
      </w:r>
      <w:r w:rsidR="00F63A60" w:rsidRPr="00C6573E">
        <w:fldChar w:fldCharType="begin"/>
      </w:r>
      <w:r w:rsidR="00F63A60" w:rsidRPr="00C6573E">
        <w:instrText xml:space="preserve"> REF _Ref378007044 \h </w:instrText>
      </w:r>
      <w:r w:rsidR="001F2873" w:rsidRPr="00C6573E">
        <w:instrText xml:space="preserve"> \* MERGEFORMAT </w:instrText>
      </w:r>
      <w:r w:rsidR="00F63A60" w:rsidRPr="00C6573E">
        <w:fldChar w:fldCharType="separate"/>
      </w:r>
      <w:r w:rsidR="0089071A" w:rsidRPr="00F521A0">
        <w:t>Table</w:t>
      </w:r>
      <w:r w:rsidR="0089071A">
        <w:t xml:space="preserve"> </w:t>
      </w:r>
      <w:r w:rsidR="00F63A60" w:rsidRPr="00C6573E">
        <w:fldChar w:fldCharType="end"/>
      </w:r>
      <w:r w:rsidR="000A24D2">
        <w:t>4</w:t>
      </w:r>
      <w:r w:rsidR="00F63A60" w:rsidRPr="00C6573E">
        <w:t xml:space="preserve"> displays the total value of loans issued, </w:t>
      </w:r>
      <w:r w:rsidR="00442EB7" w:rsidRPr="00C6573E">
        <w:t xml:space="preserve">with </w:t>
      </w:r>
      <w:r w:rsidR="00F63A60" w:rsidRPr="00C6573E">
        <w:t>Macquarie Bank ranked in 3</w:t>
      </w:r>
      <w:r w:rsidR="00F63A60" w:rsidRPr="00C6573E">
        <w:rPr>
          <w:vertAlign w:val="superscript"/>
        </w:rPr>
        <w:t>rd</w:t>
      </w:r>
      <w:r w:rsidR="00F63A60" w:rsidRPr="00C6573E">
        <w:t xml:space="preserve"> with over $3 billion in loans issued.</w:t>
      </w:r>
      <w:r w:rsidR="008B09AB" w:rsidRPr="00C6573E">
        <w:rPr>
          <w:rStyle w:val="FootnoteReference"/>
        </w:rPr>
        <w:footnoteReference w:id="13"/>
      </w:r>
      <w:bookmarkStart w:id="18" w:name="_Toc379787303"/>
    </w:p>
    <w:p w:rsidR="006573AF" w:rsidRDefault="00F268CB" w:rsidP="006573AF">
      <w:pPr>
        <w:pStyle w:val="Heading2"/>
        <w:keepNext/>
        <w:numPr>
          <w:ilvl w:val="0"/>
          <w:numId w:val="0"/>
        </w:numPr>
        <w:ind w:firstLine="720"/>
      </w:pPr>
      <w:r>
        <w:t>4.4</w:t>
      </w:r>
      <w:r>
        <w:tab/>
      </w:r>
      <w:r w:rsidR="00F63A60">
        <w:t>Loan announcement return</w:t>
      </w:r>
      <w:bookmarkEnd w:id="18"/>
    </w:p>
    <w:p w:rsidR="0041360F" w:rsidRDefault="00442EB7" w:rsidP="0041360F">
      <w:r>
        <w:t xml:space="preserve">Table 5, </w:t>
      </w:r>
      <w:r w:rsidR="00F63A60" w:rsidRPr="001F2873">
        <w:t>Panel</w:t>
      </w:r>
      <w:r w:rsidR="00F63A60">
        <w:t xml:space="preserve"> </w:t>
      </w:r>
      <w:proofErr w:type="gramStart"/>
      <w:r w:rsidR="00F63A60">
        <w:t>A</w:t>
      </w:r>
      <w:proofErr w:type="gramEnd"/>
      <w:r w:rsidR="00F63A60">
        <w:t xml:space="preserve"> </w:t>
      </w:r>
      <w:r>
        <w:t>reports</w:t>
      </w:r>
      <w:r w:rsidR="00F63A60">
        <w:t xml:space="preserve"> </w:t>
      </w:r>
      <w:r w:rsidR="00D73039">
        <w:t xml:space="preserve">abnormal returns </w:t>
      </w:r>
      <w:r w:rsidR="008B09AB">
        <w:t>during the -5</w:t>
      </w:r>
      <w:r w:rsidR="00F63A60">
        <w:t xml:space="preserve"> to </w:t>
      </w:r>
      <w:r w:rsidR="008B09AB">
        <w:t>5</w:t>
      </w:r>
      <w:r w:rsidR="00F63A60">
        <w:t xml:space="preserve"> day window for the full sample of bank loan announcements. A significantly positive abnormal return of 2.051% is observed on t</w:t>
      </w:r>
      <w:r w:rsidR="008B09AB">
        <w:t xml:space="preserve">he </w:t>
      </w:r>
      <w:r w:rsidR="003D7529">
        <w:t xml:space="preserve">announcement </w:t>
      </w:r>
      <w:r w:rsidR="008B09AB">
        <w:t xml:space="preserve">date </w:t>
      </w:r>
      <w:r w:rsidR="003D7529">
        <w:t>(T0),</w:t>
      </w:r>
      <w:r w:rsidR="00F63A60">
        <w:t xml:space="preserve"> consistent with prior studies </w:t>
      </w:r>
      <w:r w:rsidR="00F63A60">
        <w:fldChar w:fldCharType="begin">
          <w:fldData xml:space="preserve">PEVuZE5vdGU+PENpdGU+PEF1dGhvcj5MdW1tZXI8L0F1dGhvcj48WWVhcj4xOTg5PC9ZZWFyPjxS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</w:fldData>
        </w:fldChar>
      </w:r>
      <w:r w:rsidR="003A641D">
        <w:instrText xml:space="preserve"> ADDIN EN.CITE </w:instrText>
      </w:r>
      <w:r w:rsidR="003A641D">
        <w:fldChar w:fldCharType="begin">
          <w:fldData xml:space="preserve">PEVuZE5vdGU+PENpdGU+PEF1dGhvcj5MdW1tZXI8L0F1dGhvcj48WWVhcj4xOTg5PC9ZZWFyPjxS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</w:fldData>
        </w:fldChar>
      </w:r>
      <w:r w:rsidR="003A641D">
        <w:instrText xml:space="preserve"> ADDIN EN.CITE.DATA </w:instrText>
      </w:r>
      <w:r w:rsidR="003A641D">
        <w:fldChar w:fldCharType="end"/>
      </w:r>
      <w:r w:rsidR="00F63A60">
        <w:fldChar w:fldCharType="separate"/>
      </w:r>
      <w:r w:rsidR="00F63A60">
        <w:rPr>
          <w:noProof/>
        </w:rPr>
        <w:t>(</w:t>
      </w:r>
      <w:hyperlink w:anchor="_ENREF_60" w:tooltip="James, 1987 #2" w:history="1">
        <w:r w:rsidR="005B6334">
          <w:rPr>
            <w:noProof/>
          </w:rPr>
          <w:t>James 1987</w:t>
        </w:r>
      </w:hyperlink>
      <w:r w:rsidR="00F63A60">
        <w:rPr>
          <w:noProof/>
        </w:rPr>
        <w:t xml:space="preserve">; </w:t>
      </w:r>
      <w:hyperlink w:anchor="_ENREF_71" w:tooltip="Lummer, 1989 #4" w:history="1">
        <w:r w:rsidR="005B6334">
          <w:rPr>
            <w:noProof/>
          </w:rPr>
          <w:t>Lummer &amp; McConnell 1989</w:t>
        </w:r>
      </w:hyperlink>
      <w:r w:rsidR="00F63A60">
        <w:rPr>
          <w:noProof/>
        </w:rPr>
        <w:t xml:space="preserve">; </w:t>
      </w:r>
      <w:hyperlink w:anchor="_ENREF_7" w:tooltip="Best, 1993 #9" w:history="1">
        <w:r w:rsidR="005B6334">
          <w:rPr>
            <w:noProof/>
          </w:rPr>
          <w:t>Best &amp; Zhang 1993</w:t>
        </w:r>
      </w:hyperlink>
      <w:r w:rsidR="00F63A60">
        <w:rPr>
          <w:noProof/>
        </w:rPr>
        <w:t>)</w:t>
      </w:r>
      <w:r w:rsidR="00F63A60">
        <w:fldChar w:fldCharType="end"/>
      </w:r>
      <w:r w:rsidR="00F63A60">
        <w:t xml:space="preserve">. </w:t>
      </w:r>
      <w:r w:rsidR="00F63A60" w:rsidRPr="00AB3AE0">
        <w:t xml:space="preserve">Panel B reports results </w:t>
      </w:r>
      <w:r w:rsidR="00D73039">
        <w:t xml:space="preserve">for </w:t>
      </w:r>
      <w:r w:rsidR="00F63A60" w:rsidRPr="00AB3AE0">
        <w:t xml:space="preserve">initial loan announcements. Results are supportive of </w:t>
      </w:r>
      <w:r w:rsidR="00D73039">
        <w:t>H</w:t>
      </w:r>
      <w:r w:rsidR="00F63A60" w:rsidRPr="00AB3AE0">
        <w:t xml:space="preserve">ypothesis 1, with initial bank loan announcements being associated with a significantly positive abnormal return of 2.480% on the announcement date. </w:t>
      </w:r>
      <w:r w:rsidR="00F63A60">
        <w:t xml:space="preserve">This result </w:t>
      </w:r>
      <w:r w:rsidR="003D7529">
        <w:t>contrasts</w:t>
      </w:r>
      <w:r w:rsidR="00F63A60">
        <w:t xml:space="preserve"> prior studies that find </w:t>
      </w:r>
      <w:r w:rsidR="003D7529">
        <w:t>‘</w:t>
      </w:r>
      <w:r w:rsidR="00F63A60">
        <w:t>new</w:t>
      </w:r>
      <w:r w:rsidR="003D7529">
        <w:t>’</w:t>
      </w:r>
      <w:r w:rsidR="00F63A60">
        <w:t xml:space="preserve"> loans</w:t>
      </w:r>
      <w:r w:rsidR="00202490">
        <w:t xml:space="preserve"> do not attract a significant market response</w:t>
      </w:r>
      <w:r w:rsidR="00FC08D0">
        <w:t xml:space="preserve"> </w:t>
      </w:r>
      <w:r w:rsidR="00FC08D0">
        <w:fldChar w:fldCharType="begin">
          <w:fldData xml:space="preserve">PEVuZE5vdGU+PENpdGU+PEF1dGhvcj5MdW1tZXI8L0F1dGhvcj48WWVhcj4xOTg5PC9ZZWFyPjxS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</w:fldData>
        </w:fldChar>
      </w:r>
      <w:r w:rsidR="003A641D">
        <w:instrText xml:space="preserve"> ADDIN EN.CITE </w:instrText>
      </w:r>
      <w:r w:rsidR="003A641D">
        <w:fldChar w:fldCharType="begin">
          <w:fldData xml:space="preserve">PEVuZE5vdGU+PENpdGU+PEF1dGhvcj5MdW1tZXI8L0F1dGhvcj48WWVhcj4xOTg5PC9ZZWFyPjxS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</w:fldData>
        </w:fldChar>
      </w:r>
      <w:r w:rsidR="003A641D">
        <w:instrText xml:space="preserve"> ADDIN EN.CITE.DATA </w:instrText>
      </w:r>
      <w:r w:rsidR="003A641D">
        <w:fldChar w:fldCharType="end"/>
      </w:r>
      <w:r w:rsidR="00FC08D0">
        <w:fldChar w:fldCharType="separate"/>
      </w:r>
      <w:r w:rsidR="00FC08D0">
        <w:rPr>
          <w:noProof/>
        </w:rPr>
        <w:t>(</w:t>
      </w:r>
      <w:hyperlink w:anchor="_ENREF_71" w:tooltip="Lummer, 1989 #4" w:history="1">
        <w:r w:rsidR="005B6334">
          <w:rPr>
            <w:noProof/>
          </w:rPr>
          <w:t>Lummer &amp; McConnell 1989</w:t>
        </w:r>
      </w:hyperlink>
      <w:r w:rsidR="00FC08D0">
        <w:rPr>
          <w:noProof/>
        </w:rPr>
        <w:t xml:space="preserve">; </w:t>
      </w:r>
      <w:hyperlink w:anchor="_ENREF_7" w:tooltip="Best, 1993 #9" w:history="1">
        <w:r w:rsidR="005B6334">
          <w:rPr>
            <w:noProof/>
          </w:rPr>
          <w:t>Best &amp; Zhang 1993</w:t>
        </w:r>
      </w:hyperlink>
      <w:r w:rsidR="00FC08D0">
        <w:rPr>
          <w:noProof/>
        </w:rPr>
        <w:t>)</w:t>
      </w:r>
      <w:r w:rsidR="00FC08D0">
        <w:fldChar w:fldCharType="end"/>
      </w:r>
      <w:r w:rsidR="00F63A60" w:rsidRPr="00AB3AE0">
        <w:t xml:space="preserve">. </w:t>
      </w:r>
      <w:r w:rsidR="003D7529">
        <w:t xml:space="preserve">Table 5, </w:t>
      </w:r>
      <w:r w:rsidR="00F63A60" w:rsidRPr="00AB3AE0">
        <w:t xml:space="preserve">Panel C reports a significantly positive abnormal return of 1.551% on the event date </w:t>
      </w:r>
      <w:r w:rsidR="003D7529">
        <w:t xml:space="preserve">for </w:t>
      </w:r>
      <w:r w:rsidR="00F63A60" w:rsidRPr="00AB3AE0">
        <w:t>subsequent</w:t>
      </w:r>
      <w:r w:rsidR="006573AF">
        <w:t xml:space="preserve"> loan announcements. </w:t>
      </w:r>
    </w:p>
    <w:p w:rsidR="006573AF" w:rsidRDefault="00D830B0" w:rsidP="0041360F">
      <w:r>
        <w:lastRenderedPageBreak/>
        <w:t xml:space="preserve">We consider whether </w:t>
      </w:r>
      <w:r w:rsidR="00F63A60">
        <w:t xml:space="preserve">the abnormal return surrounding </w:t>
      </w:r>
      <w:r w:rsidR="00CD0787">
        <w:t>bank loan announcements persists</w:t>
      </w:r>
      <w:r w:rsidR="00F63A60">
        <w:t xml:space="preserve"> over a longer event window, </w:t>
      </w:r>
      <w:r>
        <w:t xml:space="preserve">with </w:t>
      </w:r>
      <w:r w:rsidR="00F63A60">
        <w:t xml:space="preserve">the cumulative average abnormal </w:t>
      </w:r>
      <w:r w:rsidR="00F63A60" w:rsidRPr="00AB3AE0">
        <w:t xml:space="preserve">return (CAAR) calculated </w:t>
      </w:r>
      <w:r>
        <w:t>in (</w:t>
      </w:r>
      <w:r w:rsidR="00F63A60" w:rsidRPr="00AB3AE0">
        <w:t xml:space="preserve">2) over the -5 to 5 event day window. </w:t>
      </w:r>
      <w:r w:rsidR="00F63A60" w:rsidRPr="00AB3AE0">
        <w:fldChar w:fldCharType="begin"/>
      </w:r>
      <w:r w:rsidR="00F63A60" w:rsidRPr="00AB3AE0">
        <w:instrText xml:space="preserve"> REF _Ref378170987 \h </w:instrText>
      </w:r>
      <w:r w:rsidR="00AB3AE0">
        <w:instrText xml:space="preserve"> \* MERGEFORMAT </w:instrText>
      </w:r>
      <w:r w:rsidR="00F63A60" w:rsidRPr="00AB3AE0">
        <w:fldChar w:fldCharType="separate"/>
      </w:r>
      <w:r w:rsidR="0089071A" w:rsidRPr="00F521A0">
        <w:t>Table</w:t>
      </w:r>
      <w:r w:rsidR="0089071A">
        <w:t xml:space="preserve"> </w:t>
      </w:r>
      <w:r w:rsidR="00F63A60" w:rsidRPr="00AB3AE0">
        <w:fldChar w:fldCharType="end"/>
      </w:r>
      <w:r w:rsidR="000A24D2">
        <w:t>6</w:t>
      </w:r>
      <w:r w:rsidR="00F63A60" w:rsidRPr="00AB3AE0">
        <w:t xml:space="preserve"> Panel </w:t>
      </w:r>
      <w:proofErr w:type="gramStart"/>
      <w:r w:rsidR="00F63A60" w:rsidRPr="00AB3AE0">
        <w:t>A</w:t>
      </w:r>
      <w:proofErr w:type="gramEnd"/>
      <w:r w:rsidR="00F63A60" w:rsidRPr="00AB3AE0">
        <w:t xml:space="preserve"> displays the CAAR for the total sample of bank loan announcements over various windows. </w:t>
      </w:r>
      <w:r w:rsidR="0041360F">
        <w:t>T</w:t>
      </w:r>
      <w:r w:rsidR="0041360F" w:rsidRPr="00AB3AE0">
        <w:t>he significantly positive -5 to 5 day CAAR of 2.518% is driven by the market response in the 0</w:t>
      </w:r>
      <w:proofErr w:type="gramStart"/>
      <w:r w:rsidR="0041360F">
        <w:t>,</w:t>
      </w:r>
      <w:r w:rsidR="0041360F" w:rsidRPr="00AB3AE0">
        <w:t>1</w:t>
      </w:r>
      <w:proofErr w:type="gramEnd"/>
      <w:r w:rsidR="0041360F" w:rsidRPr="00AB3AE0">
        <w:t xml:space="preserve"> event window</w:t>
      </w:r>
      <w:r w:rsidR="0041360F">
        <w:t xml:space="preserve">. </w:t>
      </w:r>
      <w:r w:rsidR="00F63A60" w:rsidRPr="00AB3AE0">
        <w:t xml:space="preserve">The -5 to </w:t>
      </w:r>
      <w:r w:rsidR="00464278">
        <w:t>-</w:t>
      </w:r>
      <w:r w:rsidR="00F63A60" w:rsidRPr="00AB3AE0">
        <w:t xml:space="preserve">2 day CAAR is small and insignificant, suggesting no information </w:t>
      </w:r>
      <w:r w:rsidR="00202490">
        <w:t xml:space="preserve">leakage </w:t>
      </w:r>
      <w:r w:rsidR="00F63A60" w:rsidRPr="00AB3AE0">
        <w:t xml:space="preserve">prior to loan announcements. </w:t>
      </w:r>
      <w:r w:rsidR="009C5039">
        <w:t xml:space="preserve">Similarly, </w:t>
      </w:r>
      <w:r w:rsidR="00F63A60" w:rsidRPr="00AB3AE0">
        <w:t>the 2 to 5 day CAAR is also small and insignificant</w:t>
      </w:r>
      <w:r w:rsidR="0041360F">
        <w:t>.</w:t>
      </w:r>
      <w:r w:rsidR="009C5039">
        <w:t xml:space="preserve"> </w:t>
      </w:r>
      <w:r w:rsidR="00F63A60" w:rsidRPr="00AB3AE0">
        <w:fldChar w:fldCharType="begin"/>
      </w:r>
      <w:r w:rsidR="00F63A60" w:rsidRPr="00AB3AE0">
        <w:instrText xml:space="preserve"> REF _Ref378170987 \h </w:instrText>
      </w:r>
      <w:r w:rsidR="00AB3AE0">
        <w:instrText xml:space="preserve"> \* MERGEFORMAT </w:instrText>
      </w:r>
      <w:r w:rsidR="00F63A60" w:rsidRPr="00AB3AE0">
        <w:fldChar w:fldCharType="separate"/>
      </w:r>
      <w:r w:rsidR="0089071A" w:rsidRPr="00F521A0">
        <w:t>Table</w:t>
      </w:r>
      <w:r w:rsidR="000A24D2">
        <w:t xml:space="preserve"> </w:t>
      </w:r>
      <w:proofErr w:type="gramStart"/>
      <w:r w:rsidR="000A24D2">
        <w:t>6</w:t>
      </w:r>
      <w:r w:rsidR="0089071A">
        <w:t xml:space="preserve"> </w:t>
      </w:r>
      <w:proofErr w:type="gramEnd"/>
      <w:r w:rsidR="00F63A60" w:rsidRPr="00AB3AE0">
        <w:fldChar w:fldCharType="end"/>
      </w:r>
      <w:r w:rsidR="009C5039">
        <w:t>,</w:t>
      </w:r>
      <w:r w:rsidR="00F63A60" w:rsidRPr="00AB3AE0">
        <w:t xml:space="preserve"> Panel B presents CAARs for the sample of initial loan announcements. Results further support </w:t>
      </w:r>
      <w:r w:rsidR="00202490">
        <w:t>H</w:t>
      </w:r>
      <w:r w:rsidR="00F63A60" w:rsidRPr="00AB3AE0">
        <w:t xml:space="preserve">ypothesis 1, with the -5 to 5 day CAAR a significantly positive 2.732%. The abnormal return observed in the -1 to 1 day window is maintained during the following trading week, with little evidence of significant returns in the pre </w:t>
      </w:r>
      <w:r w:rsidR="00F55D68">
        <w:t xml:space="preserve">event </w:t>
      </w:r>
      <w:r w:rsidR="00F63A60" w:rsidRPr="00AB3AE0">
        <w:t xml:space="preserve">window. </w:t>
      </w:r>
      <w:r w:rsidR="00F63A60" w:rsidRPr="00AB3AE0">
        <w:fldChar w:fldCharType="begin"/>
      </w:r>
      <w:r w:rsidR="00F63A60" w:rsidRPr="00AB3AE0">
        <w:instrText xml:space="preserve"> REF _Ref378170987 \h </w:instrText>
      </w:r>
      <w:r w:rsidR="00AB3AE0">
        <w:instrText xml:space="preserve"> \* MERGEFORMAT </w:instrText>
      </w:r>
      <w:r w:rsidR="00F63A60" w:rsidRPr="00AB3AE0">
        <w:fldChar w:fldCharType="separate"/>
      </w:r>
      <w:r w:rsidR="0089071A" w:rsidRPr="00F521A0">
        <w:t>Table</w:t>
      </w:r>
      <w:r w:rsidR="0089071A">
        <w:t xml:space="preserve"> </w:t>
      </w:r>
      <w:r w:rsidR="00F63A60" w:rsidRPr="00AB3AE0">
        <w:fldChar w:fldCharType="end"/>
      </w:r>
      <w:r w:rsidR="000A24D2">
        <w:t>6</w:t>
      </w:r>
      <w:r w:rsidR="00F63A60" w:rsidRPr="00AB3AE0">
        <w:t xml:space="preserve"> Panel C provides evidence that the subsequent loan</w:t>
      </w:r>
      <w:r w:rsidR="00F63A60">
        <w:t xml:space="preserve"> announcements behave in a manner similar to the initial loan sample, with a significantly positive CAAR of 2.268% observed over the -5 to 5 day event window, and little evidence of </w:t>
      </w:r>
      <w:r w:rsidR="009C5039">
        <w:t xml:space="preserve">either </w:t>
      </w:r>
      <w:r w:rsidR="00F63A60">
        <w:t>significant pre or post announcement returns</w:t>
      </w:r>
      <w:r w:rsidR="009C5039">
        <w:t xml:space="preserve"> or mean reversion</w:t>
      </w:r>
      <w:r w:rsidR="00F63A60">
        <w:t>.</w:t>
      </w:r>
      <w:r w:rsidR="00BF0E2B">
        <w:rPr>
          <w:rStyle w:val="FootnoteReference"/>
        </w:rPr>
        <w:footnoteReference w:id="14"/>
      </w:r>
    </w:p>
    <w:p w:rsidR="006573AF" w:rsidRDefault="00F63A60" w:rsidP="006573AF">
      <w:r w:rsidRPr="00AB3AE0">
        <w:t xml:space="preserve">Univariate results testing </w:t>
      </w:r>
      <w:r w:rsidR="00F55D68">
        <w:t>H</w:t>
      </w:r>
      <w:r w:rsidRPr="00AB3AE0">
        <w:t>ypothesis 1 are provided in</w:t>
      </w:r>
      <w:r w:rsidR="008B09AB">
        <w:t xml:space="preserve"> </w:t>
      </w:r>
      <w:r w:rsidR="008B09AB">
        <w:fldChar w:fldCharType="begin"/>
      </w:r>
      <w:r w:rsidR="008B09AB">
        <w:instrText xml:space="preserve"> REF _Ref380009445 \h </w:instrText>
      </w:r>
      <w:r w:rsidR="008B09AB">
        <w:fldChar w:fldCharType="separate"/>
      </w:r>
      <w:r w:rsidR="0089071A" w:rsidRPr="00F521A0">
        <w:t xml:space="preserve">Table </w:t>
      </w:r>
      <w:r w:rsidR="008B09AB">
        <w:fldChar w:fldCharType="end"/>
      </w:r>
      <w:r w:rsidR="000A24D2">
        <w:t>5</w:t>
      </w:r>
      <w:r w:rsidR="00BF0E2B">
        <w:t xml:space="preserve"> and</w:t>
      </w:r>
      <w:r w:rsidRPr="00AB3AE0">
        <w:t xml:space="preserve"> </w:t>
      </w:r>
      <w:r w:rsidRPr="00AB3AE0">
        <w:fldChar w:fldCharType="begin"/>
      </w:r>
      <w:r w:rsidRPr="00AB3AE0">
        <w:instrText xml:space="preserve"> REF _Ref378170987 \h </w:instrText>
      </w:r>
      <w:r w:rsidR="00AB3AE0">
        <w:instrText xml:space="preserve"> \* MERGEFORMAT </w:instrText>
      </w:r>
      <w:r w:rsidRPr="00AB3AE0">
        <w:fldChar w:fldCharType="separate"/>
      </w:r>
      <w:r w:rsidR="0089071A" w:rsidRPr="00F521A0">
        <w:t>Table</w:t>
      </w:r>
      <w:r w:rsidR="0089071A">
        <w:t xml:space="preserve"> </w:t>
      </w:r>
      <w:r w:rsidRPr="00AB3AE0">
        <w:fldChar w:fldCharType="end"/>
      </w:r>
      <w:r w:rsidR="000A24D2">
        <w:t>6</w:t>
      </w:r>
      <w:r w:rsidR="00B34C96">
        <w:t>, with</w:t>
      </w:r>
      <w:r w:rsidRPr="00AB3AE0">
        <w:t xml:space="preserve"> results strongly support</w:t>
      </w:r>
      <w:r w:rsidR="00B34C96">
        <w:t>ing</w:t>
      </w:r>
      <w:r w:rsidRPr="00AB3AE0">
        <w:t xml:space="preserve"> hypothesis 1, </w:t>
      </w:r>
      <w:r w:rsidR="00464278">
        <w:t xml:space="preserve">with </w:t>
      </w:r>
      <w:r w:rsidRPr="00AB3AE0">
        <w:t xml:space="preserve">initial bank loan announcements are associated with a positive share price response. The positive share price response is observed on both the event day AAR, and over a -5 to 5 day CAAR. This result shows that bank lending decisions </w:t>
      </w:r>
      <w:r w:rsidR="00B34C96">
        <w:t xml:space="preserve">do </w:t>
      </w:r>
      <w:r w:rsidRPr="00AB3AE0">
        <w:t xml:space="preserve">provide </w:t>
      </w:r>
      <w:r w:rsidR="00B34C96">
        <w:t xml:space="preserve">unambiguous </w:t>
      </w:r>
      <w:r w:rsidRPr="00AB3AE0">
        <w:t xml:space="preserve">signals to equity market participants. </w:t>
      </w:r>
      <w:r>
        <w:t xml:space="preserve">This result contrasts with prior research that finds banks do not signal information to equity markets upon the announcement of a </w:t>
      </w:r>
      <w:r w:rsidR="004A4670">
        <w:t>‘</w:t>
      </w:r>
      <w:r>
        <w:t>new</w:t>
      </w:r>
      <w:r w:rsidR="004A4670">
        <w:t>’</w:t>
      </w:r>
      <w:r>
        <w:t xml:space="preserve"> loan </w:t>
      </w:r>
      <w:r>
        <w:fldChar w:fldCharType="begin">
          <w:fldData xml:space="preserve">PEVuZE5vdGU+PENpdGU+PEF1dGhvcj5MdW1tZXI8L0F1dGhvcj48WWVhcj4xOTg5PC9ZZWFyPjxS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</w:fldData>
        </w:fldChar>
      </w:r>
      <w:r w:rsidR="003A641D">
        <w:instrText xml:space="preserve"> ADDIN EN.CITE </w:instrText>
      </w:r>
      <w:r w:rsidR="003A641D">
        <w:fldChar w:fldCharType="begin">
          <w:fldData xml:space="preserve">PEVuZE5vdGU+PENpdGU+PEF1dGhvcj5MdW1tZXI8L0F1dGhvcj48WWVhcj4xOTg5PC9ZZWFyPjxS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</w:fldData>
        </w:fldChar>
      </w:r>
      <w:r w:rsidR="003A641D">
        <w:instrText xml:space="preserve"> ADDIN EN.CITE.DATA </w:instrText>
      </w:r>
      <w:r w:rsidR="003A641D">
        <w:fldChar w:fldCharType="end"/>
      </w:r>
      <w:r>
        <w:fldChar w:fldCharType="separate"/>
      </w:r>
      <w:r>
        <w:rPr>
          <w:noProof/>
        </w:rPr>
        <w:t>(</w:t>
      </w:r>
      <w:hyperlink w:anchor="_ENREF_71" w:tooltip="Lummer, 1989 #4" w:history="1">
        <w:r w:rsidR="005B6334">
          <w:rPr>
            <w:noProof/>
          </w:rPr>
          <w:t>Lummer &amp; McConnell 1989</w:t>
        </w:r>
      </w:hyperlink>
      <w:r>
        <w:rPr>
          <w:noProof/>
        </w:rPr>
        <w:t xml:space="preserve">; </w:t>
      </w:r>
      <w:hyperlink w:anchor="_ENREF_91" w:tooltip="Slovin, 1992 #6" w:history="1">
        <w:r w:rsidR="005B6334">
          <w:rPr>
            <w:noProof/>
          </w:rPr>
          <w:t>Slovin</w:t>
        </w:r>
        <w:r w:rsidR="005B6334" w:rsidRPr="00D832B4">
          <w:rPr>
            <w:i/>
            <w:noProof/>
          </w:rPr>
          <w:t xml:space="preserve"> et al.</w:t>
        </w:r>
        <w:r w:rsidR="005B6334">
          <w:rPr>
            <w:noProof/>
          </w:rPr>
          <w:t xml:space="preserve"> 1992</w:t>
        </w:r>
      </w:hyperlink>
      <w:r>
        <w:rPr>
          <w:noProof/>
        </w:rPr>
        <w:t xml:space="preserve">; </w:t>
      </w:r>
      <w:hyperlink w:anchor="_ENREF_7" w:tooltip="Best, 1993 #9" w:history="1">
        <w:r w:rsidR="005B6334">
          <w:rPr>
            <w:noProof/>
          </w:rPr>
          <w:t>Best &amp; Zhang 1993</w:t>
        </w:r>
      </w:hyperlink>
      <w:r>
        <w:rPr>
          <w:noProof/>
        </w:rPr>
        <w:t>)</w:t>
      </w:r>
      <w:r>
        <w:fldChar w:fldCharType="end"/>
      </w:r>
      <w:r w:rsidR="004A4670">
        <w:t xml:space="preserve"> which </w:t>
      </w:r>
      <w:r w:rsidR="004A4670">
        <w:lastRenderedPageBreak/>
        <w:t xml:space="preserve">is </w:t>
      </w:r>
      <w:r w:rsidR="00464278">
        <w:t>often</w:t>
      </w:r>
      <w:r w:rsidR="004A4670">
        <w:t xml:space="preserve"> just a switch in lenders</w:t>
      </w:r>
      <w:r>
        <w:t xml:space="preserve">. </w:t>
      </w:r>
      <w:r w:rsidR="004A4670">
        <w:t>S</w:t>
      </w:r>
      <w:r>
        <w:t xml:space="preserve">ubsequent loan announcements </w:t>
      </w:r>
      <w:r w:rsidR="00D16CD8">
        <w:t xml:space="preserve">have </w:t>
      </w:r>
      <w:r w:rsidR="00F55D68">
        <w:t xml:space="preserve">a </w:t>
      </w:r>
      <w:r>
        <w:t xml:space="preserve">positive </w:t>
      </w:r>
      <w:r w:rsidR="00F55D68">
        <w:t xml:space="preserve">market reaction, </w:t>
      </w:r>
      <w:r w:rsidR="004A4670">
        <w:t xml:space="preserve">albeit </w:t>
      </w:r>
      <w:r>
        <w:t xml:space="preserve">lower in magnitude than initial loan announcements. </w:t>
      </w:r>
      <w:bookmarkStart w:id="19" w:name="_Toc379787305"/>
    </w:p>
    <w:p w:rsidR="006573AF" w:rsidRDefault="00F63A60" w:rsidP="006573AF">
      <w:pPr>
        <w:pStyle w:val="Heading2"/>
        <w:ind w:left="357" w:hanging="357"/>
      </w:pPr>
      <w:r>
        <w:t>Market reaction determinants</w:t>
      </w:r>
      <w:bookmarkEnd w:id="19"/>
    </w:p>
    <w:p w:rsidR="006573AF" w:rsidRDefault="004A4670" w:rsidP="006573AF">
      <w:r>
        <w:t>We</w:t>
      </w:r>
      <w:r w:rsidR="00F63A60" w:rsidRPr="00AB3AE0">
        <w:t xml:space="preserve"> </w:t>
      </w:r>
      <w:proofErr w:type="gramStart"/>
      <w:r w:rsidR="00F63A60" w:rsidRPr="00AB3AE0">
        <w:t>regress</w:t>
      </w:r>
      <w:proofErr w:type="gramEnd"/>
      <w:r w:rsidR="00F63A60" w:rsidRPr="00AB3AE0">
        <w:t xml:space="preserve"> bank loan and firm characteristics on the cumulative abnormal return surrounding the 0 to 1, -5 to 5 and -10 to 10 day event windows.</w:t>
      </w:r>
      <w:r w:rsidR="00F4204F">
        <w:rPr>
          <w:rStyle w:val="FootnoteReference"/>
        </w:rPr>
        <w:footnoteReference w:id="15"/>
      </w:r>
      <w:r w:rsidR="00F63A60" w:rsidRPr="00AB3AE0">
        <w:t xml:space="preserve"> </w:t>
      </w:r>
      <w:r w:rsidR="00544F46">
        <w:fldChar w:fldCharType="begin"/>
      </w:r>
      <w:r w:rsidR="00544F46">
        <w:instrText xml:space="preserve"> REF _Ref379398544 \h </w:instrText>
      </w:r>
      <w:r w:rsidR="006573AF">
        <w:instrText xml:space="preserve"> \* MERGEFORMAT </w:instrText>
      </w:r>
      <w:r w:rsidR="00544F46">
        <w:fldChar w:fldCharType="separate"/>
      </w:r>
      <w:r w:rsidR="0089071A">
        <w:t xml:space="preserve">Table </w:t>
      </w:r>
      <w:r w:rsidR="00544F46">
        <w:fldChar w:fldCharType="end"/>
      </w:r>
      <w:r w:rsidR="000A24D2">
        <w:t>7</w:t>
      </w:r>
      <w:r w:rsidR="00544F46">
        <w:t xml:space="preserve"> </w:t>
      </w:r>
      <w:r w:rsidR="00F63A60" w:rsidRPr="00AB3AE0">
        <w:t>presents</w:t>
      </w:r>
      <w:r w:rsidR="00FC20CB">
        <w:t xml:space="preserve"> our cross-sectional returns prediction with</w:t>
      </w:r>
      <w:r w:rsidR="005E1D3B">
        <w:t xml:space="preserve"> </w:t>
      </w:r>
      <w:r w:rsidR="00FC20CB">
        <w:t>t</w:t>
      </w:r>
      <w:r w:rsidR="005E1D3B">
        <w:t>hree models presented w</w:t>
      </w:r>
      <w:r w:rsidR="00FC20CB">
        <w:t>here</w:t>
      </w:r>
      <w:r w:rsidR="005E1D3B">
        <w:t xml:space="preserve"> the dependent variable </w:t>
      </w:r>
      <w:r w:rsidR="00464278">
        <w:t>c</w:t>
      </w:r>
      <w:r w:rsidR="005E1D3B">
        <w:t>umulative average abnormal return i</w:t>
      </w:r>
      <w:r w:rsidR="00FC20CB">
        <w:t>s defined over</w:t>
      </w:r>
      <w:r w:rsidR="005E1D3B">
        <w:t xml:space="preserve"> the</w:t>
      </w:r>
      <w:r w:rsidR="005E1D3B" w:rsidRPr="00AB3AE0">
        <w:t xml:space="preserve"> 0 to 1</w:t>
      </w:r>
      <w:r w:rsidR="00FC20CB">
        <w:t xml:space="preserve"> (Panel A)</w:t>
      </w:r>
      <w:r w:rsidR="005E1D3B" w:rsidRPr="00AB3AE0">
        <w:t xml:space="preserve">, -5 to 5 </w:t>
      </w:r>
      <w:r w:rsidR="00FC20CB">
        <w:t xml:space="preserve">(Panel B) </w:t>
      </w:r>
      <w:r w:rsidR="005E1D3B" w:rsidRPr="00AB3AE0">
        <w:t xml:space="preserve">and -10 to 10 </w:t>
      </w:r>
      <w:r w:rsidR="00FC20CB">
        <w:t xml:space="preserve">(Panel C) </w:t>
      </w:r>
      <w:r w:rsidR="005E1D3B" w:rsidRPr="00AB3AE0">
        <w:t>day windows</w:t>
      </w:r>
      <w:r w:rsidR="00FC20CB">
        <w:t>.</w:t>
      </w:r>
      <w:r w:rsidR="005E1D3B">
        <w:t xml:space="preserve"> </w:t>
      </w:r>
      <w:r w:rsidR="00FC20CB">
        <w:t>All</w:t>
      </w:r>
      <w:r w:rsidR="005E1D3B" w:rsidRPr="00AB3AE0">
        <w:t xml:space="preserve"> thre</w:t>
      </w:r>
      <w:r w:rsidR="005E1D3B">
        <w:t xml:space="preserve">e models are significant at the </w:t>
      </w:r>
      <w:r w:rsidR="005E1D3B" w:rsidRPr="006573AF">
        <w:rPr>
          <w:i/>
        </w:rPr>
        <w:t>p</w:t>
      </w:r>
      <w:r w:rsidR="005E1D3B">
        <w:t>&lt;0.01</w:t>
      </w:r>
      <w:r w:rsidR="005E1D3B" w:rsidRPr="00AB3AE0">
        <w:t>% level</w:t>
      </w:r>
      <w:r w:rsidR="005E1D3B">
        <w:t xml:space="preserve"> with </w:t>
      </w:r>
      <w:r w:rsidR="005E1D3B" w:rsidRPr="006573AF">
        <w:rPr>
          <w:i/>
        </w:rPr>
        <w:t>F</w:t>
      </w:r>
      <w:r w:rsidR="005E1D3B">
        <w:t>-statistics greater than 2.5</w:t>
      </w:r>
      <w:r w:rsidR="005E1D3B" w:rsidRPr="00AB3AE0">
        <w:t>.</w:t>
      </w:r>
      <w:r w:rsidR="005E1D3B">
        <w:t xml:space="preserve"> </w:t>
      </w:r>
      <w:r w:rsidR="00ED5F36">
        <w:t xml:space="preserve">Results in </w:t>
      </w:r>
      <w:r w:rsidR="005E1D3B">
        <w:t xml:space="preserve">Panel A </w:t>
      </w:r>
      <w:r w:rsidR="00464278">
        <w:t>shows the coefficients</w:t>
      </w:r>
      <w:r w:rsidR="00ED5F36">
        <w:t xml:space="preserve"> (</w:t>
      </w:r>
      <w:r w:rsidR="002D1B04">
        <w:t xml:space="preserve">with the </w:t>
      </w:r>
      <w:r w:rsidR="00F63A60">
        <w:t>except</w:t>
      </w:r>
      <w:r w:rsidR="002D1B04">
        <w:t>ion of</w:t>
      </w:r>
      <w:r w:rsidR="00F63A60">
        <w:t xml:space="preserve"> </w:t>
      </w:r>
      <w:proofErr w:type="spellStart"/>
      <w:r w:rsidR="00F63A60" w:rsidRPr="006573AF">
        <w:rPr>
          <w:i/>
        </w:rPr>
        <w:t>LnMCap</w:t>
      </w:r>
      <w:proofErr w:type="spellEnd"/>
      <w:r w:rsidR="00ED5F36" w:rsidRPr="00464278">
        <w:t xml:space="preserve">) </w:t>
      </w:r>
      <w:r w:rsidR="005E1D3B">
        <w:t>hav</w:t>
      </w:r>
      <w:r w:rsidR="00ED5F36">
        <w:t>e</w:t>
      </w:r>
      <w:r w:rsidR="00F63A60">
        <w:t xml:space="preserve"> the predicted sign</w:t>
      </w:r>
      <w:r w:rsidR="0083119A">
        <w:t>s</w:t>
      </w:r>
      <w:r w:rsidR="00F63A60">
        <w:t>.</w:t>
      </w:r>
      <w:r w:rsidR="00544F46">
        <w:t xml:space="preserve"> Significant predictors of abnormal return include whether the announcement is the first in the sequence of announcements (</w:t>
      </w:r>
      <w:proofErr w:type="spellStart"/>
      <w:r w:rsidR="00544F46" w:rsidRPr="006573AF">
        <w:rPr>
          <w:i/>
        </w:rPr>
        <w:t>FirstAnn</w:t>
      </w:r>
      <w:proofErr w:type="spellEnd"/>
      <w:r w:rsidR="00544F46" w:rsidRPr="006573AF">
        <w:rPr>
          <w:i/>
        </w:rPr>
        <w:t xml:space="preserve">), </w:t>
      </w:r>
      <w:r w:rsidR="00544F46">
        <w:t>the amount borrowed (</w:t>
      </w:r>
      <w:proofErr w:type="spellStart"/>
      <w:r w:rsidR="00544F46" w:rsidRPr="006573AF">
        <w:rPr>
          <w:i/>
        </w:rPr>
        <w:t>LnAmount</w:t>
      </w:r>
      <w:proofErr w:type="spellEnd"/>
      <w:r w:rsidR="00544F46" w:rsidRPr="006573AF">
        <w:rPr>
          <w:i/>
        </w:rPr>
        <w:t>)</w:t>
      </w:r>
      <w:r w:rsidR="00544F46">
        <w:t>, and whether the bank has an equity position in the borrowing firm (</w:t>
      </w:r>
      <w:proofErr w:type="spellStart"/>
      <w:r w:rsidR="00544F46" w:rsidRPr="006573AF">
        <w:rPr>
          <w:i/>
        </w:rPr>
        <w:t>BankEquity</w:t>
      </w:r>
      <w:proofErr w:type="spellEnd"/>
      <w:r w:rsidR="00544F46" w:rsidRPr="006573AF">
        <w:rPr>
          <w:i/>
        </w:rPr>
        <w:t>)</w:t>
      </w:r>
      <w:r w:rsidR="00544F46">
        <w:t xml:space="preserve">. </w:t>
      </w:r>
      <w:proofErr w:type="spellStart"/>
      <w:r w:rsidR="00544F46" w:rsidRPr="006573AF">
        <w:rPr>
          <w:i/>
        </w:rPr>
        <w:t>LnAmount</w:t>
      </w:r>
      <w:proofErr w:type="spellEnd"/>
      <w:r w:rsidR="00F63A60">
        <w:t xml:space="preserve"> provides the strongest predictor of abnormal returns</w:t>
      </w:r>
      <w:r w:rsidR="00FD768D">
        <w:t xml:space="preserve"> with a positive coefficient of 0.18</w:t>
      </w:r>
      <w:r w:rsidR="00761EF9">
        <w:t>,</w:t>
      </w:r>
      <w:r w:rsidR="00FD768D">
        <w:t xml:space="preserve"> significant at </w:t>
      </w:r>
      <w:r w:rsidR="00FD768D" w:rsidRPr="006573AF">
        <w:rPr>
          <w:i/>
        </w:rPr>
        <w:t>p</w:t>
      </w:r>
      <w:r w:rsidR="00FD768D">
        <w:t xml:space="preserve">&lt;0.000. This indicates that </w:t>
      </w:r>
      <w:r w:rsidR="00761EF9">
        <w:t xml:space="preserve">relatively </w:t>
      </w:r>
      <w:r w:rsidR="00FD768D">
        <w:t xml:space="preserve">larger loans are associated with higher abnormal returns. </w:t>
      </w:r>
      <w:proofErr w:type="spellStart"/>
      <w:r w:rsidR="0010702E">
        <w:rPr>
          <w:i/>
        </w:rPr>
        <w:t>FirstAnn</w:t>
      </w:r>
      <w:proofErr w:type="spellEnd"/>
      <w:r w:rsidR="0010702E">
        <w:t xml:space="preserve"> has a positive coefficient of 0.28</w:t>
      </w:r>
      <w:r w:rsidR="00761EF9">
        <w:t xml:space="preserve">, </w:t>
      </w:r>
      <w:r w:rsidR="0010702E">
        <w:t xml:space="preserve">significant at </w:t>
      </w:r>
      <w:r w:rsidR="0010702E" w:rsidRPr="00464278">
        <w:rPr>
          <w:i/>
        </w:rPr>
        <w:t>p</w:t>
      </w:r>
      <w:r w:rsidR="0010702E">
        <w:t>&lt;0.001. A firm’s first announcement regarding its bank loan contains the most new information, and the price response is most positive for these announcements. If a bank has an equity position in the borrowing firm (</w:t>
      </w:r>
      <w:proofErr w:type="spellStart"/>
      <w:r w:rsidR="0010702E">
        <w:rPr>
          <w:i/>
        </w:rPr>
        <w:t>BankEquity</w:t>
      </w:r>
      <w:proofErr w:type="spellEnd"/>
      <w:r w:rsidR="0010702E">
        <w:t>), it is associated with a more positive price reaction, with a coefficient of 0.016</w:t>
      </w:r>
      <w:r w:rsidR="00761EF9">
        <w:t>, although is only marginally significant at conventional levels</w:t>
      </w:r>
      <w:r w:rsidR="0010702E">
        <w:t xml:space="preserve"> </w:t>
      </w:r>
      <w:r w:rsidR="00761EF9">
        <w:t>(</w:t>
      </w:r>
      <w:r w:rsidR="0010702E" w:rsidRPr="00464278">
        <w:rPr>
          <w:i/>
        </w:rPr>
        <w:t>p</w:t>
      </w:r>
      <w:r w:rsidR="00761EF9">
        <w:rPr>
          <w:i/>
        </w:rPr>
        <w:t>=</w:t>
      </w:r>
      <w:r w:rsidR="0010702E">
        <w:t xml:space="preserve"> 0.10</w:t>
      </w:r>
      <w:r w:rsidR="00761EF9">
        <w:t>)</w:t>
      </w:r>
      <w:r w:rsidR="0010702E">
        <w:t xml:space="preserve">. This is consistent with the </w:t>
      </w:r>
      <w:r w:rsidR="00695003">
        <w:t xml:space="preserve">argument </w:t>
      </w:r>
      <w:r w:rsidR="0010702E">
        <w:t xml:space="preserve">that banks are attracted to the potential future </w:t>
      </w:r>
      <w:r w:rsidR="00695003">
        <w:t xml:space="preserve">project </w:t>
      </w:r>
      <w:r w:rsidR="0010702E">
        <w:t>upside.</w:t>
      </w:r>
      <w:r w:rsidR="000C4E31">
        <w:t xml:space="preserve"> Additionally the variable </w:t>
      </w:r>
      <w:r w:rsidR="000C4E31">
        <w:rPr>
          <w:i/>
        </w:rPr>
        <w:t>Hedge</w:t>
      </w:r>
      <w:r w:rsidR="000C4E31">
        <w:t xml:space="preserve"> has a negative coefficient of -0.015</w:t>
      </w:r>
      <w:r w:rsidR="00695003">
        <w:t xml:space="preserve">, </w:t>
      </w:r>
      <w:r w:rsidR="000C4E31" w:rsidRPr="00464278">
        <w:rPr>
          <w:i/>
        </w:rPr>
        <w:t>p</w:t>
      </w:r>
      <w:r w:rsidR="000C4E31">
        <w:t xml:space="preserve">-value of 0.115. Although only marginally significant, this suggests </w:t>
      </w:r>
      <w:r w:rsidR="00695003">
        <w:t>h</w:t>
      </w:r>
      <w:r w:rsidR="000C4E31">
        <w:t xml:space="preserve">edging </w:t>
      </w:r>
      <w:r w:rsidR="000C4E31">
        <w:lastRenderedPageBreak/>
        <w:t>lower</w:t>
      </w:r>
      <w:r w:rsidR="00695003">
        <w:t>s</w:t>
      </w:r>
      <w:r w:rsidR="000C4E31">
        <w:t xml:space="preserve"> future </w:t>
      </w:r>
      <w:r w:rsidR="00695003">
        <w:t xml:space="preserve">project </w:t>
      </w:r>
      <w:r w:rsidR="000C4E31">
        <w:t xml:space="preserve">upside </w:t>
      </w:r>
      <w:r w:rsidR="00695003">
        <w:t xml:space="preserve">by eliminating option value associated with a </w:t>
      </w:r>
      <w:r w:rsidR="000C4E31">
        <w:t>ris</w:t>
      </w:r>
      <w:r w:rsidR="00695003">
        <w:t>e in</w:t>
      </w:r>
      <w:r w:rsidR="00464278">
        <w:t xml:space="preserve"> commodity prices.</w:t>
      </w:r>
    </w:p>
    <w:p w:rsidR="006573AF" w:rsidRDefault="001D6377" w:rsidP="006573AF">
      <w:pPr>
        <w:pStyle w:val="NoSpacing"/>
        <w:keepNext/>
        <w:ind w:firstLine="720"/>
      </w:pPr>
      <w:r>
        <w:fldChar w:fldCharType="begin"/>
      </w:r>
      <w:r>
        <w:instrText xml:space="preserve"> REF _Ref379398544 \h </w:instrText>
      </w:r>
      <w:r>
        <w:fldChar w:fldCharType="separate"/>
      </w:r>
      <w:r w:rsidR="0089071A">
        <w:t xml:space="preserve">Table </w:t>
      </w:r>
      <w:r>
        <w:fldChar w:fldCharType="end"/>
      </w:r>
      <w:r w:rsidR="000A24D2">
        <w:t>7</w:t>
      </w:r>
      <w:r w:rsidR="00936F82">
        <w:t>,</w:t>
      </w:r>
      <w:r>
        <w:t xml:space="preserve"> Panel B presents result</w:t>
      </w:r>
      <w:r w:rsidR="00C40B47">
        <w:t xml:space="preserve">s over the event window -5 to </w:t>
      </w:r>
      <w:r>
        <w:t xml:space="preserve">5. </w:t>
      </w:r>
      <w:r w:rsidR="005113A2">
        <w:t>The explanatory power of the model decreases</w:t>
      </w:r>
      <w:r w:rsidR="00936F82">
        <w:t>, with the</w:t>
      </w:r>
      <w:r w:rsidR="005113A2">
        <w:t xml:space="preserve"> adjusted R squared</w:t>
      </w:r>
      <w:r>
        <w:t xml:space="preserve"> </w:t>
      </w:r>
      <w:r w:rsidR="005113A2">
        <w:t xml:space="preserve">of 0.056 lower than presented in Panel A. </w:t>
      </w:r>
      <w:r w:rsidR="00936F82">
        <w:t xml:space="preserve">Once again, </w:t>
      </w:r>
      <w:proofErr w:type="spellStart"/>
      <w:r w:rsidR="005113A2">
        <w:rPr>
          <w:i/>
        </w:rPr>
        <w:t>FirstAnn</w:t>
      </w:r>
      <w:proofErr w:type="spellEnd"/>
      <w:r w:rsidR="005113A2">
        <w:t xml:space="preserve"> and </w:t>
      </w:r>
      <w:proofErr w:type="spellStart"/>
      <w:r w:rsidR="005113A2">
        <w:rPr>
          <w:i/>
        </w:rPr>
        <w:t>LnAmount</w:t>
      </w:r>
      <w:proofErr w:type="spellEnd"/>
      <w:r w:rsidR="005113A2">
        <w:t xml:space="preserve"> remain significant predictors of announcement returns with coefficients of 0.026 and 0.18. </w:t>
      </w:r>
      <w:proofErr w:type="spellStart"/>
      <w:r w:rsidR="005113A2">
        <w:rPr>
          <w:i/>
        </w:rPr>
        <w:t>EquityRaise</w:t>
      </w:r>
      <w:proofErr w:type="spellEnd"/>
      <w:r w:rsidR="005113A2">
        <w:t xml:space="preserve"> and </w:t>
      </w:r>
      <w:proofErr w:type="spellStart"/>
      <w:r w:rsidR="005113A2">
        <w:rPr>
          <w:i/>
        </w:rPr>
        <w:t>NumAnalyst</w:t>
      </w:r>
      <w:proofErr w:type="spellEnd"/>
      <w:r w:rsidR="005113A2">
        <w:rPr>
          <w:i/>
        </w:rPr>
        <w:t xml:space="preserve"> </w:t>
      </w:r>
      <w:r w:rsidR="005113A2">
        <w:t xml:space="preserve">are also significant. </w:t>
      </w:r>
      <w:proofErr w:type="spellStart"/>
      <w:r w:rsidR="005113A2">
        <w:rPr>
          <w:i/>
        </w:rPr>
        <w:t>EquityRaise</w:t>
      </w:r>
      <w:proofErr w:type="spellEnd"/>
      <w:r w:rsidR="005113A2">
        <w:t xml:space="preserve"> has a positive coefficient of 0.061</w:t>
      </w:r>
      <w:r w:rsidR="0088623F">
        <w:t xml:space="preserve">, significant at </w:t>
      </w:r>
      <w:r w:rsidR="005113A2" w:rsidRPr="006573AF">
        <w:rPr>
          <w:i/>
        </w:rPr>
        <w:t>p</w:t>
      </w:r>
      <w:r w:rsidR="005113A2">
        <w:t>&lt;0.0</w:t>
      </w:r>
      <w:r w:rsidR="0088623F">
        <w:t>5</w:t>
      </w:r>
      <w:r w:rsidR="005113A2">
        <w:t xml:space="preserve">. A loan announcement that mentions further equity issuance is required </w:t>
      </w:r>
      <w:r w:rsidR="0088623F">
        <w:t xml:space="preserve">as a condition precedent </w:t>
      </w:r>
      <w:r w:rsidR="005113A2">
        <w:t xml:space="preserve">is associated with a </w:t>
      </w:r>
      <w:r w:rsidR="0088623F">
        <w:t xml:space="preserve">more </w:t>
      </w:r>
      <w:r w:rsidR="005113A2">
        <w:t xml:space="preserve">positive reaction. </w:t>
      </w:r>
      <w:r w:rsidR="003A641D">
        <w:fldChar w:fldCharType="begin"/>
      </w:r>
      <w:r w:rsidR="003A641D">
        <w:instrText xml:space="preserve"> ADDIN EN.CITE &lt;EndNote&gt;&lt;Cite AuthorYear="1"&gt;&lt;Author&gt;Slovin&lt;/Author&gt;&lt;Year&gt;1990&lt;/Year&gt;&lt;RecNum&gt;112&lt;/RecNum&gt;&lt;DisplayText&gt;Slovin&lt;style face="italic"&gt; et al.&lt;/style&gt; (1990)&lt;/DisplayText&gt;&lt;record&gt;&lt;rec-number&gt;112&lt;/rec-number&gt;&lt;foreign-keys&gt;&lt;key app="EN" db-id="xpprp0f0rzw05ved0s9xwzaqtxz0v9sfawwv"&gt;112&lt;/key&gt;&lt;/foreign-keys&gt;&lt;ref-type name="Journal Article"&gt;17&lt;/ref-type&gt;&lt;contributors&gt;&lt;authors&gt;&lt;author&gt;Slovin, Myron B&lt;/author&gt;&lt;author&gt;Sushka, Marie E&lt;/author&gt;&lt;author&gt;Hudson, Carl D&lt;/author&gt;&lt;/authors&gt;&lt;/contributors&gt;&lt;titles&gt;&lt;title&gt;External monitoring and its effect on seasoned common stock issues&lt;/title&gt;&lt;secondary-title&gt;Journal of Accounting and Economics&lt;/secondary-title&gt;&lt;/titles&gt;&lt;periodical&gt;&lt;full-title&gt;Journal of Accounting and Economics&lt;/full-title&gt;&lt;/periodical&gt;&lt;pages&gt;397-417&lt;/pages&gt;&lt;volume&gt;12&lt;/volume&gt;&lt;number&gt;4&lt;/number&gt;&lt;dates&gt;&lt;year&gt;1990&lt;/year&gt;&lt;/dates&gt;&lt;isbn&gt;0165-4101&lt;/isbn&gt;&lt;urls&gt;&lt;/urls&gt;&lt;/record&gt;&lt;/Cite&gt;&lt;/EndNote&gt;</w:instrText>
      </w:r>
      <w:r w:rsidR="003A641D">
        <w:fldChar w:fldCharType="separate"/>
      </w:r>
      <w:hyperlink w:anchor="_ENREF_93" w:tooltip="Slovin, 1990 #112" w:history="1">
        <w:r w:rsidR="005B6334">
          <w:rPr>
            <w:noProof/>
          </w:rPr>
          <w:t>Slovin</w:t>
        </w:r>
        <w:r w:rsidR="005B6334" w:rsidRPr="003A641D">
          <w:rPr>
            <w:i/>
            <w:noProof/>
          </w:rPr>
          <w:t xml:space="preserve"> et al.</w:t>
        </w:r>
        <w:r w:rsidR="005B6334">
          <w:rPr>
            <w:noProof/>
          </w:rPr>
          <w:t xml:space="preserve"> (1990</w:t>
        </w:r>
      </w:hyperlink>
      <w:r w:rsidR="003A641D">
        <w:rPr>
          <w:noProof/>
        </w:rPr>
        <w:t>)</w:t>
      </w:r>
      <w:r w:rsidR="003A641D">
        <w:fldChar w:fldCharType="end"/>
      </w:r>
      <w:r w:rsidR="003A641D">
        <w:t xml:space="preserve"> find that firms with bank debt have a lower negative price reaction to</w:t>
      </w:r>
      <w:r w:rsidR="0088623F">
        <w:t xml:space="preserve"> SEO’s</w:t>
      </w:r>
      <w:r w:rsidR="003A641D">
        <w:t>. This result suggests that investors are encouraged by the signal of the banks</w:t>
      </w:r>
      <w:r w:rsidR="0088623F">
        <w:t xml:space="preserve"> monitoring</w:t>
      </w:r>
      <w:r w:rsidR="003A641D">
        <w:t xml:space="preserve">, </w:t>
      </w:r>
      <w:r w:rsidR="0088623F">
        <w:t xml:space="preserve">with the condition of a </w:t>
      </w:r>
      <w:r w:rsidR="003A641D">
        <w:t xml:space="preserve">further equity issue </w:t>
      </w:r>
      <w:r w:rsidR="0088623F">
        <w:t xml:space="preserve">perhaps signalling more project good news. </w:t>
      </w:r>
      <w:r w:rsidR="00235602">
        <w:t xml:space="preserve">Consistent with predictions that the firm information environment is an important determinant of loan announcement returns, </w:t>
      </w:r>
      <w:proofErr w:type="spellStart"/>
      <w:r w:rsidR="00235602">
        <w:rPr>
          <w:i/>
        </w:rPr>
        <w:t>NumAnalyst</w:t>
      </w:r>
      <w:proofErr w:type="spellEnd"/>
      <w:r w:rsidR="00235602">
        <w:t xml:space="preserve"> has a negative coefficient of -0.005 with a significance level </w:t>
      </w:r>
      <w:r w:rsidR="00235602" w:rsidRPr="006573AF">
        <w:rPr>
          <w:i/>
        </w:rPr>
        <w:t>p</w:t>
      </w:r>
      <w:r w:rsidR="00235602">
        <w:t xml:space="preserve">&lt;0.043. Firms with more analysts have lower information asymmetry, </w:t>
      </w:r>
      <w:r w:rsidR="0088623F">
        <w:t xml:space="preserve">with </w:t>
      </w:r>
      <w:r w:rsidR="002D4990">
        <w:t>bank loan</w:t>
      </w:r>
      <w:r w:rsidR="0088623F">
        <w:t xml:space="preserve"> signals less important where other financial intermediaries are present. </w:t>
      </w:r>
      <w:r w:rsidR="00C40B47">
        <w:fldChar w:fldCharType="begin"/>
      </w:r>
      <w:r w:rsidR="00C40B47">
        <w:instrText xml:space="preserve"> REF _Ref379398544 \h </w:instrText>
      </w:r>
      <w:r w:rsidR="00C40B47">
        <w:fldChar w:fldCharType="separate"/>
      </w:r>
      <w:r w:rsidR="0089071A">
        <w:t xml:space="preserve">Table </w:t>
      </w:r>
      <w:r w:rsidR="00C40B47">
        <w:fldChar w:fldCharType="end"/>
      </w:r>
      <w:r w:rsidR="000A24D2">
        <w:t>7</w:t>
      </w:r>
      <w:r w:rsidR="008C0654">
        <w:t>,</w:t>
      </w:r>
      <w:r w:rsidR="00C40B47">
        <w:t xml:space="preserve"> Panel C </w:t>
      </w:r>
      <w:r w:rsidR="008C0654">
        <w:t xml:space="preserve">depicts </w:t>
      </w:r>
      <w:r w:rsidR="00C40B47">
        <w:t>results over the -10 to 10 day event window</w:t>
      </w:r>
      <w:r w:rsidR="005C6CED">
        <w:t xml:space="preserve">. </w:t>
      </w:r>
      <w:r w:rsidR="008C0654">
        <w:t>T</w:t>
      </w:r>
      <w:r w:rsidR="005C6CED">
        <w:t xml:space="preserve">he model </w:t>
      </w:r>
      <w:r w:rsidR="008C0654">
        <w:t xml:space="preserve">obtains </w:t>
      </w:r>
      <w:r w:rsidR="005C6CED">
        <w:t xml:space="preserve">an adjusted R squared of 0.040. </w:t>
      </w:r>
      <w:proofErr w:type="spellStart"/>
      <w:r w:rsidR="005C6CED">
        <w:rPr>
          <w:i/>
        </w:rPr>
        <w:t>FirstAnn</w:t>
      </w:r>
      <w:proofErr w:type="spellEnd"/>
      <w:r w:rsidR="005C6CED">
        <w:t xml:space="preserve"> maintains a positive coefficient of 0.045 and significance at </w:t>
      </w:r>
      <w:r w:rsidR="005C6CED" w:rsidRPr="006573AF">
        <w:rPr>
          <w:i/>
        </w:rPr>
        <w:t>p</w:t>
      </w:r>
      <w:r w:rsidR="005C6CED">
        <w:t xml:space="preserve">&lt;0.040. </w:t>
      </w:r>
      <w:proofErr w:type="spellStart"/>
      <w:r w:rsidR="005C6CED">
        <w:rPr>
          <w:i/>
        </w:rPr>
        <w:t>BankEquity</w:t>
      </w:r>
      <w:proofErr w:type="spellEnd"/>
      <w:r w:rsidR="005C6CED">
        <w:t xml:space="preserve">, </w:t>
      </w:r>
      <w:proofErr w:type="spellStart"/>
      <w:r w:rsidR="005C6CED">
        <w:rPr>
          <w:i/>
        </w:rPr>
        <w:t>EquityRaise</w:t>
      </w:r>
      <w:proofErr w:type="spellEnd"/>
      <w:r w:rsidR="005C6CED">
        <w:t xml:space="preserve"> and </w:t>
      </w:r>
      <w:proofErr w:type="spellStart"/>
      <w:r w:rsidR="005C6CED">
        <w:rPr>
          <w:i/>
        </w:rPr>
        <w:t>NumAnalyst</w:t>
      </w:r>
      <w:proofErr w:type="spellEnd"/>
      <w:r w:rsidR="005C6CED">
        <w:t xml:space="preserve"> are all significant predictors with significance levels similar to</w:t>
      </w:r>
      <w:r w:rsidR="008C0654">
        <w:t xml:space="preserve"> those reported in Panel B</w:t>
      </w:r>
      <w:r w:rsidR="005C6CED">
        <w:t>.</w:t>
      </w:r>
    </w:p>
    <w:p w:rsidR="006573AF" w:rsidRDefault="008C0654" w:rsidP="006573AF">
      <w:r>
        <w:t xml:space="preserve">In summary, </w:t>
      </w:r>
      <w:r w:rsidR="005C6CED">
        <w:t>results suggest that the amount borrowed (</w:t>
      </w:r>
      <w:proofErr w:type="spellStart"/>
      <w:r w:rsidR="005C6CED">
        <w:rPr>
          <w:i/>
        </w:rPr>
        <w:t>LnAmount</w:t>
      </w:r>
      <w:proofErr w:type="spellEnd"/>
      <w:r w:rsidR="005C6CED">
        <w:rPr>
          <w:i/>
        </w:rPr>
        <w:t>)</w:t>
      </w:r>
      <w:r w:rsidR="005C6CED">
        <w:t>, whether the bank also has an equity position in the borrowing firm (</w:t>
      </w:r>
      <w:proofErr w:type="spellStart"/>
      <w:r w:rsidR="005C6CED">
        <w:rPr>
          <w:i/>
        </w:rPr>
        <w:t>BankEquity</w:t>
      </w:r>
      <w:proofErr w:type="spellEnd"/>
      <w:r w:rsidR="005C6CED">
        <w:rPr>
          <w:i/>
        </w:rPr>
        <w:t>)</w:t>
      </w:r>
      <w:r w:rsidR="005C6CED">
        <w:t>, whether an equity issuance is required (</w:t>
      </w:r>
      <w:proofErr w:type="spellStart"/>
      <w:r w:rsidR="005C6CED" w:rsidRPr="005C6CED">
        <w:rPr>
          <w:i/>
        </w:rPr>
        <w:t>EquityRaise</w:t>
      </w:r>
      <w:proofErr w:type="spellEnd"/>
      <w:r w:rsidR="005C6CED">
        <w:t>) and the number of analysts following the borrowing firm (</w:t>
      </w:r>
      <w:proofErr w:type="spellStart"/>
      <w:r w:rsidR="005C6CED">
        <w:rPr>
          <w:i/>
        </w:rPr>
        <w:t>NumAnalyst</w:t>
      </w:r>
      <w:proofErr w:type="spellEnd"/>
      <w:r w:rsidR="005C6CED">
        <w:rPr>
          <w:i/>
        </w:rPr>
        <w:t>)</w:t>
      </w:r>
      <w:r w:rsidR="005C6CED">
        <w:t xml:space="preserve"> are significant at predicting announcement returns. Whether an announcement is the first mention of a bank loan announcement is also highly significant (</w:t>
      </w:r>
      <w:proofErr w:type="spellStart"/>
      <w:r w:rsidR="005C6CED" w:rsidRPr="005C6CED">
        <w:rPr>
          <w:i/>
        </w:rPr>
        <w:t>FirstAnn</w:t>
      </w:r>
      <w:proofErr w:type="spellEnd"/>
      <w:r w:rsidR="005C6CED">
        <w:t xml:space="preserve">). </w:t>
      </w:r>
      <w:r>
        <w:t xml:space="preserve">We make the </w:t>
      </w:r>
      <w:r w:rsidR="005C6CED">
        <w:t>observation</w:t>
      </w:r>
      <w:r>
        <w:t xml:space="preserve"> that</w:t>
      </w:r>
      <w:r w:rsidR="005C6CED">
        <w:t xml:space="preserve"> </w:t>
      </w:r>
      <w:r>
        <w:t>r</w:t>
      </w:r>
      <w:r w:rsidR="005C6CED">
        <w:t xml:space="preserve">ecent studies </w:t>
      </w:r>
      <w:r>
        <w:t xml:space="preserve">suggesting </w:t>
      </w:r>
      <w:r w:rsidR="005C6CED">
        <w:t>bank loan</w:t>
      </w:r>
      <w:r>
        <w:t>s</w:t>
      </w:r>
      <w:r w:rsidR="005C6CED">
        <w:t xml:space="preserve"> </w:t>
      </w:r>
      <w:r>
        <w:t xml:space="preserve">have no impact on the capital </w:t>
      </w:r>
      <w:r>
        <w:lastRenderedPageBreak/>
        <w:t xml:space="preserve">market </w:t>
      </w:r>
      <w:r w:rsidR="005C6CED">
        <w:t xml:space="preserve">may </w:t>
      </w:r>
      <w:r>
        <w:t xml:space="preserve">not have </w:t>
      </w:r>
      <w:r w:rsidR="005C6CED">
        <w:t>be account</w:t>
      </w:r>
      <w:r>
        <w:t>ed</w:t>
      </w:r>
      <w:r w:rsidR="005C6CED">
        <w:t xml:space="preserve"> for information leakage</w:t>
      </w:r>
      <w:r>
        <w:t xml:space="preserve"> through sequential information release</w:t>
      </w:r>
      <w:r w:rsidR="00C33BA9">
        <w:t xml:space="preserve"> </w:t>
      </w:r>
      <w:r w:rsidR="00C33BA9">
        <w:fldChar w:fldCharType="begin"/>
      </w:r>
      <w:r w:rsidR="00C33BA9">
        <w:instrText xml:space="preserve"> ADDIN EN.CITE &lt;EndNote&gt;&lt;Cite&gt;&lt;Author&gt;Maskara&lt;/Author&gt;&lt;Year&gt;2011&lt;/Year&gt;&lt;RecNum&gt;24&lt;/RecNum&gt;&lt;DisplayText&gt;(Maskara &amp;amp; Mullineaux 2011)&lt;/DisplayText&gt;&lt;record&gt;&lt;rec-number&gt;24&lt;/rec-number&gt;&lt;foreign-keys&gt;&lt;key app="EN" db-id="xpprp0f0rzw05ved0s9xwzaqtxz0v9sfawwv"&gt;24&lt;/key&gt;&lt;/foreign-keys&gt;&lt;ref-type name="Journal Article"&gt;17&lt;/ref-type&gt;&lt;contributors&gt;&lt;authors&gt;&lt;author&gt;Maskara, P.K.&lt;/author&gt;&lt;author&gt;Mullineaux, D.J.&lt;/author&gt;&lt;/authors&gt;&lt;/contributors&gt;&lt;titles&gt;&lt;title&gt;Information asymmetry and self-selection bias in bank loan announcement studies&lt;/title&gt;&lt;secondary-title&gt;Journal of Financial Economics&lt;/secondary-title&gt;&lt;/titles&gt;&lt;periodical&gt;&lt;full-title&gt;Journal of Financial Economics&lt;/full-title&gt;&lt;/periodical&gt;&lt;pages&gt;684-694&lt;/pages&gt;&lt;volume&gt;101&lt;/volume&gt;&lt;number&gt;3&lt;/number&gt;&lt;dates&gt;&lt;year&gt;2011&lt;/year&gt;&lt;/dates&gt;&lt;isbn&gt;0304-405X&lt;/isbn&gt;&lt;urls&gt;&lt;/urls&gt;&lt;/record&gt;&lt;/Cite&gt;&lt;/EndNote&gt;</w:instrText>
      </w:r>
      <w:r w:rsidR="00C33BA9">
        <w:fldChar w:fldCharType="separate"/>
      </w:r>
      <w:r w:rsidR="00C33BA9">
        <w:rPr>
          <w:noProof/>
        </w:rPr>
        <w:t>(</w:t>
      </w:r>
      <w:hyperlink w:anchor="_ENREF_72" w:tooltip="Maskara, 2011 #24" w:history="1">
        <w:r w:rsidR="005B6334">
          <w:rPr>
            <w:noProof/>
          </w:rPr>
          <w:t>Maskara &amp; Mullineaux 2011</w:t>
        </w:r>
      </w:hyperlink>
      <w:r w:rsidR="00C33BA9">
        <w:rPr>
          <w:noProof/>
        </w:rPr>
        <w:t>)</w:t>
      </w:r>
      <w:r w:rsidR="00C33BA9">
        <w:fldChar w:fldCharType="end"/>
      </w:r>
      <w:r w:rsidR="005C6CED">
        <w:t xml:space="preserve">. </w:t>
      </w:r>
      <w:r>
        <w:t xml:space="preserve">The </w:t>
      </w:r>
      <w:proofErr w:type="gramStart"/>
      <w:r>
        <w:t xml:space="preserve">results for </w:t>
      </w:r>
      <w:proofErr w:type="spellStart"/>
      <w:r w:rsidR="005C6CED">
        <w:rPr>
          <w:i/>
        </w:rPr>
        <w:t>FirstAnn</w:t>
      </w:r>
      <w:proofErr w:type="spellEnd"/>
      <w:r w:rsidR="005C6CED">
        <w:t xml:space="preserve"> </w:t>
      </w:r>
      <w:r>
        <w:t>suggests</w:t>
      </w:r>
      <w:proofErr w:type="gramEnd"/>
      <w:r>
        <w:t xml:space="preserve"> the </w:t>
      </w:r>
      <w:r w:rsidR="005C6CED">
        <w:t>market react</w:t>
      </w:r>
      <w:r>
        <w:t>s</w:t>
      </w:r>
      <w:r w:rsidR="005C6CED">
        <w:t xml:space="preserve"> </w:t>
      </w:r>
      <w:r w:rsidR="00C33BA9">
        <w:t>well before a</w:t>
      </w:r>
      <w:r>
        <w:t xml:space="preserve">n official </w:t>
      </w:r>
      <w:r w:rsidR="00C33BA9">
        <w:t>loan sign off</w:t>
      </w:r>
      <w:r>
        <w:t>.</w:t>
      </w:r>
      <w:r w:rsidR="00C33BA9">
        <w:t xml:space="preserve"> </w:t>
      </w:r>
    </w:p>
    <w:p w:rsidR="006573AF" w:rsidRDefault="008C0654" w:rsidP="006573AF">
      <w:r>
        <w:t xml:space="preserve">Contrary to expectations, </w:t>
      </w:r>
      <w:r w:rsidR="006661D8">
        <w:rPr>
          <w:i/>
        </w:rPr>
        <w:t>Initial</w:t>
      </w:r>
      <w:r w:rsidR="006661D8">
        <w:t xml:space="preserve"> is </w:t>
      </w:r>
      <w:r>
        <w:t xml:space="preserve">not significant in the multivariate context. </w:t>
      </w:r>
      <w:r w:rsidR="00F4204F">
        <w:t>U</w:t>
      </w:r>
      <w:r w:rsidR="006661D8">
        <w:t xml:space="preserve">nivariate results </w:t>
      </w:r>
      <w:r>
        <w:t xml:space="preserve">suggesting </w:t>
      </w:r>
      <w:r w:rsidR="006661D8">
        <w:t xml:space="preserve">initial loan </w:t>
      </w:r>
      <w:r>
        <w:t xml:space="preserve">reactions are stronger than reactions to subsequent loan </w:t>
      </w:r>
      <w:r w:rsidR="006661D8">
        <w:t xml:space="preserve">announcements </w:t>
      </w:r>
      <w:r>
        <w:t xml:space="preserve">do not hold in the multivariate tests </w:t>
      </w:r>
      <w:r w:rsidR="00F4204F">
        <w:t>a</w:t>
      </w:r>
      <w:r w:rsidR="006661D8">
        <w:t>fter controlling for firm and loan characteristics</w:t>
      </w:r>
      <w:r>
        <w:t xml:space="preserve">. </w:t>
      </w:r>
      <w:r w:rsidR="009C34EB">
        <w:t>Our results suggest ba</w:t>
      </w:r>
      <w:r w:rsidR="006B0D8A">
        <w:t>nks are able to successfully produce private information during the screening process</w:t>
      </w:r>
      <w:r w:rsidR="009C34EB">
        <w:t xml:space="preserve">, but </w:t>
      </w:r>
      <w:r w:rsidR="006B0D8A">
        <w:t>the signals provided during subsequent loans are just as s</w:t>
      </w:r>
      <w:r w:rsidR="009C34EB">
        <w:t>alient</w:t>
      </w:r>
      <w:r w:rsidR="006B0B6D">
        <w:t xml:space="preserve"> as those provided by initial loans</w:t>
      </w:r>
      <w:r w:rsidR="006B0D8A">
        <w:t xml:space="preserve"> after controlling for firm and loan characteristics.</w:t>
      </w:r>
      <w:bookmarkStart w:id="20" w:name="_Toc379787306"/>
    </w:p>
    <w:p w:rsidR="006573AF" w:rsidRDefault="00F63A60" w:rsidP="006573AF">
      <w:pPr>
        <w:pStyle w:val="Heading2"/>
        <w:numPr>
          <w:ilvl w:val="1"/>
          <w:numId w:val="38"/>
        </w:numPr>
      </w:pPr>
      <w:r>
        <w:t>Information asymmetry</w:t>
      </w:r>
      <w:bookmarkStart w:id="21" w:name="_Toc379787307"/>
      <w:bookmarkEnd w:id="20"/>
    </w:p>
    <w:p w:rsidR="00F63A60" w:rsidRPr="006573AF" w:rsidRDefault="00F63A60" w:rsidP="006573AF">
      <w:pPr>
        <w:pStyle w:val="Heading2"/>
        <w:numPr>
          <w:ilvl w:val="0"/>
          <w:numId w:val="0"/>
        </w:numPr>
      </w:pPr>
      <w:r w:rsidRPr="006573AF">
        <w:rPr>
          <w:b w:val="0"/>
          <w:i/>
        </w:rPr>
        <w:t>Average abnormal turnover</w:t>
      </w:r>
      <w:bookmarkEnd w:id="21"/>
    </w:p>
    <w:p w:rsidR="00F63A60" w:rsidRDefault="00F63A60" w:rsidP="00C6573E">
      <w:pPr>
        <w:pStyle w:val="NoSpacing"/>
      </w:pPr>
      <w:r>
        <w:fldChar w:fldCharType="begin"/>
      </w:r>
      <w:r>
        <w:instrText xml:space="preserve"> REF _Ref378188784 \h </w:instrText>
      </w:r>
      <w:r>
        <w:fldChar w:fldCharType="separate"/>
      </w:r>
      <w:r w:rsidR="0089071A">
        <w:t xml:space="preserve">Figure </w:t>
      </w:r>
      <w:r w:rsidR="0089071A">
        <w:rPr>
          <w:noProof/>
        </w:rPr>
        <w:t>3</w:t>
      </w:r>
      <w:r>
        <w:fldChar w:fldCharType="end"/>
      </w:r>
      <w:r>
        <w:t xml:space="preserve"> presents the average abnormal turnover surrounding bank loan announcements. Results across all three </w:t>
      </w:r>
      <w:r w:rsidR="00875376">
        <w:t>sample</w:t>
      </w:r>
      <w:r w:rsidR="0041360F">
        <w:t>s</w:t>
      </w:r>
      <w:r w:rsidR="00875376">
        <w:t xml:space="preserve"> </w:t>
      </w:r>
      <w:r w:rsidR="00883CCD">
        <w:t>are displayed in Panel</w:t>
      </w:r>
      <w:r w:rsidR="00967AC8">
        <w:t>s</w:t>
      </w:r>
      <w:r w:rsidR="00883CCD">
        <w:t xml:space="preserve"> A, B</w:t>
      </w:r>
      <w:r w:rsidR="00967AC8">
        <w:t xml:space="preserve"> and </w:t>
      </w:r>
      <w:r w:rsidR="00883CCD">
        <w:t xml:space="preserve">C, and </w:t>
      </w:r>
      <w:r w:rsidR="00967AC8">
        <w:t xml:space="preserve">depict </w:t>
      </w:r>
      <w:r>
        <w:t>a sharp positive spike in AATO on the day of a bank loan announcement</w:t>
      </w:r>
      <w:r w:rsidR="00967AC8">
        <w:t>.</w:t>
      </w:r>
      <w:r>
        <w:t xml:space="preserve"> </w:t>
      </w:r>
      <w:r w:rsidRPr="00AB3AE0">
        <w:fldChar w:fldCharType="begin"/>
      </w:r>
      <w:r w:rsidRPr="00AB3AE0">
        <w:instrText xml:space="preserve"> REF _Ref378088797 \h </w:instrText>
      </w:r>
      <w:r w:rsidR="00AB3AE0" w:rsidRPr="00AB3AE0">
        <w:instrText xml:space="preserve"> \* MERGEFORMAT </w:instrText>
      </w:r>
      <w:r w:rsidRPr="00AB3AE0">
        <w:fldChar w:fldCharType="separate"/>
      </w:r>
      <w:r w:rsidR="0089071A" w:rsidRPr="00F521A0">
        <w:t>Table</w:t>
      </w:r>
      <w:r w:rsidR="0089071A">
        <w:t xml:space="preserve"> </w:t>
      </w:r>
      <w:r w:rsidRPr="00AB3AE0">
        <w:fldChar w:fldCharType="end"/>
      </w:r>
      <w:r w:rsidR="000A24D2">
        <w:t>8</w:t>
      </w:r>
      <w:r w:rsidRPr="00AB3AE0">
        <w:t xml:space="preserve"> presents the average abnormal turnover and significance tests surrounding bank loan announcements during the -10 to 10 day event window. Bank loan announcements are associated with a statistically significant increase in average abnormal turnover on the event date, with a 0.123% increase in turnover observed on the event date. The initial loan sample is associated with a larger increase in abnormal turnover relative to the subsequent loan sample, with initial loan announcements experiencing a 0.142% increase in daily abnormal turnover and subsequent loans experiencing a 0.102% increase in daily abnormal turnover. </w:t>
      </w:r>
      <w:r w:rsidR="00FF2877">
        <w:t>A cumulative average abnormal turnover over the 0 to 10 day period shows a significantly positive turnover of 0.256% in the post announcement window for the total sample</w:t>
      </w:r>
      <w:r w:rsidR="00055CC0">
        <w:t>, while the -10 to -1 event window experiences insignificant changes in abnormal turnover</w:t>
      </w:r>
      <w:r w:rsidR="00FF2877">
        <w:t>. Th</w:t>
      </w:r>
      <w:r w:rsidR="00CD234B">
        <w:t>ese</w:t>
      </w:r>
      <w:r w:rsidR="00FF2877">
        <w:t xml:space="preserve"> result</w:t>
      </w:r>
      <w:r w:rsidR="00CD234B">
        <w:t>s</w:t>
      </w:r>
      <w:r w:rsidR="00FF2877">
        <w:t xml:space="preserve"> suggest </w:t>
      </w:r>
      <w:r w:rsidR="00CD234B">
        <w:lastRenderedPageBreak/>
        <w:t xml:space="preserve">trading volume </w:t>
      </w:r>
      <w:r w:rsidR="00FF2877">
        <w:t>increase</w:t>
      </w:r>
      <w:r w:rsidR="00055CC0">
        <w:t>s in the period after the announcement of a bank loan</w:t>
      </w:r>
      <w:r w:rsidR="00CD234B">
        <w:t>, consistent with Hypothesis 2.</w:t>
      </w:r>
      <w:r w:rsidR="00BF0E2B">
        <w:rPr>
          <w:rStyle w:val="FootnoteReference"/>
        </w:rPr>
        <w:footnoteReference w:id="16"/>
      </w:r>
    </w:p>
    <w:p w:rsidR="00C97653" w:rsidRPr="00C3093F" w:rsidRDefault="00C97653" w:rsidP="00EC05B7">
      <w:pPr>
        <w:rPr>
          <w:b/>
        </w:rPr>
      </w:pPr>
      <w:r>
        <w:fldChar w:fldCharType="begin"/>
      </w:r>
      <w:r>
        <w:rPr>
          <w:b/>
        </w:rPr>
        <w:instrText xml:space="preserve"> REF _Ref379456200 \h </w:instrText>
      </w:r>
      <w:r>
        <w:fldChar w:fldCharType="separate"/>
      </w:r>
      <w:r w:rsidR="0089071A">
        <w:t xml:space="preserve">Table </w:t>
      </w:r>
      <w:r>
        <w:fldChar w:fldCharType="end"/>
      </w:r>
      <w:r w:rsidR="000A24D2">
        <w:t>10</w:t>
      </w:r>
      <w:r w:rsidR="00875376">
        <w:t>,</w:t>
      </w:r>
      <w:r>
        <w:t xml:space="preserve"> Panel A presents results of an OLS regression with cumulative abnormal turnover in the -10 to 10 day event window as the dependent variable. The model is significant with an </w:t>
      </w:r>
      <w:r w:rsidRPr="00C6573E">
        <w:rPr>
          <w:i/>
        </w:rPr>
        <w:t>F</w:t>
      </w:r>
      <w:r>
        <w:t xml:space="preserve">-statistic of 2.8 and significant at </w:t>
      </w:r>
      <w:r w:rsidRPr="00C6573E">
        <w:rPr>
          <w:i/>
        </w:rPr>
        <w:t>p</w:t>
      </w:r>
      <w:r>
        <w:t xml:space="preserve">&lt;0.002. An adjusted R squared of 0.046 is reported. Significant predictors of cumulative average abnormal turnover are </w:t>
      </w:r>
      <w:proofErr w:type="spellStart"/>
      <w:r>
        <w:rPr>
          <w:i/>
        </w:rPr>
        <w:t>FirstAnn</w:t>
      </w:r>
      <w:proofErr w:type="spellEnd"/>
      <w:r>
        <w:t xml:space="preserve">, </w:t>
      </w:r>
      <w:proofErr w:type="spellStart"/>
      <w:r>
        <w:rPr>
          <w:i/>
        </w:rPr>
        <w:t>BankEquity</w:t>
      </w:r>
      <w:proofErr w:type="spellEnd"/>
      <w:r>
        <w:t xml:space="preserve"> and </w:t>
      </w:r>
      <w:proofErr w:type="spellStart"/>
      <w:r>
        <w:rPr>
          <w:i/>
        </w:rPr>
        <w:t>EquityRaise</w:t>
      </w:r>
      <w:proofErr w:type="spellEnd"/>
      <w:r>
        <w:rPr>
          <w:i/>
        </w:rPr>
        <w:t xml:space="preserve">. </w:t>
      </w:r>
      <w:proofErr w:type="spellStart"/>
      <w:r>
        <w:rPr>
          <w:i/>
        </w:rPr>
        <w:t>FirstAnn</w:t>
      </w:r>
      <w:proofErr w:type="spellEnd"/>
      <w:r>
        <w:t xml:space="preserve"> has a coefficient of 0.008 significant at </w:t>
      </w:r>
      <w:r w:rsidRPr="00C6573E">
        <w:rPr>
          <w:i/>
        </w:rPr>
        <w:t>p</w:t>
      </w:r>
      <w:r>
        <w:t xml:space="preserve">&lt;0.009 and suggests that the increase in a firms turnover is largest when the first loan announcement is released. If the bank has an equity position in the borrowing firm </w:t>
      </w:r>
      <w:proofErr w:type="spellStart"/>
      <w:r>
        <w:rPr>
          <w:i/>
        </w:rPr>
        <w:t>BankEquity</w:t>
      </w:r>
      <w:proofErr w:type="spellEnd"/>
      <w:r>
        <w:t xml:space="preserve"> a lower increase in abnormal turnover is observed. </w:t>
      </w:r>
      <w:proofErr w:type="spellStart"/>
      <w:r w:rsidRPr="00C97653">
        <w:rPr>
          <w:i/>
        </w:rPr>
        <w:t>EquityRaise</w:t>
      </w:r>
      <w:proofErr w:type="spellEnd"/>
      <w:r>
        <w:t xml:space="preserve"> is positive with </w:t>
      </w:r>
      <w:r w:rsidR="00875376">
        <w:t xml:space="preserve">a coefficient of 0.013, significant at </w:t>
      </w:r>
      <w:r w:rsidRPr="00C6573E">
        <w:rPr>
          <w:i/>
        </w:rPr>
        <w:t>p</w:t>
      </w:r>
      <w:r>
        <w:t xml:space="preserve">&lt;0.005 and. If the firm announces it will be raising more equity capital in the future as part of the loan conditions, abnormal turnover increases. </w:t>
      </w:r>
      <w:r w:rsidR="00C3093F">
        <w:t xml:space="preserve">After controlling for the characteristics of the borrowing firm and loan agreement, </w:t>
      </w:r>
      <w:r w:rsidR="00C3093F">
        <w:rPr>
          <w:i/>
        </w:rPr>
        <w:t>Initial</w:t>
      </w:r>
      <w:r w:rsidR="00C3093F">
        <w:t xml:space="preserve"> is not significant. This suggests that both samples of bank loan announcements are associated with a reduction in information asymmetry, </w:t>
      </w:r>
      <w:r w:rsidR="00875376">
        <w:t xml:space="preserve">with </w:t>
      </w:r>
      <w:r w:rsidR="00C3093F">
        <w:t>both initial and subsequent loans able to signal private information about the firm</w:t>
      </w:r>
      <w:r w:rsidR="00C01D62">
        <w:t>’</w:t>
      </w:r>
      <w:r w:rsidR="00C3093F">
        <w:t>s future to equity investors.</w:t>
      </w:r>
    </w:p>
    <w:p w:rsidR="00F63A60" w:rsidRPr="00C6573E" w:rsidRDefault="00F63A60" w:rsidP="00C6573E">
      <w:pPr>
        <w:pStyle w:val="Heading3"/>
        <w:numPr>
          <w:ilvl w:val="0"/>
          <w:numId w:val="0"/>
        </w:numPr>
        <w:ind w:left="357" w:hanging="357"/>
        <w:rPr>
          <w:b w:val="0"/>
          <w:i/>
        </w:rPr>
      </w:pPr>
      <w:bookmarkStart w:id="22" w:name="_Toc379787308"/>
      <w:r w:rsidRPr="00C6573E">
        <w:rPr>
          <w:b w:val="0"/>
          <w:i/>
        </w:rPr>
        <w:t>Average abnormal spread</w:t>
      </w:r>
      <w:bookmarkEnd w:id="22"/>
    </w:p>
    <w:p w:rsidR="00F63A60" w:rsidRDefault="003A6A2B" w:rsidP="00C6573E">
      <w:pPr>
        <w:pStyle w:val="NoSpacing"/>
      </w:pPr>
      <w:r>
        <w:fldChar w:fldCharType="begin"/>
      </w:r>
      <w:r>
        <w:instrText xml:space="preserve"> REF _Ref379790631 \h </w:instrText>
      </w:r>
      <w:r>
        <w:fldChar w:fldCharType="separate"/>
      </w:r>
      <w:r w:rsidR="0089071A" w:rsidRPr="00F521A0">
        <w:t>Table</w:t>
      </w:r>
      <w:r w:rsidR="0089071A">
        <w:t xml:space="preserve"> </w:t>
      </w:r>
      <w:r>
        <w:fldChar w:fldCharType="end"/>
      </w:r>
      <w:r w:rsidR="000A24D2">
        <w:t>9</w:t>
      </w:r>
      <w:r>
        <w:t xml:space="preserve"> </w:t>
      </w:r>
      <w:r w:rsidR="00F63A60" w:rsidRPr="00AB3AE0">
        <w:t xml:space="preserve">presents the average abnormal spread over the -10 to 10 day event window. </w:t>
      </w:r>
      <w:r w:rsidR="00277D8C">
        <w:t xml:space="preserve">Panel A, B and C display results for the total sample, initial sample and subsequent loan sample respectively. </w:t>
      </w:r>
      <w:r w:rsidR="00F63A60" w:rsidRPr="00AB3AE0">
        <w:t xml:space="preserve">A </w:t>
      </w:r>
      <w:r w:rsidR="00884653">
        <w:t>negative abnormal spread</w:t>
      </w:r>
      <w:r w:rsidR="00F63A60" w:rsidRPr="00AB3AE0">
        <w:t xml:space="preserve"> is observed on the announcement day </w:t>
      </w:r>
      <w:r w:rsidR="00277D8C">
        <w:t xml:space="preserve">and following event day </w:t>
      </w:r>
      <w:r w:rsidR="00F63A60" w:rsidRPr="00AB3AE0">
        <w:t>in all three samples</w:t>
      </w:r>
      <w:r w:rsidR="00884653">
        <w:t xml:space="preserve">. </w:t>
      </w:r>
      <w:r>
        <w:fldChar w:fldCharType="begin"/>
      </w:r>
      <w:r>
        <w:instrText xml:space="preserve"> REF _Ref379790631 \h </w:instrText>
      </w:r>
      <w:r>
        <w:fldChar w:fldCharType="separate"/>
      </w:r>
      <w:r w:rsidR="0089071A" w:rsidRPr="00F521A0">
        <w:t>Table</w:t>
      </w:r>
      <w:r w:rsidR="0089071A">
        <w:t xml:space="preserve"> </w:t>
      </w:r>
      <w:r>
        <w:fldChar w:fldCharType="end"/>
      </w:r>
      <w:r w:rsidR="000A24D2">
        <w:t>9</w:t>
      </w:r>
      <w:r>
        <w:t xml:space="preserve"> </w:t>
      </w:r>
      <w:r w:rsidR="00F63A60" w:rsidRPr="00AB3AE0">
        <w:t xml:space="preserve">presents the average abnormal spread and tests of statistical significance. Abnormal spreads decrease on the announcement day for all </w:t>
      </w:r>
      <w:r w:rsidR="00F63A60" w:rsidRPr="00AB3AE0">
        <w:lastRenderedPageBreak/>
        <w:t xml:space="preserve">three samples, although not </w:t>
      </w:r>
      <w:r w:rsidR="00884653">
        <w:t xml:space="preserve">at a </w:t>
      </w:r>
      <w:r w:rsidR="00F63A60" w:rsidRPr="00AB3AE0">
        <w:t>statistical</w:t>
      </w:r>
      <w:r w:rsidR="00F63A60">
        <w:t xml:space="preserve">ly significant </w:t>
      </w:r>
      <w:r w:rsidR="00884653">
        <w:t>level</w:t>
      </w:r>
      <w:r w:rsidR="00F63A60">
        <w:t>.</w:t>
      </w:r>
      <w:r w:rsidR="00277D8C">
        <w:t xml:space="preserve"> Event day 1 experiences a reduction in abnormal spread of -0.524% significant at </w:t>
      </w:r>
      <w:r w:rsidR="00277D8C" w:rsidRPr="00C6573E">
        <w:rPr>
          <w:i/>
        </w:rPr>
        <w:t>p</w:t>
      </w:r>
      <w:r w:rsidR="00277D8C">
        <w:t xml:space="preserve">&lt;0.05, -0.0546% significant at </w:t>
      </w:r>
      <w:r w:rsidR="00277D8C" w:rsidRPr="00C6573E">
        <w:rPr>
          <w:i/>
        </w:rPr>
        <w:t>p</w:t>
      </w:r>
      <w:r w:rsidR="00277D8C">
        <w:t xml:space="preserve">&lt;0.01 and -0.0499% significant at </w:t>
      </w:r>
      <w:r w:rsidR="00277D8C" w:rsidRPr="00C6573E">
        <w:rPr>
          <w:i/>
        </w:rPr>
        <w:t>p</w:t>
      </w:r>
      <w:r w:rsidR="00277D8C">
        <w:t xml:space="preserve">&lt;0.005 for the total, initial and subsequent sample of announcements respectively. </w:t>
      </w:r>
      <w:r w:rsidR="00884653">
        <w:t>The total sample experiences a c</w:t>
      </w:r>
      <w:r w:rsidR="00F63A60">
        <w:t>umulative average abnormal spread</w:t>
      </w:r>
      <w:r w:rsidR="00884653">
        <w:t xml:space="preserve"> that</w:t>
      </w:r>
      <w:r w:rsidR="00F63A60">
        <w:t xml:space="preserve"> is significantly negative in the 1 to 10 day post announcement period,</w:t>
      </w:r>
      <w:r w:rsidR="00277D8C">
        <w:t xml:space="preserve"> with cumulative spread reducing by -3.165%</w:t>
      </w:r>
      <w:r w:rsidR="00EB04A7">
        <w:t>,</w:t>
      </w:r>
      <w:r w:rsidR="00F63A60">
        <w:t xml:space="preserve"> </w:t>
      </w:r>
      <w:r w:rsidR="00277D8C">
        <w:t xml:space="preserve">significant at </w:t>
      </w:r>
      <w:r w:rsidR="00277D8C" w:rsidRPr="00C6573E">
        <w:rPr>
          <w:i/>
        </w:rPr>
        <w:t>p</w:t>
      </w:r>
      <w:r w:rsidR="00277D8C">
        <w:t xml:space="preserve">&lt;0.10. This result suggests that bank loan announcements </w:t>
      </w:r>
      <w:r w:rsidR="00EB04A7">
        <w:t>result in a</w:t>
      </w:r>
      <w:r w:rsidR="00277D8C">
        <w:t xml:space="preserve"> </w:t>
      </w:r>
      <w:r w:rsidR="00EB04A7">
        <w:t>decrease</w:t>
      </w:r>
      <w:r w:rsidR="00277D8C">
        <w:t xml:space="preserve"> in </w:t>
      </w:r>
      <w:r w:rsidR="00EB04A7">
        <w:t>spread</w:t>
      </w:r>
      <w:r w:rsidR="00277D8C">
        <w:t xml:space="preserve"> that persists over two trading weeks after the loan is announced. </w:t>
      </w:r>
      <w:r w:rsidR="00EB04A7">
        <w:t>During</w:t>
      </w:r>
      <w:r w:rsidR="00277D8C">
        <w:t xml:space="preserve"> the -10 to -1 </w:t>
      </w:r>
      <w:r w:rsidR="00EB04A7">
        <w:t xml:space="preserve">event pre-event window, </w:t>
      </w:r>
      <w:r w:rsidR="00277D8C">
        <w:t xml:space="preserve">cumulative average abnormal </w:t>
      </w:r>
      <w:r w:rsidR="00EB04A7">
        <w:t>spread i</w:t>
      </w:r>
      <w:r w:rsidR="00277D8C">
        <w:t xml:space="preserve">s </w:t>
      </w:r>
      <w:r w:rsidR="00EB04A7">
        <w:t>insignif</w:t>
      </w:r>
      <w:r w:rsidR="00CC3316">
        <w:t>icant across the three samples.</w:t>
      </w:r>
      <w:r w:rsidR="00BF0E2B">
        <w:rPr>
          <w:rStyle w:val="FootnoteReference"/>
        </w:rPr>
        <w:footnoteReference w:id="17"/>
      </w:r>
      <w:r w:rsidR="00A952DA">
        <w:t xml:space="preserve"> Overall</w:t>
      </w:r>
      <w:r w:rsidR="0033103E">
        <w:t>,</w:t>
      </w:r>
      <w:r w:rsidR="0033103E" w:rsidDel="0033103E">
        <w:t xml:space="preserve"> </w:t>
      </w:r>
      <w:r w:rsidR="00F63A60" w:rsidRPr="00AB3AE0">
        <w:t xml:space="preserve">the decrease in average abnormal spread reported in </w:t>
      </w:r>
      <w:r w:rsidR="003D51C0">
        <w:fldChar w:fldCharType="begin"/>
      </w:r>
      <w:r w:rsidR="003D51C0">
        <w:instrText xml:space="preserve"> REF _Ref379790631 \h </w:instrText>
      </w:r>
      <w:r w:rsidR="003D51C0">
        <w:fldChar w:fldCharType="separate"/>
      </w:r>
      <w:r w:rsidR="0089071A" w:rsidRPr="00F521A0">
        <w:t>Table</w:t>
      </w:r>
      <w:r w:rsidR="0089071A">
        <w:t xml:space="preserve"> </w:t>
      </w:r>
      <w:r w:rsidR="003D51C0">
        <w:fldChar w:fldCharType="end"/>
      </w:r>
      <w:r w:rsidR="000A24D2">
        <w:t>9</w:t>
      </w:r>
      <w:r w:rsidR="003D51C0">
        <w:t xml:space="preserve"> </w:t>
      </w:r>
      <w:r w:rsidR="00F63A60" w:rsidRPr="00AB3AE0">
        <w:t>is</w:t>
      </w:r>
      <w:r w:rsidR="00F63A60">
        <w:t xml:space="preserve"> interpreted as showing a decrease in the firm’s level of information asymmetry after making a bank loan announcement. These results are consistent with other studies showing that firms experience a decrease in bid-ask spread after releasing </w:t>
      </w:r>
      <w:r w:rsidR="0033103E">
        <w:t>material</w:t>
      </w:r>
      <w:r w:rsidR="00F63A60">
        <w:t xml:space="preserve"> disclosures to the market </w:t>
      </w:r>
      <w:r w:rsidR="00F63A60">
        <w:fldChar w:fldCharType="begin">
          <w:fldData xml:space="preserve">PEVuZE5vdGU+PENpdGU+PEF1dGhvcj5SYW1hbjwvQXV0aG9yPjxZZWFyPjE5OTM8L1llYXI+PFJl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</w:fldData>
        </w:fldChar>
      </w:r>
      <w:r w:rsidR="003A641D">
        <w:instrText xml:space="preserve"> ADDIN EN.CITE </w:instrText>
      </w:r>
      <w:r w:rsidR="003A641D">
        <w:fldChar w:fldCharType="begin">
          <w:fldData xml:space="preserve">PEVuZE5vdGU+PENpdGU+PEF1dGhvcj5SYW1hbjwvQXV0aG9yPjxZZWFyPjE5OTM8L1llYXI+PFJl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</w:fldData>
        </w:fldChar>
      </w:r>
      <w:r w:rsidR="003A641D">
        <w:instrText xml:space="preserve"> ADDIN EN.CITE.DATA </w:instrText>
      </w:r>
      <w:r w:rsidR="003A641D">
        <w:fldChar w:fldCharType="end"/>
      </w:r>
      <w:r w:rsidR="00F63A60">
        <w:fldChar w:fldCharType="separate"/>
      </w:r>
      <w:r w:rsidR="00F63A60">
        <w:rPr>
          <w:noProof/>
        </w:rPr>
        <w:t>(</w:t>
      </w:r>
      <w:hyperlink w:anchor="_ENREF_85" w:tooltip="Raman, 1993 #124" w:history="1">
        <w:r w:rsidR="005B6334">
          <w:rPr>
            <w:noProof/>
          </w:rPr>
          <w:t>Raman &amp; Tripathy 1993</w:t>
        </w:r>
      </w:hyperlink>
      <w:r w:rsidR="00F63A60">
        <w:rPr>
          <w:noProof/>
        </w:rPr>
        <w:t xml:space="preserve">; </w:t>
      </w:r>
      <w:hyperlink w:anchor="_ENREF_15" w:tooltip="Boone, 1998 #123" w:history="1">
        <w:r w:rsidR="005B6334">
          <w:rPr>
            <w:noProof/>
          </w:rPr>
          <w:t>Boone 1998</w:t>
        </w:r>
      </w:hyperlink>
      <w:r w:rsidR="00F63A60">
        <w:rPr>
          <w:noProof/>
        </w:rPr>
        <w:t xml:space="preserve">; </w:t>
      </w:r>
      <w:hyperlink w:anchor="_ENREF_69" w:tooltip="Leuz, 2000 #125" w:history="1">
        <w:r w:rsidR="005B6334">
          <w:rPr>
            <w:noProof/>
          </w:rPr>
          <w:t>Leuz &amp; Verrecchia 2000</w:t>
        </w:r>
      </w:hyperlink>
      <w:r w:rsidR="00F63A60">
        <w:rPr>
          <w:noProof/>
        </w:rPr>
        <w:t xml:space="preserve">; </w:t>
      </w:r>
      <w:hyperlink w:anchor="_ENREF_89" w:tooltip="Schauer, 2002 #126" w:history="1">
        <w:r w:rsidR="005B6334">
          <w:rPr>
            <w:noProof/>
          </w:rPr>
          <w:t>Schauer 2002</w:t>
        </w:r>
      </w:hyperlink>
      <w:r w:rsidR="00F63A60">
        <w:rPr>
          <w:noProof/>
        </w:rPr>
        <w:t>)</w:t>
      </w:r>
      <w:r w:rsidR="00F63A60">
        <w:fldChar w:fldCharType="end"/>
      </w:r>
      <w:r w:rsidR="00F63A60">
        <w:t xml:space="preserve">. </w:t>
      </w:r>
    </w:p>
    <w:p w:rsidR="00884653" w:rsidRPr="009651B0" w:rsidRDefault="00884653" w:rsidP="00F63A60">
      <w:r>
        <w:fldChar w:fldCharType="begin"/>
      </w:r>
      <w:r>
        <w:instrText xml:space="preserve"> REF _Ref379456200 \h </w:instrText>
      </w:r>
      <w:r>
        <w:fldChar w:fldCharType="separate"/>
      </w:r>
      <w:r w:rsidR="0089071A">
        <w:t xml:space="preserve">Table </w:t>
      </w:r>
      <w:r>
        <w:fldChar w:fldCharType="end"/>
      </w:r>
      <w:r w:rsidR="000A24D2">
        <w:t>10</w:t>
      </w:r>
      <w:r w:rsidR="0033103E">
        <w:t>,</w:t>
      </w:r>
      <w:r>
        <w:t xml:space="preserve"> Panel B presents the results of an OLS regression with cumulative average abnormal spread over the -10 to 10 day event window as the dependent variable. The model </w:t>
      </w:r>
      <w:r w:rsidR="0033103E">
        <w:t xml:space="preserve">obtains </w:t>
      </w:r>
      <w:r>
        <w:t>an adjusted R squared of 0.042</w:t>
      </w:r>
      <w:r w:rsidR="0033103E">
        <w:t xml:space="preserve">, significant at </w:t>
      </w:r>
      <w:r w:rsidR="0033103E" w:rsidRPr="00C6573E">
        <w:rPr>
          <w:i/>
        </w:rPr>
        <w:t>p</w:t>
      </w:r>
      <w:r w:rsidR="0033103E">
        <w:t>&lt;0.006</w:t>
      </w:r>
      <w:r>
        <w:t xml:space="preserve">. Variables explaining changes to abnormal spread are </w:t>
      </w:r>
      <w:r>
        <w:rPr>
          <w:i/>
        </w:rPr>
        <w:t>Lenders</w:t>
      </w:r>
      <w:r>
        <w:t xml:space="preserve">, </w:t>
      </w:r>
      <w:proofErr w:type="spellStart"/>
      <w:r>
        <w:rPr>
          <w:i/>
        </w:rPr>
        <w:t>LnMCap</w:t>
      </w:r>
      <w:proofErr w:type="spellEnd"/>
      <w:r>
        <w:t xml:space="preserve">, </w:t>
      </w:r>
      <w:r w:rsidR="009651B0">
        <w:t xml:space="preserve">and </w:t>
      </w:r>
      <w:r>
        <w:rPr>
          <w:i/>
        </w:rPr>
        <w:t>Loss</w:t>
      </w:r>
      <w:r>
        <w:t>.</w:t>
      </w:r>
      <w:r w:rsidR="009651B0">
        <w:t xml:space="preserve"> </w:t>
      </w:r>
      <w:r w:rsidR="009651B0">
        <w:rPr>
          <w:i/>
        </w:rPr>
        <w:t>Lenders</w:t>
      </w:r>
      <w:r w:rsidR="009651B0">
        <w:t xml:space="preserve"> is significantly negative with a coefficient of -0.031</w:t>
      </w:r>
      <w:r w:rsidR="0033103E">
        <w:t>,</w:t>
      </w:r>
      <w:r w:rsidR="009651B0">
        <w:t xml:space="preserve"> </w:t>
      </w:r>
      <w:r w:rsidR="009651B0" w:rsidRPr="00C6573E">
        <w:rPr>
          <w:i/>
        </w:rPr>
        <w:t>p</w:t>
      </w:r>
      <w:r w:rsidR="0033103E">
        <w:t>=</w:t>
      </w:r>
      <w:r w:rsidR="009651B0">
        <w:t xml:space="preserve">0.031. A negative coefficient suggests that </w:t>
      </w:r>
      <w:r w:rsidR="009C0FA7">
        <w:t xml:space="preserve">as </w:t>
      </w:r>
      <w:r w:rsidR="009651B0">
        <w:t xml:space="preserve">the number of lenders increases, the spread decreases. </w:t>
      </w:r>
      <w:proofErr w:type="spellStart"/>
      <w:proofErr w:type="gramStart"/>
      <w:r w:rsidR="009651B0">
        <w:rPr>
          <w:i/>
        </w:rPr>
        <w:t>LnMCap</w:t>
      </w:r>
      <w:proofErr w:type="spellEnd"/>
      <w:r w:rsidR="009651B0">
        <w:t>,</w:t>
      </w:r>
      <w:proofErr w:type="gramEnd"/>
      <w:r w:rsidR="009651B0">
        <w:t xml:space="preserve"> is positive with a coefficient of 0.033,</w:t>
      </w:r>
      <w:r w:rsidR="009C0FA7">
        <w:t xml:space="preserve"> significant at P&lt;0.011</w:t>
      </w:r>
      <w:r w:rsidR="009651B0">
        <w:t xml:space="preserve"> larger firms have a smaller reduction in information asymmetry after announcing a bank loan. </w:t>
      </w:r>
      <w:r w:rsidR="009651B0">
        <w:rPr>
          <w:i/>
        </w:rPr>
        <w:t xml:space="preserve">Loss </w:t>
      </w:r>
      <w:r w:rsidR="009651B0">
        <w:t>is significantly negative with a coefficient of -</w:t>
      </w:r>
      <w:r w:rsidR="000D74C1">
        <w:t>0.056</w:t>
      </w:r>
      <w:r w:rsidR="009C0FA7">
        <w:t xml:space="preserve"> significant at p&lt;0.067</w:t>
      </w:r>
      <w:r w:rsidR="000D74C1">
        <w:t>, l</w:t>
      </w:r>
      <w:r w:rsidR="009651B0">
        <w:t xml:space="preserve">oss making firms have a larger reduction in information asymmetry after a bank loan </w:t>
      </w:r>
      <w:r w:rsidR="009651B0">
        <w:lastRenderedPageBreak/>
        <w:t xml:space="preserve">announcement. The results for </w:t>
      </w:r>
      <w:r w:rsidR="009651B0">
        <w:rPr>
          <w:i/>
        </w:rPr>
        <w:t>Loss</w:t>
      </w:r>
      <w:r w:rsidR="009651B0">
        <w:t xml:space="preserve"> and </w:t>
      </w:r>
      <w:proofErr w:type="spellStart"/>
      <w:r w:rsidR="009651B0">
        <w:rPr>
          <w:i/>
        </w:rPr>
        <w:t>LnMCap</w:t>
      </w:r>
      <w:proofErr w:type="spellEnd"/>
      <w:r w:rsidR="009651B0">
        <w:t xml:space="preserve"> are consistent with the expectation that smaller firms will benefits from the signal of creditworthiness provided by a bank’s loan decision.</w:t>
      </w:r>
    </w:p>
    <w:p w:rsidR="00F63A60" w:rsidRDefault="00A62ED0" w:rsidP="00F63A60">
      <w:r>
        <w:t>In summary, these r</w:t>
      </w:r>
      <w:r w:rsidR="00F63A60">
        <w:t xml:space="preserve">esults provide support for </w:t>
      </w:r>
      <w:r>
        <w:t>H</w:t>
      </w:r>
      <w:r w:rsidR="00F63A60">
        <w:t xml:space="preserve">ypothesis </w:t>
      </w:r>
      <w:r w:rsidR="00CC3316">
        <w:t>2</w:t>
      </w:r>
      <w:r w:rsidR="00F63A60">
        <w:t xml:space="preserve"> as firms experience an increase in average abnormal turnover and a decrease in average abnormal spread on the event date of a bank loan announcement. Turnover is higher, and spread is lower in the 10 day post-announcement period relative to the 10 day pre-announcement period. Thus the theories of financial intermediation that suggest banks play an important role in reducing information asymmetry are supported </w:t>
      </w:r>
      <w:r w:rsidR="00FF19BB">
        <w:t xml:space="preserve">by </w:t>
      </w:r>
      <w:r w:rsidR="00A952DA">
        <w:t>our</w:t>
      </w:r>
      <w:r w:rsidR="00F63A60">
        <w:t xml:space="preserve"> results.</w:t>
      </w:r>
    </w:p>
    <w:p w:rsidR="00F63A60" w:rsidRPr="00C6573E" w:rsidRDefault="00F63A60" w:rsidP="00C6573E">
      <w:pPr>
        <w:pStyle w:val="Heading2"/>
        <w:numPr>
          <w:ilvl w:val="1"/>
          <w:numId w:val="40"/>
        </w:numPr>
      </w:pPr>
      <w:bookmarkStart w:id="23" w:name="_Toc379787309"/>
      <w:r w:rsidRPr="00C6573E">
        <w:t>Industry specialisation</w:t>
      </w:r>
      <w:bookmarkEnd w:id="23"/>
    </w:p>
    <w:p w:rsidR="00F63A60" w:rsidRDefault="00A952DA" w:rsidP="00A76332">
      <w:r>
        <w:t xml:space="preserve">We classify </w:t>
      </w:r>
      <w:r w:rsidR="00F63A60">
        <w:t xml:space="preserve">Macquarie Bank as </w:t>
      </w:r>
      <w:r w:rsidR="005278BB">
        <w:t>the</w:t>
      </w:r>
      <w:r w:rsidR="00F63A60">
        <w:t xml:space="preserve"> industry leader</w:t>
      </w:r>
      <w:r>
        <w:t xml:space="preserve"> with</w:t>
      </w:r>
      <w:r w:rsidR="00F63A60" w:rsidRPr="00143368">
        <w:t xml:space="preserve"> </w:t>
      </w:r>
      <w:r w:rsidR="00A76332">
        <w:fldChar w:fldCharType="begin"/>
      </w:r>
      <w:r w:rsidR="00A76332">
        <w:instrText xml:space="preserve"> REF _Ref378207621 \h </w:instrText>
      </w:r>
      <w:r w:rsidR="00A76332">
        <w:fldChar w:fldCharType="separate"/>
      </w:r>
      <w:r w:rsidR="0089071A" w:rsidRPr="00F521A0">
        <w:t>Table</w:t>
      </w:r>
      <w:r w:rsidR="0089071A">
        <w:t xml:space="preserve"> </w:t>
      </w:r>
      <w:r w:rsidR="00A76332">
        <w:fldChar w:fldCharType="end"/>
      </w:r>
      <w:r w:rsidR="000A24D2">
        <w:t>11</w:t>
      </w:r>
      <w:r w:rsidR="00A76332">
        <w:t xml:space="preserve"> </w:t>
      </w:r>
      <w:r w:rsidR="00F63A60">
        <w:t>display</w:t>
      </w:r>
      <w:r>
        <w:t>ing</w:t>
      </w:r>
      <w:r w:rsidR="00F63A60">
        <w:t xml:space="preserve"> the cumulative average abnormal return for the sample of loans issued by Macquarie Bank compared to the sample of loans issued by non-industry specialist lenders.</w:t>
      </w:r>
      <w:r w:rsidR="00AB3AE0">
        <w:t xml:space="preserve"> </w:t>
      </w:r>
      <w:r w:rsidR="00F63A60">
        <w:t xml:space="preserve">Larger returns are </w:t>
      </w:r>
      <w:r w:rsidR="00485EDD">
        <w:t xml:space="preserve">depicted </w:t>
      </w:r>
      <w:r w:rsidR="00F63A60">
        <w:t>surrounding loans issued by Macquarie Bank in the three event windows</w:t>
      </w:r>
      <w:r w:rsidR="00485EDD">
        <w:t xml:space="preserve"> considered</w:t>
      </w:r>
      <w:r w:rsidR="00F63A60">
        <w:t xml:space="preserve">. Over the -5 to 5 day event window, loans to Macquarie Bank experience a cumulative average abnormal return of 5.053% compared to the 1.89% return experienced by firms borrowing from non-industry specialist lenders. Tests of significance between the two samples show </w:t>
      </w:r>
      <w:r w:rsidR="00485EDD">
        <w:t xml:space="preserve">this </w:t>
      </w:r>
      <w:r w:rsidR="00F63A60">
        <w:t xml:space="preserve">difference in returns is significant at the 5% level. Despite Macquarie Bank loans experiencing the predicted larger cumulative average abnormal return over the other two event windows, tests </w:t>
      </w:r>
      <w:r w:rsidR="00485EDD">
        <w:t>are not significant</w:t>
      </w:r>
      <w:r w:rsidR="00F63A60">
        <w:t>.</w:t>
      </w:r>
    </w:p>
    <w:p w:rsidR="003907EB" w:rsidRDefault="000A24D2" w:rsidP="004D1A7D">
      <w:r>
        <w:t xml:space="preserve">Table 12 </w:t>
      </w:r>
      <w:r w:rsidR="004D1A7D" w:rsidRPr="00AB3AE0">
        <w:t xml:space="preserve">presents </w:t>
      </w:r>
      <w:r w:rsidR="00485EDD">
        <w:t xml:space="preserve">our augmented OLS </w:t>
      </w:r>
      <w:r w:rsidR="005C0032">
        <w:t>regression</w:t>
      </w:r>
      <w:r w:rsidR="004D1A7D" w:rsidRPr="00AB3AE0">
        <w:t xml:space="preserve"> </w:t>
      </w:r>
      <w:r w:rsidR="00485EDD">
        <w:t xml:space="preserve">model </w:t>
      </w:r>
      <w:r w:rsidR="005C0032">
        <w:t>including an</w:t>
      </w:r>
      <w:r w:rsidR="003907EB">
        <w:t xml:space="preserve"> industry leadership variable (</w:t>
      </w:r>
      <w:r w:rsidR="003907EB" w:rsidRPr="003907EB">
        <w:rPr>
          <w:i/>
        </w:rPr>
        <w:t>Macquarie</w:t>
      </w:r>
      <w:r w:rsidR="003907EB">
        <w:t>).</w:t>
      </w:r>
      <w:r w:rsidR="004D1A7D">
        <w:t xml:space="preserve"> Three models are presented with the dependent variable being </w:t>
      </w:r>
      <w:r w:rsidR="004D1A7D" w:rsidRPr="00AB3AE0">
        <w:t>the</w:t>
      </w:r>
      <w:r w:rsidR="004D1A7D">
        <w:t xml:space="preserve"> cumulative average abnormal return in the</w:t>
      </w:r>
      <w:r w:rsidR="004D1A7D" w:rsidRPr="00AB3AE0">
        <w:t xml:space="preserve"> 0 to 1, -5 to 5 and -10 to 10 day event windows</w:t>
      </w:r>
      <w:r w:rsidR="004D1A7D">
        <w:t xml:space="preserve"> in Panel</w:t>
      </w:r>
      <w:r w:rsidR="00B800D5">
        <w:t>s</w:t>
      </w:r>
      <w:r w:rsidR="004D1A7D">
        <w:t xml:space="preserve"> A, B and C respectively</w:t>
      </w:r>
      <w:r w:rsidR="004D1A7D" w:rsidRPr="00AB3AE0">
        <w:t>. All thre</w:t>
      </w:r>
      <w:r w:rsidR="003907EB">
        <w:t>e models are significant at</w:t>
      </w:r>
      <w:r w:rsidR="004D1A7D">
        <w:t xml:space="preserve"> </w:t>
      </w:r>
      <w:r w:rsidR="004D1A7D" w:rsidRPr="00C6573E">
        <w:rPr>
          <w:i/>
        </w:rPr>
        <w:t>p</w:t>
      </w:r>
      <w:r w:rsidR="004D1A7D">
        <w:t>&lt;0.01</w:t>
      </w:r>
      <w:r w:rsidR="004D1A7D" w:rsidRPr="00AB3AE0">
        <w:t xml:space="preserve">% </w:t>
      </w:r>
      <w:r w:rsidR="003907EB">
        <w:t xml:space="preserve">with </w:t>
      </w:r>
      <w:r w:rsidR="003907EB" w:rsidRPr="00C6573E">
        <w:rPr>
          <w:i/>
        </w:rPr>
        <w:lastRenderedPageBreak/>
        <w:t>F</w:t>
      </w:r>
      <w:r w:rsidR="003907EB">
        <w:t>-statistics greater than 3</w:t>
      </w:r>
      <w:r w:rsidR="004D1A7D">
        <w:t xml:space="preserve">. Panel A presents results for the </w:t>
      </w:r>
      <w:r w:rsidR="004D1A7D" w:rsidRPr="00AB3AE0">
        <w:t>0</w:t>
      </w:r>
      <w:proofErr w:type="gramStart"/>
      <w:r w:rsidR="0041359D">
        <w:t>,</w:t>
      </w:r>
      <w:r w:rsidR="004D1A7D" w:rsidRPr="00AB3AE0">
        <w:t>1</w:t>
      </w:r>
      <w:proofErr w:type="gramEnd"/>
      <w:r w:rsidR="004D1A7D" w:rsidRPr="00AB3AE0">
        <w:t xml:space="preserve"> event w</w:t>
      </w:r>
      <w:r w:rsidR="003907EB">
        <w:t xml:space="preserve">indow. </w:t>
      </w:r>
      <w:r w:rsidR="003907EB">
        <w:rPr>
          <w:i/>
        </w:rPr>
        <w:t>Macquarie</w:t>
      </w:r>
      <w:r w:rsidR="003907EB">
        <w:t xml:space="preserve"> is insignificant in explaining abnormal returns over the two day event window. This is consistent with the univariate results presented in </w:t>
      </w:r>
      <w:r w:rsidR="003907EB">
        <w:fldChar w:fldCharType="begin"/>
      </w:r>
      <w:r w:rsidR="003907EB">
        <w:instrText xml:space="preserve"> REF _Ref378207621 \h </w:instrText>
      </w:r>
      <w:r w:rsidR="003907EB">
        <w:fldChar w:fldCharType="separate"/>
      </w:r>
      <w:r w:rsidR="0089071A" w:rsidRPr="00F521A0">
        <w:t>Table</w:t>
      </w:r>
      <w:r w:rsidR="0089071A">
        <w:t xml:space="preserve"> </w:t>
      </w:r>
      <w:r w:rsidR="003907EB">
        <w:fldChar w:fldCharType="end"/>
      </w:r>
      <w:r>
        <w:t>12</w:t>
      </w:r>
      <w:r w:rsidR="003907EB">
        <w:t xml:space="preserve"> which showed significant differences in announcement returns </w:t>
      </w:r>
      <w:r w:rsidR="005C0032">
        <w:t xml:space="preserve">only developed </w:t>
      </w:r>
      <w:r w:rsidR="003907EB">
        <w:t xml:space="preserve">over longer event windows. Consistent with results presented in </w:t>
      </w:r>
      <w:r w:rsidR="003907EB">
        <w:fldChar w:fldCharType="begin"/>
      </w:r>
      <w:r w:rsidR="003907EB">
        <w:instrText xml:space="preserve"> REF _Ref379398544 \h </w:instrText>
      </w:r>
      <w:r w:rsidR="003907EB">
        <w:fldChar w:fldCharType="separate"/>
      </w:r>
      <w:r w:rsidR="0089071A">
        <w:t xml:space="preserve">Table </w:t>
      </w:r>
      <w:r w:rsidR="003907EB">
        <w:fldChar w:fldCharType="end"/>
      </w:r>
      <w:r>
        <w:t>7</w:t>
      </w:r>
      <w:r w:rsidR="003907EB">
        <w:t xml:space="preserve">, </w:t>
      </w:r>
      <w:proofErr w:type="spellStart"/>
      <w:r w:rsidR="003907EB">
        <w:rPr>
          <w:i/>
        </w:rPr>
        <w:t>FirstAnn</w:t>
      </w:r>
      <w:proofErr w:type="spellEnd"/>
      <w:r w:rsidR="003907EB">
        <w:t xml:space="preserve">, </w:t>
      </w:r>
      <w:proofErr w:type="spellStart"/>
      <w:r w:rsidR="003907EB">
        <w:rPr>
          <w:i/>
        </w:rPr>
        <w:t>LnAmount</w:t>
      </w:r>
      <w:proofErr w:type="spellEnd"/>
      <w:r w:rsidR="003907EB">
        <w:rPr>
          <w:i/>
        </w:rPr>
        <w:t xml:space="preserve"> </w:t>
      </w:r>
      <w:r w:rsidR="003907EB">
        <w:t xml:space="preserve">and </w:t>
      </w:r>
      <w:proofErr w:type="spellStart"/>
      <w:r w:rsidR="003907EB">
        <w:rPr>
          <w:i/>
        </w:rPr>
        <w:t>BankEquity</w:t>
      </w:r>
      <w:proofErr w:type="spellEnd"/>
      <w:r w:rsidR="003907EB">
        <w:t xml:space="preserve"> </w:t>
      </w:r>
      <w:r w:rsidR="0041359D">
        <w:t>remain</w:t>
      </w:r>
      <w:r w:rsidR="003907EB">
        <w:t xml:space="preserve"> significant predictors of loan announcement returns with positive and significant coefficients. </w:t>
      </w:r>
    </w:p>
    <w:p w:rsidR="00A721C8" w:rsidRDefault="003907EB" w:rsidP="005B1310">
      <w:r>
        <w:t>Panel</w:t>
      </w:r>
      <w:r w:rsidR="0041359D">
        <w:t>’s</w:t>
      </w:r>
      <w:r>
        <w:t xml:space="preserve"> B and C of </w:t>
      </w:r>
      <w:r w:rsidR="000A24D2">
        <w:t xml:space="preserve">Table 12 </w:t>
      </w:r>
      <w:r>
        <w:t xml:space="preserve">both provide evidence of industry leadership influencing loan announcement returns. Panel B shows that during the -5 to 5 day event window Macquarie has a positive coefficient of 0.032 and is significant at </w:t>
      </w:r>
      <w:r w:rsidRPr="00C6573E">
        <w:rPr>
          <w:i/>
        </w:rPr>
        <w:t>p</w:t>
      </w:r>
      <w:r>
        <w:t>&lt;0.10</w:t>
      </w:r>
      <w:r w:rsidR="00CB12D1">
        <w:t>.</w:t>
      </w:r>
      <w:r>
        <w:t xml:space="preserve"> Panel C shows that over the longer event window, </w:t>
      </w:r>
      <w:r>
        <w:rPr>
          <w:i/>
        </w:rPr>
        <w:t>Macquarie</w:t>
      </w:r>
      <w:r>
        <w:t xml:space="preserve"> is the most important predictor of loan announcement returns </w:t>
      </w:r>
      <w:r w:rsidR="00CB12D1">
        <w:t>over</w:t>
      </w:r>
      <w:r>
        <w:t xml:space="preserve"> the -10 to 10 window, with a coefficient of 0.078</w:t>
      </w:r>
      <w:r w:rsidR="005C0032">
        <w:t>,</w:t>
      </w:r>
      <w:r>
        <w:t xml:space="preserve"> significant at </w:t>
      </w:r>
      <w:r w:rsidRPr="00C6573E">
        <w:rPr>
          <w:i/>
        </w:rPr>
        <w:t>p</w:t>
      </w:r>
      <w:r>
        <w:t xml:space="preserve">&lt;0.05. </w:t>
      </w:r>
      <w:r w:rsidR="00CB12D1">
        <w:t>As in prior analysis, o</w:t>
      </w:r>
      <w:r>
        <w:t xml:space="preserve">ther significant predictors are </w:t>
      </w:r>
      <w:proofErr w:type="spellStart"/>
      <w:r>
        <w:rPr>
          <w:i/>
        </w:rPr>
        <w:t>FirstAnn</w:t>
      </w:r>
      <w:proofErr w:type="spellEnd"/>
      <w:r>
        <w:t xml:space="preserve"> with a coefficient of 0.048</w:t>
      </w:r>
      <w:r w:rsidR="005C0032">
        <w:t xml:space="preserve"> and significant at </w:t>
      </w:r>
      <w:r w:rsidR="005C0032" w:rsidRPr="00C6573E">
        <w:rPr>
          <w:i/>
        </w:rPr>
        <w:t>p</w:t>
      </w:r>
      <w:r w:rsidR="005C0032">
        <w:t xml:space="preserve">&lt;0.029 </w:t>
      </w:r>
      <w:r>
        <w:t xml:space="preserve">suggesting that the first loan announcement in a sequence of announcements is the most informative. </w:t>
      </w:r>
      <w:proofErr w:type="spellStart"/>
      <w:r>
        <w:rPr>
          <w:i/>
        </w:rPr>
        <w:t>EquityRaise</w:t>
      </w:r>
      <w:proofErr w:type="spellEnd"/>
      <w:r>
        <w:t xml:space="preserve"> with a </w:t>
      </w:r>
      <w:r w:rsidR="005C0032">
        <w:t xml:space="preserve">coefficient of 0.064 significant at </w:t>
      </w:r>
      <w:r w:rsidR="005C0032" w:rsidRPr="00C6573E">
        <w:rPr>
          <w:i/>
        </w:rPr>
        <w:t>p</w:t>
      </w:r>
      <w:r w:rsidR="005C0032">
        <w:t xml:space="preserve">&lt;0.071 and </w:t>
      </w:r>
      <w:proofErr w:type="spellStart"/>
      <w:r w:rsidR="005C0032" w:rsidRPr="005C0032">
        <w:rPr>
          <w:i/>
        </w:rPr>
        <w:t>NumAnalyst</w:t>
      </w:r>
      <w:proofErr w:type="spellEnd"/>
      <w:r w:rsidR="005C0032">
        <w:t xml:space="preserve"> with a coefficient of -0.009 significant at </w:t>
      </w:r>
      <w:r w:rsidR="005C0032" w:rsidRPr="00C6573E">
        <w:rPr>
          <w:i/>
        </w:rPr>
        <w:t>p</w:t>
      </w:r>
      <w:r w:rsidR="005C0032">
        <w:t>&lt;0.018 displaying that firms with a weaker information environment experience larger loan announcement returns.</w:t>
      </w:r>
    </w:p>
    <w:p w:rsidR="007E7DA7" w:rsidRDefault="00CB12D1" w:rsidP="007E7DA7">
      <w:r>
        <w:t>In summary, u</w:t>
      </w:r>
      <w:r w:rsidR="000A24D2">
        <w:t>nivariate evidence presented in Table 11</w:t>
      </w:r>
      <w:r w:rsidR="005B1310">
        <w:t xml:space="preserve">, and multivariate evidence presented in </w:t>
      </w:r>
      <w:r w:rsidR="000A24D2">
        <w:t xml:space="preserve">Table 12 </w:t>
      </w:r>
      <w:r w:rsidR="007E7DA7">
        <w:t>provide support for H3</w:t>
      </w:r>
      <w:r w:rsidR="005B1310">
        <w:t xml:space="preserve"> over longer event windows. Over a short 0 to 1 day event window, industry leadership is not</w:t>
      </w:r>
      <w:r w:rsidR="00DE54F3">
        <w:t xml:space="preserve"> significantly</w:t>
      </w:r>
      <w:r w:rsidR="005B1310">
        <w:t xml:space="preserve"> associated with an in</w:t>
      </w:r>
      <w:r w:rsidR="00DE54F3">
        <w:t>creased announcement abnormal return. Over a -5 to 5 day event window, Macquarie Bank loans have an abnormal return of 5.053%</w:t>
      </w:r>
      <w:r>
        <w:t xml:space="preserve">, </w:t>
      </w:r>
      <w:r w:rsidR="00DE54F3">
        <w:t xml:space="preserve">statistically significant </w:t>
      </w:r>
      <w:r>
        <w:t xml:space="preserve">in the test of differences </w:t>
      </w:r>
      <w:r w:rsidR="00DE54F3">
        <w:t xml:space="preserve">at </w:t>
      </w:r>
      <w:r w:rsidR="00DE54F3" w:rsidRPr="00C6573E">
        <w:rPr>
          <w:i/>
        </w:rPr>
        <w:t>p</w:t>
      </w:r>
      <w:r w:rsidR="00DE54F3">
        <w:t xml:space="preserve">&lt;0.042. After controlling for borrowing firm characteristics and loan characteristics using OLS regression this </w:t>
      </w:r>
      <w:r>
        <w:t>result remains, and strengthens over the -10 to 10 day event window</w:t>
      </w:r>
      <w:r w:rsidR="00DE54F3">
        <w:t xml:space="preserve">. Consistent with prior </w:t>
      </w:r>
      <w:r>
        <w:t>studies</w:t>
      </w:r>
      <w:r w:rsidR="00DE54F3">
        <w:t xml:space="preserve">, bank lender identity is a significant determinant of abnormal returns surrounding bank loan announcements </w:t>
      </w:r>
      <w:r w:rsidR="00DE54F3">
        <w:fldChar w:fldCharType="begin"/>
      </w:r>
      <w:r w:rsidR="00DE54F3">
        <w:instrText xml:space="preserve"> ADDIN EN.CITE &lt;EndNote&gt;&lt;Cite&gt;&lt;Author&gt;Billett&lt;/Author&gt;&lt;Year&gt;1995&lt;/Year&gt;&lt;RecNum&gt;17&lt;/RecNum&gt;&lt;DisplayText&gt;(Billett&lt;style face="italic"&gt; et al.&lt;/style&gt; 1995; Ross 2010)&lt;/DisplayText&gt;&lt;record&gt;&lt;rec-number&gt;17&lt;/rec-number&gt;&lt;foreign-keys&gt;&lt;key app="EN" db-id="xpprp0f0rzw05ved0s9xwzaqtxz0v9sfawwv"&gt;17&lt;/key&gt;&lt;/foreign-keys&gt;&lt;ref-type name="Journal Article"&gt;17&lt;/ref-type&gt;&lt;contributors&gt;&lt;authors&gt;&lt;author&gt;Billett, Matthew T.&lt;/author&gt;&lt;author&gt;Flannery, Mark J.&lt;/author&gt;&lt;author&gt;Garfinkel, Jon A.&lt;/author&gt;&lt;/authors&gt;&lt;/contributors&gt;&lt;titles&gt;&lt;title&gt;The Effect of Lender Identity on a Borrowing Firm&amp;apos;s Equity Return&lt;/title&gt;&lt;secondary-title&gt;The Journal of Finance&lt;/secondary-title&gt;&lt;/titles&gt;&lt;periodical&gt;&lt;full-title&gt;The Journal of Finance&lt;/full-title&gt;&lt;/periodical&gt;&lt;pages&gt;699-718&lt;/pages&gt;&lt;volume&gt;50&lt;/volume&gt;&lt;number&gt;2&lt;/number&gt;&lt;keywords&gt;&lt;keyword&gt;Bank Loans Event Study&lt;/keyword&gt;&lt;/keywords&gt;&lt;dates&gt;&lt;year&gt;1995&lt;/year&gt;&lt;/dates&gt;&lt;publisher&gt;Blackwell Publishing Ltd&lt;/publisher&gt;&lt;isbn&gt;1540-6261&lt;/isbn&gt;&lt;urls&gt;&lt;related-urls&gt;&lt;url&gt;http://dx.doi.org/10.1111/j.1540-6261.1995.tb04801.x&lt;/url&gt;&lt;/related-urls&gt;&lt;/urls&gt;&lt;electronic-resource-num&gt;10.1111/j.1540-6261.1995.tb04801.x&lt;/electronic-resource-num&gt;&lt;/record&gt;&lt;/Cite&gt;&lt;Cite&gt;&lt;Author&gt;Ross&lt;/Author&gt;&lt;Year&gt;2010&lt;/Year&gt;&lt;RecNum&gt;133&lt;/RecNum&gt;&lt;record&gt;&lt;rec-number&gt;133&lt;/rec-number&gt;&lt;foreign-keys&gt;&lt;key app="EN" db-id="xpprp0f0rzw05ved0s9xwzaqtxz0v9sfawwv"&gt;133&lt;/key&gt;&lt;/foreign-keys&gt;&lt;ref-type name="Journal Article"&gt;17&lt;/ref-type&gt;&lt;contributors&gt;&lt;authors&gt;&lt;author&gt;Ross, David Gaddis&lt;/author&gt;&lt;/authors&gt;&lt;/contributors&gt;&lt;titles&gt;&lt;title&gt;The “dominant bank effect:” How high lender reputation affects the information content and terms of bank loans&lt;/title&gt;&lt;secondary-title&gt;Review of financial studies&lt;/secondary-title&gt;&lt;/titles&gt;&lt;periodical&gt;&lt;full-title&gt;Review of financial studies&lt;/full-title&gt;&lt;/periodical&gt;&lt;pages&gt;2730-2756&lt;/pages&gt;&lt;volume&gt;23&lt;/volume&gt;&lt;number&gt;7&lt;/number&gt;&lt;dates&gt;&lt;year&gt;2010&lt;/year&gt;&lt;/dates&gt;&lt;isbn&gt;0893-9454&lt;/isbn&gt;&lt;urls&gt;&lt;/urls&gt;&lt;/record&gt;&lt;/Cite&gt;&lt;/EndNote&gt;</w:instrText>
      </w:r>
      <w:r w:rsidR="00DE54F3">
        <w:fldChar w:fldCharType="separate"/>
      </w:r>
      <w:r w:rsidR="00DE54F3">
        <w:rPr>
          <w:noProof/>
        </w:rPr>
        <w:t>(</w:t>
      </w:r>
      <w:hyperlink w:anchor="_ENREF_8" w:tooltip="Billett, 1995 #17" w:history="1">
        <w:r w:rsidR="005B6334">
          <w:rPr>
            <w:noProof/>
          </w:rPr>
          <w:t>Billett</w:t>
        </w:r>
        <w:r w:rsidR="005B6334" w:rsidRPr="00DE54F3">
          <w:rPr>
            <w:i/>
            <w:noProof/>
          </w:rPr>
          <w:t xml:space="preserve"> et al.</w:t>
        </w:r>
        <w:r w:rsidR="005B6334">
          <w:rPr>
            <w:noProof/>
          </w:rPr>
          <w:t xml:space="preserve"> 1995</w:t>
        </w:r>
      </w:hyperlink>
      <w:r w:rsidR="00DE54F3">
        <w:rPr>
          <w:noProof/>
        </w:rPr>
        <w:t xml:space="preserve">; </w:t>
      </w:r>
      <w:hyperlink w:anchor="_ENREF_87" w:tooltip="Ross, 2010 #133" w:history="1">
        <w:r w:rsidR="005B6334">
          <w:rPr>
            <w:noProof/>
          </w:rPr>
          <w:t>Ross 2010</w:t>
        </w:r>
      </w:hyperlink>
      <w:r w:rsidR="00DE54F3">
        <w:rPr>
          <w:noProof/>
        </w:rPr>
        <w:t>)</w:t>
      </w:r>
      <w:r w:rsidR="00DE54F3">
        <w:fldChar w:fldCharType="end"/>
      </w:r>
      <w:r w:rsidR="00DE54F3">
        <w:t xml:space="preserve">. </w:t>
      </w:r>
      <w:r w:rsidR="00DE54F3">
        <w:fldChar w:fldCharType="begin"/>
      </w:r>
      <w:r w:rsidR="00DE54F3">
        <w:instrText xml:space="preserve"> ADDIN EN.CITE &lt;EndNote&gt;&lt;Cite AuthorYear="1"&gt;&lt;Author&gt;Ross&lt;/Author&gt;&lt;Year&gt;2010&lt;/Year&gt;&lt;RecNum&gt;133&lt;/RecNum&gt;&lt;DisplayText&gt;Ross (2010)&lt;/DisplayText&gt;&lt;record&gt;&lt;rec-number&gt;133&lt;/rec-number&gt;&lt;foreign-keys&gt;&lt;key app="EN" db-id="xpprp0f0rzw05ved0s9xwzaqtxz0v9sfawwv"&gt;133&lt;/key&gt;&lt;/foreign-keys&gt;&lt;ref-type name="Journal Article"&gt;17&lt;/ref-type&gt;&lt;contributors&gt;&lt;authors&gt;&lt;author&gt;Ross, David Gaddis&lt;/author&gt;&lt;/authors&gt;&lt;/contributors&gt;&lt;titles&gt;&lt;title&gt;The “dominant bank effect:” How high lender reputation affects the information content and terms of bank loans&lt;/title&gt;&lt;secondary-title&gt;Review of financial studies&lt;/secondary-title&gt;&lt;/titles&gt;&lt;periodical&gt;&lt;full-title&gt;Review of financial studies&lt;/full-title&gt;&lt;/periodical&gt;&lt;pages&gt;2730-2756&lt;/pages&gt;&lt;volume&gt;23&lt;/volume&gt;&lt;number&gt;7&lt;/number&gt;&lt;dates&gt;&lt;year&gt;2010&lt;/year&gt;&lt;/dates&gt;&lt;isbn&gt;0893-9454&lt;/isbn&gt;&lt;urls&gt;&lt;/urls&gt;&lt;/record&gt;&lt;/Cite&gt;&lt;/EndNote&gt;</w:instrText>
      </w:r>
      <w:r w:rsidR="00DE54F3">
        <w:fldChar w:fldCharType="separate"/>
      </w:r>
      <w:hyperlink w:anchor="_ENREF_87" w:tooltip="Ross, 2010 #133" w:history="1">
        <w:r w:rsidR="005B6334">
          <w:rPr>
            <w:noProof/>
          </w:rPr>
          <w:t>Ross (2010</w:t>
        </w:r>
      </w:hyperlink>
      <w:proofErr w:type="gramStart"/>
      <w:r w:rsidR="00DE54F3">
        <w:rPr>
          <w:noProof/>
        </w:rPr>
        <w:t>)</w:t>
      </w:r>
      <w:r w:rsidR="00DE54F3">
        <w:fldChar w:fldCharType="end"/>
      </w:r>
      <w:r w:rsidR="00DE54F3">
        <w:t xml:space="preserve"> </w:t>
      </w:r>
      <w:r w:rsidR="00DE54F3">
        <w:lastRenderedPageBreak/>
        <w:t xml:space="preserve">presents evidence that loans from larger banks are associated with higher abnormal returns, </w:t>
      </w:r>
      <w:r w:rsidR="003B449E">
        <w:t>which our evidence in relation to Macquarie Bank’s specialisation in this setting supports.</w:t>
      </w:r>
      <w:proofErr w:type="gramEnd"/>
      <w:r w:rsidR="003B449E">
        <w:t xml:space="preserve"> </w:t>
      </w:r>
      <w:bookmarkStart w:id="24" w:name="_Toc379787311"/>
    </w:p>
    <w:p w:rsidR="000C4EBA" w:rsidRPr="007E7DA7" w:rsidRDefault="002559C4" w:rsidP="007E7DA7">
      <w:pPr>
        <w:pStyle w:val="Heading1"/>
        <w:spacing w:before="0" w:after="240"/>
      </w:pPr>
      <w:r>
        <w:t>Summary and c</w:t>
      </w:r>
      <w:r w:rsidR="005D65CE" w:rsidRPr="000C4EBA">
        <w:t>onclusions</w:t>
      </w:r>
      <w:bookmarkEnd w:id="24"/>
    </w:p>
    <w:p w:rsidR="003A29F4" w:rsidRDefault="00040563" w:rsidP="00C6573E">
      <w:pPr>
        <w:pStyle w:val="NoSpacing"/>
      </w:pPr>
      <w:r>
        <w:t>Using a hand collected samp</w:t>
      </w:r>
      <w:r w:rsidR="00BF0E2B">
        <w:t>le of bank loan announcements</w:t>
      </w:r>
      <w:r w:rsidR="00417C4E">
        <w:t xml:space="preserve"> disclosed by Australian MDSE’s</w:t>
      </w:r>
      <w:r w:rsidR="00BF0E2B">
        <w:t>, we</w:t>
      </w:r>
      <w:r>
        <w:t xml:space="preserve"> provide evidence that bank loan announcements can signal important price sensitive information regarding the borrowing firm’s inside information.</w:t>
      </w:r>
      <w:r w:rsidR="00566B07">
        <w:t xml:space="preserve"> </w:t>
      </w:r>
      <w:r w:rsidR="00972B1C">
        <w:t xml:space="preserve">We consider three research questions. First do initial loans matter more than subsequent </w:t>
      </w:r>
      <w:proofErr w:type="gramStart"/>
      <w:r w:rsidR="00972B1C">
        <w:t>loans.</w:t>
      </w:r>
      <w:proofErr w:type="gramEnd"/>
      <w:r w:rsidR="00972B1C">
        <w:t xml:space="preserve"> Second, do loans result in reduced information asymmetry and third, does a specialist lender matter. We find </w:t>
      </w:r>
      <w:r>
        <w:t>Zero-leverage firms initiating a banking relationship experience a significant and positive abnormal return</w:t>
      </w:r>
      <w:r w:rsidR="005D5589">
        <w:t xml:space="preserve"> of 2.480%</w:t>
      </w:r>
      <w:r>
        <w:t xml:space="preserve"> on the day a loan announcement is released, and experience a positive cumulative average abnormal return</w:t>
      </w:r>
      <w:r w:rsidR="005D5589">
        <w:t xml:space="preserve"> of 2.732% during</w:t>
      </w:r>
      <w:r>
        <w:t xml:space="preserve"> the -5 to 5 day event window surrounding loan announcements.</w:t>
      </w:r>
      <w:r w:rsidR="00566B07">
        <w:t xml:space="preserve"> </w:t>
      </w:r>
      <w:r w:rsidR="00417C4E">
        <w:t>Despite univariate evidence consistent with initial bank loans having stronger market reactions, our proxy is not significant in m</w:t>
      </w:r>
      <w:r>
        <w:t>ultivariate analysis</w:t>
      </w:r>
      <w:r w:rsidR="00972B1C">
        <w:t xml:space="preserve">. </w:t>
      </w:r>
      <w:r>
        <w:t xml:space="preserve"> </w:t>
      </w:r>
      <w:r w:rsidR="00972B1C">
        <w:t>Rather, firm and loan characteristics such as</w:t>
      </w:r>
      <w:r w:rsidR="005328B4">
        <w:t xml:space="preserve"> </w:t>
      </w:r>
      <w:r w:rsidR="00972B1C">
        <w:t xml:space="preserve">disclosure </w:t>
      </w:r>
      <w:r w:rsidR="005328B4">
        <w:t>sequenc</w:t>
      </w:r>
      <w:r w:rsidR="00972B1C">
        <w:t>ing</w:t>
      </w:r>
      <w:r w:rsidR="005328B4">
        <w:t>, the amount borrowed, equity position</w:t>
      </w:r>
      <w:r w:rsidR="00972B1C">
        <w:t>s</w:t>
      </w:r>
      <w:r w:rsidR="005328B4">
        <w:t xml:space="preserve"> in the borrow</w:t>
      </w:r>
      <w:r w:rsidR="00972B1C">
        <w:t>er</w:t>
      </w:r>
      <w:r w:rsidR="005328B4">
        <w:t xml:space="preserve"> and the number of analysts covering the firm are all important predictors of announcement returns. </w:t>
      </w:r>
      <w:r w:rsidR="00972B1C">
        <w:t>I</w:t>
      </w:r>
      <w:r w:rsidR="006E0CB8">
        <w:t xml:space="preserve">n a multivariate setting, </w:t>
      </w:r>
      <w:r w:rsidR="00F109A0">
        <w:t xml:space="preserve">both initial and subsequent loans </w:t>
      </w:r>
      <w:r w:rsidR="00972B1C">
        <w:t xml:space="preserve">are important capital market </w:t>
      </w:r>
      <w:r w:rsidR="00F109A0">
        <w:t>signal</w:t>
      </w:r>
      <w:r w:rsidR="00972B1C">
        <w:t xml:space="preserve">s in this setting. </w:t>
      </w:r>
    </w:p>
    <w:p w:rsidR="00803CD9" w:rsidRDefault="00972B1C" w:rsidP="003B76A4">
      <w:r>
        <w:t>In terms of our second research question relating to information asymmetry, our r</w:t>
      </w:r>
      <w:r w:rsidR="00B07865">
        <w:t xml:space="preserve">esults show that bank loan announcements are associated with an increase in abnormal trading turnover, and a decrease in abnormal bid-ask spread. An increase in turnover and a decrease in spread </w:t>
      </w:r>
      <w:r w:rsidR="00692A4E">
        <w:t>are</w:t>
      </w:r>
      <w:r w:rsidR="00B07865">
        <w:t xml:space="preserve"> consistent with a reduction in the borrowing firm’s information asymmetry. </w:t>
      </w:r>
      <w:r>
        <w:t xml:space="preserve">We suggest that </w:t>
      </w:r>
      <w:r w:rsidR="00692A4E">
        <w:t>banks signal</w:t>
      </w:r>
      <w:r>
        <w:t>ling</w:t>
      </w:r>
      <w:r w:rsidR="00692A4E">
        <w:t xml:space="preserve"> their private information regarding the borrowing result in an improved information environment</w:t>
      </w:r>
      <w:r>
        <w:t xml:space="preserve"> in the capital market</w:t>
      </w:r>
      <w:r w:rsidR="00692A4E">
        <w:t>.</w:t>
      </w:r>
      <w:r w:rsidR="003B76A4">
        <w:t xml:space="preserve"> </w:t>
      </w:r>
    </w:p>
    <w:p w:rsidR="00692A4E" w:rsidRPr="00566B07" w:rsidRDefault="003B76A4" w:rsidP="00040563">
      <w:pPr>
        <w:ind w:firstLine="0"/>
      </w:pPr>
      <w:r>
        <w:tab/>
      </w:r>
      <w:r w:rsidR="00972B1C">
        <w:t>Last</w:t>
      </w:r>
      <w:r>
        <w:t xml:space="preserve">, </w:t>
      </w:r>
      <w:r w:rsidR="00720692">
        <w:t>consistent with prior research suggesting that bank lender identity is associated with bank loan announcement returns (Ross 2010)</w:t>
      </w:r>
      <w:proofErr w:type="gramStart"/>
      <w:r w:rsidR="00720692">
        <w:t>,</w:t>
      </w:r>
      <w:proofErr w:type="gramEnd"/>
      <w:r w:rsidR="00720692">
        <w:t xml:space="preserve"> </w:t>
      </w:r>
      <w:r w:rsidR="002709AF">
        <w:t>we</w:t>
      </w:r>
      <w:r>
        <w:t xml:space="preserve"> investigate whether loans issued by </w:t>
      </w:r>
      <w:r w:rsidR="00972B1C">
        <w:lastRenderedPageBreak/>
        <w:t xml:space="preserve">the </w:t>
      </w:r>
      <w:r>
        <w:t xml:space="preserve">industry leader </w:t>
      </w:r>
      <w:r w:rsidR="00692A4E">
        <w:t xml:space="preserve">Macquarie Bank </w:t>
      </w:r>
      <w:r w:rsidR="00972B1C">
        <w:t xml:space="preserve">result in stronger market reactions. </w:t>
      </w:r>
      <w:r w:rsidR="000E10E9">
        <w:t xml:space="preserve">Univariate results </w:t>
      </w:r>
      <w:r w:rsidR="00972B1C">
        <w:t xml:space="preserve">support this assertion, with </w:t>
      </w:r>
      <w:r w:rsidR="00DB2A74">
        <w:t xml:space="preserve">borrowers </w:t>
      </w:r>
      <w:r w:rsidR="000E10E9">
        <w:t>obtaining</w:t>
      </w:r>
      <w:r w:rsidR="00DB2A74">
        <w:t xml:space="preserve"> </w:t>
      </w:r>
      <w:r w:rsidR="000E10E9">
        <w:t>loan</w:t>
      </w:r>
      <w:r w:rsidR="00DB2A74">
        <w:t>s</w:t>
      </w:r>
      <w:r w:rsidR="000E10E9">
        <w:t xml:space="preserve"> from Macquarie Bank experience a significantly larger cumulative average abnormal return in the -5 to 5 day event window relative to loans issued by non-leaders. </w:t>
      </w:r>
      <w:r w:rsidR="00FD4B67">
        <w:t xml:space="preserve">Multivariate results </w:t>
      </w:r>
      <w:r w:rsidR="00720692">
        <w:t xml:space="preserve">support this finding </w:t>
      </w:r>
      <w:r w:rsidR="00FD4B67">
        <w:t xml:space="preserve">after controlling for other firm and loan characteristics. </w:t>
      </w:r>
    </w:p>
    <w:p w:rsidR="002A132E" w:rsidRDefault="00EE2EF0" w:rsidP="001906C1">
      <w:pPr>
        <w:pStyle w:val="NoSpacing"/>
        <w:keepNext/>
        <w:ind w:firstLine="720"/>
      </w:pPr>
      <w:r>
        <w:t xml:space="preserve">In contrast to recent evidence suggesting bank loans are not </w:t>
      </w:r>
      <w:proofErr w:type="gramStart"/>
      <w:r>
        <w:t>informative,</w:t>
      </w:r>
      <w:proofErr w:type="gramEnd"/>
      <w:r>
        <w:t xml:space="preserve"> our r</w:t>
      </w:r>
      <w:r w:rsidR="00551DFB">
        <w:t>esults suggest</w:t>
      </w:r>
      <w:r w:rsidR="00B633EE">
        <w:t xml:space="preserve"> </w:t>
      </w:r>
      <w:r>
        <w:t xml:space="preserve">bank loans convey strongly positive </w:t>
      </w:r>
      <w:r w:rsidR="00C42DDC">
        <w:t>signals regarding the borrow</w:t>
      </w:r>
      <w:r>
        <w:t xml:space="preserve">ers future prospects. Our study provides further out of US sample evidence on bank loan announcements, and the first evidence on the importance of private debt financing in the mining industry. This industry is characterised by high information asymmetry, arguably a good setting in which to observe important distinctions such as loan initiation and lender specialisation. Given the importance of bank financing in the mining industry, our study suggests more can be learnt from future industry studies, which have desirable experimental </w:t>
      </w:r>
      <w:r w:rsidR="00AB143A">
        <w:t xml:space="preserve">attributes </w:t>
      </w:r>
      <w:r>
        <w:t>(</w:t>
      </w:r>
      <w:proofErr w:type="spellStart"/>
      <w:r>
        <w:t>Shevlin</w:t>
      </w:r>
      <w:proofErr w:type="spellEnd"/>
      <w:r>
        <w:t xml:space="preserve">, 1996). </w:t>
      </w:r>
    </w:p>
    <w:p w:rsidR="00981D0A" w:rsidRDefault="00981D0A">
      <w:pPr>
        <w:spacing w:line="276" w:lineRule="auto"/>
        <w:ind w:firstLine="0"/>
        <w:sectPr w:rsidR="00981D0A" w:rsidSect="00981D0A">
          <w:footerReference w:type="default" r:id="rId11"/>
          <w:pgSz w:w="11906" w:h="16838"/>
          <w:pgMar w:top="1440" w:right="1440" w:bottom="1440" w:left="1440" w:header="708" w:footer="708" w:gutter="0"/>
          <w:cols w:space="708"/>
          <w:docGrid w:linePitch="360"/>
        </w:sectPr>
      </w:pPr>
    </w:p>
    <w:p w:rsidR="0029636F" w:rsidRPr="00F602AB" w:rsidRDefault="0029636F" w:rsidP="00981D0A">
      <w:pPr>
        <w:pStyle w:val="Heading2"/>
        <w:numPr>
          <w:ilvl w:val="0"/>
          <w:numId w:val="0"/>
        </w:numPr>
      </w:pPr>
      <w:bookmarkStart w:id="25" w:name="_Toc379787310"/>
      <w:r>
        <w:lastRenderedPageBreak/>
        <w:t>Tables and figures</w:t>
      </w:r>
      <w:bookmarkEnd w:id="25"/>
    </w:p>
    <w:p w:rsidR="0029636F" w:rsidRPr="00F521A0" w:rsidRDefault="0029636F" w:rsidP="0029636F">
      <w:pPr>
        <w:pStyle w:val="Table"/>
      </w:pPr>
      <w:bookmarkStart w:id="26" w:name="_Ref377996056"/>
      <w:bookmarkStart w:id="27" w:name="_Ref378020134"/>
      <w:bookmarkStart w:id="28" w:name="_Toc379787334"/>
      <w:r w:rsidRPr="00F521A0">
        <w:t>Table</w:t>
      </w:r>
      <w:r w:rsidR="00213CD2">
        <w:t xml:space="preserve"> </w:t>
      </w:r>
      <w:bookmarkEnd w:id="26"/>
      <w:r w:rsidR="009C0FA7">
        <w:t>1</w:t>
      </w:r>
      <w:r w:rsidRPr="00F521A0">
        <w:t xml:space="preserve"> Sample </w:t>
      </w:r>
      <w:bookmarkEnd w:id="27"/>
      <w:bookmarkEnd w:id="28"/>
    </w:p>
    <w:tbl>
      <w:tblPr>
        <w:tblStyle w:val="LightShading"/>
        <w:tblW w:w="0" w:type="auto"/>
        <w:tblLook w:val="04A0" w:firstRow="1" w:lastRow="0" w:firstColumn="1" w:lastColumn="0" w:noHBand="0" w:noVBand="1"/>
      </w:tblPr>
      <w:tblGrid>
        <w:gridCol w:w="1833"/>
        <w:gridCol w:w="222"/>
        <w:gridCol w:w="1227"/>
        <w:gridCol w:w="1715"/>
        <w:gridCol w:w="2294"/>
      </w:tblGrid>
      <w:tr w:rsidR="0029636F" w:rsidRPr="00F521A0" w:rsidTr="00DB1BC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p>
        </w:tc>
        <w:tc>
          <w:tcPr>
            <w:tcW w:w="0" w:type="auto"/>
            <w:shd w:val="clear" w:color="auto" w:fill="auto"/>
            <w:noWrap/>
            <w:hideMark/>
          </w:tcPr>
          <w:p w:rsidR="0029636F" w:rsidRPr="00F521A0" w:rsidRDefault="0029636F" w:rsidP="00DB1BC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en-AU"/>
              </w:rPr>
            </w:pPr>
            <w:r w:rsidRPr="00F521A0">
              <w:rPr>
                <w:rFonts w:asciiTheme="minorHAnsi" w:eastAsia="Times New Roman" w:hAnsiTheme="minorHAnsi" w:cstheme="minorHAnsi"/>
                <w:color w:val="000000"/>
                <w:sz w:val="22"/>
                <w:lang w:eastAsia="en-AU"/>
              </w:rPr>
              <w:t>Companies</w:t>
            </w:r>
          </w:p>
        </w:tc>
        <w:tc>
          <w:tcPr>
            <w:tcW w:w="0" w:type="auto"/>
            <w:shd w:val="clear" w:color="auto" w:fill="auto"/>
            <w:noWrap/>
            <w:hideMark/>
          </w:tcPr>
          <w:p w:rsidR="0029636F" w:rsidRPr="00F521A0" w:rsidRDefault="0029636F" w:rsidP="00DB1BC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en-AU"/>
              </w:rPr>
            </w:pPr>
            <w:r w:rsidRPr="00F521A0">
              <w:rPr>
                <w:rFonts w:asciiTheme="minorHAnsi" w:eastAsia="Times New Roman" w:hAnsiTheme="minorHAnsi" w:cstheme="minorHAnsi"/>
                <w:color w:val="000000"/>
                <w:sz w:val="22"/>
                <w:lang w:eastAsia="en-AU"/>
              </w:rPr>
              <w:t>Announcements</w:t>
            </w:r>
          </w:p>
        </w:tc>
        <w:tc>
          <w:tcPr>
            <w:tcW w:w="0" w:type="auto"/>
            <w:shd w:val="clear" w:color="auto" w:fill="auto"/>
            <w:noWrap/>
            <w:hideMark/>
          </w:tcPr>
          <w:p w:rsidR="0029636F" w:rsidRPr="00F521A0" w:rsidRDefault="0029636F" w:rsidP="00DB1BC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2"/>
                <w:lang w:eastAsia="en-AU"/>
              </w:rPr>
            </w:pPr>
            <w:r w:rsidRPr="00F521A0">
              <w:rPr>
                <w:rFonts w:asciiTheme="minorHAnsi" w:eastAsia="Times New Roman" w:hAnsiTheme="minorHAnsi" w:cstheme="minorHAnsi"/>
                <w:color w:val="000000"/>
                <w:sz w:val="22"/>
                <w:lang w:eastAsia="en-AU"/>
              </w:rPr>
              <w:t>Period</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center"/>
              <w:rPr>
                <w:rFonts w:asciiTheme="minorHAnsi" w:eastAsia="Times New Roman" w:hAnsiTheme="minorHAnsi" w:cstheme="minorHAnsi"/>
                <w:color w:val="000000"/>
                <w:sz w:val="22"/>
                <w:lang w:eastAsia="en-AU"/>
              </w:rPr>
            </w:pPr>
            <w:r w:rsidRPr="00F521A0">
              <w:rPr>
                <w:rFonts w:asciiTheme="minorHAnsi" w:eastAsia="Times New Roman" w:hAnsiTheme="minorHAnsi" w:cstheme="minorHAnsi"/>
                <w:color w:val="000000"/>
                <w:sz w:val="22"/>
                <w:lang w:eastAsia="en-AU"/>
              </w:rPr>
              <w:t>Initial loans</w:t>
            </w:r>
          </w:p>
        </w:tc>
        <w:tc>
          <w:tcPr>
            <w:tcW w:w="0" w:type="auto"/>
            <w:shd w:val="clear" w:color="auto" w:fill="auto"/>
            <w:noWrap/>
            <w:hideMark/>
          </w:tcPr>
          <w:p w:rsidR="0029636F" w:rsidRPr="00F521A0" w:rsidRDefault="0029636F" w:rsidP="00DB1BC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AU"/>
              </w:rPr>
            </w:pPr>
          </w:p>
        </w:tc>
        <w:tc>
          <w:tcPr>
            <w:tcW w:w="0" w:type="auto"/>
            <w:shd w:val="clear" w:color="auto" w:fill="auto"/>
            <w:noWrap/>
            <w:hideMark/>
          </w:tcPr>
          <w:p w:rsidR="0029636F" w:rsidRPr="00F521A0" w:rsidRDefault="0029636F" w:rsidP="00DB1BC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AU"/>
              </w:rPr>
            </w:pPr>
            <w:r w:rsidRPr="00F521A0">
              <w:rPr>
                <w:rFonts w:eastAsia="Times New Roman" w:cs="Times New Roman"/>
                <w:color w:val="000000"/>
                <w:sz w:val="20"/>
                <w:szCs w:val="20"/>
                <w:lang w:eastAsia="en-AU"/>
              </w:rPr>
              <w:t>126</w:t>
            </w:r>
          </w:p>
        </w:tc>
        <w:tc>
          <w:tcPr>
            <w:tcW w:w="0" w:type="auto"/>
            <w:shd w:val="clear" w:color="auto" w:fill="auto"/>
            <w:noWrap/>
            <w:hideMark/>
          </w:tcPr>
          <w:p w:rsidR="0029636F" w:rsidRPr="00F521A0" w:rsidRDefault="0029636F" w:rsidP="00DB1BC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AU"/>
              </w:rPr>
            </w:pPr>
            <w:r w:rsidRPr="00F521A0">
              <w:rPr>
                <w:rFonts w:eastAsia="Times New Roman" w:cs="Times New Roman"/>
                <w:color w:val="000000"/>
                <w:sz w:val="20"/>
                <w:szCs w:val="20"/>
                <w:lang w:eastAsia="en-AU"/>
              </w:rPr>
              <w:t>216</w:t>
            </w:r>
          </w:p>
        </w:tc>
        <w:tc>
          <w:tcPr>
            <w:tcW w:w="0" w:type="auto"/>
            <w:shd w:val="clear" w:color="auto" w:fill="auto"/>
            <w:noWrap/>
            <w:hideMark/>
          </w:tcPr>
          <w:p w:rsidR="0029636F" w:rsidRPr="00F521A0" w:rsidRDefault="0029636F" w:rsidP="00DB1BC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AU"/>
              </w:rPr>
            </w:pPr>
            <w:r w:rsidRPr="00F521A0">
              <w:rPr>
                <w:rFonts w:eastAsia="Times New Roman" w:cs="Times New Roman"/>
                <w:color w:val="000000"/>
                <w:sz w:val="20"/>
                <w:szCs w:val="20"/>
                <w:lang w:eastAsia="en-AU"/>
              </w:rPr>
              <w:t>25/02/1998 to 02/04/2013</w:t>
            </w:r>
          </w:p>
        </w:tc>
      </w:tr>
      <w:tr w:rsidR="0029636F" w:rsidRPr="00F521A0" w:rsidTr="00DB1BCC">
        <w:trPr>
          <w:trHeight w:val="51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29636F" w:rsidRPr="00F521A0" w:rsidRDefault="0029636F" w:rsidP="00DB1BCC">
            <w:pPr>
              <w:spacing w:line="240" w:lineRule="auto"/>
              <w:ind w:firstLine="0"/>
              <w:jc w:val="center"/>
              <w:rPr>
                <w:rFonts w:asciiTheme="minorHAnsi" w:eastAsia="Times New Roman" w:hAnsiTheme="minorHAnsi" w:cstheme="minorHAnsi"/>
                <w:color w:val="000000"/>
                <w:sz w:val="22"/>
                <w:lang w:eastAsia="en-AU"/>
              </w:rPr>
            </w:pPr>
          </w:p>
        </w:tc>
        <w:tc>
          <w:tcPr>
            <w:tcW w:w="0" w:type="auto"/>
            <w:shd w:val="clear" w:color="auto" w:fill="auto"/>
            <w:noWrap/>
          </w:tcPr>
          <w:p w:rsidR="0029636F" w:rsidRPr="00F521A0" w:rsidRDefault="0029636F" w:rsidP="00DB1BC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AU"/>
              </w:rPr>
            </w:pPr>
          </w:p>
        </w:tc>
        <w:tc>
          <w:tcPr>
            <w:tcW w:w="0" w:type="auto"/>
            <w:shd w:val="clear" w:color="auto" w:fill="auto"/>
            <w:noWrap/>
          </w:tcPr>
          <w:p w:rsidR="0029636F" w:rsidRPr="00F521A0" w:rsidRDefault="0029636F" w:rsidP="00DB1BC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AU"/>
              </w:rPr>
            </w:pPr>
          </w:p>
        </w:tc>
        <w:tc>
          <w:tcPr>
            <w:tcW w:w="0" w:type="auto"/>
            <w:shd w:val="clear" w:color="auto" w:fill="auto"/>
            <w:noWrap/>
          </w:tcPr>
          <w:p w:rsidR="0029636F" w:rsidRPr="00F521A0" w:rsidRDefault="0029636F" w:rsidP="00DB1BC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AU"/>
              </w:rPr>
            </w:pPr>
          </w:p>
        </w:tc>
        <w:tc>
          <w:tcPr>
            <w:tcW w:w="0" w:type="auto"/>
            <w:shd w:val="clear" w:color="auto" w:fill="auto"/>
            <w:noWrap/>
          </w:tcPr>
          <w:p w:rsidR="0029636F" w:rsidRPr="00F521A0" w:rsidRDefault="0029636F" w:rsidP="00DB1BC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AU"/>
              </w:rPr>
            </w:pP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center"/>
              <w:rPr>
                <w:rFonts w:asciiTheme="minorHAnsi" w:eastAsia="Times New Roman" w:hAnsiTheme="minorHAnsi" w:cstheme="minorHAnsi"/>
                <w:color w:val="000000"/>
                <w:sz w:val="22"/>
                <w:lang w:eastAsia="en-AU"/>
              </w:rPr>
            </w:pPr>
            <w:r w:rsidRPr="00F521A0">
              <w:rPr>
                <w:rFonts w:asciiTheme="minorHAnsi" w:eastAsia="Times New Roman" w:hAnsiTheme="minorHAnsi" w:cstheme="minorHAnsi"/>
                <w:color w:val="000000"/>
                <w:sz w:val="22"/>
                <w:lang w:eastAsia="en-AU"/>
              </w:rPr>
              <w:t>Subsequent loans</w:t>
            </w:r>
          </w:p>
        </w:tc>
        <w:tc>
          <w:tcPr>
            <w:tcW w:w="0" w:type="auto"/>
            <w:shd w:val="clear" w:color="auto" w:fill="auto"/>
            <w:noWrap/>
            <w:hideMark/>
          </w:tcPr>
          <w:p w:rsidR="0029636F" w:rsidRPr="00F521A0" w:rsidRDefault="0029636F" w:rsidP="00DB1BC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en-AU"/>
              </w:rPr>
            </w:pPr>
          </w:p>
        </w:tc>
        <w:tc>
          <w:tcPr>
            <w:tcW w:w="0" w:type="auto"/>
            <w:shd w:val="clear" w:color="auto" w:fill="auto"/>
            <w:noWrap/>
            <w:hideMark/>
          </w:tcPr>
          <w:p w:rsidR="0029636F" w:rsidRPr="00F521A0" w:rsidRDefault="0029636F" w:rsidP="00DB1BC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AU"/>
              </w:rPr>
            </w:pPr>
            <w:r w:rsidRPr="00F521A0">
              <w:rPr>
                <w:rFonts w:eastAsia="Times New Roman" w:cs="Times New Roman"/>
                <w:color w:val="000000"/>
                <w:sz w:val="20"/>
                <w:szCs w:val="20"/>
                <w:lang w:eastAsia="en-AU"/>
              </w:rPr>
              <w:t>96</w:t>
            </w:r>
          </w:p>
        </w:tc>
        <w:tc>
          <w:tcPr>
            <w:tcW w:w="0" w:type="auto"/>
            <w:shd w:val="clear" w:color="auto" w:fill="auto"/>
            <w:noWrap/>
            <w:hideMark/>
          </w:tcPr>
          <w:p w:rsidR="0029636F" w:rsidRPr="00F521A0" w:rsidRDefault="0029636F" w:rsidP="00DB1BC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AU"/>
              </w:rPr>
            </w:pPr>
            <w:r w:rsidRPr="00F521A0">
              <w:rPr>
                <w:rFonts w:eastAsia="Times New Roman" w:cs="Times New Roman"/>
                <w:color w:val="000000"/>
                <w:sz w:val="20"/>
                <w:szCs w:val="20"/>
                <w:lang w:eastAsia="en-AU"/>
              </w:rPr>
              <w:t>191</w:t>
            </w:r>
          </w:p>
        </w:tc>
        <w:tc>
          <w:tcPr>
            <w:tcW w:w="0" w:type="auto"/>
            <w:shd w:val="clear" w:color="auto" w:fill="auto"/>
            <w:noWrap/>
            <w:hideMark/>
          </w:tcPr>
          <w:p w:rsidR="0029636F" w:rsidRPr="00F521A0" w:rsidRDefault="0029636F" w:rsidP="00DB1BC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AU"/>
              </w:rPr>
            </w:pPr>
            <w:r w:rsidRPr="00F521A0">
              <w:rPr>
                <w:rFonts w:eastAsia="Times New Roman" w:cs="Times New Roman"/>
                <w:color w:val="000000"/>
                <w:sz w:val="20"/>
                <w:szCs w:val="20"/>
                <w:lang w:eastAsia="en-AU"/>
              </w:rPr>
              <w:t>23/03/1998 to 16/07/2013</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center"/>
              <w:rPr>
                <w:rFonts w:asciiTheme="minorHAnsi" w:eastAsia="Times New Roman" w:hAnsiTheme="minorHAnsi" w:cstheme="minorHAnsi"/>
                <w:color w:val="000000"/>
                <w:sz w:val="22"/>
                <w:lang w:eastAsia="en-AU"/>
              </w:rPr>
            </w:pPr>
          </w:p>
        </w:tc>
        <w:tc>
          <w:tcPr>
            <w:tcW w:w="0" w:type="auto"/>
            <w:shd w:val="clear" w:color="auto" w:fill="auto"/>
            <w:noWrap/>
            <w:hideMark/>
          </w:tcPr>
          <w:p w:rsidR="0029636F" w:rsidRPr="00F521A0" w:rsidRDefault="0029636F" w:rsidP="00DB1BC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AU"/>
              </w:rPr>
            </w:pPr>
          </w:p>
        </w:tc>
        <w:tc>
          <w:tcPr>
            <w:tcW w:w="0" w:type="auto"/>
            <w:shd w:val="clear" w:color="auto" w:fill="auto"/>
            <w:noWrap/>
            <w:hideMark/>
          </w:tcPr>
          <w:p w:rsidR="0029636F" w:rsidRPr="00F521A0" w:rsidRDefault="0029636F" w:rsidP="00DB1BC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AU"/>
              </w:rPr>
            </w:pPr>
          </w:p>
        </w:tc>
        <w:tc>
          <w:tcPr>
            <w:tcW w:w="0" w:type="auto"/>
            <w:shd w:val="clear" w:color="auto" w:fill="auto"/>
            <w:noWrap/>
            <w:hideMark/>
          </w:tcPr>
          <w:p w:rsidR="0029636F" w:rsidRPr="00F521A0" w:rsidRDefault="0029636F" w:rsidP="00DB1BC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AU"/>
              </w:rPr>
            </w:pPr>
          </w:p>
        </w:tc>
        <w:tc>
          <w:tcPr>
            <w:tcW w:w="0" w:type="auto"/>
            <w:shd w:val="clear" w:color="auto" w:fill="auto"/>
            <w:noWrap/>
            <w:hideMark/>
          </w:tcPr>
          <w:p w:rsidR="0029636F" w:rsidRPr="00F521A0" w:rsidRDefault="0029636F" w:rsidP="00DB1BCC">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en-AU"/>
              </w:rPr>
            </w:pPr>
            <w:r w:rsidRPr="00F521A0">
              <w:rPr>
                <w:rFonts w:eastAsia="Times New Roman" w:cs="Times New Roman"/>
                <w:color w:val="000000"/>
                <w:sz w:val="20"/>
                <w:szCs w:val="20"/>
                <w:lang w:eastAsia="en-AU"/>
              </w:rPr>
              <w:t>-</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center"/>
              <w:rPr>
                <w:rFonts w:asciiTheme="minorHAnsi" w:eastAsia="Times New Roman" w:hAnsiTheme="minorHAnsi" w:cstheme="minorHAnsi"/>
                <w:color w:val="000000"/>
                <w:sz w:val="22"/>
                <w:lang w:eastAsia="en-AU"/>
              </w:rPr>
            </w:pPr>
            <w:r w:rsidRPr="00F521A0">
              <w:rPr>
                <w:rFonts w:asciiTheme="minorHAnsi" w:eastAsia="Times New Roman" w:hAnsiTheme="minorHAnsi" w:cstheme="minorHAnsi"/>
                <w:color w:val="000000"/>
                <w:sz w:val="22"/>
                <w:lang w:eastAsia="en-AU"/>
              </w:rPr>
              <w:t>Total sample</w:t>
            </w:r>
          </w:p>
        </w:tc>
        <w:tc>
          <w:tcPr>
            <w:tcW w:w="0" w:type="auto"/>
            <w:shd w:val="clear" w:color="auto" w:fill="auto"/>
            <w:noWrap/>
            <w:hideMark/>
          </w:tcPr>
          <w:p w:rsidR="0029636F" w:rsidRPr="00F521A0" w:rsidRDefault="0029636F" w:rsidP="00DB1BC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AU"/>
              </w:rPr>
            </w:pPr>
          </w:p>
        </w:tc>
        <w:tc>
          <w:tcPr>
            <w:tcW w:w="0" w:type="auto"/>
            <w:shd w:val="clear" w:color="auto" w:fill="auto"/>
            <w:noWrap/>
            <w:hideMark/>
          </w:tcPr>
          <w:p w:rsidR="0029636F" w:rsidRPr="00F521A0" w:rsidRDefault="0029636F" w:rsidP="00DB1BC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AU"/>
              </w:rPr>
            </w:pPr>
            <w:r w:rsidRPr="00F521A0">
              <w:rPr>
                <w:rFonts w:eastAsia="Times New Roman" w:cs="Times New Roman"/>
                <w:color w:val="000000"/>
                <w:sz w:val="20"/>
                <w:szCs w:val="20"/>
                <w:lang w:eastAsia="en-AU"/>
              </w:rPr>
              <w:t>163</w:t>
            </w:r>
          </w:p>
        </w:tc>
        <w:tc>
          <w:tcPr>
            <w:tcW w:w="0" w:type="auto"/>
            <w:shd w:val="clear" w:color="auto" w:fill="auto"/>
            <w:noWrap/>
            <w:hideMark/>
          </w:tcPr>
          <w:p w:rsidR="0029636F" w:rsidRPr="00F521A0" w:rsidRDefault="0029636F" w:rsidP="00DB1BC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AU"/>
              </w:rPr>
            </w:pPr>
            <w:r w:rsidRPr="00F521A0">
              <w:rPr>
                <w:rFonts w:eastAsia="Times New Roman" w:cs="Times New Roman"/>
                <w:color w:val="000000"/>
                <w:sz w:val="20"/>
                <w:szCs w:val="20"/>
                <w:lang w:eastAsia="en-AU"/>
              </w:rPr>
              <w:t>407</w:t>
            </w:r>
          </w:p>
        </w:tc>
        <w:tc>
          <w:tcPr>
            <w:tcW w:w="0" w:type="auto"/>
            <w:shd w:val="clear" w:color="auto" w:fill="auto"/>
            <w:noWrap/>
            <w:hideMark/>
          </w:tcPr>
          <w:p w:rsidR="0029636F" w:rsidRPr="00F521A0" w:rsidRDefault="0029636F" w:rsidP="00DB1BCC">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en-AU"/>
              </w:rPr>
            </w:pPr>
            <w:r w:rsidRPr="00F521A0">
              <w:rPr>
                <w:rFonts w:eastAsia="Times New Roman" w:cs="Times New Roman"/>
                <w:color w:val="000000"/>
                <w:sz w:val="20"/>
                <w:szCs w:val="20"/>
                <w:lang w:eastAsia="en-AU"/>
              </w:rPr>
              <w:t>25/02/1998 to 16/07/2013</w:t>
            </w:r>
          </w:p>
        </w:tc>
      </w:tr>
    </w:tbl>
    <w:p w:rsidR="0029636F" w:rsidRPr="00F521A0" w:rsidRDefault="0029636F" w:rsidP="0029636F">
      <w:pPr>
        <w:pStyle w:val="TableDesc"/>
      </w:pPr>
      <w:r w:rsidRPr="00F521A0">
        <w:fldChar w:fldCharType="begin"/>
      </w:r>
      <w:r w:rsidRPr="00F521A0">
        <w:instrText xml:space="preserve"> REF _Ref377996056 \h  \* MERGEFORMAT </w:instrText>
      </w:r>
      <w:r w:rsidRPr="00F521A0">
        <w:fldChar w:fldCharType="separate"/>
      </w:r>
      <w:r w:rsidR="0089071A" w:rsidRPr="00F521A0">
        <w:t>Table</w:t>
      </w:r>
      <w:r w:rsidR="0089071A">
        <w:t xml:space="preserve"> </w:t>
      </w:r>
      <w:r w:rsidRPr="00F521A0">
        <w:fldChar w:fldCharType="end"/>
      </w:r>
      <w:r w:rsidRPr="00F521A0">
        <w:t xml:space="preserve"> displays the number of observations in the Initial loans and Subsequent loans sample and the period in time in which the loan announcement are observed. Companies’ represents the number of unique companies in the sample. Announcements’ represents the number of different announcements observed.</w:t>
      </w:r>
    </w:p>
    <w:p w:rsidR="0029636F" w:rsidRPr="00F521A0" w:rsidRDefault="0029636F" w:rsidP="0029636F">
      <w:pPr>
        <w:pStyle w:val="TableDesc"/>
        <w:rPr>
          <w:rFonts w:eastAsiaTheme="majorEastAsia" w:cstheme="majorBidi"/>
          <w:b/>
          <w:szCs w:val="26"/>
        </w:rPr>
      </w:pPr>
    </w:p>
    <w:p w:rsidR="0056081D" w:rsidRDefault="0056081D">
      <w:pPr>
        <w:spacing w:line="276" w:lineRule="auto"/>
        <w:ind w:firstLine="0"/>
        <w:rPr>
          <w:b/>
        </w:rPr>
      </w:pPr>
      <w:bookmarkStart w:id="29" w:name="_Ref378224548"/>
      <w:bookmarkStart w:id="30" w:name="_Toc379787338"/>
      <w:bookmarkStart w:id="31" w:name="_Ref377997276"/>
      <w:r>
        <w:br w:type="page"/>
      </w:r>
    </w:p>
    <w:p w:rsidR="0056081D" w:rsidRDefault="0056081D" w:rsidP="0029636F">
      <w:pPr>
        <w:pStyle w:val="Table"/>
        <w:sectPr w:rsidR="0056081D" w:rsidSect="0056081D">
          <w:pgSz w:w="11906" w:h="16838"/>
          <w:pgMar w:top="1440" w:right="1440" w:bottom="1440" w:left="1440" w:header="708" w:footer="708" w:gutter="0"/>
          <w:cols w:space="708"/>
          <w:docGrid w:linePitch="360"/>
        </w:sectPr>
      </w:pPr>
    </w:p>
    <w:p w:rsidR="0029636F" w:rsidRDefault="0029636F" w:rsidP="0029636F">
      <w:pPr>
        <w:pStyle w:val="Table"/>
      </w:pPr>
      <w:bookmarkStart w:id="32" w:name="_Ref380060010"/>
      <w:r>
        <w:lastRenderedPageBreak/>
        <w:t>Table</w:t>
      </w:r>
      <w:r w:rsidR="00213CD2">
        <w:t xml:space="preserve"> </w:t>
      </w:r>
      <w:bookmarkEnd w:id="29"/>
      <w:bookmarkEnd w:id="32"/>
      <w:r w:rsidR="009C0FA7">
        <w:t>2</w:t>
      </w:r>
      <w:r w:rsidRPr="00EB5FF4">
        <w:t xml:space="preserve"> </w:t>
      </w:r>
      <w:r w:rsidRPr="00F521A0">
        <w:t>Borrow</w:t>
      </w:r>
      <w:r w:rsidR="00213CD2">
        <w:t>er</w:t>
      </w:r>
      <w:r w:rsidRPr="00F521A0">
        <w:t xml:space="preserve"> descriptive statistics</w:t>
      </w:r>
      <w:bookmarkEnd w:id="30"/>
    </w:p>
    <w:p w:rsidR="0029636F" w:rsidRDefault="0029636F" w:rsidP="0029636F">
      <w:pPr>
        <w:pStyle w:val="NoSpacing"/>
      </w:pPr>
      <w:r w:rsidRPr="00F521A0">
        <w:rPr>
          <w:rFonts w:eastAsia="Times New Roman"/>
          <w:lang w:eastAsia="en-AU"/>
        </w:rPr>
        <w:t>Panel A: Initial loans sample firm descriptive statistics</w:t>
      </w:r>
    </w:p>
    <w:tbl>
      <w:tblPr>
        <w:tblStyle w:val="LightShading"/>
        <w:tblW w:w="0" w:type="auto"/>
        <w:tblLook w:val="04A0" w:firstRow="1" w:lastRow="0" w:firstColumn="1" w:lastColumn="0" w:noHBand="0" w:noVBand="1"/>
      </w:tblPr>
      <w:tblGrid>
        <w:gridCol w:w="2134"/>
        <w:gridCol w:w="1957"/>
        <w:gridCol w:w="1895"/>
        <w:gridCol w:w="2106"/>
        <w:gridCol w:w="1953"/>
        <w:gridCol w:w="2255"/>
      </w:tblGrid>
      <w:tr w:rsidR="0029636F" w:rsidRPr="00EB5FF4" w:rsidTr="00DB1B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EB5FF4" w:rsidRDefault="0029636F" w:rsidP="00DB1BCC">
            <w:pPr>
              <w:spacing w:line="240" w:lineRule="auto"/>
              <w:ind w:firstLine="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Continuous variables</w:t>
            </w:r>
          </w:p>
        </w:tc>
        <w:tc>
          <w:tcPr>
            <w:tcW w:w="0" w:type="auto"/>
            <w:shd w:val="clear" w:color="auto" w:fill="auto"/>
            <w:noWrap/>
            <w:hideMark/>
          </w:tcPr>
          <w:p w:rsidR="0029636F" w:rsidRPr="00EB5FF4"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Mean</w:t>
            </w:r>
          </w:p>
        </w:tc>
        <w:tc>
          <w:tcPr>
            <w:tcW w:w="0" w:type="auto"/>
            <w:shd w:val="clear" w:color="auto" w:fill="auto"/>
            <w:noWrap/>
            <w:hideMark/>
          </w:tcPr>
          <w:p w:rsidR="0029636F" w:rsidRPr="00EB5FF4"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Median</w:t>
            </w:r>
          </w:p>
        </w:tc>
        <w:tc>
          <w:tcPr>
            <w:tcW w:w="0" w:type="auto"/>
            <w:shd w:val="clear" w:color="auto" w:fill="auto"/>
            <w:noWrap/>
            <w:hideMark/>
          </w:tcPr>
          <w:p w:rsidR="0029636F" w:rsidRPr="00EB5FF4"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Std. Dev.</w:t>
            </w:r>
          </w:p>
        </w:tc>
        <w:tc>
          <w:tcPr>
            <w:tcW w:w="0" w:type="auto"/>
            <w:shd w:val="clear" w:color="auto" w:fill="auto"/>
            <w:noWrap/>
            <w:hideMark/>
          </w:tcPr>
          <w:p w:rsidR="0029636F" w:rsidRPr="00EB5FF4"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Min</w:t>
            </w:r>
          </w:p>
        </w:tc>
        <w:tc>
          <w:tcPr>
            <w:tcW w:w="0" w:type="auto"/>
            <w:shd w:val="clear" w:color="auto" w:fill="auto"/>
            <w:noWrap/>
            <w:hideMark/>
          </w:tcPr>
          <w:p w:rsidR="0029636F" w:rsidRPr="00EB5FF4"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Max</w:t>
            </w:r>
          </w:p>
        </w:tc>
      </w:tr>
      <w:tr w:rsidR="0029636F" w:rsidRPr="00EB5FF4"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EB5FF4" w:rsidRDefault="0029636F" w:rsidP="00DB1BCC">
            <w:pPr>
              <w:spacing w:line="240" w:lineRule="auto"/>
              <w:ind w:firstLine="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MCAP</w:t>
            </w:r>
          </w:p>
        </w:tc>
        <w:tc>
          <w:tcPr>
            <w:tcW w:w="0" w:type="auto"/>
            <w:shd w:val="clear" w:color="auto" w:fill="auto"/>
            <w:noWrap/>
            <w:hideMark/>
          </w:tcPr>
          <w:p w:rsidR="0029636F" w:rsidRPr="00EB5FF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190,290,424.53 </w:t>
            </w:r>
          </w:p>
        </w:tc>
        <w:tc>
          <w:tcPr>
            <w:tcW w:w="0" w:type="auto"/>
            <w:shd w:val="clear" w:color="auto" w:fill="auto"/>
            <w:noWrap/>
            <w:hideMark/>
          </w:tcPr>
          <w:p w:rsidR="0029636F" w:rsidRPr="00EB5FF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79,270,000.00 </w:t>
            </w:r>
          </w:p>
        </w:tc>
        <w:tc>
          <w:tcPr>
            <w:tcW w:w="0" w:type="auto"/>
            <w:shd w:val="clear" w:color="auto" w:fill="auto"/>
            <w:noWrap/>
            <w:hideMark/>
          </w:tcPr>
          <w:p w:rsidR="0029636F" w:rsidRPr="00EB5FF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249,688,105.04 </w:t>
            </w:r>
          </w:p>
        </w:tc>
        <w:tc>
          <w:tcPr>
            <w:tcW w:w="0" w:type="auto"/>
            <w:shd w:val="clear" w:color="auto" w:fill="auto"/>
            <w:noWrap/>
            <w:hideMark/>
          </w:tcPr>
          <w:p w:rsidR="0029636F" w:rsidRPr="00EB5FF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4,380,000.00 </w:t>
            </w:r>
          </w:p>
        </w:tc>
        <w:tc>
          <w:tcPr>
            <w:tcW w:w="0" w:type="auto"/>
            <w:shd w:val="clear" w:color="auto" w:fill="auto"/>
            <w:noWrap/>
            <w:hideMark/>
          </w:tcPr>
          <w:p w:rsidR="0029636F" w:rsidRPr="00EB5FF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1,113,540,000.00 </w:t>
            </w:r>
          </w:p>
        </w:tc>
      </w:tr>
      <w:tr w:rsidR="0029636F" w:rsidRPr="00EB5FF4"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EB5FF4" w:rsidRDefault="0029636F" w:rsidP="00DB1BCC">
            <w:pPr>
              <w:spacing w:line="240" w:lineRule="auto"/>
              <w:ind w:firstLine="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Total Assets</w:t>
            </w:r>
          </w:p>
        </w:tc>
        <w:tc>
          <w:tcPr>
            <w:tcW w:w="0" w:type="auto"/>
            <w:shd w:val="clear" w:color="auto" w:fill="auto"/>
            <w:noWrap/>
            <w:hideMark/>
          </w:tcPr>
          <w:p w:rsidR="0029636F" w:rsidRPr="00EB5FF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68,041,264.43 </w:t>
            </w:r>
          </w:p>
        </w:tc>
        <w:tc>
          <w:tcPr>
            <w:tcW w:w="0" w:type="auto"/>
            <w:shd w:val="clear" w:color="auto" w:fill="auto"/>
            <w:noWrap/>
            <w:hideMark/>
          </w:tcPr>
          <w:p w:rsidR="0029636F" w:rsidRPr="00EB5FF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30,433,001.00 </w:t>
            </w:r>
          </w:p>
        </w:tc>
        <w:tc>
          <w:tcPr>
            <w:tcW w:w="0" w:type="auto"/>
            <w:shd w:val="clear" w:color="auto" w:fill="auto"/>
            <w:noWrap/>
            <w:hideMark/>
          </w:tcPr>
          <w:p w:rsidR="0029636F" w:rsidRPr="00EB5FF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94,500,611.18 </w:t>
            </w:r>
          </w:p>
        </w:tc>
        <w:tc>
          <w:tcPr>
            <w:tcW w:w="0" w:type="auto"/>
            <w:shd w:val="clear" w:color="auto" w:fill="auto"/>
            <w:noWrap/>
            <w:hideMark/>
          </w:tcPr>
          <w:p w:rsidR="0029636F" w:rsidRPr="00EB5FF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25,244.00 </w:t>
            </w:r>
          </w:p>
        </w:tc>
        <w:tc>
          <w:tcPr>
            <w:tcW w:w="0" w:type="auto"/>
            <w:shd w:val="clear" w:color="auto" w:fill="auto"/>
            <w:noWrap/>
            <w:hideMark/>
          </w:tcPr>
          <w:p w:rsidR="0029636F" w:rsidRPr="00EB5FF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812,924,000.00 </w:t>
            </w:r>
          </w:p>
        </w:tc>
      </w:tr>
      <w:tr w:rsidR="0029636F" w:rsidRPr="00EB5FF4"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EB5FF4" w:rsidRDefault="0029636F" w:rsidP="00DB1BCC">
            <w:pPr>
              <w:spacing w:line="240" w:lineRule="auto"/>
              <w:ind w:firstLine="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Short Term Debt</w:t>
            </w:r>
          </w:p>
        </w:tc>
        <w:tc>
          <w:tcPr>
            <w:tcW w:w="0" w:type="auto"/>
            <w:shd w:val="clear" w:color="auto" w:fill="auto"/>
            <w:noWrap/>
            <w:hideMark/>
          </w:tcPr>
          <w:p w:rsidR="0029636F" w:rsidRPr="00EB5FF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   </w:t>
            </w:r>
          </w:p>
        </w:tc>
        <w:tc>
          <w:tcPr>
            <w:tcW w:w="0" w:type="auto"/>
            <w:shd w:val="clear" w:color="auto" w:fill="auto"/>
            <w:noWrap/>
            <w:hideMark/>
          </w:tcPr>
          <w:p w:rsidR="0029636F" w:rsidRPr="00EB5FF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   </w:t>
            </w:r>
          </w:p>
        </w:tc>
        <w:tc>
          <w:tcPr>
            <w:tcW w:w="0" w:type="auto"/>
            <w:shd w:val="clear" w:color="auto" w:fill="auto"/>
            <w:noWrap/>
            <w:hideMark/>
          </w:tcPr>
          <w:p w:rsidR="0029636F" w:rsidRPr="00EB5FF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   </w:t>
            </w:r>
          </w:p>
        </w:tc>
        <w:tc>
          <w:tcPr>
            <w:tcW w:w="0" w:type="auto"/>
            <w:shd w:val="clear" w:color="auto" w:fill="auto"/>
            <w:noWrap/>
            <w:hideMark/>
          </w:tcPr>
          <w:p w:rsidR="0029636F" w:rsidRPr="00EB5FF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   </w:t>
            </w:r>
          </w:p>
        </w:tc>
        <w:tc>
          <w:tcPr>
            <w:tcW w:w="0" w:type="auto"/>
            <w:shd w:val="clear" w:color="auto" w:fill="auto"/>
            <w:noWrap/>
            <w:hideMark/>
          </w:tcPr>
          <w:p w:rsidR="0029636F" w:rsidRPr="00EB5FF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   </w:t>
            </w:r>
          </w:p>
        </w:tc>
      </w:tr>
      <w:tr w:rsidR="0029636F" w:rsidRPr="00EB5FF4"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EB5FF4" w:rsidRDefault="0029636F" w:rsidP="00DB1BCC">
            <w:pPr>
              <w:spacing w:line="240" w:lineRule="auto"/>
              <w:ind w:firstLine="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Long Term Debt</w:t>
            </w:r>
          </w:p>
        </w:tc>
        <w:tc>
          <w:tcPr>
            <w:tcW w:w="0" w:type="auto"/>
            <w:shd w:val="clear" w:color="auto" w:fill="auto"/>
            <w:noWrap/>
            <w:hideMark/>
          </w:tcPr>
          <w:p w:rsidR="0029636F" w:rsidRPr="00EB5FF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   </w:t>
            </w:r>
          </w:p>
        </w:tc>
        <w:tc>
          <w:tcPr>
            <w:tcW w:w="0" w:type="auto"/>
            <w:shd w:val="clear" w:color="auto" w:fill="auto"/>
            <w:noWrap/>
            <w:hideMark/>
          </w:tcPr>
          <w:p w:rsidR="0029636F" w:rsidRPr="00EB5FF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   </w:t>
            </w:r>
          </w:p>
        </w:tc>
        <w:tc>
          <w:tcPr>
            <w:tcW w:w="0" w:type="auto"/>
            <w:shd w:val="clear" w:color="auto" w:fill="auto"/>
            <w:noWrap/>
            <w:hideMark/>
          </w:tcPr>
          <w:p w:rsidR="0029636F" w:rsidRPr="00EB5FF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   </w:t>
            </w:r>
          </w:p>
        </w:tc>
        <w:tc>
          <w:tcPr>
            <w:tcW w:w="0" w:type="auto"/>
            <w:shd w:val="clear" w:color="auto" w:fill="auto"/>
            <w:noWrap/>
            <w:hideMark/>
          </w:tcPr>
          <w:p w:rsidR="0029636F" w:rsidRPr="00EB5FF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   </w:t>
            </w:r>
          </w:p>
        </w:tc>
        <w:tc>
          <w:tcPr>
            <w:tcW w:w="0" w:type="auto"/>
            <w:shd w:val="clear" w:color="auto" w:fill="auto"/>
            <w:noWrap/>
            <w:hideMark/>
          </w:tcPr>
          <w:p w:rsidR="0029636F" w:rsidRPr="00EB5FF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   </w:t>
            </w:r>
          </w:p>
        </w:tc>
      </w:tr>
      <w:tr w:rsidR="0029636F" w:rsidRPr="00EB5FF4"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EB5FF4" w:rsidRDefault="0029636F" w:rsidP="00DB1BCC">
            <w:pPr>
              <w:spacing w:line="240" w:lineRule="auto"/>
              <w:ind w:firstLine="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Total Equity</w:t>
            </w:r>
          </w:p>
        </w:tc>
        <w:tc>
          <w:tcPr>
            <w:tcW w:w="0" w:type="auto"/>
            <w:shd w:val="clear" w:color="auto" w:fill="auto"/>
            <w:noWrap/>
            <w:hideMark/>
          </w:tcPr>
          <w:p w:rsidR="0029636F" w:rsidRPr="00EB5FF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57,911,514.43 </w:t>
            </w:r>
          </w:p>
        </w:tc>
        <w:tc>
          <w:tcPr>
            <w:tcW w:w="0" w:type="auto"/>
            <w:shd w:val="clear" w:color="auto" w:fill="auto"/>
            <w:noWrap/>
            <w:hideMark/>
          </w:tcPr>
          <w:p w:rsidR="0029636F" w:rsidRPr="00EB5FF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27,564,170.00 </w:t>
            </w:r>
          </w:p>
        </w:tc>
        <w:tc>
          <w:tcPr>
            <w:tcW w:w="0" w:type="auto"/>
            <w:shd w:val="clear" w:color="auto" w:fill="auto"/>
            <w:noWrap/>
            <w:hideMark/>
          </w:tcPr>
          <w:p w:rsidR="0029636F" w:rsidRPr="00EB5FF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79,022,679.98 </w:t>
            </w:r>
          </w:p>
        </w:tc>
        <w:tc>
          <w:tcPr>
            <w:tcW w:w="0" w:type="auto"/>
            <w:shd w:val="clear" w:color="auto" w:fill="auto"/>
            <w:noWrap/>
            <w:hideMark/>
          </w:tcPr>
          <w:p w:rsidR="0029636F" w:rsidRPr="00EB5FF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16,828,451.00 </w:t>
            </w:r>
          </w:p>
        </w:tc>
        <w:tc>
          <w:tcPr>
            <w:tcW w:w="0" w:type="auto"/>
            <w:shd w:val="clear" w:color="auto" w:fill="auto"/>
            <w:noWrap/>
            <w:hideMark/>
          </w:tcPr>
          <w:p w:rsidR="0029636F" w:rsidRPr="00EB5FF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EB5FF4">
              <w:rPr>
                <w:rFonts w:ascii="Calibri" w:eastAsia="Times New Roman" w:hAnsi="Calibri" w:cs="Calibri"/>
                <w:color w:val="000000"/>
                <w:sz w:val="22"/>
                <w:lang w:eastAsia="en-AU"/>
              </w:rPr>
              <w:t xml:space="preserve">             642,125,000.00 </w:t>
            </w:r>
          </w:p>
        </w:tc>
      </w:tr>
      <w:tr w:rsidR="0029636F" w:rsidRPr="00E80A03" w:rsidTr="00DB1BCC">
        <w:trPr>
          <w:trHeight w:val="300"/>
        </w:trPr>
        <w:tc>
          <w:tcPr>
            <w:cnfStyle w:val="001000000000" w:firstRow="0" w:lastRow="0" w:firstColumn="1" w:lastColumn="0" w:oddVBand="0" w:evenVBand="0" w:oddHBand="0" w:evenHBand="0" w:firstRowFirstColumn="0" w:firstRowLastColumn="0" w:lastRowFirstColumn="0" w:lastRowLastColumn="0"/>
            <w:tcW w:w="2134" w:type="dxa"/>
            <w:shd w:val="clear" w:color="auto" w:fill="auto"/>
            <w:noWrap/>
            <w:hideMark/>
          </w:tcPr>
          <w:p w:rsidR="0029636F" w:rsidRPr="00E80A03" w:rsidRDefault="0029636F" w:rsidP="00DB1BCC">
            <w:pPr>
              <w:spacing w:line="240" w:lineRule="auto"/>
              <w:ind w:firstLine="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Net Profit After Tax</w:t>
            </w:r>
          </w:p>
        </w:tc>
        <w:tc>
          <w:tcPr>
            <w:tcW w:w="1957"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-4,869,309.04</w:t>
            </w:r>
          </w:p>
        </w:tc>
        <w:tc>
          <w:tcPr>
            <w:tcW w:w="1895"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-2,068,000.00</w:t>
            </w:r>
          </w:p>
        </w:tc>
        <w:tc>
          <w:tcPr>
            <w:tcW w:w="2106"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29,044,846.81</w:t>
            </w:r>
          </w:p>
        </w:tc>
        <w:tc>
          <w:tcPr>
            <w:tcW w:w="1953"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-285,292,000.00</w:t>
            </w:r>
          </w:p>
        </w:tc>
        <w:tc>
          <w:tcPr>
            <w:tcW w:w="2255"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169,996,000.00</w:t>
            </w:r>
          </w:p>
        </w:tc>
      </w:tr>
      <w:tr w:rsidR="0029636F" w:rsidRPr="00E80A03"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4" w:type="dxa"/>
            <w:shd w:val="clear" w:color="auto" w:fill="auto"/>
            <w:noWrap/>
            <w:hideMark/>
          </w:tcPr>
          <w:p w:rsidR="0029636F" w:rsidRPr="00E80A03" w:rsidRDefault="0029636F" w:rsidP="00DB1BCC">
            <w:pPr>
              <w:spacing w:line="240" w:lineRule="auto"/>
              <w:ind w:firstLine="0"/>
              <w:rPr>
                <w:rFonts w:ascii="Calibri" w:eastAsia="Times New Roman" w:hAnsi="Calibri" w:cs="Calibri"/>
                <w:color w:val="000000"/>
                <w:sz w:val="22"/>
                <w:lang w:eastAsia="zh-CN"/>
              </w:rPr>
            </w:pPr>
            <w:proofErr w:type="spellStart"/>
            <w:r w:rsidRPr="00E80A03">
              <w:rPr>
                <w:rFonts w:ascii="Calibri" w:eastAsia="Times New Roman" w:hAnsi="Calibri" w:cs="Calibri"/>
                <w:color w:val="000000"/>
                <w:sz w:val="22"/>
                <w:lang w:eastAsia="zh-CN"/>
              </w:rPr>
              <w:t>AvgTurnover</w:t>
            </w:r>
            <w:proofErr w:type="spellEnd"/>
          </w:p>
        </w:tc>
        <w:tc>
          <w:tcPr>
            <w:tcW w:w="1957" w:type="dxa"/>
            <w:shd w:val="clear" w:color="auto" w:fill="auto"/>
            <w:noWrap/>
            <w:hideMark/>
          </w:tcPr>
          <w:p w:rsidR="0029636F" w:rsidRPr="00E80A03"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0.26%</w:t>
            </w:r>
          </w:p>
        </w:tc>
        <w:tc>
          <w:tcPr>
            <w:tcW w:w="1895" w:type="dxa"/>
            <w:shd w:val="clear" w:color="auto" w:fill="auto"/>
            <w:noWrap/>
            <w:hideMark/>
          </w:tcPr>
          <w:p w:rsidR="0029636F" w:rsidRPr="00E80A03"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0.20%</w:t>
            </w:r>
          </w:p>
        </w:tc>
        <w:tc>
          <w:tcPr>
            <w:tcW w:w="2106" w:type="dxa"/>
            <w:shd w:val="clear" w:color="auto" w:fill="auto"/>
            <w:noWrap/>
            <w:hideMark/>
          </w:tcPr>
          <w:p w:rsidR="0029636F" w:rsidRPr="00E80A03"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0.22%</w:t>
            </w:r>
          </w:p>
        </w:tc>
        <w:tc>
          <w:tcPr>
            <w:tcW w:w="1953" w:type="dxa"/>
            <w:shd w:val="clear" w:color="auto" w:fill="auto"/>
            <w:noWrap/>
            <w:hideMark/>
          </w:tcPr>
          <w:p w:rsidR="0029636F" w:rsidRPr="00E80A03"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0.00%</w:t>
            </w:r>
          </w:p>
        </w:tc>
        <w:tc>
          <w:tcPr>
            <w:tcW w:w="2255" w:type="dxa"/>
            <w:shd w:val="clear" w:color="auto" w:fill="auto"/>
            <w:noWrap/>
            <w:hideMark/>
          </w:tcPr>
          <w:p w:rsidR="0029636F" w:rsidRPr="00E80A03"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1.01%</w:t>
            </w:r>
          </w:p>
        </w:tc>
      </w:tr>
      <w:tr w:rsidR="0029636F" w:rsidRPr="00E80A03" w:rsidTr="00DB1BCC">
        <w:trPr>
          <w:trHeight w:val="315"/>
        </w:trPr>
        <w:tc>
          <w:tcPr>
            <w:cnfStyle w:val="001000000000" w:firstRow="0" w:lastRow="0" w:firstColumn="1" w:lastColumn="0" w:oddVBand="0" w:evenVBand="0" w:oddHBand="0" w:evenHBand="0" w:firstRowFirstColumn="0" w:firstRowLastColumn="0" w:lastRowFirstColumn="0" w:lastRowLastColumn="0"/>
            <w:tcW w:w="2134" w:type="dxa"/>
            <w:shd w:val="clear" w:color="auto" w:fill="auto"/>
            <w:noWrap/>
            <w:hideMark/>
          </w:tcPr>
          <w:p w:rsidR="0029636F" w:rsidRPr="00E80A03" w:rsidRDefault="0029636F" w:rsidP="00DB1BCC">
            <w:pPr>
              <w:spacing w:line="240" w:lineRule="auto"/>
              <w:ind w:firstLine="0"/>
              <w:rPr>
                <w:rFonts w:ascii="Calibri" w:eastAsia="Times New Roman" w:hAnsi="Calibri" w:cs="Calibri"/>
                <w:color w:val="000000"/>
                <w:sz w:val="22"/>
                <w:lang w:eastAsia="zh-CN"/>
              </w:rPr>
            </w:pPr>
            <w:proofErr w:type="spellStart"/>
            <w:r w:rsidRPr="00E80A03">
              <w:rPr>
                <w:rFonts w:ascii="Calibri" w:eastAsia="Times New Roman" w:hAnsi="Calibri" w:cs="Calibri"/>
                <w:color w:val="000000"/>
                <w:sz w:val="22"/>
                <w:lang w:eastAsia="zh-CN"/>
              </w:rPr>
              <w:t>AvgSpread</w:t>
            </w:r>
            <w:proofErr w:type="spellEnd"/>
          </w:p>
        </w:tc>
        <w:tc>
          <w:tcPr>
            <w:tcW w:w="1957"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4.11%</w:t>
            </w:r>
          </w:p>
        </w:tc>
        <w:tc>
          <w:tcPr>
            <w:tcW w:w="1895"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3.01%</w:t>
            </w:r>
          </w:p>
        </w:tc>
        <w:tc>
          <w:tcPr>
            <w:tcW w:w="2106"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3.66%</w:t>
            </w:r>
          </w:p>
        </w:tc>
        <w:tc>
          <w:tcPr>
            <w:tcW w:w="1953"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0.71%</w:t>
            </w:r>
          </w:p>
        </w:tc>
        <w:tc>
          <w:tcPr>
            <w:tcW w:w="2255"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23.82%</w:t>
            </w:r>
          </w:p>
        </w:tc>
      </w:tr>
      <w:tr w:rsidR="0029636F" w:rsidRPr="00E80A03"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4" w:type="dxa"/>
            <w:shd w:val="clear" w:color="auto" w:fill="auto"/>
            <w:noWrap/>
            <w:hideMark/>
          </w:tcPr>
          <w:p w:rsidR="0029636F" w:rsidRPr="00E80A03" w:rsidRDefault="0029636F" w:rsidP="00DB1BCC">
            <w:pPr>
              <w:spacing w:line="240" w:lineRule="auto"/>
              <w:ind w:firstLine="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Age</w:t>
            </w:r>
          </w:p>
        </w:tc>
        <w:tc>
          <w:tcPr>
            <w:tcW w:w="1957" w:type="dxa"/>
            <w:shd w:val="clear" w:color="auto" w:fill="auto"/>
            <w:noWrap/>
            <w:hideMark/>
          </w:tcPr>
          <w:p w:rsidR="0029636F" w:rsidRPr="00E80A03"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1868.78</w:t>
            </w:r>
          </w:p>
        </w:tc>
        <w:tc>
          <w:tcPr>
            <w:tcW w:w="1895" w:type="dxa"/>
            <w:shd w:val="clear" w:color="auto" w:fill="auto"/>
            <w:noWrap/>
            <w:hideMark/>
          </w:tcPr>
          <w:p w:rsidR="0029636F" w:rsidRPr="00E80A03"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2600.00</w:t>
            </w:r>
          </w:p>
        </w:tc>
        <w:tc>
          <w:tcPr>
            <w:tcW w:w="2106" w:type="dxa"/>
            <w:shd w:val="clear" w:color="auto" w:fill="auto"/>
            <w:noWrap/>
            <w:hideMark/>
          </w:tcPr>
          <w:p w:rsidR="0029636F" w:rsidRPr="00E80A03"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3042.11</w:t>
            </w:r>
          </w:p>
        </w:tc>
        <w:tc>
          <w:tcPr>
            <w:tcW w:w="1953" w:type="dxa"/>
            <w:shd w:val="clear" w:color="auto" w:fill="auto"/>
            <w:noWrap/>
            <w:hideMark/>
          </w:tcPr>
          <w:p w:rsidR="0029636F" w:rsidRPr="00E80A03"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0.00</w:t>
            </w:r>
          </w:p>
        </w:tc>
        <w:tc>
          <w:tcPr>
            <w:tcW w:w="2255" w:type="dxa"/>
            <w:shd w:val="clear" w:color="auto" w:fill="auto"/>
            <w:noWrap/>
            <w:hideMark/>
          </w:tcPr>
          <w:p w:rsidR="0029636F" w:rsidRPr="00E80A03"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16218.00</w:t>
            </w:r>
          </w:p>
        </w:tc>
      </w:tr>
      <w:tr w:rsidR="0029636F" w:rsidRPr="00E80A03" w:rsidTr="00DB1BCC">
        <w:trPr>
          <w:trHeight w:val="300"/>
        </w:trPr>
        <w:tc>
          <w:tcPr>
            <w:cnfStyle w:val="001000000000" w:firstRow="0" w:lastRow="0" w:firstColumn="1" w:lastColumn="0" w:oddVBand="0" w:evenVBand="0" w:oddHBand="0" w:evenHBand="0" w:firstRowFirstColumn="0" w:firstRowLastColumn="0" w:lastRowFirstColumn="0" w:lastRowLastColumn="0"/>
            <w:tcW w:w="2134" w:type="dxa"/>
            <w:shd w:val="clear" w:color="auto" w:fill="auto"/>
            <w:noWrap/>
            <w:hideMark/>
          </w:tcPr>
          <w:p w:rsidR="0029636F" w:rsidRPr="00E80A03" w:rsidRDefault="0029636F" w:rsidP="00DB1BCC">
            <w:pPr>
              <w:spacing w:line="240" w:lineRule="auto"/>
              <w:ind w:firstLine="0"/>
              <w:rPr>
                <w:rFonts w:ascii="Calibri" w:eastAsia="Times New Roman" w:hAnsi="Calibri" w:cs="Calibri"/>
                <w:color w:val="000000"/>
                <w:sz w:val="22"/>
                <w:lang w:eastAsia="zh-CN"/>
              </w:rPr>
            </w:pPr>
            <w:proofErr w:type="spellStart"/>
            <w:r>
              <w:rPr>
                <w:rFonts w:ascii="Calibri" w:eastAsia="Times New Roman" w:hAnsi="Calibri" w:cs="Calibri"/>
                <w:color w:val="000000"/>
                <w:sz w:val="22"/>
                <w:lang w:eastAsia="zh-CN"/>
              </w:rPr>
              <w:t>NumAnalyst</w:t>
            </w:r>
            <w:proofErr w:type="spellEnd"/>
          </w:p>
        </w:tc>
        <w:tc>
          <w:tcPr>
            <w:tcW w:w="1957"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0.82</w:t>
            </w:r>
          </w:p>
        </w:tc>
        <w:tc>
          <w:tcPr>
            <w:tcW w:w="1895"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0.00</w:t>
            </w:r>
          </w:p>
        </w:tc>
        <w:tc>
          <w:tcPr>
            <w:tcW w:w="2106"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1.51</w:t>
            </w:r>
          </w:p>
        </w:tc>
        <w:tc>
          <w:tcPr>
            <w:tcW w:w="1953"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0.00</w:t>
            </w:r>
          </w:p>
        </w:tc>
        <w:tc>
          <w:tcPr>
            <w:tcW w:w="2255"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13.00</w:t>
            </w:r>
          </w:p>
        </w:tc>
      </w:tr>
    </w:tbl>
    <w:p w:rsidR="0029636F" w:rsidRPr="00F521A0" w:rsidRDefault="0029636F" w:rsidP="0029636F">
      <w:pPr>
        <w:spacing w:after="0" w:line="240" w:lineRule="auto"/>
        <w:ind w:firstLine="0"/>
        <w:rPr>
          <w:rFonts w:eastAsia="Times New Roman"/>
          <w:lang w:eastAsia="en-AU"/>
        </w:rPr>
      </w:pPr>
    </w:p>
    <w:tbl>
      <w:tblPr>
        <w:tblStyle w:val="LightShading"/>
        <w:tblW w:w="5000" w:type="pct"/>
        <w:tblLook w:val="04A0" w:firstRow="1" w:lastRow="0" w:firstColumn="1" w:lastColumn="0" w:noHBand="0" w:noVBand="1"/>
      </w:tblPr>
      <w:tblGrid>
        <w:gridCol w:w="7016"/>
        <w:gridCol w:w="2393"/>
        <w:gridCol w:w="3801"/>
        <w:gridCol w:w="964"/>
      </w:tblGrid>
      <w:tr w:rsidR="0029636F" w:rsidRPr="00F521A0" w:rsidTr="00DB1B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5" w:type="pct"/>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Binary Variable</w:t>
            </w:r>
          </w:p>
        </w:tc>
        <w:tc>
          <w:tcPr>
            <w:tcW w:w="844" w:type="pct"/>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yes</w:t>
            </w:r>
          </w:p>
        </w:tc>
        <w:tc>
          <w:tcPr>
            <w:tcW w:w="1341" w:type="pct"/>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yes</w:t>
            </w:r>
          </w:p>
        </w:tc>
        <w:tc>
          <w:tcPr>
            <w:tcW w:w="340" w:type="pct"/>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75" w:type="pct"/>
            <w:shd w:val="clear" w:color="auto" w:fill="auto"/>
            <w:noWrap/>
            <w:hideMark/>
          </w:tcPr>
          <w:p w:rsidR="0029636F" w:rsidRPr="00A27B4A" w:rsidRDefault="0029636F" w:rsidP="00DB1BCC">
            <w:pPr>
              <w:spacing w:line="240" w:lineRule="auto"/>
              <w:ind w:firstLine="0"/>
              <w:rPr>
                <w:rFonts w:ascii="Calibri" w:eastAsia="Times New Roman" w:hAnsi="Calibri" w:cs="Calibri"/>
                <w:iCs/>
                <w:color w:val="000000"/>
                <w:sz w:val="22"/>
                <w:lang w:eastAsia="en-AU"/>
              </w:rPr>
            </w:pPr>
            <w:r w:rsidRPr="00A27B4A">
              <w:rPr>
                <w:rFonts w:ascii="Calibri" w:eastAsia="Times New Roman" w:hAnsi="Calibri" w:cs="Calibri"/>
                <w:iCs/>
                <w:color w:val="000000"/>
                <w:sz w:val="22"/>
                <w:lang w:eastAsia="en-AU"/>
              </w:rPr>
              <w:t>Loss</w:t>
            </w:r>
          </w:p>
        </w:tc>
        <w:tc>
          <w:tcPr>
            <w:tcW w:w="844" w:type="pct"/>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178</w:t>
            </w:r>
          </w:p>
        </w:tc>
        <w:tc>
          <w:tcPr>
            <w:tcW w:w="1341" w:type="pct"/>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84.36%</w:t>
            </w:r>
          </w:p>
        </w:tc>
        <w:tc>
          <w:tcPr>
            <w:tcW w:w="340" w:type="pct"/>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p>
        </w:tc>
      </w:tr>
      <w:tr w:rsidR="0029636F" w:rsidRPr="00D556E1" w:rsidTr="00DB1BCC">
        <w:trPr>
          <w:gridAfter w:val="1"/>
          <w:wAfter w:w="340" w:type="pct"/>
          <w:trHeight w:val="300"/>
        </w:trPr>
        <w:tc>
          <w:tcPr>
            <w:cnfStyle w:val="001000000000" w:firstRow="0" w:lastRow="0" w:firstColumn="1" w:lastColumn="0" w:oddVBand="0" w:evenVBand="0" w:oddHBand="0" w:evenHBand="0" w:firstRowFirstColumn="0" w:firstRowLastColumn="0" w:lastRowFirstColumn="0" w:lastRowLastColumn="0"/>
            <w:tcW w:w="2475" w:type="pct"/>
            <w:shd w:val="clear" w:color="auto" w:fill="auto"/>
            <w:noWrap/>
            <w:hideMark/>
          </w:tcPr>
          <w:p w:rsidR="0029636F" w:rsidRPr="00D556E1" w:rsidRDefault="0029636F" w:rsidP="00DB1BCC">
            <w:pPr>
              <w:spacing w:line="240" w:lineRule="auto"/>
              <w:ind w:firstLine="0"/>
              <w:rPr>
                <w:rFonts w:ascii="Calibri" w:eastAsia="Times New Roman" w:hAnsi="Calibri" w:cs="Calibri"/>
                <w:color w:val="000000"/>
                <w:sz w:val="22"/>
                <w:lang w:eastAsia="zh-CN"/>
              </w:rPr>
            </w:pPr>
            <w:r w:rsidRPr="00D556E1">
              <w:rPr>
                <w:rFonts w:ascii="Calibri" w:eastAsia="Times New Roman" w:hAnsi="Calibri" w:cs="Calibri"/>
                <w:color w:val="000000"/>
                <w:sz w:val="22"/>
                <w:lang w:eastAsia="zh-CN"/>
              </w:rPr>
              <w:t>Analyst</w:t>
            </w:r>
          </w:p>
        </w:tc>
        <w:tc>
          <w:tcPr>
            <w:tcW w:w="844" w:type="pct"/>
            <w:shd w:val="clear" w:color="auto" w:fill="auto"/>
            <w:noWrap/>
            <w:hideMark/>
          </w:tcPr>
          <w:p w:rsidR="0029636F" w:rsidRPr="00D556E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D556E1">
              <w:rPr>
                <w:rFonts w:ascii="Calibri" w:eastAsia="Times New Roman" w:hAnsi="Calibri" w:cs="Calibri"/>
                <w:color w:val="000000"/>
                <w:sz w:val="22"/>
                <w:lang w:eastAsia="zh-CN"/>
              </w:rPr>
              <w:t>85</w:t>
            </w:r>
          </w:p>
        </w:tc>
        <w:tc>
          <w:tcPr>
            <w:tcW w:w="1341" w:type="pct"/>
            <w:shd w:val="clear" w:color="auto" w:fill="auto"/>
            <w:noWrap/>
            <w:hideMark/>
          </w:tcPr>
          <w:p w:rsidR="0029636F" w:rsidRPr="00D556E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Pr>
                <w:rFonts w:ascii="Calibri" w:eastAsia="Times New Roman" w:hAnsi="Calibri" w:cs="Calibri"/>
                <w:color w:val="000000"/>
                <w:sz w:val="22"/>
                <w:lang w:eastAsia="zh-CN"/>
              </w:rPr>
              <w:t>39.53%</w:t>
            </w:r>
          </w:p>
        </w:tc>
      </w:tr>
      <w:tr w:rsidR="0029636F" w:rsidRPr="00D556E1" w:rsidTr="00DB1BCC">
        <w:trPr>
          <w:gridAfter w:val="1"/>
          <w:cnfStyle w:val="000000100000" w:firstRow="0" w:lastRow="0" w:firstColumn="0" w:lastColumn="0" w:oddVBand="0" w:evenVBand="0" w:oddHBand="1" w:evenHBand="0" w:firstRowFirstColumn="0" w:firstRowLastColumn="0" w:lastRowFirstColumn="0" w:lastRowLastColumn="0"/>
          <w:wAfter w:w="340" w:type="pct"/>
          <w:trHeight w:val="300"/>
        </w:trPr>
        <w:tc>
          <w:tcPr>
            <w:cnfStyle w:val="001000000000" w:firstRow="0" w:lastRow="0" w:firstColumn="1" w:lastColumn="0" w:oddVBand="0" w:evenVBand="0" w:oddHBand="0" w:evenHBand="0" w:firstRowFirstColumn="0" w:firstRowLastColumn="0" w:lastRowFirstColumn="0" w:lastRowLastColumn="0"/>
            <w:tcW w:w="2475" w:type="pct"/>
            <w:shd w:val="clear" w:color="auto" w:fill="auto"/>
            <w:noWrap/>
            <w:hideMark/>
          </w:tcPr>
          <w:p w:rsidR="0029636F" w:rsidRPr="00D556E1" w:rsidRDefault="0029636F" w:rsidP="00DB1BCC">
            <w:pPr>
              <w:spacing w:line="240" w:lineRule="auto"/>
              <w:ind w:firstLine="0"/>
              <w:rPr>
                <w:rFonts w:ascii="Calibri" w:eastAsia="Times New Roman" w:hAnsi="Calibri" w:cs="Calibri"/>
                <w:color w:val="000000"/>
                <w:sz w:val="22"/>
                <w:lang w:eastAsia="zh-CN"/>
              </w:rPr>
            </w:pPr>
            <w:r w:rsidRPr="00D556E1">
              <w:rPr>
                <w:rFonts w:ascii="Calibri" w:eastAsia="Times New Roman" w:hAnsi="Calibri" w:cs="Calibri"/>
                <w:color w:val="000000"/>
                <w:sz w:val="22"/>
                <w:lang w:eastAsia="zh-CN"/>
              </w:rPr>
              <w:t>Big4</w:t>
            </w:r>
          </w:p>
        </w:tc>
        <w:tc>
          <w:tcPr>
            <w:tcW w:w="844" w:type="pct"/>
            <w:shd w:val="clear" w:color="auto" w:fill="auto"/>
            <w:noWrap/>
            <w:hideMark/>
          </w:tcPr>
          <w:p w:rsidR="0029636F" w:rsidRPr="00D556E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D556E1">
              <w:rPr>
                <w:rFonts w:ascii="Calibri" w:eastAsia="Times New Roman" w:hAnsi="Calibri" w:cs="Calibri"/>
                <w:color w:val="000000"/>
                <w:sz w:val="22"/>
                <w:lang w:eastAsia="zh-CN"/>
              </w:rPr>
              <w:t>127</w:t>
            </w:r>
          </w:p>
        </w:tc>
        <w:tc>
          <w:tcPr>
            <w:tcW w:w="1341" w:type="pct"/>
            <w:shd w:val="clear" w:color="auto" w:fill="auto"/>
            <w:noWrap/>
            <w:hideMark/>
          </w:tcPr>
          <w:p w:rsidR="0029636F" w:rsidRPr="00D556E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Pr>
                <w:rFonts w:ascii="Calibri" w:eastAsia="Times New Roman" w:hAnsi="Calibri" w:cs="Calibri"/>
                <w:color w:val="000000"/>
                <w:sz w:val="22"/>
                <w:lang w:eastAsia="zh-CN"/>
              </w:rPr>
              <w:t>59.07%</w:t>
            </w:r>
          </w:p>
        </w:tc>
      </w:tr>
    </w:tbl>
    <w:p w:rsidR="0029636F" w:rsidRDefault="0029636F" w:rsidP="0029636F">
      <w:pPr>
        <w:spacing w:line="276" w:lineRule="auto"/>
        <w:ind w:firstLine="0"/>
        <w:rPr>
          <w:rFonts w:eastAsia="Times New Roman"/>
          <w:lang w:eastAsia="en-AU"/>
        </w:rPr>
      </w:pPr>
      <w:r>
        <w:rPr>
          <w:rFonts w:eastAsia="Times New Roman"/>
          <w:lang w:eastAsia="en-AU"/>
        </w:rPr>
        <w:br w:type="page"/>
      </w:r>
    </w:p>
    <w:p w:rsidR="0029636F" w:rsidRPr="00F521A0" w:rsidRDefault="0029636F" w:rsidP="0029636F">
      <w:pPr>
        <w:spacing w:before="240" w:after="0"/>
        <w:ind w:firstLine="0"/>
        <w:rPr>
          <w:lang w:eastAsia="en-AU"/>
        </w:rPr>
      </w:pPr>
      <w:r w:rsidRPr="00F521A0">
        <w:rPr>
          <w:rFonts w:eastAsia="Times New Roman"/>
          <w:lang w:eastAsia="en-AU"/>
        </w:rPr>
        <w:lastRenderedPageBreak/>
        <w:t>Panel B: Subsequent loans sample descriptive statistics</w:t>
      </w:r>
    </w:p>
    <w:tbl>
      <w:tblPr>
        <w:tblStyle w:val="LightShading"/>
        <w:tblW w:w="0" w:type="auto"/>
        <w:tblLook w:val="04A0" w:firstRow="1" w:lastRow="0" w:firstColumn="1" w:lastColumn="0" w:noHBand="0" w:noVBand="1"/>
      </w:tblPr>
      <w:tblGrid>
        <w:gridCol w:w="2134"/>
        <w:gridCol w:w="1907"/>
        <w:gridCol w:w="1895"/>
        <w:gridCol w:w="2094"/>
        <w:gridCol w:w="1932"/>
        <w:gridCol w:w="2205"/>
      </w:tblGrid>
      <w:tr w:rsidR="0029636F" w:rsidRPr="00F521A0" w:rsidTr="00DB1B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Continuous variables</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Mean</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Median</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Std. Dev.</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Min</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Max</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iCs/>
                <w:color w:val="000000"/>
                <w:sz w:val="22"/>
                <w:lang w:eastAsia="en-AU"/>
              </w:rPr>
            </w:pPr>
            <w:r w:rsidRPr="00F521A0">
              <w:rPr>
                <w:rFonts w:ascii="Calibri" w:eastAsia="Times New Roman" w:hAnsi="Calibri" w:cs="Calibri"/>
                <w:iCs/>
                <w:color w:val="000000"/>
                <w:sz w:val="22"/>
                <w:lang w:eastAsia="en-AU"/>
              </w:rPr>
              <w:t>MCAP</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890,162,928.18 </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195,050,000.00 </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2,916,446,307.42 </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5,200,000.00 </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32,201,200,000.00 </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iCs/>
                <w:color w:val="000000"/>
                <w:sz w:val="22"/>
                <w:lang w:eastAsia="en-AU"/>
              </w:rPr>
            </w:pPr>
            <w:r w:rsidRPr="00F521A0">
              <w:rPr>
                <w:rFonts w:ascii="Calibri" w:eastAsia="Times New Roman" w:hAnsi="Calibri" w:cs="Calibri"/>
                <w:iCs/>
                <w:color w:val="000000"/>
                <w:sz w:val="22"/>
                <w:lang w:eastAsia="en-AU"/>
              </w:rPr>
              <w:t>Total Assets</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502,489,017.83 </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115,157,417.00 </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1,652,763,281.91 </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2,866,022.00 </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19,070,464,767.00 </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iCs/>
                <w:color w:val="000000"/>
                <w:sz w:val="22"/>
                <w:lang w:eastAsia="en-AU"/>
              </w:rPr>
            </w:pPr>
            <w:r w:rsidRPr="00F521A0">
              <w:rPr>
                <w:rFonts w:ascii="Calibri" w:eastAsia="Times New Roman" w:hAnsi="Calibri" w:cs="Calibri"/>
                <w:iCs/>
                <w:color w:val="000000"/>
                <w:sz w:val="22"/>
                <w:lang w:eastAsia="en-AU"/>
              </w:rPr>
              <w:t>Long Term Debt</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111,605,280.13 </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4,351,820.00 </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513,637,813.78 </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4,336,296,675.00 </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iCs/>
                <w:color w:val="000000"/>
                <w:sz w:val="22"/>
                <w:lang w:eastAsia="en-AU"/>
              </w:rPr>
            </w:pPr>
            <w:r w:rsidRPr="00F521A0">
              <w:rPr>
                <w:rFonts w:ascii="Calibri" w:eastAsia="Times New Roman" w:hAnsi="Calibri" w:cs="Calibri"/>
                <w:iCs/>
                <w:color w:val="000000"/>
                <w:sz w:val="22"/>
                <w:lang w:eastAsia="en-AU"/>
              </w:rPr>
              <w:t>Short Term Debt</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19,158,828.21 </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1,459,955.00 </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43,340,105.72 </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267,139,157.00 </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iCs/>
                <w:color w:val="000000"/>
                <w:sz w:val="22"/>
                <w:lang w:eastAsia="en-AU"/>
              </w:rPr>
            </w:pPr>
            <w:r w:rsidRPr="00F521A0">
              <w:rPr>
                <w:rFonts w:ascii="Calibri" w:eastAsia="Times New Roman" w:hAnsi="Calibri" w:cs="Calibri"/>
                <w:iCs/>
                <w:color w:val="000000"/>
                <w:sz w:val="22"/>
                <w:lang w:eastAsia="en-AU"/>
              </w:rPr>
              <w:t>Total Equity</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297,755,172.70 </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79,277,533.00 </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990,957,329.47 </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24,441,000.00 </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12,685,021,125.00 </w:t>
            </w:r>
          </w:p>
        </w:tc>
      </w:tr>
      <w:tr w:rsidR="0029636F" w:rsidRPr="00E80A03" w:rsidTr="00DB1BCC">
        <w:trPr>
          <w:trHeight w:val="300"/>
        </w:trPr>
        <w:tc>
          <w:tcPr>
            <w:cnfStyle w:val="001000000000" w:firstRow="0" w:lastRow="0" w:firstColumn="1" w:lastColumn="0" w:oddVBand="0" w:evenVBand="0" w:oddHBand="0" w:evenHBand="0" w:firstRowFirstColumn="0" w:firstRowLastColumn="0" w:lastRowFirstColumn="0" w:lastRowLastColumn="0"/>
            <w:tcW w:w="2134" w:type="dxa"/>
            <w:shd w:val="clear" w:color="auto" w:fill="auto"/>
            <w:noWrap/>
            <w:hideMark/>
          </w:tcPr>
          <w:p w:rsidR="0029636F" w:rsidRPr="00E80A03" w:rsidRDefault="0029636F" w:rsidP="00DB1BCC">
            <w:pPr>
              <w:spacing w:line="240" w:lineRule="auto"/>
              <w:ind w:firstLine="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Net Profit After Tax</w:t>
            </w:r>
          </w:p>
        </w:tc>
        <w:tc>
          <w:tcPr>
            <w:tcW w:w="1907"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14,447,878.17</w:t>
            </w:r>
          </w:p>
        </w:tc>
        <w:tc>
          <w:tcPr>
            <w:tcW w:w="1895"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-2,273,139.00</w:t>
            </w:r>
          </w:p>
        </w:tc>
        <w:tc>
          <w:tcPr>
            <w:tcW w:w="2094"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137,895,463.13</w:t>
            </w:r>
          </w:p>
        </w:tc>
        <w:tc>
          <w:tcPr>
            <w:tcW w:w="1932"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-207,521,651.00</w:t>
            </w:r>
          </w:p>
        </w:tc>
        <w:tc>
          <w:tcPr>
            <w:tcW w:w="2205"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956,794,330.00</w:t>
            </w:r>
          </w:p>
        </w:tc>
      </w:tr>
      <w:tr w:rsidR="0029636F" w:rsidRPr="00E80A03"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4" w:type="dxa"/>
            <w:shd w:val="clear" w:color="auto" w:fill="auto"/>
            <w:noWrap/>
            <w:hideMark/>
          </w:tcPr>
          <w:p w:rsidR="0029636F" w:rsidRPr="00E80A03" w:rsidRDefault="0029636F" w:rsidP="00DB1BCC">
            <w:pPr>
              <w:spacing w:line="240" w:lineRule="auto"/>
              <w:ind w:firstLine="0"/>
              <w:rPr>
                <w:rFonts w:ascii="Calibri" w:eastAsia="Times New Roman" w:hAnsi="Calibri" w:cs="Calibri"/>
                <w:color w:val="000000"/>
                <w:sz w:val="22"/>
                <w:lang w:eastAsia="zh-CN"/>
              </w:rPr>
            </w:pPr>
            <w:proofErr w:type="spellStart"/>
            <w:r w:rsidRPr="00E80A03">
              <w:rPr>
                <w:rFonts w:ascii="Calibri" w:eastAsia="Times New Roman" w:hAnsi="Calibri" w:cs="Calibri"/>
                <w:color w:val="000000"/>
                <w:sz w:val="22"/>
                <w:lang w:eastAsia="zh-CN"/>
              </w:rPr>
              <w:t>AvgTurnover</w:t>
            </w:r>
            <w:proofErr w:type="spellEnd"/>
          </w:p>
        </w:tc>
        <w:tc>
          <w:tcPr>
            <w:tcW w:w="1907" w:type="dxa"/>
            <w:shd w:val="clear" w:color="auto" w:fill="auto"/>
            <w:noWrap/>
            <w:hideMark/>
          </w:tcPr>
          <w:p w:rsidR="0029636F" w:rsidRPr="00E80A03"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0.27%</w:t>
            </w:r>
          </w:p>
        </w:tc>
        <w:tc>
          <w:tcPr>
            <w:tcW w:w="1895" w:type="dxa"/>
            <w:shd w:val="clear" w:color="auto" w:fill="auto"/>
            <w:noWrap/>
            <w:hideMark/>
          </w:tcPr>
          <w:p w:rsidR="0029636F" w:rsidRPr="00E80A03"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0.20%</w:t>
            </w:r>
          </w:p>
        </w:tc>
        <w:tc>
          <w:tcPr>
            <w:tcW w:w="2094" w:type="dxa"/>
            <w:shd w:val="clear" w:color="auto" w:fill="auto"/>
            <w:noWrap/>
            <w:hideMark/>
          </w:tcPr>
          <w:p w:rsidR="0029636F" w:rsidRPr="00E80A03"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0.32%</w:t>
            </w:r>
          </w:p>
        </w:tc>
        <w:tc>
          <w:tcPr>
            <w:tcW w:w="1932" w:type="dxa"/>
            <w:shd w:val="clear" w:color="auto" w:fill="auto"/>
            <w:noWrap/>
            <w:hideMark/>
          </w:tcPr>
          <w:p w:rsidR="0029636F" w:rsidRPr="00E80A03"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0.00%</w:t>
            </w:r>
          </w:p>
        </w:tc>
        <w:tc>
          <w:tcPr>
            <w:tcW w:w="2205" w:type="dxa"/>
            <w:shd w:val="clear" w:color="auto" w:fill="auto"/>
            <w:noWrap/>
            <w:hideMark/>
          </w:tcPr>
          <w:p w:rsidR="0029636F" w:rsidRPr="00E80A03"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3.31%</w:t>
            </w:r>
          </w:p>
        </w:tc>
      </w:tr>
      <w:tr w:rsidR="0029636F" w:rsidRPr="00E80A03" w:rsidTr="00DB1BCC">
        <w:trPr>
          <w:trHeight w:val="315"/>
        </w:trPr>
        <w:tc>
          <w:tcPr>
            <w:cnfStyle w:val="001000000000" w:firstRow="0" w:lastRow="0" w:firstColumn="1" w:lastColumn="0" w:oddVBand="0" w:evenVBand="0" w:oddHBand="0" w:evenHBand="0" w:firstRowFirstColumn="0" w:firstRowLastColumn="0" w:lastRowFirstColumn="0" w:lastRowLastColumn="0"/>
            <w:tcW w:w="2134" w:type="dxa"/>
            <w:shd w:val="clear" w:color="auto" w:fill="auto"/>
            <w:noWrap/>
            <w:hideMark/>
          </w:tcPr>
          <w:p w:rsidR="0029636F" w:rsidRPr="00E80A03" w:rsidRDefault="0029636F" w:rsidP="00DB1BCC">
            <w:pPr>
              <w:spacing w:line="240" w:lineRule="auto"/>
              <w:ind w:firstLine="0"/>
              <w:rPr>
                <w:rFonts w:ascii="Calibri" w:eastAsia="Times New Roman" w:hAnsi="Calibri" w:cs="Calibri"/>
                <w:color w:val="000000"/>
                <w:sz w:val="22"/>
                <w:lang w:eastAsia="zh-CN"/>
              </w:rPr>
            </w:pPr>
            <w:proofErr w:type="spellStart"/>
            <w:r w:rsidRPr="00E80A03">
              <w:rPr>
                <w:rFonts w:ascii="Calibri" w:eastAsia="Times New Roman" w:hAnsi="Calibri" w:cs="Calibri"/>
                <w:color w:val="000000"/>
                <w:sz w:val="22"/>
                <w:lang w:eastAsia="zh-CN"/>
              </w:rPr>
              <w:t>AvgSpread</w:t>
            </w:r>
            <w:proofErr w:type="spellEnd"/>
          </w:p>
        </w:tc>
        <w:tc>
          <w:tcPr>
            <w:tcW w:w="1907"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2.91%</w:t>
            </w:r>
          </w:p>
        </w:tc>
        <w:tc>
          <w:tcPr>
            <w:tcW w:w="1895"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2.40%</w:t>
            </w:r>
          </w:p>
        </w:tc>
        <w:tc>
          <w:tcPr>
            <w:tcW w:w="2094"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2.09%</w:t>
            </w:r>
          </w:p>
        </w:tc>
        <w:tc>
          <w:tcPr>
            <w:tcW w:w="1932"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0.45%</w:t>
            </w:r>
          </w:p>
        </w:tc>
        <w:tc>
          <w:tcPr>
            <w:tcW w:w="2205"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13.09%</w:t>
            </w:r>
          </w:p>
        </w:tc>
      </w:tr>
      <w:tr w:rsidR="0029636F" w:rsidRPr="00E80A03"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34" w:type="dxa"/>
            <w:shd w:val="clear" w:color="auto" w:fill="auto"/>
            <w:noWrap/>
            <w:hideMark/>
          </w:tcPr>
          <w:p w:rsidR="0029636F" w:rsidRPr="00E80A03" w:rsidRDefault="0029636F" w:rsidP="00DB1BCC">
            <w:pPr>
              <w:spacing w:line="240" w:lineRule="auto"/>
              <w:ind w:firstLine="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Age</w:t>
            </w:r>
          </w:p>
        </w:tc>
        <w:tc>
          <w:tcPr>
            <w:tcW w:w="1907" w:type="dxa"/>
            <w:shd w:val="clear" w:color="auto" w:fill="auto"/>
            <w:noWrap/>
            <w:hideMark/>
          </w:tcPr>
          <w:p w:rsidR="0029636F" w:rsidRPr="00E80A03"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4749.78</w:t>
            </w:r>
          </w:p>
        </w:tc>
        <w:tc>
          <w:tcPr>
            <w:tcW w:w="1895" w:type="dxa"/>
            <w:shd w:val="clear" w:color="auto" w:fill="auto"/>
            <w:noWrap/>
            <w:hideMark/>
          </w:tcPr>
          <w:p w:rsidR="0029636F" w:rsidRPr="00E80A03"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3984.00</w:t>
            </w:r>
          </w:p>
        </w:tc>
        <w:tc>
          <w:tcPr>
            <w:tcW w:w="2094" w:type="dxa"/>
            <w:shd w:val="clear" w:color="auto" w:fill="auto"/>
            <w:noWrap/>
            <w:hideMark/>
          </w:tcPr>
          <w:p w:rsidR="0029636F" w:rsidRPr="00E80A03"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3567.65</w:t>
            </w:r>
          </w:p>
        </w:tc>
        <w:tc>
          <w:tcPr>
            <w:tcW w:w="1932" w:type="dxa"/>
            <w:shd w:val="clear" w:color="auto" w:fill="auto"/>
            <w:noWrap/>
            <w:hideMark/>
          </w:tcPr>
          <w:p w:rsidR="0029636F" w:rsidRPr="00E80A03"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9.00</w:t>
            </w:r>
          </w:p>
        </w:tc>
        <w:tc>
          <w:tcPr>
            <w:tcW w:w="2205" w:type="dxa"/>
            <w:shd w:val="clear" w:color="auto" w:fill="auto"/>
            <w:noWrap/>
            <w:hideMark/>
          </w:tcPr>
          <w:p w:rsidR="0029636F" w:rsidRPr="00E80A03"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18018.00</w:t>
            </w:r>
          </w:p>
        </w:tc>
      </w:tr>
      <w:tr w:rsidR="0029636F" w:rsidRPr="00E80A03" w:rsidTr="00DB1BCC">
        <w:trPr>
          <w:trHeight w:val="300"/>
        </w:trPr>
        <w:tc>
          <w:tcPr>
            <w:cnfStyle w:val="001000000000" w:firstRow="0" w:lastRow="0" w:firstColumn="1" w:lastColumn="0" w:oddVBand="0" w:evenVBand="0" w:oddHBand="0" w:evenHBand="0" w:firstRowFirstColumn="0" w:firstRowLastColumn="0" w:lastRowFirstColumn="0" w:lastRowLastColumn="0"/>
            <w:tcW w:w="2134" w:type="dxa"/>
            <w:shd w:val="clear" w:color="auto" w:fill="auto"/>
            <w:noWrap/>
            <w:hideMark/>
          </w:tcPr>
          <w:p w:rsidR="0029636F" w:rsidRPr="00E80A03" w:rsidRDefault="0029636F" w:rsidP="00DB1BCC">
            <w:pPr>
              <w:spacing w:line="240" w:lineRule="auto"/>
              <w:ind w:firstLine="0"/>
              <w:rPr>
                <w:rFonts w:ascii="Calibri" w:eastAsia="Times New Roman" w:hAnsi="Calibri" w:cs="Calibri"/>
                <w:color w:val="000000"/>
                <w:sz w:val="22"/>
                <w:lang w:eastAsia="zh-CN"/>
              </w:rPr>
            </w:pPr>
            <w:proofErr w:type="spellStart"/>
            <w:r>
              <w:rPr>
                <w:rFonts w:ascii="Calibri" w:eastAsia="Times New Roman" w:hAnsi="Calibri" w:cs="Calibri"/>
                <w:color w:val="000000"/>
                <w:sz w:val="22"/>
                <w:lang w:eastAsia="zh-CN"/>
              </w:rPr>
              <w:t>NumAnalyst</w:t>
            </w:r>
            <w:proofErr w:type="spellEnd"/>
          </w:p>
        </w:tc>
        <w:tc>
          <w:tcPr>
            <w:tcW w:w="1907"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2.44</w:t>
            </w:r>
          </w:p>
        </w:tc>
        <w:tc>
          <w:tcPr>
            <w:tcW w:w="1895"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1.00</w:t>
            </w:r>
          </w:p>
        </w:tc>
        <w:tc>
          <w:tcPr>
            <w:tcW w:w="2094"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4.24</w:t>
            </w:r>
          </w:p>
        </w:tc>
        <w:tc>
          <w:tcPr>
            <w:tcW w:w="1932"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0.00</w:t>
            </w:r>
          </w:p>
        </w:tc>
        <w:tc>
          <w:tcPr>
            <w:tcW w:w="2205" w:type="dxa"/>
            <w:shd w:val="clear" w:color="auto" w:fill="auto"/>
            <w:noWrap/>
            <w:hideMark/>
          </w:tcPr>
          <w:p w:rsidR="0029636F" w:rsidRPr="00E80A03"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80A03">
              <w:rPr>
                <w:rFonts w:ascii="Calibri" w:eastAsia="Times New Roman" w:hAnsi="Calibri" w:cs="Calibri"/>
                <w:color w:val="000000"/>
                <w:sz w:val="22"/>
                <w:lang w:eastAsia="zh-CN"/>
              </w:rPr>
              <w:t>20.00</w:t>
            </w:r>
          </w:p>
        </w:tc>
      </w:tr>
    </w:tbl>
    <w:p w:rsidR="0029636F" w:rsidRPr="00F521A0" w:rsidRDefault="0029636F" w:rsidP="0029636F">
      <w:pPr>
        <w:spacing w:after="0" w:line="240" w:lineRule="auto"/>
        <w:ind w:firstLine="0"/>
        <w:rPr>
          <w:sz w:val="20"/>
          <w:lang w:eastAsia="en-AU"/>
        </w:rPr>
      </w:pPr>
    </w:p>
    <w:tbl>
      <w:tblPr>
        <w:tblStyle w:val="LightShading"/>
        <w:tblW w:w="5000" w:type="pct"/>
        <w:tblLook w:val="04A0" w:firstRow="1" w:lastRow="0" w:firstColumn="1" w:lastColumn="0" w:noHBand="0" w:noVBand="1"/>
      </w:tblPr>
      <w:tblGrid>
        <w:gridCol w:w="6066"/>
        <w:gridCol w:w="1965"/>
        <w:gridCol w:w="1962"/>
        <w:gridCol w:w="2174"/>
        <w:gridCol w:w="2007"/>
      </w:tblGrid>
      <w:tr w:rsidR="0029636F" w:rsidRPr="00F521A0" w:rsidTr="00DB1B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pct"/>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Binary Variable</w:t>
            </w:r>
          </w:p>
        </w:tc>
        <w:tc>
          <w:tcPr>
            <w:tcW w:w="693" w:type="pct"/>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yes</w:t>
            </w:r>
          </w:p>
        </w:tc>
        <w:tc>
          <w:tcPr>
            <w:tcW w:w="692" w:type="pct"/>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yes</w:t>
            </w:r>
          </w:p>
        </w:tc>
        <w:tc>
          <w:tcPr>
            <w:tcW w:w="767" w:type="pct"/>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p>
        </w:tc>
        <w:tc>
          <w:tcPr>
            <w:tcW w:w="708" w:type="pct"/>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40" w:type="pct"/>
            <w:shd w:val="clear" w:color="auto" w:fill="auto"/>
            <w:noWrap/>
            <w:hideMark/>
          </w:tcPr>
          <w:p w:rsidR="0029636F" w:rsidRPr="00A27B4A" w:rsidRDefault="0029636F" w:rsidP="00DB1BCC">
            <w:pPr>
              <w:spacing w:line="240" w:lineRule="auto"/>
              <w:ind w:firstLine="0"/>
              <w:rPr>
                <w:rFonts w:ascii="Calibri" w:eastAsia="Times New Roman" w:hAnsi="Calibri" w:cs="Calibri"/>
                <w:iCs/>
                <w:color w:val="000000"/>
                <w:sz w:val="22"/>
                <w:lang w:eastAsia="en-AU"/>
              </w:rPr>
            </w:pPr>
            <w:r w:rsidRPr="00A27B4A">
              <w:rPr>
                <w:rFonts w:ascii="Calibri" w:eastAsia="Times New Roman" w:hAnsi="Calibri" w:cs="Calibri"/>
                <w:iCs/>
                <w:color w:val="000000"/>
                <w:sz w:val="22"/>
                <w:lang w:eastAsia="en-AU"/>
              </w:rPr>
              <w:t>Loss</w:t>
            </w:r>
          </w:p>
        </w:tc>
        <w:tc>
          <w:tcPr>
            <w:tcW w:w="693" w:type="pct"/>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124</w:t>
            </w:r>
          </w:p>
        </w:tc>
        <w:tc>
          <w:tcPr>
            <w:tcW w:w="692" w:type="pct"/>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65.61%</w:t>
            </w:r>
          </w:p>
        </w:tc>
        <w:tc>
          <w:tcPr>
            <w:tcW w:w="767" w:type="pct"/>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p>
        </w:tc>
        <w:tc>
          <w:tcPr>
            <w:tcW w:w="708" w:type="pct"/>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p>
        </w:tc>
      </w:tr>
      <w:tr w:rsidR="0029636F" w:rsidRPr="00EF2718" w:rsidTr="00DB1BCC">
        <w:trPr>
          <w:gridAfter w:val="2"/>
          <w:wAfter w:w="1475" w:type="pct"/>
          <w:trHeight w:val="300"/>
        </w:trPr>
        <w:tc>
          <w:tcPr>
            <w:cnfStyle w:val="001000000000" w:firstRow="0" w:lastRow="0" w:firstColumn="1" w:lastColumn="0" w:oddVBand="0" w:evenVBand="0" w:oddHBand="0" w:evenHBand="0" w:firstRowFirstColumn="0" w:firstRowLastColumn="0" w:lastRowFirstColumn="0" w:lastRowLastColumn="0"/>
            <w:tcW w:w="2140" w:type="pct"/>
            <w:shd w:val="clear" w:color="auto" w:fill="auto"/>
            <w:noWrap/>
            <w:hideMark/>
          </w:tcPr>
          <w:p w:rsidR="0029636F" w:rsidRPr="00EF2718" w:rsidRDefault="0029636F" w:rsidP="00DB1BCC">
            <w:pPr>
              <w:spacing w:line="240" w:lineRule="auto"/>
              <w:ind w:firstLine="0"/>
              <w:rPr>
                <w:rFonts w:ascii="Calibri" w:eastAsia="Times New Roman" w:hAnsi="Calibri" w:cs="Calibri"/>
                <w:color w:val="000000"/>
                <w:sz w:val="22"/>
                <w:lang w:eastAsia="zh-CN"/>
              </w:rPr>
            </w:pPr>
            <w:r w:rsidRPr="00EF2718">
              <w:rPr>
                <w:rFonts w:ascii="Calibri" w:eastAsia="Times New Roman" w:hAnsi="Calibri" w:cs="Calibri"/>
                <w:color w:val="000000"/>
                <w:sz w:val="22"/>
                <w:lang w:eastAsia="zh-CN"/>
              </w:rPr>
              <w:t>Analyst</w:t>
            </w:r>
          </w:p>
        </w:tc>
        <w:tc>
          <w:tcPr>
            <w:tcW w:w="693" w:type="pct"/>
            <w:shd w:val="clear" w:color="auto" w:fill="auto"/>
            <w:noWrap/>
            <w:hideMark/>
          </w:tcPr>
          <w:p w:rsidR="0029636F" w:rsidRPr="00EF2718"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F2718">
              <w:rPr>
                <w:rFonts w:ascii="Calibri" w:eastAsia="Times New Roman" w:hAnsi="Calibri" w:cs="Calibri"/>
                <w:color w:val="000000"/>
                <w:sz w:val="22"/>
                <w:lang w:eastAsia="zh-CN"/>
              </w:rPr>
              <w:t>104</w:t>
            </w:r>
          </w:p>
        </w:tc>
        <w:tc>
          <w:tcPr>
            <w:tcW w:w="692" w:type="pct"/>
            <w:shd w:val="clear" w:color="auto" w:fill="auto"/>
            <w:noWrap/>
            <w:hideMark/>
          </w:tcPr>
          <w:p w:rsidR="0029636F" w:rsidRPr="00EF2718"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EF2718">
              <w:rPr>
                <w:rFonts w:ascii="Calibri" w:eastAsia="Times New Roman" w:hAnsi="Calibri" w:cs="Calibri"/>
                <w:color w:val="000000"/>
                <w:sz w:val="22"/>
                <w:lang w:eastAsia="zh-CN"/>
              </w:rPr>
              <w:t>55.03%</w:t>
            </w:r>
          </w:p>
        </w:tc>
      </w:tr>
      <w:tr w:rsidR="0029636F" w:rsidRPr="00EF2718" w:rsidTr="00DB1BCC">
        <w:trPr>
          <w:gridAfter w:val="2"/>
          <w:cnfStyle w:val="000000100000" w:firstRow="0" w:lastRow="0" w:firstColumn="0" w:lastColumn="0" w:oddVBand="0" w:evenVBand="0" w:oddHBand="1" w:evenHBand="0" w:firstRowFirstColumn="0" w:firstRowLastColumn="0" w:lastRowFirstColumn="0" w:lastRowLastColumn="0"/>
          <w:wAfter w:w="1475" w:type="pct"/>
          <w:trHeight w:val="300"/>
        </w:trPr>
        <w:tc>
          <w:tcPr>
            <w:cnfStyle w:val="001000000000" w:firstRow="0" w:lastRow="0" w:firstColumn="1" w:lastColumn="0" w:oddVBand="0" w:evenVBand="0" w:oddHBand="0" w:evenHBand="0" w:firstRowFirstColumn="0" w:firstRowLastColumn="0" w:lastRowFirstColumn="0" w:lastRowLastColumn="0"/>
            <w:tcW w:w="2140" w:type="pct"/>
            <w:shd w:val="clear" w:color="auto" w:fill="auto"/>
            <w:noWrap/>
            <w:hideMark/>
          </w:tcPr>
          <w:p w:rsidR="0029636F" w:rsidRPr="00EF2718" w:rsidRDefault="0029636F" w:rsidP="00DB1BCC">
            <w:pPr>
              <w:spacing w:line="240" w:lineRule="auto"/>
              <w:ind w:firstLine="0"/>
              <w:rPr>
                <w:rFonts w:ascii="Calibri" w:eastAsia="Times New Roman" w:hAnsi="Calibri" w:cs="Calibri"/>
                <w:color w:val="000000"/>
                <w:sz w:val="22"/>
                <w:lang w:eastAsia="zh-CN"/>
              </w:rPr>
            </w:pPr>
            <w:r w:rsidRPr="00EF2718">
              <w:rPr>
                <w:rFonts w:ascii="Calibri" w:eastAsia="Times New Roman" w:hAnsi="Calibri" w:cs="Calibri"/>
                <w:color w:val="000000"/>
                <w:sz w:val="22"/>
                <w:lang w:eastAsia="zh-CN"/>
              </w:rPr>
              <w:t>Big4</w:t>
            </w:r>
          </w:p>
        </w:tc>
        <w:tc>
          <w:tcPr>
            <w:tcW w:w="693" w:type="pct"/>
            <w:shd w:val="clear" w:color="auto" w:fill="auto"/>
            <w:noWrap/>
            <w:hideMark/>
          </w:tcPr>
          <w:p w:rsidR="0029636F" w:rsidRPr="00EF2718"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EF2718">
              <w:rPr>
                <w:rFonts w:ascii="Calibri" w:eastAsia="Times New Roman" w:hAnsi="Calibri" w:cs="Calibri"/>
                <w:color w:val="000000"/>
                <w:sz w:val="22"/>
                <w:lang w:eastAsia="zh-CN"/>
              </w:rPr>
              <w:t>130</w:t>
            </w:r>
          </w:p>
        </w:tc>
        <w:tc>
          <w:tcPr>
            <w:tcW w:w="692" w:type="pct"/>
            <w:shd w:val="clear" w:color="auto" w:fill="auto"/>
            <w:noWrap/>
            <w:hideMark/>
          </w:tcPr>
          <w:p w:rsidR="0029636F" w:rsidRPr="00EF2718"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EF2718">
              <w:rPr>
                <w:rFonts w:ascii="Calibri" w:eastAsia="Times New Roman" w:hAnsi="Calibri" w:cs="Calibri"/>
                <w:color w:val="000000"/>
                <w:sz w:val="22"/>
                <w:lang w:eastAsia="zh-CN"/>
              </w:rPr>
              <w:t>68.78%</w:t>
            </w:r>
          </w:p>
        </w:tc>
      </w:tr>
    </w:tbl>
    <w:p w:rsidR="0029636F" w:rsidRPr="005A3005" w:rsidRDefault="009F5F56" w:rsidP="009F5F56">
      <w:pPr>
        <w:pStyle w:val="TableDesc"/>
        <w:rPr>
          <w:rFonts w:eastAsia="Times New Roman" w:cs="Times New Roman"/>
          <w:iCs/>
          <w:color w:val="000000"/>
          <w:szCs w:val="20"/>
          <w:lang w:eastAsia="en-AU"/>
        </w:rPr>
      </w:pPr>
      <w:r>
        <w:rPr>
          <w:lang w:eastAsia="en-AU"/>
        </w:rPr>
        <w:fldChar w:fldCharType="begin"/>
      </w:r>
      <w:r>
        <w:rPr>
          <w:lang w:eastAsia="en-AU"/>
        </w:rPr>
        <w:instrText xml:space="preserve"> REF _Ref380060010 \h  \* MERGEFORMAT </w:instrText>
      </w:r>
      <w:r>
        <w:rPr>
          <w:lang w:eastAsia="en-AU"/>
        </w:rPr>
      </w:r>
      <w:r>
        <w:rPr>
          <w:lang w:eastAsia="en-AU"/>
        </w:rPr>
        <w:fldChar w:fldCharType="separate"/>
      </w:r>
      <w:proofErr w:type="gramStart"/>
      <w:r w:rsidR="0089071A">
        <w:t xml:space="preserve">Table </w:t>
      </w:r>
      <w:proofErr w:type="gramEnd"/>
      <w:r>
        <w:rPr>
          <w:lang w:eastAsia="en-AU"/>
        </w:rPr>
        <w:fldChar w:fldCharType="end"/>
      </w:r>
      <w:r w:rsidR="00213CD2">
        <w:rPr>
          <w:lang w:eastAsia="en-AU"/>
        </w:rPr>
        <w:t xml:space="preserve">, </w:t>
      </w:r>
      <w:r w:rsidR="0029636F" w:rsidRPr="00F521A0">
        <w:rPr>
          <w:lang w:eastAsia="en-AU"/>
        </w:rPr>
        <w:t xml:space="preserve">Panel A provides descriptive statistics for Initial loan observations; Panel B provides descriptive statistics for Subsequent loan observations.  </w:t>
      </w:r>
      <w:r w:rsidR="0029636F" w:rsidRPr="00F521A0">
        <w:rPr>
          <w:rFonts w:eastAsia="Times New Roman" w:cs="Times New Roman"/>
          <w:i/>
          <w:iCs/>
          <w:color w:val="000000"/>
          <w:szCs w:val="20"/>
          <w:lang w:eastAsia="en-AU"/>
        </w:rPr>
        <w:t>MCAP</w:t>
      </w:r>
      <w:r w:rsidR="0029636F" w:rsidRPr="00F521A0">
        <w:rPr>
          <w:rFonts w:eastAsia="Times New Roman" w:cs="Times New Roman"/>
          <w:color w:val="000000"/>
          <w:szCs w:val="20"/>
          <w:lang w:eastAsia="en-AU"/>
        </w:rPr>
        <w:t xml:space="preserve"> is the market capitalization of firm </w:t>
      </w:r>
      <w:proofErr w:type="spellStart"/>
      <w:r w:rsidR="0029636F" w:rsidRPr="00F521A0">
        <w:rPr>
          <w:rFonts w:eastAsia="Times New Roman" w:cs="Times New Roman"/>
          <w:i/>
          <w:iCs/>
          <w:color w:val="000000"/>
          <w:szCs w:val="20"/>
          <w:lang w:eastAsia="en-AU"/>
        </w:rPr>
        <w:t>i</w:t>
      </w:r>
      <w:proofErr w:type="spellEnd"/>
      <w:r w:rsidR="0029636F" w:rsidRPr="00F521A0">
        <w:rPr>
          <w:rFonts w:eastAsia="Times New Roman" w:cs="Times New Roman"/>
          <w:color w:val="000000"/>
          <w:szCs w:val="20"/>
          <w:lang w:eastAsia="en-AU"/>
        </w:rPr>
        <w:t xml:space="preserve"> as on day </w:t>
      </w:r>
      <w:r w:rsidR="0029636F" w:rsidRPr="00F521A0">
        <w:rPr>
          <w:rFonts w:eastAsia="Times New Roman" w:cs="Times New Roman"/>
          <w:i/>
          <w:iCs/>
          <w:color w:val="000000"/>
          <w:szCs w:val="20"/>
          <w:lang w:eastAsia="en-AU"/>
        </w:rPr>
        <w:t>t</w:t>
      </w:r>
      <w:r w:rsidR="0029636F" w:rsidRPr="00F521A0">
        <w:rPr>
          <w:rFonts w:eastAsia="Times New Roman" w:cs="Times New Roman"/>
          <w:color w:val="000000"/>
          <w:szCs w:val="20"/>
          <w:lang w:eastAsia="en-AU"/>
        </w:rPr>
        <w:t xml:space="preserve">-15 in dollars. </w:t>
      </w:r>
      <w:r w:rsidR="0029636F" w:rsidRPr="00F521A0">
        <w:rPr>
          <w:rFonts w:eastAsia="Times New Roman" w:cs="Times New Roman"/>
          <w:i/>
          <w:color w:val="000000"/>
          <w:szCs w:val="20"/>
          <w:lang w:eastAsia="en-AU"/>
        </w:rPr>
        <w:t>Total Asset</w:t>
      </w:r>
      <w:r w:rsidR="0029636F" w:rsidRPr="00F521A0">
        <w:rPr>
          <w:rFonts w:eastAsia="Times New Roman" w:cs="Times New Roman"/>
          <w:color w:val="000000"/>
          <w:szCs w:val="20"/>
          <w:lang w:eastAsia="en-AU"/>
        </w:rPr>
        <w:t xml:space="preserve"> is the reported total assets of firm </w:t>
      </w:r>
      <w:proofErr w:type="spellStart"/>
      <w:r w:rsidR="0029636F" w:rsidRPr="00F521A0">
        <w:rPr>
          <w:rFonts w:eastAsia="Times New Roman" w:cs="Times New Roman"/>
          <w:i/>
          <w:color w:val="000000"/>
          <w:szCs w:val="20"/>
          <w:lang w:eastAsia="en-AU"/>
        </w:rPr>
        <w:t>i</w:t>
      </w:r>
      <w:proofErr w:type="spellEnd"/>
      <w:r w:rsidR="0029636F" w:rsidRPr="00F521A0">
        <w:rPr>
          <w:rFonts w:eastAsia="Times New Roman" w:cs="Times New Roman"/>
          <w:i/>
          <w:color w:val="000000"/>
          <w:szCs w:val="20"/>
          <w:lang w:eastAsia="en-AU"/>
        </w:rPr>
        <w:t xml:space="preserve"> </w:t>
      </w:r>
      <w:r w:rsidR="0029636F" w:rsidRPr="00F521A0">
        <w:rPr>
          <w:rFonts w:eastAsia="Times New Roman" w:cs="Times New Roman"/>
          <w:color w:val="000000"/>
          <w:szCs w:val="20"/>
          <w:lang w:eastAsia="en-AU"/>
        </w:rPr>
        <w:t xml:space="preserve">in the annual report released prior to the bank loan announcement measured in dollars. </w:t>
      </w:r>
      <w:r w:rsidR="0029636F" w:rsidRPr="00F521A0">
        <w:rPr>
          <w:rFonts w:eastAsia="Times New Roman" w:cs="Times New Roman"/>
          <w:i/>
          <w:color w:val="000000"/>
          <w:szCs w:val="20"/>
          <w:lang w:eastAsia="en-AU"/>
        </w:rPr>
        <w:t>Long Term Debt</w:t>
      </w:r>
      <w:r w:rsidR="0029636F" w:rsidRPr="00F521A0">
        <w:rPr>
          <w:rFonts w:eastAsia="Times New Roman" w:cs="Times New Roman"/>
          <w:color w:val="000000"/>
          <w:szCs w:val="20"/>
          <w:lang w:eastAsia="en-AU"/>
        </w:rPr>
        <w:t xml:space="preserve"> is the reported long term debts of firm </w:t>
      </w:r>
      <w:proofErr w:type="spellStart"/>
      <w:r w:rsidR="0029636F" w:rsidRPr="00F521A0">
        <w:rPr>
          <w:rFonts w:eastAsia="Times New Roman" w:cs="Times New Roman"/>
          <w:i/>
          <w:color w:val="000000"/>
          <w:szCs w:val="20"/>
          <w:lang w:eastAsia="en-AU"/>
        </w:rPr>
        <w:t>i</w:t>
      </w:r>
      <w:proofErr w:type="spellEnd"/>
      <w:r w:rsidR="0029636F" w:rsidRPr="00F521A0">
        <w:rPr>
          <w:rFonts w:eastAsia="Times New Roman" w:cs="Times New Roman"/>
          <w:i/>
          <w:color w:val="000000"/>
          <w:szCs w:val="20"/>
          <w:lang w:eastAsia="en-AU"/>
        </w:rPr>
        <w:t xml:space="preserve"> </w:t>
      </w:r>
      <w:r w:rsidR="0029636F" w:rsidRPr="00F521A0">
        <w:rPr>
          <w:rFonts w:eastAsia="Times New Roman" w:cs="Times New Roman"/>
          <w:color w:val="000000"/>
          <w:szCs w:val="20"/>
          <w:lang w:eastAsia="en-AU"/>
        </w:rPr>
        <w:t xml:space="preserve">in the annual report released prior to the bank loan announcement measured in dollars. </w:t>
      </w:r>
      <w:r w:rsidR="0029636F" w:rsidRPr="00F521A0">
        <w:rPr>
          <w:rFonts w:eastAsia="Times New Roman" w:cs="Times New Roman"/>
          <w:i/>
          <w:color w:val="000000"/>
          <w:szCs w:val="20"/>
          <w:lang w:eastAsia="en-AU"/>
        </w:rPr>
        <w:t>Short Term Debt</w:t>
      </w:r>
      <w:r w:rsidR="0029636F" w:rsidRPr="00F521A0">
        <w:rPr>
          <w:rFonts w:eastAsia="Times New Roman" w:cs="Times New Roman"/>
          <w:color w:val="000000"/>
          <w:szCs w:val="20"/>
          <w:lang w:eastAsia="en-AU"/>
        </w:rPr>
        <w:t xml:space="preserve"> is the reported short term debts of firm </w:t>
      </w:r>
      <w:proofErr w:type="spellStart"/>
      <w:r w:rsidR="0029636F" w:rsidRPr="00F521A0">
        <w:rPr>
          <w:rFonts w:eastAsia="Times New Roman" w:cs="Times New Roman"/>
          <w:i/>
          <w:color w:val="000000"/>
          <w:szCs w:val="20"/>
          <w:lang w:eastAsia="en-AU"/>
        </w:rPr>
        <w:t>i</w:t>
      </w:r>
      <w:proofErr w:type="spellEnd"/>
      <w:r w:rsidR="0029636F" w:rsidRPr="00F521A0">
        <w:rPr>
          <w:rFonts w:eastAsia="Times New Roman" w:cs="Times New Roman"/>
          <w:i/>
          <w:color w:val="000000"/>
          <w:szCs w:val="20"/>
          <w:lang w:eastAsia="en-AU"/>
        </w:rPr>
        <w:t xml:space="preserve"> </w:t>
      </w:r>
      <w:r w:rsidR="0029636F" w:rsidRPr="00F521A0">
        <w:rPr>
          <w:rFonts w:eastAsia="Times New Roman" w:cs="Times New Roman"/>
          <w:color w:val="000000"/>
          <w:szCs w:val="20"/>
          <w:lang w:eastAsia="en-AU"/>
        </w:rPr>
        <w:t xml:space="preserve">in the annual report released prior to the bank loan announcement measured in dollars. </w:t>
      </w:r>
      <w:r w:rsidR="0029636F" w:rsidRPr="00F521A0">
        <w:rPr>
          <w:rFonts w:eastAsia="Times New Roman" w:cs="Times New Roman"/>
          <w:i/>
          <w:color w:val="000000"/>
          <w:szCs w:val="20"/>
          <w:lang w:eastAsia="en-AU"/>
        </w:rPr>
        <w:t>Total Equity</w:t>
      </w:r>
      <w:r w:rsidR="0029636F" w:rsidRPr="00F521A0">
        <w:rPr>
          <w:rFonts w:eastAsia="Times New Roman" w:cs="Times New Roman"/>
          <w:color w:val="000000"/>
          <w:szCs w:val="20"/>
          <w:lang w:eastAsia="en-AU"/>
        </w:rPr>
        <w:t xml:space="preserve"> is the reported total equity of firm </w:t>
      </w:r>
      <w:proofErr w:type="spellStart"/>
      <w:r w:rsidR="0029636F" w:rsidRPr="00F521A0">
        <w:rPr>
          <w:rFonts w:eastAsia="Times New Roman" w:cs="Times New Roman"/>
          <w:i/>
          <w:color w:val="000000"/>
          <w:szCs w:val="20"/>
          <w:lang w:eastAsia="en-AU"/>
        </w:rPr>
        <w:t>i</w:t>
      </w:r>
      <w:proofErr w:type="spellEnd"/>
      <w:r w:rsidR="0029636F" w:rsidRPr="00F521A0">
        <w:rPr>
          <w:rFonts w:eastAsia="Times New Roman" w:cs="Times New Roman"/>
          <w:i/>
          <w:color w:val="000000"/>
          <w:szCs w:val="20"/>
          <w:lang w:eastAsia="en-AU"/>
        </w:rPr>
        <w:t xml:space="preserve"> </w:t>
      </w:r>
      <w:r w:rsidR="0029636F" w:rsidRPr="00F521A0">
        <w:rPr>
          <w:rFonts w:eastAsia="Times New Roman" w:cs="Times New Roman"/>
          <w:color w:val="000000"/>
          <w:szCs w:val="20"/>
          <w:lang w:eastAsia="en-AU"/>
        </w:rPr>
        <w:t xml:space="preserve">in the annual report released prior to the bank loan announcement measured in dollars. </w:t>
      </w:r>
      <w:r w:rsidR="0029636F" w:rsidRPr="00F521A0">
        <w:rPr>
          <w:rFonts w:eastAsia="Times New Roman" w:cs="Times New Roman"/>
          <w:i/>
          <w:color w:val="000000"/>
          <w:szCs w:val="20"/>
          <w:lang w:eastAsia="en-AU"/>
        </w:rPr>
        <w:t xml:space="preserve">Net Profit </w:t>
      </w:r>
      <w:proofErr w:type="gramStart"/>
      <w:r w:rsidR="0029636F" w:rsidRPr="00F521A0">
        <w:rPr>
          <w:rFonts w:eastAsia="Times New Roman" w:cs="Times New Roman"/>
          <w:i/>
          <w:color w:val="000000"/>
          <w:szCs w:val="20"/>
          <w:lang w:eastAsia="en-AU"/>
        </w:rPr>
        <w:t>After</w:t>
      </w:r>
      <w:proofErr w:type="gramEnd"/>
      <w:r w:rsidR="0029636F" w:rsidRPr="00F521A0">
        <w:rPr>
          <w:rFonts w:eastAsia="Times New Roman" w:cs="Times New Roman"/>
          <w:i/>
          <w:color w:val="000000"/>
          <w:szCs w:val="20"/>
          <w:lang w:eastAsia="en-AU"/>
        </w:rPr>
        <w:t xml:space="preserve"> Tax </w:t>
      </w:r>
      <w:r w:rsidR="0029636F" w:rsidRPr="00F521A0">
        <w:rPr>
          <w:rFonts w:eastAsia="Times New Roman" w:cs="Times New Roman"/>
          <w:color w:val="000000"/>
          <w:szCs w:val="20"/>
          <w:lang w:eastAsia="en-AU"/>
        </w:rPr>
        <w:t xml:space="preserve">is the reported net profit after tax of firm </w:t>
      </w:r>
      <w:proofErr w:type="spellStart"/>
      <w:r w:rsidR="0029636F" w:rsidRPr="00F521A0">
        <w:rPr>
          <w:rFonts w:eastAsia="Times New Roman" w:cs="Times New Roman"/>
          <w:i/>
          <w:color w:val="000000"/>
          <w:szCs w:val="20"/>
          <w:lang w:eastAsia="en-AU"/>
        </w:rPr>
        <w:t>i</w:t>
      </w:r>
      <w:proofErr w:type="spellEnd"/>
      <w:r w:rsidR="0029636F" w:rsidRPr="00F521A0">
        <w:rPr>
          <w:rFonts w:eastAsia="Times New Roman" w:cs="Times New Roman"/>
          <w:color w:val="000000"/>
          <w:szCs w:val="20"/>
          <w:lang w:eastAsia="en-AU"/>
        </w:rPr>
        <w:t xml:space="preserve"> in the annual report released prior to the bank loan announcement measured in dollars. </w:t>
      </w:r>
      <w:proofErr w:type="spellStart"/>
      <w:r w:rsidR="0029636F" w:rsidRPr="00BD38AC">
        <w:rPr>
          <w:rFonts w:eastAsia="Times New Roman" w:cs="Times New Roman"/>
          <w:i/>
          <w:color w:val="000000"/>
          <w:szCs w:val="20"/>
          <w:lang w:eastAsia="en-AU"/>
        </w:rPr>
        <w:t>AvgTurnover</w:t>
      </w:r>
      <w:proofErr w:type="spellEnd"/>
      <w:r w:rsidR="0029636F">
        <w:rPr>
          <w:rFonts w:eastAsia="Times New Roman" w:cs="Times New Roman"/>
          <w:color w:val="000000"/>
          <w:szCs w:val="20"/>
          <w:lang w:eastAsia="en-AU"/>
        </w:rPr>
        <w:t xml:space="preserve"> is the average turnover of firm </w:t>
      </w:r>
      <w:proofErr w:type="spellStart"/>
      <w:r w:rsidR="0029636F" w:rsidRPr="00E47189">
        <w:rPr>
          <w:rFonts w:eastAsia="Times New Roman" w:cs="Times New Roman"/>
          <w:i/>
          <w:color w:val="000000"/>
          <w:szCs w:val="20"/>
          <w:lang w:eastAsia="en-AU"/>
        </w:rPr>
        <w:t>i</w:t>
      </w:r>
      <w:proofErr w:type="spellEnd"/>
      <w:r w:rsidR="0029636F">
        <w:rPr>
          <w:rFonts w:eastAsia="Times New Roman" w:cs="Times New Roman"/>
          <w:i/>
          <w:color w:val="000000"/>
          <w:szCs w:val="20"/>
          <w:lang w:eastAsia="en-AU"/>
        </w:rPr>
        <w:t xml:space="preserve"> </w:t>
      </w:r>
      <w:r w:rsidR="0029636F">
        <w:rPr>
          <w:rFonts w:eastAsia="Times New Roman" w:cs="Times New Roman"/>
          <w:color w:val="000000"/>
          <w:szCs w:val="20"/>
          <w:lang w:eastAsia="en-AU"/>
        </w:rPr>
        <w:t xml:space="preserve">in the period -100 to -15 days before a loan announcement. </w:t>
      </w:r>
      <w:proofErr w:type="spellStart"/>
      <w:r w:rsidR="0029636F" w:rsidRPr="00E47189">
        <w:rPr>
          <w:rFonts w:eastAsia="Times New Roman" w:cs="Times New Roman"/>
          <w:i/>
          <w:color w:val="000000"/>
          <w:szCs w:val="20"/>
          <w:lang w:eastAsia="en-AU"/>
        </w:rPr>
        <w:t>AvgSpread</w:t>
      </w:r>
      <w:proofErr w:type="spellEnd"/>
      <w:r w:rsidR="0029636F">
        <w:rPr>
          <w:rFonts w:eastAsia="Times New Roman" w:cs="Times New Roman"/>
          <w:color w:val="000000"/>
          <w:szCs w:val="20"/>
          <w:lang w:eastAsia="en-AU"/>
        </w:rPr>
        <w:t xml:space="preserve"> is the average bid-ask spread of firm </w:t>
      </w:r>
      <w:proofErr w:type="spellStart"/>
      <w:r w:rsidR="0029636F">
        <w:rPr>
          <w:rFonts w:eastAsia="Times New Roman" w:cs="Times New Roman"/>
          <w:i/>
          <w:color w:val="000000"/>
          <w:szCs w:val="20"/>
          <w:lang w:eastAsia="en-AU"/>
        </w:rPr>
        <w:t>i</w:t>
      </w:r>
      <w:proofErr w:type="spellEnd"/>
      <w:r w:rsidR="0029636F">
        <w:rPr>
          <w:rFonts w:eastAsia="Times New Roman" w:cs="Times New Roman"/>
          <w:color w:val="000000"/>
          <w:szCs w:val="20"/>
          <w:lang w:eastAsia="en-AU"/>
        </w:rPr>
        <w:t xml:space="preserve"> in the period -100 to -15 days before a loan announcement. </w:t>
      </w:r>
      <w:r w:rsidR="0029636F">
        <w:rPr>
          <w:rFonts w:eastAsia="Times New Roman" w:cs="Times New Roman"/>
          <w:i/>
          <w:color w:val="000000"/>
          <w:szCs w:val="20"/>
          <w:lang w:eastAsia="en-AU"/>
        </w:rPr>
        <w:t>Age</w:t>
      </w:r>
      <w:r w:rsidR="0029636F">
        <w:rPr>
          <w:rFonts w:eastAsia="Times New Roman" w:cs="Times New Roman"/>
          <w:color w:val="000000"/>
          <w:szCs w:val="20"/>
          <w:lang w:eastAsia="en-AU"/>
        </w:rPr>
        <w:t xml:space="preserve"> is measured in days, and is calculated as the number of days between a firms listing date and loan announcement. </w:t>
      </w:r>
      <w:proofErr w:type="spellStart"/>
      <w:r w:rsidR="0029636F" w:rsidRPr="00BD38AC">
        <w:rPr>
          <w:rFonts w:eastAsia="Times New Roman" w:cs="Times New Roman"/>
          <w:i/>
          <w:color w:val="000000"/>
          <w:szCs w:val="20"/>
          <w:lang w:eastAsia="en-AU"/>
        </w:rPr>
        <w:t>NumAnalyst</w:t>
      </w:r>
      <w:proofErr w:type="spellEnd"/>
      <w:r w:rsidR="0029636F">
        <w:rPr>
          <w:rFonts w:eastAsia="Times New Roman" w:cs="Times New Roman"/>
          <w:color w:val="000000"/>
          <w:szCs w:val="20"/>
          <w:lang w:eastAsia="en-AU"/>
        </w:rPr>
        <w:t xml:space="preserve"> is the number of analysts following firm </w:t>
      </w:r>
      <w:proofErr w:type="spellStart"/>
      <w:r w:rsidR="0029636F">
        <w:rPr>
          <w:rFonts w:eastAsia="Times New Roman" w:cs="Times New Roman"/>
          <w:i/>
          <w:color w:val="000000"/>
          <w:szCs w:val="20"/>
          <w:lang w:eastAsia="en-AU"/>
        </w:rPr>
        <w:t>i</w:t>
      </w:r>
      <w:proofErr w:type="spellEnd"/>
      <w:r w:rsidR="0029636F">
        <w:rPr>
          <w:rFonts w:eastAsia="Times New Roman" w:cs="Times New Roman"/>
          <w:i/>
          <w:color w:val="000000"/>
          <w:szCs w:val="20"/>
          <w:lang w:eastAsia="en-AU"/>
        </w:rPr>
        <w:t xml:space="preserve"> </w:t>
      </w:r>
      <w:r w:rsidR="0029636F">
        <w:rPr>
          <w:rFonts w:eastAsia="Times New Roman" w:cs="Times New Roman"/>
          <w:color w:val="000000"/>
          <w:szCs w:val="20"/>
          <w:lang w:eastAsia="en-AU"/>
        </w:rPr>
        <w:t xml:space="preserve">on the day it made a loan announcement. </w:t>
      </w:r>
      <w:r w:rsidR="0029636F" w:rsidRPr="005A3005">
        <w:rPr>
          <w:rFonts w:eastAsia="Times New Roman" w:cs="Times New Roman"/>
          <w:i/>
          <w:color w:val="000000"/>
          <w:szCs w:val="20"/>
          <w:lang w:eastAsia="en-AU"/>
        </w:rPr>
        <w:t>Loss</w:t>
      </w:r>
      <w:r w:rsidR="0029636F" w:rsidRPr="00F521A0">
        <w:rPr>
          <w:rFonts w:eastAsia="Times New Roman" w:cs="Times New Roman"/>
          <w:color w:val="000000"/>
          <w:szCs w:val="20"/>
          <w:lang w:eastAsia="en-AU"/>
        </w:rPr>
        <w:t xml:space="preserve"> is a binary variable equal to one if the firm had a net profit after tax o</w:t>
      </w:r>
      <w:bookmarkStart w:id="33" w:name="_GoBack"/>
      <w:bookmarkEnd w:id="33"/>
      <w:r w:rsidR="0029636F" w:rsidRPr="00F521A0">
        <w:rPr>
          <w:rFonts w:eastAsia="Times New Roman" w:cs="Times New Roman"/>
          <w:color w:val="000000"/>
          <w:szCs w:val="20"/>
          <w:lang w:eastAsia="en-AU"/>
        </w:rPr>
        <w:t>f less than zero.</w:t>
      </w:r>
      <w:r w:rsidR="0029636F">
        <w:rPr>
          <w:rFonts w:eastAsia="Times New Roman" w:cs="Times New Roman"/>
          <w:color w:val="000000"/>
          <w:szCs w:val="20"/>
          <w:lang w:eastAsia="en-AU"/>
        </w:rPr>
        <w:t xml:space="preserve"> </w:t>
      </w:r>
      <w:r w:rsidR="0029636F">
        <w:rPr>
          <w:rFonts w:eastAsia="Times New Roman" w:cs="Times New Roman"/>
          <w:i/>
          <w:color w:val="000000"/>
          <w:szCs w:val="20"/>
          <w:lang w:eastAsia="en-AU"/>
        </w:rPr>
        <w:t xml:space="preserve">Analyst </w:t>
      </w:r>
      <w:r w:rsidR="0029636F">
        <w:rPr>
          <w:rFonts w:eastAsia="Times New Roman" w:cs="Times New Roman"/>
          <w:color w:val="000000"/>
          <w:szCs w:val="20"/>
          <w:lang w:eastAsia="en-AU"/>
        </w:rPr>
        <w:t xml:space="preserve">is a binary variable equal to one if the firm had an analyst covering them on the date of their bank loan announcement. </w:t>
      </w:r>
      <w:r w:rsidR="0029636F" w:rsidRPr="005A3005">
        <w:rPr>
          <w:rFonts w:eastAsia="Times New Roman" w:cs="Times New Roman"/>
          <w:i/>
          <w:color w:val="000000"/>
          <w:szCs w:val="20"/>
          <w:lang w:eastAsia="en-AU"/>
        </w:rPr>
        <w:t>Big4</w:t>
      </w:r>
      <w:r w:rsidR="0029636F">
        <w:rPr>
          <w:rFonts w:eastAsia="Times New Roman" w:cs="Times New Roman"/>
          <w:i/>
          <w:color w:val="000000"/>
          <w:szCs w:val="20"/>
          <w:lang w:eastAsia="en-AU"/>
        </w:rPr>
        <w:t xml:space="preserve"> </w:t>
      </w:r>
      <w:r w:rsidR="0029636F">
        <w:rPr>
          <w:rFonts w:eastAsia="Times New Roman" w:cs="Times New Roman"/>
          <w:color w:val="000000"/>
          <w:szCs w:val="20"/>
          <w:lang w:eastAsia="en-AU"/>
        </w:rPr>
        <w:t xml:space="preserve">is a binary variable equal to one if the annual report released of firm </w:t>
      </w:r>
      <w:proofErr w:type="spellStart"/>
      <w:r w:rsidR="0029636F">
        <w:rPr>
          <w:rFonts w:eastAsia="Times New Roman" w:cs="Times New Roman"/>
          <w:i/>
          <w:color w:val="000000"/>
          <w:szCs w:val="20"/>
          <w:lang w:eastAsia="en-AU"/>
        </w:rPr>
        <w:t>i</w:t>
      </w:r>
      <w:proofErr w:type="spellEnd"/>
      <w:r w:rsidR="0029636F">
        <w:rPr>
          <w:rFonts w:eastAsia="Times New Roman" w:cs="Times New Roman"/>
          <w:i/>
          <w:color w:val="000000"/>
          <w:szCs w:val="20"/>
          <w:lang w:eastAsia="en-AU"/>
        </w:rPr>
        <w:t xml:space="preserve"> </w:t>
      </w:r>
      <w:r w:rsidR="0029636F">
        <w:rPr>
          <w:rFonts w:eastAsia="Times New Roman" w:cs="Times New Roman"/>
          <w:color w:val="000000"/>
          <w:szCs w:val="20"/>
          <w:lang w:eastAsia="en-AU"/>
        </w:rPr>
        <w:t>was audited by a big four auditing firm in the period prior to their bank loan announcement.</w:t>
      </w:r>
    </w:p>
    <w:p w:rsidR="0029636F" w:rsidRDefault="0029636F" w:rsidP="0029636F">
      <w:pPr>
        <w:spacing w:line="276" w:lineRule="auto"/>
        <w:ind w:firstLine="0"/>
        <w:rPr>
          <w:b/>
        </w:rPr>
      </w:pPr>
      <w:bookmarkStart w:id="34" w:name="_Ref378017949"/>
      <w:bookmarkStart w:id="35" w:name="_Ref378023399"/>
      <w:r>
        <w:br w:type="page"/>
      </w:r>
    </w:p>
    <w:p w:rsidR="0029636F" w:rsidRPr="00F521A0" w:rsidRDefault="0029636F" w:rsidP="009F5F56">
      <w:pPr>
        <w:pStyle w:val="Table"/>
        <w:spacing w:after="0"/>
      </w:pPr>
      <w:bookmarkStart w:id="36" w:name="_Ref379743143"/>
      <w:bookmarkStart w:id="37" w:name="_Toc379787339"/>
      <w:r w:rsidRPr="00F521A0">
        <w:lastRenderedPageBreak/>
        <w:t>Table</w:t>
      </w:r>
      <w:r w:rsidR="00213CD2">
        <w:t xml:space="preserve"> </w:t>
      </w:r>
      <w:bookmarkEnd w:id="34"/>
      <w:bookmarkEnd w:id="35"/>
      <w:bookmarkEnd w:id="36"/>
      <w:r w:rsidR="009C0FA7">
        <w:t>3</w:t>
      </w:r>
      <w:r w:rsidRPr="00F521A0">
        <w:t xml:space="preserve"> Loan descriptive statistics</w:t>
      </w:r>
      <w:bookmarkEnd w:id="37"/>
    </w:p>
    <w:p w:rsidR="0029636F" w:rsidRPr="00F521A0" w:rsidRDefault="0029636F" w:rsidP="009F5F56">
      <w:pPr>
        <w:spacing w:after="0" w:line="240" w:lineRule="auto"/>
        <w:ind w:firstLine="0"/>
        <w:rPr>
          <w:rFonts w:eastAsia="Times New Roman"/>
          <w:lang w:eastAsia="en-AU"/>
        </w:rPr>
      </w:pPr>
      <w:r w:rsidRPr="00F521A0">
        <w:rPr>
          <w:rFonts w:eastAsia="Times New Roman"/>
          <w:lang w:eastAsia="en-AU"/>
        </w:rPr>
        <w:t>Panel A: Initial loan sample loan descriptive statistics</w:t>
      </w:r>
    </w:p>
    <w:tbl>
      <w:tblPr>
        <w:tblStyle w:val="LightShading"/>
        <w:tblW w:w="5000" w:type="pct"/>
        <w:tblLook w:val="04A0" w:firstRow="1" w:lastRow="0" w:firstColumn="1" w:lastColumn="0" w:noHBand="0" w:noVBand="1"/>
      </w:tblPr>
      <w:tblGrid>
        <w:gridCol w:w="2316"/>
        <w:gridCol w:w="1658"/>
        <w:gridCol w:w="1658"/>
        <w:gridCol w:w="1772"/>
        <w:gridCol w:w="1542"/>
        <w:gridCol w:w="1945"/>
        <w:gridCol w:w="1843"/>
        <w:gridCol w:w="1440"/>
      </w:tblGrid>
      <w:tr w:rsidR="0029636F" w:rsidRPr="00F521A0" w:rsidTr="00DB1B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pct"/>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Continuous variables</w:t>
            </w:r>
          </w:p>
        </w:tc>
        <w:tc>
          <w:tcPr>
            <w:tcW w:w="585" w:type="pct"/>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Mean</w:t>
            </w:r>
          </w:p>
        </w:tc>
        <w:tc>
          <w:tcPr>
            <w:tcW w:w="585" w:type="pct"/>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Median</w:t>
            </w:r>
          </w:p>
        </w:tc>
        <w:tc>
          <w:tcPr>
            <w:tcW w:w="625" w:type="pct"/>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Std. Dev.</w:t>
            </w:r>
          </w:p>
        </w:tc>
        <w:tc>
          <w:tcPr>
            <w:tcW w:w="544" w:type="pct"/>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Min</w:t>
            </w:r>
          </w:p>
        </w:tc>
        <w:tc>
          <w:tcPr>
            <w:tcW w:w="686" w:type="pct"/>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Max</w:t>
            </w:r>
          </w:p>
        </w:tc>
        <w:tc>
          <w:tcPr>
            <w:tcW w:w="650" w:type="pct"/>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Count Disclosed</w:t>
            </w:r>
          </w:p>
        </w:tc>
        <w:tc>
          <w:tcPr>
            <w:tcW w:w="509" w:type="pct"/>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Disclosed</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pct"/>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Amount</w:t>
            </w:r>
          </w:p>
        </w:tc>
        <w:tc>
          <w:tcPr>
            <w:tcW w:w="585" w:type="pct"/>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76,384,201.42</w:t>
            </w:r>
          </w:p>
        </w:tc>
        <w:tc>
          <w:tcPr>
            <w:tcW w:w="585" w:type="pct"/>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31,000,000.00</w:t>
            </w:r>
          </w:p>
        </w:tc>
        <w:tc>
          <w:tcPr>
            <w:tcW w:w="625" w:type="pct"/>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163,693,587.21</w:t>
            </w:r>
          </w:p>
        </w:tc>
        <w:tc>
          <w:tcPr>
            <w:tcW w:w="544" w:type="pct"/>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1,000,000.00</w:t>
            </w:r>
          </w:p>
        </w:tc>
        <w:tc>
          <w:tcPr>
            <w:tcW w:w="686" w:type="pct"/>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1,200,000,000.00</w:t>
            </w:r>
          </w:p>
        </w:tc>
        <w:tc>
          <w:tcPr>
            <w:tcW w:w="650" w:type="pct"/>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211</w:t>
            </w:r>
          </w:p>
        </w:tc>
        <w:tc>
          <w:tcPr>
            <w:tcW w:w="509" w:type="pct"/>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97%</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817" w:type="pct"/>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Maturity</w:t>
            </w:r>
          </w:p>
        </w:tc>
        <w:tc>
          <w:tcPr>
            <w:tcW w:w="585" w:type="pct"/>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53.57</w:t>
            </w:r>
          </w:p>
        </w:tc>
        <w:tc>
          <w:tcPr>
            <w:tcW w:w="585" w:type="pct"/>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48.00</w:t>
            </w:r>
          </w:p>
        </w:tc>
        <w:tc>
          <w:tcPr>
            <w:tcW w:w="625" w:type="pct"/>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37.48</w:t>
            </w:r>
          </w:p>
        </w:tc>
        <w:tc>
          <w:tcPr>
            <w:tcW w:w="544" w:type="pct"/>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2.00</w:t>
            </w:r>
          </w:p>
        </w:tc>
        <w:tc>
          <w:tcPr>
            <w:tcW w:w="686" w:type="pct"/>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156.00</w:t>
            </w:r>
          </w:p>
        </w:tc>
        <w:tc>
          <w:tcPr>
            <w:tcW w:w="650" w:type="pct"/>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100</w:t>
            </w:r>
          </w:p>
        </w:tc>
        <w:tc>
          <w:tcPr>
            <w:tcW w:w="509" w:type="pct"/>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46%</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17" w:type="pct"/>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Number of lenders</w:t>
            </w:r>
          </w:p>
        </w:tc>
        <w:tc>
          <w:tcPr>
            <w:tcW w:w="585" w:type="pct"/>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1.42</w:t>
            </w:r>
          </w:p>
        </w:tc>
        <w:tc>
          <w:tcPr>
            <w:tcW w:w="585" w:type="pct"/>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1.00</w:t>
            </w:r>
          </w:p>
        </w:tc>
        <w:tc>
          <w:tcPr>
            <w:tcW w:w="625" w:type="pct"/>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0.87</w:t>
            </w:r>
          </w:p>
        </w:tc>
        <w:tc>
          <w:tcPr>
            <w:tcW w:w="544" w:type="pct"/>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1.00</w:t>
            </w:r>
          </w:p>
        </w:tc>
        <w:tc>
          <w:tcPr>
            <w:tcW w:w="686" w:type="pct"/>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6.00</w:t>
            </w:r>
          </w:p>
        </w:tc>
        <w:tc>
          <w:tcPr>
            <w:tcW w:w="650" w:type="pct"/>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212</w:t>
            </w:r>
          </w:p>
        </w:tc>
        <w:tc>
          <w:tcPr>
            <w:tcW w:w="509" w:type="pct"/>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98%</w:t>
            </w:r>
          </w:p>
        </w:tc>
      </w:tr>
    </w:tbl>
    <w:p w:rsidR="0029636F" w:rsidRDefault="0029636F" w:rsidP="0029636F">
      <w:pPr>
        <w:spacing w:after="0" w:line="240" w:lineRule="auto"/>
        <w:ind w:firstLine="0"/>
        <w:rPr>
          <w:lang w:eastAsia="en-AU"/>
        </w:rPr>
      </w:pPr>
    </w:p>
    <w:tbl>
      <w:tblPr>
        <w:tblStyle w:val="LightShading"/>
        <w:tblW w:w="0" w:type="auto"/>
        <w:tblLook w:val="04A0" w:firstRow="1" w:lastRow="0" w:firstColumn="1" w:lastColumn="0" w:noHBand="0" w:noVBand="1"/>
      </w:tblPr>
      <w:tblGrid>
        <w:gridCol w:w="1615"/>
        <w:gridCol w:w="529"/>
        <w:gridCol w:w="875"/>
        <w:gridCol w:w="222"/>
      </w:tblGrid>
      <w:tr w:rsidR="0029636F" w:rsidRPr="00F521A0" w:rsidTr="00DB1B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Binary Variable</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Yes</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Yes</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Interest rate</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41</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18.89%</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Hedging</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56</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25.81%</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proofErr w:type="spellStart"/>
            <w:r w:rsidRPr="00F521A0">
              <w:rPr>
                <w:rFonts w:ascii="Calibri" w:eastAsia="Times New Roman" w:hAnsi="Calibri" w:cs="Calibri"/>
                <w:color w:val="000000"/>
                <w:sz w:val="22"/>
                <w:lang w:eastAsia="en-AU"/>
              </w:rPr>
              <w:t>BankEquity</w:t>
            </w:r>
            <w:proofErr w:type="spellEnd"/>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61</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28.11%</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proofErr w:type="spellStart"/>
            <w:r w:rsidRPr="00F521A0">
              <w:rPr>
                <w:rFonts w:ascii="Calibri" w:eastAsia="Times New Roman" w:hAnsi="Calibri" w:cs="Calibri"/>
                <w:color w:val="000000"/>
                <w:sz w:val="22"/>
                <w:lang w:eastAsia="en-AU"/>
              </w:rPr>
              <w:t>EquityRaising</w:t>
            </w:r>
            <w:proofErr w:type="spellEnd"/>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23</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10.60%</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p>
        </w:tc>
      </w:tr>
    </w:tbl>
    <w:p w:rsidR="0029636F" w:rsidRPr="00F521A0" w:rsidRDefault="0029636F" w:rsidP="009F5F56">
      <w:pPr>
        <w:spacing w:after="0" w:line="240" w:lineRule="auto"/>
        <w:ind w:firstLine="0"/>
        <w:rPr>
          <w:rFonts w:eastAsia="Times New Roman"/>
          <w:lang w:eastAsia="en-AU"/>
        </w:rPr>
      </w:pPr>
      <w:r w:rsidRPr="00F521A0">
        <w:rPr>
          <w:rFonts w:eastAsia="Times New Roman"/>
          <w:lang w:eastAsia="en-AU"/>
        </w:rPr>
        <w:t>Panel B: Subsequent loan sample descriptive statistics</w:t>
      </w:r>
    </w:p>
    <w:tbl>
      <w:tblPr>
        <w:tblStyle w:val="LightShading"/>
        <w:tblW w:w="5000" w:type="pct"/>
        <w:tblLook w:val="04A0" w:firstRow="1" w:lastRow="0" w:firstColumn="1" w:lastColumn="0" w:noHBand="0" w:noVBand="1"/>
      </w:tblPr>
      <w:tblGrid>
        <w:gridCol w:w="2332"/>
        <w:gridCol w:w="1758"/>
        <w:gridCol w:w="1636"/>
        <w:gridCol w:w="1758"/>
        <w:gridCol w:w="1514"/>
        <w:gridCol w:w="1939"/>
        <w:gridCol w:w="1831"/>
        <w:gridCol w:w="1406"/>
      </w:tblGrid>
      <w:tr w:rsidR="0029636F" w:rsidRPr="00F521A0" w:rsidTr="00DB1B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3" w:type="pct"/>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Continuous variables</w:t>
            </w:r>
          </w:p>
        </w:tc>
        <w:tc>
          <w:tcPr>
            <w:tcW w:w="620" w:type="pct"/>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Mean</w:t>
            </w:r>
          </w:p>
        </w:tc>
        <w:tc>
          <w:tcPr>
            <w:tcW w:w="577" w:type="pct"/>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Median</w:t>
            </w:r>
          </w:p>
        </w:tc>
        <w:tc>
          <w:tcPr>
            <w:tcW w:w="620" w:type="pct"/>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Std. Dev.</w:t>
            </w:r>
          </w:p>
        </w:tc>
        <w:tc>
          <w:tcPr>
            <w:tcW w:w="534" w:type="pct"/>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Min</w:t>
            </w:r>
          </w:p>
        </w:tc>
        <w:tc>
          <w:tcPr>
            <w:tcW w:w="684" w:type="pct"/>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Max</w:t>
            </w:r>
          </w:p>
        </w:tc>
        <w:tc>
          <w:tcPr>
            <w:tcW w:w="646" w:type="pct"/>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Count Disclosed</w:t>
            </w:r>
          </w:p>
        </w:tc>
        <w:tc>
          <w:tcPr>
            <w:tcW w:w="497" w:type="pct"/>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Disclosed</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3" w:type="pct"/>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Amount</w:t>
            </w:r>
          </w:p>
        </w:tc>
        <w:tc>
          <w:tcPr>
            <w:tcW w:w="620" w:type="pct"/>
            <w:shd w:val="clear" w:color="auto" w:fill="auto"/>
            <w:noWrap/>
            <w:hideMark/>
          </w:tcPr>
          <w:p w:rsidR="0029636F" w:rsidRPr="00F521A0" w:rsidRDefault="0029636F" w:rsidP="00DB1BCC">
            <w:pPr>
              <w:spacing w:line="240" w:lineRule="auto"/>
              <w:ind w:firstLine="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159,140,351.07</w:t>
            </w:r>
          </w:p>
        </w:tc>
        <w:tc>
          <w:tcPr>
            <w:tcW w:w="577" w:type="pct"/>
            <w:shd w:val="clear" w:color="auto" w:fill="auto"/>
            <w:noWrap/>
            <w:hideMark/>
          </w:tcPr>
          <w:p w:rsidR="0029636F" w:rsidRPr="00F521A0" w:rsidRDefault="0029636F" w:rsidP="00DB1BCC">
            <w:pPr>
              <w:spacing w:line="240" w:lineRule="auto"/>
              <w:ind w:firstLine="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58,750,000.00</w:t>
            </w:r>
          </w:p>
        </w:tc>
        <w:tc>
          <w:tcPr>
            <w:tcW w:w="620" w:type="pct"/>
            <w:shd w:val="clear" w:color="auto" w:fill="auto"/>
            <w:noWrap/>
            <w:hideMark/>
          </w:tcPr>
          <w:p w:rsidR="0029636F" w:rsidRPr="00F521A0" w:rsidRDefault="0029636F" w:rsidP="00DB1BCC">
            <w:pPr>
              <w:spacing w:line="240" w:lineRule="auto"/>
              <w:ind w:firstLine="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389,775,642.92</w:t>
            </w:r>
          </w:p>
        </w:tc>
        <w:tc>
          <w:tcPr>
            <w:tcW w:w="534" w:type="pct"/>
            <w:shd w:val="clear" w:color="auto" w:fill="auto"/>
            <w:noWrap/>
            <w:hideMark/>
          </w:tcPr>
          <w:p w:rsidR="0029636F" w:rsidRPr="00F521A0" w:rsidRDefault="0029636F" w:rsidP="00DB1BCC">
            <w:pPr>
              <w:spacing w:line="240" w:lineRule="auto"/>
              <w:ind w:firstLine="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1,000,000.00</w:t>
            </w:r>
          </w:p>
        </w:tc>
        <w:tc>
          <w:tcPr>
            <w:tcW w:w="684" w:type="pct"/>
            <w:shd w:val="clear" w:color="auto" w:fill="auto"/>
            <w:noWrap/>
            <w:hideMark/>
          </w:tcPr>
          <w:p w:rsidR="0029636F" w:rsidRPr="00F521A0" w:rsidRDefault="0029636F" w:rsidP="00DB1BCC">
            <w:pPr>
              <w:spacing w:line="240" w:lineRule="auto"/>
              <w:ind w:firstLine="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4,500,000,000.00</w:t>
            </w:r>
          </w:p>
        </w:tc>
        <w:tc>
          <w:tcPr>
            <w:tcW w:w="646" w:type="pct"/>
            <w:shd w:val="clear" w:color="auto" w:fill="auto"/>
            <w:noWrap/>
            <w:hideMark/>
          </w:tcPr>
          <w:p w:rsidR="0029636F" w:rsidRPr="00F521A0" w:rsidRDefault="0029636F" w:rsidP="00DB1BCC">
            <w:pPr>
              <w:spacing w:line="240" w:lineRule="auto"/>
              <w:ind w:firstLine="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188</w:t>
            </w:r>
          </w:p>
        </w:tc>
        <w:tc>
          <w:tcPr>
            <w:tcW w:w="497" w:type="pct"/>
            <w:shd w:val="clear" w:color="auto" w:fill="auto"/>
            <w:noWrap/>
            <w:hideMark/>
          </w:tcPr>
          <w:p w:rsidR="0029636F" w:rsidRPr="00F521A0" w:rsidRDefault="0029636F" w:rsidP="00DB1BCC">
            <w:pPr>
              <w:spacing w:line="240" w:lineRule="auto"/>
              <w:ind w:firstLine="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99%</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823" w:type="pct"/>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Maturity</w:t>
            </w:r>
          </w:p>
        </w:tc>
        <w:tc>
          <w:tcPr>
            <w:tcW w:w="620" w:type="pct"/>
            <w:shd w:val="clear" w:color="auto" w:fill="auto"/>
            <w:noWrap/>
            <w:hideMark/>
          </w:tcPr>
          <w:p w:rsidR="0029636F" w:rsidRPr="00F521A0" w:rsidRDefault="0029636F" w:rsidP="00DB1BCC">
            <w:pPr>
              <w:spacing w:line="240" w:lineRule="auto"/>
              <w:ind w:firstLine="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44.49</w:t>
            </w:r>
          </w:p>
        </w:tc>
        <w:tc>
          <w:tcPr>
            <w:tcW w:w="577" w:type="pct"/>
            <w:shd w:val="clear" w:color="auto" w:fill="auto"/>
            <w:noWrap/>
            <w:hideMark/>
          </w:tcPr>
          <w:p w:rsidR="0029636F" w:rsidRPr="00F521A0" w:rsidRDefault="0029636F" w:rsidP="00DB1BCC">
            <w:pPr>
              <w:spacing w:line="240" w:lineRule="auto"/>
              <w:ind w:firstLine="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36.00</w:t>
            </w:r>
          </w:p>
        </w:tc>
        <w:tc>
          <w:tcPr>
            <w:tcW w:w="620" w:type="pct"/>
            <w:shd w:val="clear" w:color="auto" w:fill="auto"/>
            <w:noWrap/>
            <w:hideMark/>
          </w:tcPr>
          <w:p w:rsidR="0029636F" w:rsidRPr="00F521A0" w:rsidRDefault="0029636F" w:rsidP="00DB1BCC">
            <w:pPr>
              <w:spacing w:line="240" w:lineRule="auto"/>
              <w:ind w:firstLine="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30.17</w:t>
            </w:r>
          </w:p>
        </w:tc>
        <w:tc>
          <w:tcPr>
            <w:tcW w:w="534" w:type="pct"/>
            <w:shd w:val="clear" w:color="auto" w:fill="auto"/>
            <w:noWrap/>
            <w:hideMark/>
          </w:tcPr>
          <w:p w:rsidR="0029636F" w:rsidRPr="00F521A0" w:rsidRDefault="0029636F" w:rsidP="00DB1BCC">
            <w:pPr>
              <w:spacing w:line="240" w:lineRule="auto"/>
              <w:ind w:firstLine="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3.00</w:t>
            </w:r>
          </w:p>
        </w:tc>
        <w:tc>
          <w:tcPr>
            <w:tcW w:w="684" w:type="pct"/>
            <w:shd w:val="clear" w:color="auto" w:fill="auto"/>
            <w:noWrap/>
            <w:hideMark/>
          </w:tcPr>
          <w:p w:rsidR="0029636F" w:rsidRPr="00F521A0" w:rsidRDefault="0029636F" w:rsidP="00DB1BCC">
            <w:pPr>
              <w:spacing w:line="240" w:lineRule="auto"/>
              <w:ind w:firstLine="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144.00</w:t>
            </w:r>
          </w:p>
        </w:tc>
        <w:tc>
          <w:tcPr>
            <w:tcW w:w="646" w:type="pct"/>
            <w:shd w:val="clear" w:color="auto" w:fill="auto"/>
            <w:noWrap/>
            <w:hideMark/>
          </w:tcPr>
          <w:p w:rsidR="0029636F" w:rsidRPr="00F521A0" w:rsidRDefault="0029636F" w:rsidP="00DB1BCC">
            <w:pPr>
              <w:spacing w:line="240" w:lineRule="auto"/>
              <w:ind w:firstLine="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109</w:t>
            </w:r>
          </w:p>
        </w:tc>
        <w:tc>
          <w:tcPr>
            <w:tcW w:w="497" w:type="pct"/>
            <w:shd w:val="clear" w:color="auto" w:fill="auto"/>
            <w:noWrap/>
            <w:hideMark/>
          </w:tcPr>
          <w:p w:rsidR="0029636F" w:rsidRPr="00F521A0" w:rsidRDefault="0029636F" w:rsidP="00DB1BCC">
            <w:pPr>
              <w:spacing w:line="240" w:lineRule="auto"/>
              <w:ind w:firstLine="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57%</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3" w:type="pct"/>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Number of lenders</w:t>
            </w:r>
          </w:p>
        </w:tc>
        <w:tc>
          <w:tcPr>
            <w:tcW w:w="620" w:type="pct"/>
            <w:shd w:val="clear" w:color="auto" w:fill="auto"/>
            <w:noWrap/>
            <w:hideMark/>
          </w:tcPr>
          <w:p w:rsidR="0029636F" w:rsidRPr="00F521A0" w:rsidRDefault="0029636F" w:rsidP="00DB1BCC">
            <w:pPr>
              <w:spacing w:line="240" w:lineRule="auto"/>
              <w:ind w:firstLine="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1.78</w:t>
            </w:r>
          </w:p>
        </w:tc>
        <w:tc>
          <w:tcPr>
            <w:tcW w:w="577" w:type="pct"/>
            <w:shd w:val="clear" w:color="auto" w:fill="auto"/>
            <w:noWrap/>
            <w:hideMark/>
          </w:tcPr>
          <w:p w:rsidR="0029636F" w:rsidRPr="00F521A0" w:rsidRDefault="0029636F" w:rsidP="00DB1BCC">
            <w:pPr>
              <w:spacing w:line="240" w:lineRule="auto"/>
              <w:ind w:firstLine="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1.00</w:t>
            </w:r>
          </w:p>
        </w:tc>
        <w:tc>
          <w:tcPr>
            <w:tcW w:w="620" w:type="pct"/>
            <w:shd w:val="clear" w:color="auto" w:fill="auto"/>
            <w:noWrap/>
            <w:hideMark/>
          </w:tcPr>
          <w:p w:rsidR="0029636F" w:rsidRPr="00F521A0" w:rsidRDefault="0029636F" w:rsidP="00DB1BCC">
            <w:pPr>
              <w:spacing w:line="240" w:lineRule="auto"/>
              <w:ind w:firstLine="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1.18</w:t>
            </w:r>
          </w:p>
        </w:tc>
        <w:tc>
          <w:tcPr>
            <w:tcW w:w="534" w:type="pct"/>
            <w:shd w:val="clear" w:color="auto" w:fill="auto"/>
            <w:noWrap/>
            <w:hideMark/>
          </w:tcPr>
          <w:p w:rsidR="0029636F" w:rsidRPr="00F521A0" w:rsidRDefault="0029636F" w:rsidP="00DB1BCC">
            <w:pPr>
              <w:spacing w:line="240" w:lineRule="auto"/>
              <w:ind w:firstLine="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1.00</w:t>
            </w:r>
          </w:p>
        </w:tc>
        <w:tc>
          <w:tcPr>
            <w:tcW w:w="684" w:type="pct"/>
            <w:shd w:val="clear" w:color="auto" w:fill="auto"/>
            <w:noWrap/>
            <w:hideMark/>
          </w:tcPr>
          <w:p w:rsidR="0029636F" w:rsidRPr="00F521A0" w:rsidRDefault="0029636F" w:rsidP="00DB1BCC">
            <w:pPr>
              <w:spacing w:line="240" w:lineRule="auto"/>
              <w:ind w:firstLine="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7.00</w:t>
            </w:r>
          </w:p>
        </w:tc>
        <w:tc>
          <w:tcPr>
            <w:tcW w:w="646" w:type="pct"/>
            <w:shd w:val="clear" w:color="auto" w:fill="auto"/>
            <w:noWrap/>
            <w:hideMark/>
          </w:tcPr>
          <w:p w:rsidR="0029636F" w:rsidRPr="00F521A0" w:rsidRDefault="0029636F" w:rsidP="00DB1BCC">
            <w:pPr>
              <w:spacing w:line="240" w:lineRule="auto"/>
              <w:ind w:firstLine="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181</w:t>
            </w:r>
          </w:p>
        </w:tc>
        <w:tc>
          <w:tcPr>
            <w:tcW w:w="497" w:type="pct"/>
            <w:shd w:val="clear" w:color="auto" w:fill="auto"/>
            <w:noWrap/>
            <w:hideMark/>
          </w:tcPr>
          <w:p w:rsidR="0029636F" w:rsidRPr="00F521A0" w:rsidRDefault="0029636F" w:rsidP="00DB1BCC">
            <w:pPr>
              <w:spacing w:line="240" w:lineRule="auto"/>
              <w:ind w:firstLine="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95%</w:t>
            </w:r>
          </w:p>
        </w:tc>
      </w:tr>
    </w:tbl>
    <w:p w:rsidR="0029636F" w:rsidRPr="00F521A0" w:rsidRDefault="0029636F" w:rsidP="009F5F56">
      <w:pPr>
        <w:spacing w:after="0" w:line="240" w:lineRule="auto"/>
        <w:ind w:firstLine="0"/>
        <w:rPr>
          <w:lang w:eastAsia="en-AU"/>
        </w:rPr>
      </w:pPr>
    </w:p>
    <w:tbl>
      <w:tblPr>
        <w:tblStyle w:val="LightShading"/>
        <w:tblW w:w="0" w:type="auto"/>
        <w:tblLook w:val="04A0" w:firstRow="1" w:lastRow="0" w:firstColumn="1" w:lastColumn="0" w:noHBand="0" w:noVBand="1"/>
      </w:tblPr>
      <w:tblGrid>
        <w:gridCol w:w="1615"/>
        <w:gridCol w:w="529"/>
        <w:gridCol w:w="875"/>
      </w:tblGrid>
      <w:tr w:rsidR="0029636F" w:rsidRPr="00F521A0" w:rsidTr="00DB1B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Binary Variable</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Yes</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Yes</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Interest rate</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44</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23.16%</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Hedgin</w:t>
            </w:r>
            <w:r w:rsidR="00C02531">
              <w:rPr>
                <w:rFonts w:ascii="Calibri" w:eastAsia="Times New Roman" w:hAnsi="Calibri" w:cs="Calibri"/>
                <w:color w:val="000000"/>
                <w:sz w:val="22"/>
                <w:lang w:eastAsia="en-AU"/>
              </w:rPr>
              <w:t>g</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35</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18.42%</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proofErr w:type="spellStart"/>
            <w:r w:rsidRPr="00F521A0">
              <w:rPr>
                <w:rFonts w:ascii="Calibri" w:eastAsia="Times New Roman" w:hAnsi="Calibri" w:cs="Calibri"/>
                <w:color w:val="000000"/>
                <w:sz w:val="22"/>
                <w:lang w:eastAsia="en-AU"/>
              </w:rPr>
              <w:t>BankEquity</w:t>
            </w:r>
            <w:proofErr w:type="spellEnd"/>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43</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22.63%</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proofErr w:type="spellStart"/>
            <w:r w:rsidRPr="00F521A0">
              <w:rPr>
                <w:rFonts w:ascii="Calibri" w:eastAsia="Times New Roman" w:hAnsi="Calibri" w:cs="Calibri"/>
                <w:color w:val="000000"/>
                <w:sz w:val="22"/>
                <w:lang w:eastAsia="en-AU"/>
              </w:rPr>
              <w:t>EquityRaising</w:t>
            </w:r>
            <w:proofErr w:type="spellEnd"/>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11</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5.79%</w:t>
            </w:r>
          </w:p>
        </w:tc>
      </w:tr>
    </w:tbl>
    <w:p w:rsidR="0029636F" w:rsidRDefault="0029636F" w:rsidP="0029636F">
      <w:pPr>
        <w:pStyle w:val="TableDesc"/>
      </w:pPr>
      <w:r>
        <w:fldChar w:fldCharType="begin"/>
      </w:r>
      <w:r>
        <w:instrText xml:space="preserve"> REF _Ref379743143 \h </w:instrText>
      </w:r>
      <w:r>
        <w:fldChar w:fldCharType="separate"/>
      </w:r>
      <w:proofErr w:type="gramStart"/>
      <w:r w:rsidR="0089071A" w:rsidRPr="00F521A0">
        <w:t>Table</w:t>
      </w:r>
      <w:r w:rsidR="0089071A">
        <w:t xml:space="preserve"> </w:t>
      </w:r>
      <w:proofErr w:type="gramEnd"/>
      <w:r>
        <w:fldChar w:fldCharType="end"/>
      </w:r>
      <w:r w:rsidR="00213CD2">
        <w:t>,</w:t>
      </w:r>
      <w:r>
        <w:t xml:space="preserve"> </w:t>
      </w:r>
      <w:r w:rsidRPr="00F521A0">
        <w:t xml:space="preserve">Panel A provides descriptive statistics regarding the loans issued to the initial loan sample. Panel B provides descriptive statistics regarding the loans issued to the subsequent loan sample. </w:t>
      </w:r>
      <w:r w:rsidRPr="00F521A0">
        <w:rPr>
          <w:i/>
        </w:rPr>
        <w:t>Amount</w:t>
      </w:r>
      <w:r w:rsidRPr="00F521A0">
        <w:t xml:space="preserve"> is represents the disclosed amount to be borrowed by the firm measured in dollars. </w:t>
      </w:r>
      <w:r w:rsidRPr="00F521A0">
        <w:rPr>
          <w:i/>
        </w:rPr>
        <w:t>Maturity</w:t>
      </w:r>
      <w:r w:rsidRPr="00F521A0">
        <w:t xml:space="preserve"> represents the number of months until the loan must be paid back in full. </w:t>
      </w:r>
      <w:r w:rsidRPr="00F521A0">
        <w:rPr>
          <w:i/>
        </w:rPr>
        <w:t>Number of lenders</w:t>
      </w:r>
      <w:r w:rsidRPr="00F521A0">
        <w:t xml:space="preserve"> represents the number of lenders that are disclosed to be providing the loan. </w:t>
      </w:r>
      <w:r w:rsidRPr="00F521A0">
        <w:rPr>
          <w:i/>
        </w:rPr>
        <w:t>Interest Rate</w:t>
      </w:r>
      <w:r w:rsidRPr="00F521A0">
        <w:t xml:space="preserve"> is a binary variable equal to one if the interest rate payable on the loan is disclosed in the bank loan announcement. </w:t>
      </w:r>
      <w:r w:rsidRPr="00F521A0">
        <w:rPr>
          <w:i/>
        </w:rPr>
        <w:t>Hedging</w:t>
      </w:r>
      <w:r w:rsidRPr="00F521A0">
        <w:t xml:space="preserve"> is a binary variable equal to one if the bank loan announcement discloses that the borrowing firm is required to undertake commodity or foreign exchange hedging. </w:t>
      </w:r>
      <w:proofErr w:type="spellStart"/>
      <w:r w:rsidRPr="00F521A0">
        <w:rPr>
          <w:i/>
        </w:rPr>
        <w:t>BankEquity</w:t>
      </w:r>
      <w:proofErr w:type="spellEnd"/>
      <w:r w:rsidRPr="00F521A0">
        <w:t xml:space="preserve"> is a binary variable equal to one if the bank loan announcement discloses that the lending firm has a stock or option position in the borrowing firm. </w:t>
      </w:r>
      <w:proofErr w:type="spellStart"/>
      <w:r w:rsidRPr="00F521A0">
        <w:rPr>
          <w:i/>
        </w:rPr>
        <w:t>EquityRaising</w:t>
      </w:r>
      <w:proofErr w:type="spellEnd"/>
      <w:r w:rsidRPr="00F521A0">
        <w:t xml:space="preserve"> is a binary variable equal to one if the bank loan announcement discloses that the borrowing firm is required to undertake an equity issuance. </w:t>
      </w:r>
    </w:p>
    <w:p w:rsidR="0029636F" w:rsidRPr="00F521A0" w:rsidRDefault="0029636F" w:rsidP="0029636F">
      <w:pPr>
        <w:ind w:firstLine="0"/>
        <w:sectPr w:rsidR="0029636F" w:rsidRPr="00F521A0" w:rsidSect="00B83A50">
          <w:pgSz w:w="16838" w:h="11906" w:orient="landscape"/>
          <w:pgMar w:top="1440" w:right="1440" w:bottom="1440" w:left="1440" w:header="708" w:footer="708" w:gutter="0"/>
          <w:cols w:space="708"/>
          <w:docGrid w:linePitch="360"/>
        </w:sectPr>
      </w:pPr>
    </w:p>
    <w:p w:rsidR="0029636F" w:rsidRPr="00F521A0" w:rsidRDefault="0029636F" w:rsidP="0029636F">
      <w:pPr>
        <w:pStyle w:val="Table"/>
      </w:pPr>
      <w:bookmarkStart w:id="38" w:name="_Ref378007044"/>
      <w:bookmarkStart w:id="39" w:name="_Toc379787341"/>
      <w:r w:rsidRPr="00F521A0">
        <w:lastRenderedPageBreak/>
        <w:t>Table</w:t>
      </w:r>
      <w:r w:rsidR="00213CD2">
        <w:t xml:space="preserve"> </w:t>
      </w:r>
      <w:bookmarkEnd w:id="38"/>
      <w:r w:rsidR="009C0FA7">
        <w:t>4</w:t>
      </w:r>
      <w:r w:rsidRPr="00F521A0">
        <w:t xml:space="preserve"> Lender frequency</w:t>
      </w:r>
      <w:bookmarkEnd w:id="39"/>
    </w:p>
    <w:tbl>
      <w:tblPr>
        <w:tblStyle w:val="LightShading"/>
        <w:tblW w:w="0" w:type="auto"/>
        <w:tblLook w:val="04A0" w:firstRow="1" w:lastRow="0" w:firstColumn="1" w:lastColumn="0" w:noHBand="0" w:noVBand="1"/>
      </w:tblPr>
      <w:tblGrid>
        <w:gridCol w:w="3931"/>
        <w:gridCol w:w="1740"/>
        <w:gridCol w:w="2752"/>
      </w:tblGrid>
      <w:tr w:rsidR="0029636F" w:rsidRPr="00F521A0" w:rsidTr="00DB1B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Bank</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Number of loans</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Aggregate Value of Loans</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Macquarie Bank</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70</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3,198,550,001.00 </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ANZ Bank</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33</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3,694,519,047.62 </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Commonwealth Bank of Australia</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30</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1,089,325,000.00 </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Standard Bank</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28</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1,151,133,333.33 </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Investec</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27</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1,253,952,380.95 </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Rand Merchant Bank</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27</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509,350,000.00 </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Bank of Scotland</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25</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848,666,666.67 </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proofErr w:type="spellStart"/>
            <w:r w:rsidRPr="00F521A0">
              <w:rPr>
                <w:rFonts w:ascii="Calibri" w:eastAsia="Times New Roman" w:hAnsi="Calibri" w:cs="Calibri"/>
                <w:color w:val="000000"/>
                <w:sz w:val="22"/>
                <w:lang w:eastAsia="en-AU"/>
              </w:rPr>
              <w:t>Societe</w:t>
            </w:r>
            <w:proofErr w:type="spellEnd"/>
            <w:r w:rsidRPr="00F521A0">
              <w:rPr>
                <w:rFonts w:ascii="Calibri" w:eastAsia="Times New Roman" w:hAnsi="Calibri" w:cs="Calibri"/>
                <w:color w:val="000000"/>
                <w:sz w:val="22"/>
                <w:lang w:eastAsia="en-AU"/>
              </w:rPr>
              <w:t xml:space="preserve"> </w:t>
            </w:r>
            <w:proofErr w:type="spellStart"/>
            <w:r w:rsidRPr="00F521A0">
              <w:rPr>
                <w:rFonts w:ascii="Calibri" w:eastAsia="Times New Roman" w:hAnsi="Calibri" w:cs="Calibri"/>
                <w:color w:val="000000"/>
                <w:sz w:val="22"/>
                <w:lang w:eastAsia="en-AU"/>
              </w:rPr>
              <w:t>Generale</w:t>
            </w:r>
            <w:proofErr w:type="spellEnd"/>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24</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697,366,666.67 </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Credit Suisse</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21</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3,196,000,000.00 </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BNP Paribas</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21</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1,456,400,000.00 </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Barclays Bank</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20</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590,785,714.29 </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Standard Chartered Bank</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18</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1,101,766,666.67 </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China Development Bank</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13</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3,468,000,000.00 </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Westpac</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13</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283,091,666.67 </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Deutsche Bank</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12</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479,000,000.00 </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National Australia Bank</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12</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398,000,000.00 </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Rothschild Australia</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12</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79,666,666.67 </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proofErr w:type="spellStart"/>
            <w:r w:rsidRPr="00F521A0">
              <w:rPr>
                <w:rFonts w:ascii="Calibri" w:eastAsia="Times New Roman" w:hAnsi="Calibri" w:cs="Calibri"/>
                <w:color w:val="000000"/>
                <w:sz w:val="22"/>
                <w:lang w:eastAsia="en-AU"/>
              </w:rPr>
              <w:t>Nedbank</w:t>
            </w:r>
            <w:proofErr w:type="spellEnd"/>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11</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112,000,000.00 </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proofErr w:type="spellStart"/>
            <w:r w:rsidRPr="00F521A0">
              <w:rPr>
                <w:rFonts w:ascii="Calibri" w:eastAsia="Times New Roman" w:hAnsi="Calibri" w:cs="Calibri"/>
                <w:color w:val="000000"/>
                <w:sz w:val="22"/>
                <w:lang w:eastAsia="en-AU"/>
              </w:rPr>
              <w:t>WestLB</w:t>
            </w:r>
            <w:proofErr w:type="spellEnd"/>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236,000,000.00 </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ABN </w:t>
            </w:r>
            <w:proofErr w:type="spellStart"/>
            <w:r w:rsidRPr="00F521A0">
              <w:rPr>
                <w:rFonts w:ascii="Calibri" w:eastAsia="Times New Roman" w:hAnsi="Calibri" w:cs="Calibri"/>
                <w:color w:val="000000"/>
                <w:sz w:val="22"/>
                <w:lang w:eastAsia="en-AU"/>
              </w:rPr>
              <w:t>Amro</w:t>
            </w:r>
            <w:proofErr w:type="spellEnd"/>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8</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204,000,000.00 </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European Investment Bank</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7</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320,700,000.00 </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Bank West</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7</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130,416,666.67 </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Caterpillar Financial Services</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7</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76,000,000.00 </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Bank of China</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818,000,000.00 </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Sumitomo Mitsui Banking Corporation</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362,500,000.00 </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International Finance Corp</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282,500,000.00 </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HSBC</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121,333,333.33 </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proofErr w:type="spellStart"/>
            <w:r w:rsidRPr="00F521A0">
              <w:rPr>
                <w:rFonts w:ascii="Calibri" w:eastAsia="Times New Roman" w:hAnsi="Calibri" w:cs="Calibri"/>
                <w:color w:val="000000"/>
                <w:sz w:val="22"/>
                <w:lang w:eastAsia="en-AU"/>
              </w:rPr>
              <w:t>Beyerische</w:t>
            </w:r>
            <w:proofErr w:type="spellEnd"/>
            <w:r w:rsidRPr="00F521A0">
              <w:rPr>
                <w:rFonts w:ascii="Calibri" w:eastAsia="Times New Roman" w:hAnsi="Calibri" w:cs="Calibri"/>
                <w:color w:val="000000"/>
                <w:sz w:val="22"/>
                <w:lang w:eastAsia="en-AU"/>
              </w:rPr>
              <w:t xml:space="preserve"> Hypo-und </w:t>
            </w:r>
            <w:proofErr w:type="spellStart"/>
            <w:r w:rsidRPr="00F521A0">
              <w:rPr>
                <w:rFonts w:ascii="Calibri" w:eastAsia="Times New Roman" w:hAnsi="Calibri" w:cs="Calibri"/>
                <w:color w:val="000000"/>
                <w:sz w:val="22"/>
                <w:lang w:eastAsia="en-AU"/>
              </w:rPr>
              <w:t>Vereinsbank</w:t>
            </w:r>
            <w:proofErr w:type="spellEnd"/>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34,000,000.00 </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Industrial and Commercial Bank of China</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4</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305,000,000.00 </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ABSA Bank South Africa</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4</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                      75,616,500.00 </w:t>
            </w:r>
          </w:p>
        </w:tc>
      </w:tr>
      <w:tr w:rsidR="0029636F" w:rsidRPr="00CD4C9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shd w:val="clear" w:color="auto" w:fill="auto"/>
            <w:noWrap/>
            <w:hideMark/>
          </w:tcPr>
          <w:p w:rsidR="0029636F" w:rsidRPr="00CD4C90" w:rsidRDefault="0029636F" w:rsidP="00DB1BCC">
            <w:pPr>
              <w:spacing w:line="240" w:lineRule="auto"/>
              <w:ind w:firstLine="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Resource Capital Funds</w:t>
            </w:r>
          </w:p>
        </w:tc>
        <w:tc>
          <w:tcPr>
            <w:tcW w:w="1740" w:type="dxa"/>
            <w:shd w:val="clear" w:color="auto" w:fill="auto"/>
            <w:noWrap/>
            <w:hideMark/>
          </w:tcPr>
          <w:p w:rsidR="0029636F" w:rsidRPr="00CD4C9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4</w:t>
            </w:r>
          </w:p>
        </w:tc>
        <w:tc>
          <w:tcPr>
            <w:tcW w:w="2752" w:type="dxa"/>
            <w:shd w:val="clear" w:color="auto" w:fill="auto"/>
            <w:noWrap/>
            <w:hideMark/>
          </w:tcPr>
          <w:p w:rsidR="0029636F" w:rsidRPr="00CD4C9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 xml:space="preserve"> $                      20,000,000.00 </w:t>
            </w:r>
          </w:p>
        </w:tc>
      </w:tr>
      <w:tr w:rsidR="0029636F" w:rsidRPr="00CD4C90" w:rsidTr="00DB1BCC">
        <w:trPr>
          <w:trHeight w:val="300"/>
        </w:trPr>
        <w:tc>
          <w:tcPr>
            <w:cnfStyle w:val="001000000000" w:firstRow="0" w:lastRow="0" w:firstColumn="1" w:lastColumn="0" w:oddVBand="0" w:evenVBand="0" w:oddHBand="0" w:evenHBand="0" w:firstRowFirstColumn="0" w:firstRowLastColumn="0" w:lastRowFirstColumn="0" w:lastRowLastColumn="0"/>
            <w:tcW w:w="3931" w:type="dxa"/>
            <w:shd w:val="clear" w:color="auto" w:fill="auto"/>
            <w:noWrap/>
            <w:hideMark/>
          </w:tcPr>
          <w:p w:rsidR="0029636F" w:rsidRPr="00CD4C90" w:rsidRDefault="0029636F" w:rsidP="00DB1BCC">
            <w:pPr>
              <w:spacing w:line="240" w:lineRule="auto"/>
              <w:ind w:firstLine="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Dresdner Bank</w:t>
            </w:r>
          </w:p>
        </w:tc>
        <w:tc>
          <w:tcPr>
            <w:tcW w:w="1740" w:type="dxa"/>
            <w:shd w:val="clear" w:color="auto" w:fill="auto"/>
            <w:noWrap/>
            <w:hideMark/>
          </w:tcPr>
          <w:p w:rsidR="0029636F" w:rsidRPr="00CD4C9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3</w:t>
            </w:r>
          </w:p>
        </w:tc>
        <w:tc>
          <w:tcPr>
            <w:tcW w:w="2752" w:type="dxa"/>
            <w:shd w:val="clear" w:color="auto" w:fill="auto"/>
            <w:noWrap/>
            <w:hideMark/>
          </w:tcPr>
          <w:p w:rsidR="0029636F" w:rsidRPr="00CD4C9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 xml:space="preserve"> $                   160,033,333.33 </w:t>
            </w:r>
          </w:p>
        </w:tc>
      </w:tr>
      <w:tr w:rsidR="0029636F" w:rsidRPr="00CD4C9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shd w:val="clear" w:color="auto" w:fill="auto"/>
            <w:noWrap/>
            <w:hideMark/>
          </w:tcPr>
          <w:p w:rsidR="0029636F" w:rsidRPr="00CD4C90" w:rsidRDefault="0029636F" w:rsidP="00DB1BCC">
            <w:pPr>
              <w:spacing w:line="240" w:lineRule="auto"/>
              <w:ind w:firstLine="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EIG Global Energy Partners</w:t>
            </w:r>
          </w:p>
        </w:tc>
        <w:tc>
          <w:tcPr>
            <w:tcW w:w="1740" w:type="dxa"/>
            <w:shd w:val="clear" w:color="auto" w:fill="auto"/>
            <w:noWrap/>
            <w:hideMark/>
          </w:tcPr>
          <w:p w:rsidR="0029636F" w:rsidRPr="00CD4C9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3</w:t>
            </w:r>
          </w:p>
        </w:tc>
        <w:tc>
          <w:tcPr>
            <w:tcW w:w="2752" w:type="dxa"/>
            <w:shd w:val="clear" w:color="auto" w:fill="auto"/>
            <w:noWrap/>
            <w:hideMark/>
          </w:tcPr>
          <w:p w:rsidR="0029636F" w:rsidRPr="00CD4C9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 xml:space="preserve"> $                1,000,000,000.00 </w:t>
            </w:r>
          </w:p>
        </w:tc>
      </w:tr>
      <w:tr w:rsidR="0029636F" w:rsidRPr="00CD4C90" w:rsidTr="00DB1BCC">
        <w:trPr>
          <w:trHeight w:val="300"/>
        </w:trPr>
        <w:tc>
          <w:tcPr>
            <w:cnfStyle w:val="001000000000" w:firstRow="0" w:lastRow="0" w:firstColumn="1" w:lastColumn="0" w:oddVBand="0" w:evenVBand="0" w:oddHBand="0" w:evenHBand="0" w:firstRowFirstColumn="0" w:firstRowLastColumn="0" w:lastRowFirstColumn="0" w:lastRowLastColumn="0"/>
            <w:tcW w:w="3931" w:type="dxa"/>
            <w:shd w:val="clear" w:color="auto" w:fill="auto"/>
            <w:noWrap/>
            <w:hideMark/>
          </w:tcPr>
          <w:p w:rsidR="0029636F" w:rsidRPr="00CD4C90" w:rsidRDefault="0029636F" w:rsidP="00DB1BCC">
            <w:pPr>
              <w:spacing w:line="240" w:lineRule="auto"/>
              <w:ind w:firstLine="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Goldman Sachs</w:t>
            </w:r>
          </w:p>
        </w:tc>
        <w:tc>
          <w:tcPr>
            <w:tcW w:w="1740" w:type="dxa"/>
            <w:shd w:val="clear" w:color="auto" w:fill="auto"/>
            <w:noWrap/>
            <w:hideMark/>
          </w:tcPr>
          <w:p w:rsidR="0029636F" w:rsidRPr="00CD4C9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3</w:t>
            </w:r>
          </w:p>
        </w:tc>
        <w:tc>
          <w:tcPr>
            <w:tcW w:w="2752" w:type="dxa"/>
            <w:shd w:val="clear" w:color="auto" w:fill="auto"/>
            <w:noWrap/>
            <w:hideMark/>
          </w:tcPr>
          <w:p w:rsidR="0029636F" w:rsidRPr="00CD4C9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 xml:space="preserve"> $                   404,166,666.67 </w:t>
            </w:r>
          </w:p>
        </w:tc>
      </w:tr>
      <w:tr w:rsidR="0029636F" w:rsidRPr="00CD4C9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shd w:val="clear" w:color="auto" w:fill="auto"/>
            <w:noWrap/>
            <w:hideMark/>
          </w:tcPr>
          <w:p w:rsidR="0029636F" w:rsidRPr="00CD4C90" w:rsidRDefault="0029636F" w:rsidP="00DB1BCC">
            <w:pPr>
              <w:spacing w:line="240" w:lineRule="auto"/>
              <w:ind w:firstLine="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Korea Exchange Bank Australia</w:t>
            </w:r>
          </w:p>
        </w:tc>
        <w:tc>
          <w:tcPr>
            <w:tcW w:w="1740" w:type="dxa"/>
            <w:shd w:val="clear" w:color="auto" w:fill="auto"/>
            <w:noWrap/>
            <w:hideMark/>
          </w:tcPr>
          <w:p w:rsidR="0029636F" w:rsidRPr="00CD4C9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3</w:t>
            </w:r>
          </w:p>
        </w:tc>
        <w:tc>
          <w:tcPr>
            <w:tcW w:w="2752" w:type="dxa"/>
            <w:shd w:val="clear" w:color="auto" w:fill="auto"/>
            <w:noWrap/>
            <w:hideMark/>
          </w:tcPr>
          <w:p w:rsidR="0029636F" w:rsidRPr="00CD4C9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 xml:space="preserve"> $                   265,000,000.00 </w:t>
            </w:r>
          </w:p>
        </w:tc>
      </w:tr>
      <w:tr w:rsidR="0029636F" w:rsidRPr="00CD4C90" w:rsidTr="00DB1BCC">
        <w:trPr>
          <w:trHeight w:val="300"/>
        </w:trPr>
        <w:tc>
          <w:tcPr>
            <w:cnfStyle w:val="001000000000" w:firstRow="0" w:lastRow="0" w:firstColumn="1" w:lastColumn="0" w:oddVBand="0" w:evenVBand="0" w:oddHBand="0" w:evenHBand="0" w:firstRowFirstColumn="0" w:firstRowLastColumn="0" w:lastRowFirstColumn="0" w:lastRowLastColumn="0"/>
            <w:tcW w:w="3931" w:type="dxa"/>
            <w:shd w:val="clear" w:color="auto" w:fill="auto"/>
            <w:noWrap/>
            <w:hideMark/>
          </w:tcPr>
          <w:p w:rsidR="0029636F" w:rsidRPr="00CD4C90" w:rsidRDefault="0029636F" w:rsidP="00DB1BCC">
            <w:pPr>
              <w:spacing w:line="240" w:lineRule="auto"/>
              <w:ind w:firstLine="0"/>
              <w:rPr>
                <w:rFonts w:ascii="Calibri" w:eastAsia="Times New Roman" w:hAnsi="Calibri" w:cs="Calibri"/>
                <w:color w:val="000000"/>
                <w:sz w:val="22"/>
                <w:lang w:eastAsia="zh-CN"/>
              </w:rPr>
            </w:pPr>
            <w:proofErr w:type="spellStart"/>
            <w:r w:rsidRPr="00CD4C90">
              <w:rPr>
                <w:rFonts w:ascii="Calibri" w:eastAsia="Times New Roman" w:hAnsi="Calibri" w:cs="Calibri"/>
                <w:color w:val="000000"/>
                <w:sz w:val="22"/>
                <w:lang w:eastAsia="zh-CN"/>
              </w:rPr>
              <w:t>Raiffeisen</w:t>
            </w:r>
            <w:proofErr w:type="spellEnd"/>
            <w:r w:rsidRPr="00CD4C90">
              <w:rPr>
                <w:rFonts w:ascii="Calibri" w:eastAsia="Times New Roman" w:hAnsi="Calibri" w:cs="Calibri"/>
                <w:color w:val="000000"/>
                <w:sz w:val="22"/>
                <w:lang w:eastAsia="zh-CN"/>
              </w:rPr>
              <w:t xml:space="preserve"> </w:t>
            </w:r>
            <w:proofErr w:type="spellStart"/>
            <w:r w:rsidRPr="00CD4C90">
              <w:rPr>
                <w:rFonts w:ascii="Calibri" w:eastAsia="Times New Roman" w:hAnsi="Calibri" w:cs="Calibri"/>
                <w:color w:val="000000"/>
                <w:sz w:val="22"/>
                <w:lang w:eastAsia="zh-CN"/>
              </w:rPr>
              <w:t>Zentrallbank</w:t>
            </w:r>
            <w:proofErr w:type="spellEnd"/>
            <w:r w:rsidRPr="00CD4C90">
              <w:rPr>
                <w:rFonts w:ascii="Calibri" w:eastAsia="Times New Roman" w:hAnsi="Calibri" w:cs="Calibri"/>
                <w:color w:val="000000"/>
                <w:sz w:val="22"/>
                <w:lang w:eastAsia="zh-CN"/>
              </w:rPr>
              <w:t xml:space="preserve"> </w:t>
            </w:r>
            <w:proofErr w:type="spellStart"/>
            <w:r w:rsidRPr="00CD4C90">
              <w:rPr>
                <w:rFonts w:ascii="Calibri" w:eastAsia="Times New Roman" w:hAnsi="Calibri" w:cs="Calibri"/>
                <w:color w:val="000000"/>
                <w:sz w:val="22"/>
                <w:lang w:eastAsia="zh-CN"/>
              </w:rPr>
              <w:t>Osterreich</w:t>
            </w:r>
            <w:proofErr w:type="spellEnd"/>
          </w:p>
        </w:tc>
        <w:tc>
          <w:tcPr>
            <w:tcW w:w="1740" w:type="dxa"/>
            <w:shd w:val="clear" w:color="auto" w:fill="auto"/>
            <w:noWrap/>
            <w:hideMark/>
          </w:tcPr>
          <w:p w:rsidR="0029636F" w:rsidRPr="00CD4C9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3</w:t>
            </w:r>
          </w:p>
        </w:tc>
        <w:tc>
          <w:tcPr>
            <w:tcW w:w="2752" w:type="dxa"/>
            <w:shd w:val="clear" w:color="auto" w:fill="auto"/>
            <w:noWrap/>
            <w:hideMark/>
          </w:tcPr>
          <w:p w:rsidR="0029636F" w:rsidRPr="00CD4C9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 xml:space="preserve"> $                   260,000,000.00 </w:t>
            </w:r>
          </w:p>
        </w:tc>
      </w:tr>
      <w:tr w:rsidR="0029636F" w:rsidRPr="00CD4C9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shd w:val="clear" w:color="auto" w:fill="auto"/>
            <w:noWrap/>
            <w:hideMark/>
          </w:tcPr>
          <w:p w:rsidR="0029636F" w:rsidRPr="00CD4C90" w:rsidRDefault="0029636F" w:rsidP="00DB1BCC">
            <w:pPr>
              <w:spacing w:line="240" w:lineRule="auto"/>
              <w:ind w:firstLine="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Royal Bank of Scotland</w:t>
            </w:r>
          </w:p>
        </w:tc>
        <w:tc>
          <w:tcPr>
            <w:tcW w:w="1740" w:type="dxa"/>
            <w:shd w:val="clear" w:color="auto" w:fill="auto"/>
            <w:noWrap/>
            <w:hideMark/>
          </w:tcPr>
          <w:p w:rsidR="0029636F" w:rsidRPr="00CD4C9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3</w:t>
            </w:r>
          </w:p>
        </w:tc>
        <w:tc>
          <w:tcPr>
            <w:tcW w:w="2752" w:type="dxa"/>
            <w:shd w:val="clear" w:color="auto" w:fill="auto"/>
            <w:noWrap/>
            <w:hideMark/>
          </w:tcPr>
          <w:p w:rsidR="0029636F" w:rsidRPr="00CD4C9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 xml:space="preserve"> $                   134,200,000.00 </w:t>
            </w:r>
          </w:p>
        </w:tc>
      </w:tr>
      <w:tr w:rsidR="0029636F" w:rsidRPr="00CD4C90" w:rsidTr="00DB1BCC">
        <w:trPr>
          <w:trHeight w:val="300"/>
        </w:trPr>
        <w:tc>
          <w:tcPr>
            <w:cnfStyle w:val="001000000000" w:firstRow="0" w:lastRow="0" w:firstColumn="1" w:lastColumn="0" w:oddVBand="0" w:evenVBand="0" w:oddHBand="0" w:evenHBand="0" w:firstRowFirstColumn="0" w:firstRowLastColumn="0" w:lastRowFirstColumn="0" w:lastRowLastColumn="0"/>
            <w:tcW w:w="3931" w:type="dxa"/>
            <w:shd w:val="clear" w:color="auto" w:fill="auto"/>
            <w:noWrap/>
            <w:hideMark/>
          </w:tcPr>
          <w:p w:rsidR="0029636F" w:rsidRPr="00CD4C90" w:rsidRDefault="0029636F" w:rsidP="00DB1BCC">
            <w:pPr>
              <w:spacing w:line="240" w:lineRule="auto"/>
              <w:ind w:firstLine="0"/>
              <w:rPr>
                <w:rFonts w:ascii="Calibri" w:eastAsia="Times New Roman" w:hAnsi="Calibri" w:cs="Calibri"/>
                <w:color w:val="000000"/>
                <w:sz w:val="22"/>
                <w:lang w:eastAsia="zh-CN"/>
              </w:rPr>
            </w:pPr>
            <w:proofErr w:type="spellStart"/>
            <w:r w:rsidRPr="00CD4C90">
              <w:rPr>
                <w:rFonts w:ascii="Calibri" w:eastAsia="Times New Roman" w:hAnsi="Calibri" w:cs="Calibri"/>
                <w:color w:val="000000"/>
                <w:sz w:val="22"/>
                <w:lang w:eastAsia="zh-CN"/>
              </w:rPr>
              <w:t>Sprott</w:t>
            </w:r>
            <w:proofErr w:type="spellEnd"/>
            <w:r w:rsidRPr="00CD4C90">
              <w:rPr>
                <w:rFonts w:ascii="Calibri" w:eastAsia="Times New Roman" w:hAnsi="Calibri" w:cs="Calibri"/>
                <w:color w:val="000000"/>
                <w:sz w:val="22"/>
                <w:lang w:eastAsia="zh-CN"/>
              </w:rPr>
              <w:t xml:space="preserve"> Resource Lending</w:t>
            </w:r>
          </w:p>
        </w:tc>
        <w:tc>
          <w:tcPr>
            <w:tcW w:w="1740" w:type="dxa"/>
            <w:shd w:val="clear" w:color="auto" w:fill="auto"/>
            <w:noWrap/>
            <w:hideMark/>
          </w:tcPr>
          <w:p w:rsidR="0029636F" w:rsidRPr="00CD4C9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3</w:t>
            </w:r>
          </w:p>
        </w:tc>
        <w:tc>
          <w:tcPr>
            <w:tcW w:w="2752" w:type="dxa"/>
            <w:shd w:val="clear" w:color="auto" w:fill="auto"/>
            <w:noWrap/>
            <w:hideMark/>
          </w:tcPr>
          <w:p w:rsidR="0029636F" w:rsidRPr="00CD4C9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 xml:space="preserve"> $                      26,000,000.00 </w:t>
            </w:r>
          </w:p>
        </w:tc>
      </w:tr>
      <w:tr w:rsidR="0029636F" w:rsidRPr="00CD4C9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31" w:type="dxa"/>
            <w:shd w:val="clear" w:color="auto" w:fill="auto"/>
            <w:noWrap/>
            <w:hideMark/>
          </w:tcPr>
          <w:p w:rsidR="0029636F" w:rsidRPr="00CD4C90" w:rsidRDefault="0029636F" w:rsidP="00DB1BCC">
            <w:pPr>
              <w:spacing w:line="240" w:lineRule="auto"/>
              <w:ind w:firstLine="0"/>
              <w:rPr>
                <w:rFonts w:ascii="Calibri" w:eastAsia="Times New Roman" w:hAnsi="Calibri" w:cs="Calibri"/>
                <w:color w:val="000000"/>
                <w:sz w:val="22"/>
                <w:lang w:eastAsia="zh-CN"/>
              </w:rPr>
            </w:pPr>
            <w:proofErr w:type="spellStart"/>
            <w:r w:rsidRPr="00CD4C90">
              <w:rPr>
                <w:rFonts w:ascii="Calibri" w:eastAsia="Times New Roman" w:hAnsi="Calibri" w:cs="Calibri"/>
                <w:color w:val="000000"/>
                <w:sz w:val="22"/>
                <w:lang w:eastAsia="zh-CN"/>
              </w:rPr>
              <w:t>Trafigura</w:t>
            </w:r>
            <w:proofErr w:type="spellEnd"/>
          </w:p>
        </w:tc>
        <w:tc>
          <w:tcPr>
            <w:tcW w:w="1740" w:type="dxa"/>
            <w:shd w:val="clear" w:color="auto" w:fill="auto"/>
            <w:noWrap/>
            <w:hideMark/>
          </w:tcPr>
          <w:p w:rsidR="0029636F" w:rsidRPr="00CD4C9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3</w:t>
            </w:r>
          </w:p>
        </w:tc>
        <w:tc>
          <w:tcPr>
            <w:tcW w:w="2752" w:type="dxa"/>
            <w:shd w:val="clear" w:color="auto" w:fill="auto"/>
            <w:noWrap/>
            <w:hideMark/>
          </w:tcPr>
          <w:p w:rsidR="0029636F" w:rsidRPr="00CD4C9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zh-CN"/>
              </w:rPr>
            </w:pPr>
            <w:r w:rsidRPr="00CD4C90">
              <w:rPr>
                <w:rFonts w:ascii="Calibri" w:eastAsia="Times New Roman" w:hAnsi="Calibri" w:cs="Calibri"/>
                <w:color w:val="000000"/>
                <w:sz w:val="22"/>
                <w:lang w:eastAsia="zh-CN"/>
              </w:rPr>
              <w:t xml:space="preserve"> $                   127,000,000.00 </w:t>
            </w:r>
          </w:p>
        </w:tc>
      </w:tr>
    </w:tbl>
    <w:p w:rsidR="0029636F" w:rsidRPr="00001FA7" w:rsidRDefault="0029636F" w:rsidP="0029636F">
      <w:pPr>
        <w:pStyle w:val="TableDesc"/>
      </w:pPr>
      <w:r w:rsidRPr="00001FA7">
        <w:fldChar w:fldCharType="begin"/>
      </w:r>
      <w:r w:rsidRPr="00001FA7">
        <w:instrText xml:space="preserve"> REF _Ref378007044 \h  \* MERGEFORMAT </w:instrText>
      </w:r>
      <w:r w:rsidRPr="00001FA7">
        <w:fldChar w:fldCharType="separate"/>
      </w:r>
      <w:r w:rsidR="0089071A" w:rsidRPr="00F521A0">
        <w:t>Table</w:t>
      </w:r>
      <w:r w:rsidR="0089071A">
        <w:t xml:space="preserve"> </w:t>
      </w:r>
      <w:r w:rsidRPr="00001FA7">
        <w:fldChar w:fldCharType="end"/>
      </w:r>
      <w:r>
        <w:t xml:space="preserve"> displays the top 4</w:t>
      </w:r>
      <w:r w:rsidRPr="00001FA7">
        <w:t>0 banks sorted by the number of loans issued. Aggregate value of loans is calculated as the sum of all the loans issued by a particular bank in the sample.</w:t>
      </w:r>
    </w:p>
    <w:p w:rsidR="0029636F" w:rsidRPr="00F521A0" w:rsidRDefault="0029636F" w:rsidP="0029636F">
      <w:pPr>
        <w:spacing w:line="276" w:lineRule="auto"/>
        <w:ind w:firstLine="0"/>
        <w:rPr>
          <w:b/>
        </w:rPr>
      </w:pPr>
      <w:bookmarkStart w:id="40" w:name="_Ref378032480"/>
      <w:bookmarkEnd w:id="31"/>
    </w:p>
    <w:p w:rsidR="0029636F" w:rsidRDefault="0029636F" w:rsidP="0029636F">
      <w:pPr>
        <w:pStyle w:val="Table"/>
        <w:sectPr w:rsidR="0029636F" w:rsidSect="007E2948">
          <w:pgSz w:w="11906" w:h="16838"/>
          <w:pgMar w:top="1440" w:right="1440" w:bottom="1440" w:left="1440" w:header="708" w:footer="708" w:gutter="0"/>
          <w:cols w:space="708"/>
          <w:docGrid w:linePitch="360"/>
        </w:sectPr>
      </w:pPr>
      <w:bookmarkStart w:id="41" w:name="_Ref378169817"/>
      <w:bookmarkStart w:id="42" w:name="_Toc379787342"/>
    </w:p>
    <w:p w:rsidR="0029636F" w:rsidRPr="00F521A0" w:rsidRDefault="0029636F" w:rsidP="0029636F">
      <w:pPr>
        <w:pStyle w:val="Table"/>
      </w:pPr>
      <w:bookmarkStart w:id="43" w:name="_Ref380009445"/>
      <w:r w:rsidRPr="00F521A0">
        <w:lastRenderedPageBreak/>
        <w:t xml:space="preserve">Table </w:t>
      </w:r>
      <w:bookmarkEnd w:id="40"/>
      <w:bookmarkEnd w:id="41"/>
      <w:bookmarkEnd w:id="43"/>
      <w:r w:rsidR="009C0FA7">
        <w:t>5</w:t>
      </w:r>
      <w:r w:rsidRPr="00F521A0">
        <w:t xml:space="preserve"> Daily average abnormal returns (AAR) surrounding bank loan announcements</w:t>
      </w:r>
      <w:bookmarkEnd w:id="42"/>
    </w:p>
    <w:tbl>
      <w:tblPr>
        <w:tblStyle w:val="LightShading"/>
        <w:tblW w:w="5000" w:type="pct"/>
        <w:tblLook w:val="04A0" w:firstRow="1" w:lastRow="0" w:firstColumn="1" w:lastColumn="0" w:noHBand="0" w:noVBand="1"/>
      </w:tblPr>
      <w:tblGrid>
        <w:gridCol w:w="1614"/>
        <w:gridCol w:w="1341"/>
        <w:gridCol w:w="1590"/>
        <w:gridCol w:w="2265"/>
        <w:gridCol w:w="2520"/>
        <w:gridCol w:w="2293"/>
        <w:gridCol w:w="2551"/>
      </w:tblGrid>
      <w:tr w:rsidR="0029636F" w:rsidRPr="00F521A0" w:rsidTr="00DB1B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9" w:type="pct"/>
            <w:tcBorders>
              <w:top w:val="single" w:sz="4" w:space="0" w:color="auto"/>
              <w:left w:val="single" w:sz="4" w:space="0" w:color="auto"/>
              <w:right w:val="single" w:sz="4" w:space="0" w:color="auto"/>
            </w:tcBorders>
            <w:shd w:val="clear" w:color="auto" w:fill="auto"/>
            <w:noWrap/>
          </w:tcPr>
          <w:p w:rsidR="0029636F" w:rsidRPr="00F521A0" w:rsidRDefault="0029636F" w:rsidP="00DB1BCC">
            <w:pPr>
              <w:spacing w:line="240" w:lineRule="auto"/>
              <w:ind w:firstLine="0"/>
              <w:rPr>
                <w:rFonts w:ascii="Calibri" w:eastAsia="Times New Roman" w:hAnsi="Calibri" w:cs="Calibri"/>
                <w:color w:val="000000"/>
                <w:sz w:val="22"/>
                <w:lang w:eastAsia="en-AU"/>
              </w:rPr>
            </w:pPr>
          </w:p>
        </w:tc>
        <w:tc>
          <w:tcPr>
            <w:tcW w:w="1034" w:type="pct"/>
            <w:gridSpan w:val="2"/>
            <w:tcBorders>
              <w:top w:val="single" w:sz="4" w:space="0" w:color="auto"/>
              <w:left w:val="single" w:sz="4" w:space="0" w:color="auto"/>
              <w:right w:val="single" w:sz="4" w:space="0" w:color="auto"/>
            </w:tcBorders>
            <w:shd w:val="clear" w:color="auto" w:fill="auto"/>
            <w:noWrap/>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i/>
                <w:color w:val="000000"/>
                <w:sz w:val="22"/>
                <w:lang w:eastAsia="en-AU"/>
              </w:rPr>
            </w:pPr>
            <w:r>
              <w:rPr>
                <w:rFonts w:ascii="Calibri" w:eastAsia="Times New Roman" w:hAnsi="Calibri" w:cs="Calibri"/>
                <w:color w:val="000000"/>
                <w:sz w:val="22"/>
                <w:lang w:eastAsia="en-AU"/>
              </w:rPr>
              <w:t>Panel A: All loans</w:t>
            </w:r>
          </w:p>
        </w:tc>
        <w:tc>
          <w:tcPr>
            <w:tcW w:w="1688" w:type="pct"/>
            <w:gridSpan w:val="2"/>
            <w:tcBorders>
              <w:top w:val="single" w:sz="4" w:space="0" w:color="auto"/>
              <w:left w:val="single" w:sz="4" w:space="0" w:color="auto"/>
              <w:right w:val="single" w:sz="4" w:space="0" w:color="auto"/>
            </w:tcBorders>
            <w:shd w:val="clear" w:color="auto" w:fill="auto"/>
            <w:noWrap/>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Panel B: Initial Bank Loans (n=212)</w:t>
            </w:r>
          </w:p>
        </w:tc>
        <w:tc>
          <w:tcPr>
            <w:tcW w:w="1709" w:type="pct"/>
            <w:gridSpan w:val="2"/>
            <w:tcBorders>
              <w:top w:val="single" w:sz="4" w:space="0" w:color="auto"/>
              <w:left w:val="single" w:sz="4" w:space="0" w:color="auto"/>
              <w:right w:val="single" w:sz="4" w:space="0" w:color="auto"/>
            </w:tcBorders>
            <w:shd w:val="clear" w:color="auto" w:fill="auto"/>
            <w:noWrap/>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Panel C: Subsequent Loans (n=182)</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9" w:type="pct"/>
            <w:tcBorders>
              <w:left w:val="single" w:sz="4" w:space="0" w:color="auto"/>
              <w:right w:val="single" w:sz="4" w:space="0" w:color="auto"/>
            </w:tcBorders>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Event Day</w:t>
            </w:r>
          </w:p>
        </w:tc>
        <w:tc>
          <w:tcPr>
            <w:tcW w:w="473" w:type="pct"/>
            <w:tcBorders>
              <w:left w:val="single" w:sz="4" w:space="0" w:color="auto"/>
            </w:tcBorders>
            <w:shd w:val="clear" w:color="auto" w:fill="auto"/>
            <w:noWrap/>
            <w:hideMark/>
          </w:tcPr>
          <w:p w:rsidR="0029636F" w:rsidRPr="00B67075"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B67075">
              <w:rPr>
                <w:rFonts w:ascii="Calibri" w:eastAsia="Times New Roman" w:hAnsi="Calibri" w:cs="Calibri"/>
                <w:b/>
                <w:color w:val="000000"/>
                <w:sz w:val="22"/>
                <w:lang w:eastAsia="en-AU"/>
              </w:rPr>
              <w:t>AAR</w:t>
            </w:r>
          </w:p>
        </w:tc>
        <w:tc>
          <w:tcPr>
            <w:tcW w:w="561" w:type="pct"/>
            <w:tcBorders>
              <w:right w:val="single" w:sz="4" w:space="0" w:color="auto"/>
            </w:tcBorders>
            <w:shd w:val="clear" w:color="auto" w:fill="auto"/>
            <w:noWrap/>
            <w:hideMark/>
          </w:tcPr>
          <w:p w:rsidR="0029636F" w:rsidRPr="00B67075"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B67075">
              <w:rPr>
                <w:rFonts w:ascii="Calibri" w:eastAsia="Times New Roman" w:hAnsi="Calibri" w:cs="Calibri"/>
                <w:b/>
                <w:i/>
                <w:color w:val="000000"/>
                <w:sz w:val="22"/>
                <w:lang w:eastAsia="en-AU"/>
              </w:rPr>
              <w:t>t</w:t>
            </w:r>
            <w:r w:rsidRPr="00B67075">
              <w:rPr>
                <w:rFonts w:ascii="Calibri" w:eastAsia="Times New Roman" w:hAnsi="Calibri" w:cs="Calibri"/>
                <w:b/>
                <w:color w:val="000000"/>
                <w:sz w:val="22"/>
                <w:lang w:eastAsia="en-AU"/>
              </w:rPr>
              <w:t>-stat</w:t>
            </w:r>
          </w:p>
        </w:tc>
        <w:tc>
          <w:tcPr>
            <w:tcW w:w="799" w:type="pct"/>
            <w:tcBorders>
              <w:left w:val="single" w:sz="4" w:space="0" w:color="auto"/>
            </w:tcBorders>
            <w:shd w:val="clear" w:color="auto" w:fill="auto"/>
            <w:noWrap/>
            <w:hideMark/>
          </w:tcPr>
          <w:p w:rsidR="0029636F" w:rsidRPr="00B67075"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B67075">
              <w:rPr>
                <w:rFonts w:ascii="Calibri" w:eastAsia="Times New Roman" w:hAnsi="Calibri" w:cs="Calibri"/>
                <w:b/>
                <w:color w:val="000000"/>
                <w:sz w:val="22"/>
                <w:lang w:eastAsia="en-AU"/>
              </w:rPr>
              <w:t>AAR</w:t>
            </w:r>
          </w:p>
        </w:tc>
        <w:tc>
          <w:tcPr>
            <w:tcW w:w="889" w:type="pct"/>
            <w:tcBorders>
              <w:right w:val="single" w:sz="4" w:space="0" w:color="auto"/>
            </w:tcBorders>
            <w:shd w:val="clear" w:color="auto" w:fill="auto"/>
            <w:noWrap/>
            <w:hideMark/>
          </w:tcPr>
          <w:p w:rsidR="0029636F" w:rsidRPr="00B67075"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B67075">
              <w:rPr>
                <w:rFonts w:ascii="Calibri" w:eastAsia="Times New Roman" w:hAnsi="Calibri" w:cs="Calibri"/>
                <w:b/>
                <w:color w:val="000000"/>
                <w:sz w:val="22"/>
                <w:lang w:eastAsia="en-AU"/>
              </w:rPr>
              <w:t>t-stat</w:t>
            </w:r>
          </w:p>
        </w:tc>
        <w:tc>
          <w:tcPr>
            <w:tcW w:w="809" w:type="pct"/>
            <w:tcBorders>
              <w:left w:val="single" w:sz="4" w:space="0" w:color="auto"/>
            </w:tcBorders>
            <w:shd w:val="clear" w:color="auto" w:fill="auto"/>
            <w:noWrap/>
            <w:hideMark/>
          </w:tcPr>
          <w:p w:rsidR="0029636F" w:rsidRPr="00B67075"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B67075">
              <w:rPr>
                <w:rFonts w:ascii="Calibri" w:eastAsia="Times New Roman" w:hAnsi="Calibri" w:cs="Calibri"/>
                <w:b/>
                <w:color w:val="000000"/>
                <w:sz w:val="22"/>
                <w:lang w:eastAsia="en-AU"/>
              </w:rPr>
              <w:t>AAR</w:t>
            </w:r>
          </w:p>
        </w:tc>
        <w:tc>
          <w:tcPr>
            <w:tcW w:w="900" w:type="pct"/>
            <w:tcBorders>
              <w:right w:val="single" w:sz="4" w:space="0" w:color="auto"/>
            </w:tcBorders>
            <w:shd w:val="clear" w:color="auto" w:fill="auto"/>
          </w:tcPr>
          <w:p w:rsidR="0029636F" w:rsidRPr="00B67075"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B67075">
              <w:rPr>
                <w:rFonts w:ascii="Calibri" w:eastAsia="Times New Roman" w:hAnsi="Calibri" w:cs="Calibri"/>
                <w:b/>
                <w:color w:val="000000"/>
                <w:sz w:val="22"/>
                <w:lang w:eastAsia="en-AU"/>
              </w:rPr>
              <w:t>t-stat</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569" w:type="pct"/>
            <w:tcBorders>
              <w:left w:val="single" w:sz="4" w:space="0" w:color="auto"/>
              <w:right w:val="single" w:sz="4" w:space="0" w:color="auto"/>
            </w:tcBorders>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w:t>
            </w:r>
          </w:p>
        </w:tc>
        <w:tc>
          <w:tcPr>
            <w:tcW w:w="473" w:type="pct"/>
            <w:tcBorders>
              <w:lef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0.229%</w:t>
            </w:r>
          </w:p>
        </w:tc>
        <w:tc>
          <w:tcPr>
            <w:tcW w:w="561" w:type="pct"/>
            <w:tcBorders>
              <w:righ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1.035</w:t>
            </w:r>
          </w:p>
        </w:tc>
        <w:tc>
          <w:tcPr>
            <w:tcW w:w="799" w:type="pct"/>
            <w:tcBorders>
              <w:lef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0.421%</w:t>
            </w:r>
          </w:p>
        </w:tc>
        <w:tc>
          <w:tcPr>
            <w:tcW w:w="889" w:type="pct"/>
            <w:tcBorders>
              <w:righ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1.273</w:t>
            </w:r>
          </w:p>
        </w:tc>
        <w:tc>
          <w:tcPr>
            <w:tcW w:w="809" w:type="pct"/>
            <w:tcBorders>
              <w:lef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0.006%</w:t>
            </w:r>
          </w:p>
        </w:tc>
        <w:tc>
          <w:tcPr>
            <w:tcW w:w="900" w:type="pct"/>
            <w:tcBorders>
              <w:right w:val="single" w:sz="4" w:space="0" w:color="auto"/>
            </w:tcBorders>
            <w:shd w:val="clear" w:color="auto" w:fill="auto"/>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0.021</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9" w:type="pct"/>
            <w:tcBorders>
              <w:left w:val="single" w:sz="4" w:space="0" w:color="auto"/>
              <w:right w:val="single" w:sz="4" w:space="0" w:color="auto"/>
            </w:tcBorders>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-4</w:t>
            </w:r>
          </w:p>
        </w:tc>
        <w:tc>
          <w:tcPr>
            <w:tcW w:w="473" w:type="pct"/>
            <w:tcBorders>
              <w:left w:val="single" w:sz="4" w:space="0" w:color="auto"/>
            </w:tcBorders>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0.000%</w:t>
            </w:r>
          </w:p>
        </w:tc>
        <w:tc>
          <w:tcPr>
            <w:tcW w:w="561" w:type="pct"/>
            <w:tcBorders>
              <w:right w:val="single" w:sz="4" w:space="0" w:color="auto"/>
            </w:tcBorders>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-0.001</w:t>
            </w:r>
          </w:p>
        </w:tc>
        <w:tc>
          <w:tcPr>
            <w:tcW w:w="799" w:type="pct"/>
            <w:tcBorders>
              <w:left w:val="single" w:sz="4" w:space="0" w:color="auto"/>
            </w:tcBorders>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0.103%</w:t>
            </w:r>
          </w:p>
        </w:tc>
        <w:tc>
          <w:tcPr>
            <w:tcW w:w="889" w:type="pct"/>
            <w:tcBorders>
              <w:right w:val="single" w:sz="4" w:space="0" w:color="auto"/>
            </w:tcBorders>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0.298</w:t>
            </w:r>
          </w:p>
        </w:tc>
        <w:tc>
          <w:tcPr>
            <w:tcW w:w="809" w:type="pct"/>
            <w:tcBorders>
              <w:left w:val="single" w:sz="4" w:space="0" w:color="auto"/>
            </w:tcBorders>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-0.119%</w:t>
            </w:r>
          </w:p>
        </w:tc>
        <w:tc>
          <w:tcPr>
            <w:tcW w:w="900" w:type="pct"/>
            <w:tcBorders>
              <w:right w:val="single" w:sz="4" w:space="0" w:color="auto"/>
            </w:tcBorders>
            <w:shd w:val="clear" w:color="auto" w:fill="auto"/>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-0.395</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569" w:type="pct"/>
            <w:tcBorders>
              <w:left w:val="single" w:sz="4" w:space="0" w:color="auto"/>
              <w:right w:val="single" w:sz="4" w:space="0" w:color="auto"/>
            </w:tcBorders>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w:t>
            </w:r>
          </w:p>
        </w:tc>
        <w:tc>
          <w:tcPr>
            <w:tcW w:w="473" w:type="pct"/>
            <w:tcBorders>
              <w:lef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-0.088%</w:t>
            </w:r>
          </w:p>
        </w:tc>
        <w:tc>
          <w:tcPr>
            <w:tcW w:w="561" w:type="pct"/>
            <w:tcBorders>
              <w:righ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-0.444</w:t>
            </w:r>
          </w:p>
        </w:tc>
        <w:tc>
          <w:tcPr>
            <w:tcW w:w="799" w:type="pct"/>
            <w:tcBorders>
              <w:lef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0.073%</w:t>
            </w:r>
          </w:p>
        </w:tc>
        <w:tc>
          <w:tcPr>
            <w:tcW w:w="889" w:type="pct"/>
            <w:tcBorders>
              <w:righ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0.258</w:t>
            </w:r>
          </w:p>
        </w:tc>
        <w:tc>
          <w:tcPr>
            <w:tcW w:w="809" w:type="pct"/>
            <w:tcBorders>
              <w:lef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-0.276%</w:t>
            </w:r>
          </w:p>
        </w:tc>
        <w:tc>
          <w:tcPr>
            <w:tcW w:w="900" w:type="pct"/>
            <w:tcBorders>
              <w:right w:val="single" w:sz="4" w:space="0" w:color="auto"/>
            </w:tcBorders>
            <w:shd w:val="clear" w:color="auto" w:fill="auto"/>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-1.011</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9" w:type="pct"/>
            <w:tcBorders>
              <w:left w:val="single" w:sz="4" w:space="0" w:color="auto"/>
              <w:right w:val="single" w:sz="4" w:space="0" w:color="auto"/>
            </w:tcBorders>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w:t>
            </w:r>
          </w:p>
        </w:tc>
        <w:tc>
          <w:tcPr>
            <w:tcW w:w="473" w:type="pct"/>
            <w:tcBorders>
              <w:left w:val="single" w:sz="4" w:space="0" w:color="auto"/>
            </w:tcBorders>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0.116%</w:t>
            </w:r>
          </w:p>
        </w:tc>
        <w:tc>
          <w:tcPr>
            <w:tcW w:w="561" w:type="pct"/>
            <w:tcBorders>
              <w:right w:val="single" w:sz="4" w:space="0" w:color="auto"/>
            </w:tcBorders>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0.599</w:t>
            </w:r>
          </w:p>
        </w:tc>
        <w:tc>
          <w:tcPr>
            <w:tcW w:w="799" w:type="pct"/>
            <w:tcBorders>
              <w:left w:val="single" w:sz="4" w:space="0" w:color="auto"/>
            </w:tcBorders>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0.233%</w:t>
            </w:r>
          </w:p>
        </w:tc>
        <w:tc>
          <w:tcPr>
            <w:tcW w:w="889" w:type="pct"/>
            <w:tcBorders>
              <w:right w:val="single" w:sz="4" w:space="0" w:color="auto"/>
            </w:tcBorders>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0.866</w:t>
            </w:r>
          </w:p>
        </w:tc>
        <w:tc>
          <w:tcPr>
            <w:tcW w:w="809" w:type="pct"/>
            <w:tcBorders>
              <w:left w:val="single" w:sz="4" w:space="0" w:color="auto"/>
            </w:tcBorders>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-0.019%</w:t>
            </w:r>
          </w:p>
        </w:tc>
        <w:tc>
          <w:tcPr>
            <w:tcW w:w="900" w:type="pct"/>
            <w:tcBorders>
              <w:right w:val="single" w:sz="4" w:space="0" w:color="auto"/>
            </w:tcBorders>
            <w:shd w:val="clear" w:color="auto" w:fill="auto"/>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-0.069</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569" w:type="pct"/>
            <w:tcBorders>
              <w:left w:val="single" w:sz="4" w:space="0" w:color="auto"/>
              <w:right w:val="single" w:sz="4" w:space="0" w:color="auto"/>
            </w:tcBorders>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w:t>
            </w:r>
          </w:p>
        </w:tc>
        <w:tc>
          <w:tcPr>
            <w:tcW w:w="473" w:type="pct"/>
            <w:tcBorders>
              <w:lef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-0.108%</w:t>
            </w:r>
          </w:p>
        </w:tc>
        <w:tc>
          <w:tcPr>
            <w:tcW w:w="561" w:type="pct"/>
            <w:tcBorders>
              <w:righ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-0.550</w:t>
            </w:r>
          </w:p>
        </w:tc>
        <w:tc>
          <w:tcPr>
            <w:tcW w:w="799" w:type="pct"/>
            <w:tcBorders>
              <w:lef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-0.208%</w:t>
            </w:r>
          </w:p>
        </w:tc>
        <w:tc>
          <w:tcPr>
            <w:tcW w:w="889" w:type="pct"/>
            <w:tcBorders>
              <w:righ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-0.749</w:t>
            </w:r>
          </w:p>
        </w:tc>
        <w:tc>
          <w:tcPr>
            <w:tcW w:w="809" w:type="pct"/>
            <w:tcBorders>
              <w:lef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0.009%</w:t>
            </w:r>
          </w:p>
        </w:tc>
        <w:tc>
          <w:tcPr>
            <w:tcW w:w="900" w:type="pct"/>
            <w:tcBorders>
              <w:right w:val="single" w:sz="4" w:space="0" w:color="auto"/>
            </w:tcBorders>
            <w:shd w:val="clear" w:color="auto" w:fill="auto"/>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0.034</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9" w:type="pct"/>
            <w:tcBorders>
              <w:left w:val="single" w:sz="4" w:space="0" w:color="auto"/>
              <w:right w:val="single" w:sz="4" w:space="0" w:color="auto"/>
            </w:tcBorders>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w:t>
            </w:r>
          </w:p>
        </w:tc>
        <w:tc>
          <w:tcPr>
            <w:tcW w:w="473" w:type="pct"/>
            <w:tcBorders>
              <w:left w:val="single" w:sz="4" w:space="0" w:color="auto"/>
            </w:tcBorders>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2.051%</w:t>
            </w:r>
          </w:p>
        </w:tc>
        <w:tc>
          <w:tcPr>
            <w:tcW w:w="561" w:type="pct"/>
            <w:tcBorders>
              <w:right w:val="single" w:sz="4" w:space="0" w:color="auto"/>
            </w:tcBorders>
            <w:shd w:val="clear" w:color="auto" w:fill="auto"/>
            <w:noWrap/>
            <w:hideMark/>
          </w:tcPr>
          <w:p w:rsidR="0029636F" w:rsidRPr="00FC4B0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FC4B04">
              <w:rPr>
                <w:rFonts w:ascii="Calibri" w:eastAsia="Times New Roman" w:hAnsi="Calibri" w:cs="Calibri"/>
                <w:b/>
                <w:color w:val="000000"/>
                <w:sz w:val="22"/>
                <w:lang w:eastAsia="en-AU"/>
              </w:rPr>
              <w:t>7.273</w:t>
            </w:r>
            <w:r>
              <w:rPr>
                <w:rFonts w:ascii="Calibri" w:eastAsia="Times New Roman" w:hAnsi="Calibri" w:cs="Calibri"/>
                <w:b/>
                <w:color w:val="000000"/>
                <w:sz w:val="22"/>
                <w:lang w:eastAsia="en-AU"/>
              </w:rPr>
              <w:t>***</w:t>
            </w:r>
          </w:p>
        </w:tc>
        <w:tc>
          <w:tcPr>
            <w:tcW w:w="799" w:type="pct"/>
            <w:tcBorders>
              <w:left w:val="single" w:sz="4" w:space="0" w:color="auto"/>
            </w:tcBorders>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2.480%</w:t>
            </w:r>
          </w:p>
        </w:tc>
        <w:tc>
          <w:tcPr>
            <w:tcW w:w="889" w:type="pct"/>
            <w:tcBorders>
              <w:right w:val="single" w:sz="4" w:space="0" w:color="auto"/>
            </w:tcBorders>
            <w:shd w:val="clear" w:color="auto" w:fill="auto"/>
            <w:noWrap/>
            <w:hideMark/>
          </w:tcPr>
          <w:p w:rsidR="0029636F" w:rsidRPr="00FC4B0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FC4B04">
              <w:rPr>
                <w:rFonts w:ascii="Calibri" w:eastAsia="Times New Roman" w:hAnsi="Calibri" w:cs="Calibri"/>
                <w:b/>
                <w:color w:val="000000"/>
                <w:sz w:val="22"/>
                <w:lang w:eastAsia="en-AU"/>
              </w:rPr>
              <w:t>5.755</w:t>
            </w:r>
            <w:r>
              <w:rPr>
                <w:rFonts w:ascii="Calibri" w:eastAsia="Times New Roman" w:hAnsi="Calibri" w:cs="Calibri"/>
                <w:b/>
                <w:color w:val="000000"/>
                <w:sz w:val="22"/>
                <w:lang w:eastAsia="en-AU"/>
              </w:rPr>
              <w:t>***</w:t>
            </w:r>
          </w:p>
        </w:tc>
        <w:tc>
          <w:tcPr>
            <w:tcW w:w="809" w:type="pct"/>
            <w:tcBorders>
              <w:left w:val="single" w:sz="4" w:space="0" w:color="auto"/>
            </w:tcBorders>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1.551%</w:t>
            </w:r>
          </w:p>
        </w:tc>
        <w:tc>
          <w:tcPr>
            <w:tcW w:w="900" w:type="pct"/>
            <w:tcBorders>
              <w:right w:val="single" w:sz="4" w:space="0" w:color="auto"/>
            </w:tcBorders>
            <w:shd w:val="clear" w:color="auto" w:fill="auto"/>
          </w:tcPr>
          <w:p w:rsidR="0029636F" w:rsidRPr="00FC4B0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FC4B04">
              <w:rPr>
                <w:rFonts w:ascii="Calibri" w:eastAsia="Times New Roman" w:hAnsi="Calibri" w:cs="Calibri"/>
                <w:b/>
                <w:color w:val="000000"/>
                <w:sz w:val="22"/>
                <w:lang w:eastAsia="en-AU"/>
              </w:rPr>
              <w:t>4.495</w:t>
            </w:r>
            <w:r>
              <w:rPr>
                <w:rFonts w:ascii="Calibri" w:eastAsia="Times New Roman" w:hAnsi="Calibri" w:cs="Calibri"/>
                <w:b/>
                <w:color w:val="000000"/>
                <w:sz w:val="22"/>
                <w:lang w:eastAsia="en-AU"/>
              </w:rPr>
              <w:t>***</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569" w:type="pct"/>
            <w:tcBorders>
              <w:left w:val="single" w:sz="4" w:space="0" w:color="auto"/>
              <w:right w:val="single" w:sz="4" w:space="0" w:color="auto"/>
            </w:tcBorders>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w:t>
            </w:r>
          </w:p>
        </w:tc>
        <w:tc>
          <w:tcPr>
            <w:tcW w:w="473" w:type="pct"/>
            <w:tcBorders>
              <w:lef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0.469%</w:t>
            </w:r>
          </w:p>
        </w:tc>
        <w:tc>
          <w:tcPr>
            <w:tcW w:w="561" w:type="pct"/>
            <w:tcBorders>
              <w:righ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1.489</w:t>
            </w:r>
          </w:p>
        </w:tc>
        <w:tc>
          <w:tcPr>
            <w:tcW w:w="799" w:type="pct"/>
            <w:tcBorders>
              <w:lef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0.481%</w:t>
            </w:r>
          </w:p>
        </w:tc>
        <w:tc>
          <w:tcPr>
            <w:tcW w:w="889" w:type="pct"/>
            <w:tcBorders>
              <w:righ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1.019</w:t>
            </w:r>
          </w:p>
        </w:tc>
        <w:tc>
          <w:tcPr>
            <w:tcW w:w="809" w:type="pct"/>
            <w:tcBorders>
              <w:lef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0.456%</w:t>
            </w:r>
          </w:p>
        </w:tc>
        <w:tc>
          <w:tcPr>
            <w:tcW w:w="900" w:type="pct"/>
            <w:tcBorders>
              <w:right w:val="single" w:sz="4" w:space="0" w:color="auto"/>
            </w:tcBorders>
            <w:shd w:val="clear" w:color="auto" w:fill="auto"/>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1.123</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9" w:type="pct"/>
            <w:tcBorders>
              <w:left w:val="single" w:sz="4" w:space="0" w:color="auto"/>
              <w:right w:val="single" w:sz="4" w:space="0" w:color="auto"/>
            </w:tcBorders>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w:t>
            </w:r>
          </w:p>
        </w:tc>
        <w:tc>
          <w:tcPr>
            <w:tcW w:w="473" w:type="pct"/>
            <w:tcBorders>
              <w:left w:val="single" w:sz="4" w:space="0" w:color="auto"/>
            </w:tcBorders>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0.041%</w:t>
            </w:r>
          </w:p>
        </w:tc>
        <w:tc>
          <w:tcPr>
            <w:tcW w:w="561" w:type="pct"/>
            <w:tcBorders>
              <w:right w:val="single" w:sz="4" w:space="0" w:color="auto"/>
            </w:tcBorders>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0.174</w:t>
            </w:r>
          </w:p>
        </w:tc>
        <w:tc>
          <w:tcPr>
            <w:tcW w:w="799" w:type="pct"/>
            <w:tcBorders>
              <w:left w:val="single" w:sz="4" w:space="0" w:color="auto"/>
            </w:tcBorders>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-0.055%</w:t>
            </w:r>
          </w:p>
        </w:tc>
        <w:tc>
          <w:tcPr>
            <w:tcW w:w="889" w:type="pct"/>
            <w:tcBorders>
              <w:right w:val="single" w:sz="4" w:space="0" w:color="auto"/>
            </w:tcBorders>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-0.174</w:t>
            </w:r>
          </w:p>
        </w:tc>
        <w:tc>
          <w:tcPr>
            <w:tcW w:w="809" w:type="pct"/>
            <w:tcBorders>
              <w:left w:val="single" w:sz="4" w:space="0" w:color="auto"/>
            </w:tcBorders>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0.153%</w:t>
            </w:r>
          </w:p>
        </w:tc>
        <w:tc>
          <w:tcPr>
            <w:tcW w:w="900" w:type="pct"/>
            <w:tcBorders>
              <w:right w:val="single" w:sz="4" w:space="0" w:color="auto"/>
            </w:tcBorders>
            <w:shd w:val="clear" w:color="auto" w:fill="auto"/>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0.423</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569" w:type="pct"/>
            <w:tcBorders>
              <w:left w:val="single" w:sz="4" w:space="0" w:color="auto"/>
              <w:right w:val="single" w:sz="4" w:space="0" w:color="auto"/>
            </w:tcBorders>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w:t>
            </w:r>
          </w:p>
        </w:tc>
        <w:tc>
          <w:tcPr>
            <w:tcW w:w="473" w:type="pct"/>
            <w:tcBorders>
              <w:lef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0.306%</w:t>
            </w:r>
          </w:p>
        </w:tc>
        <w:tc>
          <w:tcPr>
            <w:tcW w:w="561" w:type="pct"/>
            <w:tcBorders>
              <w:righ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1.359</w:t>
            </w:r>
          </w:p>
        </w:tc>
        <w:tc>
          <w:tcPr>
            <w:tcW w:w="799" w:type="pct"/>
            <w:tcBorders>
              <w:lef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0.154%</w:t>
            </w:r>
          </w:p>
        </w:tc>
        <w:tc>
          <w:tcPr>
            <w:tcW w:w="889" w:type="pct"/>
            <w:tcBorders>
              <w:righ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0.431</w:t>
            </w:r>
          </w:p>
        </w:tc>
        <w:tc>
          <w:tcPr>
            <w:tcW w:w="809" w:type="pct"/>
            <w:tcBorders>
              <w:lef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0.482%</w:t>
            </w:r>
          </w:p>
        </w:tc>
        <w:tc>
          <w:tcPr>
            <w:tcW w:w="900" w:type="pct"/>
            <w:tcBorders>
              <w:right w:val="single" w:sz="4" w:space="0" w:color="auto"/>
            </w:tcBorders>
            <w:shd w:val="clear" w:color="auto" w:fill="auto"/>
          </w:tcPr>
          <w:p w:rsidR="0029636F" w:rsidRPr="00FC4B0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FC4B04">
              <w:rPr>
                <w:rFonts w:ascii="Calibri" w:eastAsia="Times New Roman" w:hAnsi="Calibri" w:cs="Calibri"/>
                <w:b/>
                <w:color w:val="000000"/>
                <w:sz w:val="22"/>
                <w:lang w:eastAsia="en-AU"/>
              </w:rPr>
              <w:t>1.876</w:t>
            </w:r>
            <w:r>
              <w:rPr>
                <w:rFonts w:ascii="Calibri" w:eastAsia="Times New Roman" w:hAnsi="Calibri" w:cs="Calibri"/>
                <w:b/>
                <w:color w:val="000000"/>
                <w:sz w:val="22"/>
                <w:lang w:eastAsia="en-AU"/>
              </w:rPr>
              <w:t>*</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9" w:type="pct"/>
            <w:tcBorders>
              <w:left w:val="single" w:sz="4" w:space="0" w:color="auto"/>
              <w:right w:val="single" w:sz="4" w:space="0" w:color="auto"/>
            </w:tcBorders>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4</w:t>
            </w:r>
          </w:p>
        </w:tc>
        <w:tc>
          <w:tcPr>
            <w:tcW w:w="473" w:type="pct"/>
            <w:tcBorders>
              <w:left w:val="single" w:sz="4" w:space="0" w:color="auto"/>
            </w:tcBorders>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-0.349%</w:t>
            </w:r>
          </w:p>
        </w:tc>
        <w:tc>
          <w:tcPr>
            <w:tcW w:w="561" w:type="pct"/>
            <w:tcBorders>
              <w:right w:val="single" w:sz="4" w:space="0" w:color="auto"/>
            </w:tcBorders>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-1.641</w:t>
            </w:r>
          </w:p>
        </w:tc>
        <w:tc>
          <w:tcPr>
            <w:tcW w:w="799" w:type="pct"/>
            <w:tcBorders>
              <w:left w:val="single" w:sz="4" w:space="0" w:color="auto"/>
            </w:tcBorders>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-0.615%</w:t>
            </w:r>
          </w:p>
        </w:tc>
        <w:tc>
          <w:tcPr>
            <w:tcW w:w="889" w:type="pct"/>
            <w:tcBorders>
              <w:right w:val="single" w:sz="4" w:space="0" w:color="auto"/>
            </w:tcBorders>
            <w:shd w:val="clear" w:color="auto" w:fill="auto"/>
            <w:noWrap/>
            <w:hideMark/>
          </w:tcPr>
          <w:p w:rsidR="0029636F" w:rsidRPr="00FC4B0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FC4B04">
              <w:rPr>
                <w:rFonts w:ascii="Calibri" w:eastAsia="Times New Roman" w:hAnsi="Calibri" w:cs="Calibri"/>
                <w:b/>
                <w:color w:val="000000"/>
                <w:sz w:val="22"/>
                <w:lang w:eastAsia="en-AU"/>
              </w:rPr>
              <w:t>-2.348</w:t>
            </w:r>
            <w:r>
              <w:rPr>
                <w:rFonts w:ascii="Calibri" w:eastAsia="Times New Roman" w:hAnsi="Calibri" w:cs="Calibri"/>
                <w:b/>
                <w:color w:val="000000"/>
                <w:sz w:val="22"/>
                <w:lang w:eastAsia="en-AU"/>
              </w:rPr>
              <w:t>**</w:t>
            </w:r>
          </w:p>
        </w:tc>
        <w:tc>
          <w:tcPr>
            <w:tcW w:w="809" w:type="pct"/>
            <w:tcBorders>
              <w:left w:val="single" w:sz="4" w:space="0" w:color="auto"/>
            </w:tcBorders>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-0.041%</w:t>
            </w:r>
          </w:p>
        </w:tc>
        <w:tc>
          <w:tcPr>
            <w:tcW w:w="900" w:type="pct"/>
            <w:tcBorders>
              <w:right w:val="single" w:sz="4" w:space="0" w:color="auto"/>
            </w:tcBorders>
            <w:shd w:val="clear" w:color="auto" w:fill="auto"/>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-0.119</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569" w:type="pct"/>
            <w:tcBorders>
              <w:left w:val="single" w:sz="4" w:space="0" w:color="auto"/>
              <w:right w:val="single" w:sz="4" w:space="0" w:color="auto"/>
            </w:tcBorders>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w:t>
            </w:r>
          </w:p>
        </w:tc>
        <w:tc>
          <w:tcPr>
            <w:tcW w:w="473" w:type="pct"/>
            <w:tcBorders>
              <w:lef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-0.150%</w:t>
            </w:r>
          </w:p>
        </w:tc>
        <w:tc>
          <w:tcPr>
            <w:tcW w:w="561" w:type="pct"/>
            <w:tcBorders>
              <w:righ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-0.691</w:t>
            </w:r>
          </w:p>
        </w:tc>
        <w:tc>
          <w:tcPr>
            <w:tcW w:w="799" w:type="pct"/>
            <w:tcBorders>
              <w:lef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-0.337%</w:t>
            </w:r>
          </w:p>
        </w:tc>
        <w:tc>
          <w:tcPr>
            <w:tcW w:w="889" w:type="pct"/>
            <w:tcBorders>
              <w:righ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-1.042</w:t>
            </w:r>
          </w:p>
        </w:tc>
        <w:tc>
          <w:tcPr>
            <w:tcW w:w="809" w:type="pct"/>
            <w:tcBorders>
              <w:left w:val="single" w:sz="4" w:space="0" w:color="auto"/>
            </w:tcBorders>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0.067%</w:t>
            </w:r>
          </w:p>
        </w:tc>
        <w:tc>
          <w:tcPr>
            <w:tcW w:w="900" w:type="pct"/>
            <w:tcBorders>
              <w:right w:val="single" w:sz="4" w:space="0" w:color="auto"/>
            </w:tcBorders>
            <w:shd w:val="clear" w:color="auto" w:fill="auto"/>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0.240</w:t>
            </w:r>
          </w:p>
        </w:tc>
      </w:tr>
    </w:tbl>
    <w:p w:rsidR="0029636F" w:rsidRDefault="0029636F" w:rsidP="0029636F">
      <w:pPr>
        <w:pStyle w:val="TableDesc"/>
        <w:sectPr w:rsidR="0029636F" w:rsidSect="00B67075">
          <w:pgSz w:w="16838" w:h="11906" w:orient="landscape"/>
          <w:pgMar w:top="1440" w:right="1440" w:bottom="1440" w:left="1440" w:header="708" w:footer="708" w:gutter="0"/>
          <w:cols w:space="708"/>
          <w:docGrid w:linePitch="360"/>
        </w:sectPr>
      </w:pPr>
      <w:r w:rsidRPr="00001FA7">
        <w:t>Panel A presents the daily average abnormal returns</w:t>
      </w:r>
      <w:r>
        <w:t xml:space="preserve"> </w:t>
      </w:r>
      <w:r w:rsidRPr="00001FA7">
        <w:t xml:space="preserve">(AAR) surrounding the total sample of bank loan announcements. Panel B presents the </w:t>
      </w:r>
      <w:r>
        <w:t xml:space="preserve">AAR surrounding </w:t>
      </w:r>
      <w:r w:rsidRPr="00001FA7">
        <w:t xml:space="preserve">initial bank loan announcements. Panel C presents </w:t>
      </w:r>
      <w:r>
        <w:t xml:space="preserve">the </w:t>
      </w:r>
      <w:r w:rsidRPr="00001FA7">
        <w:t>AAR surrounding subsequent bank loan announcements. AAR is calculated as outlined in equation (1). Student t-statistics are presented to show if the AAR is significantly different from zero. N is the number of observations.    Event Day ‘0’ represents the day of the bank loan announcement. Two tailed tests of significance are reported as follows *** less than 0.01 ** less than 0.05 and * less than 0.10.</w:t>
      </w:r>
      <w:bookmarkStart w:id="44" w:name="_Ref378032686"/>
    </w:p>
    <w:p w:rsidR="0029636F" w:rsidRPr="00F521A0" w:rsidRDefault="0029636F" w:rsidP="0029636F">
      <w:pPr>
        <w:pStyle w:val="Table"/>
      </w:pPr>
      <w:bookmarkStart w:id="45" w:name="_Ref378170987"/>
      <w:bookmarkStart w:id="46" w:name="_Toc379787343"/>
      <w:r w:rsidRPr="00F521A0">
        <w:lastRenderedPageBreak/>
        <w:t>Table</w:t>
      </w:r>
      <w:r w:rsidR="00FC0F38">
        <w:t xml:space="preserve"> </w:t>
      </w:r>
      <w:bookmarkEnd w:id="44"/>
      <w:bookmarkEnd w:id="45"/>
      <w:r w:rsidR="009C0FA7">
        <w:t>6</w:t>
      </w:r>
      <w:r w:rsidRPr="00F521A0">
        <w:t xml:space="preserve"> Cumulative average abnormal returns surrounding bank loan announcements.</w:t>
      </w:r>
      <w:bookmarkEnd w:id="46"/>
    </w:p>
    <w:p w:rsidR="0029636F" w:rsidRPr="00F521A0" w:rsidRDefault="0029636F" w:rsidP="0029636F">
      <w:pPr>
        <w:spacing w:after="0"/>
        <w:ind w:firstLine="0"/>
      </w:pPr>
      <w:r w:rsidRPr="00F521A0">
        <w:t>Panel A: Cumulative average abnormal returns surrounding the total sample of bank loan announcements.</w:t>
      </w:r>
    </w:p>
    <w:tbl>
      <w:tblPr>
        <w:tblStyle w:val="LightShading"/>
        <w:tblW w:w="0" w:type="auto"/>
        <w:tblLook w:val="04A0" w:firstRow="1" w:lastRow="0" w:firstColumn="1" w:lastColumn="0" w:noHBand="0" w:noVBand="1"/>
      </w:tblPr>
      <w:tblGrid>
        <w:gridCol w:w="1134"/>
        <w:gridCol w:w="943"/>
        <w:gridCol w:w="1050"/>
        <w:gridCol w:w="551"/>
        <w:gridCol w:w="1536"/>
        <w:gridCol w:w="1706"/>
      </w:tblGrid>
      <w:tr w:rsidR="0029636F" w:rsidRPr="00F521A0" w:rsidTr="00DB1B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Event Day</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CAAR</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t-stat</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N</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Count Positive</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Positive CAAR</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 to 5</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2.518%</w:t>
            </w:r>
          </w:p>
        </w:tc>
        <w:tc>
          <w:tcPr>
            <w:tcW w:w="0" w:type="auto"/>
            <w:shd w:val="clear" w:color="auto" w:fill="auto"/>
            <w:noWrap/>
            <w:hideMark/>
          </w:tcPr>
          <w:p w:rsidR="0029636F" w:rsidRPr="00FC4B0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FC4B04">
              <w:rPr>
                <w:rFonts w:ascii="Calibri" w:eastAsia="Times New Roman" w:hAnsi="Calibri" w:cs="Calibri"/>
                <w:b/>
                <w:color w:val="000000"/>
                <w:sz w:val="22"/>
                <w:lang w:eastAsia="en-AU"/>
              </w:rPr>
              <w:t>3.552</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396</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222</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56.06</w:t>
            </w:r>
            <w:r w:rsidRPr="00F521A0">
              <w:rPr>
                <w:rFonts w:ascii="Calibri" w:eastAsia="Times New Roman" w:hAnsi="Calibri" w:cs="Calibri"/>
                <w:color w:val="000000"/>
                <w:sz w:val="22"/>
                <w:lang w:eastAsia="en-AU"/>
              </w:rPr>
              <w:t>%</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 to 3</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2.787%</w:t>
            </w:r>
          </w:p>
        </w:tc>
        <w:tc>
          <w:tcPr>
            <w:tcW w:w="0" w:type="auto"/>
            <w:shd w:val="clear" w:color="auto" w:fill="auto"/>
            <w:noWrap/>
            <w:hideMark/>
          </w:tcPr>
          <w:p w:rsidR="0029636F" w:rsidRPr="00FC4B0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FC4B04">
              <w:rPr>
                <w:rFonts w:ascii="Calibri" w:eastAsia="Times New Roman" w:hAnsi="Calibri" w:cs="Calibri"/>
                <w:b/>
                <w:color w:val="000000"/>
                <w:sz w:val="22"/>
                <w:lang w:eastAsia="en-AU"/>
              </w:rPr>
              <w:t>4.657</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396</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226</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57.07</w:t>
            </w:r>
            <w:r w:rsidRPr="00F521A0">
              <w:rPr>
                <w:rFonts w:ascii="Calibri" w:eastAsia="Times New Roman" w:hAnsi="Calibri" w:cs="Calibri"/>
                <w:color w:val="000000"/>
                <w:sz w:val="22"/>
                <w:lang w:eastAsia="en-AU"/>
              </w:rPr>
              <w:t>%</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 to 1</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2.412%</w:t>
            </w:r>
          </w:p>
        </w:tc>
        <w:tc>
          <w:tcPr>
            <w:tcW w:w="0" w:type="auto"/>
            <w:shd w:val="clear" w:color="auto" w:fill="auto"/>
            <w:noWrap/>
            <w:hideMark/>
          </w:tcPr>
          <w:p w:rsidR="0029636F" w:rsidRPr="00FC4B0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FC4B04">
              <w:rPr>
                <w:rFonts w:ascii="Calibri" w:eastAsia="Times New Roman" w:hAnsi="Calibri" w:cs="Calibri"/>
                <w:b/>
                <w:color w:val="000000"/>
                <w:sz w:val="22"/>
                <w:lang w:eastAsia="en-AU"/>
              </w:rPr>
              <w:t>5.840</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396</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244</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61.61</w:t>
            </w:r>
            <w:r w:rsidRPr="00F521A0">
              <w:rPr>
                <w:rFonts w:ascii="Calibri" w:eastAsia="Times New Roman" w:hAnsi="Calibri" w:cs="Calibri"/>
                <w:color w:val="000000"/>
                <w:sz w:val="22"/>
                <w:lang w:eastAsia="en-AU"/>
              </w:rPr>
              <w:t>%</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 to 1</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2.520%</w:t>
            </w:r>
          </w:p>
        </w:tc>
        <w:tc>
          <w:tcPr>
            <w:tcW w:w="0" w:type="auto"/>
            <w:shd w:val="clear" w:color="auto" w:fill="auto"/>
            <w:noWrap/>
            <w:hideMark/>
          </w:tcPr>
          <w:p w:rsidR="0029636F" w:rsidRPr="00FC4B0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FC4B04">
              <w:rPr>
                <w:rFonts w:ascii="Calibri" w:eastAsia="Times New Roman" w:hAnsi="Calibri" w:cs="Calibri"/>
                <w:b/>
                <w:color w:val="000000"/>
                <w:sz w:val="22"/>
                <w:lang w:eastAsia="en-AU"/>
              </w:rPr>
              <w:t>6.285</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396</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259</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65.40</w:t>
            </w:r>
            <w:r w:rsidRPr="00F521A0">
              <w:rPr>
                <w:rFonts w:ascii="Calibri" w:eastAsia="Times New Roman" w:hAnsi="Calibri" w:cs="Calibri"/>
                <w:color w:val="000000"/>
                <w:sz w:val="22"/>
                <w:lang w:eastAsia="en-AU"/>
              </w:rPr>
              <w:t>%</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 to -2</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0.257%</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0.658</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396</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188</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47.47</w:t>
            </w:r>
            <w:r w:rsidRPr="00F521A0">
              <w:rPr>
                <w:rFonts w:ascii="Calibri" w:eastAsia="Times New Roman" w:hAnsi="Calibri" w:cs="Calibri"/>
                <w:color w:val="000000"/>
                <w:sz w:val="22"/>
                <w:lang w:eastAsia="en-AU"/>
              </w:rPr>
              <w:t>%</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 to 5</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-0.151%</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-0.371</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396</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188</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47.47</w:t>
            </w:r>
            <w:r w:rsidRPr="00F521A0">
              <w:rPr>
                <w:rFonts w:ascii="Calibri" w:eastAsia="Times New Roman" w:hAnsi="Calibri" w:cs="Calibri"/>
                <w:color w:val="000000"/>
                <w:sz w:val="22"/>
                <w:lang w:eastAsia="en-AU"/>
              </w:rPr>
              <w:t>%</w:t>
            </w:r>
          </w:p>
        </w:tc>
      </w:tr>
    </w:tbl>
    <w:p w:rsidR="0029636F" w:rsidRPr="00F521A0" w:rsidRDefault="0029636F" w:rsidP="0029636F">
      <w:pPr>
        <w:spacing w:before="240" w:after="0"/>
        <w:ind w:firstLine="0"/>
      </w:pPr>
      <w:r w:rsidRPr="00F521A0">
        <w:t>Panel B: Cumulative average abnormal returns surrounding initial bank loan announcements.</w:t>
      </w:r>
    </w:p>
    <w:tbl>
      <w:tblPr>
        <w:tblStyle w:val="LightShading"/>
        <w:tblW w:w="0" w:type="auto"/>
        <w:tblLook w:val="04A0" w:firstRow="1" w:lastRow="0" w:firstColumn="1" w:lastColumn="0" w:noHBand="0" w:noVBand="1"/>
      </w:tblPr>
      <w:tblGrid>
        <w:gridCol w:w="1134"/>
        <w:gridCol w:w="943"/>
        <w:gridCol w:w="1050"/>
        <w:gridCol w:w="551"/>
        <w:gridCol w:w="1536"/>
        <w:gridCol w:w="1456"/>
      </w:tblGrid>
      <w:tr w:rsidR="0029636F" w:rsidRPr="00F521A0" w:rsidTr="00DB1B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Event Day</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CAAR</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t-stat</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N</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Count Positive</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Positive AR</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 to 5</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2.732%</w:t>
            </w:r>
          </w:p>
        </w:tc>
        <w:tc>
          <w:tcPr>
            <w:tcW w:w="0" w:type="auto"/>
            <w:shd w:val="clear" w:color="auto" w:fill="auto"/>
            <w:noWrap/>
            <w:hideMark/>
          </w:tcPr>
          <w:p w:rsidR="0029636F" w:rsidRPr="00FC4B0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FC4B04">
              <w:rPr>
                <w:rFonts w:ascii="Calibri" w:eastAsia="Times New Roman" w:hAnsi="Calibri" w:cs="Calibri"/>
                <w:b/>
                <w:color w:val="000000"/>
                <w:sz w:val="22"/>
                <w:lang w:eastAsia="en-AU"/>
              </w:rPr>
              <w:t>2.728</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213</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120</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56.33</w:t>
            </w:r>
            <w:r w:rsidRPr="00F521A0">
              <w:rPr>
                <w:rFonts w:ascii="Calibri" w:eastAsia="Times New Roman" w:hAnsi="Calibri" w:cs="Calibri"/>
                <w:color w:val="000000"/>
                <w:sz w:val="22"/>
                <w:lang w:eastAsia="en-AU"/>
              </w:rPr>
              <w:t>%</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 to 3</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3.158%</w:t>
            </w:r>
          </w:p>
        </w:tc>
        <w:tc>
          <w:tcPr>
            <w:tcW w:w="0" w:type="auto"/>
            <w:shd w:val="clear" w:color="auto" w:fill="auto"/>
            <w:noWrap/>
            <w:hideMark/>
          </w:tcPr>
          <w:p w:rsidR="0029636F" w:rsidRPr="00FC4B0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FC4B04">
              <w:rPr>
                <w:rFonts w:ascii="Calibri" w:eastAsia="Times New Roman" w:hAnsi="Calibri" w:cs="Calibri"/>
                <w:b/>
                <w:color w:val="000000"/>
                <w:sz w:val="22"/>
                <w:lang w:eastAsia="en-AU"/>
              </w:rPr>
              <w:t>3.587</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213</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122</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57.27</w:t>
            </w:r>
            <w:r w:rsidRPr="00F521A0">
              <w:rPr>
                <w:rFonts w:ascii="Calibri" w:eastAsia="Times New Roman" w:hAnsi="Calibri" w:cs="Calibri"/>
                <w:color w:val="000000"/>
                <w:sz w:val="22"/>
                <w:lang w:eastAsia="en-AU"/>
              </w:rPr>
              <w:t>%</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 to 1</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2.753%</w:t>
            </w:r>
          </w:p>
        </w:tc>
        <w:tc>
          <w:tcPr>
            <w:tcW w:w="0" w:type="auto"/>
            <w:shd w:val="clear" w:color="auto" w:fill="auto"/>
            <w:noWrap/>
            <w:hideMark/>
          </w:tcPr>
          <w:p w:rsidR="0029636F" w:rsidRPr="00FC4B0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FC4B04">
              <w:rPr>
                <w:rFonts w:ascii="Calibri" w:eastAsia="Times New Roman" w:hAnsi="Calibri" w:cs="Calibri"/>
                <w:b/>
                <w:color w:val="000000"/>
                <w:sz w:val="22"/>
                <w:lang w:eastAsia="en-AU"/>
              </w:rPr>
              <w:t>4.696</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213</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131</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61.50</w:t>
            </w:r>
            <w:r w:rsidRPr="00F521A0">
              <w:rPr>
                <w:rFonts w:ascii="Calibri" w:eastAsia="Times New Roman" w:hAnsi="Calibri" w:cs="Calibri"/>
                <w:color w:val="000000"/>
                <w:sz w:val="22"/>
                <w:lang w:eastAsia="en-AU"/>
              </w:rPr>
              <w:t>%</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 to 1</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2.961%</w:t>
            </w:r>
          </w:p>
        </w:tc>
        <w:tc>
          <w:tcPr>
            <w:tcW w:w="0" w:type="auto"/>
            <w:shd w:val="clear" w:color="auto" w:fill="auto"/>
            <w:noWrap/>
            <w:hideMark/>
          </w:tcPr>
          <w:p w:rsidR="0029636F" w:rsidRPr="00FC4B0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FC4B04">
              <w:rPr>
                <w:rFonts w:ascii="Calibri" w:eastAsia="Times New Roman" w:hAnsi="Calibri" w:cs="Calibri"/>
                <w:b/>
                <w:color w:val="000000"/>
                <w:sz w:val="22"/>
                <w:lang w:eastAsia="en-AU"/>
              </w:rPr>
              <w:t>5.131</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213</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143</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67.13</w:t>
            </w:r>
            <w:r w:rsidRPr="00F521A0">
              <w:rPr>
                <w:rFonts w:ascii="Calibri" w:eastAsia="Times New Roman" w:hAnsi="Calibri" w:cs="Calibri"/>
                <w:color w:val="000000"/>
                <w:sz w:val="22"/>
                <w:lang w:eastAsia="en-AU"/>
              </w:rPr>
              <w:t>%</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 to -2</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0.828%</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1.448</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213</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105</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49.29</w:t>
            </w:r>
            <w:r w:rsidRPr="00F521A0">
              <w:rPr>
                <w:rFonts w:ascii="Calibri" w:eastAsia="Times New Roman" w:hAnsi="Calibri" w:cs="Calibri"/>
                <w:color w:val="000000"/>
                <w:sz w:val="22"/>
                <w:lang w:eastAsia="en-AU"/>
              </w:rPr>
              <w:t>%</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 to 5</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-0.849%</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-1.494</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213</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87</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40.84</w:t>
            </w:r>
            <w:r w:rsidRPr="00F521A0">
              <w:rPr>
                <w:rFonts w:ascii="Calibri" w:eastAsia="Times New Roman" w:hAnsi="Calibri" w:cs="Calibri"/>
                <w:color w:val="000000"/>
                <w:sz w:val="22"/>
                <w:lang w:eastAsia="en-AU"/>
              </w:rPr>
              <w:t>%</w:t>
            </w:r>
          </w:p>
        </w:tc>
      </w:tr>
    </w:tbl>
    <w:p w:rsidR="0029636F" w:rsidRPr="00F521A0" w:rsidRDefault="0029636F" w:rsidP="0029636F">
      <w:pPr>
        <w:spacing w:before="240" w:after="0"/>
        <w:ind w:firstLine="0"/>
      </w:pPr>
      <w:r w:rsidRPr="00F521A0">
        <w:t>Panel C: Cumulative average abnormal returns surrounding subsequent loan announcements.</w:t>
      </w:r>
    </w:p>
    <w:tbl>
      <w:tblPr>
        <w:tblStyle w:val="LightShading"/>
        <w:tblW w:w="0" w:type="auto"/>
        <w:tblLook w:val="04A0" w:firstRow="1" w:lastRow="0" w:firstColumn="1" w:lastColumn="0" w:noHBand="0" w:noVBand="1"/>
      </w:tblPr>
      <w:tblGrid>
        <w:gridCol w:w="1134"/>
        <w:gridCol w:w="943"/>
        <w:gridCol w:w="1050"/>
        <w:gridCol w:w="551"/>
        <w:gridCol w:w="1536"/>
        <w:gridCol w:w="1456"/>
      </w:tblGrid>
      <w:tr w:rsidR="0029636F" w:rsidRPr="00F521A0" w:rsidTr="00DB1B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Event Day</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CAAR</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t-stat</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N</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Count Positive</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Positive AR</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 to 5</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2.268%</w:t>
            </w:r>
          </w:p>
        </w:tc>
        <w:tc>
          <w:tcPr>
            <w:tcW w:w="0" w:type="auto"/>
            <w:shd w:val="clear" w:color="auto" w:fill="auto"/>
            <w:noWrap/>
            <w:hideMark/>
          </w:tcPr>
          <w:p w:rsidR="0029636F" w:rsidRPr="008A37EC"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8A37EC">
              <w:rPr>
                <w:rFonts w:ascii="Calibri" w:eastAsia="Times New Roman" w:hAnsi="Calibri" w:cs="Calibri"/>
                <w:b/>
                <w:color w:val="000000"/>
                <w:sz w:val="22"/>
                <w:lang w:eastAsia="en-AU"/>
              </w:rPr>
              <w:t>2.269**</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183</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102</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55.73</w:t>
            </w:r>
            <w:r w:rsidRPr="00F521A0">
              <w:rPr>
                <w:rFonts w:ascii="Calibri" w:eastAsia="Times New Roman" w:hAnsi="Calibri" w:cs="Calibri"/>
                <w:color w:val="000000"/>
                <w:sz w:val="22"/>
                <w:lang w:eastAsia="en-AU"/>
              </w:rPr>
              <w:t>%</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 to 3</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2.355%</w:t>
            </w:r>
          </w:p>
        </w:tc>
        <w:tc>
          <w:tcPr>
            <w:tcW w:w="0" w:type="auto"/>
            <w:shd w:val="clear" w:color="auto" w:fill="auto"/>
            <w:noWrap/>
            <w:hideMark/>
          </w:tcPr>
          <w:p w:rsidR="0029636F" w:rsidRPr="008A37EC"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8A37EC">
              <w:rPr>
                <w:rFonts w:ascii="Calibri" w:eastAsia="Times New Roman" w:hAnsi="Calibri" w:cs="Calibri"/>
                <w:b/>
                <w:color w:val="000000"/>
                <w:sz w:val="22"/>
                <w:lang w:eastAsia="en-AU"/>
              </w:rPr>
              <w:t>2.969</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183</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104</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56.83</w:t>
            </w:r>
            <w:r w:rsidRPr="00F521A0">
              <w:rPr>
                <w:rFonts w:ascii="Calibri" w:eastAsia="Times New Roman" w:hAnsi="Calibri" w:cs="Calibri"/>
                <w:color w:val="000000"/>
                <w:sz w:val="22"/>
                <w:lang w:eastAsia="en-AU"/>
              </w:rPr>
              <w:t>%</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 to 1</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2.015%</w:t>
            </w:r>
          </w:p>
        </w:tc>
        <w:tc>
          <w:tcPr>
            <w:tcW w:w="0" w:type="auto"/>
            <w:shd w:val="clear" w:color="auto" w:fill="auto"/>
            <w:noWrap/>
            <w:hideMark/>
          </w:tcPr>
          <w:p w:rsidR="0029636F" w:rsidRPr="008A37EC"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8A37EC">
              <w:rPr>
                <w:rFonts w:ascii="Calibri" w:eastAsia="Times New Roman" w:hAnsi="Calibri" w:cs="Calibri"/>
                <w:b/>
                <w:color w:val="000000"/>
                <w:sz w:val="22"/>
                <w:lang w:eastAsia="en-AU"/>
              </w:rPr>
              <w:t>3.488</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183</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113</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61.74</w:t>
            </w:r>
            <w:r w:rsidRPr="00F521A0">
              <w:rPr>
                <w:rFonts w:ascii="Calibri" w:eastAsia="Times New Roman" w:hAnsi="Calibri" w:cs="Calibri"/>
                <w:color w:val="000000"/>
                <w:sz w:val="22"/>
                <w:lang w:eastAsia="en-AU"/>
              </w:rPr>
              <w:t>%</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 to 1</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2.006%</w:t>
            </w:r>
          </w:p>
        </w:tc>
        <w:tc>
          <w:tcPr>
            <w:tcW w:w="0" w:type="auto"/>
            <w:shd w:val="clear" w:color="auto" w:fill="auto"/>
            <w:noWrap/>
            <w:hideMark/>
          </w:tcPr>
          <w:p w:rsidR="0029636F" w:rsidRPr="008A37EC"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8A37EC">
              <w:rPr>
                <w:rFonts w:ascii="Calibri" w:eastAsia="Times New Roman" w:hAnsi="Calibri" w:cs="Calibri"/>
                <w:b/>
                <w:color w:val="000000"/>
                <w:sz w:val="22"/>
                <w:lang w:eastAsia="en-AU"/>
              </w:rPr>
              <w:t>3.659</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183</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116</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63.38</w:t>
            </w:r>
            <w:r w:rsidRPr="00F521A0">
              <w:rPr>
                <w:rFonts w:ascii="Calibri" w:eastAsia="Times New Roman" w:hAnsi="Calibri" w:cs="Calibri"/>
                <w:color w:val="000000"/>
                <w:sz w:val="22"/>
                <w:lang w:eastAsia="en-AU"/>
              </w:rPr>
              <w:t>%</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 to -2</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-0.409%</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-0.792</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183</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83</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45.35</w:t>
            </w:r>
            <w:r w:rsidRPr="00F521A0">
              <w:rPr>
                <w:rFonts w:ascii="Calibri" w:eastAsia="Times New Roman" w:hAnsi="Calibri" w:cs="Calibri"/>
                <w:color w:val="000000"/>
                <w:sz w:val="22"/>
                <w:lang w:eastAsia="en-AU"/>
              </w:rPr>
              <w:t>%</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 to 5</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0.661%</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1.147</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183</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101</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55.19</w:t>
            </w:r>
            <w:r w:rsidRPr="00F521A0">
              <w:rPr>
                <w:rFonts w:ascii="Calibri" w:eastAsia="Times New Roman" w:hAnsi="Calibri" w:cs="Calibri"/>
                <w:color w:val="000000"/>
                <w:sz w:val="22"/>
                <w:lang w:eastAsia="en-AU"/>
              </w:rPr>
              <w:t>%</w:t>
            </w:r>
          </w:p>
        </w:tc>
      </w:tr>
    </w:tbl>
    <w:p w:rsidR="0029636F" w:rsidRPr="001A4FB7" w:rsidRDefault="0029636F" w:rsidP="0029636F">
      <w:pPr>
        <w:pStyle w:val="TableDesc"/>
      </w:pPr>
      <w:r>
        <w:fldChar w:fldCharType="begin"/>
      </w:r>
      <w:r>
        <w:instrText xml:space="preserve"> REF _Ref378170987 \h </w:instrText>
      </w:r>
      <w:r>
        <w:fldChar w:fldCharType="separate"/>
      </w:r>
      <w:r w:rsidR="0089071A" w:rsidRPr="00F521A0">
        <w:t>Table</w:t>
      </w:r>
      <w:r w:rsidR="0089071A">
        <w:t xml:space="preserve"> </w:t>
      </w:r>
      <w:r>
        <w:fldChar w:fldCharType="end"/>
      </w:r>
      <w:r>
        <w:t xml:space="preserve"> </w:t>
      </w:r>
      <w:r w:rsidRPr="00A52611">
        <w:t>Panel A presents the cumulative average abnormal returns (CAAR) surrounding the total sample of bank loan announcements. Panel B presents the cumulative average abnormal returns (CAAR) surrounding the initial bank loan sample of announcements. Panel C presents the cumulative average abnormal returns (CAAR) surrounding the subsequent bank loan sample of announcements. CAAR is calculated as outlined in equation (2). Student t-statistics are presented to show if the CAAR is significantly different from zero. N is the number of observations.  Count Positive is the number of announcements with a positive AAR. % Positive CAAR is calculated as Count Positive divided by N, to represent the % of firms with a positive cumulative abnormal reaction on the event day.  Event Day ‘0’ represents the day of the bank loan announcement. Two tailed tests of significance are reported as follows *** less than 0.01 ** less than 0.05 and * less than 0.10.</w:t>
      </w:r>
    </w:p>
    <w:p w:rsidR="0029636F" w:rsidRPr="00F521A0" w:rsidRDefault="0029636F" w:rsidP="0029636F">
      <w:pPr>
        <w:spacing w:line="276" w:lineRule="auto"/>
        <w:ind w:firstLine="0"/>
      </w:pPr>
      <w:r w:rsidRPr="00F521A0">
        <w:br w:type="page"/>
      </w:r>
    </w:p>
    <w:p w:rsidR="0029636F" w:rsidRPr="00F521A0" w:rsidRDefault="0029636F" w:rsidP="0029636F">
      <w:pPr>
        <w:spacing w:after="0"/>
        <w:ind w:left="360" w:hanging="360"/>
        <w:jc w:val="center"/>
        <w:rPr>
          <w:b/>
        </w:rPr>
        <w:sectPr w:rsidR="0029636F" w:rsidRPr="00F521A0" w:rsidSect="007E2948">
          <w:pgSz w:w="11906" w:h="16838"/>
          <w:pgMar w:top="1440" w:right="1440" w:bottom="1440" w:left="1440" w:header="708" w:footer="708" w:gutter="0"/>
          <w:cols w:space="708"/>
          <w:docGrid w:linePitch="360"/>
        </w:sectPr>
      </w:pPr>
    </w:p>
    <w:p w:rsidR="0029636F" w:rsidRDefault="0029636F" w:rsidP="0029636F">
      <w:pPr>
        <w:pStyle w:val="Table"/>
      </w:pPr>
      <w:bookmarkStart w:id="47" w:name="_Ref379398544"/>
      <w:bookmarkStart w:id="48" w:name="_Toc379787346"/>
      <w:r>
        <w:lastRenderedPageBreak/>
        <w:t>Table</w:t>
      </w:r>
      <w:r w:rsidR="00FC0F38">
        <w:t xml:space="preserve"> </w:t>
      </w:r>
      <w:bookmarkEnd w:id="47"/>
      <w:r w:rsidR="009C0FA7">
        <w:t>7</w:t>
      </w:r>
      <w:r w:rsidRPr="006C5D7B">
        <w:t xml:space="preserve"> </w:t>
      </w:r>
      <w:r w:rsidRPr="00F521A0">
        <w:t>Determinants of market reaction around bank loan announcements</w:t>
      </w:r>
      <w:bookmarkEnd w:id="48"/>
    </w:p>
    <w:tbl>
      <w:tblPr>
        <w:tblStyle w:val="LightShading"/>
        <w:tblW w:w="11519" w:type="dxa"/>
        <w:tblLook w:val="04A0" w:firstRow="1" w:lastRow="0" w:firstColumn="1" w:lastColumn="0" w:noHBand="0" w:noVBand="1"/>
      </w:tblPr>
      <w:tblGrid>
        <w:gridCol w:w="1300"/>
        <w:gridCol w:w="1309"/>
        <w:gridCol w:w="960"/>
        <w:gridCol w:w="960"/>
        <w:gridCol w:w="1050"/>
        <w:gridCol w:w="1009"/>
        <w:gridCol w:w="911"/>
        <w:gridCol w:w="1050"/>
        <w:gridCol w:w="842"/>
        <w:gridCol w:w="1078"/>
        <w:gridCol w:w="1050"/>
      </w:tblGrid>
      <w:tr w:rsidR="0029636F" w:rsidRPr="008758E4" w:rsidTr="00DB1B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auto"/>
              <w:left w:val="single" w:sz="4" w:space="0" w:color="auto"/>
              <w:right w:val="single" w:sz="4" w:space="0" w:color="auto"/>
            </w:tcBorders>
            <w:shd w:val="clear" w:color="auto" w:fill="auto"/>
            <w:noWrap/>
            <w:hideMark/>
          </w:tcPr>
          <w:p w:rsidR="0029636F" w:rsidRPr="008758E4" w:rsidRDefault="0029636F" w:rsidP="00DB1BCC">
            <w:pPr>
              <w:spacing w:line="240" w:lineRule="auto"/>
              <w:ind w:firstLine="0"/>
              <w:rPr>
                <w:rFonts w:ascii="Calibri" w:eastAsia="Times New Roman" w:hAnsi="Calibri" w:cs="Calibri"/>
                <w:color w:val="000000"/>
                <w:sz w:val="22"/>
                <w:lang w:eastAsia="en-AU"/>
              </w:rPr>
            </w:pPr>
          </w:p>
        </w:tc>
        <w:tc>
          <w:tcPr>
            <w:tcW w:w="1309" w:type="dxa"/>
            <w:tcBorders>
              <w:top w:val="single" w:sz="4" w:space="0" w:color="auto"/>
              <w:left w:val="single" w:sz="4" w:space="0" w:color="auto"/>
              <w:right w:val="single" w:sz="4" w:space="0" w:color="auto"/>
            </w:tcBorders>
            <w:shd w:val="clear" w:color="auto" w:fill="auto"/>
            <w:noWrap/>
            <w:hideMark/>
          </w:tcPr>
          <w:p w:rsidR="0029636F"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156D01">
              <w:rPr>
                <w:rFonts w:ascii="Calibri" w:eastAsia="Times New Roman" w:hAnsi="Calibri" w:cs="Calibri"/>
                <w:color w:val="000000"/>
                <w:sz w:val="22"/>
                <w:lang w:eastAsia="en-AU"/>
              </w:rPr>
              <w:t>Predicted</w:t>
            </w:r>
          </w:p>
          <w:p w:rsidR="0029636F" w:rsidRPr="00156D01"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 xml:space="preserve"> Sign</w:t>
            </w:r>
          </w:p>
        </w:tc>
        <w:tc>
          <w:tcPr>
            <w:tcW w:w="2970" w:type="dxa"/>
            <w:gridSpan w:val="3"/>
            <w:tcBorders>
              <w:top w:val="single" w:sz="4" w:space="0" w:color="auto"/>
              <w:left w:val="single" w:sz="4" w:space="0" w:color="auto"/>
              <w:right w:val="single" w:sz="4" w:space="0" w:color="auto"/>
            </w:tcBorders>
            <w:shd w:val="clear" w:color="auto" w:fill="auto"/>
            <w:noWrap/>
            <w:hideMark/>
          </w:tcPr>
          <w:p w:rsidR="0029636F" w:rsidRPr="00156D01" w:rsidRDefault="0029636F" w:rsidP="00DB1BC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Panel A: 0 to +1</w:t>
            </w:r>
          </w:p>
        </w:tc>
        <w:tc>
          <w:tcPr>
            <w:tcW w:w="2970" w:type="dxa"/>
            <w:gridSpan w:val="3"/>
            <w:tcBorders>
              <w:top w:val="single" w:sz="4" w:space="0" w:color="auto"/>
              <w:left w:val="single" w:sz="4" w:space="0" w:color="auto"/>
              <w:right w:val="single" w:sz="4" w:space="0" w:color="auto"/>
            </w:tcBorders>
            <w:shd w:val="clear" w:color="auto" w:fill="auto"/>
            <w:noWrap/>
            <w:hideMark/>
          </w:tcPr>
          <w:p w:rsidR="0029636F" w:rsidRPr="00156D01" w:rsidRDefault="0029636F" w:rsidP="00DB1BC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Panel B: -5 to 5</w:t>
            </w:r>
          </w:p>
        </w:tc>
        <w:tc>
          <w:tcPr>
            <w:tcW w:w="2970" w:type="dxa"/>
            <w:gridSpan w:val="3"/>
            <w:tcBorders>
              <w:top w:val="single" w:sz="4" w:space="0" w:color="auto"/>
              <w:left w:val="single" w:sz="4" w:space="0" w:color="auto"/>
              <w:right w:val="single" w:sz="4" w:space="0" w:color="auto"/>
            </w:tcBorders>
            <w:shd w:val="clear" w:color="auto" w:fill="auto"/>
            <w:noWrap/>
            <w:hideMark/>
          </w:tcPr>
          <w:p w:rsidR="0029636F" w:rsidRPr="008758E4" w:rsidRDefault="0029636F" w:rsidP="00DB1BC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Panel C: -10 to 10</w:t>
            </w:r>
          </w:p>
        </w:tc>
      </w:tr>
      <w:tr w:rsidR="0029636F" w:rsidRPr="008758E4" w:rsidTr="00DB1BC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0" w:type="dxa"/>
            <w:tcBorders>
              <w:left w:val="single" w:sz="4" w:space="0" w:color="auto"/>
              <w:right w:val="single" w:sz="4" w:space="0" w:color="auto"/>
            </w:tcBorders>
            <w:shd w:val="clear" w:color="auto" w:fill="auto"/>
            <w:noWrap/>
            <w:hideMark/>
          </w:tcPr>
          <w:p w:rsidR="0029636F" w:rsidRPr="008758E4" w:rsidRDefault="0029636F" w:rsidP="00DB1BCC">
            <w:pPr>
              <w:spacing w:line="240" w:lineRule="auto"/>
              <w:ind w:firstLine="0"/>
              <w:rPr>
                <w:rFonts w:ascii="Calibri" w:eastAsia="Times New Roman" w:hAnsi="Calibri" w:cs="Calibri"/>
                <w:color w:val="000000"/>
                <w:sz w:val="22"/>
                <w:lang w:eastAsia="en-AU"/>
              </w:rPr>
            </w:pPr>
          </w:p>
        </w:tc>
        <w:tc>
          <w:tcPr>
            <w:tcW w:w="1309" w:type="dxa"/>
            <w:tcBorders>
              <w:left w:val="single" w:sz="4" w:space="0" w:color="auto"/>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p>
        </w:tc>
        <w:tc>
          <w:tcPr>
            <w:tcW w:w="960" w:type="dxa"/>
            <w:tcBorders>
              <w:lef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proofErr w:type="spellStart"/>
            <w:r w:rsidRPr="008758E4">
              <w:rPr>
                <w:rFonts w:ascii="Calibri" w:eastAsia="Times New Roman" w:hAnsi="Calibri" w:cs="Calibri"/>
                <w:b/>
                <w:color w:val="000000"/>
                <w:sz w:val="22"/>
                <w:lang w:eastAsia="en-AU"/>
              </w:rPr>
              <w:t>Coeff</w:t>
            </w:r>
            <w:proofErr w:type="spellEnd"/>
          </w:p>
        </w:tc>
        <w:tc>
          <w:tcPr>
            <w:tcW w:w="960" w:type="dxa"/>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8758E4">
              <w:rPr>
                <w:rFonts w:ascii="Calibri" w:eastAsia="Times New Roman" w:hAnsi="Calibri" w:cs="Calibri"/>
                <w:b/>
                <w:color w:val="000000"/>
                <w:sz w:val="22"/>
                <w:lang w:eastAsia="en-AU"/>
              </w:rPr>
              <w:t>t-stat</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8758E4">
              <w:rPr>
                <w:rFonts w:ascii="Calibri" w:eastAsia="Times New Roman" w:hAnsi="Calibri" w:cs="Calibri"/>
                <w:b/>
                <w:color w:val="000000"/>
                <w:sz w:val="22"/>
                <w:lang w:eastAsia="en-AU"/>
              </w:rPr>
              <w:t>p-value</w:t>
            </w:r>
          </w:p>
        </w:tc>
        <w:tc>
          <w:tcPr>
            <w:tcW w:w="1009" w:type="dxa"/>
            <w:tcBorders>
              <w:lef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proofErr w:type="spellStart"/>
            <w:r w:rsidRPr="008758E4">
              <w:rPr>
                <w:rFonts w:ascii="Calibri" w:eastAsia="Times New Roman" w:hAnsi="Calibri" w:cs="Calibri"/>
                <w:b/>
                <w:color w:val="000000"/>
                <w:sz w:val="22"/>
                <w:lang w:eastAsia="en-AU"/>
              </w:rPr>
              <w:t>Coeff</w:t>
            </w:r>
            <w:proofErr w:type="spellEnd"/>
          </w:p>
        </w:tc>
        <w:tc>
          <w:tcPr>
            <w:tcW w:w="911" w:type="dxa"/>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8758E4">
              <w:rPr>
                <w:rFonts w:ascii="Calibri" w:eastAsia="Times New Roman" w:hAnsi="Calibri" w:cs="Calibri"/>
                <w:b/>
                <w:color w:val="000000"/>
                <w:sz w:val="22"/>
                <w:lang w:eastAsia="en-AU"/>
              </w:rPr>
              <w:t>t-stat</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8758E4">
              <w:rPr>
                <w:rFonts w:ascii="Calibri" w:eastAsia="Times New Roman" w:hAnsi="Calibri" w:cs="Calibri"/>
                <w:b/>
                <w:color w:val="000000"/>
                <w:sz w:val="22"/>
                <w:lang w:eastAsia="en-AU"/>
              </w:rPr>
              <w:t>p-value</w:t>
            </w:r>
          </w:p>
        </w:tc>
        <w:tc>
          <w:tcPr>
            <w:tcW w:w="842" w:type="dxa"/>
            <w:tcBorders>
              <w:lef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proofErr w:type="spellStart"/>
            <w:r w:rsidRPr="008758E4">
              <w:rPr>
                <w:rFonts w:ascii="Calibri" w:eastAsia="Times New Roman" w:hAnsi="Calibri" w:cs="Calibri"/>
                <w:b/>
                <w:color w:val="000000"/>
                <w:sz w:val="22"/>
                <w:lang w:eastAsia="en-AU"/>
              </w:rPr>
              <w:t>Coeff</w:t>
            </w:r>
            <w:proofErr w:type="spellEnd"/>
          </w:p>
        </w:tc>
        <w:tc>
          <w:tcPr>
            <w:tcW w:w="1078" w:type="dxa"/>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8758E4">
              <w:rPr>
                <w:rFonts w:ascii="Calibri" w:eastAsia="Times New Roman" w:hAnsi="Calibri" w:cs="Calibri"/>
                <w:b/>
                <w:color w:val="000000"/>
                <w:sz w:val="22"/>
                <w:lang w:eastAsia="en-AU"/>
              </w:rPr>
              <w:t>t-stat</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8758E4">
              <w:rPr>
                <w:rFonts w:ascii="Calibri" w:eastAsia="Times New Roman" w:hAnsi="Calibri" w:cs="Calibri"/>
                <w:b/>
                <w:color w:val="000000"/>
                <w:sz w:val="22"/>
                <w:lang w:eastAsia="en-AU"/>
              </w:rPr>
              <w:t>p-value</w:t>
            </w:r>
          </w:p>
        </w:tc>
      </w:tr>
      <w:tr w:rsidR="0029636F" w:rsidRPr="008758E4" w:rsidTr="00DB1BCC">
        <w:trPr>
          <w:trHeight w:val="495"/>
        </w:trPr>
        <w:tc>
          <w:tcPr>
            <w:cnfStyle w:val="001000000000" w:firstRow="0" w:lastRow="0" w:firstColumn="1" w:lastColumn="0" w:oddVBand="0" w:evenVBand="0" w:oddHBand="0" w:evenHBand="0" w:firstRowFirstColumn="0" w:firstRowLastColumn="0" w:lastRowFirstColumn="0" w:lastRowLastColumn="0"/>
            <w:tcW w:w="1300" w:type="dxa"/>
            <w:tcBorders>
              <w:left w:val="single" w:sz="4" w:space="0" w:color="auto"/>
              <w:right w:val="single" w:sz="4" w:space="0" w:color="auto"/>
            </w:tcBorders>
            <w:shd w:val="clear" w:color="auto" w:fill="auto"/>
            <w:hideMark/>
          </w:tcPr>
          <w:p w:rsidR="0029636F" w:rsidRPr="008758E4" w:rsidRDefault="0029636F" w:rsidP="00DB1BCC">
            <w:pPr>
              <w:spacing w:line="240" w:lineRule="auto"/>
              <w:ind w:firstLine="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(Constant)</w:t>
            </w:r>
          </w:p>
        </w:tc>
        <w:tc>
          <w:tcPr>
            <w:tcW w:w="1309" w:type="dxa"/>
            <w:tcBorders>
              <w:left w:val="single" w:sz="4" w:space="0" w:color="auto"/>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p>
        </w:tc>
        <w:tc>
          <w:tcPr>
            <w:tcW w:w="960" w:type="dxa"/>
            <w:tcBorders>
              <w:lef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.003</w:t>
            </w:r>
          </w:p>
        </w:tc>
        <w:tc>
          <w:tcPr>
            <w:tcW w:w="960" w:type="dxa"/>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.042</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.967</w:t>
            </w:r>
          </w:p>
        </w:tc>
        <w:tc>
          <w:tcPr>
            <w:tcW w:w="1009" w:type="dxa"/>
            <w:tcBorders>
              <w:lef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.019</w:t>
            </w:r>
          </w:p>
        </w:tc>
        <w:tc>
          <w:tcPr>
            <w:tcW w:w="911" w:type="dxa"/>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.153</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.879</w:t>
            </w:r>
          </w:p>
        </w:tc>
        <w:tc>
          <w:tcPr>
            <w:tcW w:w="842" w:type="dxa"/>
            <w:tcBorders>
              <w:lef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-.033</w:t>
            </w:r>
          </w:p>
        </w:tc>
        <w:tc>
          <w:tcPr>
            <w:tcW w:w="1078" w:type="dxa"/>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-.184</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.854</w:t>
            </w:r>
          </w:p>
        </w:tc>
      </w:tr>
      <w:tr w:rsidR="0029636F" w:rsidRPr="008758E4"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left w:val="single" w:sz="4" w:space="0" w:color="auto"/>
              <w:right w:val="single" w:sz="4" w:space="0" w:color="auto"/>
            </w:tcBorders>
            <w:shd w:val="clear" w:color="auto" w:fill="auto"/>
            <w:hideMark/>
          </w:tcPr>
          <w:p w:rsidR="0029636F" w:rsidRPr="008758E4" w:rsidRDefault="0029636F" w:rsidP="00DB1BCC">
            <w:pPr>
              <w:spacing w:line="240" w:lineRule="auto"/>
              <w:ind w:firstLine="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Initial</w:t>
            </w:r>
          </w:p>
        </w:tc>
        <w:tc>
          <w:tcPr>
            <w:tcW w:w="1309" w:type="dxa"/>
            <w:tcBorders>
              <w:left w:val="single" w:sz="4" w:space="0" w:color="auto"/>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8758E4">
              <w:rPr>
                <w:rFonts w:ascii="Calibri" w:eastAsia="Times New Roman" w:hAnsi="Calibri" w:cs="Calibri"/>
                <w:color w:val="000000"/>
                <w:sz w:val="22"/>
                <w:lang w:eastAsia="en-AU"/>
              </w:rPr>
              <w:t>+</w:t>
            </w:r>
          </w:p>
        </w:tc>
        <w:tc>
          <w:tcPr>
            <w:tcW w:w="960" w:type="dxa"/>
            <w:tcBorders>
              <w:lef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.005</w:t>
            </w:r>
          </w:p>
        </w:tc>
        <w:tc>
          <w:tcPr>
            <w:tcW w:w="960" w:type="dxa"/>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.588</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.557</w:t>
            </w:r>
          </w:p>
        </w:tc>
        <w:tc>
          <w:tcPr>
            <w:tcW w:w="1009" w:type="dxa"/>
            <w:tcBorders>
              <w:lef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-.012</w:t>
            </w:r>
          </w:p>
        </w:tc>
        <w:tc>
          <w:tcPr>
            <w:tcW w:w="911" w:type="dxa"/>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-.829</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.408</w:t>
            </w:r>
          </w:p>
        </w:tc>
        <w:tc>
          <w:tcPr>
            <w:tcW w:w="842" w:type="dxa"/>
            <w:tcBorders>
              <w:lef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-.011</w:t>
            </w:r>
          </w:p>
        </w:tc>
        <w:tc>
          <w:tcPr>
            <w:tcW w:w="1078" w:type="dxa"/>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-.517</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.606</w:t>
            </w:r>
          </w:p>
        </w:tc>
      </w:tr>
      <w:tr w:rsidR="0029636F" w:rsidRPr="008758E4" w:rsidTr="00DB1BCC">
        <w:trPr>
          <w:trHeight w:val="300"/>
        </w:trPr>
        <w:tc>
          <w:tcPr>
            <w:cnfStyle w:val="001000000000" w:firstRow="0" w:lastRow="0" w:firstColumn="1" w:lastColumn="0" w:oddVBand="0" w:evenVBand="0" w:oddHBand="0" w:evenHBand="0" w:firstRowFirstColumn="0" w:firstRowLastColumn="0" w:lastRowFirstColumn="0" w:lastRowLastColumn="0"/>
            <w:tcW w:w="1300" w:type="dxa"/>
            <w:tcBorders>
              <w:left w:val="single" w:sz="4" w:space="0" w:color="auto"/>
              <w:right w:val="single" w:sz="4" w:space="0" w:color="auto"/>
            </w:tcBorders>
            <w:shd w:val="clear" w:color="auto" w:fill="auto"/>
            <w:hideMark/>
          </w:tcPr>
          <w:p w:rsidR="0029636F" w:rsidRPr="008758E4" w:rsidRDefault="0029636F" w:rsidP="00DB1BCC">
            <w:pPr>
              <w:spacing w:line="240" w:lineRule="auto"/>
              <w:ind w:firstLine="0"/>
              <w:rPr>
                <w:rFonts w:ascii="Arial" w:eastAsia="Times New Roman" w:hAnsi="Arial" w:cs="Arial"/>
                <w:color w:val="000000"/>
                <w:sz w:val="18"/>
                <w:szCs w:val="18"/>
                <w:lang w:eastAsia="en-AU"/>
              </w:rPr>
            </w:pPr>
            <w:proofErr w:type="spellStart"/>
            <w:r w:rsidRPr="008758E4">
              <w:rPr>
                <w:rFonts w:ascii="Arial" w:eastAsia="Times New Roman" w:hAnsi="Arial" w:cs="Arial"/>
                <w:color w:val="000000"/>
                <w:sz w:val="18"/>
                <w:szCs w:val="18"/>
                <w:lang w:eastAsia="en-AU"/>
              </w:rPr>
              <w:t>FirstAnn</w:t>
            </w:r>
            <w:proofErr w:type="spellEnd"/>
          </w:p>
        </w:tc>
        <w:tc>
          <w:tcPr>
            <w:tcW w:w="1309" w:type="dxa"/>
            <w:tcBorders>
              <w:left w:val="single" w:sz="4" w:space="0" w:color="auto"/>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8758E4">
              <w:rPr>
                <w:rFonts w:ascii="Calibri" w:eastAsia="Times New Roman" w:hAnsi="Calibri" w:cs="Calibri"/>
                <w:color w:val="000000"/>
                <w:sz w:val="22"/>
                <w:lang w:eastAsia="en-AU"/>
              </w:rPr>
              <w:t>+</w:t>
            </w:r>
          </w:p>
        </w:tc>
        <w:tc>
          <w:tcPr>
            <w:tcW w:w="960" w:type="dxa"/>
            <w:tcBorders>
              <w:lef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.028</w:t>
            </w:r>
          </w:p>
        </w:tc>
        <w:tc>
          <w:tcPr>
            <w:tcW w:w="960" w:type="dxa"/>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n-AU"/>
              </w:rPr>
            </w:pPr>
            <w:r w:rsidRPr="008758E4">
              <w:rPr>
                <w:rFonts w:ascii="Arial" w:eastAsia="Times New Roman" w:hAnsi="Arial" w:cs="Arial"/>
                <w:b/>
                <w:bCs/>
                <w:color w:val="000000"/>
                <w:sz w:val="18"/>
                <w:szCs w:val="18"/>
                <w:lang w:eastAsia="en-AU"/>
              </w:rPr>
              <w:t>3.200***</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n-AU"/>
              </w:rPr>
            </w:pPr>
            <w:r w:rsidRPr="008758E4">
              <w:rPr>
                <w:rFonts w:ascii="Arial" w:eastAsia="Times New Roman" w:hAnsi="Arial" w:cs="Arial"/>
                <w:b/>
                <w:bCs/>
                <w:color w:val="000000"/>
                <w:sz w:val="18"/>
                <w:szCs w:val="18"/>
                <w:lang w:eastAsia="en-AU"/>
              </w:rPr>
              <w:t>.001</w:t>
            </w:r>
          </w:p>
        </w:tc>
        <w:tc>
          <w:tcPr>
            <w:tcW w:w="1009" w:type="dxa"/>
            <w:tcBorders>
              <w:lef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.026</w:t>
            </w:r>
          </w:p>
        </w:tc>
        <w:tc>
          <w:tcPr>
            <w:tcW w:w="911" w:type="dxa"/>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n-AU"/>
              </w:rPr>
            </w:pPr>
            <w:r w:rsidRPr="008758E4">
              <w:rPr>
                <w:rFonts w:ascii="Arial" w:eastAsia="Times New Roman" w:hAnsi="Arial" w:cs="Arial"/>
                <w:b/>
                <w:bCs/>
                <w:color w:val="000000"/>
                <w:sz w:val="18"/>
                <w:szCs w:val="18"/>
                <w:lang w:eastAsia="en-AU"/>
              </w:rPr>
              <w:t>1.670*</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n-AU"/>
              </w:rPr>
            </w:pPr>
            <w:r w:rsidRPr="008758E4">
              <w:rPr>
                <w:rFonts w:ascii="Arial" w:eastAsia="Times New Roman" w:hAnsi="Arial" w:cs="Arial"/>
                <w:b/>
                <w:bCs/>
                <w:color w:val="000000"/>
                <w:sz w:val="18"/>
                <w:szCs w:val="18"/>
                <w:lang w:eastAsia="en-AU"/>
              </w:rPr>
              <w:t>.096</w:t>
            </w:r>
          </w:p>
        </w:tc>
        <w:tc>
          <w:tcPr>
            <w:tcW w:w="842" w:type="dxa"/>
            <w:tcBorders>
              <w:lef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.045</w:t>
            </w:r>
          </w:p>
        </w:tc>
        <w:tc>
          <w:tcPr>
            <w:tcW w:w="1078" w:type="dxa"/>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n-AU"/>
              </w:rPr>
            </w:pPr>
            <w:r w:rsidRPr="008758E4">
              <w:rPr>
                <w:rFonts w:ascii="Arial" w:eastAsia="Times New Roman" w:hAnsi="Arial" w:cs="Arial"/>
                <w:b/>
                <w:bCs/>
                <w:color w:val="000000"/>
                <w:sz w:val="18"/>
                <w:szCs w:val="18"/>
                <w:lang w:eastAsia="en-AU"/>
              </w:rPr>
              <w:t>2.064**</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n-AU"/>
              </w:rPr>
            </w:pPr>
            <w:r w:rsidRPr="008758E4">
              <w:rPr>
                <w:rFonts w:ascii="Arial" w:eastAsia="Times New Roman" w:hAnsi="Arial" w:cs="Arial"/>
                <w:b/>
                <w:bCs/>
                <w:color w:val="000000"/>
                <w:sz w:val="18"/>
                <w:szCs w:val="18"/>
                <w:lang w:eastAsia="en-AU"/>
              </w:rPr>
              <w:t>.040</w:t>
            </w:r>
          </w:p>
        </w:tc>
      </w:tr>
      <w:tr w:rsidR="0029636F" w:rsidRPr="008758E4"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left w:val="single" w:sz="4" w:space="0" w:color="auto"/>
              <w:right w:val="single" w:sz="4" w:space="0" w:color="auto"/>
            </w:tcBorders>
            <w:shd w:val="clear" w:color="auto" w:fill="auto"/>
            <w:hideMark/>
          </w:tcPr>
          <w:p w:rsidR="0029636F" w:rsidRPr="008758E4" w:rsidRDefault="0029636F" w:rsidP="00DB1BCC">
            <w:pPr>
              <w:spacing w:line="240" w:lineRule="auto"/>
              <w:ind w:firstLine="0"/>
              <w:rPr>
                <w:rFonts w:ascii="Arial" w:eastAsia="Times New Roman" w:hAnsi="Arial" w:cs="Arial"/>
                <w:color w:val="000000"/>
                <w:sz w:val="18"/>
                <w:szCs w:val="18"/>
                <w:lang w:eastAsia="en-AU"/>
              </w:rPr>
            </w:pPr>
            <w:proofErr w:type="spellStart"/>
            <w:r w:rsidRPr="008758E4">
              <w:rPr>
                <w:rFonts w:ascii="Arial" w:eastAsia="Times New Roman" w:hAnsi="Arial" w:cs="Arial"/>
                <w:color w:val="000000"/>
                <w:sz w:val="18"/>
                <w:szCs w:val="18"/>
                <w:lang w:eastAsia="en-AU"/>
              </w:rPr>
              <w:t>LnAmount</w:t>
            </w:r>
            <w:proofErr w:type="spellEnd"/>
          </w:p>
        </w:tc>
        <w:tc>
          <w:tcPr>
            <w:tcW w:w="1309" w:type="dxa"/>
            <w:tcBorders>
              <w:left w:val="single" w:sz="4" w:space="0" w:color="auto"/>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8758E4">
              <w:rPr>
                <w:rFonts w:ascii="Calibri" w:eastAsia="Times New Roman" w:hAnsi="Calibri" w:cs="Calibri"/>
                <w:color w:val="000000"/>
                <w:sz w:val="22"/>
                <w:lang w:eastAsia="en-AU"/>
              </w:rPr>
              <w:t>+</w:t>
            </w:r>
          </w:p>
        </w:tc>
        <w:tc>
          <w:tcPr>
            <w:tcW w:w="960" w:type="dxa"/>
            <w:tcBorders>
              <w:lef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.018</w:t>
            </w:r>
          </w:p>
        </w:tc>
        <w:tc>
          <w:tcPr>
            <w:tcW w:w="960" w:type="dxa"/>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AU"/>
              </w:rPr>
            </w:pPr>
            <w:r w:rsidRPr="008758E4">
              <w:rPr>
                <w:rFonts w:ascii="Arial" w:eastAsia="Times New Roman" w:hAnsi="Arial" w:cs="Arial"/>
                <w:b/>
                <w:bCs/>
                <w:color w:val="000000"/>
                <w:sz w:val="18"/>
                <w:szCs w:val="18"/>
                <w:lang w:eastAsia="en-AU"/>
              </w:rPr>
              <w:t>4.338***</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AU"/>
              </w:rPr>
            </w:pPr>
            <w:r w:rsidRPr="008758E4">
              <w:rPr>
                <w:rFonts w:ascii="Arial" w:eastAsia="Times New Roman" w:hAnsi="Arial" w:cs="Arial"/>
                <w:b/>
                <w:bCs/>
                <w:color w:val="000000"/>
                <w:sz w:val="18"/>
                <w:szCs w:val="18"/>
                <w:lang w:eastAsia="en-AU"/>
              </w:rPr>
              <w:t>.000</w:t>
            </w:r>
          </w:p>
        </w:tc>
        <w:tc>
          <w:tcPr>
            <w:tcW w:w="1009" w:type="dxa"/>
            <w:tcBorders>
              <w:lef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.018</w:t>
            </w:r>
          </w:p>
        </w:tc>
        <w:tc>
          <w:tcPr>
            <w:tcW w:w="911" w:type="dxa"/>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AU"/>
              </w:rPr>
            </w:pPr>
            <w:r w:rsidRPr="008758E4">
              <w:rPr>
                <w:rFonts w:ascii="Arial" w:eastAsia="Times New Roman" w:hAnsi="Arial" w:cs="Arial"/>
                <w:b/>
                <w:bCs/>
                <w:color w:val="000000"/>
                <w:sz w:val="18"/>
                <w:szCs w:val="18"/>
                <w:lang w:eastAsia="en-AU"/>
              </w:rPr>
              <w:t>2.447**</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AU"/>
              </w:rPr>
            </w:pPr>
            <w:r w:rsidRPr="008758E4">
              <w:rPr>
                <w:rFonts w:ascii="Arial" w:eastAsia="Times New Roman" w:hAnsi="Arial" w:cs="Arial"/>
                <w:b/>
                <w:bCs/>
                <w:color w:val="000000"/>
                <w:sz w:val="18"/>
                <w:szCs w:val="18"/>
                <w:lang w:eastAsia="en-AU"/>
              </w:rPr>
              <w:t>.015</w:t>
            </w:r>
          </w:p>
        </w:tc>
        <w:tc>
          <w:tcPr>
            <w:tcW w:w="842" w:type="dxa"/>
            <w:tcBorders>
              <w:lef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.011</w:t>
            </w:r>
          </w:p>
        </w:tc>
        <w:tc>
          <w:tcPr>
            <w:tcW w:w="1078" w:type="dxa"/>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1.099</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.272</w:t>
            </w:r>
          </w:p>
        </w:tc>
      </w:tr>
      <w:tr w:rsidR="0029636F" w:rsidRPr="008758E4" w:rsidTr="00DB1BCC">
        <w:trPr>
          <w:trHeight w:val="300"/>
        </w:trPr>
        <w:tc>
          <w:tcPr>
            <w:cnfStyle w:val="001000000000" w:firstRow="0" w:lastRow="0" w:firstColumn="1" w:lastColumn="0" w:oddVBand="0" w:evenVBand="0" w:oddHBand="0" w:evenHBand="0" w:firstRowFirstColumn="0" w:firstRowLastColumn="0" w:lastRowFirstColumn="0" w:lastRowLastColumn="0"/>
            <w:tcW w:w="1300" w:type="dxa"/>
            <w:tcBorders>
              <w:left w:val="single" w:sz="4" w:space="0" w:color="auto"/>
              <w:right w:val="single" w:sz="4" w:space="0" w:color="auto"/>
            </w:tcBorders>
            <w:shd w:val="clear" w:color="auto" w:fill="auto"/>
            <w:hideMark/>
          </w:tcPr>
          <w:p w:rsidR="0029636F" w:rsidRPr="008758E4" w:rsidRDefault="0029636F" w:rsidP="00DB1BCC">
            <w:pPr>
              <w:spacing w:line="240" w:lineRule="auto"/>
              <w:ind w:firstLine="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Lenders</w:t>
            </w:r>
          </w:p>
        </w:tc>
        <w:tc>
          <w:tcPr>
            <w:tcW w:w="1309" w:type="dxa"/>
            <w:tcBorders>
              <w:left w:val="single" w:sz="4" w:space="0" w:color="auto"/>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8758E4">
              <w:rPr>
                <w:rFonts w:ascii="Calibri" w:eastAsia="Times New Roman" w:hAnsi="Calibri" w:cs="Calibri"/>
                <w:color w:val="000000"/>
                <w:sz w:val="22"/>
                <w:lang w:eastAsia="en-AU"/>
              </w:rPr>
              <w:t>-</w:t>
            </w:r>
          </w:p>
        </w:tc>
        <w:tc>
          <w:tcPr>
            <w:tcW w:w="960" w:type="dxa"/>
            <w:tcBorders>
              <w:lef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-.001</w:t>
            </w:r>
          </w:p>
        </w:tc>
        <w:tc>
          <w:tcPr>
            <w:tcW w:w="960" w:type="dxa"/>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-.319</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.750</w:t>
            </w:r>
          </w:p>
        </w:tc>
        <w:tc>
          <w:tcPr>
            <w:tcW w:w="1009" w:type="dxa"/>
            <w:tcBorders>
              <w:lef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.011</w:t>
            </w:r>
          </w:p>
        </w:tc>
        <w:tc>
          <w:tcPr>
            <w:tcW w:w="911" w:type="dxa"/>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1.433</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.153</w:t>
            </w:r>
          </w:p>
        </w:tc>
        <w:tc>
          <w:tcPr>
            <w:tcW w:w="842" w:type="dxa"/>
            <w:tcBorders>
              <w:lef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.002</w:t>
            </w:r>
          </w:p>
        </w:tc>
        <w:tc>
          <w:tcPr>
            <w:tcW w:w="1078" w:type="dxa"/>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.199</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.842</w:t>
            </w:r>
          </w:p>
        </w:tc>
      </w:tr>
      <w:tr w:rsidR="0029636F" w:rsidRPr="008758E4"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left w:val="single" w:sz="4" w:space="0" w:color="auto"/>
              <w:right w:val="single" w:sz="4" w:space="0" w:color="auto"/>
            </w:tcBorders>
            <w:shd w:val="clear" w:color="auto" w:fill="auto"/>
            <w:hideMark/>
          </w:tcPr>
          <w:p w:rsidR="0029636F" w:rsidRPr="008758E4" w:rsidRDefault="0029636F" w:rsidP="00DB1BCC">
            <w:pPr>
              <w:spacing w:line="240" w:lineRule="auto"/>
              <w:ind w:firstLine="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Hedge</w:t>
            </w:r>
          </w:p>
        </w:tc>
        <w:tc>
          <w:tcPr>
            <w:tcW w:w="1309" w:type="dxa"/>
            <w:tcBorders>
              <w:left w:val="single" w:sz="4" w:space="0" w:color="auto"/>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8758E4">
              <w:rPr>
                <w:rFonts w:ascii="Calibri" w:eastAsia="Times New Roman" w:hAnsi="Calibri" w:cs="Calibri"/>
                <w:color w:val="000000"/>
                <w:sz w:val="22"/>
                <w:lang w:eastAsia="en-AU"/>
              </w:rPr>
              <w:t>?</w:t>
            </w:r>
          </w:p>
        </w:tc>
        <w:tc>
          <w:tcPr>
            <w:tcW w:w="960" w:type="dxa"/>
            <w:tcBorders>
              <w:lef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-.015</w:t>
            </w:r>
          </w:p>
        </w:tc>
        <w:tc>
          <w:tcPr>
            <w:tcW w:w="960" w:type="dxa"/>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-1.578</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.115</w:t>
            </w:r>
          </w:p>
        </w:tc>
        <w:tc>
          <w:tcPr>
            <w:tcW w:w="1009" w:type="dxa"/>
            <w:tcBorders>
              <w:lef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-.006</w:t>
            </w:r>
          </w:p>
        </w:tc>
        <w:tc>
          <w:tcPr>
            <w:tcW w:w="911" w:type="dxa"/>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-.340</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.734</w:t>
            </w:r>
          </w:p>
        </w:tc>
        <w:tc>
          <w:tcPr>
            <w:tcW w:w="842" w:type="dxa"/>
            <w:tcBorders>
              <w:lef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-.022</w:t>
            </w:r>
          </w:p>
        </w:tc>
        <w:tc>
          <w:tcPr>
            <w:tcW w:w="1078" w:type="dxa"/>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-.899</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.369</w:t>
            </w:r>
          </w:p>
        </w:tc>
      </w:tr>
      <w:tr w:rsidR="0029636F" w:rsidRPr="008758E4" w:rsidTr="00DB1BCC">
        <w:trPr>
          <w:trHeight w:val="300"/>
        </w:trPr>
        <w:tc>
          <w:tcPr>
            <w:cnfStyle w:val="001000000000" w:firstRow="0" w:lastRow="0" w:firstColumn="1" w:lastColumn="0" w:oddVBand="0" w:evenVBand="0" w:oddHBand="0" w:evenHBand="0" w:firstRowFirstColumn="0" w:firstRowLastColumn="0" w:lastRowFirstColumn="0" w:lastRowLastColumn="0"/>
            <w:tcW w:w="1300" w:type="dxa"/>
            <w:tcBorders>
              <w:left w:val="single" w:sz="4" w:space="0" w:color="auto"/>
              <w:right w:val="single" w:sz="4" w:space="0" w:color="auto"/>
            </w:tcBorders>
            <w:shd w:val="clear" w:color="auto" w:fill="auto"/>
            <w:hideMark/>
          </w:tcPr>
          <w:p w:rsidR="0029636F" w:rsidRPr="008758E4" w:rsidRDefault="0029636F" w:rsidP="00DB1BCC">
            <w:pPr>
              <w:spacing w:line="240" w:lineRule="auto"/>
              <w:ind w:firstLine="0"/>
              <w:rPr>
                <w:rFonts w:ascii="Arial" w:eastAsia="Times New Roman" w:hAnsi="Arial" w:cs="Arial"/>
                <w:color w:val="000000"/>
                <w:sz w:val="18"/>
                <w:szCs w:val="18"/>
                <w:lang w:eastAsia="en-AU"/>
              </w:rPr>
            </w:pPr>
            <w:proofErr w:type="spellStart"/>
            <w:r w:rsidRPr="008758E4">
              <w:rPr>
                <w:rFonts w:ascii="Arial" w:eastAsia="Times New Roman" w:hAnsi="Arial" w:cs="Arial"/>
                <w:color w:val="000000"/>
                <w:sz w:val="18"/>
                <w:szCs w:val="18"/>
                <w:lang w:eastAsia="en-AU"/>
              </w:rPr>
              <w:t>BankEquity</w:t>
            </w:r>
            <w:proofErr w:type="spellEnd"/>
          </w:p>
        </w:tc>
        <w:tc>
          <w:tcPr>
            <w:tcW w:w="1309" w:type="dxa"/>
            <w:tcBorders>
              <w:left w:val="single" w:sz="4" w:space="0" w:color="auto"/>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8758E4">
              <w:rPr>
                <w:rFonts w:ascii="Calibri" w:eastAsia="Times New Roman" w:hAnsi="Calibri" w:cs="Calibri"/>
                <w:color w:val="000000"/>
                <w:sz w:val="22"/>
                <w:lang w:eastAsia="en-AU"/>
              </w:rPr>
              <w:t>+</w:t>
            </w:r>
          </w:p>
        </w:tc>
        <w:tc>
          <w:tcPr>
            <w:tcW w:w="960" w:type="dxa"/>
            <w:tcBorders>
              <w:lef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.016</w:t>
            </w:r>
          </w:p>
        </w:tc>
        <w:tc>
          <w:tcPr>
            <w:tcW w:w="960" w:type="dxa"/>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n-AU"/>
              </w:rPr>
            </w:pPr>
            <w:r w:rsidRPr="008758E4">
              <w:rPr>
                <w:rFonts w:ascii="Arial" w:eastAsia="Times New Roman" w:hAnsi="Arial" w:cs="Arial"/>
                <w:b/>
                <w:bCs/>
                <w:color w:val="000000"/>
                <w:sz w:val="18"/>
                <w:szCs w:val="18"/>
                <w:lang w:eastAsia="en-AU"/>
              </w:rPr>
              <w:t>1.637*</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n-AU"/>
              </w:rPr>
            </w:pPr>
            <w:r w:rsidRPr="008758E4">
              <w:rPr>
                <w:rFonts w:ascii="Arial" w:eastAsia="Times New Roman" w:hAnsi="Arial" w:cs="Arial"/>
                <w:b/>
                <w:bCs/>
                <w:color w:val="000000"/>
                <w:sz w:val="18"/>
                <w:szCs w:val="18"/>
                <w:lang w:eastAsia="en-AU"/>
              </w:rPr>
              <w:t>.100</w:t>
            </w:r>
          </w:p>
        </w:tc>
        <w:tc>
          <w:tcPr>
            <w:tcW w:w="1009" w:type="dxa"/>
            <w:tcBorders>
              <w:lef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.024</w:t>
            </w:r>
          </w:p>
        </w:tc>
        <w:tc>
          <w:tcPr>
            <w:tcW w:w="911" w:type="dxa"/>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1.368</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.172</w:t>
            </w:r>
          </w:p>
        </w:tc>
        <w:tc>
          <w:tcPr>
            <w:tcW w:w="842" w:type="dxa"/>
            <w:tcBorders>
              <w:lef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.041</w:t>
            </w:r>
          </w:p>
        </w:tc>
        <w:tc>
          <w:tcPr>
            <w:tcW w:w="1078" w:type="dxa"/>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n-AU"/>
              </w:rPr>
            </w:pPr>
            <w:r w:rsidRPr="008758E4">
              <w:rPr>
                <w:rFonts w:ascii="Arial" w:eastAsia="Times New Roman" w:hAnsi="Arial" w:cs="Arial"/>
                <w:b/>
                <w:bCs/>
                <w:color w:val="000000"/>
                <w:sz w:val="18"/>
                <w:szCs w:val="18"/>
                <w:lang w:eastAsia="en-AU"/>
              </w:rPr>
              <w:t>1.637*</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n-AU"/>
              </w:rPr>
            </w:pPr>
            <w:r w:rsidRPr="008758E4">
              <w:rPr>
                <w:rFonts w:ascii="Arial" w:eastAsia="Times New Roman" w:hAnsi="Arial" w:cs="Arial"/>
                <w:b/>
                <w:bCs/>
                <w:color w:val="000000"/>
                <w:sz w:val="18"/>
                <w:szCs w:val="18"/>
                <w:lang w:eastAsia="en-AU"/>
              </w:rPr>
              <w:t>.100</w:t>
            </w:r>
          </w:p>
        </w:tc>
      </w:tr>
      <w:tr w:rsidR="0029636F" w:rsidRPr="008758E4"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left w:val="single" w:sz="4" w:space="0" w:color="auto"/>
              <w:right w:val="single" w:sz="4" w:space="0" w:color="auto"/>
            </w:tcBorders>
            <w:shd w:val="clear" w:color="auto" w:fill="auto"/>
            <w:hideMark/>
          </w:tcPr>
          <w:p w:rsidR="0029636F" w:rsidRPr="008758E4" w:rsidRDefault="0029636F" w:rsidP="00DB1BCC">
            <w:pPr>
              <w:spacing w:line="240" w:lineRule="auto"/>
              <w:ind w:firstLine="0"/>
              <w:rPr>
                <w:rFonts w:ascii="Arial" w:eastAsia="Times New Roman" w:hAnsi="Arial" w:cs="Arial"/>
                <w:color w:val="000000"/>
                <w:sz w:val="18"/>
                <w:szCs w:val="18"/>
                <w:lang w:eastAsia="en-AU"/>
              </w:rPr>
            </w:pPr>
            <w:proofErr w:type="spellStart"/>
            <w:r w:rsidRPr="008758E4">
              <w:rPr>
                <w:rFonts w:ascii="Arial" w:eastAsia="Times New Roman" w:hAnsi="Arial" w:cs="Arial"/>
                <w:color w:val="000000"/>
                <w:sz w:val="18"/>
                <w:szCs w:val="18"/>
                <w:lang w:eastAsia="en-AU"/>
              </w:rPr>
              <w:t>EquityRaise</w:t>
            </w:r>
            <w:proofErr w:type="spellEnd"/>
          </w:p>
        </w:tc>
        <w:tc>
          <w:tcPr>
            <w:tcW w:w="1309" w:type="dxa"/>
            <w:tcBorders>
              <w:left w:val="single" w:sz="4" w:space="0" w:color="auto"/>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8758E4">
              <w:rPr>
                <w:rFonts w:ascii="Calibri" w:eastAsia="Times New Roman" w:hAnsi="Calibri" w:cs="Calibri"/>
                <w:color w:val="000000"/>
                <w:sz w:val="22"/>
                <w:lang w:eastAsia="en-AU"/>
              </w:rPr>
              <w:t>-</w:t>
            </w:r>
          </w:p>
        </w:tc>
        <w:tc>
          <w:tcPr>
            <w:tcW w:w="960" w:type="dxa"/>
            <w:tcBorders>
              <w:lef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-.007</w:t>
            </w:r>
          </w:p>
        </w:tc>
        <w:tc>
          <w:tcPr>
            <w:tcW w:w="960" w:type="dxa"/>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-.510</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.610</w:t>
            </w:r>
          </w:p>
        </w:tc>
        <w:tc>
          <w:tcPr>
            <w:tcW w:w="1009" w:type="dxa"/>
            <w:tcBorders>
              <w:lef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.061</w:t>
            </w:r>
          </w:p>
        </w:tc>
        <w:tc>
          <w:tcPr>
            <w:tcW w:w="911" w:type="dxa"/>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AU"/>
              </w:rPr>
            </w:pPr>
            <w:r w:rsidRPr="008758E4">
              <w:rPr>
                <w:rFonts w:ascii="Arial" w:eastAsia="Times New Roman" w:hAnsi="Arial" w:cs="Arial"/>
                <w:b/>
                <w:bCs/>
                <w:color w:val="000000"/>
                <w:sz w:val="18"/>
                <w:szCs w:val="18"/>
                <w:lang w:eastAsia="en-AU"/>
              </w:rPr>
              <w:t>2.444**</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AU"/>
              </w:rPr>
            </w:pPr>
            <w:r w:rsidRPr="008758E4">
              <w:rPr>
                <w:rFonts w:ascii="Arial" w:eastAsia="Times New Roman" w:hAnsi="Arial" w:cs="Arial"/>
                <w:b/>
                <w:bCs/>
                <w:color w:val="000000"/>
                <w:sz w:val="18"/>
                <w:szCs w:val="18"/>
                <w:lang w:eastAsia="en-AU"/>
              </w:rPr>
              <w:t>.015</w:t>
            </w:r>
          </w:p>
        </w:tc>
        <w:tc>
          <w:tcPr>
            <w:tcW w:w="842" w:type="dxa"/>
            <w:tcBorders>
              <w:lef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.063</w:t>
            </w:r>
          </w:p>
        </w:tc>
        <w:tc>
          <w:tcPr>
            <w:tcW w:w="1078" w:type="dxa"/>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AU"/>
              </w:rPr>
            </w:pPr>
            <w:r w:rsidRPr="008758E4">
              <w:rPr>
                <w:rFonts w:ascii="Arial" w:eastAsia="Times New Roman" w:hAnsi="Arial" w:cs="Arial"/>
                <w:b/>
                <w:bCs/>
                <w:color w:val="000000"/>
                <w:sz w:val="18"/>
                <w:szCs w:val="18"/>
                <w:lang w:eastAsia="en-AU"/>
              </w:rPr>
              <w:t>1.759*</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8"/>
                <w:szCs w:val="18"/>
                <w:lang w:eastAsia="en-AU"/>
              </w:rPr>
            </w:pPr>
            <w:r w:rsidRPr="008758E4">
              <w:rPr>
                <w:rFonts w:ascii="Arial" w:eastAsia="Times New Roman" w:hAnsi="Arial" w:cs="Arial"/>
                <w:b/>
                <w:bCs/>
                <w:color w:val="000000"/>
                <w:sz w:val="18"/>
                <w:szCs w:val="18"/>
                <w:lang w:eastAsia="en-AU"/>
              </w:rPr>
              <w:t>.079</w:t>
            </w:r>
          </w:p>
        </w:tc>
      </w:tr>
      <w:tr w:rsidR="0029636F" w:rsidRPr="008758E4" w:rsidTr="00DB1BCC">
        <w:trPr>
          <w:trHeight w:val="300"/>
        </w:trPr>
        <w:tc>
          <w:tcPr>
            <w:cnfStyle w:val="001000000000" w:firstRow="0" w:lastRow="0" w:firstColumn="1" w:lastColumn="0" w:oddVBand="0" w:evenVBand="0" w:oddHBand="0" w:evenHBand="0" w:firstRowFirstColumn="0" w:firstRowLastColumn="0" w:lastRowFirstColumn="0" w:lastRowLastColumn="0"/>
            <w:tcW w:w="1300" w:type="dxa"/>
            <w:tcBorders>
              <w:left w:val="single" w:sz="4" w:space="0" w:color="auto"/>
              <w:right w:val="single" w:sz="4" w:space="0" w:color="auto"/>
            </w:tcBorders>
            <w:shd w:val="clear" w:color="auto" w:fill="auto"/>
            <w:hideMark/>
          </w:tcPr>
          <w:p w:rsidR="0029636F" w:rsidRPr="008758E4" w:rsidRDefault="0029636F" w:rsidP="00DB1BCC">
            <w:pPr>
              <w:spacing w:line="240" w:lineRule="auto"/>
              <w:ind w:firstLine="0"/>
              <w:rPr>
                <w:rFonts w:ascii="Arial" w:eastAsia="Times New Roman" w:hAnsi="Arial" w:cs="Arial"/>
                <w:color w:val="000000"/>
                <w:sz w:val="18"/>
                <w:szCs w:val="18"/>
                <w:lang w:eastAsia="en-AU"/>
              </w:rPr>
            </w:pPr>
            <w:proofErr w:type="spellStart"/>
            <w:r w:rsidRPr="008758E4">
              <w:rPr>
                <w:rFonts w:ascii="Arial" w:eastAsia="Times New Roman" w:hAnsi="Arial" w:cs="Arial"/>
                <w:color w:val="000000"/>
                <w:sz w:val="18"/>
                <w:szCs w:val="18"/>
                <w:lang w:eastAsia="en-AU"/>
              </w:rPr>
              <w:t>LnMCAP</w:t>
            </w:r>
            <w:proofErr w:type="spellEnd"/>
          </w:p>
        </w:tc>
        <w:tc>
          <w:tcPr>
            <w:tcW w:w="1309" w:type="dxa"/>
            <w:tcBorders>
              <w:left w:val="single" w:sz="4" w:space="0" w:color="auto"/>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8758E4">
              <w:rPr>
                <w:rFonts w:ascii="Calibri" w:eastAsia="Times New Roman" w:hAnsi="Calibri" w:cs="Calibri"/>
                <w:color w:val="000000"/>
                <w:sz w:val="22"/>
                <w:lang w:eastAsia="en-AU"/>
              </w:rPr>
              <w:t>-</w:t>
            </w:r>
          </w:p>
        </w:tc>
        <w:tc>
          <w:tcPr>
            <w:tcW w:w="960" w:type="dxa"/>
            <w:tcBorders>
              <w:lef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.001</w:t>
            </w:r>
          </w:p>
        </w:tc>
        <w:tc>
          <w:tcPr>
            <w:tcW w:w="960" w:type="dxa"/>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.314</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.754</w:t>
            </w:r>
          </w:p>
        </w:tc>
        <w:tc>
          <w:tcPr>
            <w:tcW w:w="1009" w:type="dxa"/>
            <w:tcBorders>
              <w:lef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-.001</w:t>
            </w:r>
          </w:p>
        </w:tc>
        <w:tc>
          <w:tcPr>
            <w:tcW w:w="911" w:type="dxa"/>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-.153</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.879</w:t>
            </w:r>
          </w:p>
        </w:tc>
        <w:tc>
          <w:tcPr>
            <w:tcW w:w="842" w:type="dxa"/>
            <w:tcBorders>
              <w:lef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.000</w:t>
            </w:r>
          </w:p>
        </w:tc>
        <w:tc>
          <w:tcPr>
            <w:tcW w:w="1078" w:type="dxa"/>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.047</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.963</w:t>
            </w:r>
          </w:p>
        </w:tc>
      </w:tr>
      <w:tr w:rsidR="0029636F" w:rsidRPr="008758E4"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left w:val="single" w:sz="4" w:space="0" w:color="auto"/>
              <w:right w:val="single" w:sz="4" w:space="0" w:color="auto"/>
            </w:tcBorders>
            <w:shd w:val="clear" w:color="auto" w:fill="auto"/>
            <w:hideMark/>
          </w:tcPr>
          <w:p w:rsidR="0029636F" w:rsidRPr="008758E4" w:rsidRDefault="0029636F" w:rsidP="00DB1BCC">
            <w:pPr>
              <w:spacing w:line="240" w:lineRule="auto"/>
              <w:ind w:firstLine="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Loss</w:t>
            </w:r>
          </w:p>
        </w:tc>
        <w:tc>
          <w:tcPr>
            <w:tcW w:w="1309" w:type="dxa"/>
            <w:tcBorders>
              <w:left w:val="single" w:sz="4" w:space="0" w:color="auto"/>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8758E4">
              <w:rPr>
                <w:rFonts w:ascii="Calibri" w:eastAsia="Times New Roman" w:hAnsi="Calibri" w:cs="Calibri"/>
                <w:color w:val="000000"/>
                <w:sz w:val="22"/>
                <w:lang w:eastAsia="en-AU"/>
              </w:rPr>
              <w:t>+</w:t>
            </w:r>
          </w:p>
        </w:tc>
        <w:tc>
          <w:tcPr>
            <w:tcW w:w="960" w:type="dxa"/>
            <w:tcBorders>
              <w:lef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.001</w:t>
            </w:r>
          </w:p>
        </w:tc>
        <w:tc>
          <w:tcPr>
            <w:tcW w:w="960" w:type="dxa"/>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.148</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.882</w:t>
            </w:r>
          </w:p>
        </w:tc>
        <w:tc>
          <w:tcPr>
            <w:tcW w:w="1009" w:type="dxa"/>
            <w:tcBorders>
              <w:lef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.022</w:t>
            </w:r>
          </w:p>
        </w:tc>
        <w:tc>
          <w:tcPr>
            <w:tcW w:w="911" w:type="dxa"/>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1.313</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.190</w:t>
            </w:r>
          </w:p>
        </w:tc>
        <w:tc>
          <w:tcPr>
            <w:tcW w:w="842" w:type="dxa"/>
            <w:tcBorders>
              <w:lef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.028</w:t>
            </w:r>
          </w:p>
        </w:tc>
        <w:tc>
          <w:tcPr>
            <w:tcW w:w="1078" w:type="dxa"/>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1.211</w:t>
            </w:r>
          </w:p>
        </w:tc>
        <w:tc>
          <w:tcPr>
            <w:tcW w:w="1050" w:type="dxa"/>
            <w:tcBorders>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.227</w:t>
            </w:r>
          </w:p>
        </w:tc>
      </w:tr>
      <w:tr w:rsidR="0029636F" w:rsidRPr="008758E4" w:rsidTr="00DB1BCC">
        <w:trPr>
          <w:trHeight w:val="315"/>
        </w:trPr>
        <w:tc>
          <w:tcPr>
            <w:cnfStyle w:val="001000000000" w:firstRow="0" w:lastRow="0" w:firstColumn="1" w:lastColumn="0" w:oddVBand="0" w:evenVBand="0" w:oddHBand="0" w:evenHBand="0" w:firstRowFirstColumn="0" w:firstRowLastColumn="0" w:lastRowFirstColumn="0" w:lastRowLastColumn="0"/>
            <w:tcW w:w="1300" w:type="dxa"/>
            <w:tcBorders>
              <w:left w:val="single" w:sz="4" w:space="0" w:color="auto"/>
              <w:bottom w:val="single" w:sz="4" w:space="0" w:color="auto"/>
              <w:right w:val="single" w:sz="4" w:space="0" w:color="auto"/>
            </w:tcBorders>
            <w:shd w:val="clear" w:color="auto" w:fill="auto"/>
            <w:hideMark/>
          </w:tcPr>
          <w:p w:rsidR="0029636F" w:rsidRPr="008758E4" w:rsidRDefault="0029636F" w:rsidP="00DB1BCC">
            <w:pPr>
              <w:spacing w:line="240" w:lineRule="auto"/>
              <w:ind w:firstLine="0"/>
              <w:rPr>
                <w:rFonts w:ascii="Arial" w:eastAsia="Times New Roman" w:hAnsi="Arial" w:cs="Arial"/>
                <w:color w:val="000000"/>
                <w:sz w:val="18"/>
                <w:szCs w:val="18"/>
                <w:lang w:eastAsia="en-AU"/>
              </w:rPr>
            </w:pPr>
            <w:proofErr w:type="spellStart"/>
            <w:r w:rsidRPr="008758E4">
              <w:rPr>
                <w:rFonts w:ascii="Arial" w:eastAsia="Times New Roman" w:hAnsi="Arial" w:cs="Arial"/>
                <w:color w:val="000000"/>
                <w:sz w:val="18"/>
                <w:szCs w:val="18"/>
                <w:lang w:eastAsia="en-AU"/>
              </w:rPr>
              <w:t>NumAnalyst</w:t>
            </w:r>
            <w:proofErr w:type="spellEnd"/>
          </w:p>
        </w:tc>
        <w:tc>
          <w:tcPr>
            <w:tcW w:w="1309" w:type="dxa"/>
            <w:tcBorders>
              <w:left w:val="single" w:sz="4" w:space="0" w:color="auto"/>
              <w:bottom w:val="single" w:sz="4" w:space="0" w:color="auto"/>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8758E4">
              <w:rPr>
                <w:rFonts w:ascii="Calibri" w:eastAsia="Times New Roman" w:hAnsi="Calibri" w:cs="Calibri"/>
                <w:color w:val="000000"/>
                <w:sz w:val="22"/>
                <w:lang w:eastAsia="en-AU"/>
              </w:rPr>
              <w:t>-</w:t>
            </w:r>
          </w:p>
        </w:tc>
        <w:tc>
          <w:tcPr>
            <w:tcW w:w="960" w:type="dxa"/>
            <w:tcBorders>
              <w:left w:val="single" w:sz="4" w:space="0" w:color="auto"/>
              <w:bottom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-.001</w:t>
            </w:r>
          </w:p>
        </w:tc>
        <w:tc>
          <w:tcPr>
            <w:tcW w:w="960" w:type="dxa"/>
            <w:tcBorders>
              <w:bottom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-.383</w:t>
            </w:r>
          </w:p>
        </w:tc>
        <w:tc>
          <w:tcPr>
            <w:tcW w:w="1050" w:type="dxa"/>
            <w:tcBorders>
              <w:bottom w:val="single" w:sz="4" w:space="0" w:color="auto"/>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.702</w:t>
            </w:r>
          </w:p>
        </w:tc>
        <w:tc>
          <w:tcPr>
            <w:tcW w:w="1009" w:type="dxa"/>
            <w:tcBorders>
              <w:left w:val="single" w:sz="4" w:space="0" w:color="auto"/>
              <w:bottom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-.005</w:t>
            </w:r>
          </w:p>
        </w:tc>
        <w:tc>
          <w:tcPr>
            <w:tcW w:w="911" w:type="dxa"/>
            <w:tcBorders>
              <w:bottom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n-AU"/>
              </w:rPr>
            </w:pPr>
            <w:r w:rsidRPr="008758E4">
              <w:rPr>
                <w:rFonts w:ascii="Arial" w:eastAsia="Times New Roman" w:hAnsi="Arial" w:cs="Arial"/>
                <w:b/>
                <w:bCs/>
                <w:color w:val="000000"/>
                <w:sz w:val="18"/>
                <w:szCs w:val="18"/>
                <w:lang w:eastAsia="en-AU"/>
              </w:rPr>
              <w:t>-2.026**</w:t>
            </w:r>
          </w:p>
        </w:tc>
        <w:tc>
          <w:tcPr>
            <w:tcW w:w="1050" w:type="dxa"/>
            <w:tcBorders>
              <w:bottom w:val="single" w:sz="4" w:space="0" w:color="auto"/>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n-AU"/>
              </w:rPr>
            </w:pPr>
            <w:r w:rsidRPr="008758E4">
              <w:rPr>
                <w:rFonts w:ascii="Arial" w:eastAsia="Times New Roman" w:hAnsi="Arial" w:cs="Arial"/>
                <w:b/>
                <w:bCs/>
                <w:color w:val="000000"/>
                <w:sz w:val="18"/>
                <w:szCs w:val="18"/>
                <w:lang w:eastAsia="en-AU"/>
              </w:rPr>
              <w:t>.043</w:t>
            </w:r>
          </w:p>
        </w:tc>
        <w:tc>
          <w:tcPr>
            <w:tcW w:w="842" w:type="dxa"/>
            <w:tcBorders>
              <w:left w:val="single" w:sz="4" w:space="0" w:color="auto"/>
              <w:bottom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-.009</w:t>
            </w:r>
          </w:p>
        </w:tc>
        <w:tc>
          <w:tcPr>
            <w:tcW w:w="1078" w:type="dxa"/>
            <w:tcBorders>
              <w:bottom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n-AU"/>
              </w:rPr>
            </w:pPr>
            <w:r w:rsidRPr="008758E4">
              <w:rPr>
                <w:rFonts w:ascii="Arial" w:eastAsia="Times New Roman" w:hAnsi="Arial" w:cs="Arial"/>
                <w:b/>
                <w:bCs/>
                <w:color w:val="000000"/>
                <w:sz w:val="18"/>
                <w:szCs w:val="18"/>
                <w:lang w:eastAsia="en-AU"/>
              </w:rPr>
              <w:t>-2.303**</w:t>
            </w:r>
          </w:p>
        </w:tc>
        <w:tc>
          <w:tcPr>
            <w:tcW w:w="1050" w:type="dxa"/>
            <w:tcBorders>
              <w:bottom w:val="single" w:sz="4" w:space="0" w:color="auto"/>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8"/>
                <w:szCs w:val="18"/>
                <w:lang w:eastAsia="en-AU"/>
              </w:rPr>
            </w:pPr>
            <w:r w:rsidRPr="008758E4">
              <w:rPr>
                <w:rFonts w:ascii="Arial" w:eastAsia="Times New Roman" w:hAnsi="Arial" w:cs="Arial"/>
                <w:b/>
                <w:bCs/>
                <w:color w:val="000000"/>
                <w:sz w:val="18"/>
                <w:szCs w:val="18"/>
                <w:lang w:eastAsia="en-AU"/>
              </w:rPr>
              <w:t>.022</w:t>
            </w:r>
          </w:p>
        </w:tc>
      </w:tr>
      <w:tr w:rsidR="0029636F" w:rsidRPr="008758E4" w:rsidTr="00DB1BC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00" w:type="dxa"/>
            <w:tcBorders>
              <w:top w:val="single" w:sz="4" w:space="0" w:color="auto"/>
              <w:left w:val="single" w:sz="4" w:space="0" w:color="auto"/>
              <w:bottom w:val="nil"/>
            </w:tcBorders>
            <w:shd w:val="clear" w:color="auto" w:fill="auto"/>
            <w:hideMark/>
          </w:tcPr>
          <w:p w:rsidR="0029636F" w:rsidRPr="008758E4" w:rsidRDefault="0029636F" w:rsidP="00DB1BCC">
            <w:pPr>
              <w:spacing w:line="240" w:lineRule="auto"/>
              <w:ind w:firstLine="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F-stat</w:t>
            </w:r>
          </w:p>
        </w:tc>
        <w:tc>
          <w:tcPr>
            <w:tcW w:w="1309" w:type="dxa"/>
            <w:tcBorders>
              <w:top w:val="single" w:sz="4" w:space="0" w:color="auto"/>
              <w:bottom w:val="nil"/>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p>
        </w:tc>
        <w:tc>
          <w:tcPr>
            <w:tcW w:w="960" w:type="dxa"/>
            <w:tcBorders>
              <w:top w:val="single" w:sz="4" w:space="0" w:color="auto"/>
              <w:left w:val="single" w:sz="4" w:space="0" w:color="auto"/>
              <w:bottom w:val="nil"/>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8758E4">
              <w:rPr>
                <w:rFonts w:ascii="Calibri" w:eastAsia="Times New Roman" w:hAnsi="Calibri" w:cs="Calibri"/>
                <w:color w:val="000000"/>
                <w:sz w:val="22"/>
                <w:lang w:eastAsia="en-AU"/>
              </w:rPr>
              <w:t>4.203</w:t>
            </w:r>
          </w:p>
        </w:tc>
        <w:tc>
          <w:tcPr>
            <w:tcW w:w="960" w:type="dxa"/>
            <w:tcBorders>
              <w:top w:val="single" w:sz="4" w:space="0" w:color="auto"/>
              <w:bottom w:val="nil"/>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p>
        </w:tc>
        <w:tc>
          <w:tcPr>
            <w:tcW w:w="1050" w:type="dxa"/>
            <w:tcBorders>
              <w:top w:val="single" w:sz="4" w:space="0" w:color="auto"/>
              <w:bottom w:val="nil"/>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AU"/>
              </w:rPr>
            </w:pPr>
            <w:r w:rsidRPr="008758E4">
              <w:rPr>
                <w:rFonts w:ascii="Calibri" w:eastAsia="Times New Roman" w:hAnsi="Calibri" w:cs="Calibri"/>
                <w:b/>
                <w:bCs/>
                <w:color w:val="000000"/>
                <w:sz w:val="22"/>
                <w:lang w:eastAsia="en-AU"/>
              </w:rPr>
              <w:t>0.000***</w:t>
            </w:r>
          </w:p>
        </w:tc>
        <w:tc>
          <w:tcPr>
            <w:tcW w:w="1009" w:type="dxa"/>
            <w:tcBorders>
              <w:top w:val="single" w:sz="4" w:space="0" w:color="auto"/>
              <w:left w:val="single" w:sz="4" w:space="0" w:color="auto"/>
              <w:bottom w:val="nil"/>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8758E4">
              <w:rPr>
                <w:rFonts w:ascii="Calibri" w:eastAsia="Times New Roman" w:hAnsi="Calibri" w:cs="Calibri"/>
                <w:color w:val="000000"/>
                <w:sz w:val="22"/>
                <w:lang w:eastAsia="en-AU"/>
              </w:rPr>
              <w:t>3.198</w:t>
            </w:r>
          </w:p>
        </w:tc>
        <w:tc>
          <w:tcPr>
            <w:tcW w:w="911" w:type="dxa"/>
            <w:tcBorders>
              <w:top w:val="single" w:sz="4" w:space="0" w:color="auto"/>
              <w:bottom w:val="nil"/>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p>
        </w:tc>
        <w:tc>
          <w:tcPr>
            <w:tcW w:w="1050" w:type="dxa"/>
            <w:tcBorders>
              <w:top w:val="single" w:sz="4" w:space="0" w:color="auto"/>
              <w:bottom w:val="nil"/>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AU"/>
              </w:rPr>
            </w:pPr>
            <w:r w:rsidRPr="008758E4">
              <w:rPr>
                <w:rFonts w:ascii="Calibri" w:eastAsia="Times New Roman" w:hAnsi="Calibri" w:cs="Calibri"/>
                <w:b/>
                <w:bCs/>
                <w:color w:val="000000"/>
                <w:sz w:val="22"/>
                <w:lang w:eastAsia="en-AU"/>
              </w:rPr>
              <w:t>0.001***</w:t>
            </w:r>
          </w:p>
        </w:tc>
        <w:tc>
          <w:tcPr>
            <w:tcW w:w="842" w:type="dxa"/>
            <w:tcBorders>
              <w:top w:val="single" w:sz="4" w:space="0" w:color="auto"/>
              <w:left w:val="single" w:sz="4" w:space="0" w:color="auto"/>
              <w:bottom w:val="nil"/>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8758E4">
              <w:rPr>
                <w:rFonts w:ascii="Calibri" w:eastAsia="Times New Roman" w:hAnsi="Calibri" w:cs="Calibri"/>
                <w:color w:val="000000"/>
                <w:sz w:val="22"/>
                <w:lang w:eastAsia="en-AU"/>
              </w:rPr>
              <w:t>2.544</w:t>
            </w:r>
          </w:p>
        </w:tc>
        <w:tc>
          <w:tcPr>
            <w:tcW w:w="1078" w:type="dxa"/>
            <w:tcBorders>
              <w:top w:val="single" w:sz="4" w:space="0" w:color="auto"/>
              <w:bottom w:val="nil"/>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p>
        </w:tc>
        <w:tc>
          <w:tcPr>
            <w:tcW w:w="1050" w:type="dxa"/>
            <w:tcBorders>
              <w:top w:val="single" w:sz="4" w:space="0" w:color="auto"/>
              <w:bottom w:val="nil"/>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lang w:eastAsia="en-AU"/>
              </w:rPr>
            </w:pPr>
            <w:r w:rsidRPr="008758E4">
              <w:rPr>
                <w:rFonts w:ascii="Calibri" w:eastAsia="Times New Roman" w:hAnsi="Calibri" w:cs="Calibri"/>
                <w:b/>
                <w:bCs/>
                <w:color w:val="000000"/>
                <w:sz w:val="22"/>
                <w:lang w:eastAsia="en-AU"/>
              </w:rPr>
              <w:t>0.006***</w:t>
            </w:r>
          </w:p>
        </w:tc>
      </w:tr>
      <w:tr w:rsidR="0029636F" w:rsidRPr="008758E4" w:rsidTr="00DB1BCC">
        <w:trPr>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left w:val="single" w:sz="4" w:space="0" w:color="auto"/>
              <w:bottom w:val="nil"/>
            </w:tcBorders>
            <w:shd w:val="clear" w:color="auto" w:fill="auto"/>
            <w:hideMark/>
          </w:tcPr>
          <w:p w:rsidR="0029636F" w:rsidRPr="008758E4" w:rsidRDefault="0029636F" w:rsidP="00DB1BCC">
            <w:pPr>
              <w:spacing w:line="240" w:lineRule="auto"/>
              <w:ind w:firstLine="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Adjusted R2</w:t>
            </w:r>
          </w:p>
        </w:tc>
        <w:tc>
          <w:tcPr>
            <w:tcW w:w="1309" w:type="dxa"/>
            <w:tcBorders>
              <w:top w:val="nil"/>
              <w:bottom w:val="nil"/>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p>
        </w:tc>
        <w:tc>
          <w:tcPr>
            <w:tcW w:w="960" w:type="dxa"/>
            <w:tcBorders>
              <w:top w:val="nil"/>
              <w:left w:val="single" w:sz="4" w:space="0" w:color="auto"/>
              <w:bottom w:val="nil"/>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8758E4">
              <w:rPr>
                <w:rFonts w:ascii="Calibri" w:eastAsia="Times New Roman" w:hAnsi="Calibri" w:cs="Calibri"/>
                <w:color w:val="000000"/>
                <w:sz w:val="22"/>
                <w:lang w:eastAsia="en-AU"/>
              </w:rPr>
              <w:t>.079</w:t>
            </w:r>
          </w:p>
        </w:tc>
        <w:tc>
          <w:tcPr>
            <w:tcW w:w="960" w:type="dxa"/>
            <w:tcBorders>
              <w:top w:val="nil"/>
              <w:bottom w:val="nil"/>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p>
        </w:tc>
        <w:tc>
          <w:tcPr>
            <w:tcW w:w="1050" w:type="dxa"/>
            <w:tcBorders>
              <w:top w:val="nil"/>
              <w:bottom w:val="nil"/>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p>
        </w:tc>
        <w:tc>
          <w:tcPr>
            <w:tcW w:w="1009" w:type="dxa"/>
            <w:tcBorders>
              <w:top w:val="nil"/>
              <w:left w:val="single" w:sz="4" w:space="0" w:color="auto"/>
              <w:bottom w:val="nil"/>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8758E4">
              <w:rPr>
                <w:rFonts w:ascii="Calibri" w:eastAsia="Times New Roman" w:hAnsi="Calibri" w:cs="Calibri"/>
                <w:color w:val="000000"/>
                <w:sz w:val="22"/>
                <w:lang w:eastAsia="en-AU"/>
              </w:rPr>
              <w:t>.056</w:t>
            </w:r>
          </w:p>
        </w:tc>
        <w:tc>
          <w:tcPr>
            <w:tcW w:w="911" w:type="dxa"/>
            <w:tcBorders>
              <w:top w:val="nil"/>
              <w:bottom w:val="nil"/>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p>
        </w:tc>
        <w:tc>
          <w:tcPr>
            <w:tcW w:w="1050" w:type="dxa"/>
            <w:tcBorders>
              <w:top w:val="nil"/>
              <w:bottom w:val="nil"/>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p>
        </w:tc>
        <w:tc>
          <w:tcPr>
            <w:tcW w:w="842" w:type="dxa"/>
            <w:tcBorders>
              <w:top w:val="nil"/>
              <w:left w:val="single" w:sz="4" w:space="0" w:color="auto"/>
              <w:bottom w:val="nil"/>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8758E4">
              <w:rPr>
                <w:rFonts w:ascii="Calibri" w:eastAsia="Times New Roman" w:hAnsi="Calibri" w:cs="Calibri"/>
                <w:color w:val="000000"/>
                <w:sz w:val="22"/>
                <w:lang w:eastAsia="en-AU"/>
              </w:rPr>
              <w:t>.040</w:t>
            </w:r>
          </w:p>
        </w:tc>
        <w:tc>
          <w:tcPr>
            <w:tcW w:w="1078" w:type="dxa"/>
            <w:tcBorders>
              <w:top w:val="nil"/>
              <w:bottom w:val="nil"/>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p>
        </w:tc>
        <w:tc>
          <w:tcPr>
            <w:tcW w:w="1050" w:type="dxa"/>
            <w:tcBorders>
              <w:top w:val="nil"/>
              <w:bottom w:val="nil"/>
              <w:right w:val="single" w:sz="4" w:space="0" w:color="auto"/>
            </w:tcBorders>
            <w:shd w:val="clear" w:color="auto" w:fill="auto"/>
            <w:noWrap/>
            <w:hideMark/>
          </w:tcPr>
          <w:p w:rsidR="0029636F" w:rsidRPr="008758E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p>
        </w:tc>
      </w:tr>
      <w:tr w:rsidR="0029636F" w:rsidRPr="008758E4"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0" w:type="dxa"/>
            <w:tcBorders>
              <w:top w:val="nil"/>
              <w:left w:val="single" w:sz="4" w:space="0" w:color="auto"/>
              <w:bottom w:val="single" w:sz="4" w:space="0" w:color="auto"/>
            </w:tcBorders>
            <w:shd w:val="clear" w:color="auto" w:fill="auto"/>
            <w:hideMark/>
          </w:tcPr>
          <w:p w:rsidR="0029636F" w:rsidRPr="008758E4" w:rsidRDefault="0029636F" w:rsidP="00DB1BCC">
            <w:pPr>
              <w:spacing w:line="240" w:lineRule="auto"/>
              <w:ind w:firstLine="0"/>
              <w:rPr>
                <w:rFonts w:ascii="Arial" w:eastAsia="Times New Roman" w:hAnsi="Arial" w:cs="Arial"/>
                <w:color w:val="000000"/>
                <w:sz w:val="18"/>
                <w:szCs w:val="18"/>
                <w:lang w:eastAsia="en-AU"/>
              </w:rPr>
            </w:pPr>
            <w:r w:rsidRPr="008758E4">
              <w:rPr>
                <w:rFonts w:ascii="Arial" w:eastAsia="Times New Roman" w:hAnsi="Arial" w:cs="Arial"/>
                <w:color w:val="000000"/>
                <w:sz w:val="18"/>
                <w:szCs w:val="18"/>
                <w:lang w:eastAsia="en-AU"/>
              </w:rPr>
              <w:t>N</w:t>
            </w:r>
          </w:p>
        </w:tc>
        <w:tc>
          <w:tcPr>
            <w:tcW w:w="1309" w:type="dxa"/>
            <w:tcBorders>
              <w:top w:val="nil"/>
              <w:bottom w:val="single" w:sz="4" w:space="0" w:color="auto"/>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p>
        </w:tc>
        <w:tc>
          <w:tcPr>
            <w:tcW w:w="960" w:type="dxa"/>
            <w:tcBorders>
              <w:top w:val="nil"/>
              <w:left w:val="single" w:sz="4" w:space="0" w:color="auto"/>
              <w:bottom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8758E4">
              <w:rPr>
                <w:rFonts w:ascii="Calibri" w:eastAsia="Times New Roman" w:hAnsi="Calibri" w:cs="Calibri"/>
                <w:color w:val="000000"/>
                <w:sz w:val="22"/>
                <w:lang w:eastAsia="en-AU"/>
              </w:rPr>
              <w:t>374</w:t>
            </w:r>
          </w:p>
        </w:tc>
        <w:tc>
          <w:tcPr>
            <w:tcW w:w="960" w:type="dxa"/>
            <w:tcBorders>
              <w:top w:val="nil"/>
              <w:bottom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p>
        </w:tc>
        <w:tc>
          <w:tcPr>
            <w:tcW w:w="1050" w:type="dxa"/>
            <w:tcBorders>
              <w:top w:val="nil"/>
              <w:bottom w:val="single" w:sz="4" w:space="0" w:color="auto"/>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p>
        </w:tc>
        <w:tc>
          <w:tcPr>
            <w:tcW w:w="1009" w:type="dxa"/>
            <w:tcBorders>
              <w:top w:val="nil"/>
              <w:left w:val="single" w:sz="4" w:space="0" w:color="auto"/>
              <w:bottom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8758E4">
              <w:rPr>
                <w:rFonts w:ascii="Calibri" w:eastAsia="Times New Roman" w:hAnsi="Calibri" w:cs="Calibri"/>
                <w:color w:val="000000"/>
                <w:sz w:val="22"/>
                <w:lang w:eastAsia="en-AU"/>
              </w:rPr>
              <w:t>374.000</w:t>
            </w:r>
          </w:p>
        </w:tc>
        <w:tc>
          <w:tcPr>
            <w:tcW w:w="911" w:type="dxa"/>
            <w:tcBorders>
              <w:top w:val="nil"/>
              <w:bottom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p>
        </w:tc>
        <w:tc>
          <w:tcPr>
            <w:tcW w:w="1050" w:type="dxa"/>
            <w:tcBorders>
              <w:top w:val="nil"/>
              <w:bottom w:val="single" w:sz="4" w:space="0" w:color="auto"/>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p>
        </w:tc>
        <w:tc>
          <w:tcPr>
            <w:tcW w:w="842" w:type="dxa"/>
            <w:tcBorders>
              <w:top w:val="nil"/>
              <w:left w:val="single" w:sz="4" w:space="0" w:color="auto"/>
              <w:bottom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8758E4">
              <w:rPr>
                <w:rFonts w:ascii="Calibri" w:eastAsia="Times New Roman" w:hAnsi="Calibri" w:cs="Calibri"/>
                <w:color w:val="000000"/>
                <w:sz w:val="22"/>
                <w:lang w:eastAsia="en-AU"/>
              </w:rPr>
              <w:t>374</w:t>
            </w:r>
          </w:p>
        </w:tc>
        <w:tc>
          <w:tcPr>
            <w:tcW w:w="1078" w:type="dxa"/>
            <w:tcBorders>
              <w:top w:val="nil"/>
              <w:bottom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p>
        </w:tc>
        <w:tc>
          <w:tcPr>
            <w:tcW w:w="1050" w:type="dxa"/>
            <w:tcBorders>
              <w:top w:val="nil"/>
              <w:bottom w:val="single" w:sz="4" w:space="0" w:color="auto"/>
              <w:right w:val="single" w:sz="4" w:space="0" w:color="auto"/>
            </w:tcBorders>
            <w:shd w:val="clear" w:color="auto" w:fill="auto"/>
            <w:noWrap/>
            <w:hideMark/>
          </w:tcPr>
          <w:p w:rsidR="0029636F" w:rsidRPr="008758E4"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p>
        </w:tc>
      </w:tr>
    </w:tbl>
    <w:p w:rsidR="0029636F" w:rsidRDefault="0029636F" w:rsidP="0029636F">
      <w:pPr>
        <w:pStyle w:val="TableDesc"/>
      </w:pPr>
      <w:r>
        <w:fldChar w:fldCharType="begin"/>
      </w:r>
      <w:r>
        <w:instrText xml:space="preserve"> REF _Ref379398544 \h </w:instrText>
      </w:r>
      <w:r>
        <w:fldChar w:fldCharType="separate"/>
      </w:r>
      <w:r w:rsidR="0089071A">
        <w:t xml:space="preserve">Table </w:t>
      </w:r>
      <w:r>
        <w:fldChar w:fldCharType="end"/>
      </w:r>
      <w:r>
        <w:t xml:space="preserve"> </w:t>
      </w:r>
      <w:r w:rsidRPr="00F521A0">
        <w:t xml:space="preserve">presents Ordinary Least Squares regressions on the determinants of the </w:t>
      </w:r>
      <w:r>
        <w:t xml:space="preserve">cumulative average </w:t>
      </w:r>
      <w:r w:rsidRPr="00F521A0">
        <w:t xml:space="preserve">abnormal return around the release of a bank loan announcement. </w:t>
      </w:r>
      <w:r>
        <w:t>Panel A reports r</w:t>
      </w:r>
      <w:r w:rsidRPr="00F521A0">
        <w:t xml:space="preserve">esults </w:t>
      </w:r>
      <w:r>
        <w:t>over</w:t>
      </w:r>
      <w:r w:rsidRPr="00F521A0">
        <w:t xml:space="preserve"> the event windows 0 to 1, </w:t>
      </w:r>
      <w:r>
        <w:t xml:space="preserve">Panel B reports results over the event window </w:t>
      </w:r>
      <w:r w:rsidRPr="00F521A0">
        <w:t>-5 to 5 and</w:t>
      </w:r>
      <w:r>
        <w:t xml:space="preserve"> Panel C reports results over the event window</w:t>
      </w:r>
      <w:r w:rsidRPr="00F521A0">
        <w:t xml:space="preserve"> -10 to 10. </w:t>
      </w:r>
    </w:p>
    <w:p w:rsidR="0029636F" w:rsidRPr="00F521A0" w:rsidRDefault="0029636F" w:rsidP="0029636F">
      <w:pPr>
        <w:pStyle w:val="TableDesc"/>
        <w:rPr>
          <w:rFonts w:cs="Times New Roman"/>
          <w:szCs w:val="24"/>
          <w:lang w:val="en-NZ"/>
        </w:rPr>
        <w:sectPr w:rsidR="0029636F" w:rsidRPr="00F521A0" w:rsidSect="007E2948">
          <w:pgSz w:w="16838" w:h="11906" w:orient="landscape"/>
          <w:pgMar w:top="1440" w:right="1440" w:bottom="1440" w:left="1440" w:header="708" w:footer="708" w:gutter="0"/>
          <w:cols w:space="708"/>
          <w:docGrid w:linePitch="360"/>
        </w:sectPr>
      </w:pPr>
      <w:r w:rsidRPr="00F521A0">
        <w:t>Regression variables are defined as:</w:t>
      </w:r>
      <w:r w:rsidRPr="00107298">
        <w:rPr>
          <w:rFonts w:cs="Times New Roman"/>
          <w:i/>
          <w:szCs w:val="24"/>
          <w:lang w:val="en-NZ"/>
        </w:rPr>
        <w:t xml:space="preserve"> </w:t>
      </w:r>
      <w:r w:rsidRPr="00F521A0">
        <w:rPr>
          <w:rFonts w:cs="Times New Roman"/>
          <w:i/>
          <w:szCs w:val="24"/>
          <w:lang w:val="en-NZ"/>
        </w:rPr>
        <w:t xml:space="preserve">Initial </w:t>
      </w:r>
      <w:r w:rsidRPr="00F521A0">
        <w:rPr>
          <w:rFonts w:cs="Times New Roman"/>
          <w:szCs w:val="24"/>
          <w:lang w:val="en-NZ"/>
        </w:rPr>
        <w:t>represents a binary variable capturing if the loan is an initial loan.</w:t>
      </w:r>
      <w:r>
        <w:rPr>
          <w:rFonts w:cs="Times New Roman"/>
          <w:szCs w:val="24"/>
          <w:lang w:val="en-NZ"/>
        </w:rPr>
        <w:t xml:space="preserve"> </w:t>
      </w:r>
      <w:proofErr w:type="spellStart"/>
      <w:r>
        <w:rPr>
          <w:rFonts w:cs="Times New Roman"/>
          <w:i/>
          <w:szCs w:val="24"/>
          <w:lang w:val="en-NZ"/>
        </w:rPr>
        <w:t>FirstAnn</w:t>
      </w:r>
      <w:proofErr w:type="spellEnd"/>
      <w:r>
        <w:rPr>
          <w:rFonts w:cs="Times New Roman"/>
          <w:szCs w:val="24"/>
          <w:lang w:val="en-NZ"/>
        </w:rPr>
        <w:t xml:space="preserve"> is a binary variable equal to one if the announcement is the first in a sequence of announcements. </w:t>
      </w:r>
      <w:proofErr w:type="spellStart"/>
      <w:r w:rsidRPr="00F521A0">
        <w:rPr>
          <w:rFonts w:cs="Times New Roman"/>
          <w:i/>
          <w:szCs w:val="24"/>
          <w:lang w:val="en-NZ"/>
        </w:rPr>
        <w:t>LnAmount</w:t>
      </w:r>
      <w:proofErr w:type="spellEnd"/>
      <w:r w:rsidRPr="00F521A0">
        <w:rPr>
          <w:rFonts w:cs="Times New Roman"/>
          <w:i/>
          <w:szCs w:val="24"/>
          <w:lang w:val="en-NZ"/>
        </w:rPr>
        <w:t xml:space="preserve"> </w:t>
      </w:r>
      <w:r w:rsidRPr="00F521A0">
        <w:rPr>
          <w:rFonts w:cs="Times New Roman"/>
          <w:szCs w:val="24"/>
          <w:lang w:val="en-NZ"/>
        </w:rPr>
        <w:t>is calculated as the dollar amount of borrowed funds scaled by the borrowing firm’s total assets in the period prior to the loan announcement.</w:t>
      </w:r>
      <w:r w:rsidRPr="00107298">
        <w:rPr>
          <w:rFonts w:cs="Times New Roman"/>
          <w:i/>
          <w:szCs w:val="24"/>
          <w:lang w:val="en-NZ"/>
        </w:rPr>
        <w:t xml:space="preserve"> </w:t>
      </w:r>
      <w:proofErr w:type="gramStart"/>
      <w:r w:rsidRPr="00F521A0">
        <w:rPr>
          <w:rFonts w:cs="Times New Roman"/>
          <w:i/>
          <w:szCs w:val="24"/>
          <w:lang w:val="en-NZ"/>
        </w:rPr>
        <w:t>Lenders</w:t>
      </w:r>
      <w:r w:rsidRPr="00F521A0">
        <w:rPr>
          <w:rFonts w:cs="Times New Roman"/>
          <w:szCs w:val="24"/>
          <w:lang w:val="en-NZ"/>
        </w:rPr>
        <w:t xml:space="preserve"> is</w:t>
      </w:r>
      <w:proofErr w:type="gramEnd"/>
      <w:r w:rsidRPr="00F521A0">
        <w:rPr>
          <w:rFonts w:cs="Times New Roman"/>
          <w:szCs w:val="24"/>
          <w:lang w:val="en-NZ"/>
        </w:rPr>
        <w:t xml:space="preserve"> the number of lenders mentioned in the bank loan announcement.</w:t>
      </w:r>
      <w:r w:rsidRPr="00107298">
        <w:rPr>
          <w:rFonts w:cs="Times New Roman"/>
          <w:i/>
          <w:szCs w:val="24"/>
          <w:lang w:val="en-NZ"/>
        </w:rPr>
        <w:t xml:space="preserve"> </w:t>
      </w:r>
      <w:r w:rsidRPr="00F521A0">
        <w:rPr>
          <w:rFonts w:cs="Times New Roman"/>
          <w:i/>
          <w:szCs w:val="24"/>
          <w:lang w:val="en-NZ"/>
        </w:rPr>
        <w:t>Hedge</w:t>
      </w:r>
      <w:r w:rsidRPr="00F521A0">
        <w:rPr>
          <w:rFonts w:cs="Times New Roman"/>
          <w:szCs w:val="24"/>
          <w:lang w:val="en-NZ"/>
        </w:rPr>
        <w:t xml:space="preserve"> is a binary variable equal to 1 if it is disclosed within the bank loan announcement that the bank requires the borrowing to hedge its commodity or foreign exchange exposure before a loan agreement can be completed.</w:t>
      </w:r>
      <w:r w:rsidRPr="00107298">
        <w:rPr>
          <w:rFonts w:cs="Times New Roman"/>
          <w:i/>
          <w:szCs w:val="24"/>
          <w:lang w:val="en-NZ"/>
        </w:rPr>
        <w:t xml:space="preserve"> </w:t>
      </w:r>
      <w:proofErr w:type="spellStart"/>
      <w:r w:rsidRPr="00F521A0">
        <w:rPr>
          <w:rFonts w:cs="Times New Roman"/>
          <w:i/>
          <w:szCs w:val="24"/>
          <w:lang w:val="en-NZ"/>
        </w:rPr>
        <w:t>BankEquity</w:t>
      </w:r>
      <w:proofErr w:type="spellEnd"/>
      <w:r w:rsidRPr="00F521A0">
        <w:rPr>
          <w:rFonts w:cs="Times New Roman"/>
          <w:szCs w:val="24"/>
          <w:lang w:val="en-NZ"/>
        </w:rPr>
        <w:t xml:space="preserve"> is a binary variable equal to 1 if it is disclosed within the bank loan announcement that the bank owns shares, warrants or options of the borrowing firm.</w:t>
      </w:r>
      <w:r>
        <w:rPr>
          <w:rFonts w:cs="Times New Roman"/>
          <w:szCs w:val="24"/>
          <w:lang w:val="en-NZ"/>
        </w:rPr>
        <w:t xml:space="preserve"> </w:t>
      </w:r>
      <w:proofErr w:type="spellStart"/>
      <w:r w:rsidRPr="00F521A0">
        <w:rPr>
          <w:rFonts w:cs="Times New Roman"/>
          <w:i/>
          <w:szCs w:val="24"/>
          <w:lang w:val="en-NZ"/>
        </w:rPr>
        <w:t>EquityRaise</w:t>
      </w:r>
      <w:proofErr w:type="spellEnd"/>
      <w:r w:rsidRPr="00F521A0">
        <w:rPr>
          <w:rFonts w:cs="Times New Roman"/>
          <w:szCs w:val="24"/>
          <w:lang w:val="en-NZ"/>
        </w:rPr>
        <w:t xml:space="preserve"> is a binary variable equal to 1 if it is disclosed within the bank loan announcement that the bank requires the borrowing firm to raise further equity before a loan agreement can be completed.</w:t>
      </w:r>
      <w:r>
        <w:rPr>
          <w:rFonts w:cs="Times New Roman"/>
          <w:szCs w:val="24"/>
          <w:lang w:val="en-NZ"/>
        </w:rPr>
        <w:t xml:space="preserve"> </w:t>
      </w:r>
      <w:proofErr w:type="spellStart"/>
      <w:r w:rsidRPr="00F521A0">
        <w:rPr>
          <w:i/>
        </w:rPr>
        <w:t>LnMCap</w:t>
      </w:r>
      <w:proofErr w:type="spellEnd"/>
      <w:r w:rsidRPr="00F521A0">
        <w:t xml:space="preserve"> </w:t>
      </w:r>
      <w:r w:rsidRPr="00F521A0">
        <w:rPr>
          <w:rFonts w:cs="Times New Roman"/>
          <w:szCs w:val="24"/>
          <w:lang w:val="en-NZ"/>
        </w:rPr>
        <w:t>is the natural logarithm of the firm’s market capitalisation 15 days before the bank loan announcement.</w:t>
      </w:r>
      <w:r w:rsidRPr="00107298">
        <w:rPr>
          <w:rFonts w:cs="Times New Roman"/>
          <w:i/>
          <w:szCs w:val="24"/>
          <w:lang w:val="en-NZ"/>
        </w:rPr>
        <w:t xml:space="preserve"> </w:t>
      </w:r>
      <w:r w:rsidRPr="00F521A0">
        <w:rPr>
          <w:rFonts w:cs="Times New Roman"/>
          <w:i/>
          <w:szCs w:val="24"/>
          <w:lang w:val="en-NZ"/>
        </w:rPr>
        <w:t>Loss</w:t>
      </w:r>
      <w:r w:rsidRPr="00F521A0">
        <w:rPr>
          <w:rFonts w:cs="Times New Roman"/>
          <w:szCs w:val="24"/>
          <w:lang w:val="en-NZ"/>
        </w:rPr>
        <w:t xml:space="preserve"> is a binary variable equal to 1 if the firm reported a net profit after tax of less than zero in the annual report prior to the bank loan announcement.</w:t>
      </w:r>
      <w:r>
        <w:rPr>
          <w:rFonts w:cs="Times New Roman"/>
          <w:szCs w:val="24"/>
          <w:lang w:val="en-NZ"/>
        </w:rPr>
        <w:t xml:space="preserve"> </w:t>
      </w:r>
      <w:proofErr w:type="spellStart"/>
      <w:r>
        <w:rPr>
          <w:rFonts w:cs="Times New Roman"/>
          <w:i/>
          <w:szCs w:val="24"/>
          <w:lang w:val="en-NZ"/>
        </w:rPr>
        <w:t>NumAnalyst</w:t>
      </w:r>
      <w:proofErr w:type="spellEnd"/>
      <w:r>
        <w:rPr>
          <w:rFonts w:cs="Times New Roman"/>
          <w:szCs w:val="24"/>
          <w:lang w:val="en-NZ"/>
        </w:rPr>
        <w:t xml:space="preserve"> is the number of analysts </w:t>
      </w:r>
      <w:proofErr w:type="gramStart"/>
      <w:r>
        <w:rPr>
          <w:rFonts w:cs="Times New Roman"/>
          <w:szCs w:val="24"/>
          <w:lang w:val="en-NZ"/>
        </w:rPr>
        <w:t>following  firm</w:t>
      </w:r>
      <w:proofErr w:type="gramEnd"/>
      <w:r>
        <w:rPr>
          <w:rFonts w:cs="Times New Roman"/>
          <w:szCs w:val="24"/>
          <w:lang w:val="en-NZ"/>
        </w:rPr>
        <w:t xml:space="preserve"> </w:t>
      </w:r>
      <w:proofErr w:type="spellStart"/>
      <w:r>
        <w:rPr>
          <w:rFonts w:cs="Times New Roman"/>
          <w:i/>
          <w:szCs w:val="24"/>
          <w:lang w:val="en-NZ"/>
        </w:rPr>
        <w:t>i</w:t>
      </w:r>
      <w:proofErr w:type="spellEnd"/>
      <w:r>
        <w:rPr>
          <w:rFonts w:cs="Times New Roman"/>
          <w:i/>
          <w:szCs w:val="24"/>
          <w:lang w:val="en-NZ"/>
        </w:rPr>
        <w:t xml:space="preserve"> </w:t>
      </w:r>
      <w:r>
        <w:rPr>
          <w:rFonts w:cs="Times New Roman"/>
          <w:szCs w:val="24"/>
          <w:lang w:val="en-NZ"/>
        </w:rPr>
        <w:t xml:space="preserve">on the announcement date. </w:t>
      </w:r>
      <w:proofErr w:type="gramStart"/>
      <w:r w:rsidRPr="00F521A0">
        <w:rPr>
          <w:rFonts w:cs="Times New Roman"/>
          <w:szCs w:val="24"/>
          <w:lang w:val="en-NZ"/>
        </w:rPr>
        <w:t>p-values</w:t>
      </w:r>
      <w:proofErr w:type="gramEnd"/>
      <w:r w:rsidRPr="00F521A0">
        <w:rPr>
          <w:rFonts w:cs="Times New Roman"/>
          <w:szCs w:val="24"/>
          <w:lang w:val="en-NZ"/>
        </w:rPr>
        <w:t xml:space="preserve"> are provided based on tw</w:t>
      </w:r>
      <w:r>
        <w:rPr>
          <w:rFonts w:cs="Times New Roman"/>
          <w:szCs w:val="24"/>
          <w:lang w:val="en-NZ"/>
        </w:rPr>
        <w:t>o-tailed tests of significance.</w:t>
      </w:r>
    </w:p>
    <w:p w:rsidR="0029636F" w:rsidRPr="00F521A0" w:rsidRDefault="0029636F" w:rsidP="0029636F">
      <w:pPr>
        <w:pStyle w:val="Table"/>
      </w:pPr>
      <w:bookmarkStart w:id="49" w:name="_Ref378088797"/>
      <w:bookmarkStart w:id="50" w:name="_Ref378088785"/>
      <w:bookmarkStart w:id="51" w:name="_Toc379787347"/>
      <w:r w:rsidRPr="00F521A0">
        <w:lastRenderedPageBreak/>
        <w:t>Table</w:t>
      </w:r>
      <w:r w:rsidR="00FC0F38">
        <w:t xml:space="preserve"> </w:t>
      </w:r>
      <w:bookmarkEnd w:id="49"/>
      <w:r w:rsidR="009C0FA7">
        <w:t>8</w:t>
      </w:r>
      <w:r w:rsidRPr="00F521A0">
        <w:t xml:space="preserve"> Average abnormal turnover surrounding bank loan announcements.</w:t>
      </w:r>
      <w:bookmarkEnd w:id="50"/>
      <w:bookmarkEnd w:id="51"/>
    </w:p>
    <w:tbl>
      <w:tblPr>
        <w:tblStyle w:val="LightShading"/>
        <w:tblW w:w="0" w:type="auto"/>
        <w:tblLook w:val="04A0" w:firstRow="1" w:lastRow="0" w:firstColumn="1" w:lastColumn="0" w:noHBand="0" w:noVBand="1"/>
      </w:tblPr>
      <w:tblGrid>
        <w:gridCol w:w="1134"/>
        <w:gridCol w:w="1012"/>
        <w:gridCol w:w="1127"/>
        <w:gridCol w:w="943"/>
        <w:gridCol w:w="1050"/>
        <w:gridCol w:w="1303"/>
        <w:gridCol w:w="1450"/>
      </w:tblGrid>
      <w:tr w:rsidR="0029636F" w:rsidRPr="00F521A0" w:rsidTr="00DB1B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p>
        </w:tc>
        <w:tc>
          <w:tcPr>
            <w:tcW w:w="0" w:type="auto"/>
            <w:gridSpan w:val="2"/>
            <w:shd w:val="clear" w:color="auto" w:fill="auto"/>
            <w:noWrap/>
            <w:hideMark/>
          </w:tcPr>
          <w:p w:rsidR="0029636F" w:rsidRPr="00F521A0" w:rsidRDefault="0029636F" w:rsidP="00DB1BC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Total sample (n=362)</w:t>
            </w:r>
          </w:p>
        </w:tc>
        <w:tc>
          <w:tcPr>
            <w:tcW w:w="0" w:type="auto"/>
            <w:gridSpan w:val="2"/>
            <w:shd w:val="clear" w:color="auto" w:fill="auto"/>
            <w:noWrap/>
            <w:hideMark/>
          </w:tcPr>
          <w:p w:rsidR="0029636F" w:rsidRPr="00F521A0" w:rsidRDefault="0029636F" w:rsidP="00DB1BC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Initial sample </w:t>
            </w:r>
          </w:p>
          <w:p w:rsidR="0029636F" w:rsidRPr="00F521A0" w:rsidRDefault="0029636F" w:rsidP="00DB1BC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(n= 193)</w:t>
            </w:r>
          </w:p>
          <w:p w:rsidR="0029636F" w:rsidRPr="00F521A0" w:rsidRDefault="0029636F" w:rsidP="00DB1BC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p>
        </w:tc>
        <w:tc>
          <w:tcPr>
            <w:tcW w:w="0" w:type="auto"/>
            <w:gridSpan w:val="2"/>
            <w:shd w:val="clear" w:color="auto" w:fill="auto"/>
            <w:noWrap/>
            <w:hideMark/>
          </w:tcPr>
          <w:p w:rsidR="0029636F" w:rsidRPr="00F521A0" w:rsidRDefault="0029636F" w:rsidP="00DB1BC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Subsequent sample (n=169)</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Event Day</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F521A0">
              <w:rPr>
                <w:rFonts w:ascii="Calibri" w:eastAsia="Times New Roman" w:hAnsi="Calibri" w:cs="Calibri"/>
                <w:b/>
                <w:color w:val="000000"/>
                <w:sz w:val="22"/>
                <w:lang w:eastAsia="en-AU"/>
              </w:rPr>
              <w:t>AATO</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F521A0">
              <w:rPr>
                <w:rFonts w:ascii="Calibri" w:eastAsia="Times New Roman" w:hAnsi="Calibri" w:cs="Calibri"/>
                <w:b/>
                <w:color w:val="000000"/>
                <w:sz w:val="22"/>
                <w:lang w:eastAsia="en-AU"/>
              </w:rPr>
              <w:t>t-stat</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F521A0">
              <w:rPr>
                <w:rFonts w:ascii="Calibri" w:eastAsia="Times New Roman" w:hAnsi="Calibri" w:cs="Calibri"/>
                <w:b/>
                <w:color w:val="000000"/>
                <w:sz w:val="22"/>
                <w:lang w:eastAsia="en-AU"/>
              </w:rPr>
              <w:t>AATO</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F521A0">
              <w:rPr>
                <w:rFonts w:ascii="Calibri" w:eastAsia="Times New Roman" w:hAnsi="Calibri" w:cs="Calibri"/>
                <w:b/>
                <w:color w:val="000000"/>
                <w:sz w:val="22"/>
                <w:lang w:eastAsia="en-AU"/>
              </w:rPr>
              <w:t>t-stat</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F521A0">
              <w:rPr>
                <w:rFonts w:ascii="Calibri" w:eastAsia="Times New Roman" w:hAnsi="Calibri" w:cs="Calibri"/>
                <w:b/>
                <w:color w:val="000000"/>
                <w:sz w:val="22"/>
                <w:lang w:eastAsia="en-AU"/>
              </w:rPr>
              <w:t>AATO</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F521A0">
              <w:rPr>
                <w:rFonts w:ascii="Calibri" w:eastAsia="Times New Roman" w:hAnsi="Calibri" w:cs="Calibri"/>
                <w:b/>
                <w:color w:val="000000"/>
                <w:sz w:val="22"/>
                <w:lang w:eastAsia="en-AU"/>
              </w:rPr>
              <w:t>t-stat</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0.007%</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0.372</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0.020%</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0.794</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-0.008%</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-0.310</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-9</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0.005%</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0.230</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0.011%</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0.348</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-0.002%</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-0.101</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-8</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0.039%</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1.066</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0.011%</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0.382</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0.073%</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0.997</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-7</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0.016%</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0.685</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0.034%</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1.003</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-0.005%</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-0.142</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-6</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-0.024%</w:t>
            </w:r>
          </w:p>
        </w:tc>
        <w:tc>
          <w:tcPr>
            <w:tcW w:w="0" w:type="auto"/>
            <w:shd w:val="clear" w:color="auto" w:fill="auto"/>
            <w:noWrap/>
            <w:hideMark/>
          </w:tcPr>
          <w:p w:rsidR="0029636F" w:rsidRPr="0067246A"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67246A">
              <w:rPr>
                <w:rFonts w:ascii="Calibri" w:eastAsia="Times New Roman" w:hAnsi="Calibri" w:cs="Calibri"/>
                <w:b/>
                <w:color w:val="000000"/>
                <w:sz w:val="22"/>
                <w:lang w:eastAsia="en-AU"/>
              </w:rPr>
              <w:t>-1.970</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-0.015%</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-0.902</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-0.034%</w:t>
            </w:r>
          </w:p>
        </w:tc>
        <w:tc>
          <w:tcPr>
            <w:tcW w:w="0" w:type="auto"/>
            <w:shd w:val="clear" w:color="auto" w:fill="auto"/>
            <w:noWrap/>
            <w:hideMark/>
          </w:tcPr>
          <w:p w:rsidR="0029636F" w:rsidRPr="00E50744"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E50744">
              <w:rPr>
                <w:rFonts w:ascii="Calibri" w:eastAsia="Times New Roman" w:hAnsi="Calibri" w:cs="Calibri"/>
                <w:b/>
                <w:color w:val="000000"/>
                <w:sz w:val="22"/>
                <w:lang w:eastAsia="en-AU"/>
              </w:rPr>
              <w:t>-1.932*</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-0.012%</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-0.674</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0.015%</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0.516</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-0.044%</w:t>
            </w:r>
          </w:p>
        </w:tc>
        <w:tc>
          <w:tcPr>
            <w:tcW w:w="0" w:type="auto"/>
            <w:shd w:val="clear" w:color="auto" w:fill="auto"/>
            <w:noWrap/>
            <w:hideMark/>
          </w:tcPr>
          <w:p w:rsidR="0029636F" w:rsidRPr="0067246A"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67246A">
              <w:rPr>
                <w:rFonts w:ascii="Calibri" w:eastAsia="Times New Roman" w:hAnsi="Calibri" w:cs="Calibri"/>
                <w:b/>
                <w:color w:val="000000"/>
                <w:sz w:val="22"/>
                <w:lang w:eastAsia="en-AU"/>
              </w:rPr>
              <w:t>-2.594</w:t>
            </w:r>
            <w:r>
              <w:rPr>
                <w:rFonts w:ascii="Calibri" w:eastAsia="Times New Roman" w:hAnsi="Calibri" w:cs="Calibri"/>
                <w:b/>
                <w:color w:val="000000"/>
                <w:sz w:val="22"/>
                <w:lang w:eastAsia="en-AU"/>
              </w:rPr>
              <w:t>**</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-4</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0.017%</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0.630</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0.024%</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0.571</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0.008%</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0.274</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0.011%</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0.458</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0.034%</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0.820</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-0.014%</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-0.569</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0.022%</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0.934</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0.047%</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1.251</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-0.007%</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-0.241</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-0.001%</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-0.030</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-0.004%</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-0.175</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0.004%</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0.159</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0.123%</w:t>
            </w:r>
          </w:p>
        </w:tc>
        <w:tc>
          <w:tcPr>
            <w:tcW w:w="0" w:type="auto"/>
            <w:shd w:val="clear" w:color="auto" w:fill="auto"/>
            <w:noWrap/>
            <w:hideMark/>
          </w:tcPr>
          <w:p w:rsidR="0029636F" w:rsidRPr="0067246A"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67246A">
              <w:rPr>
                <w:rFonts w:ascii="Calibri" w:eastAsia="Times New Roman" w:hAnsi="Calibri" w:cs="Calibri"/>
                <w:b/>
                <w:color w:val="000000"/>
                <w:sz w:val="22"/>
                <w:lang w:eastAsia="en-AU"/>
              </w:rPr>
              <w:t>4.735</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0.142%</w:t>
            </w:r>
          </w:p>
        </w:tc>
        <w:tc>
          <w:tcPr>
            <w:tcW w:w="0" w:type="auto"/>
            <w:shd w:val="clear" w:color="auto" w:fill="auto"/>
            <w:noWrap/>
            <w:hideMark/>
          </w:tcPr>
          <w:p w:rsidR="0029636F" w:rsidRPr="0067246A"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67246A">
              <w:rPr>
                <w:rFonts w:ascii="Calibri" w:eastAsia="Times New Roman" w:hAnsi="Calibri" w:cs="Calibri"/>
                <w:b/>
                <w:color w:val="000000"/>
                <w:sz w:val="22"/>
                <w:lang w:eastAsia="en-AU"/>
              </w:rPr>
              <w:t>3.621</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0.102%</w:t>
            </w:r>
          </w:p>
        </w:tc>
        <w:tc>
          <w:tcPr>
            <w:tcW w:w="0" w:type="auto"/>
            <w:shd w:val="clear" w:color="auto" w:fill="auto"/>
            <w:noWrap/>
            <w:hideMark/>
          </w:tcPr>
          <w:p w:rsidR="0029636F" w:rsidRPr="0067246A"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67246A">
              <w:rPr>
                <w:rFonts w:ascii="Calibri" w:eastAsia="Times New Roman" w:hAnsi="Calibri" w:cs="Calibri"/>
                <w:b/>
                <w:color w:val="000000"/>
                <w:sz w:val="22"/>
                <w:lang w:eastAsia="en-AU"/>
              </w:rPr>
              <w:t>3.069</w:t>
            </w:r>
            <w:r>
              <w:rPr>
                <w:rFonts w:ascii="Calibri" w:eastAsia="Times New Roman" w:hAnsi="Calibri" w:cs="Calibri"/>
                <w:b/>
                <w:color w:val="000000"/>
                <w:sz w:val="22"/>
                <w:lang w:eastAsia="en-AU"/>
              </w:rPr>
              <w:t>***</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0.080%</w:t>
            </w:r>
          </w:p>
        </w:tc>
        <w:tc>
          <w:tcPr>
            <w:tcW w:w="0" w:type="auto"/>
            <w:shd w:val="clear" w:color="auto" w:fill="auto"/>
            <w:noWrap/>
            <w:hideMark/>
          </w:tcPr>
          <w:p w:rsidR="0029636F" w:rsidRPr="0067246A"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67246A">
              <w:rPr>
                <w:rFonts w:ascii="Calibri" w:eastAsia="Times New Roman" w:hAnsi="Calibri" w:cs="Calibri"/>
                <w:b/>
                <w:color w:val="000000"/>
                <w:sz w:val="22"/>
                <w:lang w:eastAsia="en-AU"/>
              </w:rPr>
              <w:t>3.261</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0.129%</w:t>
            </w:r>
          </w:p>
        </w:tc>
        <w:tc>
          <w:tcPr>
            <w:tcW w:w="0" w:type="auto"/>
            <w:shd w:val="clear" w:color="auto" w:fill="auto"/>
            <w:noWrap/>
            <w:hideMark/>
          </w:tcPr>
          <w:p w:rsidR="0029636F" w:rsidRPr="0067246A"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67246A">
              <w:rPr>
                <w:rFonts w:ascii="Calibri" w:eastAsia="Times New Roman" w:hAnsi="Calibri" w:cs="Calibri"/>
                <w:b/>
                <w:color w:val="000000"/>
                <w:sz w:val="22"/>
                <w:lang w:eastAsia="en-AU"/>
              </w:rPr>
              <w:t>3.128</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0.024%</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1.049</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0.060%</w:t>
            </w:r>
          </w:p>
        </w:tc>
        <w:tc>
          <w:tcPr>
            <w:tcW w:w="0" w:type="auto"/>
            <w:shd w:val="clear" w:color="auto" w:fill="auto"/>
            <w:noWrap/>
            <w:hideMark/>
          </w:tcPr>
          <w:p w:rsidR="0029636F" w:rsidRPr="0067246A"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67246A">
              <w:rPr>
                <w:rFonts w:ascii="Calibri" w:eastAsia="Times New Roman" w:hAnsi="Calibri" w:cs="Calibri"/>
                <w:b/>
                <w:color w:val="000000"/>
                <w:sz w:val="22"/>
                <w:lang w:eastAsia="en-AU"/>
              </w:rPr>
              <w:t>1.955</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0.069%</w:t>
            </w:r>
          </w:p>
        </w:tc>
        <w:tc>
          <w:tcPr>
            <w:tcW w:w="0" w:type="auto"/>
            <w:shd w:val="clear" w:color="auto" w:fill="auto"/>
            <w:noWrap/>
            <w:hideMark/>
          </w:tcPr>
          <w:p w:rsidR="0029636F" w:rsidRPr="0067246A"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67246A">
              <w:rPr>
                <w:rFonts w:ascii="Calibri" w:eastAsia="Times New Roman" w:hAnsi="Calibri" w:cs="Calibri"/>
                <w:b/>
                <w:color w:val="000000"/>
                <w:sz w:val="22"/>
                <w:lang w:eastAsia="en-AU"/>
              </w:rPr>
              <w:t>1.706</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0.050%</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1.054</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0.011%</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0.511</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0.055%</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1.563</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-0.039%</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-1.506</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4</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0.012%</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0.473</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0.045%</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1.047</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-0.026%</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-1.120</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-0.021%</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-1.187</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-0.020%</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-1.063</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-0.021%</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-0.690</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6</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-0.022%</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-1.457</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-0.023%</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-1.362</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-0.021%</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-0.793</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7</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-0.003%</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-0.149</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0.011%</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0.393</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-0.019%</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-0.669</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8</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-0.002%</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-0.126</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-0.001%</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-0.027</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-0.005%</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-0.134</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9</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0.019%</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0.878</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0.035%</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1.105</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0.001%</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0.033</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-0.004%</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-0.166</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0.024%</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0.530</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-0.038%</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-1.476</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Pr>
                <w:rFonts w:ascii="Calibri" w:eastAsia="Times New Roman" w:hAnsi="Calibri" w:cs="Calibri"/>
                <w:color w:val="000000"/>
                <w:sz w:val="22"/>
                <w:lang w:eastAsia="en-AU"/>
              </w:rPr>
              <w:t>-10 to -1</w:t>
            </w:r>
          </w:p>
        </w:tc>
        <w:tc>
          <w:tcPr>
            <w:tcW w:w="0" w:type="auto"/>
            <w:shd w:val="clear" w:color="auto" w:fill="auto"/>
            <w:noWrap/>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0.077%</w:t>
            </w:r>
          </w:p>
        </w:tc>
        <w:tc>
          <w:tcPr>
            <w:tcW w:w="0" w:type="auto"/>
            <w:shd w:val="clear" w:color="auto" w:fill="auto"/>
            <w:noWrap/>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0.633</w:t>
            </w:r>
          </w:p>
        </w:tc>
        <w:tc>
          <w:tcPr>
            <w:tcW w:w="0" w:type="auto"/>
            <w:shd w:val="clear" w:color="auto" w:fill="auto"/>
            <w:noWrap/>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0.171%</w:t>
            </w:r>
          </w:p>
        </w:tc>
        <w:tc>
          <w:tcPr>
            <w:tcW w:w="0" w:type="auto"/>
            <w:shd w:val="clear" w:color="auto" w:fill="auto"/>
            <w:noWrap/>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0.932</w:t>
            </w:r>
          </w:p>
        </w:tc>
        <w:tc>
          <w:tcPr>
            <w:tcW w:w="0" w:type="auto"/>
            <w:shd w:val="clear" w:color="auto" w:fill="auto"/>
            <w:noWrap/>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-0.031</w:t>
            </w:r>
          </w:p>
        </w:tc>
        <w:tc>
          <w:tcPr>
            <w:tcW w:w="0" w:type="auto"/>
            <w:shd w:val="clear" w:color="auto" w:fill="auto"/>
            <w:noWrap/>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-0.201</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noWrap/>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Pr>
                <w:rFonts w:ascii="Calibri" w:eastAsia="Times New Roman" w:hAnsi="Calibri" w:cs="Calibri"/>
                <w:color w:val="000000"/>
                <w:sz w:val="22"/>
                <w:lang w:eastAsia="en-AU"/>
              </w:rPr>
              <w:t>0 to 10</w:t>
            </w:r>
          </w:p>
        </w:tc>
        <w:tc>
          <w:tcPr>
            <w:tcW w:w="0" w:type="auto"/>
            <w:tcBorders>
              <w:bottom w:val="single" w:sz="4" w:space="0" w:color="auto"/>
            </w:tcBorders>
            <w:shd w:val="clear" w:color="auto" w:fill="auto"/>
            <w:noWrap/>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0.256%</w:t>
            </w:r>
          </w:p>
        </w:tc>
        <w:tc>
          <w:tcPr>
            <w:tcW w:w="0" w:type="auto"/>
            <w:tcBorders>
              <w:bottom w:val="single" w:sz="4" w:space="0" w:color="auto"/>
            </w:tcBorders>
            <w:shd w:val="clear" w:color="auto" w:fill="auto"/>
            <w:noWrap/>
          </w:tcPr>
          <w:p w:rsidR="0029636F" w:rsidRPr="0067246A"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67246A">
              <w:rPr>
                <w:rFonts w:ascii="Calibri" w:eastAsia="Times New Roman" w:hAnsi="Calibri" w:cs="Calibri"/>
                <w:b/>
                <w:color w:val="000000"/>
                <w:sz w:val="22"/>
                <w:lang w:eastAsia="en-AU"/>
              </w:rPr>
              <w:t>1.718</w:t>
            </w:r>
            <w:r>
              <w:rPr>
                <w:rFonts w:ascii="Calibri" w:eastAsia="Times New Roman" w:hAnsi="Calibri" w:cs="Calibri"/>
                <w:b/>
                <w:color w:val="000000"/>
                <w:sz w:val="22"/>
                <w:lang w:eastAsia="en-AU"/>
              </w:rPr>
              <w:t>*</w:t>
            </w:r>
          </w:p>
        </w:tc>
        <w:tc>
          <w:tcPr>
            <w:tcW w:w="0" w:type="auto"/>
            <w:tcBorders>
              <w:bottom w:val="single" w:sz="4" w:space="0" w:color="auto"/>
            </w:tcBorders>
            <w:shd w:val="clear" w:color="auto" w:fill="auto"/>
            <w:noWrap/>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0.314%</w:t>
            </w:r>
          </w:p>
        </w:tc>
        <w:tc>
          <w:tcPr>
            <w:tcW w:w="0" w:type="auto"/>
            <w:tcBorders>
              <w:bottom w:val="single" w:sz="4" w:space="0" w:color="auto"/>
            </w:tcBorders>
            <w:shd w:val="clear" w:color="auto" w:fill="auto"/>
            <w:noWrap/>
          </w:tcPr>
          <w:p w:rsidR="0029636F" w:rsidRPr="0067246A"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67246A">
              <w:rPr>
                <w:rFonts w:ascii="Calibri" w:eastAsia="Times New Roman" w:hAnsi="Calibri" w:cs="Calibri"/>
                <w:b/>
                <w:color w:val="000000"/>
                <w:sz w:val="22"/>
                <w:lang w:eastAsia="en-AU"/>
              </w:rPr>
              <w:t>2.149</w:t>
            </w:r>
            <w:r>
              <w:rPr>
                <w:rFonts w:ascii="Calibri" w:eastAsia="Times New Roman" w:hAnsi="Calibri" w:cs="Calibri"/>
                <w:b/>
                <w:color w:val="000000"/>
                <w:sz w:val="22"/>
                <w:lang w:eastAsia="en-AU"/>
              </w:rPr>
              <w:t>**</w:t>
            </w:r>
          </w:p>
        </w:tc>
        <w:tc>
          <w:tcPr>
            <w:tcW w:w="0" w:type="auto"/>
            <w:tcBorders>
              <w:bottom w:val="single" w:sz="4" w:space="0" w:color="auto"/>
            </w:tcBorders>
            <w:shd w:val="clear" w:color="auto" w:fill="auto"/>
            <w:noWrap/>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0.001%</w:t>
            </w:r>
          </w:p>
        </w:tc>
        <w:tc>
          <w:tcPr>
            <w:tcW w:w="0" w:type="auto"/>
            <w:tcBorders>
              <w:bottom w:val="single" w:sz="4" w:space="0" w:color="auto"/>
            </w:tcBorders>
            <w:shd w:val="clear" w:color="auto" w:fill="auto"/>
            <w:noWrap/>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Pr>
                <w:rFonts w:ascii="Calibri" w:eastAsia="Times New Roman" w:hAnsi="Calibri" w:cs="Calibri"/>
                <w:color w:val="000000"/>
                <w:sz w:val="22"/>
                <w:lang w:eastAsia="en-AU"/>
              </w:rPr>
              <w:t>0.044</w:t>
            </w:r>
          </w:p>
        </w:tc>
      </w:tr>
    </w:tbl>
    <w:p w:rsidR="0029636F" w:rsidRPr="00F521A0" w:rsidRDefault="0029636F" w:rsidP="0029636F">
      <w:pPr>
        <w:pStyle w:val="TableDesc"/>
      </w:pPr>
      <w:r w:rsidRPr="00A52611">
        <w:fldChar w:fldCharType="begin"/>
      </w:r>
      <w:r w:rsidRPr="00A52611">
        <w:instrText xml:space="preserve"> REF _Ref378088797 \h  \* MERGEFORMAT </w:instrText>
      </w:r>
      <w:r w:rsidRPr="00A52611">
        <w:fldChar w:fldCharType="separate"/>
      </w:r>
      <w:r w:rsidR="0089071A" w:rsidRPr="00F521A0">
        <w:t>Table</w:t>
      </w:r>
      <w:r w:rsidR="0089071A">
        <w:t xml:space="preserve"> </w:t>
      </w:r>
      <w:r w:rsidRPr="00A52611">
        <w:fldChar w:fldCharType="end"/>
      </w:r>
      <w:r w:rsidRPr="00A52611">
        <w:t xml:space="preserve"> presents the daily average abnormal turnover (AATO) surrounding the total sample of bank loan announcements, the initial sample of bank loan announcements and the subsequent sample of bank loan announcements.  AATO is calcu</w:t>
      </w:r>
      <w:r>
        <w:t>lated as outlined in equation (11</w:t>
      </w:r>
      <w:r w:rsidRPr="00A52611">
        <w:t>).</w:t>
      </w:r>
      <w:r>
        <w:t xml:space="preserve"> Cumulative average abnormal turnover is presented for the -10 to -1 and 0 to 10 day event window and calculated as the sum of the AATO of each day during the event window outlined in equation (12).</w:t>
      </w:r>
      <w:r w:rsidRPr="00A52611">
        <w:t xml:space="preserve"> Student t-statistics are presented to show if the AATO is significantly different from zero. Event Day ‘0’ represents the day of the bank loan announcement. Two tailed tests of significance are reported as follows *** less than 0.01 ** less </w:t>
      </w:r>
      <w:r>
        <w:t>than 0.05 and * less than 0.10.</w:t>
      </w:r>
    </w:p>
    <w:p w:rsidR="0029636F" w:rsidRDefault="0029636F" w:rsidP="0029636F">
      <w:pPr>
        <w:spacing w:line="276" w:lineRule="auto"/>
        <w:ind w:firstLine="0"/>
        <w:rPr>
          <w:b/>
        </w:rPr>
      </w:pPr>
      <w:bookmarkStart w:id="52" w:name="_Ref378088974"/>
      <w:r>
        <w:br w:type="page"/>
      </w:r>
    </w:p>
    <w:p w:rsidR="0029636F" w:rsidRPr="00F521A0" w:rsidRDefault="0029636F" w:rsidP="0029636F">
      <w:pPr>
        <w:pStyle w:val="Table"/>
      </w:pPr>
      <w:bookmarkStart w:id="53" w:name="_Ref378163713"/>
      <w:bookmarkStart w:id="54" w:name="_Ref379790631"/>
      <w:bookmarkStart w:id="55" w:name="_Toc379787350"/>
      <w:bookmarkEnd w:id="52"/>
      <w:r w:rsidRPr="00F521A0">
        <w:lastRenderedPageBreak/>
        <w:t>Table</w:t>
      </w:r>
      <w:r w:rsidR="00FC0F38">
        <w:t xml:space="preserve"> </w:t>
      </w:r>
      <w:bookmarkEnd w:id="53"/>
      <w:bookmarkEnd w:id="54"/>
      <w:r w:rsidR="009C0FA7">
        <w:t>9</w:t>
      </w:r>
      <w:r w:rsidRPr="00F521A0">
        <w:t xml:space="preserve"> Average abnormal spread surrounding bank loan announcements.</w:t>
      </w:r>
      <w:bookmarkEnd w:id="55"/>
    </w:p>
    <w:tbl>
      <w:tblPr>
        <w:tblStyle w:val="LightShading"/>
        <w:tblW w:w="0" w:type="auto"/>
        <w:tblLook w:val="04A0" w:firstRow="1" w:lastRow="0" w:firstColumn="1" w:lastColumn="0" w:noHBand="0" w:noVBand="1"/>
      </w:tblPr>
      <w:tblGrid>
        <w:gridCol w:w="1134"/>
        <w:gridCol w:w="1220"/>
        <w:gridCol w:w="1019"/>
        <w:gridCol w:w="1252"/>
        <w:gridCol w:w="1045"/>
        <w:gridCol w:w="1430"/>
        <w:gridCol w:w="1323"/>
      </w:tblGrid>
      <w:tr w:rsidR="0029636F" w:rsidRPr="00F521A0" w:rsidTr="00DB1B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p>
        </w:tc>
        <w:tc>
          <w:tcPr>
            <w:tcW w:w="0" w:type="auto"/>
            <w:gridSpan w:val="2"/>
            <w:shd w:val="clear" w:color="auto" w:fill="auto"/>
            <w:noWrap/>
            <w:hideMark/>
          </w:tcPr>
          <w:p w:rsidR="0029636F" w:rsidRPr="00F521A0" w:rsidRDefault="0029636F" w:rsidP="00DB1BC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Total sample (n = 362)</w:t>
            </w:r>
          </w:p>
        </w:tc>
        <w:tc>
          <w:tcPr>
            <w:tcW w:w="0" w:type="auto"/>
            <w:gridSpan w:val="2"/>
            <w:shd w:val="clear" w:color="auto" w:fill="auto"/>
            <w:noWrap/>
            <w:hideMark/>
          </w:tcPr>
          <w:p w:rsidR="0029636F" w:rsidRPr="00F521A0" w:rsidRDefault="0029636F" w:rsidP="00DB1BC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Initial sample (n = 193)</w:t>
            </w:r>
          </w:p>
        </w:tc>
        <w:tc>
          <w:tcPr>
            <w:tcW w:w="0" w:type="auto"/>
            <w:gridSpan w:val="2"/>
            <w:shd w:val="clear" w:color="auto" w:fill="auto"/>
            <w:noWrap/>
            <w:hideMark/>
          </w:tcPr>
          <w:p w:rsidR="0029636F" w:rsidRPr="00F521A0" w:rsidRDefault="0029636F" w:rsidP="00DB1BC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Subsequent sample (n=169)</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Event Day</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F521A0">
              <w:rPr>
                <w:rFonts w:ascii="Calibri" w:eastAsia="Times New Roman" w:hAnsi="Calibri" w:cs="Calibri"/>
                <w:b/>
                <w:color w:val="000000"/>
                <w:sz w:val="22"/>
                <w:lang w:eastAsia="en-AU"/>
              </w:rPr>
              <w:t>AASPREAD</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F521A0">
              <w:rPr>
                <w:rFonts w:ascii="Calibri" w:eastAsia="Times New Roman" w:hAnsi="Calibri" w:cs="Calibri"/>
                <w:b/>
                <w:color w:val="000000"/>
                <w:sz w:val="22"/>
                <w:lang w:eastAsia="en-AU"/>
              </w:rPr>
              <w:t>t-stat</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F521A0">
              <w:rPr>
                <w:rFonts w:ascii="Calibri" w:eastAsia="Times New Roman" w:hAnsi="Calibri" w:cs="Calibri"/>
                <w:b/>
                <w:color w:val="000000"/>
                <w:sz w:val="22"/>
                <w:lang w:eastAsia="en-AU"/>
              </w:rPr>
              <w:t>AASPREAD</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F521A0">
              <w:rPr>
                <w:rFonts w:ascii="Calibri" w:eastAsia="Times New Roman" w:hAnsi="Calibri" w:cs="Calibri"/>
                <w:b/>
                <w:color w:val="000000"/>
                <w:sz w:val="22"/>
                <w:lang w:eastAsia="en-AU"/>
              </w:rPr>
              <w:t>t-stat</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F521A0">
              <w:rPr>
                <w:rFonts w:ascii="Calibri" w:eastAsia="Times New Roman" w:hAnsi="Calibri" w:cs="Calibri"/>
                <w:b/>
                <w:color w:val="000000"/>
                <w:sz w:val="22"/>
                <w:lang w:eastAsia="en-AU"/>
              </w:rPr>
              <w:t>AASPREAD</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F521A0">
              <w:rPr>
                <w:rFonts w:ascii="Calibri" w:eastAsia="Times New Roman" w:hAnsi="Calibri" w:cs="Calibri"/>
                <w:b/>
                <w:color w:val="000000"/>
                <w:sz w:val="22"/>
                <w:lang w:eastAsia="en-AU"/>
              </w:rPr>
              <w:t>t-stat</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-0.312%</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-1.624</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-0.716%</w:t>
            </w:r>
          </w:p>
        </w:tc>
        <w:tc>
          <w:tcPr>
            <w:tcW w:w="0" w:type="auto"/>
            <w:shd w:val="clear" w:color="auto" w:fill="auto"/>
            <w:noWrap/>
            <w:hideMark/>
          </w:tcPr>
          <w:p w:rsidR="0029636F" w:rsidRPr="00E60DAF"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E60DAF">
              <w:rPr>
                <w:rFonts w:ascii="Calibri" w:eastAsia="Times New Roman" w:hAnsi="Calibri" w:cs="Calibri"/>
                <w:b/>
                <w:color w:val="000000"/>
                <w:sz w:val="22"/>
                <w:lang w:eastAsia="en-AU"/>
              </w:rPr>
              <w:t>-2.313</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0.149%</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0.719</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-9</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0.205%</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0.716</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0.440%</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0.862</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-0.063%</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-0.325</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-8</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-0.053%</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-0.219</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-0.141%</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-0.347</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0.047%</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0.200</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-7</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0.195%</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0.808</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0.276%</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0.674</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0.102%</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0.461</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-6</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0.100%</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0.408</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0.277%</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0.737</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-0.103%</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-0.343</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-0.011%</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-0.049</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0.032%</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0.085</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-0.060%</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-0.307</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-4</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-0.124%</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-0.453</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-0.219%</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-0.449</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-0.016%</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-0.085</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0.223%</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0.736</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0.312%</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0.589</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0.121%</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0.509</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0.126%</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0.504</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0.230%</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0.556</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0.007%</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0.027</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0.010%</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0.040</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0.188%</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0.465</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-0.194%</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-0.864</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-0.136%</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-0.613</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-0.146%</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-0.381</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-0.124%</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-0.686</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-0.524%</w:t>
            </w:r>
          </w:p>
        </w:tc>
        <w:tc>
          <w:tcPr>
            <w:tcW w:w="0" w:type="auto"/>
            <w:shd w:val="clear" w:color="auto" w:fill="auto"/>
            <w:noWrap/>
            <w:hideMark/>
          </w:tcPr>
          <w:p w:rsidR="0029636F" w:rsidRPr="00E60DAF"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E60DAF">
              <w:rPr>
                <w:rFonts w:ascii="Calibri" w:eastAsia="Times New Roman" w:hAnsi="Calibri" w:cs="Calibri"/>
                <w:b/>
                <w:color w:val="000000"/>
                <w:sz w:val="22"/>
                <w:lang w:eastAsia="en-AU"/>
              </w:rPr>
              <w:t>-2.495</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-0.546%</w:t>
            </w:r>
          </w:p>
        </w:tc>
        <w:tc>
          <w:tcPr>
            <w:tcW w:w="0" w:type="auto"/>
            <w:shd w:val="clear" w:color="auto" w:fill="auto"/>
            <w:noWrap/>
            <w:hideMark/>
          </w:tcPr>
          <w:p w:rsidR="0029636F" w:rsidRPr="00E60DAF"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E60DAF">
              <w:rPr>
                <w:rFonts w:ascii="Calibri" w:eastAsia="Times New Roman" w:hAnsi="Calibri" w:cs="Calibri"/>
                <w:b/>
                <w:color w:val="000000"/>
                <w:sz w:val="22"/>
                <w:lang w:eastAsia="en-AU"/>
              </w:rPr>
              <w:t>-1.652</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-0.499%</w:t>
            </w:r>
          </w:p>
        </w:tc>
        <w:tc>
          <w:tcPr>
            <w:tcW w:w="0" w:type="auto"/>
            <w:shd w:val="clear" w:color="auto" w:fill="auto"/>
            <w:noWrap/>
            <w:hideMark/>
          </w:tcPr>
          <w:p w:rsidR="0029636F" w:rsidRPr="00E60DAF"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E60DAF">
              <w:rPr>
                <w:rFonts w:ascii="Calibri" w:eastAsia="Times New Roman" w:hAnsi="Calibri" w:cs="Calibri"/>
                <w:b/>
                <w:color w:val="000000"/>
                <w:sz w:val="22"/>
                <w:lang w:eastAsia="en-AU"/>
              </w:rPr>
              <w:t>-2.030</w:t>
            </w:r>
            <w:r>
              <w:rPr>
                <w:rFonts w:ascii="Calibri" w:eastAsia="Times New Roman" w:hAnsi="Calibri" w:cs="Calibri"/>
                <w:b/>
                <w:color w:val="000000"/>
                <w:sz w:val="22"/>
                <w:lang w:eastAsia="en-AU"/>
              </w:rPr>
              <w:t>**</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-0.244%</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-1.123</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-0.240%</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-0.650</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-0.249%</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-1.245</w:t>
            </w:r>
          </w:p>
        </w:tc>
      </w:tr>
      <w:tr w:rsidR="0029636F" w:rsidRPr="00E60DAF"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-0.188%</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-0.720</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0.101%</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0.227</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-0.518%</w:t>
            </w:r>
          </w:p>
        </w:tc>
        <w:tc>
          <w:tcPr>
            <w:tcW w:w="0" w:type="auto"/>
            <w:shd w:val="clear" w:color="auto" w:fill="auto"/>
            <w:noWrap/>
            <w:hideMark/>
          </w:tcPr>
          <w:p w:rsidR="0029636F" w:rsidRPr="00E60DAF"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E60DAF">
              <w:rPr>
                <w:rFonts w:ascii="Calibri" w:eastAsia="Times New Roman" w:hAnsi="Calibri" w:cs="Calibri"/>
                <w:b/>
                <w:color w:val="000000"/>
                <w:sz w:val="22"/>
                <w:lang w:eastAsia="en-AU"/>
              </w:rPr>
              <w:t>-2.298</w:t>
            </w:r>
            <w:r>
              <w:rPr>
                <w:rFonts w:ascii="Calibri" w:eastAsia="Times New Roman" w:hAnsi="Calibri" w:cs="Calibri"/>
                <w:b/>
                <w:color w:val="000000"/>
                <w:sz w:val="22"/>
                <w:lang w:eastAsia="en-AU"/>
              </w:rPr>
              <w:t>**</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4</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-0.205%</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-0.696</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-0.206%</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-0.422</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-0.205%</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-0.683</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0.027%</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0.101</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0.236%</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0.516</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-0.212%</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-0.887</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6</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-0.572%</w:t>
            </w:r>
          </w:p>
        </w:tc>
        <w:tc>
          <w:tcPr>
            <w:tcW w:w="0" w:type="auto"/>
            <w:shd w:val="clear" w:color="auto" w:fill="auto"/>
            <w:noWrap/>
            <w:hideMark/>
          </w:tcPr>
          <w:p w:rsidR="0029636F" w:rsidRPr="00E60DAF"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E60DAF">
              <w:rPr>
                <w:rFonts w:ascii="Calibri" w:eastAsia="Times New Roman" w:hAnsi="Calibri" w:cs="Calibri"/>
                <w:b/>
                <w:color w:val="000000"/>
                <w:sz w:val="22"/>
                <w:lang w:eastAsia="en-AU"/>
              </w:rPr>
              <w:t>-2.137</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-0.377%</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-1.178</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-0.795%</w:t>
            </w:r>
          </w:p>
        </w:tc>
        <w:tc>
          <w:tcPr>
            <w:tcW w:w="0" w:type="auto"/>
            <w:shd w:val="clear" w:color="auto" w:fill="auto"/>
            <w:noWrap/>
            <w:hideMark/>
          </w:tcPr>
          <w:p w:rsidR="0029636F" w:rsidRPr="00E60DAF"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E60DAF">
              <w:rPr>
                <w:rFonts w:ascii="Calibri" w:eastAsia="Times New Roman" w:hAnsi="Calibri" w:cs="Calibri"/>
                <w:b/>
                <w:color w:val="000000"/>
                <w:sz w:val="22"/>
                <w:lang w:eastAsia="en-AU"/>
              </w:rPr>
              <w:t>-1.797</w:t>
            </w:r>
            <w:r>
              <w:rPr>
                <w:rFonts w:ascii="Calibri" w:eastAsia="Times New Roman" w:hAnsi="Calibri" w:cs="Calibri"/>
                <w:b/>
                <w:color w:val="000000"/>
                <w:sz w:val="22"/>
                <w:lang w:eastAsia="en-AU"/>
              </w:rPr>
              <w:t>*</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7</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-0.605%</w:t>
            </w:r>
          </w:p>
        </w:tc>
        <w:tc>
          <w:tcPr>
            <w:tcW w:w="0" w:type="auto"/>
            <w:shd w:val="clear" w:color="auto" w:fill="auto"/>
            <w:noWrap/>
            <w:hideMark/>
          </w:tcPr>
          <w:p w:rsidR="0029636F" w:rsidRPr="00E60DAF"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E60DAF">
              <w:rPr>
                <w:rFonts w:ascii="Calibri" w:eastAsia="Times New Roman" w:hAnsi="Calibri" w:cs="Calibri"/>
                <w:b/>
                <w:color w:val="000000"/>
                <w:sz w:val="22"/>
                <w:lang w:eastAsia="en-AU"/>
              </w:rPr>
              <w:t>-2.403</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-0.360%</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-1.205</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-0.884%</w:t>
            </w:r>
          </w:p>
        </w:tc>
        <w:tc>
          <w:tcPr>
            <w:tcW w:w="0" w:type="auto"/>
            <w:shd w:val="clear" w:color="auto" w:fill="auto"/>
            <w:noWrap/>
            <w:hideMark/>
          </w:tcPr>
          <w:p w:rsidR="0029636F" w:rsidRPr="00E60DAF"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E60DAF">
              <w:rPr>
                <w:rFonts w:ascii="Calibri" w:eastAsia="Times New Roman" w:hAnsi="Calibri" w:cs="Calibri"/>
                <w:b/>
                <w:color w:val="000000"/>
                <w:sz w:val="22"/>
                <w:lang w:eastAsia="en-AU"/>
              </w:rPr>
              <w:t>-2.118</w:t>
            </w:r>
            <w:r>
              <w:rPr>
                <w:rFonts w:ascii="Calibri" w:eastAsia="Times New Roman" w:hAnsi="Calibri" w:cs="Calibri"/>
                <w:b/>
                <w:color w:val="000000"/>
                <w:sz w:val="22"/>
                <w:lang w:eastAsia="en-AU"/>
              </w:rPr>
              <w:t>**</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8</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-0.460%</w:t>
            </w:r>
          </w:p>
        </w:tc>
        <w:tc>
          <w:tcPr>
            <w:tcW w:w="0" w:type="auto"/>
            <w:shd w:val="clear" w:color="auto" w:fill="auto"/>
            <w:noWrap/>
            <w:hideMark/>
          </w:tcPr>
          <w:p w:rsidR="0029636F" w:rsidRPr="00E60DAF"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E60DAF">
              <w:rPr>
                <w:rFonts w:ascii="Calibri" w:eastAsia="Times New Roman" w:hAnsi="Calibri" w:cs="Calibri"/>
                <w:b/>
                <w:color w:val="000000"/>
                <w:sz w:val="22"/>
                <w:lang w:eastAsia="en-AU"/>
              </w:rPr>
              <w:t>-1.938</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-0.170%</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-0.481</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-0.793%</w:t>
            </w:r>
          </w:p>
        </w:tc>
        <w:tc>
          <w:tcPr>
            <w:tcW w:w="0" w:type="auto"/>
            <w:shd w:val="clear" w:color="auto" w:fill="auto"/>
            <w:noWrap/>
            <w:hideMark/>
          </w:tcPr>
          <w:p w:rsidR="0029636F" w:rsidRPr="00E60DAF"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E60DAF">
              <w:rPr>
                <w:rFonts w:ascii="Calibri" w:eastAsia="Times New Roman" w:hAnsi="Calibri" w:cs="Calibri"/>
                <w:b/>
                <w:color w:val="000000"/>
                <w:sz w:val="22"/>
                <w:lang w:eastAsia="en-AU"/>
              </w:rPr>
              <w:t>-2.552</w:t>
            </w:r>
            <w:r>
              <w:rPr>
                <w:rFonts w:ascii="Calibri" w:eastAsia="Times New Roman" w:hAnsi="Calibri" w:cs="Calibri"/>
                <w:b/>
                <w:color w:val="000000"/>
                <w:sz w:val="22"/>
                <w:lang w:eastAsia="en-AU"/>
              </w:rPr>
              <w:t>**</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9</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-0.182%</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-0.791</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-0.150%</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-0.374</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-0.220%</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-1.155</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-0.211%</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-0.877</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-0.204%</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-0.480</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-0.219%</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-1.244</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 to -1</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0.358%</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0.197</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0.679%</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0.210</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-0.010%</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-0.008</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jc w:val="right"/>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 to 10</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-3.165%</w:t>
            </w:r>
          </w:p>
        </w:tc>
        <w:tc>
          <w:tcPr>
            <w:tcW w:w="0" w:type="auto"/>
            <w:shd w:val="clear" w:color="auto" w:fill="auto"/>
            <w:noWrap/>
            <w:hideMark/>
          </w:tcPr>
          <w:p w:rsidR="0029636F" w:rsidRPr="00E60DAF"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E60DAF">
              <w:rPr>
                <w:rFonts w:ascii="Calibri" w:eastAsia="Times New Roman" w:hAnsi="Calibri" w:cs="Calibri"/>
                <w:b/>
                <w:color w:val="000000"/>
                <w:sz w:val="22"/>
                <w:lang w:eastAsia="en-AU"/>
              </w:rPr>
              <w:t>-1.915</w:t>
            </w:r>
            <w:r>
              <w:rPr>
                <w:rFonts w:ascii="Calibri" w:eastAsia="Times New Roman" w:hAnsi="Calibri" w:cs="Calibri"/>
                <w:b/>
                <w:color w:val="000000"/>
                <w:sz w:val="22"/>
                <w:lang w:eastAsia="en-AU"/>
              </w:rPr>
              <w:t>*</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-1.914%</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-0.693</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-4.593%</w:t>
            </w:r>
          </w:p>
        </w:tc>
        <w:tc>
          <w:tcPr>
            <w:tcW w:w="0" w:type="auto"/>
            <w:shd w:val="clear" w:color="auto" w:fill="auto"/>
            <w:noWrap/>
            <w:hideMark/>
          </w:tcPr>
          <w:p w:rsidR="0029636F" w:rsidRPr="00E60DAF"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E60DAF">
              <w:rPr>
                <w:rFonts w:ascii="Calibri" w:eastAsia="Times New Roman" w:hAnsi="Calibri" w:cs="Calibri"/>
                <w:b/>
                <w:color w:val="000000"/>
                <w:sz w:val="22"/>
                <w:lang w:eastAsia="en-AU"/>
              </w:rPr>
              <w:t>-2.854</w:t>
            </w:r>
            <w:r>
              <w:rPr>
                <w:rFonts w:ascii="Calibri" w:eastAsia="Times New Roman" w:hAnsi="Calibri" w:cs="Calibri"/>
                <w:b/>
                <w:color w:val="000000"/>
                <w:sz w:val="22"/>
                <w:lang w:eastAsia="en-AU"/>
              </w:rPr>
              <w:t>***</w:t>
            </w:r>
          </w:p>
        </w:tc>
      </w:tr>
    </w:tbl>
    <w:p w:rsidR="0029636F" w:rsidRPr="001906C1" w:rsidRDefault="0029636F" w:rsidP="0029636F">
      <w:pPr>
        <w:pStyle w:val="TableDesc"/>
        <w:rPr>
          <w:b/>
        </w:rPr>
        <w:sectPr w:rsidR="0029636F" w:rsidRPr="001906C1" w:rsidSect="00A2124B">
          <w:pgSz w:w="11906" w:h="16838"/>
          <w:pgMar w:top="1440" w:right="1440" w:bottom="1440" w:left="1440" w:header="708" w:footer="708" w:gutter="0"/>
          <w:cols w:space="708"/>
          <w:docGrid w:linePitch="360"/>
        </w:sectPr>
      </w:pPr>
      <w:r>
        <w:fldChar w:fldCharType="begin"/>
      </w:r>
      <w:r>
        <w:instrText xml:space="preserve"> REF _Ref379790631 \h </w:instrText>
      </w:r>
      <w:r>
        <w:fldChar w:fldCharType="separate"/>
      </w:r>
      <w:r w:rsidR="0089071A" w:rsidRPr="00F521A0">
        <w:t>Table</w:t>
      </w:r>
      <w:r w:rsidR="0089071A">
        <w:t xml:space="preserve"> </w:t>
      </w:r>
      <w:r>
        <w:fldChar w:fldCharType="end"/>
      </w:r>
      <w:r>
        <w:t xml:space="preserve"> </w:t>
      </w:r>
      <w:r w:rsidRPr="00A52611">
        <w:t>presents the average abnormal spread surrounding the total sample of bank loan announcements, the initial sample of bank loan announcements, and the sample of subsequent loan announcements. Abnormal spread is calculated as outlined in equation (</w:t>
      </w:r>
      <w:r>
        <w:t>7</w:t>
      </w:r>
      <w:r w:rsidRPr="00A52611">
        <w:t>).</w:t>
      </w:r>
      <w:r>
        <w:t xml:space="preserve"> Cumulative average abnormal spread is presented for the event window -10 to -1 and 1 to 10 and calculated as outlined in equation (8).</w:t>
      </w:r>
      <w:r w:rsidRPr="00A52611">
        <w:t xml:space="preserve"> Student t-statistics are presented to show if the AASPREAD is significantly different from zero. Event Day ‘0’ represents the day of the bank loan announcement. Two tailed tests of significance are reported as follows *** less than 0.01 ** less than 0.05 and * less than 0.10</w:t>
      </w:r>
      <w:proofErr w:type="gramStart"/>
      <w:r w:rsidRPr="00A52611">
        <w:t>..</w:t>
      </w:r>
      <w:proofErr w:type="gramEnd"/>
    </w:p>
    <w:p w:rsidR="0029636F" w:rsidRDefault="0029636F" w:rsidP="0029636F">
      <w:pPr>
        <w:pStyle w:val="Table"/>
      </w:pPr>
      <w:bookmarkStart w:id="56" w:name="_Ref379456200"/>
      <w:bookmarkStart w:id="57" w:name="_Toc379787353"/>
      <w:r>
        <w:lastRenderedPageBreak/>
        <w:t>Table</w:t>
      </w:r>
      <w:r w:rsidR="00FC0F38">
        <w:t xml:space="preserve"> </w:t>
      </w:r>
      <w:bookmarkEnd w:id="56"/>
      <w:r w:rsidR="009C0FA7">
        <w:t>10</w:t>
      </w:r>
      <w:r>
        <w:t xml:space="preserve"> </w:t>
      </w:r>
      <w:r w:rsidRPr="00F521A0">
        <w:t xml:space="preserve">Determinants of </w:t>
      </w:r>
      <w:r>
        <w:t>abnormal turnover and abnormal spread</w:t>
      </w:r>
      <w:bookmarkEnd w:id="57"/>
    </w:p>
    <w:tbl>
      <w:tblPr>
        <w:tblStyle w:val="LightShading2"/>
        <w:tblW w:w="0" w:type="auto"/>
        <w:tblLook w:val="04A0" w:firstRow="1" w:lastRow="0" w:firstColumn="1" w:lastColumn="0" w:noHBand="0" w:noVBand="1"/>
      </w:tblPr>
      <w:tblGrid>
        <w:gridCol w:w="1510"/>
        <w:gridCol w:w="1071"/>
        <w:gridCol w:w="1566"/>
        <w:gridCol w:w="1566"/>
        <w:gridCol w:w="1059"/>
        <w:gridCol w:w="1494"/>
        <w:gridCol w:w="1383"/>
      </w:tblGrid>
      <w:tr w:rsidR="0029636F" w:rsidRPr="00E24E89" w:rsidTr="00DB1B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right w:val="single" w:sz="4" w:space="0" w:color="auto"/>
            </w:tcBorders>
            <w:shd w:val="clear" w:color="auto" w:fill="auto"/>
            <w:noWrap/>
            <w:hideMark/>
          </w:tcPr>
          <w:p w:rsidR="0029636F" w:rsidRPr="00E24E89" w:rsidRDefault="0029636F" w:rsidP="00DB1BCC">
            <w:pPr>
              <w:spacing w:line="240" w:lineRule="auto"/>
              <w:ind w:firstLine="0"/>
              <w:rPr>
                <w:rFonts w:eastAsia="Times New Roman" w:cs="Times New Roman"/>
                <w:color w:val="000000"/>
                <w:szCs w:val="24"/>
                <w:lang w:eastAsia="en-AU"/>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hideMark/>
          </w:tcPr>
          <w:p w:rsidR="0029636F" w:rsidRPr="00E24E89" w:rsidRDefault="0029636F" w:rsidP="00DB1BCC">
            <w:pPr>
              <w:spacing w:line="240" w:lineRule="auto"/>
              <w:ind w:firstLine="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 xml:space="preserve">Panel A: Abnormal Turnover -10 to 10 </w:t>
            </w:r>
          </w:p>
        </w:tc>
        <w:tc>
          <w:tcPr>
            <w:tcW w:w="0" w:type="auto"/>
            <w:gridSpan w:val="3"/>
            <w:tcBorders>
              <w:left w:val="single" w:sz="4" w:space="0" w:color="auto"/>
              <w:bottom w:val="single" w:sz="4" w:space="0" w:color="auto"/>
            </w:tcBorders>
            <w:shd w:val="clear" w:color="auto" w:fill="auto"/>
            <w:noWrap/>
            <w:hideMark/>
          </w:tcPr>
          <w:p w:rsidR="0029636F" w:rsidRPr="00E24E89"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 xml:space="preserve">Panel B: Abnormal Spread -10 to 10 </w:t>
            </w:r>
          </w:p>
        </w:tc>
      </w:tr>
      <w:tr w:rsidR="0029636F" w:rsidRPr="00E24E89" w:rsidTr="00DB1BC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shd w:val="clear" w:color="auto" w:fill="auto"/>
            <w:noWrap/>
            <w:hideMark/>
          </w:tcPr>
          <w:p w:rsidR="0029636F" w:rsidRPr="00E24E89" w:rsidRDefault="0029636F" w:rsidP="00DB1BCC">
            <w:pPr>
              <w:spacing w:line="240" w:lineRule="auto"/>
              <w:ind w:firstLine="0"/>
              <w:rPr>
                <w:rFonts w:eastAsia="Times New Roman" w:cs="Times New Roman"/>
                <w:color w:val="000000"/>
                <w:szCs w:val="24"/>
                <w:lang w:eastAsia="en-AU"/>
              </w:rPr>
            </w:pPr>
          </w:p>
        </w:tc>
        <w:tc>
          <w:tcPr>
            <w:tcW w:w="0" w:type="auto"/>
            <w:tcBorders>
              <w:top w:val="single" w:sz="4" w:space="0" w:color="auto"/>
              <w:left w:val="single" w:sz="4" w:space="0" w:color="auto"/>
              <w:bottom w:val="nil"/>
            </w:tcBorders>
            <w:shd w:val="clear" w:color="auto" w:fill="auto"/>
            <w:noWrap/>
            <w:hideMark/>
          </w:tcPr>
          <w:p w:rsidR="0029636F" w:rsidRPr="00E24E89"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proofErr w:type="spellStart"/>
            <w:r w:rsidRPr="00E24E89">
              <w:rPr>
                <w:rFonts w:eastAsia="Times New Roman" w:cs="Times New Roman"/>
                <w:color w:val="000000"/>
                <w:szCs w:val="24"/>
                <w:lang w:eastAsia="en-AU"/>
              </w:rPr>
              <w:t>Coeff</w:t>
            </w:r>
            <w:proofErr w:type="spellEnd"/>
          </w:p>
        </w:tc>
        <w:tc>
          <w:tcPr>
            <w:tcW w:w="0" w:type="auto"/>
            <w:tcBorders>
              <w:top w:val="single" w:sz="4" w:space="0" w:color="auto"/>
              <w:bottom w:val="nil"/>
            </w:tcBorders>
            <w:shd w:val="clear" w:color="auto" w:fill="auto"/>
            <w:noWrap/>
            <w:hideMark/>
          </w:tcPr>
          <w:p w:rsidR="0029636F" w:rsidRPr="00E24E89"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t-stat</w:t>
            </w:r>
          </w:p>
        </w:tc>
        <w:tc>
          <w:tcPr>
            <w:tcW w:w="0" w:type="auto"/>
            <w:tcBorders>
              <w:top w:val="single" w:sz="4" w:space="0" w:color="auto"/>
              <w:bottom w:val="nil"/>
              <w:right w:val="single" w:sz="4" w:space="0" w:color="auto"/>
            </w:tcBorders>
            <w:shd w:val="clear" w:color="auto" w:fill="auto"/>
            <w:noWrap/>
            <w:hideMark/>
          </w:tcPr>
          <w:p w:rsidR="0029636F" w:rsidRPr="00E24E89"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p-value</w:t>
            </w:r>
          </w:p>
        </w:tc>
        <w:tc>
          <w:tcPr>
            <w:tcW w:w="0" w:type="auto"/>
            <w:tcBorders>
              <w:top w:val="single" w:sz="4" w:space="0" w:color="auto"/>
              <w:left w:val="single" w:sz="4" w:space="0" w:color="auto"/>
              <w:bottom w:val="nil"/>
            </w:tcBorders>
            <w:shd w:val="clear" w:color="auto" w:fill="auto"/>
            <w:noWrap/>
            <w:hideMark/>
          </w:tcPr>
          <w:p w:rsidR="0029636F" w:rsidRPr="00E24E89"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proofErr w:type="spellStart"/>
            <w:r w:rsidRPr="00E24E89">
              <w:rPr>
                <w:rFonts w:eastAsia="Times New Roman" w:cs="Times New Roman"/>
                <w:color w:val="000000"/>
                <w:szCs w:val="24"/>
                <w:lang w:eastAsia="en-AU"/>
              </w:rPr>
              <w:t>Coeff</w:t>
            </w:r>
            <w:proofErr w:type="spellEnd"/>
          </w:p>
        </w:tc>
        <w:tc>
          <w:tcPr>
            <w:tcW w:w="0" w:type="auto"/>
            <w:tcBorders>
              <w:top w:val="single" w:sz="4" w:space="0" w:color="auto"/>
              <w:bottom w:val="nil"/>
            </w:tcBorders>
            <w:shd w:val="clear" w:color="auto" w:fill="auto"/>
            <w:noWrap/>
            <w:hideMark/>
          </w:tcPr>
          <w:p w:rsidR="0029636F" w:rsidRPr="00E24E89"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t-stat</w:t>
            </w:r>
          </w:p>
        </w:tc>
        <w:tc>
          <w:tcPr>
            <w:tcW w:w="0" w:type="auto"/>
            <w:tcBorders>
              <w:top w:val="single" w:sz="4" w:space="0" w:color="auto"/>
              <w:bottom w:val="nil"/>
              <w:right w:val="single" w:sz="4" w:space="0" w:color="auto"/>
            </w:tcBorders>
            <w:shd w:val="clear" w:color="auto" w:fill="auto"/>
            <w:noWrap/>
            <w:hideMark/>
          </w:tcPr>
          <w:p w:rsidR="0029636F" w:rsidRPr="00E24E89"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p-value</w:t>
            </w:r>
          </w:p>
        </w:tc>
      </w:tr>
      <w:tr w:rsidR="0029636F" w:rsidRPr="00E24E89" w:rsidTr="00DB1BCC">
        <w:trPr>
          <w:trHeight w:val="495"/>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shd w:val="clear" w:color="auto" w:fill="auto"/>
            <w:hideMark/>
          </w:tcPr>
          <w:p w:rsidR="0029636F" w:rsidRPr="00E24E89" w:rsidRDefault="0029636F" w:rsidP="00DB1BCC">
            <w:pPr>
              <w:spacing w:line="240" w:lineRule="auto"/>
              <w:ind w:firstLine="0"/>
              <w:rPr>
                <w:rFonts w:eastAsia="Times New Roman" w:cs="Times New Roman"/>
                <w:color w:val="000000"/>
                <w:szCs w:val="24"/>
                <w:lang w:eastAsia="en-AU"/>
              </w:rPr>
            </w:pPr>
            <w:r w:rsidRPr="00E24E89">
              <w:rPr>
                <w:rFonts w:eastAsia="Times New Roman" w:cs="Times New Roman"/>
                <w:color w:val="000000"/>
                <w:szCs w:val="24"/>
                <w:lang w:eastAsia="en-AU"/>
              </w:rPr>
              <w:t>(Constant)</w:t>
            </w:r>
          </w:p>
        </w:tc>
        <w:tc>
          <w:tcPr>
            <w:tcW w:w="0" w:type="auto"/>
            <w:tcBorders>
              <w:top w:val="nil"/>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-.007</w:t>
            </w:r>
          </w:p>
        </w:tc>
        <w:tc>
          <w:tcPr>
            <w:tcW w:w="0" w:type="auto"/>
            <w:tcBorders>
              <w:top w:val="nil"/>
              <w:bottom w:val="nil"/>
            </w:tcBorders>
            <w:shd w:val="clear" w:color="auto" w:fill="auto"/>
            <w:noWrap/>
            <w:hideMark/>
          </w:tcPr>
          <w:p w:rsidR="0029636F" w:rsidRPr="00E24E89"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-.283</w:t>
            </w:r>
          </w:p>
        </w:tc>
        <w:tc>
          <w:tcPr>
            <w:tcW w:w="0" w:type="auto"/>
            <w:tcBorders>
              <w:top w:val="nil"/>
              <w:bottom w:val="nil"/>
              <w:right w:val="single" w:sz="4" w:space="0" w:color="auto"/>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.777</w:t>
            </w:r>
          </w:p>
        </w:tc>
        <w:tc>
          <w:tcPr>
            <w:tcW w:w="0" w:type="auto"/>
            <w:tcBorders>
              <w:top w:val="nil"/>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-.545</w:t>
            </w:r>
          </w:p>
        </w:tc>
        <w:tc>
          <w:tcPr>
            <w:tcW w:w="0" w:type="auto"/>
            <w:tcBorders>
              <w:top w:val="nil"/>
              <w:bottom w:val="nil"/>
            </w:tcBorders>
            <w:shd w:val="clear" w:color="auto" w:fill="auto"/>
            <w:noWrap/>
            <w:hideMark/>
          </w:tcPr>
          <w:p w:rsidR="0029636F" w:rsidRPr="00E24E89"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en-AU"/>
              </w:rPr>
            </w:pPr>
            <w:r w:rsidRPr="00E24E89">
              <w:rPr>
                <w:rFonts w:eastAsia="Times New Roman" w:cs="Times New Roman"/>
                <w:b/>
                <w:bCs/>
                <w:color w:val="000000"/>
                <w:szCs w:val="24"/>
                <w:lang w:eastAsia="en-AU"/>
              </w:rPr>
              <w:t>-2.305**</w:t>
            </w:r>
          </w:p>
        </w:tc>
        <w:tc>
          <w:tcPr>
            <w:tcW w:w="0" w:type="auto"/>
            <w:tcBorders>
              <w:top w:val="nil"/>
              <w:bottom w:val="nil"/>
              <w:right w:val="single" w:sz="4" w:space="0" w:color="auto"/>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en-AU"/>
              </w:rPr>
            </w:pPr>
            <w:r w:rsidRPr="00E24E89">
              <w:rPr>
                <w:rFonts w:eastAsia="Times New Roman" w:cs="Times New Roman"/>
                <w:b/>
                <w:bCs/>
                <w:color w:val="000000"/>
                <w:szCs w:val="24"/>
                <w:lang w:eastAsia="en-AU"/>
              </w:rPr>
              <w:t>.022</w:t>
            </w:r>
          </w:p>
        </w:tc>
      </w:tr>
      <w:tr w:rsidR="0029636F" w:rsidRPr="00E24E89"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shd w:val="clear" w:color="auto" w:fill="auto"/>
            <w:hideMark/>
          </w:tcPr>
          <w:p w:rsidR="0029636F" w:rsidRPr="00E24E89" w:rsidRDefault="0029636F" w:rsidP="00DB1BCC">
            <w:pPr>
              <w:spacing w:line="240" w:lineRule="auto"/>
              <w:ind w:firstLine="0"/>
              <w:rPr>
                <w:rFonts w:eastAsia="Times New Roman" w:cs="Times New Roman"/>
                <w:color w:val="000000"/>
                <w:szCs w:val="24"/>
                <w:lang w:eastAsia="en-AU"/>
              </w:rPr>
            </w:pPr>
            <w:r w:rsidRPr="00E24E89">
              <w:rPr>
                <w:rFonts w:eastAsia="Times New Roman" w:cs="Times New Roman"/>
                <w:color w:val="000000"/>
                <w:szCs w:val="24"/>
                <w:lang w:eastAsia="en-AU"/>
              </w:rPr>
              <w:t>Initial</w:t>
            </w:r>
          </w:p>
        </w:tc>
        <w:tc>
          <w:tcPr>
            <w:tcW w:w="0" w:type="auto"/>
            <w:tcBorders>
              <w:top w:val="nil"/>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.002</w:t>
            </w:r>
          </w:p>
        </w:tc>
        <w:tc>
          <w:tcPr>
            <w:tcW w:w="0" w:type="auto"/>
            <w:tcBorders>
              <w:top w:val="nil"/>
              <w:bottom w:val="nil"/>
            </w:tcBorders>
            <w:shd w:val="clear" w:color="auto" w:fill="auto"/>
            <w:noWrap/>
            <w:hideMark/>
          </w:tcPr>
          <w:p w:rsidR="0029636F" w:rsidRPr="00E24E89"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.710</w:t>
            </w:r>
          </w:p>
        </w:tc>
        <w:tc>
          <w:tcPr>
            <w:tcW w:w="0" w:type="auto"/>
            <w:tcBorders>
              <w:top w:val="nil"/>
              <w:bottom w:val="nil"/>
              <w:right w:val="single" w:sz="4" w:space="0" w:color="auto"/>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.478</w:t>
            </w:r>
          </w:p>
        </w:tc>
        <w:tc>
          <w:tcPr>
            <w:tcW w:w="0" w:type="auto"/>
            <w:tcBorders>
              <w:top w:val="nil"/>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.019</w:t>
            </w:r>
          </w:p>
        </w:tc>
        <w:tc>
          <w:tcPr>
            <w:tcW w:w="0" w:type="auto"/>
            <w:tcBorders>
              <w:top w:val="nil"/>
              <w:bottom w:val="nil"/>
            </w:tcBorders>
            <w:shd w:val="clear" w:color="auto" w:fill="auto"/>
            <w:noWrap/>
            <w:hideMark/>
          </w:tcPr>
          <w:p w:rsidR="0029636F" w:rsidRPr="00E24E89"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.700</w:t>
            </w:r>
          </w:p>
        </w:tc>
        <w:tc>
          <w:tcPr>
            <w:tcW w:w="0" w:type="auto"/>
            <w:tcBorders>
              <w:top w:val="nil"/>
              <w:bottom w:val="nil"/>
              <w:right w:val="single" w:sz="4" w:space="0" w:color="auto"/>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.485</w:t>
            </w:r>
          </w:p>
        </w:tc>
      </w:tr>
      <w:tr w:rsidR="0029636F" w:rsidRPr="00E24E89"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shd w:val="clear" w:color="auto" w:fill="auto"/>
            <w:hideMark/>
          </w:tcPr>
          <w:p w:rsidR="0029636F" w:rsidRPr="00E24E89" w:rsidRDefault="0029636F" w:rsidP="00DB1BCC">
            <w:pPr>
              <w:spacing w:line="240" w:lineRule="auto"/>
              <w:ind w:firstLine="0"/>
              <w:rPr>
                <w:rFonts w:eastAsia="Times New Roman" w:cs="Times New Roman"/>
                <w:color w:val="000000"/>
                <w:szCs w:val="24"/>
                <w:lang w:eastAsia="en-AU"/>
              </w:rPr>
            </w:pPr>
            <w:proofErr w:type="spellStart"/>
            <w:r w:rsidRPr="00E24E89">
              <w:rPr>
                <w:rFonts w:eastAsia="Times New Roman" w:cs="Times New Roman"/>
                <w:color w:val="000000"/>
                <w:szCs w:val="24"/>
                <w:lang w:eastAsia="en-AU"/>
              </w:rPr>
              <w:t>FirstAnn</w:t>
            </w:r>
            <w:proofErr w:type="spellEnd"/>
          </w:p>
        </w:tc>
        <w:tc>
          <w:tcPr>
            <w:tcW w:w="0" w:type="auto"/>
            <w:tcBorders>
              <w:top w:val="nil"/>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.008</w:t>
            </w:r>
          </w:p>
        </w:tc>
        <w:tc>
          <w:tcPr>
            <w:tcW w:w="0" w:type="auto"/>
            <w:tcBorders>
              <w:top w:val="nil"/>
              <w:bottom w:val="nil"/>
            </w:tcBorders>
            <w:shd w:val="clear" w:color="auto" w:fill="auto"/>
            <w:noWrap/>
            <w:hideMark/>
          </w:tcPr>
          <w:p w:rsidR="0029636F" w:rsidRPr="00E24E89"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en-AU"/>
              </w:rPr>
            </w:pPr>
            <w:r w:rsidRPr="00E24E89">
              <w:rPr>
                <w:rFonts w:eastAsia="Times New Roman" w:cs="Times New Roman"/>
                <w:b/>
                <w:bCs/>
                <w:color w:val="000000"/>
                <w:szCs w:val="24"/>
                <w:lang w:eastAsia="en-AU"/>
              </w:rPr>
              <w:t>2.644***</w:t>
            </w:r>
          </w:p>
        </w:tc>
        <w:tc>
          <w:tcPr>
            <w:tcW w:w="0" w:type="auto"/>
            <w:tcBorders>
              <w:top w:val="nil"/>
              <w:bottom w:val="nil"/>
              <w:right w:val="single" w:sz="4" w:space="0" w:color="auto"/>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en-AU"/>
              </w:rPr>
            </w:pPr>
            <w:r w:rsidRPr="00E24E89">
              <w:rPr>
                <w:rFonts w:eastAsia="Times New Roman" w:cs="Times New Roman"/>
                <w:b/>
                <w:bCs/>
                <w:color w:val="000000"/>
                <w:szCs w:val="24"/>
                <w:lang w:eastAsia="en-AU"/>
              </w:rPr>
              <w:t>.009</w:t>
            </w:r>
          </w:p>
        </w:tc>
        <w:tc>
          <w:tcPr>
            <w:tcW w:w="0" w:type="auto"/>
            <w:tcBorders>
              <w:top w:val="nil"/>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-.045</w:t>
            </w:r>
          </w:p>
        </w:tc>
        <w:tc>
          <w:tcPr>
            <w:tcW w:w="0" w:type="auto"/>
            <w:tcBorders>
              <w:top w:val="nil"/>
              <w:bottom w:val="nil"/>
            </w:tcBorders>
            <w:shd w:val="clear" w:color="auto" w:fill="auto"/>
            <w:noWrap/>
            <w:hideMark/>
          </w:tcPr>
          <w:p w:rsidR="0029636F" w:rsidRPr="00E24E89"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Cs w:val="24"/>
                <w:lang w:eastAsia="en-AU"/>
              </w:rPr>
            </w:pPr>
            <w:r w:rsidRPr="00E24E89">
              <w:rPr>
                <w:rFonts w:eastAsia="Times New Roman" w:cs="Times New Roman"/>
                <w:bCs/>
                <w:color w:val="000000"/>
                <w:szCs w:val="24"/>
                <w:lang w:eastAsia="en-AU"/>
              </w:rPr>
              <w:t>-1.559</w:t>
            </w:r>
          </w:p>
        </w:tc>
        <w:tc>
          <w:tcPr>
            <w:tcW w:w="0" w:type="auto"/>
            <w:tcBorders>
              <w:top w:val="nil"/>
              <w:bottom w:val="nil"/>
              <w:right w:val="single" w:sz="4" w:space="0" w:color="auto"/>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szCs w:val="24"/>
                <w:lang w:eastAsia="en-AU"/>
              </w:rPr>
            </w:pPr>
            <w:r w:rsidRPr="00E24E89">
              <w:rPr>
                <w:rFonts w:eastAsia="Times New Roman" w:cs="Times New Roman"/>
                <w:bCs/>
                <w:color w:val="000000"/>
                <w:szCs w:val="24"/>
                <w:lang w:eastAsia="en-AU"/>
              </w:rPr>
              <w:t>.120</w:t>
            </w:r>
          </w:p>
        </w:tc>
      </w:tr>
      <w:tr w:rsidR="0029636F" w:rsidRPr="00E24E89"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shd w:val="clear" w:color="auto" w:fill="auto"/>
            <w:hideMark/>
          </w:tcPr>
          <w:p w:rsidR="0029636F" w:rsidRPr="00E24E89" w:rsidRDefault="0029636F" w:rsidP="00DB1BCC">
            <w:pPr>
              <w:spacing w:line="240" w:lineRule="auto"/>
              <w:ind w:firstLine="0"/>
              <w:rPr>
                <w:rFonts w:eastAsia="Times New Roman" w:cs="Times New Roman"/>
                <w:color w:val="000000"/>
                <w:szCs w:val="24"/>
                <w:lang w:eastAsia="en-AU"/>
              </w:rPr>
            </w:pPr>
            <w:proofErr w:type="spellStart"/>
            <w:r w:rsidRPr="00E24E89">
              <w:rPr>
                <w:rFonts w:eastAsia="Times New Roman" w:cs="Times New Roman"/>
                <w:color w:val="000000"/>
                <w:szCs w:val="24"/>
                <w:lang w:eastAsia="en-AU"/>
              </w:rPr>
              <w:t>LnAmount</w:t>
            </w:r>
            <w:proofErr w:type="spellEnd"/>
          </w:p>
        </w:tc>
        <w:tc>
          <w:tcPr>
            <w:tcW w:w="0" w:type="auto"/>
            <w:tcBorders>
              <w:top w:val="nil"/>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.002</w:t>
            </w:r>
          </w:p>
        </w:tc>
        <w:tc>
          <w:tcPr>
            <w:tcW w:w="0" w:type="auto"/>
            <w:tcBorders>
              <w:top w:val="nil"/>
              <w:bottom w:val="nil"/>
            </w:tcBorders>
            <w:shd w:val="clear" w:color="auto" w:fill="auto"/>
            <w:noWrap/>
            <w:hideMark/>
          </w:tcPr>
          <w:p w:rsidR="0029636F" w:rsidRPr="00E24E89"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1.163</w:t>
            </w:r>
          </w:p>
        </w:tc>
        <w:tc>
          <w:tcPr>
            <w:tcW w:w="0" w:type="auto"/>
            <w:tcBorders>
              <w:top w:val="nil"/>
              <w:bottom w:val="nil"/>
              <w:right w:val="single" w:sz="4" w:space="0" w:color="auto"/>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.246</w:t>
            </w:r>
          </w:p>
        </w:tc>
        <w:tc>
          <w:tcPr>
            <w:tcW w:w="0" w:type="auto"/>
            <w:tcBorders>
              <w:top w:val="nil"/>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-.010</w:t>
            </w:r>
          </w:p>
        </w:tc>
        <w:tc>
          <w:tcPr>
            <w:tcW w:w="0" w:type="auto"/>
            <w:tcBorders>
              <w:top w:val="nil"/>
              <w:bottom w:val="nil"/>
            </w:tcBorders>
            <w:shd w:val="clear" w:color="auto" w:fill="auto"/>
            <w:noWrap/>
            <w:hideMark/>
          </w:tcPr>
          <w:p w:rsidR="0029636F" w:rsidRPr="00E24E89"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-.713</w:t>
            </w:r>
          </w:p>
        </w:tc>
        <w:tc>
          <w:tcPr>
            <w:tcW w:w="0" w:type="auto"/>
            <w:tcBorders>
              <w:top w:val="nil"/>
              <w:bottom w:val="nil"/>
              <w:right w:val="single" w:sz="4" w:space="0" w:color="auto"/>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.476</w:t>
            </w:r>
          </w:p>
        </w:tc>
      </w:tr>
      <w:tr w:rsidR="0029636F" w:rsidRPr="00E24E89"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shd w:val="clear" w:color="auto" w:fill="auto"/>
            <w:hideMark/>
          </w:tcPr>
          <w:p w:rsidR="0029636F" w:rsidRPr="00E24E89" w:rsidRDefault="0029636F" w:rsidP="00DB1BCC">
            <w:pPr>
              <w:spacing w:line="240" w:lineRule="auto"/>
              <w:ind w:firstLine="0"/>
              <w:rPr>
                <w:rFonts w:eastAsia="Times New Roman" w:cs="Times New Roman"/>
                <w:color w:val="000000"/>
                <w:szCs w:val="24"/>
                <w:lang w:eastAsia="en-AU"/>
              </w:rPr>
            </w:pPr>
            <w:r w:rsidRPr="00E24E89">
              <w:rPr>
                <w:rFonts w:eastAsia="Times New Roman" w:cs="Times New Roman"/>
                <w:color w:val="000000"/>
                <w:szCs w:val="24"/>
                <w:lang w:eastAsia="en-AU"/>
              </w:rPr>
              <w:t>Lenders</w:t>
            </w:r>
          </w:p>
        </w:tc>
        <w:tc>
          <w:tcPr>
            <w:tcW w:w="0" w:type="auto"/>
            <w:tcBorders>
              <w:top w:val="nil"/>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.001</w:t>
            </w:r>
          </w:p>
        </w:tc>
        <w:tc>
          <w:tcPr>
            <w:tcW w:w="0" w:type="auto"/>
            <w:tcBorders>
              <w:top w:val="nil"/>
              <w:bottom w:val="nil"/>
            </w:tcBorders>
            <w:shd w:val="clear" w:color="auto" w:fill="auto"/>
            <w:noWrap/>
            <w:hideMark/>
          </w:tcPr>
          <w:p w:rsidR="0029636F" w:rsidRPr="00E24E89"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.902</w:t>
            </w:r>
          </w:p>
        </w:tc>
        <w:tc>
          <w:tcPr>
            <w:tcW w:w="0" w:type="auto"/>
            <w:tcBorders>
              <w:top w:val="nil"/>
              <w:bottom w:val="nil"/>
              <w:right w:val="single" w:sz="4" w:space="0" w:color="auto"/>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.368</w:t>
            </w:r>
          </w:p>
        </w:tc>
        <w:tc>
          <w:tcPr>
            <w:tcW w:w="0" w:type="auto"/>
            <w:tcBorders>
              <w:top w:val="nil"/>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-.031</w:t>
            </w:r>
          </w:p>
        </w:tc>
        <w:tc>
          <w:tcPr>
            <w:tcW w:w="0" w:type="auto"/>
            <w:tcBorders>
              <w:top w:val="nil"/>
              <w:bottom w:val="nil"/>
            </w:tcBorders>
            <w:shd w:val="clear" w:color="auto" w:fill="auto"/>
            <w:noWrap/>
            <w:hideMark/>
          </w:tcPr>
          <w:p w:rsidR="0029636F" w:rsidRPr="00E24E89"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en-AU"/>
              </w:rPr>
            </w:pPr>
            <w:r w:rsidRPr="00E24E89">
              <w:rPr>
                <w:rFonts w:eastAsia="Times New Roman" w:cs="Times New Roman"/>
                <w:b/>
                <w:bCs/>
                <w:color w:val="000000"/>
                <w:szCs w:val="24"/>
                <w:lang w:eastAsia="en-AU"/>
              </w:rPr>
              <w:t>-2.168**</w:t>
            </w:r>
          </w:p>
        </w:tc>
        <w:tc>
          <w:tcPr>
            <w:tcW w:w="0" w:type="auto"/>
            <w:tcBorders>
              <w:top w:val="nil"/>
              <w:bottom w:val="nil"/>
              <w:right w:val="single" w:sz="4" w:space="0" w:color="auto"/>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en-AU"/>
              </w:rPr>
            </w:pPr>
            <w:r w:rsidRPr="00E24E89">
              <w:rPr>
                <w:rFonts w:eastAsia="Times New Roman" w:cs="Times New Roman"/>
                <w:b/>
                <w:bCs/>
                <w:color w:val="000000"/>
                <w:szCs w:val="24"/>
                <w:lang w:eastAsia="en-AU"/>
              </w:rPr>
              <w:t>.031</w:t>
            </w:r>
          </w:p>
        </w:tc>
      </w:tr>
      <w:tr w:rsidR="0029636F" w:rsidRPr="00E24E89"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shd w:val="clear" w:color="auto" w:fill="auto"/>
            <w:hideMark/>
          </w:tcPr>
          <w:p w:rsidR="0029636F" w:rsidRPr="00E24E89" w:rsidRDefault="0029636F" w:rsidP="00DB1BCC">
            <w:pPr>
              <w:spacing w:line="240" w:lineRule="auto"/>
              <w:ind w:firstLine="0"/>
              <w:rPr>
                <w:rFonts w:eastAsia="Times New Roman" w:cs="Times New Roman"/>
                <w:color w:val="000000"/>
                <w:szCs w:val="24"/>
                <w:lang w:eastAsia="en-AU"/>
              </w:rPr>
            </w:pPr>
            <w:r w:rsidRPr="00E24E89">
              <w:rPr>
                <w:rFonts w:eastAsia="Times New Roman" w:cs="Times New Roman"/>
                <w:color w:val="000000"/>
                <w:szCs w:val="24"/>
                <w:lang w:eastAsia="en-AU"/>
              </w:rPr>
              <w:t>Hedge</w:t>
            </w:r>
          </w:p>
        </w:tc>
        <w:tc>
          <w:tcPr>
            <w:tcW w:w="0" w:type="auto"/>
            <w:tcBorders>
              <w:top w:val="nil"/>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.000</w:t>
            </w:r>
          </w:p>
        </w:tc>
        <w:tc>
          <w:tcPr>
            <w:tcW w:w="0" w:type="auto"/>
            <w:tcBorders>
              <w:top w:val="nil"/>
              <w:bottom w:val="nil"/>
            </w:tcBorders>
            <w:shd w:val="clear" w:color="auto" w:fill="auto"/>
            <w:noWrap/>
            <w:hideMark/>
          </w:tcPr>
          <w:p w:rsidR="0029636F" w:rsidRPr="00E24E89"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.137</w:t>
            </w:r>
          </w:p>
        </w:tc>
        <w:tc>
          <w:tcPr>
            <w:tcW w:w="0" w:type="auto"/>
            <w:tcBorders>
              <w:top w:val="nil"/>
              <w:bottom w:val="nil"/>
              <w:right w:val="single" w:sz="4" w:space="0" w:color="auto"/>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.891</w:t>
            </w:r>
          </w:p>
        </w:tc>
        <w:tc>
          <w:tcPr>
            <w:tcW w:w="0" w:type="auto"/>
            <w:tcBorders>
              <w:top w:val="nil"/>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.005</w:t>
            </w:r>
          </w:p>
        </w:tc>
        <w:tc>
          <w:tcPr>
            <w:tcW w:w="0" w:type="auto"/>
            <w:tcBorders>
              <w:top w:val="nil"/>
              <w:bottom w:val="nil"/>
            </w:tcBorders>
            <w:shd w:val="clear" w:color="auto" w:fill="auto"/>
            <w:noWrap/>
            <w:hideMark/>
          </w:tcPr>
          <w:p w:rsidR="0029636F" w:rsidRPr="00E24E89"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.164</w:t>
            </w:r>
          </w:p>
        </w:tc>
        <w:tc>
          <w:tcPr>
            <w:tcW w:w="0" w:type="auto"/>
            <w:tcBorders>
              <w:top w:val="nil"/>
              <w:bottom w:val="nil"/>
              <w:right w:val="single" w:sz="4" w:space="0" w:color="auto"/>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.870</w:t>
            </w:r>
          </w:p>
        </w:tc>
      </w:tr>
      <w:tr w:rsidR="0029636F" w:rsidRPr="00E24E89" w:rsidTr="00DB1BCC">
        <w:trPr>
          <w:trHeight w:val="48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shd w:val="clear" w:color="auto" w:fill="auto"/>
            <w:hideMark/>
          </w:tcPr>
          <w:p w:rsidR="0029636F" w:rsidRPr="00E24E89" w:rsidRDefault="0029636F" w:rsidP="00DB1BCC">
            <w:pPr>
              <w:spacing w:line="240" w:lineRule="auto"/>
              <w:ind w:firstLine="0"/>
              <w:rPr>
                <w:rFonts w:eastAsia="Times New Roman" w:cs="Times New Roman"/>
                <w:color w:val="000000"/>
                <w:szCs w:val="24"/>
                <w:lang w:eastAsia="en-AU"/>
              </w:rPr>
            </w:pPr>
            <w:proofErr w:type="spellStart"/>
            <w:r w:rsidRPr="00E24E89">
              <w:rPr>
                <w:rFonts w:eastAsia="Times New Roman" w:cs="Times New Roman"/>
                <w:color w:val="000000"/>
                <w:szCs w:val="24"/>
                <w:lang w:eastAsia="en-AU"/>
              </w:rPr>
              <w:t>BankEquity</w:t>
            </w:r>
            <w:proofErr w:type="spellEnd"/>
          </w:p>
        </w:tc>
        <w:tc>
          <w:tcPr>
            <w:tcW w:w="0" w:type="auto"/>
            <w:tcBorders>
              <w:top w:val="nil"/>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-.008</w:t>
            </w:r>
          </w:p>
        </w:tc>
        <w:tc>
          <w:tcPr>
            <w:tcW w:w="0" w:type="auto"/>
            <w:tcBorders>
              <w:top w:val="nil"/>
              <w:bottom w:val="nil"/>
            </w:tcBorders>
            <w:shd w:val="clear" w:color="auto" w:fill="auto"/>
            <w:noWrap/>
            <w:hideMark/>
          </w:tcPr>
          <w:p w:rsidR="0029636F" w:rsidRPr="00E24E89"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en-AU"/>
              </w:rPr>
            </w:pPr>
            <w:r w:rsidRPr="00E24E89">
              <w:rPr>
                <w:rFonts w:eastAsia="Times New Roman" w:cs="Times New Roman"/>
                <w:b/>
                <w:bCs/>
                <w:color w:val="000000"/>
                <w:szCs w:val="24"/>
                <w:lang w:eastAsia="en-AU"/>
              </w:rPr>
              <w:t>-2.313**</w:t>
            </w:r>
          </w:p>
        </w:tc>
        <w:tc>
          <w:tcPr>
            <w:tcW w:w="0" w:type="auto"/>
            <w:tcBorders>
              <w:top w:val="nil"/>
              <w:bottom w:val="nil"/>
              <w:right w:val="single" w:sz="4" w:space="0" w:color="auto"/>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en-AU"/>
              </w:rPr>
            </w:pPr>
            <w:r w:rsidRPr="00E24E89">
              <w:rPr>
                <w:rFonts w:eastAsia="Times New Roman" w:cs="Times New Roman"/>
                <w:b/>
                <w:bCs/>
                <w:color w:val="000000"/>
                <w:szCs w:val="24"/>
                <w:lang w:eastAsia="en-AU"/>
              </w:rPr>
              <w:t>.021</w:t>
            </w:r>
          </w:p>
        </w:tc>
        <w:tc>
          <w:tcPr>
            <w:tcW w:w="0" w:type="auto"/>
            <w:tcBorders>
              <w:top w:val="nil"/>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.016</w:t>
            </w:r>
          </w:p>
        </w:tc>
        <w:tc>
          <w:tcPr>
            <w:tcW w:w="0" w:type="auto"/>
            <w:tcBorders>
              <w:top w:val="nil"/>
              <w:bottom w:val="nil"/>
            </w:tcBorders>
            <w:shd w:val="clear" w:color="auto" w:fill="auto"/>
            <w:noWrap/>
            <w:hideMark/>
          </w:tcPr>
          <w:p w:rsidR="0029636F" w:rsidRPr="00E24E89"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.489</w:t>
            </w:r>
          </w:p>
        </w:tc>
        <w:tc>
          <w:tcPr>
            <w:tcW w:w="0" w:type="auto"/>
            <w:tcBorders>
              <w:top w:val="nil"/>
              <w:bottom w:val="nil"/>
              <w:right w:val="single" w:sz="4" w:space="0" w:color="auto"/>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.625</w:t>
            </w:r>
          </w:p>
        </w:tc>
      </w:tr>
      <w:tr w:rsidR="0029636F" w:rsidRPr="00E24E89" w:rsidTr="00DB1BCC">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shd w:val="clear" w:color="auto" w:fill="auto"/>
            <w:hideMark/>
          </w:tcPr>
          <w:p w:rsidR="0029636F" w:rsidRPr="00E24E89" w:rsidRDefault="0029636F" w:rsidP="00DB1BCC">
            <w:pPr>
              <w:spacing w:line="240" w:lineRule="auto"/>
              <w:ind w:firstLine="0"/>
              <w:rPr>
                <w:rFonts w:eastAsia="Times New Roman" w:cs="Times New Roman"/>
                <w:color w:val="000000"/>
                <w:szCs w:val="24"/>
                <w:lang w:eastAsia="en-AU"/>
              </w:rPr>
            </w:pPr>
            <w:proofErr w:type="spellStart"/>
            <w:r w:rsidRPr="00E24E89">
              <w:rPr>
                <w:rFonts w:eastAsia="Times New Roman" w:cs="Times New Roman"/>
                <w:color w:val="000000"/>
                <w:szCs w:val="24"/>
                <w:lang w:eastAsia="en-AU"/>
              </w:rPr>
              <w:t>EquityRaise</w:t>
            </w:r>
            <w:proofErr w:type="spellEnd"/>
          </w:p>
        </w:tc>
        <w:tc>
          <w:tcPr>
            <w:tcW w:w="0" w:type="auto"/>
            <w:tcBorders>
              <w:top w:val="nil"/>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.013</w:t>
            </w:r>
          </w:p>
        </w:tc>
        <w:tc>
          <w:tcPr>
            <w:tcW w:w="0" w:type="auto"/>
            <w:tcBorders>
              <w:top w:val="nil"/>
              <w:bottom w:val="nil"/>
            </w:tcBorders>
            <w:shd w:val="clear" w:color="auto" w:fill="auto"/>
            <w:noWrap/>
            <w:hideMark/>
          </w:tcPr>
          <w:p w:rsidR="0029636F" w:rsidRPr="00E24E89"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en-AU"/>
              </w:rPr>
            </w:pPr>
            <w:r w:rsidRPr="00E24E89">
              <w:rPr>
                <w:rFonts w:eastAsia="Times New Roman" w:cs="Times New Roman"/>
                <w:b/>
                <w:bCs/>
                <w:color w:val="000000"/>
                <w:szCs w:val="24"/>
                <w:lang w:eastAsia="en-AU"/>
              </w:rPr>
              <w:t>2.809***</w:t>
            </w:r>
          </w:p>
        </w:tc>
        <w:tc>
          <w:tcPr>
            <w:tcW w:w="0" w:type="auto"/>
            <w:tcBorders>
              <w:top w:val="nil"/>
              <w:bottom w:val="nil"/>
              <w:right w:val="single" w:sz="4" w:space="0" w:color="auto"/>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en-AU"/>
              </w:rPr>
            </w:pPr>
            <w:r w:rsidRPr="00E24E89">
              <w:rPr>
                <w:rFonts w:eastAsia="Times New Roman" w:cs="Times New Roman"/>
                <w:b/>
                <w:bCs/>
                <w:color w:val="000000"/>
                <w:szCs w:val="24"/>
                <w:lang w:eastAsia="en-AU"/>
              </w:rPr>
              <w:t>.005</w:t>
            </w:r>
          </w:p>
        </w:tc>
        <w:tc>
          <w:tcPr>
            <w:tcW w:w="0" w:type="auto"/>
            <w:tcBorders>
              <w:top w:val="nil"/>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.034</w:t>
            </w:r>
          </w:p>
        </w:tc>
        <w:tc>
          <w:tcPr>
            <w:tcW w:w="0" w:type="auto"/>
            <w:tcBorders>
              <w:top w:val="nil"/>
              <w:bottom w:val="nil"/>
            </w:tcBorders>
            <w:shd w:val="clear" w:color="auto" w:fill="auto"/>
            <w:noWrap/>
            <w:hideMark/>
          </w:tcPr>
          <w:p w:rsidR="0029636F" w:rsidRPr="00E24E89"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.766</w:t>
            </w:r>
          </w:p>
        </w:tc>
        <w:tc>
          <w:tcPr>
            <w:tcW w:w="0" w:type="auto"/>
            <w:tcBorders>
              <w:top w:val="nil"/>
              <w:bottom w:val="nil"/>
              <w:right w:val="single" w:sz="4" w:space="0" w:color="auto"/>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.444</w:t>
            </w:r>
          </w:p>
        </w:tc>
      </w:tr>
      <w:tr w:rsidR="0029636F" w:rsidRPr="00E24E89"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shd w:val="clear" w:color="auto" w:fill="auto"/>
            <w:hideMark/>
          </w:tcPr>
          <w:p w:rsidR="0029636F" w:rsidRPr="00E24E89" w:rsidRDefault="0029636F" w:rsidP="00DB1BCC">
            <w:pPr>
              <w:spacing w:line="240" w:lineRule="auto"/>
              <w:ind w:firstLine="0"/>
              <w:rPr>
                <w:rFonts w:eastAsia="Times New Roman" w:cs="Times New Roman"/>
                <w:color w:val="000000"/>
                <w:szCs w:val="24"/>
                <w:lang w:eastAsia="en-AU"/>
              </w:rPr>
            </w:pPr>
            <w:proofErr w:type="spellStart"/>
            <w:r w:rsidRPr="00E24E89">
              <w:rPr>
                <w:rFonts w:eastAsia="Times New Roman" w:cs="Times New Roman"/>
                <w:color w:val="000000"/>
                <w:szCs w:val="24"/>
                <w:lang w:eastAsia="en-AU"/>
              </w:rPr>
              <w:t>LnMCAP</w:t>
            </w:r>
            <w:proofErr w:type="spellEnd"/>
          </w:p>
        </w:tc>
        <w:tc>
          <w:tcPr>
            <w:tcW w:w="0" w:type="auto"/>
            <w:tcBorders>
              <w:top w:val="nil"/>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0.00</w:t>
            </w:r>
          </w:p>
        </w:tc>
        <w:tc>
          <w:tcPr>
            <w:tcW w:w="0" w:type="auto"/>
            <w:tcBorders>
              <w:top w:val="nil"/>
              <w:bottom w:val="nil"/>
            </w:tcBorders>
            <w:shd w:val="clear" w:color="auto" w:fill="auto"/>
            <w:noWrap/>
            <w:hideMark/>
          </w:tcPr>
          <w:p w:rsidR="0029636F" w:rsidRPr="00E24E89"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.043</w:t>
            </w:r>
          </w:p>
        </w:tc>
        <w:tc>
          <w:tcPr>
            <w:tcW w:w="0" w:type="auto"/>
            <w:tcBorders>
              <w:top w:val="nil"/>
              <w:bottom w:val="nil"/>
              <w:right w:val="single" w:sz="4" w:space="0" w:color="auto"/>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.966</w:t>
            </w:r>
          </w:p>
        </w:tc>
        <w:tc>
          <w:tcPr>
            <w:tcW w:w="0" w:type="auto"/>
            <w:tcBorders>
              <w:top w:val="nil"/>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.033</w:t>
            </w:r>
          </w:p>
        </w:tc>
        <w:tc>
          <w:tcPr>
            <w:tcW w:w="0" w:type="auto"/>
            <w:tcBorders>
              <w:top w:val="nil"/>
              <w:bottom w:val="nil"/>
            </w:tcBorders>
            <w:shd w:val="clear" w:color="auto" w:fill="auto"/>
            <w:noWrap/>
            <w:hideMark/>
          </w:tcPr>
          <w:p w:rsidR="0029636F" w:rsidRPr="00E24E89"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en-AU"/>
              </w:rPr>
            </w:pPr>
            <w:r w:rsidRPr="00E24E89">
              <w:rPr>
                <w:rFonts w:eastAsia="Times New Roman" w:cs="Times New Roman"/>
                <w:b/>
                <w:bCs/>
                <w:color w:val="000000"/>
                <w:szCs w:val="24"/>
                <w:lang w:eastAsia="en-AU"/>
              </w:rPr>
              <w:t>2.567**</w:t>
            </w:r>
          </w:p>
        </w:tc>
        <w:tc>
          <w:tcPr>
            <w:tcW w:w="0" w:type="auto"/>
            <w:tcBorders>
              <w:top w:val="nil"/>
              <w:bottom w:val="nil"/>
              <w:right w:val="single" w:sz="4" w:space="0" w:color="auto"/>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en-AU"/>
              </w:rPr>
            </w:pPr>
            <w:r w:rsidRPr="00E24E89">
              <w:rPr>
                <w:rFonts w:eastAsia="Times New Roman" w:cs="Times New Roman"/>
                <w:b/>
                <w:bCs/>
                <w:color w:val="000000"/>
                <w:szCs w:val="24"/>
                <w:lang w:eastAsia="en-AU"/>
              </w:rPr>
              <w:t>.011</w:t>
            </w:r>
          </w:p>
        </w:tc>
      </w:tr>
      <w:tr w:rsidR="0029636F" w:rsidRPr="00E24E89" w:rsidTr="00DB1BC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shd w:val="clear" w:color="auto" w:fill="auto"/>
            <w:hideMark/>
          </w:tcPr>
          <w:p w:rsidR="0029636F" w:rsidRPr="00E24E89" w:rsidRDefault="0029636F" w:rsidP="00DB1BCC">
            <w:pPr>
              <w:spacing w:line="240" w:lineRule="auto"/>
              <w:ind w:firstLine="0"/>
              <w:rPr>
                <w:rFonts w:eastAsia="Times New Roman" w:cs="Times New Roman"/>
                <w:color w:val="000000"/>
                <w:szCs w:val="24"/>
                <w:lang w:eastAsia="en-AU"/>
              </w:rPr>
            </w:pPr>
            <w:r w:rsidRPr="00E24E89">
              <w:rPr>
                <w:rFonts w:eastAsia="Times New Roman" w:cs="Times New Roman"/>
                <w:color w:val="000000"/>
                <w:szCs w:val="24"/>
                <w:lang w:eastAsia="en-AU"/>
              </w:rPr>
              <w:t>Loss</w:t>
            </w:r>
          </w:p>
        </w:tc>
        <w:tc>
          <w:tcPr>
            <w:tcW w:w="0" w:type="auto"/>
            <w:tcBorders>
              <w:top w:val="nil"/>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.004</w:t>
            </w:r>
          </w:p>
        </w:tc>
        <w:tc>
          <w:tcPr>
            <w:tcW w:w="0" w:type="auto"/>
            <w:tcBorders>
              <w:top w:val="nil"/>
              <w:bottom w:val="nil"/>
            </w:tcBorders>
            <w:shd w:val="clear" w:color="auto" w:fill="auto"/>
            <w:noWrap/>
            <w:hideMark/>
          </w:tcPr>
          <w:p w:rsidR="0029636F" w:rsidRPr="00E24E89"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1.286</w:t>
            </w:r>
          </w:p>
        </w:tc>
        <w:tc>
          <w:tcPr>
            <w:tcW w:w="0" w:type="auto"/>
            <w:tcBorders>
              <w:top w:val="nil"/>
              <w:bottom w:val="nil"/>
              <w:right w:val="single" w:sz="4" w:space="0" w:color="auto"/>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.199</w:t>
            </w:r>
          </w:p>
        </w:tc>
        <w:tc>
          <w:tcPr>
            <w:tcW w:w="0" w:type="auto"/>
            <w:tcBorders>
              <w:top w:val="nil"/>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-.056</w:t>
            </w:r>
          </w:p>
        </w:tc>
        <w:tc>
          <w:tcPr>
            <w:tcW w:w="0" w:type="auto"/>
            <w:tcBorders>
              <w:top w:val="nil"/>
              <w:bottom w:val="nil"/>
            </w:tcBorders>
            <w:shd w:val="clear" w:color="auto" w:fill="auto"/>
            <w:noWrap/>
            <w:hideMark/>
          </w:tcPr>
          <w:p w:rsidR="0029636F" w:rsidRPr="00E24E89"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en-AU"/>
              </w:rPr>
            </w:pPr>
            <w:r w:rsidRPr="00E24E89">
              <w:rPr>
                <w:rFonts w:eastAsia="Times New Roman" w:cs="Times New Roman"/>
                <w:b/>
                <w:bCs/>
                <w:color w:val="000000"/>
                <w:szCs w:val="24"/>
                <w:lang w:eastAsia="en-AU"/>
              </w:rPr>
              <w:t>-1.835*</w:t>
            </w:r>
          </w:p>
        </w:tc>
        <w:tc>
          <w:tcPr>
            <w:tcW w:w="0" w:type="auto"/>
            <w:tcBorders>
              <w:top w:val="nil"/>
              <w:bottom w:val="nil"/>
              <w:right w:val="single" w:sz="4" w:space="0" w:color="auto"/>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en-AU"/>
              </w:rPr>
            </w:pPr>
            <w:r w:rsidRPr="00E24E89">
              <w:rPr>
                <w:rFonts w:eastAsia="Times New Roman" w:cs="Times New Roman"/>
                <w:b/>
                <w:bCs/>
                <w:color w:val="000000"/>
                <w:szCs w:val="24"/>
                <w:lang w:eastAsia="en-AU"/>
              </w:rPr>
              <w:t>.067</w:t>
            </w:r>
          </w:p>
        </w:tc>
      </w:tr>
      <w:tr w:rsidR="0029636F" w:rsidRPr="00E24E89" w:rsidTr="00DB1BCC">
        <w:trPr>
          <w:trHeight w:val="495"/>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bottom w:val="single" w:sz="4" w:space="0" w:color="auto"/>
              <w:right w:val="single" w:sz="4" w:space="0" w:color="auto"/>
            </w:tcBorders>
            <w:shd w:val="clear" w:color="auto" w:fill="auto"/>
            <w:hideMark/>
          </w:tcPr>
          <w:p w:rsidR="0029636F" w:rsidRPr="00E24E89" w:rsidRDefault="0029636F" w:rsidP="00DB1BCC">
            <w:pPr>
              <w:spacing w:line="240" w:lineRule="auto"/>
              <w:ind w:firstLine="0"/>
              <w:rPr>
                <w:rFonts w:eastAsia="Times New Roman" w:cs="Times New Roman"/>
                <w:color w:val="000000"/>
                <w:szCs w:val="24"/>
                <w:lang w:eastAsia="en-AU"/>
              </w:rPr>
            </w:pPr>
            <w:proofErr w:type="spellStart"/>
            <w:r w:rsidRPr="00E24E89">
              <w:rPr>
                <w:rFonts w:eastAsia="Times New Roman" w:cs="Times New Roman"/>
                <w:color w:val="000000"/>
                <w:szCs w:val="24"/>
                <w:lang w:eastAsia="en-AU"/>
              </w:rPr>
              <w:t>NumAnalyst</w:t>
            </w:r>
            <w:proofErr w:type="spellEnd"/>
          </w:p>
        </w:tc>
        <w:tc>
          <w:tcPr>
            <w:tcW w:w="0" w:type="auto"/>
            <w:tcBorders>
              <w:top w:val="nil"/>
              <w:left w:val="single" w:sz="4" w:space="0" w:color="auto"/>
              <w:bottom w:val="single" w:sz="4" w:space="0" w:color="auto"/>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.000</w:t>
            </w:r>
          </w:p>
        </w:tc>
        <w:tc>
          <w:tcPr>
            <w:tcW w:w="0" w:type="auto"/>
            <w:tcBorders>
              <w:top w:val="nil"/>
              <w:bottom w:val="single" w:sz="4" w:space="0" w:color="auto"/>
            </w:tcBorders>
            <w:shd w:val="clear" w:color="auto" w:fill="auto"/>
            <w:noWrap/>
            <w:hideMark/>
          </w:tcPr>
          <w:p w:rsidR="0029636F" w:rsidRPr="00E24E89"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-.764</w:t>
            </w:r>
          </w:p>
        </w:tc>
        <w:tc>
          <w:tcPr>
            <w:tcW w:w="0" w:type="auto"/>
            <w:tcBorders>
              <w:top w:val="nil"/>
              <w:bottom w:val="single" w:sz="4" w:space="0" w:color="auto"/>
              <w:right w:val="single" w:sz="4" w:space="0" w:color="auto"/>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.445</w:t>
            </w:r>
          </w:p>
        </w:tc>
        <w:tc>
          <w:tcPr>
            <w:tcW w:w="0" w:type="auto"/>
            <w:tcBorders>
              <w:top w:val="nil"/>
              <w:left w:val="single" w:sz="4" w:space="0" w:color="auto"/>
              <w:bottom w:val="single" w:sz="4" w:space="0" w:color="auto"/>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-.002</w:t>
            </w:r>
          </w:p>
        </w:tc>
        <w:tc>
          <w:tcPr>
            <w:tcW w:w="0" w:type="auto"/>
            <w:tcBorders>
              <w:top w:val="nil"/>
              <w:bottom w:val="single" w:sz="4" w:space="0" w:color="auto"/>
            </w:tcBorders>
            <w:shd w:val="clear" w:color="auto" w:fill="auto"/>
            <w:noWrap/>
            <w:hideMark/>
          </w:tcPr>
          <w:p w:rsidR="0029636F" w:rsidRPr="00E24E89"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-.440</w:t>
            </w:r>
          </w:p>
        </w:tc>
        <w:tc>
          <w:tcPr>
            <w:tcW w:w="0" w:type="auto"/>
            <w:tcBorders>
              <w:top w:val="nil"/>
              <w:bottom w:val="single" w:sz="4" w:space="0" w:color="auto"/>
              <w:right w:val="single" w:sz="4" w:space="0" w:color="auto"/>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.660</w:t>
            </w:r>
          </w:p>
        </w:tc>
      </w:tr>
      <w:tr w:rsidR="0029636F" w:rsidRPr="00E24E89" w:rsidTr="00DB1BC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nil"/>
              <w:right w:val="single" w:sz="4" w:space="0" w:color="auto"/>
            </w:tcBorders>
            <w:shd w:val="clear" w:color="auto" w:fill="auto"/>
            <w:hideMark/>
          </w:tcPr>
          <w:p w:rsidR="0029636F" w:rsidRPr="00E24E89" w:rsidRDefault="0029636F" w:rsidP="00DB1BCC">
            <w:pPr>
              <w:spacing w:line="240" w:lineRule="auto"/>
              <w:ind w:firstLine="0"/>
              <w:rPr>
                <w:rFonts w:eastAsia="Times New Roman" w:cs="Times New Roman"/>
                <w:color w:val="000000"/>
                <w:szCs w:val="24"/>
                <w:lang w:eastAsia="en-AU"/>
              </w:rPr>
            </w:pPr>
            <w:r w:rsidRPr="00E24E89">
              <w:rPr>
                <w:rFonts w:eastAsia="Times New Roman" w:cs="Times New Roman"/>
                <w:color w:val="000000"/>
                <w:szCs w:val="24"/>
                <w:lang w:eastAsia="en-AU"/>
              </w:rPr>
              <w:t>F-stat</w:t>
            </w:r>
          </w:p>
        </w:tc>
        <w:tc>
          <w:tcPr>
            <w:tcW w:w="0" w:type="auto"/>
            <w:tcBorders>
              <w:top w:val="single" w:sz="4" w:space="0" w:color="auto"/>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2.804</w:t>
            </w:r>
          </w:p>
        </w:tc>
        <w:tc>
          <w:tcPr>
            <w:tcW w:w="0" w:type="auto"/>
            <w:tcBorders>
              <w:top w:val="single" w:sz="4" w:space="0" w:color="auto"/>
              <w:bottom w:val="nil"/>
            </w:tcBorders>
            <w:shd w:val="clear" w:color="auto" w:fill="auto"/>
            <w:noWrap/>
            <w:hideMark/>
          </w:tcPr>
          <w:p w:rsidR="0029636F" w:rsidRPr="00E24E89"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p>
        </w:tc>
        <w:tc>
          <w:tcPr>
            <w:tcW w:w="0" w:type="auto"/>
            <w:tcBorders>
              <w:top w:val="single" w:sz="4" w:space="0" w:color="auto"/>
              <w:bottom w:val="nil"/>
              <w:right w:val="single" w:sz="4" w:space="0" w:color="auto"/>
            </w:tcBorders>
            <w:shd w:val="clear" w:color="auto" w:fill="auto"/>
            <w:noWrap/>
            <w:hideMark/>
          </w:tcPr>
          <w:p w:rsidR="0029636F" w:rsidRPr="00E24E89"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en-AU"/>
              </w:rPr>
            </w:pPr>
            <w:r w:rsidRPr="00E24E89">
              <w:rPr>
                <w:rFonts w:eastAsia="Times New Roman" w:cs="Times New Roman"/>
                <w:b/>
                <w:bCs/>
                <w:color w:val="000000"/>
                <w:szCs w:val="24"/>
                <w:lang w:eastAsia="en-AU"/>
              </w:rPr>
              <w:t>0.002***</w:t>
            </w:r>
          </w:p>
        </w:tc>
        <w:tc>
          <w:tcPr>
            <w:tcW w:w="0" w:type="auto"/>
            <w:tcBorders>
              <w:top w:val="single" w:sz="4" w:space="0" w:color="auto"/>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2.517</w:t>
            </w:r>
          </w:p>
        </w:tc>
        <w:tc>
          <w:tcPr>
            <w:tcW w:w="0" w:type="auto"/>
            <w:tcBorders>
              <w:top w:val="single" w:sz="4" w:space="0" w:color="auto"/>
              <w:bottom w:val="nil"/>
            </w:tcBorders>
            <w:shd w:val="clear" w:color="auto" w:fill="auto"/>
            <w:noWrap/>
            <w:hideMark/>
          </w:tcPr>
          <w:p w:rsidR="0029636F" w:rsidRPr="00E24E89"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p>
        </w:tc>
        <w:tc>
          <w:tcPr>
            <w:tcW w:w="0" w:type="auto"/>
            <w:tcBorders>
              <w:top w:val="single" w:sz="4" w:space="0" w:color="auto"/>
              <w:bottom w:val="nil"/>
              <w:right w:val="single" w:sz="4" w:space="0" w:color="auto"/>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.006***</w:t>
            </w:r>
          </w:p>
        </w:tc>
      </w:tr>
      <w:tr w:rsidR="0029636F" w:rsidRPr="00E24E89" w:rsidTr="00DB1BCC">
        <w:trPr>
          <w:trHeight w:val="199"/>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bottom w:val="nil"/>
              <w:right w:val="single" w:sz="4" w:space="0" w:color="auto"/>
            </w:tcBorders>
            <w:shd w:val="clear" w:color="auto" w:fill="auto"/>
            <w:hideMark/>
          </w:tcPr>
          <w:p w:rsidR="0029636F" w:rsidRPr="00E24E89" w:rsidRDefault="0029636F" w:rsidP="00DB1BCC">
            <w:pPr>
              <w:spacing w:line="240" w:lineRule="auto"/>
              <w:ind w:firstLine="0"/>
              <w:rPr>
                <w:rFonts w:eastAsia="Times New Roman" w:cs="Times New Roman"/>
                <w:color w:val="000000"/>
                <w:szCs w:val="24"/>
                <w:lang w:eastAsia="en-AU"/>
              </w:rPr>
            </w:pPr>
            <w:r w:rsidRPr="00E24E89">
              <w:rPr>
                <w:rFonts w:eastAsia="Times New Roman" w:cs="Times New Roman"/>
                <w:color w:val="000000"/>
                <w:szCs w:val="24"/>
                <w:lang w:eastAsia="en-AU"/>
              </w:rPr>
              <w:t>Adjusted R2</w:t>
            </w:r>
          </w:p>
        </w:tc>
        <w:tc>
          <w:tcPr>
            <w:tcW w:w="0" w:type="auto"/>
            <w:tcBorders>
              <w:top w:val="nil"/>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.046</w:t>
            </w:r>
          </w:p>
        </w:tc>
        <w:tc>
          <w:tcPr>
            <w:tcW w:w="0" w:type="auto"/>
            <w:tcBorders>
              <w:top w:val="nil"/>
              <w:bottom w:val="nil"/>
            </w:tcBorders>
            <w:shd w:val="clear" w:color="auto" w:fill="auto"/>
            <w:noWrap/>
            <w:hideMark/>
          </w:tcPr>
          <w:p w:rsidR="0029636F" w:rsidRPr="00E24E89"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p>
        </w:tc>
        <w:tc>
          <w:tcPr>
            <w:tcW w:w="0" w:type="auto"/>
            <w:tcBorders>
              <w:top w:val="nil"/>
              <w:bottom w:val="nil"/>
              <w:right w:val="single" w:sz="4" w:space="0" w:color="auto"/>
            </w:tcBorders>
            <w:shd w:val="clear" w:color="auto" w:fill="auto"/>
            <w:noWrap/>
            <w:hideMark/>
          </w:tcPr>
          <w:p w:rsidR="0029636F" w:rsidRPr="00E24E89"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p>
        </w:tc>
        <w:tc>
          <w:tcPr>
            <w:tcW w:w="0" w:type="auto"/>
            <w:tcBorders>
              <w:top w:val="nil"/>
              <w:left w:val="single" w:sz="4" w:space="0" w:color="auto"/>
              <w:bottom w:val="nil"/>
            </w:tcBorders>
            <w:shd w:val="clear" w:color="auto" w:fill="auto"/>
            <w:noWrap/>
            <w:hideMark/>
          </w:tcPr>
          <w:p w:rsidR="0029636F" w:rsidRPr="00E24E89"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.042</w:t>
            </w:r>
          </w:p>
        </w:tc>
        <w:tc>
          <w:tcPr>
            <w:tcW w:w="0" w:type="auto"/>
            <w:tcBorders>
              <w:top w:val="nil"/>
              <w:bottom w:val="nil"/>
            </w:tcBorders>
            <w:shd w:val="clear" w:color="auto" w:fill="auto"/>
            <w:noWrap/>
            <w:hideMark/>
          </w:tcPr>
          <w:p w:rsidR="0029636F" w:rsidRPr="00E24E89"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p>
        </w:tc>
        <w:tc>
          <w:tcPr>
            <w:tcW w:w="0" w:type="auto"/>
            <w:tcBorders>
              <w:top w:val="nil"/>
              <w:bottom w:val="nil"/>
              <w:right w:val="single" w:sz="4" w:space="0" w:color="auto"/>
            </w:tcBorders>
            <w:shd w:val="clear" w:color="auto" w:fill="auto"/>
            <w:noWrap/>
            <w:hideMark/>
          </w:tcPr>
          <w:p w:rsidR="0029636F" w:rsidRPr="00E24E89"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p>
        </w:tc>
      </w:tr>
      <w:tr w:rsidR="0029636F" w:rsidRPr="00E24E89" w:rsidTr="00DB1BCC">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bottom w:val="single" w:sz="4" w:space="0" w:color="auto"/>
              <w:right w:val="single" w:sz="4" w:space="0" w:color="auto"/>
            </w:tcBorders>
            <w:shd w:val="clear" w:color="auto" w:fill="auto"/>
            <w:hideMark/>
          </w:tcPr>
          <w:p w:rsidR="0029636F" w:rsidRPr="00E24E89" w:rsidRDefault="0029636F" w:rsidP="00DB1BCC">
            <w:pPr>
              <w:spacing w:line="240" w:lineRule="auto"/>
              <w:ind w:firstLine="0"/>
              <w:rPr>
                <w:rFonts w:eastAsia="Times New Roman" w:cs="Times New Roman"/>
                <w:color w:val="000000"/>
                <w:szCs w:val="24"/>
                <w:lang w:eastAsia="en-AU"/>
              </w:rPr>
            </w:pPr>
            <w:r w:rsidRPr="00E24E89">
              <w:rPr>
                <w:rFonts w:eastAsia="Times New Roman" w:cs="Times New Roman"/>
                <w:color w:val="000000"/>
                <w:szCs w:val="24"/>
                <w:lang w:eastAsia="en-AU"/>
              </w:rPr>
              <w:t>N</w:t>
            </w:r>
          </w:p>
        </w:tc>
        <w:tc>
          <w:tcPr>
            <w:tcW w:w="0" w:type="auto"/>
            <w:tcBorders>
              <w:top w:val="nil"/>
              <w:left w:val="single" w:sz="4" w:space="0" w:color="auto"/>
              <w:bottom w:val="single" w:sz="4" w:space="0" w:color="auto"/>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370</w:t>
            </w:r>
          </w:p>
        </w:tc>
        <w:tc>
          <w:tcPr>
            <w:tcW w:w="0" w:type="auto"/>
            <w:tcBorders>
              <w:top w:val="nil"/>
              <w:bottom w:val="single" w:sz="4" w:space="0" w:color="auto"/>
            </w:tcBorders>
            <w:shd w:val="clear" w:color="auto" w:fill="auto"/>
            <w:noWrap/>
            <w:hideMark/>
          </w:tcPr>
          <w:p w:rsidR="0029636F" w:rsidRPr="00E24E89"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p>
        </w:tc>
        <w:tc>
          <w:tcPr>
            <w:tcW w:w="0" w:type="auto"/>
            <w:tcBorders>
              <w:top w:val="nil"/>
              <w:bottom w:val="single" w:sz="4" w:space="0" w:color="auto"/>
              <w:right w:val="single" w:sz="4" w:space="0" w:color="auto"/>
            </w:tcBorders>
            <w:shd w:val="clear" w:color="auto" w:fill="auto"/>
            <w:noWrap/>
            <w:hideMark/>
          </w:tcPr>
          <w:p w:rsidR="0029636F" w:rsidRPr="00E24E89"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p>
        </w:tc>
        <w:tc>
          <w:tcPr>
            <w:tcW w:w="0" w:type="auto"/>
            <w:tcBorders>
              <w:top w:val="nil"/>
              <w:left w:val="single" w:sz="4" w:space="0" w:color="auto"/>
              <w:bottom w:val="single" w:sz="4" w:space="0" w:color="auto"/>
            </w:tcBorders>
            <w:shd w:val="clear" w:color="auto" w:fill="auto"/>
            <w:noWrap/>
            <w:hideMark/>
          </w:tcPr>
          <w:p w:rsidR="0029636F" w:rsidRPr="00E24E89"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E24E89">
              <w:rPr>
                <w:rFonts w:eastAsia="Times New Roman" w:cs="Times New Roman"/>
                <w:color w:val="000000"/>
                <w:szCs w:val="24"/>
                <w:lang w:eastAsia="en-AU"/>
              </w:rPr>
              <w:t>345</w:t>
            </w:r>
          </w:p>
        </w:tc>
        <w:tc>
          <w:tcPr>
            <w:tcW w:w="0" w:type="auto"/>
            <w:tcBorders>
              <w:top w:val="nil"/>
              <w:bottom w:val="single" w:sz="4" w:space="0" w:color="auto"/>
            </w:tcBorders>
            <w:shd w:val="clear" w:color="auto" w:fill="auto"/>
            <w:noWrap/>
            <w:hideMark/>
          </w:tcPr>
          <w:p w:rsidR="0029636F" w:rsidRPr="00E24E89"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p>
        </w:tc>
        <w:tc>
          <w:tcPr>
            <w:tcW w:w="0" w:type="auto"/>
            <w:tcBorders>
              <w:top w:val="nil"/>
              <w:bottom w:val="single" w:sz="4" w:space="0" w:color="auto"/>
              <w:right w:val="single" w:sz="4" w:space="0" w:color="auto"/>
            </w:tcBorders>
            <w:shd w:val="clear" w:color="auto" w:fill="auto"/>
            <w:noWrap/>
            <w:hideMark/>
          </w:tcPr>
          <w:p w:rsidR="0029636F" w:rsidRPr="00E24E89"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p>
        </w:tc>
      </w:tr>
    </w:tbl>
    <w:p w:rsidR="0029636F" w:rsidRDefault="0029636F" w:rsidP="0029636F">
      <w:pPr>
        <w:pStyle w:val="TableDesc"/>
      </w:pPr>
      <w:r>
        <w:fldChar w:fldCharType="begin"/>
      </w:r>
      <w:r>
        <w:instrText xml:space="preserve"> REF _Ref379456200 \h </w:instrText>
      </w:r>
      <w:r>
        <w:fldChar w:fldCharType="separate"/>
      </w:r>
      <w:r w:rsidR="0089071A">
        <w:t xml:space="preserve">Table </w:t>
      </w:r>
      <w:r>
        <w:fldChar w:fldCharType="end"/>
      </w:r>
      <w:r>
        <w:t xml:space="preserve"> Panel A </w:t>
      </w:r>
      <w:r w:rsidRPr="00F521A0">
        <w:t xml:space="preserve">presents </w:t>
      </w:r>
      <w:r>
        <w:t xml:space="preserve">an </w:t>
      </w:r>
      <w:r w:rsidRPr="00F521A0">
        <w:t>Or</w:t>
      </w:r>
      <w:r>
        <w:t>dinary Least Squares regression</w:t>
      </w:r>
      <w:r w:rsidRPr="00F521A0">
        <w:t xml:space="preserve"> on the determinants of the </w:t>
      </w:r>
      <w:r>
        <w:t>cumulative average abnormal turnover over the -10 to 10 day event window</w:t>
      </w:r>
      <w:r w:rsidRPr="00F521A0">
        <w:t>.</w:t>
      </w:r>
      <w:r w:rsidRPr="00CC223A">
        <w:t xml:space="preserve"> </w:t>
      </w:r>
      <w:r>
        <w:t xml:space="preserve">Panel B </w:t>
      </w:r>
      <w:r w:rsidRPr="00F521A0">
        <w:t>presents</w:t>
      </w:r>
      <w:r>
        <w:t xml:space="preserve"> an</w:t>
      </w:r>
      <w:r w:rsidRPr="00F521A0">
        <w:t xml:space="preserve"> Or</w:t>
      </w:r>
      <w:r>
        <w:t>dinary Least Squares regression</w:t>
      </w:r>
      <w:r w:rsidRPr="00F521A0">
        <w:t xml:space="preserve"> on the determinants of the </w:t>
      </w:r>
      <w:r>
        <w:t>cumulative average abnormal spread over the -10 to 10 day event window</w:t>
      </w:r>
      <w:r w:rsidRPr="00F521A0">
        <w:t>.</w:t>
      </w:r>
      <w:r>
        <w:t xml:space="preserve"> </w:t>
      </w:r>
      <w:r w:rsidRPr="00F521A0">
        <w:t>Regression variables are defined as:</w:t>
      </w:r>
      <w:r w:rsidRPr="00107298">
        <w:rPr>
          <w:rFonts w:cs="Times New Roman"/>
          <w:i/>
          <w:szCs w:val="24"/>
          <w:lang w:val="en-NZ"/>
        </w:rPr>
        <w:t xml:space="preserve"> </w:t>
      </w:r>
      <w:r w:rsidRPr="00F521A0">
        <w:rPr>
          <w:rFonts w:cs="Times New Roman"/>
          <w:i/>
          <w:szCs w:val="24"/>
          <w:lang w:val="en-NZ"/>
        </w:rPr>
        <w:t xml:space="preserve">Initial </w:t>
      </w:r>
      <w:r w:rsidRPr="00F521A0">
        <w:rPr>
          <w:rFonts w:cs="Times New Roman"/>
          <w:szCs w:val="24"/>
          <w:lang w:val="en-NZ"/>
        </w:rPr>
        <w:t>represents a binary variable capturing if the loan is an initial loan.</w:t>
      </w:r>
      <w:r>
        <w:rPr>
          <w:rFonts w:cs="Times New Roman"/>
          <w:szCs w:val="24"/>
          <w:lang w:val="en-NZ"/>
        </w:rPr>
        <w:t xml:space="preserve"> </w:t>
      </w:r>
      <w:proofErr w:type="spellStart"/>
      <w:r>
        <w:rPr>
          <w:rFonts w:cs="Times New Roman"/>
          <w:i/>
          <w:szCs w:val="24"/>
          <w:lang w:val="en-NZ"/>
        </w:rPr>
        <w:t>FirstAnn</w:t>
      </w:r>
      <w:proofErr w:type="spellEnd"/>
      <w:r>
        <w:rPr>
          <w:rFonts w:cs="Times New Roman"/>
          <w:szCs w:val="24"/>
          <w:lang w:val="en-NZ"/>
        </w:rPr>
        <w:t xml:space="preserve"> is a binary variable equal to one if the announcement is the first in a sequence of announcements. </w:t>
      </w:r>
      <w:proofErr w:type="spellStart"/>
      <w:r w:rsidRPr="00F521A0">
        <w:rPr>
          <w:rFonts w:cs="Times New Roman"/>
          <w:i/>
          <w:szCs w:val="24"/>
          <w:lang w:val="en-NZ"/>
        </w:rPr>
        <w:t>LnAmount</w:t>
      </w:r>
      <w:proofErr w:type="spellEnd"/>
      <w:r w:rsidRPr="00F521A0">
        <w:rPr>
          <w:rFonts w:cs="Times New Roman"/>
          <w:i/>
          <w:szCs w:val="24"/>
          <w:lang w:val="en-NZ"/>
        </w:rPr>
        <w:t xml:space="preserve"> </w:t>
      </w:r>
      <w:r w:rsidRPr="00F521A0">
        <w:rPr>
          <w:rFonts w:cs="Times New Roman"/>
          <w:szCs w:val="24"/>
          <w:lang w:val="en-NZ"/>
        </w:rPr>
        <w:t>is calculated as the dollar amount of borrowed funds scaled by the borrowing firm’s total assets in the period prior to the loan announcement.</w:t>
      </w:r>
      <w:r w:rsidRPr="00107298">
        <w:rPr>
          <w:rFonts w:cs="Times New Roman"/>
          <w:i/>
          <w:szCs w:val="24"/>
          <w:lang w:val="en-NZ"/>
        </w:rPr>
        <w:t xml:space="preserve"> </w:t>
      </w:r>
      <w:proofErr w:type="gramStart"/>
      <w:r w:rsidRPr="00F521A0">
        <w:rPr>
          <w:rFonts w:cs="Times New Roman"/>
          <w:i/>
          <w:szCs w:val="24"/>
          <w:lang w:val="en-NZ"/>
        </w:rPr>
        <w:t>Lenders</w:t>
      </w:r>
      <w:r w:rsidRPr="00F521A0">
        <w:rPr>
          <w:rFonts w:cs="Times New Roman"/>
          <w:szCs w:val="24"/>
          <w:lang w:val="en-NZ"/>
        </w:rPr>
        <w:t xml:space="preserve"> is</w:t>
      </w:r>
      <w:proofErr w:type="gramEnd"/>
      <w:r w:rsidRPr="00F521A0">
        <w:rPr>
          <w:rFonts w:cs="Times New Roman"/>
          <w:szCs w:val="24"/>
          <w:lang w:val="en-NZ"/>
        </w:rPr>
        <w:t xml:space="preserve"> the number of lenders mentioned in the bank loan announcement.</w:t>
      </w:r>
      <w:r w:rsidRPr="00107298">
        <w:rPr>
          <w:rFonts w:cs="Times New Roman"/>
          <w:i/>
          <w:szCs w:val="24"/>
          <w:lang w:val="en-NZ"/>
        </w:rPr>
        <w:t xml:space="preserve"> </w:t>
      </w:r>
      <w:r w:rsidRPr="00F521A0">
        <w:rPr>
          <w:rFonts w:cs="Times New Roman"/>
          <w:i/>
          <w:szCs w:val="24"/>
          <w:lang w:val="en-NZ"/>
        </w:rPr>
        <w:t>Hedge</w:t>
      </w:r>
      <w:r w:rsidRPr="00F521A0">
        <w:rPr>
          <w:rFonts w:cs="Times New Roman"/>
          <w:szCs w:val="24"/>
          <w:lang w:val="en-NZ"/>
        </w:rPr>
        <w:t xml:space="preserve"> is a binary variable equal to 1 if it is disclosed within the bank loan announcement that the bank requires the borrowing to hedge its commodity or foreign exchange exposure before a loan agreement can be completed.</w:t>
      </w:r>
      <w:r w:rsidRPr="00107298">
        <w:rPr>
          <w:rFonts w:cs="Times New Roman"/>
          <w:i/>
          <w:szCs w:val="24"/>
          <w:lang w:val="en-NZ"/>
        </w:rPr>
        <w:t xml:space="preserve"> </w:t>
      </w:r>
      <w:proofErr w:type="spellStart"/>
      <w:r w:rsidRPr="00F521A0">
        <w:rPr>
          <w:rFonts w:cs="Times New Roman"/>
          <w:i/>
          <w:szCs w:val="24"/>
          <w:lang w:val="en-NZ"/>
        </w:rPr>
        <w:t>BankEquity</w:t>
      </w:r>
      <w:proofErr w:type="spellEnd"/>
      <w:r w:rsidRPr="00F521A0">
        <w:rPr>
          <w:rFonts w:cs="Times New Roman"/>
          <w:szCs w:val="24"/>
          <w:lang w:val="en-NZ"/>
        </w:rPr>
        <w:t xml:space="preserve"> is a binary variable equal to 1 if it is disclosed within the bank loan announcement that the bank owns shares, warrants or options of the borrowing firm.</w:t>
      </w:r>
      <w:r>
        <w:rPr>
          <w:rFonts w:cs="Times New Roman"/>
          <w:szCs w:val="24"/>
          <w:lang w:val="en-NZ"/>
        </w:rPr>
        <w:t xml:space="preserve"> </w:t>
      </w:r>
      <w:proofErr w:type="spellStart"/>
      <w:r w:rsidRPr="00F521A0">
        <w:rPr>
          <w:rFonts w:cs="Times New Roman"/>
          <w:i/>
          <w:szCs w:val="24"/>
          <w:lang w:val="en-NZ"/>
        </w:rPr>
        <w:t>EquityRaise</w:t>
      </w:r>
      <w:proofErr w:type="spellEnd"/>
      <w:r w:rsidRPr="00F521A0">
        <w:rPr>
          <w:rFonts w:cs="Times New Roman"/>
          <w:szCs w:val="24"/>
          <w:lang w:val="en-NZ"/>
        </w:rPr>
        <w:t xml:space="preserve"> is a binary variable equal to 1 if it is disclosed within the bank loan announcement that the bank requires the borrowing firm to raise further equity before a loan agreement can be completed.</w:t>
      </w:r>
      <w:r>
        <w:rPr>
          <w:rFonts w:cs="Times New Roman"/>
          <w:szCs w:val="24"/>
          <w:lang w:val="en-NZ"/>
        </w:rPr>
        <w:t xml:space="preserve"> </w:t>
      </w:r>
      <w:proofErr w:type="spellStart"/>
      <w:r w:rsidRPr="00F521A0">
        <w:rPr>
          <w:i/>
        </w:rPr>
        <w:t>LnMCap</w:t>
      </w:r>
      <w:proofErr w:type="spellEnd"/>
      <w:r w:rsidRPr="00F521A0">
        <w:t xml:space="preserve"> </w:t>
      </w:r>
      <w:r w:rsidRPr="00F521A0">
        <w:rPr>
          <w:rFonts w:cs="Times New Roman"/>
          <w:szCs w:val="24"/>
          <w:lang w:val="en-NZ"/>
        </w:rPr>
        <w:t>is the natural logarithm of the firm’s market capitalisation 15 days before the bank loan announcement.</w:t>
      </w:r>
      <w:r w:rsidRPr="00107298">
        <w:rPr>
          <w:rFonts w:cs="Times New Roman"/>
          <w:i/>
          <w:szCs w:val="24"/>
          <w:lang w:val="en-NZ"/>
        </w:rPr>
        <w:t xml:space="preserve"> </w:t>
      </w:r>
      <w:r w:rsidRPr="00F521A0">
        <w:rPr>
          <w:rFonts w:cs="Times New Roman"/>
          <w:i/>
          <w:szCs w:val="24"/>
          <w:lang w:val="en-NZ"/>
        </w:rPr>
        <w:t>Loss</w:t>
      </w:r>
      <w:r w:rsidRPr="00F521A0">
        <w:rPr>
          <w:rFonts w:cs="Times New Roman"/>
          <w:szCs w:val="24"/>
          <w:lang w:val="en-NZ"/>
        </w:rPr>
        <w:t xml:space="preserve"> is a binary variable equal to 1 if the firm reported a net profit after tax of less than zero in the annual report prior to the bank loan announcement.</w:t>
      </w:r>
      <w:r>
        <w:rPr>
          <w:rFonts w:cs="Times New Roman"/>
          <w:szCs w:val="24"/>
          <w:lang w:val="en-NZ"/>
        </w:rPr>
        <w:t xml:space="preserve"> </w:t>
      </w:r>
      <w:proofErr w:type="spellStart"/>
      <w:r>
        <w:rPr>
          <w:rFonts w:cs="Times New Roman"/>
          <w:i/>
          <w:szCs w:val="24"/>
          <w:lang w:val="en-NZ"/>
        </w:rPr>
        <w:t>NumAnalyst</w:t>
      </w:r>
      <w:proofErr w:type="spellEnd"/>
      <w:r>
        <w:rPr>
          <w:rFonts w:cs="Times New Roman"/>
          <w:szCs w:val="24"/>
          <w:lang w:val="en-NZ"/>
        </w:rPr>
        <w:t xml:space="preserve"> is the number of analysts </w:t>
      </w:r>
      <w:proofErr w:type="gramStart"/>
      <w:r>
        <w:rPr>
          <w:rFonts w:cs="Times New Roman"/>
          <w:szCs w:val="24"/>
          <w:lang w:val="en-NZ"/>
        </w:rPr>
        <w:t>following  firm</w:t>
      </w:r>
      <w:proofErr w:type="gramEnd"/>
      <w:r>
        <w:rPr>
          <w:rFonts w:cs="Times New Roman"/>
          <w:szCs w:val="24"/>
          <w:lang w:val="en-NZ"/>
        </w:rPr>
        <w:t xml:space="preserve"> </w:t>
      </w:r>
      <w:proofErr w:type="spellStart"/>
      <w:r>
        <w:rPr>
          <w:rFonts w:cs="Times New Roman"/>
          <w:i/>
          <w:szCs w:val="24"/>
          <w:lang w:val="en-NZ"/>
        </w:rPr>
        <w:t>i</w:t>
      </w:r>
      <w:proofErr w:type="spellEnd"/>
      <w:r>
        <w:rPr>
          <w:rFonts w:cs="Times New Roman"/>
          <w:i/>
          <w:szCs w:val="24"/>
          <w:lang w:val="en-NZ"/>
        </w:rPr>
        <w:t xml:space="preserve"> </w:t>
      </w:r>
      <w:r>
        <w:rPr>
          <w:rFonts w:cs="Times New Roman"/>
          <w:szCs w:val="24"/>
          <w:lang w:val="en-NZ"/>
        </w:rPr>
        <w:t xml:space="preserve">on the announcement date. </w:t>
      </w:r>
      <w:proofErr w:type="gramStart"/>
      <w:r w:rsidRPr="00F521A0">
        <w:rPr>
          <w:rFonts w:cs="Times New Roman"/>
          <w:szCs w:val="24"/>
          <w:lang w:val="en-NZ"/>
        </w:rPr>
        <w:t>p-values</w:t>
      </w:r>
      <w:proofErr w:type="gramEnd"/>
      <w:r w:rsidRPr="00F521A0">
        <w:rPr>
          <w:rFonts w:cs="Times New Roman"/>
          <w:szCs w:val="24"/>
          <w:lang w:val="en-NZ"/>
        </w:rPr>
        <w:t xml:space="preserve"> are provided based on tw</w:t>
      </w:r>
      <w:r>
        <w:rPr>
          <w:rFonts w:cs="Times New Roman"/>
          <w:szCs w:val="24"/>
          <w:lang w:val="en-NZ"/>
        </w:rPr>
        <w:t>o-tailed tests of significance</w:t>
      </w:r>
    </w:p>
    <w:p w:rsidR="0029636F" w:rsidRDefault="0029636F" w:rsidP="0029636F">
      <w:pPr>
        <w:spacing w:line="276" w:lineRule="auto"/>
        <w:ind w:firstLine="0"/>
        <w:rPr>
          <w:sz w:val="20"/>
        </w:rPr>
        <w:sectPr w:rsidR="0029636F" w:rsidSect="004F64B7">
          <w:pgSz w:w="16838" w:h="11906" w:orient="landscape"/>
          <w:pgMar w:top="1440" w:right="1440" w:bottom="1440" w:left="1440" w:header="708" w:footer="708" w:gutter="0"/>
          <w:cols w:space="708"/>
          <w:docGrid w:linePitch="360"/>
        </w:sectPr>
      </w:pPr>
    </w:p>
    <w:p w:rsidR="0029636F" w:rsidRPr="00F521A0" w:rsidRDefault="0029636F" w:rsidP="0029636F">
      <w:pPr>
        <w:pStyle w:val="Table"/>
      </w:pPr>
      <w:bookmarkStart w:id="58" w:name="_Ref378207621"/>
      <w:bookmarkStart w:id="59" w:name="_Ref378223824"/>
      <w:bookmarkStart w:id="60" w:name="_Toc379787354"/>
      <w:r w:rsidRPr="00F521A0">
        <w:lastRenderedPageBreak/>
        <w:t>Table</w:t>
      </w:r>
      <w:r w:rsidR="00FC0F38">
        <w:t xml:space="preserve"> </w:t>
      </w:r>
      <w:bookmarkEnd w:id="58"/>
      <w:r w:rsidR="009C0FA7">
        <w:t>11</w:t>
      </w:r>
      <w:r w:rsidRPr="00F521A0">
        <w:t xml:space="preserve"> Cumulative average abnormal returns for loans issued by an industry specialist or non-specialist</w:t>
      </w:r>
      <w:bookmarkEnd w:id="59"/>
      <w:bookmarkEnd w:id="60"/>
    </w:p>
    <w:tbl>
      <w:tblPr>
        <w:tblStyle w:val="LightShading"/>
        <w:tblW w:w="0" w:type="auto"/>
        <w:tblLook w:val="04A0" w:firstRow="1" w:lastRow="0" w:firstColumn="1" w:lastColumn="0" w:noHBand="0" w:noVBand="1"/>
      </w:tblPr>
      <w:tblGrid>
        <w:gridCol w:w="1134"/>
        <w:gridCol w:w="875"/>
        <w:gridCol w:w="1050"/>
        <w:gridCol w:w="898"/>
        <w:gridCol w:w="1235"/>
        <w:gridCol w:w="1728"/>
        <w:gridCol w:w="940"/>
        <w:gridCol w:w="897"/>
      </w:tblGrid>
      <w:tr w:rsidR="0029636F" w:rsidRPr="00F521A0" w:rsidTr="00DB1BC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p>
        </w:tc>
        <w:tc>
          <w:tcPr>
            <w:tcW w:w="0" w:type="auto"/>
            <w:gridSpan w:val="2"/>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Macquarie Bank</w:t>
            </w:r>
          </w:p>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(n=69)</w:t>
            </w:r>
          </w:p>
        </w:tc>
        <w:tc>
          <w:tcPr>
            <w:tcW w:w="0" w:type="auto"/>
            <w:gridSpan w:val="2"/>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Non Macquarie Bank</w:t>
            </w:r>
          </w:p>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 xml:space="preserve"> (n=327)</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Difference</w:t>
            </w: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p>
        </w:tc>
        <w:tc>
          <w:tcPr>
            <w:tcW w:w="0" w:type="auto"/>
            <w:shd w:val="clear" w:color="auto" w:fill="auto"/>
            <w:noWrap/>
            <w:hideMark/>
          </w:tcPr>
          <w:p w:rsidR="0029636F" w:rsidRPr="00F521A0"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Event Day</w:t>
            </w:r>
          </w:p>
        </w:tc>
        <w:tc>
          <w:tcPr>
            <w:tcW w:w="0" w:type="auto"/>
            <w:shd w:val="clear" w:color="auto" w:fill="auto"/>
            <w:noWrap/>
            <w:hideMark/>
          </w:tcPr>
          <w:p w:rsidR="0029636F" w:rsidRPr="00844565"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844565">
              <w:rPr>
                <w:rFonts w:ascii="Calibri" w:eastAsia="Times New Roman" w:hAnsi="Calibri" w:cs="Calibri"/>
                <w:b/>
                <w:color w:val="000000"/>
                <w:sz w:val="22"/>
                <w:lang w:eastAsia="en-AU"/>
              </w:rPr>
              <w:t>CAAR</w:t>
            </w:r>
          </w:p>
        </w:tc>
        <w:tc>
          <w:tcPr>
            <w:tcW w:w="0" w:type="auto"/>
            <w:shd w:val="clear" w:color="auto" w:fill="auto"/>
            <w:noWrap/>
            <w:hideMark/>
          </w:tcPr>
          <w:p w:rsidR="0029636F" w:rsidRPr="00844565"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844565">
              <w:rPr>
                <w:rFonts w:ascii="Calibri" w:eastAsia="Times New Roman" w:hAnsi="Calibri" w:cs="Calibri"/>
                <w:b/>
                <w:color w:val="000000"/>
                <w:sz w:val="22"/>
                <w:lang w:eastAsia="en-AU"/>
              </w:rPr>
              <w:t>t-stat</w:t>
            </w:r>
          </w:p>
        </w:tc>
        <w:tc>
          <w:tcPr>
            <w:tcW w:w="0" w:type="auto"/>
            <w:shd w:val="clear" w:color="auto" w:fill="auto"/>
            <w:noWrap/>
            <w:hideMark/>
          </w:tcPr>
          <w:p w:rsidR="0029636F" w:rsidRPr="00844565"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844565">
              <w:rPr>
                <w:rFonts w:ascii="Calibri" w:eastAsia="Times New Roman" w:hAnsi="Calibri" w:cs="Calibri"/>
                <w:b/>
                <w:color w:val="000000"/>
                <w:sz w:val="22"/>
                <w:lang w:eastAsia="en-AU"/>
              </w:rPr>
              <w:t>CAAR</w:t>
            </w:r>
          </w:p>
        </w:tc>
        <w:tc>
          <w:tcPr>
            <w:tcW w:w="0" w:type="auto"/>
            <w:shd w:val="clear" w:color="auto" w:fill="auto"/>
            <w:noWrap/>
            <w:hideMark/>
          </w:tcPr>
          <w:p w:rsidR="0029636F" w:rsidRPr="00844565"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844565">
              <w:rPr>
                <w:rFonts w:ascii="Calibri" w:eastAsia="Times New Roman" w:hAnsi="Calibri" w:cs="Calibri"/>
                <w:b/>
                <w:color w:val="000000"/>
                <w:sz w:val="22"/>
                <w:lang w:eastAsia="en-AU"/>
              </w:rPr>
              <w:t>t-stat</w:t>
            </w:r>
          </w:p>
        </w:tc>
        <w:tc>
          <w:tcPr>
            <w:tcW w:w="0" w:type="auto"/>
            <w:shd w:val="clear" w:color="auto" w:fill="auto"/>
            <w:noWrap/>
            <w:hideMark/>
          </w:tcPr>
          <w:p w:rsidR="0029636F" w:rsidRPr="00844565"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844565">
              <w:rPr>
                <w:rFonts w:ascii="Calibri" w:eastAsia="Times New Roman" w:hAnsi="Calibri" w:cs="Calibri"/>
                <w:b/>
                <w:color w:val="000000"/>
                <w:sz w:val="22"/>
                <w:lang w:eastAsia="en-AU"/>
              </w:rPr>
              <w:t>Mean difference</w:t>
            </w:r>
          </w:p>
        </w:tc>
        <w:tc>
          <w:tcPr>
            <w:tcW w:w="0" w:type="auto"/>
            <w:shd w:val="clear" w:color="auto" w:fill="auto"/>
            <w:noWrap/>
            <w:hideMark/>
          </w:tcPr>
          <w:p w:rsidR="0029636F" w:rsidRPr="00844565"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844565">
              <w:rPr>
                <w:rFonts w:ascii="Calibri" w:eastAsia="Times New Roman" w:hAnsi="Calibri" w:cs="Calibri"/>
                <w:b/>
                <w:color w:val="000000"/>
                <w:sz w:val="22"/>
                <w:lang w:eastAsia="en-AU"/>
              </w:rPr>
              <w:t>t-stat</w:t>
            </w:r>
          </w:p>
        </w:tc>
        <w:tc>
          <w:tcPr>
            <w:tcW w:w="0" w:type="auto"/>
            <w:shd w:val="clear" w:color="auto" w:fill="auto"/>
            <w:noWrap/>
            <w:hideMark/>
          </w:tcPr>
          <w:p w:rsidR="0029636F" w:rsidRPr="00844565"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844565">
              <w:rPr>
                <w:rFonts w:ascii="Calibri" w:eastAsia="Times New Roman" w:hAnsi="Calibri" w:cs="Calibri"/>
                <w:b/>
                <w:color w:val="000000"/>
                <w:sz w:val="22"/>
                <w:lang w:eastAsia="en-AU"/>
              </w:rPr>
              <w:t>p-value</w:t>
            </w:r>
          </w:p>
        </w:tc>
      </w:tr>
      <w:tr w:rsidR="0029636F" w:rsidRPr="00F521A0" w:rsidTr="00DB1BCC">
        <w:trPr>
          <w:trHeight w:val="52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 to 5</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5.053%</w:t>
            </w:r>
          </w:p>
        </w:tc>
        <w:tc>
          <w:tcPr>
            <w:tcW w:w="0" w:type="auto"/>
            <w:shd w:val="clear" w:color="auto" w:fill="auto"/>
            <w:noWrap/>
            <w:hideMark/>
          </w:tcPr>
          <w:p w:rsidR="0029636F" w:rsidRPr="00844565"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844565">
              <w:rPr>
                <w:rFonts w:ascii="Calibri" w:eastAsia="Times New Roman" w:hAnsi="Calibri" w:cs="Calibri"/>
                <w:b/>
                <w:color w:val="000000"/>
                <w:sz w:val="22"/>
                <w:lang w:eastAsia="en-AU"/>
              </w:rPr>
              <w:t>3.063***</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1.89%</w:t>
            </w:r>
          </w:p>
        </w:tc>
        <w:tc>
          <w:tcPr>
            <w:tcW w:w="0" w:type="auto"/>
            <w:shd w:val="clear" w:color="auto" w:fill="auto"/>
            <w:noWrap/>
            <w:hideMark/>
          </w:tcPr>
          <w:p w:rsidR="0029636F" w:rsidRPr="00844565"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844565">
              <w:rPr>
                <w:rFonts w:ascii="Calibri" w:eastAsia="Times New Roman" w:hAnsi="Calibri" w:cs="Calibri"/>
                <w:b/>
                <w:color w:val="000000"/>
                <w:sz w:val="22"/>
                <w:lang w:eastAsia="en-AU"/>
              </w:rPr>
              <w:t>2.167**</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3.167%</w:t>
            </w:r>
          </w:p>
        </w:tc>
        <w:tc>
          <w:tcPr>
            <w:tcW w:w="0" w:type="auto"/>
            <w:shd w:val="clear" w:color="auto" w:fill="auto"/>
            <w:noWrap/>
            <w:hideMark/>
          </w:tcPr>
          <w:p w:rsidR="0029636F" w:rsidRPr="00844565"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844565">
              <w:rPr>
                <w:rFonts w:ascii="Calibri" w:eastAsia="Times New Roman" w:hAnsi="Calibri" w:cs="Calibri"/>
                <w:b/>
                <w:color w:val="000000"/>
                <w:sz w:val="22"/>
                <w:lang w:eastAsia="en-AU"/>
              </w:rPr>
              <w:t>1.745</w:t>
            </w:r>
            <w:r>
              <w:rPr>
                <w:rFonts w:ascii="Calibri" w:eastAsia="Times New Roman" w:hAnsi="Calibri" w:cs="Calibri"/>
                <w:b/>
                <w:color w:val="000000"/>
                <w:sz w:val="22"/>
                <w:lang w:eastAsia="en-AU"/>
              </w:rPr>
              <w:t>**</w:t>
            </w:r>
          </w:p>
        </w:tc>
        <w:tc>
          <w:tcPr>
            <w:tcW w:w="0" w:type="auto"/>
            <w:shd w:val="clear" w:color="auto" w:fill="auto"/>
            <w:noWrap/>
            <w:hideMark/>
          </w:tcPr>
          <w:p w:rsidR="0029636F" w:rsidRPr="00844565"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844565">
              <w:rPr>
                <w:rFonts w:ascii="Calibri" w:eastAsia="Times New Roman" w:hAnsi="Calibri" w:cs="Calibri"/>
                <w:b/>
                <w:color w:val="000000"/>
                <w:sz w:val="22"/>
                <w:lang w:eastAsia="en-AU"/>
              </w:rPr>
              <w:t>0.042</w:t>
            </w:r>
          </w:p>
        </w:tc>
      </w:tr>
      <w:tr w:rsidR="0029636F" w:rsidRPr="00F521A0" w:rsidTr="00DB1BC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-3 to 3</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4.125%</w:t>
            </w:r>
          </w:p>
        </w:tc>
        <w:tc>
          <w:tcPr>
            <w:tcW w:w="0" w:type="auto"/>
            <w:shd w:val="clear" w:color="auto" w:fill="auto"/>
            <w:noWrap/>
            <w:hideMark/>
          </w:tcPr>
          <w:p w:rsidR="0029636F" w:rsidRPr="00844565"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844565">
              <w:rPr>
                <w:rFonts w:ascii="Calibri" w:eastAsia="Times New Roman" w:hAnsi="Calibri" w:cs="Calibri"/>
                <w:b/>
                <w:color w:val="000000"/>
                <w:sz w:val="22"/>
                <w:lang w:eastAsia="en-AU"/>
              </w:rPr>
              <w:t>2.884***</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2.45%</w:t>
            </w:r>
          </w:p>
        </w:tc>
        <w:tc>
          <w:tcPr>
            <w:tcW w:w="0" w:type="auto"/>
            <w:shd w:val="clear" w:color="auto" w:fill="auto"/>
            <w:noWrap/>
            <w:hideMark/>
          </w:tcPr>
          <w:p w:rsidR="0029636F" w:rsidRPr="00844565"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2"/>
                <w:lang w:eastAsia="en-AU"/>
              </w:rPr>
            </w:pPr>
            <w:r w:rsidRPr="00844565">
              <w:rPr>
                <w:rFonts w:ascii="Calibri" w:eastAsia="Times New Roman" w:hAnsi="Calibri" w:cs="Calibri"/>
                <w:b/>
                <w:color w:val="000000"/>
                <w:sz w:val="22"/>
                <w:lang w:eastAsia="en-AU"/>
              </w:rPr>
              <w:t>3.599***</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1.677%</w:t>
            </w:r>
          </w:p>
        </w:tc>
        <w:tc>
          <w:tcPr>
            <w:tcW w:w="0" w:type="auto"/>
            <w:shd w:val="clear" w:color="auto" w:fill="auto"/>
            <w:noWrap/>
            <w:hideMark/>
          </w:tcPr>
          <w:p w:rsidR="0029636F" w:rsidRPr="00F521A0"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1.071</w:t>
            </w:r>
          </w:p>
        </w:tc>
        <w:tc>
          <w:tcPr>
            <w:tcW w:w="0" w:type="auto"/>
            <w:shd w:val="clear" w:color="auto" w:fill="auto"/>
            <w:noWrap/>
            <w:hideMark/>
          </w:tcPr>
          <w:p w:rsidR="0029636F" w:rsidRPr="00F521A0" w:rsidRDefault="0029636F" w:rsidP="00DB1BC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0.143</w:t>
            </w:r>
          </w:p>
        </w:tc>
      </w:tr>
      <w:tr w:rsidR="0029636F" w:rsidRPr="00F521A0" w:rsidTr="00DB1BCC">
        <w:trPr>
          <w:trHeight w:val="30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rsidR="0029636F" w:rsidRPr="00F521A0" w:rsidRDefault="0029636F" w:rsidP="00DB1BCC">
            <w:pPr>
              <w:spacing w:line="240" w:lineRule="auto"/>
              <w:ind w:firstLine="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-1 to 1</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2.564%</w:t>
            </w:r>
          </w:p>
        </w:tc>
        <w:tc>
          <w:tcPr>
            <w:tcW w:w="0" w:type="auto"/>
            <w:shd w:val="clear" w:color="auto" w:fill="auto"/>
            <w:noWrap/>
            <w:hideMark/>
          </w:tcPr>
          <w:p w:rsidR="0029636F" w:rsidRPr="00844565"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844565">
              <w:rPr>
                <w:rFonts w:ascii="Calibri" w:eastAsia="Times New Roman" w:hAnsi="Calibri" w:cs="Calibri"/>
                <w:b/>
                <w:color w:val="000000"/>
                <w:sz w:val="22"/>
                <w:lang w:eastAsia="en-AU"/>
              </w:rPr>
              <w:t>2.518**</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2.32%</w:t>
            </w:r>
          </w:p>
        </w:tc>
        <w:tc>
          <w:tcPr>
            <w:tcW w:w="0" w:type="auto"/>
            <w:shd w:val="clear" w:color="auto" w:fill="auto"/>
            <w:noWrap/>
            <w:hideMark/>
          </w:tcPr>
          <w:p w:rsidR="0029636F" w:rsidRPr="00844565"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lang w:eastAsia="en-AU"/>
              </w:rPr>
            </w:pPr>
            <w:r w:rsidRPr="00844565">
              <w:rPr>
                <w:rFonts w:ascii="Calibri" w:eastAsia="Times New Roman" w:hAnsi="Calibri" w:cs="Calibri"/>
                <w:b/>
                <w:color w:val="000000"/>
                <w:sz w:val="22"/>
                <w:lang w:eastAsia="en-AU"/>
              </w:rPr>
              <w:t>5.336***</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0.242%</w:t>
            </w:r>
          </w:p>
        </w:tc>
        <w:tc>
          <w:tcPr>
            <w:tcW w:w="0" w:type="auto"/>
            <w:shd w:val="clear" w:color="auto" w:fill="auto"/>
            <w:noWrap/>
            <w:hideMark/>
          </w:tcPr>
          <w:p w:rsidR="0029636F" w:rsidRPr="00F521A0"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.219</w:t>
            </w:r>
          </w:p>
        </w:tc>
        <w:tc>
          <w:tcPr>
            <w:tcW w:w="0" w:type="auto"/>
            <w:shd w:val="clear" w:color="auto" w:fill="auto"/>
            <w:noWrap/>
            <w:hideMark/>
          </w:tcPr>
          <w:p w:rsidR="0029636F" w:rsidRPr="00F521A0" w:rsidRDefault="0029636F" w:rsidP="00DB1BCC">
            <w:pPr>
              <w:spacing w:line="240" w:lineRule="auto"/>
              <w:ind w:firstLine="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AU"/>
              </w:rPr>
            </w:pPr>
            <w:r w:rsidRPr="00F521A0">
              <w:rPr>
                <w:rFonts w:ascii="Calibri" w:eastAsia="Times New Roman" w:hAnsi="Calibri" w:cs="Calibri"/>
                <w:color w:val="000000"/>
                <w:sz w:val="22"/>
                <w:lang w:eastAsia="en-AU"/>
              </w:rPr>
              <w:t>0.414</w:t>
            </w:r>
          </w:p>
        </w:tc>
      </w:tr>
    </w:tbl>
    <w:p w:rsidR="0029636F" w:rsidRDefault="0029636F" w:rsidP="0029636F">
      <w:pPr>
        <w:pStyle w:val="TableDesc"/>
        <w:rPr>
          <w:b/>
        </w:rPr>
        <w:sectPr w:rsidR="0029636F" w:rsidSect="00A2124B">
          <w:pgSz w:w="11906" w:h="16838"/>
          <w:pgMar w:top="1440" w:right="1440" w:bottom="1440" w:left="1440" w:header="708" w:footer="708" w:gutter="0"/>
          <w:cols w:space="708"/>
          <w:docGrid w:linePitch="360"/>
        </w:sectPr>
      </w:pPr>
      <w:r w:rsidRPr="00F521A0">
        <w:fldChar w:fldCharType="begin"/>
      </w:r>
      <w:r w:rsidRPr="00F521A0">
        <w:instrText xml:space="preserve"> REF _Ref378207621 \h  \* MERGEFORMAT </w:instrText>
      </w:r>
      <w:r w:rsidRPr="00F521A0">
        <w:fldChar w:fldCharType="separate"/>
      </w:r>
      <w:r w:rsidR="0089071A" w:rsidRPr="00F521A0">
        <w:t>Table</w:t>
      </w:r>
      <w:r w:rsidR="0089071A">
        <w:t xml:space="preserve"> </w:t>
      </w:r>
      <w:r w:rsidRPr="00F521A0">
        <w:fldChar w:fldCharType="end"/>
      </w:r>
      <w:r w:rsidRPr="00F521A0">
        <w:t xml:space="preserve"> presents the cumulative average abnormal return (CAAR) surrounding loans issued by Macquarie Bank, and loans issued by non-industry specialist lenders. </w:t>
      </w:r>
      <w:proofErr w:type="gramStart"/>
      <w:r w:rsidRPr="00F521A0">
        <w:rPr>
          <w:i/>
        </w:rPr>
        <w:t>t</w:t>
      </w:r>
      <w:r w:rsidRPr="00F521A0">
        <w:t>-statistics</w:t>
      </w:r>
      <w:proofErr w:type="gramEnd"/>
      <w:r w:rsidRPr="00F521A0">
        <w:t xml:space="preserve"> test if the CAAR is significantly different from zero. The mean difference shows the difference between the two sample CAARs. </w:t>
      </w:r>
      <w:proofErr w:type="gramStart"/>
      <w:r w:rsidRPr="00F521A0">
        <w:rPr>
          <w:i/>
        </w:rPr>
        <w:t>t</w:t>
      </w:r>
      <w:r w:rsidRPr="00F521A0">
        <w:t>-statistics</w:t>
      </w:r>
      <w:proofErr w:type="gramEnd"/>
      <w:r w:rsidRPr="00F521A0">
        <w:t xml:space="preserve"> are provided to test if the two sample means are significantly different. </w:t>
      </w:r>
      <w:proofErr w:type="gramStart"/>
      <w:r w:rsidRPr="00F521A0">
        <w:t>p-values</w:t>
      </w:r>
      <w:proofErr w:type="gramEnd"/>
      <w:r w:rsidRPr="00F521A0">
        <w:t xml:space="preserve"> are provided based on a one-tailed test of significance</w:t>
      </w:r>
      <w:bookmarkStart w:id="61" w:name="_Ref378219113"/>
      <w:r>
        <w:t>.</w:t>
      </w:r>
    </w:p>
    <w:p w:rsidR="0029636F" w:rsidRDefault="0029636F" w:rsidP="0029636F">
      <w:pPr>
        <w:pStyle w:val="Table"/>
        <w:spacing w:line="240" w:lineRule="auto"/>
      </w:pPr>
      <w:bookmarkStart w:id="62" w:name="_Ref379398212"/>
      <w:bookmarkStart w:id="63" w:name="_Toc379787355"/>
      <w:bookmarkEnd w:id="61"/>
      <w:r>
        <w:lastRenderedPageBreak/>
        <w:t>Table</w:t>
      </w:r>
      <w:r w:rsidR="00FC0F38">
        <w:t xml:space="preserve"> </w:t>
      </w:r>
      <w:r w:rsidR="000A24D2">
        <w:fldChar w:fldCharType="begin"/>
      </w:r>
      <w:r w:rsidR="000A24D2">
        <w:instrText xml:space="preserve"> SEQ Table \* ARABIC \s 1 </w:instrText>
      </w:r>
      <w:r w:rsidR="000A24D2">
        <w:fldChar w:fldCharType="separate"/>
      </w:r>
      <w:r w:rsidR="0089071A">
        <w:rPr>
          <w:noProof/>
        </w:rPr>
        <w:t>1</w:t>
      </w:r>
      <w:r w:rsidR="000A24D2">
        <w:rPr>
          <w:noProof/>
        </w:rPr>
        <w:fldChar w:fldCharType="end"/>
      </w:r>
      <w:bookmarkEnd w:id="62"/>
      <w:r w:rsidR="009C0FA7">
        <w:rPr>
          <w:noProof/>
        </w:rPr>
        <w:t>2</w:t>
      </w:r>
      <w:r w:rsidRPr="00D106C5">
        <w:t xml:space="preserve"> </w:t>
      </w:r>
      <w:r w:rsidRPr="00F521A0">
        <w:t>Determinants of market reaction around bank loan announcements testing for industry specialisation</w:t>
      </w:r>
      <w:bookmarkEnd w:id="63"/>
    </w:p>
    <w:tbl>
      <w:tblPr>
        <w:tblStyle w:val="LightShading"/>
        <w:tblW w:w="12576" w:type="dxa"/>
        <w:tblLook w:val="04A0" w:firstRow="1" w:lastRow="0" w:firstColumn="1" w:lastColumn="0" w:noHBand="0" w:noVBand="1"/>
      </w:tblPr>
      <w:tblGrid>
        <w:gridCol w:w="1510"/>
        <w:gridCol w:w="1203"/>
        <w:gridCol w:w="1860"/>
        <w:gridCol w:w="1116"/>
        <w:gridCol w:w="1116"/>
        <w:gridCol w:w="807"/>
        <w:gridCol w:w="1119"/>
        <w:gridCol w:w="996"/>
        <w:gridCol w:w="894"/>
        <w:gridCol w:w="1286"/>
        <w:gridCol w:w="977"/>
      </w:tblGrid>
      <w:tr w:rsidR="0029636F" w:rsidRPr="00156D01" w:rsidTr="00DB1BCC">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right w:val="single" w:sz="4" w:space="0" w:color="auto"/>
            </w:tcBorders>
            <w:shd w:val="clear" w:color="auto" w:fill="auto"/>
            <w:noWrap/>
            <w:hideMark/>
          </w:tcPr>
          <w:p w:rsidR="0029636F" w:rsidRPr="00156D01" w:rsidRDefault="0029636F" w:rsidP="00DB1BCC">
            <w:pPr>
              <w:spacing w:line="240" w:lineRule="auto"/>
              <w:ind w:firstLine="0"/>
              <w:rPr>
                <w:rFonts w:eastAsia="Times New Roman" w:cs="Times New Roman"/>
                <w:color w:val="000000"/>
                <w:szCs w:val="24"/>
                <w:lang w:eastAsia="en-AU"/>
              </w:rPr>
            </w:pPr>
          </w:p>
        </w:tc>
        <w:tc>
          <w:tcPr>
            <w:tcW w:w="0" w:type="auto"/>
            <w:tcBorders>
              <w:top w:val="single" w:sz="4" w:space="0" w:color="auto"/>
              <w:left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Predicted</w:t>
            </w:r>
          </w:p>
        </w:tc>
        <w:tc>
          <w:tcPr>
            <w:tcW w:w="0" w:type="auto"/>
            <w:tcBorders>
              <w:top w:val="single" w:sz="4" w:space="0" w:color="auto"/>
              <w:left w:val="single" w:sz="4" w:space="0" w:color="auto"/>
            </w:tcBorders>
            <w:shd w:val="clear" w:color="auto" w:fill="auto"/>
            <w:noWrap/>
            <w:hideMark/>
          </w:tcPr>
          <w:p w:rsidR="0029636F" w:rsidRPr="00156D01"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Pr>
                <w:rFonts w:eastAsia="Times New Roman" w:cs="Times New Roman"/>
                <w:color w:val="000000"/>
                <w:szCs w:val="24"/>
                <w:lang w:eastAsia="en-AU"/>
              </w:rPr>
              <w:t xml:space="preserve">Panel A: </w:t>
            </w:r>
            <w:r w:rsidRPr="00341250">
              <w:rPr>
                <w:rFonts w:eastAsia="Times New Roman" w:cs="Times New Roman"/>
                <w:color w:val="000000"/>
                <w:szCs w:val="24"/>
                <w:lang w:eastAsia="en-AU"/>
              </w:rPr>
              <w:t>0 to +1</w:t>
            </w:r>
          </w:p>
        </w:tc>
        <w:tc>
          <w:tcPr>
            <w:tcW w:w="0" w:type="auto"/>
            <w:tcBorders>
              <w:top w:val="single" w:sz="4" w:space="0" w:color="auto"/>
            </w:tcBorders>
            <w:shd w:val="clear" w:color="auto" w:fill="auto"/>
            <w:noWrap/>
            <w:hideMark/>
          </w:tcPr>
          <w:p w:rsidR="0029636F" w:rsidRPr="00156D01"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p>
        </w:tc>
        <w:tc>
          <w:tcPr>
            <w:tcW w:w="0" w:type="auto"/>
            <w:tcBorders>
              <w:top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p>
        </w:tc>
        <w:tc>
          <w:tcPr>
            <w:tcW w:w="0" w:type="auto"/>
            <w:gridSpan w:val="2"/>
            <w:tcBorders>
              <w:top w:val="single" w:sz="4" w:space="0" w:color="auto"/>
              <w:left w:val="single" w:sz="4" w:space="0" w:color="auto"/>
            </w:tcBorders>
            <w:shd w:val="clear" w:color="auto" w:fill="auto"/>
            <w:noWrap/>
            <w:hideMark/>
          </w:tcPr>
          <w:p w:rsidR="0029636F" w:rsidRPr="00156D01"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Pr>
                <w:rFonts w:eastAsia="Times New Roman" w:cs="Times New Roman"/>
                <w:color w:val="000000"/>
                <w:szCs w:val="24"/>
                <w:lang w:eastAsia="en-AU"/>
              </w:rPr>
              <w:t>Panel B: -</w:t>
            </w:r>
            <w:r w:rsidRPr="00341250">
              <w:rPr>
                <w:rFonts w:eastAsia="Times New Roman" w:cs="Times New Roman"/>
                <w:color w:val="000000"/>
                <w:szCs w:val="24"/>
                <w:lang w:eastAsia="en-AU"/>
              </w:rPr>
              <w:t xml:space="preserve">5 to </w:t>
            </w:r>
            <w:r>
              <w:rPr>
                <w:rFonts w:eastAsia="Times New Roman" w:cs="Times New Roman"/>
                <w:color w:val="000000"/>
                <w:szCs w:val="24"/>
                <w:lang w:eastAsia="en-AU"/>
              </w:rPr>
              <w:t>+</w:t>
            </w:r>
            <w:r w:rsidRPr="00341250">
              <w:rPr>
                <w:rFonts w:eastAsia="Times New Roman" w:cs="Times New Roman"/>
                <w:color w:val="000000"/>
                <w:szCs w:val="24"/>
                <w:lang w:eastAsia="en-AU"/>
              </w:rPr>
              <w:t>5</w:t>
            </w:r>
          </w:p>
        </w:tc>
        <w:tc>
          <w:tcPr>
            <w:tcW w:w="0" w:type="auto"/>
            <w:tcBorders>
              <w:top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p>
        </w:tc>
        <w:tc>
          <w:tcPr>
            <w:tcW w:w="0" w:type="auto"/>
            <w:gridSpan w:val="2"/>
            <w:tcBorders>
              <w:top w:val="single" w:sz="4" w:space="0" w:color="auto"/>
              <w:left w:val="single" w:sz="4" w:space="0" w:color="auto"/>
            </w:tcBorders>
            <w:shd w:val="clear" w:color="auto" w:fill="auto"/>
            <w:noWrap/>
            <w:hideMark/>
          </w:tcPr>
          <w:p w:rsidR="0029636F" w:rsidRPr="00156D01"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Pr>
                <w:rFonts w:eastAsia="Times New Roman" w:cs="Times New Roman"/>
                <w:color w:val="000000"/>
                <w:szCs w:val="24"/>
                <w:lang w:eastAsia="en-AU"/>
              </w:rPr>
              <w:t xml:space="preserve">Panel C: </w:t>
            </w:r>
            <w:r w:rsidRPr="00341250">
              <w:rPr>
                <w:rFonts w:eastAsia="Times New Roman" w:cs="Times New Roman"/>
                <w:color w:val="000000"/>
                <w:szCs w:val="24"/>
                <w:lang w:eastAsia="en-AU"/>
              </w:rPr>
              <w:t>-10 to +10</w:t>
            </w:r>
          </w:p>
        </w:tc>
        <w:tc>
          <w:tcPr>
            <w:tcW w:w="0" w:type="auto"/>
            <w:tcBorders>
              <w:top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p>
        </w:tc>
      </w:tr>
      <w:tr w:rsidR="0029636F" w:rsidRPr="00156D01" w:rsidTr="00DB1BCC">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shd w:val="clear" w:color="auto" w:fill="auto"/>
            <w:noWrap/>
            <w:hideMark/>
          </w:tcPr>
          <w:p w:rsidR="0029636F" w:rsidRPr="00156D01" w:rsidRDefault="0029636F" w:rsidP="00DB1BCC">
            <w:pPr>
              <w:spacing w:line="240" w:lineRule="auto"/>
              <w:ind w:firstLine="0"/>
              <w:rPr>
                <w:rFonts w:eastAsia="Times New Roman" w:cs="Times New Roman"/>
                <w:color w:val="000000"/>
                <w:szCs w:val="24"/>
                <w:lang w:eastAsia="en-AU"/>
              </w:rPr>
            </w:pPr>
          </w:p>
        </w:tc>
        <w:tc>
          <w:tcPr>
            <w:tcW w:w="0" w:type="auto"/>
            <w:tcBorders>
              <w:left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lang w:eastAsia="en-AU"/>
              </w:rPr>
            </w:pPr>
            <w:proofErr w:type="spellStart"/>
            <w:r w:rsidRPr="00156D01">
              <w:rPr>
                <w:rFonts w:eastAsia="Times New Roman" w:cs="Times New Roman"/>
                <w:b/>
                <w:color w:val="000000"/>
                <w:szCs w:val="24"/>
                <w:lang w:eastAsia="en-AU"/>
              </w:rPr>
              <w:t>Coeff</w:t>
            </w:r>
            <w:proofErr w:type="spellEnd"/>
          </w:p>
        </w:tc>
        <w:tc>
          <w:tcPr>
            <w:tcW w:w="0" w:type="auto"/>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lang w:eastAsia="en-AU"/>
              </w:rPr>
            </w:pPr>
            <w:r w:rsidRPr="00156D01">
              <w:rPr>
                <w:rFonts w:eastAsia="Times New Roman" w:cs="Times New Roman"/>
                <w:b/>
                <w:color w:val="000000"/>
                <w:szCs w:val="24"/>
                <w:lang w:eastAsia="en-AU"/>
              </w:rPr>
              <w:t>t-stat</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lang w:eastAsia="en-AU"/>
              </w:rPr>
            </w:pPr>
            <w:r w:rsidRPr="00156D01">
              <w:rPr>
                <w:rFonts w:eastAsia="Times New Roman" w:cs="Times New Roman"/>
                <w:b/>
                <w:color w:val="000000"/>
                <w:szCs w:val="24"/>
                <w:lang w:eastAsia="en-AU"/>
              </w:rPr>
              <w:t>p-value</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lang w:eastAsia="en-AU"/>
              </w:rPr>
            </w:pPr>
            <w:proofErr w:type="spellStart"/>
            <w:r w:rsidRPr="00156D01">
              <w:rPr>
                <w:rFonts w:eastAsia="Times New Roman" w:cs="Times New Roman"/>
                <w:b/>
                <w:color w:val="000000"/>
                <w:szCs w:val="24"/>
                <w:lang w:eastAsia="en-AU"/>
              </w:rPr>
              <w:t>Coeff</w:t>
            </w:r>
            <w:proofErr w:type="spellEnd"/>
          </w:p>
        </w:tc>
        <w:tc>
          <w:tcPr>
            <w:tcW w:w="0" w:type="auto"/>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lang w:eastAsia="en-AU"/>
              </w:rPr>
            </w:pPr>
            <w:r w:rsidRPr="00156D01">
              <w:rPr>
                <w:rFonts w:eastAsia="Times New Roman" w:cs="Times New Roman"/>
                <w:b/>
                <w:color w:val="000000"/>
                <w:szCs w:val="24"/>
                <w:lang w:eastAsia="en-AU"/>
              </w:rPr>
              <w:t>t-stat</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lang w:eastAsia="en-AU"/>
              </w:rPr>
            </w:pPr>
            <w:r w:rsidRPr="00156D01">
              <w:rPr>
                <w:rFonts w:eastAsia="Times New Roman" w:cs="Times New Roman"/>
                <w:b/>
                <w:color w:val="000000"/>
                <w:szCs w:val="24"/>
                <w:lang w:eastAsia="en-AU"/>
              </w:rPr>
              <w:t>p-value</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lang w:eastAsia="en-AU"/>
              </w:rPr>
            </w:pPr>
            <w:proofErr w:type="spellStart"/>
            <w:r w:rsidRPr="00156D01">
              <w:rPr>
                <w:rFonts w:eastAsia="Times New Roman" w:cs="Times New Roman"/>
                <w:b/>
                <w:color w:val="000000"/>
                <w:szCs w:val="24"/>
                <w:lang w:eastAsia="en-AU"/>
              </w:rPr>
              <w:t>Coeff</w:t>
            </w:r>
            <w:proofErr w:type="spellEnd"/>
          </w:p>
        </w:tc>
        <w:tc>
          <w:tcPr>
            <w:tcW w:w="0" w:type="auto"/>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lang w:eastAsia="en-AU"/>
              </w:rPr>
            </w:pPr>
            <w:r w:rsidRPr="00156D01">
              <w:rPr>
                <w:rFonts w:eastAsia="Times New Roman" w:cs="Times New Roman"/>
                <w:b/>
                <w:color w:val="000000"/>
                <w:szCs w:val="24"/>
                <w:lang w:eastAsia="en-AU"/>
              </w:rPr>
              <w:t>t-stat</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Cs w:val="24"/>
                <w:lang w:eastAsia="en-AU"/>
              </w:rPr>
            </w:pPr>
            <w:r w:rsidRPr="00156D01">
              <w:rPr>
                <w:rFonts w:eastAsia="Times New Roman" w:cs="Times New Roman"/>
                <w:b/>
                <w:color w:val="000000"/>
                <w:szCs w:val="24"/>
                <w:lang w:eastAsia="en-AU"/>
              </w:rPr>
              <w:t>p-value</w:t>
            </w:r>
          </w:p>
        </w:tc>
      </w:tr>
      <w:tr w:rsidR="0029636F" w:rsidRPr="00156D01" w:rsidTr="00DB1BCC">
        <w:trPr>
          <w:trHeight w:val="481"/>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shd w:val="clear" w:color="auto" w:fill="auto"/>
            <w:hideMark/>
          </w:tcPr>
          <w:p w:rsidR="0029636F" w:rsidRPr="00156D01" w:rsidRDefault="0029636F" w:rsidP="00DB1BCC">
            <w:pPr>
              <w:spacing w:line="240" w:lineRule="auto"/>
              <w:ind w:firstLine="0"/>
              <w:rPr>
                <w:rFonts w:eastAsia="Times New Roman" w:cs="Times New Roman"/>
                <w:color w:val="000000"/>
                <w:szCs w:val="24"/>
                <w:lang w:eastAsia="en-AU"/>
              </w:rPr>
            </w:pPr>
            <w:r w:rsidRPr="00156D01">
              <w:rPr>
                <w:rFonts w:eastAsia="Times New Roman" w:cs="Times New Roman"/>
                <w:color w:val="000000"/>
                <w:szCs w:val="24"/>
                <w:lang w:eastAsia="en-AU"/>
              </w:rPr>
              <w:t>(Constant)</w:t>
            </w:r>
          </w:p>
        </w:tc>
        <w:tc>
          <w:tcPr>
            <w:tcW w:w="0" w:type="auto"/>
            <w:tcBorders>
              <w:left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.002</w:t>
            </w:r>
          </w:p>
        </w:tc>
        <w:tc>
          <w:tcPr>
            <w:tcW w:w="0" w:type="auto"/>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.029</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.977</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.024</w:t>
            </w:r>
          </w:p>
        </w:tc>
        <w:tc>
          <w:tcPr>
            <w:tcW w:w="0" w:type="auto"/>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.190</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.849</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-.022</w:t>
            </w:r>
          </w:p>
        </w:tc>
        <w:tc>
          <w:tcPr>
            <w:tcW w:w="0" w:type="auto"/>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-.122</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.903</w:t>
            </w:r>
          </w:p>
        </w:tc>
      </w:tr>
      <w:tr w:rsidR="0029636F" w:rsidRPr="00156D01" w:rsidTr="00DB1B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shd w:val="clear" w:color="auto" w:fill="auto"/>
            <w:hideMark/>
          </w:tcPr>
          <w:p w:rsidR="0029636F" w:rsidRPr="00156D01" w:rsidRDefault="0029636F" w:rsidP="00DB1BCC">
            <w:pPr>
              <w:spacing w:line="240" w:lineRule="auto"/>
              <w:ind w:firstLine="0"/>
              <w:rPr>
                <w:rFonts w:eastAsia="Times New Roman" w:cs="Times New Roman"/>
                <w:color w:val="000000"/>
                <w:szCs w:val="24"/>
                <w:lang w:eastAsia="en-AU"/>
              </w:rPr>
            </w:pPr>
            <w:r w:rsidRPr="00156D01">
              <w:rPr>
                <w:rFonts w:eastAsia="Times New Roman" w:cs="Times New Roman"/>
                <w:color w:val="000000"/>
                <w:szCs w:val="24"/>
                <w:lang w:eastAsia="en-AU"/>
              </w:rPr>
              <w:t>Macquarie</w:t>
            </w:r>
          </w:p>
        </w:tc>
        <w:tc>
          <w:tcPr>
            <w:tcW w:w="0" w:type="auto"/>
            <w:tcBorders>
              <w:left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-.006</w:t>
            </w:r>
          </w:p>
        </w:tc>
        <w:tc>
          <w:tcPr>
            <w:tcW w:w="0" w:type="auto"/>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-.539</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.590</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.032</w:t>
            </w:r>
          </w:p>
        </w:tc>
        <w:tc>
          <w:tcPr>
            <w:tcW w:w="0" w:type="auto"/>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1.636*</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0.100*</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.078</w:t>
            </w:r>
          </w:p>
        </w:tc>
        <w:tc>
          <w:tcPr>
            <w:tcW w:w="0" w:type="auto"/>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2.804***</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.005</w:t>
            </w:r>
          </w:p>
        </w:tc>
      </w:tr>
      <w:tr w:rsidR="0029636F" w:rsidRPr="00156D01" w:rsidTr="00DB1BCC">
        <w:trPr>
          <w:trHeight w:val="291"/>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shd w:val="clear" w:color="auto" w:fill="auto"/>
            <w:hideMark/>
          </w:tcPr>
          <w:p w:rsidR="0029636F" w:rsidRPr="00156D01" w:rsidRDefault="0029636F" w:rsidP="00DB1BCC">
            <w:pPr>
              <w:spacing w:line="240" w:lineRule="auto"/>
              <w:ind w:firstLine="0"/>
              <w:rPr>
                <w:rFonts w:eastAsia="Times New Roman" w:cs="Times New Roman"/>
                <w:color w:val="000000"/>
                <w:szCs w:val="24"/>
                <w:lang w:eastAsia="en-AU"/>
              </w:rPr>
            </w:pPr>
            <w:r w:rsidRPr="00156D01">
              <w:rPr>
                <w:rFonts w:eastAsia="Times New Roman" w:cs="Times New Roman"/>
                <w:color w:val="000000"/>
                <w:szCs w:val="24"/>
                <w:lang w:eastAsia="en-AU"/>
              </w:rPr>
              <w:t>Initial</w:t>
            </w:r>
          </w:p>
        </w:tc>
        <w:tc>
          <w:tcPr>
            <w:tcW w:w="0" w:type="auto"/>
            <w:tcBorders>
              <w:left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.005</w:t>
            </w:r>
          </w:p>
        </w:tc>
        <w:tc>
          <w:tcPr>
            <w:tcW w:w="0" w:type="auto"/>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.600</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.549</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-.013</w:t>
            </w:r>
          </w:p>
        </w:tc>
        <w:tc>
          <w:tcPr>
            <w:tcW w:w="0" w:type="auto"/>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-.868</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.386</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-.012</w:t>
            </w:r>
          </w:p>
        </w:tc>
        <w:tc>
          <w:tcPr>
            <w:tcW w:w="0" w:type="auto"/>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-.587</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.558</w:t>
            </w:r>
          </w:p>
        </w:tc>
      </w:tr>
      <w:tr w:rsidR="0029636F" w:rsidRPr="00156D01" w:rsidTr="00DB1B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shd w:val="clear" w:color="auto" w:fill="auto"/>
            <w:hideMark/>
          </w:tcPr>
          <w:p w:rsidR="0029636F" w:rsidRPr="00156D01" w:rsidRDefault="0029636F" w:rsidP="00DB1BCC">
            <w:pPr>
              <w:spacing w:line="240" w:lineRule="auto"/>
              <w:ind w:firstLine="0"/>
              <w:rPr>
                <w:rFonts w:eastAsia="Times New Roman" w:cs="Times New Roman"/>
                <w:color w:val="000000"/>
                <w:szCs w:val="24"/>
                <w:lang w:eastAsia="en-AU"/>
              </w:rPr>
            </w:pPr>
            <w:proofErr w:type="spellStart"/>
            <w:r w:rsidRPr="00156D01">
              <w:rPr>
                <w:rFonts w:eastAsia="Times New Roman" w:cs="Times New Roman"/>
                <w:color w:val="000000"/>
                <w:szCs w:val="24"/>
                <w:lang w:eastAsia="en-AU"/>
              </w:rPr>
              <w:t>FirstAnn</w:t>
            </w:r>
            <w:proofErr w:type="spellEnd"/>
          </w:p>
        </w:tc>
        <w:tc>
          <w:tcPr>
            <w:tcW w:w="0" w:type="auto"/>
            <w:tcBorders>
              <w:left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.028</w:t>
            </w:r>
          </w:p>
        </w:tc>
        <w:tc>
          <w:tcPr>
            <w:tcW w:w="0" w:type="auto"/>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3.175***</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.002</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.027</w:t>
            </w:r>
          </w:p>
        </w:tc>
        <w:tc>
          <w:tcPr>
            <w:tcW w:w="0" w:type="auto"/>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1.732*</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.084</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.048</w:t>
            </w:r>
          </w:p>
        </w:tc>
        <w:tc>
          <w:tcPr>
            <w:tcW w:w="0" w:type="auto"/>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2.186**</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.029</w:t>
            </w:r>
          </w:p>
        </w:tc>
      </w:tr>
      <w:tr w:rsidR="0029636F" w:rsidRPr="00156D01" w:rsidTr="00DB1BCC">
        <w:trPr>
          <w:trHeight w:val="291"/>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shd w:val="clear" w:color="auto" w:fill="auto"/>
            <w:hideMark/>
          </w:tcPr>
          <w:p w:rsidR="0029636F" w:rsidRPr="00156D01" w:rsidRDefault="0029636F" w:rsidP="00DB1BCC">
            <w:pPr>
              <w:spacing w:line="240" w:lineRule="auto"/>
              <w:ind w:firstLine="0"/>
              <w:rPr>
                <w:rFonts w:eastAsia="Times New Roman" w:cs="Times New Roman"/>
                <w:color w:val="000000"/>
                <w:szCs w:val="24"/>
                <w:lang w:eastAsia="en-AU"/>
              </w:rPr>
            </w:pPr>
            <w:proofErr w:type="spellStart"/>
            <w:r w:rsidRPr="00156D01">
              <w:rPr>
                <w:rFonts w:eastAsia="Times New Roman" w:cs="Times New Roman"/>
                <w:color w:val="000000"/>
                <w:szCs w:val="24"/>
                <w:lang w:eastAsia="en-AU"/>
              </w:rPr>
              <w:t>LnAmount</w:t>
            </w:r>
            <w:proofErr w:type="spellEnd"/>
          </w:p>
        </w:tc>
        <w:tc>
          <w:tcPr>
            <w:tcW w:w="0" w:type="auto"/>
            <w:tcBorders>
              <w:left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.018</w:t>
            </w:r>
          </w:p>
        </w:tc>
        <w:tc>
          <w:tcPr>
            <w:tcW w:w="0" w:type="auto"/>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4.363***</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.000</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.017</w:t>
            </w:r>
          </w:p>
        </w:tc>
        <w:tc>
          <w:tcPr>
            <w:tcW w:w="0" w:type="auto"/>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2.313**</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.021</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.009</w:t>
            </w:r>
          </w:p>
        </w:tc>
        <w:tc>
          <w:tcPr>
            <w:tcW w:w="0" w:type="auto"/>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.879</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.380</w:t>
            </w:r>
          </w:p>
        </w:tc>
      </w:tr>
      <w:tr w:rsidR="0029636F" w:rsidRPr="00156D01" w:rsidTr="00DB1B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shd w:val="clear" w:color="auto" w:fill="auto"/>
            <w:hideMark/>
          </w:tcPr>
          <w:p w:rsidR="0029636F" w:rsidRPr="00156D01" w:rsidRDefault="0029636F" w:rsidP="00DB1BCC">
            <w:pPr>
              <w:spacing w:line="240" w:lineRule="auto"/>
              <w:ind w:firstLine="0"/>
              <w:rPr>
                <w:rFonts w:eastAsia="Times New Roman" w:cs="Times New Roman"/>
                <w:color w:val="000000"/>
                <w:szCs w:val="24"/>
                <w:lang w:eastAsia="en-AU"/>
              </w:rPr>
            </w:pPr>
            <w:r w:rsidRPr="00156D01">
              <w:rPr>
                <w:rFonts w:eastAsia="Times New Roman" w:cs="Times New Roman"/>
                <w:color w:val="000000"/>
                <w:szCs w:val="24"/>
                <w:lang w:eastAsia="en-AU"/>
              </w:rPr>
              <w:t>Lenders</w:t>
            </w:r>
          </w:p>
        </w:tc>
        <w:tc>
          <w:tcPr>
            <w:tcW w:w="0" w:type="auto"/>
            <w:tcBorders>
              <w:left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-.001</w:t>
            </w:r>
          </w:p>
        </w:tc>
        <w:tc>
          <w:tcPr>
            <w:tcW w:w="0" w:type="auto"/>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-.343</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.732</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.011</w:t>
            </w:r>
          </w:p>
        </w:tc>
        <w:tc>
          <w:tcPr>
            <w:tcW w:w="0" w:type="auto"/>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1.508</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.132</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.003</w:t>
            </w:r>
          </w:p>
        </w:tc>
        <w:tc>
          <w:tcPr>
            <w:tcW w:w="0" w:type="auto"/>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.329</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.742</w:t>
            </w:r>
          </w:p>
        </w:tc>
      </w:tr>
      <w:tr w:rsidR="0029636F" w:rsidRPr="00156D01" w:rsidTr="00DB1BCC">
        <w:trPr>
          <w:trHeight w:val="291"/>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shd w:val="clear" w:color="auto" w:fill="auto"/>
            <w:hideMark/>
          </w:tcPr>
          <w:p w:rsidR="0029636F" w:rsidRPr="00156D01" w:rsidRDefault="0029636F" w:rsidP="00DB1BCC">
            <w:pPr>
              <w:spacing w:line="240" w:lineRule="auto"/>
              <w:ind w:firstLine="0"/>
              <w:rPr>
                <w:rFonts w:eastAsia="Times New Roman" w:cs="Times New Roman"/>
                <w:color w:val="000000"/>
                <w:szCs w:val="24"/>
                <w:lang w:eastAsia="en-AU"/>
              </w:rPr>
            </w:pPr>
            <w:r w:rsidRPr="00156D01">
              <w:rPr>
                <w:rFonts w:eastAsia="Times New Roman" w:cs="Times New Roman"/>
                <w:color w:val="000000"/>
                <w:szCs w:val="24"/>
                <w:lang w:eastAsia="en-AU"/>
              </w:rPr>
              <w:t>Hedge</w:t>
            </w:r>
          </w:p>
        </w:tc>
        <w:tc>
          <w:tcPr>
            <w:tcW w:w="0" w:type="auto"/>
            <w:tcBorders>
              <w:left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-.014</w:t>
            </w:r>
          </w:p>
        </w:tc>
        <w:tc>
          <w:tcPr>
            <w:tcW w:w="0" w:type="auto"/>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-1.400</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.162</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-.013</w:t>
            </w:r>
          </w:p>
        </w:tc>
        <w:tc>
          <w:tcPr>
            <w:tcW w:w="0" w:type="auto"/>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-.722</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.471</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-.038</w:t>
            </w:r>
          </w:p>
        </w:tc>
        <w:tc>
          <w:tcPr>
            <w:tcW w:w="0" w:type="auto"/>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-1.557</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.120</w:t>
            </w:r>
          </w:p>
        </w:tc>
      </w:tr>
      <w:tr w:rsidR="0029636F" w:rsidRPr="00156D01" w:rsidTr="00DB1BCC">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shd w:val="clear" w:color="auto" w:fill="auto"/>
            <w:hideMark/>
          </w:tcPr>
          <w:p w:rsidR="0029636F" w:rsidRPr="00156D01" w:rsidRDefault="0029636F" w:rsidP="00DB1BCC">
            <w:pPr>
              <w:spacing w:line="240" w:lineRule="auto"/>
              <w:ind w:firstLine="0"/>
              <w:rPr>
                <w:rFonts w:eastAsia="Times New Roman" w:cs="Times New Roman"/>
                <w:color w:val="000000"/>
                <w:szCs w:val="24"/>
                <w:lang w:eastAsia="en-AU"/>
              </w:rPr>
            </w:pPr>
            <w:proofErr w:type="spellStart"/>
            <w:r w:rsidRPr="00156D01">
              <w:rPr>
                <w:rFonts w:eastAsia="Times New Roman" w:cs="Times New Roman"/>
                <w:color w:val="000000"/>
                <w:szCs w:val="24"/>
                <w:lang w:eastAsia="en-AU"/>
              </w:rPr>
              <w:t>BankEquity</w:t>
            </w:r>
            <w:proofErr w:type="spellEnd"/>
          </w:p>
        </w:tc>
        <w:tc>
          <w:tcPr>
            <w:tcW w:w="0" w:type="auto"/>
            <w:tcBorders>
              <w:left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.018</w:t>
            </w:r>
          </w:p>
        </w:tc>
        <w:tc>
          <w:tcPr>
            <w:tcW w:w="0" w:type="auto"/>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1.697*</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.091</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.016</w:t>
            </w:r>
          </w:p>
        </w:tc>
        <w:tc>
          <w:tcPr>
            <w:tcW w:w="0" w:type="auto"/>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.895</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.371</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.022</w:t>
            </w:r>
          </w:p>
        </w:tc>
        <w:tc>
          <w:tcPr>
            <w:tcW w:w="0" w:type="auto"/>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.854</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.393</w:t>
            </w:r>
          </w:p>
        </w:tc>
      </w:tr>
      <w:tr w:rsidR="0029636F" w:rsidRPr="00156D01" w:rsidTr="00DB1BCC">
        <w:trPr>
          <w:trHeight w:val="466"/>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shd w:val="clear" w:color="auto" w:fill="auto"/>
            <w:hideMark/>
          </w:tcPr>
          <w:p w:rsidR="0029636F" w:rsidRPr="00156D01" w:rsidRDefault="0029636F" w:rsidP="00DB1BCC">
            <w:pPr>
              <w:spacing w:line="240" w:lineRule="auto"/>
              <w:ind w:firstLine="0"/>
              <w:rPr>
                <w:rFonts w:eastAsia="Times New Roman" w:cs="Times New Roman"/>
                <w:color w:val="000000"/>
                <w:szCs w:val="24"/>
                <w:lang w:eastAsia="en-AU"/>
              </w:rPr>
            </w:pPr>
            <w:proofErr w:type="spellStart"/>
            <w:r w:rsidRPr="00156D01">
              <w:rPr>
                <w:rFonts w:eastAsia="Times New Roman" w:cs="Times New Roman"/>
                <w:color w:val="000000"/>
                <w:szCs w:val="24"/>
                <w:lang w:eastAsia="en-AU"/>
              </w:rPr>
              <w:t>EquityRaise</w:t>
            </w:r>
            <w:proofErr w:type="spellEnd"/>
          </w:p>
        </w:tc>
        <w:tc>
          <w:tcPr>
            <w:tcW w:w="0" w:type="auto"/>
            <w:tcBorders>
              <w:left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-.007</w:t>
            </w:r>
          </w:p>
        </w:tc>
        <w:tc>
          <w:tcPr>
            <w:tcW w:w="0" w:type="auto"/>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-.517</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.606</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.061</w:t>
            </w:r>
          </w:p>
        </w:tc>
        <w:tc>
          <w:tcPr>
            <w:tcW w:w="0" w:type="auto"/>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2.470**</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.014</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.064</w:t>
            </w:r>
          </w:p>
        </w:tc>
        <w:tc>
          <w:tcPr>
            <w:tcW w:w="0" w:type="auto"/>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1.811*</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.071</w:t>
            </w:r>
          </w:p>
        </w:tc>
      </w:tr>
      <w:tr w:rsidR="0029636F" w:rsidRPr="00156D01" w:rsidTr="00DB1BCC">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shd w:val="clear" w:color="auto" w:fill="auto"/>
            <w:hideMark/>
          </w:tcPr>
          <w:p w:rsidR="0029636F" w:rsidRPr="00156D01" w:rsidRDefault="0029636F" w:rsidP="00DB1BCC">
            <w:pPr>
              <w:spacing w:line="240" w:lineRule="auto"/>
              <w:ind w:firstLine="0"/>
              <w:rPr>
                <w:rFonts w:eastAsia="Times New Roman" w:cs="Times New Roman"/>
                <w:color w:val="000000"/>
                <w:szCs w:val="24"/>
                <w:lang w:eastAsia="en-AU"/>
              </w:rPr>
            </w:pPr>
            <w:proofErr w:type="spellStart"/>
            <w:r w:rsidRPr="00156D01">
              <w:rPr>
                <w:rFonts w:eastAsia="Times New Roman" w:cs="Times New Roman"/>
                <w:color w:val="000000"/>
                <w:szCs w:val="24"/>
                <w:lang w:eastAsia="en-AU"/>
              </w:rPr>
              <w:t>LnMCAP</w:t>
            </w:r>
            <w:proofErr w:type="spellEnd"/>
          </w:p>
        </w:tc>
        <w:tc>
          <w:tcPr>
            <w:tcW w:w="0" w:type="auto"/>
            <w:tcBorders>
              <w:left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.001</w:t>
            </w:r>
          </w:p>
        </w:tc>
        <w:tc>
          <w:tcPr>
            <w:tcW w:w="0" w:type="auto"/>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.342</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.732</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-.002</w:t>
            </w:r>
          </w:p>
        </w:tc>
        <w:tc>
          <w:tcPr>
            <w:tcW w:w="0" w:type="auto"/>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-.240</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.810</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-.001</w:t>
            </w:r>
          </w:p>
        </w:tc>
        <w:tc>
          <w:tcPr>
            <w:tcW w:w="0" w:type="auto"/>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-.104</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.917</w:t>
            </w:r>
          </w:p>
        </w:tc>
      </w:tr>
      <w:tr w:rsidR="0029636F" w:rsidRPr="00156D01" w:rsidTr="00DB1BCC">
        <w:trPr>
          <w:trHeight w:val="291"/>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right w:val="single" w:sz="4" w:space="0" w:color="auto"/>
            </w:tcBorders>
            <w:shd w:val="clear" w:color="auto" w:fill="auto"/>
            <w:hideMark/>
          </w:tcPr>
          <w:p w:rsidR="0029636F" w:rsidRPr="00156D01" w:rsidRDefault="0029636F" w:rsidP="00DB1BCC">
            <w:pPr>
              <w:spacing w:line="240" w:lineRule="auto"/>
              <w:ind w:firstLine="0"/>
              <w:rPr>
                <w:rFonts w:eastAsia="Times New Roman" w:cs="Times New Roman"/>
                <w:color w:val="000000"/>
                <w:szCs w:val="24"/>
                <w:lang w:eastAsia="en-AU"/>
              </w:rPr>
            </w:pPr>
            <w:r w:rsidRPr="00156D01">
              <w:rPr>
                <w:rFonts w:eastAsia="Times New Roman" w:cs="Times New Roman"/>
                <w:color w:val="000000"/>
                <w:szCs w:val="24"/>
                <w:lang w:eastAsia="en-AU"/>
              </w:rPr>
              <w:t>Loss</w:t>
            </w:r>
          </w:p>
        </w:tc>
        <w:tc>
          <w:tcPr>
            <w:tcW w:w="0" w:type="auto"/>
            <w:tcBorders>
              <w:left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.001</w:t>
            </w:r>
          </w:p>
        </w:tc>
        <w:tc>
          <w:tcPr>
            <w:tcW w:w="0" w:type="auto"/>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.083</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.934</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.025</w:t>
            </w:r>
          </w:p>
        </w:tc>
        <w:tc>
          <w:tcPr>
            <w:tcW w:w="0" w:type="auto"/>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1.498</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.135</w:t>
            </w:r>
          </w:p>
        </w:tc>
        <w:tc>
          <w:tcPr>
            <w:tcW w:w="0" w:type="auto"/>
            <w:tcBorders>
              <w:lef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.036</w:t>
            </w:r>
          </w:p>
        </w:tc>
        <w:tc>
          <w:tcPr>
            <w:tcW w:w="0" w:type="auto"/>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1.544</w:t>
            </w:r>
          </w:p>
        </w:tc>
        <w:tc>
          <w:tcPr>
            <w:tcW w:w="0" w:type="auto"/>
            <w:tcBorders>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.123</w:t>
            </w:r>
          </w:p>
        </w:tc>
      </w:tr>
      <w:tr w:rsidR="0029636F" w:rsidRPr="00156D01" w:rsidTr="00DB1BCC">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bottom w:val="single" w:sz="4" w:space="0" w:color="auto"/>
              <w:right w:val="single" w:sz="4" w:space="0" w:color="auto"/>
            </w:tcBorders>
            <w:shd w:val="clear" w:color="auto" w:fill="auto"/>
            <w:hideMark/>
          </w:tcPr>
          <w:p w:rsidR="0029636F" w:rsidRPr="00156D01" w:rsidRDefault="0029636F" w:rsidP="00DB1BCC">
            <w:pPr>
              <w:spacing w:line="240" w:lineRule="auto"/>
              <w:ind w:firstLine="0"/>
              <w:rPr>
                <w:rFonts w:eastAsia="Times New Roman" w:cs="Times New Roman"/>
                <w:color w:val="000000"/>
                <w:szCs w:val="24"/>
                <w:lang w:eastAsia="en-AU"/>
              </w:rPr>
            </w:pPr>
            <w:proofErr w:type="spellStart"/>
            <w:r w:rsidRPr="00156D01">
              <w:rPr>
                <w:rFonts w:eastAsia="Times New Roman" w:cs="Times New Roman"/>
                <w:color w:val="000000"/>
                <w:szCs w:val="24"/>
                <w:lang w:eastAsia="en-AU"/>
              </w:rPr>
              <w:t>NumAnalyst</w:t>
            </w:r>
            <w:proofErr w:type="spellEnd"/>
          </w:p>
        </w:tc>
        <w:tc>
          <w:tcPr>
            <w:tcW w:w="0" w:type="auto"/>
            <w:tcBorders>
              <w:left w:val="single" w:sz="4" w:space="0" w:color="auto"/>
              <w:bottom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w:t>
            </w:r>
          </w:p>
        </w:tc>
        <w:tc>
          <w:tcPr>
            <w:tcW w:w="0" w:type="auto"/>
            <w:tcBorders>
              <w:left w:val="single" w:sz="4" w:space="0" w:color="auto"/>
              <w:bottom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-.001</w:t>
            </w:r>
          </w:p>
        </w:tc>
        <w:tc>
          <w:tcPr>
            <w:tcW w:w="0" w:type="auto"/>
            <w:tcBorders>
              <w:bottom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-.372</w:t>
            </w:r>
          </w:p>
        </w:tc>
        <w:tc>
          <w:tcPr>
            <w:tcW w:w="0" w:type="auto"/>
            <w:tcBorders>
              <w:bottom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.710</w:t>
            </w:r>
          </w:p>
        </w:tc>
        <w:tc>
          <w:tcPr>
            <w:tcW w:w="0" w:type="auto"/>
            <w:tcBorders>
              <w:left w:val="single" w:sz="4" w:space="0" w:color="auto"/>
              <w:bottom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-.006</w:t>
            </w:r>
          </w:p>
        </w:tc>
        <w:tc>
          <w:tcPr>
            <w:tcW w:w="0" w:type="auto"/>
            <w:tcBorders>
              <w:bottom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-2.064**</w:t>
            </w:r>
          </w:p>
        </w:tc>
        <w:tc>
          <w:tcPr>
            <w:tcW w:w="0" w:type="auto"/>
            <w:tcBorders>
              <w:bottom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.040</w:t>
            </w:r>
          </w:p>
        </w:tc>
        <w:tc>
          <w:tcPr>
            <w:tcW w:w="0" w:type="auto"/>
            <w:tcBorders>
              <w:left w:val="single" w:sz="4" w:space="0" w:color="auto"/>
              <w:bottom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-.009</w:t>
            </w:r>
          </w:p>
        </w:tc>
        <w:tc>
          <w:tcPr>
            <w:tcW w:w="0" w:type="auto"/>
            <w:tcBorders>
              <w:bottom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-2.382**</w:t>
            </w:r>
          </w:p>
        </w:tc>
        <w:tc>
          <w:tcPr>
            <w:tcW w:w="0" w:type="auto"/>
            <w:tcBorders>
              <w:bottom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Cs w:val="24"/>
                <w:lang w:eastAsia="en-AU"/>
              </w:rPr>
            </w:pPr>
            <w:r w:rsidRPr="00156D01">
              <w:rPr>
                <w:rFonts w:eastAsia="Times New Roman" w:cs="Times New Roman"/>
                <w:b/>
                <w:bCs/>
                <w:color w:val="000000"/>
                <w:szCs w:val="24"/>
                <w:lang w:eastAsia="en-AU"/>
              </w:rPr>
              <w:t>.018</w:t>
            </w:r>
          </w:p>
        </w:tc>
      </w:tr>
      <w:tr w:rsidR="0029636F" w:rsidRPr="00156D01" w:rsidTr="00DB1BCC">
        <w:trPr>
          <w:trHeight w:val="321"/>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single" w:sz="4" w:space="0" w:color="auto"/>
              <w:bottom w:val="nil"/>
              <w:right w:val="single" w:sz="4" w:space="0" w:color="auto"/>
            </w:tcBorders>
            <w:shd w:val="clear" w:color="auto" w:fill="auto"/>
            <w:hideMark/>
          </w:tcPr>
          <w:p w:rsidR="0029636F" w:rsidRPr="00156D01" w:rsidRDefault="0029636F" w:rsidP="00DB1BCC">
            <w:pPr>
              <w:spacing w:line="240" w:lineRule="auto"/>
              <w:ind w:firstLine="0"/>
              <w:rPr>
                <w:rFonts w:eastAsia="Times New Roman" w:cs="Times New Roman"/>
                <w:color w:val="000000"/>
                <w:szCs w:val="24"/>
                <w:lang w:eastAsia="en-AU"/>
              </w:rPr>
            </w:pPr>
            <w:r w:rsidRPr="00156D01">
              <w:rPr>
                <w:rFonts w:eastAsia="Times New Roman" w:cs="Times New Roman"/>
                <w:color w:val="000000"/>
                <w:szCs w:val="24"/>
                <w:lang w:eastAsia="en-AU"/>
              </w:rPr>
              <w:t>F-stat</w:t>
            </w:r>
          </w:p>
        </w:tc>
        <w:tc>
          <w:tcPr>
            <w:tcW w:w="0" w:type="auto"/>
            <w:tcBorders>
              <w:top w:val="single" w:sz="4" w:space="0" w:color="auto"/>
              <w:left w:val="single" w:sz="4" w:space="0" w:color="auto"/>
              <w:bottom w:val="nil"/>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p>
        </w:tc>
        <w:tc>
          <w:tcPr>
            <w:tcW w:w="0" w:type="auto"/>
            <w:tcBorders>
              <w:top w:val="single" w:sz="4" w:space="0" w:color="auto"/>
              <w:left w:val="single" w:sz="4" w:space="0" w:color="auto"/>
              <w:bottom w:val="nil"/>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3.840</w:t>
            </w:r>
          </w:p>
        </w:tc>
        <w:tc>
          <w:tcPr>
            <w:tcW w:w="0" w:type="auto"/>
            <w:tcBorders>
              <w:top w:val="single" w:sz="4" w:space="0" w:color="auto"/>
              <w:bottom w:val="nil"/>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p>
        </w:tc>
        <w:tc>
          <w:tcPr>
            <w:tcW w:w="0" w:type="auto"/>
            <w:tcBorders>
              <w:top w:val="single" w:sz="4" w:space="0" w:color="auto"/>
              <w:bottom w:val="nil"/>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0.000***</w:t>
            </w:r>
          </w:p>
        </w:tc>
        <w:tc>
          <w:tcPr>
            <w:tcW w:w="0" w:type="auto"/>
            <w:tcBorders>
              <w:top w:val="single" w:sz="4" w:space="0" w:color="auto"/>
              <w:left w:val="single" w:sz="4" w:space="0" w:color="auto"/>
              <w:bottom w:val="nil"/>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3.160</w:t>
            </w:r>
          </w:p>
        </w:tc>
        <w:tc>
          <w:tcPr>
            <w:tcW w:w="0" w:type="auto"/>
            <w:tcBorders>
              <w:top w:val="single" w:sz="4" w:space="0" w:color="auto"/>
              <w:bottom w:val="nil"/>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p>
        </w:tc>
        <w:tc>
          <w:tcPr>
            <w:tcW w:w="0" w:type="auto"/>
            <w:tcBorders>
              <w:top w:val="single" w:sz="4" w:space="0" w:color="auto"/>
              <w:bottom w:val="nil"/>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.000***</w:t>
            </w:r>
          </w:p>
        </w:tc>
        <w:tc>
          <w:tcPr>
            <w:tcW w:w="0" w:type="auto"/>
            <w:tcBorders>
              <w:top w:val="single" w:sz="4" w:space="0" w:color="auto"/>
              <w:left w:val="single" w:sz="4" w:space="0" w:color="auto"/>
              <w:bottom w:val="nil"/>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3.072</w:t>
            </w:r>
          </w:p>
        </w:tc>
        <w:tc>
          <w:tcPr>
            <w:tcW w:w="0" w:type="auto"/>
            <w:tcBorders>
              <w:top w:val="single" w:sz="4" w:space="0" w:color="auto"/>
              <w:bottom w:val="nil"/>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p>
        </w:tc>
        <w:tc>
          <w:tcPr>
            <w:tcW w:w="0" w:type="auto"/>
            <w:tcBorders>
              <w:top w:val="single" w:sz="4" w:space="0" w:color="auto"/>
              <w:bottom w:val="nil"/>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.001</w:t>
            </w:r>
            <w:r w:rsidRPr="00156D01">
              <w:rPr>
                <w:rFonts w:eastAsia="Times New Roman" w:cs="Times New Roman"/>
                <w:color w:val="000000"/>
                <w:szCs w:val="24"/>
                <w:vertAlign w:val="superscript"/>
                <w:lang w:eastAsia="en-AU"/>
              </w:rPr>
              <w:t>***</w:t>
            </w:r>
          </w:p>
        </w:tc>
      </w:tr>
      <w:tr w:rsidR="0029636F" w:rsidRPr="00156D01" w:rsidTr="00DB1BCC">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bottom w:val="nil"/>
              <w:right w:val="single" w:sz="4" w:space="0" w:color="auto"/>
            </w:tcBorders>
            <w:shd w:val="clear" w:color="auto" w:fill="auto"/>
            <w:hideMark/>
          </w:tcPr>
          <w:p w:rsidR="0029636F" w:rsidRPr="00156D01" w:rsidRDefault="0029636F" w:rsidP="00DB1BCC">
            <w:pPr>
              <w:spacing w:line="240" w:lineRule="auto"/>
              <w:ind w:firstLine="0"/>
              <w:rPr>
                <w:rFonts w:eastAsia="Times New Roman" w:cs="Times New Roman"/>
                <w:color w:val="000000"/>
                <w:szCs w:val="24"/>
                <w:lang w:eastAsia="en-AU"/>
              </w:rPr>
            </w:pPr>
            <w:r w:rsidRPr="00156D01">
              <w:rPr>
                <w:rFonts w:eastAsia="Times New Roman" w:cs="Times New Roman"/>
                <w:color w:val="000000"/>
                <w:szCs w:val="24"/>
                <w:lang w:eastAsia="en-AU"/>
              </w:rPr>
              <w:t>Adjusted R2</w:t>
            </w:r>
          </w:p>
        </w:tc>
        <w:tc>
          <w:tcPr>
            <w:tcW w:w="0" w:type="auto"/>
            <w:tcBorders>
              <w:top w:val="nil"/>
              <w:left w:val="single" w:sz="4" w:space="0" w:color="auto"/>
              <w:bottom w:val="nil"/>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p>
        </w:tc>
        <w:tc>
          <w:tcPr>
            <w:tcW w:w="0" w:type="auto"/>
            <w:tcBorders>
              <w:top w:val="nil"/>
              <w:left w:val="single" w:sz="4" w:space="0" w:color="auto"/>
              <w:bottom w:val="nil"/>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.077</w:t>
            </w:r>
          </w:p>
        </w:tc>
        <w:tc>
          <w:tcPr>
            <w:tcW w:w="0" w:type="auto"/>
            <w:tcBorders>
              <w:top w:val="nil"/>
              <w:bottom w:val="nil"/>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p>
        </w:tc>
        <w:tc>
          <w:tcPr>
            <w:tcW w:w="0" w:type="auto"/>
            <w:tcBorders>
              <w:top w:val="nil"/>
              <w:bottom w:val="nil"/>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p>
        </w:tc>
        <w:tc>
          <w:tcPr>
            <w:tcW w:w="0" w:type="auto"/>
            <w:tcBorders>
              <w:top w:val="nil"/>
              <w:left w:val="single" w:sz="4" w:space="0" w:color="auto"/>
              <w:bottom w:val="nil"/>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.060</w:t>
            </w:r>
          </w:p>
        </w:tc>
        <w:tc>
          <w:tcPr>
            <w:tcW w:w="0" w:type="auto"/>
            <w:tcBorders>
              <w:top w:val="nil"/>
              <w:bottom w:val="nil"/>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p>
        </w:tc>
        <w:tc>
          <w:tcPr>
            <w:tcW w:w="0" w:type="auto"/>
            <w:tcBorders>
              <w:top w:val="nil"/>
              <w:bottom w:val="nil"/>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p>
        </w:tc>
        <w:tc>
          <w:tcPr>
            <w:tcW w:w="0" w:type="auto"/>
            <w:tcBorders>
              <w:top w:val="nil"/>
              <w:left w:val="single" w:sz="4" w:space="0" w:color="auto"/>
              <w:bottom w:val="nil"/>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.057</w:t>
            </w:r>
          </w:p>
        </w:tc>
        <w:tc>
          <w:tcPr>
            <w:tcW w:w="0" w:type="auto"/>
            <w:tcBorders>
              <w:top w:val="nil"/>
              <w:bottom w:val="nil"/>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p>
        </w:tc>
        <w:tc>
          <w:tcPr>
            <w:tcW w:w="0" w:type="auto"/>
            <w:tcBorders>
              <w:top w:val="nil"/>
              <w:bottom w:val="nil"/>
              <w:right w:val="single" w:sz="4" w:space="0" w:color="auto"/>
            </w:tcBorders>
            <w:shd w:val="clear" w:color="auto" w:fill="auto"/>
            <w:noWrap/>
            <w:hideMark/>
          </w:tcPr>
          <w:p w:rsidR="0029636F" w:rsidRPr="00156D01" w:rsidRDefault="0029636F" w:rsidP="00DB1BCC">
            <w:pPr>
              <w:spacing w:line="240" w:lineRule="auto"/>
              <w:ind w:firstLine="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Cs w:val="24"/>
                <w:lang w:eastAsia="en-AU"/>
              </w:rPr>
            </w:pPr>
          </w:p>
        </w:tc>
      </w:tr>
      <w:tr w:rsidR="0029636F" w:rsidRPr="00156D01" w:rsidTr="00DB1BCC">
        <w:trPr>
          <w:trHeight w:val="78"/>
        </w:trPr>
        <w:tc>
          <w:tcPr>
            <w:cnfStyle w:val="001000000000" w:firstRow="0" w:lastRow="0" w:firstColumn="1" w:lastColumn="0" w:oddVBand="0" w:evenVBand="0" w:oddHBand="0" w:evenHBand="0" w:firstRowFirstColumn="0" w:firstRowLastColumn="0" w:lastRowFirstColumn="0" w:lastRowLastColumn="0"/>
            <w:tcW w:w="0" w:type="auto"/>
            <w:tcBorders>
              <w:top w:val="nil"/>
              <w:left w:val="single" w:sz="4" w:space="0" w:color="auto"/>
              <w:bottom w:val="single" w:sz="4" w:space="0" w:color="auto"/>
              <w:right w:val="single" w:sz="4" w:space="0" w:color="auto"/>
            </w:tcBorders>
            <w:shd w:val="clear" w:color="auto" w:fill="auto"/>
            <w:hideMark/>
          </w:tcPr>
          <w:p w:rsidR="0029636F" w:rsidRPr="00156D01" w:rsidRDefault="0029636F" w:rsidP="00DB1BCC">
            <w:pPr>
              <w:spacing w:line="240" w:lineRule="auto"/>
              <w:ind w:firstLine="0"/>
              <w:rPr>
                <w:rFonts w:eastAsia="Times New Roman" w:cs="Times New Roman"/>
                <w:color w:val="000000"/>
                <w:szCs w:val="24"/>
                <w:lang w:eastAsia="en-AU"/>
              </w:rPr>
            </w:pPr>
            <w:r w:rsidRPr="00156D01">
              <w:rPr>
                <w:rFonts w:eastAsia="Times New Roman" w:cs="Times New Roman"/>
                <w:color w:val="000000"/>
                <w:szCs w:val="24"/>
                <w:lang w:eastAsia="en-AU"/>
              </w:rPr>
              <w:t>N</w:t>
            </w:r>
          </w:p>
        </w:tc>
        <w:tc>
          <w:tcPr>
            <w:tcW w:w="0" w:type="auto"/>
            <w:tcBorders>
              <w:top w:val="nil"/>
              <w:left w:val="single" w:sz="4" w:space="0" w:color="auto"/>
              <w:bottom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p>
        </w:tc>
        <w:tc>
          <w:tcPr>
            <w:tcW w:w="0" w:type="auto"/>
            <w:tcBorders>
              <w:top w:val="nil"/>
              <w:left w:val="single" w:sz="4" w:space="0" w:color="auto"/>
              <w:bottom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374</w:t>
            </w:r>
          </w:p>
        </w:tc>
        <w:tc>
          <w:tcPr>
            <w:tcW w:w="0" w:type="auto"/>
            <w:tcBorders>
              <w:top w:val="nil"/>
              <w:bottom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p>
        </w:tc>
        <w:tc>
          <w:tcPr>
            <w:tcW w:w="0" w:type="auto"/>
            <w:tcBorders>
              <w:top w:val="nil"/>
              <w:bottom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p>
        </w:tc>
        <w:tc>
          <w:tcPr>
            <w:tcW w:w="0" w:type="auto"/>
            <w:tcBorders>
              <w:top w:val="nil"/>
              <w:left w:val="single" w:sz="4" w:space="0" w:color="auto"/>
              <w:bottom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374</w:t>
            </w:r>
          </w:p>
        </w:tc>
        <w:tc>
          <w:tcPr>
            <w:tcW w:w="0" w:type="auto"/>
            <w:tcBorders>
              <w:top w:val="nil"/>
              <w:bottom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p>
        </w:tc>
        <w:tc>
          <w:tcPr>
            <w:tcW w:w="0" w:type="auto"/>
            <w:tcBorders>
              <w:top w:val="nil"/>
              <w:bottom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p>
        </w:tc>
        <w:tc>
          <w:tcPr>
            <w:tcW w:w="0" w:type="auto"/>
            <w:tcBorders>
              <w:top w:val="nil"/>
              <w:left w:val="single" w:sz="4" w:space="0" w:color="auto"/>
              <w:bottom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r w:rsidRPr="00156D01">
              <w:rPr>
                <w:rFonts w:eastAsia="Times New Roman" w:cs="Times New Roman"/>
                <w:color w:val="000000"/>
                <w:szCs w:val="24"/>
                <w:lang w:eastAsia="en-AU"/>
              </w:rPr>
              <w:t>374</w:t>
            </w:r>
          </w:p>
        </w:tc>
        <w:tc>
          <w:tcPr>
            <w:tcW w:w="0" w:type="auto"/>
            <w:tcBorders>
              <w:top w:val="nil"/>
              <w:bottom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p>
        </w:tc>
        <w:tc>
          <w:tcPr>
            <w:tcW w:w="0" w:type="auto"/>
            <w:tcBorders>
              <w:top w:val="nil"/>
              <w:bottom w:val="single" w:sz="4" w:space="0" w:color="auto"/>
              <w:right w:val="single" w:sz="4" w:space="0" w:color="auto"/>
            </w:tcBorders>
            <w:shd w:val="clear" w:color="auto" w:fill="auto"/>
            <w:noWrap/>
            <w:hideMark/>
          </w:tcPr>
          <w:p w:rsidR="0029636F" w:rsidRPr="00156D01" w:rsidRDefault="0029636F" w:rsidP="00DB1BCC">
            <w:pPr>
              <w:spacing w:line="240" w:lineRule="auto"/>
              <w:ind w:firstLine="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4"/>
                <w:lang w:eastAsia="en-AU"/>
              </w:rPr>
            </w:pPr>
          </w:p>
        </w:tc>
      </w:tr>
    </w:tbl>
    <w:p w:rsidR="0029636F" w:rsidRDefault="0029636F" w:rsidP="0029636F">
      <w:pPr>
        <w:pStyle w:val="TableDesc"/>
      </w:pPr>
      <w:r>
        <w:fldChar w:fldCharType="begin"/>
      </w:r>
      <w:r>
        <w:instrText xml:space="preserve"> REF _Ref379398212 \h </w:instrText>
      </w:r>
      <w:r>
        <w:fldChar w:fldCharType="separate"/>
      </w:r>
      <w:r w:rsidR="0089071A">
        <w:t xml:space="preserve">Table </w:t>
      </w:r>
      <w:r w:rsidR="0089071A">
        <w:rPr>
          <w:noProof/>
        </w:rPr>
        <w:t>1</w:t>
      </w:r>
      <w:r>
        <w:fldChar w:fldCharType="end"/>
      </w:r>
      <w:r>
        <w:t xml:space="preserve"> </w:t>
      </w:r>
      <w:r w:rsidRPr="00F521A0">
        <w:t xml:space="preserve">presents Ordinary Least Squares regressions on the determinants of the </w:t>
      </w:r>
      <w:r>
        <w:t xml:space="preserve">cumulative average </w:t>
      </w:r>
      <w:r w:rsidRPr="00F521A0">
        <w:t xml:space="preserve">abnormal return around the release of a bank loan announcement. </w:t>
      </w:r>
      <w:r>
        <w:t>Panel A reports r</w:t>
      </w:r>
      <w:r w:rsidRPr="00F521A0">
        <w:t xml:space="preserve">esults </w:t>
      </w:r>
      <w:r>
        <w:t>over</w:t>
      </w:r>
      <w:r w:rsidRPr="00F521A0">
        <w:t xml:space="preserve"> the event windows 0 to 1, </w:t>
      </w:r>
      <w:r>
        <w:t xml:space="preserve">Panel B reports results over the event window </w:t>
      </w:r>
      <w:r w:rsidRPr="00F521A0">
        <w:t>-5 to 5 and</w:t>
      </w:r>
      <w:r>
        <w:t xml:space="preserve"> Panel C reports results over the event window</w:t>
      </w:r>
      <w:r w:rsidRPr="00F521A0">
        <w:t xml:space="preserve"> -10 to 10. </w:t>
      </w:r>
    </w:p>
    <w:p w:rsidR="0029636F" w:rsidRDefault="0029636F" w:rsidP="0029636F">
      <w:pPr>
        <w:pStyle w:val="TableDesc"/>
        <w:sectPr w:rsidR="0029636F" w:rsidSect="00D106C5">
          <w:pgSz w:w="16838" w:h="11906" w:orient="landscape"/>
          <w:pgMar w:top="1440" w:right="1440" w:bottom="1440" w:left="1440" w:header="708" w:footer="708" w:gutter="0"/>
          <w:cols w:space="708"/>
          <w:docGrid w:linePitch="360"/>
        </w:sectPr>
      </w:pPr>
      <w:r w:rsidRPr="00F521A0">
        <w:t>Regression variables are defined as:</w:t>
      </w:r>
      <w:r>
        <w:t xml:space="preserve"> </w:t>
      </w:r>
      <w:r>
        <w:rPr>
          <w:i/>
        </w:rPr>
        <w:t>Macquarie</w:t>
      </w:r>
      <w:r>
        <w:t xml:space="preserve"> represents a binary variable equal to one if the loan is issued by industry leader Macquarie Bank</w:t>
      </w:r>
      <w:r w:rsidRPr="00107298">
        <w:rPr>
          <w:rFonts w:cs="Times New Roman"/>
          <w:i/>
          <w:szCs w:val="24"/>
          <w:lang w:val="en-NZ"/>
        </w:rPr>
        <w:t xml:space="preserve"> </w:t>
      </w:r>
      <w:r w:rsidRPr="00F521A0">
        <w:rPr>
          <w:rFonts w:cs="Times New Roman"/>
          <w:i/>
          <w:szCs w:val="24"/>
          <w:lang w:val="en-NZ"/>
        </w:rPr>
        <w:t xml:space="preserve">Initial </w:t>
      </w:r>
      <w:r w:rsidRPr="00F521A0">
        <w:rPr>
          <w:rFonts w:cs="Times New Roman"/>
          <w:szCs w:val="24"/>
          <w:lang w:val="en-NZ"/>
        </w:rPr>
        <w:t>represents a binary variable capturing if the loan is an initial loan.</w:t>
      </w:r>
      <w:r>
        <w:rPr>
          <w:rFonts w:cs="Times New Roman"/>
          <w:szCs w:val="24"/>
          <w:lang w:val="en-NZ"/>
        </w:rPr>
        <w:t xml:space="preserve"> </w:t>
      </w:r>
      <w:proofErr w:type="spellStart"/>
      <w:r>
        <w:rPr>
          <w:rFonts w:cs="Times New Roman"/>
          <w:i/>
          <w:szCs w:val="24"/>
          <w:lang w:val="en-NZ"/>
        </w:rPr>
        <w:t>FirstAnn</w:t>
      </w:r>
      <w:proofErr w:type="spellEnd"/>
      <w:r>
        <w:rPr>
          <w:rFonts w:cs="Times New Roman"/>
          <w:szCs w:val="24"/>
          <w:lang w:val="en-NZ"/>
        </w:rPr>
        <w:t xml:space="preserve"> is a binary variable equal to one if the announcement is the first in a sequence of announcements. </w:t>
      </w:r>
      <w:proofErr w:type="spellStart"/>
      <w:r w:rsidRPr="00F521A0">
        <w:rPr>
          <w:rFonts w:cs="Times New Roman"/>
          <w:i/>
          <w:szCs w:val="24"/>
          <w:lang w:val="en-NZ"/>
        </w:rPr>
        <w:t>LnAmount</w:t>
      </w:r>
      <w:proofErr w:type="spellEnd"/>
      <w:r w:rsidRPr="00F521A0">
        <w:rPr>
          <w:rFonts w:cs="Times New Roman"/>
          <w:i/>
          <w:szCs w:val="24"/>
          <w:lang w:val="en-NZ"/>
        </w:rPr>
        <w:t xml:space="preserve"> </w:t>
      </w:r>
      <w:r w:rsidRPr="00F521A0">
        <w:rPr>
          <w:rFonts w:cs="Times New Roman"/>
          <w:szCs w:val="24"/>
          <w:lang w:val="en-NZ"/>
        </w:rPr>
        <w:t>is calculated as the dollar amount of borrowed funds scaled by the borrowing firm’s total assets in the period prior to the loan announcement.</w:t>
      </w:r>
      <w:r w:rsidRPr="00107298">
        <w:rPr>
          <w:rFonts w:cs="Times New Roman"/>
          <w:i/>
          <w:szCs w:val="24"/>
          <w:lang w:val="en-NZ"/>
        </w:rPr>
        <w:t xml:space="preserve"> </w:t>
      </w:r>
      <w:proofErr w:type="gramStart"/>
      <w:r w:rsidRPr="00F521A0">
        <w:rPr>
          <w:rFonts w:cs="Times New Roman"/>
          <w:i/>
          <w:szCs w:val="24"/>
          <w:lang w:val="en-NZ"/>
        </w:rPr>
        <w:t>Lenders</w:t>
      </w:r>
      <w:r w:rsidRPr="00F521A0">
        <w:rPr>
          <w:rFonts w:cs="Times New Roman"/>
          <w:szCs w:val="24"/>
          <w:lang w:val="en-NZ"/>
        </w:rPr>
        <w:t xml:space="preserve"> is</w:t>
      </w:r>
      <w:proofErr w:type="gramEnd"/>
      <w:r w:rsidRPr="00F521A0">
        <w:rPr>
          <w:rFonts w:cs="Times New Roman"/>
          <w:szCs w:val="24"/>
          <w:lang w:val="en-NZ"/>
        </w:rPr>
        <w:t xml:space="preserve"> the number of lenders mentioned in the bank loan announcement.</w:t>
      </w:r>
      <w:r w:rsidRPr="00107298">
        <w:rPr>
          <w:rFonts w:cs="Times New Roman"/>
          <w:i/>
          <w:szCs w:val="24"/>
          <w:lang w:val="en-NZ"/>
        </w:rPr>
        <w:t xml:space="preserve"> </w:t>
      </w:r>
      <w:r w:rsidRPr="00F521A0">
        <w:rPr>
          <w:rFonts w:cs="Times New Roman"/>
          <w:i/>
          <w:szCs w:val="24"/>
          <w:lang w:val="en-NZ"/>
        </w:rPr>
        <w:t>Hedge</w:t>
      </w:r>
      <w:r w:rsidRPr="00F521A0">
        <w:rPr>
          <w:rFonts w:cs="Times New Roman"/>
          <w:szCs w:val="24"/>
          <w:lang w:val="en-NZ"/>
        </w:rPr>
        <w:t xml:space="preserve"> is a binary variable equal to 1 if it is disclosed within the bank loan announcement that the bank requires the borrowing to hedge its commodity or foreign exchange exposure before a loan agreement can be completed.</w:t>
      </w:r>
      <w:r w:rsidRPr="00107298">
        <w:rPr>
          <w:rFonts w:cs="Times New Roman"/>
          <w:i/>
          <w:szCs w:val="24"/>
          <w:lang w:val="en-NZ"/>
        </w:rPr>
        <w:t xml:space="preserve"> </w:t>
      </w:r>
      <w:proofErr w:type="spellStart"/>
      <w:r w:rsidRPr="00F521A0">
        <w:rPr>
          <w:rFonts w:cs="Times New Roman"/>
          <w:i/>
          <w:szCs w:val="24"/>
          <w:lang w:val="en-NZ"/>
        </w:rPr>
        <w:t>BankEquity</w:t>
      </w:r>
      <w:proofErr w:type="spellEnd"/>
      <w:r w:rsidRPr="00F521A0">
        <w:rPr>
          <w:rFonts w:cs="Times New Roman"/>
          <w:szCs w:val="24"/>
          <w:lang w:val="en-NZ"/>
        </w:rPr>
        <w:t xml:space="preserve"> is a binary variable equal to 1 if it is disclosed within the bank loan announcement that the bank owns shares, warrants or options of the borrowing firm.</w:t>
      </w:r>
      <w:r>
        <w:rPr>
          <w:rFonts w:cs="Times New Roman"/>
          <w:szCs w:val="24"/>
          <w:lang w:val="en-NZ"/>
        </w:rPr>
        <w:t xml:space="preserve"> </w:t>
      </w:r>
      <w:proofErr w:type="spellStart"/>
      <w:r w:rsidRPr="00F521A0">
        <w:rPr>
          <w:rFonts w:cs="Times New Roman"/>
          <w:i/>
          <w:szCs w:val="24"/>
          <w:lang w:val="en-NZ"/>
        </w:rPr>
        <w:t>EquityRaise</w:t>
      </w:r>
      <w:proofErr w:type="spellEnd"/>
      <w:r w:rsidRPr="00F521A0">
        <w:rPr>
          <w:rFonts w:cs="Times New Roman"/>
          <w:szCs w:val="24"/>
          <w:lang w:val="en-NZ"/>
        </w:rPr>
        <w:t xml:space="preserve"> is a binary variable equal to 1 if it is disclosed within the bank loan announcement that the bank requires the borrowing firm to raise further equity before a loan agreement can be completed.</w:t>
      </w:r>
      <w:r>
        <w:rPr>
          <w:rFonts w:cs="Times New Roman"/>
          <w:szCs w:val="24"/>
          <w:lang w:val="en-NZ"/>
        </w:rPr>
        <w:t xml:space="preserve"> </w:t>
      </w:r>
      <w:proofErr w:type="spellStart"/>
      <w:r w:rsidRPr="00F521A0">
        <w:rPr>
          <w:i/>
        </w:rPr>
        <w:t>LnMCap</w:t>
      </w:r>
      <w:proofErr w:type="spellEnd"/>
      <w:r w:rsidRPr="00F521A0">
        <w:t xml:space="preserve"> </w:t>
      </w:r>
      <w:r w:rsidRPr="00F521A0">
        <w:rPr>
          <w:rFonts w:cs="Times New Roman"/>
          <w:szCs w:val="24"/>
          <w:lang w:val="en-NZ"/>
        </w:rPr>
        <w:t>is the natural logarithm of the firm’s market capitalisation 15 days before the bank loan announcement.</w:t>
      </w:r>
      <w:r w:rsidRPr="00107298">
        <w:rPr>
          <w:rFonts w:cs="Times New Roman"/>
          <w:i/>
          <w:szCs w:val="24"/>
          <w:lang w:val="en-NZ"/>
        </w:rPr>
        <w:t xml:space="preserve"> </w:t>
      </w:r>
      <w:r w:rsidRPr="00F521A0">
        <w:rPr>
          <w:rFonts w:cs="Times New Roman"/>
          <w:i/>
          <w:szCs w:val="24"/>
          <w:lang w:val="en-NZ"/>
        </w:rPr>
        <w:t>Loss</w:t>
      </w:r>
      <w:r w:rsidRPr="00F521A0">
        <w:rPr>
          <w:rFonts w:cs="Times New Roman"/>
          <w:szCs w:val="24"/>
          <w:lang w:val="en-NZ"/>
        </w:rPr>
        <w:t xml:space="preserve"> is a binary variable equal to 1 if the firm reported a net profit after tax of less than zero in the annual report prior to the bank loan announcement.</w:t>
      </w:r>
      <w:r>
        <w:rPr>
          <w:rFonts w:cs="Times New Roman"/>
          <w:szCs w:val="24"/>
          <w:lang w:val="en-NZ"/>
        </w:rPr>
        <w:t xml:space="preserve"> </w:t>
      </w:r>
      <w:proofErr w:type="spellStart"/>
      <w:r>
        <w:rPr>
          <w:rFonts w:cs="Times New Roman"/>
          <w:i/>
          <w:szCs w:val="24"/>
          <w:lang w:val="en-NZ"/>
        </w:rPr>
        <w:t>NumAnalyst</w:t>
      </w:r>
      <w:proofErr w:type="spellEnd"/>
      <w:r>
        <w:rPr>
          <w:rFonts w:cs="Times New Roman"/>
          <w:szCs w:val="24"/>
          <w:lang w:val="en-NZ"/>
        </w:rPr>
        <w:t xml:space="preserve"> is the number of analysts </w:t>
      </w:r>
      <w:proofErr w:type="gramStart"/>
      <w:r>
        <w:rPr>
          <w:rFonts w:cs="Times New Roman"/>
          <w:szCs w:val="24"/>
          <w:lang w:val="en-NZ"/>
        </w:rPr>
        <w:t>following  firm</w:t>
      </w:r>
      <w:proofErr w:type="gramEnd"/>
      <w:r>
        <w:rPr>
          <w:rFonts w:cs="Times New Roman"/>
          <w:szCs w:val="24"/>
          <w:lang w:val="en-NZ"/>
        </w:rPr>
        <w:t xml:space="preserve"> </w:t>
      </w:r>
      <w:proofErr w:type="spellStart"/>
      <w:r>
        <w:rPr>
          <w:rFonts w:cs="Times New Roman"/>
          <w:i/>
          <w:szCs w:val="24"/>
          <w:lang w:val="en-NZ"/>
        </w:rPr>
        <w:t>i</w:t>
      </w:r>
      <w:proofErr w:type="spellEnd"/>
      <w:r>
        <w:rPr>
          <w:rFonts w:cs="Times New Roman"/>
          <w:i/>
          <w:szCs w:val="24"/>
          <w:lang w:val="en-NZ"/>
        </w:rPr>
        <w:t xml:space="preserve"> </w:t>
      </w:r>
      <w:r>
        <w:rPr>
          <w:rFonts w:cs="Times New Roman"/>
          <w:szCs w:val="24"/>
          <w:lang w:val="en-NZ"/>
        </w:rPr>
        <w:t xml:space="preserve">on the announcement date. </w:t>
      </w:r>
      <w:proofErr w:type="gramStart"/>
      <w:r w:rsidRPr="00F521A0">
        <w:rPr>
          <w:rFonts w:cs="Times New Roman"/>
          <w:szCs w:val="24"/>
          <w:lang w:val="en-NZ"/>
        </w:rPr>
        <w:t>p-values</w:t>
      </w:r>
      <w:proofErr w:type="gramEnd"/>
      <w:r w:rsidRPr="00F521A0">
        <w:rPr>
          <w:rFonts w:cs="Times New Roman"/>
          <w:szCs w:val="24"/>
          <w:lang w:val="en-NZ"/>
        </w:rPr>
        <w:t xml:space="preserve"> are provided based on tw</w:t>
      </w:r>
      <w:r>
        <w:rPr>
          <w:rFonts w:cs="Times New Roman"/>
          <w:szCs w:val="24"/>
          <w:lang w:val="en-NZ"/>
        </w:rPr>
        <w:t>o-tailed tests of significance.</w:t>
      </w:r>
    </w:p>
    <w:p w:rsidR="0029636F" w:rsidRDefault="0029636F" w:rsidP="0029636F">
      <w:pPr>
        <w:pStyle w:val="Figures"/>
      </w:pPr>
      <w:bookmarkStart w:id="64" w:name="_Ref378030458"/>
      <w:bookmarkStart w:id="65" w:name="_Toc379787326"/>
      <w:r>
        <w:lastRenderedPageBreak/>
        <w:t>Figure</w:t>
      </w:r>
      <w:r w:rsidR="00FC0F38">
        <w:t xml:space="preserve"> </w:t>
      </w:r>
      <w:r w:rsidR="000A24D2">
        <w:fldChar w:fldCharType="begin"/>
      </w:r>
      <w:r w:rsidR="000A24D2">
        <w:instrText xml:space="preserve"> SEQ Figure \* ARABIC \s 1 </w:instrText>
      </w:r>
      <w:r w:rsidR="000A24D2">
        <w:fldChar w:fldCharType="separate"/>
      </w:r>
      <w:proofErr w:type="gramStart"/>
      <w:r w:rsidR="0089071A">
        <w:rPr>
          <w:noProof/>
        </w:rPr>
        <w:t>1</w:t>
      </w:r>
      <w:r w:rsidR="000A24D2">
        <w:rPr>
          <w:noProof/>
        </w:rPr>
        <w:fldChar w:fldCharType="end"/>
      </w:r>
      <w:bookmarkEnd w:id="64"/>
      <w:r>
        <w:t xml:space="preserve"> Daily average abnormal returns</w:t>
      </w:r>
      <w:proofErr w:type="gramEnd"/>
      <w:r>
        <w:t xml:space="preserve"> (AAR) over the -10 to 10 day event window.</w:t>
      </w:r>
      <w:bookmarkEnd w:id="65"/>
    </w:p>
    <w:p w:rsidR="0029636F" w:rsidRDefault="0029636F" w:rsidP="0029636F">
      <w:pPr>
        <w:pStyle w:val="NoSpacing"/>
        <w:spacing w:line="240" w:lineRule="auto"/>
      </w:pPr>
      <w:r>
        <w:t>Panel A: Daily average abnormal returns over the -10 to 10 day event window for the total sample of bank loan announcements.</w:t>
      </w:r>
      <w:r>
        <w:rPr>
          <w:noProof/>
          <w:lang w:eastAsia="en-AU"/>
        </w:rPr>
        <w:drawing>
          <wp:inline distT="0" distB="0" distL="0" distR="0" wp14:anchorId="2703E746" wp14:editId="5BCC3C46">
            <wp:extent cx="5457825" cy="19145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9636F" w:rsidRDefault="0029636F" w:rsidP="0029636F">
      <w:pPr>
        <w:pStyle w:val="NoSpacing"/>
        <w:spacing w:line="240" w:lineRule="auto"/>
        <w:rPr>
          <w:rStyle w:val="TableDescChar"/>
        </w:rPr>
      </w:pPr>
      <w:r w:rsidRPr="00190366">
        <w:t>Panel B: Daily average abnormal returns over the -10 to 10 day event window for the initial bank loan sample of announcements.</w:t>
      </w:r>
      <w:r>
        <w:rPr>
          <w:noProof/>
          <w:lang w:eastAsia="en-AU"/>
        </w:rPr>
        <w:drawing>
          <wp:inline distT="0" distB="0" distL="0" distR="0" wp14:anchorId="45313896" wp14:editId="0C54AAFC">
            <wp:extent cx="5454502" cy="1892596"/>
            <wp:effectExtent l="0" t="0" r="13335"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190366">
        <w:t>Panel C: Daily average abnormal returns over the -10 to 10 day event window for the subsequent bank loan sample of announcements.</w:t>
      </w:r>
      <w:r>
        <w:rPr>
          <w:noProof/>
          <w:lang w:eastAsia="en-AU"/>
        </w:rPr>
        <w:drawing>
          <wp:inline distT="0" distB="0" distL="0" distR="0" wp14:anchorId="27304CE1" wp14:editId="03022A96">
            <wp:extent cx="5528930" cy="1892595"/>
            <wp:effectExtent l="0" t="0" r="15240" b="127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190366">
        <w:rPr>
          <w:rStyle w:val="TableDescChar"/>
        </w:rPr>
        <w:fldChar w:fldCharType="begin"/>
      </w:r>
      <w:r w:rsidRPr="00190366">
        <w:rPr>
          <w:rStyle w:val="TableDescChar"/>
        </w:rPr>
        <w:instrText xml:space="preserve"> REF _Ref378030458 \h  \* MERGEFORMAT </w:instrText>
      </w:r>
      <w:r w:rsidRPr="00190366">
        <w:rPr>
          <w:rStyle w:val="TableDescChar"/>
        </w:rPr>
      </w:r>
      <w:r w:rsidRPr="00190366">
        <w:rPr>
          <w:rStyle w:val="TableDescChar"/>
        </w:rPr>
        <w:fldChar w:fldCharType="separate"/>
      </w:r>
      <w:r w:rsidR="0089071A" w:rsidRPr="0089071A">
        <w:rPr>
          <w:rStyle w:val="TableDescChar"/>
        </w:rPr>
        <w:t>Figure</w:t>
      </w:r>
      <w:r w:rsidR="0089071A">
        <w:t xml:space="preserve"> </w:t>
      </w:r>
      <w:r w:rsidR="0089071A">
        <w:rPr>
          <w:noProof/>
        </w:rPr>
        <w:t>1</w:t>
      </w:r>
      <w:r w:rsidRPr="00190366">
        <w:rPr>
          <w:rStyle w:val="TableDescChar"/>
        </w:rPr>
        <w:fldChar w:fldCharType="end"/>
      </w:r>
      <w:r w:rsidR="002B571E">
        <w:rPr>
          <w:rStyle w:val="TableDescChar"/>
        </w:rPr>
        <w:t>,</w:t>
      </w:r>
      <w:r w:rsidRPr="00190366">
        <w:rPr>
          <w:rStyle w:val="TableDescChar"/>
        </w:rPr>
        <w:t xml:space="preserve"> Panel A shows the average abnormal return for each event day in the -10 to 10 day event window, using the full sa</w:t>
      </w:r>
      <w:r w:rsidRPr="00AF605F">
        <w:rPr>
          <w:rStyle w:val="TableDescChar"/>
        </w:rPr>
        <w:t>mple of bank loan announcements. Panel B shows the average abnormal return for each event day in the -10 to 10 day event window, surrounding the sample of initial bank loan announcements. Panel C shows the average abnormal return for each event day in the -10 to 10 day event window, surrounding the sample of subsequent bank loan announcements. Event day 0 represents the date of the bank loan announcement</w:t>
      </w:r>
      <w:r w:rsidRPr="00190366">
        <w:rPr>
          <w:rStyle w:val="TableDescChar"/>
        </w:rPr>
        <w:t>.</w:t>
      </w:r>
    </w:p>
    <w:p w:rsidR="0029636F" w:rsidRPr="008E50B7" w:rsidRDefault="0029636F" w:rsidP="0029636F"/>
    <w:p w:rsidR="0029636F" w:rsidRDefault="0029636F" w:rsidP="0029636F">
      <w:pPr>
        <w:pStyle w:val="Figures"/>
      </w:pPr>
      <w:bookmarkStart w:id="66" w:name="_Ref379406263"/>
      <w:bookmarkStart w:id="67" w:name="_Toc379787327"/>
      <w:r>
        <w:lastRenderedPageBreak/>
        <w:t>Figure</w:t>
      </w:r>
      <w:r w:rsidR="00FC0F38">
        <w:t xml:space="preserve"> </w:t>
      </w:r>
      <w:r w:rsidR="000A24D2">
        <w:fldChar w:fldCharType="begin"/>
      </w:r>
      <w:r w:rsidR="000A24D2">
        <w:instrText xml:space="preserve"> SEQ Figure \* ARABIC \s 1 </w:instrText>
      </w:r>
      <w:r w:rsidR="000A24D2">
        <w:fldChar w:fldCharType="separate"/>
      </w:r>
      <w:r w:rsidR="0089071A">
        <w:rPr>
          <w:noProof/>
        </w:rPr>
        <w:t>2</w:t>
      </w:r>
      <w:r w:rsidR="000A24D2">
        <w:rPr>
          <w:noProof/>
        </w:rPr>
        <w:fldChar w:fldCharType="end"/>
      </w:r>
      <w:bookmarkEnd w:id="66"/>
      <w:r>
        <w:t xml:space="preserve"> Cumulative average abnormal returns (CAAR) over the -5 to 5 day event window.</w:t>
      </w:r>
      <w:bookmarkEnd w:id="67"/>
    </w:p>
    <w:p w:rsidR="0029636F" w:rsidRPr="00190366" w:rsidRDefault="0029636F" w:rsidP="0029636F">
      <w:pPr>
        <w:pStyle w:val="NoSpacing"/>
        <w:spacing w:line="240" w:lineRule="auto"/>
      </w:pPr>
      <w:r w:rsidRPr="00190366">
        <w:t>Panel A: Cumulative average abnormal returns over the -5 to 5 day event window for the total sample of bank loan announcements.</w:t>
      </w:r>
    </w:p>
    <w:p w:rsidR="0029636F" w:rsidRDefault="0029636F" w:rsidP="0029636F">
      <w:pPr>
        <w:pStyle w:val="NoSpacing"/>
        <w:rPr>
          <w:rStyle w:val="NoSpacingChar"/>
        </w:rPr>
      </w:pPr>
      <w:r>
        <w:rPr>
          <w:noProof/>
          <w:lang w:eastAsia="en-AU"/>
        </w:rPr>
        <w:drawing>
          <wp:inline distT="0" distB="0" distL="0" distR="0" wp14:anchorId="05285D9D" wp14:editId="789C0E73">
            <wp:extent cx="5267325" cy="17049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9636F" w:rsidRDefault="0029636F" w:rsidP="0029636F">
      <w:pPr>
        <w:pStyle w:val="NoSpacing"/>
        <w:spacing w:after="240" w:line="240" w:lineRule="auto"/>
      </w:pPr>
      <w:r w:rsidRPr="00A112BE">
        <w:rPr>
          <w:rStyle w:val="NoSpacingChar"/>
        </w:rPr>
        <w:t xml:space="preserve">Panel B: </w:t>
      </w:r>
      <w:r>
        <w:t>Cumulative average abnormal returns</w:t>
      </w:r>
      <w:r w:rsidRPr="00A112BE">
        <w:rPr>
          <w:rStyle w:val="NoSpacingChar"/>
        </w:rPr>
        <w:t xml:space="preserve"> </w:t>
      </w:r>
      <w:r>
        <w:rPr>
          <w:rStyle w:val="NoSpacingChar"/>
        </w:rPr>
        <w:t>over the -5</w:t>
      </w:r>
      <w:r w:rsidRPr="00A112BE">
        <w:rPr>
          <w:rStyle w:val="NoSpacingChar"/>
        </w:rPr>
        <w:t xml:space="preserve"> to </w:t>
      </w:r>
      <w:r>
        <w:rPr>
          <w:rStyle w:val="NoSpacingChar"/>
        </w:rPr>
        <w:t>5</w:t>
      </w:r>
      <w:r w:rsidRPr="00A112BE">
        <w:rPr>
          <w:rStyle w:val="NoSpacingChar"/>
        </w:rPr>
        <w:t xml:space="preserve"> day event window for the initial bank loan sample of announcements.</w:t>
      </w:r>
      <w:r>
        <w:rPr>
          <w:noProof/>
          <w:lang w:eastAsia="en-AU"/>
        </w:rPr>
        <w:drawing>
          <wp:inline distT="0" distB="0" distL="0" distR="0" wp14:anchorId="15E34E62" wp14:editId="4C42B422">
            <wp:extent cx="5209953" cy="1998921"/>
            <wp:effectExtent l="0" t="0" r="10160" b="2095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636F" w:rsidRDefault="0029636F" w:rsidP="0029636F">
      <w:pPr>
        <w:pStyle w:val="NoSpacing"/>
        <w:spacing w:line="240" w:lineRule="auto"/>
      </w:pPr>
      <w:r>
        <w:t>Panel C: Cumulative average abnormal returns over the -5 to 5 day event window for the subsequent bank loan sample of announcements.</w:t>
      </w:r>
      <w:r>
        <w:rPr>
          <w:noProof/>
          <w:lang w:eastAsia="en-AU"/>
        </w:rPr>
        <w:drawing>
          <wp:inline distT="0" distB="0" distL="0" distR="0" wp14:anchorId="36054E79" wp14:editId="04A054CC">
            <wp:extent cx="5209953" cy="2030818"/>
            <wp:effectExtent l="0" t="0" r="10160" b="2667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68" w:name="_Ref378090124"/>
    </w:p>
    <w:p w:rsidR="0029636F" w:rsidRPr="00AF605F" w:rsidRDefault="0029636F" w:rsidP="0029636F">
      <w:pPr>
        <w:pStyle w:val="NoSpacing"/>
        <w:spacing w:line="240" w:lineRule="auto"/>
      </w:pPr>
      <w:r w:rsidRPr="00770EAF">
        <w:rPr>
          <w:rStyle w:val="TableDescChar"/>
        </w:rPr>
        <w:fldChar w:fldCharType="begin"/>
      </w:r>
      <w:r w:rsidRPr="00770EAF">
        <w:rPr>
          <w:rStyle w:val="TableDescChar"/>
        </w:rPr>
        <w:instrText xml:space="preserve"> REF _Ref379406263 \h  \* MERGEFORMAT </w:instrText>
      </w:r>
      <w:r w:rsidRPr="00770EAF">
        <w:rPr>
          <w:rStyle w:val="TableDescChar"/>
        </w:rPr>
      </w:r>
      <w:r w:rsidRPr="00770EAF">
        <w:rPr>
          <w:rStyle w:val="TableDescChar"/>
        </w:rPr>
        <w:fldChar w:fldCharType="separate"/>
      </w:r>
      <w:r w:rsidR="0089071A" w:rsidRPr="0089071A">
        <w:rPr>
          <w:rStyle w:val="TableDescChar"/>
        </w:rPr>
        <w:t>Figure 2</w:t>
      </w:r>
      <w:r w:rsidRPr="00770EAF">
        <w:rPr>
          <w:rStyle w:val="TableDescChar"/>
        </w:rPr>
        <w:fldChar w:fldCharType="end"/>
      </w:r>
      <w:r w:rsidRPr="00770EAF">
        <w:rPr>
          <w:rStyle w:val="TableDescChar"/>
        </w:rPr>
        <w:t xml:space="preserve"> Panel A shows the cumulative average abnormal return over the -5 to 5 day event window, using the full sample of bank loan announcements. Panel B shows the cumulative average abnormal return over the -5 to 5 day event window, using the sample of initial bank loan announcements. Panel C shows the cumulative average abnormal return over the -5 to 5 day event window, using the sample of subsequent bank loan announcements. Event day 0 represents the date of the bank loan announcement.</w:t>
      </w:r>
      <w:r w:rsidRPr="00AF605F">
        <w:br w:type="page"/>
      </w:r>
    </w:p>
    <w:p w:rsidR="0029636F" w:rsidRDefault="0029636F" w:rsidP="0029636F">
      <w:pPr>
        <w:pStyle w:val="Figures"/>
      </w:pPr>
      <w:bookmarkStart w:id="69" w:name="_Ref378188784"/>
      <w:bookmarkStart w:id="70" w:name="_Toc379787328"/>
      <w:r>
        <w:lastRenderedPageBreak/>
        <w:t>Figure</w:t>
      </w:r>
      <w:r w:rsidR="00FC0F38">
        <w:t xml:space="preserve"> </w:t>
      </w:r>
      <w:r w:rsidR="000A24D2">
        <w:fldChar w:fldCharType="begin"/>
      </w:r>
      <w:r w:rsidR="000A24D2">
        <w:instrText xml:space="preserve"> SEQ Figure \* </w:instrText>
      </w:r>
      <w:r w:rsidR="000A24D2">
        <w:instrText xml:space="preserve">ARABIC \s 1 </w:instrText>
      </w:r>
      <w:r w:rsidR="000A24D2">
        <w:fldChar w:fldCharType="separate"/>
      </w:r>
      <w:proofErr w:type="gramStart"/>
      <w:r w:rsidR="0089071A">
        <w:rPr>
          <w:noProof/>
        </w:rPr>
        <w:t>3</w:t>
      </w:r>
      <w:r w:rsidR="000A24D2">
        <w:rPr>
          <w:noProof/>
        </w:rPr>
        <w:fldChar w:fldCharType="end"/>
      </w:r>
      <w:bookmarkEnd w:id="68"/>
      <w:bookmarkEnd w:id="69"/>
      <w:r>
        <w:t xml:space="preserve"> Average abnormal turnover</w:t>
      </w:r>
      <w:proofErr w:type="gramEnd"/>
      <w:r>
        <w:t xml:space="preserve"> (AATO) over the -10 to 10 event window</w:t>
      </w:r>
      <w:bookmarkEnd w:id="70"/>
    </w:p>
    <w:p w:rsidR="0029636F" w:rsidRDefault="0029636F" w:rsidP="0029636F">
      <w:pPr>
        <w:pStyle w:val="NoSpacing"/>
        <w:spacing w:line="240" w:lineRule="auto"/>
      </w:pPr>
      <w:r>
        <w:t>Panel A: Average abnormal turnover over the -10 to 10 event window surrounding the total sample of bank loan announcements.</w:t>
      </w:r>
    </w:p>
    <w:p w:rsidR="0029636F" w:rsidRDefault="0029636F" w:rsidP="0029636F">
      <w:pPr>
        <w:pStyle w:val="NoSpacing"/>
      </w:pPr>
      <w:r>
        <w:rPr>
          <w:noProof/>
          <w:lang w:eastAsia="en-AU"/>
        </w:rPr>
        <w:drawing>
          <wp:inline distT="0" distB="0" distL="0" distR="0" wp14:anchorId="15E1CB9C" wp14:editId="124CEDAD">
            <wp:extent cx="5443870" cy="1913860"/>
            <wp:effectExtent l="0" t="0" r="23495" b="1079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9636F" w:rsidRDefault="0029636F" w:rsidP="0029636F">
      <w:pPr>
        <w:pStyle w:val="NoSpacing"/>
        <w:spacing w:line="240" w:lineRule="auto"/>
      </w:pPr>
      <w:r>
        <w:t>Panel B: Average abnormal turnover over the -10 to 10 event window surrounding the sample of initial bank loan announcements.</w:t>
      </w:r>
    </w:p>
    <w:p w:rsidR="0029636F" w:rsidRDefault="0029636F" w:rsidP="0029636F">
      <w:pPr>
        <w:pStyle w:val="NoSpacing"/>
      </w:pPr>
      <w:r>
        <w:rPr>
          <w:noProof/>
          <w:lang w:eastAsia="en-AU"/>
        </w:rPr>
        <w:drawing>
          <wp:inline distT="0" distB="0" distL="0" distR="0" wp14:anchorId="2C46BCB2" wp14:editId="30C1D101">
            <wp:extent cx="5443870" cy="1967023"/>
            <wp:effectExtent l="0" t="0" r="23495" b="1460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9636F" w:rsidRDefault="0029636F" w:rsidP="0029636F">
      <w:pPr>
        <w:pStyle w:val="NoSpacing"/>
        <w:spacing w:line="240" w:lineRule="auto"/>
      </w:pPr>
      <w:r>
        <w:t>Panel C: Average abnormal turnover over the -10 to 10 event window surrounding the sample of subsequent bank loan announcements.</w:t>
      </w:r>
    </w:p>
    <w:p w:rsidR="0029636F" w:rsidRDefault="0029636F" w:rsidP="0029636F">
      <w:pPr>
        <w:pStyle w:val="NoSpacing"/>
        <w:rPr>
          <w:rStyle w:val="TableDescChar"/>
        </w:rPr>
      </w:pPr>
      <w:r>
        <w:rPr>
          <w:noProof/>
          <w:lang w:eastAsia="en-AU"/>
        </w:rPr>
        <w:drawing>
          <wp:inline distT="0" distB="0" distL="0" distR="0" wp14:anchorId="167BF320" wp14:editId="2C2ACB59">
            <wp:extent cx="5497033" cy="1967023"/>
            <wp:effectExtent l="0" t="0" r="27940" b="1460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9636F" w:rsidRDefault="0029636F" w:rsidP="0029636F">
      <w:pPr>
        <w:pStyle w:val="TableDesc"/>
        <w:rPr>
          <w:rStyle w:val="TableDescChar"/>
        </w:rPr>
      </w:pPr>
      <w:r>
        <w:rPr>
          <w:rStyle w:val="TableDescChar"/>
        </w:rPr>
        <w:fldChar w:fldCharType="begin"/>
      </w:r>
      <w:r>
        <w:rPr>
          <w:rStyle w:val="TableDescChar"/>
        </w:rPr>
        <w:instrText xml:space="preserve"> REF _Ref378188784 \h </w:instrText>
      </w:r>
      <w:r>
        <w:rPr>
          <w:rStyle w:val="TableDescChar"/>
        </w:rPr>
      </w:r>
      <w:r>
        <w:rPr>
          <w:rStyle w:val="TableDescChar"/>
        </w:rPr>
        <w:fldChar w:fldCharType="separate"/>
      </w:r>
      <w:r w:rsidR="0089071A">
        <w:t xml:space="preserve">Figure </w:t>
      </w:r>
      <w:r w:rsidR="0089071A">
        <w:rPr>
          <w:noProof/>
        </w:rPr>
        <w:t>3</w:t>
      </w:r>
      <w:r>
        <w:rPr>
          <w:rStyle w:val="TableDescChar"/>
        </w:rPr>
        <w:fldChar w:fldCharType="end"/>
      </w:r>
      <w:r>
        <w:rPr>
          <w:rStyle w:val="TableDescChar"/>
        </w:rPr>
        <w:t xml:space="preserve"> Panel A shows the cumulative average abnormal return over the -5 to 5 day event window; using the full sample of bank loan announcements. Panel B shows the cumulative average abnormal return over the -5 to 5 day event window, using the sample of initial bank loan announcements. Panel C shows the cumulative average abnormal return over the -5 to 5 day event window, using the sample of subsequent bank loan announcements. Event day 0 represents the date of the bank loan announcement.</w:t>
      </w:r>
    </w:p>
    <w:p w:rsidR="0029636F" w:rsidRDefault="0029636F" w:rsidP="0029636F">
      <w:pPr>
        <w:spacing w:line="276" w:lineRule="auto"/>
        <w:ind w:firstLine="0"/>
        <w:rPr>
          <w:b/>
        </w:rPr>
      </w:pPr>
      <w:bookmarkStart w:id="71" w:name="_Ref379790102"/>
      <w:r>
        <w:br w:type="page"/>
      </w:r>
    </w:p>
    <w:p w:rsidR="0029636F" w:rsidRPr="008E29A0" w:rsidRDefault="0029636F" w:rsidP="0029636F">
      <w:pPr>
        <w:pStyle w:val="Table"/>
      </w:pPr>
      <w:bookmarkStart w:id="72" w:name="_Ref379995434"/>
      <w:r w:rsidRPr="008E29A0">
        <w:lastRenderedPageBreak/>
        <w:t>Figure</w:t>
      </w:r>
      <w:r w:rsidR="00FC0F38">
        <w:t xml:space="preserve"> </w:t>
      </w:r>
      <w:r w:rsidR="000A24D2">
        <w:fldChar w:fldCharType="begin"/>
      </w:r>
      <w:r w:rsidR="000A24D2">
        <w:instrText xml:space="preserve"> SEQ Figure \* ARABIC \s 1 </w:instrText>
      </w:r>
      <w:r w:rsidR="000A24D2">
        <w:fldChar w:fldCharType="separate"/>
      </w:r>
      <w:r w:rsidR="0089071A">
        <w:rPr>
          <w:noProof/>
        </w:rPr>
        <w:t>4</w:t>
      </w:r>
      <w:r w:rsidR="000A24D2">
        <w:rPr>
          <w:noProof/>
        </w:rPr>
        <w:fldChar w:fldCharType="end"/>
      </w:r>
      <w:bookmarkEnd w:id="71"/>
      <w:bookmarkEnd w:id="72"/>
      <w:r w:rsidRPr="008E29A0">
        <w:t xml:space="preserve"> Average abnormal spread over the -10 to 10 event window.</w:t>
      </w:r>
    </w:p>
    <w:p w:rsidR="0029636F" w:rsidRDefault="0029636F" w:rsidP="0029636F">
      <w:pPr>
        <w:pStyle w:val="NoSpacing"/>
        <w:spacing w:line="240" w:lineRule="auto"/>
      </w:pPr>
      <w:r>
        <w:t>Panel A: Average abnormal spread over the -10 to 10 event window surrounding the total sample of bank loan announcements.</w:t>
      </w:r>
    </w:p>
    <w:p w:rsidR="0029636F" w:rsidRDefault="0029636F" w:rsidP="0029636F">
      <w:pPr>
        <w:pStyle w:val="TableDesc"/>
        <w:spacing w:after="240"/>
      </w:pPr>
      <w:r>
        <w:rPr>
          <w:noProof/>
          <w:lang w:eastAsia="en-AU"/>
        </w:rPr>
        <w:drawing>
          <wp:inline distT="0" distB="0" distL="0" distR="0" wp14:anchorId="00C7DC12" wp14:editId="0E523DA3">
            <wp:extent cx="5443870" cy="2126511"/>
            <wp:effectExtent l="0" t="0" r="23495" b="2667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9636F" w:rsidRDefault="0029636F" w:rsidP="0029636F">
      <w:pPr>
        <w:pStyle w:val="NoSpacing"/>
        <w:spacing w:line="240" w:lineRule="auto"/>
      </w:pPr>
      <w:r>
        <w:t>Panel B: Average abnormal spread over the -10 to 10 event window surrounding the initial bank loan sample of announcements.</w:t>
      </w:r>
    </w:p>
    <w:p w:rsidR="0029636F" w:rsidRDefault="0029636F" w:rsidP="0029636F">
      <w:pPr>
        <w:pStyle w:val="TableDesc"/>
        <w:spacing w:after="240"/>
      </w:pPr>
      <w:r>
        <w:rPr>
          <w:noProof/>
          <w:lang w:eastAsia="en-AU"/>
        </w:rPr>
        <w:drawing>
          <wp:inline distT="0" distB="0" distL="0" distR="0" wp14:anchorId="0413584F" wp14:editId="752F6F41">
            <wp:extent cx="5443870" cy="1977656"/>
            <wp:effectExtent l="0" t="0" r="23495" b="2286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9636F" w:rsidRDefault="0029636F" w:rsidP="0029636F">
      <w:pPr>
        <w:pStyle w:val="NoSpacing"/>
        <w:spacing w:line="240" w:lineRule="auto"/>
      </w:pPr>
      <w:r>
        <w:t>Panel C: Average abnormal spread over the -10 to 10 event window surrounding the sample of subsequent bank loan announcements.</w:t>
      </w:r>
    </w:p>
    <w:p w:rsidR="0029636F" w:rsidRDefault="0029636F" w:rsidP="0029636F">
      <w:pPr>
        <w:pStyle w:val="NoSpacing"/>
        <w:rPr>
          <w:rStyle w:val="TableDescChar"/>
        </w:rPr>
      </w:pPr>
      <w:r>
        <w:rPr>
          <w:noProof/>
          <w:lang w:eastAsia="en-AU"/>
        </w:rPr>
        <w:drawing>
          <wp:inline distT="0" distB="0" distL="0" distR="0" wp14:anchorId="37CBFAAD" wp14:editId="275C89DA">
            <wp:extent cx="5443870" cy="1956391"/>
            <wp:effectExtent l="0" t="0" r="23495" b="2540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9636F" w:rsidRDefault="0029636F" w:rsidP="0029636F">
      <w:pPr>
        <w:pStyle w:val="TableDesc"/>
        <w:rPr>
          <w:b/>
        </w:rPr>
      </w:pPr>
      <w:r>
        <w:rPr>
          <w:rStyle w:val="TableDescChar"/>
        </w:rPr>
        <w:fldChar w:fldCharType="begin"/>
      </w:r>
      <w:r>
        <w:rPr>
          <w:rStyle w:val="TableDescChar"/>
        </w:rPr>
        <w:instrText xml:space="preserve"> REF _Ref379995434 \h  \* MERGEFORMAT </w:instrText>
      </w:r>
      <w:r>
        <w:rPr>
          <w:rStyle w:val="TableDescChar"/>
        </w:rPr>
      </w:r>
      <w:r>
        <w:rPr>
          <w:rStyle w:val="TableDescChar"/>
        </w:rPr>
        <w:fldChar w:fldCharType="separate"/>
      </w:r>
      <w:r w:rsidR="0089071A" w:rsidRPr="008E29A0">
        <w:t>Figure</w:t>
      </w:r>
      <w:r w:rsidR="0089071A">
        <w:t xml:space="preserve"> </w:t>
      </w:r>
      <w:r w:rsidR="0089071A">
        <w:rPr>
          <w:noProof/>
        </w:rPr>
        <w:t>4</w:t>
      </w:r>
      <w:r>
        <w:rPr>
          <w:rStyle w:val="TableDescChar"/>
        </w:rPr>
        <w:fldChar w:fldCharType="end"/>
      </w:r>
      <w:r>
        <w:rPr>
          <w:rStyle w:val="TableDescChar"/>
        </w:rPr>
        <w:t xml:space="preserve"> </w:t>
      </w:r>
      <w:r w:rsidRPr="00EA014D">
        <w:rPr>
          <w:rStyle w:val="TableDescChar"/>
        </w:rPr>
        <w:t>Panel A presents the average abnormal spread surrounding the total sample of bank loan announcements. Panel B presents the average abnormal spread surrounding the sample of initial bank loan announcements. Panel C presents average abnormal spread surrounding the sample of subsequent bank loan announcements. Abnormal spread is calculated as in equation (6). Event day ‘0’ represents the date of the bank loan announcement</w:t>
      </w:r>
      <w:r w:rsidRPr="00C83E67">
        <w:t>.</w:t>
      </w:r>
      <w:bookmarkStart w:id="73" w:name="_Ref378208058"/>
      <w:bookmarkStart w:id="74" w:name="_Toc379787330"/>
      <w:r>
        <w:br w:type="page"/>
      </w:r>
    </w:p>
    <w:p w:rsidR="001B721C" w:rsidRPr="003C4EC3" w:rsidRDefault="00D27537" w:rsidP="003C4EC3">
      <w:pPr>
        <w:pStyle w:val="Heading1"/>
        <w:numPr>
          <w:ilvl w:val="0"/>
          <w:numId w:val="0"/>
        </w:numPr>
        <w:ind w:left="357" w:hanging="357"/>
      </w:pPr>
      <w:bookmarkStart w:id="75" w:name="_Toc379787316"/>
      <w:bookmarkEnd w:id="73"/>
      <w:bookmarkEnd w:id="74"/>
      <w:r w:rsidRPr="003C4EC3">
        <w:lastRenderedPageBreak/>
        <w:t>References</w:t>
      </w:r>
      <w:bookmarkEnd w:id="75"/>
    </w:p>
    <w:p w:rsidR="005B6334" w:rsidRPr="00464278" w:rsidRDefault="001B0127" w:rsidP="005B6334">
      <w:pPr>
        <w:spacing w:after="0" w:line="240" w:lineRule="auto"/>
        <w:ind w:left="720" w:hanging="720"/>
        <w:rPr>
          <w:rFonts w:cs="Times New Roman"/>
          <w:noProof/>
          <w:sz w:val="22"/>
        </w:rPr>
      </w:pPr>
      <w:r w:rsidRPr="00464278">
        <w:rPr>
          <w:sz w:val="22"/>
        </w:rPr>
        <w:fldChar w:fldCharType="begin"/>
      </w:r>
      <w:r w:rsidR="001B721C" w:rsidRPr="00464278">
        <w:rPr>
          <w:sz w:val="22"/>
        </w:rPr>
        <w:instrText xml:space="preserve"> ADDIN EN.REFLIST </w:instrText>
      </w:r>
      <w:r w:rsidRPr="00464278">
        <w:rPr>
          <w:sz w:val="22"/>
        </w:rPr>
        <w:fldChar w:fldCharType="separate"/>
      </w:r>
      <w:bookmarkStart w:id="76" w:name="_ENREF_1"/>
      <w:r w:rsidR="005B6334" w:rsidRPr="00464278">
        <w:rPr>
          <w:rFonts w:cs="Times New Roman"/>
          <w:noProof/>
          <w:sz w:val="22"/>
        </w:rPr>
        <w:t>Acharya, V.V., Hasan, I., Saunders, A., 2006. Should Banks Be Diversified? Evidence from Individual Bank Loan Portfolios. The Journal of Business 79, 1355-1412</w:t>
      </w:r>
      <w:bookmarkEnd w:id="76"/>
    </w:p>
    <w:p w:rsidR="005B6334" w:rsidRPr="00464278" w:rsidRDefault="005B6334" w:rsidP="005B6334">
      <w:pPr>
        <w:spacing w:after="0" w:line="240" w:lineRule="auto"/>
        <w:ind w:left="720" w:hanging="720"/>
        <w:rPr>
          <w:rFonts w:cs="Times New Roman"/>
          <w:noProof/>
          <w:sz w:val="22"/>
        </w:rPr>
      </w:pPr>
      <w:bookmarkStart w:id="77" w:name="_ENREF_2"/>
      <w:r w:rsidRPr="00464278">
        <w:rPr>
          <w:rFonts w:cs="Times New Roman"/>
          <w:noProof/>
          <w:sz w:val="22"/>
        </w:rPr>
        <w:t>Aintablian, S., Roberts, G.S., 2000. A note on market response to corporate loan announcements in Canada. Journal of Banking &amp; Finance 24, 381-393</w:t>
      </w:r>
      <w:bookmarkEnd w:id="77"/>
    </w:p>
    <w:p w:rsidR="005B6334" w:rsidRPr="00464278" w:rsidRDefault="005B6334" w:rsidP="005B6334">
      <w:pPr>
        <w:spacing w:after="0" w:line="240" w:lineRule="auto"/>
        <w:ind w:left="720" w:hanging="720"/>
        <w:rPr>
          <w:rFonts w:cs="Times New Roman"/>
          <w:noProof/>
          <w:sz w:val="22"/>
        </w:rPr>
      </w:pPr>
      <w:bookmarkStart w:id="78" w:name="_ENREF_3"/>
      <w:r w:rsidRPr="00464278">
        <w:rPr>
          <w:rFonts w:cs="Times New Roman"/>
          <w:noProof/>
          <w:sz w:val="22"/>
        </w:rPr>
        <w:t>Almazan, A., 2002. A model of competition in banking: Bank capital vs expertise. Journal of Financial Intermediation 11, 87-121</w:t>
      </w:r>
      <w:bookmarkEnd w:id="78"/>
    </w:p>
    <w:p w:rsidR="005B6334" w:rsidRPr="00464278" w:rsidRDefault="005B6334" w:rsidP="005B6334">
      <w:pPr>
        <w:spacing w:after="0" w:line="240" w:lineRule="auto"/>
        <w:ind w:left="720" w:hanging="720"/>
        <w:rPr>
          <w:rFonts w:cs="Times New Roman"/>
          <w:noProof/>
          <w:sz w:val="22"/>
        </w:rPr>
      </w:pPr>
      <w:bookmarkStart w:id="79" w:name="_ENREF_4"/>
      <w:r w:rsidRPr="00464278">
        <w:rPr>
          <w:rFonts w:cs="Times New Roman"/>
          <w:noProof/>
          <w:sz w:val="22"/>
        </w:rPr>
        <w:t xml:space="preserve">ASX, 2013. Chapter 3 Continuous Disclosure </w:t>
      </w:r>
      <w:bookmarkEnd w:id="79"/>
    </w:p>
    <w:p w:rsidR="005B6334" w:rsidRPr="00464278" w:rsidRDefault="005B6334" w:rsidP="005B6334">
      <w:pPr>
        <w:spacing w:after="0" w:line="240" w:lineRule="auto"/>
        <w:ind w:left="720" w:hanging="720"/>
        <w:rPr>
          <w:rFonts w:cs="Times New Roman"/>
          <w:noProof/>
          <w:sz w:val="22"/>
        </w:rPr>
      </w:pPr>
      <w:bookmarkStart w:id="80" w:name="_ENREF_5"/>
      <w:r w:rsidRPr="00464278">
        <w:rPr>
          <w:rFonts w:cs="Times New Roman"/>
          <w:noProof/>
          <w:sz w:val="22"/>
        </w:rPr>
        <w:t>ASX, 2014. Guidance Note 8. ASX Listing Rules</w:t>
      </w:r>
      <w:bookmarkEnd w:id="80"/>
    </w:p>
    <w:p w:rsidR="005B6334" w:rsidRPr="00464278" w:rsidRDefault="005B6334" w:rsidP="005B6334">
      <w:pPr>
        <w:spacing w:after="0" w:line="240" w:lineRule="auto"/>
        <w:ind w:left="720" w:hanging="720"/>
        <w:rPr>
          <w:rFonts w:cs="Times New Roman"/>
          <w:noProof/>
          <w:sz w:val="22"/>
        </w:rPr>
      </w:pPr>
      <w:bookmarkStart w:id="81" w:name="_ENREF_6"/>
      <w:r w:rsidRPr="00464278">
        <w:rPr>
          <w:rFonts w:cs="Times New Roman"/>
          <w:noProof/>
          <w:sz w:val="22"/>
        </w:rPr>
        <w:t>Bernanke, B.S., 1983. Nonmonetary Effects of the Financial Crisis in the Propagation of the Great Depression. The American economic review 73, 257-276</w:t>
      </w:r>
      <w:bookmarkEnd w:id="81"/>
    </w:p>
    <w:p w:rsidR="005B6334" w:rsidRPr="00464278" w:rsidRDefault="005B6334" w:rsidP="005B6334">
      <w:pPr>
        <w:spacing w:after="0" w:line="240" w:lineRule="auto"/>
        <w:ind w:left="720" w:hanging="720"/>
        <w:rPr>
          <w:rFonts w:cs="Times New Roman"/>
          <w:noProof/>
          <w:sz w:val="22"/>
        </w:rPr>
      </w:pPr>
      <w:bookmarkStart w:id="82" w:name="_ENREF_7"/>
      <w:r w:rsidRPr="00464278">
        <w:rPr>
          <w:rFonts w:cs="Times New Roman"/>
          <w:noProof/>
          <w:sz w:val="22"/>
        </w:rPr>
        <w:t>Best, R., Zhang, H., 1993. Alternative Information Sources and the Information Content of Bank Loans. The Journal of Finance 48, 1507-1522</w:t>
      </w:r>
      <w:bookmarkEnd w:id="82"/>
    </w:p>
    <w:p w:rsidR="005B6334" w:rsidRPr="00464278" w:rsidRDefault="005B6334" w:rsidP="005B6334">
      <w:pPr>
        <w:spacing w:after="0" w:line="240" w:lineRule="auto"/>
        <w:ind w:left="720" w:hanging="720"/>
        <w:rPr>
          <w:rFonts w:cs="Times New Roman"/>
          <w:noProof/>
          <w:sz w:val="22"/>
        </w:rPr>
      </w:pPr>
      <w:bookmarkStart w:id="83" w:name="_ENREF_8"/>
      <w:r w:rsidRPr="00464278">
        <w:rPr>
          <w:rFonts w:cs="Times New Roman"/>
          <w:noProof/>
          <w:sz w:val="22"/>
        </w:rPr>
        <w:t>Billett, M.T., Flannery, M.J., Garfinkel, J.A., 1995. The Effect of Lender Identity on a Borrowing Firm's Equity Return. The Journal of Finance 50, 699-718</w:t>
      </w:r>
      <w:bookmarkEnd w:id="83"/>
    </w:p>
    <w:p w:rsidR="005B6334" w:rsidRPr="00464278" w:rsidRDefault="005B6334" w:rsidP="005B6334">
      <w:pPr>
        <w:spacing w:after="0" w:line="240" w:lineRule="auto"/>
        <w:ind w:left="720" w:hanging="720"/>
        <w:rPr>
          <w:rFonts w:cs="Times New Roman"/>
          <w:noProof/>
          <w:sz w:val="22"/>
        </w:rPr>
      </w:pPr>
      <w:bookmarkStart w:id="84" w:name="_ENREF_9"/>
      <w:r w:rsidRPr="00464278">
        <w:rPr>
          <w:rFonts w:cs="Times New Roman"/>
          <w:noProof/>
          <w:sz w:val="22"/>
        </w:rPr>
        <w:t>Billett, M.T., Flannery, M.J., Garfinkel, J.A., 2006. Are bank loans special? Evidence on the post-announcement performance of bank borrowers. Journal of Financial and Quantitative Analysis 41, 733-751</w:t>
      </w:r>
      <w:bookmarkEnd w:id="84"/>
    </w:p>
    <w:p w:rsidR="005B6334" w:rsidRPr="00464278" w:rsidRDefault="005B6334" w:rsidP="005B6334">
      <w:pPr>
        <w:spacing w:after="0" w:line="240" w:lineRule="auto"/>
        <w:ind w:left="720" w:hanging="720"/>
        <w:rPr>
          <w:rFonts w:cs="Times New Roman"/>
          <w:noProof/>
          <w:sz w:val="22"/>
        </w:rPr>
      </w:pPr>
      <w:bookmarkStart w:id="85" w:name="_ENREF_10"/>
      <w:r w:rsidRPr="00464278">
        <w:rPr>
          <w:rFonts w:cs="Times New Roman"/>
          <w:noProof/>
          <w:sz w:val="22"/>
        </w:rPr>
        <w:t>Bird, R., Grosse, M., Yeung, D., 2013. The market response to exploration, resource and reserve announcements by mining companies: Australian data. Australian Journal of Management 38, 311-331</w:t>
      </w:r>
      <w:bookmarkEnd w:id="85"/>
    </w:p>
    <w:p w:rsidR="005B6334" w:rsidRPr="00464278" w:rsidRDefault="005B6334" w:rsidP="005B6334">
      <w:pPr>
        <w:spacing w:after="0" w:line="240" w:lineRule="auto"/>
        <w:ind w:left="720" w:hanging="720"/>
        <w:rPr>
          <w:rFonts w:cs="Times New Roman"/>
          <w:noProof/>
          <w:sz w:val="22"/>
        </w:rPr>
      </w:pPr>
      <w:bookmarkStart w:id="86" w:name="_ENREF_11"/>
      <w:r w:rsidRPr="00464278">
        <w:rPr>
          <w:rFonts w:cs="Times New Roman"/>
          <w:noProof/>
          <w:sz w:val="22"/>
        </w:rPr>
        <w:t>Black, F., 1975. Bank funds management in an efficient market. Journal of Financial Economics 2, 323-339</w:t>
      </w:r>
      <w:bookmarkEnd w:id="86"/>
    </w:p>
    <w:p w:rsidR="005B6334" w:rsidRPr="00464278" w:rsidRDefault="005B6334" w:rsidP="005B6334">
      <w:pPr>
        <w:spacing w:after="0" w:line="240" w:lineRule="auto"/>
        <w:ind w:left="720" w:hanging="720"/>
        <w:rPr>
          <w:rFonts w:cs="Times New Roman"/>
          <w:noProof/>
          <w:sz w:val="22"/>
        </w:rPr>
      </w:pPr>
      <w:bookmarkStart w:id="87" w:name="_ENREF_12"/>
      <w:r w:rsidRPr="00464278">
        <w:rPr>
          <w:rFonts w:cs="Times New Roman"/>
          <w:noProof/>
          <w:sz w:val="22"/>
        </w:rPr>
        <w:t>Bolton, P., Freixas, X., 2000. Equity, bonds, and bank debt: Capital structure and financial market equilibrium under asymmetric information. Journal of Political Economy 108, 324-351</w:t>
      </w:r>
      <w:bookmarkEnd w:id="87"/>
    </w:p>
    <w:p w:rsidR="005B6334" w:rsidRPr="00464278" w:rsidRDefault="005B6334" w:rsidP="005B6334">
      <w:pPr>
        <w:spacing w:after="0" w:line="240" w:lineRule="auto"/>
        <w:ind w:left="720" w:hanging="720"/>
        <w:rPr>
          <w:rFonts w:cs="Times New Roman"/>
          <w:noProof/>
          <w:sz w:val="22"/>
        </w:rPr>
      </w:pPr>
      <w:bookmarkStart w:id="88" w:name="_ENREF_13"/>
      <w:r w:rsidRPr="00464278">
        <w:rPr>
          <w:rFonts w:cs="Times New Roman"/>
          <w:noProof/>
          <w:sz w:val="22"/>
        </w:rPr>
        <w:t>Bolton, P., Scharfstein, D.S., 1996. Optimal debt structure and the number of creditors. Journal of Political Economy, 1-25</w:t>
      </w:r>
      <w:bookmarkEnd w:id="88"/>
    </w:p>
    <w:p w:rsidR="005B6334" w:rsidRPr="00464278" w:rsidRDefault="005B6334" w:rsidP="005B6334">
      <w:pPr>
        <w:spacing w:after="0" w:line="240" w:lineRule="auto"/>
        <w:ind w:left="720" w:hanging="720"/>
        <w:rPr>
          <w:rFonts w:cs="Times New Roman"/>
          <w:noProof/>
          <w:sz w:val="22"/>
        </w:rPr>
      </w:pPr>
      <w:bookmarkStart w:id="89" w:name="_ENREF_14"/>
      <w:r w:rsidRPr="00464278">
        <w:rPr>
          <w:rFonts w:cs="Times New Roman"/>
          <w:noProof/>
          <w:sz w:val="22"/>
        </w:rPr>
        <w:t>Bonaccorsi di Patti, E., Dell'Ariccia, G., 2004. Bank Competition and Firm Creation. Journal of Money, Credit, and Banking 36, 225-251</w:t>
      </w:r>
      <w:bookmarkEnd w:id="89"/>
    </w:p>
    <w:p w:rsidR="005B6334" w:rsidRPr="00464278" w:rsidRDefault="005B6334" w:rsidP="005B6334">
      <w:pPr>
        <w:spacing w:after="0" w:line="240" w:lineRule="auto"/>
        <w:ind w:left="720" w:hanging="720"/>
        <w:rPr>
          <w:rFonts w:cs="Times New Roman"/>
          <w:noProof/>
          <w:sz w:val="22"/>
        </w:rPr>
      </w:pPr>
      <w:bookmarkStart w:id="90" w:name="_ENREF_15"/>
      <w:r w:rsidRPr="00464278">
        <w:rPr>
          <w:rFonts w:cs="Times New Roman"/>
          <w:noProof/>
          <w:sz w:val="22"/>
        </w:rPr>
        <w:t>Boone, J.P., 1998. Oil and gas reserve value disclosures and bid-ask spreads. Journal of Accounting and Public Policy 17, 55-84</w:t>
      </w:r>
      <w:bookmarkEnd w:id="90"/>
    </w:p>
    <w:p w:rsidR="005B6334" w:rsidRPr="00464278" w:rsidRDefault="005B6334" w:rsidP="005B6334">
      <w:pPr>
        <w:spacing w:after="0" w:line="240" w:lineRule="auto"/>
        <w:ind w:left="720" w:hanging="720"/>
        <w:rPr>
          <w:rFonts w:cs="Times New Roman"/>
          <w:noProof/>
          <w:sz w:val="22"/>
        </w:rPr>
      </w:pPr>
      <w:bookmarkStart w:id="91" w:name="_ENREF_16"/>
      <w:r w:rsidRPr="00464278">
        <w:rPr>
          <w:rFonts w:cs="Times New Roman"/>
          <w:noProof/>
          <w:sz w:val="22"/>
        </w:rPr>
        <w:t>Booth, J.R., Chua, L., 1996. Ownership dispersion, costly information, and IPO underpricing. Journal of Financial Economics 41, 291-310</w:t>
      </w:r>
      <w:bookmarkEnd w:id="91"/>
    </w:p>
    <w:p w:rsidR="005B6334" w:rsidRPr="00464278" w:rsidRDefault="005B6334" w:rsidP="005B6334">
      <w:pPr>
        <w:spacing w:after="0" w:line="240" w:lineRule="auto"/>
        <w:ind w:left="720" w:hanging="720"/>
        <w:rPr>
          <w:rFonts w:cs="Times New Roman"/>
          <w:noProof/>
          <w:sz w:val="22"/>
        </w:rPr>
      </w:pPr>
      <w:bookmarkStart w:id="92" w:name="_ENREF_17"/>
      <w:r w:rsidRPr="00464278">
        <w:rPr>
          <w:rFonts w:cs="Times New Roman"/>
          <w:noProof/>
          <w:sz w:val="22"/>
        </w:rPr>
        <w:t>Boscaljon, B., Ho, C.-C., 2005. Information content of bank loan announcements to Asian corporations during periods of economic uncertainty. Journal of Banking &amp; Finance 29, 369-389</w:t>
      </w:r>
      <w:bookmarkEnd w:id="92"/>
    </w:p>
    <w:p w:rsidR="005B6334" w:rsidRPr="00464278" w:rsidRDefault="005B6334" w:rsidP="005B6334">
      <w:pPr>
        <w:spacing w:after="0" w:line="240" w:lineRule="auto"/>
        <w:ind w:left="720" w:hanging="720"/>
        <w:rPr>
          <w:rFonts w:cs="Times New Roman"/>
          <w:noProof/>
          <w:sz w:val="22"/>
        </w:rPr>
      </w:pPr>
      <w:bookmarkStart w:id="93" w:name="_ENREF_18"/>
      <w:r w:rsidRPr="00464278">
        <w:rPr>
          <w:rFonts w:cs="Times New Roman"/>
          <w:noProof/>
          <w:sz w:val="22"/>
        </w:rPr>
        <w:t>Boyd, J.H., Prescott, E.C., 1986. Financial intermediary-coalitions. Journal of Economic Theory 38, 211-232</w:t>
      </w:r>
      <w:bookmarkEnd w:id="93"/>
    </w:p>
    <w:p w:rsidR="005B6334" w:rsidRPr="00464278" w:rsidRDefault="005B6334" w:rsidP="005B6334">
      <w:pPr>
        <w:spacing w:after="0" w:line="240" w:lineRule="auto"/>
        <w:ind w:left="720" w:hanging="720"/>
        <w:rPr>
          <w:rFonts w:cs="Times New Roman"/>
          <w:noProof/>
          <w:sz w:val="22"/>
        </w:rPr>
      </w:pPr>
      <w:bookmarkStart w:id="94" w:name="_ENREF_19"/>
      <w:r w:rsidRPr="00464278">
        <w:rPr>
          <w:rFonts w:cs="Times New Roman"/>
          <w:noProof/>
          <w:sz w:val="22"/>
        </w:rPr>
        <w:t>Brennan, M.J., Schwartz, E.S., 1985. Evaluating natural resource investments. Journal of business, 135-157</w:t>
      </w:r>
      <w:bookmarkEnd w:id="94"/>
    </w:p>
    <w:p w:rsidR="005B6334" w:rsidRPr="00464278" w:rsidRDefault="005B6334" w:rsidP="005B6334">
      <w:pPr>
        <w:spacing w:after="0" w:line="240" w:lineRule="auto"/>
        <w:ind w:left="720" w:hanging="720"/>
        <w:rPr>
          <w:rFonts w:cs="Times New Roman"/>
          <w:noProof/>
          <w:sz w:val="22"/>
        </w:rPr>
      </w:pPr>
      <w:bookmarkStart w:id="95" w:name="_ENREF_20"/>
      <w:r w:rsidRPr="00464278">
        <w:rPr>
          <w:rFonts w:cs="Times New Roman"/>
          <w:noProof/>
          <w:sz w:val="22"/>
        </w:rPr>
        <w:t>Brown, P., Feigin, A., Ferguson, A., 2013. Market reactions to the reports of a star resource analyst. Australian Journal of Management</w:t>
      </w:r>
      <w:bookmarkEnd w:id="95"/>
    </w:p>
    <w:p w:rsidR="005B6334" w:rsidRPr="00464278" w:rsidRDefault="005B6334" w:rsidP="005B6334">
      <w:pPr>
        <w:spacing w:after="0" w:line="240" w:lineRule="auto"/>
        <w:ind w:left="720" w:hanging="720"/>
        <w:rPr>
          <w:rFonts w:cs="Times New Roman"/>
          <w:noProof/>
          <w:sz w:val="22"/>
        </w:rPr>
      </w:pPr>
      <w:bookmarkStart w:id="96" w:name="_ENREF_21"/>
      <w:r w:rsidRPr="00464278">
        <w:rPr>
          <w:rFonts w:cs="Times New Roman"/>
          <w:noProof/>
          <w:sz w:val="22"/>
        </w:rPr>
        <w:t>Brown, P., Ferguson, A., Stone, K., 2008. Share purchase plans in Australia: Issuer characteristics and valuation implications. Australian Journal of Management 33, 307-332</w:t>
      </w:r>
      <w:bookmarkEnd w:id="96"/>
    </w:p>
    <w:p w:rsidR="005B6334" w:rsidRPr="00464278" w:rsidRDefault="005B6334" w:rsidP="005B6334">
      <w:pPr>
        <w:spacing w:after="0" w:line="240" w:lineRule="auto"/>
        <w:ind w:left="720" w:hanging="720"/>
        <w:rPr>
          <w:rFonts w:cs="Times New Roman"/>
          <w:noProof/>
          <w:sz w:val="22"/>
        </w:rPr>
      </w:pPr>
      <w:bookmarkStart w:id="97" w:name="_ENREF_22"/>
      <w:r w:rsidRPr="00464278">
        <w:rPr>
          <w:rFonts w:cs="Times New Roman"/>
          <w:noProof/>
          <w:sz w:val="22"/>
        </w:rPr>
        <w:t>Brown, S.J., Warner, J.B., 1985. Using daily stock returns: The case of event studies. Journal of financial economics 14, 3-31</w:t>
      </w:r>
      <w:bookmarkEnd w:id="97"/>
    </w:p>
    <w:p w:rsidR="005B6334" w:rsidRPr="00464278" w:rsidRDefault="005B6334" w:rsidP="005B6334">
      <w:pPr>
        <w:spacing w:after="0" w:line="240" w:lineRule="auto"/>
        <w:ind w:left="720" w:hanging="720"/>
        <w:rPr>
          <w:rFonts w:cs="Times New Roman"/>
          <w:noProof/>
          <w:sz w:val="22"/>
        </w:rPr>
      </w:pPr>
      <w:bookmarkStart w:id="98" w:name="_ENREF_23"/>
      <w:r w:rsidRPr="00464278">
        <w:rPr>
          <w:rFonts w:cs="Times New Roman"/>
          <w:noProof/>
          <w:sz w:val="22"/>
        </w:rPr>
        <w:t>Bushman, R.M., Wittenberg-Moerman, R., 2012. The role of bank reputation in “certifying” future performance implications of borrowers’ accounting numbers. Journal of Accounting Research 50, 883-930</w:t>
      </w:r>
      <w:bookmarkEnd w:id="98"/>
    </w:p>
    <w:p w:rsidR="005B6334" w:rsidRPr="00464278" w:rsidRDefault="005B6334" w:rsidP="005B6334">
      <w:pPr>
        <w:spacing w:after="0" w:line="240" w:lineRule="auto"/>
        <w:ind w:left="720" w:hanging="720"/>
        <w:rPr>
          <w:rFonts w:cs="Times New Roman"/>
          <w:noProof/>
          <w:sz w:val="22"/>
        </w:rPr>
      </w:pPr>
      <w:bookmarkStart w:id="99" w:name="_ENREF_24"/>
      <w:r w:rsidRPr="00464278">
        <w:rPr>
          <w:rFonts w:cs="Times New Roman"/>
          <w:noProof/>
          <w:sz w:val="22"/>
        </w:rPr>
        <w:t>Campbell, C.J., Wasley, C.E., 1993. Measuring security price performance using daily NASDAQ returns. Journal of Financial Economics 33, 73-92</w:t>
      </w:r>
      <w:bookmarkEnd w:id="99"/>
    </w:p>
    <w:p w:rsidR="005B6334" w:rsidRPr="00464278" w:rsidRDefault="005B6334" w:rsidP="005B6334">
      <w:pPr>
        <w:spacing w:after="0" w:line="240" w:lineRule="auto"/>
        <w:ind w:left="720" w:hanging="720"/>
        <w:rPr>
          <w:rFonts w:cs="Times New Roman"/>
          <w:noProof/>
          <w:sz w:val="22"/>
        </w:rPr>
      </w:pPr>
      <w:bookmarkStart w:id="100" w:name="_ENREF_25"/>
      <w:r w:rsidRPr="00464278">
        <w:rPr>
          <w:rFonts w:cs="Times New Roman"/>
          <w:noProof/>
          <w:sz w:val="22"/>
        </w:rPr>
        <w:t>Campbell, T.S., 1979. Optimal investment financing decisions and the value of confidentiality. Journal of Financial and Quantitative Analysis, 913-924</w:t>
      </w:r>
      <w:bookmarkEnd w:id="100"/>
    </w:p>
    <w:p w:rsidR="005B6334" w:rsidRPr="00464278" w:rsidRDefault="005B6334" w:rsidP="005B6334">
      <w:pPr>
        <w:spacing w:after="0" w:line="240" w:lineRule="auto"/>
        <w:ind w:left="720" w:hanging="720"/>
        <w:rPr>
          <w:rFonts w:cs="Times New Roman"/>
          <w:noProof/>
          <w:sz w:val="22"/>
        </w:rPr>
      </w:pPr>
      <w:bookmarkStart w:id="101" w:name="_ENREF_26"/>
      <w:r w:rsidRPr="00464278">
        <w:rPr>
          <w:rFonts w:cs="Times New Roman"/>
          <w:noProof/>
          <w:sz w:val="22"/>
        </w:rPr>
        <w:lastRenderedPageBreak/>
        <w:t>Campbell, T.S., Kracaw, W.A., 1980. Information Production, Market Signalling, and the Theory of Financial Intermediation. The Journal of Finance 35, 863-882</w:t>
      </w:r>
      <w:bookmarkEnd w:id="101"/>
    </w:p>
    <w:p w:rsidR="005B6334" w:rsidRPr="00464278" w:rsidRDefault="005B6334" w:rsidP="005B6334">
      <w:pPr>
        <w:spacing w:after="0" w:line="240" w:lineRule="auto"/>
        <w:ind w:left="720" w:hanging="720"/>
        <w:rPr>
          <w:rFonts w:cs="Times New Roman"/>
          <w:noProof/>
          <w:sz w:val="22"/>
        </w:rPr>
      </w:pPr>
      <w:bookmarkStart w:id="102" w:name="_ENREF_27"/>
      <w:r w:rsidRPr="00464278">
        <w:rPr>
          <w:rFonts w:cs="Times New Roman"/>
          <w:noProof/>
          <w:sz w:val="22"/>
        </w:rPr>
        <w:t>Carey, M., Post, M., Sharpe, S.A., 1998. Does Corporate Lending by Banks and Finance Companies Differ? Evidence on Specialization in Private Debt Contracting. The Journal of Finance 53, 845-878</w:t>
      </w:r>
      <w:bookmarkEnd w:id="102"/>
    </w:p>
    <w:p w:rsidR="005B6334" w:rsidRPr="00464278" w:rsidRDefault="005B6334" w:rsidP="005B6334">
      <w:pPr>
        <w:spacing w:after="0" w:line="240" w:lineRule="auto"/>
        <w:ind w:left="720" w:hanging="720"/>
        <w:rPr>
          <w:rFonts w:cs="Times New Roman"/>
          <w:noProof/>
          <w:sz w:val="22"/>
        </w:rPr>
      </w:pPr>
      <w:bookmarkStart w:id="103" w:name="_ENREF_28"/>
      <w:r w:rsidRPr="00464278">
        <w:rPr>
          <w:rFonts w:cs="Times New Roman"/>
          <w:noProof/>
          <w:sz w:val="22"/>
        </w:rPr>
        <w:t>Carter, R., Manaster, S., 1990. Initial public offerings and underwriter reputation. The Journal of Finance 45, 1045-1067</w:t>
      </w:r>
      <w:bookmarkEnd w:id="103"/>
    </w:p>
    <w:p w:rsidR="005B6334" w:rsidRPr="00464278" w:rsidRDefault="005B6334" w:rsidP="005B6334">
      <w:pPr>
        <w:spacing w:after="0" w:line="240" w:lineRule="auto"/>
        <w:ind w:left="720" w:hanging="720"/>
        <w:rPr>
          <w:rFonts w:cs="Times New Roman"/>
          <w:noProof/>
          <w:sz w:val="22"/>
        </w:rPr>
      </w:pPr>
      <w:bookmarkStart w:id="104" w:name="_ENREF_29"/>
      <w:r w:rsidRPr="00464278">
        <w:rPr>
          <w:rFonts w:cs="Times New Roman"/>
          <w:noProof/>
          <w:sz w:val="22"/>
        </w:rPr>
        <w:t>Corrado, C.J., 2011. Event studies: a methodology review. Accounting &amp; Finance 51, 207-234</w:t>
      </w:r>
      <w:bookmarkEnd w:id="104"/>
    </w:p>
    <w:p w:rsidR="005B6334" w:rsidRPr="00464278" w:rsidRDefault="005B6334" w:rsidP="005B6334">
      <w:pPr>
        <w:spacing w:after="0" w:line="240" w:lineRule="auto"/>
        <w:ind w:left="720" w:hanging="720"/>
        <w:rPr>
          <w:rFonts w:cs="Times New Roman"/>
          <w:noProof/>
          <w:sz w:val="22"/>
        </w:rPr>
      </w:pPr>
      <w:bookmarkStart w:id="105" w:name="_ENREF_30"/>
      <w:r w:rsidRPr="00464278">
        <w:rPr>
          <w:rFonts w:cs="Times New Roman"/>
          <w:noProof/>
          <w:sz w:val="22"/>
        </w:rPr>
        <w:t>Corrado, C.J., Truong, C., 2008. Conducting event studies with Asia-Pacific security market data. Pacific-Basin finance journal 16, 493-521</w:t>
      </w:r>
      <w:bookmarkEnd w:id="105"/>
    </w:p>
    <w:p w:rsidR="005B6334" w:rsidRPr="00464278" w:rsidRDefault="005B6334" w:rsidP="005B6334">
      <w:pPr>
        <w:spacing w:after="0" w:line="240" w:lineRule="auto"/>
        <w:ind w:left="720" w:hanging="720"/>
        <w:rPr>
          <w:rFonts w:cs="Times New Roman"/>
          <w:noProof/>
          <w:sz w:val="22"/>
        </w:rPr>
      </w:pPr>
      <w:bookmarkStart w:id="106" w:name="_ENREF_31"/>
      <w:r w:rsidRPr="00464278">
        <w:rPr>
          <w:rFonts w:cs="Times New Roman"/>
          <w:noProof/>
          <w:sz w:val="22"/>
        </w:rPr>
        <w:t>Craswell, A.T., Francis, J.R., Taylor, S.L., 1995. Auditor brand name reputations and industry specializations. Journal of Accounting and Economics 20, 297-322</w:t>
      </w:r>
      <w:bookmarkEnd w:id="106"/>
    </w:p>
    <w:p w:rsidR="005B6334" w:rsidRPr="00464278" w:rsidRDefault="005B6334" w:rsidP="005B6334">
      <w:pPr>
        <w:spacing w:after="0" w:line="240" w:lineRule="auto"/>
        <w:ind w:left="720" w:hanging="720"/>
        <w:rPr>
          <w:rFonts w:cs="Times New Roman"/>
          <w:noProof/>
          <w:sz w:val="22"/>
        </w:rPr>
      </w:pPr>
      <w:bookmarkStart w:id="107" w:name="_ENREF_32"/>
      <w:r w:rsidRPr="00464278">
        <w:rPr>
          <w:rFonts w:cs="Times New Roman"/>
          <w:noProof/>
          <w:sz w:val="22"/>
        </w:rPr>
        <w:t>Datta, S., Iskandar-Datta, M., Patel, A., 1999. Bank monitoring and the pricing of corporate public debt. Journal of Financial Economics 51, 435-449</w:t>
      </w:r>
      <w:bookmarkEnd w:id="107"/>
    </w:p>
    <w:p w:rsidR="005B6334" w:rsidRPr="00464278" w:rsidRDefault="005B6334" w:rsidP="005B6334">
      <w:pPr>
        <w:spacing w:after="0" w:line="240" w:lineRule="auto"/>
        <w:ind w:left="720" w:hanging="720"/>
        <w:rPr>
          <w:rFonts w:cs="Times New Roman"/>
          <w:noProof/>
          <w:sz w:val="22"/>
        </w:rPr>
      </w:pPr>
      <w:bookmarkStart w:id="108" w:name="_ENREF_33"/>
      <w:r w:rsidRPr="00464278">
        <w:rPr>
          <w:rFonts w:cs="Times New Roman"/>
          <w:noProof/>
          <w:sz w:val="22"/>
        </w:rPr>
        <w:t>DeAngelo, L.E., 1981. Auditor size and audit quality. Journal of Accounting and Economics 3, 183-199</w:t>
      </w:r>
      <w:bookmarkEnd w:id="108"/>
    </w:p>
    <w:p w:rsidR="005B6334" w:rsidRPr="00464278" w:rsidRDefault="005B6334" w:rsidP="005B6334">
      <w:pPr>
        <w:spacing w:after="0" w:line="240" w:lineRule="auto"/>
        <w:ind w:left="720" w:hanging="720"/>
        <w:rPr>
          <w:rFonts w:cs="Times New Roman"/>
          <w:noProof/>
          <w:sz w:val="22"/>
        </w:rPr>
      </w:pPr>
      <w:bookmarkStart w:id="109" w:name="_ENREF_34"/>
      <w:r w:rsidRPr="00464278">
        <w:rPr>
          <w:rFonts w:cs="Times New Roman"/>
          <w:noProof/>
          <w:sz w:val="22"/>
        </w:rPr>
        <w:t>Devos, E., Dhillon, U., Jagannathan, M., Krishnamurthy, S., 2012. Why are firms unlevered? Journal of Corporate Finance 18, 664-682</w:t>
      </w:r>
      <w:bookmarkEnd w:id="109"/>
    </w:p>
    <w:p w:rsidR="005B6334" w:rsidRPr="00464278" w:rsidRDefault="005B6334" w:rsidP="005B6334">
      <w:pPr>
        <w:spacing w:after="0" w:line="240" w:lineRule="auto"/>
        <w:ind w:left="720" w:hanging="720"/>
        <w:rPr>
          <w:rFonts w:cs="Times New Roman"/>
          <w:noProof/>
          <w:sz w:val="22"/>
        </w:rPr>
      </w:pPr>
      <w:bookmarkStart w:id="110" w:name="_ENREF_35"/>
      <w:r w:rsidRPr="00464278">
        <w:rPr>
          <w:rFonts w:cs="Times New Roman"/>
          <w:noProof/>
          <w:sz w:val="22"/>
        </w:rPr>
        <w:t>Dhaliwal, D.S., Khurana, I.K., Pereira, R., 2011. Firm Disclosure Policy and the Choice Between Private and Public Debt. Contemporary Accounting Research 28, 293-330</w:t>
      </w:r>
      <w:bookmarkEnd w:id="110"/>
    </w:p>
    <w:p w:rsidR="005B6334" w:rsidRPr="00464278" w:rsidRDefault="005B6334" w:rsidP="005B6334">
      <w:pPr>
        <w:spacing w:after="0" w:line="240" w:lineRule="auto"/>
        <w:ind w:left="720" w:hanging="720"/>
        <w:rPr>
          <w:rFonts w:cs="Times New Roman"/>
          <w:noProof/>
          <w:sz w:val="22"/>
        </w:rPr>
      </w:pPr>
      <w:bookmarkStart w:id="111" w:name="_ENREF_36"/>
      <w:r w:rsidRPr="00464278">
        <w:rPr>
          <w:rFonts w:cs="Times New Roman"/>
          <w:noProof/>
          <w:sz w:val="22"/>
        </w:rPr>
        <w:t>Diamond, D.W., 1984. Financial Intermediation and Delegated Monitoring. The Review of Economic Studies 51, 393-414</w:t>
      </w:r>
      <w:bookmarkEnd w:id="111"/>
    </w:p>
    <w:p w:rsidR="005B6334" w:rsidRPr="00464278" w:rsidRDefault="005B6334" w:rsidP="005B6334">
      <w:pPr>
        <w:spacing w:after="0" w:line="240" w:lineRule="auto"/>
        <w:ind w:left="720" w:hanging="720"/>
        <w:rPr>
          <w:rFonts w:cs="Times New Roman"/>
          <w:noProof/>
          <w:sz w:val="22"/>
        </w:rPr>
      </w:pPr>
      <w:bookmarkStart w:id="112" w:name="_ENREF_37"/>
      <w:r w:rsidRPr="00464278">
        <w:rPr>
          <w:rFonts w:cs="Times New Roman"/>
          <w:noProof/>
          <w:sz w:val="22"/>
        </w:rPr>
        <w:t>Diamond, D.W., 1989. Reputation Acquisition in Debt Markets. Journal of Political Economy 97, 828</w:t>
      </w:r>
      <w:bookmarkEnd w:id="112"/>
    </w:p>
    <w:p w:rsidR="005B6334" w:rsidRPr="00464278" w:rsidRDefault="005B6334" w:rsidP="005B6334">
      <w:pPr>
        <w:spacing w:after="0" w:line="240" w:lineRule="auto"/>
        <w:ind w:left="720" w:hanging="720"/>
        <w:rPr>
          <w:rFonts w:cs="Times New Roman"/>
          <w:noProof/>
          <w:sz w:val="22"/>
        </w:rPr>
      </w:pPr>
      <w:bookmarkStart w:id="113" w:name="_ENREF_38"/>
      <w:r w:rsidRPr="00464278">
        <w:rPr>
          <w:rFonts w:cs="Times New Roman"/>
          <w:noProof/>
          <w:sz w:val="22"/>
        </w:rPr>
        <w:t>Diamond, D.W., 1991. Monitoring and reputation: The choice between bank loans and directly placed debt. Journal of Political Economy, 689-721</w:t>
      </w:r>
      <w:bookmarkEnd w:id="113"/>
    </w:p>
    <w:p w:rsidR="005B6334" w:rsidRPr="00464278" w:rsidRDefault="005B6334" w:rsidP="005B6334">
      <w:pPr>
        <w:spacing w:after="0" w:line="240" w:lineRule="auto"/>
        <w:ind w:left="720" w:hanging="720"/>
        <w:rPr>
          <w:rFonts w:cs="Times New Roman"/>
          <w:noProof/>
          <w:sz w:val="22"/>
        </w:rPr>
      </w:pPr>
      <w:bookmarkStart w:id="114" w:name="_ENREF_39"/>
      <w:r w:rsidRPr="00464278">
        <w:rPr>
          <w:rFonts w:cs="Times New Roman"/>
          <w:noProof/>
          <w:sz w:val="22"/>
        </w:rPr>
        <w:t>Diamond, D.W., Verrecchia, R.E., 1991. Disclosure, liquidity, and the cost of capital. The Journal of Finance 46, 1325-1359</w:t>
      </w:r>
      <w:bookmarkEnd w:id="114"/>
    </w:p>
    <w:p w:rsidR="005B6334" w:rsidRPr="00464278" w:rsidRDefault="005B6334" w:rsidP="005B6334">
      <w:pPr>
        <w:spacing w:after="0" w:line="240" w:lineRule="auto"/>
        <w:ind w:left="720" w:hanging="720"/>
        <w:rPr>
          <w:rFonts w:cs="Times New Roman"/>
          <w:noProof/>
          <w:sz w:val="22"/>
        </w:rPr>
      </w:pPr>
      <w:bookmarkStart w:id="115" w:name="_ENREF_40"/>
      <w:r w:rsidRPr="00464278">
        <w:rPr>
          <w:rFonts w:cs="Times New Roman"/>
          <w:noProof/>
          <w:sz w:val="22"/>
        </w:rPr>
        <w:t>Easley, D., Kiefer, N.M., O'hara, M., Paperman, J.B., 1996. Liquidity, information, and infrequently traded stocks. The Journal of Finance 51, 1405-1436</w:t>
      </w:r>
      <w:bookmarkEnd w:id="115"/>
    </w:p>
    <w:p w:rsidR="005B6334" w:rsidRPr="00464278" w:rsidRDefault="005B6334" w:rsidP="005B6334">
      <w:pPr>
        <w:spacing w:after="0" w:line="240" w:lineRule="auto"/>
        <w:ind w:left="720" w:hanging="720"/>
        <w:rPr>
          <w:rFonts w:cs="Times New Roman"/>
          <w:noProof/>
          <w:sz w:val="22"/>
        </w:rPr>
      </w:pPr>
      <w:bookmarkStart w:id="116" w:name="_ENREF_41"/>
      <w:r w:rsidRPr="00464278">
        <w:rPr>
          <w:rFonts w:cs="Times New Roman"/>
          <w:noProof/>
          <w:sz w:val="22"/>
        </w:rPr>
        <w:t>Eckbo, B.E., 1986. Valuation effects of corporate debt offerings. Journal of Financial economics 15, 119-151</w:t>
      </w:r>
      <w:bookmarkEnd w:id="116"/>
    </w:p>
    <w:p w:rsidR="005B6334" w:rsidRPr="00464278" w:rsidRDefault="005B6334" w:rsidP="005B6334">
      <w:pPr>
        <w:spacing w:after="0" w:line="240" w:lineRule="auto"/>
        <w:ind w:left="720" w:hanging="720"/>
        <w:rPr>
          <w:rFonts w:cs="Times New Roman"/>
          <w:noProof/>
          <w:sz w:val="22"/>
        </w:rPr>
      </w:pPr>
      <w:bookmarkStart w:id="117" w:name="_ENREF_42"/>
      <w:r w:rsidRPr="00464278">
        <w:rPr>
          <w:rFonts w:cs="Times New Roman"/>
          <w:noProof/>
          <w:sz w:val="22"/>
        </w:rPr>
        <w:t>Fama, E.F., 1985. What's different about banks? Journal of Monetary Economics 15, 29-39</w:t>
      </w:r>
      <w:bookmarkEnd w:id="117"/>
    </w:p>
    <w:p w:rsidR="005B6334" w:rsidRPr="00464278" w:rsidRDefault="005B6334" w:rsidP="005B6334">
      <w:pPr>
        <w:spacing w:after="0" w:line="240" w:lineRule="auto"/>
        <w:ind w:left="720" w:hanging="720"/>
        <w:rPr>
          <w:rFonts w:cs="Times New Roman"/>
          <w:noProof/>
          <w:sz w:val="22"/>
        </w:rPr>
      </w:pPr>
      <w:bookmarkStart w:id="118" w:name="_ENREF_43"/>
      <w:r w:rsidRPr="00464278">
        <w:rPr>
          <w:rFonts w:cs="Times New Roman"/>
          <w:noProof/>
          <w:sz w:val="22"/>
        </w:rPr>
        <w:t>Fang, L.H., 2005. Investment bank reputation and the price and quality of underwriting services. The Journal of Finance 60, 2729-2761</w:t>
      </w:r>
      <w:bookmarkEnd w:id="118"/>
    </w:p>
    <w:p w:rsidR="005B6334" w:rsidRPr="00464278" w:rsidRDefault="005B6334" w:rsidP="005B6334">
      <w:pPr>
        <w:spacing w:after="0" w:line="240" w:lineRule="auto"/>
        <w:ind w:left="720" w:hanging="720"/>
        <w:rPr>
          <w:rFonts w:cs="Times New Roman"/>
          <w:noProof/>
          <w:sz w:val="22"/>
        </w:rPr>
      </w:pPr>
      <w:bookmarkStart w:id="119" w:name="_ENREF_44"/>
      <w:r w:rsidRPr="00464278">
        <w:rPr>
          <w:rFonts w:cs="Times New Roman"/>
          <w:noProof/>
          <w:sz w:val="22"/>
        </w:rPr>
        <w:t>Faulkender, M., Petersen, M.A., 2006. Does the source of capital affect capital structure? Review of financial studies 19, 45-79</w:t>
      </w:r>
      <w:bookmarkEnd w:id="119"/>
    </w:p>
    <w:p w:rsidR="005B6334" w:rsidRPr="00464278" w:rsidRDefault="005B6334" w:rsidP="005B6334">
      <w:pPr>
        <w:spacing w:after="0" w:line="240" w:lineRule="auto"/>
        <w:ind w:left="720" w:hanging="720"/>
        <w:rPr>
          <w:rFonts w:cs="Times New Roman"/>
          <w:noProof/>
          <w:sz w:val="22"/>
        </w:rPr>
      </w:pPr>
      <w:bookmarkStart w:id="120" w:name="_ENREF_45"/>
      <w:r w:rsidRPr="00464278">
        <w:rPr>
          <w:rFonts w:cs="Times New Roman"/>
          <w:noProof/>
          <w:sz w:val="22"/>
        </w:rPr>
        <w:t>Ferguson, A., Clinch, G., Kean, S., 2011a. Predicting the Failure of Developmental Gold Mining Projects. Australian Accounting Review 21, 44-53</w:t>
      </w:r>
      <w:bookmarkEnd w:id="120"/>
    </w:p>
    <w:p w:rsidR="005B6334" w:rsidRPr="00464278" w:rsidRDefault="005B6334" w:rsidP="005B6334">
      <w:pPr>
        <w:spacing w:after="0" w:line="240" w:lineRule="auto"/>
        <w:ind w:left="720" w:hanging="720"/>
        <w:rPr>
          <w:rFonts w:cs="Times New Roman"/>
          <w:noProof/>
          <w:sz w:val="22"/>
        </w:rPr>
      </w:pPr>
      <w:bookmarkStart w:id="121" w:name="_ENREF_46"/>
      <w:r w:rsidRPr="00464278">
        <w:rPr>
          <w:rFonts w:cs="Times New Roman"/>
          <w:noProof/>
          <w:sz w:val="22"/>
        </w:rPr>
        <w:t>Ferguson, A., Crockett, A., 2003. Information transfer and press coverage: The case of the Gawler Craton gold boom. Pacific-Basin Finance Journal 11, 101-120</w:t>
      </w:r>
      <w:bookmarkEnd w:id="121"/>
    </w:p>
    <w:p w:rsidR="005B6334" w:rsidRPr="00464278" w:rsidRDefault="005B6334" w:rsidP="005B6334">
      <w:pPr>
        <w:spacing w:after="0" w:line="240" w:lineRule="auto"/>
        <w:ind w:left="720" w:hanging="720"/>
        <w:rPr>
          <w:rFonts w:cs="Times New Roman"/>
          <w:noProof/>
          <w:sz w:val="22"/>
        </w:rPr>
      </w:pPr>
      <w:bookmarkStart w:id="122" w:name="_ENREF_47"/>
      <w:r w:rsidRPr="00464278">
        <w:rPr>
          <w:rFonts w:cs="Times New Roman"/>
          <w:noProof/>
          <w:sz w:val="22"/>
        </w:rPr>
        <w:t>Ferguson, A., Francis, J.R., Stokes, D.J., 2003. The effects of firm-wide and office-level industry expertise on audit pricing. The Accounting Review 78, 429-448</w:t>
      </w:r>
      <w:bookmarkEnd w:id="122"/>
    </w:p>
    <w:p w:rsidR="005B6334" w:rsidRPr="00464278" w:rsidRDefault="005B6334" w:rsidP="005B6334">
      <w:pPr>
        <w:spacing w:after="0" w:line="240" w:lineRule="auto"/>
        <w:ind w:left="720" w:hanging="720"/>
        <w:rPr>
          <w:rFonts w:cs="Times New Roman"/>
          <w:noProof/>
          <w:sz w:val="22"/>
        </w:rPr>
      </w:pPr>
      <w:bookmarkStart w:id="123" w:name="_ENREF_48"/>
      <w:r w:rsidRPr="00464278">
        <w:rPr>
          <w:rFonts w:cs="Times New Roman"/>
          <w:noProof/>
          <w:sz w:val="22"/>
        </w:rPr>
        <w:t>Ferguson, A., Grosse, M., Kean, S., Scott, T., 2011b. Your Governance or Mine? Australian Accounting Review 21, 406-417</w:t>
      </w:r>
      <w:bookmarkEnd w:id="123"/>
    </w:p>
    <w:p w:rsidR="005B6334" w:rsidRPr="00464278" w:rsidRDefault="005B6334" w:rsidP="005B6334">
      <w:pPr>
        <w:spacing w:after="0" w:line="240" w:lineRule="auto"/>
        <w:ind w:left="720" w:hanging="720"/>
        <w:rPr>
          <w:rFonts w:cs="Times New Roman"/>
          <w:noProof/>
          <w:sz w:val="22"/>
        </w:rPr>
      </w:pPr>
      <w:bookmarkStart w:id="124" w:name="_ENREF_49"/>
      <w:r w:rsidRPr="00464278">
        <w:rPr>
          <w:rFonts w:cs="Times New Roman"/>
          <w:noProof/>
          <w:sz w:val="22"/>
        </w:rPr>
        <w:t>Ferguson, A., Pundrich, G., 2013. Does Non-GAAP Expertise Matter to Investors? Available at SSRN 2298534</w:t>
      </w:r>
      <w:bookmarkEnd w:id="124"/>
    </w:p>
    <w:p w:rsidR="005B6334" w:rsidRPr="00464278" w:rsidRDefault="005B6334" w:rsidP="005B6334">
      <w:pPr>
        <w:spacing w:after="0" w:line="240" w:lineRule="auto"/>
        <w:ind w:left="720" w:hanging="720"/>
        <w:rPr>
          <w:rFonts w:cs="Times New Roman"/>
          <w:noProof/>
          <w:sz w:val="22"/>
        </w:rPr>
      </w:pPr>
      <w:bookmarkStart w:id="125" w:name="_ENREF_50"/>
      <w:r w:rsidRPr="00464278">
        <w:rPr>
          <w:rFonts w:cs="Times New Roman"/>
          <w:noProof/>
          <w:sz w:val="22"/>
        </w:rPr>
        <w:t>Ferguson, A., Pundrich, G., Raftery, A., 2012. Auditor Industry Specialisation and Market Segmentation: Evidence from the Perth Mining Cash-Box Market. Available at SSRN 1974282</w:t>
      </w:r>
      <w:bookmarkEnd w:id="125"/>
    </w:p>
    <w:p w:rsidR="005B6334" w:rsidRPr="00464278" w:rsidRDefault="005B6334" w:rsidP="005B6334">
      <w:pPr>
        <w:spacing w:after="0" w:line="240" w:lineRule="auto"/>
        <w:ind w:left="720" w:hanging="720"/>
        <w:rPr>
          <w:rFonts w:cs="Times New Roman"/>
          <w:noProof/>
          <w:sz w:val="22"/>
        </w:rPr>
      </w:pPr>
      <w:bookmarkStart w:id="126" w:name="_ENREF_51"/>
      <w:r w:rsidRPr="00464278">
        <w:rPr>
          <w:rFonts w:cs="Times New Roman"/>
          <w:noProof/>
          <w:sz w:val="22"/>
        </w:rPr>
        <w:t>Ferguson, A., Stokes, D., 2002. Brand Name Audit Pricing, Industry Specialization, and Leadership Premiums post</w:t>
      </w:r>
      <w:r w:rsidRPr="00464278">
        <w:rPr>
          <w:rFonts w:cs="Times New Roman" w:hint="eastAsia"/>
          <w:noProof/>
          <w:sz w:val="22"/>
        </w:rPr>
        <w:t>‐</w:t>
      </w:r>
      <w:r w:rsidRPr="00464278">
        <w:rPr>
          <w:rFonts w:cs="Times New Roman"/>
          <w:noProof/>
          <w:sz w:val="22"/>
        </w:rPr>
        <w:t>Big 8 and Big 6 Mergers*. Contemporary Accounting Research 19, 77-110</w:t>
      </w:r>
      <w:bookmarkEnd w:id="126"/>
    </w:p>
    <w:p w:rsidR="005B6334" w:rsidRPr="00464278" w:rsidRDefault="005B6334" w:rsidP="005B6334">
      <w:pPr>
        <w:spacing w:after="0" w:line="240" w:lineRule="auto"/>
        <w:ind w:left="720" w:hanging="720"/>
        <w:rPr>
          <w:rFonts w:cs="Times New Roman"/>
          <w:noProof/>
          <w:sz w:val="22"/>
        </w:rPr>
      </w:pPr>
      <w:bookmarkStart w:id="127" w:name="_ENREF_52"/>
      <w:r w:rsidRPr="00464278">
        <w:rPr>
          <w:rFonts w:cs="Times New Roman"/>
          <w:noProof/>
          <w:sz w:val="22"/>
        </w:rPr>
        <w:t>Fery, J., Gasbarro, D., Woodliff, D.R., Zumwalt, J.K., 2003. Market reaction to published and non-published corporate loan announcements. The Quarterly Review of Economics and Finance 43, 1-10</w:t>
      </w:r>
      <w:bookmarkEnd w:id="127"/>
    </w:p>
    <w:p w:rsidR="005B6334" w:rsidRPr="00464278" w:rsidRDefault="005B6334" w:rsidP="005B6334">
      <w:pPr>
        <w:spacing w:after="0" w:line="240" w:lineRule="auto"/>
        <w:ind w:left="720" w:hanging="720"/>
        <w:rPr>
          <w:rFonts w:cs="Times New Roman"/>
          <w:noProof/>
          <w:sz w:val="22"/>
        </w:rPr>
      </w:pPr>
      <w:bookmarkStart w:id="128" w:name="_ENREF_53"/>
      <w:r w:rsidRPr="00464278">
        <w:rPr>
          <w:rFonts w:cs="Times New Roman"/>
          <w:noProof/>
          <w:sz w:val="22"/>
        </w:rPr>
        <w:lastRenderedPageBreak/>
        <w:t>Fields, L.P., Fraser, D.R., Berry, T.L., Byers, S., 2006. Do bank loan relationships still matter? Journal of Money, Credit, and Banking 38, 1195-1209</w:t>
      </w:r>
      <w:bookmarkEnd w:id="128"/>
    </w:p>
    <w:p w:rsidR="005B6334" w:rsidRPr="00464278" w:rsidRDefault="005B6334" w:rsidP="005B6334">
      <w:pPr>
        <w:spacing w:after="0" w:line="240" w:lineRule="auto"/>
        <w:ind w:left="720" w:hanging="720"/>
        <w:rPr>
          <w:rFonts w:cs="Times New Roman"/>
          <w:noProof/>
          <w:sz w:val="22"/>
        </w:rPr>
      </w:pPr>
      <w:bookmarkStart w:id="129" w:name="_ENREF_54"/>
      <w:r w:rsidRPr="00464278">
        <w:rPr>
          <w:rFonts w:cs="Times New Roman"/>
          <w:noProof/>
          <w:sz w:val="22"/>
        </w:rPr>
        <w:t>Flannery, M.J., 1986. Asymmetric Information and Risky Debt Maturity Choice. Journal of Finance, 19-37</w:t>
      </w:r>
      <w:bookmarkEnd w:id="129"/>
    </w:p>
    <w:p w:rsidR="005B6334" w:rsidRPr="00464278" w:rsidRDefault="005B6334" w:rsidP="005B6334">
      <w:pPr>
        <w:spacing w:after="0" w:line="240" w:lineRule="auto"/>
        <w:ind w:left="720" w:hanging="720"/>
        <w:rPr>
          <w:rFonts w:cs="Times New Roman"/>
          <w:noProof/>
          <w:sz w:val="22"/>
        </w:rPr>
      </w:pPr>
      <w:bookmarkStart w:id="130" w:name="_ENREF_55"/>
      <w:r w:rsidRPr="00464278">
        <w:rPr>
          <w:rFonts w:cs="Times New Roman"/>
          <w:noProof/>
          <w:sz w:val="22"/>
        </w:rPr>
        <w:t>Gonzalez, L., 2011. Dogs that Bark: Why are Bank Loan Announcements Newsworthy? Global Economy and Finance Journal 4, 62-79</w:t>
      </w:r>
      <w:bookmarkEnd w:id="130"/>
    </w:p>
    <w:p w:rsidR="005B6334" w:rsidRPr="00464278" w:rsidRDefault="005B6334" w:rsidP="005B6334">
      <w:pPr>
        <w:spacing w:after="0" w:line="240" w:lineRule="auto"/>
        <w:ind w:left="720" w:hanging="720"/>
        <w:rPr>
          <w:rFonts w:cs="Times New Roman"/>
          <w:noProof/>
          <w:sz w:val="22"/>
        </w:rPr>
      </w:pPr>
      <w:bookmarkStart w:id="131" w:name="_ENREF_56"/>
      <w:r w:rsidRPr="00464278">
        <w:rPr>
          <w:rFonts w:cs="Times New Roman"/>
          <w:noProof/>
          <w:sz w:val="22"/>
        </w:rPr>
        <w:t>Gorton, G., Kahn, J.A., 1993. The design of bank loan contracts, collateral, and renegotiation. National Bureau of Economic Research</w:t>
      </w:r>
      <w:bookmarkEnd w:id="131"/>
    </w:p>
    <w:p w:rsidR="005B6334" w:rsidRPr="00464278" w:rsidRDefault="005B6334" w:rsidP="005B6334">
      <w:pPr>
        <w:spacing w:after="0" w:line="240" w:lineRule="auto"/>
        <w:ind w:left="720" w:hanging="720"/>
        <w:rPr>
          <w:rFonts w:cs="Times New Roman"/>
          <w:noProof/>
          <w:sz w:val="22"/>
        </w:rPr>
      </w:pPr>
      <w:bookmarkStart w:id="132" w:name="_ENREF_57"/>
      <w:r w:rsidRPr="00464278">
        <w:rPr>
          <w:rFonts w:cs="Times New Roman"/>
          <w:noProof/>
          <w:sz w:val="22"/>
        </w:rPr>
        <w:t>Hauswald, R., Marquez, R., 2006. Competition and strategic information acquisition in credit markets. Review of financial studies 19, 967-1000</w:t>
      </w:r>
      <w:bookmarkEnd w:id="132"/>
    </w:p>
    <w:p w:rsidR="005B6334" w:rsidRPr="00464278" w:rsidRDefault="005B6334" w:rsidP="005B6334">
      <w:pPr>
        <w:spacing w:after="0" w:line="240" w:lineRule="auto"/>
        <w:ind w:left="720" w:hanging="720"/>
        <w:rPr>
          <w:rFonts w:cs="Times New Roman"/>
          <w:noProof/>
          <w:sz w:val="22"/>
        </w:rPr>
      </w:pPr>
      <w:bookmarkStart w:id="133" w:name="_ENREF_58"/>
      <w:r w:rsidRPr="00464278">
        <w:rPr>
          <w:rFonts w:cs="Times New Roman"/>
          <w:noProof/>
          <w:sz w:val="22"/>
        </w:rPr>
        <w:t>Hotelling, H., 1931. The economics of exhaustible resources. The Journal of Political Economy 39, 137-175</w:t>
      </w:r>
      <w:bookmarkEnd w:id="133"/>
    </w:p>
    <w:p w:rsidR="005B6334" w:rsidRPr="00464278" w:rsidRDefault="005B6334" w:rsidP="005B6334">
      <w:pPr>
        <w:spacing w:after="0" w:line="240" w:lineRule="auto"/>
        <w:ind w:left="720" w:hanging="720"/>
        <w:rPr>
          <w:rFonts w:cs="Times New Roman"/>
          <w:noProof/>
          <w:sz w:val="22"/>
        </w:rPr>
      </w:pPr>
      <w:bookmarkStart w:id="134" w:name="_ENREF_59"/>
      <w:r w:rsidRPr="00464278">
        <w:rPr>
          <w:rFonts w:cs="Times New Roman"/>
          <w:noProof/>
          <w:sz w:val="22"/>
        </w:rPr>
        <w:t>Ibbotson, R.G., 1975. Price performance of common stock new issues. Journal of financial economics 2, 235-272</w:t>
      </w:r>
      <w:bookmarkEnd w:id="134"/>
    </w:p>
    <w:p w:rsidR="005B6334" w:rsidRPr="00464278" w:rsidRDefault="005B6334" w:rsidP="005B6334">
      <w:pPr>
        <w:spacing w:after="0" w:line="240" w:lineRule="auto"/>
        <w:ind w:left="720" w:hanging="720"/>
        <w:rPr>
          <w:rFonts w:cs="Times New Roman"/>
          <w:noProof/>
          <w:sz w:val="22"/>
        </w:rPr>
      </w:pPr>
      <w:bookmarkStart w:id="135" w:name="_ENREF_60"/>
      <w:r w:rsidRPr="00464278">
        <w:rPr>
          <w:rFonts w:cs="Times New Roman"/>
          <w:noProof/>
          <w:sz w:val="22"/>
        </w:rPr>
        <w:t>James, C., 1987. Some evidence on the uniqueness of bank loans. Journal of Financial Economics 19, 217-235</w:t>
      </w:r>
      <w:bookmarkEnd w:id="135"/>
    </w:p>
    <w:p w:rsidR="005B6334" w:rsidRPr="00464278" w:rsidRDefault="005B6334" w:rsidP="005B6334">
      <w:pPr>
        <w:spacing w:after="0" w:line="240" w:lineRule="auto"/>
        <w:ind w:left="720" w:hanging="720"/>
        <w:rPr>
          <w:rFonts w:cs="Times New Roman"/>
          <w:noProof/>
          <w:sz w:val="22"/>
        </w:rPr>
      </w:pPr>
      <w:bookmarkStart w:id="136" w:name="_ENREF_61"/>
      <w:r w:rsidRPr="00464278">
        <w:rPr>
          <w:rFonts w:cs="Times New Roman"/>
          <w:noProof/>
          <w:sz w:val="22"/>
        </w:rPr>
        <w:t>James, C., Wier, P., 1990. Borrowing relationships, intermediation, and the cost of issuing public securities. Journal of Financial Economics 28, 149-171</w:t>
      </w:r>
      <w:bookmarkEnd w:id="136"/>
    </w:p>
    <w:p w:rsidR="005B6334" w:rsidRPr="00464278" w:rsidRDefault="005B6334" w:rsidP="005B6334">
      <w:pPr>
        <w:spacing w:after="0" w:line="240" w:lineRule="auto"/>
        <w:ind w:left="720" w:hanging="720"/>
        <w:rPr>
          <w:rFonts w:cs="Times New Roman"/>
          <w:noProof/>
          <w:sz w:val="22"/>
        </w:rPr>
      </w:pPr>
      <w:bookmarkStart w:id="137" w:name="_ENREF_62"/>
      <w:r w:rsidRPr="00464278">
        <w:rPr>
          <w:rFonts w:cs="Times New Roman"/>
          <w:noProof/>
          <w:sz w:val="22"/>
        </w:rPr>
        <w:t>Johnson, S.A., 1997. The effect of bank reputation on the value of bank loan agreements. Journal of Accounting, Auditing &amp; Finance 12, 83-100</w:t>
      </w:r>
      <w:bookmarkEnd w:id="137"/>
    </w:p>
    <w:p w:rsidR="005B6334" w:rsidRPr="00464278" w:rsidRDefault="005B6334" w:rsidP="005B6334">
      <w:pPr>
        <w:spacing w:after="0" w:line="240" w:lineRule="auto"/>
        <w:ind w:left="720" w:hanging="720"/>
        <w:rPr>
          <w:rFonts w:cs="Times New Roman"/>
          <w:noProof/>
          <w:sz w:val="22"/>
        </w:rPr>
      </w:pPr>
      <w:bookmarkStart w:id="138" w:name="_ENREF_63"/>
      <w:r w:rsidRPr="00464278">
        <w:rPr>
          <w:rFonts w:cs="Times New Roman"/>
          <w:noProof/>
          <w:sz w:val="22"/>
        </w:rPr>
        <w:t>Johnson, S.A., 1998. The effect of bank debt on optimal capital structure. Financial Management, 47-56</w:t>
      </w:r>
      <w:bookmarkEnd w:id="138"/>
    </w:p>
    <w:p w:rsidR="005B6334" w:rsidRPr="00464278" w:rsidRDefault="005B6334" w:rsidP="005B6334">
      <w:pPr>
        <w:spacing w:after="0" w:line="240" w:lineRule="auto"/>
        <w:ind w:left="720" w:hanging="720"/>
        <w:rPr>
          <w:rFonts w:cs="Times New Roman"/>
          <w:noProof/>
          <w:sz w:val="22"/>
        </w:rPr>
      </w:pPr>
      <w:bookmarkStart w:id="139" w:name="_ENREF_64"/>
      <w:r w:rsidRPr="00464278">
        <w:rPr>
          <w:rFonts w:cs="Times New Roman"/>
          <w:noProof/>
          <w:sz w:val="22"/>
        </w:rPr>
        <w:t>Kallunki, J.-P., 1997. Handling missing prices in a thinly traded stock market: implications for the specification of event study methods. European journal of operational research 103, 186-197</w:t>
      </w:r>
      <w:bookmarkEnd w:id="139"/>
    </w:p>
    <w:p w:rsidR="005B6334" w:rsidRPr="00464278" w:rsidRDefault="005B6334" w:rsidP="005B6334">
      <w:pPr>
        <w:spacing w:after="0" w:line="240" w:lineRule="auto"/>
        <w:ind w:left="720" w:hanging="720"/>
        <w:rPr>
          <w:rFonts w:cs="Times New Roman"/>
          <w:noProof/>
          <w:sz w:val="22"/>
        </w:rPr>
      </w:pPr>
      <w:bookmarkStart w:id="140" w:name="_ENREF_65"/>
      <w:r w:rsidRPr="00464278">
        <w:rPr>
          <w:rFonts w:cs="Times New Roman"/>
          <w:noProof/>
          <w:sz w:val="22"/>
        </w:rPr>
        <w:t>Kean, S.E., 2013. SEC Reporting restrictions in the mining industry: An examination of the modelling and value-relevance of gold resource estimtates. UTS Working Paper</w:t>
      </w:r>
      <w:bookmarkEnd w:id="140"/>
    </w:p>
    <w:p w:rsidR="005B6334" w:rsidRPr="00464278" w:rsidRDefault="005B6334" w:rsidP="005B6334">
      <w:pPr>
        <w:spacing w:after="0" w:line="240" w:lineRule="auto"/>
        <w:ind w:left="720" w:hanging="720"/>
        <w:rPr>
          <w:rFonts w:cs="Times New Roman"/>
          <w:noProof/>
          <w:sz w:val="22"/>
        </w:rPr>
      </w:pPr>
      <w:bookmarkStart w:id="141" w:name="_ENREF_66"/>
      <w:r w:rsidRPr="00464278">
        <w:rPr>
          <w:rFonts w:cs="Times New Roman"/>
          <w:noProof/>
          <w:sz w:val="22"/>
        </w:rPr>
        <w:t>Korteweg, A., 2010. The net benefits to leverage. The Journal of Finance 65, 2137-2170</w:t>
      </w:r>
      <w:bookmarkEnd w:id="141"/>
    </w:p>
    <w:p w:rsidR="005B6334" w:rsidRPr="00464278" w:rsidRDefault="005B6334" w:rsidP="005B6334">
      <w:pPr>
        <w:spacing w:after="0" w:line="240" w:lineRule="auto"/>
        <w:ind w:left="720" w:hanging="720"/>
        <w:rPr>
          <w:rFonts w:cs="Times New Roman"/>
          <w:noProof/>
          <w:sz w:val="22"/>
        </w:rPr>
      </w:pPr>
      <w:bookmarkStart w:id="142" w:name="_ENREF_67"/>
      <w:r w:rsidRPr="00464278">
        <w:rPr>
          <w:rFonts w:cs="Times New Roman"/>
          <w:noProof/>
          <w:sz w:val="22"/>
        </w:rPr>
        <w:t>Lee, K.-W., Sharpe, I.G., 2009. Does a Bank’s Loan Screening and Monitoring Matter? Journal of Financial Services Research 35, 33-52</w:t>
      </w:r>
      <w:bookmarkEnd w:id="142"/>
    </w:p>
    <w:p w:rsidR="005B6334" w:rsidRPr="00464278" w:rsidRDefault="005B6334" w:rsidP="005B6334">
      <w:pPr>
        <w:spacing w:after="0" w:line="240" w:lineRule="auto"/>
        <w:ind w:left="720" w:hanging="720"/>
        <w:rPr>
          <w:rFonts w:cs="Times New Roman"/>
          <w:noProof/>
          <w:sz w:val="22"/>
        </w:rPr>
      </w:pPr>
      <w:bookmarkStart w:id="143" w:name="_ENREF_68"/>
      <w:r w:rsidRPr="00464278">
        <w:rPr>
          <w:rFonts w:cs="Times New Roman"/>
          <w:noProof/>
          <w:sz w:val="22"/>
        </w:rPr>
        <w:t>Leland, H.E., Pyle, D.H., 1977. Informational Asymmetries, Financial Structure, and Financial Intermediation. The Journal of Finance 32, 371-387</w:t>
      </w:r>
      <w:bookmarkEnd w:id="143"/>
    </w:p>
    <w:p w:rsidR="005B6334" w:rsidRPr="00464278" w:rsidRDefault="005B6334" w:rsidP="005B6334">
      <w:pPr>
        <w:spacing w:after="0" w:line="240" w:lineRule="auto"/>
        <w:ind w:left="720" w:hanging="720"/>
        <w:rPr>
          <w:rFonts w:cs="Times New Roman"/>
          <w:noProof/>
          <w:sz w:val="22"/>
        </w:rPr>
      </w:pPr>
      <w:bookmarkStart w:id="144" w:name="_ENREF_69"/>
      <w:r w:rsidRPr="00464278">
        <w:rPr>
          <w:rFonts w:cs="Times New Roman"/>
          <w:noProof/>
          <w:sz w:val="22"/>
        </w:rPr>
        <w:t>Leuz, C., Verrecchia, R.E., 2000. The economic consequences of increased disclosure. Journal of accounting research, 91-124</w:t>
      </w:r>
      <w:bookmarkEnd w:id="144"/>
    </w:p>
    <w:p w:rsidR="005B6334" w:rsidRPr="00464278" w:rsidRDefault="005B6334" w:rsidP="005B6334">
      <w:pPr>
        <w:spacing w:after="0" w:line="240" w:lineRule="auto"/>
        <w:ind w:left="720" w:hanging="720"/>
        <w:rPr>
          <w:rFonts w:cs="Times New Roman"/>
          <w:noProof/>
          <w:sz w:val="22"/>
        </w:rPr>
      </w:pPr>
      <w:bookmarkStart w:id="145" w:name="_ENREF_70"/>
      <w:r w:rsidRPr="00464278">
        <w:rPr>
          <w:rFonts w:cs="Times New Roman"/>
          <w:noProof/>
          <w:sz w:val="22"/>
        </w:rPr>
        <w:t>Loughran, T.I.M., Ritter, J.R., 1995. The New Issues Puzzle. The Journal of Finance 50, 23-51</w:t>
      </w:r>
      <w:bookmarkEnd w:id="145"/>
    </w:p>
    <w:p w:rsidR="005B6334" w:rsidRPr="00464278" w:rsidRDefault="005B6334" w:rsidP="005B6334">
      <w:pPr>
        <w:spacing w:after="0" w:line="240" w:lineRule="auto"/>
        <w:ind w:left="720" w:hanging="720"/>
        <w:rPr>
          <w:rFonts w:cs="Times New Roman"/>
          <w:noProof/>
          <w:sz w:val="22"/>
        </w:rPr>
      </w:pPr>
      <w:bookmarkStart w:id="146" w:name="_ENREF_71"/>
      <w:r w:rsidRPr="00464278">
        <w:rPr>
          <w:rFonts w:cs="Times New Roman"/>
          <w:noProof/>
          <w:sz w:val="22"/>
        </w:rPr>
        <w:t>Lummer, S.L., McConnell, J.J., 1989. Further evidence on the bank lending process and the capital-market response to bank loan agreements. Journal of Financial Economics 25, 99-122</w:t>
      </w:r>
      <w:bookmarkEnd w:id="146"/>
    </w:p>
    <w:p w:rsidR="005B6334" w:rsidRPr="00464278" w:rsidRDefault="005B6334" w:rsidP="005B6334">
      <w:pPr>
        <w:spacing w:after="0" w:line="240" w:lineRule="auto"/>
        <w:ind w:left="720" w:hanging="720"/>
        <w:rPr>
          <w:rFonts w:cs="Times New Roman"/>
          <w:noProof/>
          <w:sz w:val="22"/>
        </w:rPr>
      </w:pPr>
      <w:bookmarkStart w:id="147" w:name="_ENREF_72"/>
      <w:r w:rsidRPr="00464278">
        <w:rPr>
          <w:rFonts w:cs="Times New Roman"/>
          <w:noProof/>
          <w:sz w:val="22"/>
        </w:rPr>
        <w:t>Maskara, P.K., Mullineaux, D.J., 2011. Information asymmetry and self-selection bias in bank loan announcement studies. Journal of Financial Economics 101, 684-694</w:t>
      </w:r>
      <w:bookmarkEnd w:id="147"/>
    </w:p>
    <w:p w:rsidR="005B6334" w:rsidRPr="00464278" w:rsidRDefault="005B6334" w:rsidP="005B6334">
      <w:pPr>
        <w:spacing w:after="0" w:line="240" w:lineRule="auto"/>
        <w:ind w:left="720" w:hanging="720"/>
        <w:rPr>
          <w:rFonts w:cs="Times New Roman"/>
          <w:noProof/>
          <w:sz w:val="22"/>
        </w:rPr>
      </w:pPr>
      <w:bookmarkStart w:id="148" w:name="_ENREF_73"/>
      <w:r w:rsidRPr="00464278">
        <w:rPr>
          <w:rFonts w:cs="Times New Roman"/>
          <w:noProof/>
          <w:sz w:val="22"/>
        </w:rPr>
        <w:t>Masulis, R.W., Korwar, A.N., 1986. Seasoned equity offerings: An empirical investigation. Journal of financial economics 15, 91-118</w:t>
      </w:r>
      <w:bookmarkEnd w:id="148"/>
    </w:p>
    <w:p w:rsidR="005B6334" w:rsidRPr="00464278" w:rsidRDefault="005B6334" w:rsidP="005B6334">
      <w:pPr>
        <w:spacing w:after="0" w:line="240" w:lineRule="auto"/>
        <w:ind w:left="720" w:hanging="720"/>
        <w:rPr>
          <w:rFonts w:cs="Times New Roman"/>
          <w:noProof/>
          <w:sz w:val="22"/>
        </w:rPr>
      </w:pPr>
      <w:bookmarkStart w:id="149" w:name="_ENREF_74"/>
      <w:r w:rsidRPr="00464278">
        <w:rPr>
          <w:rFonts w:cs="Times New Roman"/>
          <w:noProof/>
          <w:sz w:val="22"/>
        </w:rPr>
        <w:t>Maynes, E., Rumsey, J., 1993. Conducting event studies with thinly traded stocks. Journal of Banking &amp; Finance 17, 145-157</w:t>
      </w:r>
      <w:bookmarkEnd w:id="149"/>
    </w:p>
    <w:p w:rsidR="005B6334" w:rsidRPr="00464278" w:rsidRDefault="005B6334" w:rsidP="005B6334">
      <w:pPr>
        <w:spacing w:after="0" w:line="240" w:lineRule="auto"/>
        <w:ind w:left="720" w:hanging="720"/>
        <w:rPr>
          <w:rFonts w:cs="Times New Roman"/>
          <w:noProof/>
          <w:sz w:val="22"/>
        </w:rPr>
      </w:pPr>
      <w:bookmarkStart w:id="150" w:name="_ENREF_75"/>
      <w:r w:rsidRPr="00464278">
        <w:rPr>
          <w:rFonts w:cs="Times New Roman"/>
          <w:noProof/>
          <w:sz w:val="22"/>
        </w:rPr>
        <w:t>McDonald, J., 1994. Asymmetric Information: The Case of Bank Loan Commitments. Journal of Financial and Strategic Decisions 7, 23-31</w:t>
      </w:r>
      <w:bookmarkEnd w:id="150"/>
    </w:p>
    <w:p w:rsidR="005B6334" w:rsidRPr="00464278" w:rsidRDefault="005B6334" w:rsidP="005B6334">
      <w:pPr>
        <w:spacing w:after="0" w:line="240" w:lineRule="auto"/>
        <w:ind w:left="720" w:hanging="720"/>
        <w:rPr>
          <w:rFonts w:cs="Times New Roman"/>
          <w:noProof/>
          <w:sz w:val="22"/>
        </w:rPr>
      </w:pPr>
      <w:bookmarkStart w:id="151" w:name="_ENREF_76"/>
      <w:r w:rsidRPr="00464278">
        <w:rPr>
          <w:rFonts w:cs="Times New Roman"/>
          <w:noProof/>
          <w:sz w:val="22"/>
        </w:rPr>
        <w:t>Megginson, W.L., Weiss, K.A., 1991. Venture capitalist certification in initial public offerings. The Journal of Finance 46, 879-903</w:t>
      </w:r>
      <w:bookmarkEnd w:id="151"/>
    </w:p>
    <w:p w:rsidR="005B6334" w:rsidRPr="00464278" w:rsidRDefault="005B6334" w:rsidP="005B6334">
      <w:pPr>
        <w:spacing w:after="0" w:line="240" w:lineRule="auto"/>
        <w:ind w:left="720" w:hanging="720"/>
        <w:rPr>
          <w:rFonts w:cs="Times New Roman"/>
          <w:noProof/>
          <w:sz w:val="22"/>
        </w:rPr>
      </w:pPr>
      <w:bookmarkStart w:id="152" w:name="_ENREF_77"/>
      <w:r w:rsidRPr="00464278">
        <w:rPr>
          <w:rFonts w:cs="Times New Roman"/>
          <w:noProof/>
          <w:sz w:val="22"/>
        </w:rPr>
        <w:t>Mester, L.J., Nakamura, L.I., Renault, M., 2007. Transactions accounts and loan monitoring. Review of Financial Studies 20, 529-556</w:t>
      </w:r>
      <w:bookmarkEnd w:id="152"/>
    </w:p>
    <w:p w:rsidR="005B6334" w:rsidRPr="00464278" w:rsidRDefault="005B6334" w:rsidP="005B6334">
      <w:pPr>
        <w:spacing w:after="0" w:line="240" w:lineRule="auto"/>
        <w:ind w:left="720" w:hanging="720"/>
        <w:rPr>
          <w:rFonts w:cs="Times New Roman"/>
          <w:noProof/>
          <w:sz w:val="22"/>
        </w:rPr>
      </w:pPr>
      <w:bookmarkStart w:id="153" w:name="_ENREF_78"/>
      <w:r w:rsidRPr="00464278">
        <w:rPr>
          <w:rFonts w:cs="Times New Roman"/>
          <w:noProof/>
          <w:sz w:val="22"/>
        </w:rPr>
        <w:t>Mikkelson, W.H., Partch, M.M., 1986. Valuation effects of security offerings and the issuance process. Journal of Financial Economics 15, 31-60</w:t>
      </w:r>
      <w:bookmarkEnd w:id="153"/>
    </w:p>
    <w:p w:rsidR="005B6334" w:rsidRPr="00464278" w:rsidRDefault="005B6334" w:rsidP="005B6334">
      <w:pPr>
        <w:spacing w:after="0" w:line="240" w:lineRule="auto"/>
        <w:ind w:left="720" w:hanging="720"/>
        <w:rPr>
          <w:rFonts w:cs="Times New Roman"/>
          <w:noProof/>
          <w:sz w:val="22"/>
        </w:rPr>
      </w:pPr>
      <w:bookmarkStart w:id="154" w:name="_ENREF_79"/>
      <w:r w:rsidRPr="00464278">
        <w:rPr>
          <w:rFonts w:cs="Times New Roman"/>
          <w:noProof/>
          <w:sz w:val="22"/>
        </w:rPr>
        <w:t xml:space="preserve">Mirabella Nickel Ltd, 2013. Disclosure Policy. Available at </w:t>
      </w:r>
      <w:hyperlink r:id="rId24" w:history="1">
        <w:r w:rsidRPr="00464278">
          <w:rPr>
            <w:rStyle w:val="Hyperlink"/>
            <w:rFonts w:cs="Times New Roman"/>
            <w:noProof/>
            <w:sz w:val="22"/>
          </w:rPr>
          <w:t>http://www.mirabela.com.au/_content/documents/1107.pdf</w:t>
        </w:r>
        <w:bookmarkEnd w:id="154"/>
      </w:hyperlink>
    </w:p>
    <w:p w:rsidR="005B6334" w:rsidRPr="00464278" w:rsidRDefault="005B6334" w:rsidP="005B6334">
      <w:pPr>
        <w:spacing w:after="0" w:line="240" w:lineRule="auto"/>
        <w:ind w:left="720" w:hanging="720"/>
        <w:rPr>
          <w:rFonts w:cs="Times New Roman"/>
          <w:noProof/>
          <w:sz w:val="22"/>
        </w:rPr>
      </w:pPr>
      <w:bookmarkStart w:id="155" w:name="_ENREF_80"/>
      <w:r w:rsidRPr="00464278">
        <w:rPr>
          <w:rFonts w:cs="Times New Roman"/>
          <w:noProof/>
          <w:sz w:val="22"/>
        </w:rPr>
        <w:t>Mosebach, M., 1999. Market response to banks granting lines of credit. Journal of Banking &amp; Finance 23, 1707-1723</w:t>
      </w:r>
      <w:bookmarkEnd w:id="155"/>
    </w:p>
    <w:p w:rsidR="005B6334" w:rsidRPr="00464278" w:rsidRDefault="005B6334" w:rsidP="005B6334">
      <w:pPr>
        <w:spacing w:after="0" w:line="240" w:lineRule="auto"/>
        <w:ind w:left="720" w:hanging="720"/>
        <w:rPr>
          <w:rFonts w:cs="Times New Roman"/>
          <w:noProof/>
          <w:sz w:val="22"/>
        </w:rPr>
      </w:pPr>
      <w:bookmarkStart w:id="156" w:name="_ENREF_81"/>
      <w:r w:rsidRPr="00464278">
        <w:rPr>
          <w:rFonts w:cs="Times New Roman"/>
          <w:noProof/>
          <w:sz w:val="22"/>
        </w:rPr>
        <w:lastRenderedPageBreak/>
        <w:t>Myers, S.C., Majluf, N.S., 1984. Corporate financing and investment decisions when firms have information that investors do not have. Journal of Financial Economics 13, 187-221</w:t>
      </w:r>
      <w:bookmarkEnd w:id="156"/>
    </w:p>
    <w:p w:rsidR="005B6334" w:rsidRPr="00464278" w:rsidRDefault="005B6334" w:rsidP="005B6334">
      <w:pPr>
        <w:spacing w:after="0" w:line="240" w:lineRule="auto"/>
        <w:ind w:left="720" w:hanging="720"/>
        <w:rPr>
          <w:rFonts w:cs="Times New Roman"/>
          <w:noProof/>
          <w:sz w:val="22"/>
        </w:rPr>
      </w:pPr>
      <w:bookmarkStart w:id="157" w:name="_ENREF_82"/>
      <w:r w:rsidRPr="00464278">
        <w:rPr>
          <w:rFonts w:cs="Times New Roman"/>
          <w:noProof/>
          <w:sz w:val="22"/>
        </w:rPr>
        <w:t xml:space="preserve">Nakamura, L.I., 1991. Commercial bank information: Implications for the structure of banking. </w:t>
      </w:r>
      <w:bookmarkEnd w:id="157"/>
    </w:p>
    <w:p w:rsidR="005B6334" w:rsidRPr="00464278" w:rsidRDefault="005B6334" w:rsidP="005B6334">
      <w:pPr>
        <w:spacing w:after="0" w:line="240" w:lineRule="auto"/>
        <w:ind w:left="720" w:hanging="720"/>
        <w:rPr>
          <w:rFonts w:cs="Times New Roman"/>
          <w:noProof/>
          <w:sz w:val="22"/>
        </w:rPr>
      </w:pPr>
      <w:bookmarkStart w:id="158" w:name="_ENREF_83"/>
      <w:r w:rsidRPr="00464278">
        <w:rPr>
          <w:rFonts w:cs="Times New Roman"/>
          <w:noProof/>
          <w:sz w:val="22"/>
        </w:rPr>
        <w:t>Preece, D., Mullineaux, D.J., 1996. Monitoring, loan renegotiability, and firm value: The role of lending syndicates. Journal of Banking &amp; Finance 20, 577-593</w:t>
      </w:r>
      <w:bookmarkEnd w:id="158"/>
    </w:p>
    <w:p w:rsidR="005B6334" w:rsidRPr="00464278" w:rsidRDefault="005B6334" w:rsidP="005B6334">
      <w:pPr>
        <w:spacing w:after="0" w:line="240" w:lineRule="auto"/>
        <w:ind w:left="720" w:hanging="720"/>
        <w:rPr>
          <w:rFonts w:cs="Times New Roman"/>
          <w:noProof/>
          <w:sz w:val="22"/>
        </w:rPr>
      </w:pPr>
      <w:bookmarkStart w:id="159" w:name="_ENREF_84"/>
      <w:r w:rsidRPr="00464278">
        <w:rPr>
          <w:rFonts w:cs="Times New Roman"/>
          <w:noProof/>
          <w:sz w:val="22"/>
        </w:rPr>
        <w:t>Preece, D.C., Mullineaux, D.J., 1994. Monitoring by financial intermediaries: Banks vs. Nonbanks. Journal of Financial Services Research 8, 193-202</w:t>
      </w:r>
      <w:bookmarkEnd w:id="159"/>
    </w:p>
    <w:p w:rsidR="005B6334" w:rsidRPr="00464278" w:rsidRDefault="005B6334" w:rsidP="005B6334">
      <w:pPr>
        <w:spacing w:after="0" w:line="240" w:lineRule="auto"/>
        <w:ind w:left="720" w:hanging="720"/>
        <w:rPr>
          <w:rFonts w:cs="Times New Roman"/>
          <w:noProof/>
          <w:sz w:val="22"/>
        </w:rPr>
      </w:pPr>
      <w:bookmarkStart w:id="160" w:name="_ENREF_85"/>
      <w:r w:rsidRPr="00464278">
        <w:rPr>
          <w:rFonts w:cs="Times New Roman"/>
          <w:noProof/>
          <w:sz w:val="22"/>
        </w:rPr>
        <w:t>Raman, K., Tripathy, N., 1993. The effect of supplemental reserve-based accounting data on the market microstructure. Journal of Accounting and Public Policy 12, 113-133</w:t>
      </w:r>
      <w:bookmarkEnd w:id="160"/>
    </w:p>
    <w:p w:rsidR="005B6334" w:rsidRPr="00464278" w:rsidRDefault="005B6334" w:rsidP="005B6334">
      <w:pPr>
        <w:spacing w:after="0" w:line="240" w:lineRule="auto"/>
        <w:ind w:left="720" w:hanging="720"/>
        <w:rPr>
          <w:rFonts w:cs="Times New Roman"/>
          <w:noProof/>
          <w:sz w:val="22"/>
        </w:rPr>
      </w:pPr>
      <w:bookmarkStart w:id="161" w:name="_ENREF_86"/>
      <w:r w:rsidRPr="00464278">
        <w:rPr>
          <w:rFonts w:cs="Times New Roman"/>
          <w:noProof/>
          <w:sz w:val="22"/>
        </w:rPr>
        <w:t>Ritter, J.R., 1991. The Long-run Performance of Initial Public Offerings. Journal of Finance 46, 3-27</w:t>
      </w:r>
      <w:bookmarkEnd w:id="161"/>
    </w:p>
    <w:p w:rsidR="005B6334" w:rsidRPr="00464278" w:rsidRDefault="005B6334" w:rsidP="005B6334">
      <w:pPr>
        <w:spacing w:after="0" w:line="240" w:lineRule="auto"/>
        <w:ind w:left="720" w:hanging="720"/>
        <w:rPr>
          <w:rFonts w:cs="Times New Roman"/>
          <w:noProof/>
          <w:sz w:val="22"/>
        </w:rPr>
      </w:pPr>
      <w:bookmarkStart w:id="162" w:name="_ENREF_87"/>
      <w:r w:rsidRPr="00464278">
        <w:rPr>
          <w:rFonts w:cs="Times New Roman"/>
          <w:noProof/>
          <w:sz w:val="22"/>
        </w:rPr>
        <w:t>Ross, D.G., 2010. The “dominant bank effect:” How high lender reputation affects the information content and terms of bank loans. Review of financial studies 23, 2730-2756</w:t>
      </w:r>
      <w:bookmarkEnd w:id="162"/>
    </w:p>
    <w:p w:rsidR="005B6334" w:rsidRPr="00464278" w:rsidRDefault="005B6334" w:rsidP="005B6334">
      <w:pPr>
        <w:spacing w:after="0" w:line="240" w:lineRule="auto"/>
        <w:ind w:left="720" w:hanging="720"/>
        <w:rPr>
          <w:rFonts w:cs="Times New Roman"/>
          <w:noProof/>
          <w:sz w:val="22"/>
        </w:rPr>
      </w:pPr>
      <w:bookmarkStart w:id="163" w:name="_ENREF_88"/>
      <w:r w:rsidRPr="00464278">
        <w:rPr>
          <w:rFonts w:cs="Times New Roman"/>
          <w:noProof/>
          <w:sz w:val="22"/>
        </w:rPr>
        <w:t>Ross, S.A., 1977. The determination of financial structure: the incentive-signalling approach. The Bell Journal of Economics, 23-40</w:t>
      </w:r>
      <w:bookmarkEnd w:id="163"/>
    </w:p>
    <w:p w:rsidR="005B6334" w:rsidRPr="00464278" w:rsidRDefault="005B6334" w:rsidP="005B6334">
      <w:pPr>
        <w:spacing w:after="0" w:line="240" w:lineRule="auto"/>
        <w:ind w:left="720" w:hanging="720"/>
        <w:rPr>
          <w:rFonts w:cs="Times New Roman"/>
          <w:noProof/>
          <w:sz w:val="22"/>
        </w:rPr>
      </w:pPr>
      <w:bookmarkStart w:id="164" w:name="_ENREF_89"/>
      <w:r w:rsidRPr="00464278">
        <w:rPr>
          <w:rFonts w:cs="Times New Roman"/>
          <w:noProof/>
          <w:sz w:val="22"/>
        </w:rPr>
        <w:t>Schauer, P.C., 2002. The effects of industry specialization on audit quality: an examination using bid-ask spreads. Journal of Accounting and Finance Research 10, 76-86</w:t>
      </w:r>
      <w:bookmarkEnd w:id="164"/>
    </w:p>
    <w:p w:rsidR="005B6334" w:rsidRPr="00464278" w:rsidRDefault="005B6334" w:rsidP="005B6334">
      <w:pPr>
        <w:spacing w:after="0" w:line="240" w:lineRule="auto"/>
        <w:ind w:left="720" w:hanging="720"/>
        <w:rPr>
          <w:rFonts w:cs="Times New Roman"/>
          <w:noProof/>
          <w:sz w:val="22"/>
        </w:rPr>
      </w:pPr>
      <w:bookmarkStart w:id="165" w:name="_ENREF_90"/>
      <w:r w:rsidRPr="00464278">
        <w:rPr>
          <w:rFonts w:cs="Times New Roman"/>
          <w:noProof/>
          <w:sz w:val="22"/>
        </w:rPr>
        <w:t xml:space="preserve">Silver Mines Limited, 2013. Policy on Continuous Disclosure. Available at </w:t>
      </w:r>
      <w:hyperlink r:id="rId25" w:history="1">
        <w:r w:rsidRPr="00464278">
          <w:rPr>
            <w:rStyle w:val="Hyperlink"/>
            <w:rFonts w:cs="Times New Roman"/>
            <w:noProof/>
            <w:sz w:val="22"/>
          </w:rPr>
          <w:t>http://www.silverminesltd.com.au/media/4781/continuous_disclosure.pdf</w:t>
        </w:r>
        <w:bookmarkEnd w:id="165"/>
      </w:hyperlink>
    </w:p>
    <w:p w:rsidR="005B6334" w:rsidRPr="00464278" w:rsidRDefault="005B6334" w:rsidP="005B6334">
      <w:pPr>
        <w:spacing w:after="0" w:line="240" w:lineRule="auto"/>
        <w:ind w:left="720" w:hanging="720"/>
        <w:rPr>
          <w:rFonts w:cs="Times New Roman"/>
          <w:noProof/>
          <w:sz w:val="22"/>
        </w:rPr>
      </w:pPr>
      <w:bookmarkStart w:id="166" w:name="_ENREF_91"/>
      <w:r w:rsidRPr="00464278">
        <w:rPr>
          <w:rFonts w:cs="Times New Roman"/>
          <w:noProof/>
          <w:sz w:val="22"/>
        </w:rPr>
        <w:t>Slovin, M.B., Johnson, S.A., Glascock, J.L., 1992. Firm size and the information content of bank loan announcements. Journal of Banking &amp; Finance 16, 1057-1071</w:t>
      </w:r>
      <w:bookmarkEnd w:id="166"/>
    </w:p>
    <w:p w:rsidR="005B6334" w:rsidRPr="00464278" w:rsidRDefault="005B6334" w:rsidP="005B6334">
      <w:pPr>
        <w:spacing w:after="0" w:line="240" w:lineRule="auto"/>
        <w:ind w:left="720" w:hanging="720"/>
        <w:rPr>
          <w:rFonts w:cs="Times New Roman"/>
          <w:noProof/>
          <w:sz w:val="22"/>
        </w:rPr>
      </w:pPr>
      <w:bookmarkStart w:id="167" w:name="_ENREF_92"/>
      <w:r w:rsidRPr="00464278">
        <w:rPr>
          <w:rFonts w:cs="Times New Roman"/>
          <w:noProof/>
          <w:sz w:val="22"/>
        </w:rPr>
        <w:t>Slovin, M.B., Sushka, M.E., Hudson, C.D., 1988. Corporate commercial paper, note issuance facilities, and shareholder wealth. Journal of International Money and Finance 7, 289-302</w:t>
      </w:r>
      <w:bookmarkEnd w:id="167"/>
    </w:p>
    <w:p w:rsidR="005B6334" w:rsidRPr="00464278" w:rsidRDefault="005B6334" w:rsidP="005B6334">
      <w:pPr>
        <w:spacing w:after="0" w:line="240" w:lineRule="auto"/>
        <w:ind w:left="720" w:hanging="720"/>
        <w:rPr>
          <w:rFonts w:cs="Times New Roman"/>
          <w:noProof/>
          <w:sz w:val="22"/>
        </w:rPr>
      </w:pPr>
      <w:bookmarkStart w:id="168" w:name="_ENREF_93"/>
      <w:r w:rsidRPr="00464278">
        <w:rPr>
          <w:rFonts w:cs="Times New Roman"/>
          <w:noProof/>
          <w:sz w:val="22"/>
        </w:rPr>
        <w:t>Slovin, M.B., Sushka, M.E., Hudson, C.D., 1990. External monitoring and its effect on seasoned common stock issues. Journal of Accounting and Economics 12, 397-417</w:t>
      </w:r>
      <w:bookmarkEnd w:id="168"/>
    </w:p>
    <w:p w:rsidR="005B6334" w:rsidRPr="00464278" w:rsidRDefault="005B6334" w:rsidP="005B6334">
      <w:pPr>
        <w:spacing w:after="0" w:line="240" w:lineRule="auto"/>
        <w:ind w:left="720" w:hanging="720"/>
        <w:rPr>
          <w:rFonts w:cs="Times New Roman"/>
          <w:noProof/>
          <w:sz w:val="22"/>
        </w:rPr>
      </w:pPr>
      <w:bookmarkStart w:id="169" w:name="_ENREF_94"/>
      <w:r w:rsidRPr="00464278">
        <w:rPr>
          <w:rFonts w:cs="Times New Roman"/>
          <w:noProof/>
          <w:sz w:val="22"/>
        </w:rPr>
        <w:t>Slovin, M.B., Young, J.E., 1990. Bank lending and initial public offerings. Journal of Banking &amp; Finance 14, 729-740</w:t>
      </w:r>
      <w:bookmarkEnd w:id="169"/>
    </w:p>
    <w:p w:rsidR="005B6334" w:rsidRPr="00464278" w:rsidRDefault="005B6334" w:rsidP="005B6334">
      <w:pPr>
        <w:spacing w:after="0" w:line="240" w:lineRule="auto"/>
        <w:ind w:left="720" w:hanging="720"/>
        <w:rPr>
          <w:rFonts w:cs="Times New Roman"/>
          <w:noProof/>
          <w:sz w:val="22"/>
        </w:rPr>
      </w:pPr>
      <w:bookmarkStart w:id="170" w:name="_ENREF_95"/>
      <w:r w:rsidRPr="00464278">
        <w:rPr>
          <w:rFonts w:cs="Times New Roman"/>
          <w:noProof/>
          <w:sz w:val="22"/>
        </w:rPr>
        <w:t>Spiess, D.K., Affleck-Graves, J., 1995. Underperformance in long-run stock returns following seasoned equity offerings. Journal of Financial Economics 38, 243-267</w:t>
      </w:r>
      <w:bookmarkEnd w:id="170"/>
    </w:p>
    <w:p w:rsidR="005B6334" w:rsidRPr="00464278" w:rsidRDefault="005B6334" w:rsidP="005B6334">
      <w:pPr>
        <w:spacing w:after="0" w:line="240" w:lineRule="auto"/>
        <w:ind w:left="720" w:hanging="720"/>
        <w:rPr>
          <w:rFonts w:cs="Times New Roman"/>
          <w:noProof/>
          <w:sz w:val="22"/>
        </w:rPr>
      </w:pPr>
      <w:bookmarkStart w:id="171" w:name="_ENREF_96"/>
      <w:r w:rsidRPr="00464278">
        <w:rPr>
          <w:rFonts w:cs="Times New Roman"/>
          <w:noProof/>
          <w:sz w:val="22"/>
        </w:rPr>
        <w:t>Spiess, D.K., Affleck-Graves, J., 1999. The long-run performance of stock returns following debt offerings. Journal of Financial Economics 54, 45-73</w:t>
      </w:r>
      <w:bookmarkEnd w:id="171"/>
    </w:p>
    <w:p w:rsidR="005B6334" w:rsidRPr="00464278" w:rsidRDefault="005B6334" w:rsidP="005B6334">
      <w:pPr>
        <w:spacing w:after="0" w:line="240" w:lineRule="auto"/>
        <w:ind w:left="720" w:hanging="720"/>
        <w:rPr>
          <w:rFonts w:cs="Times New Roman"/>
          <w:noProof/>
          <w:sz w:val="22"/>
        </w:rPr>
      </w:pPr>
      <w:bookmarkStart w:id="172" w:name="_ENREF_97"/>
      <w:r w:rsidRPr="00464278">
        <w:rPr>
          <w:rFonts w:cs="Times New Roman"/>
          <w:noProof/>
          <w:sz w:val="22"/>
        </w:rPr>
        <w:t>Stiglitz, J.E., Weiss, A., 1981. Credit rationing in markets with imperfect information. The American economic review 71, 393-410</w:t>
      </w:r>
      <w:bookmarkEnd w:id="172"/>
    </w:p>
    <w:p w:rsidR="005B6334" w:rsidRPr="00464278" w:rsidRDefault="005B6334" w:rsidP="005B6334">
      <w:pPr>
        <w:spacing w:after="0" w:line="240" w:lineRule="auto"/>
        <w:ind w:left="720" w:hanging="720"/>
        <w:rPr>
          <w:rFonts w:cs="Times New Roman"/>
          <w:noProof/>
          <w:sz w:val="22"/>
        </w:rPr>
      </w:pPr>
      <w:bookmarkStart w:id="173" w:name="_ENREF_98"/>
      <w:r w:rsidRPr="00464278">
        <w:rPr>
          <w:rFonts w:cs="Times New Roman"/>
          <w:noProof/>
          <w:sz w:val="22"/>
        </w:rPr>
        <w:t>Strebulaev, I.A., Yang, B., 2013. The mystery of zero-leverage firms. Journal of Financial Economics Forthcoming</w:t>
      </w:r>
      <w:bookmarkEnd w:id="173"/>
    </w:p>
    <w:p w:rsidR="005B6334" w:rsidRPr="00464278" w:rsidRDefault="005B6334" w:rsidP="005B6334">
      <w:pPr>
        <w:spacing w:after="0" w:line="240" w:lineRule="auto"/>
        <w:ind w:left="720" w:hanging="720"/>
        <w:rPr>
          <w:rFonts w:cs="Times New Roman"/>
          <w:noProof/>
          <w:sz w:val="22"/>
        </w:rPr>
      </w:pPr>
      <w:bookmarkStart w:id="174" w:name="_ENREF_99"/>
      <w:r w:rsidRPr="00464278">
        <w:rPr>
          <w:rFonts w:cs="Times New Roman"/>
          <w:noProof/>
          <w:sz w:val="22"/>
        </w:rPr>
        <w:t>Tufano, P., 1998. The determinants of stock price exposure: Financial engineering and the gold mining industry. The Journal of Finance 53, 1015-1052</w:t>
      </w:r>
      <w:bookmarkEnd w:id="174"/>
    </w:p>
    <w:p w:rsidR="005B6334" w:rsidRPr="00464278" w:rsidRDefault="005B6334" w:rsidP="005B6334">
      <w:pPr>
        <w:spacing w:after="0" w:line="240" w:lineRule="auto"/>
        <w:ind w:left="720" w:hanging="720"/>
        <w:rPr>
          <w:rFonts w:cs="Times New Roman"/>
          <w:noProof/>
          <w:sz w:val="22"/>
        </w:rPr>
      </w:pPr>
      <w:bookmarkStart w:id="175" w:name="_ENREF_100"/>
      <w:r w:rsidRPr="00464278">
        <w:rPr>
          <w:rFonts w:cs="Times New Roman"/>
          <w:noProof/>
          <w:sz w:val="22"/>
        </w:rPr>
        <w:t xml:space="preserve">View Resources Limited, 2006. Bronzewing poised for redevelopment. Available at </w:t>
      </w:r>
      <w:hyperlink r:id="rId26" w:history="1">
        <w:r w:rsidRPr="00464278">
          <w:rPr>
            <w:rStyle w:val="Hyperlink"/>
            <w:rFonts w:cs="Times New Roman"/>
            <w:noProof/>
            <w:sz w:val="22"/>
          </w:rPr>
          <w:t>http://www.asx.com.au/asxpdf/20061024/pdf/3z4rb03by1yn6.pdf</w:t>
        </w:r>
        <w:bookmarkEnd w:id="175"/>
      </w:hyperlink>
    </w:p>
    <w:p w:rsidR="005B6334" w:rsidRPr="00464278" w:rsidRDefault="005B6334" w:rsidP="005B6334">
      <w:pPr>
        <w:spacing w:line="240" w:lineRule="auto"/>
        <w:ind w:left="720" w:hanging="720"/>
        <w:rPr>
          <w:rFonts w:cs="Times New Roman"/>
          <w:noProof/>
          <w:sz w:val="22"/>
        </w:rPr>
      </w:pPr>
      <w:bookmarkStart w:id="176" w:name="_ENREF_101"/>
      <w:r w:rsidRPr="00464278">
        <w:rPr>
          <w:rFonts w:cs="Times New Roman"/>
          <w:noProof/>
          <w:sz w:val="22"/>
        </w:rPr>
        <w:t>Winton, A., 1999. Don't put all your eggs in one basket? Diversification and specialization in lending. Diversification and Specialization in Lending (September 27, 1999)</w:t>
      </w:r>
      <w:bookmarkEnd w:id="176"/>
    </w:p>
    <w:p w:rsidR="003C4EC3" w:rsidRDefault="001B0127" w:rsidP="00B67075">
      <w:pPr>
        <w:ind w:firstLine="0"/>
      </w:pPr>
      <w:r w:rsidRPr="00464278">
        <w:rPr>
          <w:sz w:val="22"/>
        </w:rPr>
        <w:fldChar w:fldCharType="end"/>
      </w:r>
    </w:p>
    <w:sectPr w:rsidR="003C4EC3" w:rsidSect="007902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7C4" w:rsidRDefault="00EB17C4" w:rsidP="005704D7">
      <w:pPr>
        <w:spacing w:after="0" w:line="240" w:lineRule="auto"/>
      </w:pPr>
      <w:r>
        <w:separator/>
      </w:r>
    </w:p>
  </w:endnote>
  <w:endnote w:type="continuationSeparator" w:id="0">
    <w:p w:rsidR="00EB17C4" w:rsidRDefault="00EB17C4" w:rsidP="0057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2EFF" w:usb1="D200FDFF" w:usb2="0A046029" w:usb3="00000000" w:csb0="000001FF" w:csb1="00000000"/>
  </w:font>
  <w:font w:name="AdvP497E2">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77472"/>
      <w:docPartObj>
        <w:docPartGallery w:val="Page Numbers (Bottom of Page)"/>
        <w:docPartUnique/>
      </w:docPartObj>
    </w:sdtPr>
    <w:sdtEndPr>
      <w:rPr>
        <w:noProof/>
      </w:rPr>
    </w:sdtEndPr>
    <w:sdtContent>
      <w:p w:rsidR="00EB17C4" w:rsidRDefault="00EB17C4">
        <w:pPr>
          <w:pStyle w:val="Footer"/>
          <w:jc w:val="right"/>
        </w:pPr>
        <w:r>
          <w:fldChar w:fldCharType="begin"/>
        </w:r>
        <w:r>
          <w:instrText xml:space="preserve"> PAGE   \* MERGEFORMAT </w:instrText>
        </w:r>
        <w:r>
          <w:fldChar w:fldCharType="separate"/>
        </w:r>
        <w:r w:rsidR="000A24D2">
          <w:rPr>
            <w:noProof/>
          </w:rPr>
          <w:t>1</w:t>
        </w:r>
        <w:r>
          <w:rPr>
            <w:noProof/>
          </w:rPr>
          <w:fldChar w:fldCharType="end"/>
        </w:r>
      </w:p>
    </w:sdtContent>
  </w:sdt>
  <w:p w:rsidR="00EB17C4" w:rsidRDefault="00EB1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547"/>
      <w:docPartObj>
        <w:docPartGallery w:val="Page Numbers (Bottom of Page)"/>
        <w:docPartUnique/>
      </w:docPartObj>
    </w:sdtPr>
    <w:sdtEndPr/>
    <w:sdtContent>
      <w:p w:rsidR="00EB17C4" w:rsidRDefault="00EB17C4">
        <w:pPr>
          <w:pStyle w:val="Footer"/>
          <w:jc w:val="right"/>
        </w:pPr>
        <w:r>
          <w:fldChar w:fldCharType="begin"/>
        </w:r>
        <w:r>
          <w:instrText xml:space="preserve"> PAGE   \* MERGEFORMAT </w:instrText>
        </w:r>
        <w:r>
          <w:fldChar w:fldCharType="separate"/>
        </w:r>
        <w:r w:rsidR="000A24D2">
          <w:rPr>
            <w:noProof/>
          </w:rPr>
          <w:t>32</w:t>
        </w:r>
        <w:r>
          <w:rPr>
            <w:noProof/>
          </w:rPr>
          <w:fldChar w:fldCharType="end"/>
        </w:r>
      </w:p>
    </w:sdtContent>
  </w:sdt>
  <w:p w:rsidR="00EB17C4" w:rsidRDefault="00EB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7C4" w:rsidRDefault="00EB17C4" w:rsidP="005704D7">
      <w:pPr>
        <w:spacing w:after="0" w:line="240" w:lineRule="auto"/>
      </w:pPr>
      <w:r>
        <w:separator/>
      </w:r>
    </w:p>
  </w:footnote>
  <w:footnote w:type="continuationSeparator" w:id="0">
    <w:p w:rsidR="00EB17C4" w:rsidRDefault="00EB17C4" w:rsidP="005704D7">
      <w:pPr>
        <w:spacing w:after="0" w:line="240" w:lineRule="auto"/>
      </w:pPr>
      <w:r>
        <w:continuationSeparator/>
      </w:r>
    </w:p>
  </w:footnote>
  <w:footnote w:id="1">
    <w:p w:rsidR="00EB17C4" w:rsidRDefault="00EB17C4" w:rsidP="009C7151">
      <w:pPr>
        <w:pStyle w:val="Footnote"/>
      </w:pPr>
      <w:r>
        <w:rPr>
          <w:rStyle w:val="FootnoteReference"/>
        </w:rPr>
        <w:footnoteRef/>
      </w:r>
      <w:r>
        <w:t xml:space="preserve"> </w:t>
      </w:r>
      <w:r w:rsidRPr="0017657D">
        <w:t xml:space="preserve">The ability to minimise information asymmetry problems suggests that banks are unique compared to other sources of external finance </w:t>
      </w:r>
      <w:r w:rsidRPr="0017657D">
        <w:fldChar w:fldCharType="begin"/>
      </w:r>
      <w:r>
        <w:instrText xml:space="preserve"> ADDIN EN.CITE &lt;EndNote&gt;&lt;Cite&gt;&lt;Author&gt;Fama&lt;/Author&gt;&lt;Year&gt;1985&lt;/Year&gt;&lt;RecNum&gt;5&lt;/RecNum&gt;&lt;DisplayText&gt;(Fama 1985)&lt;/DisplayText&gt;&lt;record&gt;&lt;rec-number&gt;5&lt;/rec-number&gt;&lt;foreign-keys&gt;&lt;key app="EN" db-id="xpprp0f0rzw05ved0s9xwzaqtxz0v9sfawwv"&gt;5&lt;/key&gt;&lt;/foreign-keys&gt;&lt;ref-type name="Journal Article"&gt;17&lt;/ref-type&gt;&lt;contributors&gt;&lt;authors&gt;&lt;author&gt;Fama, Eugene F.&lt;/author&gt;&lt;/authors&gt;&lt;/contributors&gt;&lt;titles&gt;&lt;title&gt;What&amp;apos;s different about banks?&lt;/title&gt;&lt;secondary-title&gt;Journal of Monetary Economics&lt;/secondary-title&gt;&lt;/titles&gt;&lt;periodical&gt;&lt;full-title&gt;Journal of Monetary Economics&lt;/full-title&gt;&lt;/periodical&gt;&lt;pages&gt;29-39&lt;/pages&gt;&lt;volume&gt;15&lt;/volume&gt;&lt;number&gt;1&lt;/number&gt;&lt;dates&gt;&lt;year&gt;1985&lt;/year&gt;&lt;/dates&gt;&lt;isbn&gt;0304-3932&lt;/isbn&gt;&lt;urls&gt;&lt;related-urls&gt;&lt;url&gt;http://www.sciencedirect.com/science/article/pii/0304393285900510&lt;/url&gt;&lt;/related-urls&gt;&lt;/urls&gt;&lt;electronic-resource-num&gt;10.1016/0304-3932(85)90051-0&lt;/electronic-resource-num&gt;&lt;/record&gt;&lt;/Cite&gt;&lt;/EndNote&gt;</w:instrText>
      </w:r>
      <w:r w:rsidRPr="0017657D">
        <w:fldChar w:fldCharType="separate"/>
      </w:r>
      <w:r w:rsidRPr="0017657D">
        <w:rPr>
          <w:noProof/>
        </w:rPr>
        <w:t>(</w:t>
      </w:r>
      <w:hyperlink w:anchor="_ENREF_42" w:tooltip="Fama, 1985 #5" w:history="1">
        <w:r w:rsidRPr="0017657D">
          <w:rPr>
            <w:noProof/>
          </w:rPr>
          <w:t>Fama 1985</w:t>
        </w:r>
      </w:hyperlink>
      <w:r w:rsidRPr="0017657D">
        <w:rPr>
          <w:noProof/>
        </w:rPr>
        <w:t>)</w:t>
      </w:r>
      <w:r w:rsidRPr="0017657D">
        <w:fldChar w:fldCharType="end"/>
      </w:r>
      <w:r w:rsidRPr="0017657D">
        <w:t xml:space="preserve">. This is shown empirically as all other forms of security issuances and financing decisions are associated with negative or neutral share price response, examples include seasoned equity offerings </w:t>
      </w:r>
      <w:r w:rsidRPr="0017657D">
        <w:fldChar w:fldCharType="begin"/>
      </w:r>
      <w:r>
        <w:instrText xml:space="preserve"> ADDIN EN.CITE &lt;EndNote&gt;&lt;Cite&gt;&lt;Author&gt;Mikkelson&lt;/Author&gt;&lt;Year&gt;1986&lt;/Year&gt;&lt;RecNum&gt;3&lt;/RecNum&gt;&lt;DisplayText&gt;(Mikkelson &amp;amp; Partch 1986)&lt;/DisplayText&gt;&lt;record&gt;&lt;rec-number&gt;3&lt;/rec-number&gt;&lt;foreign-keys&gt;&lt;key app="EN" db-id="xpprp0f0rzw05ved0s9xwzaqtxz0v9sfawwv"&gt;3&lt;/key&gt;&lt;/foreign-keys&gt;&lt;ref-type name="Journal Article"&gt;17&lt;/ref-type&gt;&lt;contributors&gt;&lt;authors&gt;&lt;author&gt;Mikkelson, Wayne H.&lt;/author&gt;&lt;author&gt;Partch, M. Megan&lt;/author&gt;&lt;/authors&gt;&lt;/contributors&gt;&lt;titles&gt;&lt;title&gt;Valuation effects of security offerings and the issuance process&lt;/title&gt;&lt;secondary-title&gt;Journal of Financial Economics&lt;/secondary-title&gt;&lt;/titles&gt;&lt;periodical&gt;&lt;full-title&gt;Journal of Financial Economics&lt;/full-title&gt;&lt;/periodical&gt;&lt;pages&gt;31-60&lt;/pages&gt;&lt;volume&gt;15&lt;/volume&gt;&lt;number&gt;1–2&lt;/number&gt;&lt;keywords&gt;&lt;keyword&gt;Security Issuance Event Study&lt;/keyword&gt;&lt;/keywords&gt;&lt;dates&gt;&lt;year&gt;1986&lt;/year&gt;&lt;/dates&gt;&lt;isbn&gt;0304-405X&lt;/isbn&gt;&lt;urls&gt;&lt;related-urls&gt;&lt;url&gt;http://www.sciencedirect.com/science/article/pii/0304405X86900498&lt;/url&gt;&lt;/related-urls&gt;&lt;/urls&gt;&lt;electronic-resource-num&gt;10.1016/0304-405x(86)90049-8&lt;/electronic-resource-num&gt;&lt;access-date&gt;1986/2//&lt;/access-date&gt;&lt;/record&gt;&lt;/Cite&gt;&lt;/EndNote&gt;</w:instrText>
      </w:r>
      <w:r w:rsidRPr="0017657D">
        <w:fldChar w:fldCharType="separate"/>
      </w:r>
      <w:r w:rsidRPr="0017657D">
        <w:rPr>
          <w:noProof/>
        </w:rPr>
        <w:t>(</w:t>
      </w:r>
      <w:hyperlink w:anchor="_ENREF_78" w:tooltip="Mikkelson, 1986 #3" w:history="1">
        <w:r w:rsidRPr="0017657D">
          <w:rPr>
            <w:noProof/>
          </w:rPr>
          <w:t>Mikkelson &amp; Partch 1986</w:t>
        </w:r>
      </w:hyperlink>
      <w:r w:rsidRPr="0017657D">
        <w:rPr>
          <w:noProof/>
        </w:rPr>
        <w:t>)</w:t>
      </w:r>
      <w:r w:rsidRPr="0017657D">
        <w:fldChar w:fldCharType="end"/>
      </w:r>
      <w:r w:rsidRPr="0017657D">
        <w:t xml:space="preserve">, initial public offerings </w:t>
      </w:r>
      <w:r w:rsidRPr="0017657D">
        <w:fldChar w:fldCharType="begin"/>
      </w:r>
      <w:r>
        <w:instrText xml:space="preserve"> ADDIN EN.CITE &lt;EndNote&gt;&lt;Cite&gt;&lt;Author&gt;Loughran&lt;/Author&gt;&lt;Year&gt;1995&lt;/Year&gt;&lt;RecNum&gt;39&lt;/RecNum&gt;&lt;DisplayText&gt;(Loughran &amp;amp; Ritter 1995)&lt;/DisplayText&gt;&lt;record&gt;&lt;rec-number&gt;39&lt;/rec-number&gt;&lt;foreign-keys&gt;&lt;key app="EN" db-id="xpprp0f0rzw05ved0s9xwzaqtxz0v9sfawwv"&gt;39&lt;/key&gt;&lt;/foreign-keys&gt;&lt;ref-type name="Journal Article"&gt;17&lt;/ref-type&gt;&lt;contributors&gt;&lt;authors&gt;&lt;author&gt;Loughran, T. I. M.&lt;/author&gt;&lt;author&gt;Ritter, Jay R.&lt;/author&gt;&lt;/authors&gt;&lt;/contributors&gt;&lt;titles&gt;&lt;title&gt;The New Issues Puzzle&lt;/title&gt;&lt;secondary-title&gt;The Journal of Finance&lt;/secondary-title&gt;&lt;/titles&gt;&lt;periodical&gt;&lt;full-title&gt;The Journal of Finance&lt;/full-title&gt;&lt;/periodical&gt;&lt;pages&gt;23-51&lt;/pages&gt;&lt;volume&gt;50&lt;/volume&gt;&lt;number&gt;1&lt;/number&gt;&lt;dates&gt;&lt;year&gt;1995&lt;/year&gt;&lt;/dates&gt;&lt;publisher&gt;Blackwell Publishing Ltd&lt;/publisher&gt;&lt;isbn&gt;1540-6261&lt;/isbn&gt;&lt;urls&gt;&lt;related-urls&gt;&lt;url&gt;http://dx.doi.org/10.1111/j.1540-6261.1995.tb05166.x&lt;/url&gt;&lt;/related-urls&gt;&lt;/urls&gt;&lt;electronic-resource-num&gt;10.1111/j.1540-6261.1995.tb05166.x&lt;/electronic-resource-num&gt;&lt;/record&gt;&lt;/Cite&gt;&lt;/EndNote&gt;</w:instrText>
      </w:r>
      <w:r w:rsidRPr="0017657D">
        <w:fldChar w:fldCharType="separate"/>
      </w:r>
      <w:r w:rsidRPr="0017657D">
        <w:rPr>
          <w:noProof/>
        </w:rPr>
        <w:t>(</w:t>
      </w:r>
      <w:hyperlink w:anchor="_ENREF_70" w:tooltip="Loughran, 1995 #39" w:history="1">
        <w:r w:rsidRPr="0017657D">
          <w:rPr>
            <w:noProof/>
          </w:rPr>
          <w:t>Loughran &amp; Ritter 1995</w:t>
        </w:r>
      </w:hyperlink>
      <w:r w:rsidRPr="0017657D">
        <w:rPr>
          <w:noProof/>
        </w:rPr>
        <w:t>)</w:t>
      </w:r>
      <w:r w:rsidRPr="0017657D">
        <w:fldChar w:fldCharType="end"/>
      </w:r>
      <w:r w:rsidRPr="0017657D">
        <w:t xml:space="preserve">, share purchase plans </w:t>
      </w:r>
      <w:r w:rsidRPr="0017657D">
        <w:fldChar w:fldCharType="begin"/>
      </w:r>
      <w:r>
        <w:instrText xml:space="preserve"> ADDIN EN.CITE &lt;EndNote&gt;&lt;Cite&gt;&lt;Author&gt;Brown&lt;/Author&gt;&lt;Year&gt;2008&lt;/Year&gt;&lt;RecNum&gt;40&lt;/RecNum&gt;&lt;DisplayText&gt;(Brown&lt;style face="italic"&gt; et al.&lt;/style&gt; 2008)&lt;/DisplayText&gt;&lt;record&gt;&lt;rec-number&gt;40&lt;/rec-number&gt;&lt;foreign-keys&gt;&lt;key app="EN" db-id="xpprp0f0rzw05ved0s9xwzaqtxz0v9sfawwv"&gt;40&lt;/key&gt;&lt;/foreign-keys&gt;&lt;ref-type name="Journal Article"&gt;17&lt;/ref-type&gt;&lt;contributors&gt;&lt;authors&gt;&lt;author&gt;Brown, P.&lt;/author&gt;&lt;author&gt;Ferguson, A.&lt;/author&gt;&lt;author&gt;Stone, K.&lt;/author&gt;&lt;/authors&gt;&lt;/contributors&gt;&lt;titles&gt;&lt;title&gt;Share purchase plans in Australia: Issuer characteristics and valuation implications&lt;/title&gt;&lt;secondary-title&gt;Australian Journal of Management&lt;/secondary-title&gt;&lt;/titles&gt;&lt;periodical&gt;&lt;full-title&gt;Australian Journal of Management&lt;/full-title&gt;&lt;/periodical&gt;&lt;pages&gt;307-332&lt;/pages&gt;&lt;volume&gt;33&lt;/volume&gt;&lt;number&gt;2&lt;/number&gt;&lt;dates&gt;&lt;year&gt;2008&lt;/year&gt;&lt;/dates&gt;&lt;isbn&gt;0312-8962&lt;/isbn&gt;&lt;urls&gt;&lt;/urls&gt;&lt;/record&gt;&lt;/Cite&gt;&lt;/EndNote&gt;</w:instrText>
      </w:r>
      <w:r w:rsidRPr="0017657D">
        <w:fldChar w:fldCharType="separate"/>
      </w:r>
      <w:r w:rsidRPr="0017657D">
        <w:rPr>
          <w:noProof/>
        </w:rPr>
        <w:t>(</w:t>
      </w:r>
      <w:hyperlink w:anchor="_ENREF_21" w:tooltip="Brown, 2008 #40" w:history="1">
        <w:r w:rsidRPr="0017657D">
          <w:rPr>
            <w:noProof/>
          </w:rPr>
          <w:t>Brown et al. 2008</w:t>
        </w:r>
      </w:hyperlink>
      <w:r w:rsidRPr="0017657D">
        <w:rPr>
          <w:noProof/>
        </w:rPr>
        <w:t>)</w:t>
      </w:r>
      <w:r w:rsidRPr="0017657D">
        <w:fldChar w:fldCharType="end"/>
      </w:r>
      <w:r w:rsidRPr="0017657D">
        <w:t xml:space="preserve">, private placements of debt </w:t>
      </w:r>
      <w:r w:rsidRPr="0017657D">
        <w:fldChar w:fldCharType="begin"/>
      </w:r>
      <w:r>
        <w:instrText xml:space="preserve"> ADDIN EN.CITE &lt;EndNote&gt;&lt;Cite&gt;&lt;Author&gt;Mikkelson&lt;/Author&gt;&lt;Year&gt;1986&lt;/Year&gt;&lt;RecNum&gt;3&lt;/RecNum&gt;&lt;DisplayText&gt;(Mikkelson &amp;amp; Partch 1986)&lt;/DisplayText&gt;&lt;record&gt;&lt;rec-number&gt;3&lt;/rec-number&gt;&lt;foreign-keys&gt;&lt;key app="EN" db-id="xpprp0f0rzw05ved0s9xwzaqtxz0v9sfawwv"&gt;3&lt;/key&gt;&lt;/foreign-keys&gt;&lt;ref-type name="Journal Article"&gt;17&lt;/ref-type&gt;&lt;contributors&gt;&lt;authors&gt;&lt;author&gt;Mikkelson, Wayne H.&lt;/author&gt;&lt;author&gt;Partch, M. Megan&lt;/author&gt;&lt;/authors&gt;&lt;/contributors&gt;&lt;titles&gt;&lt;title&gt;Valuation effects of security offerings and the issuance process&lt;/title&gt;&lt;secondary-title&gt;Journal of Financial Economics&lt;/secondary-title&gt;&lt;/titles&gt;&lt;periodical&gt;&lt;full-title&gt;Journal of Financial Economics&lt;/full-title&gt;&lt;/periodical&gt;&lt;pages&gt;31-60&lt;/pages&gt;&lt;volume&gt;15&lt;/volume&gt;&lt;number&gt;1–2&lt;/number&gt;&lt;keywords&gt;&lt;keyword&gt;Security Issuance Event Study&lt;/keyword&gt;&lt;/keywords&gt;&lt;dates&gt;&lt;year&gt;1986&lt;/year&gt;&lt;/dates&gt;&lt;isbn&gt;0304-405X&lt;/isbn&gt;&lt;urls&gt;&lt;related-urls&gt;&lt;url&gt;http://www.sciencedirect.com/science/article/pii/0304405X86900498&lt;/url&gt;&lt;/related-urls&gt;&lt;/urls&gt;&lt;electronic-resource-num&gt;10.1016/0304-405x(86)90049-8&lt;/electronic-resource-num&gt;&lt;access-date&gt;1986/2//&lt;/access-date&gt;&lt;/record&gt;&lt;/Cite&gt;&lt;/EndNote&gt;</w:instrText>
      </w:r>
      <w:r w:rsidRPr="0017657D">
        <w:fldChar w:fldCharType="separate"/>
      </w:r>
      <w:r w:rsidRPr="0017657D">
        <w:rPr>
          <w:noProof/>
        </w:rPr>
        <w:t>(</w:t>
      </w:r>
      <w:hyperlink w:anchor="_ENREF_78" w:tooltip="Mikkelson, 1986 #3" w:history="1">
        <w:r w:rsidRPr="0017657D">
          <w:rPr>
            <w:noProof/>
          </w:rPr>
          <w:t>Mikkelson &amp; Partch 1986</w:t>
        </w:r>
      </w:hyperlink>
      <w:r w:rsidRPr="0017657D">
        <w:rPr>
          <w:noProof/>
        </w:rPr>
        <w:t>)</w:t>
      </w:r>
      <w:r w:rsidRPr="0017657D">
        <w:fldChar w:fldCharType="end"/>
      </w:r>
      <w:r w:rsidRPr="0017657D">
        <w:t xml:space="preserve"> and bond issues </w:t>
      </w:r>
      <w:r w:rsidRPr="0017657D">
        <w:fldChar w:fldCharType="begin"/>
      </w:r>
      <w:r>
        <w:instrText xml:space="preserve"> ADDIN EN.CITE &lt;EndNote&gt;&lt;Cite&gt;&lt;Author&gt;Spiess&lt;/Author&gt;&lt;Year&gt;1999&lt;/Year&gt;&lt;RecNum&gt;41&lt;/RecNum&gt;&lt;DisplayText&gt;(Spiess &amp;amp; Affleck-Graves 1999)&lt;/DisplayText&gt;&lt;record&gt;&lt;rec-number&gt;41&lt;/rec-number&gt;&lt;foreign-keys&gt;&lt;key app="EN" db-id="xpprp0f0rzw05ved0s9xwzaqtxz0v9sfawwv"&gt;41&lt;/key&gt;&lt;/foreign-keys&gt;&lt;ref-type name="Journal Article"&gt;17&lt;/ref-type&gt;&lt;contributors&gt;&lt;authors&gt;&lt;author&gt;Spiess, D.K.&lt;/author&gt;&lt;author&gt;Affleck-Graves, J.&lt;/author&gt;&lt;/authors&gt;&lt;/contributors&gt;&lt;titles&gt;&lt;title&gt;The long-run performance of stock returns following debt offerings&lt;/title&gt;&lt;secondary-title&gt;Journal of Financial Economics&lt;/secondary-title&gt;&lt;/titles&gt;&lt;periodical&gt;&lt;full-title&gt;Journal of Financial Economics&lt;/full-title&gt;&lt;/periodical&gt;&lt;pages&gt;45-73&lt;/pages&gt;&lt;volume&gt;54&lt;/volume&gt;&lt;number&gt;1&lt;/number&gt;&lt;dates&gt;&lt;year&gt;1999&lt;/year&gt;&lt;/dates&gt;&lt;isbn&gt;0304-405X&lt;/isbn&gt;&lt;urls&gt;&lt;/urls&gt;&lt;/record&gt;&lt;/Cite&gt;&lt;/EndNote&gt;</w:instrText>
      </w:r>
      <w:r w:rsidRPr="0017657D">
        <w:fldChar w:fldCharType="separate"/>
      </w:r>
      <w:r w:rsidRPr="0017657D">
        <w:rPr>
          <w:noProof/>
        </w:rPr>
        <w:t>(</w:t>
      </w:r>
      <w:hyperlink w:anchor="_ENREF_96" w:tooltip="Spiess, 1999 #41" w:history="1">
        <w:r w:rsidRPr="0017657D">
          <w:rPr>
            <w:noProof/>
          </w:rPr>
          <w:t>Spiess &amp; Affleck-Graves 1999</w:t>
        </w:r>
      </w:hyperlink>
      <w:r w:rsidRPr="0017657D">
        <w:rPr>
          <w:noProof/>
        </w:rPr>
        <w:t>)</w:t>
      </w:r>
      <w:r w:rsidRPr="0017657D">
        <w:fldChar w:fldCharType="end"/>
      </w:r>
      <w:r w:rsidRPr="0017657D">
        <w:t>.</w:t>
      </w:r>
    </w:p>
  </w:footnote>
  <w:footnote w:id="2">
    <w:p w:rsidR="00EB17C4" w:rsidRDefault="00EB17C4">
      <w:pPr>
        <w:pStyle w:val="FootnoteText"/>
      </w:pPr>
      <w:r>
        <w:rPr>
          <w:rStyle w:val="FootnoteReference"/>
        </w:rPr>
        <w:footnoteRef/>
      </w:r>
      <w:r>
        <w:t xml:space="preserve"> An example of a lender requiring a position on the board of directors is shown when Matrix Metals Limited announced the required to appoint a representative to the board of directors as a condition of their $10 million loan.</w:t>
      </w:r>
    </w:p>
  </w:footnote>
  <w:footnote w:id="3">
    <w:p w:rsidR="00EB17C4" w:rsidRPr="000405DA" w:rsidRDefault="00EB17C4" w:rsidP="000405DA">
      <w:pPr>
        <w:spacing w:after="0" w:line="240" w:lineRule="auto"/>
        <w:ind w:firstLine="0"/>
        <w:rPr>
          <w:sz w:val="20"/>
          <w:szCs w:val="20"/>
        </w:rPr>
      </w:pPr>
      <w:r w:rsidRPr="000405DA">
        <w:rPr>
          <w:rStyle w:val="FootnoteReference"/>
          <w:sz w:val="20"/>
          <w:szCs w:val="20"/>
        </w:rPr>
        <w:footnoteRef/>
      </w:r>
      <w:r w:rsidRPr="000405DA">
        <w:rPr>
          <w:sz w:val="20"/>
          <w:szCs w:val="20"/>
        </w:rPr>
        <w:t xml:space="preserve"> </w:t>
      </w:r>
      <w:r w:rsidRPr="000405DA">
        <w:rPr>
          <w:rFonts w:cs="Times New Roman"/>
          <w:sz w:val="20"/>
          <w:szCs w:val="20"/>
        </w:rPr>
        <w:t xml:space="preserve">Prior studies </w:t>
      </w:r>
      <w:r w:rsidRPr="00491E38">
        <w:rPr>
          <w:rFonts w:cs="Times New Roman"/>
          <w:sz w:val="20"/>
          <w:szCs w:val="20"/>
        </w:rPr>
        <w:t>examine</w:t>
      </w:r>
      <w:r w:rsidRPr="000405DA">
        <w:rPr>
          <w:rFonts w:cs="Times New Roman"/>
          <w:sz w:val="20"/>
          <w:szCs w:val="20"/>
        </w:rPr>
        <w:t xml:space="preserve"> the information content of </w:t>
      </w:r>
      <w:r>
        <w:rPr>
          <w:rFonts w:cs="Times New Roman"/>
          <w:sz w:val="20"/>
          <w:szCs w:val="20"/>
        </w:rPr>
        <w:t>‘</w:t>
      </w:r>
      <w:r w:rsidRPr="000405DA">
        <w:rPr>
          <w:rFonts w:cs="Times New Roman"/>
          <w:sz w:val="20"/>
          <w:szCs w:val="20"/>
        </w:rPr>
        <w:t>new</w:t>
      </w:r>
      <w:r>
        <w:rPr>
          <w:rFonts w:cs="Times New Roman"/>
          <w:sz w:val="20"/>
          <w:szCs w:val="20"/>
        </w:rPr>
        <w:t>’</w:t>
      </w:r>
      <w:r w:rsidRPr="000405DA">
        <w:rPr>
          <w:rFonts w:cs="Times New Roman"/>
          <w:sz w:val="20"/>
          <w:szCs w:val="20"/>
        </w:rPr>
        <w:t xml:space="preserve"> loans and loan renewals, but not loan initiations. </w:t>
      </w:r>
      <w:r>
        <w:rPr>
          <w:sz w:val="20"/>
          <w:szCs w:val="20"/>
        </w:rPr>
        <w:t xml:space="preserve">For example, </w:t>
      </w:r>
      <w:r w:rsidRPr="000405DA">
        <w:rPr>
          <w:sz w:val="20"/>
          <w:szCs w:val="20"/>
        </w:rPr>
        <w:fldChar w:fldCharType="begin"/>
      </w:r>
      <w:r w:rsidRPr="000405DA">
        <w:rPr>
          <w:sz w:val="20"/>
          <w:szCs w:val="20"/>
        </w:rPr>
        <w:instrText xml:space="preserve"> ADDIN EN.CITE &lt;EndNote&gt;&lt;Cite AuthorYear="1"&gt;&lt;Author&gt;Lummer&lt;/Author&gt;&lt;Year&gt;1989&lt;/Year&gt;&lt;RecNum&gt;4&lt;/RecNum&gt;&lt;DisplayText&gt;Lummer and McConnell (1989)&lt;/DisplayText&gt;&lt;record&gt;&lt;rec-number&gt;4&lt;/rec-number&gt;&lt;foreign-keys&gt;&lt;key app="EN" db-id="xpprp0f0rzw05ved0s9xwzaqtxz0v9sfawwv"&gt;4&lt;/key&gt;&lt;/foreign-keys&gt;&lt;ref-type name="Journal Article"&gt;17&lt;/ref-type&gt;&lt;contributors&gt;&lt;authors&gt;&lt;author&gt;Lummer, Scott L.&lt;/author&gt;&lt;author&gt;McConnell, John J.&lt;/author&gt;&lt;/authors&gt;&lt;/contributors&gt;&lt;titles&gt;&lt;title&gt;Further evidence on the bank lending process and the capital-market response to bank loan agreements&lt;/title&gt;&lt;secondary-title&gt;Journal of Financial Economics&lt;/secondary-title&gt;&lt;/titles&gt;&lt;periodical&gt;&lt;full-title&gt;Journal of Financial Economics&lt;/full-title&gt;&lt;/periodical&gt;&lt;pages&gt;99-122&lt;/pages&gt;&lt;volume&gt;25&lt;/volume&gt;&lt;number&gt;1&lt;/number&gt;&lt;keywords&gt;&lt;keyword&gt;Bank Loans Event Study&lt;/keyword&gt;&lt;/keywords&gt;&lt;dates&gt;&lt;year&gt;1989&lt;/year&gt;&lt;/dates&gt;&lt;isbn&gt;0304-405X&lt;/isbn&gt;&lt;urls&gt;&lt;related-urls&gt;&lt;url&gt;http://www.sciencedirect.com/science/article/pii/0304405X89900986&lt;/url&gt;&lt;/related-urls&gt;&lt;/urls&gt;&lt;electronic-resource-num&gt;10.1016/0304-405x(89)90098-6&lt;/electronic-resource-num&gt;&lt;/record&gt;&lt;/Cite&gt;&lt;/EndNote&gt;</w:instrText>
      </w:r>
      <w:r w:rsidRPr="000405DA">
        <w:rPr>
          <w:sz w:val="20"/>
          <w:szCs w:val="20"/>
        </w:rPr>
        <w:fldChar w:fldCharType="separate"/>
      </w:r>
      <w:hyperlink w:anchor="_ENREF_71" w:tooltip="Lummer, 1989 #4" w:history="1">
        <w:r w:rsidRPr="000405DA">
          <w:rPr>
            <w:noProof/>
            <w:sz w:val="20"/>
            <w:szCs w:val="20"/>
          </w:rPr>
          <w:t>Lummer and McConnell (1989</w:t>
        </w:r>
      </w:hyperlink>
      <w:r w:rsidRPr="000405DA">
        <w:rPr>
          <w:noProof/>
          <w:sz w:val="20"/>
          <w:szCs w:val="20"/>
        </w:rPr>
        <w:t>)</w:t>
      </w:r>
      <w:r w:rsidRPr="000405DA">
        <w:rPr>
          <w:sz w:val="20"/>
          <w:szCs w:val="20"/>
        </w:rPr>
        <w:fldChar w:fldCharType="end"/>
      </w:r>
      <w:r w:rsidRPr="000405DA">
        <w:rPr>
          <w:sz w:val="20"/>
          <w:szCs w:val="20"/>
        </w:rPr>
        <w:t xml:space="preserve"> classify a new loan as a firm that arranges a loan with a new bank that they have no previous loan from, stating;</w:t>
      </w:r>
    </w:p>
    <w:p w:rsidR="00EB17C4" w:rsidRPr="000405DA" w:rsidRDefault="00EB17C4" w:rsidP="000405DA">
      <w:pPr>
        <w:autoSpaceDE w:val="0"/>
        <w:autoSpaceDN w:val="0"/>
        <w:adjustRightInd w:val="0"/>
        <w:spacing w:after="0" w:line="240" w:lineRule="auto"/>
        <w:ind w:firstLine="0"/>
        <w:rPr>
          <w:sz w:val="20"/>
          <w:szCs w:val="20"/>
        </w:rPr>
      </w:pPr>
      <w:r w:rsidRPr="000405DA">
        <w:rPr>
          <w:i/>
          <w:sz w:val="20"/>
          <w:szCs w:val="20"/>
        </w:rPr>
        <w:t>“Except for five cases, all of the firms in our sample that announce new credit agreements had some prior bank financing in place, albeit with a different bank</w:t>
      </w:r>
      <w:r w:rsidRPr="000405DA">
        <w:rPr>
          <w:sz w:val="20"/>
          <w:szCs w:val="20"/>
        </w:rPr>
        <w:t xml:space="preserve">”. </w:t>
      </w:r>
    </w:p>
    <w:p w:rsidR="00EB17C4" w:rsidRPr="000405DA" w:rsidRDefault="00EB17C4" w:rsidP="000405DA">
      <w:pPr>
        <w:autoSpaceDE w:val="0"/>
        <w:autoSpaceDN w:val="0"/>
        <w:adjustRightInd w:val="0"/>
        <w:spacing w:after="0" w:line="240" w:lineRule="auto"/>
        <w:ind w:firstLine="0"/>
        <w:rPr>
          <w:sz w:val="20"/>
          <w:szCs w:val="20"/>
        </w:rPr>
      </w:pPr>
      <w:r w:rsidRPr="000405DA">
        <w:rPr>
          <w:sz w:val="20"/>
          <w:szCs w:val="20"/>
        </w:rPr>
        <w:t>This</w:t>
      </w:r>
      <w:r>
        <w:rPr>
          <w:sz w:val="20"/>
          <w:szCs w:val="20"/>
        </w:rPr>
        <w:t xml:space="preserve"> approach</w:t>
      </w:r>
      <w:r w:rsidRPr="000405DA">
        <w:rPr>
          <w:sz w:val="20"/>
          <w:szCs w:val="20"/>
        </w:rPr>
        <w:t xml:space="preserve"> was adopted in following studies such as in </w:t>
      </w:r>
      <w:r w:rsidRPr="000405DA">
        <w:rPr>
          <w:sz w:val="20"/>
          <w:szCs w:val="20"/>
        </w:rPr>
        <w:fldChar w:fldCharType="begin"/>
      </w:r>
      <w:r w:rsidRPr="000405DA">
        <w:rPr>
          <w:sz w:val="20"/>
          <w:szCs w:val="20"/>
        </w:rPr>
        <w:instrText xml:space="preserve"> ADDIN EN.CITE &lt;EndNote&gt;&lt;Cite AuthorYear="1"&gt;&lt;Author&gt;Slovin&lt;/Author&gt;&lt;Year&gt;1992&lt;/Year&gt;&lt;RecNum&gt;6&lt;/RecNum&gt;&lt;DisplayText&gt;Slovin&lt;style face="italic"&gt; et al.&lt;/style&gt; (1992)&lt;/DisplayText&gt;&lt;record&gt;&lt;rec-number&gt;6&lt;/rec-number&gt;&lt;foreign-keys&gt;&lt;key app="EN" db-id="xpprp0f0rzw05ved0s9xwzaqtxz0v9sfawwv"&gt;6&lt;/key&gt;&lt;/foreign-keys&gt;&lt;ref-type name="Journal Article"&gt;17&lt;/ref-type&gt;&lt;contributors&gt;&lt;authors&gt;&lt;author&gt;Slovin, Myron B.&lt;/author&gt;&lt;author&gt;Johnson, Shane A.&lt;/author&gt;&lt;author&gt;Glascock, John L.&lt;/author&gt;&lt;/authors&gt;&lt;/contributors&gt;&lt;titles&gt;&lt;title&gt;Firm size and the information content of bank loan announcements&lt;/title&gt;&lt;secondary-title&gt;Journal of Banking &amp;amp; Finance&lt;/secondary-title&gt;&lt;/titles&gt;&lt;periodical&gt;&lt;full-title&gt;Journal of Banking &amp;amp; Finance&lt;/full-title&gt;&lt;/periodical&gt;&lt;pages&gt;1057-1071&lt;/pages&gt;&lt;volume&gt;16&lt;/volume&gt;&lt;number&gt;6&lt;/number&gt;&lt;keywords&gt;&lt;keyword&gt;Bank Loans Event Study&lt;/keyword&gt;&lt;/keywords&gt;&lt;dates&gt;&lt;year&gt;1992&lt;/year&gt;&lt;/dates&gt;&lt;isbn&gt;0378-4266&lt;/isbn&gt;&lt;urls&gt;&lt;related-urls&gt;&lt;url&gt;http://www.sciencedirect.com/science/article/pii/0378426692900599&lt;/url&gt;&lt;/related-urls&gt;&lt;/urls&gt;&lt;electronic-resource-num&gt;10.1016/0378-4266(92)90059-9&lt;/electronic-resource-num&gt;&lt;/record&gt;&lt;/Cite&gt;&lt;/EndNote&gt;</w:instrText>
      </w:r>
      <w:r w:rsidRPr="000405DA">
        <w:rPr>
          <w:sz w:val="20"/>
          <w:szCs w:val="20"/>
        </w:rPr>
        <w:fldChar w:fldCharType="separate"/>
      </w:r>
      <w:hyperlink w:anchor="_ENREF_91" w:tooltip="Slovin, 1992 #6" w:history="1">
        <w:r w:rsidRPr="000405DA">
          <w:rPr>
            <w:noProof/>
            <w:sz w:val="20"/>
            <w:szCs w:val="20"/>
          </w:rPr>
          <w:t>Slovin et al. (1992</w:t>
        </w:r>
      </w:hyperlink>
      <w:r w:rsidRPr="000405DA">
        <w:rPr>
          <w:noProof/>
          <w:sz w:val="20"/>
          <w:szCs w:val="20"/>
        </w:rPr>
        <w:t>)</w:t>
      </w:r>
      <w:r w:rsidRPr="000405DA">
        <w:rPr>
          <w:sz w:val="20"/>
          <w:szCs w:val="20"/>
        </w:rPr>
        <w:fldChar w:fldCharType="end"/>
      </w:r>
      <w:r w:rsidRPr="000405DA">
        <w:rPr>
          <w:sz w:val="20"/>
          <w:szCs w:val="20"/>
        </w:rPr>
        <w:t xml:space="preserve"> who state;</w:t>
      </w:r>
    </w:p>
    <w:p w:rsidR="00EB17C4" w:rsidRDefault="00EB17C4">
      <w:pPr>
        <w:pStyle w:val="FootnoteText"/>
      </w:pPr>
      <w:r w:rsidRPr="002C4C9A">
        <w:t>“</w:t>
      </w:r>
      <w:r w:rsidRPr="00632F0B">
        <w:rPr>
          <w:i/>
        </w:rPr>
        <w:t>New credit agreements with new banks are classified as initiations, even if other bank debt may exist.</w:t>
      </w:r>
      <w:r w:rsidRPr="002C4C9A">
        <w:t>”</w:t>
      </w:r>
    </w:p>
  </w:footnote>
  <w:footnote w:id="4">
    <w:p w:rsidR="00EB17C4" w:rsidRPr="000405DA" w:rsidRDefault="00EB17C4" w:rsidP="000405DA">
      <w:pPr>
        <w:spacing w:line="240" w:lineRule="auto"/>
        <w:ind w:firstLine="0"/>
        <w:rPr>
          <w:rFonts w:cs="Times New Roman"/>
          <w:sz w:val="20"/>
          <w:szCs w:val="20"/>
        </w:rPr>
      </w:pPr>
      <w:r w:rsidRPr="000405DA">
        <w:rPr>
          <w:rStyle w:val="FootnoteReference"/>
          <w:sz w:val="20"/>
          <w:szCs w:val="20"/>
        </w:rPr>
        <w:footnoteRef/>
      </w:r>
      <w:r w:rsidRPr="000405DA">
        <w:rPr>
          <w:sz w:val="20"/>
          <w:szCs w:val="20"/>
        </w:rPr>
        <w:t xml:space="preserve"> </w:t>
      </w:r>
      <w:r>
        <w:rPr>
          <w:sz w:val="20"/>
          <w:szCs w:val="20"/>
        </w:rPr>
        <w:t xml:space="preserve">We </w:t>
      </w:r>
      <w:r w:rsidRPr="000405DA">
        <w:rPr>
          <w:sz w:val="20"/>
          <w:szCs w:val="20"/>
        </w:rPr>
        <w:t>note the di</w:t>
      </w:r>
      <w:r>
        <w:rPr>
          <w:sz w:val="20"/>
          <w:szCs w:val="20"/>
        </w:rPr>
        <w:t>stinction</w:t>
      </w:r>
      <w:r w:rsidRPr="000405DA">
        <w:rPr>
          <w:sz w:val="20"/>
          <w:szCs w:val="20"/>
        </w:rPr>
        <w:t xml:space="preserve"> between a </w:t>
      </w:r>
      <w:r>
        <w:rPr>
          <w:sz w:val="20"/>
          <w:szCs w:val="20"/>
        </w:rPr>
        <w:t>‘</w:t>
      </w:r>
      <w:r w:rsidRPr="000405DA">
        <w:rPr>
          <w:sz w:val="20"/>
          <w:szCs w:val="20"/>
        </w:rPr>
        <w:t>new</w:t>
      </w:r>
      <w:r>
        <w:rPr>
          <w:sz w:val="20"/>
          <w:szCs w:val="20"/>
        </w:rPr>
        <w:t>’</w:t>
      </w:r>
      <w:r w:rsidRPr="000405DA">
        <w:rPr>
          <w:sz w:val="20"/>
          <w:szCs w:val="20"/>
        </w:rPr>
        <w:t xml:space="preserve"> loan </w:t>
      </w:r>
      <w:r>
        <w:rPr>
          <w:sz w:val="20"/>
          <w:szCs w:val="20"/>
        </w:rPr>
        <w:t xml:space="preserve">as described in the literature to date </w:t>
      </w:r>
      <w:r w:rsidRPr="000405DA">
        <w:rPr>
          <w:sz w:val="20"/>
          <w:szCs w:val="20"/>
        </w:rPr>
        <w:t xml:space="preserve">and a </w:t>
      </w:r>
      <w:r>
        <w:rPr>
          <w:sz w:val="20"/>
          <w:szCs w:val="20"/>
        </w:rPr>
        <w:t>‘</w:t>
      </w:r>
      <w:r w:rsidRPr="000405DA">
        <w:rPr>
          <w:sz w:val="20"/>
          <w:szCs w:val="20"/>
        </w:rPr>
        <w:t>loan initiation</w:t>
      </w:r>
      <w:r>
        <w:rPr>
          <w:sz w:val="20"/>
          <w:szCs w:val="20"/>
        </w:rPr>
        <w:t>’</w:t>
      </w:r>
      <w:r w:rsidRPr="000405DA">
        <w:rPr>
          <w:sz w:val="20"/>
          <w:szCs w:val="20"/>
        </w:rPr>
        <w:t xml:space="preserve"> </w:t>
      </w:r>
      <w:r>
        <w:rPr>
          <w:sz w:val="20"/>
          <w:szCs w:val="20"/>
        </w:rPr>
        <w:t xml:space="preserve">as we define it </w:t>
      </w:r>
      <w:r w:rsidRPr="000405DA">
        <w:rPr>
          <w:sz w:val="20"/>
          <w:szCs w:val="20"/>
        </w:rPr>
        <w:t xml:space="preserve">may influence results and conclusions of prior papers. Theory predicts bank loan announcements will signal value to outsiders when there are few other intermediaries and information asymmetry is high </w:t>
      </w:r>
      <w:r w:rsidRPr="000405DA">
        <w:rPr>
          <w:sz w:val="20"/>
          <w:szCs w:val="20"/>
        </w:rPr>
        <w:fldChar w:fldCharType="begin"/>
      </w:r>
      <w:r w:rsidRPr="000405DA">
        <w:rPr>
          <w:sz w:val="20"/>
          <w:szCs w:val="20"/>
        </w:rPr>
        <w:instrText xml:space="preserve"> ADDIN EN.CITE &lt;EndNote&gt;&lt;Cite&gt;&lt;Author&gt;Boyd&lt;/Author&gt;&lt;Year&gt;1986&lt;/Year&gt;&lt;RecNum&gt;31&lt;/RecNum&gt;&lt;DisplayText&gt;(Diamond 1984; Boyd &amp;amp; Prescott 1986)&lt;/DisplayText&gt;&lt;record&gt;&lt;rec-number&gt;31&lt;/rec-number&gt;&lt;foreign-keys&gt;&lt;key app="EN" db-id="xpprp0f0rzw05ved0s9xwzaqtxz0v9sfawwv"&gt;31&lt;/key&gt;&lt;/foreign-keys&gt;&lt;ref-type name="Journal Article"&gt;17&lt;/ref-type&gt;&lt;contributors&gt;&lt;authors&gt;&lt;author&gt;Boyd, J.H.&lt;/author&gt;&lt;author&gt;Prescott, E.C.&lt;/author&gt;&lt;/authors&gt;&lt;/contributors&gt;&lt;titles&gt;&lt;title&gt;Financial intermediary-coalitions&lt;/title&gt;&lt;secondary-title&gt;Journal of Economic Theory&lt;/secondary-title&gt;&lt;/titles&gt;&lt;periodical&gt;&lt;full-title&gt;Journal of Economic Theory&lt;/full-title&gt;&lt;/periodical&gt;&lt;pages&gt;211-232&lt;/pages&gt;&lt;volume&gt;38&lt;/volume&gt;&lt;number&gt;2&lt;/number&gt;&lt;dates&gt;&lt;year&gt;1986&lt;/year&gt;&lt;/dates&gt;&lt;isbn&gt;0022-0531&lt;/isbn&gt;&lt;urls&gt;&lt;/urls&gt;&lt;/record&gt;&lt;/Cite&gt;&lt;Cite&gt;&lt;Author&gt;Diamond&lt;/Author&gt;&lt;Year&gt;1984&lt;/Year&gt;&lt;RecNum&gt;7&lt;/RecNum&gt;&lt;record&gt;&lt;rec-number&gt;7&lt;/rec-number&gt;&lt;foreign-keys&gt;&lt;key app="EN" db-id="xpprp0f0rzw05ved0s9xwzaqtxz0v9sfawwv"&gt;7&lt;/key&gt;&lt;/foreign-keys&gt;&lt;ref-type name="Journal Article"&gt;17&lt;/ref-type&gt;&lt;contributors&gt;&lt;authors&gt;&lt;author&gt;Diamond, Douglas W.&lt;/author&gt;&lt;/authors&gt;&lt;/contributors&gt;&lt;titles&gt;&lt;title&gt;Financial Intermediation and Delegated Monitoring&lt;/title&gt;&lt;secondary-title&gt;The Review of Economic Studies&lt;/secondary-title&gt;&lt;/titles&gt;&lt;periodical&gt;&lt;full-title&gt;The Review of Economic Studies&lt;/full-title&gt;&lt;/periodical&gt;&lt;pages&gt;393-414&lt;/pages&gt;&lt;volume&gt;51&lt;/volume&gt;&lt;number&gt;3&lt;/number&gt;&lt;dates&gt;&lt;year&gt;1984&lt;/year&gt;&lt;/dates&gt;&lt;publisher&gt;Oxford University Press&lt;/publisher&gt;&lt;isbn&gt;00346527&lt;/isbn&gt;&lt;urls&gt;&lt;related-urls&gt;&lt;url&gt;http://www.jstor.org/stable/2297430&lt;/url&gt;&lt;/related-urls&gt;&lt;/urls&gt;&lt;/record&gt;&lt;/Cite&gt;&lt;/EndNote&gt;</w:instrText>
      </w:r>
      <w:r w:rsidRPr="000405DA">
        <w:rPr>
          <w:sz w:val="20"/>
          <w:szCs w:val="20"/>
        </w:rPr>
        <w:fldChar w:fldCharType="separate"/>
      </w:r>
      <w:r w:rsidRPr="000405DA">
        <w:rPr>
          <w:noProof/>
          <w:sz w:val="20"/>
          <w:szCs w:val="20"/>
        </w:rPr>
        <w:t>(</w:t>
      </w:r>
      <w:hyperlink w:anchor="_ENREF_36" w:tooltip="Diamond, 1984 #7" w:history="1">
        <w:r w:rsidRPr="000405DA">
          <w:rPr>
            <w:noProof/>
            <w:sz w:val="20"/>
            <w:szCs w:val="20"/>
          </w:rPr>
          <w:t>Diamond 1984</w:t>
        </w:r>
      </w:hyperlink>
      <w:r w:rsidRPr="000405DA">
        <w:rPr>
          <w:noProof/>
          <w:sz w:val="20"/>
          <w:szCs w:val="20"/>
        </w:rPr>
        <w:t xml:space="preserve">; </w:t>
      </w:r>
      <w:hyperlink w:anchor="_ENREF_18" w:tooltip="Boyd, 1986 #31" w:history="1">
        <w:r w:rsidRPr="000405DA">
          <w:rPr>
            <w:noProof/>
            <w:sz w:val="20"/>
            <w:szCs w:val="20"/>
          </w:rPr>
          <w:t>Boyd &amp; Prescott 1986</w:t>
        </w:r>
      </w:hyperlink>
      <w:r w:rsidRPr="000405DA">
        <w:rPr>
          <w:noProof/>
          <w:sz w:val="20"/>
          <w:szCs w:val="20"/>
        </w:rPr>
        <w:t>)</w:t>
      </w:r>
      <w:r w:rsidRPr="000405DA">
        <w:rPr>
          <w:sz w:val="20"/>
          <w:szCs w:val="20"/>
        </w:rPr>
        <w:fldChar w:fldCharType="end"/>
      </w:r>
      <w:r w:rsidRPr="000405DA">
        <w:rPr>
          <w:sz w:val="20"/>
          <w:szCs w:val="20"/>
        </w:rPr>
        <w:t>. In prior samples, the borro</w:t>
      </w:r>
      <w:r>
        <w:rPr>
          <w:sz w:val="20"/>
          <w:szCs w:val="20"/>
        </w:rPr>
        <w:t>wer</w:t>
      </w:r>
      <w:r w:rsidRPr="000405DA">
        <w:rPr>
          <w:sz w:val="20"/>
          <w:szCs w:val="20"/>
        </w:rPr>
        <w:t xml:space="preserve"> already had </w:t>
      </w:r>
      <w:r>
        <w:rPr>
          <w:sz w:val="20"/>
          <w:szCs w:val="20"/>
        </w:rPr>
        <w:t xml:space="preserve">existing </w:t>
      </w:r>
      <w:r w:rsidRPr="000405DA">
        <w:rPr>
          <w:sz w:val="20"/>
          <w:szCs w:val="20"/>
        </w:rPr>
        <w:t xml:space="preserve">bank </w:t>
      </w:r>
      <w:r>
        <w:rPr>
          <w:sz w:val="20"/>
          <w:szCs w:val="20"/>
        </w:rPr>
        <w:t xml:space="preserve">debt. </w:t>
      </w:r>
      <w:r w:rsidRPr="000405DA">
        <w:rPr>
          <w:sz w:val="20"/>
          <w:szCs w:val="20"/>
        </w:rPr>
        <w:t xml:space="preserve">When a new bank loan is announced with another bank, the new bank duplicates the initial banks screening and monitoring, with little extra information signalled to the market. The result that banks possess no informational advantage at the beginning of a loan </w:t>
      </w:r>
      <w:r w:rsidRPr="000405DA">
        <w:rPr>
          <w:sz w:val="20"/>
          <w:szCs w:val="20"/>
        </w:rPr>
        <w:fldChar w:fldCharType="begin">
          <w:fldData xml:space="preserve">PEVuZE5vdGU+PENpdGU+PEF1dGhvcj5MdW1tZXI8L0F1dGhvcj48WWVhcj4xOTg5PC9ZZWFyPjxS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</w:fldData>
        </w:fldChar>
      </w:r>
      <w:r w:rsidRPr="000405DA">
        <w:rPr>
          <w:sz w:val="20"/>
          <w:szCs w:val="20"/>
        </w:rPr>
        <w:instrText xml:space="preserve"> ADDIN EN.CITE </w:instrText>
      </w:r>
      <w:r w:rsidRPr="000405DA">
        <w:rPr>
          <w:sz w:val="20"/>
          <w:szCs w:val="20"/>
        </w:rPr>
        <w:fldChar w:fldCharType="begin">
          <w:fldData xml:space="preserve">PEVuZE5vdGU+PENpdGU+PEF1dGhvcj5MdW1tZXI8L0F1dGhvcj48WWVhcj4xOTg5PC9ZZWFyPjxS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</w:fldData>
        </w:fldChar>
      </w:r>
      <w:r w:rsidRPr="000405DA">
        <w:rPr>
          <w:sz w:val="20"/>
          <w:szCs w:val="20"/>
        </w:rPr>
        <w:instrText xml:space="preserve"> ADDIN EN.CITE.DATA </w:instrText>
      </w:r>
      <w:r w:rsidRPr="000405DA">
        <w:rPr>
          <w:sz w:val="20"/>
          <w:szCs w:val="20"/>
        </w:rPr>
      </w:r>
      <w:r w:rsidRPr="000405DA">
        <w:rPr>
          <w:sz w:val="20"/>
          <w:szCs w:val="20"/>
        </w:rPr>
        <w:fldChar w:fldCharType="end"/>
      </w:r>
      <w:r w:rsidRPr="000405DA">
        <w:rPr>
          <w:sz w:val="20"/>
          <w:szCs w:val="20"/>
        </w:rPr>
      </w:r>
      <w:r w:rsidRPr="000405DA">
        <w:rPr>
          <w:sz w:val="20"/>
          <w:szCs w:val="20"/>
        </w:rPr>
        <w:fldChar w:fldCharType="separate"/>
      </w:r>
      <w:r w:rsidRPr="000405DA">
        <w:rPr>
          <w:noProof/>
          <w:sz w:val="20"/>
          <w:szCs w:val="20"/>
        </w:rPr>
        <w:t>(</w:t>
      </w:r>
      <w:hyperlink w:anchor="_ENREF_71" w:tooltip="Lummer, 1989 #4" w:history="1">
        <w:r w:rsidRPr="000405DA">
          <w:rPr>
            <w:noProof/>
            <w:sz w:val="20"/>
            <w:szCs w:val="20"/>
          </w:rPr>
          <w:t>Lummer &amp; McConnell 1989</w:t>
        </w:r>
      </w:hyperlink>
      <w:r w:rsidRPr="000405DA">
        <w:rPr>
          <w:noProof/>
          <w:sz w:val="20"/>
          <w:szCs w:val="20"/>
        </w:rPr>
        <w:t xml:space="preserve">; </w:t>
      </w:r>
      <w:hyperlink w:anchor="_ENREF_91" w:tooltip="Slovin, 1992 #6" w:history="1">
        <w:r w:rsidRPr="000405DA">
          <w:rPr>
            <w:noProof/>
            <w:sz w:val="20"/>
            <w:szCs w:val="20"/>
          </w:rPr>
          <w:t>Slovin</w:t>
        </w:r>
        <w:r w:rsidRPr="000405DA">
          <w:rPr>
            <w:i/>
            <w:noProof/>
            <w:sz w:val="20"/>
            <w:szCs w:val="20"/>
          </w:rPr>
          <w:t xml:space="preserve"> et al.</w:t>
        </w:r>
        <w:r w:rsidRPr="000405DA">
          <w:rPr>
            <w:noProof/>
            <w:sz w:val="20"/>
            <w:szCs w:val="20"/>
          </w:rPr>
          <w:t xml:space="preserve"> 1992</w:t>
        </w:r>
      </w:hyperlink>
      <w:r w:rsidRPr="000405DA">
        <w:rPr>
          <w:noProof/>
          <w:sz w:val="20"/>
          <w:szCs w:val="20"/>
        </w:rPr>
        <w:t xml:space="preserve">; </w:t>
      </w:r>
      <w:hyperlink w:anchor="_ENREF_7" w:tooltip="Best, 1993 #9" w:history="1">
        <w:r w:rsidRPr="000405DA">
          <w:rPr>
            <w:noProof/>
            <w:sz w:val="20"/>
            <w:szCs w:val="20"/>
          </w:rPr>
          <w:t>Best &amp; Zhang 1993</w:t>
        </w:r>
      </w:hyperlink>
      <w:r w:rsidRPr="000405DA">
        <w:rPr>
          <w:noProof/>
          <w:sz w:val="20"/>
          <w:szCs w:val="20"/>
        </w:rPr>
        <w:t>)</w:t>
      </w:r>
      <w:r w:rsidRPr="000405DA">
        <w:rPr>
          <w:sz w:val="20"/>
          <w:szCs w:val="20"/>
        </w:rPr>
        <w:fldChar w:fldCharType="end"/>
      </w:r>
      <w:r w:rsidRPr="000405DA">
        <w:rPr>
          <w:sz w:val="20"/>
          <w:szCs w:val="20"/>
        </w:rPr>
        <w:t xml:space="preserve">, may be due to sample announcements that miss the </w:t>
      </w:r>
      <w:r>
        <w:rPr>
          <w:sz w:val="20"/>
          <w:szCs w:val="20"/>
        </w:rPr>
        <w:t xml:space="preserve">loan initiation which is </w:t>
      </w:r>
      <w:r w:rsidRPr="000405DA">
        <w:rPr>
          <w:sz w:val="20"/>
          <w:szCs w:val="20"/>
        </w:rPr>
        <w:t xml:space="preserve">when a firm is first screened and bank monitoring begins. </w:t>
      </w:r>
      <w:r w:rsidRPr="000405DA">
        <w:rPr>
          <w:rFonts w:cs="Times New Roman"/>
          <w:sz w:val="20"/>
          <w:szCs w:val="20"/>
        </w:rPr>
        <w:t>In other words, going from an environment of zero bank-monitoring to having bank monitoring is likely to have a substantially different effect on market perceptions of the firm than an existing borrower obtaining a new loan from a second new bank (simply an additional loan for an already existing borrower).</w:t>
      </w:r>
    </w:p>
    <w:p w:rsidR="00EB17C4" w:rsidRDefault="00EB17C4">
      <w:pPr>
        <w:pStyle w:val="FootnoteText"/>
      </w:pPr>
    </w:p>
  </w:footnote>
  <w:footnote w:id="5">
    <w:p w:rsidR="00EB17C4" w:rsidRPr="000405DA" w:rsidRDefault="00EB17C4" w:rsidP="000405DA">
      <w:pPr>
        <w:spacing w:after="0" w:line="240" w:lineRule="auto"/>
        <w:rPr>
          <w:rFonts w:eastAsiaTheme="minorHAnsi" w:cs="Times New Roman"/>
          <w:sz w:val="20"/>
          <w:szCs w:val="20"/>
        </w:rPr>
      </w:pPr>
      <w:r>
        <w:rPr>
          <w:rStyle w:val="FootnoteReference"/>
        </w:rPr>
        <w:footnoteRef/>
      </w:r>
      <w:r>
        <w:t xml:space="preserve"> </w:t>
      </w:r>
      <w:r w:rsidRPr="000405DA">
        <w:rPr>
          <w:rFonts w:eastAsiaTheme="minorHAnsi" w:cs="Times New Roman"/>
          <w:sz w:val="20"/>
          <w:szCs w:val="20"/>
        </w:rPr>
        <w:t xml:space="preserve">A resource analyst from Emerging Trends (2010) commenting on a mining firms chance of obtaining bank financing states; </w:t>
      </w:r>
    </w:p>
    <w:p w:rsidR="00EB17C4" w:rsidRPr="000405DA" w:rsidRDefault="00EB17C4" w:rsidP="000405DA">
      <w:pPr>
        <w:spacing w:after="0" w:line="240" w:lineRule="auto"/>
        <w:rPr>
          <w:rFonts w:eastAsiaTheme="minorHAnsi" w:cs="Times New Roman"/>
          <w:i/>
          <w:sz w:val="20"/>
          <w:szCs w:val="20"/>
        </w:rPr>
      </w:pPr>
      <w:r w:rsidRPr="000405DA">
        <w:rPr>
          <w:rFonts w:eastAsiaTheme="minorHAnsi" w:cs="Times New Roman"/>
          <w:sz w:val="20"/>
          <w:szCs w:val="20"/>
        </w:rPr>
        <w:t>“</w:t>
      </w:r>
      <w:r w:rsidRPr="000405DA">
        <w:rPr>
          <w:rFonts w:eastAsiaTheme="minorHAnsi" w:cs="Times New Roman"/>
          <w:i/>
          <w:sz w:val="20"/>
          <w:szCs w:val="20"/>
        </w:rPr>
        <w:t xml:space="preserve">Between the failure of Opes Prime, the withdrawal of </w:t>
      </w:r>
      <w:proofErr w:type="spellStart"/>
      <w:r w:rsidRPr="000405DA">
        <w:rPr>
          <w:rFonts w:eastAsiaTheme="minorHAnsi" w:cs="Times New Roman"/>
          <w:i/>
          <w:sz w:val="20"/>
          <w:szCs w:val="20"/>
        </w:rPr>
        <w:t>Societe</w:t>
      </w:r>
      <w:proofErr w:type="spellEnd"/>
      <w:r w:rsidRPr="000405DA">
        <w:rPr>
          <w:rFonts w:eastAsiaTheme="minorHAnsi" w:cs="Times New Roman"/>
          <w:i/>
          <w:sz w:val="20"/>
          <w:szCs w:val="20"/>
        </w:rPr>
        <w:t xml:space="preserve"> </w:t>
      </w:r>
      <w:proofErr w:type="spellStart"/>
      <w:r w:rsidRPr="000405DA">
        <w:rPr>
          <w:rFonts w:eastAsiaTheme="minorHAnsi" w:cs="Times New Roman"/>
          <w:i/>
          <w:sz w:val="20"/>
          <w:szCs w:val="20"/>
        </w:rPr>
        <w:t>Generale</w:t>
      </w:r>
      <w:proofErr w:type="spellEnd"/>
      <w:r w:rsidRPr="000405DA">
        <w:rPr>
          <w:rFonts w:eastAsiaTheme="minorHAnsi" w:cs="Times New Roman"/>
          <w:i/>
          <w:sz w:val="20"/>
          <w:szCs w:val="20"/>
        </w:rPr>
        <w:t xml:space="preserve"> and the scaled back operations of ABN </w:t>
      </w:r>
      <w:proofErr w:type="spellStart"/>
      <w:r w:rsidRPr="000405DA">
        <w:rPr>
          <w:rFonts w:eastAsiaTheme="minorHAnsi" w:cs="Times New Roman"/>
          <w:i/>
          <w:sz w:val="20"/>
          <w:szCs w:val="20"/>
        </w:rPr>
        <w:t>Amro</w:t>
      </w:r>
      <w:proofErr w:type="spellEnd"/>
      <w:r w:rsidRPr="000405DA">
        <w:rPr>
          <w:rFonts w:eastAsiaTheme="minorHAnsi" w:cs="Times New Roman"/>
          <w:i/>
          <w:sz w:val="20"/>
          <w:szCs w:val="20"/>
        </w:rPr>
        <w:t xml:space="preserve">, a lingering after effect of the global financial crisis is that mining finance in Australia is largely in the hands of Macquarie Bank, which now has a near monopoly on project finance.” </w:t>
      </w:r>
    </w:p>
    <w:p w:rsidR="00EB17C4" w:rsidRPr="000405DA" w:rsidRDefault="00EB17C4" w:rsidP="000405DA">
      <w:pPr>
        <w:spacing w:after="0" w:line="240" w:lineRule="auto"/>
        <w:ind w:firstLine="0"/>
        <w:rPr>
          <w:rFonts w:eastAsiaTheme="minorHAnsi" w:cs="Times New Roman"/>
          <w:sz w:val="20"/>
          <w:szCs w:val="20"/>
        </w:rPr>
      </w:pPr>
      <w:r w:rsidRPr="000405DA">
        <w:rPr>
          <w:rFonts w:eastAsiaTheme="minorHAnsi" w:cs="Times New Roman"/>
          <w:sz w:val="20"/>
          <w:szCs w:val="20"/>
        </w:rPr>
        <w:t>Borrowers are also cognisant of the of the market leading position of Macquarie Bank as this quote from Saracen Resources shows;</w:t>
      </w:r>
    </w:p>
    <w:p w:rsidR="00EB17C4" w:rsidRDefault="00EB17C4" w:rsidP="000405DA">
      <w:pPr>
        <w:spacing w:after="0" w:line="240" w:lineRule="auto"/>
        <w:rPr>
          <w:i/>
          <w:sz w:val="20"/>
          <w:szCs w:val="20"/>
        </w:rPr>
      </w:pPr>
      <w:r w:rsidRPr="000405DA">
        <w:rPr>
          <w:rFonts w:eastAsiaTheme="minorHAnsi" w:cs="Times New Roman"/>
          <w:sz w:val="20"/>
          <w:szCs w:val="20"/>
        </w:rPr>
        <w:t xml:space="preserve"> </w:t>
      </w:r>
      <w:r w:rsidRPr="000405DA">
        <w:rPr>
          <w:i/>
          <w:sz w:val="20"/>
          <w:szCs w:val="20"/>
        </w:rPr>
        <w:t>“We are pleased to advise the market about the facilities from Macquarie, which is a leader in this segment of the resources sector. The Finance Facilities bring substantial benefits to Saracen… This is a solid outcome for our shareholders, and gives us significant financial flexibility.”</w:t>
      </w:r>
    </w:p>
    <w:p w:rsidR="00EB17C4" w:rsidRPr="000405DA" w:rsidRDefault="00EB17C4" w:rsidP="000405DA">
      <w:pPr>
        <w:spacing w:after="0" w:line="240" w:lineRule="auto"/>
        <w:ind w:firstLine="0"/>
        <w:rPr>
          <w:i/>
          <w:sz w:val="20"/>
          <w:szCs w:val="20"/>
        </w:rPr>
      </w:pPr>
      <w:r w:rsidRPr="000405DA">
        <w:rPr>
          <w:rFonts w:eastAsiaTheme="minorHAnsi" w:cs="Times New Roman"/>
          <w:sz w:val="20"/>
          <w:szCs w:val="20"/>
        </w:rPr>
        <w:t>Additionally, Macquarie Bank market themselves as an industry leader in resource financing. Macquarie Bank state they are the “</w:t>
      </w:r>
      <w:r w:rsidRPr="000405DA">
        <w:rPr>
          <w:rFonts w:eastAsiaTheme="minorHAnsi" w:cs="Times New Roman"/>
          <w:i/>
          <w:sz w:val="20"/>
          <w:szCs w:val="20"/>
        </w:rPr>
        <w:t>global leader in financing the resources infrastructure sector.</w:t>
      </w:r>
      <w:r w:rsidRPr="000405DA">
        <w:rPr>
          <w:rFonts w:eastAsiaTheme="minorHAnsi" w:cs="Times New Roman"/>
          <w:sz w:val="20"/>
          <w:szCs w:val="20"/>
        </w:rPr>
        <w:t>” Further quotes from the Macquarie Bank website refer to their specialisation within the industry;</w:t>
      </w:r>
    </w:p>
    <w:p w:rsidR="00EB17C4" w:rsidRDefault="00EB17C4" w:rsidP="003C0E38">
      <w:pPr>
        <w:spacing w:line="240" w:lineRule="auto"/>
      </w:pPr>
      <w:r w:rsidRPr="000405DA">
        <w:rPr>
          <w:i/>
          <w:sz w:val="20"/>
          <w:szCs w:val="20"/>
          <w:shd w:val="clear" w:color="auto" w:fill="FFFFFF"/>
        </w:rPr>
        <w:t>“Macquarie Capital's Resources team combines financial services and specialised industry knowledge with a focus on companies operating globally in the resources sector, particularly the mining and metals, energy and related services sectors… This specialisation provides miners with the ability to efficiently finance new or existing capital intensive infrastructure to focus on their core businesses.”</w:t>
      </w:r>
    </w:p>
  </w:footnote>
  <w:footnote w:id="6">
    <w:p w:rsidR="00EB17C4" w:rsidRDefault="00EB17C4">
      <w:pPr>
        <w:pStyle w:val="FootnoteText"/>
      </w:pPr>
      <w:r>
        <w:rPr>
          <w:rStyle w:val="FootnoteReference"/>
        </w:rPr>
        <w:footnoteRef/>
      </w:r>
      <w:r>
        <w:t xml:space="preserve"> The ASX announcements search tool available in </w:t>
      </w:r>
      <w:proofErr w:type="spellStart"/>
      <w:r>
        <w:t>DatAnalysis</w:t>
      </w:r>
      <w:proofErr w:type="spellEnd"/>
      <w:r>
        <w:t xml:space="preserve"> Premium allows for text searches of announcements archived after September 1998. Thus all readily available data is used to create the sample.</w:t>
      </w:r>
    </w:p>
  </w:footnote>
  <w:footnote w:id="7">
    <w:p w:rsidR="00EB17C4" w:rsidRDefault="00EB17C4">
      <w:pPr>
        <w:pStyle w:val="FootnoteText"/>
      </w:pPr>
      <w:r>
        <w:rPr>
          <w:rStyle w:val="FootnoteReference"/>
        </w:rPr>
        <w:footnoteRef/>
      </w:r>
      <w:r>
        <w:t xml:space="preserve"> Announcement frequency is increasing in time. This is expected, since there are an increasing numbers of firms listed in the mining industry in the second half of the sample period due to the mining boom. The frequency of announcements is relatively stable in the period from 2006 to 2012; probably due to lag effects from the boom continuing into the GFC period (mining projects are notoriously long in terms of duration).</w:t>
      </w:r>
    </w:p>
  </w:footnote>
  <w:footnote w:id="8">
    <w:p w:rsidR="00EB17C4" w:rsidRDefault="00EB17C4" w:rsidP="0056081D">
      <w:pPr>
        <w:pStyle w:val="FootnoteText"/>
      </w:pPr>
      <w:r>
        <w:rPr>
          <w:rStyle w:val="FootnoteReference"/>
        </w:rPr>
        <w:footnoteRef/>
      </w:r>
      <w:r>
        <w:t xml:space="preserve"> The number of unique companies making initial loan announcements is less than the total number of announcements. Firms may make multiple announcements regarding a</w:t>
      </w:r>
      <w:r w:rsidR="008113CF">
        <w:t xml:space="preserve"> single bank loan to the market.</w:t>
      </w:r>
    </w:p>
  </w:footnote>
  <w:footnote w:id="9">
    <w:p w:rsidR="00EB17C4" w:rsidRPr="00F86BCD" w:rsidRDefault="00EB17C4" w:rsidP="00FD22DC">
      <w:pPr>
        <w:pStyle w:val="FootnoteText"/>
        <w:jc w:val="both"/>
        <w:rPr>
          <w:rFonts w:cs="Times New Roman"/>
        </w:rPr>
      </w:pPr>
      <w:r w:rsidRPr="00F86BCD">
        <w:rPr>
          <w:rStyle w:val="FootnoteReference"/>
          <w:rFonts w:cs="Times New Roman"/>
        </w:rPr>
        <w:footnoteRef/>
      </w:r>
      <w:r w:rsidRPr="00F86BCD">
        <w:rPr>
          <w:rFonts w:cs="Times New Roman"/>
        </w:rPr>
        <w:t xml:space="preserve"> </w:t>
      </w:r>
      <w:r w:rsidRPr="0017657D">
        <w:rPr>
          <w:rStyle w:val="FootnoteChar"/>
        </w:rPr>
        <w:t>All prices are adjusted for changes in the basis of quotation, such as dividends on the ex-dividend day.</w:t>
      </w:r>
    </w:p>
  </w:footnote>
  <w:footnote w:id="10">
    <w:p w:rsidR="00791014" w:rsidRDefault="00791014">
      <w:pPr>
        <w:pStyle w:val="FootnoteText"/>
      </w:pPr>
      <w:r>
        <w:rPr>
          <w:rStyle w:val="FootnoteReference"/>
        </w:rPr>
        <w:footnoteRef/>
      </w:r>
      <w:r>
        <w:t xml:space="preserve"> There are two reasons why the minimum debt position of the subsequent loan sample is reported as zero. First, a firm may have zero long-term debt, while still have positive short-term debt and vice versa. Second, as debt levels are taken from the annual report prior to the loan announcement, there are constituents in the sample who have obtained an initial loan and subsequent loan in the same financial year. Thus observing the debt position from the prior financial report would result in an observation of zero debt, as the initial loan was entered into during the reporting period and is not yet disclosed in the financial statements.</w:t>
      </w:r>
    </w:p>
  </w:footnote>
  <w:footnote w:id="11">
    <w:p w:rsidR="00EB17C4" w:rsidRPr="00CB0081" w:rsidRDefault="00EB17C4" w:rsidP="00CB0081">
      <w:pPr>
        <w:spacing w:line="240" w:lineRule="auto"/>
        <w:rPr>
          <w:sz w:val="20"/>
          <w:szCs w:val="20"/>
        </w:rPr>
      </w:pPr>
      <w:r>
        <w:rPr>
          <w:rStyle w:val="FootnoteReference"/>
        </w:rPr>
        <w:footnoteRef/>
      </w:r>
      <w:r>
        <w:t xml:space="preserve"> </w:t>
      </w:r>
      <w:r w:rsidRPr="00CB0081">
        <w:rPr>
          <w:sz w:val="20"/>
          <w:szCs w:val="20"/>
        </w:rPr>
        <w:t>The terms of the loan disclosed in announcements varies significantly. Over 95% of firms disclose the number lenders (</w:t>
      </w:r>
      <w:r w:rsidRPr="00CB0081">
        <w:rPr>
          <w:i/>
          <w:sz w:val="20"/>
          <w:szCs w:val="20"/>
        </w:rPr>
        <w:t>Number of lenders</w:t>
      </w:r>
      <w:r w:rsidRPr="00CB0081">
        <w:rPr>
          <w:sz w:val="20"/>
          <w:szCs w:val="20"/>
        </w:rPr>
        <w:t>) and the amount (</w:t>
      </w:r>
      <w:r w:rsidRPr="00CB0081">
        <w:rPr>
          <w:i/>
          <w:sz w:val="20"/>
          <w:szCs w:val="20"/>
        </w:rPr>
        <w:t>Amount</w:t>
      </w:r>
      <w:r w:rsidRPr="00CB0081">
        <w:rPr>
          <w:sz w:val="20"/>
          <w:szCs w:val="20"/>
        </w:rPr>
        <w:t>) of the loan. However disclosure of other material items is less pervasive, with only 46% of initial loans and 57% of subsequent loans disclosing the maturity of the loan (</w:t>
      </w:r>
      <w:r w:rsidRPr="00CB0081">
        <w:rPr>
          <w:i/>
          <w:sz w:val="20"/>
          <w:szCs w:val="20"/>
        </w:rPr>
        <w:t>Maturity</w:t>
      </w:r>
      <w:r w:rsidRPr="00CB0081">
        <w:rPr>
          <w:sz w:val="20"/>
          <w:szCs w:val="20"/>
        </w:rPr>
        <w:t>). Less than 25% of firms disclosed the interest rate (</w:t>
      </w:r>
      <w:r w:rsidRPr="00CB0081">
        <w:rPr>
          <w:i/>
          <w:sz w:val="20"/>
          <w:szCs w:val="20"/>
        </w:rPr>
        <w:t>Interest rate</w:t>
      </w:r>
      <w:r w:rsidRPr="00CB0081">
        <w:rPr>
          <w:sz w:val="20"/>
          <w:szCs w:val="20"/>
        </w:rPr>
        <w:t>) of the loan at the time of announcement with many firms stating lack of disclosure to be due to commercial confidence. Of the firms which disclosed the interest rate, the majority of loans are based on variable interest rates with a fixed margin over the London Interbank Offered Rate (LIBOR).</w:t>
      </w:r>
    </w:p>
    <w:p w:rsidR="00EB17C4" w:rsidRDefault="00EB17C4">
      <w:pPr>
        <w:pStyle w:val="FootnoteText"/>
      </w:pPr>
    </w:p>
  </w:footnote>
  <w:footnote w:id="12">
    <w:p w:rsidR="00EB17C4" w:rsidRDefault="00EB17C4">
      <w:pPr>
        <w:pStyle w:val="FootnoteText"/>
      </w:pPr>
      <w:r>
        <w:rPr>
          <w:rStyle w:val="FootnoteReference"/>
        </w:rPr>
        <w:footnoteRef/>
      </w:r>
      <w:r>
        <w:t xml:space="preserve"> The number of lender observations is larger than the total sample size due to loan syndication in which more than one lender is identified in a single announcement.</w:t>
      </w:r>
    </w:p>
  </w:footnote>
  <w:footnote w:id="13">
    <w:p w:rsidR="00EB17C4" w:rsidRDefault="00EB17C4">
      <w:pPr>
        <w:pStyle w:val="FootnoteText"/>
      </w:pPr>
      <w:r>
        <w:rPr>
          <w:rStyle w:val="FootnoteReference"/>
        </w:rPr>
        <w:footnoteRef/>
      </w:r>
      <w:r>
        <w:t xml:space="preserve"> China Development Bank is the 2</w:t>
      </w:r>
      <w:r w:rsidRPr="00A176A5">
        <w:rPr>
          <w:vertAlign w:val="superscript"/>
        </w:rPr>
        <w:t>nd</w:t>
      </w:r>
      <w:r>
        <w:t xml:space="preserve"> largest lender in the industry in terms of loan size with outstanding loans of $</w:t>
      </w:r>
      <w:r w:rsidRPr="00976960">
        <w:t>3</w:t>
      </w:r>
      <w:r>
        <w:t>,468,000,000. This figure is driven by three large loans valued close to a billion dollars each. Additionally the strong performance in total loaned funds by Credit Suisse and ANZ is due to having single loans worth over $1 billion each.</w:t>
      </w:r>
    </w:p>
  </w:footnote>
  <w:footnote w:id="14">
    <w:p w:rsidR="00EB17C4" w:rsidRDefault="00EB17C4" w:rsidP="00BF0E2B">
      <w:pPr>
        <w:pStyle w:val="Footnote"/>
      </w:pPr>
      <w:r>
        <w:rPr>
          <w:rStyle w:val="FootnoteReference"/>
        </w:rPr>
        <w:footnoteRef/>
      </w:r>
      <w:r>
        <w:t xml:space="preserve"> In unreported test t</w:t>
      </w:r>
      <w:r w:rsidRPr="00AB3AE0">
        <w:t xml:space="preserve">he initial loan sample AAR is 0.93% larger and significantly different from the subsequent loan sample at a 5% level of significance on event day zero. </w:t>
      </w:r>
      <w:r>
        <w:t>The difference in CAAR -5 to 5 day event window shows the initial loan sample to have a larger abnormal return than the subsequent loan sample; however results are not statistically significant.</w:t>
      </w:r>
    </w:p>
    <w:p w:rsidR="00EB17C4" w:rsidRDefault="00EB17C4">
      <w:pPr>
        <w:pStyle w:val="FootnoteText"/>
      </w:pPr>
    </w:p>
  </w:footnote>
  <w:footnote w:id="15">
    <w:p w:rsidR="00EB17C4" w:rsidRDefault="00EB17C4">
      <w:pPr>
        <w:pStyle w:val="FootnoteText"/>
      </w:pPr>
      <w:r>
        <w:rPr>
          <w:rStyle w:val="FootnoteReference"/>
        </w:rPr>
        <w:footnoteRef/>
      </w:r>
      <w:r>
        <w:t xml:space="preserve"> In unreported tests a correlation matrix </w:t>
      </w:r>
      <w:r w:rsidRPr="00AB3AE0">
        <w:t>shows that multi-</w:t>
      </w:r>
      <w:proofErr w:type="spellStart"/>
      <w:r w:rsidRPr="00AB3AE0">
        <w:t>collinearity</w:t>
      </w:r>
      <w:proofErr w:type="spellEnd"/>
      <w:r w:rsidRPr="00AB3AE0">
        <w:t xml:space="preserve"> does not appear to be a concern.</w:t>
      </w:r>
    </w:p>
    <w:p w:rsidR="00EB17C4" w:rsidRDefault="00EB17C4">
      <w:pPr>
        <w:pStyle w:val="FootnoteText"/>
      </w:pPr>
      <w:r>
        <w:t>Significant c</w:t>
      </w:r>
      <w:r w:rsidRPr="00AB3AE0">
        <w:t>orrelations are under 0.</w:t>
      </w:r>
      <w:r>
        <w:t>4</w:t>
      </w:r>
      <w:r w:rsidRPr="00AB3AE0">
        <w:t xml:space="preserve"> for all variables except </w:t>
      </w:r>
      <w:r>
        <w:t xml:space="preserve">for </w:t>
      </w:r>
      <w:proofErr w:type="spellStart"/>
      <w:r w:rsidRPr="004C360E">
        <w:rPr>
          <w:i/>
        </w:rPr>
        <w:t>LnMCap</w:t>
      </w:r>
      <w:proofErr w:type="spellEnd"/>
      <w:r>
        <w:rPr>
          <w:i/>
        </w:rPr>
        <w:t xml:space="preserve"> </w:t>
      </w:r>
      <w:r w:rsidRPr="00544F46">
        <w:t>which is correlated with</w:t>
      </w:r>
      <w:r>
        <w:t xml:space="preserve"> </w:t>
      </w:r>
      <w:proofErr w:type="spellStart"/>
      <w:r>
        <w:rPr>
          <w:i/>
        </w:rPr>
        <w:t>NumAnalyst</w:t>
      </w:r>
      <w:proofErr w:type="spellEnd"/>
      <w:r w:rsidRPr="00544F46">
        <w:t xml:space="preserve"> and </w:t>
      </w:r>
      <w:proofErr w:type="spellStart"/>
      <w:r>
        <w:rPr>
          <w:i/>
        </w:rPr>
        <w:t>LnAmount</w:t>
      </w:r>
      <w:proofErr w:type="spellEnd"/>
      <w:r w:rsidRPr="00AB3AE0">
        <w:t>. Furthermore, in unreported test</w:t>
      </w:r>
      <w:r>
        <w:t>s</w:t>
      </w:r>
      <w:r w:rsidRPr="00AB3AE0">
        <w:t xml:space="preserve"> all variance inflations factors </w:t>
      </w:r>
      <w:r>
        <w:t xml:space="preserve">on primary multivariate models reported in </w:t>
      </w:r>
      <w:r>
        <w:fldChar w:fldCharType="begin"/>
      </w:r>
      <w:r>
        <w:instrText xml:space="preserve"> REF _Ref379398544 \h </w:instrText>
      </w:r>
      <w:r>
        <w:fldChar w:fldCharType="separate"/>
      </w:r>
      <w:r w:rsidR="0089071A">
        <w:t xml:space="preserve">Table </w:t>
      </w:r>
      <w:r>
        <w:fldChar w:fldCharType="end"/>
      </w:r>
      <w:r>
        <w:t xml:space="preserve"> are below 1.5.</w:t>
      </w:r>
    </w:p>
  </w:footnote>
  <w:footnote w:id="16">
    <w:p w:rsidR="00EB17C4" w:rsidRDefault="00EB17C4" w:rsidP="00BF0E2B">
      <w:pPr>
        <w:pStyle w:val="Footnote"/>
      </w:pPr>
      <w:r>
        <w:rPr>
          <w:rStyle w:val="FootnoteReference"/>
        </w:rPr>
        <w:footnoteRef/>
      </w:r>
      <w:r>
        <w:t xml:space="preserve"> In unreported tests, the statistical significance of differences between the average abnormal turnover of the initial loans sample and the subsequent loans sample is compared. Over both the -1 to 1 and -5 to 5 event windows, initial loan announcements experienced a significantly larger average abnormal turnover relative to the subsequent loan sample. Results suggest that both initial and subsequent loan announcements are associated with an increase in abnormal trading turnover, however consistent with the event study results, reactions are larger for the initial loan sample of firm than for the subsequent loan sample of firms.</w:t>
      </w:r>
    </w:p>
    <w:p w:rsidR="00EB17C4" w:rsidRDefault="00EB17C4">
      <w:pPr>
        <w:pStyle w:val="FootnoteText"/>
      </w:pPr>
    </w:p>
  </w:footnote>
  <w:footnote w:id="17">
    <w:p w:rsidR="00EB17C4" w:rsidRPr="00EC0BC1" w:rsidRDefault="00EB17C4" w:rsidP="00BF0E2B">
      <w:pPr>
        <w:pStyle w:val="Footnote"/>
      </w:pPr>
      <w:r>
        <w:rPr>
          <w:rStyle w:val="FootnoteReference"/>
        </w:rPr>
        <w:footnoteRef/>
      </w:r>
      <w:r>
        <w:t xml:space="preserve"> In unreported tests of significance between the abnormal spread of the initial and subsequent loan sample</w:t>
      </w:r>
      <w:proofErr w:type="gramStart"/>
      <w:r>
        <w:t>,  no</w:t>
      </w:r>
      <w:proofErr w:type="gramEnd"/>
      <w:r>
        <w:t xml:space="preserve"> significant difference is found across the -3 to 3 day event window between the two samples. This result suggests that both the initial and subsequent loan sample of firms benefit from a decrease in bid-ask spread after bank loan announcements.</w:t>
      </w:r>
    </w:p>
    <w:p w:rsidR="00EB17C4" w:rsidRDefault="00EB17C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B17"/>
    <w:multiLevelType w:val="hybridMultilevel"/>
    <w:tmpl w:val="799CFC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1C10CC"/>
    <w:multiLevelType w:val="hybridMultilevel"/>
    <w:tmpl w:val="130C0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E401E1"/>
    <w:multiLevelType w:val="hybridMultilevel"/>
    <w:tmpl w:val="A0F2CD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023FAA"/>
    <w:multiLevelType w:val="multilevel"/>
    <w:tmpl w:val="AF3E9044"/>
    <w:styleLink w:val="MattPhD"/>
    <w:lvl w:ilvl="0">
      <w:start w:val="1"/>
      <w:numFmt w:val="decimal"/>
      <w:pStyle w:val="Heading1"/>
      <w:lvlText w:val="%1."/>
      <w:lvlJc w:val="left"/>
      <w:pPr>
        <w:ind w:left="357" w:hanging="357"/>
      </w:pPr>
      <w:rPr>
        <w:rFonts w:ascii="Times New Roman" w:eastAsiaTheme="majorEastAsia" w:hAnsi="Times New Roman" w:cstheme="majorBidi"/>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lowerRoman"/>
      <w:pStyle w:val="Heading6"/>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4">
    <w:nsid w:val="0AB03A4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2345D12"/>
    <w:multiLevelType w:val="hybridMultilevel"/>
    <w:tmpl w:val="C54EE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5F2BCA"/>
    <w:multiLevelType w:val="hybridMultilevel"/>
    <w:tmpl w:val="44386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AD14E5"/>
    <w:multiLevelType w:val="multilevel"/>
    <w:tmpl w:val="C8D42682"/>
    <w:styleLink w:val="Style1"/>
    <w:lvl w:ilvl="0">
      <w:start w:val="1"/>
      <w:numFmt w:val="upperLetter"/>
      <w:pStyle w:val="AppendixHeader"/>
      <w:lvlText w:val="Appendix %1:"/>
      <w:lvlJc w:val="left"/>
      <w:pPr>
        <w:ind w:left="720" w:hanging="360"/>
      </w:pPr>
      <w:rPr>
        <w:rFonts w:hint="default"/>
      </w:rPr>
    </w:lvl>
    <w:lvl w:ilvl="1">
      <w:start w:val="1"/>
      <w:numFmt w:val="decimal"/>
      <w:pStyle w:val="Appendixsubheading"/>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D3338C6"/>
    <w:multiLevelType w:val="multilevel"/>
    <w:tmpl w:val="AF3E9044"/>
    <w:numStyleLink w:val="MattPhD"/>
  </w:abstractNum>
  <w:abstractNum w:abstractNumId="9">
    <w:nsid w:val="2E0811C4"/>
    <w:multiLevelType w:val="hybridMultilevel"/>
    <w:tmpl w:val="46102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1746F9"/>
    <w:multiLevelType w:val="hybridMultilevel"/>
    <w:tmpl w:val="F2FC52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14F4202"/>
    <w:multiLevelType w:val="hybridMultilevel"/>
    <w:tmpl w:val="F47A8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66834BD"/>
    <w:multiLevelType w:val="hybridMultilevel"/>
    <w:tmpl w:val="8878F1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315761D"/>
    <w:multiLevelType w:val="hybridMultilevel"/>
    <w:tmpl w:val="0518BA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031110"/>
    <w:multiLevelType w:val="hybridMultilevel"/>
    <w:tmpl w:val="D8BC3426"/>
    <w:lvl w:ilvl="0" w:tplc="F5FED9CA">
      <w:start w:val="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nsid w:val="66481C9A"/>
    <w:multiLevelType w:val="hybridMultilevel"/>
    <w:tmpl w:val="E054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8C94425"/>
    <w:multiLevelType w:val="multilevel"/>
    <w:tmpl w:val="58726B40"/>
    <w:lvl w:ilvl="0">
      <w:start w:val="1"/>
      <w:numFmt w:val="decimal"/>
      <w:lvlText w:val="Table %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nsid w:val="69EF4378"/>
    <w:multiLevelType w:val="hybridMultilevel"/>
    <w:tmpl w:val="392CD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5342ED2"/>
    <w:multiLevelType w:val="hybridMultilevel"/>
    <w:tmpl w:val="E05CE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8329AB"/>
    <w:multiLevelType w:val="hybridMultilevel"/>
    <w:tmpl w:val="2D46457C"/>
    <w:lvl w:ilvl="0" w:tplc="0C09000F">
      <w:start w:val="1"/>
      <w:numFmt w:val="decimal"/>
      <w:lvlText w:val="%1."/>
      <w:lvlJc w:val="left"/>
      <w:pPr>
        <w:ind w:left="720" w:hanging="360"/>
      </w:pPr>
      <w:rPr>
        <w:rFonts w:hint="default"/>
      </w:rPr>
    </w:lvl>
    <w:lvl w:ilvl="1" w:tplc="79EA9EF2">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8300CD2"/>
    <w:multiLevelType w:val="multilevel"/>
    <w:tmpl w:val="A1BAD820"/>
    <w:lvl w:ilvl="0">
      <w:start w:val="1"/>
      <w:numFmt w:val="upperLetter"/>
      <w:lvlText w:val="Appendix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D947317"/>
    <w:multiLevelType w:val="hybridMultilevel"/>
    <w:tmpl w:val="27A42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8"/>
    <w:lvlOverride w:ilvl="0">
      <w:lvl w:ilvl="0">
        <w:start w:val="1"/>
        <w:numFmt w:val="decimal"/>
        <w:pStyle w:val="Heading1"/>
        <w:lvlText w:val="%1."/>
        <w:lvlJc w:val="left"/>
        <w:pPr>
          <w:ind w:left="357" w:hanging="357"/>
        </w:pPr>
        <w:rPr>
          <w:rFonts w:ascii="Times New Roman" w:eastAsiaTheme="majorEastAsia" w:hAnsi="Times New Roman" w:cstheme="majorBidi"/>
        </w:rPr>
      </w:lvl>
    </w:lvlOverride>
    <w:lvlOverride w:ilvl="1">
      <w:lvl w:ilvl="1">
        <w:start w:val="1"/>
        <w:numFmt w:val="decimal"/>
        <w:pStyle w:val="Heading2"/>
        <w:lvlText w:val="%1.%2"/>
        <w:lvlJc w:val="left"/>
        <w:pPr>
          <w:ind w:left="357" w:hanging="357"/>
        </w:pPr>
        <w:rPr>
          <w:rFonts w:hint="default"/>
        </w:rPr>
      </w:lvl>
    </w:lvlOverride>
    <w:lvlOverride w:ilvl="2">
      <w:lvl w:ilvl="2">
        <w:start w:val="1"/>
        <w:numFmt w:val="decimal"/>
        <w:pStyle w:val="Heading3"/>
        <w:lvlText w:val="%1.%2.%3"/>
        <w:lvlJc w:val="left"/>
        <w:pPr>
          <w:ind w:left="357" w:hanging="357"/>
        </w:pPr>
        <w:rPr>
          <w:rFonts w:hint="default"/>
        </w:rPr>
      </w:lvl>
    </w:lvlOverride>
    <w:lvlOverride w:ilvl="3">
      <w:lvl w:ilvl="3">
        <w:start w:val="1"/>
        <w:numFmt w:val="decimal"/>
        <w:pStyle w:val="Heading4"/>
        <w:lvlText w:val="%1.%2.%3.%4"/>
        <w:lvlJc w:val="left"/>
        <w:pPr>
          <w:ind w:left="357" w:hanging="357"/>
        </w:pPr>
        <w:rPr>
          <w:rFonts w:hint="default"/>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lowerRoman"/>
        <w:lvlText w:val="(%6)"/>
        <w:lvlJc w:val="left"/>
        <w:pPr>
          <w:ind w:left="357" w:hanging="357"/>
        </w:pPr>
        <w:rPr>
          <w:rFonts w:hint="default"/>
        </w:rPr>
      </w:lvl>
    </w:lvlOverride>
    <w:lvlOverride w:ilvl="6">
      <w:lvl w:ilvl="6">
        <w:start w:val="1"/>
        <w:numFmt w:val="decimal"/>
        <w:lvlText w:val="%7."/>
        <w:lvlJc w:val="left"/>
        <w:pPr>
          <w:ind w:left="357" w:hanging="357"/>
        </w:pPr>
        <w:rPr>
          <w:rFonts w:hint="default"/>
        </w:rPr>
      </w:lvl>
    </w:lvlOverride>
    <w:lvlOverride w:ilvl="7">
      <w:lvl w:ilvl="7">
        <w:start w:val="1"/>
        <w:numFmt w:val="lowerLetter"/>
        <w:lvlText w:val="%8."/>
        <w:lvlJc w:val="left"/>
        <w:pPr>
          <w:ind w:left="357" w:hanging="357"/>
        </w:pPr>
        <w:rPr>
          <w:rFonts w:hint="default"/>
        </w:rPr>
      </w:lvl>
    </w:lvlOverride>
    <w:lvlOverride w:ilvl="8">
      <w:lvl w:ilvl="8">
        <w:start w:val="1"/>
        <w:numFmt w:val="lowerRoman"/>
        <w:lvlText w:val="%9."/>
        <w:lvlJc w:val="left"/>
        <w:pPr>
          <w:ind w:left="357" w:hanging="357"/>
        </w:pPr>
        <w:rPr>
          <w:rFonts w:hint="default"/>
        </w:rPr>
      </w:lvl>
    </w:lvlOverride>
  </w:num>
  <w:num w:numId="15">
    <w:abstractNumId w:val="19"/>
  </w:num>
  <w:num w:numId="16">
    <w:abstractNumId w:val="6"/>
  </w:num>
  <w:num w:numId="17">
    <w:abstractNumId w:val="13"/>
  </w:num>
  <w:num w:numId="18">
    <w:abstractNumId w:val="12"/>
  </w:num>
  <w:num w:numId="19">
    <w:abstractNumId w:val="0"/>
  </w:num>
  <w:num w:numId="20">
    <w:abstractNumId w:val="9"/>
  </w:num>
  <w:num w:numId="21">
    <w:abstractNumId w:val="15"/>
  </w:num>
  <w:num w:numId="22">
    <w:abstractNumId w:val="10"/>
  </w:num>
  <w:num w:numId="23">
    <w:abstractNumId w:val="1"/>
  </w:num>
  <w:num w:numId="24">
    <w:abstractNumId w:val="5"/>
  </w:num>
  <w:num w:numId="25">
    <w:abstractNumId w:val="21"/>
  </w:num>
  <w:num w:numId="26">
    <w:abstractNumId w:val="18"/>
  </w:num>
  <w:num w:numId="27">
    <w:abstractNumId w:val="17"/>
  </w:num>
  <w:num w:numId="28">
    <w:abstractNumId w:val="11"/>
  </w:num>
  <w:num w:numId="29">
    <w:abstractNumId w:val="14"/>
  </w:num>
  <w:num w:numId="30">
    <w:abstractNumId w:val="20"/>
  </w:num>
  <w:num w:numId="31">
    <w:abstractNumId w:val="7"/>
    <w:lvlOverride w:ilvl="0">
      <w:lvl w:ilvl="0">
        <w:start w:val="1"/>
        <w:numFmt w:val="upperLetter"/>
        <w:pStyle w:val="AppendixHeader"/>
        <w:lvlText w:val="Appendix %1:"/>
        <w:lvlJc w:val="left"/>
        <w:pPr>
          <w:ind w:left="720" w:hanging="360"/>
        </w:pPr>
        <w:rPr>
          <w:rFonts w:hint="default"/>
        </w:rPr>
      </w:lvl>
    </w:lvlOverride>
    <w:lvlOverride w:ilvl="1">
      <w:lvl w:ilvl="1">
        <w:start w:val="1"/>
        <w:numFmt w:val="decimal"/>
        <w:pStyle w:val="Appendixsubheading"/>
        <w:lvlText w:val="Appendix %1.%2"/>
        <w:lvlJc w:val="left"/>
        <w:pPr>
          <w:ind w:left="1440" w:hanging="360"/>
        </w:pPr>
        <w:rPr>
          <w:rFonts w:hint="default"/>
          <w:b/>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4"/>
  </w:num>
  <w:num w:numId="35">
    <w:abstractNumId w:val="16"/>
  </w:num>
  <w:num w:numId="36">
    <w:abstractNumId w:val="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38">
    <w:abstractNumId w:val="8"/>
    <w:lvlOverride w:ilvl="0">
      <w:lvl w:ilvl="0">
        <w:start w:val="1"/>
        <w:numFmt w:val="decimal"/>
        <w:pStyle w:val="Heading1"/>
        <w:lvlText w:val="%1."/>
        <w:lvlJc w:val="left"/>
        <w:pPr>
          <w:ind w:left="357" w:hanging="357"/>
        </w:pPr>
        <w:rPr>
          <w:rFonts w:ascii="Times New Roman" w:eastAsiaTheme="majorEastAsia" w:hAnsi="Times New Roman" w:cstheme="majorBidi"/>
        </w:rPr>
      </w:lvl>
    </w:lvlOverride>
    <w:lvlOverride w:ilvl="1">
      <w:lvl w:ilvl="1">
        <w:start w:val="1"/>
        <w:numFmt w:val="decimal"/>
        <w:pStyle w:val="Heading2"/>
        <w:lvlText w:val="%1.%2"/>
        <w:lvlJc w:val="left"/>
        <w:pPr>
          <w:ind w:left="357" w:hanging="357"/>
        </w:pPr>
        <w:rPr>
          <w:rFonts w:hint="default"/>
        </w:rPr>
      </w:lvl>
    </w:lvlOverride>
    <w:lvlOverride w:ilvl="2">
      <w:lvl w:ilvl="2">
        <w:start w:val="1"/>
        <w:numFmt w:val="decimal"/>
        <w:pStyle w:val="Heading3"/>
        <w:lvlText w:val="%1.%2.%3"/>
        <w:lvlJc w:val="left"/>
        <w:pPr>
          <w:ind w:left="357" w:hanging="357"/>
        </w:pPr>
        <w:rPr>
          <w:rFonts w:hint="default"/>
        </w:rPr>
      </w:lvl>
    </w:lvlOverride>
    <w:lvlOverride w:ilvl="3">
      <w:lvl w:ilvl="3">
        <w:start w:val="1"/>
        <w:numFmt w:val="decimal"/>
        <w:pStyle w:val="Heading4"/>
        <w:lvlText w:val="%1.%2.%3.%4"/>
        <w:lvlJc w:val="left"/>
        <w:pPr>
          <w:ind w:left="357" w:hanging="357"/>
        </w:pPr>
        <w:rPr>
          <w:rFonts w:hint="default"/>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lowerRoman"/>
        <w:lvlText w:val="(%6)"/>
        <w:lvlJc w:val="left"/>
        <w:pPr>
          <w:ind w:left="357" w:hanging="357"/>
        </w:pPr>
        <w:rPr>
          <w:rFonts w:hint="default"/>
        </w:rPr>
      </w:lvl>
    </w:lvlOverride>
    <w:lvlOverride w:ilvl="6">
      <w:lvl w:ilvl="6">
        <w:start w:val="1"/>
        <w:numFmt w:val="decimal"/>
        <w:lvlText w:val="%7."/>
        <w:lvlJc w:val="left"/>
        <w:pPr>
          <w:ind w:left="357" w:hanging="357"/>
        </w:pPr>
        <w:rPr>
          <w:rFonts w:hint="default"/>
        </w:rPr>
      </w:lvl>
    </w:lvlOverride>
    <w:lvlOverride w:ilvl="7">
      <w:lvl w:ilvl="7">
        <w:start w:val="1"/>
        <w:numFmt w:val="lowerLetter"/>
        <w:lvlText w:val="%8."/>
        <w:lvlJc w:val="left"/>
        <w:pPr>
          <w:ind w:left="357" w:hanging="357"/>
        </w:pPr>
        <w:rPr>
          <w:rFonts w:hint="default"/>
        </w:rPr>
      </w:lvl>
    </w:lvlOverride>
    <w:lvlOverride w:ilvl="8">
      <w:lvl w:ilvl="8">
        <w:start w:val="1"/>
        <w:numFmt w:val="lowerRoman"/>
        <w:lvlText w:val="%9."/>
        <w:lvlJc w:val="left"/>
        <w:pPr>
          <w:ind w:left="357" w:hanging="357"/>
        </w:pPr>
        <w:rPr>
          <w:rFonts w:hint="default"/>
        </w:rPr>
      </w:lvl>
    </w:lvlOverride>
  </w:num>
  <w:num w:numId="39">
    <w:abstractNumId w:val="8"/>
    <w:lvlOverride w:ilvl="0">
      <w:lvl w:ilvl="0">
        <w:start w:val="1"/>
        <w:numFmt w:val="decimal"/>
        <w:pStyle w:val="Heading1"/>
        <w:lvlText w:val="%1."/>
        <w:lvlJc w:val="left"/>
        <w:pPr>
          <w:ind w:left="357" w:hanging="357"/>
        </w:pPr>
        <w:rPr>
          <w:rFonts w:ascii="Times New Roman" w:eastAsiaTheme="majorEastAsia" w:hAnsi="Times New Roman" w:cstheme="majorBidi"/>
        </w:rPr>
      </w:lvl>
    </w:lvlOverride>
    <w:lvlOverride w:ilvl="1">
      <w:lvl w:ilvl="1">
        <w:start w:val="1"/>
        <w:numFmt w:val="decimal"/>
        <w:pStyle w:val="Heading2"/>
        <w:lvlText w:val="%1.%2"/>
        <w:lvlJc w:val="left"/>
        <w:pPr>
          <w:ind w:left="357" w:hanging="357"/>
        </w:pPr>
        <w:rPr>
          <w:rFonts w:hint="default"/>
        </w:rPr>
      </w:lvl>
    </w:lvlOverride>
    <w:lvlOverride w:ilvl="2">
      <w:lvl w:ilvl="2">
        <w:start w:val="1"/>
        <w:numFmt w:val="decimal"/>
        <w:pStyle w:val="Heading3"/>
        <w:lvlText w:val="%1.%2.%3"/>
        <w:lvlJc w:val="left"/>
        <w:pPr>
          <w:ind w:left="357" w:hanging="357"/>
        </w:pPr>
        <w:rPr>
          <w:rFonts w:hint="default"/>
        </w:rPr>
      </w:lvl>
    </w:lvlOverride>
    <w:lvlOverride w:ilvl="3">
      <w:lvl w:ilvl="3">
        <w:start w:val="1"/>
        <w:numFmt w:val="decimal"/>
        <w:pStyle w:val="Heading4"/>
        <w:lvlText w:val="%1.%2.%3.%4"/>
        <w:lvlJc w:val="left"/>
        <w:pPr>
          <w:ind w:left="357" w:hanging="357"/>
        </w:pPr>
        <w:rPr>
          <w:rFonts w:hint="default"/>
        </w:rPr>
      </w:lvl>
    </w:lvlOverride>
    <w:lvlOverride w:ilvl="4">
      <w:lvl w:ilvl="4">
        <w:start w:val="1"/>
        <w:numFmt w:val="decimal"/>
        <w:pStyle w:val="Heading5"/>
        <w:lvlText w:val="%1.%2.%3.%4.%5"/>
        <w:lvlJc w:val="left"/>
        <w:pPr>
          <w:ind w:left="357" w:hanging="357"/>
        </w:pPr>
        <w:rPr>
          <w:rFonts w:hint="default"/>
        </w:rPr>
      </w:lvl>
    </w:lvlOverride>
    <w:lvlOverride w:ilvl="5">
      <w:lvl w:ilvl="5">
        <w:start w:val="1"/>
        <w:numFmt w:val="lowerRoman"/>
        <w:lvlText w:val="(%6)"/>
        <w:lvlJc w:val="left"/>
        <w:pPr>
          <w:ind w:left="357" w:hanging="357"/>
        </w:pPr>
        <w:rPr>
          <w:rFonts w:hint="default"/>
        </w:rPr>
      </w:lvl>
    </w:lvlOverride>
    <w:lvlOverride w:ilvl="6">
      <w:lvl w:ilvl="6">
        <w:start w:val="1"/>
        <w:numFmt w:val="decimal"/>
        <w:lvlText w:val="%7."/>
        <w:lvlJc w:val="left"/>
        <w:pPr>
          <w:ind w:left="357" w:hanging="357"/>
        </w:pPr>
        <w:rPr>
          <w:rFonts w:hint="default"/>
        </w:rPr>
      </w:lvl>
    </w:lvlOverride>
    <w:lvlOverride w:ilvl="7">
      <w:lvl w:ilvl="7">
        <w:start w:val="1"/>
        <w:numFmt w:val="lowerLetter"/>
        <w:lvlText w:val="%8."/>
        <w:lvlJc w:val="left"/>
        <w:pPr>
          <w:ind w:left="357" w:hanging="357"/>
        </w:pPr>
        <w:rPr>
          <w:rFonts w:hint="default"/>
        </w:rPr>
      </w:lvl>
    </w:lvlOverride>
    <w:lvlOverride w:ilvl="8">
      <w:lvl w:ilvl="8">
        <w:start w:val="1"/>
        <w:numFmt w:val="lowerRoman"/>
        <w:lvlText w:val="%9."/>
        <w:lvlJc w:val="left"/>
        <w:pPr>
          <w:ind w:left="357" w:hanging="357"/>
        </w:pPr>
        <w:rPr>
          <w:rFonts w:hint="default"/>
        </w:rPr>
      </w:lvl>
    </w:lvlOverride>
  </w:num>
  <w:num w:numId="40">
    <w:abstractNumId w:val="8"/>
    <w:lvlOverride w:ilvl="0">
      <w:startOverride w:val="4"/>
      <w:lvl w:ilvl="0">
        <w:start w:val="4"/>
        <w:numFmt w:val="decimal"/>
        <w:pStyle w:val="Heading1"/>
        <w:lvlText w:val=""/>
        <w:lvlJc w:val="left"/>
      </w:lvl>
    </w:lvlOverride>
    <w:lvlOverride w:ilvl="1">
      <w:startOverride w:val="9"/>
      <w:lvl w:ilvl="1">
        <w:start w:val="9"/>
        <w:numFmt w:val="decimal"/>
        <w:pStyle w:val="Heading2"/>
        <w:lvlText w:val="%1.%2"/>
        <w:lvlJc w:val="left"/>
        <w:pPr>
          <w:ind w:left="357" w:hanging="3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Financial Economic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pprp0f0rzw05ved0s9xwzaqtxz0v9sfawwv&quot;&gt;My EndNote Library&lt;record-ids&gt;&lt;item&gt;2&lt;/item&gt;&lt;item&gt;3&lt;/item&gt;&lt;item&gt;4&lt;/item&gt;&lt;item&gt;5&lt;/item&gt;&lt;item&gt;6&lt;/item&gt;&lt;item&gt;7&lt;/item&gt;&lt;item&gt;8&lt;/item&gt;&lt;item&gt;9&lt;/item&gt;&lt;item&gt;11&lt;/item&gt;&lt;item&gt;12&lt;/item&gt;&lt;item&gt;13&lt;/item&gt;&lt;item&gt;15&lt;/item&gt;&lt;item&gt;16&lt;/item&gt;&lt;item&gt;17&lt;/item&gt;&lt;item&gt;18&lt;/item&gt;&lt;item&gt;20&lt;/item&gt;&lt;item&gt;24&lt;/item&gt;&lt;item&gt;28&lt;/item&gt;&lt;item&gt;30&lt;/item&gt;&lt;item&gt;31&lt;/item&gt;&lt;item&gt;32&lt;/item&gt;&lt;item&gt;33&lt;/item&gt;&lt;item&gt;34&lt;/item&gt;&lt;item&gt;35&lt;/item&gt;&lt;item&gt;36&lt;/item&gt;&lt;item&gt;37&lt;/item&gt;&lt;item&gt;39&lt;/item&gt;&lt;item&gt;40&lt;/item&gt;&lt;item&gt;41&lt;/item&gt;&lt;item&gt;42&lt;/item&gt;&lt;item&gt;44&lt;/item&gt;&lt;item&gt;45&lt;/item&gt;&lt;item&gt;46&lt;/item&gt;&lt;item&gt;49&lt;/item&gt;&lt;item&gt;50&lt;/item&gt;&lt;item&gt;53&lt;/item&gt;&lt;item&gt;54&lt;/item&gt;&lt;item&gt;55&lt;/item&gt;&lt;item&gt;56&lt;/item&gt;&lt;item&gt;70&lt;/item&gt;&lt;item&gt;72&lt;/item&gt;&lt;item&gt;73&lt;/item&gt;&lt;item&gt;74&lt;/item&gt;&lt;item&gt;75&lt;/item&gt;&lt;item&gt;76&lt;/item&gt;&lt;item&gt;77&lt;/item&gt;&lt;item&gt;78&lt;/item&gt;&lt;item&gt;79&lt;/item&gt;&lt;item&gt;80&lt;/item&gt;&lt;item&gt;81&lt;/item&gt;&lt;item&gt;83&lt;/item&gt;&lt;item&gt;84&lt;/item&gt;&lt;item&gt;85&lt;/item&gt;&lt;item&gt;86&lt;/item&gt;&lt;item&gt;87&lt;/item&gt;&lt;item&gt;89&lt;/item&gt;&lt;item&gt;90&lt;/item&gt;&lt;item&gt;91&lt;/item&gt;&lt;item&gt;92&lt;/item&gt;&lt;item&gt;93&lt;/item&gt;&lt;item&gt;94&lt;/item&gt;&lt;item&gt;95&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record-ids&gt;&lt;/item&gt;&lt;/Libraries&gt;"/>
  </w:docVars>
  <w:rsids>
    <w:rsidRoot w:val="00265A50"/>
    <w:rsid w:val="00000AD1"/>
    <w:rsid w:val="00001FA7"/>
    <w:rsid w:val="000024ED"/>
    <w:rsid w:val="0001593E"/>
    <w:rsid w:val="00022820"/>
    <w:rsid w:val="00023239"/>
    <w:rsid w:val="00024686"/>
    <w:rsid w:val="00024694"/>
    <w:rsid w:val="00024B72"/>
    <w:rsid w:val="00025253"/>
    <w:rsid w:val="00026A10"/>
    <w:rsid w:val="00026CE4"/>
    <w:rsid w:val="00030015"/>
    <w:rsid w:val="00036308"/>
    <w:rsid w:val="00040563"/>
    <w:rsid w:val="000405DA"/>
    <w:rsid w:val="00040611"/>
    <w:rsid w:val="00040A45"/>
    <w:rsid w:val="00041D5D"/>
    <w:rsid w:val="000421D1"/>
    <w:rsid w:val="0004355C"/>
    <w:rsid w:val="00044F78"/>
    <w:rsid w:val="000450E6"/>
    <w:rsid w:val="000464A6"/>
    <w:rsid w:val="0004651F"/>
    <w:rsid w:val="0005368D"/>
    <w:rsid w:val="0005546A"/>
    <w:rsid w:val="000556C0"/>
    <w:rsid w:val="00055A13"/>
    <w:rsid w:val="00055CC0"/>
    <w:rsid w:val="00056727"/>
    <w:rsid w:val="000570A7"/>
    <w:rsid w:val="00057860"/>
    <w:rsid w:val="00057BBD"/>
    <w:rsid w:val="000623E4"/>
    <w:rsid w:val="00063B9C"/>
    <w:rsid w:val="00063C68"/>
    <w:rsid w:val="00065CA2"/>
    <w:rsid w:val="00066539"/>
    <w:rsid w:val="000675D3"/>
    <w:rsid w:val="00067BC0"/>
    <w:rsid w:val="00072A80"/>
    <w:rsid w:val="00072DCC"/>
    <w:rsid w:val="00084D7C"/>
    <w:rsid w:val="00084EA0"/>
    <w:rsid w:val="00084F05"/>
    <w:rsid w:val="0008588B"/>
    <w:rsid w:val="00087649"/>
    <w:rsid w:val="000904FE"/>
    <w:rsid w:val="00090F45"/>
    <w:rsid w:val="000914DC"/>
    <w:rsid w:val="00092D6D"/>
    <w:rsid w:val="00093331"/>
    <w:rsid w:val="00094114"/>
    <w:rsid w:val="00095EF9"/>
    <w:rsid w:val="0009633B"/>
    <w:rsid w:val="000A09E0"/>
    <w:rsid w:val="000A0C40"/>
    <w:rsid w:val="000A24D2"/>
    <w:rsid w:val="000A4E81"/>
    <w:rsid w:val="000A5B1B"/>
    <w:rsid w:val="000A7373"/>
    <w:rsid w:val="000A7FB2"/>
    <w:rsid w:val="000B067F"/>
    <w:rsid w:val="000B1D21"/>
    <w:rsid w:val="000B26C1"/>
    <w:rsid w:val="000B2D5D"/>
    <w:rsid w:val="000B3077"/>
    <w:rsid w:val="000B4ADF"/>
    <w:rsid w:val="000B7364"/>
    <w:rsid w:val="000B764A"/>
    <w:rsid w:val="000C0CD0"/>
    <w:rsid w:val="000C4E31"/>
    <w:rsid w:val="000C4E7F"/>
    <w:rsid w:val="000C4EBA"/>
    <w:rsid w:val="000C76F0"/>
    <w:rsid w:val="000C7787"/>
    <w:rsid w:val="000D0510"/>
    <w:rsid w:val="000D1375"/>
    <w:rsid w:val="000D142F"/>
    <w:rsid w:val="000D479E"/>
    <w:rsid w:val="000D4CD2"/>
    <w:rsid w:val="000D54D1"/>
    <w:rsid w:val="000D55AE"/>
    <w:rsid w:val="000D6268"/>
    <w:rsid w:val="000D682B"/>
    <w:rsid w:val="000D74C1"/>
    <w:rsid w:val="000E07B6"/>
    <w:rsid w:val="000E10E9"/>
    <w:rsid w:val="000E1B61"/>
    <w:rsid w:val="000E5F5B"/>
    <w:rsid w:val="000E61D5"/>
    <w:rsid w:val="000E6689"/>
    <w:rsid w:val="000E7AC1"/>
    <w:rsid w:val="000F2D67"/>
    <w:rsid w:val="000F31A5"/>
    <w:rsid w:val="000F3499"/>
    <w:rsid w:val="000F39E8"/>
    <w:rsid w:val="000F3F68"/>
    <w:rsid w:val="000F5078"/>
    <w:rsid w:val="000F6094"/>
    <w:rsid w:val="000F6E6B"/>
    <w:rsid w:val="00100E51"/>
    <w:rsid w:val="00105790"/>
    <w:rsid w:val="00105AFF"/>
    <w:rsid w:val="00106891"/>
    <w:rsid w:val="0010702E"/>
    <w:rsid w:val="00107298"/>
    <w:rsid w:val="00107F66"/>
    <w:rsid w:val="00111811"/>
    <w:rsid w:val="0011293C"/>
    <w:rsid w:val="0011306B"/>
    <w:rsid w:val="00115A96"/>
    <w:rsid w:val="00115AB3"/>
    <w:rsid w:val="00115DC0"/>
    <w:rsid w:val="0011768B"/>
    <w:rsid w:val="001179F6"/>
    <w:rsid w:val="0012699C"/>
    <w:rsid w:val="0013008B"/>
    <w:rsid w:val="00133CEA"/>
    <w:rsid w:val="00137278"/>
    <w:rsid w:val="00142009"/>
    <w:rsid w:val="00142755"/>
    <w:rsid w:val="00142F35"/>
    <w:rsid w:val="001431D4"/>
    <w:rsid w:val="001477E4"/>
    <w:rsid w:val="00151716"/>
    <w:rsid w:val="00151912"/>
    <w:rsid w:val="00152EAB"/>
    <w:rsid w:val="00153240"/>
    <w:rsid w:val="001534D6"/>
    <w:rsid w:val="001554FE"/>
    <w:rsid w:val="00156144"/>
    <w:rsid w:val="0015721C"/>
    <w:rsid w:val="00157F87"/>
    <w:rsid w:val="00166116"/>
    <w:rsid w:val="001664AD"/>
    <w:rsid w:val="001706DA"/>
    <w:rsid w:val="0017249A"/>
    <w:rsid w:val="001732C0"/>
    <w:rsid w:val="0017657D"/>
    <w:rsid w:val="00177CC3"/>
    <w:rsid w:val="00180463"/>
    <w:rsid w:val="00180A7A"/>
    <w:rsid w:val="00180F9C"/>
    <w:rsid w:val="0018145C"/>
    <w:rsid w:val="00181FED"/>
    <w:rsid w:val="00182215"/>
    <w:rsid w:val="00183484"/>
    <w:rsid w:val="00190366"/>
    <w:rsid w:val="001906C1"/>
    <w:rsid w:val="00190861"/>
    <w:rsid w:val="00192C04"/>
    <w:rsid w:val="0019450C"/>
    <w:rsid w:val="001945F3"/>
    <w:rsid w:val="00194BA7"/>
    <w:rsid w:val="0019634A"/>
    <w:rsid w:val="0019708D"/>
    <w:rsid w:val="001A03CA"/>
    <w:rsid w:val="001A0724"/>
    <w:rsid w:val="001A0A08"/>
    <w:rsid w:val="001A4FB7"/>
    <w:rsid w:val="001A5999"/>
    <w:rsid w:val="001A71D7"/>
    <w:rsid w:val="001A7973"/>
    <w:rsid w:val="001B0127"/>
    <w:rsid w:val="001B3452"/>
    <w:rsid w:val="001B6820"/>
    <w:rsid w:val="001B7169"/>
    <w:rsid w:val="001B721C"/>
    <w:rsid w:val="001C4D1E"/>
    <w:rsid w:val="001C60D5"/>
    <w:rsid w:val="001C64B1"/>
    <w:rsid w:val="001C65D5"/>
    <w:rsid w:val="001C6B94"/>
    <w:rsid w:val="001D3DB4"/>
    <w:rsid w:val="001D492C"/>
    <w:rsid w:val="001D52FA"/>
    <w:rsid w:val="001D5CCA"/>
    <w:rsid w:val="001D6377"/>
    <w:rsid w:val="001D789D"/>
    <w:rsid w:val="001E19D3"/>
    <w:rsid w:val="001F184F"/>
    <w:rsid w:val="001F2873"/>
    <w:rsid w:val="001F28A6"/>
    <w:rsid w:val="001F3340"/>
    <w:rsid w:val="001F3C92"/>
    <w:rsid w:val="00202490"/>
    <w:rsid w:val="00204373"/>
    <w:rsid w:val="00204C0D"/>
    <w:rsid w:val="00206CE1"/>
    <w:rsid w:val="002137F8"/>
    <w:rsid w:val="00213CD2"/>
    <w:rsid w:val="00213EFA"/>
    <w:rsid w:val="0021579D"/>
    <w:rsid w:val="00215876"/>
    <w:rsid w:val="0021604B"/>
    <w:rsid w:val="0021626E"/>
    <w:rsid w:val="002172CA"/>
    <w:rsid w:val="002211D9"/>
    <w:rsid w:val="00221CF2"/>
    <w:rsid w:val="0022380E"/>
    <w:rsid w:val="00224432"/>
    <w:rsid w:val="0022593C"/>
    <w:rsid w:val="002278C8"/>
    <w:rsid w:val="0023121B"/>
    <w:rsid w:val="002319D7"/>
    <w:rsid w:val="00234958"/>
    <w:rsid w:val="0023497C"/>
    <w:rsid w:val="00235602"/>
    <w:rsid w:val="00236E8E"/>
    <w:rsid w:val="00242866"/>
    <w:rsid w:val="00243277"/>
    <w:rsid w:val="002436E8"/>
    <w:rsid w:val="00244478"/>
    <w:rsid w:val="00245619"/>
    <w:rsid w:val="0024580C"/>
    <w:rsid w:val="0024596A"/>
    <w:rsid w:val="00250D6C"/>
    <w:rsid w:val="0025241C"/>
    <w:rsid w:val="00253BE2"/>
    <w:rsid w:val="00255535"/>
    <w:rsid w:val="002559C4"/>
    <w:rsid w:val="00255AE9"/>
    <w:rsid w:val="002568D0"/>
    <w:rsid w:val="00256F34"/>
    <w:rsid w:val="00263478"/>
    <w:rsid w:val="0026557F"/>
    <w:rsid w:val="00265A50"/>
    <w:rsid w:val="00265F64"/>
    <w:rsid w:val="002709AF"/>
    <w:rsid w:val="002715A5"/>
    <w:rsid w:val="00271CB0"/>
    <w:rsid w:val="00271DC5"/>
    <w:rsid w:val="00271EE9"/>
    <w:rsid w:val="0027237A"/>
    <w:rsid w:val="002723B2"/>
    <w:rsid w:val="00273614"/>
    <w:rsid w:val="00273E3E"/>
    <w:rsid w:val="00274B7B"/>
    <w:rsid w:val="002755F5"/>
    <w:rsid w:val="00277205"/>
    <w:rsid w:val="002774F9"/>
    <w:rsid w:val="00277D8C"/>
    <w:rsid w:val="002804EF"/>
    <w:rsid w:val="00281C60"/>
    <w:rsid w:val="00282853"/>
    <w:rsid w:val="002831F1"/>
    <w:rsid w:val="00286CAD"/>
    <w:rsid w:val="0029046B"/>
    <w:rsid w:val="00291F55"/>
    <w:rsid w:val="002931ED"/>
    <w:rsid w:val="00294980"/>
    <w:rsid w:val="00294E29"/>
    <w:rsid w:val="00295955"/>
    <w:rsid w:val="0029636F"/>
    <w:rsid w:val="002A06F3"/>
    <w:rsid w:val="002A07F1"/>
    <w:rsid w:val="002A132E"/>
    <w:rsid w:val="002A1456"/>
    <w:rsid w:val="002A1772"/>
    <w:rsid w:val="002A28A5"/>
    <w:rsid w:val="002A31E4"/>
    <w:rsid w:val="002A41B3"/>
    <w:rsid w:val="002A4351"/>
    <w:rsid w:val="002A4516"/>
    <w:rsid w:val="002A62D1"/>
    <w:rsid w:val="002A6C59"/>
    <w:rsid w:val="002A7567"/>
    <w:rsid w:val="002A7ACC"/>
    <w:rsid w:val="002B2BEC"/>
    <w:rsid w:val="002B2D22"/>
    <w:rsid w:val="002B4765"/>
    <w:rsid w:val="002B571E"/>
    <w:rsid w:val="002B67FC"/>
    <w:rsid w:val="002C04C4"/>
    <w:rsid w:val="002C34AC"/>
    <w:rsid w:val="002C4C9A"/>
    <w:rsid w:val="002C54E2"/>
    <w:rsid w:val="002C7861"/>
    <w:rsid w:val="002D0C3D"/>
    <w:rsid w:val="002D1B04"/>
    <w:rsid w:val="002D4990"/>
    <w:rsid w:val="002D4AA5"/>
    <w:rsid w:val="002D50C0"/>
    <w:rsid w:val="002D5BFF"/>
    <w:rsid w:val="002D5C73"/>
    <w:rsid w:val="002E4335"/>
    <w:rsid w:val="002E525E"/>
    <w:rsid w:val="002E5D73"/>
    <w:rsid w:val="002F0BA8"/>
    <w:rsid w:val="002F1A8E"/>
    <w:rsid w:val="002F46F4"/>
    <w:rsid w:val="002F6658"/>
    <w:rsid w:val="002F74CA"/>
    <w:rsid w:val="003012A2"/>
    <w:rsid w:val="0030227B"/>
    <w:rsid w:val="0030239F"/>
    <w:rsid w:val="00306D79"/>
    <w:rsid w:val="003075AD"/>
    <w:rsid w:val="003110AA"/>
    <w:rsid w:val="00313225"/>
    <w:rsid w:val="003137DE"/>
    <w:rsid w:val="00316372"/>
    <w:rsid w:val="00320129"/>
    <w:rsid w:val="00322121"/>
    <w:rsid w:val="003240C4"/>
    <w:rsid w:val="0033036D"/>
    <w:rsid w:val="0033103E"/>
    <w:rsid w:val="00341250"/>
    <w:rsid w:val="00342B4C"/>
    <w:rsid w:val="003431DF"/>
    <w:rsid w:val="00350154"/>
    <w:rsid w:val="00351536"/>
    <w:rsid w:val="003545A6"/>
    <w:rsid w:val="003545F2"/>
    <w:rsid w:val="003562B5"/>
    <w:rsid w:val="003568AF"/>
    <w:rsid w:val="0035770D"/>
    <w:rsid w:val="00357A29"/>
    <w:rsid w:val="00362928"/>
    <w:rsid w:val="003634D4"/>
    <w:rsid w:val="00364A8C"/>
    <w:rsid w:val="00364C7E"/>
    <w:rsid w:val="003655C2"/>
    <w:rsid w:val="0036738A"/>
    <w:rsid w:val="0037056A"/>
    <w:rsid w:val="003764AD"/>
    <w:rsid w:val="003764EE"/>
    <w:rsid w:val="00377875"/>
    <w:rsid w:val="003802B4"/>
    <w:rsid w:val="00384344"/>
    <w:rsid w:val="003907EB"/>
    <w:rsid w:val="0039137A"/>
    <w:rsid w:val="00391765"/>
    <w:rsid w:val="00392949"/>
    <w:rsid w:val="00392AB3"/>
    <w:rsid w:val="00393648"/>
    <w:rsid w:val="00393784"/>
    <w:rsid w:val="00394DEB"/>
    <w:rsid w:val="003961C6"/>
    <w:rsid w:val="00396FAE"/>
    <w:rsid w:val="003977DB"/>
    <w:rsid w:val="00397C89"/>
    <w:rsid w:val="003A0500"/>
    <w:rsid w:val="003A0A00"/>
    <w:rsid w:val="003A16BA"/>
    <w:rsid w:val="003A19A6"/>
    <w:rsid w:val="003A29F4"/>
    <w:rsid w:val="003A3939"/>
    <w:rsid w:val="003A3A6F"/>
    <w:rsid w:val="003A57A8"/>
    <w:rsid w:val="003A641D"/>
    <w:rsid w:val="003A694A"/>
    <w:rsid w:val="003A6A2B"/>
    <w:rsid w:val="003B1B07"/>
    <w:rsid w:val="003B2010"/>
    <w:rsid w:val="003B4283"/>
    <w:rsid w:val="003B449E"/>
    <w:rsid w:val="003B4B97"/>
    <w:rsid w:val="003B4C19"/>
    <w:rsid w:val="003B5A82"/>
    <w:rsid w:val="003B5AC1"/>
    <w:rsid w:val="003B74BB"/>
    <w:rsid w:val="003B76A4"/>
    <w:rsid w:val="003C0920"/>
    <w:rsid w:val="003C0E38"/>
    <w:rsid w:val="003C3F04"/>
    <w:rsid w:val="003C4CED"/>
    <w:rsid w:val="003C4D7A"/>
    <w:rsid w:val="003C4EC3"/>
    <w:rsid w:val="003C5506"/>
    <w:rsid w:val="003C5E8C"/>
    <w:rsid w:val="003C66D0"/>
    <w:rsid w:val="003D1812"/>
    <w:rsid w:val="003D338C"/>
    <w:rsid w:val="003D51C0"/>
    <w:rsid w:val="003D6401"/>
    <w:rsid w:val="003D6954"/>
    <w:rsid w:val="003D7529"/>
    <w:rsid w:val="003D7A4C"/>
    <w:rsid w:val="003E0D9B"/>
    <w:rsid w:val="003E1F2E"/>
    <w:rsid w:val="003E27A8"/>
    <w:rsid w:val="003E28E6"/>
    <w:rsid w:val="003E40C8"/>
    <w:rsid w:val="003E692D"/>
    <w:rsid w:val="003E6C5B"/>
    <w:rsid w:val="003E7F2D"/>
    <w:rsid w:val="003E7FEC"/>
    <w:rsid w:val="003F4C7E"/>
    <w:rsid w:val="003F5E91"/>
    <w:rsid w:val="00400F1F"/>
    <w:rsid w:val="004015C3"/>
    <w:rsid w:val="0040413C"/>
    <w:rsid w:val="00410064"/>
    <w:rsid w:val="004116A6"/>
    <w:rsid w:val="0041173F"/>
    <w:rsid w:val="00412A96"/>
    <w:rsid w:val="00412B0E"/>
    <w:rsid w:val="0041359D"/>
    <w:rsid w:val="0041360F"/>
    <w:rsid w:val="00413ED8"/>
    <w:rsid w:val="00413F80"/>
    <w:rsid w:val="004158E6"/>
    <w:rsid w:val="00416877"/>
    <w:rsid w:val="00416B1D"/>
    <w:rsid w:val="00416CE9"/>
    <w:rsid w:val="00417C4E"/>
    <w:rsid w:val="00422F0C"/>
    <w:rsid w:val="004243E3"/>
    <w:rsid w:val="0042448E"/>
    <w:rsid w:val="0042487A"/>
    <w:rsid w:val="0042553C"/>
    <w:rsid w:val="0042619A"/>
    <w:rsid w:val="00430F17"/>
    <w:rsid w:val="004313C7"/>
    <w:rsid w:val="00431F3E"/>
    <w:rsid w:val="00433A9B"/>
    <w:rsid w:val="0043404B"/>
    <w:rsid w:val="00434168"/>
    <w:rsid w:val="00434E90"/>
    <w:rsid w:val="00440ACB"/>
    <w:rsid w:val="00440BAD"/>
    <w:rsid w:val="00442EB7"/>
    <w:rsid w:val="0044317A"/>
    <w:rsid w:val="00446767"/>
    <w:rsid w:val="00446FD4"/>
    <w:rsid w:val="004502BF"/>
    <w:rsid w:val="0045062C"/>
    <w:rsid w:val="00450741"/>
    <w:rsid w:val="00450D12"/>
    <w:rsid w:val="0045153C"/>
    <w:rsid w:val="00451915"/>
    <w:rsid w:val="004545FF"/>
    <w:rsid w:val="00456609"/>
    <w:rsid w:val="0045783D"/>
    <w:rsid w:val="00461CDD"/>
    <w:rsid w:val="00464278"/>
    <w:rsid w:val="004667EA"/>
    <w:rsid w:val="00466962"/>
    <w:rsid w:val="0047266C"/>
    <w:rsid w:val="0047305F"/>
    <w:rsid w:val="00473255"/>
    <w:rsid w:val="00477FA7"/>
    <w:rsid w:val="00482220"/>
    <w:rsid w:val="004853BA"/>
    <w:rsid w:val="00485EDD"/>
    <w:rsid w:val="00487017"/>
    <w:rsid w:val="004900CB"/>
    <w:rsid w:val="00490575"/>
    <w:rsid w:val="004917BA"/>
    <w:rsid w:val="00491E38"/>
    <w:rsid w:val="004949C9"/>
    <w:rsid w:val="00497567"/>
    <w:rsid w:val="004A0AC1"/>
    <w:rsid w:val="004A446E"/>
    <w:rsid w:val="004A4670"/>
    <w:rsid w:val="004A46E4"/>
    <w:rsid w:val="004A7110"/>
    <w:rsid w:val="004A7213"/>
    <w:rsid w:val="004B030D"/>
    <w:rsid w:val="004B06DA"/>
    <w:rsid w:val="004B164A"/>
    <w:rsid w:val="004B1BB0"/>
    <w:rsid w:val="004B1BE9"/>
    <w:rsid w:val="004B2E94"/>
    <w:rsid w:val="004B3756"/>
    <w:rsid w:val="004B4184"/>
    <w:rsid w:val="004B4427"/>
    <w:rsid w:val="004B6198"/>
    <w:rsid w:val="004B6797"/>
    <w:rsid w:val="004B71D2"/>
    <w:rsid w:val="004C29AF"/>
    <w:rsid w:val="004C360E"/>
    <w:rsid w:val="004C4CB6"/>
    <w:rsid w:val="004D1A7D"/>
    <w:rsid w:val="004D2696"/>
    <w:rsid w:val="004D6004"/>
    <w:rsid w:val="004E3AD3"/>
    <w:rsid w:val="004E3CD2"/>
    <w:rsid w:val="004E4873"/>
    <w:rsid w:val="004E59D3"/>
    <w:rsid w:val="004E5B4E"/>
    <w:rsid w:val="004E6372"/>
    <w:rsid w:val="004E6A29"/>
    <w:rsid w:val="004E6EF5"/>
    <w:rsid w:val="004F0FFD"/>
    <w:rsid w:val="004F28FB"/>
    <w:rsid w:val="004F2B29"/>
    <w:rsid w:val="004F391F"/>
    <w:rsid w:val="004F3E47"/>
    <w:rsid w:val="004F4D2A"/>
    <w:rsid w:val="004F508F"/>
    <w:rsid w:val="004F64B7"/>
    <w:rsid w:val="00500BDF"/>
    <w:rsid w:val="00501857"/>
    <w:rsid w:val="00502616"/>
    <w:rsid w:val="00503E35"/>
    <w:rsid w:val="00505C96"/>
    <w:rsid w:val="00506C2B"/>
    <w:rsid w:val="0050756E"/>
    <w:rsid w:val="005076A3"/>
    <w:rsid w:val="005109A3"/>
    <w:rsid w:val="00510D80"/>
    <w:rsid w:val="005110D5"/>
    <w:rsid w:val="005113A2"/>
    <w:rsid w:val="00512568"/>
    <w:rsid w:val="00514258"/>
    <w:rsid w:val="005156A1"/>
    <w:rsid w:val="00516CC7"/>
    <w:rsid w:val="005203CC"/>
    <w:rsid w:val="005238C9"/>
    <w:rsid w:val="00523BFC"/>
    <w:rsid w:val="00525734"/>
    <w:rsid w:val="005265E5"/>
    <w:rsid w:val="005278BB"/>
    <w:rsid w:val="00527D16"/>
    <w:rsid w:val="005317A5"/>
    <w:rsid w:val="00531FAC"/>
    <w:rsid w:val="00532231"/>
    <w:rsid w:val="005328B4"/>
    <w:rsid w:val="00533CC8"/>
    <w:rsid w:val="00534895"/>
    <w:rsid w:val="00535453"/>
    <w:rsid w:val="00535B44"/>
    <w:rsid w:val="00535B6C"/>
    <w:rsid w:val="005368D8"/>
    <w:rsid w:val="005378AB"/>
    <w:rsid w:val="00540079"/>
    <w:rsid w:val="0054150C"/>
    <w:rsid w:val="00541619"/>
    <w:rsid w:val="00541DF2"/>
    <w:rsid w:val="00542854"/>
    <w:rsid w:val="00542B58"/>
    <w:rsid w:val="00544F46"/>
    <w:rsid w:val="00545110"/>
    <w:rsid w:val="005468B6"/>
    <w:rsid w:val="005503FC"/>
    <w:rsid w:val="00550BBC"/>
    <w:rsid w:val="00551DFB"/>
    <w:rsid w:val="00552AFA"/>
    <w:rsid w:val="00555E4C"/>
    <w:rsid w:val="005572A9"/>
    <w:rsid w:val="005600DB"/>
    <w:rsid w:val="0056081D"/>
    <w:rsid w:val="00561CF7"/>
    <w:rsid w:val="005637E0"/>
    <w:rsid w:val="005637EC"/>
    <w:rsid w:val="00564147"/>
    <w:rsid w:val="00566B07"/>
    <w:rsid w:val="005670C3"/>
    <w:rsid w:val="005704D7"/>
    <w:rsid w:val="0057192B"/>
    <w:rsid w:val="00571BBE"/>
    <w:rsid w:val="00573181"/>
    <w:rsid w:val="00575790"/>
    <w:rsid w:val="00575C96"/>
    <w:rsid w:val="00576D36"/>
    <w:rsid w:val="0058192B"/>
    <w:rsid w:val="005822E2"/>
    <w:rsid w:val="00584BFF"/>
    <w:rsid w:val="00587592"/>
    <w:rsid w:val="005932BA"/>
    <w:rsid w:val="00593F12"/>
    <w:rsid w:val="00595872"/>
    <w:rsid w:val="00597062"/>
    <w:rsid w:val="00597820"/>
    <w:rsid w:val="005A2512"/>
    <w:rsid w:val="005A3005"/>
    <w:rsid w:val="005A384F"/>
    <w:rsid w:val="005A4E97"/>
    <w:rsid w:val="005A5BE0"/>
    <w:rsid w:val="005A6890"/>
    <w:rsid w:val="005B0AA7"/>
    <w:rsid w:val="005B0D5E"/>
    <w:rsid w:val="005B1310"/>
    <w:rsid w:val="005B1D2E"/>
    <w:rsid w:val="005B4C8A"/>
    <w:rsid w:val="005B60D8"/>
    <w:rsid w:val="005B6334"/>
    <w:rsid w:val="005B6477"/>
    <w:rsid w:val="005C0032"/>
    <w:rsid w:val="005C089D"/>
    <w:rsid w:val="005C0CDC"/>
    <w:rsid w:val="005C1659"/>
    <w:rsid w:val="005C29E8"/>
    <w:rsid w:val="005C2DC1"/>
    <w:rsid w:val="005C32A4"/>
    <w:rsid w:val="005C49F0"/>
    <w:rsid w:val="005C6018"/>
    <w:rsid w:val="005C6CED"/>
    <w:rsid w:val="005D04CD"/>
    <w:rsid w:val="005D1005"/>
    <w:rsid w:val="005D2628"/>
    <w:rsid w:val="005D4553"/>
    <w:rsid w:val="005D4E31"/>
    <w:rsid w:val="005D5589"/>
    <w:rsid w:val="005D65CE"/>
    <w:rsid w:val="005E1D0E"/>
    <w:rsid w:val="005E1D3B"/>
    <w:rsid w:val="005E4040"/>
    <w:rsid w:val="005E4EB2"/>
    <w:rsid w:val="005F0431"/>
    <w:rsid w:val="005F2AEA"/>
    <w:rsid w:val="005F40B9"/>
    <w:rsid w:val="005F598C"/>
    <w:rsid w:val="005F684E"/>
    <w:rsid w:val="005F7FE2"/>
    <w:rsid w:val="00601ED9"/>
    <w:rsid w:val="00607326"/>
    <w:rsid w:val="0061026A"/>
    <w:rsid w:val="00611508"/>
    <w:rsid w:val="00613ABA"/>
    <w:rsid w:val="00614B5F"/>
    <w:rsid w:val="00615729"/>
    <w:rsid w:val="006158A7"/>
    <w:rsid w:val="00620C7F"/>
    <w:rsid w:val="00622AC6"/>
    <w:rsid w:val="00623308"/>
    <w:rsid w:val="0062518A"/>
    <w:rsid w:val="00625CC0"/>
    <w:rsid w:val="00625CD1"/>
    <w:rsid w:val="006265C5"/>
    <w:rsid w:val="006302E7"/>
    <w:rsid w:val="00632A5D"/>
    <w:rsid w:val="00632F0B"/>
    <w:rsid w:val="00633412"/>
    <w:rsid w:val="006356B6"/>
    <w:rsid w:val="00640EEE"/>
    <w:rsid w:val="0064125D"/>
    <w:rsid w:val="00642A79"/>
    <w:rsid w:val="00642C3E"/>
    <w:rsid w:val="00642DBD"/>
    <w:rsid w:val="00644340"/>
    <w:rsid w:val="0065295D"/>
    <w:rsid w:val="006548DC"/>
    <w:rsid w:val="00657394"/>
    <w:rsid w:val="006573AF"/>
    <w:rsid w:val="0066374A"/>
    <w:rsid w:val="00663AE5"/>
    <w:rsid w:val="006661D8"/>
    <w:rsid w:val="00670601"/>
    <w:rsid w:val="0067121C"/>
    <w:rsid w:val="00671A5C"/>
    <w:rsid w:val="0067246A"/>
    <w:rsid w:val="00673947"/>
    <w:rsid w:val="00673A2D"/>
    <w:rsid w:val="00673F4E"/>
    <w:rsid w:val="0067795C"/>
    <w:rsid w:val="0068136C"/>
    <w:rsid w:val="006815E9"/>
    <w:rsid w:val="00681B22"/>
    <w:rsid w:val="006875C2"/>
    <w:rsid w:val="0069033C"/>
    <w:rsid w:val="006917CA"/>
    <w:rsid w:val="00691C38"/>
    <w:rsid w:val="00692A4E"/>
    <w:rsid w:val="00695003"/>
    <w:rsid w:val="00696F64"/>
    <w:rsid w:val="00696FC6"/>
    <w:rsid w:val="006A041E"/>
    <w:rsid w:val="006A1307"/>
    <w:rsid w:val="006A1422"/>
    <w:rsid w:val="006A3C36"/>
    <w:rsid w:val="006A4FA0"/>
    <w:rsid w:val="006A5A22"/>
    <w:rsid w:val="006A6ABF"/>
    <w:rsid w:val="006A6ED7"/>
    <w:rsid w:val="006A75D1"/>
    <w:rsid w:val="006A7676"/>
    <w:rsid w:val="006B0B6D"/>
    <w:rsid w:val="006B0D8A"/>
    <w:rsid w:val="006B1539"/>
    <w:rsid w:val="006B40AF"/>
    <w:rsid w:val="006B5A22"/>
    <w:rsid w:val="006B7AF9"/>
    <w:rsid w:val="006C0FFF"/>
    <w:rsid w:val="006C1424"/>
    <w:rsid w:val="006C1BAD"/>
    <w:rsid w:val="006C5D7B"/>
    <w:rsid w:val="006D0C68"/>
    <w:rsid w:val="006D4165"/>
    <w:rsid w:val="006D66E7"/>
    <w:rsid w:val="006D6C74"/>
    <w:rsid w:val="006E0257"/>
    <w:rsid w:val="006E09CF"/>
    <w:rsid w:val="006E0CB8"/>
    <w:rsid w:val="006E1396"/>
    <w:rsid w:val="006E21E0"/>
    <w:rsid w:val="006E2840"/>
    <w:rsid w:val="006E31DD"/>
    <w:rsid w:val="006E3925"/>
    <w:rsid w:val="006E6110"/>
    <w:rsid w:val="006F064E"/>
    <w:rsid w:val="006F122F"/>
    <w:rsid w:val="006F3018"/>
    <w:rsid w:val="006F4D6A"/>
    <w:rsid w:val="006F4F20"/>
    <w:rsid w:val="006F77D4"/>
    <w:rsid w:val="007038CF"/>
    <w:rsid w:val="007055E3"/>
    <w:rsid w:val="0071188F"/>
    <w:rsid w:val="00712BDC"/>
    <w:rsid w:val="00713117"/>
    <w:rsid w:val="0071324B"/>
    <w:rsid w:val="00713D16"/>
    <w:rsid w:val="00715143"/>
    <w:rsid w:val="00715699"/>
    <w:rsid w:val="0071651E"/>
    <w:rsid w:val="00720692"/>
    <w:rsid w:val="00721544"/>
    <w:rsid w:val="00724BFE"/>
    <w:rsid w:val="0072629D"/>
    <w:rsid w:val="00726990"/>
    <w:rsid w:val="00726EC8"/>
    <w:rsid w:val="007312BB"/>
    <w:rsid w:val="0073387A"/>
    <w:rsid w:val="007341E0"/>
    <w:rsid w:val="00734706"/>
    <w:rsid w:val="00735807"/>
    <w:rsid w:val="00735D42"/>
    <w:rsid w:val="00736F15"/>
    <w:rsid w:val="00737D25"/>
    <w:rsid w:val="007408DC"/>
    <w:rsid w:val="00740E30"/>
    <w:rsid w:val="00740E8D"/>
    <w:rsid w:val="00742353"/>
    <w:rsid w:val="00743195"/>
    <w:rsid w:val="00747739"/>
    <w:rsid w:val="00747C08"/>
    <w:rsid w:val="007520E3"/>
    <w:rsid w:val="00752764"/>
    <w:rsid w:val="00754CAE"/>
    <w:rsid w:val="007551BA"/>
    <w:rsid w:val="007558BD"/>
    <w:rsid w:val="00755EFA"/>
    <w:rsid w:val="00755F65"/>
    <w:rsid w:val="00756939"/>
    <w:rsid w:val="00760BC9"/>
    <w:rsid w:val="0076123C"/>
    <w:rsid w:val="00761CF1"/>
    <w:rsid w:val="00761EF9"/>
    <w:rsid w:val="00762F1A"/>
    <w:rsid w:val="007635B0"/>
    <w:rsid w:val="007659DE"/>
    <w:rsid w:val="00770EAF"/>
    <w:rsid w:val="00770F05"/>
    <w:rsid w:val="00771346"/>
    <w:rsid w:val="007738AB"/>
    <w:rsid w:val="00774473"/>
    <w:rsid w:val="007755D5"/>
    <w:rsid w:val="007770F6"/>
    <w:rsid w:val="00780D70"/>
    <w:rsid w:val="0078303B"/>
    <w:rsid w:val="007832FE"/>
    <w:rsid w:val="00784B33"/>
    <w:rsid w:val="00787116"/>
    <w:rsid w:val="00787B74"/>
    <w:rsid w:val="00787CD7"/>
    <w:rsid w:val="007902F4"/>
    <w:rsid w:val="00790C80"/>
    <w:rsid w:val="00791014"/>
    <w:rsid w:val="007963CE"/>
    <w:rsid w:val="007A0E18"/>
    <w:rsid w:val="007A2478"/>
    <w:rsid w:val="007A307B"/>
    <w:rsid w:val="007A3937"/>
    <w:rsid w:val="007A3DB8"/>
    <w:rsid w:val="007A4BC8"/>
    <w:rsid w:val="007A606F"/>
    <w:rsid w:val="007A74FB"/>
    <w:rsid w:val="007A799A"/>
    <w:rsid w:val="007B1D53"/>
    <w:rsid w:val="007B2318"/>
    <w:rsid w:val="007B46B9"/>
    <w:rsid w:val="007B46E4"/>
    <w:rsid w:val="007B47E7"/>
    <w:rsid w:val="007C1960"/>
    <w:rsid w:val="007C3007"/>
    <w:rsid w:val="007C3718"/>
    <w:rsid w:val="007C39D8"/>
    <w:rsid w:val="007C525B"/>
    <w:rsid w:val="007C631C"/>
    <w:rsid w:val="007C6D1A"/>
    <w:rsid w:val="007D1D42"/>
    <w:rsid w:val="007D22F4"/>
    <w:rsid w:val="007D2417"/>
    <w:rsid w:val="007D36FB"/>
    <w:rsid w:val="007D5AB4"/>
    <w:rsid w:val="007D5FBA"/>
    <w:rsid w:val="007D722B"/>
    <w:rsid w:val="007E1534"/>
    <w:rsid w:val="007E2948"/>
    <w:rsid w:val="007E3A1D"/>
    <w:rsid w:val="007E739D"/>
    <w:rsid w:val="007E7DA7"/>
    <w:rsid w:val="007F418D"/>
    <w:rsid w:val="007F51C1"/>
    <w:rsid w:val="007F6D9F"/>
    <w:rsid w:val="007F7DBF"/>
    <w:rsid w:val="007F7F30"/>
    <w:rsid w:val="00801585"/>
    <w:rsid w:val="00801C4B"/>
    <w:rsid w:val="00802ED5"/>
    <w:rsid w:val="00803CD9"/>
    <w:rsid w:val="00804658"/>
    <w:rsid w:val="00807180"/>
    <w:rsid w:val="00810334"/>
    <w:rsid w:val="008113CF"/>
    <w:rsid w:val="00817175"/>
    <w:rsid w:val="00821F94"/>
    <w:rsid w:val="0083119A"/>
    <w:rsid w:val="0083142E"/>
    <w:rsid w:val="00832912"/>
    <w:rsid w:val="00833B8C"/>
    <w:rsid w:val="00840BC9"/>
    <w:rsid w:val="00840D36"/>
    <w:rsid w:val="00841765"/>
    <w:rsid w:val="00844565"/>
    <w:rsid w:val="00844755"/>
    <w:rsid w:val="0084569B"/>
    <w:rsid w:val="0084575A"/>
    <w:rsid w:val="008457C9"/>
    <w:rsid w:val="00846FF1"/>
    <w:rsid w:val="0084734A"/>
    <w:rsid w:val="008475A8"/>
    <w:rsid w:val="00851C59"/>
    <w:rsid w:val="00852F62"/>
    <w:rsid w:val="00853CF1"/>
    <w:rsid w:val="008553CF"/>
    <w:rsid w:val="00855B70"/>
    <w:rsid w:val="0085697C"/>
    <w:rsid w:val="00860F61"/>
    <w:rsid w:val="0086420E"/>
    <w:rsid w:val="00864CDE"/>
    <w:rsid w:val="00867066"/>
    <w:rsid w:val="008710A8"/>
    <w:rsid w:val="008713C5"/>
    <w:rsid w:val="00872D79"/>
    <w:rsid w:val="00873234"/>
    <w:rsid w:val="008745C4"/>
    <w:rsid w:val="00874D44"/>
    <w:rsid w:val="00875376"/>
    <w:rsid w:val="008769BD"/>
    <w:rsid w:val="00876ACF"/>
    <w:rsid w:val="00876FD9"/>
    <w:rsid w:val="008774E3"/>
    <w:rsid w:val="0088100D"/>
    <w:rsid w:val="00883CCD"/>
    <w:rsid w:val="00884653"/>
    <w:rsid w:val="008857BC"/>
    <w:rsid w:val="00885C4C"/>
    <w:rsid w:val="0088623F"/>
    <w:rsid w:val="00887C8E"/>
    <w:rsid w:val="00890500"/>
    <w:rsid w:val="0089071A"/>
    <w:rsid w:val="008913C7"/>
    <w:rsid w:val="00891A1B"/>
    <w:rsid w:val="00893D1D"/>
    <w:rsid w:val="008944AD"/>
    <w:rsid w:val="008A27ED"/>
    <w:rsid w:val="008A37EC"/>
    <w:rsid w:val="008A5800"/>
    <w:rsid w:val="008A65C8"/>
    <w:rsid w:val="008B09AB"/>
    <w:rsid w:val="008C0654"/>
    <w:rsid w:val="008C68FC"/>
    <w:rsid w:val="008C6CE8"/>
    <w:rsid w:val="008C6FA0"/>
    <w:rsid w:val="008C725B"/>
    <w:rsid w:val="008D0274"/>
    <w:rsid w:val="008D2FDD"/>
    <w:rsid w:val="008D3144"/>
    <w:rsid w:val="008D6B92"/>
    <w:rsid w:val="008D7B59"/>
    <w:rsid w:val="008E0E20"/>
    <w:rsid w:val="008E1BC2"/>
    <w:rsid w:val="008E29A0"/>
    <w:rsid w:val="008E47E8"/>
    <w:rsid w:val="008E50B7"/>
    <w:rsid w:val="008E6AB0"/>
    <w:rsid w:val="008E7C51"/>
    <w:rsid w:val="008E7DC0"/>
    <w:rsid w:val="008F14EE"/>
    <w:rsid w:val="008F4AFD"/>
    <w:rsid w:val="008F64B9"/>
    <w:rsid w:val="008F6E3B"/>
    <w:rsid w:val="008F7625"/>
    <w:rsid w:val="00902A03"/>
    <w:rsid w:val="00904E06"/>
    <w:rsid w:val="009069CC"/>
    <w:rsid w:val="00906F34"/>
    <w:rsid w:val="00906FA5"/>
    <w:rsid w:val="009072A0"/>
    <w:rsid w:val="00913B1E"/>
    <w:rsid w:val="00914F38"/>
    <w:rsid w:val="00915465"/>
    <w:rsid w:val="00916F87"/>
    <w:rsid w:val="00917F63"/>
    <w:rsid w:val="00920458"/>
    <w:rsid w:val="00921721"/>
    <w:rsid w:val="0092245A"/>
    <w:rsid w:val="0092481A"/>
    <w:rsid w:val="0092579F"/>
    <w:rsid w:val="00925C1D"/>
    <w:rsid w:val="00932F94"/>
    <w:rsid w:val="009340C7"/>
    <w:rsid w:val="009351F5"/>
    <w:rsid w:val="00936F82"/>
    <w:rsid w:val="00937677"/>
    <w:rsid w:val="00941DE5"/>
    <w:rsid w:val="009433C7"/>
    <w:rsid w:val="00943C87"/>
    <w:rsid w:val="00943EE7"/>
    <w:rsid w:val="00947824"/>
    <w:rsid w:val="00950982"/>
    <w:rsid w:val="00950A7F"/>
    <w:rsid w:val="009519DA"/>
    <w:rsid w:val="00956A7C"/>
    <w:rsid w:val="00957C4A"/>
    <w:rsid w:val="009608E2"/>
    <w:rsid w:val="0096110B"/>
    <w:rsid w:val="00961F5C"/>
    <w:rsid w:val="0096321E"/>
    <w:rsid w:val="009651B0"/>
    <w:rsid w:val="0096627D"/>
    <w:rsid w:val="00967AC8"/>
    <w:rsid w:val="00967D33"/>
    <w:rsid w:val="0097036F"/>
    <w:rsid w:val="009708B9"/>
    <w:rsid w:val="00971324"/>
    <w:rsid w:val="00972B1C"/>
    <w:rsid w:val="009734EC"/>
    <w:rsid w:val="00976960"/>
    <w:rsid w:val="00976FDB"/>
    <w:rsid w:val="00981BD6"/>
    <w:rsid w:val="00981D0A"/>
    <w:rsid w:val="009829C3"/>
    <w:rsid w:val="009836E3"/>
    <w:rsid w:val="00984530"/>
    <w:rsid w:val="00985B07"/>
    <w:rsid w:val="00985D68"/>
    <w:rsid w:val="00986634"/>
    <w:rsid w:val="00986932"/>
    <w:rsid w:val="009914D7"/>
    <w:rsid w:val="009953F4"/>
    <w:rsid w:val="009B063E"/>
    <w:rsid w:val="009B0BD0"/>
    <w:rsid w:val="009B1181"/>
    <w:rsid w:val="009B1B86"/>
    <w:rsid w:val="009B2267"/>
    <w:rsid w:val="009B2934"/>
    <w:rsid w:val="009C08F7"/>
    <w:rsid w:val="009C0FA7"/>
    <w:rsid w:val="009C1A0B"/>
    <w:rsid w:val="009C34EB"/>
    <w:rsid w:val="009C5039"/>
    <w:rsid w:val="009C5919"/>
    <w:rsid w:val="009C7151"/>
    <w:rsid w:val="009D0747"/>
    <w:rsid w:val="009D0D6B"/>
    <w:rsid w:val="009D5562"/>
    <w:rsid w:val="009E05AA"/>
    <w:rsid w:val="009E0776"/>
    <w:rsid w:val="009E0D58"/>
    <w:rsid w:val="009E1AAD"/>
    <w:rsid w:val="009F090A"/>
    <w:rsid w:val="009F23CC"/>
    <w:rsid w:val="009F3BD1"/>
    <w:rsid w:val="009F4830"/>
    <w:rsid w:val="009F5BDA"/>
    <w:rsid w:val="009F5F56"/>
    <w:rsid w:val="009F6A14"/>
    <w:rsid w:val="009F7938"/>
    <w:rsid w:val="009F7F55"/>
    <w:rsid w:val="00A004B7"/>
    <w:rsid w:val="00A0098A"/>
    <w:rsid w:val="00A03FD4"/>
    <w:rsid w:val="00A04BF2"/>
    <w:rsid w:val="00A052C1"/>
    <w:rsid w:val="00A06561"/>
    <w:rsid w:val="00A075F7"/>
    <w:rsid w:val="00A1139E"/>
    <w:rsid w:val="00A11E40"/>
    <w:rsid w:val="00A156CE"/>
    <w:rsid w:val="00A1747E"/>
    <w:rsid w:val="00A20025"/>
    <w:rsid w:val="00A2124B"/>
    <w:rsid w:val="00A216C6"/>
    <w:rsid w:val="00A231E4"/>
    <w:rsid w:val="00A233DB"/>
    <w:rsid w:val="00A23E23"/>
    <w:rsid w:val="00A24353"/>
    <w:rsid w:val="00A271EF"/>
    <w:rsid w:val="00A27B4A"/>
    <w:rsid w:val="00A304AB"/>
    <w:rsid w:val="00A3333E"/>
    <w:rsid w:val="00A35D75"/>
    <w:rsid w:val="00A361FE"/>
    <w:rsid w:val="00A363D4"/>
    <w:rsid w:val="00A3764F"/>
    <w:rsid w:val="00A4017E"/>
    <w:rsid w:val="00A43CEC"/>
    <w:rsid w:val="00A44BDE"/>
    <w:rsid w:val="00A46174"/>
    <w:rsid w:val="00A50E39"/>
    <w:rsid w:val="00A52611"/>
    <w:rsid w:val="00A53107"/>
    <w:rsid w:val="00A54CE6"/>
    <w:rsid w:val="00A614BF"/>
    <w:rsid w:val="00A62ED0"/>
    <w:rsid w:val="00A62FFB"/>
    <w:rsid w:val="00A64839"/>
    <w:rsid w:val="00A666A3"/>
    <w:rsid w:val="00A71524"/>
    <w:rsid w:val="00A721C8"/>
    <w:rsid w:val="00A723A5"/>
    <w:rsid w:val="00A738D9"/>
    <w:rsid w:val="00A739D3"/>
    <w:rsid w:val="00A76332"/>
    <w:rsid w:val="00A77998"/>
    <w:rsid w:val="00A77FBE"/>
    <w:rsid w:val="00A823B4"/>
    <w:rsid w:val="00A82729"/>
    <w:rsid w:val="00A837F9"/>
    <w:rsid w:val="00A91D23"/>
    <w:rsid w:val="00A9270F"/>
    <w:rsid w:val="00A93B98"/>
    <w:rsid w:val="00A94C52"/>
    <w:rsid w:val="00A952DA"/>
    <w:rsid w:val="00A96595"/>
    <w:rsid w:val="00A978CB"/>
    <w:rsid w:val="00AA4433"/>
    <w:rsid w:val="00AA5C6C"/>
    <w:rsid w:val="00AA5CB2"/>
    <w:rsid w:val="00AA61A7"/>
    <w:rsid w:val="00AA63ED"/>
    <w:rsid w:val="00AA7C7A"/>
    <w:rsid w:val="00AB1128"/>
    <w:rsid w:val="00AB123F"/>
    <w:rsid w:val="00AB143A"/>
    <w:rsid w:val="00AB1B99"/>
    <w:rsid w:val="00AB32B6"/>
    <w:rsid w:val="00AB3AE0"/>
    <w:rsid w:val="00AC068A"/>
    <w:rsid w:val="00AC1261"/>
    <w:rsid w:val="00AC7428"/>
    <w:rsid w:val="00AD466D"/>
    <w:rsid w:val="00AD6ADF"/>
    <w:rsid w:val="00AD7336"/>
    <w:rsid w:val="00AD74FF"/>
    <w:rsid w:val="00AE0127"/>
    <w:rsid w:val="00AE02F6"/>
    <w:rsid w:val="00AE0377"/>
    <w:rsid w:val="00AE4810"/>
    <w:rsid w:val="00AE4B75"/>
    <w:rsid w:val="00AF0CE5"/>
    <w:rsid w:val="00AF20E6"/>
    <w:rsid w:val="00AF4D8C"/>
    <w:rsid w:val="00AF5F27"/>
    <w:rsid w:val="00AF605F"/>
    <w:rsid w:val="00B00210"/>
    <w:rsid w:val="00B0182F"/>
    <w:rsid w:val="00B04C63"/>
    <w:rsid w:val="00B07865"/>
    <w:rsid w:val="00B11248"/>
    <w:rsid w:val="00B112F3"/>
    <w:rsid w:val="00B13311"/>
    <w:rsid w:val="00B1564F"/>
    <w:rsid w:val="00B2274C"/>
    <w:rsid w:val="00B23DD1"/>
    <w:rsid w:val="00B260EE"/>
    <w:rsid w:val="00B26FF8"/>
    <w:rsid w:val="00B27260"/>
    <w:rsid w:val="00B272BB"/>
    <w:rsid w:val="00B275EF"/>
    <w:rsid w:val="00B31D3C"/>
    <w:rsid w:val="00B322B6"/>
    <w:rsid w:val="00B32810"/>
    <w:rsid w:val="00B32C94"/>
    <w:rsid w:val="00B346D2"/>
    <w:rsid w:val="00B34C96"/>
    <w:rsid w:val="00B362B7"/>
    <w:rsid w:val="00B41A6C"/>
    <w:rsid w:val="00B41AAD"/>
    <w:rsid w:val="00B424DC"/>
    <w:rsid w:val="00B452B3"/>
    <w:rsid w:val="00B45437"/>
    <w:rsid w:val="00B47653"/>
    <w:rsid w:val="00B51490"/>
    <w:rsid w:val="00B52128"/>
    <w:rsid w:val="00B6181B"/>
    <w:rsid w:val="00B633EE"/>
    <w:rsid w:val="00B63A1B"/>
    <w:rsid w:val="00B64BB8"/>
    <w:rsid w:val="00B65DB4"/>
    <w:rsid w:val="00B67075"/>
    <w:rsid w:val="00B701AC"/>
    <w:rsid w:val="00B71EBB"/>
    <w:rsid w:val="00B72835"/>
    <w:rsid w:val="00B73194"/>
    <w:rsid w:val="00B800D5"/>
    <w:rsid w:val="00B80686"/>
    <w:rsid w:val="00B80A87"/>
    <w:rsid w:val="00B81349"/>
    <w:rsid w:val="00B82FC1"/>
    <w:rsid w:val="00B83A50"/>
    <w:rsid w:val="00B840E2"/>
    <w:rsid w:val="00B86D03"/>
    <w:rsid w:val="00B87091"/>
    <w:rsid w:val="00B87721"/>
    <w:rsid w:val="00B90F2D"/>
    <w:rsid w:val="00B923EF"/>
    <w:rsid w:val="00B9273C"/>
    <w:rsid w:val="00B92DEF"/>
    <w:rsid w:val="00B95436"/>
    <w:rsid w:val="00B95EA6"/>
    <w:rsid w:val="00B961B3"/>
    <w:rsid w:val="00B97846"/>
    <w:rsid w:val="00B97F1C"/>
    <w:rsid w:val="00BA02F8"/>
    <w:rsid w:val="00BA10DE"/>
    <w:rsid w:val="00BA11E7"/>
    <w:rsid w:val="00BA218A"/>
    <w:rsid w:val="00BA24D7"/>
    <w:rsid w:val="00BA3C99"/>
    <w:rsid w:val="00BA4078"/>
    <w:rsid w:val="00BA678F"/>
    <w:rsid w:val="00BA6EC1"/>
    <w:rsid w:val="00BB2779"/>
    <w:rsid w:val="00BB364E"/>
    <w:rsid w:val="00BB6289"/>
    <w:rsid w:val="00BC04C0"/>
    <w:rsid w:val="00BC0DDD"/>
    <w:rsid w:val="00BC3BC3"/>
    <w:rsid w:val="00BC3C4D"/>
    <w:rsid w:val="00BC4731"/>
    <w:rsid w:val="00BC58CA"/>
    <w:rsid w:val="00BC6085"/>
    <w:rsid w:val="00BC647A"/>
    <w:rsid w:val="00BD1A6D"/>
    <w:rsid w:val="00BD38AC"/>
    <w:rsid w:val="00BD3BD6"/>
    <w:rsid w:val="00BD40AF"/>
    <w:rsid w:val="00BD52AD"/>
    <w:rsid w:val="00BD564B"/>
    <w:rsid w:val="00BE22F0"/>
    <w:rsid w:val="00BE5B7D"/>
    <w:rsid w:val="00BE7E1A"/>
    <w:rsid w:val="00BF0E2B"/>
    <w:rsid w:val="00BF2370"/>
    <w:rsid w:val="00BF28BF"/>
    <w:rsid w:val="00BF3370"/>
    <w:rsid w:val="00BF3DA6"/>
    <w:rsid w:val="00BF5681"/>
    <w:rsid w:val="00BF6377"/>
    <w:rsid w:val="00BF63CD"/>
    <w:rsid w:val="00BF63E8"/>
    <w:rsid w:val="00BF7F19"/>
    <w:rsid w:val="00C00CCB"/>
    <w:rsid w:val="00C01D62"/>
    <w:rsid w:val="00C02531"/>
    <w:rsid w:val="00C02D89"/>
    <w:rsid w:val="00C06684"/>
    <w:rsid w:val="00C074B6"/>
    <w:rsid w:val="00C11AC0"/>
    <w:rsid w:val="00C137DA"/>
    <w:rsid w:val="00C14C97"/>
    <w:rsid w:val="00C165A3"/>
    <w:rsid w:val="00C20116"/>
    <w:rsid w:val="00C2154C"/>
    <w:rsid w:val="00C225A8"/>
    <w:rsid w:val="00C22779"/>
    <w:rsid w:val="00C23132"/>
    <w:rsid w:val="00C236AA"/>
    <w:rsid w:val="00C303FB"/>
    <w:rsid w:val="00C3093F"/>
    <w:rsid w:val="00C309E0"/>
    <w:rsid w:val="00C30B37"/>
    <w:rsid w:val="00C31C35"/>
    <w:rsid w:val="00C3308B"/>
    <w:rsid w:val="00C33BA9"/>
    <w:rsid w:val="00C367A6"/>
    <w:rsid w:val="00C36C84"/>
    <w:rsid w:val="00C40084"/>
    <w:rsid w:val="00C405B6"/>
    <w:rsid w:val="00C40B47"/>
    <w:rsid w:val="00C414C4"/>
    <w:rsid w:val="00C41648"/>
    <w:rsid w:val="00C422C0"/>
    <w:rsid w:val="00C42DDC"/>
    <w:rsid w:val="00C45A9F"/>
    <w:rsid w:val="00C463C4"/>
    <w:rsid w:val="00C47776"/>
    <w:rsid w:val="00C502F6"/>
    <w:rsid w:val="00C51308"/>
    <w:rsid w:val="00C60E7E"/>
    <w:rsid w:val="00C60FE1"/>
    <w:rsid w:val="00C62C88"/>
    <w:rsid w:val="00C644B7"/>
    <w:rsid w:val="00C6573E"/>
    <w:rsid w:val="00C6768F"/>
    <w:rsid w:val="00C67F8D"/>
    <w:rsid w:val="00C71FF8"/>
    <w:rsid w:val="00C733EF"/>
    <w:rsid w:val="00C7457E"/>
    <w:rsid w:val="00C757DF"/>
    <w:rsid w:val="00C766AA"/>
    <w:rsid w:val="00C80262"/>
    <w:rsid w:val="00C81370"/>
    <w:rsid w:val="00C83512"/>
    <w:rsid w:val="00C83E67"/>
    <w:rsid w:val="00C84F95"/>
    <w:rsid w:val="00C869B6"/>
    <w:rsid w:val="00C879FD"/>
    <w:rsid w:val="00C906F1"/>
    <w:rsid w:val="00C9086D"/>
    <w:rsid w:val="00C90B1A"/>
    <w:rsid w:val="00C91352"/>
    <w:rsid w:val="00C9231E"/>
    <w:rsid w:val="00C93D41"/>
    <w:rsid w:val="00C93F1C"/>
    <w:rsid w:val="00C9423F"/>
    <w:rsid w:val="00C94CD0"/>
    <w:rsid w:val="00C97653"/>
    <w:rsid w:val="00C97C45"/>
    <w:rsid w:val="00CA04E8"/>
    <w:rsid w:val="00CA10BF"/>
    <w:rsid w:val="00CA3690"/>
    <w:rsid w:val="00CA451A"/>
    <w:rsid w:val="00CB0081"/>
    <w:rsid w:val="00CB0BA5"/>
    <w:rsid w:val="00CB0BDB"/>
    <w:rsid w:val="00CB0D18"/>
    <w:rsid w:val="00CB12D1"/>
    <w:rsid w:val="00CB1577"/>
    <w:rsid w:val="00CB1FCE"/>
    <w:rsid w:val="00CB4186"/>
    <w:rsid w:val="00CB6B00"/>
    <w:rsid w:val="00CC0EDA"/>
    <w:rsid w:val="00CC223A"/>
    <w:rsid w:val="00CC3316"/>
    <w:rsid w:val="00CC3432"/>
    <w:rsid w:val="00CC5B00"/>
    <w:rsid w:val="00CD0787"/>
    <w:rsid w:val="00CD1BEE"/>
    <w:rsid w:val="00CD234B"/>
    <w:rsid w:val="00CD2E01"/>
    <w:rsid w:val="00CD41C7"/>
    <w:rsid w:val="00CD4C90"/>
    <w:rsid w:val="00CD60AC"/>
    <w:rsid w:val="00CD663C"/>
    <w:rsid w:val="00CD6912"/>
    <w:rsid w:val="00CD6B45"/>
    <w:rsid w:val="00CD6C59"/>
    <w:rsid w:val="00CD75A3"/>
    <w:rsid w:val="00CE06D6"/>
    <w:rsid w:val="00CE1BCC"/>
    <w:rsid w:val="00CE3051"/>
    <w:rsid w:val="00CE5A9B"/>
    <w:rsid w:val="00CE607B"/>
    <w:rsid w:val="00CF4286"/>
    <w:rsid w:val="00CF46AA"/>
    <w:rsid w:val="00CF53B7"/>
    <w:rsid w:val="00CF7326"/>
    <w:rsid w:val="00D00B81"/>
    <w:rsid w:val="00D02FF6"/>
    <w:rsid w:val="00D05492"/>
    <w:rsid w:val="00D07007"/>
    <w:rsid w:val="00D07549"/>
    <w:rsid w:val="00D106C5"/>
    <w:rsid w:val="00D10DC6"/>
    <w:rsid w:val="00D111D0"/>
    <w:rsid w:val="00D11581"/>
    <w:rsid w:val="00D11EB4"/>
    <w:rsid w:val="00D1223B"/>
    <w:rsid w:val="00D12F0A"/>
    <w:rsid w:val="00D13424"/>
    <w:rsid w:val="00D15105"/>
    <w:rsid w:val="00D151A2"/>
    <w:rsid w:val="00D168E1"/>
    <w:rsid w:val="00D16CD8"/>
    <w:rsid w:val="00D17286"/>
    <w:rsid w:val="00D2211D"/>
    <w:rsid w:val="00D22EF2"/>
    <w:rsid w:val="00D26F27"/>
    <w:rsid w:val="00D27431"/>
    <w:rsid w:val="00D27537"/>
    <w:rsid w:val="00D303BF"/>
    <w:rsid w:val="00D30E37"/>
    <w:rsid w:val="00D354FE"/>
    <w:rsid w:val="00D369E7"/>
    <w:rsid w:val="00D40B55"/>
    <w:rsid w:val="00D40C1B"/>
    <w:rsid w:val="00D4352E"/>
    <w:rsid w:val="00D45A6E"/>
    <w:rsid w:val="00D47150"/>
    <w:rsid w:val="00D47A40"/>
    <w:rsid w:val="00D50B81"/>
    <w:rsid w:val="00D51FA1"/>
    <w:rsid w:val="00D53BE0"/>
    <w:rsid w:val="00D544B8"/>
    <w:rsid w:val="00D556E1"/>
    <w:rsid w:val="00D55F19"/>
    <w:rsid w:val="00D60171"/>
    <w:rsid w:val="00D60985"/>
    <w:rsid w:val="00D60ED7"/>
    <w:rsid w:val="00D62723"/>
    <w:rsid w:val="00D63A41"/>
    <w:rsid w:val="00D649F3"/>
    <w:rsid w:val="00D65577"/>
    <w:rsid w:val="00D66093"/>
    <w:rsid w:val="00D70D6F"/>
    <w:rsid w:val="00D70F19"/>
    <w:rsid w:val="00D71A84"/>
    <w:rsid w:val="00D7257F"/>
    <w:rsid w:val="00D72F13"/>
    <w:rsid w:val="00D73039"/>
    <w:rsid w:val="00D73565"/>
    <w:rsid w:val="00D74AA8"/>
    <w:rsid w:val="00D7773A"/>
    <w:rsid w:val="00D801B8"/>
    <w:rsid w:val="00D830B0"/>
    <w:rsid w:val="00D83CFB"/>
    <w:rsid w:val="00D83D98"/>
    <w:rsid w:val="00D8551E"/>
    <w:rsid w:val="00D90C04"/>
    <w:rsid w:val="00D925CE"/>
    <w:rsid w:val="00D943E3"/>
    <w:rsid w:val="00D95F04"/>
    <w:rsid w:val="00D970F2"/>
    <w:rsid w:val="00D9790C"/>
    <w:rsid w:val="00DA19EC"/>
    <w:rsid w:val="00DA1B27"/>
    <w:rsid w:val="00DA646F"/>
    <w:rsid w:val="00DA7BE4"/>
    <w:rsid w:val="00DB0726"/>
    <w:rsid w:val="00DB1BCC"/>
    <w:rsid w:val="00DB292E"/>
    <w:rsid w:val="00DB2A74"/>
    <w:rsid w:val="00DB3651"/>
    <w:rsid w:val="00DB4CE1"/>
    <w:rsid w:val="00DB658F"/>
    <w:rsid w:val="00DC0896"/>
    <w:rsid w:val="00DC103C"/>
    <w:rsid w:val="00DC11BE"/>
    <w:rsid w:val="00DC36C9"/>
    <w:rsid w:val="00DC5074"/>
    <w:rsid w:val="00DC562B"/>
    <w:rsid w:val="00DC7825"/>
    <w:rsid w:val="00DD2244"/>
    <w:rsid w:val="00DD2F1E"/>
    <w:rsid w:val="00DD342C"/>
    <w:rsid w:val="00DD4D8E"/>
    <w:rsid w:val="00DD5E9A"/>
    <w:rsid w:val="00DD71BD"/>
    <w:rsid w:val="00DD795C"/>
    <w:rsid w:val="00DE05A4"/>
    <w:rsid w:val="00DE09A7"/>
    <w:rsid w:val="00DE1910"/>
    <w:rsid w:val="00DE40B5"/>
    <w:rsid w:val="00DE5190"/>
    <w:rsid w:val="00DE54F3"/>
    <w:rsid w:val="00DF0485"/>
    <w:rsid w:val="00DF066B"/>
    <w:rsid w:val="00DF0961"/>
    <w:rsid w:val="00DF20E5"/>
    <w:rsid w:val="00DF32F8"/>
    <w:rsid w:val="00DF39B6"/>
    <w:rsid w:val="00DF5367"/>
    <w:rsid w:val="00DF5A74"/>
    <w:rsid w:val="00E008FD"/>
    <w:rsid w:val="00E01CBF"/>
    <w:rsid w:val="00E02AF3"/>
    <w:rsid w:val="00E04C4A"/>
    <w:rsid w:val="00E0630C"/>
    <w:rsid w:val="00E0674B"/>
    <w:rsid w:val="00E1336B"/>
    <w:rsid w:val="00E139EB"/>
    <w:rsid w:val="00E16CE5"/>
    <w:rsid w:val="00E1770A"/>
    <w:rsid w:val="00E208A3"/>
    <w:rsid w:val="00E22C91"/>
    <w:rsid w:val="00E23007"/>
    <w:rsid w:val="00E24E89"/>
    <w:rsid w:val="00E25A72"/>
    <w:rsid w:val="00E26091"/>
    <w:rsid w:val="00E265AD"/>
    <w:rsid w:val="00E30370"/>
    <w:rsid w:val="00E324F6"/>
    <w:rsid w:val="00E34779"/>
    <w:rsid w:val="00E3614E"/>
    <w:rsid w:val="00E374C7"/>
    <w:rsid w:val="00E4338F"/>
    <w:rsid w:val="00E43F4B"/>
    <w:rsid w:val="00E4608A"/>
    <w:rsid w:val="00E46964"/>
    <w:rsid w:val="00E47189"/>
    <w:rsid w:val="00E504D1"/>
    <w:rsid w:val="00E50744"/>
    <w:rsid w:val="00E53768"/>
    <w:rsid w:val="00E563E9"/>
    <w:rsid w:val="00E567CF"/>
    <w:rsid w:val="00E57BF3"/>
    <w:rsid w:val="00E60DAF"/>
    <w:rsid w:val="00E61494"/>
    <w:rsid w:val="00E62049"/>
    <w:rsid w:val="00E631D9"/>
    <w:rsid w:val="00E65D3B"/>
    <w:rsid w:val="00E66424"/>
    <w:rsid w:val="00E70B91"/>
    <w:rsid w:val="00E70D8D"/>
    <w:rsid w:val="00E717D8"/>
    <w:rsid w:val="00E737FC"/>
    <w:rsid w:val="00E76CBC"/>
    <w:rsid w:val="00E770EB"/>
    <w:rsid w:val="00E77F0E"/>
    <w:rsid w:val="00E80A03"/>
    <w:rsid w:val="00E836C4"/>
    <w:rsid w:val="00E84338"/>
    <w:rsid w:val="00E86B65"/>
    <w:rsid w:val="00E876BF"/>
    <w:rsid w:val="00E87D85"/>
    <w:rsid w:val="00E922AC"/>
    <w:rsid w:val="00E94DF1"/>
    <w:rsid w:val="00E95BD3"/>
    <w:rsid w:val="00E96083"/>
    <w:rsid w:val="00EA014D"/>
    <w:rsid w:val="00EA19E4"/>
    <w:rsid w:val="00EA276D"/>
    <w:rsid w:val="00EA3616"/>
    <w:rsid w:val="00EA675A"/>
    <w:rsid w:val="00EB04A7"/>
    <w:rsid w:val="00EB17C4"/>
    <w:rsid w:val="00EB1E06"/>
    <w:rsid w:val="00EB231B"/>
    <w:rsid w:val="00EB591F"/>
    <w:rsid w:val="00EB5FF4"/>
    <w:rsid w:val="00EC05B7"/>
    <w:rsid w:val="00EC0BC1"/>
    <w:rsid w:val="00EC13EF"/>
    <w:rsid w:val="00EC2549"/>
    <w:rsid w:val="00EC26E7"/>
    <w:rsid w:val="00EC2822"/>
    <w:rsid w:val="00EC3307"/>
    <w:rsid w:val="00EC477E"/>
    <w:rsid w:val="00EC5270"/>
    <w:rsid w:val="00EC7538"/>
    <w:rsid w:val="00ED09AC"/>
    <w:rsid w:val="00ED1CAB"/>
    <w:rsid w:val="00ED4458"/>
    <w:rsid w:val="00ED5F36"/>
    <w:rsid w:val="00EE0EB5"/>
    <w:rsid w:val="00EE1052"/>
    <w:rsid w:val="00EE1FDA"/>
    <w:rsid w:val="00EE2EF0"/>
    <w:rsid w:val="00EE3F0A"/>
    <w:rsid w:val="00EE4AAB"/>
    <w:rsid w:val="00EE5A5B"/>
    <w:rsid w:val="00EE77A2"/>
    <w:rsid w:val="00EF0B1E"/>
    <w:rsid w:val="00EF2361"/>
    <w:rsid w:val="00EF2718"/>
    <w:rsid w:val="00EF3657"/>
    <w:rsid w:val="00EF4D2D"/>
    <w:rsid w:val="00EF59B1"/>
    <w:rsid w:val="00EF76DB"/>
    <w:rsid w:val="00F0078B"/>
    <w:rsid w:val="00F03716"/>
    <w:rsid w:val="00F047CC"/>
    <w:rsid w:val="00F04A7A"/>
    <w:rsid w:val="00F04B9C"/>
    <w:rsid w:val="00F05ED4"/>
    <w:rsid w:val="00F0656D"/>
    <w:rsid w:val="00F10486"/>
    <w:rsid w:val="00F109A0"/>
    <w:rsid w:val="00F11F9A"/>
    <w:rsid w:val="00F20B7E"/>
    <w:rsid w:val="00F21AED"/>
    <w:rsid w:val="00F228E9"/>
    <w:rsid w:val="00F2477F"/>
    <w:rsid w:val="00F2537E"/>
    <w:rsid w:val="00F268CB"/>
    <w:rsid w:val="00F27D37"/>
    <w:rsid w:val="00F31F23"/>
    <w:rsid w:val="00F323DF"/>
    <w:rsid w:val="00F32DE9"/>
    <w:rsid w:val="00F35C49"/>
    <w:rsid w:val="00F404EF"/>
    <w:rsid w:val="00F408B7"/>
    <w:rsid w:val="00F41136"/>
    <w:rsid w:val="00F4204F"/>
    <w:rsid w:val="00F425F0"/>
    <w:rsid w:val="00F44B6C"/>
    <w:rsid w:val="00F44C29"/>
    <w:rsid w:val="00F44DDC"/>
    <w:rsid w:val="00F4607A"/>
    <w:rsid w:val="00F464CC"/>
    <w:rsid w:val="00F521A0"/>
    <w:rsid w:val="00F52D69"/>
    <w:rsid w:val="00F5420E"/>
    <w:rsid w:val="00F54785"/>
    <w:rsid w:val="00F55928"/>
    <w:rsid w:val="00F55D68"/>
    <w:rsid w:val="00F602AB"/>
    <w:rsid w:val="00F61149"/>
    <w:rsid w:val="00F63A60"/>
    <w:rsid w:val="00F63AE2"/>
    <w:rsid w:val="00F6416D"/>
    <w:rsid w:val="00F649C5"/>
    <w:rsid w:val="00F65688"/>
    <w:rsid w:val="00F66938"/>
    <w:rsid w:val="00F66FC0"/>
    <w:rsid w:val="00F7118D"/>
    <w:rsid w:val="00F77633"/>
    <w:rsid w:val="00F8085B"/>
    <w:rsid w:val="00F81DCA"/>
    <w:rsid w:val="00F82074"/>
    <w:rsid w:val="00F871EF"/>
    <w:rsid w:val="00F90478"/>
    <w:rsid w:val="00F91AAE"/>
    <w:rsid w:val="00F93EE7"/>
    <w:rsid w:val="00FA0038"/>
    <w:rsid w:val="00FA09F2"/>
    <w:rsid w:val="00FA154A"/>
    <w:rsid w:val="00FA15EE"/>
    <w:rsid w:val="00FA3E45"/>
    <w:rsid w:val="00FA3EBD"/>
    <w:rsid w:val="00FA4135"/>
    <w:rsid w:val="00FA42E4"/>
    <w:rsid w:val="00FA64BD"/>
    <w:rsid w:val="00FA713A"/>
    <w:rsid w:val="00FA7D61"/>
    <w:rsid w:val="00FB24B8"/>
    <w:rsid w:val="00FB29C4"/>
    <w:rsid w:val="00FB7874"/>
    <w:rsid w:val="00FC08D0"/>
    <w:rsid w:val="00FC0F38"/>
    <w:rsid w:val="00FC20CB"/>
    <w:rsid w:val="00FC2377"/>
    <w:rsid w:val="00FC2917"/>
    <w:rsid w:val="00FC4B04"/>
    <w:rsid w:val="00FC5209"/>
    <w:rsid w:val="00FC5ACA"/>
    <w:rsid w:val="00FC5B39"/>
    <w:rsid w:val="00FD08EC"/>
    <w:rsid w:val="00FD1874"/>
    <w:rsid w:val="00FD22DC"/>
    <w:rsid w:val="00FD4B67"/>
    <w:rsid w:val="00FD5286"/>
    <w:rsid w:val="00FD53FB"/>
    <w:rsid w:val="00FD64E7"/>
    <w:rsid w:val="00FD768D"/>
    <w:rsid w:val="00FD7C31"/>
    <w:rsid w:val="00FD7CA4"/>
    <w:rsid w:val="00FE0E70"/>
    <w:rsid w:val="00FE510C"/>
    <w:rsid w:val="00FE71BF"/>
    <w:rsid w:val="00FF076B"/>
    <w:rsid w:val="00FF1410"/>
    <w:rsid w:val="00FF172D"/>
    <w:rsid w:val="00FF1821"/>
    <w:rsid w:val="00FF19BB"/>
    <w:rsid w:val="00FF2877"/>
    <w:rsid w:val="00FF423F"/>
    <w:rsid w:val="00FF44C1"/>
    <w:rsid w:val="00FF5665"/>
    <w:rsid w:val="00FF64F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6F"/>
    <w:pPr>
      <w:spacing w:line="480" w:lineRule="auto"/>
      <w:ind w:firstLine="720"/>
    </w:pPr>
    <w:rPr>
      <w:rFonts w:ascii="Times New Roman" w:hAnsi="Times New Roman"/>
      <w:sz w:val="24"/>
    </w:rPr>
  </w:style>
  <w:style w:type="paragraph" w:styleId="Heading1">
    <w:name w:val="heading 1"/>
    <w:next w:val="Heading2"/>
    <w:link w:val="Heading1Char"/>
    <w:uiPriority w:val="9"/>
    <w:qFormat/>
    <w:rsid w:val="00D70D6F"/>
    <w:pPr>
      <w:numPr>
        <w:numId w:val="14"/>
      </w:numPr>
      <w:spacing w:before="480" w:after="0"/>
      <w:contextualSpacing/>
      <w:outlineLvl w:val="0"/>
    </w:pPr>
    <w:rPr>
      <w:rFonts w:ascii="Times New Roman" w:eastAsiaTheme="majorEastAsia" w:hAnsi="Times New Roman" w:cstheme="majorBidi"/>
      <w:b/>
      <w:bCs/>
      <w:sz w:val="24"/>
      <w:szCs w:val="28"/>
    </w:rPr>
  </w:style>
  <w:style w:type="paragraph" w:styleId="Heading2">
    <w:name w:val="heading 2"/>
    <w:basedOn w:val="Heading1"/>
    <w:next w:val="NoSpacing"/>
    <w:link w:val="Heading2Char"/>
    <w:uiPriority w:val="9"/>
    <w:unhideWhenUsed/>
    <w:qFormat/>
    <w:rsid w:val="005704D7"/>
    <w:pPr>
      <w:numPr>
        <w:ilvl w:val="1"/>
      </w:numPr>
      <w:spacing w:before="120" w:after="120" w:line="480" w:lineRule="auto"/>
      <w:ind w:left="0" w:firstLine="0"/>
      <w:outlineLvl w:val="1"/>
    </w:pPr>
    <w:rPr>
      <w:bCs w:val="0"/>
      <w:szCs w:val="26"/>
    </w:rPr>
  </w:style>
  <w:style w:type="paragraph" w:styleId="Heading3">
    <w:name w:val="heading 3"/>
    <w:basedOn w:val="Heading2"/>
    <w:next w:val="NoSpacing"/>
    <w:link w:val="Heading3Char"/>
    <w:uiPriority w:val="9"/>
    <w:unhideWhenUsed/>
    <w:qFormat/>
    <w:rsid w:val="00D70D6F"/>
    <w:pPr>
      <w:numPr>
        <w:ilvl w:val="2"/>
      </w:numPr>
      <w:spacing w:line="271" w:lineRule="auto"/>
      <w:outlineLvl w:val="2"/>
    </w:pPr>
    <w:rPr>
      <w:bCs/>
    </w:rPr>
  </w:style>
  <w:style w:type="paragraph" w:styleId="Heading4">
    <w:name w:val="heading 4"/>
    <w:basedOn w:val="Heading3"/>
    <w:next w:val="NoSpacing"/>
    <w:link w:val="Heading4Char"/>
    <w:uiPriority w:val="9"/>
    <w:unhideWhenUsed/>
    <w:qFormat/>
    <w:rsid w:val="00D70D6F"/>
    <w:pPr>
      <w:numPr>
        <w:ilvl w:val="3"/>
      </w:numPr>
      <w:outlineLvl w:val="3"/>
    </w:pPr>
    <w:rPr>
      <w:bCs w:val="0"/>
      <w:iCs/>
    </w:rPr>
  </w:style>
  <w:style w:type="paragraph" w:styleId="Heading5">
    <w:name w:val="heading 5"/>
    <w:basedOn w:val="Heading4"/>
    <w:next w:val="NoSpacing"/>
    <w:link w:val="Heading5Char"/>
    <w:uiPriority w:val="9"/>
    <w:semiHidden/>
    <w:unhideWhenUsed/>
    <w:qFormat/>
    <w:rsid w:val="00D70D6F"/>
    <w:pPr>
      <w:numPr>
        <w:ilvl w:val="4"/>
      </w:numPr>
      <w:outlineLvl w:val="4"/>
    </w:pPr>
    <w:rPr>
      <w:bCs/>
    </w:rPr>
  </w:style>
  <w:style w:type="paragraph" w:styleId="Heading6">
    <w:name w:val="heading 6"/>
    <w:basedOn w:val="Normal"/>
    <w:next w:val="Normal"/>
    <w:link w:val="Heading6Char"/>
    <w:uiPriority w:val="9"/>
    <w:semiHidden/>
    <w:unhideWhenUsed/>
    <w:qFormat/>
    <w:rsid w:val="00D70D6F"/>
    <w:pPr>
      <w:numPr>
        <w:ilvl w:val="5"/>
        <w:numId w:val="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0D6F"/>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D70D6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0D6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D6F"/>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5704D7"/>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D70D6F"/>
    <w:rPr>
      <w:rFonts w:ascii="Times New Roman" w:eastAsiaTheme="majorEastAsia" w:hAnsi="Times New Roman" w:cstheme="majorBidi"/>
      <w:b/>
      <w:bCs/>
      <w:sz w:val="24"/>
      <w:szCs w:val="26"/>
    </w:rPr>
  </w:style>
  <w:style w:type="character" w:customStyle="1" w:styleId="Heading4Char">
    <w:name w:val="Heading 4 Char"/>
    <w:basedOn w:val="DefaultParagraphFont"/>
    <w:link w:val="Heading4"/>
    <w:uiPriority w:val="9"/>
    <w:rsid w:val="00D70D6F"/>
    <w:rPr>
      <w:rFonts w:ascii="Times New Roman" w:eastAsiaTheme="majorEastAsia" w:hAnsi="Times New Roman" w:cstheme="majorBidi"/>
      <w:b/>
      <w:iCs/>
      <w:sz w:val="24"/>
      <w:szCs w:val="26"/>
    </w:rPr>
  </w:style>
  <w:style w:type="character" w:customStyle="1" w:styleId="Heading5Char">
    <w:name w:val="Heading 5 Char"/>
    <w:basedOn w:val="DefaultParagraphFont"/>
    <w:link w:val="Heading5"/>
    <w:uiPriority w:val="9"/>
    <w:semiHidden/>
    <w:rsid w:val="00D70D6F"/>
    <w:rPr>
      <w:rFonts w:ascii="Times New Roman" w:eastAsiaTheme="majorEastAsia" w:hAnsi="Times New Roman" w:cstheme="majorBidi"/>
      <w:b/>
      <w:bCs/>
      <w:iCs/>
      <w:sz w:val="24"/>
      <w:szCs w:val="26"/>
    </w:rPr>
  </w:style>
  <w:style w:type="character" w:customStyle="1" w:styleId="Heading6Char">
    <w:name w:val="Heading 6 Char"/>
    <w:basedOn w:val="DefaultParagraphFont"/>
    <w:link w:val="Heading6"/>
    <w:uiPriority w:val="9"/>
    <w:semiHidden/>
    <w:rsid w:val="00D70D6F"/>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D70D6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0D6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0D6F"/>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rsid w:val="00D70D6F"/>
    <w:rPr>
      <w:b/>
      <w:bCs/>
      <w:smallCaps/>
      <w:color w:val="1F497D" w:themeColor="text2"/>
      <w:spacing w:val="10"/>
      <w:sz w:val="18"/>
      <w:szCs w:val="18"/>
    </w:rPr>
  </w:style>
  <w:style w:type="paragraph" w:styleId="Title">
    <w:name w:val="Title"/>
    <w:basedOn w:val="Normal"/>
    <w:next w:val="Normal"/>
    <w:link w:val="TitleChar"/>
    <w:uiPriority w:val="10"/>
    <w:qFormat/>
    <w:rsid w:val="00D70D6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0D6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0D6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70D6F"/>
    <w:rPr>
      <w:rFonts w:asciiTheme="majorHAnsi" w:eastAsiaTheme="majorEastAsia" w:hAnsiTheme="majorHAnsi" w:cstheme="majorBidi"/>
      <w:i/>
      <w:iCs/>
      <w:spacing w:val="13"/>
      <w:sz w:val="24"/>
      <w:szCs w:val="24"/>
    </w:rPr>
  </w:style>
  <w:style w:type="character" w:styleId="Strong">
    <w:name w:val="Strong"/>
    <w:uiPriority w:val="22"/>
    <w:qFormat/>
    <w:rsid w:val="00D70D6F"/>
    <w:rPr>
      <w:b/>
      <w:bCs/>
    </w:rPr>
  </w:style>
  <w:style w:type="character" w:styleId="Emphasis">
    <w:name w:val="Emphasis"/>
    <w:uiPriority w:val="20"/>
    <w:qFormat/>
    <w:rsid w:val="00D70D6F"/>
    <w:rPr>
      <w:b/>
      <w:bCs/>
      <w:i/>
      <w:iCs/>
      <w:spacing w:val="10"/>
      <w:bdr w:val="none" w:sz="0" w:space="0" w:color="auto"/>
      <w:shd w:val="clear" w:color="auto" w:fill="auto"/>
    </w:rPr>
  </w:style>
  <w:style w:type="paragraph" w:styleId="NoSpacing">
    <w:name w:val="No Spacing"/>
    <w:aliases w:val="First Para"/>
    <w:next w:val="Normal"/>
    <w:link w:val="NoSpacingChar"/>
    <w:uiPriority w:val="1"/>
    <w:qFormat/>
    <w:rsid w:val="00D70D6F"/>
    <w:pPr>
      <w:spacing w:after="0" w:line="480" w:lineRule="auto"/>
    </w:pPr>
    <w:rPr>
      <w:rFonts w:ascii="Times New Roman" w:hAnsi="Times New Roman"/>
      <w:sz w:val="24"/>
    </w:rPr>
  </w:style>
  <w:style w:type="paragraph" w:styleId="ListParagraph">
    <w:name w:val="List Paragraph"/>
    <w:basedOn w:val="Normal"/>
    <w:uiPriority w:val="34"/>
    <w:qFormat/>
    <w:rsid w:val="00D70D6F"/>
    <w:pPr>
      <w:ind w:left="720"/>
      <w:contextualSpacing/>
    </w:pPr>
  </w:style>
  <w:style w:type="paragraph" w:styleId="Quote">
    <w:name w:val="Quote"/>
    <w:basedOn w:val="Normal"/>
    <w:next w:val="Normal"/>
    <w:link w:val="QuoteChar"/>
    <w:uiPriority w:val="29"/>
    <w:qFormat/>
    <w:rsid w:val="00D70D6F"/>
    <w:pPr>
      <w:spacing w:before="200" w:after="0"/>
      <w:ind w:left="360" w:right="360"/>
    </w:pPr>
    <w:rPr>
      <w:rFonts w:asciiTheme="minorHAnsi" w:hAnsiTheme="minorHAnsi"/>
      <w:i/>
      <w:iCs/>
      <w:sz w:val="22"/>
    </w:rPr>
  </w:style>
  <w:style w:type="character" w:customStyle="1" w:styleId="QuoteChar">
    <w:name w:val="Quote Char"/>
    <w:basedOn w:val="DefaultParagraphFont"/>
    <w:link w:val="Quote"/>
    <w:uiPriority w:val="29"/>
    <w:rsid w:val="00D70D6F"/>
    <w:rPr>
      <w:i/>
      <w:iCs/>
    </w:rPr>
  </w:style>
  <w:style w:type="paragraph" w:styleId="IntenseQuote">
    <w:name w:val="Intense Quote"/>
    <w:basedOn w:val="Normal"/>
    <w:next w:val="Normal"/>
    <w:link w:val="IntenseQuoteChar"/>
    <w:uiPriority w:val="30"/>
    <w:qFormat/>
    <w:rsid w:val="00D70D6F"/>
    <w:pPr>
      <w:pBdr>
        <w:bottom w:val="single" w:sz="4" w:space="1" w:color="auto"/>
      </w:pBdr>
      <w:spacing w:before="200" w:after="280"/>
      <w:ind w:left="1008" w:right="1152"/>
      <w:jc w:val="both"/>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D70D6F"/>
    <w:rPr>
      <w:b/>
      <w:bCs/>
      <w:i/>
      <w:iCs/>
    </w:rPr>
  </w:style>
  <w:style w:type="character" w:styleId="SubtleEmphasis">
    <w:name w:val="Subtle Emphasis"/>
    <w:uiPriority w:val="19"/>
    <w:qFormat/>
    <w:rsid w:val="00D70D6F"/>
    <w:rPr>
      <w:i/>
      <w:iCs/>
    </w:rPr>
  </w:style>
  <w:style w:type="character" w:styleId="IntenseEmphasis">
    <w:name w:val="Intense Emphasis"/>
    <w:uiPriority w:val="21"/>
    <w:qFormat/>
    <w:rsid w:val="00D70D6F"/>
    <w:rPr>
      <w:b/>
      <w:bCs/>
    </w:rPr>
  </w:style>
  <w:style w:type="character" w:styleId="SubtleReference">
    <w:name w:val="Subtle Reference"/>
    <w:uiPriority w:val="31"/>
    <w:qFormat/>
    <w:rsid w:val="00D70D6F"/>
    <w:rPr>
      <w:smallCaps/>
    </w:rPr>
  </w:style>
  <w:style w:type="character" w:styleId="IntenseReference">
    <w:name w:val="Intense Reference"/>
    <w:uiPriority w:val="32"/>
    <w:qFormat/>
    <w:rsid w:val="00D70D6F"/>
    <w:rPr>
      <w:smallCaps/>
      <w:spacing w:val="5"/>
      <w:u w:val="single"/>
    </w:rPr>
  </w:style>
  <w:style w:type="character" w:styleId="BookTitle">
    <w:name w:val="Book Title"/>
    <w:uiPriority w:val="33"/>
    <w:qFormat/>
    <w:rsid w:val="00D70D6F"/>
    <w:rPr>
      <w:i/>
      <w:iCs/>
      <w:smallCaps/>
      <w:spacing w:val="5"/>
    </w:rPr>
  </w:style>
  <w:style w:type="paragraph" w:styleId="TOCHeading">
    <w:name w:val="TOC Heading"/>
    <w:basedOn w:val="Heading1"/>
    <w:next w:val="Normal"/>
    <w:uiPriority w:val="39"/>
    <w:semiHidden/>
    <w:unhideWhenUsed/>
    <w:qFormat/>
    <w:rsid w:val="00D70D6F"/>
    <w:pPr>
      <w:numPr>
        <w:numId w:val="0"/>
      </w:numPr>
      <w:outlineLvl w:val="9"/>
    </w:pPr>
    <w:rPr>
      <w:lang w:bidi="en-US"/>
    </w:rPr>
  </w:style>
  <w:style w:type="numbering" w:customStyle="1" w:styleId="MattPhD">
    <w:name w:val="Matt PhD"/>
    <w:uiPriority w:val="99"/>
    <w:rsid w:val="0045153C"/>
    <w:pPr>
      <w:numPr>
        <w:numId w:val="1"/>
      </w:numPr>
    </w:pPr>
  </w:style>
  <w:style w:type="paragraph" w:styleId="BalloonText">
    <w:name w:val="Balloon Text"/>
    <w:basedOn w:val="Normal"/>
    <w:link w:val="BalloonTextChar"/>
    <w:uiPriority w:val="99"/>
    <w:semiHidden/>
    <w:unhideWhenUsed/>
    <w:rsid w:val="00C97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C45"/>
    <w:rPr>
      <w:rFonts w:ascii="Tahoma" w:hAnsi="Tahoma" w:cs="Tahoma"/>
      <w:sz w:val="16"/>
      <w:szCs w:val="16"/>
    </w:rPr>
  </w:style>
  <w:style w:type="paragraph" w:styleId="TOC1">
    <w:name w:val="toc 1"/>
    <w:basedOn w:val="Normal"/>
    <w:next w:val="Normal"/>
    <w:autoRedefine/>
    <w:uiPriority w:val="39"/>
    <w:unhideWhenUsed/>
    <w:qFormat/>
    <w:rsid w:val="003C4EC3"/>
    <w:pPr>
      <w:tabs>
        <w:tab w:val="right" w:leader="dot" w:pos="9016"/>
      </w:tabs>
      <w:spacing w:after="100"/>
    </w:pPr>
    <w:rPr>
      <w:noProof/>
    </w:rPr>
  </w:style>
  <w:style w:type="paragraph" w:styleId="TOC2">
    <w:name w:val="toc 2"/>
    <w:basedOn w:val="Normal"/>
    <w:next w:val="Normal"/>
    <w:autoRedefine/>
    <w:uiPriority w:val="39"/>
    <w:unhideWhenUsed/>
    <w:qFormat/>
    <w:rsid w:val="003C4EC3"/>
    <w:pPr>
      <w:tabs>
        <w:tab w:val="left" w:pos="1540"/>
        <w:tab w:val="right" w:leader="dot" w:pos="9016"/>
      </w:tabs>
      <w:spacing w:after="100"/>
      <w:ind w:left="170"/>
    </w:pPr>
  </w:style>
  <w:style w:type="character" w:styleId="Hyperlink">
    <w:name w:val="Hyperlink"/>
    <w:basedOn w:val="DefaultParagraphFont"/>
    <w:uiPriority w:val="99"/>
    <w:unhideWhenUsed/>
    <w:rsid w:val="00C97C45"/>
    <w:rPr>
      <w:color w:val="0000FF" w:themeColor="hyperlink"/>
      <w:u w:val="single"/>
    </w:rPr>
  </w:style>
  <w:style w:type="paragraph" w:styleId="TOC3">
    <w:name w:val="toc 3"/>
    <w:basedOn w:val="TOC2"/>
    <w:next w:val="Normal"/>
    <w:autoRedefine/>
    <w:uiPriority w:val="39"/>
    <w:unhideWhenUsed/>
    <w:qFormat/>
    <w:rsid w:val="003C4EC3"/>
    <w:pPr>
      <w:tabs>
        <w:tab w:val="left" w:pos="1320"/>
      </w:tabs>
      <w:spacing w:line="276" w:lineRule="auto"/>
      <w:ind w:left="113" w:firstLine="851"/>
      <w:mirrorIndents/>
    </w:pPr>
    <w:rPr>
      <w:noProof/>
      <w:lang w:val="en-US" w:eastAsia="ja-JP"/>
    </w:rPr>
  </w:style>
  <w:style w:type="paragraph" w:customStyle="1" w:styleId="Figures">
    <w:name w:val="Figures"/>
    <w:basedOn w:val="Normal"/>
    <w:link w:val="FiguresChar"/>
    <w:qFormat/>
    <w:rsid w:val="00C83E67"/>
    <w:pPr>
      <w:jc w:val="center"/>
    </w:pPr>
    <w:rPr>
      <w:b/>
    </w:rPr>
  </w:style>
  <w:style w:type="paragraph" w:customStyle="1" w:styleId="Table">
    <w:name w:val="Table"/>
    <w:basedOn w:val="Figures"/>
    <w:link w:val="TableChar"/>
    <w:qFormat/>
    <w:rsid w:val="00F521A0"/>
  </w:style>
  <w:style w:type="character" w:customStyle="1" w:styleId="FiguresChar">
    <w:name w:val="Figures Char"/>
    <w:basedOn w:val="DefaultParagraphFont"/>
    <w:link w:val="Figures"/>
    <w:rsid w:val="00C83E67"/>
    <w:rPr>
      <w:rFonts w:ascii="Times New Roman" w:hAnsi="Times New Roman"/>
      <w:b/>
      <w:sz w:val="24"/>
    </w:rPr>
  </w:style>
  <w:style w:type="paragraph" w:styleId="TableofFigures">
    <w:name w:val="table of figures"/>
    <w:basedOn w:val="Normal"/>
    <w:next w:val="Normal"/>
    <w:uiPriority w:val="99"/>
    <w:unhideWhenUsed/>
    <w:rsid w:val="002E4335"/>
    <w:pPr>
      <w:spacing w:after="0"/>
    </w:pPr>
  </w:style>
  <w:style w:type="character" w:customStyle="1" w:styleId="TableChar">
    <w:name w:val="Table Char"/>
    <w:basedOn w:val="FiguresChar"/>
    <w:link w:val="Table"/>
    <w:rsid w:val="00F521A0"/>
    <w:rPr>
      <w:rFonts w:ascii="Times New Roman" w:hAnsi="Times New Roman"/>
      <w:b/>
      <w:sz w:val="24"/>
    </w:rPr>
  </w:style>
  <w:style w:type="character" w:customStyle="1" w:styleId="NoSpacingChar">
    <w:name w:val="No Spacing Char"/>
    <w:aliases w:val="First Para Char"/>
    <w:basedOn w:val="DefaultParagraphFont"/>
    <w:link w:val="NoSpacing"/>
    <w:uiPriority w:val="1"/>
    <w:rsid w:val="005704D7"/>
    <w:rPr>
      <w:rFonts w:ascii="Times New Roman" w:hAnsi="Times New Roman"/>
      <w:sz w:val="24"/>
    </w:rPr>
  </w:style>
  <w:style w:type="paragraph" w:styleId="FootnoteText">
    <w:name w:val="footnote text"/>
    <w:basedOn w:val="Normal"/>
    <w:link w:val="FootnoteTextChar"/>
    <w:uiPriority w:val="99"/>
    <w:unhideWhenUsed/>
    <w:rsid w:val="00CE06D6"/>
    <w:pPr>
      <w:spacing w:after="0" w:line="240" w:lineRule="auto"/>
      <w:ind w:firstLine="0"/>
    </w:pPr>
    <w:rPr>
      <w:sz w:val="20"/>
      <w:szCs w:val="20"/>
    </w:rPr>
  </w:style>
  <w:style w:type="character" w:customStyle="1" w:styleId="FootnoteTextChar">
    <w:name w:val="Footnote Text Char"/>
    <w:basedOn w:val="DefaultParagraphFont"/>
    <w:link w:val="FootnoteText"/>
    <w:uiPriority w:val="99"/>
    <w:rsid w:val="00CE06D6"/>
    <w:rPr>
      <w:rFonts w:ascii="Times New Roman" w:hAnsi="Times New Roman"/>
      <w:sz w:val="20"/>
      <w:szCs w:val="20"/>
    </w:rPr>
  </w:style>
  <w:style w:type="character" w:styleId="FootnoteReference">
    <w:name w:val="footnote reference"/>
    <w:basedOn w:val="DefaultParagraphFont"/>
    <w:uiPriority w:val="99"/>
    <w:unhideWhenUsed/>
    <w:rsid w:val="005704D7"/>
    <w:rPr>
      <w:vertAlign w:val="superscript"/>
    </w:rPr>
  </w:style>
  <w:style w:type="character" w:styleId="CommentReference">
    <w:name w:val="annotation reference"/>
    <w:basedOn w:val="DefaultParagraphFont"/>
    <w:uiPriority w:val="99"/>
    <w:semiHidden/>
    <w:unhideWhenUsed/>
    <w:rsid w:val="005704D7"/>
    <w:rPr>
      <w:sz w:val="16"/>
      <w:szCs w:val="16"/>
    </w:rPr>
  </w:style>
  <w:style w:type="paragraph" w:styleId="CommentText">
    <w:name w:val="annotation text"/>
    <w:basedOn w:val="Normal"/>
    <w:link w:val="CommentTextChar"/>
    <w:uiPriority w:val="99"/>
    <w:semiHidden/>
    <w:unhideWhenUsed/>
    <w:rsid w:val="005704D7"/>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704D7"/>
    <w:rPr>
      <w:sz w:val="20"/>
      <w:szCs w:val="20"/>
    </w:rPr>
  </w:style>
  <w:style w:type="paragraph" w:styleId="CommentSubject">
    <w:name w:val="annotation subject"/>
    <w:basedOn w:val="CommentText"/>
    <w:next w:val="CommentText"/>
    <w:link w:val="CommentSubjectChar"/>
    <w:uiPriority w:val="99"/>
    <w:semiHidden/>
    <w:unhideWhenUsed/>
    <w:rsid w:val="0021626E"/>
    <w:rPr>
      <w:rFonts w:ascii="Times New Roman" w:hAnsi="Times New Roman"/>
      <w:b/>
      <w:bCs/>
    </w:rPr>
  </w:style>
  <w:style w:type="character" w:customStyle="1" w:styleId="CommentSubjectChar">
    <w:name w:val="Comment Subject Char"/>
    <w:basedOn w:val="CommentTextChar"/>
    <w:link w:val="CommentSubject"/>
    <w:uiPriority w:val="99"/>
    <w:semiHidden/>
    <w:rsid w:val="0021626E"/>
    <w:rPr>
      <w:rFonts w:ascii="Times New Roman" w:hAnsi="Times New Roman"/>
      <w:b/>
      <w:bCs/>
      <w:sz w:val="20"/>
      <w:szCs w:val="20"/>
    </w:rPr>
  </w:style>
  <w:style w:type="paragraph" w:styleId="Header">
    <w:name w:val="header"/>
    <w:basedOn w:val="Normal"/>
    <w:link w:val="HeaderChar"/>
    <w:uiPriority w:val="99"/>
    <w:unhideWhenUsed/>
    <w:rsid w:val="00450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2BF"/>
    <w:rPr>
      <w:rFonts w:ascii="Times New Roman" w:hAnsi="Times New Roman"/>
      <w:sz w:val="24"/>
    </w:rPr>
  </w:style>
  <w:style w:type="paragraph" w:styleId="Footer">
    <w:name w:val="footer"/>
    <w:basedOn w:val="Normal"/>
    <w:link w:val="FooterChar"/>
    <w:uiPriority w:val="99"/>
    <w:unhideWhenUsed/>
    <w:rsid w:val="00450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2BF"/>
    <w:rPr>
      <w:rFonts w:ascii="Times New Roman" w:hAnsi="Times New Roman"/>
      <w:sz w:val="24"/>
    </w:rPr>
  </w:style>
  <w:style w:type="table" w:styleId="TableGrid">
    <w:name w:val="Table Grid"/>
    <w:basedOn w:val="TableNormal"/>
    <w:uiPriority w:val="59"/>
    <w:rsid w:val="00E3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51716"/>
    <w:pPr>
      <w:spacing w:after="0" w:line="240" w:lineRule="auto"/>
    </w:pPr>
    <w:rPr>
      <w:rFonts w:ascii="Times New Roman" w:hAnsi="Times New Roman"/>
      <w:sz w:val="24"/>
    </w:rPr>
  </w:style>
  <w:style w:type="character" w:customStyle="1" w:styleId="smallcaps">
    <w:name w:val="smallcaps"/>
    <w:basedOn w:val="DefaultParagraphFont"/>
    <w:rsid w:val="00C06684"/>
  </w:style>
  <w:style w:type="character" w:customStyle="1" w:styleId="apple-converted-space">
    <w:name w:val="apple-converted-space"/>
    <w:basedOn w:val="DefaultParagraphFont"/>
    <w:rsid w:val="00C06684"/>
  </w:style>
  <w:style w:type="table" w:customStyle="1" w:styleId="LightList1">
    <w:name w:val="Light List1"/>
    <w:basedOn w:val="TableNormal"/>
    <w:uiPriority w:val="61"/>
    <w:rsid w:val="00D0754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D075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ppendixHeader">
    <w:name w:val="Appendix Header"/>
    <w:basedOn w:val="Heading2"/>
    <w:next w:val="Normal"/>
    <w:link w:val="AppendixHeaderChar"/>
    <w:qFormat/>
    <w:rsid w:val="000D1375"/>
    <w:pPr>
      <w:numPr>
        <w:ilvl w:val="0"/>
        <w:numId w:val="31"/>
      </w:numPr>
      <w:ind w:left="360"/>
    </w:pPr>
  </w:style>
  <w:style w:type="paragraph" w:customStyle="1" w:styleId="Appendixsubheading">
    <w:name w:val="Appendix subheading"/>
    <w:basedOn w:val="Heading3"/>
    <w:next w:val="Normal"/>
    <w:link w:val="AppendixsubheadingChar"/>
    <w:qFormat/>
    <w:rsid w:val="000D1375"/>
    <w:pPr>
      <w:numPr>
        <w:ilvl w:val="1"/>
        <w:numId w:val="31"/>
      </w:numPr>
      <w:ind w:left="360"/>
    </w:pPr>
    <w:rPr>
      <w:i/>
    </w:rPr>
  </w:style>
  <w:style w:type="character" w:customStyle="1" w:styleId="AppendixHeaderChar">
    <w:name w:val="Appendix Header Char"/>
    <w:basedOn w:val="Heading2Char"/>
    <w:link w:val="AppendixHeader"/>
    <w:rsid w:val="000D1375"/>
    <w:rPr>
      <w:rFonts w:ascii="Times New Roman" w:eastAsiaTheme="majorEastAsia" w:hAnsi="Times New Roman" w:cstheme="majorBidi"/>
      <w:b/>
      <w:sz w:val="24"/>
      <w:szCs w:val="26"/>
    </w:rPr>
  </w:style>
  <w:style w:type="numbering" w:customStyle="1" w:styleId="Style1">
    <w:name w:val="Style1"/>
    <w:uiPriority w:val="99"/>
    <w:rsid w:val="000D1375"/>
    <w:pPr>
      <w:numPr>
        <w:numId w:val="33"/>
      </w:numPr>
    </w:pPr>
  </w:style>
  <w:style w:type="character" w:customStyle="1" w:styleId="AppendixsubheadingChar">
    <w:name w:val="Appendix subheading Char"/>
    <w:basedOn w:val="DefaultParagraphFont"/>
    <w:link w:val="Appendixsubheading"/>
    <w:rsid w:val="0078303B"/>
    <w:rPr>
      <w:rFonts w:ascii="Times New Roman" w:eastAsiaTheme="majorEastAsia" w:hAnsi="Times New Roman" w:cstheme="majorBidi"/>
      <w:b/>
      <w:bCs/>
      <w:i/>
      <w:sz w:val="24"/>
      <w:szCs w:val="26"/>
    </w:rPr>
  </w:style>
  <w:style w:type="paragraph" w:styleId="DocumentMap">
    <w:name w:val="Document Map"/>
    <w:basedOn w:val="Normal"/>
    <w:link w:val="DocumentMapChar"/>
    <w:uiPriority w:val="99"/>
    <w:semiHidden/>
    <w:unhideWhenUsed/>
    <w:rsid w:val="000B2D5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2D5D"/>
    <w:rPr>
      <w:rFonts w:ascii="Tahoma" w:hAnsi="Tahoma" w:cs="Tahoma"/>
      <w:sz w:val="16"/>
      <w:szCs w:val="16"/>
    </w:rPr>
  </w:style>
  <w:style w:type="paragraph" w:customStyle="1" w:styleId="TableContents">
    <w:name w:val="Table Contents"/>
    <w:basedOn w:val="Normal"/>
    <w:link w:val="TableContentsChar"/>
    <w:rsid w:val="00B424DC"/>
    <w:pPr>
      <w:keepNext/>
      <w:widowControl w:val="0"/>
      <w:suppressLineNumbers/>
      <w:suppressAutoHyphens/>
      <w:spacing w:line="280" w:lineRule="exact"/>
      <w:ind w:firstLine="0"/>
    </w:pPr>
    <w:rPr>
      <w:rFonts w:ascii="Arial" w:eastAsia="DejaVu Sans" w:hAnsi="Arial" w:cs="DejaVu Sans"/>
      <w:kern w:val="1"/>
      <w:sz w:val="20"/>
      <w:szCs w:val="24"/>
      <w:lang w:eastAsia="hi-IN" w:bidi="hi-IN"/>
    </w:rPr>
  </w:style>
  <w:style w:type="character" w:customStyle="1" w:styleId="TableContentsChar">
    <w:name w:val="Table Contents Char"/>
    <w:basedOn w:val="DefaultParagraphFont"/>
    <w:link w:val="TableContents"/>
    <w:locked/>
    <w:rsid w:val="00B424DC"/>
    <w:rPr>
      <w:rFonts w:ascii="Arial" w:eastAsia="DejaVu Sans" w:hAnsi="Arial" w:cs="DejaVu Sans"/>
      <w:kern w:val="1"/>
      <w:sz w:val="20"/>
      <w:szCs w:val="24"/>
      <w:lang w:eastAsia="hi-IN" w:bidi="hi-IN"/>
    </w:rPr>
  </w:style>
  <w:style w:type="table" w:styleId="TableTheme">
    <w:name w:val="Table Theme"/>
    <w:basedOn w:val="TableNormal"/>
    <w:rsid w:val="00B424DC"/>
    <w:pPr>
      <w:widowControl w:val="0"/>
      <w:suppressAutoHyphens/>
      <w:spacing w:after="0" w:line="240" w:lineRule="auto"/>
    </w:pPr>
    <w:rPr>
      <w:rFonts w:ascii="Times New Roman" w:eastAsia="Times New Roman" w:hAnsi="Times New Roman" w:cs="Times New Roman"/>
      <w:sz w:val="24"/>
      <w:szCs w:val="24"/>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521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F521A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F521A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EndNoteBibliographyTitle">
    <w:name w:val="EndNote Bibliography Title"/>
    <w:basedOn w:val="Normal"/>
    <w:link w:val="EndNoteBibliographyTitleChar"/>
    <w:rsid w:val="00F521A0"/>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F521A0"/>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F521A0"/>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F521A0"/>
    <w:rPr>
      <w:rFonts w:ascii="Times New Roman" w:hAnsi="Times New Roman" w:cs="Times New Roman"/>
      <w:noProof/>
      <w:sz w:val="24"/>
      <w:lang w:val="en-US"/>
    </w:rPr>
  </w:style>
  <w:style w:type="table" w:styleId="MediumList1-Accent4">
    <w:name w:val="Medium List 1 Accent 4"/>
    <w:basedOn w:val="TableNormal"/>
    <w:uiPriority w:val="65"/>
    <w:rsid w:val="00F521A0"/>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ableDesc">
    <w:name w:val="Table Desc"/>
    <w:basedOn w:val="NoSpacing"/>
    <w:link w:val="TableDescChar"/>
    <w:qFormat/>
    <w:rsid w:val="00190366"/>
    <w:pPr>
      <w:spacing w:line="240" w:lineRule="auto"/>
    </w:pPr>
    <w:rPr>
      <w:sz w:val="20"/>
    </w:rPr>
  </w:style>
  <w:style w:type="character" w:customStyle="1" w:styleId="TableDescChar">
    <w:name w:val="Table Desc Char"/>
    <w:basedOn w:val="NoSpacingChar"/>
    <w:link w:val="TableDesc"/>
    <w:rsid w:val="00190366"/>
    <w:rPr>
      <w:rFonts w:ascii="Times New Roman" w:hAnsi="Times New Roman"/>
      <w:sz w:val="20"/>
    </w:rPr>
  </w:style>
  <w:style w:type="character" w:styleId="PlaceholderText">
    <w:name w:val="Placeholder Text"/>
    <w:basedOn w:val="DefaultParagraphFont"/>
    <w:uiPriority w:val="99"/>
    <w:semiHidden/>
    <w:rsid w:val="006356B6"/>
    <w:rPr>
      <w:color w:val="808080"/>
    </w:rPr>
  </w:style>
  <w:style w:type="paragraph" w:customStyle="1" w:styleId="Footnote">
    <w:name w:val="Footnote"/>
    <w:basedOn w:val="FootnoteText"/>
    <w:link w:val="FootnoteChar"/>
    <w:qFormat/>
    <w:rsid w:val="00CE06D6"/>
  </w:style>
  <w:style w:type="character" w:customStyle="1" w:styleId="FootnoteChar">
    <w:name w:val="Footnote Char"/>
    <w:basedOn w:val="FootnoteTextChar"/>
    <w:link w:val="Footnote"/>
    <w:rsid w:val="00CE06D6"/>
    <w:rPr>
      <w:rFonts w:ascii="Times New Roman" w:hAnsi="Times New Roman"/>
      <w:sz w:val="20"/>
      <w:szCs w:val="20"/>
    </w:rPr>
  </w:style>
  <w:style w:type="table" w:customStyle="1" w:styleId="LightShading2">
    <w:name w:val="Light Shading2"/>
    <w:basedOn w:val="TableNormal"/>
    <w:next w:val="LightShading"/>
    <w:uiPriority w:val="60"/>
    <w:rsid w:val="00E24E89"/>
    <w:pPr>
      <w:spacing w:after="0" w:line="240" w:lineRule="auto"/>
    </w:pPr>
    <w:rPr>
      <w:rFonts w:eastAsiaTheme="minorHAnsi"/>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913B1E"/>
    <w:pPr>
      <w:spacing w:after="0" w:line="240" w:lineRule="auto"/>
    </w:pPr>
    <w:rPr>
      <w:rFonts w:eastAsiaTheme="minorHAnsi"/>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6F"/>
    <w:pPr>
      <w:spacing w:line="480" w:lineRule="auto"/>
      <w:ind w:firstLine="720"/>
    </w:pPr>
    <w:rPr>
      <w:rFonts w:ascii="Times New Roman" w:hAnsi="Times New Roman"/>
      <w:sz w:val="24"/>
    </w:rPr>
  </w:style>
  <w:style w:type="paragraph" w:styleId="Heading1">
    <w:name w:val="heading 1"/>
    <w:next w:val="Heading2"/>
    <w:link w:val="Heading1Char"/>
    <w:uiPriority w:val="9"/>
    <w:qFormat/>
    <w:rsid w:val="00D70D6F"/>
    <w:pPr>
      <w:numPr>
        <w:numId w:val="14"/>
      </w:numPr>
      <w:spacing w:before="480" w:after="0"/>
      <w:contextualSpacing/>
      <w:outlineLvl w:val="0"/>
    </w:pPr>
    <w:rPr>
      <w:rFonts w:ascii="Times New Roman" w:eastAsiaTheme="majorEastAsia" w:hAnsi="Times New Roman" w:cstheme="majorBidi"/>
      <w:b/>
      <w:bCs/>
      <w:sz w:val="24"/>
      <w:szCs w:val="28"/>
    </w:rPr>
  </w:style>
  <w:style w:type="paragraph" w:styleId="Heading2">
    <w:name w:val="heading 2"/>
    <w:basedOn w:val="Heading1"/>
    <w:next w:val="NoSpacing"/>
    <w:link w:val="Heading2Char"/>
    <w:uiPriority w:val="9"/>
    <w:unhideWhenUsed/>
    <w:qFormat/>
    <w:rsid w:val="005704D7"/>
    <w:pPr>
      <w:numPr>
        <w:ilvl w:val="1"/>
      </w:numPr>
      <w:spacing w:before="120" w:after="120" w:line="480" w:lineRule="auto"/>
      <w:ind w:left="0" w:firstLine="0"/>
      <w:outlineLvl w:val="1"/>
    </w:pPr>
    <w:rPr>
      <w:bCs w:val="0"/>
      <w:szCs w:val="26"/>
    </w:rPr>
  </w:style>
  <w:style w:type="paragraph" w:styleId="Heading3">
    <w:name w:val="heading 3"/>
    <w:basedOn w:val="Heading2"/>
    <w:next w:val="NoSpacing"/>
    <w:link w:val="Heading3Char"/>
    <w:uiPriority w:val="9"/>
    <w:unhideWhenUsed/>
    <w:qFormat/>
    <w:rsid w:val="00D70D6F"/>
    <w:pPr>
      <w:numPr>
        <w:ilvl w:val="2"/>
      </w:numPr>
      <w:spacing w:line="271" w:lineRule="auto"/>
      <w:outlineLvl w:val="2"/>
    </w:pPr>
    <w:rPr>
      <w:bCs/>
    </w:rPr>
  </w:style>
  <w:style w:type="paragraph" w:styleId="Heading4">
    <w:name w:val="heading 4"/>
    <w:basedOn w:val="Heading3"/>
    <w:next w:val="NoSpacing"/>
    <w:link w:val="Heading4Char"/>
    <w:uiPriority w:val="9"/>
    <w:unhideWhenUsed/>
    <w:qFormat/>
    <w:rsid w:val="00D70D6F"/>
    <w:pPr>
      <w:numPr>
        <w:ilvl w:val="3"/>
      </w:numPr>
      <w:outlineLvl w:val="3"/>
    </w:pPr>
    <w:rPr>
      <w:bCs w:val="0"/>
      <w:iCs/>
    </w:rPr>
  </w:style>
  <w:style w:type="paragraph" w:styleId="Heading5">
    <w:name w:val="heading 5"/>
    <w:basedOn w:val="Heading4"/>
    <w:next w:val="NoSpacing"/>
    <w:link w:val="Heading5Char"/>
    <w:uiPriority w:val="9"/>
    <w:semiHidden/>
    <w:unhideWhenUsed/>
    <w:qFormat/>
    <w:rsid w:val="00D70D6F"/>
    <w:pPr>
      <w:numPr>
        <w:ilvl w:val="4"/>
      </w:numPr>
      <w:outlineLvl w:val="4"/>
    </w:pPr>
    <w:rPr>
      <w:bCs/>
    </w:rPr>
  </w:style>
  <w:style w:type="paragraph" w:styleId="Heading6">
    <w:name w:val="heading 6"/>
    <w:basedOn w:val="Normal"/>
    <w:next w:val="Normal"/>
    <w:link w:val="Heading6Char"/>
    <w:uiPriority w:val="9"/>
    <w:semiHidden/>
    <w:unhideWhenUsed/>
    <w:qFormat/>
    <w:rsid w:val="00D70D6F"/>
    <w:pPr>
      <w:numPr>
        <w:ilvl w:val="5"/>
        <w:numId w:val="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0D6F"/>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D70D6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0D6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D6F"/>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5704D7"/>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D70D6F"/>
    <w:rPr>
      <w:rFonts w:ascii="Times New Roman" w:eastAsiaTheme="majorEastAsia" w:hAnsi="Times New Roman" w:cstheme="majorBidi"/>
      <w:b/>
      <w:bCs/>
      <w:sz w:val="24"/>
      <w:szCs w:val="26"/>
    </w:rPr>
  </w:style>
  <w:style w:type="character" w:customStyle="1" w:styleId="Heading4Char">
    <w:name w:val="Heading 4 Char"/>
    <w:basedOn w:val="DefaultParagraphFont"/>
    <w:link w:val="Heading4"/>
    <w:uiPriority w:val="9"/>
    <w:rsid w:val="00D70D6F"/>
    <w:rPr>
      <w:rFonts w:ascii="Times New Roman" w:eastAsiaTheme="majorEastAsia" w:hAnsi="Times New Roman" w:cstheme="majorBidi"/>
      <w:b/>
      <w:iCs/>
      <w:sz w:val="24"/>
      <w:szCs w:val="26"/>
    </w:rPr>
  </w:style>
  <w:style w:type="character" w:customStyle="1" w:styleId="Heading5Char">
    <w:name w:val="Heading 5 Char"/>
    <w:basedOn w:val="DefaultParagraphFont"/>
    <w:link w:val="Heading5"/>
    <w:uiPriority w:val="9"/>
    <w:semiHidden/>
    <w:rsid w:val="00D70D6F"/>
    <w:rPr>
      <w:rFonts w:ascii="Times New Roman" w:eastAsiaTheme="majorEastAsia" w:hAnsi="Times New Roman" w:cstheme="majorBidi"/>
      <w:b/>
      <w:bCs/>
      <w:iCs/>
      <w:sz w:val="24"/>
      <w:szCs w:val="26"/>
    </w:rPr>
  </w:style>
  <w:style w:type="character" w:customStyle="1" w:styleId="Heading6Char">
    <w:name w:val="Heading 6 Char"/>
    <w:basedOn w:val="DefaultParagraphFont"/>
    <w:link w:val="Heading6"/>
    <w:uiPriority w:val="9"/>
    <w:semiHidden/>
    <w:rsid w:val="00D70D6F"/>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D70D6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0D6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0D6F"/>
    <w:rPr>
      <w:rFonts w:asciiTheme="majorHAnsi" w:eastAsiaTheme="majorEastAsia" w:hAnsiTheme="majorHAnsi" w:cstheme="majorBidi"/>
      <w:i/>
      <w:iCs/>
      <w:spacing w:val="5"/>
      <w:sz w:val="20"/>
      <w:szCs w:val="20"/>
    </w:rPr>
  </w:style>
  <w:style w:type="paragraph" w:styleId="Caption">
    <w:name w:val="caption"/>
    <w:basedOn w:val="Normal"/>
    <w:next w:val="Normal"/>
    <w:uiPriority w:val="35"/>
    <w:unhideWhenUsed/>
    <w:rsid w:val="00D70D6F"/>
    <w:rPr>
      <w:b/>
      <w:bCs/>
      <w:smallCaps/>
      <w:color w:val="1F497D" w:themeColor="text2"/>
      <w:spacing w:val="10"/>
      <w:sz w:val="18"/>
      <w:szCs w:val="18"/>
    </w:rPr>
  </w:style>
  <w:style w:type="paragraph" w:styleId="Title">
    <w:name w:val="Title"/>
    <w:basedOn w:val="Normal"/>
    <w:next w:val="Normal"/>
    <w:link w:val="TitleChar"/>
    <w:uiPriority w:val="10"/>
    <w:qFormat/>
    <w:rsid w:val="00D70D6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0D6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0D6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70D6F"/>
    <w:rPr>
      <w:rFonts w:asciiTheme="majorHAnsi" w:eastAsiaTheme="majorEastAsia" w:hAnsiTheme="majorHAnsi" w:cstheme="majorBidi"/>
      <w:i/>
      <w:iCs/>
      <w:spacing w:val="13"/>
      <w:sz w:val="24"/>
      <w:szCs w:val="24"/>
    </w:rPr>
  </w:style>
  <w:style w:type="character" w:styleId="Strong">
    <w:name w:val="Strong"/>
    <w:uiPriority w:val="22"/>
    <w:qFormat/>
    <w:rsid w:val="00D70D6F"/>
    <w:rPr>
      <w:b/>
      <w:bCs/>
    </w:rPr>
  </w:style>
  <w:style w:type="character" w:styleId="Emphasis">
    <w:name w:val="Emphasis"/>
    <w:uiPriority w:val="20"/>
    <w:qFormat/>
    <w:rsid w:val="00D70D6F"/>
    <w:rPr>
      <w:b/>
      <w:bCs/>
      <w:i/>
      <w:iCs/>
      <w:spacing w:val="10"/>
      <w:bdr w:val="none" w:sz="0" w:space="0" w:color="auto"/>
      <w:shd w:val="clear" w:color="auto" w:fill="auto"/>
    </w:rPr>
  </w:style>
  <w:style w:type="paragraph" w:styleId="NoSpacing">
    <w:name w:val="No Spacing"/>
    <w:aliases w:val="First Para"/>
    <w:next w:val="Normal"/>
    <w:link w:val="NoSpacingChar"/>
    <w:uiPriority w:val="1"/>
    <w:qFormat/>
    <w:rsid w:val="00D70D6F"/>
    <w:pPr>
      <w:spacing w:after="0" w:line="480" w:lineRule="auto"/>
    </w:pPr>
    <w:rPr>
      <w:rFonts w:ascii="Times New Roman" w:hAnsi="Times New Roman"/>
      <w:sz w:val="24"/>
    </w:rPr>
  </w:style>
  <w:style w:type="paragraph" w:styleId="ListParagraph">
    <w:name w:val="List Paragraph"/>
    <w:basedOn w:val="Normal"/>
    <w:uiPriority w:val="34"/>
    <w:qFormat/>
    <w:rsid w:val="00D70D6F"/>
    <w:pPr>
      <w:ind w:left="720"/>
      <w:contextualSpacing/>
    </w:pPr>
  </w:style>
  <w:style w:type="paragraph" w:styleId="Quote">
    <w:name w:val="Quote"/>
    <w:basedOn w:val="Normal"/>
    <w:next w:val="Normal"/>
    <w:link w:val="QuoteChar"/>
    <w:uiPriority w:val="29"/>
    <w:qFormat/>
    <w:rsid w:val="00D70D6F"/>
    <w:pPr>
      <w:spacing w:before="200" w:after="0"/>
      <w:ind w:left="360" w:right="360"/>
    </w:pPr>
    <w:rPr>
      <w:rFonts w:asciiTheme="minorHAnsi" w:hAnsiTheme="minorHAnsi"/>
      <w:i/>
      <w:iCs/>
      <w:sz w:val="22"/>
    </w:rPr>
  </w:style>
  <w:style w:type="character" w:customStyle="1" w:styleId="QuoteChar">
    <w:name w:val="Quote Char"/>
    <w:basedOn w:val="DefaultParagraphFont"/>
    <w:link w:val="Quote"/>
    <w:uiPriority w:val="29"/>
    <w:rsid w:val="00D70D6F"/>
    <w:rPr>
      <w:i/>
      <w:iCs/>
    </w:rPr>
  </w:style>
  <w:style w:type="paragraph" w:styleId="IntenseQuote">
    <w:name w:val="Intense Quote"/>
    <w:basedOn w:val="Normal"/>
    <w:next w:val="Normal"/>
    <w:link w:val="IntenseQuoteChar"/>
    <w:uiPriority w:val="30"/>
    <w:qFormat/>
    <w:rsid w:val="00D70D6F"/>
    <w:pPr>
      <w:pBdr>
        <w:bottom w:val="single" w:sz="4" w:space="1" w:color="auto"/>
      </w:pBdr>
      <w:spacing w:before="200" w:after="280"/>
      <w:ind w:left="1008" w:right="1152"/>
      <w:jc w:val="both"/>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D70D6F"/>
    <w:rPr>
      <w:b/>
      <w:bCs/>
      <w:i/>
      <w:iCs/>
    </w:rPr>
  </w:style>
  <w:style w:type="character" w:styleId="SubtleEmphasis">
    <w:name w:val="Subtle Emphasis"/>
    <w:uiPriority w:val="19"/>
    <w:qFormat/>
    <w:rsid w:val="00D70D6F"/>
    <w:rPr>
      <w:i/>
      <w:iCs/>
    </w:rPr>
  </w:style>
  <w:style w:type="character" w:styleId="IntenseEmphasis">
    <w:name w:val="Intense Emphasis"/>
    <w:uiPriority w:val="21"/>
    <w:qFormat/>
    <w:rsid w:val="00D70D6F"/>
    <w:rPr>
      <w:b/>
      <w:bCs/>
    </w:rPr>
  </w:style>
  <w:style w:type="character" w:styleId="SubtleReference">
    <w:name w:val="Subtle Reference"/>
    <w:uiPriority w:val="31"/>
    <w:qFormat/>
    <w:rsid w:val="00D70D6F"/>
    <w:rPr>
      <w:smallCaps/>
    </w:rPr>
  </w:style>
  <w:style w:type="character" w:styleId="IntenseReference">
    <w:name w:val="Intense Reference"/>
    <w:uiPriority w:val="32"/>
    <w:qFormat/>
    <w:rsid w:val="00D70D6F"/>
    <w:rPr>
      <w:smallCaps/>
      <w:spacing w:val="5"/>
      <w:u w:val="single"/>
    </w:rPr>
  </w:style>
  <w:style w:type="character" w:styleId="BookTitle">
    <w:name w:val="Book Title"/>
    <w:uiPriority w:val="33"/>
    <w:qFormat/>
    <w:rsid w:val="00D70D6F"/>
    <w:rPr>
      <w:i/>
      <w:iCs/>
      <w:smallCaps/>
      <w:spacing w:val="5"/>
    </w:rPr>
  </w:style>
  <w:style w:type="paragraph" w:styleId="TOCHeading">
    <w:name w:val="TOC Heading"/>
    <w:basedOn w:val="Heading1"/>
    <w:next w:val="Normal"/>
    <w:uiPriority w:val="39"/>
    <w:semiHidden/>
    <w:unhideWhenUsed/>
    <w:qFormat/>
    <w:rsid w:val="00D70D6F"/>
    <w:pPr>
      <w:numPr>
        <w:numId w:val="0"/>
      </w:numPr>
      <w:outlineLvl w:val="9"/>
    </w:pPr>
    <w:rPr>
      <w:lang w:bidi="en-US"/>
    </w:rPr>
  </w:style>
  <w:style w:type="numbering" w:customStyle="1" w:styleId="MattPhD">
    <w:name w:val="Matt PhD"/>
    <w:uiPriority w:val="99"/>
    <w:rsid w:val="0045153C"/>
    <w:pPr>
      <w:numPr>
        <w:numId w:val="1"/>
      </w:numPr>
    </w:pPr>
  </w:style>
  <w:style w:type="paragraph" w:styleId="BalloonText">
    <w:name w:val="Balloon Text"/>
    <w:basedOn w:val="Normal"/>
    <w:link w:val="BalloonTextChar"/>
    <w:uiPriority w:val="99"/>
    <w:semiHidden/>
    <w:unhideWhenUsed/>
    <w:rsid w:val="00C97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C45"/>
    <w:rPr>
      <w:rFonts w:ascii="Tahoma" w:hAnsi="Tahoma" w:cs="Tahoma"/>
      <w:sz w:val="16"/>
      <w:szCs w:val="16"/>
    </w:rPr>
  </w:style>
  <w:style w:type="paragraph" w:styleId="TOC1">
    <w:name w:val="toc 1"/>
    <w:basedOn w:val="Normal"/>
    <w:next w:val="Normal"/>
    <w:autoRedefine/>
    <w:uiPriority w:val="39"/>
    <w:unhideWhenUsed/>
    <w:qFormat/>
    <w:rsid w:val="003C4EC3"/>
    <w:pPr>
      <w:tabs>
        <w:tab w:val="right" w:leader="dot" w:pos="9016"/>
      </w:tabs>
      <w:spacing w:after="100"/>
    </w:pPr>
    <w:rPr>
      <w:noProof/>
    </w:rPr>
  </w:style>
  <w:style w:type="paragraph" w:styleId="TOC2">
    <w:name w:val="toc 2"/>
    <w:basedOn w:val="Normal"/>
    <w:next w:val="Normal"/>
    <w:autoRedefine/>
    <w:uiPriority w:val="39"/>
    <w:unhideWhenUsed/>
    <w:qFormat/>
    <w:rsid w:val="003C4EC3"/>
    <w:pPr>
      <w:tabs>
        <w:tab w:val="left" w:pos="1540"/>
        <w:tab w:val="right" w:leader="dot" w:pos="9016"/>
      </w:tabs>
      <w:spacing w:after="100"/>
      <w:ind w:left="170"/>
    </w:pPr>
  </w:style>
  <w:style w:type="character" w:styleId="Hyperlink">
    <w:name w:val="Hyperlink"/>
    <w:basedOn w:val="DefaultParagraphFont"/>
    <w:uiPriority w:val="99"/>
    <w:unhideWhenUsed/>
    <w:rsid w:val="00C97C45"/>
    <w:rPr>
      <w:color w:val="0000FF" w:themeColor="hyperlink"/>
      <w:u w:val="single"/>
    </w:rPr>
  </w:style>
  <w:style w:type="paragraph" w:styleId="TOC3">
    <w:name w:val="toc 3"/>
    <w:basedOn w:val="TOC2"/>
    <w:next w:val="Normal"/>
    <w:autoRedefine/>
    <w:uiPriority w:val="39"/>
    <w:unhideWhenUsed/>
    <w:qFormat/>
    <w:rsid w:val="003C4EC3"/>
    <w:pPr>
      <w:tabs>
        <w:tab w:val="left" w:pos="1320"/>
      </w:tabs>
      <w:spacing w:line="276" w:lineRule="auto"/>
      <w:ind w:left="113" w:firstLine="851"/>
      <w:mirrorIndents/>
    </w:pPr>
    <w:rPr>
      <w:noProof/>
      <w:lang w:val="en-US" w:eastAsia="ja-JP"/>
    </w:rPr>
  </w:style>
  <w:style w:type="paragraph" w:customStyle="1" w:styleId="Figures">
    <w:name w:val="Figures"/>
    <w:basedOn w:val="Normal"/>
    <w:link w:val="FiguresChar"/>
    <w:qFormat/>
    <w:rsid w:val="00C83E67"/>
    <w:pPr>
      <w:jc w:val="center"/>
    </w:pPr>
    <w:rPr>
      <w:b/>
    </w:rPr>
  </w:style>
  <w:style w:type="paragraph" w:customStyle="1" w:styleId="Table">
    <w:name w:val="Table"/>
    <w:basedOn w:val="Figures"/>
    <w:link w:val="TableChar"/>
    <w:qFormat/>
    <w:rsid w:val="00F521A0"/>
  </w:style>
  <w:style w:type="character" w:customStyle="1" w:styleId="FiguresChar">
    <w:name w:val="Figures Char"/>
    <w:basedOn w:val="DefaultParagraphFont"/>
    <w:link w:val="Figures"/>
    <w:rsid w:val="00C83E67"/>
    <w:rPr>
      <w:rFonts w:ascii="Times New Roman" w:hAnsi="Times New Roman"/>
      <w:b/>
      <w:sz w:val="24"/>
    </w:rPr>
  </w:style>
  <w:style w:type="paragraph" w:styleId="TableofFigures">
    <w:name w:val="table of figures"/>
    <w:basedOn w:val="Normal"/>
    <w:next w:val="Normal"/>
    <w:uiPriority w:val="99"/>
    <w:unhideWhenUsed/>
    <w:rsid w:val="002E4335"/>
    <w:pPr>
      <w:spacing w:after="0"/>
    </w:pPr>
  </w:style>
  <w:style w:type="character" w:customStyle="1" w:styleId="TableChar">
    <w:name w:val="Table Char"/>
    <w:basedOn w:val="FiguresChar"/>
    <w:link w:val="Table"/>
    <w:rsid w:val="00F521A0"/>
    <w:rPr>
      <w:rFonts w:ascii="Times New Roman" w:hAnsi="Times New Roman"/>
      <w:b/>
      <w:sz w:val="24"/>
    </w:rPr>
  </w:style>
  <w:style w:type="character" w:customStyle="1" w:styleId="NoSpacingChar">
    <w:name w:val="No Spacing Char"/>
    <w:aliases w:val="First Para Char"/>
    <w:basedOn w:val="DefaultParagraphFont"/>
    <w:link w:val="NoSpacing"/>
    <w:uiPriority w:val="1"/>
    <w:rsid w:val="005704D7"/>
    <w:rPr>
      <w:rFonts w:ascii="Times New Roman" w:hAnsi="Times New Roman"/>
      <w:sz w:val="24"/>
    </w:rPr>
  </w:style>
  <w:style w:type="paragraph" w:styleId="FootnoteText">
    <w:name w:val="footnote text"/>
    <w:basedOn w:val="Normal"/>
    <w:link w:val="FootnoteTextChar"/>
    <w:uiPriority w:val="99"/>
    <w:unhideWhenUsed/>
    <w:rsid w:val="00CE06D6"/>
    <w:pPr>
      <w:spacing w:after="0" w:line="240" w:lineRule="auto"/>
      <w:ind w:firstLine="0"/>
    </w:pPr>
    <w:rPr>
      <w:sz w:val="20"/>
      <w:szCs w:val="20"/>
    </w:rPr>
  </w:style>
  <w:style w:type="character" w:customStyle="1" w:styleId="FootnoteTextChar">
    <w:name w:val="Footnote Text Char"/>
    <w:basedOn w:val="DefaultParagraphFont"/>
    <w:link w:val="FootnoteText"/>
    <w:uiPriority w:val="99"/>
    <w:rsid w:val="00CE06D6"/>
    <w:rPr>
      <w:rFonts w:ascii="Times New Roman" w:hAnsi="Times New Roman"/>
      <w:sz w:val="20"/>
      <w:szCs w:val="20"/>
    </w:rPr>
  </w:style>
  <w:style w:type="character" w:styleId="FootnoteReference">
    <w:name w:val="footnote reference"/>
    <w:basedOn w:val="DefaultParagraphFont"/>
    <w:uiPriority w:val="99"/>
    <w:unhideWhenUsed/>
    <w:rsid w:val="005704D7"/>
    <w:rPr>
      <w:vertAlign w:val="superscript"/>
    </w:rPr>
  </w:style>
  <w:style w:type="character" w:styleId="CommentReference">
    <w:name w:val="annotation reference"/>
    <w:basedOn w:val="DefaultParagraphFont"/>
    <w:uiPriority w:val="99"/>
    <w:semiHidden/>
    <w:unhideWhenUsed/>
    <w:rsid w:val="005704D7"/>
    <w:rPr>
      <w:sz w:val="16"/>
      <w:szCs w:val="16"/>
    </w:rPr>
  </w:style>
  <w:style w:type="paragraph" w:styleId="CommentText">
    <w:name w:val="annotation text"/>
    <w:basedOn w:val="Normal"/>
    <w:link w:val="CommentTextChar"/>
    <w:uiPriority w:val="99"/>
    <w:semiHidden/>
    <w:unhideWhenUsed/>
    <w:rsid w:val="005704D7"/>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5704D7"/>
    <w:rPr>
      <w:sz w:val="20"/>
      <w:szCs w:val="20"/>
    </w:rPr>
  </w:style>
  <w:style w:type="paragraph" w:styleId="CommentSubject">
    <w:name w:val="annotation subject"/>
    <w:basedOn w:val="CommentText"/>
    <w:next w:val="CommentText"/>
    <w:link w:val="CommentSubjectChar"/>
    <w:uiPriority w:val="99"/>
    <w:semiHidden/>
    <w:unhideWhenUsed/>
    <w:rsid w:val="0021626E"/>
    <w:rPr>
      <w:rFonts w:ascii="Times New Roman" w:hAnsi="Times New Roman"/>
      <w:b/>
      <w:bCs/>
    </w:rPr>
  </w:style>
  <w:style w:type="character" w:customStyle="1" w:styleId="CommentSubjectChar">
    <w:name w:val="Comment Subject Char"/>
    <w:basedOn w:val="CommentTextChar"/>
    <w:link w:val="CommentSubject"/>
    <w:uiPriority w:val="99"/>
    <w:semiHidden/>
    <w:rsid w:val="0021626E"/>
    <w:rPr>
      <w:rFonts w:ascii="Times New Roman" w:hAnsi="Times New Roman"/>
      <w:b/>
      <w:bCs/>
      <w:sz w:val="20"/>
      <w:szCs w:val="20"/>
    </w:rPr>
  </w:style>
  <w:style w:type="paragraph" w:styleId="Header">
    <w:name w:val="header"/>
    <w:basedOn w:val="Normal"/>
    <w:link w:val="HeaderChar"/>
    <w:uiPriority w:val="99"/>
    <w:unhideWhenUsed/>
    <w:rsid w:val="00450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2BF"/>
    <w:rPr>
      <w:rFonts w:ascii="Times New Roman" w:hAnsi="Times New Roman"/>
      <w:sz w:val="24"/>
    </w:rPr>
  </w:style>
  <w:style w:type="paragraph" w:styleId="Footer">
    <w:name w:val="footer"/>
    <w:basedOn w:val="Normal"/>
    <w:link w:val="FooterChar"/>
    <w:uiPriority w:val="99"/>
    <w:unhideWhenUsed/>
    <w:rsid w:val="00450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2BF"/>
    <w:rPr>
      <w:rFonts w:ascii="Times New Roman" w:hAnsi="Times New Roman"/>
      <w:sz w:val="24"/>
    </w:rPr>
  </w:style>
  <w:style w:type="table" w:styleId="TableGrid">
    <w:name w:val="Table Grid"/>
    <w:basedOn w:val="TableNormal"/>
    <w:uiPriority w:val="59"/>
    <w:rsid w:val="00E30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151716"/>
    <w:pPr>
      <w:spacing w:after="0" w:line="240" w:lineRule="auto"/>
    </w:pPr>
    <w:rPr>
      <w:rFonts w:ascii="Times New Roman" w:hAnsi="Times New Roman"/>
      <w:sz w:val="24"/>
    </w:rPr>
  </w:style>
  <w:style w:type="character" w:customStyle="1" w:styleId="smallcaps">
    <w:name w:val="smallcaps"/>
    <w:basedOn w:val="DefaultParagraphFont"/>
    <w:rsid w:val="00C06684"/>
  </w:style>
  <w:style w:type="character" w:customStyle="1" w:styleId="apple-converted-space">
    <w:name w:val="apple-converted-space"/>
    <w:basedOn w:val="DefaultParagraphFont"/>
    <w:rsid w:val="00C06684"/>
  </w:style>
  <w:style w:type="table" w:customStyle="1" w:styleId="LightList1">
    <w:name w:val="Light List1"/>
    <w:basedOn w:val="TableNormal"/>
    <w:uiPriority w:val="61"/>
    <w:rsid w:val="00D0754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D075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ppendixHeader">
    <w:name w:val="Appendix Header"/>
    <w:basedOn w:val="Heading2"/>
    <w:next w:val="Normal"/>
    <w:link w:val="AppendixHeaderChar"/>
    <w:qFormat/>
    <w:rsid w:val="000D1375"/>
    <w:pPr>
      <w:numPr>
        <w:ilvl w:val="0"/>
        <w:numId w:val="31"/>
      </w:numPr>
      <w:ind w:left="360"/>
    </w:pPr>
  </w:style>
  <w:style w:type="paragraph" w:customStyle="1" w:styleId="Appendixsubheading">
    <w:name w:val="Appendix subheading"/>
    <w:basedOn w:val="Heading3"/>
    <w:next w:val="Normal"/>
    <w:link w:val="AppendixsubheadingChar"/>
    <w:qFormat/>
    <w:rsid w:val="000D1375"/>
    <w:pPr>
      <w:numPr>
        <w:ilvl w:val="1"/>
        <w:numId w:val="31"/>
      </w:numPr>
      <w:ind w:left="360"/>
    </w:pPr>
    <w:rPr>
      <w:i/>
    </w:rPr>
  </w:style>
  <w:style w:type="character" w:customStyle="1" w:styleId="AppendixHeaderChar">
    <w:name w:val="Appendix Header Char"/>
    <w:basedOn w:val="Heading2Char"/>
    <w:link w:val="AppendixHeader"/>
    <w:rsid w:val="000D1375"/>
    <w:rPr>
      <w:rFonts w:ascii="Times New Roman" w:eastAsiaTheme="majorEastAsia" w:hAnsi="Times New Roman" w:cstheme="majorBidi"/>
      <w:b/>
      <w:sz w:val="24"/>
      <w:szCs w:val="26"/>
    </w:rPr>
  </w:style>
  <w:style w:type="numbering" w:customStyle="1" w:styleId="Style1">
    <w:name w:val="Style1"/>
    <w:uiPriority w:val="99"/>
    <w:rsid w:val="000D1375"/>
    <w:pPr>
      <w:numPr>
        <w:numId w:val="33"/>
      </w:numPr>
    </w:pPr>
  </w:style>
  <w:style w:type="character" w:customStyle="1" w:styleId="AppendixsubheadingChar">
    <w:name w:val="Appendix subheading Char"/>
    <w:basedOn w:val="DefaultParagraphFont"/>
    <w:link w:val="Appendixsubheading"/>
    <w:rsid w:val="0078303B"/>
    <w:rPr>
      <w:rFonts w:ascii="Times New Roman" w:eastAsiaTheme="majorEastAsia" w:hAnsi="Times New Roman" w:cstheme="majorBidi"/>
      <w:b/>
      <w:bCs/>
      <w:i/>
      <w:sz w:val="24"/>
      <w:szCs w:val="26"/>
    </w:rPr>
  </w:style>
  <w:style w:type="paragraph" w:styleId="DocumentMap">
    <w:name w:val="Document Map"/>
    <w:basedOn w:val="Normal"/>
    <w:link w:val="DocumentMapChar"/>
    <w:uiPriority w:val="99"/>
    <w:semiHidden/>
    <w:unhideWhenUsed/>
    <w:rsid w:val="000B2D5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B2D5D"/>
    <w:rPr>
      <w:rFonts w:ascii="Tahoma" w:hAnsi="Tahoma" w:cs="Tahoma"/>
      <w:sz w:val="16"/>
      <w:szCs w:val="16"/>
    </w:rPr>
  </w:style>
  <w:style w:type="paragraph" w:customStyle="1" w:styleId="TableContents">
    <w:name w:val="Table Contents"/>
    <w:basedOn w:val="Normal"/>
    <w:link w:val="TableContentsChar"/>
    <w:rsid w:val="00B424DC"/>
    <w:pPr>
      <w:keepNext/>
      <w:widowControl w:val="0"/>
      <w:suppressLineNumbers/>
      <w:suppressAutoHyphens/>
      <w:spacing w:line="280" w:lineRule="exact"/>
      <w:ind w:firstLine="0"/>
    </w:pPr>
    <w:rPr>
      <w:rFonts w:ascii="Arial" w:eastAsia="DejaVu Sans" w:hAnsi="Arial" w:cs="DejaVu Sans"/>
      <w:kern w:val="1"/>
      <w:sz w:val="20"/>
      <w:szCs w:val="24"/>
      <w:lang w:eastAsia="hi-IN" w:bidi="hi-IN"/>
    </w:rPr>
  </w:style>
  <w:style w:type="character" w:customStyle="1" w:styleId="TableContentsChar">
    <w:name w:val="Table Contents Char"/>
    <w:basedOn w:val="DefaultParagraphFont"/>
    <w:link w:val="TableContents"/>
    <w:locked/>
    <w:rsid w:val="00B424DC"/>
    <w:rPr>
      <w:rFonts w:ascii="Arial" w:eastAsia="DejaVu Sans" w:hAnsi="Arial" w:cs="DejaVu Sans"/>
      <w:kern w:val="1"/>
      <w:sz w:val="20"/>
      <w:szCs w:val="24"/>
      <w:lang w:eastAsia="hi-IN" w:bidi="hi-IN"/>
    </w:rPr>
  </w:style>
  <w:style w:type="table" w:styleId="TableTheme">
    <w:name w:val="Table Theme"/>
    <w:basedOn w:val="TableNormal"/>
    <w:rsid w:val="00B424DC"/>
    <w:pPr>
      <w:widowControl w:val="0"/>
      <w:suppressAutoHyphens/>
      <w:spacing w:after="0" w:line="240" w:lineRule="auto"/>
    </w:pPr>
    <w:rPr>
      <w:rFonts w:ascii="Times New Roman" w:eastAsia="Times New Roman" w:hAnsi="Times New Roman" w:cs="Times New Roman"/>
      <w:sz w:val="24"/>
      <w:szCs w:val="24"/>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521A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F521A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1">
    <w:name w:val="Medium List 1"/>
    <w:basedOn w:val="TableNormal"/>
    <w:uiPriority w:val="65"/>
    <w:rsid w:val="00F521A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EndNoteBibliographyTitle">
    <w:name w:val="EndNote Bibliography Title"/>
    <w:basedOn w:val="Normal"/>
    <w:link w:val="EndNoteBibliographyTitleChar"/>
    <w:rsid w:val="00F521A0"/>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F521A0"/>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F521A0"/>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F521A0"/>
    <w:rPr>
      <w:rFonts w:ascii="Times New Roman" w:hAnsi="Times New Roman" w:cs="Times New Roman"/>
      <w:noProof/>
      <w:sz w:val="24"/>
      <w:lang w:val="en-US"/>
    </w:rPr>
  </w:style>
  <w:style w:type="table" w:styleId="MediumList1-Accent4">
    <w:name w:val="Medium List 1 Accent 4"/>
    <w:basedOn w:val="TableNormal"/>
    <w:uiPriority w:val="65"/>
    <w:rsid w:val="00F521A0"/>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paragraph" w:customStyle="1" w:styleId="TableDesc">
    <w:name w:val="Table Desc"/>
    <w:basedOn w:val="NoSpacing"/>
    <w:link w:val="TableDescChar"/>
    <w:qFormat/>
    <w:rsid w:val="00190366"/>
    <w:pPr>
      <w:spacing w:line="240" w:lineRule="auto"/>
    </w:pPr>
    <w:rPr>
      <w:sz w:val="20"/>
    </w:rPr>
  </w:style>
  <w:style w:type="character" w:customStyle="1" w:styleId="TableDescChar">
    <w:name w:val="Table Desc Char"/>
    <w:basedOn w:val="NoSpacingChar"/>
    <w:link w:val="TableDesc"/>
    <w:rsid w:val="00190366"/>
    <w:rPr>
      <w:rFonts w:ascii="Times New Roman" w:hAnsi="Times New Roman"/>
      <w:sz w:val="20"/>
    </w:rPr>
  </w:style>
  <w:style w:type="character" w:styleId="PlaceholderText">
    <w:name w:val="Placeholder Text"/>
    <w:basedOn w:val="DefaultParagraphFont"/>
    <w:uiPriority w:val="99"/>
    <w:semiHidden/>
    <w:rsid w:val="006356B6"/>
    <w:rPr>
      <w:color w:val="808080"/>
    </w:rPr>
  </w:style>
  <w:style w:type="paragraph" w:customStyle="1" w:styleId="Footnote">
    <w:name w:val="Footnote"/>
    <w:basedOn w:val="FootnoteText"/>
    <w:link w:val="FootnoteChar"/>
    <w:qFormat/>
    <w:rsid w:val="00CE06D6"/>
  </w:style>
  <w:style w:type="character" w:customStyle="1" w:styleId="FootnoteChar">
    <w:name w:val="Footnote Char"/>
    <w:basedOn w:val="FootnoteTextChar"/>
    <w:link w:val="Footnote"/>
    <w:rsid w:val="00CE06D6"/>
    <w:rPr>
      <w:rFonts w:ascii="Times New Roman" w:hAnsi="Times New Roman"/>
      <w:sz w:val="20"/>
      <w:szCs w:val="20"/>
    </w:rPr>
  </w:style>
  <w:style w:type="table" w:customStyle="1" w:styleId="LightShading2">
    <w:name w:val="Light Shading2"/>
    <w:basedOn w:val="TableNormal"/>
    <w:next w:val="LightShading"/>
    <w:uiPriority w:val="60"/>
    <w:rsid w:val="00E24E89"/>
    <w:pPr>
      <w:spacing w:after="0" w:line="240" w:lineRule="auto"/>
    </w:pPr>
    <w:rPr>
      <w:rFonts w:eastAsiaTheme="minorHAnsi"/>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913B1E"/>
    <w:pPr>
      <w:spacing w:after="0" w:line="240" w:lineRule="auto"/>
    </w:pPr>
    <w:rPr>
      <w:rFonts w:eastAsiaTheme="minorHAnsi"/>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221">
      <w:bodyDiv w:val="1"/>
      <w:marLeft w:val="0"/>
      <w:marRight w:val="0"/>
      <w:marTop w:val="0"/>
      <w:marBottom w:val="0"/>
      <w:divBdr>
        <w:top w:val="none" w:sz="0" w:space="0" w:color="auto"/>
        <w:left w:val="none" w:sz="0" w:space="0" w:color="auto"/>
        <w:bottom w:val="none" w:sz="0" w:space="0" w:color="auto"/>
        <w:right w:val="none" w:sz="0" w:space="0" w:color="auto"/>
      </w:divBdr>
    </w:div>
    <w:div w:id="38827086">
      <w:bodyDiv w:val="1"/>
      <w:marLeft w:val="0"/>
      <w:marRight w:val="0"/>
      <w:marTop w:val="0"/>
      <w:marBottom w:val="0"/>
      <w:divBdr>
        <w:top w:val="none" w:sz="0" w:space="0" w:color="auto"/>
        <w:left w:val="none" w:sz="0" w:space="0" w:color="auto"/>
        <w:bottom w:val="none" w:sz="0" w:space="0" w:color="auto"/>
        <w:right w:val="none" w:sz="0" w:space="0" w:color="auto"/>
      </w:divBdr>
    </w:div>
    <w:div w:id="51585927">
      <w:bodyDiv w:val="1"/>
      <w:marLeft w:val="0"/>
      <w:marRight w:val="0"/>
      <w:marTop w:val="0"/>
      <w:marBottom w:val="0"/>
      <w:divBdr>
        <w:top w:val="none" w:sz="0" w:space="0" w:color="auto"/>
        <w:left w:val="none" w:sz="0" w:space="0" w:color="auto"/>
        <w:bottom w:val="none" w:sz="0" w:space="0" w:color="auto"/>
        <w:right w:val="none" w:sz="0" w:space="0" w:color="auto"/>
      </w:divBdr>
    </w:div>
    <w:div w:id="407314697">
      <w:bodyDiv w:val="1"/>
      <w:marLeft w:val="0"/>
      <w:marRight w:val="0"/>
      <w:marTop w:val="0"/>
      <w:marBottom w:val="0"/>
      <w:divBdr>
        <w:top w:val="none" w:sz="0" w:space="0" w:color="auto"/>
        <w:left w:val="none" w:sz="0" w:space="0" w:color="auto"/>
        <w:bottom w:val="none" w:sz="0" w:space="0" w:color="auto"/>
        <w:right w:val="none" w:sz="0" w:space="0" w:color="auto"/>
      </w:divBdr>
    </w:div>
    <w:div w:id="640616007">
      <w:bodyDiv w:val="1"/>
      <w:marLeft w:val="0"/>
      <w:marRight w:val="0"/>
      <w:marTop w:val="0"/>
      <w:marBottom w:val="0"/>
      <w:divBdr>
        <w:top w:val="none" w:sz="0" w:space="0" w:color="auto"/>
        <w:left w:val="none" w:sz="0" w:space="0" w:color="auto"/>
        <w:bottom w:val="none" w:sz="0" w:space="0" w:color="auto"/>
        <w:right w:val="none" w:sz="0" w:space="0" w:color="auto"/>
      </w:divBdr>
    </w:div>
    <w:div w:id="799155993">
      <w:bodyDiv w:val="1"/>
      <w:marLeft w:val="0"/>
      <w:marRight w:val="0"/>
      <w:marTop w:val="0"/>
      <w:marBottom w:val="0"/>
      <w:divBdr>
        <w:top w:val="none" w:sz="0" w:space="0" w:color="auto"/>
        <w:left w:val="none" w:sz="0" w:space="0" w:color="auto"/>
        <w:bottom w:val="none" w:sz="0" w:space="0" w:color="auto"/>
        <w:right w:val="none" w:sz="0" w:space="0" w:color="auto"/>
      </w:divBdr>
    </w:div>
    <w:div w:id="812143334">
      <w:bodyDiv w:val="1"/>
      <w:marLeft w:val="0"/>
      <w:marRight w:val="0"/>
      <w:marTop w:val="0"/>
      <w:marBottom w:val="0"/>
      <w:divBdr>
        <w:top w:val="none" w:sz="0" w:space="0" w:color="auto"/>
        <w:left w:val="none" w:sz="0" w:space="0" w:color="auto"/>
        <w:bottom w:val="none" w:sz="0" w:space="0" w:color="auto"/>
        <w:right w:val="none" w:sz="0" w:space="0" w:color="auto"/>
      </w:divBdr>
    </w:div>
    <w:div w:id="828445419">
      <w:bodyDiv w:val="1"/>
      <w:marLeft w:val="0"/>
      <w:marRight w:val="0"/>
      <w:marTop w:val="0"/>
      <w:marBottom w:val="0"/>
      <w:divBdr>
        <w:top w:val="none" w:sz="0" w:space="0" w:color="auto"/>
        <w:left w:val="none" w:sz="0" w:space="0" w:color="auto"/>
        <w:bottom w:val="none" w:sz="0" w:space="0" w:color="auto"/>
        <w:right w:val="none" w:sz="0" w:space="0" w:color="auto"/>
      </w:divBdr>
    </w:div>
    <w:div w:id="899906156">
      <w:bodyDiv w:val="1"/>
      <w:marLeft w:val="0"/>
      <w:marRight w:val="0"/>
      <w:marTop w:val="0"/>
      <w:marBottom w:val="0"/>
      <w:divBdr>
        <w:top w:val="none" w:sz="0" w:space="0" w:color="auto"/>
        <w:left w:val="none" w:sz="0" w:space="0" w:color="auto"/>
        <w:bottom w:val="none" w:sz="0" w:space="0" w:color="auto"/>
        <w:right w:val="none" w:sz="0" w:space="0" w:color="auto"/>
      </w:divBdr>
    </w:div>
    <w:div w:id="951935379">
      <w:bodyDiv w:val="1"/>
      <w:marLeft w:val="0"/>
      <w:marRight w:val="0"/>
      <w:marTop w:val="0"/>
      <w:marBottom w:val="0"/>
      <w:divBdr>
        <w:top w:val="none" w:sz="0" w:space="0" w:color="auto"/>
        <w:left w:val="none" w:sz="0" w:space="0" w:color="auto"/>
        <w:bottom w:val="none" w:sz="0" w:space="0" w:color="auto"/>
        <w:right w:val="none" w:sz="0" w:space="0" w:color="auto"/>
      </w:divBdr>
    </w:div>
    <w:div w:id="1158301177">
      <w:bodyDiv w:val="1"/>
      <w:marLeft w:val="0"/>
      <w:marRight w:val="0"/>
      <w:marTop w:val="0"/>
      <w:marBottom w:val="0"/>
      <w:divBdr>
        <w:top w:val="none" w:sz="0" w:space="0" w:color="auto"/>
        <w:left w:val="none" w:sz="0" w:space="0" w:color="auto"/>
        <w:bottom w:val="none" w:sz="0" w:space="0" w:color="auto"/>
        <w:right w:val="none" w:sz="0" w:space="0" w:color="auto"/>
      </w:divBdr>
    </w:div>
    <w:div w:id="1298414977">
      <w:bodyDiv w:val="1"/>
      <w:marLeft w:val="0"/>
      <w:marRight w:val="0"/>
      <w:marTop w:val="0"/>
      <w:marBottom w:val="0"/>
      <w:divBdr>
        <w:top w:val="none" w:sz="0" w:space="0" w:color="auto"/>
        <w:left w:val="none" w:sz="0" w:space="0" w:color="auto"/>
        <w:bottom w:val="none" w:sz="0" w:space="0" w:color="auto"/>
        <w:right w:val="none" w:sz="0" w:space="0" w:color="auto"/>
      </w:divBdr>
    </w:div>
    <w:div w:id="1545478775">
      <w:bodyDiv w:val="1"/>
      <w:marLeft w:val="0"/>
      <w:marRight w:val="0"/>
      <w:marTop w:val="0"/>
      <w:marBottom w:val="0"/>
      <w:divBdr>
        <w:top w:val="none" w:sz="0" w:space="0" w:color="auto"/>
        <w:left w:val="none" w:sz="0" w:space="0" w:color="auto"/>
        <w:bottom w:val="none" w:sz="0" w:space="0" w:color="auto"/>
        <w:right w:val="none" w:sz="0" w:space="0" w:color="auto"/>
      </w:divBdr>
    </w:div>
    <w:div w:id="1583490440">
      <w:bodyDiv w:val="1"/>
      <w:marLeft w:val="0"/>
      <w:marRight w:val="0"/>
      <w:marTop w:val="0"/>
      <w:marBottom w:val="0"/>
      <w:divBdr>
        <w:top w:val="none" w:sz="0" w:space="0" w:color="auto"/>
        <w:left w:val="none" w:sz="0" w:space="0" w:color="auto"/>
        <w:bottom w:val="none" w:sz="0" w:space="0" w:color="auto"/>
        <w:right w:val="none" w:sz="0" w:space="0" w:color="auto"/>
      </w:divBdr>
    </w:div>
    <w:div w:id="1823347500">
      <w:bodyDiv w:val="1"/>
      <w:marLeft w:val="0"/>
      <w:marRight w:val="0"/>
      <w:marTop w:val="0"/>
      <w:marBottom w:val="0"/>
      <w:divBdr>
        <w:top w:val="none" w:sz="0" w:space="0" w:color="auto"/>
        <w:left w:val="none" w:sz="0" w:space="0" w:color="auto"/>
        <w:bottom w:val="none" w:sz="0" w:space="0" w:color="auto"/>
        <w:right w:val="none" w:sz="0" w:space="0" w:color="auto"/>
      </w:divBdr>
    </w:div>
    <w:div w:id="1872377512">
      <w:bodyDiv w:val="1"/>
      <w:marLeft w:val="0"/>
      <w:marRight w:val="0"/>
      <w:marTop w:val="0"/>
      <w:marBottom w:val="0"/>
      <w:divBdr>
        <w:top w:val="none" w:sz="0" w:space="0" w:color="auto"/>
        <w:left w:val="none" w:sz="0" w:space="0" w:color="auto"/>
        <w:bottom w:val="none" w:sz="0" w:space="0" w:color="auto"/>
        <w:right w:val="none" w:sz="0" w:space="0" w:color="auto"/>
      </w:divBdr>
    </w:div>
    <w:div w:id="1916283168">
      <w:bodyDiv w:val="1"/>
      <w:marLeft w:val="0"/>
      <w:marRight w:val="0"/>
      <w:marTop w:val="0"/>
      <w:marBottom w:val="0"/>
      <w:divBdr>
        <w:top w:val="none" w:sz="0" w:space="0" w:color="auto"/>
        <w:left w:val="none" w:sz="0" w:space="0" w:color="auto"/>
        <w:bottom w:val="none" w:sz="0" w:space="0" w:color="auto"/>
        <w:right w:val="none" w:sz="0" w:space="0" w:color="auto"/>
      </w:divBdr>
    </w:div>
    <w:div w:id="21121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www.asx.com.au/asxpdf/20061024/pdf/3z4rb03by1yn6.pdf" TargetMode="Externa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www.silverminesltd.com.au/media/4781/continuous_disclosure.pdf"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mirabela.com.au/_content/documents/1107.pdf"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hyperlink" Target="mailto:Andrew.Ferguson@uts.edu.au"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Uni\PhD\Data\Tables\Hypothesis%201\Full%20Sampl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utsfs5.adsroot.uts.edu.au\home14$\109812\My%20Documents\PhD\Data\Tables\Hypothesis%203\ABSPREAD%20Full%20Sampl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Uni\PhD\Data\Tables\Hypothesis%203\ABSPREAD%20Initiation%20Sampl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Uni\PhD\Data\Tables\Hypothesis%203\ABSPREAD%20Subsequent%20Samp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Uni\PhD\Data\Tables\Hypothesis%201\Initiatio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Uni\PhD\Data\Tables\Hypothesis%201\Subsequen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Uni\PhD\Data\Tables\Hypothesis%201\Full%20Sampl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Uni\PhD\Data\Tables\Hypothesis%201\Initiati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Uni\PhD\Data\Tables\Hypothesis%201\Subsequen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Uni\PhD\Data\Tables\Hypothesis%203\Full%20Sample%20Event%20study%20TURNOVER%20Calc.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Uni\PhD\Data\Tables\Hypothesis%203\Initial%20Sample%20Event%20study%20TURNOVER%20Calc.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utsfs5.adsroot.uts.edu.au\home14$\109812\My%20Documents\PhD\Data\Tables\Hypothesis%203\Subsequent%20Sample%20Event%20study%20TURNOVER%20Calc.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col"/>
        <c:grouping val="clustered"/>
        <c:varyColors val="0"/>
        <c:ser>
          <c:idx val="0"/>
          <c:order val="0"/>
          <c:tx>
            <c:v>Average Abnormal Returns</c:v>
          </c:tx>
          <c:invertIfNegative val="0"/>
          <c:cat>
            <c:numRef>
              <c:f>'Pasted Values'!$C$1:$W$1</c:f>
              <c:numCache>
                <c:formatCode>General</c:formatCode>
                <c:ptCount val="21"/>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numCache>
            </c:numRef>
          </c:cat>
          <c:val>
            <c:numRef>
              <c:f>'Pasted Values'!$C$2:$W$2</c:f>
              <c:numCache>
                <c:formatCode>0.000%</c:formatCode>
                <c:ptCount val="21"/>
                <c:pt idx="0">
                  <c:v>1.0115791760860961E-3</c:v>
                </c:pt>
                <c:pt idx="1">
                  <c:v>-3.8574174267089626E-3</c:v>
                </c:pt>
                <c:pt idx="2">
                  <c:v>1.1140566229269826E-3</c:v>
                </c:pt>
                <c:pt idx="3">
                  <c:v>1.5113710988606055E-3</c:v>
                </c:pt>
                <c:pt idx="4">
                  <c:v>1.7710428308708928E-4</c:v>
                </c:pt>
                <c:pt idx="5">
                  <c:v>4.2149308835659335E-3</c:v>
                </c:pt>
                <c:pt idx="6">
                  <c:v>1.0254028631022773E-3</c:v>
                </c:pt>
                <c:pt idx="7">
                  <c:v>7.3407077696813975E-4</c:v>
                </c:pt>
                <c:pt idx="8">
                  <c:v>2.3318434222875536E-3</c:v>
                </c:pt>
                <c:pt idx="9">
                  <c:v>-2.0809629397133228E-3</c:v>
                </c:pt>
                <c:pt idx="10">
                  <c:v>2.4802611344409278E-2</c:v>
                </c:pt>
                <c:pt idx="11">
                  <c:v>4.8064871714882315E-3</c:v>
                </c:pt>
                <c:pt idx="12">
                  <c:v>-5.4763940597468241E-4</c:v>
                </c:pt>
                <c:pt idx="13">
                  <c:v>1.535427916425908E-3</c:v>
                </c:pt>
                <c:pt idx="14">
                  <c:v>-6.146945614280766E-3</c:v>
                </c:pt>
                <c:pt idx="15">
                  <c:v>-3.3693284945288697E-3</c:v>
                </c:pt>
                <c:pt idx="16">
                  <c:v>-6.5745201118385926E-3</c:v>
                </c:pt>
                <c:pt idx="17">
                  <c:v>3.1253593017398574E-3</c:v>
                </c:pt>
                <c:pt idx="18">
                  <c:v>-3.2684445292470981E-3</c:v>
                </c:pt>
                <c:pt idx="19">
                  <c:v>3.9914120406899893E-3</c:v>
                </c:pt>
                <c:pt idx="20">
                  <c:v>-8.3506989722225006E-3</c:v>
                </c:pt>
              </c:numCache>
            </c:numRef>
          </c:val>
        </c:ser>
        <c:dLbls>
          <c:showLegendKey val="0"/>
          <c:showVal val="0"/>
          <c:showCatName val="0"/>
          <c:showSerName val="0"/>
          <c:showPercent val="0"/>
          <c:showBubbleSize val="0"/>
        </c:dLbls>
        <c:gapWidth val="0"/>
        <c:axId val="107178624"/>
        <c:axId val="154084096"/>
      </c:barChart>
      <c:catAx>
        <c:axId val="107178624"/>
        <c:scaling>
          <c:orientation val="minMax"/>
        </c:scaling>
        <c:delete val="0"/>
        <c:axPos val="b"/>
        <c:title>
          <c:tx>
            <c:rich>
              <a:bodyPr/>
              <a:lstStyle/>
              <a:p>
                <a:pPr>
                  <a:defRPr/>
                </a:pPr>
                <a:r>
                  <a:rPr lang="en-US"/>
                  <a:t>Event Day</a:t>
                </a:r>
              </a:p>
            </c:rich>
          </c:tx>
          <c:overlay val="0"/>
        </c:title>
        <c:numFmt formatCode="General" sourceLinked="1"/>
        <c:majorTickMark val="none"/>
        <c:minorTickMark val="none"/>
        <c:tickLblPos val="nextTo"/>
        <c:crossAx val="154084096"/>
        <c:crosses val="autoZero"/>
        <c:auto val="1"/>
        <c:lblAlgn val="ctr"/>
        <c:lblOffset val="100"/>
        <c:noMultiLvlLbl val="0"/>
      </c:catAx>
      <c:valAx>
        <c:axId val="154084096"/>
        <c:scaling>
          <c:orientation val="minMax"/>
        </c:scaling>
        <c:delete val="0"/>
        <c:axPos val="l"/>
        <c:title>
          <c:tx>
            <c:rich>
              <a:bodyPr/>
              <a:lstStyle/>
              <a:p>
                <a:pPr>
                  <a:defRPr/>
                </a:pPr>
                <a:r>
                  <a:rPr lang="en-US"/>
                  <a:t>Average Abnormal Return (AAR)</a:t>
                </a:r>
              </a:p>
            </c:rich>
          </c:tx>
          <c:overlay val="0"/>
        </c:title>
        <c:numFmt formatCode="0.000%" sourceLinked="1"/>
        <c:majorTickMark val="out"/>
        <c:minorTickMark val="none"/>
        <c:tickLblPos val="nextTo"/>
        <c:crossAx val="107178624"/>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col"/>
        <c:grouping val="clustered"/>
        <c:varyColors val="0"/>
        <c:ser>
          <c:idx val="0"/>
          <c:order val="0"/>
          <c:tx>
            <c:v>Abnormal SPREAD</c:v>
          </c:tx>
          <c:invertIfNegative val="0"/>
          <c:cat>
            <c:numRef>
              <c:f>'Calc Ab Spread'!$G$1:$AA$1</c:f>
              <c:numCache>
                <c:formatCode>General</c:formatCode>
                <c:ptCount val="21"/>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numCache>
            </c:numRef>
          </c:cat>
          <c:val>
            <c:numRef>
              <c:f>'Paste Ab Spread'!$G$2:$AA$2</c:f>
              <c:numCache>
                <c:formatCode>0.000%</c:formatCode>
                <c:ptCount val="21"/>
                <c:pt idx="0">
                  <c:v>-3.1892314727657608E-3</c:v>
                </c:pt>
                <c:pt idx="1">
                  <c:v>2.0818696552335598E-3</c:v>
                </c:pt>
                <c:pt idx="2">
                  <c:v>-8.9074566211952118E-4</c:v>
                </c:pt>
                <c:pt idx="3">
                  <c:v>1.8766757865730204E-3</c:v>
                </c:pt>
                <c:pt idx="4">
                  <c:v>1.0574872140433854E-3</c:v>
                </c:pt>
                <c:pt idx="5">
                  <c:v>3.0885628338022393E-5</c:v>
                </c:pt>
                <c:pt idx="6">
                  <c:v>-1.137322419588401E-3</c:v>
                </c:pt>
                <c:pt idx="7">
                  <c:v>1.9300102262613124E-3</c:v>
                </c:pt>
                <c:pt idx="8">
                  <c:v>8.4989815561569424E-4</c:v>
                </c:pt>
                <c:pt idx="9">
                  <c:v>-2.0377877163852315E-6</c:v>
                </c:pt>
                <c:pt idx="10">
                  <c:v>-1.8290522703110128E-3</c:v>
                </c:pt>
                <c:pt idx="11">
                  <c:v>-5.4033091535358978E-3</c:v>
                </c:pt>
                <c:pt idx="12">
                  <c:v>-2.601354273422285E-3</c:v>
                </c:pt>
                <c:pt idx="13">
                  <c:v>-1.7723908539822857E-3</c:v>
                </c:pt>
                <c:pt idx="14">
                  <c:v>-1.9744784887914539E-3</c:v>
                </c:pt>
                <c:pt idx="15">
                  <c:v>3.1727179219984407E-4</c:v>
                </c:pt>
                <c:pt idx="16">
                  <c:v>-5.8039198598339751E-3</c:v>
                </c:pt>
                <c:pt idx="17">
                  <c:v>-5.6842301821886081E-3</c:v>
                </c:pt>
                <c:pt idx="18">
                  <c:v>-4.2740581014120236E-3</c:v>
                </c:pt>
                <c:pt idx="19">
                  <c:v>-1.5123463877269143E-3</c:v>
                </c:pt>
                <c:pt idx="20">
                  <c:v>-1.9063549067490203E-3</c:v>
                </c:pt>
              </c:numCache>
            </c:numRef>
          </c:val>
        </c:ser>
        <c:dLbls>
          <c:showLegendKey val="0"/>
          <c:showVal val="0"/>
          <c:showCatName val="0"/>
          <c:showSerName val="0"/>
          <c:showPercent val="0"/>
          <c:showBubbleSize val="0"/>
        </c:dLbls>
        <c:gapWidth val="150"/>
        <c:axId val="154208512"/>
        <c:axId val="154210688"/>
      </c:barChart>
      <c:catAx>
        <c:axId val="154208512"/>
        <c:scaling>
          <c:orientation val="minMax"/>
        </c:scaling>
        <c:delete val="0"/>
        <c:axPos val="b"/>
        <c:title>
          <c:tx>
            <c:rich>
              <a:bodyPr/>
              <a:lstStyle/>
              <a:p>
                <a:pPr>
                  <a:defRPr/>
                </a:pPr>
                <a:r>
                  <a:rPr lang="en-US"/>
                  <a:t>Event day</a:t>
                </a:r>
              </a:p>
            </c:rich>
          </c:tx>
          <c:overlay val="0"/>
        </c:title>
        <c:numFmt formatCode="General" sourceLinked="1"/>
        <c:majorTickMark val="none"/>
        <c:minorTickMark val="none"/>
        <c:tickLblPos val="nextTo"/>
        <c:crossAx val="154210688"/>
        <c:crosses val="autoZero"/>
        <c:auto val="1"/>
        <c:lblAlgn val="ctr"/>
        <c:lblOffset val="100"/>
        <c:noMultiLvlLbl val="0"/>
      </c:catAx>
      <c:valAx>
        <c:axId val="154210688"/>
        <c:scaling>
          <c:orientation val="minMax"/>
        </c:scaling>
        <c:delete val="0"/>
        <c:axPos val="l"/>
        <c:majorGridlines/>
        <c:title>
          <c:tx>
            <c:rich>
              <a:bodyPr/>
              <a:lstStyle/>
              <a:p>
                <a:pPr>
                  <a:defRPr/>
                </a:pPr>
                <a:r>
                  <a:rPr lang="en-US"/>
                  <a:t>Average abnormal spread</a:t>
                </a:r>
              </a:p>
            </c:rich>
          </c:tx>
          <c:overlay val="0"/>
        </c:title>
        <c:numFmt formatCode="0.000%" sourceLinked="1"/>
        <c:majorTickMark val="out"/>
        <c:minorTickMark val="none"/>
        <c:tickLblPos val="nextTo"/>
        <c:crossAx val="15420851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col"/>
        <c:grouping val="clustered"/>
        <c:varyColors val="0"/>
        <c:ser>
          <c:idx val="0"/>
          <c:order val="0"/>
          <c:tx>
            <c:v>Abnormal SPREAD</c:v>
          </c:tx>
          <c:invertIfNegative val="0"/>
          <c:cat>
            <c:numRef>
              <c:f>'Calc Ab Spread'!$G$1:$AA$1</c:f>
              <c:numCache>
                <c:formatCode>General</c:formatCode>
                <c:ptCount val="21"/>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numCache>
            </c:numRef>
          </c:cat>
          <c:val>
            <c:numRef>
              <c:f>'Paste Ab Spread'!$G$2:$AA$2</c:f>
              <c:numCache>
                <c:formatCode>0.000%</c:formatCode>
                <c:ptCount val="21"/>
                <c:pt idx="0">
                  <c:v>-7.1613414182113786E-3</c:v>
                </c:pt>
                <c:pt idx="1">
                  <c:v>4.4046743299383864E-3</c:v>
                </c:pt>
                <c:pt idx="2">
                  <c:v>-1.4122228993457045E-3</c:v>
                </c:pt>
                <c:pt idx="3">
                  <c:v>2.758246814864738E-3</c:v>
                </c:pt>
                <c:pt idx="4">
                  <c:v>2.7689173676849798E-3</c:v>
                </c:pt>
                <c:pt idx="5">
                  <c:v>3.2090937475933752E-4</c:v>
                </c:pt>
                <c:pt idx="6">
                  <c:v>-2.1869284777742506E-3</c:v>
                </c:pt>
                <c:pt idx="7">
                  <c:v>3.1187912525685417E-3</c:v>
                </c:pt>
                <c:pt idx="8">
                  <c:v>2.3025279295553216E-3</c:v>
                </c:pt>
                <c:pt idx="9">
                  <c:v>1.8805749145988267E-3</c:v>
                </c:pt>
                <c:pt idx="10">
                  <c:v>-1.463553435200484E-3</c:v>
                </c:pt>
                <c:pt idx="11">
                  <c:v>-5.4578830964779534E-3</c:v>
                </c:pt>
                <c:pt idx="12">
                  <c:v>-2.3961294590514322E-3</c:v>
                </c:pt>
                <c:pt idx="13">
                  <c:v>1.0144436990543765E-3</c:v>
                </c:pt>
                <c:pt idx="14">
                  <c:v>-2.0604513903564408E-3</c:v>
                </c:pt>
                <c:pt idx="15">
                  <c:v>2.3597621297639878E-3</c:v>
                </c:pt>
                <c:pt idx="16">
                  <c:v>-3.7729765094121578E-3</c:v>
                </c:pt>
                <c:pt idx="17">
                  <c:v>-3.5959547704093441E-3</c:v>
                </c:pt>
                <c:pt idx="18">
                  <c:v>-1.696822662825089E-3</c:v>
                </c:pt>
                <c:pt idx="19">
                  <c:v>-1.4966954081140002E-3</c:v>
                </c:pt>
                <c:pt idx="20">
                  <c:v>-2.038477063442525E-3</c:v>
                </c:pt>
              </c:numCache>
            </c:numRef>
          </c:val>
        </c:ser>
        <c:dLbls>
          <c:showLegendKey val="0"/>
          <c:showVal val="0"/>
          <c:showCatName val="0"/>
          <c:showSerName val="0"/>
          <c:showPercent val="0"/>
          <c:showBubbleSize val="0"/>
        </c:dLbls>
        <c:gapWidth val="150"/>
        <c:axId val="154247552"/>
        <c:axId val="154249472"/>
      </c:barChart>
      <c:catAx>
        <c:axId val="154247552"/>
        <c:scaling>
          <c:orientation val="minMax"/>
        </c:scaling>
        <c:delete val="0"/>
        <c:axPos val="b"/>
        <c:title>
          <c:tx>
            <c:rich>
              <a:bodyPr/>
              <a:lstStyle/>
              <a:p>
                <a:pPr>
                  <a:defRPr sz="1400"/>
                </a:pPr>
                <a:r>
                  <a:rPr lang="en-US" sz="1400"/>
                  <a:t>Event Day</a:t>
                </a:r>
              </a:p>
            </c:rich>
          </c:tx>
          <c:overlay val="0"/>
        </c:title>
        <c:numFmt formatCode="General" sourceLinked="1"/>
        <c:majorTickMark val="none"/>
        <c:minorTickMark val="none"/>
        <c:tickLblPos val="nextTo"/>
        <c:crossAx val="154249472"/>
        <c:crosses val="autoZero"/>
        <c:auto val="1"/>
        <c:lblAlgn val="ctr"/>
        <c:lblOffset val="100"/>
        <c:noMultiLvlLbl val="0"/>
      </c:catAx>
      <c:valAx>
        <c:axId val="154249472"/>
        <c:scaling>
          <c:orientation val="minMax"/>
        </c:scaling>
        <c:delete val="0"/>
        <c:axPos val="l"/>
        <c:majorGridlines/>
        <c:title>
          <c:tx>
            <c:rich>
              <a:bodyPr/>
              <a:lstStyle/>
              <a:p>
                <a:pPr>
                  <a:defRPr sz="1400"/>
                </a:pPr>
                <a:r>
                  <a:rPr lang="en-US" sz="1400"/>
                  <a:t>Average Abnormal Spread</a:t>
                </a:r>
              </a:p>
            </c:rich>
          </c:tx>
          <c:overlay val="0"/>
        </c:title>
        <c:numFmt formatCode="0.000%" sourceLinked="1"/>
        <c:majorTickMark val="out"/>
        <c:minorTickMark val="none"/>
        <c:tickLblPos val="nextTo"/>
        <c:crossAx val="154247552"/>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col"/>
        <c:grouping val="clustered"/>
        <c:varyColors val="0"/>
        <c:ser>
          <c:idx val="0"/>
          <c:order val="0"/>
          <c:tx>
            <c:v>Abnormal SPREAD</c:v>
          </c:tx>
          <c:invertIfNegative val="0"/>
          <c:cat>
            <c:numRef>
              <c:f>'Calc Ab Spread'!$G$1:$AA$1</c:f>
              <c:numCache>
                <c:formatCode>General</c:formatCode>
                <c:ptCount val="21"/>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numCache>
            </c:numRef>
          </c:cat>
          <c:val>
            <c:numRef>
              <c:f>'Paste Ab Spread'!$G$2:$AA$2</c:f>
              <c:numCache>
                <c:formatCode>0.000%</c:formatCode>
                <c:ptCount val="21"/>
                <c:pt idx="0">
                  <c:v>1.4881165931047617E-3</c:v>
                </c:pt>
                <c:pt idx="1">
                  <c:v>-6.3099687309567333E-4</c:v>
                </c:pt>
                <c:pt idx="2">
                  <c:v>4.7295542362440579E-4</c:v>
                </c:pt>
                <c:pt idx="3">
                  <c:v>1.023612780318857E-3</c:v>
                </c:pt>
                <c:pt idx="4">
                  <c:v>-1.028326715594705E-3</c:v>
                </c:pt>
                <c:pt idx="5">
                  <c:v>-5.9762604645025312E-4</c:v>
                </c:pt>
                <c:pt idx="6">
                  <c:v>-1.6071181407367757E-4</c:v>
                </c:pt>
                <c:pt idx="7">
                  <c:v>1.2085194724637111E-3</c:v>
                </c:pt>
                <c:pt idx="8">
                  <c:v>6.7967647886591986E-5</c:v>
                </c:pt>
                <c:pt idx="9">
                  <c:v>-1.9420390078988016E-3</c:v>
                </c:pt>
                <c:pt idx="10">
                  <c:v>-1.2356072473592033E-3</c:v>
                </c:pt>
                <c:pt idx="11">
                  <c:v>-4.9869426399990271E-3</c:v>
                </c:pt>
                <c:pt idx="12">
                  <c:v>-2.4946472972833633E-3</c:v>
                </c:pt>
                <c:pt idx="13">
                  <c:v>-5.1774116650425226E-3</c:v>
                </c:pt>
                <c:pt idx="14">
                  <c:v>-2.0477789583866176E-3</c:v>
                </c:pt>
                <c:pt idx="15">
                  <c:v>-2.115900504095485E-3</c:v>
                </c:pt>
                <c:pt idx="16">
                  <c:v>-7.9493853294426656E-3</c:v>
                </c:pt>
                <c:pt idx="17">
                  <c:v>-8.8443017028877087E-3</c:v>
                </c:pt>
                <c:pt idx="18">
                  <c:v>-7.9259176499476367E-3</c:v>
                </c:pt>
                <c:pt idx="19">
                  <c:v>-2.1999082856821888E-3</c:v>
                </c:pt>
                <c:pt idx="20">
                  <c:v>-2.1911101131037022E-3</c:v>
                </c:pt>
              </c:numCache>
            </c:numRef>
          </c:val>
        </c:ser>
        <c:dLbls>
          <c:showLegendKey val="0"/>
          <c:showVal val="0"/>
          <c:showCatName val="0"/>
          <c:showSerName val="0"/>
          <c:showPercent val="0"/>
          <c:showBubbleSize val="0"/>
        </c:dLbls>
        <c:gapWidth val="150"/>
        <c:axId val="154277760"/>
        <c:axId val="154284032"/>
      </c:barChart>
      <c:catAx>
        <c:axId val="154277760"/>
        <c:scaling>
          <c:orientation val="minMax"/>
        </c:scaling>
        <c:delete val="0"/>
        <c:axPos val="b"/>
        <c:title>
          <c:tx>
            <c:rich>
              <a:bodyPr/>
              <a:lstStyle/>
              <a:p>
                <a:pPr>
                  <a:defRPr sz="1400"/>
                </a:pPr>
                <a:r>
                  <a:rPr lang="en-US" sz="1400"/>
                  <a:t>Event day</a:t>
                </a:r>
              </a:p>
            </c:rich>
          </c:tx>
          <c:overlay val="0"/>
        </c:title>
        <c:numFmt formatCode="General" sourceLinked="1"/>
        <c:majorTickMark val="none"/>
        <c:minorTickMark val="none"/>
        <c:tickLblPos val="nextTo"/>
        <c:crossAx val="154284032"/>
        <c:crosses val="autoZero"/>
        <c:auto val="1"/>
        <c:lblAlgn val="ctr"/>
        <c:lblOffset val="100"/>
        <c:noMultiLvlLbl val="0"/>
      </c:catAx>
      <c:valAx>
        <c:axId val="154284032"/>
        <c:scaling>
          <c:orientation val="minMax"/>
        </c:scaling>
        <c:delete val="0"/>
        <c:axPos val="l"/>
        <c:majorGridlines/>
        <c:title>
          <c:tx>
            <c:rich>
              <a:bodyPr/>
              <a:lstStyle/>
              <a:p>
                <a:pPr>
                  <a:defRPr sz="1400"/>
                </a:pPr>
                <a:r>
                  <a:rPr lang="en-US" sz="1400"/>
                  <a:t>Average abnormal spread</a:t>
                </a:r>
              </a:p>
            </c:rich>
          </c:tx>
          <c:overlay val="0"/>
        </c:title>
        <c:numFmt formatCode="0.000%" sourceLinked="1"/>
        <c:majorTickMark val="out"/>
        <c:minorTickMark val="none"/>
        <c:tickLblPos val="nextTo"/>
        <c:crossAx val="1542777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col"/>
        <c:grouping val="clustered"/>
        <c:varyColors val="0"/>
        <c:ser>
          <c:idx val="0"/>
          <c:order val="0"/>
          <c:tx>
            <c:v>Average Abnormal Returns</c:v>
          </c:tx>
          <c:invertIfNegative val="0"/>
          <c:cat>
            <c:numRef>
              <c:f>'Pasted Values'!$C$1:$W$1</c:f>
              <c:numCache>
                <c:formatCode>General</c:formatCode>
                <c:ptCount val="21"/>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numCache>
            </c:numRef>
          </c:cat>
          <c:val>
            <c:numRef>
              <c:f>'Pasted Values'!$C$2:$W$2</c:f>
              <c:numCache>
                <c:formatCode>0.000%</c:formatCode>
                <c:ptCount val="21"/>
                <c:pt idx="0">
                  <c:v>1.0115791760860961E-3</c:v>
                </c:pt>
                <c:pt idx="1">
                  <c:v>-3.8574174267089626E-3</c:v>
                </c:pt>
                <c:pt idx="2">
                  <c:v>1.1140566229269826E-3</c:v>
                </c:pt>
                <c:pt idx="3">
                  <c:v>1.5113710988606055E-3</c:v>
                </c:pt>
                <c:pt idx="4">
                  <c:v>1.7710428308708928E-4</c:v>
                </c:pt>
                <c:pt idx="5">
                  <c:v>4.2149308835659335E-3</c:v>
                </c:pt>
                <c:pt idx="6">
                  <c:v>1.0254028631022773E-3</c:v>
                </c:pt>
                <c:pt idx="7">
                  <c:v>7.3407077696813975E-4</c:v>
                </c:pt>
                <c:pt idx="8">
                  <c:v>2.3318434222875536E-3</c:v>
                </c:pt>
                <c:pt idx="9">
                  <c:v>-2.0809629397133228E-3</c:v>
                </c:pt>
                <c:pt idx="10">
                  <c:v>2.4802611344409278E-2</c:v>
                </c:pt>
                <c:pt idx="11">
                  <c:v>4.8064871714882315E-3</c:v>
                </c:pt>
                <c:pt idx="12">
                  <c:v>-5.4763940597468241E-4</c:v>
                </c:pt>
                <c:pt idx="13">
                  <c:v>1.535427916425908E-3</c:v>
                </c:pt>
                <c:pt idx="14">
                  <c:v>-6.146945614280766E-3</c:v>
                </c:pt>
                <c:pt idx="15">
                  <c:v>-3.3693284945288697E-3</c:v>
                </c:pt>
                <c:pt idx="16">
                  <c:v>-6.5745201118385926E-3</c:v>
                </c:pt>
                <c:pt idx="17">
                  <c:v>3.1253593017398574E-3</c:v>
                </c:pt>
                <c:pt idx="18">
                  <c:v>-3.2684445292470981E-3</c:v>
                </c:pt>
                <c:pt idx="19">
                  <c:v>3.9914120406899893E-3</c:v>
                </c:pt>
                <c:pt idx="20">
                  <c:v>-8.3506989722225006E-3</c:v>
                </c:pt>
              </c:numCache>
            </c:numRef>
          </c:val>
        </c:ser>
        <c:dLbls>
          <c:showLegendKey val="0"/>
          <c:showVal val="0"/>
          <c:showCatName val="0"/>
          <c:showSerName val="0"/>
          <c:showPercent val="0"/>
          <c:showBubbleSize val="0"/>
        </c:dLbls>
        <c:gapWidth val="0"/>
        <c:axId val="154108288"/>
        <c:axId val="154110208"/>
      </c:barChart>
      <c:catAx>
        <c:axId val="154108288"/>
        <c:scaling>
          <c:orientation val="minMax"/>
        </c:scaling>
        <c:delete val="0"/>
        <c:axPos val="b"/>
        <c:title>
          <c:tx>
            <c:rich>
              <a:bodyPr/>
              <a:lstStyle/>
              <a:p>
                <a:pPr>
                  <a:defRPr/>
                </a:pPr>
                <a:r>
                  <a:rPr lang="en-US"/>
                  <a:t>Event Day</a:t>
                </a:r>
              </a:p>
            </c:rich>
          </c:tx>
          <c:overlay val="0"/>
        </c:title>
        <c:numFmt formatCode="General" sourceLinked="1"/>
        <c:majorTickMark val="none"/>
        <c:minorTickMark val="none"/>
        <c:tickLblPos val="nextTo"/>
        <c:crossAx val="154110208"/>
        <c:crosses val="autoZero"/>
        <c:auto val="1"/>
        <c:lblAlgn val="ctr"/>
        <c:lblOffset val="100"/>
        <c:noMultiLvlLbl val="0"/>
      </c:catAx>
      <c:valAx>
        <c:axId val="154110208"/>
        <c:scaling>
          <c:orientation val="minMax"/>
        </c:scaling>
        <c:delete val="0"/>
        <c:axPos val="l"/>
        <c:title>
          <c:tx>
            <c:rich>
              <a:bodyPr/>
              <a:lstStyle/>
              <a:p>
                <a:pPr>
                  <a:defRPr/>
                </a:pPr>
                <a:r>
                  <a:rPr lang="en-US"/>
                  <a:t>Average Abnormal Return (AAR)</a:t>
                </a:r>
              </a:p>
            </c:rich>
          </c:tx>
          <c:overlay val="0"/>
        </c:title>
        <c:numFmt formatCode="0.000%" sourceLinked="1"/>
        <c:majorTickMark val="out"/>
        <c:minorTickMark val="none"/>
        <c:tickLblPos val="nextTo"/>
        <c:crossAx val="15410828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col"/>
        <c:grouping val="clustered"/>
        <c:varyColors val="0"/>
        <c:ser>
          <c:idx val="0"/>
          <c:order val="0"/>
          <c:tx>
            <c:v>Average Abnormal Returns</c:v>
          </c:tx>
          <c:invertIfNegative val="0"/>
          <c:cat>
            <c:numRef>
              <c:f>'Pasted Values'!$C$1:$W$1</c:f>
              <c:numCache>
                <c:formatCode>General</c:formatCode>
                <c:ptCount val="21"/>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numCache>
            </c:numRef>
          </c:cat>
          <c:val>
            <c:numRef>
              <c:f>'Pasted Values'!$C$2:$W$2</c:f>
              <c:numCache>
                <c:formatCode>0.000%</c:formatCode>
                <c:ptCount val="21"/>
                <c:pt idx="0">
                  <c:v>-7.3805656821281842E-3</c:v>
                </c:pt>
                <c:pt idx="1">
                  <c:v>-6.9124579094320673E-3</c:v>
                </c:pt>
                <c:pt idx="2">
                  <c:v>-5.6075231133122334E-3</c:v>
                </c:pt>
                <c:pt idx="3">
                  <c:v>4.8829338441400867E-3</c:v>
                </c:pt>
                <c:pt idx="4">
                  <c:v>-8.0900237616538461E-4</c:v>
                </c:pt>
                <c:pt idx="5">
                  <c:v>6.0056747489763719E-5</c:v>
                </c:pt>
                <c:pt idx="6">
                  <c:v>-1.1922580865159512E-3</c:v>
                </c:pt>
                <c:pt idx="7">
                  <c:v>-2.7608068313720023E-3</c:v>
                </c:pt>
                <c:pt idx="8">
                  <c:v>-1.9425029354085331E-4</c:v>
                </c:pt>
                <c:pt idx="9">
                  <c:v>9.2618873400754525E-5</c:v>
                </c:pt>
                <c:pt idx="10">
                  <c:v>1.5505458628143402E-2</c:v>
                </c:pt>
                <c:pt idx="11">
                  <c:v>4.5567235601731964E-3</c:v>
                </c:pt>
                <c:pt idx="12">
                  <c:v>1.5280254873455117E-3</c:v>
                </c:pt>
                <c:pt idx="13">
                  <c:v>4.8240552234864046E-3</c:v>
                </c:pt>
                <c:pt idx="14">
                  <c:v>-4.0887358897261956E-4</c:v>
                </c:pt>
                <c:pt idx="15">
                  <c:v>6.7157503260901845E-4</c:v>
                </c:pt>
                <c:pt idx="16">
                  <c:v>-6.129696169486264E-3</c:v>
                </c:pt>
                <c:pt idx="17">
                  <c:v>-3.3971047952500778E-3</c:v>
                </c:pt>
                <c:pt idx="18">
                  <c:v>-4.9395645525570622E-3</c:v>
                </c:pt>
                <c:pt idx="19">
                  <c:v>2.1936401684359073E-3</c:v>
                </c:pt>
                <c:pt idx="20">
                  <c:v>3.3392847625830155E-3</c:v>
                </c:pt>
              </c:numCache>
            </c:numRef>
          </c:val>
        </c:ser>
        <c:dLbls>
          <c:showLegendKey val="0"/>
          <c:showVal val="0"/>
          <c:showCatName val="0"/>
          <c:showSerName val="0"/>
          <c:showPercent val="0"/>
          <c:showBubbleSize val="0"/>
        </c:dLbls>
        <c:gapWidth val="0"/>
        <c:axId val="154138496"/>
        <c:axId val="154402816"/>
      </c:barChart>
      <c:catAx>
        <c:axId val="154138496"/>
        <c:scaling>
          <c:orientation val="minMax"/>
        </c:scaling>
        <c:delete val="0"/>
        <c:axPos val="b"/>
        <c:title>
          <c:tx>
            <c:rich>
              <a:bodyPr/>
              <a:lstStyle/>
              <a:p>
                <a:pPr>
                  <a:defRPr/>
                </a:pPr>
                <a:r>
                  <a:rPr lang="en-US"/>
                  <a:t>Event Day</a:t>
                </a:r>
              </a:p>
            </c:rich>
          </c:tx>
          <c:overlay val="0"/>
        </c:title>
        <c:numFmt formatCode="General" sourceLinked="1"/>
        <c:majorTickMark val="none"/>
        <c:minorTickMark val="none"/>
        <c:tickLblPos val="nextTo"/>
        <c:crossAx val="154402816"/>
        <c:crosses val="autoZero"/>
        <c:auto val="1"/>
        <c:lblAlgn val="ctr"/>
        <c:lblOffset val="100"/>
        <c:noMultiLvlLbl val="0"/>
      </c:catAx>
      <c:valAx>
        <c:axId val="154402816"/>
        <c:scaling>
          <c:orientation val="minMax"/>
        </c:scaling>
        <c:delete val="0"/>
        <c:axPos val="l"/>
        <c:title>
          <c:tx>
            <c:rich>
              <a:bodyPr/>
              <a:lstStyle/>
              <a:p>
                <a:pPr>
                  <a:defRPr/>
                </a:pPr>
                <a:r>
                  <a:rPr lang="en-US"/>
                  <a:t>Average Abnormal Return (AAR)</a:t>
                </a:r>
              </a:p>
            </c:rich>
          </c:tx>
          <c:overlay val="0"/>
        </c:title>
        <c:numFmt formatCode="0.000%" sourceLinked="1"/>
        <c:majorTickMark val="out"/>
        <c:minorTickMark val="none"/>
        <c:tickLblPos val="nextTo"/>
        <c:crossAx val="15413849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Cumulative Average Abnormal Returns</c:v>
          </c:tx>
          <c:marker>
            <c:symbol val="none"/>
          </c:marker>
          <c:cat>
            <c:numRef>
              <c:f>'CAAR Figure'!$H$29:$R$29</c:f>
              <c:numCache>
                <c:formatCode>General</c:formatCode>
                <c:ptCount val="11"/>
                <c:pt idx="0">
                  <c:v>-5</c:v>
                </c:pt>
                <c:pt idx="1">
                  <c:v>-4</c:v>
                </c:pt>
                <c:pt idx="2">
                  <c:v>-3</c:v>
                </c:pt>
                <c:pt idx="3">
                  <c:v>-2</c:v>
                </c:pt>
                <c:pt idx="4">
                  <c:v>-1</c:v>
                </c:pt>
                <c:pt idx="5">
                  <c:v>0</c:v>
                </c:pt>
                <c:pt idx="6">
                  <c:v>1</c:v>
                </c:pt>
                <c:pt idx="7">
                  <c:v>2</c:v>
                </c:pt>
                <c:pt idx="8">
                  <c:v>3</c:v>
                </c:pt>
                <c:pt idx="9">
                  <c:v>4</c:v>
                </c:pt>
                <c:pt idx="10">
                  <c:v>5</c:v>
                </c:pt>
              </c:numCache>
            </c:numRef>
          </c:cat>
          <c:val>
            <c:numRef>
              <c:f>'CAAR Figure'!$H$31:$R$31</c:f>
              <c:numCache>
                <c:formatCode>0.000%</c:formatCode>
                <c:ptCount val="11"/>
                <c:pt idx="0">
                  <c:v>2.290014511662291E-3</c:v>
                </c:pt>
                <c:pt idx="1">
                  <c:v>2.2879947069667566E-3</c:v>
                </c:pt>
                <c:pt idx="2">
                  <c:v>1.4070084073534673E-3</c:v>
                </c:pt>
                <c:pt idx="3">
                  <c:v>2.5714903397506218E-3</c:v>
                </c:pt>
                <c:pt idx="4">
                  <c:v>1.494985662158198E-3</c:v>
                </c:pt>
                <c:pt idx="5">
                  <c:v>2.2001185524050681E-2</c:v>
                </c:pt>
                <c:pt idx="6">
                  <c:v>2.669225163273424E-2</c:v>
                </c:pt>
                <c:pt idx="7">
                  <c:v>2.7106249379867393E-2</c:v>
                </c:pt>
                <c:pt idx="8">
                  <c:v>3.0165269187918797E-2</c:v>
                </c:pt>
                <c:pt idx="9">
                  <c:v>2.6676721499287119E-2</c:v>
                </c:pt>
                <c:pt idx="10">
                  <c:v>2.5179507803406942E-2</c:v>
                </c:pt>
              </c:numCache>
            </c:numRef>
          </c:val>
          <c:smooth val="0"/>
        </c:ser>
        <c:dLbls>
          <c:showLegendKey val="0"/>
          <c:showVal val="0"/>
          <c:showCatName val="0"/>
          <c:showSerName val="0"/>
          <c:showPercent val="0"/>
          <c:showBubbleSize val="0"/>
        </c:dLbls>
        <c:hiLowLines/>
        <c:marker val="1"/>
        <c:smooth val="0"/>
        <c:axId val="154414080"/>
        <c:axId val="154424448"/>
      </c:lineChart>
      <c:catAx>
        <c:axId val="154414080"/>
        <c:scaling>
          <c:orientation val="minMax"/>
        </c:scaling>
        <c:delete val="0"/>
        <c:axPos val="b"/>
        <c:title>
          <c:tx>
            <c:rich>
              <a:bodyPr/>
              <a:lstStyle/>
              <a:p>
                <a:pPr>
                  <a:defRPr sz="1400"/>
                </a:pPr>
                <a:r>
                  <a:rPr lang="en-US" sz="1400"/>
                  <a:t>Event Day</a:t>
                </a:r>
              </a:p>
            </c:rich>
          </c:tx>
          <c:overlay val="0"/>
        </c:title>
        <c:numFmt formatCode="General" sourceLinked="1"/>
        <c:majorTickMark val="none"/>
        <c:minorTickMark val="none"/>
        <c:tickLblPos val="nextTo"/>
        <c:crossAx val="154424448"/>
        <c:crosses val="autoZero"/>
        <c:auto val="1"/>
        <c:lblAlgn val="ctr"/>
        <c:lblOffset val="100"/>
        <c:noMultiLvlLbl val="0"/>
      </c:catAx>
      <c:valAx>
        <c:axId val="154424448"/>
        <c:scaling>
          <c:orientation val="minMax"/>
        </c:scaling>
        <c:delete val="0"/>
        <c:axPos val="l"/>
        <c:majorGridlines/>
        <c:title>
          <c:tx>
            <c:rich>
              <a:bodyPr/>
              <a:lstStyle/>
              <a:p>
                <a:pPr>
                  <a:defRPr sz="1400"/>
                </a:pPr>
                <a:r>
                  <a:rPr lang="en-US" sz="1400"/>
                  <a:t>Cumulative Average Abnormal Return (CAAR)</a:t>
                </a:r>
              </a:p>
            </c:rich>
          </c:tx>
          <c:overlay val="0"/>
        </c:title>
        <c:numFmt formatCode="0.000%" sourceLinked="1"/>
        <c:majorTickMark val="out"/>
        <c:minorTickMark val="none"/>
        <c:tickLblPos val="nextTo"/>
        <c:crossAx val="154414080"/>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Cumulative Average Abnormal Returns</c:v>
          </c:tx>
          <c:marker>
            <c:symbol val="none"/>
          </c:marker>
          <c:cat>
            <c:numRef>
              <c:f>'CAAR Figure'!$H$29:$R$29</c:f>
              <c:numCache>
                <c:formatCode>General</c:formatCode>
                <c:ptCount val="11"/>
                <c:pt idx="0">
                  <c:v>-5</c:v>
                </c:pt>
                <c:pt idx="1">
                  <c:v>-4</c:v>
                </c:pt>
                <c:pt idx="2">
                  <c:v>-3</c:v>
                </c:pt>
                <c:pt idx="3">
                  <c:v>-2</c:v>
                </c:pt>
                <c:pt idx="4">
                  <c:v>-1</c:v>
                </c:pt>
                <c:pt idx="5">
                  <c:v>0</c:v>
                </c:pt>
                <c:pt idx="6">
                  <c:v>1</c:v>
                </c:pt>
                <c:pt idx="7">
                  <c:v>2</c:v>
                </c:pt>
                <c:pt idx="8">
                  <c:v>3</c:v>
                </c:pt>
                <c:pt idx="9">
                  <c:v>4</c:v>
                </c:pt>
                <c:pt idx="10">
                  <c:v>5</c:v>
                </c:pt>
              </c:numCache>
            </c:numRef>
          </c:cat>
          <c:val>
            <c:numRef>
              <c:f>'CAAR Figure'!$H$31:$R$31</c:f>
              <c:numCache>
                <c:formatCode>0.000%</c:formatCode>
                <c:ptCount val="11"/>
                <c:pt idx="0">
                  <c:v>4.2149308835659335E-3</c:v>
                </c:pt>
                <c:pt idx="1">
                  <c:v>5.2403337466682106E-3</c:v>
                </c:pt>
                <c:pt idx="2">
                  <c:v>5.9744045236363504E-3</c:v>
                </c:pt>
                <c:pt idx="3">
                  <c:v>8.3062479459239044E-3</c:v>
                </c:pt>
                <c:pt idx="4">
                  <c:v>6.2252850062105812E-3</c:v>
                </c:pt>
                <c:pt idx="5">
                  <c:v>3.1027896350619859E-2</c:v>
                </c:pt>
                <c:pt idx="6">
                  <c:v>3.583438352210809E-2</c:v>
                </c:pt>
                <c:pt idx="7">
                  <c:v>3.528674411613341E-2</c:v>
                </c:pt>
                <c:pt idx="8">
                  <c:v>3.6822172032559317E-2</c:v>
                </c:pt>
                <c:pt idx="9">
                  <c:v>3.0675226418278551E-2</c:v>
                </c:pt>
                <c:pt idx="10">
                  <c:v>2.730589792374968E-2</c:v>
                </c:pt>
              </c:numCache>
            </c:numRef>
          </c:val>
          <c:smooth val="0"/>
        </c:ser>
        <c:dLbls>
          <c:showLegendKey val="0"/>
          <c:showVal val="0"/>
          <c:showCatName val="0"/>
          <c:showSerName val="0"/>
          <c:showPercent val="0"/>
          <c:showBubbleSize val="0"/>
        </c:dLbls>
        <c:hiLowLines/>
        <c:marker val="1"/>
        <c:smooth val="0"/>
        <c:axId val="154457600"/>
        <c:axId val="154459520"/>
      </c:lineChart>
      <c:catAx>
        <c:axId val="154457600"/>
        <c:scaling>
          <c:orientation val="minMax"/>
        </c:scaling>
        <c:delete val="0"/>
        <c:axPos val="b"/>
        <c:title>
          <c:tx>
            <c:rich>
              <a:bodyPr/>
              <a:lstStyle/>
              <a:p>
                <a:pPr>
                  <a:defRPr sz="1400"/>
                </a:pPr>
                <a:r>
                  <a:rPr lang="en-US" sz="1400"/>
                  <a:t>Event Day</a:t>
                </a:r>
              </a:p>
            </c:rich>
          </c:tx>
          <c:overlay val="0"/>
        </c:title>
        <c:numFmt formatCode="General" sourceLinked="1"/>
        <c:majorTickMark val="none"/>
        <c:minorTickMark val="none"/>
        <c:tickLblPos val="nextTo"/>
        <c:crossAx val="154459520"/>
        <c:crosses val="autoZero"/>
        <c:auto val="1"/>
        <c:lblAlgn val="ctr"/>
        <c:lblOffset val="100"/>
        <c:noMultiLvlLbl val="0"/>
      </c:catAx>
      <c:valAx>
        <c:axId val="154459520"/>
        <c:scaling>
          <c:orientation val="minMax"/>
        </c:scaling>
        <c:delete val="0"/>
        <c:axPos val="l"/>
        <c:majorGridlines/>
        <c:title>
          <c:tx>
            <c:rich>
              <a:bodyPr/>
              <a:lstStyle/>
              <a:p>
                <a:pPr>
                  <a:defRPr sz="1400"/>
                </a:pPr>
                <a:r>
                  <a:rPr lang="en-US" sz="1400"/>
                  <a:t>Cumulative Average Abnormal Return (CAAR)</a:t>
                </a:r>
              </a:p>
            </c:rich>
          </c:tx>
          <c:overlay val="0"/>
        </c:title>
        <c:numFmt formatCode="0.000%" sourceLinked="1"/>
        <c:majorTickMark val="out"/>
        <c:minorTickMark val="none"/>
        <c:tickLblPos val="nextTo"/>
        <c:crossAx val="15445760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Cumulative Average Abnormal Returns</c:v>
          </c:tx>
          <c:marker>
            <c:symbol val="none"/>
          </c:marker>
          <c:cat>
            <c:numRef>
              <c:f>'CAAR Figure'!$H$29:$R$29</c:f>
              <c:numCache>
                <c:formatCode>General</c:formatCode>
                <c:ptCount val="11"/>
                <c:pt idx="0">
                  <c:v>-5</c:v>
                </c:pt>
                <c:pt idx="1">
                  <c:v>-4</c:v>
                </c:pt>
                <c:pt idx="2">
                  <c:v>-3</c:v>
                </c:pt>
                <c:pt idx="3">
                  <c:v>-2</c:v>
                </c:pt>
                <c:pt idx="4">
                  <c:v>-1</c:v>
                </c:pt>
                <c:pt idx="5">
                  <c:v>0</c:v>
                </c:pt>
                <c:pt idx="6">
                  <c:v>1</c:v>
                </c:pt>
                <c:pt idx="7">
                  <c:v>2</c:v>
                </c:pt>
                <c:pt idx="8">
                  <c:v>3</c:v>
                </c:pt>
                <c:pt idx="9">
                  <c:v>4</c:v>
                </c:pt>
                <c:pt idx="10">
                  <c:v>5</c:v>
                </c:pt>
              </c:numCache>
            </c:numRef>
          </c:cat>
          <c:val>
            <c:numRef>
              <c:f>'CAAR Figure'!$H$31:$R$31</c:f>
              <c:numCache>
                <c:formatCode>0.000%</c:formatCode>
                <c:ptCount val="11"/>
                <c:pt idx="0">
                  <c:v>6.0056747489763719E-5</c:v>
                </c:pt>
                <c:pt idx="1">
                  <c:v>-1.1322013390261875E-3</c:v>
                </c:pt>
                <c:pt idx="2">
                  <c:v>-3.8930081703981898E-3</c:v>
                </c:pt>
                <c:pt idx="3">
                  <c:v>-4.0872584639390433E-3</c:v>
                </c:pt>
                <c:pt idx="4">
                  <c:v>-3.9946395905382888E-3</c:v>
                </c:pt>
                <c:pt idx="5">
                  <c:v>1.1510819037605112E-2</c:v>
                </c:pt>
                <c:pt idx="6">
                  <c:v>1.606754259777831E-2</c:v>
                </c:pt>
                <c:pt idx="7">
                  <c:v>1.7595568085123824E-2</c:v>
                </c:pt>
                <c:pt idx="8">
                  <c:v>2.2419623308610227E-2</c:v>
                </c:pt>
                <c:pt idx="9">
                  <c:v>2.2010749719637606E-2</c:v>
                </c:pt>
                <c:pt idx="10">
                  <c:v>2.2682324752246623E-2</c:v>
                </c:pt>
              </c:numCache>
            </c:numRef>
          </c:val>
          <c:smooth val="0"/>
        </c:ser>
        <c:dLbls>
          <c:showLegendKey val="0"/>
          <c:showVal val="0"/>
          <c:showCatName val="0"/>
          <c:showSerName val="0"/>
          <c:showPercent val="0"/>
          <c:showBubbleSize val="0"/>
        </c:dLbls>
        <c:hiLowLines/>
        <c:marker val="1"/>
        <c:smooth val="0"/>
        <c:axId val="155520384"/>
        <c:axId val="155538944"/>
      </c:lineChart>
      <c:catAx>
        <c:axId val="155520384"/>
        <c:scaling>
          <c:orientation val="minMax"/>
        </c:scaling>
        <c:delete val="0"/>
        <c:axPos val="b"/>
        <c:title>
          <c:tx>
            <c:rich>
              <a:bodyPr/>
              <a:lstStyle/>
              <a:p>
                <a:pPr>
                  <a:defRPr sz="1400"/>
                </a:pPr>
                <a:r>
                  <a:rPr lang="en-US" sz="1400"/>
                  <a:t>Event Day</a:t>
                </a:r>
              </a:p>
            </c:rich>
          </c:tx>
          <c:overlay val="0"/>
        </c:title>
        <c:numFmt formatCode="General" sourceLinked="1"/>
        <c:majorTickMark val="none"/>
        <c:minorTickMark val="none"/>
        <c:tickLblPos val="nextTo"/>
        <c:crossAx val="155538944"/>
        <c:crosses val="autoZero"/>
        <c:auto val="1"/>
        <c:lblAlgn val="ctr"/>
        <c:lblOffset val="100"/>
        <c:noMultiLvlLbl val="0"/>
      </c:catAx>
      <c:valAx>
        <c:axId val="155538944"/>
        <c:scaling>
          <c:orientation val="minMax"/>
        </c:scaling>
        <c:delete val="0"/>
        <c:axPos val="l"/>
        <c:majorGridlines/>
        <c:title>
          <c:tx>
            <c:rich>
              <a:bodyPr/>
              <a:lstStyle/>
              <a:p>
                <a:pPr>
                  <a:defRPr sz="1400"/>
                </a:pPr>
                <a:r>
                  <a:rPr lang="en-US" sz="1400"/>
                  <a:t>Cumulative Average Abnormal Return (CAAR)</a:t>
                </a:r>
              </a:p>
            </c:rich>
          </c:tx>
          <c:overlay val="0"/>
        </c:title>
        <c:numFmt formatCode="0.000%" sourceLinked="1"/>
        <c:majorTickMark val="out"/>
        <c:minorTickMark val="none"/>
        <c:tickLblPos val="nextTo"/>
        <c:crossAx val="155520384"/>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col"/>
        <c:grouping val="clustered"/>
        <c:varyColors val="0"/>
        <c:ser>
          <c:idx val="0"/>
          <c:order val="0"/>
          <c:tx>
            <c:v>AATO</c:v>
          </c:tx>
          <c:invertIfNegative val="0"/>
          <c:cat>
            <c:numRef>
              <c:f>'TO Event Study'!$E$1:$Y$1</c:f>
              <c:numCache>
                <c:formatCode>General</c:formatCode>
                <c:ptCount val="21"/>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numCache>
            </c:numRef>
          </c:cat>
          <c:val>
            <c:numRef>
              <c:f>'TO Event Study'!$E$2:$Y$2</c:f>
              <c:numCache>
                <c:formatCode>0.000%</c:formatCode>
                <c:ptCount val="21"/>
                <c:pt idx="0">
                  <c:v>-5.572103717488662E-5</c:v>
                </c:pt>
                <c:pt idx="1">
                  <c:v>1.8302131950462586E-5</c:v>
                </c:pt>
                <c:pt idx="2">
                  <c:v>8.4234200365207522E-4</c:v>
                </c:pt>
                <c:pt idx="3">
                  <c:v>-2.2951007806970203E-5</c:v>
                </c:pt>
                <c:pt idx="4">
                  <c:v>-3.2962547251487673E-4</c:v>
                </c:pt>
                <c:pt idx="5">
                  <c:v>-5.1135575985692132E-4</c:v>
                </c:pt>
                <c:pt idx="6">
                  <c:v>-1.5173269267964185E-4</c:v>
                </c:pt>
                <c:pt idx="7">
                  <c:v>-1.0277147187686329E-4</c:v>
                </c:pt>
                <c:pt idx="8">
                  <c:v>-3.7419709214252195E-5</c:v>
                </c:pt>
                <c:pt idx="9">
                  <c:v>1.0495934300446047E-4</c:v>
                </c:pt>
                <c:pt idx="10">
                  <c:v>1.084209688767782E-3</c:v>
                </c:pt>
                <c:pt idx="11">
                  <c:v>2.1679538262870713E-4</c:v>
                </c:pt>
                <c:pt idx="12">
                  <c:v>9.8929310339084686E-5</c:v>
                </c:pt>
                <c:pt idx="13">
                  <c:v>-5.0693879731858579E-4</c:v>
                </c:pt>
                <c:pt idx="14">
                  <c:v>-2.8040015509189499E-4</c:v>
                </c:pt>
                <c:pt idx="15">
                  <c:v>-2.403469801477706E-4</c:v>
                </c:pt>
                <c:pt idx="16">
                  <c:v>-2.9764029314927591E-4</c:v>
                </c:pt>
                <c:pt idx="17">
                  <c:v>-1.7135391102814001E-4</c:v>
                </c:pt>
                <c:pt idx="18">
                  <c:v>1.2068702242540963E-5</c:v>
                </c:pt>
                <c:pt idx="19">
                  <c:v>9.6873476831471815E-5</c:v>
                </c:pt>
                <c:pt idx="20">
                  <c:v>-3.4589581747359845E-4</c:v>
                </c:pt>
              </c:numCache>
            </c:numRef>
          </c:val>
        </c:ser>
        <c:dLbls>
          <c:showLegendKey val="0"/>
          <c:showVal val="0"/>
          <c:showCatName val="0"/>
          <c:showSerName val="0"/>
          <c:showPercent val="0"/>
          <c:showBubbleSize val="0"/>
        </c:dLbls>
        <c:gapWidth val="150"/>
        <c:axId val="155567616"/>
        <c:axId val="155569536"/>
      </c:barChart>
      <c:catAx>
        <c:axId val="155567616"/>
        <c:scaling>
          <c:orientation val="minMax"/>
        </c:scaling>
        <c:delete val="0"/>
        <c:axPos val="b"/>
        <c:title>
          <c:tx>
            <c:rich>
              <a:bodyPr/>
              <a:lstStyle/>
              <a:p>
                <a:pPr>
                  <a:defRPr/>
                </a:pPr>
                <a:r>
                  <a:rPr lang="en-US"/>
                  <a:t>Event Day</a:t>
                </a:r>
              </a:p>
            </c:rich>
          </c:tx>
          <c:overlay val="0"/>
        </c:title>
        <c:numFmt formatCode="General" sourceLinked="1"/>
        <c:majorTickMark val="none"/>
        <c:minorTickMark val="none"/>
        <c:tickLblPos val="nextTo"/>
        <c:crossAx val="155569536"/>
        <c:crosses val="autoZero"/>
        <c:auto val="1"/>
        <c:lblAlgn val="ctr"/>
        <c:lblOffset val="100"/>
        <c:noMultiLvlLbl val="0"/>
      </c:catAx>
      <c:valAx>
        <c:axId val="155569536"/>
        <c:scaling>
          <c:orientation val="minMax"/>
        </c:scaling>
        <c:delete val="0"/>
        <c:axPos val="l"/>
        <c:majorGridlines/>
        <c:title>
          <c:tx>
            <c:rich>
              <a:bodyPr/>
              <a:lstStyle/>
              <a:p>
                <a:pPr>
                  <a:defRPr/>
                </a:pPr>
                <a:r>
                  <a:rPr lang="en-US"/>
                  <a:t>Average Abnormal Turnover</a:t>
                </a:r>
              </a:p>
            </c:rich>
          </c:tx>
          <c:overlay val="0"/>
        </c:title>
        <c:numFmt formatCode="0.000%" sourceLinked="1"/>
        <c:majorTickMark val="out"/>
        <c:minorTickMark val="none"/>
        <c:tickLblPos val="nextTo"/>
        <c:crossAx val="15556761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col"/>
        <c:grouping val="clustered"/>
        <c:varyColors val="0"/>
        <c:ser>
          <c:idx val="0"/>
          <c:order val="0"/>
          <c:tx>
            <c:v>AATO</c:v>
          </c:tx>
          <c:invertIfNegative val="0"/>
          <c:cat>
            <c:numRef>
              <c:f>'TO Event Study'!$E$1:$Y$1</c:f>
              <c:numCache>
                <c:formatCode>General</c:formatCode>
                <c:ptCount val="21"/>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numCache>
            </c:numRef>
          </c:cat>
          <c:val>
            <c:numRef>
              <c:f>'TO Event Study'!$E$2:$Y$2</c:f>
              <c:numCache>
                <c:formatCode>0.000%</c:formatCode>
                <c:ptCount val="21"/>
                <c:pt idx="0">
                  <c:v>2.0004830020676199E-4</c:v>
                </c:pt>
                <c:pt idx="1">
                  <c:v>1.0554058425898879E-4</c:v>
                </c:pt>
                <c:pt idx="2">
                  <c:v>1.0926143789608922E-4</c:v>
                </c:pt>
                <c:pt idx="3">
                  <c:v>3.4272296548457272E-4</c:v>
                </c:pt>
                <c:pt idx="4">
                  <c:v>-1.4810522959081142E-4</c:v>
                </c:pt>
                <c:pt idx="5">
                  <c:v>1.5350423549362449E-4</c:v>
                </c:pt>
                <c:pt idx="6">
                  <c:v>2.361325639412047E-4</c:v>
                </c:pt>
                <c:pt idx="7">
                  <c:v>3.3582546139606956E-4</c:v>
                </c:pt>
                <c:pt idx="8">
                  <c:v>4.6830615250564324E-4</c:v>
                </c:pt>
                <c:pt idx="9">
                  <c:v>-4.3951809327142664E-5</c:v>
                </c:pt>
                <c:pt idx="10">
                  <c:v>1.4155834716762954E-3</c:v>
                </c:pt>
                <c:pt idx="11">
                  <c:v>1.2855328684076015E-3</c:v>
                </c:pt>
                <c:pt idx="12">
                  <c:v>6.9347718190752958E-4</c:v>
                </c:pt>
                <c:pt idx="13">
                  <c:v>5.4796005760567273E-4</c:v>
                </c:pt>
                <c:pt idx="14">
                  <c:v>4.5122616119313815E-4</c:v>
                </c:pt>
                <c:pt idx="15">
                  <c:v>-2.0341893341696197E-4</c:v>
                </c:pt>
                <c:pt idx="16">
                  <c:v>-2.3464736073085647E-4</c:v>
                </c:pt>
                <c:pt idx="17">
                  <c:v>1.1024337846178464E-4</c:v>
                </c:pt>
                <c:pt idx="18">
                  <c:v>-5.6071494181628086E-6</c:v>
                </c:pt>
                <c:pt idx="19">
                  <c:v>3.4711235996455974E-4</c:v>
                </c:pt>
                <c:pt idx="20">
                  <c:v>2.3870712621716566E-4</c:v>
                </c:pt>
              </c:numCache>
            </c:numRef>
          </c:val>
        </c:ser>
        <c:dLbls>
          <c:showLegendKey val="0"/>
          <c:showVal val="0"/>
          <c:showCatName val="0"/>
          <c:showSerName val="0"/>
          <c:showPercent val="0"/>
          <c:showBubbleSize val="0"/>
        </c:dLbls>
        <c:gapWidth val="150"/>
        <c:axId val="154147840"/>
        <c:axId val="154154112"/>
      </c:barChart>
      <c:catAx>
        <c:axId val="154147840"/>
        <c:scaling>
          <c:orientation val="minMax"/>
        </c:scaling>
        <c:delete val="0"/>
        <c:axPos val="b"/>
        <c:title>
          <c:tx>
            <c:rich>
              <a:bodyPr/>
              <a:lstStyle/>
              <a:p>
                <a:pPr>
                  <a:defRPr/>
                </a:pPr>
                <a:r>
                  <a:rPr lang="en-US"/>
                  <a:t>Event Day</a:t>
                </a:r>
              </a:p>
            </c:rich>
          </c:tx>
          <c:overlay val="0"/>
        </c:title>
        <c:numFmt formatCode="General" sourceLinked="1"/>
        <c:majorTickMark val="none"/>
        <c:minorTickMark val="none"/>
        <c:tickLblPos val="nextTo"/>
        <c:crossAx val="154154112"/>
        <c:crosses val="autoZero"/>
        <c:auto val="1"/>
        <c:lblAlgn val="ctr"/>
        <c:lblOffset val="100"/>
        <c:noMultiLvlLbl val="0"/>
      </c:catAx>
      <c:valAx>
        <c:axId val="154154112"/>
        <c:scaling>
          <c:orientation val="minMax"/>
        </c:scaling>
        <c:delete val="0"/>
        <c:axPos val="l"/>
        <c:majorGridlines/>
        <c:title>
          <c:tx>
            <c:rich>
              <a:bodyPr/>
              <a:lstStyle/>
              <a:p>
                <a:pPr>
                  <a:defRPr/>
                </a:pPr>
                <a:r>
                  <a:rPr lang="en-US"/>
                  <a:t>Average Abnormal Turnover</a:t>
                </a:r>
              </a:p>
            </c:rich>
          </c:tx>
          <c:overlay val="0"/>
        </c:title>
        <c:numFmt formatCode="0.000%" sourceLinked="1"/>
        <c:majorTickMark val="out"/>
        <c:minorTickMark val="none"/>
        <c:tickLblPos val="nextTo"/>
        <c:crossAx val="15414784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barChart>
        <c:barDir val="col"/>
        <c:grouping val="clustered"/>
        <c:varyColors val="0"/>
        <c:ser>
          <c:idx val="0"/>
          <c:order val="0"/>
          <c:tx>
            <c:v>AATO</c:v>
          </c:tx>
          <c:invertIfNegative val="0"/>
          <c:cat>
            <c:numRef>
              <c:f>'TO Event Study'!$E$1:$Y$1</c:f>
              <c:numCache>
                <c:formatCode>General</c:formatCode>
                <c:ptCount val="21"/>
                <c:pt idx="0">
                  <c:v>-10</c:v>
                </c:pt>
                <c:pt idx="1">
                  <c:v>-9</c:v>
                </c:pt>
                <c:pt idx="2">
                  <c:v>-8</c:v>
                </c:pt>
                <c:pt idx="3">
                  <c:v>-7</c:v>
                </c:pt>
                <c:pt idx="4">
                  <c:v>-6</c:v>
                </c:pt>
                <c:pt idx="5">
                  <c:v>-5</c:v>
                </c:pt>
                <c:pt idx="6">
                  <c:v>-4</c:v>
                </c:pt>
                <c:pt idx="7">
                  <c:v>-3</c:v>
                </c:pt>
                <c:pt idx="8">
                  <c:v>-2</c:v>
                </c:pt>
                <c:pt idx="9">
                  <c:v>-1</c:v>
                </c:pt>
                <c:pt idx="10">
                  <c:v>0</c:v>
                </c:pt>
                <c:pt idx="11">
                  <c:v>1</c:v>
                </c:pt>
                <c:pt idx="12">
                  <c:v>2</c:v>
                </c:pt>
                <c:pt idx="13">
                  <c:v>3</c:v>
                </c:pt>
                <c:pt idx="14">
                  <c:v>4</c:v>
                </c:pt>
                <c:pt idx="15">
                  <c:v>5</c:v>
                </c:pt>
                <c:pt idx="16">
                  <c:v>6</c:v>
                </c:pt>
                <c:pt idx="17">
                  <c:v>7</c:v>
                </c:pt>
                <c:pt idx="18">
                  <c:v>8</c:v>
                </c:pt>
                <c:pt idx="19">
                  <c:v>9</c:v>
                </c:pt>
                <c:pt idx="20">
                  <c:v>10</c:v>
                </c:pt>
              </c:numCache>
            </c:numRef>
          </c:cat>
          <c:val>
            <c:numRef>
              <c:f>'TO Event Study'!$E$2:$Y$2</c:f>
              <c:numCache>
                <c:formatCode>0.000%</c:formatCode>
                <c:ptCount val="21"/>
                <c:pt idx="0">
                  <c:v>-5.572103717488662E-5</c:v>
                </c:pt>
                <c:pt idx="1">
                  <c:v>1.8302131950462586E-5</c:v>
                </c:pt>
                <c:pt idx="2">
                  <c:v>8.4234200365207522E-4</c:v>
                </c:pt>
                <c:pt idx="3">
                  <c:v>-2.2951007806970203E-5</c:v>
                </c:pt>
                <c:pt idx="4">
                  <c:v>-3.2962547251487673E-4</c:v>
                </c:pt>
                <c:pt idx="5">
                  <c:v>-5.1135575985692132E-4</c:v>
                </c:pt>
                <c:pt idx="6">
                  <c:v>-1.5173269267964185E-4</c:v>
                </c:pt>
                <c:pt idx="7">
                  <c:v>-1.0277147187686329E-4</c:v>
                </c:pt>
                <c:pt idx="8">
                  <c:v>-3.7419709214252195E-5</c:v>
                </c:pt>
                <c:pt idx="9">
                  <c:v>1.0495934300446047E-4</c:v>
                </c:pt>
                <c:pt idx="10">
                  <c:v>1.084209688767782E-3</c:v>
                </c:pt>
                <c:pt idx="11">
                  <c:v>2.1679538262870713E-4</c:v>
                </c:pt>
                <c:pt idx="12">
                  <c:v>9.8929310339084686E-5</c:v>
                </c:pt>
                <c:pt idx="13">
                  <c:v>-5.0693879731858579E-4</c:v>
                </c:pt>
                <c:pt idx="14">
                  <c:v>-2.8040015509189499E-4</c:v>
                </c:pt>
                <c:pt idx="15">
                  <c:v>-2.403469801477706E-4</c:v>
                </c:pt>
                <c:pt idx="16">
                  <c:v>-2.9764029314927591E-4</c:v>
                </c:pt>
                <c:pt idx="17">
                  <c:v>-1.7135391102814001E-4</c:v>
                </c:pt>
                <c:pt idx="18">
                  <c:v>1.2068702242540963E-5</c:v>
                </c:pt>
                <c:pt idx="19">
                  <c:v>9.6873476831471815E-5</c:v>
                </c:pt>
                <c:pt idx="20">
                  <c:v>-3.4589581747359845E-4</c:v>
                </c:pt>
              </c:numCache>
            </c:numRef>
          </c:val>
        </c:ser>
        <c:dLbls>
          <c:showLegendKey val="0"/>
          <c:showVal val="0"/>
          <c:showCatName val="0"/>
          <c:showSerName val="0"/>
          <c:showPercent val="0"/>
          <c:showBubbleSize val="0"/>
        </c:dLbls>
        <c:gapWidth val="150"/>
        <c:axId val="154182784"/>
        <c:axId val="154184704"/>
      </c:barChart>
      <c:catAx>
        <c:axId val="154182784"/>
        <c:scaling>
          <c:orientation val="minMax"/>
        </c:scaling>
        <c:delete val="0"/>
        <c:axPos val="b"/>
        <c:title>
          <c:tx>
            <c:rich>
              <a:bodyPr/>
              <a:lstStyle/>
              <a:p>
                <a:pPr>
                  <a:defRPr/>
                </a:pPr>
                <a:r>
                  <a:rPr lang="en-US"/>
                  <a:t>Event Day</a:t>
                </a:r>
              </a:p>
            </c:rich>
          </c:tx>
          <c:overlay val="0"/>
        </c:title>
        <c:numFmt formatCode="General" sourceLinked="1"/>
        <c:majorTickMark val="none"/>
        <c:minorTickMark val="none"/>
        <c:tickLblPos val="nextTo"/>
        <c:crossAx val="154184704"/>
        <c:crosses val="autoZero"/>
        <c:auto val="1"/>
        <c:lblAlgn val="ctr"/>
        <c:lblOffset val="100"/>
        <c:noMultiLvlLbl val="0"/>
      </c:catAx>
      <c:valAx>
        <c:axId val="154184704"/>
        <c:scaling>
          <c:orientation val="minMax"/>
        </c:scaling>
        <c:delete val="0"/>
        <c:axPos val="l"/>
        <c:majorGridlines/>
        <c:title>
          <c:tx>
            <c:rich>
              <a:bodyPr/>
              <a:lstStyle/>
              <a:p>
                <a:pPr>
                  <a:defRPr/>
                </a:pPr>
                <a:r>
                  <a:rPr lang="en-US"/>
                  <a:t>Average Abnormal Turnover</a:t>
                </a:r>
              </a:p>
            </c:rich>
          </c:tx>
          <c:overlay val="0"/>
        </c:title>
        <c:numFmt formatCode="0.000%" sourceLinked="1"/>
        <c:majorTickMark val="out"/>
        <c:minorTickMark val="none"/>
        <c:tickLblPos val="nextTo"/>
        <c:crossAx val="1541827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4B837-4821-45D1-A094-199908A3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50</Pages>
  <Words>23117</Words>
  <Characters>131771</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154579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dc:creator>
  <cp:lastModifiedBy>utsadmin</cp:lastModifiedBy>
  <cp:revision>3</cp:revision>
  <cp:lastPrinted>2014-02-14T04:01:00Z</cp:lastPrinted>
  <dcterms:created xsi:type="dcterms:W3CDTF">2014-02-14T04:48:00Z</dcterms:created>
  <dcterms:modified xsi:type="dcterms:W3CDTF">2014-02-14T04:56:00Z</dcterms:modified>
</cp:coreProperties>
</file>