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E3C" w:rsidRDefault="00887E3C" w:rsidP="00887E3C">
      <w:pPr>
        <w:pStyle w:val="ConferenceDetails"/>
      </w:pPr>
      <w:r>
        <w:t>Annual Pacific-Rim Real Estate Society Conference</w:t>
      </w:r>
    </w:p>
    <w:p w:rsidR="00887E3C" w:rsidRDefault="00887E3C" w:rsidP="00887E3C">
      <w:pPr>
        <w:pStyle w:val="ConferenceDetails"/>
      </w:pPr>
      <w:r>
        <w:t>SYDNEY AUSTRALIA, January 2017</w:t>
      </w:r>
    </w:p>
    <w:p w:rsidR="005F0E2B" w:rsidRDefault="005F0E2B" w:rsidP="005F0E2B">
      <w:pPr>
        <w:jc w:val="center"/>
        <w:rPr>
          <w:b/>
          <w:sz w:val="28"/>
          <w:szCs w:val="28"/>
        </w:rPr>
      </w:pPr>
    </w:p>
    <w:p w:rsidR="005F0E2B" w:rsidRPr="005F0E2B" w:rsidRDefault="00847078" w:rsidP="005F0E2B">
      <w:pPr>
        <w:jc w:val="center"/>
        <w:rPr>
          <w:rFonts w:ascii="Times New Roman" w:hAnsi="Times New Roman" w:cs="Times New Roman"/>
          <w:sz w:val="28"/>
          <w:szCs w:val="28"/>
        </w:rPr>
      </w:pPr>
      <w:r>
        <w:rPr>
          <w:rFonts w:ascii="Times New Roman" w:hAnsi="Times New Roman" w:cs="Times New Roman"/>
          <w:b/>
          <w:sz w:val="28"/>
          <w:szCs w:val="28"/>
        </w:rPr>
        <w:t xml:space="preserve">Transitioning </w:t>
      </w:r>
      <w:r w:rsidR="00702285">
        <w:rPr>
          <w:rFonts w:ascii="Times New Roman" w:hAnsi="Times New Roman" w:cs="Times New Roman"/>
          <w:b/>
          <w:sz w:val="28"/>
          <w:szCs w:val="28"/>
        </w:rPr>
        <w:t>from a</w:t>
      </w:r>
      <w:r w:rsidR="00F556F8">
        <w:rPr>
          <w:rFonts w:ascii="Times New Roman" w:hAnsi="Times New Roman" w:cs="Times New Roman"/>
          <w:b/>
          <w:sz w:val="28"/>
          <w:szCs w:val="28"/>
        </w:rPr>
        <w:t xml:space="preserve"> </w:t>
      </w:r>
      <w:r w:rsidR="00FD0974">
        <w:rPr>
          <w:rFonts w:ascii="Times New Roman" w:hAnsi="Times New Roman" w:cs="Times New Roman"/>
          <w:b/>
          <w:sz w:val="28"/>
          <w:szCs w:val="28"/>
        </w:rPr>
        <w:t>transaction</w:t>
      </w:r>
      <w:r w:rsidR="005F0E2B" w:rsidRPr="005F0E2B">
        <w:rPr>
          <w:rFonts w:ascii="Times New Roman" w:hAnsi="Times New Roman" w:cs="Times New Roman"/>
          <w:b/>
          <w:sz w:val="28"/>
          <w:szCs w:val="28"/>
        </w:rPr>
        <w:t xml:space="preserve"> </w:t>
      </w:r>
      <w:r>
        <w:rPr>
          <w:rFonts w:ascii="Times New Roman" w:hAnsi="Times New Roman" w:cs="Times New Roman"/>
          <w:b/>
          <w:sz w:val="28"/>
          <w:szCs w:val="28"/>
        </w:rPr>
        <w:t xml:space="preserve">to </w:t>
      </w:r>
      <w:r w:rsidR="00F556F8">
        <w:rPr>
          <w:rFonts w:ascii="Times New Roman" w:hAnsi="Times New Roman" w:cs="Times New Roman"/>
          <w:b/>
          <w:sz w:val="28"/>
          <w:szCs w:val="28"/>
        </w:rPr>
        <w:t xml:space="preserve">a </w:t>
      </w:r>
      <w:r>
        <w:rPr>
          <w:rFonts w:ascii="Times New Roman" w:hAnsi="Times New Roman" w:cs="Times New Roman"/>
          <w:b/>
          <w:sz w:val="28"/>
          <w:szCs w:val="28"/>
        </w:rPr>
        <w:t xml:space="preserve">recurrent </w:t>
      </w:r>
      <w:r w:rsidR="00000A26">
        <w:rPr>
          <w:rFonts w:ascii="Times New Roman" w:hAnsi="Times New Roman" w:cs="Times New Roman"/>
          <w:b/>
          <w:sz w:val="28"/>
          <w:szCs w:val="28"/>
        </w:rPr>
        <w:t xml:space="preserve">tax on </w:t>
      </w:r>
      <w:r>
        <w:rPr>
          <w:rFonts w:ascii="Times New Roman" w:hAnsi="Times New Roman" w:cs="Times New Roman"/>
          <w:b/>
          <w:sz w:val="28"/>
          <w:szCs w:val="28"/>
        </w:rPr>
        <w:t>property</w:t>
      </w:r>
    </w:p>
    <w:p w:rsidR="004D4E18" w:rsidRDefault="004D4E18" w:rsidP="005F0E2B">
      <w:pPr>
        <w:spacing w:after="120" w:line="240" w:lineRule="auto"/>
        <w:jc w:val="center"/>
        <w:rPr>
          <w:rFonts w:ascii="Times New Roman" w:hAnsi="Times New Roman" w:cs="Times New Roman"/>
          <w:b/>
          <w:sz w:val="24"/>
          <w:szCs w:val="24"/>
        </w:rPr>
      </w:pPr>
    </w:p>
    <w:p w:rsidR="005F0E2B" w:rsidRPr="005F0E2B" w:rsidRDefault="005F0E2B" w:rsidP="005F0E2B">
      <w:pPr>
        <w:spacing w:after="120" w:line="240" w:lineRule="auto"/>
        <w:jc w:val="center"/>
        <w:rPr>
          <w:rFonts w:ascii="Times New Roman" w:hAnsi="Times New Roman" w:cs="Times New Roman"/>
          <w:b/>
          <w:sz w:val="24"/>
          <w:szCs w:val="24"/>
        </w:rPr>
      </w:pPr>
      <w:r w:rsidRPr="005F0E2B">
        <w:rPr>
          <w:rFonts w:ascii="Times New Roman" w:hAnsi="Times New Roman" w:cs="Times New Roman"/>
          <w:b/>
          <w:sz w:val="24"/>
          <w:szCs w:val="24"/>
        </w:rPr>
        <w:t>Vince Mangioni</w:t>
      </w:r>
    </w:p>
    <w:p w:rsidR="00913EF6" w:rsidRPr="005F0E2B" w:rsidRDefault="005F0E2B" w:rsidP="00913EF6">
      <w:pPr>
        <w:jc w:val="center"/>
        <w:rPr>
          <w:rFonts w:ascii="Times New Roman" w:hAnsi="Times New Roman" w:cs="Times New Roman"/>
          <w:b/>
          <w:sz w:val="24"/>
          <w:szCs w:val="24"/>
        </w:rPr>
      </w:pPr>
      <w:r w:rsidRPr="005F0E2B">
        <w:rPr>
          <w:rFonts w:ascii="Times New Roman" w:hAnsi="Times New Roman" w:cs="Times New Roman"/>
          <w:b/>
          <w:sz w:val="24"/>
          <w:szCs w:val="24"/>
        </w:rPr>
        <w:t>University of Technology Sydney</w:t>
      </w:r>
    </w:p>
    <w:p w:rsidR="005F0E2B" w:rsidRPr="005F0E2B" w:rsidRDefault="005F0E2B" w:rsidP="005F0E2B">
      <w:pPr>
        <w:jc w:val="center"/>
        <w:rPr>
          <w:rFonts w:ascii="Times New Roman" w:hAnsi="Times New Roman" w:cs="Times New Roman"/>
          <w:b/>
          <w:sz w:val="22"/>
        </w:rPr>
      </w:pPr>
      <w:r w:rsidRPr="005F0E2B">
        <w:rPr>
          <w:rFonts w:ascii="Times New Roman" w:hAnsi="Times New Roman" w:cs="Times New Roman"/>
          <w:b/>
          <w:sz w:val="22"/>
        </w:rPr>
        <w:t>Peer-reviewed paper</w:t>
      </w:r>
    </w:p>
    <w:p w:rsidR="005F0E2B" w:rsidRDefault="005F0E2B" w:rsidP="005F0E2B">
      <w:pPr>
        <w:jc w:val="both"/>
        <w:rPr>
          <w:rFonts w:cs="Arial"/>
          <w:b/>
          <w:szCs w:val="20"/>
        </w:rPr>
      </w:pPr>
    </w:p>
    <w:p w:rsidR="005F0E2B" w:rsidRDefault="005F0E2B" w:rsidP="005F0E2B">
      <w:pPr>
        <w:jc w:val="both"/>
        <w:rPr>
          <w:rFonts w:cs="Arial"/>
          <w:b/>
          <w:szCs w:val="20"/>
        </w:rPr>
      </w:pPr>
    </w:p>
    <w:p w:rsidR="005F0E2B" w:rsidRDefault="005F0E2B" w:rsidP="005F0E2B">
      <w:pPr>
        <w:spacing w:after="120" w:line="240" w:lineRule="auto"/>
        <w:jc w:val="both"/>
        <w:rPr>
          <w:rFonts w:cs="Arial"/>
          <w:szCs w:val="20"/>
        </w:rPr>
      </w:pPr>
      <w:r>
        <w:rPr>
          <w:rFonts w:cs="Arial"/>
          <w:b/>
          <w:szCs w:val="20"/>
        </w:rPr>
        <w:t>Abstract</w:t>
      </w:r>
    </w:p>
    <w:p w:rsidR="005F0E2B" w:rsidRPr="009A3B16" w:rsidRDefault="00847078" w:rsidP="005F0E2B">
      <w:pPr>
        <w:jc w:val="both"/>
        <w:rPr>
          <w:rFonts w:cs="Arial"/>
          <w:szCs w:val="20"/>
        </w:rPr>
      </w:pPr>
      <w:r>
        <w:rPr>
          <w:rFonts w:cs="Arial"/>
          <w:szCs w:val="20"/>
        </w:rPr>
        <w:t>T</w:t>
      </w:r>
      <w:r w:rsidR="004D4E18">
        <w:rPr>
          <w:rFonts w:cs="Arial"/>
          <w:szCs w:val="20"/>
        </w:rPr>
        <w:t xml:space="preserve">he review </w:t>
      </w:r>
      <w:r>
        <w:rPr>
          <w:rFonts w:cs="Arial"/>
          <w:szCs w:val="20"/>
        </w:rPr>
        <w:t xml:space="preserve">of Australia’s tax system of 2009/10 </w:t>
      </w:r>
      <w:r w:rsidR="004D4E18">
        <w:rPr>
          <w:rFonts w:cs="Arial"/>
          <w:szCs w:val="20"/>
        </w:rPr>
        <w:t xml:space="preserve">made a number of </w:t>
      </w:r>
      <w:r w:rsidR="005F0E2B">
        <w:rPr>
          <w:rFonts w:cs="Arial"/>
          <w:szCs w:val="20"/>
        </w:rPr>
        <w:t xml:space="preserve">recommendations </w:t>
      </w:r>
      <w:r w:rsidR="004D4E18">
        <w:rPr>
          <w:rFonts w:cs="Arial"/>
          <w:szCs w:val="20"/>
        </w:rPr>
        <w:t>that</w:t>
      </w:r>
      <w:r w:rsidR="005F0E2B">
        <w:rPr>
          <w:rFonts w:cs="Arial"/>
          <w:szCs w:val="20"/>
        </w:rPr>
        <w:t xml:space="preserve"> </w:t>
      </w:r>
      <w:r w:rsidR="004D4E18">
        <w:rPr>
          <w:rFonts w:cs="Arial"/>
          <w:szCs w:val="20"/>
        </w:rPr>
        <w:t>contribute to</w:t>
      </w:r>
      <w:r w:rsidR="005F0E2B" w:rsidRPr="009A3B16">
        <w:rPr>
          <w:rFonts w:cs="Arial"/>
          <w:szCs w:val="20"/>
        </w:rPr>
        <w:t xml:space="preserve"> </w:t>
      </w:r>
      <w:r w:rsidR="005F0E2B">
        <w:rPr>
          <w:rFonts w:cs="Arial"/>
          <w:szCs w:val="20"/>
        </w:rPr>
        <w:t>improving</w:t>
      </w:r>
      <w:r w:rsidR="005F0E2B" w:rsidRPr="009A3B16">
        <w:rPr>
          <w:rFonts w:cs="Arial"/>
          <w:szCs w:val="20"/>
        </w:rPr>
        <w:t xml:space="preserve"> housing </w:t>
      </w:r>
      <w:r w:rsidR="00FD0974">
        <w:rPr>
          <w:rFonts w:cs="Arial"/>
          <w:szCs w:val="20"/>
        </w:rPr>
        <w:t>mobility</w:t>
      </w:r>
      <w:r w:rsidR="005F0E2B" w:rsidRPr="009A3B16">
        <w:rPr>
          <w:rFonts w:cs="Arial"/>
          <w:szCs w:val="20"/>
        </w:rPr>
        <w:t xml:space="preserve">, particularly in the capital cities of Australia. </w:t>
      </w:r>
      <w:r w:rsidR="005F0E2B">
        <w:rPr>
          <w:rFonts w:cs="Arial"/>
          <w:szCs w:val="20"/>
        </w:rPr>
        <w:t xml:space="preserve">Among the recommendations is the reduction or removal of upfront </w:t>
      </w:r>
      <w:r w:rsidR="005F0E2B" w:rsidRPr="009A3B16">
        <w:rPr>
          <w:rFonts w:cs="Arial"/>
          <w:szCs w:val="20"/>
        </w:rPr>
        <w:t xml:space="preserve">transaction taxes </w:t>
      </w:r>
      <w:r w:rsidR="005F0E2B">
        <w:rPr>
          <w:rFonts w:cs="Arial"/>
          <w:szCs w:val="20"/>
        </w:rPr>
        <w:t xml:space="preserve">on the purchase </w:t>
      </w:r>
      <w:r w:rsidR="004D4E18">
        <w:rPr>
          <w:rFonts w:cs="Arial"/>
          <w:szCs w:val="20"/>
        </w:rPr>
        <w:t xml:space="preserve">price </w:t>
      </w:r>
      <w:r w:rsidR="005F0E2B">
        <w:rPr>
          <w:rFonts w:cs="Arial"/>
          <w:szCs w:val="20"/>
        </w:rPr>
        <w:t>of property and replacing this impost</w:t>
      </w:r>
      <w:r w:rsidR="005F0E2B" w:rsidRPr="009A3B16">
        <w:rPr>
          <w:rFonts w:cs="Arial"/>
          <w:szCs w:val="20"/>
        </w:rPr>
        <w:t xml:space="preserve"> </w:t>
      </w:r>
      <w:r w:rsidR="005F0E2B">
        <w:rPr>
          <w:rFonts w:cs="Arial"/>
          <w:szCs w:val="20"/>
        </w:rPr>
        <w:t>with</w:t>
      </w:r>
      <w:r w:rsidR="005F0E2B" w:rsidRPr="009A3B16">
        <w:rPr>
          <w:rFonts w:cs="Arial"/>
          <w:szCs w:val="20"/>
        </w:rPr>
        <w:t xml:space="preserve"> </w:t>
      </w:r>
      <w:r w:rsidR="004D4E18">
        <w:rPr>
          <w:rFonts w:cs="Arial"/>
          <w:szCs w:val="20"/>
        </w:rPr>
        <w:t xml:space="preserve">a </w:t>
      </w:r>
      <w:r w:rsidR="005F0E2B" w:rsidRPr="009A3B16">
        <w:rPr>
          <w:rFonts w:cs="Arial"/>
          <w:szCs w:val="20"/>
        </w:rPr>
        <w:t>recurrent tax</w:t>
      </w:r>
      <w:r w:rsidR="005F0E2B">
        <w:rPr>
          <w:rFonts w:cs="Arial"/>
          <w:szCs w:val="20"/>
        </w:rPr>
        <w:t xml:space="preserve"> spread across the holding period of property</w:t>
      </w:r>
      <w:r w:rsidR="004D4E18">
        <w:rPr>
          <w:rFonts w:cs="Arial"/>
          <w:szCs w:val="20"/>
        </w:rPr>
        <w:t xml:space="preserve">. While this recommendation inspires the Commonwealth, it impacts the revenue of state government </w:t>
      </w:r>
      <w:r w:rsidR="00C511DC">
        <w:rPr>
          <w:rFonts w:cs="Arial"/>
          <w:szCs w:val="20"/>
        </w:rPr>
        <w:t>over the</w:t>
      </w:r>
      <w:r w:rsidR="00FD0974">
        <w:rPr>
          <w:rFonts w:cs="Arial"/>
          <w:szCs w:val="20"/>
        </w:rPr>
        <w:t xml:space="preserve"> medium </w:t>
      </w:r>
      <w:r w:rsidR="00C511DC">
        <w:rPr>
          <w:rFonts w:cs="Arial"/>
          <w:szCs w:val="20"/>
        </w:rPr>
        <w:t xml:space="preserve">transition </w:t>
      </w:r>
      <w:r w:rsidR="00FD0974">
        <w:rPr>
          <w:rFonts w:cs="Arial"/>
          <w:szCs w:val="20"/>
        </w:rPr>
        <w:t xml:space="preserve">period, </w:t>
      </w:r>
      <w:r w:rsidR="00C511DC">
        <w:rPr>
          <w:rFonts w:cs="Arial"/>
          <w:szCs w:val="20"/>
        </w:rPr>
        <w:t xml:space="preserve">the recommendation </w:t>
      </w:r>
      <w:r w:rsidR="00FD0974">
        <w:rPr>
          <w:rFonts w:cs="Arial"/>
          <w:szCs w:val="20"/>
        </w:rPr>
        <w:t>replac</w:t>
      </w:r>
      <w:r w:rsidR="00C511DC">
        <w:rPr>
          <w:rFonts w:cs="Arial"/>
          <w:szCs w:val="20"/>
        </w:rPr>
        <w:t>es</w:t>
      </w:r>
      <w:r w:rsidR="00FD0974">
        <w:rPr>
          <w:rFonts w:cs="Arial"/>
          <w:szCs w:val="20"/>
        </w:rPr>
        <w:t xml:space="preserve"> a one-off tax </w:t>
      </w:r>
      <w:r w:rsidR="00C511DC">
        <w:rPr>
          <w:rFonts w:cs="Arial"/>
          <w:szCs w:val="20"/>
        </w:rPr>
        <w:t xml:space="preserve">stamp duty, </w:t>
      </w:r>
      <w:r w:rsidR="00FD0974">
        <w:rPr>
          <w:rFonts w:cs="Arial"/>
          <w:szCs w:val="20"/>
        </w:rPr>
        <w:t xml:space="preserve">with a highly visible </w:t>
      </w:r>
      <w:r w:rsidR="00C511DC">
        <w:rPr>
          <w:rFonts w:cs="Arial"/>
          <w:szCs w:val="20"/>
        </w:rPr>
        <w:t xml:space="preserve">annual land </w:t>
      </w:r>
      <w:r w:rsidR="00FD0974">
        <w:rPr>
          <w:rFonts w:cs="Arial"/>
          <w:szCs w:val="20"/>
        </w:rPr>
        <w:t>tax.</w:t>
      </w:r>
    </w:p>
    <w:p w:rsidR="005F0E2B" w:rsidRPr="009A3B16" w:rsidRDefault="005F0E2B" w:rsidP="005F0E2B">
      <w:pPr>
        <w:jc w:val="both"/>
        <w:rPr>
          <w:rFonts w:cs="Arial"/>
          <w:szCs w:val="20"/>
        </w:rPr>
      </w:pPr>
      <w:r w:rsidRPr="009A3B16">
        <w:rPr>
          <w:rFonts w:cs="Arial"/>
          <w:szCs w:val="20"/>
        </w:rPr>
        <w:t xml:space="preserve">This paper examines the relationship and emerging trends between State government taxes </w:t>
      </w:r>
      <w:r w:rsidR="00FD0974">
        <w:rPr>
          <w:rFonts w:cs="Arial"/>
          <w:szCs w:val="20"/>
        </w:rPr>
        <w:t>that</w:t>
      </w:r>
      <w:r w:rsidRPr="009A3B16">
        <w:rPr>
          <w:rFonts w:cs="Arial"/>
          <w:szCs w:val="20"/>
        </w:rPr>
        <w:t xml:space="preserve"> impact property </w:t>
      </w:r>
      <w:r>
        <w:rPr>
          <w:rFonts w:cs="Arial"/>
          <w:szCs w:val="20"/>
        </w:rPr>
        <w:t xml:space="preserve">and </w:t>
      </w:r>
      <w:r w:rsidR="00847078">
        <w:rPr>
          <w:rFonts w:cs="Arial"/>
          <w:szCs w:val="20"/>
        </w:rPr>
        <w:t>revenues from these sources</w:t>
      </w:r>
      <w:r>
        <w:rPr>
          <w:rFonts w:cs="Arial"/>
          <w:szCs w:val="20"/>
        </w:rPr>
        <w:t xml:space="preserve"> </w:t>
      </w:r>
      <w:r w:rsidRPr="009A3B16">
        <w:rPr>
          <w:rFonts w:cs="Arial"/>
          <w:szCs w:val="20"/>
        </w:rPr>
        <w:t xml:space="preserve">and examines options for the </w:t>
      </w:r>
      <w:r w:rsidR="00C511DC">
        <w:rPr>
          <w:rFonts w:cs="Arial"/>
          <w:szCs w:val="20"/>
        </w:rPr>
        <w:t>transition</w:t>
      </w:r>
      <w:r>
        <w:rPr>
          <w:rFonts w:cs="Arial"/>
          <w:szCs w:val="20"/>
        </w:rPr>
        <w:t xml:space="preserve"> from</w:t>
      </w:r>
      <w:r w:rsidRPr="009A3B16">
        <w:rPr>
          <w:rFonts w:cs="Arial"/>
          <w:szCs w:val="20"/>
        </w:rPr>
        <w:t xml:space="preserve"> </w:t>
      </w:r>
      <w:r>
        <w:rPr>
          <w:rFonts w:cs="Arial"/>
          <w:szCs w:val="20"/>
        </w:rPr>
        <w:t xml:space="preserve">transaction </w:t>
      </w:r>
      <w:r w:rsidRPr="009A3B16">
        <w:rPr>
          <w:rFonts w:cs="Arial"/>
          <w:szCs w:val="20"/>
        </w:rPr>
        <w:t>taxes</w:t>
      </w:r>
      <w:r>
        <w:rPr>
          <w:rFonts w:cs="Arial"/>
          <w:szCs w:val="20"/>
        </w:rPr>
        <w:t xml:space="preserve"> to a recurrent tax on land</w:t>
      </w:r>
      <w:r w:rsidRPr="009A3B16">
        <w:rPr>
          <w:rFonts w:cs="Arial"/>
          <w:szCs w:val="20"/>
        </w:rPr>
        <w:t xml:space="preserve">. </w:t>
      </w:r>
      <w:r>
        <w:rPr>
          <w:rFonts w:cs="Arial"/>
          <w:szCs w:val="20"/>
        </w:rPr>
        <w:t xml:space="preserve">Through the analysis of the conveyance stamp duty currently paid on property </w:t>
      </w:r>
      <w:r w:rsidR="00FD0974">
        <w:rPr>
          <w:rFonts w:cs="Arial"/>
          <w:szCs w:val="20"/>
        </w:rPr>
        <w:t>against</w:t>
      </w:r>
      <w:r>
        <w:rPr>
          <w:rFonts w:cs="Arial"/>
          <w:szCs w:val="20"/>
        </w:rPr>
        <w:t xml:space="preserve"> a</w:t>
      </w:r>
      <w:r w:rsidR="004D4E18">
        <w:rPr>
          <w:rFonts w:cs="Arial"/>
          <w:szCs w:val="20"/>
        </w:rPr>
        <w:t>n</w:t>
      </w:r>
      <w:r>
        <w:rPr>
          <w:rFonts w:cs="Arial"/>
          <w:szCs w:val="20"/>
        </w:rPr>
        <w:t xml:space="preserve"> </w:t>
      </w:r>
      <w:r w:rsidR="004D4E18">
        <w:rPr>
          <w:rFonts w:cs="Arial"/>
          <w:szCs w:val="20"/>
        </w:rPr>
        <w:t>annual impost</w:t>
      </w:r>
      <w:r w:rsidR="00FD0974">
        <w:rPr>
          <w:rFonts w:cs="Arial"/>
          <w:szCs w:val="20"/>
        </w:rPr>
        <w:t xml:space="preserve"> on land</w:t>
      </w:r>
      <w:r w:rsidR="004D4E18">
        <w:rPr>
          <w:rFonts w:cs="Arial"/>
          <w:szCs w:val="20"/>
        </w:rPr>
        <w:t>,</w:t>
      </w:r>
      <w:r>
        <w:rPr>
          <w:rFonts w:cs="Arial"/>
          <w:szCs w:val="20"/>
        </w:rPr>
        <w:t xml:space="preserve"> it is determined that options exist for</w:t>
      </w:r>
      <w:r w:rsidRPr="009A3B16">
        <w:rPr>
          <w:rFonts w:cs="Arial"/>
          <w:szCs w:val="20"/>
        </w:rPr>
        <w:t xml:space="preserve"> the transition from</w:t>
      </w:r>
      <w:r w:rsidR="00FD0974">
        <w:rPr>
          <w:rFonts w:cs="Arial"/>
          <w:szCs w:val="20"/>
        </w:rPr>
        <w:t xml:space="preserve"> a</w:t>
      </w:r>
      <w:r w:rsidRPr="009A3B16">
        <w:rPr>
          <w:rFonts w:cs="Arial"/>
          <w:szCs w:val="20"/>
        </w:rPr>
        <w:t xml:space="preserve"> less to more efficient tax</w:t>
      </w:r>
      <w:r>
        <w:rPr>
          <w:rFonts w:cs="Arial"/>
          <w:szCs w:val="20"/>
        </w:rPr>
        <w:t xml:space="preserve"> o</w:t>
      </w:r>
      <w:r w:rsidR="00FD0974">
        <w:rPr>
          <w:rFonts w:cs="Arial"/>
          <w:szCs w:val="20"/>
        </w:rPr>
        <w:t>n</w:t>
      </w:r>
      <w:r>
        <w:rPr>
          <w:rFonts w:cs="Arial"/>
          <w:szCs w:val="20"/>
        </w:rPr>
        <w:t xml:space="preserve"> property</w:t>
      </w:r>
      <w:r w:rsidRPr="009A3B16">
        <w:rPr>
          <w:rFonts w:cs="Arial"/>
          <w:szCs w:val="20"/>
        </w:rPr>
        <w:t xml:space="preserve">, while </w:t>
      </w:r>
      <w:r>
        <w:rPr>
          <w:rFonts w:cs="Arial"/>
          <w:szCs w:val="20"/>
        </w:rPr>
        <w:t xml:space="preserve">maintaining </w:t>
      </w:r>
      <w:r w:rsidR="004D4E18">
        <w:rPr>
          <w:rFonts w:cs="Arial"/>
          <w:szCs w:val="20"/>
        </w:rPr>
        <w:t>robustness of</w:t>
      </w:r>
      <w:r w:rsidRPr="009A3B16">
        <w:rPr>
          <w:rFonts w:cs="Arial"/>
          <w:szCs w:val="20"/>
        </w:rPr>
        <w:t xml:space="preserve"> revenue during </w:t>
      </w:r>
      <w:r w:rsidR="00FD0974">
        <w:rPr>
          <w:rFonts w:cs="Arial"/>
          <w:szCs w:val="20"/>
        </w:rPr>
        <w:t>a</w:t>
      </w:r>
      <w:r w:rsidRPr="009A3B16">
        <w:rPr>
          <w:rFonts w:cs="Arial"/>
          <w:szCs w:val="20"/>
        </w:rPr>
        <w:t xml:space="preserve"> transition.</w:t>
      </w:r>
      <w:r w:rsidR="00FD0974">
        <w:rPr>
          <w:rFonts w:cs="Arial"/>
          <w:szCs w:val="20"/>
        </w:rPr>
        <w:t xml:space="preserve"> The paper defines the benefits of improving revenue robustness as the primary trade-offs for the expansion of a highly visible annual tax on land</w:t>
      </w:r>
      <w:r w:rsidR="00C511DC">
        <w:rPr>
          <w:rFonts w:cs="Arial"/>
          <w:szCs w:val="20"/>
        </w:rPr>
        <w:t xml:space="preserve"> while reducing one of the barriers to improving housing mobility</w:t>
      </w:r>
      <w:r w:rsidR="00FD0974">
        <w:rPr>
          <w:rFonts w:cs="Arial"/>
          <w:szCs w:val="20"/>
        </w:rPr>
        <w:t>.</w:t>
      </w:r>
    </w:p>
    <w:p w:rsidR="0080674F" w:rsidRDefault="0080674F"/>
    <w:p w:rsidR="004D4E18" w:rsidRDefault="004D4E18"/>
    <w:p w:rsidR="004D4E18" w:rsidRDefault="004D4E18"/>
    <w:p w:rsidR="004D4E18" w:rsidRDefault="004D4E18">
      <w:r w:rsidRPr="004D4E18">
        <w:rPr>
          <w:b/>
        </w:rPr>
        <w:t>Keywords</w:t>
      </w:r>
      <w:r>
        <w:t xml:space="preserve">: Transaction </w:t>
      </w:r>
      <w:r w:rsidR="00C511DC">
        <w:t xml:space="preserve">tax, </w:t>
      </w:r>
      <w:r>
        <w:t xml:space="preserve">recurrent </w:t>
      </w:r>
      <w:r w:rsidR="00C511DC">
        <w:t xml:space="preserve">land </w:t>
      </w:r>
      <w:r>
        <w:t xml:space="preserve">tax, </w:t>
      </w:r>
      <w:r w:rsidR="00C511DC">
        <w:t xml:space="preserve">housing </w:t>
      </w:r>
      <w:r w:rsidR="00FD0974">
        <w:t>mobility</w:t>
      </w:r>
      <w:r>
        <w:t>, revenue robustness</w:t>
      </w:r>
    </w:p>
    <w:p w:rsidR="00702285" w:rsidRDefault="00861205">
      <w:pPr>
        <w:rPr>
          <w:rStyle w:val="Hyperlink"/>
        </w:rPr>
        <w:sectPr w:rsidR="00702285" w:rsidSect="00702285">
          <w:footerReference w:type="default" r:id="rId8"/>
          <w:pgSz w:w="11906" w:h="16838"/>
          <w:pgMar w:top="1440" w:right="1440" w:bottom="1440" w:left="1440" w:header="708" w:footer="708" w:gutter="0"/>
          <w:pgNumType w:start="1"/>
          <w:cols w:space="708"/>
          <w:titlePg/>
          <w:docGrid w:linePitch="360"/>
        </w:sectPr>
      </w:pPr>
      <w:hyperlink r:id="rId9" w:history="1">
        <w:r w:rsidR="00913EF6" w:rsidRPr="00CA67B3">
          <w:rPr>
            <w:rStyle w:val="Hyperlink"/>
          </w:rPr>
          <w:t>Vincent.mangioni@uts.edu.au</w:t>
        </w:r>
      </w:hyperlink>
    </w:p>
    <w:p w:rsidR="00AA0EE7" w:rsidRPr="009E7510" w:rsidRDefault="0080674F" w:rsidP="00AA0EE7">
      <w:pPr>
        <w:spacing w:after="120" w:line="240" w:lineRule="auto"/>
        <w:rPr>
          <w:rFonts w:cs="Arial"/>
          <w:b/>
          <w:szCs w:val="20"/>
        </w:rPr>
      </w:pPr>
      <w:r>
        <w:rPr>
          <w:rFonts w:cs="Arial"/>
          <w:b/>
          <w:sz w:val="22"/>
        </w:rPr>
        <w:lastRenderedPageBreak/>
        <w:t>Land and p</w:t>
      </w:r>
      <w:r w:rsidR="005A6F3C">
        <w:rPr>
          <w:rFonts w:cs="Arial"/>
          <w:b/>
          <w:sz w:val="22"/>
        </w:rPr>
        <w:t>roperty tax reform</w:t>
      </w:r>
      <w:r>
        <w:rPr>
          <w:rFonts w:cs="Arial"/>
          <w:b/>
          <w:sz w:val="22"/>
        </w:rPr>
        <w:t xml:space="preserve"> within Australia’s tax reform agenda</w:t>
      </w:r>
    </w:p>
    <w:p w:rsidR="00AA0EE7" w:rsidRDefault="002318C0" w:rsidP="00AA0EE7">
      <w:pPr>
        <w:jc w:val="both"/>
        <w:rPr>
          <w:rFonts w:cs="Arial"/>
          <w:szCs w:val="20"/>
        </w:rPr>
      </w:pPr>
      <w:r>
        <w:rPr>
          <w:rFonts w:cs="Arial"/>
          <w:szCs w:val="20"/>
        </w:rPr>
        <w:t xml:space="preserve">The reform of land and property taxation </w:t>
      </w:r>
      <w:r w:rsidR="0053368E">
        <w:rPr>
          <w:rFonts w:cs="Arial"/>
          <w:szCs w:val="20"/>
        </w:rPr>
        <w:t>is</w:t>
      </w:r>
      <w:r>
        <w:rPr>
          <w:rFonts w:cs="Arial"/>
          <w:szCs w:val="20"/>
        </w:rPr>
        <w:t xml:space="preserve"> among the key recommendations resulting from the most recent review of Australia’s tax system</w:t>
      </w:r>
      <w:r w:rsidR="003F7392">
        <w:rPr>
          <w:rFonts w:cs="Arial"/>
          <w:szCs w:val="20"/>
        </w:rPr>
        <w:t>.</w:t>
      </w:r>
      <w:r>
        <w:rPr>
          <w:rFonts w:cs="Arial"/>
          <w:szCs w:val="20"/>
        </w:rPr>
        <w:t xml:space="preserve"> This review</w:t>
      </w:r>
      <w:r w:rsidR="003F7392">
        <w:rPr>
          <w:rFonts w:cs="Arial"/>
          <w:szCs w:val="20"/>
        </w:rPr>
        <w:t>,</w:t>
      </w:r>
      <w:r>
        <w:rPr>
          <w:rFonts w:cs="Arial"/>
          <w:szCs w:val="20"/>
        </w:rPr>
        <w:t xml:space="preserve"> among other reforms </w:t>
      </w:r>
      <w:r w:rsidR="00AA0EE7" w:rsidRPr="009E7510">
        <w:rPr>
          <w:rFonts w:cs="Arial"/>
          <w:szCs w:val="20"/>
        </w:rPr>
        <w:t>proffer</w:t>
      </w:r>
      <w:r w:rsidR="0053368E">
        <w:rPr>
          <w:rFonts w:cs="Arial"/>
          <w:szCs w:val="20"/>
        </w:rPr>
        <w:t>s</w:t>
      </w:r>
      <w:r w:rsidR="00AA0EE7" w:rsidRPr="009E7510">
        <w:rPr>
          <w:rFonts w:cs="Arial"/>
          <w:szCs w:val="20"/>
        </w:rPr>
        <w:t xml:space="preserve"> the replacement of conveyance stamp duty with a broad based </w:t>
      </w:r>
      <w:r w:rsidR="0053368E">
        <w:rPr>
          <w:rFonts w:cs="Arial"/>
          <w:szCs w:val="20"/>
        </w:rPr>
        <w:t>s</w:t>
      </w:r>
      <w:r w:rsidR="00AA0EE7" w:rsidRPr="009E7510">
        <w:rPr>
          <w:rFonts w:cs="Arial"/>
          <w:szCs w:val="20"/>
        </w:rPr>
        <w:t>tate land tax, (</w:t>
      </w:r>
      <w:r w:rsidR="00AA0EE7">
        <w:rPr>
          <w:rFonts w:cs="Arial"/>
          <w:szCs w:val="20"/>
        </w:rPr>
        <w:t>Commonwealth of Australia</w:t>
      </w:r>
      <w:r w:rsidR="00AA0EE7" w:rsidRPr="009E7510">
        <w:rPr>
          <w:rFonts w:cs="Arial"/>
          <w:szCs w:val="20"/>
        </w:rPr>
        <w:t xml:space="preserve"> 200</w:t>
      </w:r>
      <w:r w:rsidR="00AA0EE7">
        <w:rPr>
          <w:rFonts w:cs="Arial"/>
          <w:szCs w:val="20"/>
        </w:rPr>
        <w:t>9</w:t>
      </w:r>
      <w:r w:rsidR="00AA0EE7" w:rsidRPr="009E7510">
        <w:rPr>
          <w:rFonts w:cs="Arial"/>
          <w:szCs w:val="20"/>
        </w:rPr>
        <w:t>, Recommendation 51)</w:t>
      </w:r>
      <w:r w:rsidR="00AA0EE7">
        <w:rPr>
          <w:rFonts w:cs="Arial"/>
          <w:szCs w:val="20"/>
        </w:rPr>
        <w:t>, a reform that</w:t>
      </w:r>
      <w:r w:rsidR="00AA0EE7" w:rsidRPr="009E7510">
        <w:rPr>
          <w:rFonts w:cs="Arial"/>
          <w:szCs w:val="20"/>
        </w:rPr>
        <w:t xml:space="preserve"> builds on the Productivity Commissions recommendation </w:t>
      </w:r>
      <w:r w:rsidR="0080674F">
        <w:rPr>
          <w:rFonts w:cs="Arial"/>
          <w:szCs w:val="20"/>
        </w:rPr>
        <w:t>that</w:t>
      </w:r>
      <w:r w:rsidR="00AA0EE7" w:rsidRPr="009E7510">
        <w:rPr>
          <w:rFonts w:cs="Arial"/>
          <w:szCs w:val="20"/>
        </w:rPr>
        <w:t xml:space="preserve"> identified stamp duty as a barrier to ent</w:t>
      </w:r>
      <w:r w:rsidR="0080674F">
        <w:rPr>
          <w:rFonts w:cs="Arial"/>
          <w:szCs w:val="20"/>
        </w:rPr>
        <w:t>ering</w:t>
      </w:r>
      <w:r w:rsidR="00AA0EE7">
        <w:rPr>
          <w:rFonts w:cs="Arial"/>
          <w:szCs w:val="20"/>
        </w:rPr>
        <w:t xml:space="preserve"> </w:t>
      </w:r>
      <w:r w:rsidR="0080674F">
        <w:rPr>
          <w:rFonts w:cs="Arial"/>
          <w:szCs w:val="20"/>
        </w:rPr>
        <w:t>home ownership</w:t>
      </w:r>
      <w:r w:rsidR="00205473">
        <w:rPr>
          <w:rFonts w:cs="Arial"/>
          <w:szCs w:val="20"/>
        </w:rPr>
        <w:t xml:space="preserve"> </w:t>
      </w:r>
      <w:r w:rsidR="00AA0EE7">
        <w:rPr>
          <w:rFonts w:cs="Arial"/>
          <w:szCs w:val="20"/>
        </w:rPr>
        <w:t>(2004:23)</w:t>
      </w:r>
      <w:r w:rsidR="00AA0EE7" w:rsidRPr="009E7510">
        <w:rPr>
          <w:rFonts w:cs="Arial"/>
          <w:szCs w:val="20"/>
        </w:rPr>
        <w:t>.</w:t>
      </w:r>
      <w:r w:rsidR="00AA0EE7">
        <w:rPr>
          <w:rFonts w:cs="Arial"/>
          <w:szCs w:val="20"/>
        </w:rPr>
        <w:t xml:space="preserve"> In more recent years, this barrier has evolved further </w:t>
      </w:r>
      <w:r w:rsidR="00205473">
        <w:rPr>
          <w:rFonts w:cs="Arial"/>
          <w:szCs w:val="20"/>
        </w:rPr>
        <w:t>into</w:t>
      </w:r>
      <w:r w:rsidR="00AA0EE7">
        <w:rPr>
          <w:rFonts w:cs="Arial"/>
          <w:szCs w:val="20"/>
        </w:rPr>
        <w:t xml:space="preserve"> a mobility tax prompted by bracket creep pushing housing acquisition costs </w:t>
      </w:r>
      <w:r w:rsidR="00C511DC">
        <w:rPr>
          <w:rFonts w:cs="Arial"/>
          <w:szCs w:val="20"/>
        </w:rPr>
        <w:t xml:space="preserve">to </w:t>
      </w:r>
      <w:r w:rsidR="00AA0EE7">
        <w:rPr>
          <w:rFonts w:cs="Arial"/>
          <w:szCs w:val="20"/>
        </w:rPr>
        <w:t xml:space="preserve">over 5 per cent of the purchase price of property in the capital cities of Australia. </w:t>
      </w:r>
    </w:p>
    <w:p w:rsidR="00F57EC8" w:rsidRDefault="003F7392" w:rsidP="00F57EC8">
      <w:pPr>
        <w:spacing w:after="120"/>
        <w:jc w:val="both"/>
        <w:rPr>
          <w:rFonts w:cs="Arial"/>
          <w:szCs w:val="20"/>
        </w:rPr>
      </w:pPr>
      <w:r>
        <w:rPr>
          <w:rFonts w:cs="Arial"/>
          <w:szCs w:val="20"/>
        </w:rPr>
        <w:t xml:space="preserve">Before examining the relationship of transaction and recurrent taxes on property, we first review </w:t>
      </w:r>
      <w:r w:rsidR="00F443FA">
        <w:rPr>
          <w:rFonts w:cs="Arial"/>
          <w:szCs w:val="20"/>
        </w:rPr>
        <w:t xml:space="preserve">the </w:t>
      </w:r>
      <w:r>
        <w:rPr>
          <w:rFonts w:cs="Arial"/>
          <w:szCs w:val="20"/>
        </w:rPr>
        <w:t xml:space="preserve">tax </w:t>
      </w:r>
      <w:r w:rsidR="00F443FA">
        <w:rPr>
          <w:rFonts w:cs="Arial"/>
          <w:szCs w:val="20"/>
        </w:rPr>
        <w:t xml:space="preserve">mix and </w:t>
      </w:r>
      <w:r>
        <w:rPr>
          <w:rFonts w:cs="Arial"/>
          <w:szCs w:val="20"/>
        </w:rPr>
        <w:t xml:space="preserve">revenue </w:t>
      </w:r>
      <w:r w:rsidR="0053368E">
        <w:rPr>
          <w:rFonts w:cs="Arial"/>
          <w:szCs w:val="20"/>
        </w:rPr>
        <w:t xml:space="preserve">collection between </w:t>
      </w:r>
      <w:r>
        <w:rPr>
          <w:rFonts w:cs="Arial"/>
          <w:szCs w:val="20"/>
        </w:rPr>
        <w:t>the tiers of government in Australia</w:t>
      </w:r>
      <w:r w:rsidR="0053368E">
        <w:rPr>
          <w:rFonts w:cs="Arial"/>
          <w:szCs w:val="20"/>
        </w:rPr>
        <w:t>,</w:t>
      </w:r>
      <w:r>
        <w:rPr>
          <w:rFonts w:cs="Arial"/>
          <w:szCs w:val="20"/>
        </w:rPr>
        <w:t xml:space="preserve"> </w:t>
      </w:r>
      <w:r w:rsidR="0053368E">
        <w:rPr>
          <w:rFonts w:cs="Arial"/>
          <w:szCs w:val="20"/>
        </w:rPr>
        <w:t>which</w:t>
      </w:r>
      <w:r>
        <w:rPr>
          <w:rFonts w:cs="Arial"/>
          <w:szCs w:val="20"/>
        </w:rPr>
        <w:t xml:space="preserve"> has underlined the need for </w:t>
      </w:r>
      <w:r w:rsidR="00887E3C">
        <w:rPr>
          <w:rFonts w:cs="Arial"/>
          <w:szCs w:val="20"/>
        </w:rPr>
        <w:t xml:space="preserve">tax </w:t>
      </w:r>
      <w:r>
        <w:rPr>
          <w:rFonts w:cs="Arial"/>
          <w:szCs w:val="20"/>
        </w:rPr>
        <w:t>reform.</w:t>
      </w:r>
      <w:r w:rsidR="0053368E">
        <w:rPr>
          <w:rFonts w:cs="Arial"/>
          <w:szCs w:val="20"/>
        </w:rPr>
        <w:t xml:space="preserve"> Table 1 sets out the </w:t>
      </w:r>
      <w:r w:rsidR="00F443FA">
        <w:rPr>
          <w:rFonts w:cs="Arial"/>
          <w:szCs w:val="20"/>
        </w:rPr>
        <w:t xml:space="preserve">ranking of </w:t>
      </w:r>
      <w:r w:rsidR="00887E3C">
        <w:rPr>
          <w:rFonts w:cs="Arial"/>
          <w:szCs w:val="20"/>
        </w:rPr>
        <w:t xml:space="preserve">tax </w:t>
      </w:r>
      <w:r w:rsidR="00F443FA">
        <w:rPr>
          <w:rFonts w:cs="Arial"/>
          <w:szCs w:val="20"/>
        </w:rPr>
        <w:t>revenue collected from personal income</w:t>
      </w:r>
      <w:r w:rsidR="00F57EC8">
        <w:rPr>
          <w:rFonts w:cs="Arial"/>
          <w:szCs w:val="20"/>
        </w:rPr>
        <w:t xml:space="preserve">, consumption </w:t>
      </w:r>
      <w:r w:rsidR="00F443FA">
        <w:rPr>
          <w:rFonts w:cs="Arial"/>
          <w:szCs w:val="20"/>
        </w:rPr>
        <w:t xml:space="preserve">and recurrent land tax in Australia. It further </w:t>
      </w:r>
      <w:r w:rsidR="00F57EC8">
        <w:rPr>
          <w:rFonts w:cs="Arial"/>
          <w:szCs w:val="20"/>
        </w:rPr>
        <w:t>sho</w:t>
      </w:r>
      <w:r w:rsidR="00887E3C">
        <w:rPr>
          <w:rFonts w:cs="Arial"/>
          <w:szCs w:val="20"/>
        </w:rPr>
        <w:t>w</w:t>
      </w:r>
      <w:r w:rsidR="00F57EC8">
        <w:rPr>
          <w:rFonts w:cs="Arial"/>
          <w:szCs w:val="20"/>
        </w:rPr>
        <w:t>s</w:t>
      </w:r>
      <w:r w:rsidR="00F443FA">
        <w:rPr>
          <w:rFonts w:cs="Arial"/>
          <w:szCs w:val="20"/>
        </w:rPr>
        <w:t xml:space="preserve"> Australia’s overall tax effort </w:t>
      </w:r>
      <w:r w:rsidR="003D5654">
        <w:rPr>
          <w:rFonts w:cs="Arial"/>
          <w:szCs w:val="20"/>
        </w:rPr>
        <w:t>and</w:t>
      </w:r>
      <w:r w:rsidR="00F443FA">
        <w:rPr>
          <w:rFonts w:cs="Arial"/>
          <w:szCs w:val="20"/>
        </w:rPr>
        <w:t xml:space="preserve"> revenue collection among the Organisation for Economic Cooperation and Development (OECD) countries, </w:t>
      </w:r>
      <w:r w:rsidR="00887E3C">
        <w:rPr>
          <w:rFonts w:cs="Arial"/>
          <w:szCs w:val="20"/>
        </w:rPr>
        <w:t xml:space="preserve">of </w:t>
      </w:r>
      <w:r w:rsidR="00F443FA">
        <w:rPr>
          <w:rFonts w:cs="Arial"/>
          <w:szCs w:val="20"/>
        </w:rPr>
        <w:t xml:space="preserve">which </w:t>
      </w:r>
      <w:r w:rsidR="00887E3C">
        <w:rPr>
          <w:rFonts w:cs="Arial"/>
          <w:szCs w:val="20"/>
        </w:rPr>
        <w:t xml:space="preserve">Australia </w:t>
      </w:r>
      <w:r w:rsidR="00F443FA">
        <w:rPr>
          <w:rFonts w:cs="Arial"/>
          <w:szCs w:val="20"/>
        </w:rPr>
        <w:t>sits in the bottom quartile, ranked 29</w:t>
      </w:r>
      <w:r w:rsidR="009B57A7">
        <w:rPr>
          <w:rFonts w:cs="Arial"/>
          <w:szCs w:val="20"/>
          <w:vertAlign w:val="superscript"/>
        </w:rPr>
        <w:t xml:space="preserve"> </w:t>
      </w:r>
      <w:r w:rsidR="009B57A7">
        <w:rPr>
          <w:rFonts w:cs="Arial"/>
          <w:szCs w:val="20"/>
        </w:rPr>
        <w:t>of the</w:t>
      </w:r>
      <w:r w:rsidR="00F443FA">
        <w:rPr>
          <w:rFonts w:cs="Arial"/>
          <w:szCs w:val="20"/>
        </w:rPr>
        <w:t xml:space="preserve"> 34 </w:t>
      </w:r>
      <w:r w:rsidR="00F57EC8">
        <w:rPr>
          <w:rFonts w:cs="Arial"/>
          <w:szCs w:val="20"/>
        </w:rPr>
        <w:t xml:space="preserve">OECD </w:t>
      </w:r>
      <w:r w:rsidR="009B57A7">
        <w:rPr>
          <w:rFonts w:cs="Arial"/>
          <w:szCs w:val="20"/>
        </w:rPr>
        <w:t>member</w:t>
      </w:r>
      <w:r w:rsidR="00F443FA">
        <w:rPr>
          <w:rFonts w:cs="Arial"/>
          <w:szCs w:val="20"/>
        </w:rPr>
        <w:t>s</w:t>
      </w:r>
      <w:r w:rsidR="00934143">
        <w:rPr>
          <w:rFonts w:cs="Arial"/>
          <w:szCs w:val="20"/>
        </w:rPr>
        <w:t xml:space="preserve"> (OECD 2012)</w:t>
      </w:r>
      <w:r w:rsidR="00F443FA">
        <w:rPr>
          <w:rFonts w:cs="Arial"/>
          <w:szCs w:val="20"/>
        </w:rPr>
        <w:t>.</w:t>
      </w:r>
      <w:r w:rsidR="009B57A7">
        <w:rPr>
          <w:rFonts w:cs="Arial"/>
          <w:szCs w:val="20"/>
        </w:rPr>
        <w:t xml:space="preserve"> </w:t>
      </w:r>
      <w:r w:rsidR="00F57EC8">
        <w:rPr>
          <w:rFonts w:cs="Arial"/>
          <w:szCs w:val="20"/>
        </w:rPr>
        <w:t xml:space="preserve">While a </w:t>
      </w:r>
      <w:r w:rsidR="004A0DFE">
        <w:rPr>
          <w:rFonts w:cs="Arial"/>
          <w:szCs w:val="20"/>
        </w:rPr>
        <w:t xml:space="preserve">Warburton and Hendy (2006) state Australia is </w:t>
      </w:r>
      <w:r w:rsidR="00F57EC8">
        <w:rPr>
          <w:rFonts w:cs="Arial"/>
          <w:szCs w:val="20"/>
        </w:rPr>
        <w:t xml:space="preserve">relatively low taxing country, </w:t>
      </w:r>
      <w:r w:rsidR="004A0DFE">
        <w:rPr>
          <w:rFonts w:cs="Arial"/>
          <w:szCs w:val="20"/>
        </w:rPr>
        <w:t>it</w:t>
      </w:r>
      <w:r w:rsidR="00F57EC8">
        <w:rPr>
          <w:rFonts w:cs="Arial"/>
          <w:szCs w:val="20"/>
        </w:rPr>
        <w:t xml:space="preserve"> is faced with two challenges that compound the complexity of </w:t>
      </w:r>
      <w:r w:rsidR="00887E3C">
        <w:rPr>
          <w:rFonts w:cs="Arial"/>
          <w:szCs w:val="20"/>
        </w:rPr>
        <w:t xml:space="preserve">its </w:t>
      </w:r>
      <w:r w:rsidR="00F57EC8">
        <w:rPr>
          <w:rFonts w:cs="Arial"/>
          <w:szCs w:val="20"/>
        </w:rPr>
        <w:t>tax reform. The first challenge is shared with other countries</w:t>
      </w:r>
      <w:r w:rsidR="0080674F">
        <w:rPr>
          <w:rFonts w:cs="Arial"/>
          <w:szCs w:val="20"/>
        </w:rPr>
        <w:t xml:space="preserve"> being</w:t>
      </w:r>
      <w:r w:rsidR="00F57EC8">
        <w:rPr>
          <w:rFonts w:cs="Arial"/>
          <w:szCs w:val="20"/>
        </w:rPr>
        <w:t xml:space="preserve"> its ageing population. The second</w:t>
      </w:r>
      <w:r w:rsidR="00887E3C">
        <w:rPr>
          <w:rFonts w:cs="Arial"/>
          <w:szCs w:val="20"/>
        </w:rPr>
        <w:t xml:space="preserve">, which is largely unique to Australia, </w:t>
      </w:r>
      <w:r w:rsidR="00F57EC8">
        <w:rPr>
          <w:rFonts w:cs="Arial"/>
          <w:szCs w:val="20"/>
        </w:rPr>
        <w:t>is its Vertical Fiscal Imbalance (VFI).</w:t>
      </w:r>
      <w:r w:rsidR="00887E3C">
        <w:rPr>
          <w:rFonts w:cs="Arial"/>
          <w:szCs w:val="20"/>
        </w:rPr>
        <w:t xml:space="preserve"> </w:t>
      </w:r>
    </w:p>
    <w:p w:rsidR="00F57EC8" w:rsidRPr="00AE415A" w:rsidRDefault="00887E3C" w:rsidP="00F57EC8">
      <w:pPr>
        <w:spacing w:after="120"/>
        <w:jc w:val="both"/>
        <w:rPr>
          <w:rFonts w:cs="Arial"/>
          <w:szCs w:val="20"/>
        </w:rPr>
      </w:pPr>
      <w:r>
        <w:rPr>
          <w:rFonts w:cs="Arial"/>
          <w:szCs w:val="20"/>
        </w:rPr>
        <w:t xml:space="preserve">We now address each of these matters in turn, which sets the scene for reforming property taxation in Australia. </w:t>
      </w:r>
      <w:r w:rsidR="00F57EC8">
        <w:rPr>
          <w:rFonts w:cs="Arial"/>
          <w:szCs w:val="20"/>
        </w:rPr>
        <w:t>The ageing population and the decreasing labour participation rates within Australia, requires remedies which include fiscal reform (Productivity Commission 2006</w:t>
      </w:r>
      <w:proofErr w:type="gramStart"/>
      <w:r w:rsidR="00F57EC8">
        <w:rPr>
          <w:rFonts w:cs="Arial"/>
          <w:szCs w:val="20"/>
        </w:rPr>
        <w:t>:XIII</w:t>
      </w:r>
      <w:proofErr w:type="gramEnd"/>
      <w:r w:rsidR="00F57EC8">
        <w:rPr>
          <w:rFonts w:cs="Arial"/>
          <w:szCs w:val="20"/>
        </w:rPr>
        <w:t xml:space="preserve">). </w:t>
      </w:r>
      <w:r w:rsidR="00F57EC8" w:rsidRPr="00AF5264">
        <w:rPr>
          <w:rFonts w:cs="Arial"/>
          <w:szCs w:val="20"/>
        </w:rPr>
        <w:t>This has resulted in governments maintaining taxation on income steady and where possible reducing taxes on labour to retain Australians in the workforce longer and to attract labour from abroad. The need for a uniform land tax as a means of raising government revenue must be seen in the context of an ageing population in Australia</w:t>
      </w:r>
      <w:r w:rsidR="0080674F">
        <w:rPr>
          <w:rFonts w:cs="Arial"/>
          <w:szCs w:val="20"/>
        </w:rPr>
        <w:t>, particularly over the next 4</w:t>
      </w:r>
      <w:r w:rsidR="003E0AFF">
        <w:rPr>
          <w:rFonts w:cs="Arial"/>
          <w:szCs w:val="20"/>
        </w:rPr>
        <w:t>0 years</w:t>
      </w:r>
      <w:r w:rsidR="00F57EC8" w:rsidRPr="00AF5264">
        <w:rPr>
          <w:rFonts w:cs="Arial"/>
          <w:szCs w:val="20"/>
        </w:rPr>
        <w:t xml:space="preserve">. This situation is most aptly summarised in the following </w:t>
      </w:r>
      <w:r w:rsidR="003D5654">
        <w:rPr>
          <w:rFonts w:cs="Arial"/>
          <w:szCs w:val="20"/>
        </w:rPr>
        <w:t xml:space="preserve">commentary </w:t>
      </w:r>
      <w:r w:rsidR="00F57EC8" w:rsidRPr="00AF5264">
        <w:rPr>
          <w:rFonts w:cs="Arial"/>
          <w:bCs/>
          <w:szCs w:val="20"/>
        </w:rPr>
        <w:t>when discussing the problem of funding the needs of an ageing population with a reduc</w:t>
      </w:r>
      <w:r w:rsidR="003D5654">
        <w:rPr>
          <w:rFonts w:cs="Arial"/>
          <w:bCs/>
          <w:szCs w:val="20"/>
        </w:rPr>
        <w:t>ing</w:t>
      </w:r>
      <w:r w:rsidR="00F57EC8" w:rsidRPr="00AF5264">
        <w:rPr>
          <w:rFonts w:cs="Arial"/>
          <w:bCs/>
          <w:szCs w:val="20"/>
        </w:rPr>
        <w:t xml:space="preserve"> number of income taxpayers.</w:t>
      </w:r>
    </w:p>
    <w:p w:rsidR="0053368E" w:rsidRDefault="00F57EC8" w:rsidP="005C390F">
      <w:pPr>
        <w:spacing w:after="120"/>
        <w:ind w:left="567" w:right="663"/>
        <w:jc w:val="both"/>
        <w:rPr>
          <w:rFonts w:cs="Arial"/>
          <w:sz w:val="18"/>
          <w:szCs w:val="18"/>
        </w:rPr>
      </w:pPr>
      <w:r w:rsidRPr="00AE415A">
        <w:rPr>
          <w:rFonts w:cs="Arial"/>
          <w:sz w:val="18"/>
          <w:szCs w:val="18"/>
        </w:rPr>
        <w:t xml:space="preserve">The </w:t>
      </w:r>
      <w:r w:rsidRPr="00AE415A">
        <w:rPr>
          <w:rFonts w:cs="Arial"/>
          <w:i/>
          <w:sz w:val="18"/>
          <w:szCs w:val="18"/>
        </w:rPr>
        <w:t>2010 Intergenerational Report</w:t>
      </w:r>
      <w:r w:rsidRPr="00AE415A">
        <w:rPr>
          <w:rFonts w:cs="Arial"/>
          <w:sz w:val="18"/>
          <w:szCs w:val="18"/>
        </w:rPr>
        <w:t xml:space="preserve"> again brought into focus that, GDP growth per person is projected to slow to an average of 1.5 per cent per year over the next 40 years. An increasingly large population of older Australians is expected to contribute to a substantial rise in Commonwealth Government spending as well</w:t>
      </w:r>
      <w:r>
        <w:rPr>
          <w:rFonts w:cs="Arial"/>
          <w:sz w:val="18"/>
          <w:szCs w:val="18"/>
        </w:rPr>
        <w:t>, (</w:t>
      </w:r>
      <w:proofErr w:type="spellStart"/>
      <w:r w:rsidRPr="008A3712">
        <w:rPr>
          <w:rFonts w:cs="Arial"/>
          <w:sz w:val="18"/>
          <w:szCs w:val="18"/>
        </w:rPr>
        <w:t>Heferen</w:t>
      </w:r>
      <w:proofErr w:type="spellEnd"/>
      <w:r w:rsidRPr="008A3712">
        <w:rPr>
          <w:rFonts w:cs="Arial"/>
          <w:sz w:val="18"/>
          <w:szCs w:val="18"/>
        </w:rPr>
        <w:t xml:space="preserve"> 2011:1</w:t>
      </w:r>
      <w:r>
        <w:rPr>
          <w:rFonts w:cs="Arial"/>
          <w:szCs w:val="20"/>
        </w:rPr>
        <w:t>).</w:t>
      </w:r>
    </w:p>
    <w:p w:rsidR="005C390F" w:rsidRDefault="005C390F" w:rsidP="003D5654">
      <w:pPr>
        <w:jc w:val="both"/>
      </w:pPr>
      <w:r w:rsidRPr="00AF5264">
        <w:rPr>
          <w:rFonts w:cs="Arial"/>
          <w:szCs w:val="20"/>
        </w:rPr>
        <w:t xml:space="preserve">As </w:t>
      </w:r>
      <w:r w:rsidR="003D5654">
        <w:rPr>
          <w:rFonts w:cs="Arial"/>
          <w:szCs w:val="20"/>
        </w:rPr>
        <w:t xml:space="preserve">increases in </w:t>
      </w:r>
      <w:r w:rsidRPr="00AF5264">
        <w:rPr>
          <w:rFonts w:cs="Arial"/>
          <w:szCs w:val="20"/>
        </w:rPr>
        <w:t xml:space="preserve">tax revenue from income has </w:t>
      </w:r>
      <w:r w:rsidR="003D5654">
        <w:rPr>
          <w:rFonts w:cs="Arial"/>
          <w:szCs w:val="20"/>
        </w:rPr>
        <w:t>slowed</w:t>
      </w:r>
      <w:r w:rsidRPr="00AF5264">
        <w:rPr>
          <w:rFonts w:cs="Arial"/>
          <w:szCs w:val="20"/>
        </w:rPr>
        <w:t xml:space="preserve"> </w:t>
      </w:r>
      <w:r w:rsidR="0080674F">
        <w:rPr>
          <w:rFonts w:cs="Arial"/>
          <w:szCs w:val="20"/>
        </w:rPr>
        <w:t>over the past decade,</w:t>
      </w:r>
      <w:r w:rsidRPr="00AF5264">
        <w:rPr>
          <w:rFonts w:cs="Arial"/>
          <w:szCs w:val="20"/>
        </w:rPr>
        <w:t xml:space="preserve"> so has the ability for the Commonwealth to increase funding to State and local government in Australia.</w:t>
      </w:r>
      <w:r>
        <w:rPr>
          <w:rFonts w:cs="Arial"/>
          <w:szCs w:val="20"/>
        </w:rPr>
        <w:t xml:space="preserve"> This has intensified the importance for State and local government to grow </w:t>
      </w:r>
      <w:r w:rsidR="0080674F">
        <w:rPr>
          <w:rFonts w:cs="Arial"/>
          <w:szCs w:val="20"/>
        </w:rPr>
        <w:t xml:space="preserve">their </w:t>
      </w:r>
      <w:r>
        <w:rPr>
          <w:rFonts w:cs="Arial"/>
          <w:szCs w:val="20"/>
        </w:rPr>
        <w:t>own source tax revenues from property, as well as reforming less efficient taxes including conveyance stamp duty.</w:t>
      </w:r>
    </w:p>
    <w:p w:rsidR="0053368E" w:rsidRPr="0053368E" w:rsidRDefault="0053368E" w:rsidP="0053368E">
      <w:pPr>
        <w:spacing w:after="0" w:line="240" w:lineRule="auto"/>
        <w:ind w:left="720"/>
        <w:rPr>
          <w:rFonts w:cs="Arial"/>
          <w:sz w:val="18"/>
          <w:szCs w:val="18"/>
        </w:rPr>
      </w:pPr>
      <w:r w:rsidRPr="0053368E">
        <w:rPr>
          <w:rFonts w:cs="Arial"/>
          <w:b/>
          <w:sz w:val="18"/>
          <w:szCs w:val="18"/>
        </w:rPr>
        <w:t xml:space="preserve">         Table 1.</w:t>
      </w:r>
      <w:r w:rsidRPr="0053368E">
        <w:rPr>
          <w:rFonts w:cs="Arial"/>
          <w:sz w:val="18"/>
          <w:szCs w:val="18"/>
        </w:rPr>
        <w:t xml:space="preserve"> Australia’s Tax Mix as a Percentage of GDP. </w:t>
      </w:r>
    </w:p>
    <w:tbl>
      <w:tblPr>
        <w:tblStyle w:val="TableGrid"/>
        <w:tblW w:w="0" w:type="auto"/>
        <w:tblInd w:w="1139" w:type="dxa"/>
        <w:tblLook w:val="04A0" w:firstRow="1" w:lastRow="0" w:firstColumn="1" w:lastColumn="0" w:noHBand="0" w:noVBand="1"/>
      </w:tblPr>
      <w:tblGrid>
        <w:gridCol w:w="1318"/>
        <w:gridCol w:w="1205"/>
        <w:gridCol w:w="1427"/>
        <w:gridCol w:w="1467"/>
        <w:gridCol w:w="1319"/>
      </w:tblGrid>
      <w:tr w:rsidR="0053368E" w:rsidRPr="000E600F" w:rsidTr="0053368E">
        <w:tc>
          <w:tcPr>
            <w:tcW w:w="1318" w:type="dxa"/>
          </w:tcPr>
          <w:p w:rsidR="0053368E" w:rsidRPr="0053368E" w:rsidRDefault="0053368E" w:rsidP="0080674F">
            <w:pPr>
              <w:spacing w:after="0" w:line="240" w:lineRule="auto"/>
              <w:rPr>
                <w:rFonts w:cs="Arial"/>
                <w:b/>
                <w:sz w:val="18"/>
                <w:szCs w:val="18"/>
              </w:rPr>
            </w:pPr>
            <w:r w:rsidRPr="0053368E">
              <w:rPr>
                <w:rFonts w:cs="Arial"/>
                <w:b/>
                <w:sz w:val="18"/>
                <w:szCs w:val="18"/>
              </w:rPr>
              <w:t>2012</w:t>
            </w:r>
          </w:p>
        </w:tc>
        <w:tc>
          <w:tcPr>
            <w:tcW w:w="1205" w:type="dxa"/>
          </w:tcPr>
          <w:p w:rsidR="0053368E" w:rsidRPr="0053368E" w:rsidRDefault="0053368E" w:rsidP="00F443FA">
            <w:pPr>
              <w:spacing w:after="0" w:line="240" w:lineRule="auto"/>
              <w:jc w:val="both"/>
              <w:rPr>
                <w:rFonts w:cs="Arial"/>
                <w:b/>
                <w:sz w:val="18"/>
                <w:szCs w:val="18"/>
              </w:rPr>
            </w:pPr>
            <w:r w:rsidRPr="0053368E">
              <w:rPr>
                <w:rFonts w:cs="Arial"/>
                <w:b/>
                <w:sz w:val="18"/>
                <w:szCs w:val="18"/>
              </w:rPr>
              <w:t>Income tax</w:t>
            </w:r>
          </w:p>
        </w:tc>
        <w:tc>
          <w:tcPr>
            <w:tcW w:w="1427" w:type="dxa"/>
          </w:tcPr>
          <w:p w:rsidR="0053368E" w:rsidRPr="0053368E" w:rsidRDefault="0053368E" w:rsidP="00F443FA">
            <w:pPr>
              <w:spacing w:after="0" w:line="240" w:lineRule="auto"/>
              <w:jc w:val="both"/>
              <w:rPr>
                <w:rFonts w:cs="Arial"/>
                <w:b/>
                <w:sz w:val="18"/>
                <w:szCs w:val="18"/>
              </w:rPr>
            </w:pPr>
            <w:r w:rsidRPr="0053368E">
              <w:rPr>
                <w:rFonts w:cs="Arial"/>
                <w:b/>
                <w:sz w:val="18"/>
                <w:szCs w:val="18"/>
              </w:rPr>
              <w:t>GST/VAT</w:t>
            </w:r>
          </w:p>
        </w:tc>
        <w:tc>
          <w:tcPr>
            <w:tcW w:w="1467" w:type="dxa"/>
          </w:tcPr>
          <w:p w:rsidR="0053368E" w:rsidRPr="0053368E" w:rsidRDefault="0053368E" w:rsidP="00F443FA">
            <w:pPr>
              <w:spacing w:after="0" w:line="240" w:lineRule="auto"/>
              <w:jc w:val="both"/>
              <w:rPr>
                <w:rFonts w:cs="Arial"/>
                <w:b/>
                <w:sz w:val="18"/>
                <w:szCs w:val="18"/>
              </w:rPr>
            </w:pPr>
            <w:r w:rsidRPr="0053368E">
              <w:rPr>
                <w:rFonts w:cs="Arial"/>
                <w:b/>
                <w:sz w:val="18"/>
                <w:szCs w:val="18"/>
              </w:rPr>
              <w:t>Recurrent land tax</w:t>
            </w:r>
          </w:p>
        </w:tc>
        <w:tc>
          <w:tcPr>
            <w:tcW w:w="1319" w:type="dxa"/>
          </w:tcPr>
          <w:p w:rsidR="0053368E" w:rsidRPr="0053368E" w:rsidRDefault="0053368E" w:rsidP="00F443FA">
            <w:pPr>
              <w:spacing w:after="0" w:line="240" w:lineRule="auto"/>
              <w:jc w:val="both"/>
              <w:rPr>
                <w:rFonts w:cs="Arial"/>
                <w:b/>
                <w:sz w:val="18"/>
                <w:szCs w:val="18"/>
              </w:rPr>
            </w:pPr>
            <w:r w:rsidRPr="0053368E">
              <w:rPr>
                <w:rFonts w:cs="Arial"/>
                <w:b/>
                <w:sz w:val="18"/>
                <w:szCs w:val="18"/>
              </w:rPr>
              <w:t>Overall tax effort</w:t>
            </w:r>
          </w:p>
        </w:tc>
      </w:tr>
      <w:tr w:rsidR="0053368E" w:rsidRPr="000E600F" w:rsidTr="0053368E">
        <w:tc>
          <w:tcPr>
            <w:tcW w:w="1318" w:type="dxa"/>
          </w:tcPr>
          <w:p w:rsidR="0053368E" w:rsidRPr="0053368E" w:rsidRDefault="0053368E" w:rsidP="0080674F">
            <w:pPr>
              <w:spacing w:after="0" w:line="240" w:lineRule="auto"/>
              <w:rPr>
                <w:rFonts w:cs="Arial"/>
                <w:b/>
                <w:sz w:val="18"/>
                <w:szCs w:val="18"/>
              </w:rPr>
            </w:pPr>
            <w:r w:rsidRPr="0053368E">
              <w:rPr>
                <w:rFonts w:cs="Arial"/>
                <w:b/>
                <w:sz w:val="18"/>
                <w:szCs w:val="18"/>
              </w:rPr>
              <w:t>Australia</w:t>
            </w:r>
          </w:p>
        </w:tc>
        <w:tc>
          <w:tcPr>
            <w:tcW w:w="1205" w:type="dxa"/>
          </w:tcPr>
          <w:p w:rsidR="0053368E" w:rsidRPr="0053368E" w:rsidRDefault="0053368E" w:rsidP="00F443FA">
            <w:pPr>
              <w:spacing w:after="0" w:line="240" w:lineRule="auto"/>
              <w:rPr>
                <w:rFonts w:cs="Arial"/>
                <w:sz w:val="18"/>
                <w:szCs w:val="18"/>
              </w:rPr>
            </w:pPr>
            <w:r w:rsidRPr="0053368E">
              <w:rPr>
                <w:rFonts w:cs="Arial"/>
                <w:sz w:val="18"/>
                <w:szCs w:val="18"/>
              </w:rPr>
              <w:t>5</w:t>
            </w:r>
            <w:r w:rsidRPr="0053368E">
              <w:rPr>
                <w:rFonts w:cs="Arial"/>
                <w:sz w:val="18"/>
                <w:szCs w:val="18"/>
                <w:vertAlign w:val="superscript"/>
              </w:rPr>
              <w:t>th</w:t>
            </w:r>
            <w:r w:rsidRPr="0053368E">
              <w:rPr>
                <w:rFonts w:cs="Arial"/>
                <w:sz w:val="18"/>
                <w:szCs w:val="18"/>
              </w:rPr>
              <w:t xml:space="preserve"> 15.9%</w:t>
            </w:r>
          </w:p>
        </w:tc>
        <w:tc>
          <w:tcPr>
            <w:tcW w:w="1427" w:type="dxa"/>
          </w:tcPr>
          <w:p w:rsidR="0053368E" w:rsidRPr="0053368E" w:rsidRDefault="0053368E" w:rsidP="00F443FA">
            <w:pPr>
              <w:spacing w:after="0" w:line="240" w:lineRule="auto"/>
              <w:rPr>
                <w:rFonts w:cs="Arial"/>
                <w:sz w:val="18"/>
                <w:szCs w:val="18"/>
              </w:rPr>
            </w:pPr>
            <w:r w:rsidRPr="0053368E">
              <w:rPr>
                <w:rFonts w:cs="Arial"/>
                <w:sz w:val="18"/>
                <w:szCs w:val="18"/>
              </w:rPr>
              <w:t>29</w:t>
            </w:r>
            <w:r w:rsidRPr="0053368E">
              <w:rPr>
                <w:rFonts w:cs="Arial"/>
                <w:sz w:val="18"/>
                <w:szCs w:val="18"/>
                <w:vertAlign w:val="superscript"/>
              </w:rPr>
              <w:t>th</w:t>
            </w:r>
            <w:r w:rsidRPr="0053368E">
              <w:rPr>
                <w:rFonts w:cs="Arial"/>
                <w:sz w:val="18"/>
                <w:szCs w:val="18"/>
              </w:rPr>
              <w:t xml:space="preserve"> 7.7%</w:t>
            </w:r>
          </w:p>
        </w:tc>
        <w:tc>
          <w:tcPr>
            <w:tcW w:w="1467" w:type="dxa"/>
          </w:tcPr>
          <w:p w:rsidR="0053368E" w:rsidRPr="0053368E" w:rsidRDefault="0053368E" w:rsidP="00F443FA">
            <w:pPr>
              <w:spacing w:after="0" w:line="240" w:lineRule="auto"/>
              <w:rPr>
                <w:rFonts w:cs="Arial"/>
                <w:sz w:val="18"/>
                <w:szCs w:val="18"/>
              </w:rPr>
            </w:pPr>
            <w:r w:rsidRPr="0053368E">
              <w:rPr>
                <w:rFonts w:cs="Arial"/>
                <w:sz w:val="18"/>
                <w:szCs w:val="18"/>
              </w:rPr>
              <w:t>9</w:t>
            </w:r>
            <w:r w:rsidRPr="0053368E">
              <w:rPr>
                <w:rFonts w:cs="Arial"/>
                <w:sz w:val="18"/>
                <w:szCs w:val="18"/>
                <w:vertAlign w:val="superscript"/>
              </w:rPr>
              <w:t>th</w:t>
            </w:r>
            <w:r w:rsidRPr="0053368E">
              <w:rPr>
                <w:rFonts w:cs="Arial"/>
                <w:sz w:val="18"/>
                <w:szCs w:val="18"/>
              </w:rPr>
              <w:t xml:space="preserve"> 1.4%</w:t>
            </w:r>
          </w:p>
        </w:tc>
        <w:tc>
          <w:tcPr>
            <w:tcW w:w="1319" w:type="dxa"/>
          </w:tcPr>
          <w:p w:rsidR="0053368E" w:rsidRPr="0053368E" w:rsidRDefault="0053368E" w:rsidP="00F443FA">
            <w:pPr>
              <w:spacing w:after="0" w:line="240" w:lineRule="auto"/>
              <w:rPr>
                <w:rFonts w:cs="Arial"/>
                <w:sz w:val="18"/>
                <w:szCs w:val="18"/>
              </w:rPr>
            </w:pPr>
            <w:r w:rsidRPr="0053368E">
              <w:rPr>
                <w:rFonts w:cs="Arial"/>
                <w:sz w:val="18"/>
                <w:szCs w:val="18"/>
              </w:rPr>
              <w:t>29</w:t>
            </w:r>
            <w:r w:rsidRPr="0053368E">
              <w:rPr>
                <w:rFonts w:cs="Arial"/>
                <w:sz w:val="18"/>
                <w:szCs w:val="18"/>
                <w:vertAlign w:val="superscript"/>
              </w:rPr>
              <w:t>th</w:t>
            </w:r>
            <w:r w:rsidRPr="0053368E">
              <w:rPr>
                <w:rFonts w:cs="Arial"/>
                <w:sz w:val="18"/>
                <w:szCs w:val="18"/>
              </w:rPr>
              <w:t xml:space="preserve"> 27.3%</w:t>
            </w:r>
          </w:p>
        </w:tc>
      </w:tr>
      <w:tr w:rsidR="0053368E" w:rsidRPr="000E600F" w:rsidTr="0053368E">
        <w:tc>
          <w:tcPr>
            <w:tcW w:w="1318" w:type="dxa"/>
          </w:tcPr>
          <w:p w:rsidR="0053368E" w:rsidRPr="0053368E" w:rsidRDefault="00F443FA" w:rsidP="0080674F">
            <w:pPr>
              <w:spacing w:after="0" w:line="240" w:lineRule="auto"/>
              <w:rPr>
                <w:rFonts w:cs="Arial"/>
                <w:b/>
                <w:sz w:val="18"/>
                <w:szCs w:val="18"/>
              </w:rPr>
            </w:pPr>
            <w:r>
              <w:rPr>
                <w:rFonts w:cs="Arial"/>
                <w:b/>
                <w:sz w:val="18"/>
                <w:szCs w:val="18"/>
              </w:rPr>
              <w:t>OECD Ave</w:t>
            </w:r>
          </w:p>
        </w:tc>
        <w:tc>
          <w:tcPr>
            <w:tcW w:w="1205" w:type="dxa"/>
          </w:tcPr>
          <w:p w:rsidR="0053368E" w:rsidRPr="0053368E" w:rsidRDefault="0053368E" w:rsidP="00F443FA">
            <w:pPr>
              <w:spacing w:after="0" w:line="240" w:lineRule="auto"/>
              <w:rPr>
                <w:rFonts w:cs="Arial"/>
                <w:sz w:val="18"/>
                <w:szCs w:val="18"/>
              </w:rPr>
            </w:pPr>
            <w:r w:rsidRPr="0053368E">
              <w:rPr>
                <w:rFonts w:cs="Arial"/>
                <w:sz w:val="18"/>
                <w:szCs w:val="18"/>
              </w:rPr>
              <w:t>11.4%</w:t>
            </w:r>
          </w:p>
        </w:tc>
        <w:tc>
          <w:tcPr>
            <w:tcW w:w="1427" w:type="dxa"/>
          </w:tcPr>
          <w:p w:rsidR="0053368E" w:rsidRPr="0053368E" w:rsidRDefault="0053368E" w:rsidP="00F443FA">
            <w:pPr>
              <w:spacing w:after="0" w:line="240" w:lineRule="auto"/>
              <w:rPr>
                <w:rFonts w:cs="Arial"/>
                <w:sz w:val="18"/>
                <w:szCs w:val="18"/>
              </w:rPr>
            </w:pPr>
            <w:r w:rsidRPr="0053368E">
              <w:rPr>
                <w:rFonts w:cs="Arial"/>
                <w:sz w:val="18"/>
                <w:szCs w:val="18"/>
              </w:rPr>
              <w:t>10.8%</w:t>
            </w:r>
          </w:p>
        </w:tc>
        <w:tc>
          <w:tcPr>
            <w:tcW w:w="1467" w:type="dxa"/>
          </w:tcPr>
          <w:p w:rsidR="0053368E" w:rsidRPr="0053368E" w:rsidRDefault="0053368E" w:rsidP="00F443FA">
            <w:pPr>
              <w:spacing w:after="0" w:line="240" w:lineRule="auto"/>
              <w:rPr>
                <w:rFonts w:cs="Arial"/>
                <w:sz w:val="18"/>
                <w:szCs w:val="18"/>
              </w:rPr>
            </w:pPr>
            <w:r w:rsidRPr="0053368E">
              <w:rPr>
                <w:rFonts w:cs="Arial"/>
                <w:sz w:val="18"/>
                <w:szCs w:val="18"/>
              </w:rPr>
              <w:t>1.0%</w:t>
            </w:r>
          </w:p>
        </w:tc>
        <w:tc>
          <w:tcPr>
            <w:tcW w:w="1319" w:type="dxa"/>
          </w:tcPr>
          <w:p w:rsidR="0053368E" w:rsidRPr="0053368E" w:rsidRDefault="0053368E" w:rsidP="00F443FA">
            <w:pPr>
              <w:spacing w:after="0" w:line="240" w:lineRule="auto"/>
              <w:rPr>
                <w:rFonts w:cs="Arial"/>
                <w:sz w:val="18"/>
                <w:szCs w:val="18"/>
              </w:rPr>
            </w:pPr>
            <w:r w:rsidRPr="0053368E">
              <w:rPr>
                <w:rFonts w:cs="Arial"/>
                <w:sz w:val="18"/>
                <w:szCs w:val="18"/>
              </w:rPr>
              <w:t>33.7%</w:t>
            </w:r>
          </w:p>
        </w:tc>
      </w:tr>
    </w:tbl>
    <w:p w:rsidR="0053368E" w:rsidRDefault="0053368E" w:rsidP="0053368E">
      <w:pPr>
        <w:spacing w:after="0" w:line="240" w:lineRule="auto"/>
        <w:rPr>
          <w:sz w:val="16"/>
          <w:szCs w:val="16"/>
        </w:rPr>
      </w:pPr>
      <w:r>
        <w:rPr>
          <w:sz w:val="16"/>
          <w:szCs w:val="16"/>
        </w:rPr>
        <w:t xml:space="preserve">                          </w:t>
      </w:r>
      <w:r w:rsidRPr="0053368E">
        <w:rPr>
          <w:b/>
          <w:sz w:val="18"/>
          <w:szCs w:val="18"/>
        </w:rPr>
        <w:t>Source</w:t>
      </w:r>
      <w:r w:rsidRPr="0093091A">
        <w:rPr>
          <w:sz w:val="16"/>
          <w:szCs w:val="16"/>
        </w:rPr>
        <w:t>: OECD Tax statistics 2012.</w:t>
      </w:r>
    </w:p>
    <w:p w:rsidR="003F7392" w:rsidRDefault="003F7392" w:rsidP="00AA0EE7">
      <w:pPr>
        <w:jc w:val="both"/>
        <w:rPr>
          <w:rFonts w:cs="Arial"/>
          <w:szCs w:val="20"/>
        </w:rPr>
      </w:pPr>
      <w:r>
        <w:rPr>
          <w:rFonts w:cs="Arial"/>
          <w:szCs w:val="20"/>
        </w:rPr>
        <w:lastRenderedPageBreak/>
        <w:t xml:space="preserve"> </w:t>
      </w:r>
    </w:p>
    <w:p w:rsidR="00F57EC8" w:rsidRDefault="00887E3C" w:rsidP="00AA0EE7">
      <w:pPr>
        <w:jc w:val="both"/>
        <w:rPr>
          <w:rFonts w:cs="Arial"/>
          <w:szCs w:val="20"/>
        </w:rPr>
      </w:pPr>
      <w:r w:rsidRPr="003E0AFF">
        <w:rPr>
          <w:rFonts w:cs="Arial"/>
          <w:szCs w:val="20"/>
        </w:rPr>
        <w:t xml:space="preserve">The second issue for Australia is VFI, </w:t>
      </w:r>
      <w:r w:rsidR="003E0AFF" w:rsidRPr="003E0AFF">
        <w:rPr>
          <w:rFonts w:cs="Arial"/>
          <w:szCs w:val="20"/>
        </w:rPr>
        <w:t>under Australia’s highly centralised tax system the states have the highest vertical fiscal imbalance</w:t>
      </w:r>
      <w:r w:rsidR="003D5654">
        <w:rPr>
          <w:rFonts w:cs="Arial"/>
          <w:szCs w:val="20"/>
        </w:rPr>
        <w:t>.</w:t>
      </w:r>
      <w:r w:rsidR="003E0AFF" w:rsidRPr="003E0AFF">
        <w:rPr>
          <w:rFonts w:cs="Arial"/>
          <w:szCs w:val="20"/>
        </w:rPr>
        <w:t xml:space="preserve"> </w:t>
      </w:r>
      <w:r w:rsidR="003E0AFF">
        <w:rPr>
          <w:rFonts w:cs="Arial"/>
          <w:szCs w:val="20"/>
        </w:rPr>
        <w:t xml:space="preserve">Table 2 sets out the extent of VFI in Australia, which has the second most centralised tax system in the OECD, </w:t>
      </w:r>
      <w:r w:rsidR="003D5654">
        <w:rPr>
          <w:rFonts w:cs="Arial"/>
          <w:szCs w:val="20"/>
        </w:rPr>
        <w:t xml:space="preserve">with close to 82 per cent </w:t>
      </w:r>
      <w:r w:rsidR="00F25D94">
        <w:rPr>
          <w:rFonts w:cs="Arial"/>
          <w:szCs w:val="20"/>
        </w:rPr>
        <w:t xml:space="preserve">of tax revenue </w:t>
      </w:r>
      <w:r w:rsidR="003D5654">
        <w:rPr>
          <w:rFonts w:cs="Arial"/>
          <w:szCs w:val="20"/>
        </w:rPr>
        <w:t xml:space="preserve">collected by the Commonwealth, being </w:t>
      </w:r>
      <w:r w:rsidR="003E0AFF">
        <w:rPr>
          <w:rFonts w:cs="Arial"/>
          <w:szCs w:val="20"/>
        </w:rPr>
        <w:t>only marginally second to Mexico</w:t>
      </w:r>
      <w:r w:rsidR="008C28F1">
        <w:rPr>
          <w:rFonts w:cs="Arial"/>
          <w:szCs w:val="20"/>
        </w:rPr>
        <w:t>, with the OECD average at 54.5 per cent (OECD 2012)</w:t>
      </w:r>
      <w:r w:rsidR="003E0AFF">
        <w:rPr>
          <w:rFonts w:cs="Arial"/>
          <w:szCs w:val="20"/>
        </w:rPr>
        <w:t xml:space="preserve">. </w:t>
      </w:r>
      <w:r w:rsidR="005C390F">
        <w:rPr>
          <w:rFonts w:cs="Arial"/>
          <w:szCs w:val="20"/>
        </w:rPr>
        <w:t xml:space="preserve">The Commonwealth of </w:t>
      </w:r>
      <w:r w:rsidR="003E0AFF">
        <w:rPr>
          <w:rFonts w:cs="Arial"/>
          <w:szCs w:val="20"/>
        </w:rPr>
        <w:t xml:space="preserve">Australia sought to </w:t>
      </w:r>
      <w:r w:rsidR="005C390F">
        <w:rPr>
          <w:rFonts w:cs="Arial"/>
          <w:szCs w:val="20"/>
        </w:rPr>
        <w:t xml:space="preserve">commence </w:t>
      </w:r>
      <w:r w:rsidR="003E0AFF">
        <w:rPr>
          <w:rFonts w:cs="Arial"/>
          <w:szCs w:val="20"/>
        </w:rPr>
        <w:t>remedy</w:t>
      </w:r>
      <w:r w:rsidR="005C390F">
        <w:rPr>
          <w:rFonts w:cs="Arial"/>
          <w:szCs w:val="20"/>
        </w:rPr>
        <w:t>ing VFI</w:t>
      </w:r>
      <w:r w:rsidR="003E0AFF">
        <w:rPr>
          <w:rFonts w:cs="Arial"/>
          <w:szCs w:val="20"/>
        </w:rPr>
        <w:t xml:space="preserve"> during 2016 </w:t>
      </w:r>
      <w:r w:rsidR="005C390F">
        <w:rPr>
          <w:rFonts w:cs="Arial"/>
          <w:szCs w:val="20"/>
        </w:rPr>
        <w:t xml:space="preserve">by allowing the States to collect a percentage of income tax </w:t>
      </w:r>
      <w:r w:rsidR="003D5654">
        <w:rPr>
          <w:rFonts w:cs="Arial"/>
          <w:szCs w:val="20"/>
        </w:rPr>
        <w:t>(</w:t>
      </w:r>
      <w:proofErr w:type="spellStart"/>
      <w:r w:rsidR="003D5654">
        <w:rPr>
          <w:rFonts w:cs="Arial"/>
          <w:szCs w:val="20"/>
        </w:rPr>
        <w:t>Coorey</w:t>
      </w:r>
      <w:proofErr w:type="spellEnd"/>
      <w:r w:rsidR="003D5654">
        <w:rPr>
          <w:rFonts w:cs="Arial"/>
          <w:szCs w:val="20"/>
        </w:rPr>
        <w:t xml:space="preserve"> 2016)</w:t>
      </w:r>
      <w:r w:rsidR="005C390F">
        <w:rPr>
          <w:rFonts w:cs="Arial"/>
          <w:szCs w:val="20"/>
        </w:rPr>
        <w:t>. The revenue collected by the states would correspondingly reduce the amount of grant revenue the Commonwealth would make to the States. In essence, Australia would revert back to its income tax collection arrangement it had in place with the states between 1901 and 1942.</w:t>
      </w:r>
      <w:r w:rsidR="003E0AFF">
        <w:rPr>
          <w:rFonts w:cs="Arial"/>
          <w:szCs w:val="20"/>
        </w:rPr>
        <w:t xml:space="preserve"> </w:t>
      </w:r>
    </w:p>
    <w:p w:rsidR="005C390F" w:rsidRPr="003E0AFF" w:rsidRDefault="005C390F" w:rsidP="00AA0EE7">
      <w:pPr>
        <w:jc w:val="both"/>
        <w:rPr>
          <w:rFonts w:cs="Arial"/>
          <w:szCs w:val="20"/>
        </w:rPr>
      </w:pPr>
      <w:r w:rsidRPr="004A0DFE">
        <w:t>In 1942, Mangioni (2016) highlights the rationale for the Commonwealth takin</w:t>
      </w:r>
      <w:r w:rsidR="008C28F1" w:rsidRPr="004A0DFE">
        <w:t>g</w:t>
      </w:r>
      <w:r w:rsidRPr="004A0DFE">
        <w:t xml:space="preserve"> control of income taxes in order to fund the war effort, </w:t>
      </w:r>
      <w:r w:rsidR="008C28F1" w:rsidRPr="004A0DFE">
        <w:t xml:space="preserve">in which </w:t>
      </w:r>
      <w:r w:rsidRPr="004A0DFE">
        <w:t xml:space="preserve">the federal government became the sole collector of income tax. It did this by passing laws which raised the federal tax rate and gave some of the proceeds back to the states on the condition they drop their income tax. States receive this money in the form of funding grants. Warren (2004) </w:t>
      </w:r>
      <w:r w:rsidR="008C28F1" w:rsidRPr="004A0DFE">
        <w:t>explains</w:t>
      </w:r>
      <w:r w:rsidRPr="004A0DFE">
        <w:t xml:space="preserve"> that technically</w:t>
      </w:r>
      <w:r w:rsidR="008C28F1" w:rsidRPr="004A0DFE">
        <w:t>,</w:t>
      </w:r>
      <w:r w:rsidRPr="004A0DFE">
        <w:t xml:space="preserve"> a state could still collect its own income tax </w:t>
      </w:r>
      <w:r w:rsidR="002157EB" w:rsidRPr="004A0DFE">
        <w:t xml:space="preserve">from 1942, </w:t>
      </w:r>
      <w:r w:rsidRPr="004A0DFE">
        <w:t>but this would mean its people would be taxed twice and the state would forfeit its funding grants</w:t>
      </w:r>
      <w:r w:rsidR="00F25D94" w:rsidRPr="004A0DFE">
        <w:t xml:space="preserve"> from the Commonwealth</w:t>
      </w:r>
      <w:r w:rsidRPr="004A0DFE">
        <w:t>.</w:t>
      </w:r>
      <w:r w:rsidR="002157EB" w:rsidRPr="004A0DFE">
        <w:t xml:space="preserve"> While faced with significant VFI</w:t>
      </w:r>
      <w:r w:rsidR="006F3D87" w:rsidRPr="004A0DFE">
        <w:t xml:space="preserve"> and the opportunity to re-enter collection of income tax revenue, </w:t>
      </w:r>
      <w:proofErr w:type="spellStart"/>
      <w:r w:rsidR="006F3D87" w:rsidRPr="004A0DFE">
        <w:t>Coorey</w:t>
      </w:r>
      <w:proofErr w:type="spellEnd"/>
      <w:r w:rsidR="006F3D87" w:rsidRPr="004A0DFE">
        <w:t xml:space="preserve"> (2016) defines the reluctance of</w:t>
      </w:r>
      <w:r w:rsidR="002157EB" w:rsidRPr="004A0DFE">
        <w:t xml:space="preserve"> the States </w:t>
      </w:r>
      <w:r w:rsidR="006F3D87" w:rsidRPr="004A0DFE">
        <w:t>to recommence a shared income tax impost with the Commonwealth</w:t>
      </w:r>
      <w:r w:rsidR="008C28F1" w:rsidRPr="004A0DFE">
        <w:t xml:space="preserve"> as proposed by the Commonwealth during 2016</w:t>
      </w:r>
      <w:r w:rsidR="006F3D87" w:rsidRPr="004A0DFE">
        <w:t>.</w:t>
      </w:r>
    </w:p>
    <w:p w:rsidR="0053368E" w:rsidRPr="0053368E" w:rsidRDefault="0053368E" w:rsidP="0053368E">
      <w:pPr>
        <w:spacing w:after="0" w:line="240" w:lineRule="auto"/>
        <w:ind w:firstLine="720"/>
        <w:rPr>
          <w:b/>
          <w:sz w:val="18"/>
          <w:szCs w:val="18"/>
        </w:rPr>
      </w:pPr>
      <w:r w:rsidRPr="0053368E">
        <w:rPr>
          <w:b/>
          <w:sz w:val="18"/>
          <w:szCs w:val="18"/>
        </w:rPr>
        <w:t xml:space="preserve">Table </w:t>
      </w:r>
      <w:r>
        <w:rPr>
          <w:b/>
          <w:sz w:val="18"/>
          <w:szCs w:val="18"/>
        </w:rPr>
        <w:t>2</w:t>
      </w:r>
      <w:r w:rsidRPr="0053368E">
        <w:rPr>
          <w:b/>
          <w:sz w:val="18"/>
          <w:szCs w:val="18"/>
        </w:rPr>
        <w:t>: Taxes raised and spent by level of government</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1560"/>
        <w:gridCol w:w="1134"/>
        <w:gridCol w:w="1275"/>
      </w:tblGrid>
      <w:tr w:rsidR="0053368E" w:rsidRPr="00D4210B" w:rsidTr="0053368E">
        <w:tc>
          <w:tcPr>
            <w:tcW w:w="3827" w:type="dxa"/>
          </w:tcPr>
          <w:p w:rsidR="0053368E" w:rsidRPr="0053368E" w:rsidRDefault="0053368E" w:rsidP="0053368E">
            <w:pPr>
              <w:spacing w:line="240" w:lineRule="auto"/>
              <w:rPr>
                <w:sz w:val="18"/>
                <w:szCs w:val="18"/>
              </w:rPr>
            </w:pPr>
          </w:p>
        </w:tc>
        <w:tc>
          <w:tcPr>
            <w:tcW w:w="1560" w:type="dxa"/>
          </w:tcPr>
          <w:p w:rsidR="0053368E" w:rsidRPr="0053368E" w:rsidRDefault="0053368E" w:rsidP="0053368E">
            <w:pPr>
              <w:spacing w:line="240" w:lineRule="auto"/>
              <w:jc w:val="center"/>
              <w:rPr>
                <w:b/>
                <w:sz w:val="18"/>
                <w:szCs w:val="18"/>
              </w:rPr>
            </w:pPr>
            <w:r w:rsidRPr="0053368E">
              <w:rPr>
                <w:b/>
                <w:sz w:val="18"/>
                <w:szCs w:val="18"/>
              </w:rPr>
              <w:t>Commonwealth</w:t>
            </w:r>
          </w:p>
        </w:tc>
        <w:tc>
          <w:tcPr>
            <w:tcW w:w="1134" w:type="dxa"/>
          </w:tcPr>
          <w:p w:rsidR="0053368E" w:rsidRPr="0053368E" w:rsidRDefault="0053368E" w:rsidP="0053368E">
            <w:pPr>
              <w:spacing w:line="240" w:lineRule="auto"/>
              <w:jc w:val="center"/>
              <w:rPr>
                <w:b/>
                <w:sz w:val="18"/>
                <w:szCs w:val="18"/>
              </w:rPr>
            </w:pPr>
            <w:r w:rsidRPr="0053368E">
              <w:rPr>
                <w:b/>
                <w:sz w:val="18"/>
                <w:szCs w:val="18"/>
              </w:rPr>
              <w:t>State</w:t>
            </w:r>
          </w:p>
        </w:tc>
        <w:tc>
          <w:tcPr>
            <w:tcW w:w="1275" w:type="dxa"/>
          </w:tcPr>
          <w:p w:rsidR="0053368E" w:rsidRPr="0053368E" w:rsidRDefault="0053368E" w:rsidP="0053368E">
            <w:pPr>
              <w:spacing w:line="240" w:lineRule="auto"/>
              <w:jc w:val="center"/>
              <w:rPr>
                <w:b/>
                <w:sz w:val="18"/>
                <w:szCs w:val="18"/>
              </w:rPr>
            </w:pPr>
            <w:r w:rsidRPr="0053368E">
              <w:rPr>
                <w:b/>
                <w:sz w:val="18"/>
                <w:szCs w:val="18"/>
              </w:rPr>
              <w:t>Local</w:t>
            </w:r>
          </w:p>
        </w:tc>
      </w:tr>
      <w:tr w:rsidR="0053368E" w:rsidRPr="00D4210B" w:rsidTr="0053368E">
        <w:tc>
          <w:tcPr>
            <w:tcW w:w="3827" w:type="dxa"/>
          </w:tcPr>
          <w:p w:rsidR="0053368E" w:rsidRPr="0053368E" w:rsidRDefault="0053368E" w:rsidP="0053368E">
            <w:pPr>
              <w:spacing w:after="120" w:line="240" w:lineRule="auto"/>
              <w:rPr>
                <w:sz w:val="18"/>
                <w:szCs w:val="18"/>
              </w:rPr>
            </w:pPr>
            <w:r w:rsidRPr="0053368E">
              <w:rPr>
                <w:sz w:val="18"/>
                <w:szCs w:val="18"/>
              </w:rPr>
              <w:t>Total taxation raised (A)</w:t>
            </w:r>
          </w:p>
        </w:tc>
        <w:tc>
          <w:tcPr>
            <w:tcW w:w="1560" w:type="dxa"/>
          </w:tcPr>
          <w:p w:rsidR="0053368E" w:rsidRPr="0053368E" w:rsidRDefault="0053368E" w:rsidP="0053368E">
            <w:pPr>
              <w:spacing w:after="120" w:line="240" w:lineRule="auto"/>
              <w:jc w:val="center"/>
              <w:rPr>
                <w:sz w:val="18"/>
                <w:szCs w:val="18"/>
              </w:rPr>
            </w:pPr>
            <w:r w:rsidRPr="0053368E">
              <w:rPr>
                <w:sz w:val="18"/>
                <w:szCs w:val="18"/>
              </w:rPr>
              <w:t>81.7%</w:t>
            </w:r>
          </w:p>
        </w:tc>
        <w:tc>
          <w:tcPr>
            <w:tcW w:w="1134" w:type="dxa"/>
          </w:tcPr>
          <w:p w:rsidR="0053368E" w:rsidRPr="0053368E" w:rsidRDefault="0053368E" w:rsidP="0053368E">
            <w:pPr>
              <w:spacing w:after="120" w:line="240" w:lineRule="auto"/>
              <w:jc w:val="center"/>
              <w:rPr>
                <w:sz w:val="18"/>
                <w:szCs w:val="18"/>
              </w:rPr>
            </w:pPr>
            <w:r w:rsidRPr="0053368E">
              <w:rPr>
                <w:sz w:val="18"/>
                <w:szCs w:val="18"/>
              </w:rPr>
              <w:t>15.3%</w:t>
            </w:r>
          </w:p>
        </w:tc>
        <w:tc>
          <w:tcPr>
            <w:tcW w:w="1275" w:type="dxa"/>
          </w:tcPr>
          <w:p w:rsidR="0053368E" w:rsidRPr="0053368E" w:rsidRDefault="0053368E" w:rsidP="0053368E">
            <w:pPr>
              <w:spacing w:after="120" w:line="240" w:lineRule="auto"/>
              <w:jc w:val="center"/>
              <w:rPr>
                <w:sz w:val="18"/>
                <w:szCs w:val="18"/>
              </w:rPr>
            </w:pPr>
            <w:r w:rsidRPr="0053368E">
              <w:rPr>
                <w:sz w:val="18"/>
                <w:szCs w:val="18"/>
              </w:rPr>
              <w:t>3.0%</w:t>
            </w:r>
          </w:p>
        </w:tc>
      </w:tr>
      <w:tr w:rsidR="0053368E" w:rsidRPr="00D4210B" w:rsidTr="0053368E">
        <w:tc>
          <w:tcPr>
            <w:tcW w:w="3827" w:type="dxa"/>
          </w:tcPr>
          <w:p w:rsidR="0053368E" w:rsidRPr="0053368E" w:rsidRDefault="0053368E" w:rsidP="0053368E">
            <w:pPr>
              <w:spacing w:after="120" w:line="240" w:lineRule="auto"/>
              <w:rPr>
                <w:sz w:val="18"/>
                <w:szCs w:val="18"/>
              </w:rPr>
            </w:pPr>
            <w:r w:rsidRPr="0053368E">
              <w:rPr>
                <w:sz w:val="18"/>
                <w:szCs w:val="18"/>
              </w:rPr>
              <w:t>Total tax-funded own-purpose expenses (B)</w:t>
            </w:r>
          </w:p>
        </w:tc>
        <w:tc>
          <w:tcPr>
            <w:tcW w:w="1560" w:type="dxa"/>
          </w:tcPr>
          <w:p w:rsidR="0053368E" w:rsidRPr="0053368E" w:rsidRDefault="0053368E" w:rsidP="0053368E">
            <w:pPr>
              <w:spacing w:after="120" w:line="240" w:lineRule="auto"/>
              <w:jc w:val="center"/>
              <w:rPr>
                <w:sz w:val="18"/>
                <w:szCs w:val="18"/>
              </w:rPr>
            </w:pPr>
            <w:r w:rsidRPr="0053368E">
              <w:rPr>
                <w:sz w:val="18"/>
                <w:szCs w:val="18"/>
              </w:rPr>
              <w:t>40.3%</w:t>
            </w:r>
          </w:p>
        </w:tc>
        <w:tc>
          <w:tcPr>
            <w:tcW w:w="1134" w:type="dxa"/>
          </w:tcPr>
          <w:p w:rsidR="0053368E" w:rsidRPr="0053368E" w:rsidRDefault="0053368E" w:rsidP="0053368E">
            <w:pPr>
              <w:spacing w:after="120" w:line="240" w:lineRule="auto"/>
              <w:jc w:val="center"/>
              <w:rPr>
                <w:sz w:val="18"/>
                <w:szCs w:val="18"/>
              </w:rPr>
            </w:pPr>
            <w:r w:rsidRPr="0053368E">
              <w:rPr>
                <w:sz w:val="18"/>
                <w:szCs w:val="18"/>
              </w:rPr>
              <w:t>55.2%</w:t>
            </w:r>
          </w:p>
        </w:tc>
        <w:tc>
          <w:tcPr>
            <w:tcW w:w="1275" w:type="dxa"/>
          </w:tcPr>
          <w:p w:rsidR="0053368E" w:rsidRPr="0053368E" w:rsidRDefault="0053368E" w:rsidP="0053368E">
            <w:pPr>
              <w:spacing w:after="120" w:line="240" w:lineRule="auto"/>
              <w:jc w:val="center"/>
              <w:rPr>
                <w:sz w:val="18"/>
                <w:szCs w:val="18"/>
              </w:rPr>
            </w:pPr>
            <w:r w:rsidRPr="0053368E">
              <w:rPr>
                <w:sz w:val="18"/>
                <w:szCs w:val="18"/>
              </w:rPr>
              <w:t>4.5%</w:t>
            </w:r>
          </w:p>
        </w:tc>
      </w:tr>
      <w:tr w:rsidR="0053368E" w:rsidRPr="00D4210B" w:rsidTr="0053368E">
        <w:tc>
          <w:tcPr>
            <w:tcW w:w="3827" w:type="dxa"/>
          </w:tcPr>
          <w:p w:rsidR="0053368E" w:rsidRPr="0053368E" w:rsidRDefault="0053368E" w:rsidP="0053368E">
            <w:pPr>
              <w:spacing w:after="120" w:line="240" w:lineRule="auto"/>
              <w:rPr>
                <w:sz w:val="18"/>
                <w:szCs w:val="18"/>
              </w:rPr>
            </w:pPr>
            <w:r w:rsidRPr="0053368E">
              <w:rPr>
                <w:sz w:val="18"/>
                <w:szCs w:val="18"/>
              </w:rPr>
              <w:t>Degree of VFI (=A/B)</w:t>
            </w:r>
          </w:p>
        </w:tc>
        <w:tc>
          <w:tcPr>
            <w:tcW w:w="1560" w:type="dxa"/>
          </w:tcPr>
          <w:p w:rsidR="0053368E" w:rsidRPr="0053368E" w:rsidRDefault="0053368E" w:rsidP="0053368E">
            <w:pPr>
              <w:spacing w:after="120" w:line="240" w:lineRule="auto"/>
              <w:jc w:val="center"/>
              <w:rPr>
                <w:sz w:val="18"/>
                <w:szCs w:val="18"/>
              </w:rPr>
            </w:pPr>
            <w:r w:rsidRPr="0053368E">
              <w:rPr>
                <w:sz w:val="18"/>
                <w:szCs w:val="18"/>
              </w:rPr>
              <w:t>2.03</w:t>
            </w:r>
          </w:p>
        </w:tc>
        <w:tc>
          <w:tcPr>
            <w:tcW w:w="1134" w:type="dxa"/>
          </w:tcPr>
          <w:p w:rsidR="0053368E" w:rsidRPr="0053368E" w:rsidRDefault="0053368E" w:rsidP="0053368E">
            <w:pPr>
              <w:spacing w:after="120" w:line="240" w:lineRule="auto"/>
              <w:jc w:val="center"/>
              <w:rPr>
                <w:sz w:val="18"/>
                <w:szCs w:val="18"/>
              </w:rPr>
            </w:pPr>
            <w:r w:rsidRPr="0053368E">
              <w:rPr>
                <w:sz w:val="18"/>
                <w:szCs w:val="18"/>
              </w:rPr>
              <w:t>0.27</w:t>
            </w:r>
          </w:p>
        </w:tc>
        <w:tc>
          <w:tcPr>
            <w:tcW w:w="1275" w:type="dxa"/>
          </w:tcPr>
          <w:p w:rsidR="0053368E" w:rsidRPr="0053368E" w:rsidRDefault="0053368E" w:rsidP="0053368E">
            <w:pPr>
              <w:spacing w:after="120" w:line="240" w:lineRule="auto"/>
              <w:jc w:val="center"/>
              <w:rPr>
                <w:sz w:val="18"/>
                <w:szCs w:val="18"/>
              </w:rPr>
            </w:pPr>
            <w:r w:rsidRPr="0053368E">
              <w:rPr>
                <w:sz w:val="18"/>
                <w:szCs w:val="18"/>
              </w:rPr>
              <w:t>0.71</w:t>
            </w:r>
          </w:p>
        </w:tc>
      </w:tr>
    </w:tbl>
    <w:p w:rsidR="00A94E6C" w:rsidRPr="00A94E6C" w:rsidRDefault="0053368E" w:rsidP="00A94E6C">
      <w:pPr>
        <w:spacing w:after="0" w:line="240" w:lineRule="auto"/>
        <w:ind w:firstLine="720"/>
        <w:rPr>
          <w:rFonts w:eastAsia="Times New Roman" w:cs="Arial"/>
          <w:sz w:val="18"/>
          <w:szCs w:val="18"/>
          <w:lang w:eastAsia="en-AU"/>
        </w:rPr>
      </w:pPr>
      <w:r w:rsidRPr="0053368E">
        <w:rPr>
          <w:b/>
          <w:sz w:val="18"/>
          <w:szCs w:val="18"/>
        </w:rPr>
        <w:t>Source:</w:t>
      </w:r>
      <w:r w:rsidRPr="0053368E">
        <w:rPr>
          <w:sz w:val="18"/>
          <w:szCs w:val="18"/>
        </w:rPr>
        <w:t xml:space="preserve"> </w:t>
      </w:r>
      <w:r w:rsidR="00A94E6C" w:rsidRPr="00A94E6C">
        <w:rPr>
          <w:rFonts w:eastAsia="Times New Roman" w:cs="Arial"/>
          <w:sz w:val="18"/>
          <w:szCs w:val="18"/>
          <w:lang w:eastAsia="en-AU"/>
        </w:rPr>
        <w:t>ABS Cat No. 55120</w:t>
      </w:r>
      <w:r w:rsidR="00A94E6C">
        <w:rPr>
          <w:rFonts w:eastAsia="Times New Roman" w:cs="Arial"/>
          <w:sz w:val="18"/>
          <w:szCs w:val="18"/>
          <w:lang w:eastAsia="en-AU"/>
        </w:rPr>
        <w:t xml:space="preserve"> 2012</w:t>
      </w:r>
    </w:p>
    <w:p w:rsidR="0053368E" w:rsidRPr="0053368E" w:rsidRDefault="0053368E" w:rsidP="0053368E">
      <w:pPr>
        <w:ind w:firstLine="720"/>
        <w:rPr>
          <w:rFonts w:ascii="Times New Roman" w:hAnsi="Times New Roman" w:cs="Times New Roman"/>
          <w:sz w:val="18"/>
          <w:szCs w:val="18"/>
        </w:rPr>
      </w:pPr>
    </w:p>
    <w:p w:rsidR="006C3765" w:rsidRDefault="006C3765" w:rsidP="006C3765">
      <w:pPr>
        <w:jc w:val="both"/>
      </w:pPr>
      <w:r>
        <w:rPr>
          <w:rFonts w:cs="Arial"/>
          <w:szCs w:val="20"/>
        </w:rPr>
        <w:t xml:space="preserve">The final point to be addressed is in the tax expenditure debate, of which revenue foregone may contribute to reducing less efficient taxes such as transaction taxes on property. </w:t>
      </w:r>
      <w:r w:rsidRPr="009E7510">
        <w:t xml:space="preserve">Table </w:t>
      </w:r>
      <w:r w:rsidR="001D4470">
        <w:t>3</w:t>
      </w:r>
      <w:r w:rsidRPr="009E7510">
        <w:t xml:space="preserve"> lists the range of taxes currently applicable </w:t>
      </w:r>
      <w:r>
        <w:t xml:space="preserve">to property in one form or another in Australia </w:t>
      </w:r>
      <w:r w:rsidRPr="009E7510">
        <w:t>and those which could be applicable to housing</w:t>
      </w:r>
      <w:r>
        <w:t xml:space="preserve">, but not imposed. Of particular note in Table </w:t>
      </w:r>
      <w:r w:rsidR="008C28F1">
        <w:t>3</w:t>
      </w:r>
      <w:r>
        <w:t xml:space="preserve"> are taxes expended on negative gearing applicable to investment housing and capital gains tax expended on owner occupied residences. While income tax offsets resulting from negative gearing on investor rental housing is often cited for reform, it accounts for less than 20 per cent of the tax revenue expended compared with owner occupied housing through land tax and capital gains tax </w:t>
      </w:r>
      <w:r w:rsidR="008C28F1">
        <w:t>exemptions</w:t>
      </w:r>
      <w:r>
        <w:t xml:space="preserve"> (Yates 2010). </w:t>
      </w:r>
    </w:p>
    <w:p w:rsidR="006C3765" w:rsidRDefault="006C3765" w:rsidP="006C3765">
      <w:pPr>
        <w:spacing w:after="0"/>
        <w:jc w:val="both"/>
      </w:pPr>
      <w:r>
        <w:t xml:space="preserve">Of the $45bn tax expended on the owner occupied residence, 25 per cent is attributable to expenditure on land tax while approximately 75 per cent is expended on the capital gains tax exemption, (Yates 2010:48). It is further suggested by </w:t>
      </w:r>
      <w:proofErr w:type="spellStart"/>
      <w:r>
        <w:t>Freebain</w:t>
      </w:r>
      <w:proofErr w:type="spellEnd"/>
      <w:r>
        <w:t xml:space="preserve"> (2010:203) that tax expenditure on the principle place of residence has contributed to over-investment on owner occupied housing, </w:t>
      </w:r>
      <w:r>
        <w:lastRenderedPageBreak/>
        <w:t>further contributing to pressures on housing affordability. In contrast, tax expended on negative gearing is approximately $4bn p.a.</w:t>
      </w:r>
      <w:r w:rsidR="008C28F1">
        <w:t xml:space="preserve"> being</w:t>
      </w:r>
      <w:r>
        <w:t xml:space="preserve"> less than 10 percent of the combine</w:t>
      </w:r>
      <w:r w:rsidR="00451E33">
        <w:t>d</w:t>
      </w:r>
      <w:r>
        <w:t xml:space="preserve"> revenue expended from capital gains tax </w:t>
      </w:r>
      <w:r w:rsidR="008C28F1">
        <w:t xml:space="preserve">forfeited </w:t>
      </w:r>
      <w:r w:rsidR="00451E33">
        <w:t xml:space="preserve">by the Commonwealth </w:t>
      </w:r>
      <w:r>
        <w:t xml:space="preserve">and land tax </w:t>
      </w:r>
      <w:r w:rsidR="008C28F1">
        <w:t xml:space="preserve">forfeited </w:t>
      </w:r>
      <w:r w:rsidR="00451E33">
        <w:t xml:space="preserve">by the states </w:t>
      </w:r>
      <w:r>
        <w:t>on the owner occupied residence.</w:t>
      </w:r>
    </w:p>
    <w:p w:rsidR="006C3765" w:rsidRPr="00DB3232" w:rsidRDefault="006C3765" w:rsidP="00172E35">
      <w:pPr>
        <w:spacing w:after="0" w:line="240" w:lineRule="auto"/>
      </w:pPr>
      <w:r>
        <w:tab/>
      </w:r>
      <w:r w:rsidRPr="00AF5264">
        <w:rPr>
          <w:rFonts w:cs="Arial"/>
          <w:b/>
          <w:sz w:val="18"/>
          <w:szCs w:val="18"/>
        </w:rPr>
        <w:t xml:space="preserve">Table </w:t>
      </w:r>
      <w:r w:rsidR="008C28F1">
        <w:rPr>
          <w:rFonts w:cs="Arial"/>
          <w:b/>
          <w:sz w:val="18"/>
          <w:szCs w:val="18"/>
        </w:rPr>
        <w:t>3</w:t>
      </w:r>
      <w:r w:rsidRPr="00AF5264">
        <w:rPr>
          <w:rFonts w:cs="Arial"/>
          <w:b/>
          <w:sz w:val="18"/>
          <w:szCs w:val="18"/>
        </w:rPr>
        <w:t>: Taxation across tiers of government</w:t>
      </w:r>
    </w:p>
    <w:tbl>
      <w:tblPr>
        <w:tblStyle w:val="TableGrid"/>
        <w:tblW w:w="7655" w:type="dxa"/>
        <w:tblInd w:w="714" w:type="dxa"/>
        <w:tblLayout w:type="fixed"/>
        <w:tblCellMar>
          <w:left w:w="0" w:type="dxa"/>
          <w:right w:w="0" w:type="dxa"/>
        </w:tblCellMar>
        <w:tblLook w:val="04A0" w:firstRow="1" w:lastRow="0" w:firstColumn="1" w:lastColumn="0" w:noHBand="0" w:noVBand="1"/>
      </w:tblPr>
      <w:tblGrid>
        <w:gridCol w:w="4243"/>
        <w:gridCol w:w="708"/>
        <w:gridCol w:w="709"/>
        <w:gridCol w:w="861"/>
        <w:gridCol w:w="1134"/>
      </w:tblGrid>
      <w:tr w:rsidR="006C3765" w:rsidTr="0080674F">
        <w:tc>
          <w:tcPr>
            <w:tcW w:w="4243" w:type="dxa"/>
          </w:tcPr>
          <w:p w:rsidR="006C3765" w:rsidRPr="00B51EEB" w:rsidRDefault="006C3765" w:rsidP="0080674F">
            <w:pPr>
              <w:pStyle w:val="TablesFigHeadings"/>
              <w:rPr>
                <w:sz w:val="18"/>
                <w:szCs w:val="18"/>
              </w:rPr>
            </w:pPr>
            <w:r w:rsidRPr="00B51EEB">
              <w:rPr>
                <w:sz w:val="18"/>
                <w:szCs w:val="18"/>
              </w:rPr>
              <w:t>Tax</w:t>
            </w:r>
          </w:p>
        </w:tc>
        <w:tc>
          <w:tcPr>
            <w:tcW w:w="708" w:type="dxa"/>
          </w:tcPr>
          <w:p w:rsidR="006C3765" w:rsidRPr="00B51EEB" w:rsidRDefault="006C3765" w:rsidP="0080674F">
            <w:pPr>
              <w:pStyle w:val="TablesFigHeadings"/>
              <w:rPr>
                <w:sz w:val="18"/>
                <w:szCs w:val="18"/>
              </w:rPr>
            </w:pPr>
            <w:r w:rsidRPr="00B51EEB">
              <w:rPr>
                <w:sz w:val="18"/>
                <w:szCs w:val="18"/>
              </w:rPr>
              <w:t>Local</w:t>
            </w:r>
          </w:p>
        </w:tc>
        <w:tc>
          <w:tcPr>
            <w:tcW w:w="709" w:type="dxa"/>
          </w:tcPr>
          <w:p w:rsidR="006C3765" w:rsidRPr="00B51EEB" w:rsidRDefault="006C3765" w:rsidP="0080674F">
            <w:pPr>
              <w:pStyle w:val="TablesFigHeadings"/>
              <w:rPr>
                <w:sz w:val="18"/>
                <w:szCs w:val="18"/>
              </w:rPr>
            </w:pPr>
            <w:r w:rsidRPr="00B51EEB">
              <w:rPr>
                <w:sz w:val="18"/>
                <w:szCs w:val="18"/>
              </w:rPr>
              <w:t>State</w:t>
            </w:r>
          </w:p>
        </w:tc>
        <w:tc>
          <w:tcPr>
            <w:tcW w:w="861" w:type="dxa"/>
          </w:tcPr>
          <w:p w:rsidR="006C3765" w:rsidRPr="00B51EEB" w:rsidRDefault="006C3765" w:rsidP="0080674F">
            <w:pPr>
              <w:pStyle w:val="TablesFigHeadings"/>
              <w:rPr>
                <w:sz w:val="18"/>
                <w:szCs w:val="18"/>
              </w:rPr>
            </w:pPr>
            <w:r>
              <w:rPr>
                <w:sz w:val="18"/>
                <w:szCs w:val="18"/>
              </w:rPr>
              <w:t>Commonwealth</w:t>
            </w:r>
          </w:p>
        </w:tc>
        <w:tc>
          <w:tcPr>
            <w:tcW w:w="1134" w:type="dxa"/>
          </w:tcPr>
          <w:p w:rsidR="006C3765" w:rsidRPr="00B51EEB" w:rsidRDefault="006C3765" w:rsidP="0080674F">
            <w:pPr>
              <w:pStyle w:val="TablesFigHeadings"/>
              <w:rPr>
                <w:sz w:val="18"/>
                <w:szCs w:val="18"/>
              </w:rPr>
            </w:pPr>
            <w:r w:rsidRPr="00B51EEB">
              <w:rPr>
                <w:sz w:val="18"/>
                <w:szCs w:val="18"/>
              </w:rPr>
              <w:t>Current in Australia</w:t>
            </w:r>
          </w:p>
        </w:tc>
      </w:tr>
      <w:tr w:rsidR="006C3765" w:rsidTr="0080674F">
        <w:tc>
          <w:tcPr>
            <w:tcW w:w="4243" w:type="dxa"/>
            <w:shd w:val="clear" w:color="auto" w:fill="F7CAAC" w:themeFill="accent2" w:themeFillTint="66"/>
          </w:tcPr>
          <w:p w:rsidR="006C3765" w:rsidRPr="00AF5264" w:rsidRDefault="006C3765" w:rsidP="0080674F">
            <w:pPr>
              <w:widowControl w:val="0"/>
              <w:autoSpaceDE w:val="0"/>
              <w:autoSpaceDN w:val="0"/>
              <w:adjustRightInd w:val="0"/>
              <w:spacing w:after="0" w:line="246" w:lineRule="exact"/>
              <w:ind w:left="323" w:right="-20"/>
              <w:rPr>
                <w:rFonts w:cs="Arial"/>
                <w:sz w:val="18"/>
                <w:szCs w:val="18"/>
              </w:rPr>
            </w:pPr>
            <w:r w:rsidRPr="00AF5264">
              <w:rPr>
                <w:rFonts w:cs="Arial"/>
                <w:spacing w:val="1"/>
                <w:sz w:val="18"/>
                <w:szCs w:val="18"/>
              </w:rPr>
              <w:t>Conveyance Stamp duty</w:t>
            </w:r>
          </w:p>
        </w:tc>
        <w:tc>
          <w:tcPr>
            <w:tcW w:w="708" w:type="dxa"/>
            <w:shd w:val="clear" w:color="auto" w:fill="F7CAAC" w:themeFill="accent2" w:themeFillTint="66"/>
          </w:tcPr>
          <w:p w:rsidR="006C3765" w:rsidRPr="00AF5264" w:rsidRDefault="006C3765" w:rsidP="0080674F">
            <w:pPr>
              <w:widowControl w:val="0"/>
              <w:tabs>
                <w:tab w:val="left" w:pos="652"/>
              </w:tabs>
              <w:autoSpaceDE w:val="0"/>
              <w:autoSpaceDN w:val="0"/>
              <w:adjustRightInd w:val="0"/>
              <w:spacing w:after="0" w:line="240" w:lineRule="auto"/>
              <w:rPr>
                <w:rFonts w:cs="Arial"/>
                <w:sz w:val="18"/>
                <w:szCs w:val="18"/>
              </w:rPr>
            </w:pPr>
            <w:r w:rsidRPr="00AF5264">
              <w:rPr>
                <w:rFonts w:cs="Arial"/>
                <w:sz w:val="18"/>
                <w:szCs w:val="18"/>
              </w:rPr>
              <w:tab/>
            </w:r>
          </w:p>
        </w:tc>
        <w:tc>
          <w:tcPr>
            <w:tcW w:w="709" w:type="dxa"/>
            <w:shd w:val="clear" w:color="auto" w:fill="F7CAAC" w:themeFill="accent2" w:themeFillTint="66"/>
          </w:tcPr>
          <w:p w:rsidR="006C3765" w:rsidRPr="00AF5264" w:rsidRDefault="006C3765" w:rsidP="0080674F">
            <w:pPr>
              <w:pStyle w:val="TablesFigText"/>
              <w:rPr>
                <w:rFonts w:ascii="Arial" w:hAnsi="Arial" w:cs="Arial"/>
                <w:sz w:val="18"/>
                <w:szCs w:val="18"/>
              </w:rPr>
            </w:pPr>
            <w:r w:rsidRPr="00AF5264">
              <w:rPr>
                <w:rFonts w:ascii="Arial" w:hAnsi="Arial" w:cs="Arial"/>
                <w:sz w:val="18"/>
                <w:szCs w:val="18"/>
              </w:rPr>
              <w:t>X</w:t>
            </w:r>
          </w:p>
        </w:tc>
        <w:tc>
          <w:tcPr>
            <w:tcW w:w="861" w:type="dxa"/>
            <w:shd w:val="clear" w:color="auto" w:fill="F7CAAC" w:themeFill="accent2" w:themeFillTint="66"/>
          </w:tcPr>
          <w:p w:rsidR="006C3765" w:rsidRPr="00AF5264" w:rsidRDefault="006C3765" w:rsidP="0080674F">
            <w:pPr>
              <w:pStyle w:val="TablesFigText"/>
              <w:rPr>
                <w:rFonts w:ascii="Arial" w:hAnsi="Arial" w:cs="Arial"/>
                <w:sz w:val="18"/>
                <w:szCs w:val="18"/>
              </w:rPr>
            </w:pPr>
          </w:p>
        </w:tc>
        <w:tc>
          <w:tcPr>
            <w:tcW w:w="1134" w:type="dxa"/>
            <w:shd w:val="clear" w:color="auto" w:fill="F7CAAC" w:themeFill="accent2" w:themeFillTint="66"/>
          </w:tcPr>
          <w:p w:rsidR="006C3765" w:rsidRPr="00AF5264" w:rsidRDefault="006C3765" w:rsidP="0080674F">
            <w:pPr>
              <w:pStyle w:val="TablesFigText"/>
              <w:rPr>
                <w:rFonts w:ascii="Arial" w:hAnsi="Arial" w:cs="Arial"/>
                <w:sz w:val="18"/>
                <w:szCs w:val="18"/>
              </w:rPr>
            </w:pPr>
            <w:r w:rsidRPr="00AF5264">
              <w:rPr>
                <w:rFonts w:ascii="Arial" w:hAnsi="Arial" w:cs="Arial"/>
                <w:sz w:val="18"/>
                <w:szCs w:val="18"/>
              </w:rPr>
              <w:t>Yes</w:t>
            </w:r>
          </w:p>
        </w:tc>
      </w:tr>
      <w:tr w:rsidR="006C3765" w:rsidTr="0080674F">
        <w:tc>
          <w:tcPr>
            <w:tcW w:w="4243" w:type="dxa"/>
          </w:tcPr>
          <w:p w:rsidR="006C3765" w:rsidRPr="00AF5264" w:rsidRDefault="006C3765" w:rsidP="0080674F">
            <w:pPr>
              <w:pStyle w:val="TablesFigText"/>
              <w:ind w:left="318"/>
              <w:jc w:val="left"/>
              <w:rPr>
                <w:rFonts w:ascii="Arial" w:hAnsi="Arial" w:cs="Arial"/>
                <w:sz w:val="18"/>
                <w:szCs w:val="18"/>
              </w:rPr>
            </w:pPr>
            <w:r w:rsidRPr="00AF5264">
              <w:rPr>
                <w:rFonts w:ascii="Arial" w:hAnsi="Arial" w:cs="Arial"/>
                <w:sz w:val="18"/>
                <w:szCs w:val="18"/>
              </w:rPr>
              <w:t>Developer contributions</w:t>
            </w:r>
          </w:p>
        </w:tc>
        <w:tc>
          <w:tcPr>
            <w:tcW w:w="708" w:type="dxa"/>
          </w:tcPr>
          <w:p w:rsidR="006C3765" w:rsidRPr="00AF5264" w:rsidRDefault="006C3765" w:rsidP="0080674F">
            <w:pPr>
              <w:pStyle w:val="TablesFigText"/>
              <w:rPr>
                <w:rFonts w:ascii="Arial" w:hAnsi="Arial" w:cs="Arial"/>
                <w:sz w:val="18"/>
                <w:szCs w:val="18"/>
              </w:rPr>
            </w:pPr>
            <w:r w:rsidRPr="00AF5264">
              <w:rPr>
                <w:rFonts w:ascii="Arial" w:hAnsi="Arial" w:cs="Arial"/>
                <w:sz w:val="18"/>
                <w:szCs w:val="18"/>
              </w:rPr>
              <w:t>X</w:t>
            </w:r>
          </w:p>
        </w:tc>
        <w:tc>
          <w:tcPr>
            <w:tcW w:w="709" w:type="dxa"/>
          </w:tcPr>
          <w:p w:rsidR="006C3765" w:rsidRPr="00AF5264" w:rsidRDefault="006C3765" w:rsidP="0080674F">
            <w:pPr>
              <w:pStyle w:val="TablesFigText"/>
              <w:rPr>
                <w:rFonts w:ascii="Arial" w:hAnsi="Arial" w:cs="Arial"/>
                <w:sz w:val="18"/>
                <w:szCs w:val="18"/>
              </w:rPr>
            </w:pPr>
          </w:p>
        </w:tc>
        <w:tc>
          <w:tcPr>
            <w:tcW w:w="861" w:type="dxa"/>
          </w:tcPr>
          <w:p w:rsidR="006C3765" w:rsidRPr="00AF5264" w:rsidRDefault="006C3765" w:rsidP="0080674F">
            <w:pPr>
              <w:pStyle w:val="TablesFigText"/>
              <w:rPr>
                <w:rFonts w:ascii="Arial" w:hAnsi="Arial" w:cs="Arial"/>
                <w:sz w:val="18"/>
                <w:szCs w:val="18"/>
              </w:rPr>
            </w:pPr>
          </w:p>
        </w:tc>
        <w:tc>
          <w:tcPr>
            <w:tcW w:w="1134" w:type="dxa"/>
          </w:tcPr>
          <w:p w:rsidR="006C3765" w:rsidRPr="00AF5264" w:rsidRDefault="006C3765" w:rsidP="0080674F">
            <w:pPr>
              <w:pStyle w:val="TablesFigText"/>
              <w:rPr>
                <w:rFonts w:ascii="Arial" w:hAnsi="Arial" w:cs="Arial"/>
                <w:sz w:val="18"/>
                <w:szCs w:val="18"/>
              </w:rPr>
            </w:pPr>
            <w:r w:rsidRPr="00AF5264">
              <w:rPr>
                <w:rFonts w:ascii="Arial" w:hAnsi="Arial" w:cs="Arial"/>
                <w:sz w:val="18"/>
                <w:szCs w:val="18"/>
              </w:rPr>
              <w:t>Yes</w:t>
            </w:r>
          </w:p>
        </w:tc>
      </w:tr>
      <w:tr w:rsidR="006C3765" w:rsidTr="0080674F">
        <w:tc>
          <w:tcPr>
            <w:tcW w:w="4243" w:type="dxa"/>
          </w:tcPr>
          <w:p w:rsidR="006C3765" w:rsidRPr="00AF5264" w:rsidRDefault="006C3765" w:rsidP="0080674F">
            <w:pPr>
              <w:pStyle w:val="TablesFigText"/>
              <w:ind w:left="318"/>
              <w:jc w:val="left"/>
              <w:rPr>
                <w:rFonts w:ascii="Arial" w:hAnsi="Arial" w:cs="Arial"/>
                <w:sz w:val="18"/>
                <w:szCs w:val="18"/>
              </w:rPr>
            </w:pPr>
            <w:r w:rsidRPr="00AF5264">
              <w:rPr>
                <w:rFonts w:ascii="Arial" w:hAnsi="Arial" w:cs="Arial"/>
                <w:sz w:val="18"/>
                <w:szCs w:val="18"/>
              </w:rPr>
              <w:t>Planning / betterment</w:t>
            </w:r>
          </w:p>
        </w:tc>
        <w:tc>
          <w:tcPr>
            <w:tcW w:w="708" w:type="dxa"/>
          </w:tcPr>
          <w:p w:rsidR="006C3765" w:rsidRPr="00AF5264" w:rsidRDefault="006C3765" w:rsidP="0080674F">
            <w:pPr>
              <w:pStyle w:val="TablesFigText"/>
              <w:rPr>
                <w:rFonts w:ascii="Arial" w:hAnsi="Arial" w:cs="Arial"/>
                <w:sz w:val="18"/>
                <w:szCs w:val="18"/>
              </w:rPr>
            </w:pPr>
          </w:p>
        </w:tc>
        <w:tc>
          <w:tcPr>
            <w:tcW w:w="709" w:type="dxa"/>
          </w:tcPr>
          <w:p w:rsidR="006C3765" w:rsidRPr="00AF5264" w:rsidRDefault="006C3765" w:rsidP="0080674F">
            <w:pPr>
              <w:pStyle w:val="TablesFigText"/>
              <w:rPr>
                <w:rFonts w:ascii="Arial" w:hAnsi="Arial" w:cs="Arial"/>
                <w:sz w:val="18"/>
                <w:szCs w:val="18"/>
              </w:rPr>
            </w:pPr>
          </w:p>
        </w:tc>
        <w:tc>
          <w:tcPr>
            <w:tcW w:w="861" w:type="dxa"/>
          </w:tcPr>
          <w:p w:rsidR="006C3765" w:rsidRPr="00AF5264" w:rsidRDefault="006C3765" w:rsidP="0080674F">
            <w:pPr>
              <w:pStyle w:val="TablesFigText"/>
              <w:rPr>
                <w:rFonts w:ascii="Arial" w:hAnsi="Arial" w:cs="Arial"/>
                <w:sz w:val="18"/>
                <w:szCs w:val="18"/>
              </w:rPr>
            </w:pPr>
          </w:p>
        </w:tc>
        <w:tc>
          <w:tcPr>
            <w:tcW w:w="1134" w:type="dxa"/>
          </w:tcPr>
          <w:p w:rsidR="006C3765" w:rsidRPr="00AF5264" w:rsidRDefault="006C3765" w:rsidP="0080674F">
            <w:pPr>
              <w:pStyle w:val="TablesFigText"/>
              <w:rPr>
                <w:rFonts w:ascii="Arial" w:hAnsi="Arial" w:cs="Arial"/>
                <w:b/>
                <w:sz w:val="18"/>
                <w:szCs w:val="18"/>
              </w:rPr>
            </w:pPr>
            <w:r w:rsidRPr="00AF5264">
              <w:rPr>
                <w:rFonts w:ascii="Arial" w:hAnsi="Arial" w:cs="Arial"/>
                <w:b/>
                <w:sz w:val="18"/>
                <w:szCs w:val="18"/>
              </w:rPr>
              <w:t>No</w:t>
            </w:r>
          </w:p>
        </w:tc>
      </w:tr>
      <w:tr w:rsidR="006C3765" w:rsidTr="0080674F">
        <w:tc>
          <w:tcPr>
            <w:tcW w:w="4243" w:type="dxa"/>
            <w:shd w:val="clear" w:color="auto" w:fill="92D050"/>
          </w:tcPr>
          <w:p w:rsidR="006C3765" w:rsidRPr="00AF5264" w:rsidRDefault="006C3765" w:rsidP="0080674F">
            <w:pPr>
              <w:pStyle w:val="TablesFigText"/>
              <w:ind w:left="318"/>
              <w:jc w:val="left"/>
              <w:rPr>
                <w:rFonts w:ascii="Arial" w:hAnsi="Arial" w:cs="Arial"/>
                <w:sz w:val="18"/>
                <w:szCs w:val="18"/>
              </w:rPr>
            </w:pPr>
            <w:r w:rsidRPr="00AF5264">
              <w:rPr>
                <w:rFonts w:ascii="Arial" w:hAnsi="Arial" w:cs="Arial"/>
                <w:sz w:val="18"/>
                <w:szCs w:val="18"/>
              </w:rPr>
              <w:t>Council rates</w:t>
            </w:r>
          </w:p>
        </w:tc>
        <w:tc>
          <w:tcPr>
            <w:tcW w:w="708" w:type="dxa"/>
            <w:shd w:val="clear" w:color="auto" w:fill="92D050"/>
          </w:tcPr>
          <w:p w:rsidR="006C3765" w:rsidRPr="00AF5264" w:rsidRDefault="006C3765" w:rsidP="0080674F">
            <w:pPr>
              <w:pStyle w:val="TablesFigText"/>
              <w:rPr>
                <w:rFonts w:ascii="Arial" w:hAnsi="Arial" w:cs="Arial"/>
                <w:sz w:val="18"/>
                <w:szCs w:val="18"/>
              </w:rPr>
            </w:pPr>
            <w:r w:rsidRPr="00AF5264">
              <w:rPr>
                <w:rFonts w:ascii="Arial" w:hAnsi="Arial" w:cs="Arial"/>
                <w:sz w:val="18"/>
                <w:szCs w:val="18"/>
              </w:rPr>
              <w:t>X</w:t>
            </w:r>
          </w:p>
        </w:tc>
        <w:tc>
          <w:tcPr>
            <w:tcW w:w="709" w:type="dxa"/>
            <w:shd w:val="clear" w:color="auto" w:fill="92D050"/>
          </w:tcPr>
          <w:p w:rsidR="006C3765" w:rsidRPr="00AF5264" w:rsidRDefault="006C3765" w:rsidP="0080674F">
            <w:pPr>
              <w:pStyle w:val="TablesFigText"/>
              <w:rPr>
                <w:rFonts w:ascii="Arial" w:hAnsi="Arial" w:cs="Arial"/>
                <w:sz w:val="18"/>
                <w:szCs w:val="18"/>
              </w:rPr>
            </w:pPr>
          </w:p>
        </w:tc>
        <w:tc>
          <w:tcPr>
            <w:tcW w:w="861" w:type="dxa"/>
            <w:shd w:val="clear" w:color="auto" w:fill="92D050"/>
          </w:tcPr>
          <w:p w:rsidR="006C3765" w:rsidRPr="00AF5264" w:rsidRDefault="006C3765" w:rsidP="0080674F">
            <w:pPr>
              <w:pStyle w:val="TablesFigText"/>
              <w:rPr>
                <w:rFonts w:ascii="Arial" w:hAnsi="Arial" w:cs="Arial"/>
                <w:sz w:val="18"/>
                <w:szCs w:val="18"/>
              </w:rPr>
            </w:pPr>
          </w:p>
        </w:tc>
        <w:tc>
          <w:tcPr>
            <w:tcW w:w="1134" w:type="dxa"/>
            <w:shd w:val="clear" w:color="auto" w:fill="92D050"/>
          </w:tcPr>
          <w:p w:rsidR="006C3765" w:rsidRPr="00AF5264" w:rsidRDefault="006C3765" w:rsidP="0080674F">
            <w:pPr>
              <w:pStyle w:val="TablesFigText"/>
              <w:rPr>
                <w:rFonts w:ascii="Arial" w:hAnsi="Arial" w:cs="Arial"/>
                <w:sz w:val="18"/>
                <w:szCs w:val="18"/>
              </w:rPr>
            </w:pPr>
            <w:r w:rsidRPr="00AF5264">
              <w:rPr>
                <w:rFonts w:ascii="Arial" w:hAnsi="Arial" w:cs="Arial"/>
                <w:sz w:val="18"/>
                <w:szCs w:val="18"/>
              </w:rPr>
              <w:t>Yes</w:t>
            </w:r>
          </w:p>
        </w:tc>
      </w:tr>
      <w:tr w:rsidR="006C3765" w:rsidTr="0080674F">
        <w:tc>
          <w:tcPr>
            <w:tcW w:w="4243" w:type="dxa"/>
            <w:shd w:val="clear" w:color="auto" w:fill="92D050"/>
          </w:tcPr>
          <w:p w:rsidR="006C3765" w:rsidRPr="00AF5264" w:rsidRDefault="006C3765" w:rsidP="0080674F">
            <w:pPr>
              <w:pStyle w:val="TablesFigText"/>
              <w:ind w:left="318"/>
              <w:jc w:val="left"/>
              <w:rPr>
                <w:rFonts w:ascii="Arial" w:hAnsi="Arial" w:cs="Arial"/>
                <w:sz w:val="18"/>
                <w:szCs w:val="18"/>
              </w:rPr>
            </w:pPr>
            <w:r w:rsidRPr="00AF5264">
              <w:rPr>
                <w:rFonts w:ascii="Arial" w:hAnsi="Arial" w:cs="Arial"/>
                <w:sz w:val="18"/>
                <w:szCs w:val="18"/>
              </w:rPr>
              <w:t>Land tax</w:t>
            </w:r>
            <w:r w:rsidRPr="006C3765">
              <w:rPr>
                <w:rFonts w:ascii="Arial" w:hAnsi="Arial" w:cs="Arial"/>
                <w:sz w:val="18"/>
                <w:szCs w:val="18"/>
              </w:rPr>
              <w:t>†</w:t>
            </w:r>
          </w:p>
        </w:tc>
        <w:tc>
          <w:tcPr>
            <w:tcW w:w="708" w:type="dxa"/>
            <w:shd w:val="clear" w:color="auto" w:fill="92D050"/>
          </w:tcPr>
          <w:p w:rsidR="006C3765" w:rsidRPr="00AF5264" w:rsidRDefault="006C3765" w:rsidP="0080674F">
            <w:pPr>
              <w:pStyle w:val="TablesFigText"/>
              <w:rPr>
                <w:rFonts w:ascii="Arial" w:hAnsi="Arial" w:cs="Arial"/>
                <w:sz w:val="18"/>
                <w:szCs w:val="18"/>
              </w:rPr>
            </w:pPr>
          </w:p>
        </w:tc>
        <w:tc>
          <w:tcPr>
            <w:tcW w:w="709" w:type="dxa"/>
            <w:shd w:val="clear" w:color="auto" w:fill="92D050"/>
          </w:tcPr>
          <w:p w:rsidR="006C3765" w:rsidRPr="00AF5264" w:rsidRDefault="006C3765" w:rsidP="0080674F">
            <w:pPr>
              <w:pStyle w:val="TablesFigText"/>
              <w:rPr>
                <w:rFonts w:ascii="Arial" w:hAnsi="Arial" w:cs="Arial"/>
                <w:sz w:val="18"/>
                <w:szCs w:val="18"/>
              </w:rPr>
            </w:pPr>
            <w:r w:rsidRPr="00AF5264">
              <w:rPr>
                <w:rFonts w:ascii="Arial" w:hAnsi="Arial" w:cs="Arial"/>
                <w:sz w:val="18"/>
                <w:szCs w:val="18"/>
              </w:rPr>
              <w:t>X</w:t>
            </w:r>
          </w:p>
        </w:tc>
        <w:tc>
          <w:tcPr>
            <w:tcW w:w="861" w:type="dxa"/>
            <w:shd w:val="clear" w:color="auto" w:fill="92D050"/>
          </w:tcPr>
          <w:p w:rsidR="006C3765" w:rsidRPr="00AF5264" w:rsidRDefault="006C3765" w:rsidP="0080674F">
            <w:pPr>
              <w:pStyle w:val="TablesFigText"/>
              <w:rPr>
                <w:rFonts w:ascii="Arial" w:hAnsi="Arial" w:cs="Arial"/>
                <w:sz w:val="18"/>
                <w:szCs w:val="18"/>
              </w:rPr>
            </w:pPr>
          </w:p>
        </w:tc>
        <w:tc>
          <w:tcPr>
            <w:tcW w:w="1134" w:type="dxa"/>
            <w:shd w:val="clear" w:color="auto" w:fill="92D050"/>
          </w:tcPr>
          <w:p w:rsidR="006C3765" w:rsidRPr="00AF5264" w:rsidRDefault="006C3765" w:rsidP="0080674F">
            <w:pPr>
              <w:pStyle w:val="TablesFigText"/>
              <w:rPr>
                <w:rFonts w:ascii="Arial" w:hAnsi="Arial" w:cs="Arial"/>
                <w:sz w:val="18"/>
                <w:szCs w:val="18"/>
              </w:rPr>
            </w:pPr>
            <w:r w:rsidRPr="00AF5264">
              <w:rPr>
                <w:rFonts w:ascii="Arial" w:hAnsi="Arial" w:cs="Arial"/>
                <w:sz w:val="18"/>
                <w:szCs w:val="18"/>
              </w:rPr>
              <w:t>Yes</w:t>
            </w:r>
          </w:p>
        </w:tc>
      </w:tr>
      <w:tr w:rsidR="006C3765" w:rsidTr="0080674F">
        <w:tc>
          <w:tcPr>
            <w:tcW w:w="4243" w:type="dxa"/>
            <w:shd w:val="clear" w:color="auto" w:fill="FFC000"/>
          </w:tcPr>
          <w:p w:rsidR="006C3765" w:rsidRPr="00AF5264" w:rsidRDefault="006C3765" w:rsidP="0080674F">
            <w:pPr>
              <w:pStyle w:val="TablesFigText"/>
              <w:ind w:left="318"/>
              <w:jc w:val="left"/>
              <w:rPr>
                <w:rFonts w:ascii="Arial" w:hAnsi="Arial" w:cs="Arial"/>
                <w:sz w:val="18"/>
                <w:szCs w:val="18"/>
              </w:rPr>
            </w:pPr>
            <w:r w:rsidRPr="00AF5264">
              <w:rPr>
                <w:rFonts w:ascii="Arial" w:hAnsi="Arial" w:cs="Arial"/>
                <w:sz w:val="18"/>
                <w:szCs w:val="18"/>
              </w:rPr>
              <w:t xml:space="preserve">Income tax offsets on </w:t>
            </w:r>
            <w:r>
              <w:rPr>
                <w:rFonts w:ascii="Arial" w:hAnsi="Arial" w:cs="Arial"/>
                <w:sz w:val="18"/>
                <w:szCs w:val="18"/>
              </w:rPr>
              <w:t xml:space="preserve">property available for </w:t>
            </w:r>
            <w:r w:rsidRPr="00AF5264">
              <w:rPr>
                <w:rFonts w:ascii="Arial" w:hAnsi="Arial" w:cs="Arial"/>
                <w:sz w:val="18"/>
                <w:szCs w:val="18"/>
              </w:rPr>
              <w:t>rent</w:t>
            </w:r>
            <w:r w:rsidRPr="00AF5264">
              <w:rPr>
                <w:rFonts w:ascii="Arial" w:hAnsi="Arial" w:cs="Arial"/>
                <w:b/>
                <w:sz w:val="18"/>
                <w:szCs w:val="18"/>
              </w:rPr>
              <w:t>^</w:t>
            </w:r>
          </w:p>
        </w:tc>
        <w:tc>
          <w:tcPr>
            <w:tcW w:w="708" w:type="dxa"/>
            <w:shd w:val="clear" w:color="auto" w:fill="FFC000"/>
          </w:tcPr>
          <w:p w:rsidR="006C3765" w:rsidRPr="00AF5264" w:rsidRDefault="006C3765" w:rsidP="0080674F">
            <w:pPr>
              <w:pStyle w:val="TablesFigText"/>
              <w:rPr>
                <w:rFonts w:ascii="Arial" w:hAnsi="Arial" w:cs="Arial"/>
                <w:sz w:val="18"/>
                <w:szCs w:val="18"/>
              </w:rPr>
            </w:pPr>
          </w:p>
        </w:tc>
        <w:tc>
          <w:tcPr>
            <w:tcW w:w="709" w:type="dxa"/>
            <w:shd w:val="clear" w:color="auto" w:fill="FFC000"/>
          </w:tcPr>
          <w:p w:rsidR="006C3765" w:rsidRPr="00AF5264" w:rsidRDefault="006C3765" w:rsidP="0080674F">
            <w:pPr>
              <w:pStyle w:val="TablesFigText"/>
              <w:rPr>
                <w:rFonts w:ascii="Arial" w:hAnsi="Arial" w:cs="Arial"/>
                <w:sz w:val="18"/>
                <w:szCs w:val="18"/>
              </w:rPr>
            </w:pPr>
          </w:p>
        </w:tc>
        <w:tc>
          <w:tcPr>
            <w:tcW w:w="861" w:type="dxa"/>
            <w:shd w:val="clear" w:color="auto" w:fill="FFC000"/>
          </w:tcPr>
          <w:p w:rsidR="006C3765" w:rsidRPr="00AF5264" w:rsidRDefault="006C3765" w:rsidP="0080674F">
            <w:pPr>
              <w:pStyle w:val="TablesFigText"/>
              <w:rPr>
                <w:rFonts w:ascii="Arial" w:hAnsi="Arial" w:cs="Arial"/>
                <w:sz w:val="18"/>
                <w:szCs w:val="18"/>
              </w:rPr>
            </w:pPr>
            <w:r w:rsidRPr="00AF5264">
              <w:rPr>
                <w:rFonts w:ascii="Arial" w:hAnsi="Arial" w:cs="Arial"/>
                <w:sz w:val="18"/>
                <w:szCs w:val="18"/>
              </w:rPr>
              <w:t>X</w:t>
            </w:r>
          </w:p>
        </w:tc>
        <w:tc>
          <w:tcPr>
            <w:tcW w:w="1134" w:type="dxa"/>
            <w:shd w:val="clear" w:color="auto" w:fill="FFC000"/>
          </w:tcPr>
          <w:p w:rsidR="006C3765" w:rsidRPr="00AF5264" w:rsidRDefault="006C3765" w:rsidP="0080674F">
            <w:pPr>
              <w:pStyle w:val="TablesFigText"/>
              <w:rPr>
                <w:rFonts w:ascii="Arial" w:hAnsi="Arial" w:cs="Arial"/>
                <w:sz w:val="18"/>
                <w:szCs w:val="18"/>
              </w:rPr>
            </w:pPr>
            <w:r w:rsidRPr="00AF5264">
              <w:rPr>
                <w:rFonts w:ascii="Arial" w:hAnsi="Arial" w:cs="Arial"/>
                <w:sz w:val="18"/>
                <w:szCs w:val="18"/>
              </w:rPr>
              <w:t>Yes</w:t>
            </w:r>
          </w:p>
        </w:tc>
      </w:tr>
      <w:tr w:rsidR="006C3765" w:rsidTr="0080674F">
        <w:tc>
          <w:tcPr>
            <w:tcW w:w="4243" w:type="dxa"/>
          </w:tcPr>
          <w:p w:rsidR="006C3765" w:rsidRPr="00AF5264" w:rsidRDefault="006C3765" w:rsidP="0080674F">
            <w:pPr>
              <w:pStyle w:val="TablesFigText"/>
              <w:ind w:left="318"/>
              <w:jc w:val="left"/>
              <w:rPr>
                <w:rFonts w:ascii="Arial" w:hAnsi="Arial" w:cs="Arial"/>
                <w:sz w:val="18"/>
                <w:szCs w:val="18"/>
              </w:rPr>
            </w:pPr>
            <w:r w:rsidRPr="00AF5264">
              <w:rPr>
                <w:rFonts w:ascii="Arial" w:hAnsi="Arial" w:cs="Arial"/>
                <w:sz w:val="18"/>
                <w:szCs w:val="18"/>
              </w:rPr>
              <w:t>Vendor duty (paid on sale)</w:t>
            </w:r>
          </w:p>
        </w:tc>
        <w:tc>
          <w:tcPr>
            <w:tcW w:w="708" w:type="dxa"/>
          </w:tcPr>
          <w:p w:rsidR="006C3765" w:rsidRPr="00AF5264" w:rsidRDefault="006C3765" w:rsidP="0080674F">
            <w:pPr>
              <w:pStyle w:val="TablesFigText"/>
              <w:rPr>
                <w:rFonts w:ascii="Arial" w:hAnsi="Arial" w:cs="Arial"/>
                <w:sz w:val="18"/>
                <w:szCs w:val="18"/>
              </w:rPr>
            </w:pPr>
          </w:p>
        </w:tc>
        <w:tc>
          <w:tcPr>
            <w:tcW w:w="709" w:type="dxa"/>
          </w:tcPr>
          <w:p w:rsidR="006C3765" w:rsidRPr="00AF5264" w:rsidRDefault="006C3765" w:rsidP="0080674F">
            <w:pPr>
              <w:pStyle w:val="TablesFigText"/>
              <w:rPr>
                <w:rFonts w:ascii="Arial" w:hAnsi="Arial" w:cs="Arial"/>
                <w:sz w:val="18"/>
                <w:szCs w:val="18"/>
              </w:rPr>
            </w:pPr>
          </w:p>
        </w:tc>
        <w:tc>
          <w:tcPr>
            <w:tcW w:w="861" w:type="dxa"/>
          </w:tcPr>
          <w:p w:rsidR="006C3765" w:rsidRPr="00AF5264" w:rsidRDefault="006C3765" w:rsidP="0080674F">
            <w:pPr>
              <w:pStyle w:val="TablesFigText"/>
              <w:rPr>
                <w:rFonts w:ascii="Arial" w:hAnsi="Arial" w:cs="Arial"/>
                <w:sz w:val="18"/>
                <w:szCs w:val="18"/>
              </w:rPr>
            </w:pPr>
          </w:p>
        </w:tc>
        <w:tc>
          <w:tcPr>
            <w:tcW w:w="1134" w:type="dxa"/>
          </w:tcPr>
          <w:p w:rsidR="006C3765" w:rsidRPr="00AF5264" w:rsidRDefault="006C3765" w:rsidP="0080674F">
            <w:pPr>
              <w:pStyle w:val="TablesFigText"/>
              <w:rPr>
                <w:rFonts w:ascii="Arial" w:hAnsi="Arial" w:cs="Arial"/>
                <w:b/>
                <w:sz w:val="18"/>
                <w:szCs w:val="18"/>
              </w:rPr>
            </w:pPr>
            <w:r w:rsidRPr="00AF5264">
              <w:rPr>
                <w:rFonts w:ascii="Arial" w:hAnsi="Arial" w:cs="Arial"/>
                <w:b/>
                <w:sz w:val="18"/>
                <w:szCs w:val="18"/>
              </w:rPr>
              <w:t>No</w:t>
            </w:r>
          </w:p>
        </w:tc>
      </w:tr>
      <w:tr w:rsidR="006C3765" w:rsidTr="0080674F">
        <w:tc>
          <w:tcPr>
            <w:tcW w:w="4243" w:type="dxa"/>
          </w:tcPr>
          <w:p w:rsidR="006C3765" w:rsidRPr="00AF5264" w:rsidRDefault="006C3765" w:rsidP="0080674F">
            <w:pPr>
              <w:pStyle w:val="TablesFigText"/>
              <w:ind w:left="318"/>
              <w:jc w:val="left"/>
              <w:rPr>
                <w:rFonts w:ascii="Arial" w:hAnsi="Arial" w:cs="Arial"/>
                <w:sz w:val="18"/>
                <w:szCs w:val="18"/>
              </w:rPr>
            </w:pPr>
            <w:r w:rsidRPr="00AF5264">
              <w:rPr>
                <w:rFonts w:ascii="Arial" w:hAnsi="Arial" w:cs="Arial"/>
                <w:sz w:val="18"/>
                <w:szCs w:val="18"/>
              </w:rPr>
              <w:t>GST on sale of new &amp; non-residential property</w:t>
            </w:r>
          </w:p>
        </w:tc>
        <w:tc>
          <w:tcPr>
            <w:tcW w:w="708" w:type="dxa"/>
          </w:tcPr>
          <w:p w:rsidR="006C3765" w:rsidRPr="00AF5264" w:rsidRDefault="006C3765" w:rsidP="0080674F">
            <w:pPr>
              <w:pStyle w:val="TablesFigText"/>
              <w:rPr>
                <w:rFonts w:ascii="Arial" w:hAnsi="Arial" w:cs="Arial"/>
                <w:sz w:val="18"/>
                <w:szCs w:val="18"/>
              </w:rPr>
            </w:pPr>
          </w:p>
        </w:tc>
        <w:tc>
          <w:tcPr>
            <w:tcW w:w="709" w:type="dxa"/>
          </w:tcPr>
          <w:p w:rsidR="006C3765" w:rsidRPr="00AF5264" w:rsidRDefault="006C3765" w:rsidP="0080674F">
            <w:pPr>
              <w:pStyle w:val="TablesFigText"/>
              <w:rPr>
                <w:rFonts w:ascii="Arial" w:hAnsi="Arial" w:cs="Arial"/>
                <w:sz w:val="18"/>
                <w:szCs w:val="18"/>
              </w:rPr>
            </w:pPr>
          </w:p>
        </w:tc>
        <w:tc>
          <w:tcPr>
            <w:tcW w:w="861" w:type="dxa"/>
          </w:tcPr>
          <w:p w:rsidR="006C3765" w:rsidRPr="00AF5264" w:rsidRDefault="006C3765" w:rsidP="0080674F">
            <w:pPr>
              <w:pStyle w:val="TablesFigText"/>
              <w:rPr>
                <w:rFonts w:ascii="Arial" w:hAnsi="Arial" w:cs="Arial"/>
                <w:sz w:val="18"/>
                <w:szCs w:val="18"/>
              </w:rPr>
            </w:pPr>
            <w:r w:rsidRPr="00AF5264">
              <w:rPr>
                <w:rFonts w:ascii="Arial" w:hAnsi="Arial" w:cs="Arial"/>
                <w:sz w:val="18"/>
                <w:szCs w:val="18"/>
              </w:rPr>
              <w:t>X</w:t>
            </w:r>
          </w:p>
        </w:tc>
        <w:tc>
          <w:tcPr>
            <w:tcW w:w="1134" w:type="dxa"/>
          </w:tcPr>
          <w:p w:rsidR="006C3765" w:rsidRPr="00AF5264" w:rsidRDefault="006C3765" w:rsidP="0080674F">
            <w:pPr>
              <w:pStyle w:val="TablesFigText"/>
              <w:rPr>
                <w:rFonts w:ascii="Arial" w:hAnsi="Arial" w:cs="Arial"/>
                <w:sz w:val="18"/>
                <w:szCs w:val="18"/>
              </w:rPr>
            </w:pPr>
            <w:r w:rsidRPr="00AF5264">
              <w:rPr>
                <w:rFonts w:ascii="Arial" w:hAnsi="Arial" w:cs="Arial"/>
                <w:sz w:val="18"/>
                <w:szCs w:val="18"/>
              </w:rPr>
              <w:t>Yes</w:t>
            </w:r>
          </w:p>
        </w:tc>
      </w:tr>
      <w:tr w:rsidR="006C3765" w:rsidTr="0080674F">
        <w:tc>
          <w:tcPr>
            <w:tcW w:w="4243" w:type="dxa"/>
            <w:shd w:val="clear" w:color="auto" w:fill="FFC000"/>
          </w:tcPr>
          <w:p w:rsidR="006C3765" w:rsidRPr="00BF5823" w:rsidRDefault="006C3765" w:rsidP="0080674F">
            <w:pPr>
              <w:pStyle w:val="TablesFigText"/>
              <w:ind w:left="318"/>
              <w:jc w:val="left"/>
              <w:rPr>
                <w:rFonts w:ascii="Arial" w:hAnsi="Arial" w:cs="Arial"/>
                <w:sz w:val="18"/>
                <w:szCs w:val="18"/>
              </w:rPr>
            </w:pPr>
            <w:r w:rsidRPr="00AF5264">
              <w:rPr>
                <w:rFonts w:ascii="Arial" w:hAnsi="Arial" w:cs="Arial"/>
                <w:sz w:val="18"/>
                <w:szCs w:val="18"/>
              </w:rPr>
              <w:t>Income tax on capital gains</w:t>
            </w:r>
            <w:r w:rsidRPr="00172E35">
              <w:rPr>
                <w:rFonts w:ascii="Arial" w:hAnsi="Arial" w:cs="Arial"/>
                <w:sz w:val="18"/>
                <w:szCs w:val="18"/>
              </w:rPr>
              <w:t>†</w:t>
            </w:r>
            <w:r>
              <w:rPr>
                <w:rFonts w:ascii="Arial" w:hAnsi="Arial" w:cs="Arial"/>
                <w:b/>
                <w:sz w:val="18"/>
                <w:szCs w:val="18"/>
              </w:rPr>
              <w:t xml:space="preserve"> </w:t>
            </w:r>
            <w:r>
              <w:rPr>
                <w:rFonts w:ascii="Arial" w:hAnsi="Arial" w:cs="Arial"/>
                <w:sz w:val="18"/>
                <w:szCs w:val="18"/>
              </w:rPr>
              <w:t>(investment only)</w:t>
            </w:r>
          </w:p>
        </w:tc>
        <w:tc>
          <w:tcPr>
            <w:tcW w:w="708" w:type="dxa"/>
            <w:shd w:val="clear" w:color="auto" w:fill="FFC000"/>
          </w:tcPr>
          <w:p w:rsidR="006C3765" w:rsidRPr="00AF5264" w:rsidRDefault="006C3765" w:rsidP="0080674F">
            <w:pPr>
              <w:pStyle w:val="TablesFigText"/>
              <w:rPr>
                <w:rFonts w:ascii="Arial" w:hAnsi="Arial" w:cs="Arial"/>
                <w:sz w:val="18"/>
                <w:szCs w:val="18"/>
              </w:rPr>
            </w:pPr>
          </w:p>
        </w:tc>
        <w:tc>
          <w:tcPr>
            <w:tcW w:w="709" w:type="dxa"/>
            <w:shd w:val="clear" w:color="auto" w:fill="FFC000"/>
          </w:tcPr>
          <w:p w:rsidR="006C3765" w:rsidRPr="00AF5264" w:rsidRDefault="006C3765" w:rsidP="0080674F">
            <w:pPr>
              <w:pStyle w:val="TablesFigText"/>
              <w:rPr>
                <w:rFonts w:ascii="Arial" w:hAnsi="Arial" w:cs="Arial"/>
                <w:sz w:val="18"/>
                <w:szCs w:val="18"/>
              </w:rPr>
            </w:pPr>
          </w:p>
        </w:tc>
        <w:tc>
          <w:tcPr>
            <w:tcW w:w="861" w:type="dxa"/>
            <w:shd w:val="clear" w:color="auto" w:fill="FFC000"/>
          </w:tcPr>
          <w:p w:rsidR="006C3765" w:rsidRPr="00AF5264" w:rsidRDefault="006C3765" w:rsidP="0080674F">
            <w:pPr>
              <w:pStyle w:val="TablesFigText"/>
              <w:rPr>
                <w:rFonts w:ascii="Arial" w:hAnsi="Arial" w:cs="Arial"/>
                <w:sz w:val="18"/>
                <w:szCs w:val="18"/>
              </w:rPr>
            </w:pPr>
            <w:r w:rsidRPr="00AF5264">
              <w:rPr>
                <w:rFonts w:ascii="Arial" w:hAnsi="Arial" w:cs="Arial"/>
                <w:sz w:val="18"/>
                <w:szCs w:val="18"/>
              </w:rPr>
              <w:t>X</w:t>
            </w:r>
          </w:p>
        </w:tc>
        <w:tc>
          <w:tcPr>
            <w:tcW w:w="1134" w:type="dxa"/>
            <w:shd w:val="clear" w:color="auto" w:fill="FFC000"/>
          </w:tcPr>
          <w:p w:rsidR="006C3765" w:rsidRPr="00AF5264" w:rsidRDefault="006C3765" w:rsidP="0080674F">
            <w:pPr>
              <w:pStyle w:val="TablesFigText"/>
              <w:rPr>
                <w:rFonts w:ascii="Arial" w:hAnsi="Arial" w:cs="Arial"/>
                <w:sz w:val="18"/>
                <w:szCs w:val="18"/>
              </w:rPr>
            </w:pPr>
            <w:r w:rsidRPr="00AF5264">
              <w:rPr>
                <w:rFonts w:ascii="Arial" w:hAnsi="Arial" w:cs="Arial"/>
                <w:sz w:val="18"/>
                <w:szCs w:val="18"/>
              </w:rPr>
              <w:t>Yes</w:t>
            </w:r>
          </w:p>
        </w:tc>
      </w:tr>
      <w:tr w:rsidR="006C3765" w:rsidTr="0080674F">
        <w:tc>
          <w:tcPr>
            <w:tcW w:w="4243" w:type="dxa"/>
          </w:tcPr>
          <w:p w:rsidR="006C3765" w:rsidRPr="00AF5264" w:rsidRDefault="006C3765" w:rsidP="0080674F">
            <w:pPr>
              <w:pStyle w:val="TablesFigText"/>
              <w:ind w:left="318"/>
              <w:jc w:val="left"/>
              <w:rPr>
                <w:rFonts w:ascii="Arial" w:hAnsi="Arial" w:cs="Arial"/>
                <w:sz w:val="18"/>
                <w:szCs w:val="18"/>
              </w:rPr>
            </w:pPr>
            <w:r w:rsidRPr="00AF5264">
              <w:rPr>
                <w:rFonts w:ascii="Arial" w:hAnsi="Arial" w:cs="Arial"/>
                <w:sz w:val="18"/>
                <w:szCs w:val="18"/>
              </w:rPr>
              <w:t>Estate tax / inheritance tax</w:t>
            </w:r>
          </w:p>
        </w:tc>
        <w:tc>
          <w:tcPr>
            <w:tcW w:w="708" w:type="dxa"/>
          </w:tcPr>
          <w:p w:rsidR="006C3765" w:rsidRPr="00AF5264" w:rsidRDefault="006C3765" w:rsidP="0080674F">
            <w:pPr>
              <w:pStyle w:val="TablesFigText"/>
              <w:rPr>
                <w:rFonts w:ascii="Arial" w:hAnsi="Arial" w:cs="Arial"/>
                <w:sz w:val="18"/>
                <w:szCs w:val="18"/>
              </w:rPr>
            </w:pPr>
          </w:p>
        </w:tc>
        <w:tc>
          <w:tcPr>
            <w:tcW w:w="709" w:type="dxa"/>
          </w:tcPr>
          <w:p w:rsidR="006C3765" w:rsidRPr="00AF5264" w:rsidRDefault="006C3765" w:rsidP="0080674F">
            <w:pPr>
              <w:pStyle w:val="TablesFigText"/>
              <w:rPr>
                <w:rFonts w:ascii="Arial" w:hAnsi="Arial" w:cs="Arial"/>
                <w:sz w:val="18"/>
                <w:szCs w:val="18"/>
              </w:rPr>
            </w:pPr>
          </w:p>
        </w:tc>
        <w:tc>
          <w:tcPr>
            <w:tcW w:w="861" w:type="dxa"/>
          </w:tcPr>
          <w:p w:rsidR="006C3765" w:rsidRPr="00AF5264" w:rsidRDefault="006C3765" w:rsidP="0080674F">
            <w:pPr>
              <w:pStyle w:val="TablesFigText"/>
              <w:rPr>
                <w:rFonts w:ascii="Arial" w:hAnsi="Arial" w:cs="Arial"/>
                <w:sz w:val="18"/>
                <w:szCs w:val="18"/>
              </w:rPr>
            </w:pPr>
          </w:p>
        </w:tc>
        <w:tc>
          <w:tcPr>
            <w:tcW w:w="1134" w:type="dxa"/>
          </w:tcPr>
          <w:p w:rsidR="006C3765" w:rsidRPr="00AF5264" w:rsidRDefault="006C3765" w:rsidP="0080674F">
            <w:pPr>
              <w:pStyle w:val="TablesFigText"/>
              <w:rPr>
                <w:rFonts w:ascii="Arial" w:hAnsi="Arial" w:cs="Arial"/>
                <w:b/>
                <w:sz w:val="18"/>
                <w:szCs w:val="18"/>
              </w:rPr>
            </w:pPr>
            <w:r w:rsidRPr="00AF5264">
              <w:rPr>
                <w:rFonts w:ascii="Arial" w:hAnsi="Arial" w:cs="Arial"/>
                <w:b/>
                <w:sz w:val="18"/>
                <w:szCs w:val="18"/>
              </w:rPr>
              <w:t>No</w:t>
            </w:r>
          </w:p>
        </w:tc>
      </w:tr>
      <w:tr w:rsidR="006C3765" w:rsidTr="0080674F">
        <w:tc>
          <w:tcPr>
            <w:tcW w:w="4243" w:type="dxa"/>
          </w:tcPr>
          <w:p w:rsidR="006C3765" w:rsidRPr="00AF5264" w:rsidRDefault="006C3765" w:rsidP="0080674F">
            <w:pPr>
              <w:pStyle w:val="TablesFigText"/>
              <w:ind w:left="318"/>
              <w:jc w:val="left"/>
              <w:rPr>
                <w:rFonts w:ascii="Arial" w:hAnsi="Arial" w:cs="Arial"/>
                <w:sz w:val="18"/>
                <w:szCs w:val="18"/>
              </w:rPr>
            </w:pPr>
            <w:r w:rsidRPr="00AF5264">
              <w:rPr>
                <w:rFonts w:ascii="Arial" w:hAnsi="Arial" w:cs="Arial"/>
                <w:sz w:val="18"/>
                <w:szCs w:val="18"/>
              </w:rPr>
              <w:t>GST on non-residential rents</w:t>
            </w:r>
          </w:p>
        </w:tc>
        <w:tc>
          <w:tcPr>
            <w:tcW w:w="708" w:type="dxa"/>
          </w:tcPr>
          <w:p w:rsidR="006C3765" w:rsidRPr="00AF5264" w:rsidRDefault="006C3765" w:rsidP="0080674F">
            <w:pPr>
              <w:pStyle w:val="TablesFigText"/>
              <w:rPr>
                <w:rFonts w:ascii="Arial" w:hAnsi="Arial" w:cs="Arial"/>
                <w:sz w:val="18"/>
                <w:szCs w:val="18"/>
              </w:rPr>
            </w:pPr>
          </w:p>
        </w:tc>
        <w:tc>
          <w:tcPr>
            <w:tcW w:w="709" w:type="dxa"/>
          </w:tcPr>
          <w:p w:rsidR="006C3765" w:rsidRPr="00AF5264" w:rsidRDefault="006C3765" w:rsidP="0080674F">
            <w:pPr>
              <w:pStyle w:val="TablesFigText"/>
              <w:rPr>
                <w:rFonts w:ascii="Arial" w:hAnsi="Arial" w:cs="Arial"/>
                <w:sz w:val="18"/>
                <w:szCs w:val="18"/>
              </w:rPr>
            </w:pPr>
          </w:p>
        </w:tc>
        <w:tc>
          <w:tcPr>
            <w:tcW w:w="861" w:type="dxa"/>
          </w:tcPr>
          <w:p w:rsidR="006C3765" w:rsidRPr="00AF5264" w:rsidRDefault="006C3765" w:rsidP="0080674F">
            <w:pPr>
              <w:pStyle w:val="TablesFigText"/>
              <w:rPr>
                <w:rFonts w:ascii="Arial" w:hAnsi="Arial" w:cs="Arial"/>
                <w:sz w:val="18"/>
                <w:szCs w:val="18"/>
              </w:rPr>
            </w:pPr>
            <w:r w:rsidRPr="00AF5264">
              <w:rPr>
                <w:rFonts w:ascii="Arial" w:hAnsi="Arial" w:cs="Arial"/>
                <w:sz w:val="18"/>
                <w:szCs w:val="18"/>
              </w:rPr>
              <w:t>X</w:t>
            </w:r>
          </w:p>
        </w:tc>
        <w:tc>
          <w:tcPr>
            <w:tcW w:w="1134" w:type="dxa"/>
          </w:tcPr>
          <w:p w:rsidR="006C3765" w:rsidRPr="00AF5264" w:rsidRDefault="006C3765" w:rsidP="0080674F">
            <w:pPr>
              <w:pStyle w:val="TablesFigText"/>
              <w:rPr>
                <w:rFonts w:ascii="Arial" w:hAnsi="Arial" w:cs="Arial"/>
                <w:sz w:val="18"/>
                <w:szCs w:val="18"/>
              </w:rPr>
            </w:pPr>
            <w:r w:rsidRPr="00AF5264">
              <w:rPr>
                <w:rFonts w:ascii="Arial" w:hAnsi="Arial" w:cs="Arial"/>
                <w:sz w:val="18"/>
                <w:szCs w:val="18"/>
              </w:rPr>
              <w:t>Yes</w:t>
            </w:r>
          </w:p>
        </w:tc>
      </w:tr>
    </w:tbl>
    <w:p w:rsidR="006C3765" w:rsidRPr="00DA0C24" w:rsidRDefault="006C3765" w:rsidP="006C3765">
      <w:pPr>
        <w:spacing w:after="0" w:line="240" w:lineRule="auto"/>
        <w:rPr>
          <w:rFonts w:cs="Arial"/>
          <w:sz w:val="18"/>
          <w:szCs w:val="18"/>
        </w:rPr>
      </w:pPr>
      <w:r>
        <w:rPr>
          <w:b/>
          <w:szCs w:val="20"/>
        </w:rPr>
        <w:t xml:space="preserve">         </w:t>
      </w:r>
      <w:r>
        <w:rPr>
          <w:b/>
          <w:szCs w:val="20"/>
        </w:rPr>
        <w:tab/>
      </w:r>
      <w:r w:rsidRPr="00172E35">
        <w:rPr>
          <w:rFonts w:cs="Arial"/>
          <w:sz w:val="18"/>
          <w:szCs w:val="18"/>
        </w:rPr>
        <w:t>†</w:t>
      </w:r>
      <w:r w:rsidRPr="00DA0C24">
        <w:rPr>
          <w:rFonts w:cs="Arial"/>
          <w:sz w:val="18"/>
          <w:szCs w:val="18"/>
        </w:rPr>
        <w:t>Tax expended on the principle place of residence, ^Tax offset afforded through negative gearing</w:t>
      </w:r>
    </w:p>
    <w:p w:rsidR="006C3765" w:rsidRDefault="006C3765" w:rsidP="00AA0EE7">
      <w:pPr>
        <w:jc w:val="both"/>
        <w:rPr>
          <w:rFonts w:cs="Arial"/>
          <w:szCs w:val="20"/>
        </w:rPr>
      </w:pPr>
    </w:p>
    <w:p w:rsidR="00C43ECF" w:rsidRPr="00AF5264" w:rsidRDefault="00C43ECF" w:rsidP="00C43ECF">
      <w:pPr>
        <w:spacing w:after="0"/>
        <w:rPr>
          <w:rFonts w:cs="Arial"/>
          <w:b/>
          <w:sz w:val="22"/>
        </w:rPr>
      </w:pPr>
      <w:r w:rsidRPr="00AF5264">
        <w:rPr>
          <w:rFonts w:cs="Arial"/>
          <w:b/>
          <w:sz w:val="22"/>
        </w:rPr>
        <w:t>Tax</w:t>
      </w:r>
      <w:r>
        <w:rPr>
          <w:rFonts w:cs="Arial"/>
          <w:b/>
          <w:sz w:val="22"/>
        </w:rPr>
        <w:t xml:space="preserve"> R</w:t>
      </w:r>
      <w:r w:rsidRPr="00AF5264">
        <w:rPr>
          <w:rFonts w:cs="Arial"/>
          <w:b/>
          <w:sz w:val="22"/>
        </w:rPr>
        <w:t>eform</w:t>
      </w:r>
      <w:r>
        <w:rPr>
          <w:rFonts w:cs="Arial"/>
          <w:b/>
          <w:sz w:val="22"/>
        </w:rPr>
        <w:t xml:space="preserve"> O</w:t>
      </w:r>
      <w:r w:rsidRPr="00AF5264">
        <w:rPr>
          <w:rFonts w:cs="Arial"/>
          <w:b/>
          <w:sz w:val="22"/>
        </w:rPr>
        <w:t>ption</w:t>
      </w:r>
      <w:r>
        <w:rPr>
          <w:rFonts w:cs="Arial"/>
          <w:b/>
          <w:sz w:val="22"/>
        </w:rPr>
        <w:t>s</w:t>
      </w:r>
    </w:p>
    <w:p w:rsidR="00C43ECF" w:rsidRPr="002320F0" w:rsidRDefault="00C43ECF" w:rsidP="00C43ECF">
      <w:pPr>
        <w:jc w:val="both"/>
      </w:pPr>
      <w:r>
        <w:t xml:space="preserve">The case for </w:t>
      </w:r>
      <w:r w:rsidR="006660D2">
        <w:t>the</w:t>
      </w:r>
      <w:r>
        <w:t xml:space="preserve"> reform </w:t>
      </w:r>
      <w:r w:rsidR="006660D2">
        <w:t>of property taxes is</w:t>
      </w:r>
      <w:r>
        <w:t xml:space="preserve"> made on a number of bases, of which the two main tax expenditures relate to the tax exemption of the owner-occupied residence for capital gains tax and land tax. This section considers a recurrent land tax in contrast to a potential capital gains tax on the home and more specifically as a replacement for less efficient conveyance stamp duty. It then examines the amortised cost of a land tax to home buyers determined on the average holding periods of housing in the capital cities of Australia.</w:t>
      </w:r>
    </w:p>
    <w:p w:rsidR="00C43ECF" w:rsidRPr="00122BA3" w:rsidRDefault="00C43ECF" w:rsidP="00C43ECF">
      <w:pPr>
        <w:spacing w:after="0"/>
        <w:rPr>
          <w:rFonts w:cs="Arial"/>
          <w:i/>
          <w:szCs w:val="20"/>
        </w:rPr>
      </w:pPr>
      <w:r w:rsidRPr="00122BA3">
        <w:rPr>
          <w:rFonts w:cs="Arial"/>
          <w:b/>
          <w:i/>
          <w:szCs w:val="20"/>
        </w:rPr>
        <w:t>Land tax as a capital gains tax</w:t>
      </w:r>
    </w:p>
    <w:p w:rsidR="00C43ECF" w:rsidRPr="006813F7" w:rsidRDefault="00C43ECF" w:rsidP="00C43ECF">
      <w:pPr>
        <w:jc w:val="both"/>
      </w:pPr>
      <w:r>
        <w:t xml:space="preserve">As </w:t>
      </w:r>
      <w:r w:rsidR="006660D2">
        <w:t>highlighted recently</w:t>
      </w:r>
      <w:r>
        <w:t xml:space="preserve">, the tax expended on property is predominantly attributed to the principle place of residence in the absence of land tax and capital gains tax. </w:t>
      </w:r>
      <w:r w:rsidRPr="004416BA">
        <w:t>Under the Capital Gains</w:t>
      </w:r>
      <w:r w:rsidRPr="006813F7">
        <w:t xml:space="preserve"> Tax (CGT) provisions of the I</w:t>
      </w:r>
      <w:r>
        <w:t xml:space="preserve">ncome </w:t>
      </w:r>
      <w:r w:rsidRPr="006813F7">
        <w:t>T</w:t>
      </w:r>
      <w:r>
        <w:t xml:space="preserve">ax </w:t>
      </w:r>
      <w:r w:rsidRPr="006813F7">
        <w:t>A</w:t>
      </w:r>
      <w:r>
        <w:t xml:space="preserve">ssessment </w:t>
      </w:r>
      <w:r w:rsidRPr="006813F7">
        <w:t>A</w:t>
      </w:r>
      <w:r>
        <w:t>ct</w:t>
      </w:r>
      <w:r w:rsidRPr="006813F7">
        <w:t xml:space="preserve"> </w:t>
      </w:r>
      <w:r>
        <w:t>19</w:t>
      </w:r>
      <w:r w:rsidRPr="006813F7">
        <w:t>97, s118-110, the main residence is exempt from income tax on any capital gain made while maintained as the principle residence of the taxpayer. Arguably this exemption has led to the over capitalisation of the main residence at the expense of more productive investment, a situation that exist</w:t>
      </w:r>
      <w:r>
        <w:t>s</w:t>
      </w:r>
      <w:r w:rsidRPr="006813F7">
        <w:t xml:space="preserve"> </w:t>
      </w:r>
      <w:r>
        <w:t>in New Zealand and in Australia, (Barrett &amp; Veal 2012:584).</w:t>
      </w:r>
    </w:p>
    <w:p w:rsidR="00C43ECF" w:rsidRPr="0009412E" w:rsidRDefault="00C43ECF" w:rsidP="00C43ECF">
      <w:pPr>
        <w:jc w:val="both"/>
      </w:pPr>
      <w:r w:rsidRPr="0009412E">
        <w:t xml:space="preserve">However, if a land tax was introduced that </w:t>
      </w:r>
      <w:r>
        <w:t>addressed</w:t>
      </w:r>
      <w:r w:rsidRPr="0009412E">
        <w:t xml:space="preserve"> both vertical and horizontal equity</w:t>
      </w:r>
      <w:r>
        <w:t xml:space="preserve"> of taxpayers,</w:t>
      </w:r>
      <w:r w:rsidRPr="0009412E">
        <w:t xml:space="preserve"> th</w:t>
      </w:r>
      <w:r>
        <w:t>e</w:t>
      </w:r>
      <w:r w:rsidRPr="0009412E">
        <w:t xml:space="preserve"> concession for owner-occupied housing can be tolerated</w:t>
      </w:r>
      <w:r>
        <w:t xml:space="preserve"> (Yates 2010</w:t>
      </w:r>
      <w:r w:rsidR="006660D2">
        <w:t>).</w:t>
      </w:r>
      <w:r>
        <w:t>T</w:t>
      </w:r>
      <w:r w:rsidRPr="0009412E">
        <w:t xml:space="preserve">ax </w:t>
      </w:r>
      <w:r>
        <w:t xml:space="preserve">on land </w:t>
      </w:r>
      <w:r w:rsidRPr="0009412E">
        <w:t>overcomes any problems associated with the CGT exemption and the non-taxation of unrealised capital gains. The following provides a summary of the benefits of a land tax</w:t>
      </w:r>
      <w:r>
        <w:t xml:space="preserve"> which incrementally accounts for increases in value</w:t>
      </w:r>
      <w:r w:rsidRPr="0009412E">
        <w:t>:</w:t>
      </w:r>
    </w:p>
    <w:p w:rsidR="00C43ECF" w:rsidRPr="0009412E" w:rsidRDefault="00C43ECF" w:rsidP="00C43ECF">
      <w:pPr>
        <w:ind w:left="720"/>
        <w:jc w:val="both"/>
      </w:pPr>
      <w:r w:rsidRPr="0009412E">
        <w:t xml:space="preserve">In taxing economic rent, or the unearned incremental increases in the land values arising from increasing demand in light of restricted land supply, land taxes can be used as an alternative to replace capital gains tax on owner-occupied housing. As such, they are beneficial in helping to reduce the demand pressures that drive housing affordability problems. Also, by </w:t>
      </w:r>
      <w:r w:rsidRPr="0009412E">
        <w:lastRenderedPageBreak/>
        <w:t>broadening the base and applying the tax on a per holding basis, rather than on aggregate land holding, the recommendation should result in a reduced land tax burden on rental investments properties and should remove one of the disincentives for large-scale (including institutional</w:t>
      </w:r>
      <w:r>
        <w:t>) investments in rental housing (Yates 2010:258).</w:t>
      </w:r>
    </w:p>
    <w:p w:rsidR="00C43ECF" w:rsidRDefault="00C43ECF" w:rsidP="00C43ECF">
      <w:pPr>
        <w:jc w:val="both"/>
      </w:pPr>
      <w:r w:rsidRPr="0009412E">
        <w:t>A tax on all land including owner occupied homes is in effect a tax on the unrealised capital gain on the land. As the value of land increases so does the amount of land tax paid by the landowner</w:t>
      </w:r>
      <w:r>
        <w:t xml:space="preserve"> as t</w:t>
      </w:r>
      <w:r w:rsidRPr="0009412E">
        <w:t xml:space="preserve">he tax </w:t>
      </w:r>
      <w:r>
        <w:t xml:space="preserve">incrementally </w:t>
      </w:r>
      <w:r w:rsidRPr="0009412E">
        <w:t xml:space="preserve">captures the unrealised capital gain on the land. </w:t>
      </w:r>
      <w:r>
        <w:t>As the tax is levied on land value</w:t>
      </w:r>
      <w:r w:rsidRPr="0009412E">
        <w:t>, houses and other improvements may still be over</w:t>
      </w:r>
      <w:r>
        <w:t xml:space="preserve"> or under </w:t>
      </w:r>
      <w:r w:rsidRPr="0009412E">
        <w:t xml:space="preserve">capitalised </w:t>
      </w:r>
      <w:r>
        <w:t>however,</w:t>
      </w:r>
      <w:r w:rsidRPr="0009412E">
        <w:t xml:space="preserve"> additional revenue would be collected from the increase in the value of the land.</w:t>
      </w:r>
    </w:p>
    <w:p w:rsidR="00C43ECF" w:rsidRPr="0009412E" w:rsidRDefault="00C43ECF" w:rsidP="00C43ECF">
      <w:pPr>
        <w:jc w:val="both"/>
      </w:pPr>
      <w:r w:rsidRPr="0009412E">
        <w:t>It is contended that capital gains are mostly land gains misnamed and as such are a form of taxable rent</w:t>
      </w:r>
      <w:r>
        <w:t xml:space="preserve">, </w:t>
      </w:r>
      <w:r w:rsidRPr="0009412E">
        <w:t xml:space="preserve">Gaffney </w:t>
      </w:r>
      <w:r>
        <w:t>(2009),</w:t>
      </w:r>
      <w:r w:rsidRPr="0009412E">
        <w:t xml:space="preserve"> </w:t>
      </w:r>
      <w:r>
        <w:t>in</w:t>
      </w:r>
      <w:r w:rsidRPr="0009412E">
        <w:t xml:space="preserve"> quot</w:t>
      </w:r>
      <w:r>
        <w:t>ing</w:t>
      </w:r>
      <w:r w:rsidRPr="0009412E">
        <w:t xml:space="preserve"> Harry Kahn</w:t>
      </w:r>
      <w:r>
        <w:t xml:space="preserve"> economist, it is </w:t>
      </w:r>
      <w:r w:rsidRPr="0009412E">
        <w:t xml:space="preserve">estimated that unrealised capital gains </w:t>
      </w:r>
      <w:r>
        <w:t>are</w:t>
      </w:r>
      <w:r w:rsidRPr="0009412E">
        <w:t xml:space="preserve"> ten times the value of realised gains. This may well be the </w:t>
      </w:r>
      <w:r>
        <w:t>case</w:t>
      </w:r>
      <w:r w:rsidRPr="0009412E">
        <w:t xml:space="preserve"> in Australia where </w:t>
      </w:r>
      <w:r>
        <w:t>some</w:t>
      </w:r>
      <w:r w:rsidRPr="0009412E">
        <w:t xml:space="preserve"> residents are holding assets that have vast unrealised capital gains that will not be realised for many years to come</w:t>
      </w:r>
      <w:r>
        <w:t>,</w:t>
      </w:r>
      <w:r w:rsidRPr="0009412E">
        <w:t xml:space="preserve"> even though the 50 percent discount may apply</w:t>
      </w:r>
      <w:r>
        <w:t xml:space="preserve"> (</w:t>
      </w:r>
      <w:proofErr w:type="spellStart"/>
      <w:r>
        <w:t>Div</w:t>
      </w:r>
      <w:proofErr w:type="spellEnd"/>
      <w:r>
        <w:t xml:space="preserve"> 115 Income Tax and Assessment Act 1979),</w:t>
      </w:r>
      <w:r w:rsidRPr="0009412E">
        <w:t xml:space="preserve"> </w:t>
      </w:r>
      <w:r w:rsidR="00AE29BA">
        <w:t>o</w:t>
      </w:r>
      <w:r w:rsidRPr="0009412E">
        <w:t xml:space="preserve">r in the case of the main residence, will never be subject to capital gains tax.  </w:t>
      </w:r>
    </w:p>
    <w:p w:rsidR="00C43ECF" w:rsidRPr="0009412E" w:rsidRDefault="00C43ECF" w:rsidP="00C43ECF">
      <w:pPr>
        <w:jc w:val="both"/>
      </w:pPr>
      <w:r>
        <w:t>It is argued</w:t>
      </w:r>
      <w:r w:rsidRPr="0009412E">
        <w:t xml:space="preserve"> that </w:t>
      </w:r>
      <w:r>
        <w:t>a</w:t>
      </w:r>
      <w:r w:rsidRPr="0009412E">
        <w:t xml:space="preserve"> comprehensive tax system recognised unrealised ‘monetised’ gains as income and </w:t>
      </w:r>
      <w:r>
        <w:t xml:space="preserve">is </w:t>
      </w:r>
      <w:r w:rsidRPr="0009412E">
        <w:t>capable of being subject to income tax</w:t>
      </w:r>
      <w:r>
        <w:t xml:space="preserve"> (Cooper cited in Gaffney 2009)</w:t>
      </w:r>
      <w:r w:rsidRPr="0009412E">
        <w:t xml:space="preserve">. On this basis Gaffney </w:t>
      </w:r>
      <w:r>
        <w:t xml:space="preserve">(2009:347) </w:t>
      </w:r>
      <w:r w:rsidRPr="0009412E">
        <w:t>argues for a land tax based on the accrual of value each financial year as a means of gaining ‘huge amounts of revenue that largely escapes taxation’. According</w:t>
      </w:r>
      <w:r>
        <w:t>ly</w:t>
      </w:r>
      <w:r w:rsidRPr="0009412E">
        <w:t xml:space="preserve">, a ‘property tax based on land value, </w:t>
      </w:r>
      <w:r>
        <w:t>taxes both the current rent</w:t>
      </w:r>
      <w:r w:rsidRPr="0009412E">
        <w:t xml:space="preserve"> and the current unearned increment as it accrues’</w:t>
      </w:r>
      <w:r>
        <w:t>, (Ibid)</w:t>
      </w:r>
      <w:r w:rsidRPr="0009412E">
        <w:t xml:space="preserve">. From this perspective, a land tax is very effective because the </w:t>
      </w:r>
      <w:r>
        <w:t xml:space="preserve">economic </w:t>
      </w:r>
      <w:r w:rsidRPr="0009412E">
        <w:t xml:space="preserve">rent from land, </w:t>
      </w:r>
      <w:r>
        <w:t>as advanced by</w:t>
      </w:r>
      <w:r w:rsidRPr="0009412E">
        <w:t xml:space="preserve"> Ricardo </w:t>
      </w:r>
      <w:r>
        <w:t xml:space="preserve">is </w:t>
      </w:r>
      <w:r w:rsidRPr="0009412E">
        <w:t>the economic rent, as a r</w:t>
      </w:r>
      <w:r>
        <w:t>esult of increased land values</w:t>
      </w:r>
      <w:r w:rsidRPr="0009412E">
        <w:t xml:space="preserve">. By having progressive rates of tax applying to the unimproved land value, both forms of rent are subject to tax, namely the rent from owning the land and the economic rent from increases in value. </w:t>
      </w:r>
    </w:p>
    <w:p w:rsidR="00C43ECF" w:rsidRDefault="00C43ECF" w:rsidP="00C43ECF">
      <w:pPr>
        <w:jc w:val="both"/>
      </w:pPr>
      <w:r w:rsidRPr="0009412E">
        <w:t xml:space="preserve">One of the main objections for the imposition of land tax at progressive rates on all property owners is that some residents may be asset rich but income poor. This aspect of a land tax was recognised </w:t>
      </w:r>
      <w:r>
        <w:t>by</w:t>
      </w:r>
      <w:r w:rsidRPr="0009412E">
        <w:t xml:space="preserve"> the </w:t>
      </w:r>
      <w:r>
        <w:t>Commonwealth (2009)</w:t>
      </w:r>
      <w:r w:rsidRPr="0009412E">
        <w:t>. In the ACT property owners that are unable to pay their general rates are allowed to defer payment until the property is finally sold</w:t>
      </w:r>
      <w:r>
        <w:t>, a provision which further exists in the Local Government Act in Victoria</w:t>
      </w:r>
      <w:r w:rsidRPr="0009412E">
        <w:t xml:space="preserve">. As has been stated above, the main group of land owners that are most disadvantaged by a </w:t>
      </w:r>
      <w:r w:rsidR="006660D2">
        <w:t>higher tax on land are the self-</w:t>
      </w:r>
      <w:r w:rsidRPr="0009412E">
        <w:t>funded retire</w:t>
      </w:r>
      <w:r>
        <w:t>e</w:t>
      </w:r>
      <w:r w:rsidRPr="0009412E">
        <w:t>s and recipients of the Age Pension</w:t>
      </w:r>
      <w:r>
        <w:t xml:space="preserve"> (Kelly 2003)</w:t>
      </w:r>
      <w:r w:rsidRPr="0009412E">
        <w:t>. However, it is timely to note that the Commonwealth is aware of the problems facing those elderly Australian</w:t>
      </w:r>
      <w:r>
        <w:t>s</w:t>
      </w:r>
      <w:r w:rsidRPr="0009412E">
        <w:t xml:space="preserve"> receiving an Age Pensio</w:t>
      </w:r>
      <w:r>
        <w:t>n and living in their own home.</w:t>
      </w:r>
    </w:p>
    <w:p w:rsidR="00C43ECF" w:rsidRDefault="00C43ECF" w:rsidP="00C43ECF">
      <w:pPr>
        <w:jc w:val="both"/>
      </w:pPr>
      <w:r>
        <w:t xml:space="preserve">Capacity to pay principle may be measured either on the wealth or income of the tax payer. In the case of land tax, it is determined on the value of land which reflects wealth, rather than the actual income of the taxpayer. It is highlighted by Kelly (2003:8) that over the lifetime of a taxpayer, the relativity between income and wealth may vary significantly. As highlighted in Figure </w:t>
      </w:r>
      <w:r w:rsidR="00801A83">
        <w:t>1</w:t>
      </w:r>
      <w:r>
        <w:t xml:space="preserve">, in the age bracket of 15-24 income is high relative to wealth, which changes in the mid-life bracket of 45-54 where net wealth exceeds income for the first time. In contrast, in the later age brackets of 65-74 and </w:t>
      </w:r>
      <w:r>
        <w:lastRenderedPageBreak/>
        <w:t>75+, income is low relative to net wealth where mortgage debt on property has reduced or has been paid off and income reduces in retirement.</w:t>
      </w:r>
    </w:p>
    <w:p w:rsidR="00C43ECF" w:rsidRPr="00024111" w:rsidRDefault="00C43ECF" w:rsidP="00C43ECF">
      <w:pPr>
        <w:spacing w:after="0" w:line="240" w:lineRule="auto"/>
        <w:ind w:firstLine="720"/>
        <w:rPr>
          <w:rStyle w:val="Heading4Char"/>
          <w:rFonts w:cs="Arial"/>
          <w:sz w:val="18"/>
          <w:szCs w:val="18"/>
        </w:rPr>
      </w:pPr>
      <w:r>
        <w:rPr>
          <w:rStyle w:val="Heading4Char"/>
          <w:rFonts w:cs="Arial"/>
          <w:sz w:val="18"/>
          <w:szCs w:val="18"/>
        </w:rPr>
        <w:t xml:space="preserve">  </w:t>
      </w:r>
      <w:r w:rsidRPr="00024111">
        <w:rPr>
          <w:rStyle w:val="Heading4Char"/>
          <w:rFonts w:cs="Arial"/>
          <w:sz w:val="18"/>
          <w:szCs w:val="18"/>
        </w:rPr>
        <w:t xml:space="preserve">Figure </w:t>
      </w:r>
      <w:r w:rsidR="00801A83">
        <w:rPr>
          <w:rStyle w:val="Heading4Char"/>
          <w:rFonts w:cs="Arial"/>
          <w:sz w:val="18"/>
          <w:szCs w:val="18"/>
        </w:rPr>
        <w:t>1</w:t>
      </w:r>
      <w:r w:rsidRPr="00024111">
        <w:rPr>
          <w:rStyle w:val="Heading4Char"/>
          <w:rFonts w:cs="Arial"/>
          <w:sz w:val="18"/>
          <w:szCs w:val="18"/>
        </w:rPr>
        <w:t xml:space="preserve">: </w:t>
      </w:r>
      <w:r w:rsidRPr="00024111">
        <w:rPr>
          <w:rStyle w:val="Heading4Char"/>
          <w:rFonts w:cs="Arial"/>
          <w:b w:val="0"/>
          <w:sz w:val="18"/>
          <w:szCs w:val="18"/>
        </w:rPr>
        <w:t xml:space="preserve">Changing relativity between income </w:t>
      </w:r>
      <w:r w:rsidR="00F44508">
        <w:rPr>
          <w:rStyle w:val="Heading4Char"/>
          <w:rFonts w:cs="Arial"/>
          <w:b w:val="0"/>
          <w:sz w:val="18"/>
          <w:szCs w:val="18"/>
        </w:rPr>
        <w:t>a</w:t>
      </w:r>
      <w:r w:rsidRPr="00024111">
        <w:rPr>
          <w:rStyle w:val="Heading4Char"/>
          <w:rFonts w:cs="Arial"/>
          <w:b w:val="0"/>
          <w:sz w:val="18"/>
          <w:szCs w:val="18"/>
        </w:rPr>
        <w:t>nd net wealth over taxpayer’s lifecycle</w:t>
      </w:r>
      <w:r w:rsidR="00F44508">
        <w:rPr>
          <w:rStyle w:val="Heading4Char"/>
          <w:rFonts w:cs="Arial"/>
          <w:b w:val="0"/>
          <w:sz w:val="18"/>
          <w:szCs w:val="18"/>
        </w:rPr>
        <w:t xml:space="preserve"> </w:t>
      </w:r>
    </w:p>
    <w:p w:rsidR="00C43ECF" w:rsidRDefault="00C43ECF" w:rsidP="00C43ECF">
      <w:pPr>
        <w:spacing w:after="0" w:line="240" w:lineRule="auto"/>
        <w:jc w:val="center"/>
        <w:rPr>
          <w:rStyle w:val="Heading4Char"/>
          <w:rFonts w:ascii="Calibri" w:hAnsi="Calibri"/>
        </w:rPr>
      </w:pPr>
      <w:r w:rsidRPr="008A20FE">
        <w:rPr>
          <w:noProof/>
          <w:lang w:eastAsia="en-AU"/>
        </w:rPr>
        <w:drawing>
          <wp:inline distT="0" distB="0" distL="0" distR="0" wp14:anchorId="13C840BD" wp14:editId="04683E59">
            <wp:extent cx="4716095" cy="2545690"/>
            <wp:effectExtent l="0" t="0" r="8890" b="762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43ECF" w:rsidRPr="00024111" w:rsidRDefault="00C43ECF" w:rsidP="00C43ECF">
      <w:pPr>
        <w:rPr>
          <w:rFonts w:cs="Arial"/>
          <w:b/>
          <w:sz w:val="24"/>
          <w:szCs w:val="24"/>
        </w:rPr>
      </w:pPr>
      <w:r>
        <w:rPr>
          <w:rStyle w:val="Heading4Char"/>
          <w:rFonts w:ascii="Calibri" w:hAnsi="Calibri"/>
          <w:sz w:val="18"/>
          <w:szCs w:val="18"/>
        </w:rPr>
        <w:t xml:space="preserve">  </w:t>
      </w:r>
      <w:r>
        <w:rPr>
          <w:rStyle w:val="Heading4Char"/>
          <w:rFonts w:ascii="Calibri" w:hAnsi="Calibri"/>
          <w:sz w:val="18"/>
          <w:szCs w:val="18"/>
        </w:rPr>
        <w:tab/>
        <w:t xml:space="preserve">  </w:t>
      </w:r>
      <w:r w:rsidRPr="00024111">
        <w:rPr>
          <w:rStyle w:val="Heading4Char"/>
          <w:rFonts w:cs="Arial"/>
          <w:sz w:val="18"/>
          <w:szCs w:val="18"/>
        </w:rPr>
        <w:t xml:space="preserve">Source: </w:t>
      </w:r>
      <w:r w:rsidRPr="00024111">
        <w:rPr>
          <w:rStyle w:val="Heading4Char"/>
          <w:rFonts w:cs="Arial"/>
          <w:b w:val="0"/>
          <w:sz w:val="18"/>
          <w:szCs w:val="18"/>
        </w:rPr>
        <w:t>Kelly 2003 (cited by South Australian Centre for Economic Studies, 8)</w:t>
      </w:r>
      <w:r w:rsidR="00F44508">
        <w:rPr>
          <w:rStyle w:val="Heading4Char"/>
          <w:rFonts w:cs="Arial"/>
          <w:b w:val="0"/>
          <w:sz w:val="18"/>
          <w:szCs w:val="18"/>
        </w:rPr>
        <w:t xml:space="preserve"> (Y axis = $000)</w:t>
      </w:r>
    </w:p>
    <w:p w:rsidR="00C43ECF" w:rsidRDefault="00C43ECF" w:rsidP="00C43ECF">
      <w:pPr>
        <w:spacing w:line="276" w:lineRule="auto"/>
        <w:rPr>
          <w:rFonts w:cs="Arial"/>
          <w:b/>
          <w:szCs w:val="20"/>
        </w:rPr>
      </w:pPr>
    </w:p>
    <w:p w:rsidR="00C43ECF" w:rsidRPr="00122BA3" w:rsidRDefault="00C43ECF" w:rsidP="00C43ECF">
      <w:pPr>
        <w:spacing w:after="0"/>
        <w:rPr>
          <w:rFonts w:cs="Arial"/>
          <w:b/>
          <w:i/>
          <w:szCs w:val="20"/>
        </w:rPr>
      </w:pPr>
      <w:r>
        <w:rPr>
          <w:rFonts w:cs="Arial"/>
          <w:b/>
          <w:i/>
          <w:szCs w:val="20"/>
        </w:rPr>
        <w:t>C</w:t>
      </w:r>
      <w:r w:rsidRPr="00122BA3">
        <w:rPr>
          <w:rFonts w:cs="Arial"/>
          <w:b/>
          <w:i/>
          <w:szCs w:val="20"/>
        </w:rPr>
        <w:t>onveyance stamp duty</w:t>
      </w:r>
      <w:r>
        <w:rPr>
          <w:rFonts w:cs="Arial"/>
          <w:b/>
          <w:i/>
          <w:szCs w:val="20"/>
        </w:rPr>
        <w:t xml:space="preserve"> and l</w:t>
      </w:r>
      <w:r w:rsidRPr="00122BA3">
        <w:rPr>
          <w:rFonts w:cs="Arial"/>
          <w:b/>
          <w:i/>
          <w:szCs w:val="20"/>
        </w:rPr>
        <w:t>and tax: trends and future directions</w:t>
      </w:r>
    </w:p>
    <w:p w:rsidR="00C43ECF" w:rsidRPr="003662DE" w:rsidRDefault="00C43ECF" w:rsidP="006660D2">
      <w:pPr>
        <w:spacing w:after="120" w:line="240" w:lineRule="auto"/>
        <w:rPr>
          <w:b/>
        </w:rPr>
      </w:pPr>
      <w:r w:rsidRPr="003662DE">
        <w:rPr>
          <w:b/>
          <w:i/>
        </w:rPr>
        <w:t>Home</w:t>
      </w:r>
      <w:r w:rsidRPr="003662DE">
        <w:rPr>
          <w:b/>
        </w:rPr>
        <w:t xml:space="preserve"> Purchasers</w:t>
      </w:r>
    </w:p>
    <w:p w:rsidR="00C43ECF" w:rsidRDefault="00A823BE" w:rsidP="00C43ECF">
      <w:pPr>
        <w:jc w:val="both"/>
      </w:pPr>
      <w:r>
        <w:t xml:space="preserve">Conveyance stamp duty has been identified as one of the most inefficient taxes with high deadweight tax loss impacting entry to housing and decisions to trade up or down (Australia’s Future Tax System 2009).  </w:t>
      </w:r>
      <w:r w:rsidR="00C43ECF">
        <w:t xml:space="preserve">The First Home Owners Grant (FHOG) was introduced in July 2000 to offset the impact of the Goods and Services Tax on new dwellings, and primarily focused on new home owners who had not previously been in the market, (Office of State Revenue 2009:1). This grant is administered by the States under their respective Duties legislation as set out in </w:t>
      </w:r>
      <w:r w:rsidR="00C43ECF" w:rsidRPr="00501D61">
        <w:t xml:space="preserve">Table </w:t>
      </w:r>
      <w:r w:rsidR="00801A83" w:rsidRPr="00501D61">
        <w:t>4</w:t>
      </w:r>
      <w:r w:rsidR="00C43ECF">
        <w:t>, which highlights that in three states the grant is applicable to new dwellings only, while in the other three States the legislation is silent on the type of housing the grant applies to.</w:t>
      </w:r>
    </w:p>
    <w:p w:rsidR="00C43ECF" w:rsidRDefault="00C43ECF" w:rsidP="00C43ECF">
      <w:pPr>
        <w:jc w:val="both"/>
      </w:pPr>
      <w:r>
        <w:t>Given the additional costs of construction resulting from the introduction of the GST, the focus of the FHOG scheme, was in fact to offset impacts of the higher cost of housing and encourage developers to continue to build. The increased cost of housing would be offset by the FHOG for the first home buyer segment and hence would not be impacted by the higher price resulting from the GST. However at the time of introducing the FHOG scheme, it applied to first home owners regardless of whether the housing was new or existing housing. The grant was amended in New South Wales, Queensland and Victoria during 2009 when the FHOG applied to new dwellings only.</w:t>
      </w:r>
    </w:p>
    <w:p w:rsidR="00C43ECF" w:rsidRDefault="00C43ECF" w:rsidP="00C43ECF">
      <w:pPr>
        <w:jc w:val="both"/>
      </w:pPr>
      <w:r>
        <w:t xml:space="preserve">Shortly after its introduction </w:t>
      </w:r>
      <w:proofErr w:type="spellStart"/>
      <w:r>
        <w:t>Kupke</w:t>
      </w:r>
      <w:proofErr w:type="spellEnd"/>
      <w:r>
        <w:t xml:space="preserve"> and Murano (2002) studied the impact of FHOG and identified that it was the single largest factor contributing to first home owners purchasing property. Subsequently, Irvine (2009) in citing surveys carried out by Bankwest and the Mortgage Finance Association of Australia found that only 6.2 per cent of first home buyers cited FHOG as the reason behind their home purchase. This is supported by Chancellor (2013:1) who states that currently only 20 percent of </w:t>
      </w:r>
      <w:r>
        <w:lastRenderedPageBreak/>
        <w:t xml:space="preserve">first home buyers purchase new property, removing access to this incentive for first-home purchaser in New South </w:t>
      </w:r>
      <w:r w:rsidR="00A823BE">
        <w:t>Wales, Victoria and Queensland.</w:t>
      </w:r>
    </w:p>
    <w:p w:rsidR="00A823BE" w:rsidRPr="009E7510" w:rsidRDefault="00A823BE" w:rsidP="00A823BE">
      <w:pPr>
        <w:jc w:val="both"/>
        <w:rPr>
          <w:rFonts w:cs="Arial"/>
          <w:szCs w:val="20"/>
        </w:rPr>
      </w:pPr>
      <w:r w:rsidRPr="009E7510">
        <w:rPr>
          <w:rFonts w:cs="Arial"/>
          <w:szCs w:val="20"/>
        </w:rPr>
        <w:t>While some relief is provided through First Home Owners Grants (FHOG)</w:t>
      </w:r>
      <w:r>
        <w:rPr>
          <w:rFonts w:cs="Arial"/>
          <w:szCs w:val="20"/>
        </w:rPr>
        <w:t xml:space="preserve"> and some exemptions to stamp duty</w:t>
      </w:r>
      <w:r w:rsidRPr="009E7510">
        <w:rPr>
          <w:rFonts w:cs="Arial"/>
          <w:szCs w:val="20"/>
        </w:rPr>
        <w:t>, the replacement of transaction taxes with a broad based land tax applicable to the principle place of residence</w:t>
      </w:r>
      <w:r>
        <w:rPr>
          <w:rFonts w:cs="Arial"/>
          <w:szCs w:val="20"/>
        </w:rPr>
        <w:t>,</w:t>
      </w:r>
      <w:r w:rsidRPr="009E7510">
        <w:rPr>
          <w:rFonts w:cs="Arial"/>
          <w:szCs w:val="20"/>
        </w:rPr>
        <w:t xml:space="preserve"> is a tax option currently expe</w:t>
      </w:r>
      <w:r>
        <w:rPr>
          <w:rFonts w:cs="Arial"/>
          <w:szCs w:val="20"/>
        </w:rPr>
        <w:t>nded by all States of Australia</w:t>
      </w:r>
      <w:r w:rsidRPr="009E7510">
        <w:rPr>
          <w:rFonts w:cs="Arial"/>
          <w:szCs w:val="20"/>
        </w:rPr>
        <w:t xml:space="preserve"> (Yates 2010:48).</w:t>
      </w:r>
      <w:r>
        <w:rPr>
          <w:rFonts w:cs="Arial"/>
          <w:szCs w:val="20"/>
        </w:rPr>
        <w:t xml:space="preserve"> In line with the Commonwealths tax reform recommendations, Wood, Ong, </w:t>
      </w:r>
      <w:proofErr w:type="spellStart"/>
      <w:r>
        <w:rPr>
          <w:rFonts w:cs="Arial"/>
          <w:szCs w:val="20"/>
        </w:rPr>
        <w:t>Cigdem</w:t>
      </w:r>
      <w:proofErr w:type="spellEnd"/>
      <w:r>
        <w:rPr>
          <w:rFonts w:cs="Arial"/>
          <w:szCs w:val="20"/>
        </w:rPr>
        <w:t xml:space="preserve"> &amp; Taylor (2012:24) have modelled the impact of replacing stamp duty with an annual land tax on property in Melbourne City. They found that land values would drop outside a 10 km radius of the city centre resulting from the capitalised cost of a recurrent land tax in contrast to upfront conveyance stamp duty. The transition from stamp duty to a land tax on the home has not been broadly adopted in Australia, however the ACT recently commenced this transition from 1 July 2014 (Quinlan, Smithies &amp; Duncan 2012).</w:t>
      </w:r>
    </w:p>
    <w:p w:rsidR="00C43ECF" w:rsidRPr="00EA2ACE" w:rsidRDefault="00A823BE" w:rsidP="00C43ECF">
      <w:pPr>
        <w:spacing w:after="0" w:line="240" w:lineRule="auto"/>
        <w:ind w:firstLine="720"/>
        <w:jc w:val="both"/>
        <w:rPr>
          <w:b/>
          <w:sz w:val="18"/>
          <w:szCs w:val="18"/>
        </w:rPr>
      </w:pPr>
      <w:r>
        <w:rPr>
          <w:b/>
          <w:sz w:val="18"/>
          <w:szCs w:val="18"/>
        </w:rPr>
        <w:t xml:space="preserve">  </w:t>
      </w:r>
      <w:r w:rsidR="00C43ECF" w:rsidRPr="00EA2ACE">
        <w:rPr>
          <w:b/>
          <w:sz w:val="18"/>
          <w:szCs w:val="18"/>
        </w:rPr>
        <w:t xml:space="preserve">Table </w:t>
      </w:r>
      <w:r w:rsidR="00801A83">
        <w:rPr>
          <w:b/>
          <w:sz w:val="18"/>
          <w:szCs w:val="18"/>
        </w:rPr>
        <w:t>4</w:t>
      </w:r>
      <w:r w:rsidR="00C43ECF" w:rsidRPr="00EA2ACE">
        <w:rPr>
          <w:b/>
          <w:sz w:val="18"/>
          <w:szCs w:val="18"/>
        </w:rPr>
        <w:t xml:space="preserve">: </w:t>
      </w:r>
      <w:r w:rsidR="00C43ECF" w:rsidRPr="00EA2ACE">
        <w:rPr>
          <w:sz w:val="18"/>
          <w:szCs w:val="18"/>
        </w:rPr>
        <w:t>Concessions for pensioners and first home buyers</w:t>
      </w:r>
    </w:p>
    <w:tbl>
      <w:tblPr>
        <w:tblStyle w:val="TableGrid"/>
        <w:tblW w:w="0" w:type="auto"/>
        <w:tblInd w:w="817" w:type="dxa"/>
        <w:tblLook w:val="04A0" w:firstRow="1" w:lastRow="0" w:firstColumn="1" w:lastColumn="0" w:noHBand="0" w:noVBand="1"/>
      </w:tblPr>
      <w:tblGrid>
        <w:gridCol w:w="1188"/>
        <w:gridCol w:w="1761"/>
        <w:gridCol w:w="2763"/>
        <w:gridCol w:w="1659"/>
      </w:tblGrid>
      <w:tr w:rsidR="00C43ECF" w:rsidTr="0080674F">
        <w:tc>
          <w:tcPr>
            <w:tcW w:w="1188" w:type="dxa"/>
          </w:tcPr>
          <w:p w:rsidR="00C43ECF" w:rsidRPr="00231A71" w:rsidRDefault="00C43ECF" w:rsidP="0080674F">
            <w:pPr>
              <w:spacing w:after="0" w:line="240" w:lineRule="auto"/>
              <w:jc w:val="center"/>
              <w:rPr>
                <w:rFonts w:cs="Arial"/>
                <w:b/>
                <w:sz w:val="18"/>
                <w:szCs w:val="18"/>
              </w:rPr>
            </w:pPr>
            <w:r w:rsidRPr="00231A71">
              <w:rPr>
                <w:rFonts w:cs="Arial"/>
                <w:b/>
                <w:sz w:val="18"/>
                <w:szCs w:val="18"/>
              </w:rPr>
              <w:t>State</w:t>
            </w:r>
          </w:p>
        </w:tc>
        <w:tc>
          <w:tcPr>
            <w:tcW w:w="1761" w:type="dxa"/>
          </w:tcPr>
          <w:p w:rsidR="00C43ECF" w:rsidRPr="00231A71" w:rsidRDefault="00C43ECF" w:rsidP="0080674F">
            <w:pPr>
              <w:spacing w:after="0" w:line="240" w:lineRule="auto"/>
              <w:jc w:val="center"/>
              <w:rPr>
                <w:rFonts w:cs="Arial"/>
                <w:b/>
                <w:sz w:val="18"/>
                <w:szCs w:val="18"/>
              </w:rPr>
            </w:pPr>
            <w:r w:rsidRPr="00231A71">
              <w:rPr>
                <w:rFonts w:cs="Arial"/>
                <w:b/>
                <w:sz w:val="18"/>
                <w:szCs w:val="18"/>
              </w:rPr>
              <w:t>Legislation</w:t>
            </w:r>
          </w:p>
        </w:tc>
        <w:tc>
          <w:tcPr>
            <w:tcW w:w="2763" w:type="dxa"/>
          </w:tcPr>
          <w:p w:rsidR="00C43ECF" w:rsidRPr="00231A71" w:rsidRDefault="00C43ECF" w:rsidP="0080674F">
            <w:pPr>
              <w:spacing w:after="0" w:line="240" w:lineRule="auto"/>
              <w:jc w:val="center"/>
              <w:rPr>
                <w:rFonts w:cs="Arial"/>
                <w:b/>
                <w:sz w:val="18"/>
                <w:szCs w:val="18"/>
              </w:rPr>
            </w:pPr>
            <w:r w:rsidRPr="00231A71">
              <w:rPr>
                <w:rFonts w:cs="Arial"/>
                <w:b/>
                <w:sz w:val="18"/>
                <w:szCs w:val="18"/>
              </w:rPr>
              <w:t>Provision</w:t>
            </w:r>
          </w:p>
        </w:tc>
        <w:tc>
          <w:tcPr>
            <w:tcW w:w="1659" w:type="dxa"/>
          </w:tcPr>
          <w:p w:rsidR="00C43ECF" w:rsidRPr="00231A71" w:rsidRDefault="00C43ECF" w:rsidP="0080674F">
            <w:pPr>
              <w:spacing w:after="0" w:line="240" w:lineRule="auto"/>
              <w:jc w:val="center"/>
              <w:rPr>
                <w:rFonts w:cs="Arial"/>
                <w:b/>
                <w:sz w:val="18"/>
                <w:szCs w:val="18"/>
              </w:rPr>
            </w:pPr>
            <w:r>
              <w:rPr>
                <w:rFonts w:cs="Arial"/>
                <w:b/>
                <w:sz w:val="18"/>
                <w:szCs w:val="18"/>
              </w:rPr>
              <w:t>Housing Type</w:t>
            </w:r>
          </w:p>
        </w:tc>
      </w:tr>
      <w:tr w:rsidR="00C43ECF" w:rsidTr="0080674F">
        <w:tc>
          <w:tcPr>
            <w:tcW w:w="1188" w:type="dxa"/>
          </w:tcPr>
          <w:p w:rsidR="00C43ECF" w:rsidRPr="00157967" w:rsidRDefault="00C43ECF" w:rsidP="0080674F">
            <w:pPr>
              <w:spacing w:after="0" w:line="240" w:lineRule="auto"/>
              <w:rPr>
                <w:rFonts w:cs="Arial"/>
                <w:sz w:val="18"/>
                <w:szCs w:val="18"/>
              </w:rPr>
            </w:pPr>
            <w:r w:rsidRPr="00157967">
              <w:rPr>
                <w:rFonts w:cs="Arial"/>
                <w:sz w:val="18"/>
                <w:szCs w:val="18"/>
              </w:rPr>
              <w:t>Victoria</w:t>
            </w:r>
          </w:p>
        </w:tc>
        <w:tc>
          <w:tcPr>
            <w:tcW w:w="1761" w:type="dxa"/>
          </w:tcPr>
          <w:p w:rsidR="00C43ECF" w:rsidRPr="00157967" w:rsidRDefault="00C43ECF" w:rsidP="0080674F">
            <w:pPr>
              <w:spacing w:after="0" w:line="240" w:lineRule="auto"/>
              <w:rPr>
                <w:rFonts w:cs="Arial"/>
                <w:sz w:val="18"/>
                <w:szCs w:val="18"/>
              </w:rPr>
            </w:pPr>
            <w:r w:rsidRPr="00157967">
              <w:rPr>
                <w:rFonts w:cs="Arial"/>
                <w:sz w:val="18"/>
                <w:szCs w:val="18"/>
              </w:rPr>
              <w:t>Duties Act 2000 – Division 5</w:t>
            </w:r>
          </w:p>
        </w:tc>
        <w:tc>
          <w:tcPr>
            <w:tcW w:w="2763" w:type="dxa"/>
          </w:tcPr>
          <w:p w:rsidR="00C43ECF" w:rsidRPr="00157967" w:rsidRDefault="00C43ECF" w:rsidP="00806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 w:val="18"/>
                <w:szCs w:val="18"/>
                <w:lang w:eastAsia="en-AU"/>
              </w:rPr>
            </w:pPr>
            <w:r w:rsidRPr="00157967">
              <w:rPr>
                <w:rFonts w:cs="Arial"/>
                <w:bCs/>
                <w:sz w:val="18"/>
                <w:szCs w:val="18"/>
                <w:lang w:eastAsia="en-AU"/>
              </w:rPr>
              <w:t>Pensioner and first home owner exemptions and concessions</w:t>
            </w:r>
          </w:p>
          <w:p w:rsidR="00C43ECF" w:rsidRPr="00157967" w:rsidRDefault="00C43ECF" w:rsidP="0080674F">
            <w:pPr>
              <w:spacing w:after="0" w:line="240" w:lineRule="auto"/>
              <w:rPr>
                <w:rFonts w:cs="Arial"/>
                <w:sz w:val="18"/>
                <w:szCs w:val="18"/>
              </w:rPr>
            </w:pPr>
          </w:p>
        </w:tc>
        <w:tc>
          <w:tcPr>
            <w:tcW w:w="1659" w:type="dxa"/>
          </w:tcPr>
          <w:p w:rsidR="00C43ECF" w:rsidRPr="00157967" w:rsidRDefault="00C43ECF" w:rsidP="00806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Arial"/>
                <w:bCs/>
                <w:sz w:val="18"/>
                <w:szCs w:val="18"/>
                <w:lang w:eastAsia="en-AU"/>
              </w:rPr>
            </w:pPr>
            <w:r>
              <w:rPr>
                <w:rFonts w:cs="Arial"/>
                <w:bCs/>
                <w:sz w:val="18"/>
                <w:szCs w:val="18"/>
                <w:lang w:eastAsia="en-AU"/>
              </w:rPr>
              <w:t>New</w:t>
            </w:r>
          </w:p>
        </w:tc>
      </w:tr>
      <w:tr w:rsidR="00C43ECF" w:rsidTr="0080674F">
        <w:tc>
          <w:tcPr>
            <w:tcW w:w="1188" w:type="dxa"/>
          </w:tcPr>
          <w:p w:rsidR="00C43ECF" w:rsidRPr="00157967" w:rsidRDefault="00C43ECF" w:rsidP="0080674F">
            <w:pPr>
              <w:spacing w:after="0" w:line="240" w:lineRule="auto"/>
              <w:rPr>
                <w:rFonts w:cs="Arial"/>
                <w:sz w:val="18"/>
                <w:szCs w:val="18"/>
              </w:rPr>
            </w:pPr>
            <w:r w:rsidRPr="00157967">
              <w:rPr>
                <w:rFonts w:cs="Arial"/>
                <w:sz w:val="18"/>
                <w:szCs w:val="18"/>
              </w:rPr>
              <w:t>N</w:t>
            </w:r>
            <w:r>
              <w:rPr>
                <w:rFonts w:cs="Arial"/>
                <w:sz w:val="18"/>
                <w:szCs w:val="18"/>
              </w:rPr>
              <w:t xml:space="preserve">ew </w:t>
            </w:r>
            <w:r w:rsidRPr="00157967">
              <w:rPr>
                <w:rFonts w:cs="Arial"/>
                <w:sz w:val="18"/>
                <w:szCs w:val="18"/>
              </w:rPr>
              <w:t>S</w:t>
            </w:r>
            <w:r>
              <w:rPr>
                <w:rFonts w:cs="Arial"/>
                <w:sz w:val="18"/>
                <w:szCs w:val="18"/>
              </w:rPr>
              <w:t xml:space="preserve">outh </w:t>
            </w:r>
            <w:r w:rsidRPr="00157967">
              <w:rPr>
                <w:rFonts w:cs="Arial"/>
                <w:sz w:val="18"/>
                <w:szCs w:val="18"/>
              </w:rPr>
              <w:t>W</w:t>
            </w:r>
            <w:r>
              <w:rPr>
                <w:rFonts w:cs="Arial"/>
                <w:sz w:val="18"/>
                <w:szCs w:val="18"/>
              </w:rPr>
              <w:t>ales</w:t>
            </w:r>
          </w:p>
        </w:tc>
        <w:tc>
          <w:tcPr>
            <w:tcW w:w="1761" w:type="dxa"/>
          </w:tcPr>
          <w:p w:rsidR="00C43ECF" w:rsidRPr="00157967" w:rsidRDefault="00C43ECF" w:rsidP="0080674F">
            <w:pPr>
              <w:spacing w:after="0" w:line="240" w:lineRule="auto"/>
              <w:rPr>
                <w:rFonts w:cs="Arial"/>
                <w:sz w:val="18"/>
                <w:szCs w:val="18"/>
              </w:rPr>
            </w:pPr>
            <w:r>
              <w:rPr>
                <w:rFonts w:cs="Arial"/>
                <w:sz w:val="18"/>
                <w:szCs w:val="18"/>
              </w:rPr>
              <w:t xml:space="preserve">Duties Act 1997 – Pt 8 </w:t>
            </w:r>
            <w:proofErr w:type="spellStart"/>
            <w:r>
              <w:rPr>
                <w:rFonts w:cs="Arial"/>
                <w:sz w:val="18"/>
                <w:szCs w:val="18"/>
              </w:rPr>
              <w:t>Div</w:t>
            </w:r>
            <w:proofErr w:type="spellEnd"/>
            <w:r>
              <w:rPr>
                <w:rFonts w:cs="Arial"/>
                <w:sz w:val="18"/>
                <w:szCs w:val="18"/>
              </w:rPr>
              <w:t xml:space="preserve"> 1</w:t>
            </w:r>
          </w:p>
        </w:tc>
        <w:tc>
          <w:tcPr>
            <w:tcW w:w="2763" w:type="dxa"/>
          </w:tcPr>
          <w:p w:rsidR="00C43ECF" w:rsidRPr="00157967" w:rsidRDefault="00C43ECF" w:rsidP="0080674F">
            <w:pPr>
              <w:spacing w:after="0" w:line="240" w:lineRule="auto"/>
              <w:rPr>
                <w:rFonts w:cs="Arial"/>
                <w:sz w:val="18"/>
                <w:szCs w:val="18"/>
              </w:rPr>
            </w:pPr>
            <w:r>
              <w:rPr>
                <w:rFonts w:cs="Arial"/>
                <w:sz w:val="18"/>
                <w:szCs w:val="18"/>
              </w:rPr>
              <w:t xml:space="preserve">First New Home </w:t>
            </w:r>
          </w:p>
        </w:tc>
        <w:tc>
          <w:tcPr>
            <w:tcW w:w="1659" w:type="dxa"/>
          </w:tcPr>
          <w:p w:rsidR="00C43ECF" w:rsidRDefault="00C43ECF" w:rsidP="0080674F">
            <w:pPr>
              <w:spacing w:after="0" w:line="240" w:lineRule="auto"/>
              <w:jc w:val="center"/>
              <w:rPr>
                <w:rFonts w:cs="Arial"/>
                <w:sz w:val="18"/>
                <w:szCs w:val="18"/>
              </w:rPr>
            </w:pPr>
            <w:r>
              <w:rPr>
                <w:rFonts w:cs="Arial"/>
                <w:sz w:val="18"/>
                <w:szCs w:val="18"/>
              </w:rPr>
              <w:t>New</w:t>
            </w:r>
          </w:p>
        </w:tc>
      </w:tr>
      <w:tr w:rsidR="00C43ECF" w:rsidTr="0080674F">
        <w:tc>
          <w:tcPr>
            <w:tcW w:w="1188" w:type="dxa"/>
          </w:tcPr>
          <w:p w:rsidR="00C43ECF" w:rsidRPr="00157967" w:rsidRDefault="00C43ECF" w:rsidP="0080674F">
            <w:pPr>
              <w:spacing w:after="0" w:line="240" w:lineRule="auto"/>
              <w:rPr>
                <w:rFonts w:cs="Arial"/>
                <w:sz w:val="18"/>
                <w:szCs w:val="18"/>
              </w:rPr>
            </w:pPr>
            <w:r>
              <w:rPr>
                <w:rFonts w:cs="Arial"/>
                <w:sz w:val="18"/>
                <w:szCs w:val="18"/>
              </w:rPr>
              <w:t>Queensland</w:t>
            </w:r>
          </w:p>
        </w:tc>
        <w:tc>
          <w:tcPr>
            <w:tcW w:w="1761" w:type="dxa"/>
          </w:tcPr>
          <w:p w:rsidR="00C43ECF" w:rsidRPr="00157967" w:rsidRDefault="00C43ECF" w:rsidP="0080674F">
            <w:pPr>
              <w:spacing w:after="0" w:line="240" w:lineRule="auto"/>
              <w:rPr>
                <w:rFonts w:cs="Arial"/>
                <w:sz w:val="18"/>
                <w:szCs w:val="18"/>
              </w:rPr>
            </w:pPr>
            <w:r>
              <w:rPr>
                <w:rFonts w:cs="Arial"/>
                <w:sz w:val="18"/>
                <w:szCs w:val="18"/>
              </w:rPr>
              <w:t xml:space="preserve">Duties Act 2001 – </w:t>
            </w:r>
            <w:proofErr w:type="spellStart"/>
            <w:r>
              <w:rPr>
                <w:rFonts w:cs="Arial"/>
                <w:sz w:val="18"/>
                <w:szCs w:val="18"/>
              </w:rPr>
              <w:t>Div</w:t>
            </w:r>
            <w:proofErr w:type="spellEnd"/>
            <w:r>
              <w:rPr>
                <w:rFonts w:cs="Arial"/>
                <w:sz w:val="18"/>
                <w:szCs w:val="18"/>
              </w:rPr>
              <w:t xml:space="preserve"> 3</w:t>
            </w:r>
          </w:p>
        </w:tc>
        <w:tc>
          <w:tcPr>
            <w:tcW w:w="2763" w:type="dxa"/>
          </w:tcPr>
          <w:p w:rsidR="00C43ECF" w:rsidRPr="00157967" w:rsidRDefault="00C43ECF" w:rsidP="0080674F">
            <w:pPr>
              <w:spacing w:after="0" w:line="240" w:lineRule="auto"/>
              <w:rPr>
                <w:rFonts w:cs="Arial"/>
                <w:sz w:val="18"/>
                <w:szCs w:val="18"/>
              </w:rPr>
            </w:pPr>
            <w:r>
              <w:rPr>
                <w:rFonts w:cs="Arial"/>
                <w:sz w:val="18"/>
                <w:szCs w:val="18"/>
              </w:rPr>
              <w:t>Concessions for homes and first homes</w:t>
            </w:r>
          </w:p>
        </w:tc>
        <w:tc>
          <w:tcPr>
            <w:tcW w:w="1659" w:type="dxa"/>
          </w:tcPr>
          <w:p w:rsidR="00C43ECF" w:rsidRDefault="00C43ECF" w:rsidP="0080674F">
            <w:pPr>
              <w:spacing w:after="0" w:line="240" w:lineRule="auto"/>
              <w:jc w:val="center"/>
              <w:rPr>
                <w:rFonts w:cs="Arial"/>
                <w:sz w:val="18"/>
                <w:szCs w:val="18"/>
              </w:rPr>
            </w:pPr>
            <w:r>
              <w:rPr>
                <w:rFonts w:cs="Arial"/>
                <w:sz w:val="18"/>
                <w:szCs w:val="18"/>
              </w:rPr>
              <w:t>New</w:t>
            </w:r>
          </w:p>
        </w:tc>
      </w:tr>
      <w:tr w:rsidR="00C43ECF" w:rsidTr="0080674F">
        <w:tc>
          <w:tcPr>
            <w:tcW w:w="1188" w:type="dxa"/>
          </w:tcPr>
          <w:p w:rsidR="00C43ECF" w:rsidRPr="00157967" w:rsidRDefault="00C43ECF" w:rsidP="0080674F">
            <w:pPr>
              <w:spacing w:after="0" w:line="240" w:lineRule="auto"/>
              <w:rPr>
                <w:rFonts w:cs="Arial"/>
                <w:sz w:val="18"/>
                <w:szCs w:val="18"/>
              </w:rPr>
            </w:pPr>
            <w:r>
              <w:rPr>
                <w:rFonts w:cs="Arial"/>
                <w:sz w:val="18"/>
                <w:szCs w:val="18"/>
              </w:rPr>
              <w:t>Western Australia</w:t>
            </w:r>
          </w:p>
        </w:tc>
        <w:tc>
          <w:tcPr>
            <w:tcW w:w="1761" w:type="dxa"/>
          </w:tcPr>
          <w:p w:rsidR="00C43ECF" w:rsidRPr="00157967" w:rsidRDefault="00C43ECF" w:rsidP="0080674F">
            <w:pPr>
              <w:spacing w:after="0" w:line="240" w:lineRule="auto"/>
              <w:rPr>
                <w:rFonts w:cs="Arial"/>
                <w:sz w:val="18"/>
                <w:szCs w:val="18"/>
              </w:rPr>
            </w:pPr>
            <w:r>
              <w:rPr>
                <w:rFonts w:cs="Arial"/>
                <w:sz w:val="18"/>
                <w:szCs w:val="18"/>
              </w:rPr>
              <w:t xml:space="preserve">Duties Act 2008 – </w:t>
            </w:r>
            <w:proofErr w:type="spellStart"/>
            <w:r>
              <w:rPr>
                <w:rFonts w:cs="Arial"/>
                <w:sz w:val="18"/>
                <w:szCs w:val="18"/>
              </w:rPr>
              <w:t>Div</w:t>
            </w:r>
            <w:proofErr w:type="spellEnd"/>
            <w:r>
              <w:rPr>
                <w:rFonts w:cs="Arial"/>
                <w:sz w:val="18"/>
                <w:szCs w:val="18"/>
              </w:rPr>
              <w:t xml:space="preserve"> 3</w:t>
            </w:r>
          </w:p>
        </w:tc>
        <w:tc>
          <w:tcPr>
            <w:tcW w:w="2763" w:type="dxa"/>
          </w:tcPr>
          <w:p w:rsidR="00C43ECF" w:rsidRPr="00157967" w:rsidRDefault="00C43ECF" w:rsidP="0080674F">
            <w:pPr>
              <w:spacing w:after="0" w:line="240" w:lineRule="auto"/>
              <w:rPr>
                <w:rFonts w:cs="Arial"/>
                <w:sz w:val="18"/>
                <w:szCs w:val="18"/>
              </w:rPr>
            </w:pPr>
            <w:r>
              <w:rPr>
                <w:rFonts w:cs="Arial"/>
                <w:sz w:val="18"/>
                <w:szCs w:val="18"/>
              </w:rPr>
              <w:t>First home owners concession</w:t>
            </w:r>
          </w:p>
        </w:tc>
        <w:tc>
          <w:tcPr>
            <w:tcW w:w="1659" w:type="dxa"/>
          </w:tcPr>
          <w:p w:rsidR="00C43ECF" w:rsidRDefault="00C43ECF" w:rsidP="0080674F">
            <w:pPr>
              <w:spacing w:after="0" w:line="240" w:lineRule="auto"/>
              <w:jc w:val="center"/>
              <w:rPr>
                <w:rFonts w:cs="Arial"/>
                <w:sz w:val="18"/>
                <w:szCs w:val="18"/>
              </w:rPr>
            </w:pPr>
            <w:r>
              <w:rPr>
                <w:rFonts w:cs="Arial"/>
                <w:sz w:val="18"/>
                <w:szCs w:val="18"/>
              </w:rPr>
              <w:t>Not specified</w:t>
            </w:r>
          </w:p>
        </w:tc>
      </w:tr>
      <w:tr w:rsidR="00C43ECF" w:rsidTr="0080674F">
        <w:tc>
          <w:tcPr>
            <w:tcW w:w="1188" w:type="dxa"/>
          </w:tcPr>
          <w:p w:rsidR="00C43ECF" w:rsidRPr="00157967" w:rsidRDefault="00C43ECF" w:rsidP="0080674F">
            <w:pPr>
              <w:spacing w:after="0" w:line="240" w:lineRule="auto"/>
              <w:rPr>
                <w:rFonts w:cs="Arial"/>
                <w:sz w:val="18"/>
                <w:szCs w:val="18"/>
              </w:rPr>
            </w:pPr>
            <w:r>
              <w:rPr>
                <w:rFonts w:cs="Arial"/>
                <w:sz w:val="18"/>
                <w:szCs w:val="18"/>
              </w:rPr>
              <w:t>South Australia</w:t>
            </w:r>
          </w:p>
        </w:tc>
        <w:tc>
          <w:tcPr>
            <w:tcW w:w="1761" w:type="dxa"/>
          </w:tcPr>
          <w:p w:rsidR="00C43ECF" w:rsidRPr="00157967" w:rsidRDefault="00C43ECF" w:rsidP="0080674F">
            <w:pPr>
              <w:spacing w:after="0" w:line="240" w:lineRule="auto"/>
              <w:rPr>
                <w:rFonts w:cs="Arial"/>
                <w:sz w:val="18"/>
                <w:szCs w:val="18"/>
              </w:rPr>
            </w:pPr>
            <w:r>
              <w:rPr>
                <w:rFonts w:cs="Arial"/>
                <w:sz w:val="18"/>
                <w:szCs w:val="18"/>
              </w:rPr>
              <w:t>Stamp Duties Act 1923</w:t>
            </w:r>
          </w:p>
        </w:tc>
        <w:tc>
          <w:tcPr>
            <w:tcW w:w="2763" w:type="dxa"/>
          </w:tcPr>
          <w:p w:rsidR="00C43ECF" w:rsidRPr="00157967" w:rsidRDefault="00C43ECF" w:rsidP="0080674F">
            <w:pPr>
              <w:spacing w:after="0" w:line="240" w:lineRule="auto"/>
              <w:rPr>
                <w:rFonts w:cs="Arial"/>
                <w:sz w:val="18"/>
                <w:szCs w:val="18"/>
              </w:rPr>
            </w:pPr>
            <w:r>
              <w:rPr>
                <w:rFonts w:cs="Arial"/>
                <w:sz w:val="18"/>
                <w:szCs w:val="18"/>
              </w:rPr>
              <w:t xml:space="preserve">s71c </w:t>
            </w:r>
            <w:r w:rsidRPr="00231A71">
              <w:rPr>
                <w:rFonts w:cs="Arial"/>
                <w:sz w:val="18"/>
                <w:szCs w:val="18"/>
              </w:rPr>
              <w:t xml:space="preserve">Concessional rates of </w:t>
            </w:r>
            <w:hyperlink r:id="rId11" w:anchor="duty" w:history="1">
              <w:r w:rsidRPr="00F556F8">
                <w:rPr>
                  <w:rStyle w:val="Hyperlink"/>
                  <w:rFonts w:eastAsiaTheme="majorEastAsia" w:cs="Arial"/>
                  <w:color w:val="000000" w:themeColor="text1"/>
                  <w:sz w:val="18"/>
                  <w:szCs w:val="18"/>
                  <w:u w:val="none"/>
                </w:rPr>
                <w:t>duty</w:t>
              </w:r>
            </w:hyperlink>
            <w:r w:rsidRPr="00F556F8">
              <w:rPr>
                <w:rFonts w:cs="Arial"/>
                <w:color w:val="000000" w:themeColor="text1"/>
                <w:sz w:val="18"/>
                <w:szCs w:val="18"/>
              </w:rPr>
              <w:t xml:space="preserve"> in</w:t>
            </w:r>
            <w:r w:rsidRPr="00231A71">
              <w:rPr>
                <w:rFonts w:cs="Arial"/>
                <w:sz w:val="18"/>
                <w:szCs w:val="18"/>
              </w:rPr>
              <w:t xml:space="preserve"> respect of purchase of first home</w:t>
            </w:r>
          </w:p>
        </w:tc>
        <w:tc>
          <w:tcPr>
            <w:tcW w:w="1659" w:type="dxa"/>
          </w:tcPr>
          <w:p w:rsidR="00C43ECF" w:rsidRDefault="00C43ECF" w:rsidP="0080674F">
            <w:pPr>
              <w:spacing w:after="0" w:line="240" w:lineRule="auto"/>
              <w:jc w:val="center"/>
              <w:rPr>
                <w:rFonts w:cs="Arial"/>
                <w:sz w:val="18"/>
                <w:szCs w:val="18"/>
              </w:rPr>
            </w:pPr>
            <w:r>
              <w:rPr>
                <w:rFonts w:cs="Arial"/>
                <w:sz w:val="18"/>
                <w:szCs w:val="18"/>
              </w:rPr>
              <w:t>Not specified</w:t>
            </w:r>
          </w:p>
        </w:tc>
      </w:tr>
      <w:tr w:rsidR="00C43ECF" w:rsidTr="0080674F">
        <w:tc>
          <w:tcPr>
            <w:tcW w:w="1188" w:type="dxa"/>
          </w:tcPr>
          <w:p w:rsidR="00C43ECF" w:rsidRPr="00157967" w:rsidRDefault="00C43ECF" w:rsidP="0080674F">
            <w:pPr>
              <w:spacing w:after="0" w:line="240" w:lineRule="auto"/>
              <w:rPr>
                <w:rFonts w:cs="Arial"/>
                <w:sz w:val="18"/>
                <w:szCs w:val="18"/>
              </w:rPr>
            </w:pPr>
            <w:r>
              <w:rPr>
                <w:rFonts w:cs="Arial"/>
                <w:sz w:val="18"/>
                <w:szCs w:val="18"/>
              </w:rPr>
              <w:t>Tasmania</w:t>
            </w:r>
          </w:p>
        </w:tc>
        <w:tc>
          <w:tcPr>
            <w:tcW w:w="1761" w:type="dxa"/>
          </w:tcPr>
          <w:p w:rsidR="00C43ECF" w:rsidRPr="00157967" w:rsidRDefault="00C43ECF" w:rsidP="0080674F">
            <w:pPr>
              <w:spacing w:after="0" w:line="240" w:lineRule="auto"/>
              <w:rPr>
                <w:rFonts w:cs="Arial"/>
                <w:sz w:val="18"/>
                <w:szCs w:val="18"/>
              </w:rPr>
            </w:pPr>
            <w:r>
              <w:rPr>
                <w:rFonts w:cs="Arial"/>
                <w:sz w:val="18"/>
                <w:szCs w:val="18"/>
              </w:rPr>
              <w:t>Duties Act 2001</w:t>
            </w:r>
          </w:p>
        </w:tc>
        <w:tc>
          <w:tcPr>
            <w:tcW w:w="2763" w:type="dxa"/>
          </w:tcPr>
          <w:p w:rsidR="00C43ECF" w:rsidRPr="00157967" w:rsidRDefault="00C43ECF" w:rsidP="0080674F">
            <w:pPr>
              <w:spacing w:after="0" w:line="240" w:lineRule="auto"/>
              <w:rPr>
                <w:rFonts w:cs="Arial"/>
                <w:sz w:val="18"/>
                <w:szCs w:val="18"/>
              </w:rPr>
            </w:pPr>
            <w:r>
              <w:rPr>
                <w:rFonts w:cs="Arial"/>
                <w:sz w:val="18"/>
                <w:szCs w:val="18"/>
              </w:rPr>
              <w:t>s36G Exemptions and concessions</w:t>
            </w:r>
          </w:p>
        </w:tc>
        <w:tc>
          <w:tcPr>
            <w:tcW w:w="1659" w:type="dxa"/>
          </w:tcPr>
          <w:p w:rsidR="00C43ECF" w:rsidRDefault="00C43ECF" w:rsidP="0080674F">
            <w:pPr>
              <w:spacing w:after="0" w:line="240" w:lineRule="auto"/>
              <w:jc w:val="center"/>
              <w:rPr>
                <w:rFonts w:cs="Arial"/>
                <w:sz w:val="18"/>
                <w:szCs w:val="18"/>
              </w:rPr>
            </w:pPr>
            <w:r>
              <w:rPr>
                <w:rFonts w:cs="Arial"/>
                <w:sz w:val="18"/>
                <w:szCs w:val="18"/>
              </w:rPr>
              <w:t>New from 2014</w:t>
            </w:r>
          </w:p>
        </w:tc>
      </w:tr>
    </w:tbl>
    <w:p w:rsidR="00C43ECF" w:rsidRPr="00EA2ACE" w:rsidRDefault="00C43ECF" w:rsidP="00C43ECF">
      <w:pPr>
        <w:pStyle w:val="Heading3"/>
        <w:spacing w:before="0" w:after="0" w:line="240" w:lineRule="auto"/>
        <w:rPr>
          <w:rFonts w:ascii="Arial" w:hAnsi="Arial" w:cs="Arial"/>
          <w:sz w:val="18"/>
          <w:szCs w:val="18"/>
        </w:rPr>
      </w:pPr>
      <w:r>
        <w:rPr>
          <w:rFonts w:ascii="Arial" w:hAnsi="Arial" w:cs="Arial"/>
          <w:sz w:val="22"/>
        </w:rPr>
        <w:tab/>
      </w:r>
      <w:r w:rsidR="00A823BE">
        <w:rPr>
          <w:rFonts w:ascii="Arial" w:hAnsi="Arial" w:cs="Arial"/>
          <w:sz w:val="22"/>
        </w:rPr>
        <w:t xml:space="preserve">  </w:t>
      </w:r>
      <w:r w:rsidRPr="00EA2ACE">
        <w:rPr>
          <w:rFonts w:ascii="Arial" w:hAnsi="Arial" w:cs="Arial"/>
          <w:sz w:val="18"/>
          <w:szCs w:val="18"/>
        </w:rPr>
        <w:t xml:space="preserve">Source: </w:t>
      </w:r>
      <w:r w:rsidRPr="00D352F4">
        <w:rPr>
          <w:rFonts w:ascii="Arial" w:hAnsi="Arial" w:cs="Arial"/>
          <w:b w:val="0"/>
          <w:sz w:val="18"/>
          <w:szCs w:val="18"/>
        </w:rPr>
        <w:t xml:space="preserve">Various State Duties </w:t>
      </w:r>
      <w:r>
        <w:rPr>
          <w:rFonts w:ascii="Arial" w:hAnsi="Arial" w:cs="Arial"/>
          <w:b w:val="0"/>
          <w:sz w:val="18"/>
          <w:szCs w:val="18"/>
        </w:rPr>
        <w:t xml:space="preserve">/ Stamp Duties </w:t>
      </w:r>
      <w:r w:rsidRPr="00D352F4">
        <w:rPr>
          <w:rFonts w:ascii="Arial" w:hAnsi="Arial" w:cs="Arial"/>
          <w:b w:val="0"/>
          <w:sz w:val="18"/>
          <w:szCs w:val="18"/>
        </w:rPr>
        <w:t>Acts</w:t>
      </w:r>
      <w:r>
        <w:rPr>
          <w:rFonts w:ascii="Arial" w:hAnsi="Arial" w:cs="Arial"/>
          <w:sz w:val="18"/>
          <w:szCs w:val="18"/>
        </w:rPr>
        <w:t xml:space="preserve"> </w:t>
      </w:r>
    </w:p>
    <w:p w:rsidR="00C43ECF" w:rsidRDefault="00C43ECF" w:rsidP="00C43ECF">
      <w:pPr>
        <w:spacing w:after="0" w:line="240" w:lineRule="auto"/>
        <w:jc w:val="both"/>
        <w:rPr>
          <w:b/>
          <w:i/>
        </w:rPr>
      </w:pPr>
    </w:p>
    <w:p w:rsidR="00C43ECF" w:rsidRDefault="00C43ECF" w:rsidP="00C43ECF">
      <w:pPr>
        <w:spacing w:after="0" w:line="240" w:lineRule="auto"/>
        <w:jc w:val="both"/>
        <w:rPr>
          <w:b/>
          <w:i/>
        </w:rPr>
      </w:pPr>
    </w:p>
    <w:p w:rsidR="00C43ECF" w:rsidRPr="003662DE" w:rsidRDefault="00C43ECF" w:rsidP="006660D2">
      <w:pPr>
        <w:spacing w:after="120" w:line="240" w:lineRule="auto"/>
        <w:jc w:val="both"/>
        <w:rPr>
          <w:b/>
        </w:rPr>
      </w:pPr>
      <w:r w:rsidRPr="003662DE">
        <w:rPr>
          <w:b/>
          <w:i/>
        </w:rPr>
        <w:t>Government</w:t>
      </w:r>
    </w:p>
    <w:p w:rsidR="00C43ECF" w:rsidRPr="00BB77AB" w:rsidRDefault="00C43ECF" w:rsidP="00C43ECF">
      <w:pPr>
        <w:jc w:val="both"/>
      </w:pPr>
      <w:r>
        <w:t xml:space="preserve">In addressing the need for State and local government to increase own source tax revenue in Australia, the Commonwealth </w:t>
      </w:r>
      <w:r w:rsidR="00A823BE">
        <w:t xml:space="preserve">(2009) </w:t>
      </w:r>
      <w:r>
        <w:t>has identified land tax and in particular, expansion of this tax to include the principle place of residence. At present 15 per cent of residential housing across Australia attracts State land tax, which is primarily due to the exemption applied to the principle place of residence and the land tax threshold applied to investment property expended by each State (</w:t>
      </w:r>
      <w:r w:rsidR="002436FB">
        <w:t xml:space="preserve">NSW </w:t>
      </w:r>
      <w:r>
        <w:t xml:space="preserve">Treasury 2005/06). While the Commonwealth (2009) has recommended expanding land state land tax to include the principle place of residence, this recommendation has been opposed by local government across Australia, whose primary source of revenue is from council rates </w:t>
      </w:r>
      <w:r w:rsidRPr="00BE75B8">
        <w:t>(Local Government Association NSW 2007)</w:t>
      </w:r>
      <w:r>
        <w:t>.</w:t>
      </w:r>
    </w:p>
    <w:p w:rsidR="00C43ECF" w:rsidRDefault="00C43ECF" w:rsidP="00C43ECF">
      <w:pPr>
        <w:jc w:val="both"/>
      </w:pPr>
      <w:r w:rsidRPr="00896431">
        <w:t xml:space="preserve">In monitoring the trends in tax revenue collected by </w:t>
      </w:r>
      <w:r>
        <w:t>S</w:t>
      </w:r>
      <w:r w:rsidRPr="00896431">
        <w:t xml:space="preserve">tate and local government </w:t>
      </w:r>
      <w:r>
        <w:t>across</w:t>
      </w:r>
      <w:r w:rsidRPr="00896431">
        <w:t xml:space="preserve"> Australia over the past decade, data has been sourced from the Office</w:t>
      </w:r>
      <w:r>
        <w:t>s</w:t>
      </w:r>
      <w:r w:rsidRPr="00896431">
        <w:t xml:space="preserve"> of State Revenue Annual Reports and tax revenue statistics compiled by </w:t>
      </w:r>
      <w:r>
        <w:t xml:space="preserve">the </w:t>
      </w:r>
      <w:r w:rsidRPr="00896431">
        <w:t xml:space="preserve">Australian Bureau of Statistics between 2001 </w:t>
      </w:r>
      <w:r>
        <w:t>and</w:t>
      </w:r>
      <w:r w:rsidRPr="00896431">
        <w:t xml:space="preserve"> 201</w:t>
      </w:r>
      <w:r w:rsidR="00A823BE">
        <w:t>2</w:t>
      </w:r>
      <w:r w:rsidRPr="00896431">
        <w:t xml:space="preserve">. The tax revenues examined are </w:t>
      </w:r>
      <w:r w:rsidR="00A823BE">
        <w:t>s</w:t>
      </w:r>
      <w:r w:rsidRPr="00896431">
        <w:t>tate land tax</w:t>
      </w:r>
      <w:r>
        <w:t>, conveyance stamp duty and local government rates</w:t>
      </w:r>
      <w:r w:rsidRPr="00896431">
        <w:t xml:space="preserve">. These </w:t>
      </w:r>
      <w:r>
        <w:t xml:space="preserve">revenues are set out collectively in </w:t>
      </w:r>
      <w:r w:rsidRPr="00801A83">
        <w:t xml:space="preserve">Figure </w:t>
      </w:r>
      <w:r w:rsidR="00801A83">
        <w:t>2</w:t>
      </w:r>
      <w:r>
        <w:t xml:space="preserve"> and </w:t>
      </w:r>
      <w:r w:rsidRPr="00896431">
        <w:t xml:space="preserve">are compared </w:t>
      </w:r>
      <w:r>
        <w:t xml:space="preserve">individually </w:t>
      </w:r>
      <w:r w:rsidRPr="00896431">
        <w:t xml:space="preserve">over </w:t>
      </w:r>
      <w:r>
        <w:t xml:space="preserve">a </w:t>
      </w:r>
      <w:r w:rsidR="00A823BE">
        <w:t>twelve</w:t>
      </w:r>
      <w:r w:rsidRPr="00896431">
        <w:t xml:space="preserve"> </w:t>
      </w:r>
      <w:r>
        <w:t>year period of 200</w:t>
      </w:r>
      <w:r w:rsidR="00AE29BA">
        <w:t>1</w:t>
      </w:r>
      <w:r>
        <w:t xml:space="preserve"> to 201</w:t>
      </w:r>
      <w:r w:rsidR="00A823BE">
        <w:t>2</w:t>
      </w:r>
      <w:r w:rsidRPr="00896431">
        <w:t xml:space="preserve">. </w:t>
      </w:r>
    </w:p>
    <w:p w:rsidR="00C43ECF" w:rsidRPr="00896431" w:rsidRDefault="00C43ECF" w:rsidP="00C43ECF">
      <w:pPr>
        <w:jc w:val="both"/>
      </w:pPr>
      <w:r w:rsidRPr="00896431">
        <w:lastRenderedPageBreak/>
        <w:t xml:space="preserve">The overall trend across Australia and </w:t>
      </w:r>
      <w:r>
        <w:t xml:space="preserve">in </w:t>
      </w:r>
      <w:r w:rsidRPr="00896431">
        <w:t>eac</w:t>
      </w:r>
      <w:r>
        <w:t>h State is that conveyance stamp duty is an important</w:t>
      </w:r>
      <w:r w:rsidRPr="00896431">
        <w:t xml:space="preserve"> revenue </w:t>
      </w:r>
      <w:r>
        <w:t xml:space="preserve">source </w:t>
      </w:r>
      <w:r w:rsidRPr="00896431">
        <w:t xml:space="preserve">for </w:t>
      </w:r>
      <w:r>
        <w:t>S</w:t>
      </w:r>
      <w:r w:rsidRPr="00896431">
        <w:t>tate government</w:t>
      </w:r>
      <w:r w:rsidR="00AE29BA">
        <w:t>.</w:t>
      </w:r>
      <w:r w:rsidRPr="00896431">
        <w:t xml:space="preserve"> Further noted from trends in stamp duty i</w:t>
      </w:r>
      <w:r>
        <w:t>s the volatility and fluctuations</w:t>
      </w:r>
      <w:r w:rsidRPr="00896431">
        <w:t xml:space="preserve"> </w:t>
      </w:r>
      <w:r>
        <w:t xml:space="preserve">in revenue </w:t>
      </w:r>
      <w:r w:rsidRPr="00896431">
        <w:t xml:space="preserve">compared with rates and land tax. It is </w:t>
      </w:r>
      <w:r>
        <w:t>impacted by turnover and trends in the property market. While it has distinct advantages in that its assessment is simple as it is determined on the transaction price of property, this revenue is subject to more volatility than State land tax which are re-determined annually.</w:t>
      </w:r>
    </w:p>
    <w:p w:rsidR="00C43ECF" w:rsidRDefault="00C43ECF" w:rsidP="00C43ECF">
      <w:pPr>
        <w:jc w:val="both"/>
      </w:pPr>
      <w:r>
        <w:t xml:space="preserve">Of the three sources of revenue, </w:t>
      </w:r>
      <w:r w:rsidRPr="00896431">
        <w:t xml:space="preserve">State land tax </w:t>
      </w:r>
      <w:r>
        <w:t>raises</w:t>
      </w:r>
      <w:r w:rsidRPr="00896431">
        <w:t xml:space="preserve"> the lowest amount </w:t>
      </w:r>
      <w:r>
        <w:t>of tax and</w:t>
      </w:r>
      <w:r w:rsidRPr="00896431">
        <w:t xml:space="preserve"> is </w:t>
      </w:r>
      <w:r>
        <w:t>applied to the</w:t>
      </w:r>
      <w:r w:rsidRPr="00896431">
        <w:t xml:space="preserve"> narrowest </w:t>
      </w:r>
      <w:r>
        <w:t>range of</w:t>
      </w:r>
      <w:r w:rsidRPr="00896431">
        <w:t xml:space="preserve"> property</w:t>
      </w:r>
      <w:r>
        <w:t xml:space="preserve"> due to the exemption of</w:t>
      </w:r>
      <w:r w:rsidRPr="00896431">
        <w:t xml:space="preserve"> the principle place of residence and the threshold </w:t>
      </w:r>
      <w:r>
        <w:t>applicable to all other property</w:t>
      </w:r>
      <w:r w:rsidR="00027CDF">
        <w:t xml:space="preserve"> holdings</w:t>
      </w:r>
      <w:r>
        <w:t>, both exemptions apply across</w:t>
      </w:r>
      <w:r w:rsidRPr="00896431">
        <w:t xml:space="preserve"> </w:t>
      </w:r>
      <w:r>
        <w:t>all</w:t>
      </w:r>
      <w:r w:rsidRPr="00896431">
        <w:t xml:space="preserve"> State</w:t>
      </w:r>
      <w:r>
        <w:t>s</w:t>
      </w:r>
      <w:r w:rsidRPr="00896431">
        <w:t xml:space="preserve">. The total land tax revenue derived from </w:t>
      </w:r>
      <w:r>
        <w:t xml:space="preserve">state land tax across Australia for </w:t>
      </w:r>
      <w:r w:rsidRPr="00896431">
        <w:t xml:space="preserve">residential property is less than </w:t>
      </w:r>
      <w:r>
        <w:t>25</w:t>
      </w:r>
      <w:r w:rsidRPr="00896431">
        <w:t xml:space="preserve"> per cent of the </w:t>
      </w:r>
      <w:r>
        <w:t>State land tax</w:t>
      </w:r>
      <w:r w:rsidRPr="00896431">
        <w:t xml:space="preserve"> collected</w:t>
      </w:r>
      <w:r>
        <w:t xml:space="preserve"> (Treasury NSW 2005/06)</w:t>
      </w:r>
      <w:r w:rsidRPr="00896431">
        <w:t xml:space="preserve">. Local government rates in contrast to land tax </w:t>
      </w:r>
      <w:r>
        <w:t>are</w:t>
      </w:r>
      <w:r w:rsidRPr="00896431">
        <w:t xml:space="preserve"> paid </w:t>
      </w:r>
      <w:r>
        <w:t>on</w:t>
      </w:r>
      <w:r w:rsidRPr="00896431">
        <w:t xml:space="preserve"> over ninety eight per cent of all property in Australia, it has the broadest base and lowest tax expenditure</w:t>
      </w:r>
      <w:r>
        <w:t xml:space="preserve"> (Productivity Commission 2008:38)</w:t>
      </w:r>
      <w:r w:rsidRPr="00896431">
        <w:t xml:space="preserve"> </w:t>
      </w:r>
    </w:p>
    <w:p w:rsidR="00C43ECF" w:rsidRDefault="00C43ECF" w:rsidP="00C43ECF">
      <w:pPr>
        <w:jc w:val="both"/>
      </w:pPr>
      <w:r w:rsidRPr="00896431">
        <w:t xml:space="preserve">Revenue from rates </w:t>
      </w:r>
      <w:r>
        <w:t>and land tax are</w:t>
      </w:r>
      <w:r w:rsidRPr="00896431">
        <w:t xml:space="preserve"> the least volatile of the three sources </w:t>
      </w:r>
      <w:r>
        <w:t xml:space="preserve">as shown in Figure </w:t>
      </w:r>
      <w:r w:rsidR="00F44508">
        <w:t>2</w:t>
      </w:r>
      <w:r>
        <w:t xml:space="preserve">, </w:t>
      </w:r>
      <w:r w:rsidRPr="00896431">
        <w:t>as th</w:t>
      </w:r>
      <w:r>
        <w:t>ese</w:t>
      </w:r>
      <w:r w:rsidRPr="00896431">
        <w:t xml:space="preserve"> </w:t>
      </w:r>
      <w:r>
        <w:t>revenues are</w:t>
      </w:r>
      <w:r w:rsidRPr="00896431">
        <w:t xml:space="preserve"> </w:t>
      </w:r>
      <w:r>
        <w:t>tied to land values which are assessed annually for land tax and assessed three yearly for council rates. Annual adjustments to rate revenue are made by adjusting the rate in the dollar applied to the land value. In contrast, land values used to assess state land tax are reassessed annually except in Victoria, where they are assessed bi-annually, (Australian Centre of Excellence for Local Government 2013:33). While land value is used in each state to assess land tax, council rates are determined on a number of different bases in each State, which include land value, improved value and assessed annual value.</w:t>
      </w:r>
    </w:p>
    <w:p w:rsidR="00C43ECF" w:rsidRDefault="00C43ECF" w:rsidP="00C43ECF">
      <w:pPr>
        <w:jc w:val="both"/>
      </w:pPr>
      <w:r>
        <w:t>In contrast to other OECD countries Australia has capacity to improve its tax effort derived from recurrent land taxes, particularly in light of its overall lower ranking in total taxes collected. This provides an opportunity for the States to progressively increase land tax while reducing conveyance stamp duty and marginally increase their total tax effort as a percentage of GDP and as a percentage of total tax collected.</w:t>
      </w:r>
    </w:p>
    <w:p w:rsidR="00C43ECF" w:rsidRPr="00AF5264" w:rsidRDefault="00C43ECF" w:rsidP="00C43ECF">
      <w:pPr>
        <w:spacing w:after="0" w:line="240" w:lineRule="auto"/>
        <w:rPr>
          <w:rFonts w:cs="Arial"/>
          <w:b/>
          <w:sz w:val="18"/>
          <w:szCs w:val="18"/>
        </w:rPr>
      </w:pPr>
      <w:r w:rsidRPr="00AF5264">
        <w:rPr>
          <w:rFonts w:cs="Arial"/>
          <w:b/>
          <w:sz w:val="18"/>
          <w:szCs w:val="18"/>
        </w:rPr>
        <w:t xml:space="preserve">Figure </w:t>
      </w:r>
      <w:r w:rsidR="00801A83">
        <w:rPr>
          <w:rFonts w:cs="Arial"/>
          <w:b/>
          <w:sz w:val="18"/>
          <w:szCs w:val="18"/>
        </w:rPr>
        <w:t>2</w:t>
      </w:r>
      <w:r w:rsidRPr="00AF5264">
        <w:rPr>
          <w:rFonts w:cs="Arial"/>
          <w:b/>
          <w:sz w:val="18"/>
          <w:szCs w:val="18"/>
        </w:rPr>
        <w:t>: Comparison between</w:t>
      </w:r>
      <w:r>
        <w:rPr>
          <w:rFonts w:cs="Arial"/>
          <w:b/>
          <w:sz w:val="18"/>
          <w:szCs w:val="18"/>
        </w:rPr>
        <w:t xml:space="preserve"> tax revenues from</w:t>
      </w:r>
      <w:r w:rsidRPr="00AF5264">
        <w:rPr>
          <w:rFonts w:cs="Arial"/>
          <w:b/>
          <w:sz w:val="18"/>
          <w:szCs w:val="18"/>
        </w:rPr>
        <w:t xml:space="preserve"> land taxes and conveyance stamp duty</w:t>
      </w:r>
      <w:r>
        <w:rPr>
          <w:rFonts w:cs="Arial"/>
          <w:b/>
          <w:sz w:val="18"/>
          <w:szCs w:val="18"/>
        </w:rPr>
        <w:t xml:space="preserve"> Australia</w:t>
      </w:r>
    </w:p>
    <w:p w:rsidR="00AE29BA" w:rsidRDefault="001871E4" w:rsidP="00C43ECF">
      <w:pPr>
        <w:spacing w:after="0" w:line="240" w:lineRule="auto"/>
        <w:rPr>
          <w:b/>
        </w:rPr>
      </w:pPr>
      <w:r>
        <w:rPr>
          <w:noProof/>
          <w:lang w:eastAsia="en-AU"/>
        </w:rPr>
        <w:lastRenderedPageBreak/>
        <w:drawing>
          <wp:inline distT="0" distB="0" distL="0" distR="0" wp14:anchorId="5D14B6BC" wp14:editId="59FF4115">
            <wp:extent cx="5287010" cy="2767054"/>
            <wp:effectExtent l="0" t="0" r="8890" b="1460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43ECF" w:rsidRPr="00C80829" w:rsidRDefault="00C43ECF" w:rsidP="00C43ECF">
      <w:pPr>
        <w:spacing w:after="0" w:line="240" w:lineRule="auto"/>
        <w:rPr>
          <w:sz w:val="18"/>
          <w:szCs w:val="18"/>
        </w:rPr>
      </w:pPr>
      <w:r w:rsidRPr="00C80829">
        <w:rPr>
          <w:b/>
          <w:sz w:val="18"/>
          <w:szCs w:val="18"/>
        </w:rPr>
        <w:t xml:space="preserve">Source: </w:t>
      </w:r>
      <w:r w:rsidRPr="00C80829">
        <w:rPr>
          <w:sz w:val="18"/>
          <w:szCs w:val="18"/>
        </w:rPr>
        <w:t>ABS Taxation Statistics 200</w:t>
      </w:r>
      <w:r w:rsidR="00AE29BA">
        <w:rPr>
          <w:sz w:val="18"/>
          <w:szCs w:val="18"/>
        </w:rPr>
        <w:t>1</w:t>
      </w:r>
      <w:r w:rsidRPr="00C80829">
        <w:rPr>
          <w:sz w:val="18"/>
          <w:szCs w:val="18"/>
        </w:rPr>
        <w:t xml:space="preserve"> </w:t>
      </w:r>
      <w:r>
        <w:rPr>
          <w:sz w:val="18"/>
          <w:szCs w:val="18"/>
        </w:rPr>
        <w:t>–</w:t>
      </w:r>
      <w:r w:rsidRPr="00C80829">
        <w:rPr>
          <w:sz w:val="18"/>
          <w:szCs w:val="18"/>
        </w:rPr>
        <w:t xml:space="preserve"> 201</w:t>
      </w:r>
      <w:r w:rsidR="00AE29BA">
        <w:rPr>
          <w:sz w:val="18"/>
          <w:szCs w:val="18"/>
        </w:rPr>
        <w:t>2</w:t>
      </w:r>
    </w:p>
    <w:p w:rsidR="00C43ECF" w:rsidRDefault="00C43ECF" w:rsidP="00C43ECF">
      <w:pPr>
        <w:spacing w:line="276" w:lineRule="auto"/>
        <w:rPr>
          <w:rFonts w:eastAsiaTheme="majorEastAsia" w:cs="Arial"/>
          <w:b/>
          <w:bCs/>
          <w:szCs w:val="20"/>
        </w:rPr>
      </w:pPr>
    </w:p>
    <w:p w:rsidR="00C43ECF" w:rsidRPr="006B5541" w:rsidRDefault="00C43ECF" w:rsidP="00C43ECF">
      <w:pPr>
        <w:pStyle w:val="Heading3"/>
        <w:spacing w:after="0"/>
        <w:rPr>
          <w:rFonts w:ascii="Arial" w:hAnsi="Arial" w:cs="Arial"/>
          <w:sz w:val="22"/>
        </w:rPr>
      </w:pPr>
      <w:r>
        <w:rPr>
          <w:rFonts w:ascii="Arial" w:hAnsi="Arial" w:cs="Arial"/>
          <w:sz w:val="22"/>
        </w:rPr>
        <w:t>From conveyance s</w:t>
      </w:r>
      <w:r w:rsidRPr="006B5541">
        <w:rPr>
          <w:rFonts w:ascii="Arial" w:hAnsi="Arial" w:cs="Arial"/>
          <w:sz w:val="22"/>
        </w:rPr>
        <w:t xml:space="preserve">tamp duty </w:t>
      </w:r>
      <w:r>
        <w:rPr>
          <w:rFonts w:ascii="Arial" w:hAnsi="Arial" w:cs="Arial"/>
          <w:sz w:val="22"/>
        </w:rPr>
        <w:t xml:space="preserve">to </w:t>
      </w:r>
      <w:r w:rsidRPr="006B5541">
        <w:rPr>
          <w:rFonts w:ascii="Arial" w:hAnsi="Arial" w:cs="Arial"/>
          <w:sz w:val="22"/>
        </w:rPr>
        <w:t>land tax</w:t>
      </w:r>
      <w:r>
        <w:rPr>
          <w:rFonts w:ascii="Arial" w:hAnsi="Arial" w:cs="Arial"/>
          <w:sz w:val="22"/>
        </w:rPr>
        <w:t xml:space="preserve">: </w:t>
      </w:r>
      <w:r w:rsidRPr="006B5541">
        <w:rPr>
          <w:rFonts w:ascii="Arial" w:hAnsi="Arial" w:cs="Arial"/>
          <w:sz w:val="22"/>
        </w:rPr>
        <w:t>A framework for change</w:t>
      </w:r>
    </w:p>
    <w:p w:rsidR="00C43ECF" w:rsidRDefault="00C43ECF" w:rsidP="00C43ECF">
      <w:pPr>
        <w:jc w:val="both"/>
      </w:pPr>
      <w:r w:rsidRPr="0054111C">
        <w:t xml:space="preserve">In </w:t>
      </w:r>
      <w:r>
        <w:t>assess</w:t>
      </w:r>
      <w:r w:rsidRPr="0054111C">
        <w:t xml:space="preserve">ing the </w:t>
      </w:r>
      <w:r>
        <w:t>replacement of</w:t>
      </w:r>
      <w:r w:rsidRPr="0054111C">
        <w:t xml:space="preserve"> conveyance stamp duty on the purchase price of property</w:t>
      </w:r>
      <w:r>
        <w:t>, with</w:t>
      </w:r>
      <w:r w:rsidRPr="0054111C">
        <w:t xml:space="preserve"> a recurrent tax on </w:t>
      </w:r>
      <w:r>
        <w:t>land,</w:t>
      </w:r>
      <w:r w:rsidRPr="0054111C">
        <w:t xml:space="preserve"> </w:t>
      </w:r>
      <w:r>
        <w:t>a</w:t>
      </w:r>
      <w:r w:rsidRPr="0054111C">
        <w:t xml:space="preserve"> </w:t>
      </w:r>
      <w:r>
        <w:t>comparison of each tax is now made</w:t>
      </w:r>
      <w:r w:rsidRPr="0054111C">
        <w:t xml:space="preserve">. In undertaking this </w:t>
      </w:r>
      <w:r>
        <w:t>analysis</w:t>
      </w:r>
      <w:r w:rsidRPr="0054111C">
        <w:t xml:space="preserve">, a before and after </w:t>
      </w:r>
      <w:r>
        <w:t xml:space="preserve">approach is used to compare the amount of stamp duty paid in each of the six capital cities based on the average purchase price </w:t>
      </w:r>
      <w:r w:rsidR="00027CDF">
        <w:t xml:space="preserve">as at 2012 </w:t>
      </w:r>
      <w:r>
        <w:t>compared with the proposed regime of a 1 per cent annual tax on land value as proposed by the Productivity Commission (2004:100).</w:t>
      </w:r>
    </w:p>
    <w:p w:rsidR="00C43ECF" w:rsidRDefault="00C43ECF" w:rsidP="00C43ECF">
      <w:pPr>
        <w:jc w:val="both"/>
      </w:pPr>
      <w:r>
        <w:t xml:space="preserve">In undertaking this comparison, the average cost of housing in each capital city as at September 2012 is used to assess stamp duty. This is then compared with the average residential land value for housing in each capital city, to which the Productivity Commissions recommendation of a 1 per cent rate should be applied. The proposed annual land tax paid on 1 per cent is divided into the amount of stamp duty paid </w:t>
      </w:r>
      <w:r w:rsidR="00AE29BA">
        <w:t xml:space="preserve">for the average dwelling </w:t>
      </w:r>
      <w:r>
        <w:t>in each capital city to equate the number of years it takes the land tax to equal the amount of stamp duty paid. This is set out in column 6 of Table 5 for each capital city.</w:t>
      </w:r>
    </w:p>
    <w:p w:rsidR="00C43ECF" w:rsidRDefault="00C43ECF" w:rsidP="00C43ECF">
      <w:pPr>
        <w:jc w:val="both"/>
      </w:pPr>
      <w:r>
        <w:t xml:space="preserve">The second </w:t>
      </w:r>
      <w:r w:rsidR="00501D61">
        <w:t>observation</w:t>
      </w:r>
      <w:r>
        <w:t xml:space="preserve"> is of the number of years the proposed land tax takes to equal the stamp duty currently paid compared against the actual average holding period of residential housing in each capital city. This is carried out by comparing the number of years in Column 6 with the actual averag</w:t>
      </w:r>
      <w:r w:rsidR="00AE29BA">
        <w:t>e</w:t>
      </w:r>
      <w:r>
        <w:t xml:space="preserve"> holding periods (No of years) for houses and units in each capital city shown in Columns 8 and 10 of Table 5. The holding periods are also shown as at 2002 for each houses and units, see Columns 7 and 9, which further highlight the emerging trend in holding patterns of housing in each city over </w:t>
      </w:r>
      <w:r w:rsidR="00501D61">
        <w:t>a</w:t>
      </w:r>
      <w:r>
        <w:t xml:space="preserve"> 10 year</w:t>
      </w:r>
      <w:r w:rsidR="00501D61">
        <w:t xml:space="preserve"> period</w:t>
      </w:r>
      <w:r>
        <w:t xml:space="preserve">. </w:t>
      </w:r>
    </w:p>
    <w:p w:rsidR="00C43ECF" w:rsidRDefault="00C43ECF" w:rsidP="00C43ECF">
      <w:pPr>
        <w:jc w:val="both"/>
      </w:pPr>
      <w:r>
        <w:t xml:space="preserve">The information used in Table 5 is derived from several sources which include, holding periods of houses and units are sourced from RP Data, </w:t>
      </w:r>
      <w:r w:rsidR="00AE29BA">
        <w:t xml:space="preserve">Lawless </w:t>
      </w:r>
      <w:r>
        <w:t xml:space="preserve">Property Analysts (2013). The median cost of housing is determined from ABS housing data (2012) and the average land values are determined from the </w:t>
      </w:r>
      <w:proofErr w:type="spellStart"/>
      <w:r>
        <w:t>Valuers</w:t>
      </w:r>
      <w:proofErr w:type="spellEnd"/>
      <w:r>
        <w:t xml:space="preserve">-General land value benchmarks. There are limitations acknowledged in the approach used, the main limitation being the use of the average cost of housing which is used to </w:t>
      </w:r>
      <w:r>
        <w:lastRenderedPageBreak/>
        <w:t>account for a broad and diverse range of housing in each city. Another limitation is that the land tax is determined on land value as at 2012 and does not account for annual growth or changes over the holding periods.</w:t>
      </w:r>
    </w:p>
    <w:p w:rsidR="00C43ECF" w:rsidRDefault="00C43ECF" w:rsidP="00C43ECF">
      <w:pPr>
        <w:jc w:val="both"/>
      </w:pPr>
      <w:r>
        <w:t>As set out in Table 5, the equivalent years in column 6 as at 2012 varies across the capital cities with Brisbane recording the lowest equivalent years at 7.85 and Melbourne recording the highest equivalent years at 10.73. In the case of the holding periods of houses in Column 8, compared with the equivalent years in Column 6, four of the six capital cities have holding periods within 10 per cent of the equivalent years, with Brisbane and Adelaide being the exceptions. In these two cases Brisbane is more than 15 percent higher than the Equivalent Years, with Adelaide being 20 percent lower than the Equivalent Years.</w:t>
      </w:r>
    </w:p>
    <w:p w:rsidR="00C43ECF" w:rsidRDefault="00C43ECF" w:rsidP="00C43ECF">
      <w:pPr>
        <w:jc w:val="both"/>
      </w:pPr>
      <w:r>
        <w:t xml:space="preserve">The second point of note is the differential between houses and units, with the holding periods of units in all capital cities resulting in a lower equivalent years based on the current stamp duty below the equivalent years at 2012. While the analysis undertaken in Columns 2, 3, 4 &amp; 5 is based on 2012 average housing prices and land values, a direct comparison cannot be made between 2002 and 2012, however it is noted that as at 2002, no city recorded houses or units having equivalent years above the 2012 equivalent years of a one percent land tax. A further observation noted in Table 5, is the increasing trend in the holding period of both units and houses in all capital cities. This is a consistent trend </w:t>
      </w:r>
      <w:r w:rsidR="00501D61">
        <w:t xml:space="preserve">noted </w:t>
      </w:r>
      <w:r>
        <w:t>from 2002 to 2012</w:t>
      </w:r>
      <w:r w:rsidR="00501D61">
        <w:t xml:space="preserve"> in each city</w:t>
      </w:r>
      <w:r>
        <w:t>.</w:t>
      </w:r>
    </w:p>
    <w:p w:rsidR="00C43ECF" w:rsidRDefault="00C43ECF" w:rsidP="00C43ECF">
      <w:pPr>
        <w:jc w:val="both"/>
      </w:pPr>
      <w:r>
        <w:t xml:space="preserve">While it may be argued that amortising the cost of stamp duty over the holding period of housing as a recurrent land tax it is still a cost to the purchaser, being an upfront cost accounting for </w:t>
      </w:r>
      <w:r w:rsidR="00501D61">
        <w:t>up to 5</w:t>
      </w:r>
      <w:r>
        <w:t xml:space="preserve"> per</w:t>
      </w:r>
      <w:r w:rsidR="00501D61">
        <w:t xml:space="preserve"> </w:t>
      </w:r>
      <w:r>
        <w:t xml:space="preserve">cent of the average cost of housing. Further, an up-front stamp duty reduces the relativity of a home buyers deposit against the purchase price and requiring more home buyers to pay mortgage insurance where the cost of housing exceeds 80 percent of the purchase price (APRA 2005). </w:t>
      </w:r>
    </w:p>
    <w:p w:rsidR="00C43ECF" w:rsidRDefault="00C43ECF" w:rsidP="00C43ECF">
      <w:pPr>
        <w:jc w:val="both"/>
      </w:pPr>
      <w:r>
        <w:t xml:space="preserve">Further, as was discussed under the previous section, only 20 per cent of first home buyers purchase new property and qualify for the </w:t>
      </w:r>
      <w:r w:rsidR="00501D61">
        <w:t>s</w:t>
      </w:r>
      <w:r>
        <w:t>tate</w:t>
      </w:r>
      <w:r w:rsidR="00501D61">
        <w:t>’</w:t>
      </w:r>
      <w:r>
        <w:t>s first home owner’s grant, in NSW, Victoria and Queensland. Tasmania move</w:t>
      </w:r>
      <w:r w:rsidR="00501D61">
        <w:t>d</w:t>
      </w:r>
      <w:r>
        <w:t xml:space="preserve"> its FHOG to new dwellings in 2014. On this basis the analysis in Table 5 is undertaken exclusive of the First Home Owners Grant, of which this grant sits within the legislative provisions of each State’s duties Act shown in Table </w:t>
      </w:r>
      <w:r w:rsidR="00501D61">
        <w:t>4</w:t>
      </w:r>
      <w:r>
        <w:t>.</w:t>
      </w:r>
    </w:p>
    <w:p w:rsidR="00C43ECF" w:rsidRPr="007B553D" w:rsidRDefault="00C43ECF" w:rsidP="00C43ECF">
      <w:pPr>
        <w:spacing w:after="0"/>
        <w:jc w:val="both"/>
        <w:rPr>
          <w:rFonts w:cs="Arial"/>
          <w:b/>
          <w:sz w:val="22"/>
        </w:rPr>
      </w:pPr>
      <w:r w:rsidRPr="007B553D">
        <w:rPr>
          <w:rFonts w:cs="Arial"/>
          <w:b/>
          <w:sz w:val="22"/>
        </w:rPr>
        <w:t>Conclusion</w:t>
      </w:r>
    </w:p>
    <w:p w:rsidR="006B767F" w:rsidRDefault="006B767F" w:rsidP="006B767F">
      <w:pPr>
        <w:jc w:val="both"/>
        <w:rPr>
          <w:rFonts w:cs="Arial"/>
          <w:szCs w:val="20"/>
        </w:rPr>
      </w:pPr>
      <w:r>
        <w:rPr>
          <w:rFonts w:cs="Arial"/>
          <w:szCs w:val="20"/>
        </w:rPr>
        <w:t xml:space="preserve">In summary, the states have ridden the wave of stamp duty windfall revenues as a short term fix over the past five years, while choosing to remain highly dependent on the Commonwealth for shortfall revenues from income </w:t>
      </w:r>
      <w:r w:rsidR="00027CDF">
        <w:rPr>
          <w:rFonts w:cs="Arial"/>
          <w:szCs w:val="20"/>
        </w:rPr>
        <w:t xml:space="preserve">tax </w:t>
      </w:r>
      <w:r>
        <w:rPr>
          <w:rFonts w:cs="Arial"/>
          <w:szCs w:val="20"/>
        </w:rPr>
        <w:t xml:space="preserve">and GST revenues, both collected by the Commonwealth. With this dilemma in mind, the challenge of confronting reforms to transaction taxes on property and progressively replacing transaction tax revenue with a recurrent tax on land, is one that the States are required to address </w:t>
      </w:r>
      <w:r w:rsidR="00027CDF">
        <w:rPr>
          <w:rFonts w:cs="Arial"/>
          <w:szCs w:val="20"/>
        </w:rPr>
        <w:t xml:space="preserve">(Commonwealth 2009 </w:t>
      </w:r>
      <w:r w:rsidR="00027CDF" w:rsidRPr="00F556F8">
        <w:rPr>
          <w:rFonts w:cs="Arial"/>
          <w:szCs w:val="20"/>
        </w:rPr>
        <w:t xml:space="preserve">and </w:t>
      </w:r>
      <w:r w:rsidRPr="00F556F8">
        <w:rPr>
          <w:rFonts w:cs="Arial"/>
          <w:szCs w:val="20"/>
        </w:rPr>
        <w:t>Ong and Wood 2016).</w:t>
      </w:r>
    </w:p>
    <w:p w:rsidR="00C43ECF" w:rsidRDefault="00C43ECF" w:rsidP="00C43ECF">
      <w:pPr>
        <w:jc w:val="both"/>
      </w:pPr>
      <w:r>
        <w:t xml:space="preserve">It has been emphasised that conveyance stamp duty is an additional cost for home buyers and over the past 10 years a number of recommendations have been made for this impost to be replaced with a broad based recurrent land tax applicable to all residential property. It has been further shown that </w:t>
      </w:r>
      <w:r>
        <w:lastRenderedPageBreak/>
        <w:t>land tax revenue is comparatively low in Australia as a percentage of GDP, in which scope exists to increase this source of revenue while reforming less efficient conveyance stamp duty. This recommendation is particularly important in view of tax revenue stagnation from central government, which has traditionally been used to finance state and local government in Australia.</w:t>
      </w:r>
    </w:p>
    <w:p w:rsidR="00C43ECF" w:rsidRDefault="00C43ECF" w:rsidP="00C43ECF">
      <w:pPr>
        <w:jc w:val="both"/>
      </w:pPr>
      <w:r>
        <w:t xml:space="preserve">The examination of tax revenues from </w:t>
      </w:r>
      <w:r w:rsidR="00501D61">
        <w:t xml:space="preserve">recurrent </w:t>
      </w:r>
      <w:r>
        <w:t>land tax and conveyance stamp duty between 200</w:t>
      </w:r>
      <w:r w:rsidR="00501D61">
        <w:t>1</w:t>
      </w:r>
      <w:r>
        <w:t xml:space="preserve"> and 201</w:t>
      </w:r>
      <w:r w:rsidR="00027CDF">
        <w:t>2</w:t>
      </w:r>
      <w:r>
        <w:t xml:space="preserve"> shows that following the Global Financial Crisis, </w:t>
      </w:r>
      <w:r w:rsidR="00B97768">
        <w:t xml:space="preserve">revenue from land tax </w:t>
      </w:r>
      <w:r>
        <w:t>ha</w:t>
      </w:r>
      <w:r w:rsidR="00B97768">
        <w:t>s</w:t>
      </w:r>
      <w:r>
        <w:t xml:space="preserve"> increased </w:t>
      </w:r>
      <w:r w:rsidR="00B97768">
        <w:t xml:space="preserve">faster than </w:t>
      </w:r>
      <w:r>
        <w:t xml:space="preserve">revenue from conveyance stamp </w:t>
      </w:r>
      <w:r w:rsidR="00B97768">
        <w:t xml:space="preserve">duty. In addition to </w:t>
      </w:r>
      <w:r>
        <w:t xml:space="preserve">the differences and changes in revenue, it is </w:t>
      </w:r>
      <w:r w:rsidR="00B97768">
        <w:t>shown in Figure 2,</w:t>
      </w:r>
      <w:r>
        <w:t xml:space="preserve"> that recurrent land taxes are a less volatile and not susceptible to </w:t>
      </w:r>
      <w:r w:rsidR="00B97768">
        <w:t xml:space="preserve">the </w:t>
      </w:r>
      <w:r>
        <w:t>fluctuations evident in revenue from conveyance stamp duty.</w:t>
      </w:r>
    </w:p>
    <w:p w:rsidR="00C43ECF" w:rsidRDefault="00C43ECF" w:rsidP="00C43ECF">
      <w:pPr>
        <w:jc w:val="both"/>
      </w:pPr>
      <w:r>
        <w:t xml:space="preserve">The move to a tax on land has distinct advantages and challenges in the transition stage for government. As shown in Table 5 Column 6, a one per cent land tax would raise a fraction of the revenue in contrast to conveyance stamp duty in the earlier years of collection. In contrast, if it were applied to all housing from the date of imposition, it may be defined as a pure land tax capturing the incremental increases in value while removing the imposition of stamp duty and the additional cost of entering the housing market. </w:t>
      </w:r>
    </w:p>
    <w:p w:rsidR="00C43ECF" w:rsidRDefault="00C43ECF" w:rsidP="00C43ECF">
      <w:pPr>
        <w:jc w:val="both"/>
      </w:pPr>
      <w:r>
        <w:t>On this basis as was discussed under the above section on ‘</w:t>
      </w:r>
      <w:r w:rsidRPr="007F6BFB">
        <w:t>land tax as an alternate capital gains tax</w:t>
      </w:r>
      <w:r>
        <w:t>,’ the imposition on land would be capitalised into the value of property and would act as an incremental capital gains tax. Tax currently expended by the commonwealth on capital gains on the principle place of residence is an important rationale for the introduction of a broad based land tax which incrementally accounts for capital gains largely attributable to the land value component of property. Further it would temper over-investment in the home, which has also been identified as a contributing factor to the cost of housing and provides a less volatile and more predictable source than conveyance stamp duty for the State.</w:t>
      </w:r>
    </w:p>
    <w:p w:rsidR="00C43ECF" w:rsidRDefault="00C43ECF" w:rsidP="00C43ECF">
      <w:pPr>
        <w:jc w:val="both"/>
      </w:pPr>
      <w:r>
        <w:t xml:space="preserve">It was further exhibited that holding periods of housing have increased </w:t>
      </w:r>
      <w:r w:rsidR="00B97768">
        <w:t xml:space="preserve">between 2002 and 2012 </w:t>
      </w:r>
      <w:r>
        <w:t>and based on a one per cent land tax rate applied to all land including the home, the amortised cost of stamp duty is within 10 percent of stamp duty currently applied to the median cost of housing in most capital cities. This provides the opportune time to commence the transition from less efficient to more efficient tax alternatives which remove upfront barriers to entry which impact on deposits and further contribute to additional mortgage lending insurance for first home buyers.</w:t>
      </w:r>
    </w:p>
    <w:p w:rsidR="00702285" w:rsidRDefault="00C43ECF" w:rsidP="00702285">
      <w:pPr>
        <w:jc w:val="both"/>
      </w:pPr>
      <w:r>
        <w:t>Under an alternative land tax structure, concessions would still be available to first home buyers and if the objective were to be extended to empty nesters trading down, in which the concession may</w:t>
      </w:r>
      <w:r w:rsidR="00B97768">
        <w:t xml:space="preserve"> be</w:t>
      </w:r>
      <w:r>
        <w:t xml:space="preserve"> appl</w:t>
      </w:r>
      <w:r w:rsidR="00B97768">
        <w:t>ied</w:t>
      </w:r>
      <w:r>
        <w:t xml:space="preserve"> in the form of a land tax free period. For first home buyers that qualify, this would be at the beginning of the holding period of the home, and for empty nesters, this would be in the form of a refund at the end of the holding period of their home.</w:t>
      </w:r>
    </w:p>
    <w:p w:rsidR="00702285" w:rsidRPr="00702285" w:rsidRDefault="00702285" w:rsidP="00702285">
      <w:pPr>
        <w:sectPr w:rsidR="00702285" w:rsidRPr="00702285" w:rsidSect="00F556F8">
          <w:pgSz w:w="11906" w:h="16838"/>
          <w:pgMar w:top="1440" w:right="1440" w:bottom="1135" w:left="1440" w:header="708" w:footer="708" w:gutter="0"/>
          <w:cols w:space="708"/>
          <w:docGrid w:linePitch="360"/>
        </w:sectPr>
      </w:pPr>
    </w:p>
    <w:p w:rsidR="00657C16" w:rsidRPr="007F548C" w:rsidRDefault="00657C16" w:rsidP="00657C16">
      <w:pPr>
        <w:pStyle w:val="NoSpacing"/>
        <w:rPr>
          <w:b/>
        </w:rPr>
      </w:pPr>
      <w:r w:rsidRPr="007F548C">
        <w:rPr>
          <w:b/>
        </w:rPr>
        <w:lastRenderedPageBreak/>
        <w:t>References</w:t>
      </w:r>
    </w:p>
    <w:p w:rsidR="0023060A" w:rsidRDefault="0023060A" w:rsidP="0023060A">
      <w:pPr>
        <w:pStyle w:val="NoSpacing"/>
        <w:rPr>
          <w:sz w:val="19"/>
          <w:szCs w:val="19"/>
        </w:rPr>
      </w:pPr>
      <w:r w:rsidRPr="00DF5C29">
        <w:t>Australian Prudential Regulation Authority (2005). Survey Results - Residential valuation practices by ADI's and LMI's. Sydney, Commonwealth Government.</w:t>
      </w:r>
    </w:p>
    <w:p w:rsidR="00657C16" w:rsidRPr="004B03EE" w:rsidRDefault="00657C16" w:rsidP="00657C16">
      <w:pPr>
        <w:pStyle w:val="NoSpacing"/>
        <w:rPr>
          <w:sz w:val="19"/>
          <w:szCs w:val="19"/>
        </w:rPr>
      </w:pPr>
      <w:r w:rsidRPr="004B03EE">
        <w:rPr>
          <w:sz w:val="19"/>
          <w:szCs w:val="19"/>
        </w:rPr>
        <w:t xml:space="preserve">Australian Bureau of Statistics (2012) </w:t>
      </w:r>
      <w:r w:rsidRPr="004B03EE">
        <w:rPr>
          <w:i/>
          <w:sz w:val="19"/>
          <w:szCs w:val="19"/>
        </w:rPr>
        <w:t xml:space="preserve">Housing costs and index per Capital Cities of Australia, </w:t>
      </w:r>
      <w:r w:rsidRPr="004B03EE">
        <w:rPr>
          <w:sz w:val="19"/>
          <w:szCs w:val="19"/>
        </w:rPr>
        <w:t>Series 6416</w:t>
      </w:r>
    </w:p>
    <w:p w:rsidR="00657C16" w:rsidRPr="004B03EE" w:rsidRDefault="00657C16" w:rsidP="00657C16">
      <w:pPr>
        <w:pStyle w:val="NoSpacing"/>
        <w:rPr>
          <w:sz w:val="19"/>
          <w:szCs w:val="19"/>
        </w:rPr>
      </w:pPr>
      <w:r w:rsidRPr="004B03EE">
        <w:rPr>
          <w:sz w:val="19"/>
          <w:szCs w:val="19"/>
        </w:rPr>
        <w:t xml:space="preserve">Australian Centre of Excellence for Local Government (2013), </w:t>
      </w:r>
      <w:proofErr w:type="gramStart"/>
      <w:r w:rsidRPr="004B03EE">
        <w:rPr>
          <w:i/>
          <w:sz w:val="19"/>
          <w:szCs w:val="19"/>
        </w:rPr>
        <w:t>In</w:t>
      </w:r>
      <w:proofErr w:type="gramEnd"/>
      <w:r w:rsidRPr="004B03EE">
        <w:rPr>
          <w:i/>
          <w:sz w:val="19"/>
          <w:szCs w:val="19"/>
        </w:rPr>
        <w:t xml:space="preserve"> our hands: strengthening local government revenue in the 21</w:t>
      </w:r>
      <w:r w:rsidRPr="004B03EE">
        <w:rPr>
          <w:i/>
          <w:sz w:val="19"/>
          <w:szCs w:val="19"/>
          <w:vertAlign w:val="superscript"/>
        </w:rPr>
        <w:t>st</w:t>
      </w:r>
      <w:r w:rsidRPr="004B03EE">
        <w:rPr>
          <w:i/>
          <w:sz w:val="19"/>
          <w:szCs w:val="19"/>
        </w:rPr>
        <w:t xml:space="preserve"> Century</w:t>
      </w:r>
      <w:r w:rsidRPr="004B03EE">
        <w:rPr>
          <w:sz w:val="19"/>
          <w:szCs w:val="19"/>
        </w:rPr>
        <w:t>, University of Technology Sydney, January 2013.</w:t>
      </w:r>
    </w:p>
    <w:p w:rsidR="00657C16" w:rsidRPr="004B03EE" w:rsidRDefault="00657C16" w:rsidP="00657C16">
      <w:pPr>
        <w:pStyle w:val="NoSpacing"/>
        <w:rPr>
          <w:sz w:val="19"/>
          <w:szCs w:val="19"/>
        </w:rPr>
      </w:pPr>
      <w:r w:rsidRPr="004B03EE">
        <w:rPr>
          <w:sz w:val="19"/>
          <w:szCs w:val="19"/>
        </w:rPr>
        <w:t xml:space="preserve">Barrett, J. and Veal, J. (2012), </w:t>
      </w:r>
      <w:r w:rsidRPr="004B03EE">
        <w:rPr>
          <w:i/>
          <w:sz w:val="19"/>
          <w:szCs w:val="19"/>
        </w:rPr>
        <w:t>Land Taxation: a New Zealand perspective</w:t>
      </w:r>
      <w:r w:rsidRPr="004B03EE">
        <w:rPr>
          <w:sz w:val="19"/>
          <w:szCs w:val="19"/>
        </w:rPr>
        <w:t xml:space="preserve">, </w:t>
      </w:r>
      <w:proofErr w:type="spellStart"/>
      <w:r w:rsidRPr="004B03EE">
        <w:rPr>
          <w:sz w:val="19"/>
          <w:szCs w:val="19"/>
        </w:rPr>
        <w:t>eJournal</w:t>
      </w:r>
      <w:proofErr w:type="spellEnd"/>
      <w:r w:rsidRPr="004B03EE">
        <w:rPr>
          <w:sz w:val="19"/>
          <w:szCs w:val="19"/>
        </w:rPr>
        <w:t xml:space="preserve"> of Tax Research 573, 584.</w:t>
      </w:r>
    </w:p>
    <w:p w:rsidR="00657C16" w:rsidRDefault="00657C16" w:rsidP="00657C16">
      <w:pPr>
        <w:pStyle w:val="NoSpacing"/>
        <w:rPr>
          <w:sz w:val="19"/>
          <w:szCs w:val="19"/>
        </w:rPr>
      </w:pPr>
      <w:r>
        <w:rPr>
          <w:sz w:val="19"/>
          <w:szCs w:val="19"/>
        </w:rPr>
        <w:t xml:space="preserve">Chancellor, J. (2013), Victorian first home buyers grant jumps from $7000 to $10,000 but only for new houses and apartments. Property Observer 29 April 2013. </w:t>
      </w:r>
    </w:p>
    <w:p w:rsidR="00A94E6C" w:rsidRDefault="00657C16" w:rsidP="00657C16">
      <w:pPr>
        <w:pStyle w:val="NoSpacing"/>
        <w:rPr>
          <w:sz w:val="19"/>
          <w:szCs w:val="19"/>
        </w:rPr>
      </w:pPr>
      <w:r w:rsidRPr="004B03EE">
        <w:rPr>
          <w:sz w:val="19"/>
          <w:szCs w:val="19"/>
        </w:rPr>
        <w:t xml:space="preserve">Commonwealth of Australia (2009) </w:t>
      </w:r>
      <w:r w:rsidRPr="004B03EE">
        <w:rPr>
          <w:i/>
          <w:sz w:val="19"/>
          <w:szCs w:val="19"/>
        </w:rPr>
        <w:t>Australia’s Future Tax System – Final Report</w:t>
      </w:r>
      <w:r w:rsidRPr="004B03EE">
        <w:rPr>
          <w:sz w:val="19"/>
          <w:szCs w:val="19"/>
        </w:rPr>
        <w:t>, December 2009 BARTON, ACT.</w:t>
      </w:r>
    </w:p>
    <w:p w:rsidR="00657C16" w:rsidRPr="004B03EE" w:rsidRDefault="00657C16" w:rsidP="00657C16">
      <w:pPr>
        <w:pStyle w:val="NoSpacing"/>
        <w:rPr>
          <w:sz w:val="19"/>
          <w:szCs w:val="19"/>
        </w:rPr>
      </w:pPr>
      <w:r w:rsidRPr="004B03EE">
        <w:rPr>
          <w:sz w:val="19"/>
          <w:szCs w:val="19"/>
        </w:rPr>
        <w:t>Cooper, G (1994) An Optimal or Comprehensive Income Tax</w:t>
      </w:r>
      <w:proofErr w:type="gramStart"/>
      <w:r w:rsidRPr="004B03EE">
        <w:rPr>
          <w:sz w:val="19"/>
          <w:szCs w:val="19"/>
        </w:rPr>
        <w:t>?,</w:t>
      </w:r>
      <w:proofErr w:type="gramEnd"/>
      <w:r w:rsidRPr="004B03EE">
        <w:rPr>
          <w:sz w:val="19"/>
          <w:szCs w:val="19"/>
        </w:rPr>
        <w:t xml:space="preserve"> 22 </w:t>
      </w:r>
      <w:r w:rsidRPr="004B03EE">
        <w:rPr>
          <w:i/>
          <w:sz w:val="19"/>
          <w:szCs w:val="19"/>
        </w:rPr>
        <w:t>Federal Law Review</w:t>
      </w:r>
      <w:r w:rsidRPr="004B03EE">
        <w:rPr>
          <w:sz w:val="19"/>
          <w:szCs w:val="19"/>
        </w:rPr>
        <w:t xml:space="preserve"> 414 Australian National University, ACT.</w:t>
      </w:r>
    </w:p>
    <w:p w:rsidR="00AB723B" w:rsidRDefault="00AB723B" w:rsidP="00657C16">
      <w:pPr>
        <w:pStyle w:val="NoSpacing"/>
        <w:rPr>
          <w:sz w:val="19"/>
          <w:szCs w:val="19"/>
        </w:rPr>
      </w:pPr>
      <w:proofErr w:type="spellStart"/>
      <w:r>
        <w:rPr>
          <w:sz w:val="19"/>
          <w:szCs w:val="19"/>
        </w:rPr>
        <w:t>Coorey</w:t>
      </w:r>
      <w:proofErr w:type="spellEnd"/>
      <w:r>
        <w:rPr>
          <w:sz w:val="19"/>
          <w:szCs w:val="19"/>
        </w:rPr>
        <w:t>, P. (2016) Malcolm Turnbull says states should levy own income tax levels, Australian Financial Review, p.1, 30 March 2016.</w:t>
      </w:r>
    </w:p>
    <w:p w:rsidR="008B08DC" w:rsidRDefault="008B08DC" w:rsidP="00657C16">
      <w:pPr>
        <w:pStyle w:val="NoSpacing"/>
        <w:rPr>
          <w:sz w:val="19"/>
          <w:szCs w:val="19"/>
        </w:rPr>
      </w:pPr>
      <w:r>
        <w:rPr>
          <w:sz w:val="19"/>
          <w:szCs w:val="19"/>
        </w:rPr>
        <w:t>Costello, G.J. (200</w:t>
      </w:r>
      <w:r w:rsidR="00861205">
        <w:rPr>
          <w:sz w:val="19"/>
          <w:szCs w:val="19"/>
        </w:rPr>
        <w:t>6</w:t>
      </w:r>
      <w:r>
        <w:rPr>
          <w:sz w:val="19"/>
          <w:szCs w:val="19"/>
        </w:rPr>
        <w:t>) The impact of stamp duty reductions in first home buyer markets – A Western Australian Case Study, Pacific Rim Real Estate Conference, Auckland New Zealand 22-25 January 200</w:t>
      </w:r>
      <w:r w:rsidR="00861205">
        <w:rPr>
          <w:sz w:val="19"/>
          <w:szCs w:val="19"/>
        </w:rPr>
        <w:t>6</w:t>
      </w:r>
      <w:bookmarkStart w:id="0" w:name="_GoBack"/>
      <w:bookmarkEnd w:id="0"/>
      <w:r>
        <w:rPr>
          <w:sz w:val="19"/>
          <w:szCs w:val="19"/>
        </w:rPr>
        <w:t>.</w:t>
      </w:r>
    </w:p>
    <w:p w:rsidR="00657C16" w:rsidRPr="004B03EE" w:rsidRDefault="00657C16" w:rsidP="00657C16">
      <w:pPr>
        <w:pStyle w:val="NoSpacing"/>
        <w:rPr>
          <w:sz w:val="19"/>
          <w:szCs w:val="19"/>
        </w:rPr>
      </w:pPr>
      <w:proofErr w:type="spellStart"/>
      <w:r w:rsidRPr="004B03EE">
        <w:rPr>
          <w:sz w:val="19"/>
          <w:szCs w:val="19"/>
        </w:rPr>
        <w:t>Freebairn</w:t>
      </w:r>
      <w:proofErr w:type="spellEnd"/>
      <w:r w:rsidRPr="004B03EE">
        <w:rPr>
          <w:sz w:val="19"/>
          <w:szCs w:val="19"/>
        </w:rPr>
        <w:t xml:space="preserve">, J, (2012) State taxes on housing in Australia, </w:t>
      </w:r>
      <w:proofErr w:type="spellStart"/>
      <w:r w:rsidRPr="004B03EE">
        <w:rPr>
          <w:sz w:val="19"/>
          <w:szCs w:val="19"/>
        </w:rPr>
        <w:t>Ch</w:t>
      </w:r>
      <w:proofErr w:type="spellEnd"/>
      <w:r w:rsidRPr="004B03EE">
        <w:rPr>
          <w:sz w:val="19"/>
          <w:szCs w:val="19"/>
        </w:rPr>
        <w:t xml:space="preserve"> 7. Ed. Stewart, M. Australian Tax Research Foundation.</w:t>
      </w:r>
    </w:p>
    <w:p w:rsidR="00657C16" w:rsidRPr="004B03EE" w:rsidRDefault="00657C16" w:rsidP="00657C16">
      <w:pPr>
        <w:pStyle w:val="NoSpacing"/>
        <w:rPr>
          <w:sz w:val="19"/>
          <w:szCs w:val="19"/>
        </w:rPr>
      </w:pPr>
      <w:r w:rsidRPr="004B03EE">
        <w:rPr>
          <w:sz w:val="19"/>
          <w:szCs w:val="19"/>
        </w:rPr>
        <w:t>Gaffney, M. (2009) ‘</w:t>
      </w:r>
      <w:r w:rsidRPr="004B03EE">
        <w:rPr>
          <w:i/>
          <w:sz w:val="19"/>
          <w:szCs w:val="19"/>
        </w:rPr>
        <w:t>The Hidden taxable capacity of land: enough and to spare’</w:t>
      </w:r>
      <w:r w:rsidRPr="004B03EE">
        <w:rPr>
          <w:sz w:val="19"/>
          <w:szCs w:val="19"/>
        </w:rPr>
        <w:t xml:space="preserve">, (2009) 36(4) </w:t>
      </w:r>
      <w:r w:rsidRPr="004B03EE">
        <w:rPr>
          <w:i/>
          <w:sz w:val="19"/>
          <w:szCs w:val="19"/>
        </w:rPr>
        <w:t xml:space="preserve">International Journal of Social Economics </w:t>
      </w:r>
      <w:r w:rsidRPr="004B03EE">
        <w:rPr>
          <w:sz w:val="19"/>
          <w:szCs w:val="19"/>
        </w:rPr>
        <w:t>328.</w:t>
      </w:r>
    </w:p>
    <w:p w:rsidR="00657C16" w:rsidRPr="004B03EE" w:rsidRDefault="00657C16" w:rsidP="00657C16">
      <w:pPr>
        <w:pStyle w:val="NoSpacing"/>
        <w:rPr>
          <w:sz w:val="19"/>
          <w:szCs w:val="19"/>
        </w:rPr>
      </w:pPr>
      <w:proofErr w:type="spellStart"/>
      <w:r w:rsidRPr="004B03EE">
        <w:rPr>
          <w:sz w:val="19"/>
          <w:szCs w:val="19"/>
        </w:rPr>
        <w:t>Heferen</w:t>
      </w:r>
      <w:proofErr w:type="spellEnd"/>
      <w:r w:rsidRPr="004B03EE">
        <w:rPr>
          <w:sz w:val="19"/>
          <w:szCs w:val="19"/>
        </w:rPr>
        <w:t>, R. (2011), Beyond the Tax Forum, Revenue Group Commonwealth Treasury, Speech 5 Dec 2011, Barton ACT.</w:t>
      </w:r>
    </w:p>
    <w:p w:rsidR="00657C16" w:rsidRPr="004B03EE" w:rsidRDefault="00657C16" w:rsidP="00657C16">
      <w:pPr>
        <w:spacing w:after="120" w:line="240" w:lineRule="auto"/>
        <w:rPr>
          <w:sz w:val="19"/>
          <w:szCs w:val="19"/>
        </w:rPr>
      </w:pPr>
      <w:r w:rsidRPr="004B03EE">
        <w:rPr>
          <w:sz w:val="19"/>
          <w:szCs w:val="19"/>
        </w:rPr>
        <w:t xml:space="preserve">Kelly, S. 2003, </w:t>
      </w:r>
      <w:r w:rsidR="00AB723B">
        <w:rPr>
          <w:sz w:val="19"/>
          <w:szCs w:val="19"/>
        </w:rPr>
        <w:t>Self-p</w:t>
      </w:r>
      <w:r w:rsidRPr="004B03EE">
        <w:rPr>
          <w:sz w:val="19"/>
          <w:szCs w:val="19"/>
        </w:rPr>
        <w:t>rovision in Retirement? Forecasting Future Household Wealth. Paper presented at the International Micro simulation Conference on Population Aging and Health, Canberra, 8 December.</w:t>
      </w:r>
    </w:p>
    <w:p w:rsidR="00657C16" w:rsidRDefault="00657C16" w:rsidP="00657C16">
      <w:pPr>
        <w:pStyle w:val="NoSpacing"/>
        <w:rPr>
          <w:sz w:val="19"/>
          <w:szCs w:val="19"/>
        </w:rPr>
      </w:pPr>
      <w:r>
        <w:rPr>
          <w:sz w:val="19"/>
          <w:szCs w:val="19"/>
        </w:rPr>
        <w:t xml:space="preserve">Irvine, J. (2009) ‘First-home incentive is deterring more buyers’, </w:t>
      </w:r>
      <w:r w:rsidRPr="004B03EE">
        <w:rPr>
          <w:i/>
          <w:sz w:val="19"/>
          <w:szCs w:val="19"/>
        </w:rPr>
        <w:t>Sydney Morning Herald</w:t>
      </w:r>
      <w:r>
        <w:rPr>
          <w:sz w:val="19"/>
          <w:szCs w:val="19"/>
        </w:rPr>
        <w:t>, 25 July.</w:t>
      </w:r>
    </w:p>
    <w:p w:rsidR="00657C16" w:rsidRPr="004B03EE" w:rsidRDefault="00657C16" w:rsidP="00657C16">
      <w:pPr>
        <w:pStyle w:val="NoSpacing"/>
        <w:rPr>
          <w:sz w:val="19"/>
          <w:szCs w:val="19"/>
        </w:rPr>
      </w:pPr>
      <w:proofErr w:type="spellStart"/>
      <w:r w:rsidRPr="004B03EE">
        <w:rPr>
          <w:sz w:val="19"/>
          <w:szCs w:val="19"/>
        </w:rPr>
        <w:t>Kupke</w:t>
      </w:r>
      <w:proofErr w:type="spellEnd"/>
      <w:r w:rsidRPr="004B03EE">
        <w:rPr>
          <w:sz w:val="19"/>
          <w:szCs w:val="19"/>
        </w:rPr>
        <w:t>, V. and Murano, W. (2002) ‘The implications of changes in the labour market for the homeownership aspirations, housing opportunities and characteristics of first home buyers,’ AHURI Final Report No. 18, pp.1-56</w:t>
      </w:r>
    </w:p>
    <w:p w:rsidR="00657C16" w:rsidRPr="004B03EE" w:rsidRDefault="00657C16" w:rsidP="00657C16">
      <w:pPr>
        <w:pStyle w:val="NoSpacing"/>
        <w:rPr>
          <w:sz w:val="19"/>
          <w:szCs w:val="19"/>
          <w:lang w:val="en-US" w:eastAsia="en-AU"/>
        </w:rPr>
      </w:pPr>
      <w:r w:rsidRPr="004B03EE">
        <w:rPr>
          <w:sz w:val="19"/>
          <w:szCs w:val="19"/>
        </w:rPr>
        <w:t xml:space="preserve">Lawless, T. (2013), </w:t>
      </w:r>
      <w:r w:rsidRPr="004B03EE">
        <w:rPr>
          <w:i/>
          <w:sz w:val="19"/>
          <w:szCs w:val="19"/>
        </w:rPr>
        <w:t>Australian home owners holding on to their homes for longer</w:t>
      </w:r>
      <w:r w:rsidRPr="004B03EE">
        <w:rPr>
          <w:sz w:val="19"/>
          <w:szCs w:val="19"/>
        </w:rPr>
        <w:t xml:space="preserve">. RP Data 21 March 2013. </w:t>
      </w:r>
      <w:r w:rsidRPr="004B03EE">
        <w:rPr>
          <w:sz w:val="19"/>
          <w:szCs w:val="19"/>
          <w:lang w:val="en-US" w:eastAsia="en-AU"/>
        </w:rPr>
        <w:t>http://propertyupdate.com.au/australian-home-owners-holding-on-to-their-homes-for-longer/</w:t>
      </w:r>
    </w:p>
    <w:p w:rsidR="00657C16" w:rsidRPr="004B03EE" w:rsidRDefault="00657C16" w:rsidP="00657C16">
      <w:pPr>
        <w:pStyle w:val="NoSpacing"/>
        <w:rPr>
          <w:sz w:val="19"/>
          <w:szCs w:val="19"/>
        </w:rPr>
      </w:pPr>
      <w:r w:rsidRPr="004B03EE">
        <w:rPr>
          <w:sz w:val="19"/>
          <w:szCs w:val="19"/>
        </w:rPr>
        <w:t xml:space="preserve">Local Government Association of NSW and Shires Association of NSW (2007), Assessing Local Government Revenue Raising Capacity July, 2007, Submission to Productivity Commission Inquiry. </w:t>
      </w:r>
    </w:p>
    <w:p w:rsidR="00AB723B" w:rsidRDefault="00AB723B" w:rsidP="00657C16">
      <w:pPr>
        <w:pStyle w:val="NoSpacing"/>
        <w:rPr>
          <w:sz w:val="19"/>
          <w:szCs w:val="19"/>
        </w:rPr>
      </w:pPr>
      <w:r>
        <w:rPr>
          <w:sz w:val="19"/>
          <w:szCs w:val="19"/>
        </w:rPr>
        <w:t>Mangioni, V. (2016), Land Tax in Australia: Fiscal Reform of Subnational Government, Routledge New York and London.</w:t>
      </w:r>
    </w:p>
    <w:p w:rsidR="00657C16" w:rsidRPr="004B03EE" w:rsidRDefault="00657C16" w:rsidP="00657C16">
      <w:pPr>
        <w:pStyle w:val="NoSpacing"/>
        <w:rPr>
          <w:sz w:val="19"/>
          <w:szCs w:val="19"/>
        </w:rPr>
      </w:pPr>
      <w:r>
        <w:rPr>
          <w:sz w:val="19"/>
          <w:szCs w:val="19"/>
        </w:rPr>
        <w:t xml:space="preserve">NSW Treasury (2005) </w:t>
      </w:r>
      <w:r w:rsidRPr="00113BEB">
        <w:rPr>
          <w:i/>
          <w:sz w:val="19"/>
          <w:szCs w:val="19"/>
        </w:rPr>
        <w:t>2005/06</w:t>
      </w:r>
      <w:r w:rsidRPr="004B03EE">
        <w:rPr>
          <w:sz w:val="19"/>
          <w:szCs w:val="19"/>
        </w:rPr>
        <w:t xml:space="preserve"> </w:t>
      </w:r>
      <w:r w:rsidRPr="00113BEB">
        <w:rPr>
          <w:i/>
          <w:sz w:val="19"/>
          <w:szCs w:val="19"/>
        </w:rPr>
        <w:t>Half-Yearly Budget-Review</w:t>
      </w:r>
      <w:r>
        <w:rPr>
          <w:i/>
          <w:sz w:val="19"/>
          <w:szCs w:val="19"/>
        </w:rPr>
        <w:t>.</w:t>
      </w:r>
      <w:r>
        <w:rPr>
          <w:sz w:val="19"/>
          <w:szCs w:val="19"/>
        </w:rPr>
        <w:t xml:space="preserve"> Premier and Treasurer of NSW </w:t>
      </w:r>
      <w:r w:rsidRPr="004B03EE">
        <w:rPr>
          <w:sz w:val="19"/>
          <w:szCs w:val="19"/>
        </w:rPr>
        <w:t>Sydney.</w:t>
      </w:r>
      <w:r>
        <w:rPr>
          <w:sz w:val="19"/>
          <w:szCs w:val="19"/>
        </w:rPr>
        <w:t xml:space="preserve"> </w:t>
      </w:r>
    </w:p>
    <w:p w:rsidR="00657C16" w:rsidRPr="004B03EE" w:rsidRDefault="00657C16" w:rsidP="00657C16">
      <w:pPr>
        <w:pStyle w:val="NoSpacing"/>
        <w:rPr>
          <w:sz w:val="19"/>
          <w:szCs w:val="19"/>
        </w:rPr>
      </w:pPr>
      <w:r w:rsidRPr="004B03EE">
        <w:rPr>
          <w:sz w:val="19"/>
          <w:szCs w:val="19"/>
        </w:rPr>
        <w:t xml:space="preserve">Office of State Revenue (2009), First Home Owners Boost Fact Sheet, retrieved from </w:t>
      </w:r>
      <w:hyperlink r:id="rId13" w:history="1">
        <w:r w:rsidRPr="004B03EE">
          <w:rPr>
            <w:rStyle w:val="Hyperlink"/>
            <w:sz w:val="19"/>
            <w:szCs w:val="19"/>
          </w:rPr>
          <w:t>http://www.finance.wa.gov.au/cms/uploadedFiles/_State_Revenue/FHOG/First_Home_Owners_Boost_fact_sheet(1).pdf</w:t>
        </w:r>
      </w:hyperlink>
    </w:p>
    <w:p w:rsidR="00657C16" w:rsidRPr="004B03EE" w:rsidRDefault="00657C16" w:rsidP="00657C16">
      <w:pPr>
        <w:pStyle w:val="NoSpacing"/>
        <w:rPr>
          <w:sz w:val="19"/>
          <w:szCs w:val="19"/>
        </w:rPr>
      </w:pPr>
      <w:r w:rsidRPr="004B03EE">
        <w:rPr>
          <w:sz w:val="19"/>
          <w:szCs w:val="19"/>
        </w:rPr>
        <w:t>OECD 201</w:t>
      </w:r>
      <w:r w:rsidR="002436FB">
        <w:rPr>
          <w:sz w:val="19"/>
          <w:szCs w:val="19"/>
        </w:rPr>
        <w:t>2</w:t>
      </w:r>
      <w:r w:rsidRPr="004B03EE">
        <w:rPr>
          <w:sz w:val="19"/>
          <w:szCs w:val="19"/>
        </w:rPr>
        <w:t xml:space="preserve">, </w:t>
      </w:r>
      <w:r w:rsidRPr="004B03EE">
        <w:rPr>
          <w:i/>
          <w:sz w:val="19"/>
          <w:szCs w:val="19"/>
        </w:rPr>
        <w:t>Organisation for Economic Cooperation and Development Revenue Statistics 1965-2010</w:t>
      </w:r>
      <w:r w:rsidRPr="004B03EE">
        <w:rPr>
          <w:sz w:val="19"/>
          <w:szCs w:val="19"/>
        </w:rPr>
        <w:t>, Table 22-23.</w:t>
      </w:r>
    </w:p>
    <w:p w:rsidR="002436FB" w:rsidRDefault="002436FB" w:rsidP="00657C16">
      <w:pPr>
        <w:pStyle w:val="NoSpacing"/>
        <w:rPr>
          <w:sz w:val="19"/>
          <w:szCs w:val="19"/>
        </w:rPr>
      </w:pPr>
      <w:r>
        <w:rPr>
          <w:sz w:val="19"/>
          <w:szCs w:val="19"/>
        </w:rPr>
        <w:t>Ong, R. &amp; Wood, G. (</w:t>
      </w:r>
      <w:r w:rsidR="0064022F">
        <w:rPr>
          <w:sz w:val="19"/>
          <w:szCs w:val="19"/>
        </w:rPr>
        <w:t>2016), Taxes: Turnbull should help states switch stamp duty for land tax, Australian Property Investor, 21 April 2016.</w:t>
      </w:r>
    </w:p>
    <w:p w:rsidR="00657C16" w:rsidRPr="004B03EE" w:rsidRDefault="00657C16" w:rsidP="00657C16">
      <w:pPr>
        <w:pStyle w:val="NoSpacing"/>
        <w:rPr>
          <w:sz w:val="19"/>
          <w:szCs w:val="19"/>
        </w:rPr>
      </w:pPr>
      <w:r w:rsidRPr="004B03EE">
        <w:rPr>
          <w:sz w:val="19"/>
          <w:szCs w:val="19"/>
        </w:rPr>
        <w:t xml:space="preserve">Productivity Commission (2004) </w:t>
      </w:r>
      <w:r w:rsidRPr="004B03EE">
        <w:rPr>
          <w:i/>
          <w:sz w:val="19"/>
          <w:szCs w:val="19"/>
        </w:rPr>
        <w:t>First Home Ownership</w:t>
      </w:r>
      <w:r w:rsidRPr="004B03EE">
        <w:rPr>
          <w:sz w:val="19"/>
          <w:szCs w:val="19"/>
        </w:rPr>
        <w:t>, Report No 28, Commonwealth of Australia, Melbourne.</w:t>
      </w:r>
    </w:p>
    <w:p w:rsidR="00657C16" w:rsidRDefault="00657C16" w:rsidP="00657C16">
      <w:pPr>
        <w:pStyle w:val="NoSpacing"/>
        <w:rPr>
          <w:sz w:val="19"/>
          <w:szCs w:val="19"/>
        </w:rPr>
      </w:pPr>
      <w:r>
        <w:rPr>
          <w:sz w:val="19"/>
          <w:szCs w:val="19"/>
        </w:rPr>
        <w:t>Productivity Commission (2006) Workforce Participation Rates – How Does Australia Compare? Commonwealth of Australia, Dec 2006, Melbourne Victoria.</w:t>
      </w:r>
    </w:p>
    <w:p w:rsidR="00657C16" w:rsidRPr="004B03EE" w:rsidRDefault="00657C16" w:rsidP="00657C16">
      <w:pPr>
        <w:pStyle w:val="NoSpacing"/>
        <w:rPr>
          <w:sz w:val="19"/>
          <w:szCs w:val="19"/>
        </w:rPr>
      </w:pPr>
      <w:r w:rsidRPr="004B03EE">
        <w:rPr>
          <w:sz w:val="19"/>
          <w:szCs w:val="19"/>
        </w:rPr>
        <w:t>Productivity Commission (2008) Assessing Local Government Revenue Raising Capacity, Commonwealth of Australia, Canberra.</w:t>
      </w:r>
    </w:p>
    <w:p w:rsidR="00657C16" w:rsidRDefault="00657C16" w:rsidP="00657C16">
      <w:pPr>
        <w:pStyle w:val="NoSpacing"/>
        <w:rPr>
          <w:sz w:val="19"/>
          <w:szCs w:val="19"/>
        </w:rPr>
      </w:pPr>
      <w:r>
        <w:rPr>
          <w:sz w:val="19"/>
          <w:szCs w:val="19"/>
        </w:rPr>
        <w:t xml:space="preserve">Quinlan, T. Smithies, M. &amp; Duncan, A. (2012) </w:t>
      </w:r>
      <w:r w:rsidRPr="00F63703">
        <w:rPr>
          <w:i/>
          <w:sz w:val="19"/>
          <w:szCs w:val="19"/>
        </w:rPr>
        <w:t>ACT Tax Review</w:t>
      </w:r>
      <w:r>
        <w:rPr>
          <w:sz w:val="19"/>
          <w:szCs w:val="19"/>
        </w:rPr>
        <w:t>, Report to the Treasurer ACT. Treasury Directorate ACT, Canberra.</w:t>
      </w:r>
    </w:p>
    <w:p w:rsidR="00657C16" w:rsidRPr="004B03EE" w:rsidRDefault="00657C16" w:rsidP="00657C16">
      <w:pPr>
        <w:pStyle w:val="NoSpacing"/>
        <w:rPr>
          <w:sz w:val="19"/>
          <w:szCs w:val="19"/>
        </w:rPr>
      </w:pPr>
      <w:r w:rsidRPr="004B03EE">
        <w:rPr>
          <w:sz w:val="19"/>
          <w:szCs w:val="19"/>
        </w:rPr>
        <w:t xml:space="preserve">Rolfe, J. (2013) </w:t>
      </w:r>
      <w:r w:rsidRPr="004B03EE">
        <w:rPr>
          <w:i/>
          <w:sz w:val="19"/>
          <w:szCs w:val="19"/>
        </w:rPr>
        <w:t>Premiums go through the roof on Lenders Mortgage Insurance</w:t>
      </w:r>
      <w:r w:rsidRPr="004B03EE">
        <w:rPr>
          <w:sz w:val="19"/>
          <w:szCs w:val="19"/>
        </w:rPr>
        <w:t xml:space="preserve">, News Limited Network, July 06, 2013. </w:t>
      </w:r>
    </w:p>
    <w:p w:rsidR="00657C16" w:rsidRPr="004B03EE" w:rsidRDefault="00657C16" w:rsidP="00657C16">
      <w:pPr>
        <w:pStyle w:val="NoSpacing"/>
        <w:rPr>
          <w:sz w:val="19"/>
          <w:szCs w:val="19"/>
        </w:rPr>
      </w:pPr>
      <w:r w:rsidRPr="004B03EE">
        <w:rPr>
          <w:sz w:val="19"/>
          <w:szCs w:val="19"/>
        </w:rPr>
        <w:lastRenderedPageBreak/>
        <w:t xml:space="preserve">Warburton, R.F.E. and Hendy, A.O. (2006), </w:t>
      </w:r>
      <w:r w:rsidRPr="004B03EE">
        <w:rPr>
          <w:i/>
          <w:sz w:val="19"/>
          <w:szCs w:val="19"/>
        </w:rPr>
        <w:t>International Comparison of Australia’s Taxes</w:t>
      </w:r>
      <w:r w:rsidRPr="004B03EE">
        <w:rPr>
          <w:sz w:val="19"/>
          <w:szCs w:val="19"/>
        </w:rPr>
        <w:t xml:space="preserve"> Commonwealth of Australia, Canberra ACT.</w:t>
      </w:r>
    </w:p>
    <w:p w:rsidR="00AB723B" w:rsidRDefault="00AB723B" w:rsidP="00657C16">
      <w:pPr>
        <w:pStyle w:val="NoSpacing"/>
        <w:rPr>
          <w:sz w:val="19"/>
          <w:szCs w:val="19"/>
        </w:rPr>
      </w:pPr>
      <w:r>
        <w:rPr>
          <w:sz w:val="19"/>
          <w:szCs w:val="19"/>
        </w:rPr>
        <w:t>Warren, N. A. (2004) Ta</w:t>
      </w:r>
      <w:r w:rsidR="00A94E6C">
        <w:rPr>
          <w:sz w:val="19"/>
          <w:szCs w:val="19"/>
        </w:rPr>
        <w:t>x: Facts fiction and reform, Sy</w:t>
      </w:r>
      <w:r>
        <w:rPr>
          <w:sz w:val="19"/>
          <w:szCs w:val="19"/>
        </w:rPr>
        <w:t>dney, NSW</w:t>
      </w:r>
      <w:r w:rsidR="00A94E6C">
        <w:rPr>
          <w:sz w:val="19"/>
          <w:szCs w:val="19"/>
        </w:rPr>
        <w:t>. Australian Tax Research Foundation.</w:t>
      </w:r>
    </w:p>
    <w:p w:rsidR="00657C16" w:rsidRPr="004B03EE" w:rsidRDefault="00657C16" w:rsidP="00657C16">
      <w:pPr>
        <w:pStyle w:val="NoSpacing"/>
        <w:rPr>
          <w:sz w:val="19"/>
          <w:szCs w:val="19"/>
        </w:rPr>
      </w:pPr>
      <w:r w:rsidRPr="004B03EE">
        <w:rPr>
          <w:sz w:val="19"/>
          <w:szCs w:val="19"/>
        </w:rPr>
        <w:t xml:space="preserve">Wood, G. Ong, R. </w:t>
      </w:r>
      <w:proofErr w:type="spellStart"/>
      <w:r w:rsidRPr="004B03EE">
        <w:rPr>
          <w:sz w:val="19"/>
          <w:szCs w:val="19"/>
        </w:rPr>
        <w:t>Cigdem</w:t>
      </w:r>
      <w:proofErr w:type="spellEnd"/>
      <w:r w:rsidRPr="004B03EE">
        <w:rPr>
          <w:sz w:val="19"/>
          <w:szCs w:val="19"/>
        </w:rPr>
        <w:t xml:space="preserve">, M. and Taylor, E. (2012) </w:t>
      </w:r>
      <w:proofErr w:type="gramStart"/>
      <w:r w:rsidRPr="004B03EE">
        <w:rPr>
          <w:sz w:val="19"/>
          <w:szCs w:val="19"/>
        </w:rPr>
        <w:t>The</w:t>
      </w:r>
      <w:proofErr w:type="gramEnd"/>
      <w:r w:rsidRPr="004B03EE">
        <w:rPr>
          <w:sz w:val="19"/>
          <w:szCs w:val="19"/>
        </w:rPr>
        <w:t xml:space="preserve"> spatial and distributional impacts of the Henry Review Recommendations on stamp duty and land tax. Australian Housing and Urban Research Institute, AHURI Final Report No. 182 Feb. 2012.</w:t>
      </w:r>
    </w:p>
    <w:p w:rsidR="00657C16" w:rsidRPr="004B03EE" w:rsidRDefault="00657C16" w:rsidP="00657C16">
      <w:pPr>
        <w:pStyle w:val="NoSpacing"/>
        <w:rPr>
          <w:sz w:val="19"/>
          <w:szCs w:val="19"/>
        </w:rPr>
      </w:pPr>
      <w:r w:rsidRPr="004B03EE">
        <w:rPr>
          <w:sz w:val="19"/>
          <w:szCs w:val="19"/>
        </w:rPr>
        <w:t xml:space="preserve">Yates, J. 2010. Tax expenditures and housing, </w:t>
      </w:r>
      <w:proofErr w:type="spellStart"/>
      <w:r w:rsidRPr="004B03EE">
        <w:rPr>
          <w:sz w:val="19"/>
          <w:szCs w:val="19"/>
        </w:rPr>
        <w:t>Ch</w:t>
      </w:r>
      <w:proofErr w:type="spellEnd"/>
      <w:r w:rsidRPr="004B03EE">
        <w:rPr>
          <w:sz w:val="19"/>
          <w:szCs w:val="19"/>
        </w:rPr>
        <w:t xml:space="preserve"> 2. Housing and Tax Policy, Ed. Stewart, M. Australian Tax Research Foundation.</w:t>
      </w:r>
    </w:p>
    <w:p w:rsidR="00C43ECF" w:rsidRDefault="00657C16" w:rsidP="00657C16">
      <w:pPr>
        <w:pStyle w:val="NoSpacing"/>
        <w:rPr>
          <w:sz w:val="19"/>
          <w:szCs w:val="19"/>
        </w:rPr>
        <w:sectPr w:rsidR="00C43ECF" w:rsidSect="00702285">
          <w:footerReference w:type="default" r:id="rId14"/>
          <w:footerReference w:type="first" r:id="rId15"/>
          <w:pgSz w:w="11906" w:h="16838"/>
          <w:pgMar w:top="993" w:right="1440" w:bottom="993" w:left="1440" w:header="708" w:footer="365" w:gutter="0"/>
          <w:pgNumType w:chapStyle="1"/>
          <w:cols w:space="708"/>
          <w:docGrid w:linePitch="360"/>
        </w:sectPr>
      </w:pPr>
      <w:r w:rsidRPr="004B03EE">
        <w:rPr>
          <w:sz w:val="19"/>
          <w:szCs w:val="19"/>
        </w:rPr>
        <w:t xml:space="preserve">Yates, J. ‘Housing and Tax: The Triumph of Politics over Economics’ in Chris Evans, Richard </w:t>
      </w:r>
      <w:proofErr w:type="spellStart"/>
      <w:r w:rsidRPr="004B03EE">
        <w:rPr>
          <w:sz w:val="19"/>
          <w:szCs w:val="19"/>
        </w:rPr>
        <w:t>Krever</w:t>
      </w:r>
      <w:proofErr w:type="spellEnd"/>
      <w:r w:rsidRPr="004B03EE">
        <w:rPr>
          <w:sz w:val="19"/>
          <w:szCs w:val="19"/>
        </w:rPr>
        <w:t xml:space="preserve"> </w:t>
      </w:r>
      <w:r>
        <w:rPr>
          <w:sz w:val="19"/>
          <w:szCs w:val="19"/>
        </w:rPr>
        <w:t>&amp;</w:t>
      </w:r>
      <w:r w:rsidRPr="004B03EE">
        <w:rPr>
          <w:sz w:val="19"/>
          <w:szCs w:val="19"/>
        </w:rPr>
        <w:t xml:space="preserve"> Peter Mellor (</w:t>
      </w:r>
      <w:proofErr w:type="spellStart"/>
      <w:r w:rsidRPr="004B03EE">
        <w:rPr>
          <w:sz w:val="19"/>
          <w:szCs w:val="19"/>
        </w:rPr>
        <w:t>eds</w:t>
      </w:r>
      <w:proofErr w:type="spellEnd"/>
      <w:r w:rsidRPr="004B03EE">
        <w:rPr>
          <w:sz w:val="19"/>
          <w:szCs w:val="19"/>
        </w:rPr>
        <w:t xml:space="preserve">), Australia’s Future Tax System: The Prospects After </w:t>
      </w:r>
      <w:r>
        <w:rPr>
          <w:sz w:val="19"/>
          <w:szCs w:val="19"/>
        </w:rPr>
        <w:t>Henry (Thomson Reuters 2010)</w:t>
      </w:r>
      <w:r w:rsidR="00C43ECF">
        <w:rPr>
          <w:sz w:val="19"/>
          <w:szCs w:val="19"/>
        </w:rPr>
        <w:t xml:space="preserve">. </w:t>
      </w:r>
    </w:p>
    <w:p w:rsidR="00C43ECF" w:rsidRDefault="00C43ECF" w:rsidP="00C43ECF">
      <w:pPr>
        <w:spacing w:after="0" w:line="240" w:lineRule="auto"/>
        <w:rPr>
          <w:b/>
          <w:sz w:val="18"/>
          <w:szCs w:val="18"/>
        </w:rPr>
      </w:pPr>
    </w:p>
    <w:p w:rsidR="00C43ECF" w:rsidRDefault="00C43ECF" w:rsidP="00C43ECF">
      <w:pPr>
        <w:spacing w:after="0" w:line="240" w:lineRule="auto"/>
        <w:rPr>
          <w:b/>
          <w:sz w:val="18"/>
          <w:szCs w:val="18"/>
        </w:rPr>
      </w:pPr>
    </w:p>
    <w:p w:rsidR="00C43ECF" w:rsidRDefault="00C43ECF" w:rsidP="00C43ECF">
      <w:pPr>
        <w:spacing w:after="0" w:line="240" w:lineRule="auto"/>
        <w:rPr>
          <w:b/>
          <w:sz w:val="18"/>
          <w:szCs w:val="18"/>
        </w:rPr>
      </w:pPr>
    </w:p>
    <w:p w:rsidR="00C43ECF" w:rsidRDefault="00C43ECF" w:rsidP="00C43ECF">
      <w:pPr>
        <w:spacing w:after="0" w:line="240" w:lineRule="auto"/>
        <w:rPr>
          <w:b/>
          <w:sz w:val="18"/>
          <w:szCs w:val="18"/>
        </w:rPr>
      </w:pPr>
      <w:r>
        <w:rPr>
          <w:b/>
          <w:sz w:val="18"/>
          <w:szCs w:val="18"/>
        </w:rPr>
        <w:t xml:space="preserve">  </w:t>
      </w:r>
      <w:r w:rsidRPr="006F132A">
        <w:rPr>
          <w:b/>
          <w:sz w:val="18"/>
          <w:szCs w:val="18"/>
        </w:rPr>
        <w:t xml:space="preserve">Table </w:t>
      </w:r>
      <w:r>
        <w:rPr>
          <w:b/>
          <w:sz w:val="18"/>
          <w:szCs w:val="18"/>
        </w:rPr>
        <w:t>5</w:t>
      </w:r>
      <w:r w:rsidRPr="006F132A">
        <w:rPr>
          <w:b/>
          <w:sz w:val="18"/>
          <w:szCs w:val="18"/>
        </w:rPr>
        <w:t>: Comparative analysis of stamp duty versus a 1 per cent land tax on housing in the capital cities</w:t>
      </w:r>
      <w:r w:rsidR="00027CDF">
        <w:rPr>
          <w:b/>
          <w:sz w:val="18"/>
          <w:szCs w:val="18"/>
        </w:rPr>
        <w:t xml:space="preserve"> of Australia</w:t>
      </w:r>
    </w:p>
    <w:tbl>
      <w:tblPr>
        <w:tblW w:w="13760" w:type="dxa"/>
        <w:tblInd w:w="91" w:type="dxa"/>
        <w:tblLook w:val="04A0" w:firstRow="1" w:lastRow="0" w:firstColumn="1" w:lastColumn="0" w:noHBand="0" w:noVBand="1"/>
      </w:tblPr>
      <w:tblGrid>
        <w:gridCol w:w="1140"/>
        <w:gridCol w:w="1420"/>
        <w:gridCol w:w="1400"/>
        <w:gridCol w:w="1020"/>
        <w:gridCol w:w="1600"/>
        <w:gridCol w:w="1660"/>
        <w:gridCol w:w="1520"/>
        <w:gridCol w:w="1460"/>
        <w:gridCol w:w="1280"/>
        <w:gridCol w:w="1260"/>
      </w:tblGrid>
      <w:tr w:rsidR="00C43ECF" w:rsidRPr="0089694B" w:rsidTr="0080674F">
        <w:trPr>
          <w:trHeight w:val="453"/>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3ECF" w:rsidRPr="00091891" w:rsidRDefault="00C43ECF" w:rsidP="0080674F">
            <w:pPr>
              <w:spacing w:after="0" w:line="240" w:lineRule="auto"/>
              <w:jc w:val="center"/>
              <w:rPr>
                <w:rFonts w:ascii="Calibri" w:eastAsia="Times New Roman" w:hAnsi="Calibri" w:cs="Times New Roman"/>
                <w:b/>
                <w:bCs/>
                <w:color w:val="000000"/>
                <w:szCs w:val="20"/>
                <w:lang w:eastAsia="en-AU"/>
              </w:rPr>
            </w:pPr>
            <w:r w:rsidRPr="00091891">
              <w:rPr>
                <w:rFonts w:ascii="Calibri" w:eastAsia="Times New Roman" w:hAnsi="Calibri" w:cs="Times New Roman"/>
                <w:b/>
                <w:bCs/>
                <w:color w:val="000000"/>
                <w:szCs w:val="20"/>
                <w:lang w:eastAsia="en-AU"/>
              </w:rPr>
              <w:t>1</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C43ECF" w:rsidRPr="00091891" w:rsidRDefault="00C43ECF" w:rsidP="0080674F">
            <w:pPr>
              <w:spacing w:after="0" w:line="240" w:lineRule="auto"/>
              <w:jc w:val="center"/>
              <w:rPr>
                <w:rFonts w:eastAsia="Times New Roman" w:cs="Arial"/>
                <w:b/>
                <w:color w:val="000000"/>
                <w:szCs w:val="20"/>
                <w:lang w:eastAsia="en-AU"/>
              </w:rPr>
            </w:pPr>
            <w:r w:rsidRPr="00091891">
              <w:rPr>
                <w:rFonts w:eastAsia="Times New Roman" w:cs="Arial"/>
                <w:b/>
                <w:color w:val="000000"/>
                <w:szCs w:val="20"/>
                <w:lang w:eastAsia="en-AU"/>
              </w:rPr>
              <w:t>2</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C43ECF" w:rsidRPr="00091891" w:rsidRDefault="00C43ECF" w:rsidP="0080674F">
            <w:pPr>
              <w:spacing w:after="0" w:line="240" w:lineRule="auto"/>
              <w:jc w:val="center"/>
              <w:rPr>
                <w:rFonts w:eastAsia="Times New Roman" w:cs="Arial"/>
                <w:b/>
                <w:color w:val="000000"/>
                <w:szCs w:val="20"/>
                <w:lang w:eastAsia="en-AU"/>
              </w:rPr>
            </w:pPr>
            <w:r w:rsidRPr="00091891">
              <w:rPr>
                <w:rFonts w:eastAsia="Times New Roman" w:cs="Arial"/>
                <w:b/>
                <w:color w:val="000000"/>
                <w:szCs w:val="20"/>
                <w:lang w:eastAsia="en-AU"/>
              </w:rPr>
              <w:t>3</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C43ECF" w:rsidRPr="00091891" w:rsidRDefault="00C43ECF" w:rsidP="0080674F">
            <w:pPr>
              <w:spacing w:after="0" w:line="240" w:lineRule="auto"/>
              <w:jc w:val="center"/>
              <w:rPr>
                <w:rFonts w:eastAsia="Times New Roman" w:cs="Arial"/>
                <w:b/>
                <w:color w:val="000000"/>
                <w:szCs w:val="20"/>
                <w:lang w:eastAsia="en-AU"/>
              </w:rPr>
            </w:pPr>
            <w:r w:rsidRPr="00091891">
              <w:rPr>
                <w:rFonts w:eastAsia="Times New Roman" w:cs="Arial"/>
                <w:b/>
                <w:color w:val="000000"/>
                <w:szCs w:val="20"/>
                <w:lang w:eastAsia="en-AU"/>
              </w:rPr>
              <w:t>4</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C43ECF" w:rsidRPr="00091891" w:rsidRDefault="00C43ECF" w:rsidP="0080674F">
            <w:pPr>
              <w:spacing w:after="0" w:line="240" w:lineRule="auto"/>
              <w:jc w:val="center"/>
              <w:rPr>
                <w:rFonts w:eastAsia="Times New Roman" w:cs="Arial"/>
                <w:b/>
                <w:color w:val="000000"/>
                <w:szCs w:val="20"/>
                <w:lang w:eastAsia="en-AU"/>
              </w:rPr>
            </w:pPr>
            <w:r w:rsidRPr="00091891">
              <w:rPr>
                <w:rFonts w:eastAsia="Times New Roman" w:cs="Arial"/>
                <w:b/>
                <w:color w:val="000000"/>
                <w:szCs w:val="20"/>
                <w:lang w:eastAsia="en-AU"/>
              </w:rPr>
              <w:t>5</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C43ECF" w:rsidRPr="00091891" w:rsidRDefault="00C43ECF" w:rsidP="0080674F">
            <w:pPr>
              <w:spacing w:after="0" w:line="240" w:lineRule="auto"/>
              <w:jc w:val="center"/>
              <w:rPr>
                <w:rFonts w:eastAsia="Times New Roman" w:cs="Arial"/>
                <w:b/>
                <w:color w:val="000000"/>
                <w:szCs w:val="20"/>
                <w:lang w:eastAsia="en-AU"/>
              </w:rPr>
            </w:pPr>
            <w:r w:rsidRPr="00091891">
              <w:rPr>
                <w:rFonts w:eastAsia="Times New Roman" w:cs="Arial"/>
                <w:b/>
                <w:color w:val="000000"/>
                <w:szCs w:val="20"/>
                <w:lang w:eastAsia="en-AU"/>
              </w:rPr>
              <w:t>6</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C43ECF" w:rsidRPr="00091891" w:rsidRDefault="00C43ECF" w:rsidP="0080674F">
            <w:pPr>
              <w:spacing w:after="0" w:line="240" w:lineRule="auto"/>
              <w:jc w:val="center"/>
              <w:rPr>
                <w:rFonts w:eastAsia="Times New Roman" w:cs="Arial"/>
                <w:b/>
                <w:color w:val="000000"/>
                <w:szCs w:val="20"/>
                <w:lang w:eastAsia="en-AU"/>
              </w:rPr>
            </w:pPr>
            <w:r w:rsidRPr="00091891">
              <w:rPr>
                <w:rFonts w:eastAsia="Times New Roman" w:cs="Arial"/>
                <w:b/>
                <w:color w:val="000000"/>
                <w:szCs w:val="20"/>
                <w:lang w:eastAsia="en-AU"/>
              </w:rPr>
              <w:t>7</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C43ECF" w:rsidRPr="00091891" w:rsidRDefault="00C43ECF" w:rsidP="0080674F">
            <w:pPr>
              <w:spacing w:after="0" w:line="240" w:lineRule="auto"/>
              <w:jc w:val="center"/>
              <w:rPr>
                <w:rFonts w:eastAsia="Times New Roman" w:cs="Arial"/>
                <w:b/>
                <w:color w:val="000000"/>
                <w:szCs w:val="20"/>
                <w:lang w:eastAsia="en-AU"/>
              </w:rPr>
            </w:pPr>
            <w:r w:rsidRPr="00091891">
              <w:rPr>
                <w:rFonts w:eastAsia="Times New Roman" w:cs="Arial"/>
                <w:b/>
                <w:color w:val="000000"/>
                <w:szCs w:val="20"/>
                <w:lang w:eastAsia="en-AU"/>
              </w:rPr>
              <w:t>8</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C43ECF" w:rsidRPr="00091891" w:rsidRDefault="00C43ECF" w:rsidP="0080674F">
            <w:pPr>
              <w:spacing w:after="0" w:line="240" w:lineRule="auto"/>
              <w:jc w:val="center"/>
              <w:rPr>
                <w:rFonts w:eastAsia="Times New Roman" w:cs="Arial"/>
                <w:b/>
                <w:color w:val="000000"/>
                <w:szCs w:val="20"/>
                <w:lang w:eastAsia="en-AU"/>
              </w:rPr>
            </w:pPr>
            <w:r w:rsidRPr="00091891">
              <w:rPr>
                <w:rFonts w:eastAsia="Times New Roman" w:cs="Arial"/>
                <w:b/>
                <w:color w:val="000000"/>
                <w:szCs w:val="20"/>
                <w:lang w:eastAsia="en-AU"/>
              </w:rPr>
              <w:t>9</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C43ECF" w:rsidRPr="00091891" w:rsidRDefault="00C43ECF" w:rsidP="0080674F">
            <w:pPr>
              <w:spacing w:after="0" w:line="240" w:lineRule="auto"/>
              <w:jc w:val="center"/>
              <w:rPr>
                <w:rFonts w:eastAsia="Times New Roman" w:cs="Arial"/>
                <w:b/>
                <w:color w:val="000000"/>
                <w:szCs w:val="20"/>
                <w:lang w:eastAsia="en-AU"/>
              </w:rPr>
            </w:pPr>
            <w:r w:rsidRPr="00091891">
              <w:rPr>
                <w:rFonts w:eastAsia="Times New Roman" w:cs="Arial"/>
                <w:b/>
                <w:color w:val="000000"/>
                <w:szCs w:val="20"/>
                <w:lang w:eastAsia="en-AU"/>
              </w:rPr>
              <w:t>10</w:t>
            </w:r>
          </w:p>
        </w:tc>
      </w:tr>
      <w:tr w:rsidR="00C43ECF" w:rsidRPr="0089694B" w:rsidTr="0080674F">
        <w:trPr>
          <w:trHeight w:val="900"/>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3ECF" w:rsidRPr="001871E4" w:rsidRDefault="00C43ECF" w:rsidP="0080674F">
            <w:pPr>
              <w:spacing w:after="0" w:line="240" w:lineRule="auto"/>
              <w:jc w:val="center"/>
              <w:rPr>
                <w:rFonts w:eastAsia="Times New Roman" w:cs="Arial"/>
                <w:b/>
                <w:bCs/>
                <w:color w:val="000000"/>
                <w:szCs w:val="20"/>
                <w:lang w:eastAsia="en-AU"/>
              </w:rPr>
            </w:pPr>
            <w:r w:rsidRPr="001871E4">
              <w:rPr>
                <w:rFonts w:eastAsia="Times New Roman" w:cs="Arial"/>
                <w:b/>
                <w:bCs/>
                <w:color w:val="000000"/>
                <w:szCs w:val="20"/>
                <w:lang w:eastAsia="en-AU"/>
              </w:rPr>
              <w:t>2012</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C43ECF" w:rsidRPr="0089694B" w:rsidRDefault="00C43ECF" w:rsidP="0080674F">
            <w:pPr>
              <w:spacing w:after="0" w:line="240" w:lineRule="auto"/>
              <w:jc w:val="center"/>
              <w:rPr>
                <w:rFonts w:eastAsia="Times New Roman" w:cs="Arial"/>
                <w:color w:val="000000"/>
                <w:sz w:val="18"/>
                <w:szCs w:val="18"/>
                <w:lang w:eastAsia="en-AU"/>
              </w:rPr>
            </w:pPr>
            <w:r w:rsidRPr="0089694B">
              <w:rPr>
                <w:rFonts w:eastAsia="Times New Roman" w:cs="Arial"/>
                <w:color w:val="000000"/>
                <w:sz w:val="18"/>
                <w:szCs w:val="18"/>
                <w:lang w:eastAsia="en-AU"/>
              </w:rPr>
              <w:t>2012 Ave Cost of Housing</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C43ECF" w:rsidRPr="0089694B" w:rsidRDefault="00C43ECF" w:rsidP="0080674F">
            <w:pPr>
              <w:spacing w:after="0" w:line="240" w:lineRule="auto"/>
              <w:jc w:val="center"/>
              <w:rPr>
                <w:rFonts w:eastAsia="Times New Roman" w:cs="Arial"/>
                <w:color w:val="000000"/>
                <w:sz w:val="18"/>
                <w:szCs w:val="18"/>
                <w:lang w:eastAsia="en-AU"/>
              </w:rPr>
            </w:pPr>
            <w:r w:rsidRPr="0089694B">
              <w:rPr>
                <w:rFonts w:eastAsia="Times New Roman" w:cs="Arial"/>
                <w:color w:val="000000"/>
                <w:sz w:val="18"/>
                <w:szCs w:val="18"/>
                <w:lang w:eastAsia="en-AU"/>
              </w:rPr>
              <w:t>2012 Average land value</w:t>
            </w:r>
          </w:p>
        </w:tc>
        <w:tc>
          <w:tcPr>
            <w:tcW w:w="1020" w:type="dxa"/>
            <w:tcBorders>
              <w:top w:val="single" w:sz="4" w:space="0" w:color="auto"/>
              <w:left w:val="nil"/>
              <w:bottom w:val="single" w:sz="4" w:space="0" w:color="auto"/>
              <w:right w:val="single" w:sz="4" w:space="0" w:color="auto"/>
            </w:tcBorders>
            <w:shd w:val="clear" w:color="auto" w:fill="auto"/>
            <w:vAlign w:val="bottom"/>
            <w:hideMark/>
          </w:tcPr>
          <w:p w:rsidR="00C43ECF" w:rsidRPr="0089694B" w:rsidRDefault="00C43ECF" w:rsidP="0080674F">
            <w:pPr>
              <w:spacing w:after="0" w:line="240" w:lineRule="auto"/>
              <w:jc w:val="center"/>
              <w:rPr>
                <w:rFonts w:eastAsia="Times New Roman" w:cs="Arial"/>
                <w:color w:val="000000"/>
                <w:sz w:val="18"/>
                <w:szCs w:val="18"/>
                <w:lang w:eastAsia="en-AU"/>
              </w:rPr>
            </w:pPr>
            <w:r w:rsidRPr="0089694B">
              <w:rPr>
                <w:rFonts w:eastAsia="Times New Roman" w:cs="Arial"/>
                <w:color w:val="000000"/>
                <w:sz w:val="18"/>
                <w:szCs w:val="18"/>
                <w:lang w:eastAsia="en-AU"/>
              </w:rPr>
              <w:t>Stamp Duty</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rsidR="00C43ECF" w:rsidRPr="0089694B" w:rsidRDefault="00C43ECF" w:rsidP="0080674F">
            <w:pPr>
              <w:spacing w:after="0" w:line="240" w:lineRule="auto"/>
              <w:jc w:val="center"/>
              <w:rPr>
                <w:rFonts w:eastAsia="Times New Roman" w:cs="Arial"/>
                <w:color w:val="000000"/>
                <w:sz w:val="18"/>
                <w:szCs w:val="18"/>
                <w:lang w:eastAsia="en-AU"/>
              </w:rPr>
            </w:pPr>
            <w:r w:rsidRPr="0089694B">
              <w:rPr>
                <w:rFonts w:eastAsia="Times New Roman" w:cs="Arial"/>
                <w:color w:val="000000"/>
                <w:sz w:val="18"/>
                <w:szCs w:val="18"/>
                <w:lang w:eastAsia="en-AU"/>
              </w:rPr>
              <w:t xml:space="preserve">Prod </w:t>
            </w:r>
            <w:proofErr w:type="spellStart"/>
            <w:r w:rsidRPr="0089694B">
              <w:rPr>
                <w:rFonts w:eastAsia="Times New Roman" w:cs="Arial"/>
                <w:color w:val="000000"/>
                <w:sz w:val="18"/>
                <w:szCs w:val="18"/>
                <w:lang w:eastAsia="en-AU"/>
              </w:rPr>
              <w:t>Comm</w:t>
            </w:r>
            <w:proofErr w:type="spellEnd"/>
            <w:r w:rsidRPr="0089694B">
              <w:rPr>
                <w:rFonts w:eastAsia="Times New Roman" w:cs="Arial"/>
                <w:color w:val="000000"/>
                <w:sz w:val="18"/>
                <w:szCs w:val="18"/>
                <w:lang w:eastAsia="en-AU"/>
              </w:rPr>
              <w:t xml:space="preserve"> Land Tax             (1 per cent)</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C43ECF" w:rsidRPr="0089694B" w:rsidRDefault="00C43ECF" w:rsidP="0080674F">
            <w:pPr>
              <w:spacing w:after="0" w:line="240" w:lineRule="auto"/>
              <w:jc w:val="center"/>
              <w:rPr>
                <w:rFonts w:eastAsia="Times New Roman" w:cs="Arial"/>
                <w:color w:val="000000"/>
                <w:sz w:val="18"/>
                <w:szCs w:val="18"/>
                <w:lang w:eastAsia="en-AU"/>
              </w:rPr>
            </w:pPr>
            <w:r w:rsidRPr="0089694B">
              <w:rPr>
                <w:rFonts w:eastAsia="Times New Roman" w:cs="Arial"/>
                <w:color w:val="000000"/>
                <w:sz w:val="18"/>
                <w:szCs w:val="18"/>
                <w:lang w:eastAsia="en-AU"/>
              </w:rPr>
              <w:t xml:space="preserve">Prod </w:t>
            </w:r>
            <w:proofErr w:type="spellStart"/>
            <w:r w:rsidRPr="0089694B">
              <w:rPr>
                <w:rFonts w:eastAsia="Times New Roman" w:cs="Arial"/>
                <w:color w:val="000000"/>
                <w:sz w:val="18"/>
                <w:szCs w:val="18"/>
                <w:lang w:eastAsia="en-AU"/>
              </w:rPr>
              <w:t>Comm</w:t>
            </w:r>
            <w:proofErr w:type="spellEnd"/>
            <w:r w:rsidRPr="0089694B">
              <w:rPr>
                <w:rFonts w:eastAsia="Times New Roman" w:cs="Arial"/>
                <w:color w:val="000000"/>
                <w:sz w:val="18"/>
                <w:szCs w:val="18"/>
                <w:lang w:eastAsia="en-AU"/>
              </w:rPr>
              <w:t xml:space="preserve"> Equivalent Years (1.0 per cent)</w:t>
            </w:r>
          </w:p>
        </w:tc>
        <w:tc>
          <w:tcPr>
            <w:tcW w:w="1520" w:type="dxa"/>
            <w:tcBorders>
              <w:top w:val="single" w:sz="4" w:space="0" w:color="auto"/>
              <w:left w:val="nil"/>
              <w:bottom w:val="single" w:sz="4" w:space="0" w:color="auto"/>
              <w:right w:val="single" w:sz="4" w:space="0" w:color="auto"/>
            </w:tcBorders>
            <w:shd w:val="clear" w:color="auto" w:fill="auto"/>
            <w:vAlign w:val="bottom"/>
            <w:hideMark/>
          </w:tcPr>
          <w:p w:rsidR="00C43ECF" w:rsidRPr="0089694B" w:rsidRDefault="00C43ECF" w:rsidP="0080674F">
            <w:pPr>
              <w:spacing w:after="0" w:line="240" w:lineRule="auto"/>
              <w:jc w:val="center"/>
              <w:rPr>
                <w:rFonts w:eastAsia="Times New Roman" w:cs="Arial"/>
                <w:color w:val="000000"/>
                <w:sz w:val="18"/>
                <w:szCs w:val="18"/>
                <w:lang w:eastAsia="en-AU"/>
              </w:rPr>
            </w:pPr>
            <w:r w:rsidRPr="0089694B">
              <w:rPr>
                <w:rFonts w:eastAsia="Times New Roman" w:cs="Arial"/>
                <w:color w:val="000000"/>
                <w:sz w:val="18"/>
                <w:szCs w:val="18"/>
                <w:lang w:eastAsia="en-AU"/>
              </w:rPr>
              <w:t>Ave Hold Period House 2002</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rsidR="00C43ECF" w:rsidRPr="0089694B" w:rsidRDefault="00C43ECF" w:rsidP="00027CDF">
            <w:pPr>
              <w:spacing w:after="0" w:line="240" w:lineRule="auto"/>
              <w:jc w:val="center"/>
              <w:rPr>
                <w:rFonts w:eastAsia="Times New Roman" w:cs="Arial"/>
                <w:color w:val="000000"/>
                <w:sz w:val="18"/>
                <w:szCs w:val="18"/>
                <w:lang w:eastAsia="en-AU"/>
              </w:rPr>
            </w:pPr>
            <w:r w:rsidRPr="0089694B">
              <w:rPr>
                <w:rFonts w:eastAsia="Times New Roman" w:cs="Arial"/>
                <w:color w:val="000000"/>
                <w:sz w:val="18"/>
                <w:szCs w:val="18"/>
                <w:lang w:eastAsia="en-AU"/>
              </w:rPr>
              <w:t>Ave Hold Period House 201</w:t>
            </w:r>
            <w:r w:rsidR="00027CDF">
              <w:rPr>
                <w:rFonts w:eastAsia="Times New Roman" w:cs="Arial"/>
                <w:color w:val="000000"/>
                <w:sz w:val="18"/>
                <w:szCs w:val="18"/>
                <w:lang w:eastAsia="en-AU"/>
              </w:rPr>
              <w:t>2</w:t>
            </w:r>
          </w:p>
        </w:tc>
        <w:tc>
          <w:tcPr>
            <w:tcW w:w="1280" w:type="dxa"/>
            <w:tcBorders>
              <w:top w:val="single" w:sz="4" w:space="0" w:color="auto"/>
              <w:left w:val="nil"/>
              <w:bottom w:val="single" w:sz="4" w:space="0" w:color="auto"/>
              <w:right w:val="single" w:sz="4" w:space="0" w:color="auto"/>
            </w:tcBorders>
            <w:shd w:val="clear" w:color="auto" w:fill="auto"/>
            <w:vAlign w:val="bottom"/>
            <w:hideMark/>
          </w:tcPr>
          <w:p w:rsidR="00C43ECF" w:rsidRPr="0089694B" w:rsidRDefault="00C43ECF" w:rsidP="0080674F">
            <w:pPr>
              <w:spacing w:after="0" w:line="240" w:lineRule="auto"/>
              <w:jc w:val="center"/>
              <w:rPr>
                <w:rFonts w:eastAsia="Times New Roman" w:cs="Arial"/>
                <w:color w:val="000000"/>
                <w:sz w:val="18"/>
                <w:szCs w:val="18"/>
                <w:lang w:eastAsia="en-AU"/>
              </w:rPr>
            </w:pPr>
            <w:r w:rsidRPr="0089694B">
              <w:rPr>
                <w:rFonts w:eastAsia="Times New Roman" w:cs="Arial"/>
                <w:color w:val="000000"/>
                <w:sz w:val="18"/>
                <w:szCs w:val="18"/>
                <w:lang w:eastAsia="en-AU"/>
              </w:rPr>
              <w:t>Ave Hold Period Unit 2002</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C43ECF" w:rsidRPr="0089694B" w:rsidRDefault="00C43ECF" w:rsidP="00027CDF">
            <w:pPr>
              <w:spacing w:after="0" w:line="240" w:lineRule="auto"/>
              <w:jc w:val="center"/>
              <w:rPr>
                <w:rFonts w:eastAsia="Times New Roman" w:cs="Arial"/>
                <w:color w:val="000000"/>
                <w:sz w:val="18"/>
                <w:szCs w:val="18"/>
                <w:lang w:eastAsia="en-AU"/>
              </w:rPr>
            </w:pPr>
            <w:r w:rsidRPr="0089694B">
              <w:rPr>
                <w:rFonts w:eastAsia="Times New Roman" w:cs="Arial"/>
                <w:color w:val="000000"/>
                <w:sz w:val="18"/>
                <w:szCs w:val="18"/>
                <w:lang w:eastAsia="en-AU"/>
              </w:rPr>
              <w:t>Ave Hold Period Unit 201</w:t>
            </w:r>
            <w:r w:rsidR="00027CDF">
              <w:rPr>
                <w:rFonts w:eastAsia="Times New Roman" w:cs="Arial"/>
                <w:color w:val="000000"/>
                <w:sz w:val="18"/>
                <w:szCs w:val="18"/>
                <w:lang w:eastAsia="en-AU"/>
              </w:rPr>
              <w:t>2</w:t>
            </w:r>
          </w:p>
        </w:tc>
      </w:tr>
      <w:tr w:rsidR="00C43ECF" w:rsidRPr="0089694B" w:rsidTr="0080674F">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C43ECF" w:rsidRPr="0089694B" w:rsidRDefault="00C43ECF" w:rsidP="0080674F">
            <w:pPr>
              <w:spacing w:after="0" w:line="240" w:lineRule="auto"/>
              <w:rPr>
                <w:rFonts w:eastAsia="Times New Roman" w:cs="Arial"/>
                <w:color w:val="000000"/>
                <w:sz w:val="18"/>
                <w:szCs w:val="18"/>
                <w:lang w:eastAsia="en-AU"/>
              </w:rPr>
            </w:pPr>
            <w:r w:rsidRPr="0089694B">
              <w:rPr>
                <w:rFonts w:eastAsia="Times New Roman" w:cs="Arial"/>
                <w:color w:val="000000"/>
                <w:sz w:val="18"/>
                <w:szCs w:val="18"/>
                <w:lang w:eastAsia="en-AU"/>
              </w:rPr>
              <w:t>Sydney</w:t>
            </w:r>
          </w:p>
        </w:tc>
        <w:tc>
          <w:tcPr>
            <w:tcW w:w="1420" w:type="dxa"/>
            <w:tcBorders>
              <w:top w:val="nil"/>
              <w:left w:val="nil"/>
              <w:bottom w:val="single" w:sz="4" w:space="0" w:color="auto"/>
              <w:right w:val="single" w:sz="4" w:space="0" w:color="auto"/>
            </w:tcBorders>
            <w:shd w:val="clear" w:color="auto" w:fill="auto"/>
            <w:noWrap/>
            <w:vAlign w:val="bottom"/>
            <w:hideMark/>
          </w:tcPr>
          <w:p w:rsidR="00C43ECF" w:rsidRPr="0089694B" w:rsidRDefault="00C43ECF" w:rsidP="0080674F">
            <w:pPr>
              <w:spacing w:after="0" w:line="240" w:lineRule="auto"/>
              <w:jc w:val="center"/>
              <w:rPr>
                <w:rFonts w:eastAsia="Times New Roman" w:cs="Arial"/>
                <w:color w:val="000000"/>
                <w:sz w:val="18"/>
                <w:szCs w:val="18"/>
                <w:lang w:eastAsia="en-AU"/>
              </w:rPr>
            </w:pPr>
            <w:r w:rsidRPr="0089694B">
              <w:rPr>
                <w:rFonts w:eastAsia="Times New Roman" w:cs="Arial"/>
                <w:color w:val="000000"/>
                <w:sz w:val="18"/>
                <w:szCs w:val="18"/>
                <w:lang w:eastAsia="en-AU"/>
              </w:rPr>
              <w:t>$580,000</w:t>
            </w:r>
          </w:p>
        </w:tc>
        <w:tc>
          <w:tcPr>
            <w:tcW w:w="1400" w:type="dxa"/>
            <w:tcBorders>
              <w:top w:val="nil"/>
              <w:left w:val="nil"/>
              <w:bottom w:val="single" w:sz="4" w:space="0" w:color="auto"/>
              <w:right w:val="single" w:sz="4" w:space="0" w:color="auto"/>
            </w:tcBorders>
            <w:shd w:val="clear" w:color="auto" w:fill="auto"/>
            <w:noWrap/>
            <w:vAlign w:val="bottom"/>
            <w:hideMark/>
          </w:tcPr>
          <w:p w:rsidR="00C43ECF" w:rsidRPr="0089694B" w:rsidRDefault="00C43ECF" w:rsidP="0080674F">
            <w:pPr>
              <w:spacing w:after="0" w:line="240" w:lineRule="auto"/>
              <w:jc w:val="center"/>
              <w:rPr>
                <w:rFonts w:eastAsia="Times New Roman" w:cs="Arial"/>
                <w:color w:val="000000"/>
                <w:sz w:val="18"/>
                <w:szCs w:val="18"/>
                <w:lang w:eastAsia="en-AU"/>
              </w:rPr>
            </w:pPr>
            <w:r w:rsidRPr="0089694B">
              <w:rPr>
                <w:rFonts w:eastAsia="Times New Roman" w:cs="Arial"/>
                <w:color w:val="000000"/>
                <w:sz w:val="18"/>
                <w:szCs w:val="18"/>
                <w:lang w:eastAsia="en-AU"/>
              </w:rPr>
              <w:t>$232,000</w:t>
            </w:r>
          </w:p>
        </w:tc>
        <w:tc>
          <w:tcPr>
            <w:tcW w:w="1020" w:type="dxa"/>
            <w:tcBorders>
              <w:top w:val="nil"/>
              <w:left w:val="nil"/>
              <w:bottom w:val="single" w:sz="4" w:space="0" w:color="auto"/>
              <w:right w:val="single" w:sz="4" w:space="0" w:color="auto"/>
            </w:tcBorders>
            <w:shd w:val="clear" w:color="auto" w:fill="auto"/>
            <w:noWrap/>
            <w:vAlign w:val="bottom"/>
            <w:hideMark/>
          </w:tcPr>
          <w:p w:rsidR="00C43ECF" w:rsidRPr="0089694B" w:rsidRDefault="00C43ECF" w:rsidP="0080674F">
            <w:pPr>
              <w:spacing w:after="0" w:line="240" w:lineRule="auto"/>
              <w:jc w:val="center"/>
              <w:rPr>
                <w:rFonts w:eastAsia="Times New Roman" w:cs="Arial"/>
                <w:color w:val="000000"/>
                <w:sz w:val="18"/>
                <w:szCs w:val="18"/>
                <w:lang w:eastAsia="en-AU"/>
              </w:rPr>
            </w:pPr>
            <w:r w:rsidRPr="0089694B">
              <w:rPr>
                <w:rFonts w:eastAsia="Times New Roman" w:cs="Arial"/>
                <w:color w:val="000000"/>
                <w:sz w:val="18"/>
                <w:szCs w:val="18"/>
                <w:lang w:eastAsia="en-AU"/>
              </w:rPr>
              <w:t>$21,590</w:t>
            </w:r>
          </w:p>
        </w:tc>
        <w:tc>
          <w:tcPr>
            <w:tcW w:w="1600" w:type="dxa"/>
            <w:tcBorders>
              <w:top w:val="nil"/>
              <w:left w:val="nil"/>
              <w:bottom w:val="single" w:sz="4" w:space="0" w:color="auto"/>
              <w:right w:val="single" w:sz="4" w:space="0" w:color="auto"/>
            </w:tcBorders>
            <w:shd w:val="clear" w:color="auto" w:fill="auto"/>
            <w:noWrap/>
            <w:vAlign w:val="bottom"/>
            <w:hideMark/>
          </w:tcPr>
          <w:p w:rsidR="00C43ECF" w:rsidRPr="0089694B" w:rsidRDefault="00C43ECF" w:rsidP="0080674F">
            <w:pPr>
              <w:spacing w:after="0" w:line="240" w:lineRule="auto"/>
              <w:jc w:val="center"/>
              <w:rPr>
                <w:rFonts w:eastAsia="Times New Roman" w:cs="Arial"/>
                <w:color w:val="000000"/>
                <w:sz w:val="18"/>
                <w:szCs w:val="18"/>
                <w:lang w:eastAsia="en-AU"/>
              </w:rPr>
            </w:pPr>
            <w:r w:rsidRPr="0089694B">
              <w:rPr>
                <w:rFonts w:eastAsia="Times New Roman" w:cs="Arial"/>
                <w:color w:val="000000"/>
                <w:sz w:val="18"/>
                <w:szCs w:val="18"/>
                <w:lang w:eastAsia="en-AU"/>
              </w:rPr>
              <w:t>$2,320</w:t>
            </w:r>
          </w:p>
        </w:tc>
        <w:tc>
          <w:tcPr>
            <w:tcW w:w="1660" w:type="dxa"/>
            <w:tcBorders>
              <w:top w:val="nil"/>
              <w:left w:val="nil"/>
              <w:bottom w:val="single" w:sz="4" w:space="0" w:color="auto"/>
              <w:right w:val="single" w:sz="4" w:space="0" w:color="auto"/>
            </w:tcBorders>
            <w:shd w:val="clear" w:color="000000" w:fill="D8D8D8"/>
            <w:noWrap/>
            <w:vAlign w:val="bottom"/>
            <w:hideMark/>
          </w:tcPr>
          <w:p w:rsidR="00C43ECF" w:rsidRPr="0089694B" w:rsidRDefault="00C43ECF" w:rsidP="0080674F">
            <w:pPr>
              <w:spacing w:after="0" w:line="240" w:lineRule="auto"/>
              <w:jc w:val="center"/>
              <w:rPr>
                <w:rFonts w:eastAsia="Times New Roman" w:cs="Arial"/>
                <w:color w:val="000000"/>
                <w:sz w:val="18"/>
                <w:szCs w:val="18"/>
                <w:lang w:eastAsia="en-AU"/>
              </w:rPr>
            </w:pPr>
            <w:r w:rsidRPr="0089694B">
              <w:rPr>
                <w:rFonts w:eastAsia="Times New Roman" w:cs="Arial"/>
                <w:color w:val="000000"/>
                <w:sz w:val="18"/>
                <w:szCs w:val="18"/>
                <w:lang w:eastAsia="en-AU"/>
              </w:rPr>
              <w:t>9.31</w:t>
            </w:r>
          </w:p>
        </w:tc>
        <w:tc>
          <w:tcPr>
            <w:tcW w:w="1520" w:type="dxa"/>
            <w:tcBorders>
              <w:top w:val="nil"/>
              <w:left w:val="nil"/>
              <w:bottom w:val="single" w:sz="4" w:space="0" w:color="auto"/>
              <w:right w:val="single" w:sz="4" w:space="0" w:color="auto"/>
            </w:tcBorders>
            <w:shd w:val="clear" w:color="000000" w:fill="92D050"/>
            <w:noWrap/>
            <w:vAlign w:val="bottom"/>
            <w:hideMark/>
          </w:tcPr>
          <w:p w:rsidR="00C43ECF" w:rsidRPr="0089694B" w:rsidRDefault="00C43ECF" w:rsidP="0080674F">
            <w:pPr>
              <w:spacing w:after="0" w:line="240" w:lineRule="auto"/>
              <w:jc w:val="center"/>
              <w:rPr>
                <w:rFonts w:eastAsia="Times New Roman" w:cs="Arial"/>
                <w:color w:val="000000"/>
                <w:sz w:val="18"/>
                <w:szCs w:val="18"/>
                <w:lang w:eastAsia="en-AU"/>
              </w:rPr>
            </w:pPr>
            <w:r w:rsidRPr="0089694B">
              <w:rPr>
                <w:rFonts w:eastAsia="Times New Roman" w:cs="Arial"/>
                <w:color w:val="000000"/>
                <w:sz w:val="18"/>
                <w:szCs w:val="18"/>
                <w:lang w:eastAsia="en-AU"/>
              </w:rPr>
              <w:t>6.60</w:t>
            </w:r>
          </w:p>
        </w:tc>
        <w:tc>
          <w:tcPr>
            <w:tcW w:w="1460" w:type="dxa"/>
            <w:tcBorders>
              <w:top w:val="nil"/>
              <w:left w:val="nil"/>
              <w:bottom w:val="single" w:sz="4" w:space="0" w:color="auto"/>
              <w:right w:val="single" w:sz="4" w:space="0" w:color="auto"/>
            </w:tcBorders>
            <w:shd w:val="clear" w:color="000000" w:fill="FF0000"/>
            <w:noWrap/>
            <w:vAlign w:val="bottom"/>
            <w:hideMark/>
          </w:tcPr>
          <w:p w:rsidR="00C43ECF" w:rsidRPr="0089694B" w:rsidRDefault="00C43ECF" w:rsidP="0080674F">
            <w:pPr>
              <w:spacing w:after="0" w:line="240" w:lineRule="auto"/>
              <w:jc w:val="center"/>
              <w:rPr>
                <w:rFonts w:eastAsia="Times New Roman" w:cs="Arial"/>
                <w:color w:val="000000"/>
                <w:sz w:val="18"/>
                <w:szCs w:val="18"/>
                <w:lang w:eastAsia="en-AU"/>
              </w:rPr>
            </w:pPr>
            <w:r w:rsidRPr="0089694B">
              <w:rPr>
                <w:rFonts w:eastAsia="Times New Roman" w:cs="Arial"/>
                <w:color w:val="000000"/>
                <w:sz w:val="18"/>
                <w:szCs w:val="18"/>
                <w:lang w:eastAsia="en-AU"/>
              </w:rPr>
              <w:t>10.10</w:t>
            </w:r>
          </w:p>
        </w:tc>
        <w:tc>
          <w:tcPr>
            <w:tcW w:w="1280" w:type="dxa"/>
            <w:tcBorders>
              <w:top w:val="nil"/>
              <w:left w:val="nil"/>
              <w:bottom w:val="single" w:sz="4" w:space="0" w:color="auto"/>
              <w:right w:val="single" w:sz="4" w:space="0" w:color="auto"/>
            </w:tcBorders>
            <w:shd w:val="clear" w:color="000000" w:fill="92D050"/>
            <w:noWrap/>
            <w:vAlign w:val="bottom"/>
            <w:hideMark/>
          </w:tcPr>
          <w:p w:rsidR="00C43ECF" w:rsidRPr="0089694B" w:rsidRDefault="00C43ECF" w:rsidP="0080674F">
            <w:pPr>
              <w:spacing w:after="0" w:line="240" w:lineRule="auto"/>
              <w:jc w:val="center"/>
              <w:rPr>
                <w:rFonts w:eastAsia="Times New Roman" w:cs="Arial"/>
                <w:color w:val="000000"/>
                <w:sz w:val="18"/>
                <w:szCs w:val="18"/>
                <w:lang w:eastAsia="en-AU"/>
              </w:rPr>
            </w:pPr>
            <w:r w:rsidRPr="0089694B">
              <w:rPr>
                <w:rFonts w:eastAsia="Times New Roman" w:cs="Arial"/>
                <w:color w:val="000000"/>
                <w:sz w:val="18"/>
                <w:szCs w:val="18"/>
                <w:lang w:eastAsia="en-AU"/>
              </w:rPr>
              <w:t>5.70</w:t>
            </w:r>
          </w:p>
        </w:tc>
        <w:tc>
          <w:tcPr>
            <w:tcW w:w="1260" w:type="dxa"/>
            <w:tcBorders>
              <w:top w:val="nil"/>
              <w:left w:val="nil"/>
              <w:bottom w:val="single" w:sz="4" w:space="0" w:color="auto"/>
              <w:right w:val="single" w:sz="4" w:space="0" w:color="auto"/>
            </w:tcBorders>
            <w:shd w:val="clear" w:color="000000" w:fill="92D050"/>
            <w:noWrap/>
            <w:vAlign w:val="bottom"/>
            <w:hideMark/>
          </w:tcPr>
          <w:p w:rsidR="00C43ECF" w:rsidRPr="0089694B" w:rsidRDefault="00C43ECF" w:rsidP="0080674F">
            <w:pPr>
              <w:spacing w:after="0" w:line="240" w:lineRule="auto"/>
              <w:jc w:val="center"/>
              <w:rPr>
                <w:rFonts w:eastAsia="Times New Roman" w:cs="Arial"/>
                <w:color w:val="000000"/>
                <w:sz w:val="18"/>
                <w:szCs w:val="18"/>
                <w:lang w:eastAsia="en-AU"/>
              </w:rPr>
            </w:pPr>
            <w:r w:rsidRPr="0089694B">
              <w:rPr>
                <w:rFonts w:eastAsia="Times New Roman" w:cs="Arial"/>
                <w:color w:val="000000"/>
                <w:sz w:val="18"/>
                <w:szCs w:val="18"/>
                <w:lang w:eastAsia="en-AU"/>
              </w:rPr>
              <w:t>8.20</w:t>
            </w:r>
          </w:p>
        </w:tc>
      </w:tr>
      <w:tr w:rsidR="00C43ECF" w:rsidRPr="0089694B" w:rsidTr="0080674F">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C43ECF" w:rsidRPr="0089694B" w:rsidRDefault="00C43ECF" w:rsidP="0080674F">
            <w:pPr>
              <w:spacing w:after="0" w:line="240" w:lineRule="auto"/>
              <w:rPr>
                <w:rFonts w:eastAsia="Times New Roman" w:cs="Arial"/>
                <w:color w:val="000000"/>
                <w:sz w:val="18"/>
                <w:szCs w:val="18"/>
                <w:lang w:eastAsia="en-AU"/>
              </w:rPr>
            </w:pPr>
            <w:r w:rsidRPr="0089694B">
              <w:rPr>
                <w:rFonts w:eastAsia="Times New Roman" w:cs="Arial"/>
                <w:color w:val="000000"/>
                <w:sz w:val="18"/>
                <w:szCs w:val="18"/>
                <w:lang w:eastAsia="en-AU"/>
              </w:rPr>
              <w:t>Melbourne</w:t>
            </w:r>
          </w:p>
        </w:tc>
        <w:tc>
          <w:tcPr>
            <w:tcW w:w="1420" w:type="dxa"/>
            <w:tcBorders>
              <w:top w:val="nil"/>
              <w:left w:val="nil"/>
              <w:bottom w:val="single" w:sz="4" w:space="0" w:color="auto"/>
              <w:right w:val="single" w:sz="4" w:space="0" w:color="auto"/>
            </w:tcBorders>
            <w:shd w:val="clear" w:color="auto" w:fill="auto"/>
            <w:noWrap/>
            <w:vAlign w:val="bottom"/>
            <w:hideMark/>
          </w:tcPr>
          <w:p w:rsidR="00C43ECF" w:rsidRPr="0089694B" w:rsidRDefault="00C43ECF" w:rsidP="0080674F">
            <w:pPr>
              <w:spacing w:after="0" w:line="240" w:lineRule="auto"/>
              <w:jc w:val="center"/>
              <w:rPr>
                <w:rFonts w:eastAsia="Times New Roman" w:cs="Arial"/>
                <w:color w:val="000000"/>
                <w:sz w:val="18"/>
                <w:szCs w:val="18"/>
                <w:lang w:eastAsia="en-AU"/>
              </w:rPr>
            </w:pPr>
            <w:r w:rsidRPr="0089694B">
              <w:rPr>
                <w:rFonts w:eastAsia="Times New Roman" w:cs="Arial"/>
                <w:color w:val="000000"/>
                <w:sz w:val="18"/>
                <w:szCs w:val="18"/>
                <w:lang w:eastAsia="en-AU"/>
              </w:rPr>
              <w:t>$470,900</w:t>
            </w:r>
          </w:p>
        </w:tc>
        <w:tc>
          <w:tcPr>
            <w:tcW w:w="1400" w:type="dxa"/>
            <w:tcBorders>
              <w:top w:val="nil"/>
              <w:left w:val="nil"/>
              <w:bottom w:val="single" w:sz="4" w:space="0" w:color="auto"/>
              <w:right w:val="single" w:sz="4" w:space="0" w:color="auto"/>
            </w:tcBorders>
            <w:shd w:val="clear" w:color="auto" w:fill="auto"/>
            <w:noWrap/>
            <w:vAlign w:val="bottom"/>
            <w:hideMark/>
          </w:tcPr>
          <w:p w:rsidR="00C43ECF" w:rsidRPr="0089694B" w:rsidRDefault="00C43ECF" w:rsidP="0080674F">
            <w:pPr>
              <w:spacing w:after="0" w:line="240" w:lineRule="auto"/>
              <w:jc w:val="center"/>
              <w:rPr>
                <w:rFonts w:eastAsia="Times New Roman" w:cs="Arial"/>
                <w:color w:val="000000"/>
                <w:sz w:val="18"/>
                <w:szCs w:val="18"/>
                <w:lang w:eastAsia="en-AU"/>
              </w:rPr>
            </w:pPr>
            <w:r w:rsidRPr="0089694B">
              <w:rPr>
                <w:rFonts w:eastAsia="Times New Roman" w:cs="Arial"/>
                <w:color w:val="000000"/>
                <w:sz w:val="18"/>
                <w:szCs w:val="18"/>
                <w:lang w:eastAsia="en-AU"/>
              </w:rPr>
              <w:t>$188,360</w:t>
            </w:r>
          </w:p>
        </w:tc>
        <w:tc>
          <w:tcPr>
            <w:tcW w:w="1020" w:type="dxa"/>
            <w:tcBorders>
              <w:top w:val="nil"/>
              <w:left w:val="nil"/>
              <w:bottom w:val="single" w:sz="4" w:space="0" w:color="auto"/>
              <w:right w:val="single" w:sz="4" w:space="0" w:color="auto"/>
            </w:tcBorders>
            <w:shd w:val="clear" w:color="auto" w:fill="auto"/>
            <w:noWrap/>
            <w:vAlign w:val="bottom"/>
            <w:hideMark/>
          </w:tcPr>
          <w:p w:rsidR="00C43ECF" w:rsidRPr="0089694B" w:rsidRDefault="00C43ECF" w:rsidP="0080674F">
            <w:pPr>
              <w:spacing w:after="0" w:line="240" w:lineRule="auto"/>
              <w:jc w:val="center"/>
              <w:rPr>
                <w:rFonts w:eastAsia="Times New Roman" w:cs="Arial"/>
                <w:color w:val="000000"/>
                <w:sz w:val="18"/>
                <w:szCs w:val="18"/>
                <w:lang w:eastAsia="en-AU"/>
              </w:rPr>
            </w:pPr>
            <w:r w:rsidRPr="0089694B">
              <w:rPr>
                <w:rFonts w:eastAsia="Times New Roman" w:cs="Arial"/>
                <w:color w:val="000000"/>
                <w:sz w:val="18"/>
                <w:szCs w:val="18"/>
                <w:lang w:eastAsia="en-AU"/>
              </w:rPr>
              <w:t>$20,224</w:t>
            </w:r>
          </w:p>
        </w:tc>
        <w:tc>
          <w:tcPr>
            <w:tcW w:w="1600" w:type="dxa"/>
            <w:tcBorders>
              <w:top w:val="nil"/>
              <w:left w:val="nil"/>
              <w:bottom w:val="single" w:sz="4" w:space="0" w:color="auto"/>
              <w:right w:val="single" w:sz="4" w:space="0" w:color="auto"/>
            </w:tcBorders>
            <w:shd w:val="clear" w:color="auto" w:fill="auto"/>
            <w:noWrap/>
            <w:vAlign w:val="bottom"/>
            <w:hideMark/>
          </w:tcPr>
          <w:p w:rsidR="00C43ECF" w:rsidRPr="0089694B" w:rsidRDefault="00C43ECF" w:rsidP="0080674F">
            <w:pPr>
              <w:spacing w:after="0" w:line="240" w:lineRule="auto"/>
              <w:jc w:val="center"/>
              <w:rPr>
                <w:rFonts w:eastAsia="Times New Roman" w:cs="Arial"/>
                <w:color w:val="000000"/>
                <w:sz w:val="18"/>
                <w:szCs w:val="18"/>
                <w:lang w:eastAsia="en-AU"/>
              </w:rPr>
            </w:pPr>
            <w:r w:rsidRPr="0089694B">
              <w:rPr>
                <w:rFonts w:eastAsia="Times New Roman" w:cs="Arial"/>
                <w:color w:val="000000"/>
                <w:sz w:val="18"/>
                <w:szCs w:val="18"/>
                <w:lang w:eastAsia="en-AU"/>
              </w:rPr>
              <w:t>$1,884</w:t>
            </w:r>
          </w:p>
        </w:tc>
        <w:tc>
          <w:tcPr>
            <w:tcW w:w="1660" w:type="dxa"/>
            <w:tcBorders>
              <w:top w:val="nil"/>
              <w:left w:val="nil"/>
              <w:bottom w:val="single" w:sz="4" w:space="0" w:color="auto"/>
              <w:right w:val="single" w:sz="4" w:space="0" w:color="auto"/>
            </w:tcBorders>
            <w:shd w:val="clear" w:color="000000" w:fill="D8D8D8"/>
            <w:noWrap/>
            <w:vAlign w:val="bottom"/>
            <w:hideMark/>
          </w:tcPr>
          <w:p w:rsidR="00C43ECF" w:rsidRPr="0089694B" w:rsidRDefault="00C43ECF" w:rsidP="0080674F">
            <w:pPr>
              <w:spacing w:after="0" w:line="240" w:lineRule="auto"/>
              <w:jc w:val="center"/>
              <w:rPr>
                <w:rFonts w:eastAsia="Times New Roman" w:cs="Arial"/>
                <w:color w:val="000000"/>
                <w:sz w:val="18"/>
                <w:szCs w:val="18"/>
                <w:lang w:eastAsia="en-AU"/>
              </w:rPr>
            </w:pPr>
            <w:r w:rsidRPr="0089694B">
              <w:rPr>
                <w:rFonts w:eastAsia="Times New Roman" w:cs="Arial"/>
                <w:color w:val="000000"/>
                <w:sz w:val="18"/>
                <w:szCs w:val="18"/>
                <w:lang w:eastAsia="en-AU"/>
              </w:rPr>
              <w:t>10.73</w:t>
            </w:r>
          </w:p>
        </w:tc>
        <w:tc>
          <w:tcPr>
            <w:tcW w:w="1520" w:type="dxa"/>
            <w:tcBorders>
              <w:top w:val="nil"/>
              <w:left w:val="nil"/>
              <w:bottom w:val="single" w:sz="4" w:space="0" w:color="auto"/>
              <w:right w:val="single" w:sz="4" w:space="0" w:color="auto"/>
            </w:tcBorders>
            <w:shd w:val="clear" w:color="000000" w:fill="92D050"/>
            <w:noWrap/>
            <w:vAlign w:val="bottom"/>
            <w:hideMark/>
          </w:tcPr>
          <w:p w:rsidR="00C43ECF" w:rsidRPr="0089694B" w:rsidRDefault="00C43ECF" w:rsidP="0080674F">
            <w:pPr>
              <w:spacing w:after="0" w:line="240" w:lineRule="auto"/>
              <w:jc w:val="center"/>
              <w:rPr>
                <w:rFonts w:eastAsia="Times New Roman" w:cs="Arial"/>
                <w:color w:val="000000"/>
                <w:sz w:val="18"/>
                <w:szCs w:val="18"/>
                <w:lang w:eastAsia="en-AU"/>
              </w:rPr>
            </w:pPr>
            <w:r w:rsidRPr="0089694B">
              <w:rPr>
                <w:rFonts w:eastAsia="Times New Roman" w:cs="Arial"/>
                <w:color w:val="000000"/>
                <w:sz w:val="18"/>
                <w:szCs w:val="18"/>
                <w:lang w:eastAsia="en-AU"/>
              </w:rPr>
              <w:t>8.40</w:t>
            </w:r>
          </w:p>
        </w:tc>
        <w:tc>
          <w:tcPr>
            <w:tcW w:w="1460" w:type="dxa"/>
            <w:tcBorders>
              <w:top w:val="nil"/>
              <w:left w:val="nil"/>
              <w:bottom w:val="single" w:sz="4" w:space="0" w:color="auto"/>
              <w:right w:val="single" w:sz="4" w:space="0" w:color="auto"/>
            </w:tcBorders>
            <w:shd w:val="clear" w:color="000000" w:fill="FF0000"/>
            <w:noWrap/>
            <w:vAlign w:val="bottom"/>
            <w:hideMark/>
          </w:tcPr>
          <w:p w:rsidR="00C43ECF" w:rsidRPr="0089694B" w:rsidRDefault="00C43ECF" w:rsidP="0080674F">
            <w:pPr>
              <w:spacing w:after="0" w:line="240" w:lineRule="auto"/>
              <w:jc w:val="center"/>
              <w:rPr>
                <w:rFonts w:eastAsia="Times New Roman" w:cs="Arial"/>
                <w:color w:val="000000"/>
                <w:sz w:val="18"/>
                <w:szCs w:val="18"/>
                <w:lang w:eastAsia="en-AU"/>
              </w:rPr>
            </w:pPr>
            <w:r w:rsidRPr="0089694B">
              <w:rPr>
                <w:rFonts w:eastAsia="Times New Roman" w:cs="Arial"/>
                <w:color w:val="000000"/>
                <w:sz w:val="18"/>
                <w:szCs w:val="18"/>
                <w:lang w:eastAsia="en-AU"/>
              </w:rPr>
              <w:t>10.80</w:t>
            </w:r>
          </w:p>
        </w:tc>
        <w:tc>
          <w:tcPr>
            <w:tcW w:w="1280" w:type="dxa"/>
            <w:tcBorders>
              <w:top w:val="nil"/>
              <w:left w:val="nil"/>
              <w:bottom w:val="single" w:sz="4" w:space="0" w:color="auto"/>
              <w:right w:val="single" w:sz="4" w:space="0" w:color="auto"/>
            </w:tcBorders>
            <w:shd w:val="clear" w:color="000000" w:fill="92D050"/>
            <w:noWrap/>
            <w:vAlign w:val="bottom"/>
            <w:hideMark/>
          </w:tcPr>
          <w:p w:rsidR="00C43ECF" w:rsidRPr="0089694B" w:rsidRDefault="00C43ECF" w:rsidP="0080674F">
            <w:pPr>
              <w:spacing w:after="0" w:line="240" w:lineRule="auto"/>
              <w:jc w:val="center"/>
              <w:rPr>
                <w:rFonts w:eastAsia="Times New Roman" w:cs="Arial"/>
                <w:color w:val="000000"/>
                <w:sz w:val="18"/>
                <w:szCs w:val="18"/>
                <w:lang w:eastAsia="en-AU"/>
              </w:rPr>
            </w:pPr>
            <w:r w:rsidRPr="0089694B">
              <w:rPr>
                <w:rFonts w:eastAsia="Times New Roman" w:cs="Arial"/>
                <w:color w:val="000000"/>
                <w:sz w:val="18"/>
                <w:szCs w:val="18"/>
                <w:lang w:eastAsia="en-AU"/>
              </w:rPr>
              <w:t>6.80</w:t>
            </w:r>
          </w:p>
        </w:tc>
        <w:tc>
          <w:tcPr>
            <w:tcW w:w="1260" w:type="dxa"/>
            <w:tcBorders>
              <w:top w:val="nil"/>
              <w:left w:val="nil"/>
              <w:bottom w:val="single" w:sz="4" w:space="0" w:color="auto"/>
              <w:right w:val="single" w:sz="4" w:space="0" w:color="auto"/>
            </w:tcBorders>
            <w:shd w:val="clear" w:color="000000" w:fill="92D050"/>
            <w:noWrap/>
            <w:vAlign w:val="bottom"/>
            <w:hideMark/>
          </w:tcPr>
          <w:p w:rsidR="00C43ECF" w:rsidRPr="0089694B" w:rsidRDefault="00C43ECF" w:rsidP="0080674F">
            <w:pPr>
              <w:spacing w:after="0" w:line="240" w:lineRule="auto"/>
              <w:jc w:val="center"/>
              <w:rPr>
                <w:rFonts w:eastAsia="Times New Roman" w:cs="Arial"/>
                <w:color w:val="000000"/>
                <w:sz w:val="18"/>
                <w:szCs w:val="18"/>
                <w:lang w:eastAsia="en-AU"/>
              </w:rPr>
            </w:pPr>
            <w:r w:rsidRPr="0089694B">
              <w:rPr>
                <w:rFonts w:eastAsia="Times New Roman" w:cs="Arial"/>
                <w:color w:val="000000"/>
                <w:sz w:val="18"/>
                <w:szCs w:val="18"/>
                <w:lang w:eastAsia="en-AU"/>
              </w:rPr>
              <w:t>9.2</w:t>
            </w:r>
          </w:p>
        </w:tc>
      </w:tr>
      <w:tr w:rsidR="00C43ECF" w:rsidRPr="0089694B" w:rsidTr="0080674F">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C43ECF" w:rsidRPr="0089694B" w:rsidRDefault="00C43ECF" w:rsidP="0080674F">
            <w:pPr>
              <w:spacing w:after="0" w:line="240" w:lineRule="auto"/>
              <w:rPr>
                <w:rFonts w:eastAsia="Times New Roman" w:cs="Arial"/>
                <w:color w:val="000000"/>
                <w:sz w:val="18"/>
                <w:szCs w:val="18"/>
                <w:lang w:eastAsia="en-AU"/>
              </w:rPr>
            </w:pPr>
            <w:r w:rsidRPr="0089694B">
              <w:rPr>
                <w:rFonts w:eastAsia="Times New Roman" w:cs="Arial"/>
                <w:color w:val="000000"/>
                <w:sz w:val="18"/>
                <w:szCs w:val="18"/>
                <w:lang w:eastAsia="en-AU"/>
              </w:rPr>
              <w:t>Brisbane</w:t>
            </w:r>
          </w:p>
        </w:tc>
        <w:tc>
          <w:tcPr>
            <w:tcW w:w="1420" w:type="dxa"/>
            <w:tcBorders>
              <w:top w:val="nil"/>
              <w:left w:val="nil"/>
              <w:bottom w:val="single" w:sz="4" w:space="0" w:color="auto"/>
              <w:right w:val="single" w:sz="4" w:space="0" w:color="auto"/>
            </w:tcBorders>
            <w:shd w:val="clear" w:color="auto" w:fill="auto"/>
            <w:noWrap/>
            <w:vAlign w:val="bottom"/>
            <w:hideMark/>
          </w:tcPr>
          <w:p w:rsidR="00C43ECF" w:rsidRPr="0089694B" w:rsidRDefault="00C43ECF" w:rsidP="0080674F">
            <w:pPr>
              <w:spacing w:after="0" w:line="240" w:lineRule="auto"/>
              <w:jc w:val="center"/>
              <w:rPr>
                <w:rFonts w:eastAsia="Times New Roman" w:cs="Arial"/>
                <w:color w:val="000000"/>
                <w:sz w:val="18"/>
                <w:szCs w:val="18"/>
                <w:lang w:eastAsia="en-AU"/>
              </w:rPr>
            </w:pPr>
            <w:r w:rsidRPr="0089694B">
              <w:rPr>
                <w:rFonts w:eastAsia="Times New Roman" w:cs="Arial"/>
                <w:color w:val="000000"/>
                <w:sz w:val="18"/>
                <w:szCs w:val="18"/>
                <w:lang w:eastAsia="en-AU"/>
              </w:rPr>
              <w:t>$437,000</w:t>
            </w:r>
          </w:p>
        </w:tc>
        <w:tc>
          <w:tcPr>
            <w:tcW w:w="1400" w:type="dxa"/>
            <w:tcBorders>
              <w:top w:val="nil"/>
              <w:left w:val="nil"/>
              <w:bottom w:val="single" w:sz="4" w:space="0" w:color="auto"/>
              <w:right w:val="single" w:sz="4" w:space="0" w:color="auto"/>
            </w:tcBorders>
            <w:shd w:val="clear" w:color="auto" w:fill="auto"/>
            <w:noWrap/>
            <w:vAlign w:val="bottom"/>
            <w:hideMark/>
          </w:tcPr>
          <w:p w:rsidR="00C43ECF" w:rsidRPr="0089694B" w:rsidRDefault="00C43ECF" w:rsidP="0080674F">
            <w:pPr>
              <w:spacing w:after="0" w:line="240" w:lineRule="auto"/>
              <w:jc w:val="center"/>
              <w:rPr>
                <w:rFonts w:eastAsia="Times New Roman" w:cs="Arial"/>
                <w:color w:val="000000"/>
                <w:sz w:val="18"/>
                <w:szCs w:val="18"/>
                <w:lang w:eastAsia="en-AU"/>
              </w:rPr>
            </w:pPr>
            <w:r w:rsidRPr="0089694B">
              <w:rPr>
                <w:rFonts w:eastAsia="Times New Roman" w:cs="Arial"/>
                <w:color w:val="000000"/>
                <w:sz w:val="18"/>
                <w:szCs w:val="18"/>
                <w:lang w:eastAsia="en-AU"/>
              </w:rPr>
              <w:t>$174,800</w:t>
            </w:r>
          </w:p>
        </w:tc>
        <w:tc>
          <w:tcPr>
            <w:tcW w:w="1020" w:type="dxa"/>
            <w:tcBorders>
              <w:top w:val="nil"/>
              <w:left w:val="nil"/>
              <w:bottom w:val="single" w:sz="4" w:space="0" w:color="auto"/>
              <w:right w:val="single" w:sz="4" w:space="0" w:color="auto"/>
            </w:tcBorders>
            <w:shd w:val="clear" w:color="auto" w:fill="auto"/>
            <w:noWrap/>
            <w:vAlign w:val="bottom"/>
            <w:hideMark/>
          </w:tcPr>
          <w:p w:rsidR="00C43ECF" w:rsidRPr="0089694B" w:rsidRDefault="00C43ECF" w:rsidP="0080674F">
            <w:pPr>
              <w:spacing w:after="0" w:line="240" w:lineRule="auto"/>
              <w:jc w:val="center"/>
              <w:rPr>
                <w:rFonts w:eastAsia="Times New Roman" w:cs="Arial"/>
                <w:color w:val="000000"/>
                <w:sz w:val="18"/>
                <w:szCs w:val="18"/>
                <w:lang w:eastAsia="en-AU"/>
              </w:rPr>
            </w:pPr>
            <w:r w:rsidRPr="0089694B">
              <w:rPr>
                <w:rFonts w:eastAsia="Times New Roman" w:cs="Arial"/>
                <w:color w:val="000000"/>
                <w:sz w:val="18"/>
                <w:szCs w:val="18"/>
                <w:lang w:eastAsia="en-AU"/>
              </w:rPr>
              <w:t>$13,720</w:t>
            </w:r>
          </w:p>
        </w:tc>
        <w:tc>
          <w:tcPr>
            <w:tcW w:w="1600" w:type="dxa"/>
            <w:tcBorders>
              <w:top w:val="nil"/>
              <w:left w:val="nil"/>
              <w:bottom w:val="single" w:sz="4" w:space="0" w:color="auto"/>
              <w:right w:val="single" w:sz="4" w:space="0" w:color="auto"/>
            </w:tcBorders>
            <w:shd w:val="clear" w:color="auto" w:fill="auto"/>
            <w:noWrap/>
            <w:vAlign w:val="bottom"/>
            <w:hideMark/>
          </w:tcPr>
          <w:p w:rsidR="00C43ECF" w:rsidRPr="0089694B" w:rsidRDefault="00C43ECF" w:rsidP="0080674F">
            <w:pPr>
              <w:spacing w:after="0" w:line="240" w:lineRule="auto"/>
              <w:jc w:val="center"/>
              <w:rPr>
                <w:rFonts w:eastAsia="Times New Roman" w:cs="Arial"/>
                <w:color w:val="000000"/>
                <w:sz w:val="18"/>
                <w:szCs w:val="18"/>
                <w:lang w:eastAsia="en-AU"/>
              </w:rPr>
            </w:pPr>
            <w:r w:rsidRPr="0089694B">
              <w:rPr>
                <w:rFonts w:eastAsia="Times New Roman" w:cs="Arial"/>
                <w:color w:val="000000"/>
                <w:sz w:val="18"/>
                <w:szCs w:val="18"/>
                <w:lang w:eastAsia="en-AU"/>
              </w:rPr>
              <w:t>$1,748</w:t>
            </w:r>
          </w:p>
        </w:tc>
        <w:tc>
          <w:tcPr>
            <w:tcW w:w="1660" w:type="dxa"/>
            <w:tcBorders>
              <w:top w:val="nil"/>
              <w:left w:val="nil"/>
              <w:bottom w:val="single" w:sz="4" w:space="0" w:color="auto"/>
              <w:right w:val="single" w:sz="4" w:space="0" w:color="auto"/>
            </w:tcBorders>
            <w:shd w:val="clear" w:color="000000" w:fill="D8D8D8"/>
            <w:noWrap/>
            <w:vAlign w:val="bottom"/>
            <w:hideMark/>
          </w:tcPr>
          <w:p w:rsidR="00C43ECF" w:rsidRPr="0089694B" w:rsidRDefault="00C43ECF" w:rsidP="0080674F">
            <w:pPr>
              <w:spacing w:after="0" w:line="240" w:lineRule="auto"/>
              <w:jc w:val="center"/>
              <w:rPr>
                <w:rFonts w:eastAsia="Times New Roman" w:cs="Arial"/>
                <w:color w:val="000000"/>
                <w:sz w:val="18"/>
                <w:szCs w:val="18"/>
                <w:lang w:eastAsia="en-AU"/>
              </w:rPr>
            </w:pPr>
            <w:r w:rsidRPr="0089694B">
              <w:rPr>
                <w:rFonts w:eastAsia="Times New Roman" w:cs="Arial"/>
                <w:color w:val="000000"/>
                <w:sz w:val="18"/>
                <w:szCs w:val="18"/>
                <w:lang w:eastAsia="en-AU"/>
              </w:rPr>
              <w:t>7.85</w:t>
            </w:r>
          </w:p>
        </w:tc>
        <w:tc>
          <w:tcPr>
            <w:tcW w:w="1520" w:type="dxa"/>
            <w:tcBorders>
              <w:top w:val="nil"/>
              <w:left w:val="nil"/>
              <w:bottom w:val="single" w:sz="4" w:space="0" w:color="auto"/>
              <w:right w:val="single" w:sz="4" w:space="0" w:color="auto"/>
            </w:tcBorders>
            <w:shd w:val="clear" w:color="000000" w:fill="92D050"/>
            <w:noWrap/>
            <w:vAlign w:val="bottom"/>
            <w:hideMark/>
          </w:tcPr>
          <w:p w:rsidR="00C43ECF" w:rsidRPr="0089694B" w:rsidRDefault="00C43ECF" w:rsidP="0080674F">
            <w:pPr>
              <w:spacing w:after="0" w:line="240" w:lineRule="auto"/>
              <w:jc w:val="center"/>
              <w:rPr>
                <w:rFonts w:eastAsia="Times New Roman" w:cs="Arial"/>
                <w:color w:val="000000"/>
                <w:sz w:val="18"/>
                <w:szCs w:val="18"/>
                <w:lang w:eastAsia="en-AU"/>
              </w:rPr>
            </w:pPr>
            <w:r w:rsidRPr="0089694B">
              <w:rPr>
                <w:rFonts w:eastAsia="Times New Roman" w:cs="Arial"/>
                <w:color w:val="000000"/>
                <w:sz w:val="18"/>
                <w:szCs w:val="18"/>
                <w:lang w:eastAsia="en-AU"/>
              </w:rPr>
              <w:t>7.20</w:t>
            </w:r>
          </w:p>
        </w:tc>
        <w:tc>
          <w:tcPr>
            <w:tcW w:w="1460" w:type="dxa"/>
            <w:tcBorders>
              <w:top w:val="nil"/>
              <w:left w:val="nil"/>
              <w:bottom w:val="single" w:sz="4" w:space="0" w:color="auto"/>
              <w:right w:val="single" w:sz="4" w:space="0" w:color="auto"/>
            </w:tcBorders>
            <w:shd w:val="clear" w:color="000000" w:fill="FF0000"/>
            <w:noWrap/>
            <w:vAlign w:val="bottom"/>
            <w:hideMark/>
          </w:tcPr>
          <w:p w:rsidR="00C43ECF" w:rsidRPr="0089694B" w:rsidRDefault="00C43ECF" w:rsidP="0080674F">
            <w:pPr>
              <w:spacing w:after="0" w:line="240" w:lineRule="auto"/>
              <w:jc w:val="center"/>
              <w:rPr>
                <w:rFonts w:eastAsia="Times New Roman" w:cs="Arial"/>
                <w:color w:val="000000"/>
                <w:sz w:val="18"/>
                <w:szCs w:val="18"/>
                <w:lang w:eastAsia="en-AU"/>
              </w:rPr>
            </w:pPr>
            <w:r w:rsidRPr="0089694B">
              <w:rPr>
                <w:rFonts w:eastAsia="Times New Roman" w:cs="Arial"/>
                <w:color w:val="000000"/>
                <w:sz w:val="18"/>
                <w:szCs w:val="18"/>
                <w:lang w:eastAsia="en-AU"/>
              </w:rPr>
              <w:t>9.20</w:t>
            </w:r>
          </w:p>
        </w:tc>
        <w:tc>
          <w:tcPr>
            <w:tcW w:w="1280" w:type="dxa"/>
            <w:tcBorders>
              <w:top w:val="nil"/>
              <w:left w:val="nil"/>
              <w:bottom w:val="single" w:sz="4" w:space="0" w:color="auto"/>
              <w:right w:val="single" w:sz="4" w:space="0" w:color="auto"/>
            </w:tcBorders>
            <w:shd w:val="clear" w:color="000000" w:fill="92D050"/>
            <w:noWrap/>
            <w:vAlign w:val="bottom"/>
            <w:hideMark/>
          </w:tcPr>
          <w:p w:rsidR="00C43ECF" w:rsidRPr="0089694B" w:rsidRDefault="00C43ECF" w:rsidP="0080674F">
            <w:pPr>
              <w:spacing w:after="0" w:line="240" w:lineRule="auto"/>
              <w:jc w:val="center"/>
              <w:rPr>
                <w:rFonts w:eastAsia="Times New Roman" w:cs="Arial"/>
                <w:color w:val="000000"/>
                <w:sz w:val="18"/>
                <w:szCs w:val="18"/>
                <w:lang w:eastAsia="en-AU"/>
              </w:rPr>
            </w:pPr>
            <w:r w:rsidRPr="0089694B">
              <w:rPr>
                <w:rFonts w:eastAsia="Times New Roman" w:cs="Arial"/>
                <w:color w:val="000000"/>
                <w:sz w:val="18"/>
                <w:szCs w:val="18"/>
                <w:lang w:eastAsia="en-AU"/>
              </w:rPr>
              <w:t>6.10</w:t>
            </w:r>
          </w:p>
        </w:tc>
        <w:tc>
          <w:tcPr>
            <w:tcW w:w="1260" w:type="dxa"/>
            <w:tcBorders>
              <w:top w:val="nil"/>
              <w:left w:val="nil"/>
              <w:bottom w:val="single" w:sz="4" w:space="0" w:color="auto"/>
              <w:right w:val="single" w:sz="4" w:space="0" w:color="auto"/>
            </w:tcBorders>
            <w:shd w:val="clear" w:color="000000" w:fill="92D050"/>
            <w:noWrap/>
            <w:vAlign w:val="bottom"/>
            <w:hideMark/>
          </w:tcPr>
          <w:p w:rsidR="00C43ECF" w:rsidRPr="0089694B" w:rsidRDefault="00C43ECF" w:rsidP="0080674F">
            <w:pPr>
              <w:spacing w:after="0" w:line="240" w:lineRule="auto"/>
              <w:jc w:val="center"/>
              <w:rPr>
                <w:rFonts w:eastAsia="Times New Roman" w:cs="Arial"/>
                <w:color w:val="000000"/>
                <w:sz w:val="18"/>
                <w:szCs w:val="18"/>
                <w:lang w:eastAsia="en-AU"/>
              </w:rPr>
            </w:pPr>
            <w:r w:rsidRPr="0089694B">
              <w:rPr>
                <w:rFonts w:eastAsia="Times New Roman" w:cs="Arial"/>
                <w:color w:val="000000"/>
                <w:sz w:val="18"/>
                <w:szCs w:val="18"/>
                <w:lang w:eastAsia="en-AU"/>
              </w:rPr>
              <w:t>7.7</w:t>
            </w:r>
          </w:p>
        </w:tc>
      </w:tr>
      <w:tr w:rsidR="00C43ECF" w:rsidRPr="0089694B" w:rsidTr="0080674F">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C43ECF" w:rsidRPr="0089694B" w:rsidRDefault="00C43ECF" w:rsidP="0080674F">
            <w:pPr>
              <w:spacing w:after="0" w:line="240" w:lineRule="auto"/>
              <w:rPr>
                <w:rFonts w:eastAsia="Times New Roman" w:cs="Arial"/>
                <w:color w:val="000000"/>
                <w:sz w:val="18"/>
                <w:szCs w:val="18"/>
                <w:lang w:eastAsia="en-AU"/>
              </w:rPr>
            </w:pPr>
            <w:r w:rsidRPr="0089694B">
              <w:rPr>
                <w:rFonts w:eastAsia="Times New Roman" w:cs="Arial"/>
                <w:color w:val="000000"/>
                <w:sz w:val="18"/>
                <w:szCs w:val="18"/>
                <w:lang w:eastAsia="en-AU"/>
              </w:rPr>
              <w:t>Adelaide</w:t>
            </w:r>
          </w:p>
        </w:tc>
        <w:tc>
          <w:tcPr>
            <w:tcW w:w="1420" w:type="dxa"/>
            <w:tcBorders>
              <w:top w:val="nil"/>
              <w:left w:val="nil"/>
              <w:bottom w:val="single" w:sz="4" w:space="0" w:color="auto"/>
              <w:right w:val="single" w:sz="4" w:space="0" w:color="auto"/>
            </w:tcBorders>
            <w:shd w:val="clear" w:color="auto" w:fill="auto"/>
            <w:noWrap/>
            <w:vAlign w:val="bottom"/>
            <w:hideMark/>
          </w:tcPr>
          <w:p w:rsidR="00C43ECF" w:rsidRPr="0089694B" w:rsidRDefault="00C43ECF" w:rsidP="0080674F">
            <w:pPr>
              <w:spacing w:after="0" w:line="240" w:lineRule="auto"/>
              <w:jc w:val="center"/>
              <w:rPr>
                <w:rFonts w:eastAsia="Times New Roman" w:cs="Arial"/>
                <w:color w:val="000000"/>
                <w:sz w:val="18"/>
                <w:szCs w:val="18"/>
                <w:lang w:eastAsia="en-AU"/>
              </w:rPr>
            </w:pPr>
            <w:r w:rsidRPr="0089694B">
              <w:rPr>
                <w:rFonts w:eastAsia="Times New Roman" w:cs="Arial"/>
                <w:color w:val="000000"/>
                <w:sz w:val="18"/>
                <w:szCs w:val="18"/>
                <w:lang w:eastAsia="en-AU"/>
              </w:rPr>
              <w:t>$386,000</w:t>
            </w:r>
          </w:p>
        </w:tc>
        <w:tc>
          <w:tcPr>
            <w:tcW w:w="1400" w:type="dxa"/>
            <w:tcBorders>
              <w:top w:val="nil"/>
              <w:left w:val="nil"/>
              <w:bottom w:val="single" w:sz="4" w:space="0" w:color="auto"/>
              <w:right w:val="single" w:sz="4" w:space="0" w:color="auto"/>
            </w:tcBorders>
            <w:shd w:val="clear" w:color="auto" w:fill="auto"/>
            <w:noWrap/>
            <w:vAlign w:val="bottom"/>
            <w:hideMark/>
          </w:tcPr>
          <w:p w:rsidR="00C43ECF" w:rsidRPr="0089694B" w:rsidRDefault="00C43ECF" w:rsidP="0080674F">
            <w:pPr>
              <w:spacing w:after="0" w:line="240" w:lineRule="auto"/>
              <w:jc w:val="center"/>
              <w:rPr>
                <w:rFonts w:eastAsia="Times New Roman" w:cs="Arial"/>
                <w:color w:val="000000"/>
                <w:sz w:val="18"/>
                <w:szCs w:val="18"/>
                <w:lang w:eastAsia="en-AU"/>
              </w:rPr>
            </w:pPr>
            <w:r w:rsidRPr="0089694B">
              <w:rPr>
                <w:rFonts w:eastAsia="Times New Roman" w:cs="Arial"/>
                <w:color w:val="000000"/>
                <w:sz w:val="18"/>
                <w:szCs w:val="18"/>
                <w:lang w:eastAsia="en-AU"/>
              </w:rPr>
              <w:t>$154,400</w:t>
            </w:r>
          </w:p>
        </w:tc>
        <w:tc>
          <w:tcPr>
            <w:tcW w:w="1020" w:type="dxa"/>
            <w:tcBorders>
              <w:top w:val="nil"/>
              <w:left w:val="nil"/>
              <w:bottom w:val="single" w:sz="4" w:space="0" w:color="auto"/>
              <w:right w:val="single" w:sz="4" w:space="0" w:color="auto"/>
            </w:tcBorders>
            <w:shd w:val="clear" w:color="auto" w:fill="auto"/>
            <w:noWrap/>
            <w:vAlign w:val="bottom"/>
            <w:hideMark/>
          </w:tcPr>
          <w:p w:rsidR="00C43ECF" w:rsidRPr="0089694B" w:rsidRDefault="00C43ECF" w:rsidP="0080674F">
            <w:pPr>
              <w:spacing w:after="0" w:line="240" w:lineRule="auto"/>
              <w:jc w:val="center"/>
              <w:rPr>
                <w:rFonts w:eastAsia="Times New Roman" w:cs="Arial"/>
                <w:color w:val="000000"/>
                <w:sz w:val="18"/>
                <w:szCs w:val="18"/>
                <w:lang w:eastAsia="en-AU"/>
              </w:rPr>
            </w:pPr>
            <w:r w:rsidRPr="0089694B">
              <w:rPr>
                <w:rFonts w:eastAsia="Times New Roman" w:cs="Arial"/>
                <w:color w:val="000000"/>
                <w:sz w:val="18"/>
                <w:szCs w:val="18"/>
                <w:lang w:eastAsia="en-AU"/>
              </w:rPr>
              <w:t>$15,630</w:t>
            </w:r>
          </w:p>
        </w:tc>
        <w:tc>
          <w:tcPr>
            <w:tcW w:w="1600" w:type="dxa"/>
            <w:tcBorders>
              <w:top w:val="nil"/>
              <w:left w:val="nil"/>
              <w:bottom w:val="single" w:sz="4" w:space="0" w:color="auto"/>
              <w:right w:val="single" w:sz="4" w:space="0" w:color="auto"/>
            </w:tcBorders>
            <w:shd w:val="clear" w:color="auto" w:fill="auto"/>
            <w:noWrap/>
            <w:vAlign w:val="bottom"/>
            <w:hideMark/>
          </w:tcPr>
          <w:p w:rsidR="00C43ECF" w:rsidRPr="0089694B" w:rsidRDefault="00C43ECF" w:rsidP="0080674F">
            <w:pPr>
              <w:spacing w:after="0" w:line="240" w:lineRule="auto"/>
              <w:jc w:val="center"/>
              <w:rPr>
                <w:rFonts w:eastAsia="Times New Roman" w:cs="Arial"/>
                <w:color w:val="000000"/>
                <w:sz w:val="18"/>
                <w:szCs w:val="18"/>
                <w:lang w:eastAsia="en-AU"/>
              </w:rPr>
            </w:pPr>
            <w:r w:rsidRPr="0089694B">
              <w:rPr>
                <w:rFonts w:eastAsia="Times New Roman" w:cs="Arial"/>
                <w:color w:val="000000"/>
                <w:sz w:val="18"/>
                <w:szCs w:val="18"/>
                <w:lang w:eastAsia="en-AU"/>
              </w:rPr>
              <w:t>$1,544</w:t>
            </w:r>
          </w:p>
        </w:tc>
        <w:tc>
          <w:tcPr>
            <w:tcW w:w="1660" w:type="dxa"/>
            <w:tcBorders>
              <w:top w:val="nil"/>
              <w:left w:val="nil"/>
              <w:bottom w:val="single" w:sz="4" w:space="0" w:color="auto"/>
              <w:right w:val="single" w:sz="4" w:space="0" w:color="auto"/>
            </w:tcBorders>
            <w:shd w:val="clear" w:color="000000" w:fill="D8D8D8"/>
            <w:noWrap/>
            <w:vAlign w:val="bottom"/>
            <w:hideMark/>
          </w:tcPr>
          <w:p w:rsidR="00C43ECF" w:rsidRPr="0089694B" w:rsidRDefault="00C43ECF" w:rsidP="0080674F">
            <w:pPr>
              <w:spacing w:after="0" w:line="240" w:lineRule="auto"/>
              <w:jc w:val="center"/>
              <w:rPr>
                <w:rFonts w:eastAsia="Times New Roman" w:cs="Arial"/>
                <w:color w:val="000000"/>
                <w:sz w:val="18"/>
                <w:szCs w:val="18"/>
                <w:lang w:eastAsia="en-AU"/>
              </w:rPr>
            </w:pPr>
            <w:r w:rsidRPr="0089694B">
              <w:rPr>
                <w:rFonts w:eastAsia="Times New Roman" w:cs="Arial"/>
                <w:color w:val="000000"/>
                <w:sz w:val="18"/>
                <w:szCs w:val="18"/>
                <w:lang w:eastAsia="en-AU"/>
              </w:rPr>
              <w:t>10.12</w:t>
            </w:r>
          </w:p>
        </w:tc>
        <w:tc>
          <w:tcPr>
            <w:tcW w:w="1520" w:type="dxa"/>
            <w:tcBorders>
              <w:top w:val="nil"/>
              <w:left w:val="nil"/>
              <w:bottom w:val="single" w:sz="4" w:space="0" w:color="auto"/>
              <w:right w:val="single" w:sz="4" w:space="0" w:color="auto"/>
            </w:tcBorders>
            <w:shd w:val="clear" w:color="000000" w:fill="92D050"/>
            <w:noWrap/>
            <w:vAlign w:val="bottom"/>
            <w:hideMark/>
          </w:tcPr>
          <w:p w:rsidR="00C43ECF" w:rsidRPr="0089694B" w:rsidRDefault="00C43ECF" w:rsidP="0080674F">
            <w:pPr>
              <w:spacing w:after="0" w:line="240" w:lineRule="auto"/>
              <w:jc w:val="center"/>
              <w:rPr>
                <w:rFonts w:eastAsia="Times New Roman" w:cs="Arial"/>
                <w:color w:val="000000"/>
                <w:sz w:val="18"/>
                <w:szCs w:val="18"/>
                <w:lang w:eastAsia="en-AU"/>
              </w:rPr>
            </w:pPr>
            <w:r w:rsidRPr="0089694B">
              <w:rPr>
                <w:rFonts w:eastAsia="Times New Roman" w:cs="Arial"/>
                <w:color w:val="000000"/>
                <w:sz w:val="18"/>
                <w:szCs w:val="18"/>
                <w:lang w:eastAsia="en-AU"/>
              </w:rPr>
              <w:t>4.50</w:t>
            </w:r>
          </w:p>
        </w:tc>
        <w:tc>
          <w:tcPr>
            <w:tcW w:w="1460" w:type="dxa"/>
            <w:tcBorders>
              <w:top w:val="nil"/>
              <w:left w:val="nil"/>
              <w:bottom w:val="single" w:sz="4" w:space="0" w:color="auto"/>
              <w:right w:val="single" w:sz="4" w:space="0" w:color="auto"/>
            </w:tcBorders>
            <w:shd w:val="clear" w:color="000000" w:fill="92D050"/>
            <w:noWrap/>
            <w:vAlign w:val="bottom"/>
            <w:hideMark/>
          </w:tcPr>
          <w:p w:rsidR="00C43ECF" w:rsidRPr="0089694B" w:rsidRDefault="00C43ECF" w:rsidP="0080674F">
            <w:pPr>
              <w:spacing w:after="0" w:line="240" w:lineRule="auto"/>
              <w:jc w:val="center"/>
              <w:rPr>
                <w:rFonts w:eastAsia="Times New Roman" w:cs="Arial"/>
                <w:color w:val="000000"/>
                <w:sz w:val="18"/>
                <w:szCs w:val="18"/>
                <w:lang w:eastAsia="en-AU"/>
              </w:rPr>
            </w:pPr>
            <w:r w:rsidRPr="0089694B">
              <w:rPr>
                <w:rFonts w:eastAsia="Times New Roman" w:cs="Arial"/>
                <w:color w:val="000000"/>
                <w:sz w:val="18"/>
                <w:szCs w:val="18"/>
                <w:lang w:eastAsia="en-AU"/>
              </w:rPr>
              <w:t>8.10</w:t>
            </w:r>
          </w:p>
        </w:tc>
        <w:tc>
          <w:tcPr>
            <w:tcW w:w="1280" w:type="dxa"/>
            <w:tcBorders>
              <w:top w:val="nil"/>
              <w:left w:val="nil"/>
              <w:bottom w:val="single" w:sz="4" w:space="0" w:color="auto"/>
              <w:right w:val="single" w:sz="4" w:space="0" w:color="auto"/>
            </w:tcBorders>
            <w:shd w:val="clear" w:color="000000" w:fill="92D050"/>
            <w:noWrap/>
            <w:vAlign w:val="bottom"/>
            <w:hideMark/>
          </w:tcPr>
          <w:p w:rsidR="00C43ECF" w:rsidRPr="0089694B" w:rsidRDefault="00C43ECF" w:rsidP="0080674F">
            <w:pPr>
              <w:spacing w:after="0" w:line="240" w:lineRule="auto"/>
              <w:jc w:val="center"/>
              <w:rPr>
                <w:rFonts w:eastAsia="Times New Roman" w:cs="Arial"/>
                <w:color w:val="000000"/>
                <w:sz w:val="18"/>
                <w:szCs w:val="18"/>
                <w:lang w:eastAsia="en-AU"/>
              </w:rPr>
            </w:pPr>
            <w:r w:rsidRPr="0089694B">
              <w:rPr>
                <w:rFonts w:eastAsia="Times New Roman" w:cs="Arial"/>
                <w:color w:val="000000"/>
                <w:sz w:val="18"/>
                <w:szCs w:val="18"/>
                <w:lang w:eastAsia="en-AU"/>
              </w:rPr>
              <w:t>4.20</w:t>
            </w:r>
          </w:p>
        </w:tc>
        <w:tc>
          <w:tcPr>
            <w:tcW w:w="1260" w:type="dxa"/>
            <w:tcBorders>
              <w:top w:val="nil"/>
              <w:left w:val="nil"/>
              <w:bottom w:val="single" w:sz="4" w:space="0" w:color="auto"/>
              <w:right w:val="single" w:sz="4" w:space="0" w:color="auto"/>
            </w:tcBorders>
            <w:shd w:val="clear" w:color="000000" w:fill="92D050"/>
            <w:noWrap/>
            <w:vAlign w:val="bottom"/>
            <w:hideMark/>
          </w:tcPr>
          <w:p w:rsidR="00C43ECF" w:rsidRPr="0089694B" w:rsidRDefault="00C43ECF" w:rsidP="0080674F">
            <w:pPr>
              <w:spacing w:after="0" w:line="240" w:lineRule="auto"/>
              <w:jc w:val="center"/>
              <w:rPr>
                <w:rFonts w:eastAsia="Times New Roman" w:cs="Arial"/>
                <w:color w:val="000000"/>
                <w:sz w:val="18"/>
                <w:szCs w:val="18"/>
                <w:lang w:eastAsia="en-AU"/>
              </w:rPr>
            </w:pPr>
            <w:r w:rsidRPr="0089694B">
              <w:rPr>
                <w:rFonts w:eastAsia="Times New Roman" w:cs="Arial"/>
                <w:color w:val="000000"/>
                <w:sz w:val="18"/>
                <w:szCs w:val="18"/>
                <w:lang w:eastAsia="en-AU"/>
              </w:rPr>
              <w:t>7.9</w:t>
            </w:r>
          </w:p>
        </w:tc>
      </w:tr>
      <w:tr w:rsidR="00C43ECF" w:rsidRPr="0089694B" w:rsidTr="0080674F">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C43ECF" w:rsidRPr="0089694B" w:rsidRDefault="00C43ECF" w:rsidP="0080674F">
            <w:pPr>
              <w:spacing w:after="0" w:line="240" w:lineRule="auto"/>
              <w:rPr>
                <w:rFonts w:eastAsia="Times New Roman" w:cs="Arial"/>
                <w:color w:val="000000"/>
                <w:sz w:val="18"/>
                <w:szCs w:val="18"/>
                <w:lang w:eastAsia="en-AU"/>
              </w:rPr>
            </w:pPr>
            <w:r w:rsidRPr="0089694B">
              <w:rPr>
                <w:rFonts w:eastAsia="Times New Roman" w:cs="Arial"/>
                <w:color w:val="000000"/>
                <w:sz w:val="18"/>
                <w:szCs w:val="18"/>
                <w:lang w:eastAsia="en-AU"/>
              </w:rPr>
              <w:t>Perth</w:t>
            </w:r>
          </w:p>
        </w:tc>
        <w:tc>
          <w:tcPr>
            <w:tcW w:w="1420" w:type="dxa"/>
            <w:tcBorders>
              <w:top w:val="nil"/>
              <w:left w:val="nil"/>
              <w:bottom w:val="single" w:sz="4" w:space="0" w:color="auto"/>
              <w:right w:val="single" w:sz="4" w:space="0" w:color="auto"/>
            </w:tcBorders>
            <w:shd w:val="clear" w:color="auto" w:fill="auto"/>
            <w:noWrap/>
            <w:vAlign w:val="bottom"/>
            <w:hideMark/>
          </w:tcPr>
          <w:p w:rsidR="00C43ECF" w:rsidRPr="0089694B" w:rsidRDefault="00C43ECF" w:rsidP="0080674F">
            <w:pPr>
              <w:spacing w:after="0" w:line="240" w:lineRule="auto"/>
              <w:jc w:val="center"/>
              <w:rPr>
                <w:rFonts w:eastAsia="Times New Roman" w:cs="Arial"/>
                <w:color w:val="000000"/>
                <w:sz w:val="18"/>
                <w:szCs w:val="18"/>
                <w:lang w:eastAsia="en-AU"/>
              </w:rPr>
            </w:pPr>
            <w:r w:rsidRPr="0089694B">
              <w:rPr>
                <w:rFonts w:eastAsia="Times New Roman" w:cs="Arial"/>
                <w:color w:val="000000"/>
                <w:sz w:val="18"/>
                <w:szCs w:val="18"/>
                <w:lang w:eastAsia="en-AU"/>
              </w:rPr>
              <w:t>$491,000</w:t>
            </w:r>
          </w:p>
        </w:tc>
        <w:tc>
          <w:tcPr>
            <w:tcW w:w="1400" w:type="dxa"/>
            <w:tcBorders>
              <w:top w:val="nil"/>
              <w:left w:val="nil"/>
              <w:bottom w:val="single" w:sz="4" w:space="0" w:color="auto"/>
              <w:right w:val="single" w:sz="4" w:space="0" w:color="auto"/>
            </w:tcBorders>
            <w:shd w:val="clear" w:color="auto" w:fill="auto"/>
            <w:noWrap/>
            <w:vAlign w:val="bottom"/>
            <w:hideMark/>
          </w:tcPr>
          <w:p w:rsidR="00C43ECF" w:rsidRPr="0089694B" w:rsidRDefault="00C43ECF" w:rsidP="0080674F">
            <w:pPr>
              <w:spacing w:after="0" w:line="240" w:lineRule="auto"/>
              <w:jc w:val="center"/>
              <w:rPr>
                <w:rFonts w:eastAsia="Times New Roman" w:cs="Arial"/>
                <w:color w:val="000000"/>
                <w:sz w:val="18"/>
                <w:szCs w:val="18"/>
                <w:lang w:eastAsia="en-AU"/>
              </w:rPr>
            </w:pPr>
            <w:r w:rsidRPr="0089694B">
              <w:rPr>
                <w:rFonts w:eastAsia="Times New Roman" w:cs="Arial"/>
                <w:color w:val="000000"/>
                <w:sz w:val="18"/>
                <w:szCs w:val="18"/>
                <w:lang w:eastAsia="en-AU"/>
              </w:rPr>
              <w:t>$196,400</w:t>
            </w:r>
          </w:p>
        </w:tc>
        <w:tc>
          <w:tcPr>
            <w:tcW w:w="1020" w:type="dxa"/>
            <w:tcBorders>
              <w:top w:val="nil"/>
              <w:left w:val="nil"/>
              <w:bottom w:val="single" w:sz="4" w:space="0" w:color="auto"/>
              <w:right w:val="single" w:sz="4" w:space="0" w:color="auto"/>
            </w:tcBorders>
            <w:shd w:val="clear" w:color="auto" w:fill="auto"/>
            <w:noWrap/>
            <w:vAlign w:val="bottom"/>
            <w:hideMark/>
          </w:tcPr>
          <w:p w:rsidR="00C43ECF" w:rsidRPr="0089694B" w:rsidRDefault="00C43ECF" w:rsidP="0080674F">
            <w:pPr>
              <w:spacing w:after="0" w:line="240" w:lineRule="auto"/>
              <w:jc w:val="center"/>
              <w:rPr>
                <w:rFonts w:eastAsia="Times New Roman" w:cs="Arial"/>
                <w:color w:val="000000"/>
                <w:sz w:val="18"/>
                <w:szCs w:val="18"/>
                <w:lang w:eastAsia="en-AU"/>
              </w:rPr>
            </w:pPr>
            <w:r w:rsidRPr="0089694B">
              <w:rPr>
                <w:rFonts w:eastAsia="Times New Roman" w:cs="Arial"/>
                <w:color w:val="000000"/>
                <w:sz w:val="18"/>
                <w:szCs w:val="18"/>
                <w:lang w:eastAsia="en-AU"/>
              </w:rPr>
              <w:t>$17,338</w:t>
            </w:r>
          </w:p>
        </w:tc>
        <w:tc>
          <w:tcPr>
            <w:tcW w:w="1600" w:type="dxa"/>
            <w:tcBorders>
              <w:top w:val="nil"/>
              <w:left w:val="nil"/>
              <w:bottom w:val="single" w:sz="4" w:space="0" w:color="auto"/>
              <w:right w:val="single" w:sz="4" w:space="0" w:color="auto"/>
            </w:tcBorders>
            <w:shd w:val="clear" w:color="auto" w:fill="auto"/>
            <w:noWrap/>
            <w:vAlign w:val="bottom"/>
            <w:hideMark/>
          </w:tcPr>
          <w:p w:rsidR="00C43ECF" w:rsidRPr="0089694B" w:rsidRDefault="00C43ECF" w:rsidP="0080674F">
            <w:pPr>
              <w:spacing w:after="0" w:line="240" w:lineRule="auto"/>
              <w:jc w:val="center"/>
              <w:rPr>
                <w:rFonts w:eastAsia="Times New Roman" w:cs="Arial"/>
                <w:color w:val="000000"/>
                <w:sz w:val="18"/>
                <w:szCs w:val="18"/>
                <w:lang w:eastAsia="en-AU"/>
              </w:rPr>
            </w:pPr>
            <w:r w:rsidRPr="0089694B">
              <w:rPr>
                <w:rFonts w:eastAsia="Times New Roman" w:cs="Arial"/>
                <w:color w:val="000000"/>
                <w:sz w:val="18"/>
                <w:szCs w:val="18"/>
                <w:lang w:eastAsia="en-AU"/>
              </w:rPr>
              <w:t>$1,964</w:t>
            </w:r>
          </w:p>
        </w:tc>
        <w:tc>
          <w:tcPr>
            <w:tcW w:w="1660" w:type="dxa"/>
            <w:tcBorders>
              <w:top w:val="nil"/>
              <w:left w:val="nil"/>
              <w:bottom w:val="single" w:sz="4" w:space="0" w:color="auto"/>
              <w:right w:val="single" w:sz="4" w:space="0" w:color="auto"/>
            </w:tcBorders>
            <w:shd w:val="clear" w:color="000000" w:fill="D8D8D8"/>
            <w:noWrap/>
            <w:vAlign w:val="bottom"/>
            <w:hideMark/>
          </w:tcPr>
          <w:p w:rsidR="00C43ECF" w:rsidRPr="0089694B" w:rsidRDefault="00C43ECF" w:rsidP="0080674F">
            <w:pPr>
              <w:spacing w:after="0" w:line="240" w:lineRule="auto"/>
              <w:jc w:val="center"/>
              <w:rPr>
                <w:rFonts w:eastAsia="Times New Roman" w:cs="Arial"/>
                <w:color w:val="000000"/>
                <w:sz w:val="18"/>
                <w:szCs w:val="18"/>
                <w:lang w:eastAsia="en-AU"/>
              </w:rPr>
            </w:pPr>
            <w:r w:rsidRPr="0089694B">
              <w:rPr>
                <w:rFonts w:eastAsia="Times New Roman" w:cs="Arial"/>
                <w:color w:val="000000"/>
                <w:sz w:val="18"/>
                <w:szCs w:val="18"/>
                <w:lang w:eastAsia="en-AU"/>
              </w:rPr>
              <w:t>8.83</w:t>
            </w:r>
          </w:p>
        </w:tc>
        <w:tc>
          <w:tcPr>
            <w:tcW w:w="1520" w:type="dxa"/>
            <w:tcBorders>
              <w:top w:val="nil"/>
              <w:left w:val="nil"/>
              <w:bottom w:val="single" w:sz="4" w:space="0" w:color="auto"/>
              <w:right w:val="single" w:sz="4" w:space="0" w:color="auto"/>
            </w:tcBorders>
            <w:shd w:val="clear" w:color="000000" w:fill="92D050"/>
            <w:noWrap/>
            <w:vAlign w:val="bottom"/>
            <w:hideMark/>
          </w:tcPr>
          <w:p w:rsidR="00C43ECF" w:rsidRPr="0089694B" w:rsidRDefault="00C43ECF" w:rsidP="0080674F">
            <w:pPr>
              <w:spacing w:after="0" w:line="240" w:lineRule="auto"/>
              <w:jc w:val="center"/>
              <w:rPr>
                <w:rFonts w:eastAsia="Times New Roman" w:cs="Arial"/>
                <w:color w:val="000000"/>
                <w:sz w:val="18"/>
                <w:szCs w:val="18"/>
                <w:lang w:eastAsia="en-AU"/>
              </w:rPr>
            </w:pPr>
            <w:r w:rsidRPr="0089694B">
              <w:rPr>
                <w:rFonts w:eastAsia="Times New Roman" w:cs="Arial"/>
                <w:color w:val="000000"/>
                <w:sz w:val="18"/>
                <w:szCs w:val="18"/>
                <w:lang w:eastAsia="en-AU"/>
              </w:rPr>
              <w:t>5.60</w:t>
            </w:r>
          </w:p>
        </w:tc>
        <w:tc>
          <w:tcPr>
            <w:tcW w:w="1460" w:type="dxa"/>
            <w:tcBorders>
              <w:top w:val="nil"/>
              <w:left w:val="nil"/>
              <w:bottom w:val="single" w:sz="4" w:space="0" w:color="auto"/>
              <w:right w:val="single" w:sz="4" w:space="0" w:color="auto"/>
            </w:tcBorders>
            <w:shd w:val="clear" w:color="000000" w:fill="92D050"/>
            <w:noWrap/>
            <w:vAlign w:val="bottom"/>
            <w:hideMark/>
          </w:tcPr>
          <w:p w:rsidR="00C43ECF" w:rsidRPr="0089694B" w:rsidRDefault="00C43ECF" w:rsidP="0080674F">
            <w:pPr>
              <w:spacing w:after="0" w:line="240" w:lineRule="auto"/>
              <w:jc w:val="center"/>
              <w:rPr>
                <w:rFonts w:eastAsia="Times New Roman" w:cs="Arial"/>
                <w:color w:val="000000"/>
                <w:sz w:val="18"/>
                <w:szCs w:val="18"/>
                <w:lang w:eastAsia="en-AU"/>
              </w:rPr>
            </w:pPr>
            <w:r w:rsidRPr="0089694B">
              <w:rPr>
                <w:rFonts w:eastAsia="Times New Roman" w:cs="Arial"/>
                <w:color w:val="000000"/>
                <w:sz w:val="18"/>
                <w:szCs w:val="18"/>
                <w:lang w:eastAsia="en-AU"/>
              </w:rPr>
              <w:t>8.20</w:t>
            </w:r>
          </w:p>
        </w:tc>
        <w:tc>
          <w:tcPr>
            <w:tcW w:w="1280" w:type="dxa"/>
            <w:tcBorders>
              <w:top w:val="nil"/>
              <w:left w:val="nil"/>
              <w:bottom w:val="single" w:sz="4" w:space="0" w:color="auto"/>
              <w:right w:val="single" w:sz="4" w:space="0" w:color="auto"/>
            </w:tcBorders>
            <w:shd w:val="clear" w:color="000000" w:fill="92D050"/>
            <w:noWrap/>
            <w:vAlign w:val="bottom"/>
            <w:hideMark/>
          </w:tcPr>
          <w:p w:rsidR="00C43ECF" w:rsidRPr="0089694B" w:rsidRDefault="00C43ECF" w:rsidP="0080674F">
            <w:pPr>
              <w:spacing w:after="0" w:line="240" w:lineRule="auto"/>
              <w:jc w:val="center"/>
              <w:rPr>
                <w:rFonts w:eastAsia="Times New Roman" w:cs="Arial"/>
                <w:color w:val="000000"/>
                <w:sz w:val="18"/>
                <w:szCs w:val="18"/>
                <w:lang w:eastAsia="en-AU"/>
              </w:rPr>
            </w:pPr>
            <w:r w:rsidRPr="0089694B">
              <w:rPr>
                <w:rFonts w:eastAsia="Times New Roman" w:cs="Arial"/>
                <w:color w:val="000000"/>
                <w:sz w:val="18"/>
                <w:szCs w:val="18"/>
                <w:lang w:eastAsia="en-AU"/>
              </w:rPr>
              <w:t>5.00</w:t>
            </w:r>
          </w:p>
        </w:tc>
        <w:tc>
          <w:tcPr>
            <w:tcW w:w="1260" w:type="dxa"/>
            <w:tcBorders>
              <w:top w:val="nil"/>
              <w:left w:val="nil"/>
              <w:bottom w:val="single" w:sz="4" w:space="0" w:color="auto"/>
              <w:right w:val="single" w:sz="4" w:space="0" w:color="auto"/>
            </w:tcBorders>
            <w:shd w:val="clear" w:color="000000" w:fill="92D050"/>
            <w:noWrap/>
            <w:vAlign w:val="bottom"/>
            <w:hideMark/>
          </w:tcPr>
          <w:p w:rsidR="00C43ECF" w:rsidRPr="0089694B" w:rsidRDefault="00C43ECF" w:rsidP="0080674F">
            <w:pPr>
              <w:spacing w:after="0" w:line="240" w:lineRule="auto"/>
              <w:jc w:val="center"/>
              <w:rPr>
                <w:rFonts w:eastAsia="Times New Roman" w:cs="Arial"/>
                <w:color w:val="000000"/>
                <w:sz w:val="18"/>
                <w:szCs w:val="18"/>
                <w:lang w:eastAsia="en-AU"/>
              </w:rPr>
            </w:pPr>
            <w:r w:rsidRPr="0089694B">
              <w:rPr>
                <w:rFonts w:eastAsia="Times New Roman" w:cs="Arial"/>
                <w:color w:val="000000"/>
                <w:sz w:val="18"/>
                <w:szCs w:val="18"/>
                <w:lang w:eastAsia="en-AU"/>
              </w:rPr>
              <w:t>7.7</w:t>
            </w:r>
          </w:p>
        </w:tc>
      </w:tr>
      <w:tr w:rsidR="00C43ECF" w:rsidRPr="0089694B" w:rsidTr="0080674F">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C43ECF" w:rsidRPr="0089694B" w:rsidRDefault="00C43ECF" w:rsidP="0080674F">
            <w:pPr>
              <w:spacing w:after="0" w:line="240" w:lineRule="auto"/>
              <w:rPr>
                <w:rFonts w:eastAsia="Times New Roman" w:cs="Arial"/>
                <w:color w:val="000000"/>
                <w:sz w:val="18"/>
                <w:szCs w:val="18"/>
                <w:lang w:eastAsia="en-AU"/>
              </w:rPr>
            </w:pPr>
            <w:r w:rsidRPr="0089694B">
              <w:rPr>
                <w:rFonts w:eastAsia="Times New Roman" w:cs="Arial"/>
                <w:color w:val="000000"/>
                <w:sz w:val="18"/>
                <w:szCs w:val="18"/>
                <w:lang w:eastAsia="en-AU"/>
              </w:rPr>
              <w:t>Hobart</w:t>
            </w:r>
          </w:p>
        </w:tc>
        <w:tc>
          <w:tcPr>
            <w:tcW w:w="1420" w:type="dxa"/>
            <w:tcBorders>
              <w:top w:val="nil"/>
              <w:left w:val="nil"/>
              <w:bottom w:val="single" w:sz="4" w:space="0" w:color="auto"/>
              <w:right w:val="single" w:sz="4" w:space="0" w:color="auto"/>
            </w:tcBorders>
            <w:shd w:val="clear" w:color="auto" w:fill="auto"/>
            <w:noWrap/>
            <w:vAlign w:val="bottom"/>
            <w:hideMark/>
          </w:tcPr>
          <w:p w:rsidR="00C43ECF" w:rsidRPr="0089694B" w:rsidRDefault="00C43ECF" w:rsidP="0080674F">
            <w:pPr>
              <w:spacing w:after="0" w:line="240" w:lineRule="auto"/>
              <w:jc w:val="center"/>
              <w:rPr>
                <w:rFonts w:eastAsia="Times New Roman" w:cs="Arial"/>
                <w:color w:val="000000"/>
                <w:sz w:val="18"/>
                <w:szCs w:val="18"/>
                <w:lang w:eastAsia="en-AU"/>
              </w:rPr>
            </w:pPr>
            <w:r w:rsidRPr="0089694B">
              <w:rPr>
                <w:rFonts w:eastAsia="Times New Roman" w:cs="Arial"/>
                <w:color w:val="000000"/>
                <w:sz w:val="18"/>
                <w:szCs w:val="18"/>
                <w:lang w:eastAsia="en-AU"/>
              </w:rPr>
              <w:t>$320,000</w:t>
            </w:r>
          </w:p>
        </w:tc>
        <w:tc>
          <w:tcPr>
            <w:tcW w:w="1400" w:type="dxa"/>
            <w:tcBorders>
              <w:top w:val="nil"/>
              <w:left w:val="nil"/>
              <w:bottom w:val="single" w:sz="4" w:space="0" w:color="auto"/>
              <w:right w:val="single" w:sz="4" w:space="0" w:color="auto"/>
            </w:tcBorders>
            <w:shd w:val="clear" w:color="auto" w:fill="auto"/>
            <w:noWrap/>
            <w:vAlign w:val="bottom"/>
            <w:hideMark/>
          </w:tcPr>
          <w:p w:rsidR="00C43ECF" w:rsidRPr="0089694B" w:rsidRDefault="00C43ECF" w:rsidP="0080674F">
            <w:pPr>
              <w:spacing w:after="0" w:line="240" w:lineRule="auto"/>
              <w:jc w:val="center"/>
              <w:rPr>
                <w:rFonts w:eastAsia="Times New Roman" w:cs="Arial"/>
                <w:color w:val="000000"/>
                <w:sz w:val="18"/>
                <w:szCs w:val="18"/>
                <w:lang w:eastAsia="en-AU"/>
              </w:rPr>
            </w:pPr>
            <w:r w:rsidRPr="0089694B">
              <w:rPr>
                <w:rFonts w:eastAsia="Times New Roman" w:cs="Arial"/>
                <w:color w:val="000000"/>
                <w:sz w:val="18"/>
                <w:szCs w:val="18"/>
                <w:lang w:eastAsia="en-AU"/>
              </w:rPr>
              <w:t>$128,000</w:t>
            </w:r>
          </w:p>
        </w:tc>
        <w:tc>
          <w:tcPr>
            <w:tcW w:w="1020" w:type="dxa"/>
            <w:tcBorders>
              <w:top w:val="nil"/>
              <w:left w:val="nil"/>
              <w:bottom w:val="single" w:sz="4" w:space="0" w:color="auto"/>
              <w:right w:val="single" w:sz="4" w:space="0" w:color="auto"/>
            </w:tcBorders>
            <w:shd w:val="clear" w:color="auto" w:fill="auto"/>
            <w:noWrap/>
            <w:vAlign w:val="bottom"/>
            <w:hideMark/>
          </w:tcPr>
          <w:p w:rsidR="00C43ECF" w:rsidRPr="0089694B" w:rsidRDefault="00C43ECF" w:rsidP="0080674F">
            <w:pPr>
              <w:spacing w:after="0" w:line="240" w:lineRule="auto"/>
              <w:jc w:val="center"/>
              <w:rPr>
                <w:rFonts w:eastAsia="Times New Roman" w:cs="Arial"/>
                <w:color w:val="000000"/>
                <w:sz w:val="18"/>
                <w:szCs w:val="18"/>
                <w:lang w:eastAsia="en-AU"/>
              </w:rPr>
            </w:pPr>
            <w:r w:rsidRPr="0089694B">
              <w:rPr>
                <w:rFonts w:eastAsia="Times New Roman" w:cs="Arial"/>
                <w:color w:val="000000"/>
                <w:sz w:val="18"/>
                <w:szCs w:val="18"/>
                <w:lang w:eastAsia="en-AU"/>
              </w:rPr>
              <w:t>$10,735</w:t>
            </w:r>
          </w:p>
        </w:tc>
        <w:tc>
          <w:tcPr>
            <w:tcW w:w="1600" w:type="dxa"/>
            <w:tcBorders>
              <w:top w:val="nil"/>
              <w:left w:val="nil"/>
              <w:bottom w:val="single" w:sz="4" w:space="0" w:color="auto"/>
              <w:right w:val="single" w:sz="4" w:space="0" w:color="auto"/>
            </w:tcBorders>
            <w:shd w:val="clear" w:color="auto" w:fill="auto"/>
            <w:noWrap/>
            <w:vAlign w:val="bottom"/>
            <w:hideMark/>
          </w:tcPr>
          <w:p w:rsidR="00C43ECF" w:rsidRPr="0089694B" w:rsidRDefault="00C43ECF" w:rsidP="0080674F">
            <w:pPr>
              <w:spacing w:after="0" w:line="240" w:lineRule="auto"/>
              <w:jc w:val="center"/>
              <w:rPr>
                <w:rFonts w:eastAsia="Times New Roman" w:cs="Arial"/>
                <w:color w:val="000000"/>
                <w:sz w:val="18"/>
                <w:szCs w:val="18"/>
                <w:lang w:eastAsia="en-AU"/>
              </w:rPr>
            </w:pPr>
            <w:r w:rsidRPr="0089694B">
              <w:rPr>
                <w:rFonts w:eastAsia="Times New Roman" w:cs="Arial"/>
                <w:color w:val="000000"/>
                <w:sz w:val="18"/>
                <w:szCs w:val="18"/>
                <w:lang w:eastAsia="en-AU"/>
              </w:rPr>
              <w:t>$1,280</w:t>
            </w:r>
          </w:p>
        </w:tc>
        <w:tc>
          <w:tcPr>
            <w:tcW w:w="1660" w:type="dxa"/>
            <w:tcBorders>
              <w:top w:val="nil"/>
              <w:left w:val="nil"/>
              <w:bottom w:val="single" w:sz="4" w:space="0" w:color="auto"/>
              <w:right w:val="single" w:sz="4" w:space="0" w:color="auto"/>
            </w:tcBorders>
            <w:shd w:val="clear" w:color="000000" w:fill="D8D8D8"/>
            <w:noWrap/>
            <w:vAlign w:val="bottom"/>
            <w:hideMark/>
          </w:tcPr>
          <w:p w:rsidR="00C43ECF" w:rsidRPr="0089694B" w:rsidRDefault="00C43ECF" w:rsidP="0080674F">
            <w:pPr>
              <w:spacing w:after="0" w:line="240" w:lineRule="auto"/>
              <w:jc w:val="center"/>
              <w:rPr>
                <w:rFonts w:eastAsia="Times New Roman" w:cs="Arial"/>
                <w:color w:val="000000"/>
                <w:sz w:val="18"/>
                <w:szCs w:val="18"/>
                <w:lang w:eastAsia="en-AU"/>
              </w:rPr>
            </w:pPr>
            <w:r w:rsidRPr="0089694B">
              <w:rPr>
                <w:rFonts w:eastAsia="Times New Roman" w:cs="Arial"/>
                <w:color w:val="000000"/>
                <w:sz w:val="18"/>
                <w:szCs w:val="18"/>
                <w:lang w:eastAsia="en-AU"/>
              </w:rPr>
              <w:t>8.39</w:t>
            </w:r>
          </w:p>
        </w:tc>
        <w:tc>
          <w:tcPr>
            <w:tcW w:w="1520" w:type="dxa"/>
            <w:tcBorders>
              <w:top w:val="nil"/>
              <w:left w:val="nil"/>
              <w:bottom w:val="single" w:sz="4" w:space="0" w:color="auto"/>
              <w:right w:val="single" w:sz="4" w:space="0" w:color="auto"/>
            </w:tcBorders>
            <w:shd w:val="clear" w:color="000000" w:fill="92D050"/>
            <w:noWrap/>
            <w:vAlign w:val="bottom"/>
            <w:hideMark/>
          </w:tcPr>
          <w:p w:rsidR="00C43ECF" w:rsidRPr="0089694B" w:rsidRDefault="00C43ECF" w:rsidP="0080674F">
            <w:pPr>
              <w:spacing w:after="0" w:line="240" w:lineRule="auto"/>
              <w:jc w:val="center"/>
              <w:rPr>
                <w:rFonts w:eastAsia="Times New Roman" w:cs="Arial"/>
                <w:color w:val="000000"/>
                <w:sz w:val="18"/>
                <w:szCs w:val="18"/>
                <w:lang w:eastAsia="en-AU"/>
              </w:rPr>
            </w:pPr>
            <w:r w:rsidRPr="0089694B">
              <w:rPr>
                <w:rFonts w:eastAsia="Times New Roman" w:cs="Arial"/>
                <w:color w:val="000000"/>
                <w:sz w:val="18"/>
                <w:szCs w:val="18"/>
                <w:lang w:eastAsia="en-AU"/>
              </w:rPr>
              <w:t>6.10</w:t>
            </w:r>
          </w:p>
        </w:tc>
        <w:tc>
          <w:tcPr>
            <w:tcW w:w="1460" w:type="dxa"/>
            <w:tcBorders>
              <w:top w:val="nil"/>
              <w:left w:val="nil"/>
              <w:bottom w:val="single" w:sz="4" w:space="0" w:color="auto"/>
              <w:right w:val="single" w:sz="4" w:space="0" w:color="auto"/>
            </w:tcBorders>
            <w:shd w:val="clear" w:color="000000" w:fill="FF0000"/>
            <w:noWrap/>
            <w:vAlign w:val="bottom"/>
            <w:hideMark/>
          </w:tcPr>
          <w:p w:rsidR="00C43ECF" w:rsidRPr="0089694B" w:rsidRDefault="00C43ECF" w:rsidP="0080674F">
            <w:pPr>
              <w:spacing w:after="0" w:line="240" w:lineRule="auto"/>
              <w:jc w:val="center"/>
              <w:rPr>
                <w:rFonts w:eastAsia="Times New Roman" w:cs="Arial"/>
                <w:color w:val="000000"/>
                <w:sz w:val="18"/>
                <w:szCs w:val="18"/>
                <w:lang w:eastAsia="en-AU"/>
              </w:rPr>
            </w:pPr>
            <w:r w:rsidRPr="0089694B">
              <w:rPr>
                <w:rFonts w:eastAsia="Times New Roman" w:cs="Arial"/>
                <w:color w:val="000000"/>
                <w:sz w:val="18"/>
                <w:szCs w:val="18"/>
                <w:lang w:eastAsia="en-AU"/>
              </w:rPr>
              <w:t>8.70</w:t>
            </w:r>
          </w:p>
        </w:tc>
        <w:tc>
          <w:tcPr>
            <w:tcW w:w="1280" w:type="dxa"/>
            <w:tcBorders>
              <w:top w:val="nil"/>
              <w:left w:val="nil"/>
              <w:bottom w:val="single" w:sz="4" w:space="0" w:color="auto"/>
              <w:right w:val="single" w:sz="4" w:space="0" w:color="auto"/>
            </w:tcBorders>
            <w:shd w:val="clear" w:color="000000" w:fill="92D050"/>
            <w:noWrap/>
            <w:vAlign w:val="bottom"/>
            <w:hideMark/>
          </w:tcPr>
          <w:p w:rsidR="00C43ECF" w:rsidRPr="0089694B" w:rsidRDefault="00C43ECF" w:rsidP="0080674F">
            <w:pPr>
              <w:spacing w:after="0" w:line="240" w:lineRule="auto"/>
              <w:jc w:val="center"/>
              <w:rPr>
                <w:rFonts w:eastAsia="Times New Roman" w:cs="Arial"/>
                <w:color w:val="000000"/>
                <w:sz w:val="18"/>
                <w:szCs w:val="18"/>
                <w:lang w:eastAsia="en-AU"/>
              </w:rPr>
            </w:pPr>
            <w:r w:rsidRPr="0089694B">
              <w:rPr>
                <w:rFonts w:eastAsia="Times New Roman" w:cs="Arial"/>
                <w:color w:val="000000"/>
                <w:sz w:val="18"/>
                <w:szCs w:val="18"/>
                <w:lang w:eastAsia="en-AU"/>
              </w:rPr>
              <w:t>6.10</w:t>
            </w:r>
          </w:p>
        </w:tc>
        <w:tc>
          <w:tcPr>
            <w:tcW w:w="1260" w:type="dxa"/>
            <w:tcBorders>
              <w:top w:val="nil"/>
              <w:left w:val="nil"/>
              <w:bottom w:val="single" w:sz="4" w:space="0" w:color="auto"/>
              <w:right w:val="single" w:sz="4" w:space="0" w:color="auto"/>
            </w:tcBorders>
            <w:shd w:val="clear" w:color="000000" w:fill="92D050"/>
            <w:noWrap/>
            <w:vAlign w:val="bottom"/>
            <w:hideMark/>
          </w:tcPr>
          <w:p w:rsidR="00C43ECF" w:rsidRPr="0089694B" w:rsidRDefault="00C43ECF" w:rsidP="0080674F">
            <w:pPr>
              <w:spacing w:after="0" w:line="240" w:lineRule="auto"/>
              <w:jc w:val="center"/>
              <w:rPr>
                <w:rFonts w:eastAsia="Times New Roman" w:cs="Arial"/>
                <w:color w:val="000000"/>
                <w:sz w:val="18"/>
                <w:szCs w:val="18"/>
                <w:lang w:eastAsia="en-AU"/>
              </w:rPr>
            </w:pPr>
            <w:r w:rsidRPr="0089694B">
              <w:rPr>
                <w:rFonts w:eastAsia="Times New Roman" w:cs="Arial"/>
                <w:color w:val="000000"/>
                <w:sz w:val="18"/>
                <w:szCs w:val="18"/>
                <w:lang w:eastAsia="en-AU"/>
              </w:rPr>
              <w:t>8.1</w:t>
            </w:r>
          </w:p>
        </w:tc>
      </w:tr>
      <w:tr w:rsidR="00C43ECF" w:rsidRPr="0089694B" w:rsidTr="0080674F">
        <w:trPr>
          <w:trHeight w:val="300"/>
        </w:trPr>
        <w:tc>
          <w:tcPr>
            <w:tcW w:w="1140" w:type="dxa"/>
            <w:tcBorders>
              <w:top w:val="nil"/>
              <w:left w:val="nil"/>
              <w:bottom w:val="nil"/>
              <w:right w:val="nil"/>
            </w:tcBorders>
            <w:shd w:val="clear" w:color="auto" w:fill="auto"/>
            <w:noWrap/>
            <w:vAlign w:val="bottom"/>
            <w:hideMark/>
          </w:tcPr>
          <w:p w:rsidR="00C43ECF" w:rsidRPr="0089694B" w:rsidRDefault="00C43ECF" w:rsidP="0080674F">
            <w:pPr>
              <w:spacing w:after="0" w:line="240" w:lineRule="auto"/>
              <w:rPr>
                <w:rFonts w:eastAsia="Times New Roman" w:cs="Arial"/>
                <w:color w:val="000000"/>
                <w:sz w:val="18"/>
                <w:szCs w:val="18"/>
                <w:lang w:eastAsia="en-AU"/>
              </w:rPr>
            </w:pPr>
          </w:p>
        </w:tc>
        <w:tc>
          <w:tcPr>
            <w:tcW w:w="1420" w:type="dxa"/>
            <w:tcBorders>
              <w:top w:val="nil"/>
              <w:left w:val="nil"/>
              <w:bottom w:val="nil"/>
              <w:right w:val="nil"/>
            </w:tcBorders>
            <w:shd w:val="clear" w:color="auto" w:fill="auto"/>
            <w:noWrap/>
            <w:vAlign w:val="bottom"/>
            <w:hideMark/>
          </w:tcPr>
          <w:p w:rsidR="00C43ECF" w:rsidRPr="0089694B" w:rsidRDefault="00C43ECF" w:rsidP="0080674F">
            <w:pPr>
              <w:spacing w:after="0" w:line="240" w:lineRule="auto"/>
              <w:rPr>
                <w:rFonts w:eastAsia="Times New Roman" w:cs="Arial"/>
                <w:color w:val="000000"/>
                <w:sz w:val="18"/>
                <w:szCs w:val="18"/>
                <w:lang w:eastAsia="en-AU"/>
              </w:rPr>
            </w:pPr>
          </w:p>
        </w:tc>
        <w:tc>
          <w:tcPr>
            <w:tcW w:w="1400" w:type="dxa"/>
            <w:tcBorders>
              <w:top w:val="nil"/>
              <w:left w:val="nil"/>
              <w:bottom w:val="nil"/>
              <w:right w:val="nil"/>
            </w:tcBorders>
            <w:shd w:val="clear" w:color="auto" w:fill="auto"/>
            <w:noWrap/>
            <w:vAlign w:val="bottom"/>
            <w:hideMark/>
          </w:tcPr>
          <w:p w:rsidR="00C43ECF" w:rsidRPr="0089694B" w:rsidRDefault="00C43ECF" w:rsidP="0080674F">
            <w:pPr>
              <w:spacing w:after="0" w:line="240" w:lineRule="auto"/>
              <w:rPr>
                <w:rFonts w:eastAsia="Times New Roman" w:cs="Arial"/>
                <w:color w:val="000000"/>
                <w:sz w:val="18"/>
                <w:szCs w:val="18"/>
                <w:lang w:eastAsia="en-AU"/>
              </w:rPr>
            </w:pPr>
          </w:p>
        </w:tc>
        <w:tc>
          <w:tcPr>
            <w:tcW w:w="1020" w:type="dxa"/>
            <w:tcBorders>
              <w:top w:val="nil"/>
              <w:left w:val="nil"/>
              <w:bottom w:val="nil"/>
              <w:right w:val="nil"/>
            </w:tcBorders>
            <w:shd w:val="clear" w:color="auto" w:fill="auto"/>
            <w:noWrap/>
            <w:vAlign w:val="bottom"/>
            <w:hideMark/>
          </w:tcPr>
          <w:p w:rsidR="00C43ECF" w:rsidRPr="0089694B" w:rsidRDefault="00C43ECF" w:rsidP="0080674F">
            <w:pPr>
              <w:spacing w:after="0" w:line="240" w:lineRule="auto"/>
              <w:rPr>
                <w:rFonts w:eastAsia="Times New Roman" w:cs="Arial"/>
                <w:color w:val="000000"/>
                <w:sz w:val="18"/>
                <w:szCs w:val="18"/>
                <w:lang w:eastAsia="en-AU"/>
              </w:rPr>
            </w:pPr>
          </w:p>
        </w:tc>
        <w:tc>
          <w:tcPr>
            <w:tcW w:w="1600" w:type="dxa"/>
            <w:tcBorders>
              <w:top w:val="nil"/>
              <w:left w:val="single" w:sz="4" w:space="0" w:color="auto"/>
              <w:bottom w:val="single" w:sz="4" w:space="0" w:color="auto"/>
              <w:right w:val="single" w:sz="4" w:space="0" w:color="auto"/>
            </w:tcBorders>
            <w:shd w:val="clear" w:color="000000" w:fill="FFFF00"/>
            <w:noWrap/>
            <w:vAlign w:val="bottom"/>
            <w:hideMark/>
          </w:tcPr>
          <w:p w:rsidR="00C43ECF" w:rsidRPr="0089694B" w:rsidRDefault="00C43ECF" w:rsidP="0080674F">
            <w:pPr>
              <w:spacing w:after="0" w:line="240" w:lineRule="auto"/>
              <w:jc w:val="center"/>
              <w:rPr>
                <w:rFonts w:eastAsia="Times New Roman" w:cs="Arial"/>
                <w:color w:val="000000"/>
                <w:sz w:val="18"/>
                <w:szCs w:val="18"/>
                <w:lang w:eastAsia="en-AU"/>
              </w:rPr>
            </w:pPr>
            <w:r w:rsidRPr="0089694B">
              <w:rPr>
                <w:rFonts w:eastAsia="Times New Roman" w:cs="Arial"/>
                <w:color w:val="000000"/>
                <w:sz w:val="18"/>
                <w:szCs w:val="18"/>
                <w:lang w:eastAsia="en-AU"/>
              </w:rPr>
              <w:t>Average</w:t>
            </w:r>
            <w:r>
              <w:rPr>
                <w:rFonts w:eastAsia="Times New Roman" w:cs="Arial"/>
                <w:color w:val="000000"/>
                <w:sz w:val="18"/>
                <w:szCs w:val="18"/>
                <w:lang w:eastAsia="en-AU"/>
              </w:rPr>
              <w:t xml:space="preserve"> </w:t>
            </w:r>
            <w:proofErr w:type="spellStart"/>
            <w:r>
              <w:rPr>
                <w:rFonts w:eastAsia="Times New Roman" w:cs="Arial"/>
                <w:color w:val="000000"/>
                <w:sz w:val="18"/>
                <w:szCs w:val="18"/>
                <w:lang w:eastAsia="en-AU"/>
              </w:rPr>
              <w:t>Yrs</w:t>
            </w:r>
            <w:proofErr w:type="spellEnd"/>
          </w:p>
        </w:tc>
        <w:tc>
          <w:tcPr>
            <w:tcW w:w="1660" w:type="dxa"/>
            <w:tcBorders>
              <w:top w:val="nil"/>
              <w:left w:val="nil"/>
              <w:bottom w:val="single" w:sz="4" w:space="0" w:color="auto"/>
              <w:right w:val="single" w:sz="4" w:space="0" w:color="auto"/>
            </w:tcBorders>
            <w:shd w:val="clear" w:color="000000" w:fill="FFFF00"/>
            <w:noWrap/>
            <w:vAlign w:val="bottom"/>
            <w:hideMark/>
          </w:tcPr>
          <w:p w:rsidR="00C43ECF" w:rsidRPr="0089694B" w:rsidRDefault="00C43ECF" w:rsidP="0080674F">
            <w:pPr>
              <w:spacing w:after="0" w:line="240" w:lineRule="auto"/>
              <w:jc w:val="center"/>
              <w:rPr>
                <w:rFonts w:eastAsia="Times New Roman" w:cs="Arial"/>
                <w:color w:val="000000"/>
                <w:sz w:val="18"/>
                <w:szCs w:val="18"/>
                <w:lang w:eastAsia="en-AU"/>
              </w:rPr>
            </w:pPr>
            <w:r w:rsidRPr="0089694B">
              <w:rPr>
                <w:rFonts w:eastAsia="Times New Roman" w:cs="Arial"/>
                <w:color w:val="000000"/>
                <w:sz w:val="18"/>
                <w:szCs w:val="18"/>
                <w:lang w:eastAsia="en-AU"/>
              </w:rPr>
              <w:t>9.20</w:t>
            </w:r>
          </w:p>
        </w:tc>
        <w:tc>
          <w:tcPr>
            <w:tcW w:w="1520" w:type="dxa"/>
            <w:tcBorders>
              <w:top w:val="nil"/>
              <w:left w:val="nil"/>
              <w:bottom w:val="single" w:sz="4" w:space="0" w:color="auto"/>
              <w:right w:val="single" w:sz="4" w:space="0" w:color="auto"/>
            </w:tcBorders>
            <w:shd w:val="clear" w:color="000000" w:fill="FFFF00"/>
            <w:noWrap/>
            <w:vAlign w:val="bottom"/>
            <w:hideMark/>
          </w:tcPr>
          <w:p w:rsidR="00C43ECF" w:rsidRPr="0089694B" w:rsidRDefault="00C43ECF" w:rsidP="0080674F">
            <w:pPr>
              <w:spacing w:after="0" w:line="240" w:lineRule="auto"/>
              <w:jc w:val="center"/>
              <w:rPr>
                <w:rFonts w:eastAsia="Times New Roman" w:cs="Arial"/>
                <w:color w:val="000000"/>
                <w:sz w:val="18"/>
                <w:szCs w:val="18"/>
                <w:lang w:eastAsia="en-AU"/>
              </w:rPr>
            </w:pPr>
            <w:r w:rsidRPr="0089694B">
              <w:rPr>
                <w:rFonts w:eastAsia="Times New Roman" w:cs="Arial"/>
                <w:color w:val="000000"/>
                <w:sz w:val="18"/>
                <w:szCs w:val="18"/>
                <w:lang w:eastAsia="en-AU"/>
              </w:rPr>
              <w:t>6.40</w:t>
            </w:r>
          </w:p>
        </w:tc>
        <w:tc>
          <w:tcPr>
            <w:tcW w:w="1460" w:type="dxa"/>
            <w:tcBorders>
              <w:top w:val="nil"/>
              <w:left w:val="nil"/>
              <w:bottom w:val="single" w:sz="4" w:space="0" w:color="auto"/>
              <w:right w:val="single" w:sz="4" w:space="0" w:color="auto"/>
            </w:tcBorders>
            <w:shd w:val="clear" w:color="000000" w:fill="FFFF00"/>
            <w:noWrap/>
            <w:vAlign w:val="bottom"/>
            <w:hideMark/>
          </w:tcPr>
          <w:p w:rsidR="00C43ECF" w:rsidRPr="0089694B" w:rsidRDefault="00C43ECF" w:rsidP="0080674F">
            <w:pPr>
              <w:spacing w:after="0" w:line="240" w:lineRule="auto"/>
              <w:jc w:val="center"/>
              <w:rPr>
                <w:rFonts w:eastAsia="Times New Roman" w:cs="Arial"/>
                <w:color w:val="000000"/>
                <w:sz w:val="18"/>
                <w:szCs w:val="18"/>
                <w:lang w:eastAsia="en-AU"/>
              </w:rPr>
            </w:pPr>
            <w:r w:rsidRPr="0089694B">
              <w:rPr>
                <w:rFonts w:eastAsia="Times New Roman" w:cs="Arial"/>
                <w:color w:val="000000"/>
                <w:sz w:val="18"/>
                <w:szCs w:val="18"/>
                <w:lang w:eastAsia="en-AU"/>
              </w:rPr>
              <w:t>9.18</w:t>
            </w:r>
          </w:p>
        </w:tc>
        <w:tc>
          <w:tcPr>
            <w:tcW w:w="1280" w:type="dxa"/>
            <w:tcBorders>
              <w:top w:val="nil"/>
              <w:left w:val="nil"/>
              <w:bottom w:val="single" w:sz="4" w:space="0" w:color="auto"/>
              <w:right w:val="single" w:sz="4" w:space="0" w:color="auto"/>
            </w:tcBorders>
            <w:shd w:val="clear" w:color="000000" w:fill="FFFF00"/>
            <w:noWrap/>
            <w:vAlign w:val="bottom"/>
            <w:hideMark/>
          </w:tcPr>
          <w:p w:rsidR="00C43ECF" w:rsidRPr="0089694B" w:rsidRDefault="00C43ECF" w:rsidP="0080674F">
            <w:pPr>
              <w:spacing w:after="0" w:line="240" w:lineRule="auto"/>
              <w:jc w:val="center"/>
              <w:rPr>
                <w:rFonts w:eastAsia="Times New Roman" w:cs="Arial"/>
                <w:color w:val="000000"/>
                <w:sz w:val="18"/>
                <w:szCs w:val="18"/>
                <w:lang w:eastAsia="en-AU"/>
              </w:rPr>
            </w:pPr>
            <w:r w:rsidRPr="0089694B">
              <w:rPr>
                <w:rFonts w:eastAsia="Times New Roman" w:cs="Arial"/>
                <w:color w:val="000000"/>
                <w:sz w:val="18"/>
                <w:szCs w:val="18"/>
                <w:lang w:eastAsia="en-AU"/>
              </w:rPr>
              <w:t>5.65</w:t>
            </w:r>
          </w:p>
        </w:tc>
        <w:tc>
          <w:tcPr>
            <w:tcW w:w="1260" w:type="dxa"/>
            <w:tcBorders>
              <w:top w:val="nil"/>
              <w:left w:val="nil"/>
              <w:bottom w:val="single" w:sz="4" w:space="0" w:color="auto"/>
              <w:right w:val="single" w:sz="4" w:space="0" w:color="auto"/>
            </w:tcBorders>
            <w:shd w:val="clear" w:color="000000" w:fill="FFFF00"/>
            <w:noWrap/>
            <w:vAlign w:val="bottom"/>
            <w:hideMark/>
          </w:tcPr>
          <w:p w:rsidR="00C43ECF" w:rsidRPr="0089694B" w:rsidRDefault="00C43ECF" w:rsidP="0080674F">
            <w:pPr>
              <w:spacing w:after="0" w:line="240" w:lineRule="auto"/>
              <w:jc w:val="center"/>
              <w:rPr>
                <w:rFonts w:eastAsia="Times New Roman" w:cs="Arial"/>
                <w:color w:val="000000"/>
                <w:sz w:val="18"/>
                <w:szCs w:val="18"/>
                <w:lang w:eastAsia="en-AU"/>
              </w:rPr>
            </w:pPr>
            <w:r w:rsidRPr="0089694B">
              <w:rPr>
                <w:rFonts w:eastAsia="Times New Roman" w:cs="Arial"/>
                <w:color w:val="000000"/>
                <w:sz w:val="18"/>
                <w:szCs w:val="18"/>
                <w:lang w:eastAsia="en-AU"/>
              </w:rPr>
              <w:t>8.13</w:t>
            </w:r>
          </w:p>
        </w:tc>
      </w:tr>
    </w:tbl>
    <w:p w:rsidR="008D648B" w:rsidRDefault="008D648B" w:rsidP="008D648B">
      <w:pPr>
        <w:spacing w:after="0" w:line="240" w:lineRule="auto"/>
        <w:rPr>
          <w:b/>
          <w:sz w:val="18"/>
          <w:szCs w:val="18"/>
        </w:rPr>
        <w:sectPr w:rsidR="008D648B" w:rsidSect="00C43ECF">
          <w:pgSz w:w="16838" w:h="11906" w:orient="landscape"/>
          <w:pgMar w:top="1440" w:right="993" w:bottom="1440" w:left="993" w:header="708" w:footer="365" w:gutter="0"/>
          <w:pgNumType w:start="0" w:chapStyle="1"/>
          <w:cols w:space="708"/>
          <w:titlePg/>
          <w:docGrid w:linePitch="360"/>
        </w:sectPr>
      </w:pPr>
    </w:p>
    <w:p w:rsidR="00657C16" w:rsidRDefault="00657C16" w:rsidP="00F556F8"/>
    <w:sectPr w:rsidR="00657C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DCC" w:rsidRDefault="00C26DCC" w:rsidP="005F0E2B">
      <w:pPr>
        <w:spacing w:after="0" w:line="240" w:lineRule="auto"/>
      </w:pPr>
      <w:r>
        <w:separator/>
      </w:r>
    </w:p>
  </w:endnote>
  <w:endnote w:type="continuationSeparator" w:id="0">
    <w:p w:rsidR="00C26DCC" w:rsidRDefault="00C26DCC" w:rsidP="005F0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959726"/>
      <w:docPartObj>
        <w:docPartGallery w:val="Page Numbers (Bottom of Page)"/>
        <w:docPartUnique/>
      </w:docPartObj>
    </w:sdtPr>
    <w:sdtEndPr>
      <w:rPr>
        <w:noProof/>
      </w:rPr>
    </w:sdtEndPr>
    <w:sdtContent>
      <w:p w:rsidR="00702285" w:rsidRDefault="00702285">
        <w:pPr>
          <w:pStyle w:val="Footer"/>
          <w:jc w:val="right"/>
        </w:pPr>
        <w:r>
          <w:fldChar w:fldCharType="begin"/>
        </w:r>
        <w:r>
          <w:instrText xml:space="preserve"> PAGE   \* MERGEFORMAT </w:instrText>
        </w:r>
        <w:r>
          <w:fldChar w:fldCharType="separate"/>
        </w:r>
        <w:r w:rsidR="00861205">
          <w:rPr>
            <w:noProof/>
          </w:rPr>
          <w:t>11</w:t>
        </w:r>
        <w:r>
          <w:rPr>
            <w:noProof/>
          </w:rPr>
          <w:fldChar w:fldCharType="end"/>
        </w:r>
      </w:p>
    </w:sdtContent>
  </w:sdt>
  <w:p w:rsidR="00702285" w:rsidRDefault="007022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1104933"/>
      <w:docPartObj>
        <w:docPartGallery w:val="Page Numbers (Bottom of Page)"/>
        <w:docPartUnique/>
      </w:docPartObj>
    </w:sdtPr>
    <w:sdtEndPr>
      <w:rPr>
        <w:noProof/>
      </w:rPr>
    </w:sdtEndPr>
    <w:sdtContent>
      <w:p w:rsidR="00702285" w:rsidRDefault="00702285">
        <w:pPr>
          <w:pStyle w:val="Footer"/>
          <w:jc w:val="right"/>
        </w:pPr>
        <w:r>
          <w:fldChar w:fldCharType="begin"/>
        </w:r>
        <w:r>
          <w:instrText xml:space="preserve"> PAGE   \* MERGEFORMAT </w:instrText>
        </w:r>
        <w:r>
          <w:fldChar w:fldCharType="separate"/>
        </w:r>
        <w:r w:rsidR="00861205">
          <w:rPr>
            <w:noProof/>
          </w:rPr>
          <w:t>12</w:t>
        </w:r>
        <w:r>
          <w:rPr>
            <w:noProof/>
          </w:rPr>
          <w:fldChar w:fldCharType="end"/>
        </w:r>
      </w:p>
    </w:sdtContent>
  </w:sdt>
  <w:p w:rsidR="0080674F" w:rsidRDefault="008067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74F" w:rsidRDefault="0080674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DCC" w:rsidRDefault="00C26DCC" w:rsidP="005F0E2B">
      <w:pPr>
        <w:spacing w:after="0" w:line="240" w:lineRule="auto"/>
      </w:pPr>
      <w:r>
        <w:separator/>
      </w:r>
    </w:p>
  </w:footnote>
  <w:footnote w:type="continuationSeparator" w:id="0">
    <w:p w:rsidR="00C26DCC" w:rsidRDefault="00C26DCC" w:rsidP="005F0E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FBF6D97-9A9A-4FDA-81A9-42BA8919B77A}"/>
    <w:docVar w:name="dgnword-eventsink" w:val="146010400"/>
  </w:docVars>
  <w:rsids>
    <w:rsidRoot w:val="005F0E2B"/>
    <w:rsid w:val="00000A26"/>
    <w:rsid w:val="00023FEB"/>
    <w:rsid w:val="00027CDF"/>
    <w:rsid w:val="00070DB4"/>
    <w:rsid w:val="00161740"/>
    <w:rsid w:val="00172E35"/>
    <w:rsid w:val="00174F81"/>
    <w:rsid w:val="00183E53"/>
    <w:rsid w:val="001871E4"/>
    <w:rsid w:val="00194A88"/>
    <w:rsid w:val="001D4470"/>
    <w:rsid w:val="00205473"/>
    <w:rsid w:val="002157EB"/>
    <w:rsid w:val="0023060A"/>
    <w:rsid w:val="002318C0"/>
    <w:rsid w:val="002436FB"/>
    <w:rsid w:val="00277ECF"/>
    <w:rsid w:val="002C71B2"/>
    <w:rsid w:val="002F6C8C"/>
    <w:rsid w:val="003174CC"/>
    <w:rsid w:val="0039597C"/>
    <w:rsid w:val="003D5654"/>
    <w:rsid w:val="003E0AFF"/>
    <w:rsid w:val="003F7392"/>
    <w:rsid w:val="00451E33"/>
    <w:rsid w:val="004714FF"/>
    <w:rsid w:val="004877DA"/>
    <w:rsid w:val="004A0DFE"/>
    <w:rsid w:val="004C1FF6"/>
    <w:rsid w:val="004C232C"/>
    <w:rsid w:val="004D4E18"/>
    <w:rsid w:val="00501D61"/>
    <w:rsid w:val="0053368E"/>
    <w:rsid w:val="005A6F3C"/>
    <w:rsid w:val="005A70D2"/>
    <w:rsid w:val="005C390F"/>
    <w:rsid w:val="005F0E2B"/>
    <w:rsid w:val="0064022F"/>
    <w:rsid w:val="00657C16"/>
    <w:rsid w:val="006660D2"/>
    <w:rsid w:val="006B767F"/>
    <w:rsid w:val="006C3765"/>
    <w:rsid w:val="006F3D87"/>
    <w:rsid w:val="00702285"/>
    <w:rsid w:val="007F1A42"/>
    <w:rsid w:val="00801A83"/>
    <w:rsid w:val="0080674F"/>
    <w:rsid w:val="00847078"/>
    <w:rsid w:val="00861205"/>
    <w:rsid w:val="00887E3C"/>
    <w:rsid w:val="008B08DC"/>
    <w:rsid w:val="008C28F1"/>
    <w:rsid w:val="008C30EB"/>
    <w:rsid w:val="008D648B"/>
    <w:rsid w:val="00913EF6"/>
    <w:rsid w:val="00934143"/>
    <w:rsid w:val="00962FFF"/>
    <w:rsid w:val="009B1DD9"/>
    <w:rsid w:val="009B57A7"/>
    <w:rsid w:val="00A823BE"/>
    <w:rsid w:val="00A94E6C"/>
    <w:rsid w:val="00AA0EE7"/>
    <w:rsid w:val="00AB6F98"/>
    <w:rsid w:val="00AB723B"/>
    <w:rsid w:val="00AE29BA"/>
    <w:rsid w:val="00AF0D91"/>
    <w:rsid w:val="00B01E3E"/>
    <w:rsid w:val="00B97768"/>
    <w:rsid w:val="00C26DCC"/>
    <w:rsid w:val="00C43ECF"/>
    <w:rsid w:val="00C511DC"/>
    <w:rsid w:val="00D104D9"/>
    <w:rsid w:val="00D44DF2"/>
    <w:rsid w:val="00D87599"/>
    <w:rsid w:val="00DD35DC"/>
    <w:rsid w:val="00DE6DF6"/>
    <w:rsid w:val="00E374A6"/>
    <w:rsid w:val="00F16963"/>
    <w:rsid w:val="00F25D94"/>
    <w:rsid w:val="00F3596A"/>
    <w:rsid w:val="00F443FA"/>
    <w:rsid w:val="00F44508"/>
    <w:rsid w:val="00F518E4"/>
    <w:rsid w:val="00F556F8"/>
    <w:rsid w:val="00F57EC8"/>
    <w:rsid w:val="00FD09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E2B"/>
    <w:pPr>
      <w:spacing w:after="200" w:line="360" w:lineRule="auto"/>
    </w:pPr>
    <w:rPr>
      <w:rFonts w:ascii="Arial" w:hAnsi="Arial"/>
      <w:sz w:val="20"/>
    </w:rPr>
  </w:style>
  <w:style w:type="paragraph" w:styleId="Heading3">
    <w:name w:val="heading 3"/>
    <w:basedOn w:val="Normal"/>
    <w:next w:val="Normal"/>
    <w:link w:val="Heading3Char"/>
    <w:uiPriority w:val="9"/>
    <w:unhideWhenUsed/>
    <w:qFormat/>
    <w:rsid w:val="00C43ECF"/>
    <w:pPr>
      <w:keepNext/>
      <w:keepLines/>
      <w:spacing w:before="200" w:after="120"/>
      <w:jc w:val="both"/>
      <w:outlineLvl w:val="2"/>
    </w:pPr>
    <w:rPr>
      <w:rFonts w:asciiTheme="majorHAnsi" w:eastAsiaTheme="majorEastAsia" w:hAnsiTheme="majorHAnsi" w:cstheme="majorBidi"/>
      <w:b/>
      <w:bCs/>
      <w:sz w:val="26"/>
    </w:rPr>
  </w:style>
  <w:style w:type="paragraph" w:styleId="Heading4">
    <w:name w:val="heading 4"/>
    <w:aliases w:val="Tables &amp; Figures"/>
    <w:basedOn w:val="Normal"/>
    <w:next w:val="Normal"/>
    <w:link w:val="Heading4Char"/>
    <w:uiPriority w:val="9"/>
    <w:unhideWhenUsed/>
    <w:qFormat/>
    <w:rsid w:val="00C43ECF"/>
    <w:pPr>
      <w:keepNext/>
      <w:keepLines/>
      <w:spacing w:before="200" w:after="0" w:line="240" w:lineRule="auto"/>
      <w:jc w:val="both"/>
      <w:outlineLvl w:val="3"/>
    </w:pPr>
    <w:rPr>
      <w:rFonts w:ascii="Times New Roman" w:eastAsiaTheme="majorEastAsia" w:hAnsi="Times New Roman"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0E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0E2B"/>
    <w:rPr>
      <w:rFonts w:ascii="Arial" w:hAnsi="Arial"/>
      <w:sz w:val="20"/>
    </w:rPr>
  </w:style>
  <w:style w:type="paragraph" w:styleId="Footer">
    <w:name w:val="footer"/>
    <w:basedOn w:val="Normal"/>
    <w:link w:val="FooterChar"/>
    <w:uiPriority w:val="99"/>
    <w:unhideWhenUsed/>
    <w:rsid w:val="005F0E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0E2B"/>
    <w:rPr>
      <w:rFonts w:ascii="Arial" w:hAnsi="Arial"/>
      <w:sz w:val="20"/>
    </w:rPr>
  </w:style>
  <w:style w:type="paragraph" w:customStyle="1" w:styleId="ConferenceDetails">
    <w:name w:val="Conference Details"/>
    <w:basedOn w:val="Normal"/>
    <w:qFormat/>
    <w:rsid w:val="005F0E2B"/>
    <w:pPr>
      <w:spacing w:before="120" w:after="120" w:line="240" w:lineRule="auto"/>
      <w:jc w:val="center"/>
    </w:pPr>
    <w:rPr>
      <w:rFonts w:ascii="Times New Roman" w:eastAsia="Times New Roman" w:hAnsi="Times New Roman" w:cs="Times New Roman"/>
      <w:b/>
      <w:smallCaps/>
      <w:sz w:val="22"/>
      <w:szCs w:val="24"/>
      <w:lang w:eastAsia="en-AU"/>
    </w:rPr>
  </w:style>
  <w:style w:type="character" w:styleId="Hyperlink">
    <w:name w:val="Hyperlink"/>
    <w:basedOn w:val="DefaultParagraphFont"/>
    <w:uiPriority w:val="99"/>
    <w:unhideWhenUsed/>
    <w:rsid w:val="00913EF6"/>
    <w:rPr>
      <w:color w:val="0563C1" w:themeColor="hyperlink"/>
      <w:u w:val="single"/>
    </w:rPr>
  </w:style>
  <w:style w:type="paragraph" w:styleId="BalloonText">
    <w:name w:val="Balloon Text"/>
    <w:basedOn w:val="Normal"/>
    <w:link w:val="BalloonTextChar"/>
    <w:uiPriority w:val="99"/>
    <w:semiHidden/>
    <w:unhideWhenUsed/>
    <w:rsid w:val="00FD09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974"/>
    <w:rPr>
      <w:rFonts w:ascii="Segoe UI" w:hAnsi="Segoe UI" w:cs="Segoe UI"/>
      <w:sz w:val="18"/>
      <w:szCs w:val="18"/>
    </w:rPr>
  </w:style>
  <w:style w:type="table" w:styleId="TableGrid">
    <w:name w:val="Table Grid"/>
    <w:basedOn w:val="TableNormal"/>
    <w:uiPriority w:val="59"/>
    <w:rsid w:val="00FD0974"/>
    <w:pPr>
      <w:spacing w:after="360" w:line="360" w:lineRule="auto"/>
    </w:pPr>
    <w:rPr>
      <w:rFonts w:ascii="Times New Roman" w:eastAsia="Times New Roman" w:hAnsi="Times New Roman" w:cs="Times New Roman"/>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FigHeadings">
    <w:name w:val="Tables &amp; Fig Headings"/>
    <w:basedOn w:val="Normal"/>
    <w:link w:val="TablesFigHeadingsChar"/>
    <w:autoRedefine/>
    <w:qFormat/>
    <w:rsid w:val="00FD0974"/>
    <w:pPr>
      <w:spacing w:after="0" w:line="240" w:lineRule="auto"/>
      <w:ind w:left="113" w:right="113"/>
      <w:jc w:val="center"/>
    </w:pPr>
    <w:rPr>
      <w:rFonts w:ascii="Times New Roman" w:eastAsia="Times New Roman" w:hAnsi="Times New Roman" w:cs="Times New Roman"/>
      <w:b/>
      <w:szCs w:val="20"/>
      <w:lang w:val="en-US"/>
    </w:rPr>
  </w:style>
  <w:style w:type="character" w:customStyle="1" w:styleId="TablesFigHeadingsChar">
    <w:name w:val="Tables &amp; Fig Headings Char"/>
    <w:basedOn w:val="DefaultParagraphFont"/>
    <w:link w:val="TablesFigHeadings"/>
    <w:rsid w:val="00FD0974"/>
    <w:rPr>
      <w:rFonts w:ascii="Times New Roman" w:eastAsia="Times New Roman" w:hAnsi="Times New Roman" w:cs="Times New Roman"/>
      <w:b/>
      <w:sz w:val="20"/>
      <w:szCs w:val="20"/>
      <w:lang w:val="en-US"/>
    </w:rPr>
  </w:style>
  <w:style w:type="paragraph" w:customStyle="1" w:styleId="TablesFigText">
    <w:name w:val="Tables &amp; Fig Text"/>
    <w:basedOn w:val="Normal"/>
    <w:link w:val="TablesFigTextChar"/>
    <w:qFormat/>
    <w:rsid w:val="00FD0974"/>
    <w:pPr>
      <w:spacing w:after="0" w:line="240" w:lineRule="auto"/>
      <w:jc w:val="center"/>
    </w:pPr>
    <w:rPr>
      <w:rFonts w:ascii="Times New Roman" w:eastAsia="Times New Roman" w:hAnsi="Times New Roman" w:cs="Times New Roman"/>
      <w:szCs w:val="20"/>
      <w:lang w:val="en-US"/>
    </w:rPr>
  </w:style>
  <w:style w:type="character" w:customStyle="1" w:styleId="TablesFigTextChar">
    <w:name w:val="Tables &amp; Fig Text Char"/>
    <w:basedOn w:val="DefaultParagraphFont"/>
    <w:link w:val="TablesFigText"/>
    <w:rsid w:val="00FD0974"/>
    <w:rPr>
      <w:rFonts w:ascii="Times New Roman" w:eastAsia="Times New Roman" w:hAnsi="Times New Roman" w:cs="Times New Roman"/>
      <w:sz w:val="20"/>
      <w:szCs w:val="20"/>
      <w:lang w:val="en-US"/>
    </w:rPr>
  </w:style>
  <w:style w:type="paragraph" w:styleId="NoSpacing">
    <w:name w:val="No Spacing"/>
    <w:uiPriority w:val="1"/>
    <w:qFormat/>
    <w:rsid w:val="00657C16"/>
    <w:pPr>
      <w:spacing w:after="100" w:line="240" w:lineRule="auto"/>
    </w:pPr>
    <w:rPr>
      <w:rFonts w:ascii="Arial" w:hAnsi="Arial"/>
      <w:sz w:val="20"/>
    </w:rPr>
  </w:style>
  <w:style w:type="character" w:customStyle="1" w:styleId="Heading3Char">
    <w:name w:val="Heading 3 Char"/>
    <w:basedOn w:val="DefaultParagraphFont"/>
    <w:link w:val="Heading3"/>
    <w:uiPriority w:val="9"/>
    <w:rsid w:val="00C43ECF"/>
    <w:rPr>
      <w:rFonts w:asciiTheme="majorHAnsi" w:eastAsiaTheme="majorEastAsia" w:hAnsiTheme="majorHAnsi" w:cstheme="majorBidi"/>
      <w:b/>
      <w:bCs/>
      <w:sz w:val="26"/>
    </w:rPr>
  </w:style>
  <w:style w:type="character" w:customStyle="1" w:styleId="Heading4Char">
    <w:name w:val="Heading 4 Char"/>
    <w:aliases w:val="Tables &amp; Figures Char"/>
    <w:basedOn w:val="DefaultParagraphFont"/>
    <w:link w:val="Heading4"/>
    <w:uiPriority w:val="9"/>
    <w:rsid w:val="00C43ECF"/>
    <w:rPr>
      <w:rFonts w:ascii="Times New Roman" w:eastAsiaTheme="majorEastAsia" w:hAnsi="Times New Roman" w:cstheme="majorBidi"/>
      <w:b/>
      <w:bCs/>
      <w:iCs/>
      <w:sz w:val="20"/>
    </w:rPr>
  </w:style>
  <w:style w:type="character" w:styleId="FootnoteReference">
    <w:name w:val="footnote reference"/>
    <w:basedOn w:val="DefaultParagraphFont"/>
    <w:uiPriority w:val="99"/>
    <w:rsid w:val="00C43ECF"/>
    <w:rPr>
      <w:vertAlign w:val="superscript"/>
    </w:rPr>
  </w:style>
  <w:style w:type="character" w:styleId="FollowedHyperlink">
    <w:name w:val="FollowedHyperlink"/>
    <w:basedOn w:val="DefaultParagraphFont"/>
    <w:uiPriority w:val="99"/>
    <w:semiHidden/>
    <w:unhideWhenUsed/>
    <w:rsid w:val="00C43EC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E2B"/>
    <w:pPr>
      <w:spacing w:after="200" w:line="360" w:lineRule="auto"/>
    </w:pPr>
    <w:rPr>
      <w:rFonts w:ascii="Arial" w:hAnsi="Arial"/>
      <w:sz w:val="20"/>
    </w:rPr>
  </w:style>
  <w:style w:type="paragraph" w:styleId="Heading3">
    <w:name w:val="heading 3"/>
    <w:basedOn w:val="Normal"/>
    <w:next w:val="Normal"/>
    <w:link w:val="Heading3Char"/>
    <w:uiPriority w:val="9"/>
    <w:unhideWhenUsed/>
    <w:qFormat/>
    <w:rsid w:val="00C43ECF"/>
    <w:pPr>
      <w:keepNext/>
      <w:keepLines/>
      <w:spacing w:before="200" w:after="120"/>
      <w:jc w:val="both"/>
      <w:outlineLvl w:val="2"/>
    </w:pPr>
    <w:rPr>
      <w:rFonts w:asciiTheme="majorHAnsi" w:eastAsiaTheme="majorEastAsia" w:hAnsiTheme="majorHAnsi" w:cstheme="majorBidi"/>
      <w:b/>
      <w:bCs/>
      <w:sz w:val="26"/>
    </w:rPr>
  </w:style>
  <w:style w:type="paragraph" w:styleId="Heading4">
    <w:name w:val="heading 4"/>
    <w:aliases w:val="Tables &amp; Figures"/>
    <w:basedOn w:val="Normal"/>
    <w:next w:val="Normal"/>
    <w:link w:val="Heading4Char"/>
    <w:uiPriority w:val="9"/>
    <w:unhideWhenUsed/>
    <w:qFormat/>
    <w:rsid w:val="00C43ECF"/>
    <w:pPr>
      <w:keepNext/>
      <w:keepLines/>
      <w:spacing w:before="200" w:after="0" w:line="240" w:lineRule="auto"/>
      <w:jc w:val="both"/>
      <w:outlineLvl w:val="3"/>
    </w:pPr>
    <w:rPr>
      <w:rFonts w:ascii="Times New Roman" w:eastAsiaTheme="majorEastAsia" w:hAnsi="Times New Roman"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0E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0E2B"/>
    <w:rPr>
      <w:rFonts w:ascii="Arial" w:hAnsi="Arial"/>
      <w:sz w:val="20"/>
    </w:rPr>
  </w:style>
  <w:style w:type="paragraph" w:styleId="Footer">
    <w:name w:val="footer"/>
    <w:basedOn w:val="Normal"/>
    <w:link w:val="FooterChar"/>
    <w:uiPriority w:val="99"/>
    <w:unhideWhenUsed/>
    <w:rsid w:val="005F0E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0E2B"/>
    <w:rPr>
      <w:rFonts w:ascii="Arial" w:hAnsi="Arial"/>
      <w:sz w:val="20"/>
    </w:rPr>
  </w:style>
  <w:style w:type="paragraph" w:customStyle="1" w:styleId="ConferenceDetails">
    <w:name w:val="Conference Details"/>
    <w:basedOn w:val="Normal"/>
    <w:qFormat/>
    <w:rsid w:val="005F0E2B"/>
    <w:pPr>
      <w:spacing w:before="120" w:after="120" w:line="240" w:lineRule="auto"/>
      <w:jc w:val="center"/>
    </w:pPr>
    <w:rPr>
      <w:rFonts w:ascii="Times New Roman" w:eastAsia="Times New Roman" w:hAnsi="Times New Roman" w:cs="Times New Roman"/>
      <w:b/>
      <w:smallCaps/>
      <w:sz w:val="22"/>
      <w:szCs w:val="24"/>
      <w:lang w:eastAsia="en-AU"/>
    </w:rPr>
  </w:style>
  <w:style w:type="character" w:styleId="Hyperlink">
    <w:name w:val="Hyperlink"/>
    <w:basedOn w:val="DefaultParagraphFont"/>
    <w:uiPriority w:val="99"/>
    <w:unhideWhenUsed/>
    <w:rsid w:val="00913EF6"/>
    <w:rPr>
      <w:color w:val="0563C1" w:themeColor="hyperlink"/>
      <w:u w:val="single"/>
    </w:rPr>
  </w:style>
  <w:style w:type="paragraph" w:styleId="BalloonText">
    <w:name w:val="Balloon Text"/>
    <w:basedOn w:val="Normal"/>
    <w:link w:val="BalloonTextChar"/>
    <w:uiPriority w:val="99"/>
    <w:semiHidden/>
    <w:unhideWhenUsed/>
    <w:rsid w:val="00FD09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974"/>
    <w:rPr>
      <w:rFonts w:ascii="Segoe UI" w:hAnsi="Segoe UI" w:cs="Segoe UI"/>
      <w:sz w:val="18"/>
      <w:szCs w:val="18"/>
    </w:rPr>
  </w:style>
  <w:style w:type="table" w:styleId="TableGrid">
    <w:name w:val="Table Grid"/>
    <w:basedOn w:val="TableNormal"/>
    <w:uiPriority w:val="59"/>
    <w:rsid w:val="00FD0974"/>
    <w:pPr>
      <w:spacing w:after="360" w:line="360" w:lineRule="auto"/>
    </w:pPr>
    <w:rPr>
      <w:rFonts w:ascii="Times New Roman" w:eastAsia="Times New Roman" w:hAnsi="Times New Roman" w:cs="Times New Roman"/>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FigHeadings">
    <w:name w:val="Tables &amp; Fig Headings"/>
    <w:basedOn w:val="Normal"/>
    <w:link w:val="TablesFigHeadingsChar"/>
    <w:autoRedefine/>
    <w:qFormat/>
    <w:rsid w:val="00FD0974"/>
    <w:pPr>
      <w:spacing w:after="0" w:line="240" w:lineRule="auto"/>
      <w:ind w:left="113" w:right="113"/>
      <w:jc w:val="center"/>
    </w:pPr>
    <w:rPr>
      <w:rFonts w:ascii="Times New Roman" w:eastAsia="Times New Roman" w:hAnsi="Times New Roman" w:cs="Times New Roman"/>
      <w:b/>
      <w:szCs w:val="20"/>
      <w:lang w:val="en-US"/>
    </w:rPr>
  </w:style>
  <w:style w:type="character" w:customStyle="1" w:styleId="TablesFigHeadingsChar">
    <w:name w:val="Tables &amp; Fig Headings Char"/>
    <w:basedOn w:val="DefaultParagraphFont"/>
    <w:link w:val="TablesFigHeadings"/>
    <w:rsid w:val="00FD0974"/>
    <w:rPr>
      <w:rFonts w:ascii="Times New Roman" w:eastAsia="Times New Roman" w:hAnsi="Times New Roman" w:cs="Times New Roman"/>
      <w:b/>
      <w:sz w:val="20"/>
      <w:szCs w:val="20"/>
      <w:lang w:val="en-US"/>
    </w:rPr>
  </w:style>
  <w:style w:type="paragraph" w:customStyle="1" w:styleId="TablesFigText">
    <w:name w:val="Tables &amp; Fig Text"/>
    <w:basedOn w:val="Normal"/>
    <w:link w:val="TablesFigTextChar"/>
    <w:qFormat/>
    <w:rsid w:val="00FD0974"/>
    <w:pPr>
      <w:spacing w:after="0" w:line="240" w:lineRule="auto"/>
      <w:jc w:val="center"/>
    </w:pPr>
    <w:rPr>
      <w:rFonts w:ascii="Times New Roman" w:eastAsia="Times New Roman" w:hAnsi="Times New Roman" w:cs="Times New Roman"/>
      <w:szCs w:val="20"/>
      <w:lang w:val="en-US"/>
    </w:rPr>
  </w:style>
  <w:style w:type="character" w:customStyle="1" w:styleId="TablesFigTextChar">
    <w:name w:val="Tables &amp; Fig Text Char"/>
    <w:basedOn w:val="DefaultParagraphFont"/>
    <w:link w:val="TablesFigText"/>
    <w:rsid w:val="00FD0974"/>
    <w:rPr>
      <w:rFonts w:ascii="Times New Roman" w:eastAsia="Times New Roman" w:hAnsi="Times New Roman" w:cs="Times New Roman"/>
      <w:sz w:val="20"/>
      <w:szCs w:val="20"/>
      <w:lang w:val="en-US"/>
    </w:rPr>
  </w:style>
  <w:style w:type="paragraph" w:styleId="NoSpacing">
    <w:name w:val="No Spacing"/>
    <w:uiPriority w:val="1"/>
    <w:qFormat/>
    <w:rsid w:val="00657C16"/>
    <w:pPr>
      <w:spacing w:after="100" w:line="240" w:lineRule="auto"/>
    </w:pPr>
    <w:rPr>
      <w:rFonts w:ascii="Arial" w:hAnsi="Arial"/>
      <w:sz w:val="20"/>
    </w:rPr>
  </w:style>
  <w:style w:type="character" w:customStyle="1" w:styleId="Heading3Char">
    <w:name w:val="Heading 3 Char"/>
    <w:basedOn w:val="DefaultParagraphFont"/>
    <w:link w:val="Heading3"/>
    <w:uiPriority w:val="9"/>
    <w:rsid w:val="00C43ECF"/>
    <w:rPr>
      <w:rFonts w:asciiTheme="majorHAnsi" w:eastAsiaTheme="majorEastAsia" w:hAnsiTheme="majorHAnsi" w:cstheme="majorBidi"/>
      <w:b/>
      <w:bCs/>
      <w:sz w:val="26"/>
    </w:rPr>
  </w:style>
  <w:style w:type="character" w:customStyle="1" w:styleId="Heading4Char">
    <w:name w:val="Heading 4 Char"/>
    <w:aliases w:val="Tables &amp; Figures Char"/>
    <w:basedOn w:val="DefaultParagraphFont"/>
    <w:link w:val="Heading4"/>
    <w:uiPriority w:val="9"/>
    <w:rsid w:val="00C43ECF"/>
    <w:rPr>
      <w:rFonts w:ascii="Times New Roman" w:eastAsiaTheme="majorEastAsia" w:hAnsi="Times New Roman" w:cstheme="majorBidi"/>
      <w:b/>
      <w:bCs/>
      <w:iCs/>
      <w:sz w:val="20"/>
    </w:rPr>
  </w:style>
  <w:style w:type="character" w:styleId="FootnoteReference">
    <w:name w:val="footnote reference"/>
    <w:basedOn w:val="DefaultParagraphFont"/>
    <w:uiPriority w:val="99"/>
    <w:rsid w:val="00C43ECF"/>
    <w:rPr>
      <w:vertAlign w:val="superscript"/>
    </w:rPr>
  </w:style>
  <w:style w:type="character" w:styleId="FollowedHyperlink">
    <w:name w:val="FollowedHyperlink"/>
    <w:basedOn w:val="DefaultParagraphFont"/>
    <w:uiPriority w:val="99"/>
    <w:semiHidden/>
    <w:unhideWhenUsed/>
    <w:rsid w:val="00C43E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837326">
      <w:bodyDiv w:val="1"/>
      <w:marLeft w:val="0"/>
      <w:marRight w:val="0"/>
      <w:marTop w:val="0"/>
      <w:marBottom w:val="0"/>
      <w:divBdr>
        <w:top w:val="none" w:sz="0" w:space="0" w:color="auto"/>
        <w:left w:val="none" w:sz="0" w:space="0" w:color="auto"/>
        <w:bottom w:val="none" w:sz="0" w:space="0" w:color="auto"/>
        <w:right w:val="none" w:sz="0" w:space="0" w:color="auto"/>
      </w:divBdr>
      <w:divsChild>
        <w:div w:id="421609331">
          <w:marLeft w:val="0"/>
          <w:marRight w:val="0"/>
          <w:marTop w:val="0"/>
          <w:marBottom w:val="0"/>
          <w:divBdr>
            <w:top w:val="none" w:sz="0" w:space="0" w:color="auto"/>
            <w:left w:val="none" w:sz="0" w:space="0" w:color="auto"/>
            <w:bottom w:val="none" w:sz="0" w:space="0" w:color="auto"/>
            <w:right w:val="none" w:sz="0" w:space="0" w:color="auto"/>
          </w:divBdr>
        </w:div>
        <w:div w:id="1111776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finance.wa.gov.au/cms/uploadedFiles/_State_Revenue/FHOG/First_Home_Owners_Boost_fact_sheet(1).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stlii.edu.au/au/legis/sa/consol_act/sda1923157/s2.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mailto:Vincent.mangioni@uts.edu.au" TargetMode="Externa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Vince\My%20Documents\PhD\Local%20Govt%20Project\Bases%20of%20value.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openxmlformats.org/officeDocument/2006/relationships/chartUserShapes" Target="../drawings/drawing1.xml"/><Relationship Id="rId1" Type="http://schemas.openxmlformats.org/officeDocument/2006/relationships/oleObject" Target="file:///H:\Land%20Tax%20Book\Final%20Editions\Submission%20Documents\LT%20vs%20CR%20vs%20SD%20v2.xlsx" TargetMode="External"/><Relationship Id="rId4"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4405074365704292E-2"/>
          <c:y val="5.1400554097404488E-2"/>
          <c:w val="0.8787617350940029"/>
          <c:h val="0.74790930794667665"/>
        </c:manualLayout>
      </c:layout>
      <c:barChart>
        <c:barDir val="col"/>
        <c:grouping val="clustered"/>
        <c:varyColors val="0"/>
        <c:ser>
          <c:idx val="0"/>
          <c:order val="0"/>
          <c:tx>
            <c:strRef>
              <c:f>'Caoacity to pay'!$B$18</c:f>
              <c:strCache>
                <c:ptCount val="1"/>
                <c:pt idx="0">
                  <c:v>Total Income</c:v>
                </c:pt>
              </c:strCache>
            </c:strRef>
          </c:tx>
          <c:invertIfNegative val="0"/>
          <c:cat>
            <c:strRef>
              <c:f>'Caoacity to pay'!$A$19:$A$25</c:f>
              <c:strCache>
                <c:ptCount val="7"/>
                <c:pt idx="0">
                  <c:v>15-24</c:v>
                </c:pt>
                <c:pt idx="1">
                  <c:v>25-34</c:v>
                </c:pt>
                <c:pt idx="2">
                  <c:v>35-44</c:v>
                </c:pt>
                <c:pt idx="3">
                  <c:v>45-54</c:v>
                </c:pt>
                <c:pt idx="4">
                  <c:v>55-64</c:v>
                </c:pt>
                <c:pt idx="5">
                  <c:v>65-74</c:v>
                </c:pt>
                <c:pt idx="6">
                  <c:v>75+</c:v>
                </c:pt>
              </c:strCache>
            </c:strRef>
          </c:cat>
          <c:val>
            <c:numRef>
              <c:f>'Caoacity to pay'!$B$19:$B$25</c:f>
              <c:numCache>
                <c:formatCode>General</c:formatCode>
                <c:ptCount val="7"/>
                <c:pt idx="0">
                  <c:v>75</c:v>
                </c:pt>
                <c:pt idx="1">
                  <c:v>115</c:v>
                </c:pt>
                <c:pt idx="2">
                  <c:v>125</c:v>
                </c:pt>
                <c:pt idx="3">
                  <c:v>125</c:v>
                </c:pt>
                <c:pt idx="4">
                  <c:v>85</c:v>
                </c:pt>
                <c:pt idx="5">
                  <c:v>50</c:v>
                </c:pt>
                <c:pt idx="6">
                  <c:v>55</c:v>
                </c:pt>
              </c:numCache>
            </c:numRef>
          </c:val>
        </c:ser>
        <c:ser>
          <c:idx val="1"/>
          <c:order val="1"/>
          <c:tx>
            <c:strRef>
              <c:f>'Caoacity to pay'!$C$18</c:f>
              <c:strCache>
                <c:ptCount val="1"/>
                <c:pt idx="0">
                  <c:v>Net Wealth</c:v>
                </c:pt>
              </c:strCache>
            </c:strRef>
          </c:tx>
          <c:spPr>
            <a:solidFill>
              <a:srgbClr val="C0504D">
                <a:lumMod val="75000"/>
                <a:alpha val="83000"/>
              </a:srgbClr>
            </a:solidFill>
          </c:spPr>
          <c:invertIfNegative val="0"/>
          <c:cat>
            <c:strRef>
              <c:f>'Caoacity to pay'!$A$19:$A$25</c:f>
              <c:strCache>
                <c:ptCount val="7"/>
                <c:pt idx="0">
                  <c:v>15-24</c:v>
                </c:pt>
                <c:pt idx="1">
                  <c:v>25-34</c:v>
                </c:pt>
                <c:pt idx="2">
                  <c:v>35-44</c:v>
                </c:pt>
                <c:pt idx="3">
                  <c:v>45-54</c:v>
                </c:pt>
                <c:pt idx="4">
                  <c:v>55-64</c:v>
                </c:pt>
                <c:pt idx="5">
                  <c:v>65-74</c:v>
                </c:pt>
                <c:pt idx="6">
                  <c:v>75+</c:v>
                </c:pt>
              </c:strCache>
            </c:strRef>
          </c:cat>
          <c:val>
            <c:numRef>
              <c:f>'Caoacity to pay'!$C$19:$C$25</c:f>
              <c:numCache>
                <c:formatCode>General</c:formatCode>
                <c:ptCount val="7"/>
                <c:pt idx="0">
                  <c:v>10</c:v>
                </c:pt>
                <c:pt idx="1">
                  <c:v>40</c:v>
                </c:pt>
                <c:pt idx="2">
                  <c:v>80</c:v>
                </c:pt>
                <c:pt idx="3">
                  <c:v>150</c:v>
                </c:pt>
                <c:pt idx="4">
                  <c:v>160</c:v>
                </c:pt>
                <c:pt idx="5">
                  <c:v>165</c:v>
                </c:pt>
                <c:pt idx="6">
                  <c:v>160</c:v>
                </c:pt>
              </c:numCache>
            </c:numRef>
          </c:val>
        </c:ser>
        <c:dLbls>
          <c:showLegendKey val="0"/>
          <c:showVal val="0"/>
          <c:showCatName val="0"/>
          <c:showSerName val="0"/>
          <c:showPercent val="0"/>
          <c:showBubbleSize val="0"/>
        </c:dLbls>
        <c:gapWidth val="150"/>
        <c:axId val="61275136"/>
        <c:axId val="39281408"/>
      </c:barChart>
      <c:dateAx>
        <c:axId val="61275136"/>
        <c:scaling>
          <c:orientation val="minMax"/>
        </c:scaling>
        <c:delete val="0"/>
        <c:axPos val="b"/>
        <c:numFmt formatCode="General" sourceLinked="0"/>
        <c:majorTickMark val="out"/>
        <c:minorTickMark val="none"/>
        <c:tickLblPos val="nextTo"/>
        <c:crossAx val="39281408"/>
        <c:crosses val="autoZero"/>
        <c:auto val="0"/>
        <c:lblOffset val="100"/>
        <c:baseTimeUnit val="days"/>
      </c:dateAx>
      <c:valAx>
        <c:axId val="39281408"/>
        <c:scaling>
          <c:orientation val="minMax"/>
        </c:scaling>
        <c:delete val="0"/>
        <c:axPos val="l"/>
        <c:majorGridlines/>
        <c:numFmt formatCode="General" sourceLinked="1"/>
        <c:majorTickMark val="out"/>
        <c:minorTickMark val="none"/>
        <c:tickLblPos val="nextTo"/>
        <c:crossAx val="61275136"/>
        <c:crosses val="autoZero"/>
        <c:crossBetween val="between"/>
      </c:valAx>
      <c:spPr>
        <a:solidFill>
          <a:schemeClr val="bg1">
            <a:lumMod val="75000"/>
          </a:schemeClr>
        </a:solidFill>
      </c:spPr>
    </c:plotArea>
    <c:legend>
      <c:legendPos val="b"/>
      <c:layout>
        <c:manualLayout>
          <c:xMode val="edge"/>
          <c:yMode val="edge"/>
          <c:x val="0.30340514599693352"/>
          <c:y val="0.8798257815078504"/>
          <c:w val="0.38510998810308961"/>
          <c:h val="9.0234098731670515E-2"/>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Australia</a:t>
            </a:r>
          </a:p>
        </c:rich>
      </c:tx>
      <c:layout/>
      <c:overlay val="0"/>
      <c:spPr>
        <a:noFill/>
        <a:ln>
          <a:noFill/>
        </a:ln>
        <a:effectLst/>
      </c:spPr>
    </c:title>
    <c:autoTitleDeleted val="0"/>
    <c:plotArea>
      <c:layout/>
      <c:lineChart>
        <c:grouping val="standard"/>
        <c:varyColors val="0"/>
        <c:ser>
          <c:idx val="0"/>
          <c:order val="0"/>
          <c:tx>
            <c:strRef>
              <c:f>'Figures 2'!$A$2</c:f>
              <c:strCache>
                <c:ptCount val="1"/>
                <c:pt idx="0">
                  <c:v>Aust Stamp Duties</c:v>
                </c:pt>
              </c:strCache>
            </c:strRef>
          </c:tx>
          <c:spPr>
            <a:ln w="28575" cap="rnd">
              <a:solidFill>
                <a:schemeClr val="accent1"/>
              </a:solidFill>
              <a:round/>
            </a:ln>
            <a:effectLst/>
          </c:spPr>
          <c:marker>
            <c:symbol val="none"/>
          </c:marker>
          <c:cat>
            <c:numRef>
              <c:f>'Figures 2'!$B$1:$M$1</c:f>
              <c:numCache>
                <c:formatCode>General</c:formatCode>
                <c:ptCount val="12"/>
                <c:pt idx="0">
                  <c:v>2001</c:v>
                </c:pt>
                <c:pt idx="1">
                  <c:v>2002</c:v>
                </c:pt>
                <c:pt idx="2">
                  <c:v>2003</c:v>
                </c:pt>
                <c:pt idx="3">
                  <c:v>2004</c:v>
                </c:pt>
                <c:pt idx="4">
                  <c:v>2005</c:v>
                </c:pt>
                <c:pt idx="5">
                  <c:v>2006</c:v>
                </c:pt>
                <c:pt idx="6">
                  <c:v>2007</c:v>
                </c:pt>
                <c:pt idx="7">
                  <c:v>2008</c:v>
                </c:pt>
                <c:pt idx="8">
                  <c:v>2009</c:v>
                </c:pt>
                <c:pt idx="9">
                  <c:v>2010</c:v>
                </c:pt>
                <c:pt idx="10">
                  <c:v>2011</c:v>
                </c:pt>
                <c:pt idx="11">
                  <c:v>2012</c:v>
                </c:pt>
              </c:numCache>
            </c:numRef>
          </c:cat>
          <c:val>
            <c:numRef>
              <c:f>'Figures 2'!$B$2:$M$2</c:f>
              <c:numCache>
                <c:formatCode>#,##0</c:formatCode>
                <c:ptCount val="12"/>
                <c:pt idx="0">
                  <c:v>5340</c:v>
                </c:pt>
                <c:pt idx="1">
                  <c:v>7283</c:v>
                </c:pt>
                <c:pt idx="2">
                  <c:v>8745</c:v>
                </c:pt>
                <c:pt idx="3">
                  <c:v>10388</c:v>
                </c:pt>
                <c:pt idx="4">
                  <c:v>9472</c:v>
                </c:pt>
                <c:pt idx="5">
                  <c:v>10788</c:v>
                </c:pt>
                <c:pt idx="6">
                  <c:v>12923</c:v>
                </c:pt>
                <c:pt idx="7">
                  <c:v>14289</c:v>
                </c:pt>
                <c:pt idx="8">
                  <c:v>9526</c:v>
                </c:pt>
                <c:pt idx="9">
                  <c:v>12294</c:v>
                </c:pt>
                <c:pt idx="10">
                  <c:v>12229</c:v>
                </c:pt>
                <c:pt idx="11">
                  <c:v>11657</c:v>
                </c:pt>
              </c:numCache>
            </c:numRef>
          </c:val>
          <c:smooth val="0"/>
        </c:ser>
        <c:ser>
          <c:idx val="1"/>
          <c:order val="1"/>
          <c:tx>
            <c:strRef>
              <c:f>'Figures 2'!$A$3</c:f>
              <c:strCache>
                <c:ptCount val="1"/>
                <c:pt idx="0">
                  <c:v>Aust Land taxes</c:v>
                </c:pt>
              </c:strCache>
            </c:strRef>
          </c:tx>
          <c:spPr>
            <a:ln w="28575" cap="rnd">
              <a:solidFill>
                <a:schemeClr val="accent2"/>
              </a:solidFill>
              <a:round/>
            </a:ln>
            <a:effectLst/>
          </c:spPr>
          <c:marker>
            <c:symbol val="none"/>
          </c:marker>
          <c:cat>
            <c:numRef>
              <c:f>'Figures 2'!$B$1:$M$1</c:f>
              <c:numCache>
                <c:formatCode>General</c:formatCode>
                <c:ptCount val="12"/>
                <c:pt idx="0">
                  <c:v>2001</c:v>
                </c:pt>
                <c:pt idx="1">
                  <c:v>2002</c:v>
                </c:pt>
                <c:pt idx="2">
                  <c:v>2003</c:v>
                </c:pt>
                <c:pt idx="3">
                  <c:v>2004</c:v>
                </c:pt>
                <c:pt idx="4">
                  <c:v>2005</c:v>
                </c:pt>
                <c:pt idx="5">
                  <c:v>2006</c:v>
                </c:pt>
                <c:pt idx="6">
                  <c:v>2007</c:v>
                </c:pt>
                <c:pt idx="7">
                  <c:v>2008</c:v>
                </c:pt>
                <c:pt idx="8">
                  <c:v>2009</c:v>
                </c:pt>
                <c:pt idx="9">
                  <c:v>2010</c:v>
                </c:pt>
                <c:pt idx="10">
                  <c:v>2011</c:v>
                </c:pt>
                <c:pt idx="11">
                  <c:v>2012</c:v>
                </c:pt>
              </c:numCache>
            </c:numRef>
          </c:cat>
          <c:val>
            <c:numRef>
              <c:f>'Figures 2'!$B$3:$M$3</c:f>
              <c:numCache>
                <c:formatCode>#,##0</c:formatCode>
                <c:ptCount val="12"/>
                <c:pt idx="0">
                  <c:v>2103</c:v>
                </c:pt>
                <c:pt idx="1">
                  <c:v>2172</c:v>
                </c:pt>
                <c:pt idx="2">
                  <c:v>2553</c:v>
                </c:pt>
                <c:pt idx="3">
                  <c:v>3059</c:v>
                </c:pt>
                <c:pt idx="4">
                  <c:v>3583</c:v>
                </c:pt>
                <c:pt idx="5">
                  <c:v>3613</c:v>
                </c:pt>
                <c:pt idx="6">
                  <c:v>4358</c:v>
                </c:pt>
                <c:pt idx="7">
                  <c:v>4346</c:v>
                </c:pt>
                <c:pt idx="8">
                  <c:v>5565</c:v>
                </c:pt>
                <c:pt idx="9">
                  <c:v>5767</c:v>
                </c:pt>
                <c:pt idx="10">
                  <c:v>6005</c:v>
                </c:pt>
                <c:pt idx="11">
                  <c:v>6103</c:v>
                </c:pt>
              </c:numCache>
            </c:numRef>
          </c:val>
          <c:smooth val="0"/>
        </c:ser>
        <c:ser>
          <c:idx val="2"/>
          <c:order val="2"/>
          <c:tx>
            <c:strRef>
              <c:f>'Figures 2'!$A$4</c:f>
              <c:strCache>
                <c:ptCount val="1"/>
                <c:pt idx="0">
                  <c:v>Aust Municipal rates</c:v>
                </c:pt>
              </c:strCache>
            </c:strRef>
          </c:tx>
          <c:spPr>
            <a:ln w="28575" cap="rnd">
              <a:solidFill>
                <a:schemeClr val="accent3"/>
              </a:solidFill>
              <a:round/>
            </a:ln>
            <a:effectLst/>
          </c:spPr>
          <c:marker>
            <c:symbol val="none"/>
          </c:marker>
          <c:cat>
            <c:numRef>
              <c:f>'Figures 2'!$B$1:$M$1</c:f>
              <c:numCache>
                <c:formatCode>General</c:formatCode>
                <c:ptCount val="12"/>
                <c:pt idx="0">
                  <c:v>2001</c:v>
                </c:pt>
                <c:pt idx="1">
                  <c:v>2002</c:v>
                </c:pt>
                <c:pt idx="2">
                  <c:v>2003</c:v>
                </c:pt>
                <c:pt idx="3">
                  <c:v>2004</c:v>
                </c:pt>
                <c:pt idx="4">
                  <c:v>2005</c:v>
                </c:pt>
                <c:pt idx="5">
                  <c:v>2006</c:v>
                </c:pt>
                <c:pt idx="6">
                  <c:v>2007</c:v>
                </c:pt>
                <c:pt idx="7">
                  <c:v>2008</c:v>
                </c:pt>
                <c:pt idx="8">
                  <c:v>2009</c:v>
                </c:pt>
                <c:pt idx="9">
                  <c:v>2010</c:v>
                </c:pt>
                <c:pt idx="10">
                  <c:v>2011</c:v>
                </c:pt>
                <c:pt idx="11">
                  <c:v>2012</c:v>
                </c:pt>
              </c:numCache>
            </c:numRef>
          </c:cat>
          <c:val>
            <c:numRef>
              <c:f>'Figures 2'!$B$4:$M$4</c:f>
              <c:numCache>
                <c:formatCode>#,##0</c:formatCode>
                <c:ptCount val="12"/>
                <c:pt idx="0">
                  <c:v>6441</c:v>
                </c:pt>
                <c:pt idx="1">
                  <c:v>6808</c:v>
                </c:pt>
                <c:pt idx="2">
                  <c:v>7276</c:v>
                </c:pt>
                <c:pt idx="3">
                  <c:v>7726</c:v>
                </c:pt>
                <c:pt idx="4">
                  <c:v>8237</c:v>
                </c:pt>
                <c:pt idx="5">
                  <c:v>8788</c:v>
                </c:pt>
                <c:pt idx="6">
                  <c:v>9476</c:v>
                </c:pt>
                <c:pt idx="7">
                  <c:v>10194</c:v>
                </c:pt>
                <c:pt idx="8">
                  <c:v>10938</c:v>
                </c:pt>
                <c:pt idx="9">
                  <c:v>11645</c:v>
                </c:pt>
                <c:pt idx="10">
                  <c:v>12506</c:v>
                </c:pt>
                <c:pt idx="11">
                  <c:v>13265</c:v>
                </c:pt>
              </c:numCache>
            </c:numRef>
          </c:val>
          <c:smooth val="0"/>
        </c:ser>
        <c:dLbls>
          <c:showLegendKey val="0"/>
          <c:showVal val="0"/>
          <c:showCatName val="0"/>
          <c:showSerName val="0"/>
          <c:showPercent val="0"/>
          <c:showBubbleSize val="0"/>
        </c:dLbls>
        <c:marker val="1"/>
        <c:smooth val="0"/>
        <c:axId val="39303424"/>
        <c:axId val="61431808"/>
      </c:lineChart>
      <c:catAx>
        <c:axId val="39303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431808"/>
        <c:crosses val="autoZero"/>
        <c:auto val="1"/>
        <c:lblAlgn val="ctr"/>
        <c:lblOffset val="100"/>
        <c:noMultiLvlLbl val="0"/>
      </c:catAx>
      <c:valAx>
        <c:axId val="614318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30342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0.00064</cdr:x>
      <cdr:y>0.04256</cdr:y>
    </cdr:from>
    <cdr:to>
      <cdr:x>0.12592</cdr:x>
      <cdr:y>0.11544</cdr:y>
    </cdr:to>
    <cdr:sp macro="" textlink="">
      <cdr:nvSpPr>
        <cdr:cNvPr id="2" name="TextBox 1"/>
        <cdr:cNvSpPr txBox="1"/>
      </cdr:nvSpPr>
      <cdr:spPr>
        <a:xfrm xmlns:a="http://schemas.openxmlformats.org/drawingml/2006/main">
          <a:off x="2931" y="119796"/>
          <a:ext cx="571500" cy="20515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900"/>
            <a:t>$millon</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5255F-3A87-4101-BED4-B58796F41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5560</Words>
  <Characters>31698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dc:creator>
  <cp:keywords/>
  <dc:description/>
  <cp:lastModifiedBy>Vince Mangioni</cp:lastModifiedBy>
  <cp:revision>5</cp:revision>
  <cp:lastPrinted>2016-09-22T02:36:00Z</cp:lastPrinted>
  <dcterms:created xsi:type="dcterms:W3CDTF">2016-12-13T06:06:00Z</dcterms:created>
  <dcterms:modified xsi:type="dcterms:W3CDTF">2017-01-18T00:27:00Z</dcterms:modified>
</cp:coreProperties>
</file>