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A6A3" w14:textId="4ABAF2B7" w:rsidR="000C00C2" w:rsidRDefault="000C00C2" w:rsidP="000C00C2">
      <w:pPr>
        <w:pBdr>
          <w:top w:val="single" w:sz="4" w:space="1" w:color="auto"/>
          <w:left w:val="single" w:sz="4" w:space="4" w:color="auto"/>
          <w:bottom w:val="single" w:sz="4" w:space="1" w:color="auto"/>
          <w:right w:val="single" w:sz="4" w:space="4" w:color="auto"/>
        </w:pBdr>
        <w:rPr>
          <w:b/>
        </w:rPr>
      </w:pPr>
      <w:bookmarkStart w:id="0" w:name="_GoBack"/>
      <w:bookmarkEnd w:id="0"/>
      <w:r w:rsidRPr="000C00C2">
        <w:rPr>
          <w:b/>
        </w:rPr>
        <w:t>This is a</w:t>
      </w:r>
      <w:r w:rsidR="00564F1D">
        <w:rPr>
          <w:b/>
        </w:rPr>
        <w:t xml:space="preserve"> draft</w:t>
      </w:r>
      <w:r w:rsidRPr="000C00C2">
        <w:rPr>
          <w:b/>
        </w:rPr>
        <w:t xml:space="preserve"> copy of the manuscript version of this article. Please do not cite </w:t>
      </w:r>
      <w:r>
        <w:rPr>
          <w:b/>
        </w:rPr>
        <w:t xml:space="preserve">this version. Please instead </w:t>
      </w:r>
      <w:r w:rsidRPr="000C00C2">
        <w:rPr>
          <w:b/>
        </w:rPr>
        <w:t xml:space="preserve">cite </w:t>
      </w:r>
      <w:r>
        <w:rPr>
          <w:b/>
        </w:rPr>
        <w:t xml:space="preserve">only </w:t>
      </w:r>
      <w:r w:rsidRPr="000C00C2">
        <w:rPr>
          <w:b/>
        </w:rPr>
        <w:t>the published version</w:t>
      </w:r>
      <w:r>
        <w:rPr>
          <w:b/>
        </w:rPr>
        <w:t>:</w:t>
      </w:r>
    </w:p>
    <w:p w14:paraId="0F77D04A" w14:textId="035A037C" w:rsidR="000C00C2" w:rsidRPr="000C00C2" w:rsidRDefault="000C00C2" w:rsidP="000C00C2">
      <w:pPr>
        <w:pBdr>
          <w:top w:val="single" w:sz="4" w:space="1" w:color="auto"/>
          <w:left w:val="single" w:sz="4" w:space="4" w:color="auto"/>
          <w:bottom w:val="single" w:sz="4" w:space="1" w:color="auto"/>
          <w:right w:val="single" w:sz="4" w:space="4" w:color="auto"/>
        </w:pBdr>
        <w:rPr>
          <w:b/>
        </w:rPr>
      </w:pPr>
      <w:r w:rsidRPr="000C00C2">
        <w:rPr>
          <w:b/>
        </w:rPr>
        <w:t xml:space="preserve">Carter, D.J., Street, D. &amp; Bush, S. 2018, 'Building Public Confidence in Medical Registration Revalidation: Reform of Medical Registration Law in Australia, a New Risk-based Approach', </w:t>
      </w:r>
      <w:r w:rsidRPr="000C00C2">
        <w:rPr>
          <w:b/>
          <w:i/>
        </w:rPr>
        <w:t>Journal of Law and Medicine</w:t>
      </w:r>
      <w:r w:rsidRPr="000C00C2">
        <w:rPr>
          <w:b/>
        </w:rPr>
        <w:t>, vol. 25, no. 4, pp. 1009-1032.</w:t>
      </w:r>
    </w:p>
    <w:p w14:paraId="02E472FE" w14:textId="77777777" w:rsidR="00564F1D" w:rsidRDefault="00564F1D" w:rsidP="00045105">
      <w:pPr>
        <w:pStyle w:val="Title"/>
        <w:tabs>
          <w:tab w:val="left" w:pos="1701"/>
        </w:tabs>
      </w:pPr>
    </w:p>
    <w:p w14:paraId="6C475309" w14:textId="684EECA2" w:rsidR="002F7A22" w:rsidRPr="00B4064E" w:rsidRDefault="00BC06EF" w:rsidP="00045105">
      <w:pPr>
        <w:pStyle w:val="Title"/>
        <w:tabs>
          <w:tab w:val="left" w:pos="1701"/>
        </w:tabs>
      </w:pPr>
      <w:r>
        <w:t xml:space="preserve">Building Public Confidence in Medical Registration Revalidation: </w:t>
      </w:r>
      <w:r w:rsidR="00C44471" w:rsidRPr="00B4064E">
        <w:t xml:space="preserve">Reform of </w:t>
      </w:r>
      <w:r w:rsidR="00FF6A10" w:rsidRPr="00B4064E">
        <w:t xml:space="preserve">Medical Registration </w:t>
      </w:r>
      <w:r w:rsidR="00F41A3A">
        <w:t>Law</w:t>
      </w:r>
      <w:r w:rsidR="00C44471" w:rsidRPr="00B4064E">
        <w:t xml:space="preserve"> in </w:t>
      </w:r>
      <w:r w:rsidR="00247B94" w:rsidRPr="00B4064E">
        <w:t>Australia</w:t>
      </w:r>
      <w:r w:rsidR="007121A7">
        <w:t xml:space="preserve">, a New </w:t>
      </w:r>
      <w:r w:rsidR="00C44471" w:rsidRPr="00B4064E">
        <w:t xml:space="preserve">Risk-Based </w:t>
      </w:r>
      <w:r w:rsidR="007121A7">
        <w:t>Approach</w:t>
      </w:r>
    </w:p>
    <w:p w14:paraId="17FBAB6A" w14:textId="77777777" w:rsidR="008D07B3" w:rsidRDefault="008D07B3" w:rsidP="00B4064E">
      <w:pPr>
        <w:pStyle w:val="Subtitle"/>
      </w:pPr>
    </w:p>
    <w:p w14:paraId="6DF7EE8D" w14:textId="77777777" w:rsidR="000570E2" w:rsidRDefault="00175E74" w:rsidP="00B4064E">
      <w:pPr>
        <w:pStyle w:val="Subtitle"/>
      </w:pPr>
      <w:r w:rsidRPr="001219AF">
        <w:t>Abstract</w:t>
      </w:r>
    </w:p>
    <w:p w14:paraId="25FCC569" w14:textId="5CEC23DB" w:rsidR="004C530C" w:rsidRDefault="000570E2" w:rsidP="004C530C">
      <w:r w:rsidRPr="000570E2">
        <w:rPr>
          <w:b/>
        </w:rPr>
        <w:br/>
      </w:r>
      <w:r w:rsidR="004C530C">
        <w:t xml:space="preserve">This article examines the reform of the </w:t>
      </w:r>
      <w:r w:rsidR="003537ED">
        <w:t xml:space="preserve">Australian </w:t>
      </w:r>
      <w:r w:rsidR="004C530C">
        <w:rPr>
          <w:lang w:val="en-GB"/>
        </w:rPr>
        <w:t>Health Practitioner National Law</w:t>
      </w:r>
      <w:r w:rsidR="004C530C">
        <w:t xml:space="preserve"> to introduce</w:t>
      </w:r>
      <w:r w:rsidR="004C530C" w:rsidRPr="003E7740">
        <w:t xml:space="preserve"> </w:t>
      </w:r>
      <w:r w:rsidR="004C530C">
        <w:t xml:space="preserve">medical registration revalidation. Revalidation </w:t>
      </w:r>
      <w:r w:rsidR="004C530C" w:rsidRPr="001219AF">
        <w:t xml:space="preserve">is a </w:t>
      </w:r>
      <w:r w:rsidR="004C530C">
        <w:t xml:space="preserve">regulatory performance management </w:t>
      </w:r>
      <w:r w:rsidR="004C530C" w:rsidRPr="001219AF">
        <w:t xml:space="preserve">practice designed to </w:t>
      </w:r>
      <w:r w:rsidR="004C530C">
        <w:t xml:space="preserve">regularly and proactively confirm the competence </w:t>
      </w:r>
      <w:r w:rsidR="004C530C" w:rsidRPr="001219AF">
        <w:t xml:space="preserve">of </w:t>
      </w:r>
      <w:r w:rsidR="004C530C">
        <w:t xml:space="preserve">medical practitioners. The reform is of major importance to the future of this area of law and the operation of the health sector. Its implementation will be the most significant reform yet undertaken. It will significantly shift the law’s current contribution to constraining dangerous practice from a largely reactive stance onto a more proactive footing. Finally, it will represent the largest single quality improvement and patient safety program in Australia. </w:t>
      </w:r>
      <w:r w:rsidR="004C530C">
        <w:rPr>
          <w:lang w:val="en-GB"/>
        </w:rPr>
        <w:t xml:space="preserve">In aid of advancing the case for registration regulation, we describe the recent history of the National Law, provide analysis of the proposed revalidation reforms and then apply a novel empirical method of a discrete choice experiment to </w:t>
      </w:r>
      <w:r w:rsidR="004C530C" w:rsidRPr="001219AF">
        <w:t xml:space="preserve">determine the Australian general public’s </w:t>
      </w:r>
      <w:r w:rsidR="004C530C">
        <w:t xml:space="preserve">acceptance of and </w:t>
      </w:r>
      <w:r w:rsidR="004C530C" w:rsidRPr="001219AF">
        <w:t xml:space="preserve">preferred </w:t>
      </w:r>
      <w:r w:rsidR="004C530C">
        <w:t>approach to</w:t>
      </w:r>
      <w:r w:rsidR="004C530C" w:rsidRPr="001219AF">
        <w:t xml:space="preserve"> medical registration rev</w:t>
      </w:r>
      <w:r w:rsidR="004C530C">
        <w:t>alidation regulation.</w:t>
      </w:r>
      <w:r w:rsidR="004C530C">
        <w:rPr>
          <w:lang w:val="en-GB"/>
        </w:rPr>
        <w:t xml:space="preserve"> </w:t>
      </w:r>
      <w:r w:rsidR="004C530C">
        <w:t xml:space="preserve">We </w:t>
      </w:r>
      <w:r w:rsidR="008C5C7D">
        <w:t>argue</w:t>
      </w:r>
      <w:r w:rsidR="004C530C">
        <w:t xml:space="preserve"> that the reform</w:t>
      </w:r>
      <w:r w:rsidR="004C530C" w:rsidRPr="00C22D8B">
        <w:t xml:space="preserve"> represent</w:t>
      </w:r>
      <w:r w:rsidR="004C530C">
        <w:t>s</w:t>
      </w:r>
      <w:r w:rsidR="004C530C" w:rsidRPr="00C22D8B">
        <w:t xml:space="preserve"> a potentially effective and, importantly, acceptable reform to existing regulatory performance management and disciplinary systems</w:t>
      </w:r>
      <w:r w:rsidR="004C530C">
        <w:t xml:space="preserve">, but also that revalidation will bring with it wide-ranging changes to the nature of existing approaches to regulation of medical practice in this jurisdiction. </w:t>
      </w:r>
    </w:p>
    <w:p w14:paraId="50822844" w14:textId="60B1F47A" w:rsidR="008D3ED7" w:rsidRDefault="008D3ED7" w:rsidP="004C530C">
      <w:r>
        <w:br w:type="page"/>
      </w:r>
    </w:p>
    <w:p w14:paraId="689DEAF0" w14:textId="0D01D747" w:rsidR="00430BC4" w:rsidRDefault="00430BC4" w:rsidP="00B4064E">
      <w:pPr>
        <w:pStyle w:val="Heading1"/>
      </w:pPr>
      <w:r w:rsidRPr="00B4064E">
        <w:lastRenderedPageBreak/>
        <w:t>Introduction</w:t>
      </w:r>
    </w:p>
    <w:p w14:paraId="3C632319" w14:textId="2A069802" w:rsidR="004913A0" w:rsidRDefault="00B12242" w:rsidP="00D86767">
      <w:r>
        <w:rPr>
          <w:lang w:val="en-GB"/>
        </w:rPr>
        <w:t>How to best protect the public from</w:t>
      </w:r>
      <w:r w:rsidR="00936AC6">
        <w:rPr>
          <w:lang w:val="en-GB"/>
        </w:rPr>
        <w:t xml:space="preserve"> </w:t>
      </w:r>
      <w:r>
        <w:rPr>
          <w:lang w:val="en-GB"/>
        </w:rPr>
        <w:t>healthcare-related</w:t>
      </w:r>
      <w:r w:rsidR="00D86767">
        <w:rPr>
          <w:lang w:val="en-GB"/>
        </w:rPr>
        <w:t xml:space="preserve"> or ‘iatrogenic’</w:t>
      </w:r>
      <w:r w:rsidR="00D86767" w:rsidRPr="0090068A">
        <w:rPr>
          <w:rStyle w:val="FootnoteReference"/>
        </w:rPr>
        <w:footnoteReference w:id="2"/>
      </w:r>
      <w:r>
        <w:rPr>
          <w:lang w:val="en-GB"/>
        </w:rPr>
        <w:t xml:space="preserve"> harm has been a permanent feature of debate in Australia.</w:t>
      </w:r>
      <w:r>
        <w:rPr>
          <w:rStyle w:val="FootnoteReference"/>
          <w:lang w:val="en-GB"/>
        </w:rPr>
        <w:footnoteReference w:id="3"/>
      </w:r>
      <w:r w:rsidR="009971E1">
        <w:rPr>
          <w:lang w:val="en-GB"/>
        </w:rPr>
        <w:t xml:space="preserve"> </w:t>
      </w:r>
      <w:r>
        <w:t xml:space="preserve">Research </w:t>
      </w:r>
      <w:r w:rsidR="00D86767">
        <w:t xml:space="preserve">undertaken </w:t>
      </w:r>
      <w:r>
        <w:t xml:space="preserve">over the past thirty years has </w:t>
      </w:r>
      <w:r w:rsidR="00D86767">
        <w:t xml:space="preserve">revealed a </w:t>
      </w:r>
      <w:r>
        <w:t>scale of harm in the contemporary healthcare system</w:t>
      </w:r>
      <w:r w:rsidR="00D86767">
        <w:t xml:space="preserve"> of significant proportions</w:t>
      </w:r>
      <w:r>
        <w:t>.</w:t>
      </w:r>
      <w:r w:rsidRPr="0090068A">
        <w:rPr>
          <w:rStyle w:val="FootnoteReference"/>
        </w:rPr>
        <w:footnoteReference w:id="4"/>
      </w:r>
      <w:r w:rsidR="00D86767">
        <w:t xml:space="preserve"> Based on the best work available, at least </w:t>
      </w:r>
      <w:r w:rsidR="00D86767" w:rsidRPr="00C65957">
        <w:t>ten per</w:t>
      </w:r>
      <w:r w:rsidR="00D86767">
        <w:t xml:space="preserve"> </w:t>
      </w:r>
      <w:r w:rsidR="00D86767" w:rsidRPr="00C65957">
        <w:t>cent of admissions to acute care h</w:t>
      </w:r>
      <w:r w:rsidR="00D86767">
        <w:t>ospitals in Australia are associated with iatrogenic harm. T</w:t>
      </w:r>
      <w:r w:rsidR="00D86767" w:rsidRPr="00435167">
        <w:rPr>
          <w:bCs/>
        </w:rPr>
        <w:t xml:space="preserve">hese rates </w:t>
      </w:r>
      <w:r w:rsidR="00D86767">
        <w:rPr>
          <w:bCs/>
        </w:rPr>
        <w:t xml:space="preserve">of iatrogenic harm </w:t>
      </w:r>
      <w:r w:rsidR="00D86767" w:rsidRPr="00435167">
        <w:rPr>
          <w:bCs/>
        </w:rPr>
        <w:t>have not measurably improved at</w:t>
      </w:r>
      <w:r w:rsidR="00D86767">
        <w:rPr>
          <w:bCs/>
        </w:rPr>
        <w:t xml:space="preserve"> a system level for fifty years,</w:t>
      </w:r>
      <w:r w:rsidR="00D86767" w:rsidRPr="007B0F58">
        <w:rPr>
          <w:rStyle w:val="FootnoteReference"/>
        </w:rPr>
        <w:footnoteReference w:id="5"/>
      </w:r>
      <w:r w:rsidR="00D86767" w:rsidRPr="00435167">
        <w:rPr>
          <w:bCs/>
        </w:rPr>
        <w:t xml:space="preserve"> </w:t>
      </w:r>
      <w:r w:rsidR="00D86767">
        <w:rPr>
          <w:bCs/>
        </w:rPr>
        <w:t xml:space="preserve"> and</w:t>
      </w:r>
      <w:r w:rsidR="00D86767">
        <w:t xml:space="preserve"> studies </w:t>
      </w:r>
      <w:r w:rsidR="00D86767" w:rsidRPr="00C65957">
        <w:t xml:space="preserve">find that between 50 </w:t>
      </w:r>
      <w:r w:rsidR="00D86767">
        <w:t xml:space="preserve">and </w:t>
      </w:r>
      <w:r w:rsidR="00D86767" w:rsidRPr="00C65957">
        <w:t>80</w:t>
      </w:r>
      <w:r w:rsidR="00D86767">
        <w:t xml:space="preserve"> per cent</w:t>
      </w:r>
      <w:r w:rsidR="00D86767" w:rsidRPr="00C65957">
        <w:rPr>
          <w:bCs/>
        </w:rPr>
        <w:t xml:space="preserve"> </w:t>
      </w:r>
      <w:r w:rsidR="00D86767" w:rsidRPr="00C65957">
        <w:t xml:space="preserve">of all adverse events are </w:t>
      </w:r>
      <w:r w:rsidR="00D86767">
        <w:t>potentially</w:t>
      </w:r>
      <w:r w:rsidR="00D86767" w:rsidRPr="00C65957">
        <w:t xml:space="preserve"> preventab</w:t>
      </w:r>
      <w:r w:rsidR="00D86767">
        <w:t>le</w:t>
      </w:r>
      <w:r w:rsidR="00D86767" w:rsidRPr="00C65957">
        <w:t>.</w:t>
      </w:r>
      <w:r w:rsidR="00D86767" w:rsidRPr="003857AF">
        <w:rPr>
          <w:rStyle w:val="FootnoteReference"/>
        </w:rPr>
        <w:footnoteReference w:id="6"/>
      </w:r>
      <w:r w:rsidR="00EE2D6F">
        <w:rPr>
          <w:caps/>
        </w:rPr>
        <w:t xml:space="preserve"> P</w:t>
      </w:r>
      <w:r w:rsidR="00D86767">
        <w:t xml:space="preserve">ublic and professional attention </w:t>
      </w:r>
      <w:r w:rsidR="00EE2D6F">
        <w:t>to</w:t>
      </w:r>
      <w:r w:rsidR="00D86767">
        <w:t xml:space="preserve"> iatrogenic harm </w:t>
      </w:r>
      <w:r w:rsidR="00EE2D6F">
        <w:t xml:space="preserve">has increased in parallel with the growing understanding of iatrogenic harm and its impacts. A significant part of that increased attention has been </w:t>
      </w:r>
      <w:r w:rsidR="00936AC6">
        <w:t>focused</w:t>
      </w:r>
      <w:r>
        <w:t xml:space="preserve"> </w:t>
      </w:r>
      <w:r w:rsidR="00EE2D6F">
        <w:t>o</w:t>
      </w:r>
      <w:r>
        <w:t xml:space="preserve">n the </w:t>
      </w:r>
      <w:r w:rsidR="00EE2D6F">
        <w:t>r</w:t>
      </w:r>
      <w:r>
        <w:t xml:space="preserve">ole of legal and regulatory frameworks </w:t>
      </w:r>
      <w:r w:rsidR="00EE2D6F">
        <w:t xml:space="preserve">and practices </w:t>
      </w:r>
      <w:r>
        <w:t xml:space="preserve">which are designed to protect the public </w:t>
      </w:r>
      <w:r w:rsidR="00EE2D6F">
        <w:t xml:space="preserve">from iatrogenic harm </w:t>
      </w:r>
      <w:r>
        <w:t>by constraining dangerous healthcare practice.</w:t>
      </w:r>
      <w:r w:rsidR="009971E1">
        <w:t xml:space="preserve"> </w:t>
      </w:r>
    </w:p>
    <w:p w14:paraId="0CDC95E7" w14:textId="788BCC76" w:rsidR="006F2D01" w:rsidRDefault="00116608" w:rsidP="00757E37">
      <w:r>
        <w:rPr>
          <w:lang w:val="en-GB"/>
        </w:rPr>
        <w:t>In the Australian context, this</w:t>
      </w:r>
      <w:r w:rsidR="003426A5">
        <w:rPr>
          <w:lang w:val="en-GB"/>
        </w:rPr>
        <w:t xml:space="preserve"> question of a regulatory response to </w:t>
      </w:r>
      <w:r>
        <w:rPr>
          <w:lang w:val="en-GB"/>
        </w:rPr>
        <w:t xml:space="preserve">iatrogenic harm has focused in large part </w:t>
      </w:r>
      <w:r w:rsidR="003426A5">
        <w:rPr>
          <w:lang w:val="en-GB"/>
        </w:rPr>
        <w:t xml:space="preserve">upon the national system of </w:t>
      </w:r>
      <w:r>
        <w:rPr>
          <w:lang w:val="en-GB"/>
        </w:rPr>
        <w:t>health practitioner regulation and</w:t>
      </w:r>
      <w:r w:rsidR="003426A5">
        <w:rPr>
          <w:lang w:val="en-GB"/>
        </w:rPr>
        <w:t xml:space="preserve"> its operation and impact</w:t>
      </w:r>
      <w:r>
        <w:rPr>
          <w:lang w:val="en-GB"/>
        </w:rPr>
        <w:t>s</w:t>
      </w:r>
      <w:r w:rsidR="003426A5">
        <w:rPr>
          <w:lang w:val="en-GB"/>
        </w:rPr>
        <w:t>.</w:t>
      </w:r>
      <w:r w:rsidR="003426A5" w:rsidRPr="00B916B2">
        <w:rPr>
          <w:rStyle w:val="FootnoteReference"/>
        </w:rPr>
        <w:footnoteReference w:id="7"/>
      </w:r>
      <w:r w:rsidR="003426A5">
        <w:t xml:space="preserve"> </w:t>
      </w:r>
      <w:r w:rsidR="000E4371">
        <w:rPr>
          <w:lang w:val="en-GB"/>
        </w:rPr>
        <w:lastRenderedPageBreak/>
        <w:t>The Health Practitioner National Law (‘</w:t>
      </w:r>
      <w:r w:rsidR="000E4371" w:rsidRPr="000E4371">
        <w:rPr>
          <w:i/>
          <w:lang w:val="en-GB"/>
        </w:rPr>
        <w:t>National Law</w:t>
      </w:r>
      <w:r w:rsidR="000E4371">
        <w:rPr>
          <w:lang w:val="en-GB"/>
        </w:rPr>
        <w:t>’), introduced in 2010, established the national registration and accreditation scheme for the regulation of health practitioners and students.</w:t>
      </w:r>
      <w:r w:rsidR="000E4371" w:rsidRPr="00B916B2">
        <w:rPr>
          <w:rStyle w:val="FootnoteReference"/>
        </w:rPr>
        <w:footnoteReference w:id="8"/>
      </w:r>
      <w:r w:rsidR="000E4371">
        <w:rPr>
          <w:lang w:val="en-GB"/>
        </w:rPr>
        <w:t xml:space="preserve"> </w:t>
      </w:r>
      <w:r w:rsidR="006F2D01">
        <w:t xml:space="preserve">The system that it creates </w:t>
      </w:r>
      <w:r w:rsidR="006F2D01">
        <w:rPr>
          <w:lang w:val="en-GB"/>
        </w:rPr>
        <w:t>is a protective jurisdiction.</w:t>
      </w:r>
      <w:r w:rsidR="006F2D01">
        <w:t xml:space="preserve"> ‘Protection of the public’</w:t>
      </w:r>
      <w:r w:rsidR="006F2D01" w:rsidRPr="00B916B2">
        <w:rPr>
          <w:rStyle w:val="FootnoteReference"/>
        </w:rPr>
        <w:footnoteReference w:id="9"/>
      </w:r>
      <w:r w:rsidR="006F2D01">
        <w:t xml:space="preserve"> or alternatively, protecting the ‘health and safety of the public’</w:t>
      </w:r>
      <w:r w:rsidR="006F2D01" w:rsidRPr="0067628C">
        <w:rPr>
          <w:rStyle w:val="FootnoteReference"/>
          <w:lang w:val="en-GB"/>
        </w:rPr>
        <w:t xml:space="preserve"> </w:t>
      </w:r>
      <w:r w:rsidR="006F2D01" w:rsidRPr="00B916B2">
        <w:rPr>
          <w:rStyle w:val="FootnoteReference"/>
        </w:rPr>
        <w:footnoteReference w:id="10"/>
      </w:r>
      <w:r w:rsidR="006F2D01">
        <w:rPr>
          <w:lang w:val="en-GB"/>
        </w:rPr>
        <w:t xml:space="preserve"> remains its primary </w:t>
      </w:r>
      <w:r w:rsidR="006F2D01" w:rsidRPr="00B51C73">
        <w:rPr>
          <w:lang w:val="en-GB"/>
        </w:rPr>
        <w:t>role</w:t>
      </w:r>
      <w:r w:rsidR="006F2D01">
        <w:rPr>
          <w:lang w:val="en-GB"/>
        </w:rPr>
        <w:t>,</w:t>
      </w:r>
      <w:r w:rsidR="006F2D01" w:rsidRPr="00B51C73">
        <w:rPr>
          <w:lang w:val="en-GB"/>
        </w:rPr>
        <w:t xml:space="preserve"> </w:t>
      </w:r>
      <w:r w:rsidR="006F2D01">
        <w:rPr>
          <w:lang w:val="en-GB"/>
        </w:rPr>
        <w:t>justifying its exerc</w:t>
      </w:r>
      <w:r w:rsidR="00060100">
        <w:rPr>
          <w:lang w:val="en-GB"/>
        </w:rPr>
        <w:t xml:space="preserve">ise of powers with relation to </w:t>
      </w:r>
      <w:r w:rsidR="006F2D01" w:rsidRPr="00B51C73">
        <w:rPr>
          <w:lang w:val="en-GB"/>
        </w:rPr>
        <w:t xml:space="preserve">practitioners </w:t>
      </w:r>
      <w:r w:rsidR="00060100">
        <w:rPr>
          <w:lang w:val="en-GB"/>
        </w:rPr>
        <w:t>‘</w:t>
      </w:r>
      <w:r w:rsidR="006F2D01" w:rsidRPr="00B51C73">
        <w:rPr>
          <w:lang w:val="en-GB"/>
        </w:rPr>
        <w:t>who may be putting the public at risk as a result of their conduct, professional performance or health.</w:t>
      </w:r>
      <w:r w:rsidR="006F2D01">
        <w:rPr>
          <w:lang w:val="en-GB"/>
        </w:rPr>
        <w:t>’</w:t>
      </w:r>
      <w:r w:rsidR="006F2D01" w:rsidRPr="00B916B2">
        <w:rPr>
          <w:rStyle w:val="FootnoteReference"/>
        </w:rPr>
        <w:footnoteReference w:id="11"/>
      </w:r>
      <w:r w:rsidR="006F2D01">
        <w:rPr>
          <w:lang w:val="en-GB"/>
        </w:rPr>
        <w:t xml:space="preserve"> </w:t>
      </w:r>
      <w:r w:rsidR="00F814FC">
        <w:rPr>
          <w:lang w:val="en-GB"/>
        </w:rPr>
        <w:t>The National Law</w:t>
      </w:r>
      <w:r w:rsidR="00CF627A">
        <w:rPr>
          <w:lang w:val="en-GB"/>
        </w:rPr>
        <w:t xml:space="preserve"> utilises </w:t>
      </w:r>
      <w:r w:rsidR="00060100">
        <w:t>control</w:t>
      </w:r>
      <w:r w:rsidR="006F2D01">
        <w:t xml:space="preserve"> of </w:t>
      </w:r>
      <w:r w:rsidR="000D4CF7">
        <w:t xml:space="preserve">health practitioner </w:t>
      </w:r>
      <w:r w:rsidR="006F2D01">
        <w:t xml:space="preserve">registration </w:t>
      </w:r>
      <w:r w:rsidR="00CF627A">
        <w:t>as</w:t>
      </w:r>
      <w:r w:rsidR="006F2D01">
        <w:t xml:space="preserve"> the central mechanism to both prevent and </w:t>
      </w:r>
      <w:r w:rsidR="006F2D01" w:rsidRPr="007F0923">
        <w:t>manage issues of performance or competency</w:t>
      </w:r>
      <w:r w:rsidR="006F2D01">
        <w:t xml:space="preserve"> </w:t>
      </w:r>
      <w:r w:rsidR="007E6D45">
        <w:t xml:space="preserve">that threaten </w:t>
      </w:r>
      <w:r w:rsidR="006F2D01">
        <w:t>the health and safety of the public</w:t>
      </w:r>
      <w:r w:rsidR="006F2D01" w:rsidRPr="007F0923">
        <w:t>.</w:t>
      </w:r>
      <w:r w:rsidR="006F2D01" w:rsidRPr="00B916B2">
        <w:rPr>
          <w:rStyle w:val="FootnoteReference"/>
        </w:rPr>
        <w:footnoteReference w:id="12"/>
      </w:r>
      <w:r w:rsidR="006F2D01">
        <w:t xml:space="preserve"> </w:t>
      </w:r>
      <w:r w:rsidR="00060100">
        <w:t>Once registered</w:t>
      </w:r>
      <w:r w:rsidR="006F2D01">
        <w:t xml:space="preserve">, </w:t>
      </w:r>
      <w:r w:rsidR="00CF627A">
        <w:t xml:space="preserve">health practitioners and relevant </w:t>
      </w:r>
      <w:r w:rsidR="006F2D01">
        <w:t xml:space="preserve">students are </w:t>
      </w:r>
      <w:r w:rsidR="00060100">
        <w:t xml:space="preserve">made </w:t>
      </w:r>
      <w:r w:rsidR="006F2D01">
        <w:t xml:space="preserve">subject to codes of conduct and other statements </w:t>
      </w:r>
      <w:r w:rsidR="007E6D45">
        <w:t>that</w:t>
      </w:r>
      <w:r w:rsidR="006F2D01">
        <w:t xml:space="preserve"> define acceptable professional practice,</w:t>
      </w:r>
      <w:r w:rsidR="006F2D01" w:rsidRPr="00B916B2">
        <w:rPr>
          <w:rStyle w:val="FootnoteReference"/>
        </w:rPr>
        <w:footnoteReference w:id="13"/>
      </w:r>
      <w:r w:rsidR="006F2D01">
        <w:t xml:space="preserve"> must comply with obligations expressed in various Registration Standards as to continuing professional development, indemnity and other matters,</w:t>
      </w:r>
      <w:r w:rsidR="006F2D01" w:rsidRPr="00B916B2">
        <w:rPr>
          <w:rStyle w:val="FootnoteReference"/>
        </w:rPr>
        <w:footnoteReference w:id="14"/>
      </w:r>
      <w:r w:rsidR="006F2D01">
        <w:t xml:space="preserve"> and are bound by regulatory health, performance, conduct and disciplinary systems. </w:t>
      </w:r>
    </w:p>
    <w:p w14:paraId="7847E0D9" w14:textId="51DBAE6F" w:rsidR="006F2D01" w:rsidRDefault="00644731" w:rsidP="006F2D01">
      <w:r>
        <w:t xml:space="preserve">A perennial feature of scholarly and professional discussion of the regulation of </w:t>
      </w:r>
      <w:r w:rsidR="00060100">
        <w:t>healthcare practitioners</w:t>
      </w:r>
      <w:r>
        <w:t xml:space="preserve"> is the </w:t>
      </w:r>
      <w:r w:rsidR="00CF627A">
        <w:t>largely reactive nature of laws</w:t>
      </w:r>
      <w:r w:rsidR="00CF627A" w:rsidRPr="000D4CF7">
        <w:t xml:space="preserve"> constraining practice </w:t>
      </w:r>
      <w:r w:rsidR="00CF627A">
        <w:t>that</w:t>
      </w:r>
      <w:r w:rsidR="00CF627A" w:rsidRPr="000D4CF7">
        <w:t xml:space="preserve"> threat</w:t>
      </w:r>
      <w:r w:rsidR="00CF627A">
        <w:t>ens</w:t>
      </w:r>
      <w:r w:rsidR="00CF627A" w:rsidRPr="000D4CF7">
        <w:t xml:space="preserve"> the health and safety of the public</w:t>
      </w:r>
      <w:r w:rsidR="00CF627A">
        <w:t>.</w:t>
      </w:r>
      <w:r w:rsidR="00CF627A" w:rsidRPr="000D4CF7">
        <w:t xml:space="preserve"> </w:t>
      </w:r>
      <w:r w:rsidR="00AF22D0">
        <w:t xml:space="preserve">On the one hand, the </w:t>
      </w:r>
      <w:r w:rsidR="006E68DD">
        <w:t>National Law</w:t>
      </w:r>
      <w:r w:rsidR="00AF22D0">
        <w:t xml:space="preserve"> </w:t>
      </w:r>
      <w:r w:rsidR="006E68DD">
        <w:t xml:space="preserve">facilitates </w:t>
      </w:r>
      <w:r w:rsidR="002F301B">
        <w:t xml:space="preserve">proactive measures, </w:t>
      </w:r>
      <w:r w:rsidR="006E68DD">
        <w:t>such as</w:t>
      </w:r>
      <w:r w:rsidR="002F301B">
        <w:t xml:space="preserve"> the setting of </w:t>
      </w:r>
      <w:r w:rsidR="00AF22D0">
        <w:t xml:space="preserve">professional standards, </w:t>
      </w:r>
      <w:r w:rsidR="00C02730">
        <w:t>a</w:t>
      </w:r>
      <w:r w:rsidR="002F301B">
        <w:t>ccrediting</w:t>
      </w:r>
      <w:r w:rsidR="00AF22D0">
        <w:t xml:space="preserve"> educational </w:t>
      </w:r>
      <w:r w:rsidR="00C02730">
        <w:t xml:space="preserve">offerings </w:t>
      </w:r>
      <w:r w:rsidR="00AF22D0">
        <w:t>and</w:t>
      </w:r>
      <w:r w:rsidR="002F301B">
        <w:t xml:space="preserve"> requiring</w:t>
      </w:r>
      <w:r w:rsidR="00C02730">
        <w:t xml:space="preserve"> continuous professional development</w:t>
      </w:r>
      <w:r w:rsidR="006E68DD">
        <w:t xml:space="preserve"> by registered health practitioners</w:t>
      </w:r>
      <w:r w:rsidR="00C02730">
        <w:t xml:space="preserve">. Yet, in the face of developing or actual </w:t>
      </w:r>
      <w:r w:rsidR="00AF22D0">
        <w:t>failure</w:t>
      </w:r>
      <w:r w:rsidR="00C02730">
        <w:t>s</w:t>
      </w:r>
      <w:r w:rsidR="00AF22D0">
        <w:t xml:space="preserve"> of </w:t>
      </w:r>
      <w:r w:rsidR="00AF22D0" w:rsidRPr="00B212A7">
        <w:t>professional skills and knowledge</w:t>
      </w:r>
      <w:r w:rsidR="00C02730">
        <w:t xml:space="preserve">, the National Law only engages </w:t>
      </w:r>
      <w:r w:rsidR="00C02730" w:rsidRPr="00757E37">
        <w:t xml:space="preserve">with practitioners </w:t>
      </w:r>
      <w:r w:rsidR="00C02730">
        <w:t>who c</w:t>
      </w:r>
      <w:r w:rsidR="007E6D45">
        <w:t xml:space="preserve">ome before disciplinary bodies – </w:t>
      </w:r>
      <w:r w:rsidR="001F31BD">
        <w:t>a reactive model.</w:t>
      </w:r>
      <w:r w:rsidR="000D4CF7">
        <w:t xml:space="preserve"> </w:t>
      </w:r>
      <w:r w:rsidR="006F2D01">
        <w:t>At present, this arrangement may fail to identify a practitioner who may be placing the public at risk by failing, or being at risk of failing, to perform to an acceptable standard. U</w:t>
      </w:r>
      <w:r w:rsidR="006F2D01" w:rsidRPr="007F0923">
        <w:t xml:space="preserve">nless a matter comes before an appropriate regulatory actor by way of a </w:t>
      </w:r>
      <w:r w:rsidR="006F2D01">
        <w:t xml:space="preserve">complaint or other </w:t>
      </w:r>
      <w:r w:rsidR="006F2D01" w:rsidRPr="007F0923">
        <w:t>notification, regulatory performance management system</w:t>
      </w:r>
      <w:r w:rsidR="006F2D01">
        <w:t>s</w:t>
      </w:r>
      <w:r w:rsidR="006F2D01" w:rsidRPr="007F0923">
        <w:t xml:space="preserve"> are limited in both formal powers and practical systems to</w:t>
      </w:r>
      <w:r w:rsidR="006F2D01">
        <w:t xml:space="preserve"> identify,</w:t>
      </w:r>
      <w:r w:rsidR="006F2D01" w:rsidRPr="007F0923">
        <w:t xml:space="preserve"> investigate, assess or compel improvements in a </w:t>
      </w:r>
      <w:r w:rsidR="006F2D01" w:rsidRPr="007F0923">
        <w:lastRenderedPageBreak/>
        <w:t>practitioner’s competency.</w:t>
      </w:r>
      <w:r w:rsidR="006F2D01">
        <w:t xml:space="preserve"> In essence, having achieved initial or specialist registration</w:t>
      </w:r>
      <w:r w:rsidR="006E68DD">
        <w:t xml:space="preserve"> as a health practitioner</w:t>
      </w:r>
      <w:r w:rsidR="00060100">
        <w:t>,</w:t>
      </w:r>
      <w:r w:rsidR="00060100">
        <w:rPr>
          <w:rStyle w:val="FootnoteReference"/>
        </w:rPr>
        <w:footnoteReference w:id="15"/>
      </w:r>
      <w:r w:rsidR="00060100">
        <w:t xml:space="preserve"> </w:t>
      </w:r>
      <w:r w:rsidR="006F2D01">
        <w:t>there is no structure or opportunity for the fitness of practitioners to be re-assessed</w:t>
      </w:r>
      <w:r w:rsidR="006E68DD">
        <w:t xml:space="preserve"> within a regulatory performance management context</w:t>
      </w:r>
      <w:r w:rsidR="006F2D01">
        <w:t xml:space="preserve"> save for occasions where a practitioner is involved in disciplinary process. This creates a series of gaps and ‘blind spots’ for the regulator. Moreover, it limits the available mechanisms through which a practitioner might seek to either confirm, or improve their fitness to practice outside of formal disciplinary processes. </w:t>
      </w:r>
    </w:p>
    <w:p w14:paraId="2D4553EA" w14:textId="5512CF28" w:rsidR="009E57D4" w:rsidRPr="000D4CF7" w:rsidRDefault="00825807" w:rsidP="009770E3">
      <w:pPr>
        <w:rPr>
          <w:color w:val="1F497D"/>
        </w:rPr>
      </w:pPr>
      <w:r>
        <w:t>In response to this challenge,</w:t>
      </w:r>
      <w:r w:rsidR="000D4CF7" w:rsidRPr="000D4CF7">
        <w:t xml:space="preserve"> </w:t>
      </w:r>
      <w:r w:rsidR="00B212A7" w:rsidRPr="000D4CF7">
        <w:t>t</w:t>
      </w:r>
      <w:r w:rsidR="00C03BCA" w:rsidRPr="000D4CF7">
        <w:t xml:space="preserve">he </w:t>
      </w:r>
      <w:r w:rsidR="009770E3" w:rsidRPr="000D4CF7">
        <w:t>Medical Board of Australia</w:t>
      </w:r>
      <w:r w:rsidR="005B4BB8" w:rsidRPr="000D4CF7">
        <w:t xml:space="preserve"> (</w:t>
      </w:r>
      <w:r w:rsidR="00AE257D" w:rsidRPr="000D4CF7">
        <w:t>‘</w:t>
      </w:r>
      <w:r w:rsidR="00C12FFF" w:rsidRPr="000D4CF7">
        <w:t>MBA’)</w:t>
      </w:r>
      <w:r w:rsidR="00E220BF" w:rsidRPr="000D4CF7">
        <w:t xml:space="preserve">, Australia’s principal regulator of medical practice, </w:t>
      </w:r>
      <w:r w:rsidR="00C101CD">
        <w:t>has considered</w:t>
      </w:r>
      <w:r w:rsidR="00EE48BD" w:rsidRPr="000D4CF7">
        <w:t xml:space="preserve"> </w:t>
      </w:r>
      <w:r w:rsidR="00A26FF8" w:rsidRPr="000D4CF7">
        <w:t>introducing</w:t>
      </w:r>
      <w:r w:rsidR="00EE48BD" w:rsidRPr="000D4CF7">
        <w:t xml:space="preserve"> </w:t>
      </w:r>
      <w:r w:rsidR="00042030" w:rsidRPr="000D4CF7">
        <w:t xml:space="preserve">a form of </w:t>
      </w:r>
      <w:r w:rsidR="006A5B69" w:rsidRPr="000D4CF7">
        <w:t>medical registration revalidation</w:t>
      </w:r>
      <w:r w:rsidR="00C101CD">
        <w:t>, similar to that which exists in the United Kingdom.</w:t>
      </w:r>
      <w:r w:rsidR="00560D43" w:rsidRPr="000D4CF7">
        <w:rPr>
          <w:rStyle w:val="FootnoteReference"/>
        </w:rPr>
        <w:footnoteReference w:id="16"/>
      </w:r>
      <w:r w:rsidR="004E4E15" w:rsidRPr="000D4CF7">
        <w:t xml:space="preserve"> </w:t>
      </w:r>
      <w:r w:rsidR="000C3C52" w:rsidRPr="000D4CF7">
        <w:t>Re</w:t>
      </w:r>
      <w:r w:rsidR="00982E77" w:rsidRPr="000D4CF7">
        <w:t xml:space="preserve">validation is a </w:t>
      </w:r>
      <w:r w:rsidR="000D4CF7" w:rsidRPr="000D4CF7">
        <w:t xml:space="preserve">more proactive regulatory approach, </w:t>
      </w:r>
      <w:r w:rsidR="00982E77" w:rsidRPr="000D4CF7">
        <w:t xml:space="preserve">designed to ‘affirm or establish the continuing competence </w:t>
      </w:r>
      <w:r w:rsidR="00982E77" w:rsidRPr="001219AF">
        <w:t>of physicians’</w:t>
      </w:r>
      <w:r w:rsidR="00560D43" w:rsidRPr="00B916B2">
        <w:rPr>
          <w:rStyle w:val="FootnoteReference"/>
        </w:rPr>
        <w:footnoteReference w:id="17"/>
      </w:r>
      <w:r w:rsidR="00982E77" w:rsidRPr="001219AF">
        <w:t xml:space="preserve"> whilst </w:t>
      </w:r>
      <w:r w:rsidR="00882A32" w:rsidRPr="001219AF">
        <w:t xml:space="preserve">strengthening and facilitating </w:t>
      </w:r>
      <w:r w:rsidR="00620546" w:rsidRPr="001219AF">
        <w:t>ethical and professional ‘commitment to reducing errors, adhering to best practice and improving quality of care’</w:t>
      </w:r>
      <w:r w:rsidR="00560D43" w:rsidRPr="00B916B2">
        <w:rPr>
          <w:rStyle w:val="FootnoteReference"/>
        </w:rPr>
        <w:footnoteReference w:id="18"/>
      </w:r>
      <w:r w:rsidR="00E84A6E" w:rsidRPr="001219AF">
        <w:t xml:space="preserve"> by the medical profession.</w:t>
      </w:r>
      <w:r w:rsidR="00C12FFF">
        <w:t xml:space="preserve"> </w:t>
      </w:r>
      <w:r w:rsidR="009E57D4">
        <w:t xml:space="preserve">The aims of the MBA’s </w:t>
      </w:r>
      <w:r w:rsidR="00C521E1">
        <w:t>proposed regulatory reform</w:t>
      </w:r>
      <w:r w:rsidR="009E57D4">
        <w:t xml:space="preserve"> have been clear</w:t>
      </w:r>
      <w:r w:rsidR="003A74A9">
        <w:t>, in</w:t>
      </w:r>
      <w:r w:rsidR="009E57D4">
        <w:t xml:space="preserve"> that it aims for revalidation to be both a quality improvement intervention and to drive potentially transformative improvements in patient safety.</w:t>
      </w:r>
      <w:r w:rsidR="00560D43" w:rsidRPr="00B916B2">
        <w:rPr>
          <w:rStyle w:val="FootnoteReference"/>
        </w:rPr>
        <w:footnoteReference w:id="19"/>
      </w:r>
      <w:r w:rsidR="003A74A9">
        <w:t xml:space="preserve"> </w:t>
      </w:r>
      <w:r w:rsidR="007258BF">
        <w:t>Once implemented, it will be amongst the largest quality improvement and pati</w:t>
      </w:r>
      <w:r w:rsidR="00C521E1">
        <w:t>ent safety program</w:t>
      </w:r>
      <w:r>
        <w:t>mes</w:t>
      </w:r>
      <w:r w:rsidR="00C521E1">
        <w:t xml:space="preserve"> in Australia and one of the most significant reforms to medical registration</w:t>
      </w:r>
      <w:r w:rsidR="00CB2365">
        <w:t xml:space="preserve"> and regulatory performance management</w:t>
      </w:r>
      <w:r w:rsidR="00C521E1">
        <w:t xml:space="preserve"> </w:t>
      </w:r>
      <w:r w:rsidR="00CB2365">
        <w:t xml:space="preserve">systems </w:t>
      </w:r>
      <w:r w:rsidR="00C521E1">
        <w:t>ever undertaken.</w:t>
      </w:r>
      <w:r>
        <w:t xml:space="preserve"> Its implementation will be the most significant reforms to the system established by the National Law, and it promises to significantly shift the balance between law’s current contribution to constraining dangerous practice from a largely reactive stance onto a more proactive footing, including an important change in </w:t>
      </w:r>
      <w:r w:rsidRPr="00C22D8B">
        <w:t xml:space="preserve">the role of existing medico-legal practices, </w:t>
      </w:r>
      <w:r>
        <w:t>such as</w:t>
      </w:r>
      <w:r w:rsidRPr="00C22D8B">
        <w:t xml:space="preserve"> </w:t>
      </w:r>
      <w:r>
        <w:t xml:space="preserve">formal patient </w:t>
      </w:r>
      <w:r w:rsidRPr="00C22D8B">
        <w:t>complaint</w:t>
      </w:r>
      <w:r>
        <w:t xml:space="preserve"> systems. </w:t>
      </w:r>
      <w:r w:rsidR="007258BF">
        <w:t>T</w:t>
      </w:r>
      <w:r w:rsidR="001E0B05">
        <w:t xml:space="preserve">o justify the significant investment revalidation will require, </w:t>
      </w:r>
      <w:r w:rsidR="007258BF">
        <w:t xml:space="preserve">and to drive the potential benefits it aims for, </w:t>
      </w:r>
      <w:r w:rsidR="003A74A9">
        <w:t>the regulatory and practical structures must be both well-accepted by practitioners and patients, as well as fit-for-purpose.</w:t>
      </w:r>
      <w:r w:rsidR="005B723F">
        <w:t xml:space="preserve"> </w:t>
      </w:r>
    </w:p>
    <w:p w14:paraId="6316B2E6" w14:textId="77777777" w:rsidR="000236E7" w:rsidRDefault="009E57D4" w:rsidP="004C46C1">
      <w:r w:rsidRPr="001219AF">
        <w:t xml:space="preserve">A range of potential revalidation models </w:t>
      </w:r>
      <w:r w:rsidR="001E18B6">
        <w:t>have been</w:t>
      </w:r>
      <w:r w:rsidRPr="001219AF">
        <w:t xml:space="preserve"> considered</w:t>
      </w:r>
      <w:r>
        <w:t>,</w:t>
      </w:r>
      <w:r w:rsidR="00560D43" w:rsidRPr="00B916B2">
        <w:rPr>
          <w:rStyle w:val="FootnoteReference"/>
        </w:rPr>
        <w:footnoteReference w:id="20"/>
      </w:r>
      <w:r>
        <w:t xml:space="preserve"> with the MBA recently proposing its preferred approach.</w:t>
      </w:r>
      <w:r w:rsidR="00560D43" w:rsidRPr="00B916B2">
        <w:rPr>
          <w:rStyle w:val="FootnoteReference"/>
        </w:rPr>
        <w:footnoteReference w:id="21"/>
      </w:r>
      <w:r>
        <w:t xml:space="preserve"> </w:t>
      </w:r>
      <w:r w:rsidR="00387010">
        <w:t xml:space="preserve">It now plans to commission clinical advice and research towards a trial and implementation of what it has termed its ‘Professional Performance Framework’ </w:t>
      </w:r>
      <w:r w:rsidR="00387010">
        <w:fldChar w:fldCharType="begin"/>
      </w:r>
      <w:r w:rsidR="00387010">
        <w:instrText xml:space="preserve"> ADDIN ZOTERO_ITEM CSL_CITATION {"citationID":"XsD1wWWe","properties":{"formattedCitation":"(Medical Board of Australia, 2018)","plainCitation":"(Medical Board of Australia, 2018)"},"citationItems":[{"id":15758,"uris":["http://zotero.org/users/955090/items/WVVQCKMH"],"uri":["http://zotero.org/users/955090/items/WVVQCKMH"],"itemData":{"id":15758,"type":"article","multi":{"main":{},"_keys":{}},"title":"Building a Professional Performance Framework","URL":"http://www.medicalboard.gov.au/Registration/Professional-Performance-Framework.aspx","author":[{"family":"Medical Board of Australia","given":"","literal":"Medical Board of Australia","multi":{"_key":{}}}],"issued":{"raw":"2018"}}}],"schema":"https://github.com/citation-style-language/schema/raw/master/csl-citation.json"} </w:instrText>
      </w:r>
      <w:r w:rsidR="00387010">
        <w:fldChar w:fldCharType="separate"/>
      </w:r>
      <w:r w:rsidR="00387010" w:rsidRPr="00AE557D">
        <w:rPr>
          <w:rFonts w:cs="Times New Roman"/>
        </w:rPr>
        <w:t xml:space="preserve">(Medical Board of </w:t>
      </w:r>
      <w:r w:rsidR="00387010" w:rsidRPr="00AE557D">
        <w:rPr>
          <w:rFonts w:cs="Times New Roman"/>
        </w:rPr>
        <w:lastRenderedPageBreak/>
        <w:t>Australia, 2018)</w:t>
      </w:r>
      <w:r w:rsidR="00387010">
        <w:fldChar w:fldCharType="end"/>
      </w:r>
      <w:r w:rsidR="00387010">
        <w:t>, preferring not to use the term ‘revalidation’ for reasons which are not made entirely clear</w:t>
      </w:r>
      <w:r w:rsidR="000236E7">
        <w:t>, except that the proposed performance framework embeds ‘revalidation’ activities into a broader set of existing and new performance management activities</w:t>
      </w:r>
      <w:r w:rsidR="00387010">
        <w:t xml:space="preserve"> </w:t>
      </w:r>
      <w:r w:rsidR="00387010">
        <w:fldChar w:fldCharType="begin"/>
      </w:r>
      <w:r w:rsidR="00387010">
        <w:instrText xml:space="preserve"> ADDIN ZOTERO_ITEM CSL_CITATION {"citationID":"aphbqpfhm8","properties":{"formattedCitation":"(Medical Board of Australia, 2018; The Medical Board of Australia, Expert Advisory Group on Revalidation, 2017)","plainCitation":"(Medical Board of Australia, 2018; The Medical Board of Australia, Expert Advisory Group on Revalidation, 2017)"},"citationItems":[{"id":15758,"uris":["http://zotero.org/users/955090/items/WVVQCKMH"],"uri":["http://zotero.org/users/955090/items/WVVQCKMH"],"itemData":{"id":15758,"type":"article","multi":{"main":{},"_keys":{}},"title":"Building a Professional Performance Framework","URL":"http://www.medicalboard.gov.au/Registration/Professional-Performance-Framework.aspx","author":[{"family":"Medical Board of Australia","given":"","literal":"Medical Board of Australia","multi":{"_key":{}}}],"issued":{"raw":"2018"}}},{"id":15778,"uris":["http://zotero.org/users/955090/items/QDBVDKEH"],"uri":["http://zotero.org/users/955090/items/QDBVDKEH"],"itemData":{"id":15778,"type":"report","multi":{"main":{},"_keys":{}},"title":"Expert Advisory Group on Revalidation Final Report","URL":"http://www.medicalboard.gov.au/Registration/Revalidation.aspx","author":[{"literal":"The Medical Board of Australia, Expert Advisory Group on Revalidation","multi":{"_key":{}}}],"issued":{"raw":"August 2017"}}}],"schema":"https://github.com/citation-style-language/schema/raw/master/csl-citation.json"} </w:instrText>
      </w:r>
      <w:r w:rsidR="00387010">
        <w:fldChar w:fldCharType="separate"/>
      </w:r>
      <w:r w:rsidR="00387010" w:rsidRPr="00AE557D">
        <w:rPr>
          <w:rFonts w:cs="Times New Roman"/>
        </w:rPr>
        <w:t>(Medical Board of Australia, 2018; The Medical Board of Australia, Expert Advisory Group on Revalidation, 2017)</w:t>
      </w:r>
      <w:r w:rsidR="00387010">
        <w:fldChar w:fldCharType="end"/>
      </w:r>
      <w:r w:rsidR="00387010">
        <w:t xml:space="preserve">. </w:t>
      </w:r>
      <w:r w:rsidR="000236E7" w:rsidRPr="000236E7">
        <w:t>Regardless of the nomenclature, revalidation activities are part of this broader performance framework. They are referred to one a ‘pillar’ of the framework, and are named ‘Active Assurance of Safe Practice’. The MBA proposes that these revalidation aspects or ‘pillar’ of the framework operate based on a formal method for proactive identification of potential practitioner competency risk. Earlier, the MBA’s expert advisory group had proposed to achieve this by bifurcating revalidation into two separate, but related, stages.  The first stage was to consist of universally compulsory continuing professional development activities. These would be “nested” within a second stage that consists of more vigorous activities that would only apply to select medical practitioners.  These more active measures involve external or independent input or oversight and were to take on a more summative character testing that the practitioner is not only “up-to-date” but assessing if they are “fit to practise.  Much of this structure is reflected in the, currently high-level performance framework, where those medical practitioners subject to the more active appraisal and review activities (referred to as “peer review” and managing the risk of poor performance) will be selected based on a risk profile in which age, isolation, and potentially specialty and patient complaints will be considered as potential markers of risk, or in response to an identified issue of competence.</w:t>
      </w:r>
    </w:p>
    <w:p w14:paraId="2AB871F2" w14:textId="78DA1577" w:rsidR="007B34CF" w:rsidRDefault="007E0F3F" w:rsidP="004C46C1">
      <w:r>
        <w:t xml:space="preserve">On the face of the </w:t>
      </w:r>
      <w:r w:rsidR="00BD4960">
        <w:t>proposed regulatory reform</w:t>
      </w:r>
      <w:r>
        <w:t xml:space="preserve">, proactive identification of practitioners whose competency may be ‘at risk’, is a potential advance in aid of improving the quality and safety of Australian health care. Moreover, </w:t>
      </w:r>
      <w:r w:rsidR="00825C65">
        <w:t>the</w:t>
      </w:r>
      <w:r>
        <w:t xml:space="preserve"> proposal </w:t>
      </w:r>
      <w:r w:rsidR="00C521E1">
        <w:t>presents</w:t>
      </w:r>
      <w:r>
        <w:t xml:space="preserve"> a potentially efficient</w:t>
      </w:r>
      <w:r w:rsidRPr="001219AF">
        <w:t xml:space="preserve"> way of driving </w:t>
      </w:r>
      <w:r>
        <w:t xml:space="preserve">that aim through </w:t>
      </w:r>
      <w:r w:rsidR="00C521E1">
        <w:t>its proposed</w:t>
      </w:r>
      <w:r>
        <w:t xml:space="preserve"> utilisation of</w:t>
      </w:r>
      <w:r w:rsidR="00825C65">
        <w:t xml:space="preserve"> a </w:t>
      </w:r>
      <w:r w:rsidR="006C132A">
        <w:t>risk-based</w:t>
      </w:r>
      <w:r w:rsidR="00BD4960">
        <w:t xml:space="preserve"> regulatory approach</w:t>
      </w:r>
      <w:r w:rsidR="006C132A">
        <w:t>;</w:t>
      </w:r>
      <w:r w:rsidR="00825C65">
        <w:t xml:space="preserve"> a method </w:t>
      </w:r>
      <w:r w:rsidR="007E6D45">
        <w:t>that</w:t>
      </w:r>
      <w:r>
        <w:t xml:space="preserve"> finds support in recent research </w:t>
      </w:r>
      <w:r w:rsidR="00825C65">
        <w:t>using</w:t>
      </w:r>
      <w:r w:rsidR="00825C65" w:rsidRPr="001219AF">
        <w:t xml:space="preserve"> </w:t>
      </w:r>
      <w:r w:rsidR="00825C65">
        <w:t xml:space="preserve">existing Australian </w:t>
      </w:r>
      <w:r w:rsidR="00825C65" w:rsidRPr="001219AF">
        <w:t>complaint</w:t>
      </w:r>
      <w:r w:rsidR="00825C65">
        <w:t xml:space="preserve">s and investigation data </w:t>
      </w:r>
      <w:r w:rsidR="007E6D45">
        <w:t>that</w:t>
      </w:r>
      <w:r>
        <w:t xml:space="preserve"> revealed that a</w:t>
      </w:r>
      <w:r w:rsidRPr="001219AF">
        <w:t xml:space="preserve"> small group of Australian doctors (3%) attract half of all complaints, and </w:t>
      </w:r>
      <w:r>
        <w:t xml:space="preserve">an </w:t>
      </w:r>
      <w:r w:rsidRPr="001219AF">
        <w:t>even smaller group (1%) a quarter of all complaints.</w:t>
      </w:r>
      <w:r w:rsidRPr="00B916B2">
        <w:rPr>
          <w:rStyle w:val="FootnoteReference"/>
        </w:rPr>
        <w:footnoteReference w:id="22"/>
      </w:r>
      <w:r w:rsidR="00825C65">
        <w:t xml:space="preserve"> </w:t>
      </w:r>
      <w:r w:rsidR="006C132A">
        <w:t xml:space="preserve">Most notable, however, </w:t>
      </w:r>
      <w:r w:rsidR="007B34CF">
        <w:t xml:space="preserve">is that </w:t>
      </w:r>
      <w:r w:rsidR="00825C65">
        <w:t>t</w:t>
      </w:r>
      <w:r w:rsidR="004C46C1">
        <w:t>he proposed model places the ‘voice’ of the public</w:t>
      </w:r>
      <w:r w:rsidR="00825807">
        <w:t xml:space="preserve"> and existing, but underutilised, medico-legal practices and data sources such as patient complaints,</w:t>
      </w:r>
      <w:r w:rsidR="004C46C1">
        <w:t xml:space="preserve"> at the heart of medical </w:t>
      </w:r>
      <w:r w:rsidR="00BD4960">
        <w:t>registration regulation</w:t>
      </w:r>
      <w:r w:rsidR="004C46C1">
        <w:t xml:space="preserve"> in a way not seen in Australia before. </w:t>
      </w:r>
      <w:r w:rsidR="00BD4960">
        <w:t>Existing patient-initiated medico-legal complaints data has directly shaped the proposed risk-stratification model.</w:t>
      </w:r>
      <w:r w:rsidR="004C1290" w:rsidRPr="00B916B2">
        <w:rPr>
          <w:rStyle w:val="FootnoteReference"/>
        </w:rPr>
        <w:footnoteReference w:id="23"/>
      </w:r>
      <w:r w:rsidR="00BD4960">
        <w:t xml:space="preserve"> Patient c</w:t>
      </w:r>
      <w:r w:rsidR="004C46C1">
        <w:t xml:space="preserve">omplaints, compliments and </w:t>
      </w:r>
      <w:r w:rsidR="00BD4960">
        <w:t>input into</w:t>
      </w:r>
      <w:r w:rsidR="004C46C1">
        <w:t xml:space="preserve"> </w:t>
      </w:r>
      <w:r w:rsidR="007B34CF">
        <w:t xml:space="preserve">‘multi-source’ </w:t>
      </w:r>
      <w:r w:rsidR="004C46C1">
        <w:t xml:space="preserve">feedback will be </w:t>
      </w:r>
      <w:r w:rsidR="006C132A">
        <w:t xml:space="preserve">directly and compulsorily </w:t>
      </w:r>
      <w:r w:rsidR="004C46C1">
        <w:t>integrated into the universally man</w:t>
      </w:r>
      <w:r w:rsidR="00BD4960">
        <w:t>dated component of revalidation. So too will patient-sourced</w:t>
      </w:r>
      <w:r w:rsidR="006C132A">
        <w:t xml:space="preserve"> and </w:t>
      </w:r>
      <w:r w:rsidR="00BD4960">
        <w:t xml:space="preserve">other </w:t>
      </w:r>
      <w:r w:rsidR="006C132A">
        <w:t>related</w:t>
      </w:r>
      <w:r w:rsidR="004C46C1">
        <w:t xml:space="preserve"> data </w:t>
      </w:r>
      <w:r w:rsidR="006C132A">
        <w:t xml:space="preserve">then </w:t>
      </w:r>
      <w:r w:rsidR="004C46C1">
        <w:t xml:space="preserve">drive the availability or application of </w:t>
      </w:r>
      <w:r w:rsidR="006C132A">
        <w:t xml:space="preserve">the second more intensive revalidation stage, and thus any </w:t>
      </w:r>
      <w:r w:rsidR="004C46C1">
        <w:t>remediation activity</w:t>
      </w:r>
      <w:r w:rsidR="006C132A">
        <w:t xml:space="preserve"> prescribed for </w:t>
      </w:r>
      <w:r w:rsidR="00BD4960">
        <w:t>an Australian</w:t>
      </w:r>
      <w:r w:rsidR="006C132A">
        <w:t xml:space="preserve"> medical practitioner</w:t>
      </w:r>
      <w:r w:rsidR="004C46C1">
        <w:t>.</w:t>
      </w:r>
      <w:r w:rsidR="007D62CF">
        <w:t xml:space="preserve"> </w:t>
      </w:r>
      <w:r w:rsidR="007B34CF">
        <w:t>If the reform proceeds in this way, this will differentiate the Australian system in a material way from the otherwise</w:t>
      </w:r>
      <w:r w:rsidR="007B34CF" w:rsidRPr="001219AF">
        <w:t xml:space="preserve"> ‘notable absence’</w:t>
      </w:r>
      <w:r w:rsidR="007B34CF" w:rsidRPr="00B916B2">
        <w:rPr>
          <w:rStyle w:val="FootnoteReference"/>
        </w:rPr>
        <w:footnoteReference w:id="24"/>
      </w:r>
      <w:r w:rsidR="007B34CF" w:rsidRPr="001219AF">
        <w:t xml:space="preserve"> of the patient in this health regulation and policy context</w:t>
      </w:r>
      <w:r w:rsidR="006C132A">
        <w:t xml:space="preserve"> noted by others, where in the UK for example, one recent reflection noted approvingly that ‘[</w:t>
      </w:r>
      <w:proofErr w:type="spellStart"/>
      <w:r w:rsidR="006C132A">
        <w:t>i</w:t>
      </w:r>
      <w:proofErr w:type="spellEnd"/>
      <w:r w:rsidR="006C132A">
        <w:t>]</w:t>
      </w:r>
      <w:proofErr w:type="spellStart"/>
      <w:r w:rsidR="006C132A" w:rsidRPr="00FD62DA">
        <w:t>mportantly</w:t>
      </w:r>
      <w:proofErr w:type="spellEnd"/>
      <w:r w:rsidR="006C132A" w:rsidRPr="00FD62DA">
        <w:t>, the public’s direct input</w:t>
      </w:r>
      <w:r w:rsidR="00E05966">
        <w:t xml:space="preserve"> [into a decision as to whether a GP may be revalidated]</w:t>
      </w:r>
      <w:r w:rsidR="006C132A" w:rsidRPr="00FD62DA">
        <w:t xml:space="preserve"> is restricted to patient satisfaction questionnaires…</w:t>
      </w:r>
      <w:r w:rsidR="006C132A">
        <w:t>’</w:t>
      </w:r>
      <w:r w:rsidR="006C132A" w:rsidRPr="00B916B2">
        <w:rPr>
          <w:rStyle w:val="FootnoteReference"/>
        </w:rPr>
        <w:footnoteReference w:id="25"/>
      </w:r>
    </w:p>
    <w:p w14:paraId="1283881A" w14:textId="4B57DAA0" w:rsidR="00F70683" w:rsidRDefault="004C1290" w:rsidP="00F70683">
      <w:pPr>
        <w:spacing w:line="290" w:lineRule="atLeast"/>
      </w:pPr>
      <w:r>
        <w:t>T</w:t>
      </w:r>
      <w:r w:rsidR="004C46C1">
        <w:t xml:space="preserve">his </w:t>
      </w:r>
      <w:r w:rsidR="00CF627A">
        <w:t>article</w:t>
      </w:r>
      <w:r w:rsidR="007B34CF">
        <w:t xml:space="preserve"> </w:t>
      </w:r>
      <w:r w:rsidR="0081176A">
        <w:t xml:space="preserve">examines the regulatory context of revalidation. So too does it </w:t>
      </w:r>
      <w:r w:rsidR="007B34CF">
        <w:t>determine</w:t>
      </w:r>
      <w:r w:rsidR="007B34CF" w:rsidRPr="007B34CF">
        <w:rPr>
          <w:rFonts w:cs="Times New Roman"/>
          <w:color w:val="000000"/>
          <w:lang w:eastAsia="en-GB"/>
        </w:rPr>
        <w:t xml:space="preserve"> the Australian general public’s acceptance of and preferred model for </w:t>
      </w:r>
      <w:r>
        <w:rPr>
          <w:rFonts w:cs="Times New Roman"/>
          <w:color w:val="000000"/>
          <w:lang w:eastAsia="en-GB"/>
        </w:rPr>
        <w:t xml:space="preserve">the reform of </w:t>
      </w:r>
      <w:r w:rsidR="007B34CF" w:rsidRPr="007B34CF">
        <w:rPr>
          <w:rFonts w:cs="Times New Roman"/>
          <w:color w:val="000000"/>
          <w:lang w:eastAsia="en-GB"/>
        </w:rPr>
        <w:t xml:space="preserve">medical registration </w:t>
      </w:r>
      <w:r>
        <w:rPr>
          <w:rFonts w:cs="Times New Roman"/>
          <w:color w:val="000000"/>
          <w:lang w:eastAsia="en-GB"/>
        </w:rPr>
        <w:t>regulation</w:t>
      </w:r>
      <w:r w:rsidR="000E776A">
        <w:rPr>
          <w:rFonts w:cs="Times New Roman"/>
          <w:color w:val="000000"/>
          <w:lang w:eastAsia="en-GB"/>
        </w:rPr>
        <w:t xml:space="preserve">. </w:t>
      </w:r>
      <w:r w:rsidRPr="001219AF">
        <w:t xml:space="preserve">Inspired by this interest in revalidation approaches </w:t>
      </w:r>
      <w:r>
        <w:t>that</w:t>
      </w:r>
      <w:r w:rsidRPr="001219AF">
        <w:t xml:space="preserve"> emphasise the </w:t>
      </w:r>
      <w:r>
        <w:t>‘</w:t>
      </w:r>
      <w:r w:rsidRPr="001219AF">
        <w:t>voice</w:t>
      </w:r>
      <w:r>
        <w:t>’</w:t>
      </w:r>
      <w:r w:rsidRPr="001219AF">
        <w:t xml:space="preserve"> of the public,</w:t>
      </w:r>
      <w:r>
        <w:t xml:space="preserve"> w</w:t>
      </w:r>
      <w:r w:rsidR="000E776A">
        <w:t>e do so by application of a novel empirical legal method, namely a</w:t>
      </w:r>
      <w:r w:rsidR="007B34CF">
        <w:t xml:space="preserve"> discrete choice </w:t>
      </w:r>
      <w:r w:rsidR="00AB63D6">
        <w:t>experiment</w:t>
      </w:r>
      <w:r w:rsidR="007B34CF">
        <w:t xml:space="preserve"> (‘DCE’) </w:t>
      </w:r>
      <w:r w:rsidR="007B34CF" w:rsidRPr="007B34CF">
        <w:rPr>
          <w:rFonts w:cs="Times New Roman"/>
          <w:color w:val="000000"/>
          <w:lang w:eastAsia="en-GB"/>
        </w:rPr>
        <w:t>and qualitative methods to support instrument development.</w:t>
      </w:r>
      <w:r w:rsidR="007B34CF" w:rsidRPr="007B34CF">
        <w:rPr>
          <w:rFonts w:cs="Times New Roman"/>
          <w:b/>
          <w:bCs/>
          <w:color w:val="000000"/>
          <w:lang w:eastAsia="en-GB"/>
        </w:rPr>
        <w:t> </w:t>
      </w:r>
      <w:r w:rsidR="007B34CF" w:rsidRPr="001219AF">
        <w:t xml:space="preserve">We understand this to be the first application of </w:t>
      </w:r>
      <w:r w:rsidR="00F70683">
        <w:t>the</w:t>
      </w:r>
      <w:r w:rsidR="007B34CF" w:rsidRPr="001219AF">
        <w:t xml:space="preserve"> </w:t>
      </w:r>
      <w:r w:rsidR="00F70683">
        <w:t xml:space="preserve">DCE </w:t>
      </w:r>
      <w:r w:rsidR="007B34CF" w:rsidRPr="001219AF">
        <w:t>method to this question</w:t>
      </w:r>
      <w:r>
        <w:t xml:space="preserve">. So too, does the application of this method develop our understanding of the use of discrete choice as a way of eliciting information regarding the general public’s preference in relation to a </w:t>
      </w:r>
      <w:r w:rsidR="006E2D17">
        <w:t xml:space="preserve">legal and </w:t>
      </w:r>
      <w:r>
        <w:t xml:space="preserve">regulatory </w:t>
      </w:r>
      <w:r w:rsidR="006E2D17">
        <w:t>r</w:t>
      </w:r>
      <w:r>
        <w:t>eform.</w:t>
      </w:r>
    </w:p>
    <w:p w14:paraId="4D7BA229" w14:textId="37A664D7" w:rsidR="007B34CF" w:rsidRDefault="00F70683" w:rsidP="00F70683">
      <w:pPr>
        <w:spacing w:line="290" w:lineRule="atLeast"/>
      </w:pPr>
      <w:r>
        <w:t xml:space="preserve">We proceed by </w:t>
      </w:r>
      <w:r w:rsidR="004C1290">
        <w:t xml:space="preserve">first </w:t>
      </w:r>
      <w:r>
        <w:t xml:space="preserve">engaging with the existing regulatory performance management context in Australia. </w:t>
      </w:r>
      <w:r w:rsidR="004C1290">
        <w:t>We provide a</w:t>
      </w:r>
      <w:r>
        <w:t xml:space="preserve"> review </w:t>
      </w:r>
      <w:r w:rsidR="004C1290">
        <w:t xml:space="preserve"> of </w:t>
      </w:r>
      <w:r>
        <w:t>available options and processes for the management of unprofessional conduct and professional misconduct, as well as the ‘health pathwa</w:t>
      </w:r>
      <w:r w:rsidR="004C1290">
        <w:t>y’ for responding to impairment in Part II.</w:t>
      </w:r>
      <w:r>
        <w:t xml:space="preserve"> In Part </w:t>
      </w:r>
      <w:r w:rsidR="004C1290">
        <w:t>III</w:t>
      </w:r>
      <w:r>
        <w:t xml:space="preserve">, we consider the methodological aspects of Discrete Choice Experiments in the regulatory and policy field, and present our designed experiment. In Part </w:t>
      </w:r>
      <w:r w:rsidR="004C1290">
        <w:t>I</w:t>
      </w:r>
      <w:r>
        <w:t xml:space="preserve">V we present the results of the experiment, followed by discussion and analysis of its implications in Part </w:t>
      </w:r>
      <w:r w:rsidR="004C1290">
        <w:t>V</w:t>
      </w:r>
      <w:r>
        <w:t xml:space="preserve"> by way of conclusion.</w:t>
      </w:r>
    </w:p>
    <w:p w14:paraId="08972BA6" w14:textId="77777777" w:rsidR="00E57116" w:rsidRDefault="00E57116" w:rsidP="00F70683">
      <w:pPr>
        <w:spacing w:line="290" w:lineRule="atLeast"/>
      </w:pPr>
    </w:p>
    <w:p w14:paraId="6063C718" w14:textId="79DD85B1" w:rsidR="009F59B5" w:rsidRDefault="009F59B5" w:rsidP="009F59B5">
      <w:pPr>
        <w:pStyle w:val="Heading1"/>
      </w:pPr>
      <w:r>
        <w:t>Background: Healthcare Quality and Safety</w:t>
      </w:r>
      <w:r w:rsidR="007B7FBF">
        <w:t>, Medical Practitioner Registration</w:t>
      </w:r>
      <w:r>
        <w:t xml:space="preserve"> &amp; Revalidation</w:t>
      </w:r>
    </w:p>
    <w:p w14:paraId="0CD168AC" w14:textId="1C36A486" w:rsidR="00BD4960" w:rsidRDefault="00C521E1" w:rsidP="007B7FBF">
      <w:r>
        <w:rPr>
          <w:lang w:val="en-GB"/>
        </w:rPr>
        <w:t xml:space="preserve">The introduction of revalidation processes as a way of assuring adequate clinical standards </w:t>
      </w:r>
      <w:r w:rsidR="00C7205A">
        <w:rPr>
          <w:lang w:val="en-GB"/>
        </w:rPr>
        <w:t>seems to have gained traction</w:t>
      </w:r>
      <w:r>
        <w:rPr>
          <w:lang w:val="en-GB"/>
        </w:rPr>
        <w:t xml:space="preserve"> </w:t>
      </w:r>
      <w:r w:rsidR="002C2103">
        <w:rPr>
          <w:lang w:val="en-GB"/>
        </w:rPr>
        <w:t xml:space="preserve">in Australia </w:t>
      </w:r>
      <w:r>
        <w:rPr>
          <w:lang w:val="en-GB"/>
        </w:rPr>
        <w:t>after the Patel affair</w:t>
      </w:r>
      <w:r w:rsidR="00E70B83">
        <w:rPr>
          <w:lang w:val="en-GB"/>
        </w:rPr>
        <w:t>.</w:t>
      </w:r>
      <w:r w:rsidRPr="00B916B2">
        <w:rPr>
          <w:rStyle w:val="FootnoteReference"/>
        </w:rPr>
        <w:footnoteReference w:id="26"/>
      </w:r>
      <w:r>
        <w:rPr>
          <w:lang w:val="en-GB"/>
        </w:rPr>
        <w:t xml:space="preserve"> </w:t>
      </w:r>
      <w:r w:rsidR="00991200">
        <w:t>Dr Jayant Patel – who had been dubbed ‘Dr Death’</w:t>
      </w:r>
      <w:r w:rsidR="00991200" w:rsidRPr="00B916B2">
        <w:rPr>
          <w:rStyle w:val="FootnoteReference"/>
        </w:rPr>
        <w:footnoteReference w:id="27"/>
      </w:r>
      <w:r w:rsidR="00991200">
        <w:t xml:space="preserve"> by his own medical colleagues – </w:t>
      </w:r>
      <w:r w:rsidR="00A02C07">
        <w:t>was accused of causing</w:t>
      </w:r>
      <w:r w:rsidR="00991200">
        <w:t xml:space="preserve"> widespread, serious harm and death,</w:t>
      </w:r>
      <w:r w:rsidR="00991200" w:rsidRPr="00B916B2">
        <w:rPr>
          <w:rStyle w:val="FootnoteReference"/>
        </w:rPr>
        <w:footnoteReference w:id="28"/>
      </w:r>
      <w:r w:rsidR="00991200">
        <w:t xml:space="preserve"> </w:t>
      </w:r>
      <w:r w:rsidR="00C24245">
        <w:t xml:space="preserve">during his tenure as Director of Surgery at Bundaberg Base Hospital in Queensland. In subsequent reviews and inquiries, </w:t>
      </w:r>
      <w:r w:rsidR="00991200">
        <w:t>it became clear that patterns of harm had been disregarded and inadequately managed by practitioners</w:t>
      </w:r>
      <w:r w:rsidR="00C24245">
        <w:t>,</w:t>
      </w:r>
      <w:r w:rsidR="00991200">
        <w:t xml:space="preserve"> medical and other managers</w:t>
      </w:r>
      <w:r w:rsidR="00C24245">
        <w:t xml:space="preserve"> and the regulatory system itself.</w:t>
      </w:r>
      <w:r w:rsidR="00991200" w:rsidRPr="00B916B2">
        <w:rPr>
          <w:rStyle w:val="FootnoteReference"/>
        </w:rPr>
        <w:footnoteReference w:id="29"/>
      </w:r>
      <w:r w:rsidR="00991200">
        <w:t xml:space="preserve"> </w:t>
      </w:r>
      <w:r w:rsidR="00C24245">
        <w:t>W</w:t>
      </w:r>
      <w:r w:rsidR="00991200">
        <w:t>hilst Patel went on to face multiple manslaughter charges for his role at Bundaberg</w:t>
      </w:r>
      <w:r w:rsidR="00C24245">
        <w:t>,</w:t>
      </w:r>
      <w:r w:rsidR="00991200" w:rsidRPr="00B916B2">
        <w:rPr>
          <w:rStyle w:val="FootnoteReference"/>
        </w:rPr>
        <w:footnoteReference w:id="30"/>
      </w:r>
      <w:r w:rsidR="00C24245">
        <w:t xml:space="preserve"> </w:t>
      </w:r>
      <w:r w:rsidR="00991200">
        <w:t>he was first found guilty, and then, upon retrial following a miscarriage of justice,</w:t>
      </w:r>
      <w:r w:rsidR="00991200" w:rsidRPr="00B916B2">
        <w:rPr>
          <w:rStyle w:val="FootnoteReference"/>
        </w:rPr>
        <w:footnoteReference w:id="31"/>
      </w:r>
      <w:r w:rsidR="00991200">
        <w:t xml:space="preserve"> not guilty.</w:t>
      </w:r>
      <w:r w:rsidR="00991200" w:rsidRPr="00B916B2">
        <w:rPr>
          <w:rStyle w:val="FootnoteReference"/>
        </w:rPr>
        <w:footnoteReference w:id="32"/>
      </w:r>
      <w:r w:rsidR="00991200">
        <w:t xml:space="preserve"> He ended the almost decade-long legal process with a guilty plea in relation to four counts of fraud.</w:t>
      </w:r>
      <w:r w:rsidR="00991200" w:rsidRPr="00B916B2">
        <w:rPr>
          <w:rStyle w:val="FootnoteReference"/>
        </w:rPr>
        <w:footnoteReference w:id="33"/>
      </w:r>
      <w:r w:rsidR="00991200">
        <w:t xml:space="preserve"> He immediately flew back to the United States, where he had earlier been </w:t>
      </w:r>
      <w:r w:rsidR="00C24245">
        <w:t>de-registered or restricted</w:t>
      </w:r>
      <w:r w:rsidR="00991200">
        <w:t xml:space="preserve"> </w:t>
      </w:r>
      <w:r w:rsidR="00C24245">
        <w:t>in his practise of</w:t>
      </w:r>
      <w:r w:rsidR="00991200">
        <w:t xml:space="preserve"> medicine, some years before taking up the role at Bundaberg.</w:t>
      </w:r>
      <w:r w:rsidR="00BD4960">
        <w:t xml:space="preserve"> </w:t>
      </w:r>
      <w:r w:rsidR="004C1290">
        <w:t xml:space="preserve">The associated media and political process was significant, with a series </w:t>
      </w:r>
      <w:r w:rsidR="00CA3844">
        <w:t>of public inquiries, and an intensified focus on the quality and safety of healthcare.</w:t>
      </w:r>
      <w:r w:rsidR="00CA3844" w:rsidRPr="00B916B2">
        <w:rPr>
          <w:rStyle w:val="FootnoteReference"/>
        </w:rPr>
        <w:footnoteReference w:id="34"/>
      </w:r>
    </w:p>
    <w:p w14:paraId="61B029AE" w14:textId="2A6DD277" w:rsidR="00FB509E" w:rsidRDefault="007556D8" w:rsidP="007B7FBF">
      <w:pPr>
        <w:rPr>
          <w:lang w:val="en-GB"/>
        </w:rPr>
      </w:pPr>
      <w:r>
        <w:t xml:space="preserve">Patel is, of course, not the only Australian medical practitioner to have demonstrated practice below </w:t>
      </w:r>
      <w:r w:rsidR="00BD4960">
        <w:t>acceptable competency standard</w:t>
      </w:r>
      <w:r w:rsidR="002534E9">
        <w:t>.</w:t>
      </w:r>
      <w:r w:rsidR="00A02C07" w:rsidRPr="00B916B2">
        <w:rPr>
          <w:rStyle w:val="FootnoteReference"/>
        </w:rPr>
        <w:footnoteReference w:id="35"/>
      </w:r>
      <w:r w:rsidR="00A02C07">
        <w:t xml:space="preserve"> Nor is he the only one to have challenged the effective working of our regulatory schemes.</w:t>
      </w:r>
      <w:r>
        <w:t xml:space="preserve"> </w:t>
      </w:r>
      <w:r>
        <w:rPr>
          <w:lang w:val="en-GB"/>
        </w:rPr>
        <w:t xml:space="preserve">Helen Kiel notes in recent work on regulating impaired doctors that there is </w:t>
      </w:r>
      <w:r w:rsidR="002534E9">
        <w:rPr>
          <w:lang w:val="en-GB"/>
        </w:rPr>
        <w:t>a</w:t>
      </w:r>
      <w:r>
        <w:rPr>
          <w:lang w:val="en-GB"/>
        </w:rPr>
        <w:t xml:space="preserve"> significant body of research and opinion ab</w:t>
      </w:r>
      <w:r w:rsidR="00BD4960">
        <w:rPr>
          <w:lang w:val="en-GB"/>
        </w:rPr>
        <w:t>out so-called ‘problem doctors’</w:t>
      </w:r>
      <w:r w:rsidRPr="00B916B2">
        <w:rPr>
          <w:rStyle w:val="FootnoteReference"/>
        </w:rPr>
        <w:footnoteReference w:id="36"/>
      </w:r>
      <w:r w:rsidR="005F2F49">
        <w:rPr>
          <w:lang w:val="en-GB"/>
        </w:rPr>
        <w:t xml:space="preserve"> and</w:t>
      </w:r>
      <w:r w:rsidR="00BD4960">
        <w:rPr>
          <w:lang w:val="en-GB"/>
        </w:rPr>
        <w:t xml:space="preserve"> </w:t>
      </w:r>
      <w:r w:rsidR="002534E9">
        <w:rPr>
          <w:lang w:val="en-GB"/>
        </w:rPr>
        <w:t>re</w:t>
      </w:r>
      <w:r w:rsidR="00A02C07">
        <w:rPr>
          <w:lang w:val="en-GB"/>
        </w:rPr>
        <w:t>gulatory performance management</w:t>
      </w:r>
      <w:r w:rsidR="005F2F49">
        <w:rPr>
          <w:lang w:val="en-GB"/>
        </w:rPr>
        <w:t>.</w:t>
      </w:r>
      <w:r w:rsidR="00A02C07">
        <w:rPr>
          <w:lang w:val="en-GB"/>
        </w:rPr>
        <w:t xml:space="preserve"> </w:t>
      </w:r>
      <w:r w:rsidR="005F2F49">
        <w:rPr>
          <w:lang w:val="en-GB"/>
        </w:rPr>
        <w:t>So</w:t>
      </w:r>
      <w:r w:rsidR="000600CC">
        <w:rPr>
          <w:lang w:val="en-GB"/>
        </w:rPr>
        <w:t>me</w:t>
      </w:r>
      <w:r w:rsidR="005F2F49">
        <w:rPr>
          <w:lang w:val="en-GB"/>
        </w:rPr>
        <w:t xml:space="preserve"> of what</w:t>
      </w:r>
      <w:r w:rsidR="00A02C07">
        <w:rPr>
          <w:lang w:val="en-GB"/>
        </w:rPr>
        <w:t xml:space="preserve"> </w:t>
      </w:r>
      <w:r w:rsidR="00991200">
        <w:t xml:space="preserve">marks </w:t>
      </w:r>
      <w:r w:rsidR="00A02C07">
        <w:t>that</w:t>
      </w:r>
      <w:r w:rsidR="00991200">
        <w:t xml:space="preserve"> schola</w:t>
      </w:r>
      <w:r w:rsidR="00A02C07">
        <w:t xml:space="preserve">rly and professional literature is </w:t>
      </w:r>
      <w:r w:rsidR="000600CC">
        <w:t>both significant gaps or silences and c</w:t>
      </w:r>
      <w:r w:rsidR="00E57116">
        <w:t>laim</w:t>
      </w:r>
      <w:r w:rsidR="000600CC">
        <w:t>s</w:t>
      </w:r>
      <w:r w:rsidR="00E57116">
        <w:t xml:space="preserve"> that </w:t>
      </w:r>
      <w:r w:rsidR="00991200">
        <w:t>both informal and formal regulatory performance management systems ha</w:t>
      </w:r>
      <w:r w:rsidR="00A02C07">
        <w:t>ve</w:t>
      </w:r>
      <w:r w:rsidR="00991200">
        <w:t xml:space="preserve"> failed</w:t>
      </w:r>
      <w:r w:rsidR="005F2F49">
        <w:t xml:space="preserve"> either the public, the health system, doctors themselves, or all three.</w:t>
      </w:r>
      <w:r w:rsidR="00991200">
        <w:t xml:space="preserve"> </w:t>
      </w:r>
      <w:r w:rsidR="00FB509E">
        <w:t xml:space="preserve">For this reason, </w:t>
      </w:r>
      <w:r w:rsidR="000600CC">
        <w:t xml:space="preserve">recent </w:t>
      </w:r>
      <w:r w:rsidR="00FB509E">
        <w:rPr>
          <w:lang w:val="en-GB"/>
        </w:rPr>
        <w:t>c</w:t>
      </w:r>
      <w:r w:rsidR="00E57116">
        <w:rPr>
          <w:lang w:val="en-GB"/>
        </w:rPr>
        <w:t>onsideration of the</w:t>
      </w:r>
      <w:r w:rsidR="00FD62DA" w:rsidRPr="00FD62DA">
        <w:rPr>
          <w:lang w:val="en-GB"/>
        </w:rPr>
        <w:t xml:space="preserve"> </w:t>
      </w:r>
      <w:r w:rsidR="00F679E9">
        <w:rPr>
          <w:lang w:val="en-GB"/>
        </w:rPr>
        <w:t>‘</w:t>
      </w:r>
      <w:r w:rsidR="00FD62DA" w:rsidRPr="00FD62DA">
        <w:rPr>
          <w:lang w:val="en-GB"/>
        </w:rPr>
        <w:t>optimal function of regulators</w:t>
      </w:r>
      <w:r w:rsidR="00FB509E">
        <w:rPr>
          <w:lang w:val="en-GB"/>
        </w:rPr>
        <w:t>’</w:t>
      </w:r>
      <w:r w:rsidR="00E70B83" w:rsidRPr="00B916B2">
        <w:rPr>
          <w:rStyle w:val="FootnoteReference"/>
        </w:rPr>
        <w:footnoteReference w:id="37"/>
      </w:r>
      <w:r w:rsidR="00FB509E">
        <w:rPr>
          <w:lang w:val="en-GB"/>
        </w:rPr>
        <w:t xml:space="preserve"> has </w:t>
      </w:r>
      <w:r w:rsidR="000600CC">
        <w:rPr>
          <w:lang w:val="en-GB"/>
        </w:rPr>
        <w:t>focused on</w:t>
      </w:r>
      <w:r w:rsidR="00FB509E">
        <w:rPr>
          <w:lang w:val="en-GB"/>
        </w:rPr>
        <w:t xml:space="preserve"> both</w:t>
      </w:r>
      <w:r w:rsidR="000600CC">
        <w:rPr>
          <w:lang w:val="en-GB"/>
        </w:rPr>
        <w:t xml:space="preserve"> the</w:t>
      </w:r>
      <w:r w:rsidR="00FB509E">
        <w:rPr>
          <w:lang w:val="en-GB"/>
        </w:rPr>
        <w:t xml:space="preserve"> regulator’s willingness, and ability, to move beyond complaint or notification investigation after poor conduct has been discovered</w:t>
      </w:r>
      <w:r w:rsidR="000600CC">
        <w:rPr>
          <w:lang w:val="en-GB"/>
        </w:rPr>
        <w:t xml:space="preserve">, towards a </w:t>
      </w:r>
      <w:r w:rsidR="00FB509E">
        <w:rPr>
          <w:lang w:val="en-GB"/>
        </w:rPr>
        <w:t>more active stance, directing their energies towards proactive identification of poor performance.</w:t>
      </w:r>
      <w:r w:rsidR="00FD62DA" w:rsidRPr="00B916B2">
        <w:rPr>
          <w:rStyle w:val="FootnoteReference"/>
        </w:rPr>
        <w:footnoteReference w:id="38"/>
      </w:r>
      <w:r w:rsidR="009E75EA">
        <w:rPr>
          <w:lang w:val="en-GB"/>
        </w:rPr>
        <w:t xml:space="preserve"> </w:t>
      </w:r>
      <w:r w:rsidR="009A0666">
        <w:rPr>
          <w:lang w:val="en-GB"/>
        </w:rPr>
        <w:t>This move has been described by Kiel as ‘changing hindsight into foresight’.</w:t>
      </w:r>
      <w:r w:rsidR="009A0666">
        <w:rPr>
          <w:rStyle w:val="FootnoteReference"/>
          <w:lang w:val="en-GB"/>
        </w:rPr>
        <w:footnoteReference w:id="39"/>
      </w:r>
    </w:p>
    <w:p w14:paraId="7B87C70C" w14:textId="0B813AC6" w:rsidR="00FB509E" w:rsidRPr="007556D8" w:rsidRDefault="00FB509E" w:rsidP="007B7FBF">
      <w:pPr>
        <w:pStyle w:val="Heading2"/>
      </w:pPr>
      <w:r>
        <w:t>The Regulation of Me</w:t>
      </w:r>
      <w:r w:rsidR="00480BD4">
        <w:t>dical Practitioner Registration: The National Law</w:t>
      </w:r>
    </w:p>
    <w:p w14:paraId="4F478819" w14:textId="6A4AF46C" w:rsidR="00716130" w:rsidRDefault="003426A5" w:rsidP="007B7FBF">
      <w:r>
        <w:rPr>
          <w:lang w:val="en-GB"/>
        </w:rPr>
        <w:t>In the Australian context, the question of a more forward-looking regulatory response to medical practitioner competency must focus upon the national system of regulation, its operation and its impact.</w:t>
      </w:r>
      <w:r w:rsidRPr="00B916B2">
        <w:rPr>
          <w:rStyle w:val="FootnoteReference"/>
        </w:rPr>
        <w:footnoteReference w:id="40"/>
      </w:r>
      <w:r>
        <w:t xml:space="preserve"> </w:t>
      </w:r>
      <w:r w:rsidR="007B7FBF">
        <w:rPr>
          <w:lang w:val="en-GB"/>
        </w:rPr>
        <w:t>A</w:t>
      </w:r>
      <w:r w:rsidR="007B7FBF" w:rsidRPr="00650BF6">
        <w:t xml:space="preserve"> variety of actors contribute to professional registration and disci</w:t>
      </w:r>
      <w:r w:rsidR="007B7FBF">
        <w:t>plinary regulation in Australia.</w:t>
      </w:r>
      <w:r w:rsidR="007B7FBF" w:rsidRPr="00B916B2">
        <w:rPr>
          <w:rStyle w:val="FootnoteReference"/>
        </w:rPr>
        <w:footnoteReference w:id="41"/>
      </w:r>
      <w:r w:rsidR="007B7FBF">
        <w:t xml:space="preserve"> T</w:t>
      </w:r>
      <w:r w:rsidR="007B7FBF" w:rsidRPr="00650BF6">
        <w:t xml:space="preserve">he powers to grant and administer health practitioner registration exists, like all of health law and regulation, </w:t>
      </w:r>
      <w:r w:rsidR="007B7FBF">
        <w:t xml:space="preserve">in a </w:t>
      </w:r>
      <w:r w:rsidR="007B7FBF" w:rsidRPr="00650BF6">
        <w:t>complex and overlapping ‘institutional constellation’</w:t>
      </w:r>
      <w:r w:rsidR="007B7FBF" w:rsidRPr="00B916B2">
        <w:rPr>
          <w:rStyle w:val="FootnoteReference"/>
        </w:rPr>
        <w:footnoteReference w:id="42"/>
      </w:r>
      <w:r w:rsidR="007B7FBF" w:rsidRPr="00650BF6">
        <w:t xml:space="preserve"> within which government, professions, market, and civil society actors operate to regulate at the health service entity, state or territory, national, inter-governmental and supra-national levels.</w:t>
      </w:r>
      <w:r w:rsidR="0096377F" w:rsidRPr="00B916B2">
        <w:rPr>
          <w:rStyle w:val="FootnoteReference"/>
        </w:rPr>
        <w:footnoteReference w:id="43"/>
      </w:r>
      <w:r w:rsidR="007B7FBF" w:rsidRPr="00650BF6">
        <w:t xml:space="preserve"> That being said, the registration of Australian medical practitioners is principally governed </w:t>
      </w:r>
      <w:r w:rsidR="009A0666">
        <w:t xml:space="preserve">in a formal sense </w:t>
      </w:r>
      <w:r w:rsidR="007B7FBF" w:rsidRPr="00650BF6">
        <w:t xml:space="preserve">by a </w:t>
      </w:r>
      <w:r w:rsidR="003B5DF8">
        <w:rPr>
          <w:lang w:val="en-GB"/>
        </w:rPr>
        <w:t xml:space="preserve">national registration and accreditation scheme </w:t>
      </w:r>
      <w:r w:rsidR="007E6D45">
        <w:t>that</w:t>
      </w:r>
      <w:r w:rsidR="005F2F49">
        <w:t xml:space="preserve"> came into effect in 2010,</w:t>
      </w:r>
      <w:r w:rsidR="009A2381" w:rsidRPr="00B916B2">
        <w:rPr>
          <w:rStyle w:val="FootnoteReference"/>
        </w:rPr>
        <w:footnoteReference w:id="44"/>
      </w:r>
      <w:r w:rsidR="005F2F49">
        <w:t xml:space="preserve"> and it is by using this control of registration, that proposals for revalidation plan to operate.</w:t>
      </w:r>
      <w:r w:rsidR="003B5DF8">
        <w:t xml:space="preserve"> </w:t>
      </w:r>
    </w:p>
    <w:p w14:paraId="75C2F305" w14:textId="0B157176" w:rsidR="007B7FBF" w:rsidRPr="00FB509E" w:rsidRDefault="003B5DF8" w:rsidP="007B7FBF">
      <w:pPr>
        <w:rPr>
          <w:lang w:val="en-GB"/>
        </w:rPr>
      </w:pPr>
      <w:r>
        <w:rPr>
          <w:lang w:val="en-GB"/>
        </w:rPr>
        <w:t xml:space="preserve">The Health Practitioner National Law (‘National Law’), introduced in 2010, established the national registration and accreditation scheme for the regulation of health practitioners and students. </w:t>
      </w:r>
      <w:r w:rsidR="007B7FBF" w:rsidRPr="00650BF6">
        <w:t xml:space="preserve">Whilst the </w:t>
      </w:r>
      <w:r>
        <w:t>National Law</w:t>
      </w:r>
      <w:r w:rsidR="007B7FBF" w:rsidRPr="00650BF6">
        <w:t xml:space="preserve"> was designed to create a national, and nationally consistent registration and performance system, it falls within the jurisdiction of each State and Territory</w:t>
      </w:r>
      <w:r w:rsidR="007B7FBF">
        <w:t xml:space="preserve"> to establish the enabling legislation</w:t>
      </w:r>
      <w:r w:rsidR="007B7FBF" w:rsidRPr="00650BF6">
        <w:t>.</w:t>
      </w:r>
      <w:r w:rsidR="007B7FBF" w:rsidRPr="00B916B2">
        <w:rPr>
          <w:rStyle w:val="FootnoteReference"/>
        </w:rPr>
        <w:footnoteReference w:id="45"/>
      </w:r>
      <w:r w:rsidR="007B7FBF" w:rsidRPr="00650BF6">
        <w:t xml:space="preserve"> </w:t>
      </w:r>
      <w:r w:rsidR="00716130">
        <w:rPr>
          <w:lang w:val="en-GB"/>
        </w:rPr>
        <w:t xml:space="preserve">As such, the national scheme </w:t>
      </w:r>
      <w:r w:rsidR="00B916B2">
        <w:rPr>
          <w:lang w:val="en-GB"/>
        </w:rPr>
        <w:t xml:space="preserve">of relatively uniform legislation </w:t>
      </w:r>
      <w:r w:rsidR="00716130">
        <w:rPr>
          <w:lang w:val="en-GB"/>
        </w:rPr>
        <w:t>was achieved by adoption of the National Law first by Queensland,</w:t>
      </w:r>
      <w:r w:rsidR="00716130" w:rsidRPr="00B916B2">
        <w:rPr>
          <w:rStyle w:val="FootnoteReference"/>
        </w:rPr>
        <w:footnoteReference w:id="46"/>
      </w:r>
      <w:r w:rsidR="00716130">
        <w:rPr>
          <w:lang w:val="en-GB"/>
        </w:rPr>
        <w:t xml:space="preserve"> followed by other States and Territories enacting their own law in a cascading fashion.</w:t>
      </w:r>
      <w:r w:rsidR="00716130" w:rsidRPr="00B916B2">
        <w:rPr>
          <w:rStyle w:val="FootnoteReference"/>
        </w:rPr>
        <w:footnoteReference w:id="47"/>
      </w:r>
      <w:r w:rsidR="00716130">
        <w:rPr>
          <w:lang w:val="en-GB"/>
        </w:rPr>
        <w:t xml:space="preserve"> There is some significant variation between State and Territory implementations of the National Law. Most notable perhaps in New South Wales and Queensland, </w:t>
      </w:r>
      <w:r w:rsidR="007E6D45">
        <w:rPr>
          <w:lang w:val="en-GB"/>
        </w:rPr>
        <w:t>that</w:t>
      </w:r>
      <w:r w:rsidR="00716130">
        <w:rPr>
          <w:lang w:val="en-GB"/>
        </w:rPr>
        <w:t xml:space="preserve"> retained various elements or institutional arrangements from the earlier regulatory system, enacting a co-regulatory approach. </w:t>
      </w:r>
      <w:r w:rsidR="002534E9">
        <w:t>That the</w:t>
      </w:r>
      <w:r w:rsidR="00716130">
        <w:t xml:space="preserve"> national scheme has</w:t>
      </w:r>
      <w:r w:rsidR="007B7FBF" w:rsidRPr="00650BF6">
        <w:t xml:space="preserve"> </w:t>
      </w:r>
      <w:r w:rsidR="007B7FBF">
        <w:t xml:space="preserve">thus </w:t>
      </w:r>
      <w:r w:rsidR="007B7FBF" w:rsidRPr="00650BF6">
        <w:t>become in many important respects, a ‘nati</w:t>
      </w:r>
      <w:r w:rsidR="002534E9">
        <w:t>onal’ law in name only</w:t>
      </w:r>
      <w:r w:rsidR="0067628C" w:rsidRPr="00B916B2">
        <w:rPr>
          <w:rStyle w:val="FootnoteReference"/>
        </w:rPr>
        <w:footnoteReference w:id="48"/>
      </w:r>
      <w:r w:rsidR="007B7FBF" w:rsidRPr="00650BF6">
        <w:t xml:space="preserve"> </w:t>
      </w:r>
      <w:r w:rsidR="007B7FBF">
        <w:t>is not universally problematic</w:t>
      </w:r>
      <w:r w:rsidR="007B7FBF" w:rsidRPr="00650BF6">
        <w:t>, with variation between jurisdictions providing for contin</w:t>
      </w:r>
      <w:r w:rsidR="002534E9">
        <w:t xml:space="preserve">uity of regulatory cultures, systems and practices long-embedded </w:t>
      </w:r>
      <w:r w:rsidR="007B7FBF" w:rsidRPr="00650BF6">
        <w:t>in those jurisdictions, as well as the potential for developing regulatory responses mo</w:t>
      </w:r>
      <w:r w:rsidR="002534E9">
        <w:t>re suited to local conditions</w:t>
      </w:r>
      <w:r w:rsidR="007B7FBF" w:rsidRPr="00650BF6">
        <w:t>.</w:t>
      </w:r>
    </w:p>
    <w:p w14:paraId="397568CB" w14:textId="2ECF52B3" w:rsidR="00FB509E" w:rsidRDefault="007B7FBF" w:rsidP="009F59B5">
      <w:r>
        <w:t>Li</w:t>
      </w:r>
      <w:r w:rsidRPr="00650BF6">
        <w:t>ke all other health professions</w:t>
      </w:r>
      <w:r w:rsidR="005F2F49">
        <w:t xml:space="preserve"> regulated by the national scheme</w:t>
      </w:r>
      <w:r w:rsidRPr="00650BF6">
        <w:t>,</w:t>
      </w:r>
      <w:r w:rsidRPr="00B916B2">
        <w:rPr>
          <w:rStyle w:val="FootnoteReference"/>
        </w:rPr>
        <w:footnoteReference w:id="49"/>
      </w:r>
      <w:r w:rsidRPr="00650BF6">
        <w:t xml:space="preserve"> </w:t>
      </w:r>
      <w:r>
        <w:t xml:space="preserve">the National Law establishes </w:t>
      </w:r>
      <w:r w:rsidRPr="00650BF6">
        <w:t xml:space="preserve">a National Board </w:t>
      </w:r>
      <w:r>
        <w:t>for medical practitioners</w:t>
      </w:r>
      <w:r w:rsidR="00716130">
        <w:t>, the Medical Board of Australia (‘MBA’)</w:t>
      </w:r>
      <w:r>
        <w:t>.</w:t>
      </w:r>
      <w:r w:rsidRPr="00B916B2">
        <w:rPr>
          <w:rStyle w:val="FootnoteReference"/>
        </w:rPr>
        <w:footnoteReference w:id="50"/>
      </w:r>
      <w:r>
        <w:t xml:space="preserve"> </w:t>
      </w:r>
      <w:r w:rsidRPr="00650BF6">
        <w:t xml:space="preserve">The </w:t>
      </w:r>
      <w:r w:rsidR="00716130">
        <w:t>MBA</w:t>
      </w:r>
      <w:r w:rsidRPr="00650BF6">
        <w:t xml:space="preserve"> includes the functions of registering medical practitioners,</w:t>
      </w:r>
      <w:r w:rsidRPr="00B916B2">
        <w:rPr>
          <w:rStyle w:val="FootnoteReference"/>
        </w:rPr>
        <w:footnoteReference w:id="51"/>
      </w:r>
      <w:r w:rsidR="007E174F">
        <w:t xml:space="preserve"> </w:t>
      </w:r>
      <w:r w:rsidRPr="00650BF6">
        <w:t xml:space="preserve">investigating and managing concerns (notifications) about </w:t>
      </w:r>
      <w:r w:rsidR="005F2F49">
        <w:t xml:space="preserve">the </w:t>
      </w:r>
      <w:r w:rsidRPr="00650BF6">
        <w:t>performance</w:t>
      </w:r>
      <w:r w:rsidR="005F2F49">
        <w:t>,</w:t>
      </w:r>
      <w:r w:rsidRPr="00650BF6">
        <w:t xml:space="preserve"> conduct </w:t>
      </w:r>
      <w:r w:rsidR="005F2F49">
        <w:t>and</w:t>
      </w:r>
      <w:r w:rsidRPr="00650BF6">
        <w:t xml:space="preserve"> health of medical practitioners,</w:t>
      </w:r>
      <w:r w:rsidRPr="00B916B2">
        <w:rPr>
          <w:rStyle w:val="FootnoteReference"/>
        </w:rPr>
        <w:footnoteReference w:id="52"/>
      </w:r>
      <w:r w:rsidRPr="00650BF6">
        <w:t xml:space="preserve"> to establish panels to conduct hearings in relation to health and professional performance, as well as develop relevant standard</w:t>
      </w:r>
      <w:r w:rsidR="00B212A7">
        <w:t>s</w:t>
      </w:r>
      <w:r w:rsidRPr="00650BF6">
        <w:t>, codes or guidelines.</w:t>
      </w:r>
      <w:r w:rsidRPr="00B916B2">
        <w:rPr>
          <w:rStyle w:val="FootnoteReference"/>
        </w:rPr>
        <w:footnoteReference w:id="53"/>
      </w:r>
      <w:r w:rsidRPr="00650BF6">
        <w:t xml:space="preserve"> The National Board is supported in this work by the Australian Health Practitioner Regulation Agency (AHPRA), to whom a range of its functions are delegated.</w:t>
      </w:r>
    </w:p>
    <w:p w14:paraId="01A66C51" w14:textId="26D0D3C9" w:rsidR="002534E9" w:rsidRDefault="00A02C07" w:rsidP="002534E9">
      <w:pPr>
        <w:rPr>
          <w:lang w:val="en-GB"/>
        </w:rPr>
      </w:pPr>
      <w:r>
        <w:rPr>
          <w:lang w:val="en-GB"/>
        </w:rPr>
        <w:t>T</w:t>
      </w:r>
      <w:r w:rsidR="004F1C8A">
        <w:rPr>
          <w:lang w:val="en-GB"/>
        </w:rPr>
        <w:t>he MBA is a protective jurisdiction.</w:t>
      </w:r>
      <w:r w:rsidR="004F1C8A">
        <w:t xml:space="preserve"> ‘Protection of the public’</w:t>
      </w:r>
      <w:r w:rsidR="004F1C8A" w:rsidRPr="00B916B2">
        <w:rPr>
          <w:rStyle w:val="FootnoteReference"/>
        </w:rPr>
        <w:footnoteReference w:id="54"/>
      </w:r>
      <w:r w:rsidR="004F1C8A">
        <w:t xml:space="preserve"> or alternatively, pr</w:t>
      </w:r>
      <w:r w:rsidR="00091713">
        <w:t>otecting the ‘health and safety</w:t>
      </w:r>
      <w:r w:rsidR="004F1C8A">
        <w:t xml:space="preserve"> of the public’</w:t>
      </w:r>
      <w:r w:rsidR="004F1C8A" w:rsidRPr="0067628C">
        <w:rPr>
          <w:rStyle w:val="FootnoteReference"/>
          <w:lang w:val="en-GB"/>
        </w:rPr>
        <w:t xml:space="preserve"> </w:t>
      </w:r>
      <w:r w:rsidR="004F1C8A" w:rsidRPr="00B916B2">
        <w:rPr>
          <w:rStyle w:val="FootnoteReference"/>
        </w:rPr>
        <w:footnoteReference w:id="55"/>
      </w:r>
      <w:r w:rsidR="004F1C8A">
        <w:rPr>
          <w:lang w:val="en-GB"/>
        </w:rPr>
        <w:t xml:space="preserve"> remains its primary </w:t>
      </w:r>
      <w:r w:rsidR="004F1C8A" w:rsidRPr="00B51C73">
        <w:rPr>
          <w:lang w:val="en-GB"/>
        </w:rPr>
        <w:t>role</w:t>
      </w:r>
      <w:r w:rsidR="004F1C8A">
        <w:rPr>
          <w:lang w:val="en-GB"/>
        </w:rPr>
        <w:t>,</w:t>
      </w:r>
      <w:r w:rsidR="004F1C8A" w:rsidRPr="00B51C73">
        <w:rPr>
          <w:lang w:val="en-GB"/>
        </w:rPr>
        <w:t xml:space="preserve"> </w:t>
      </w:r>
      <w:r w:rsidR="004F1C8A">
        <w:rPr>
          <w:lang w:val="en-GB"/>
        </w:rPr>
        <w:t>justifying its exercise of powers with relation to ‘</w:t>
      </w:r>
      <w:r w:rsidR="004F1C8A" w:rsidRPr="00B51C73">
        <w:rPr>
          <w:lang w:val="en-GB"/>
        </w:rPr>
        <w:t>medical practitioners who may be putting the public at risk as a result of their conduct, professional performance or health.</w:t>
      </w:r>
      <w:r w:rsidR="004F1C8A">
        <w:rPr>
          <w:lang w:val="en-GB"/>
        </w:rPr>
        <w:t>’</w:t>
      </w:r>
      <w:r w:rsidR="004F1C8A" w:rsidRPr="00B916B2">
        <w:rPr>
          <w:rStyle w:val="FootnoteReference"/>
        </w:rPr>
        <w:footnoteReference w:id="56"/>
      </w:r>
      <w:r w:rsidR="004F1C8A">
        <w:rPr>
          <w:lang w:val="en-GB"/>
        </w:rPr>
        <w:t xml:space="preserve"> </w:t>
      </w:r>
      <w:r w:rsidR="002534E9">
        <w:rPr>
          <w:lang w:val="en-GB"/>
        </w:rPr>
        <w:t xml:space="preserve">Much of the MBA’s power </w:t>
      </w:r>
      <w:r w:rsidR="004F1C8A">
        <w:rPr>
          <w:lang w:val="en-GB"/>
        </w:rPr>
        <w:t xml:space="preserve">to do so </w:t>
      </w:r>
      <w:r w:rsidR="002534E9">
        <w:rPr>
          <w:lang w:val="en-GB"/>
        </w:rPr>
        <w:t xml:space="preserve">relies upon its ability to control registration. </w:t>
      </w:r>
      <w:r w:rsidR="004F1C8A">
        <w:rPr>
          <w:lang w:val="en-GB"/>
        </w:rPr>
        <w:t>And it is t</w:t>
      </w:r>
      <w:r w:rsidR="002534E9">
        <w:rPr>
          <w:lang w:val="en-GB"/>
        </w:rPr>
        <w:t xml:space="preserve">hrough </w:t>
      </w:r>
      <w:r w:rsidR="00560639">
        <w:rPr>
          <w:lang w:val="en-GB"/>
        </w:rPr>
        <w:t xml:space="preserve">this </w:t>
      </w:r>
      <w:r w:rsidR="002534E9">
        <w:rPr>
          <w:lang w:val="en-GB"/>
        </w:rPr>
        <w:t xml:space="preserve">control of registration </w:t>
      </w:r>
      <w:r w:rsidR="00560639">
        <w:rPr>
          <w:lang w:val="en-GB"/>
        </w:rPr>
        <w:t>that</w:t>
      </w:r>
      <w:r w:rsidR="005F2F49">
        <w:rPr>
          <w:lang w:val="en-GB"/>
        </w:rPr>
        <w:t xml:space="preserve"> the</w:t>
      </w:r>
      <w:r w:rsidR="002534E9">
        <w:rPr>
          <w:lang w:val="en-GB"/>
        </w:rPr>
        <w:t xml:space="preserve"> MBA and other actors </w:t>
      </w:r>
      <w:r w:rsidR="002534E9" w:rsidRPr="00863D70">
        <w:rPr>
          <w:lang w:val="en-GB"/>
        </w:rPr>
        <w:t>in New South Wales and Queensla</w:t>
      </w:r>
      <w:r w:rsidR="002534E9">
        <w:rPr>
          <w:lang w:val="en-GB"/>
        </w:rPr>
        <w:t xml:space="preserve">nd’s co-regulatory jurisdiction manage issues of performance or competency. Once registered, practitioners become subject to the jurisdiction of the MBA </w:t>
      </w:r>
      <w:r w:rsidR="002534E9" w:rsidRPr="00863D70">
        <w:rPr>
          <w:lang w:val="en-GB"/>
        </w:rPr>
        <w:t xml:space="preserve">and others </w:t>
      </w:r>
      <w:r w:rsidR="002534E9">
        <w:rPr>
          <w:lang w:val="en-GB"/>
        </w:rPr>
        <w:t>regulatory actors in relation to their professional performance</w:t>
      </w:r>
      <w:r w:rsidR="002534E9" w:rsidRPr="00863D70">
        <w:rPr>
          <w:lang w:val="en-GB"/>
        </w:rPr>
        <w:t>.</w:t>
      </w:r>
      <w:r w:rsidR="002534E9">
        <w:rPr>
          <w:lang w:val="en-GB"/>
        </w:rPr>
        <w:t xml:space="preserve"> </w:t>
      </w:r>
    </w:p>
    <w:p w14:paraId="525FEB38" w14:textId="66C1C709" w:rsidR="00B836AC" w:rsidRDefault="00B836AC" w:rsidP="00B836AC">
      <w:pPr>
        <w:rPr>
          <w:lang w:val="en-GB"/>
        </w:rPr>
      </w:pPr>
      <w:r>
        <w:rPr>
          <w:lang w:val="en-GB"/>
        </w:rPr>
        <w:t xml:space="preserve">Issues of </w:t>
      </w:r>
      <w:r w:rsidR="005D745C">
        <w:rPr>
          <w:lang w:val="en-GB"/>
        </w:rPr>
        <w:t xml:space="preserve">practitioner </w:t>
      </w:r>
      <w:r>
        <w:rPr>
          <w:lang w:val="en-GB"/>
        </w:rPr>
        <w:t xml:space="preserve">performance or competency can arise in a range of ways. </w:t>
      </w:r>
      <w:r w:rsidR="002534E9">
        <w:rPr>
          <w:lang w:val="en-GB"/>
        </w:rPr>
        <w:t>‘</w:t>
      </w:r>
      <w:r>
        <w:rPr>
          <w:lang w:val="en-GB"/>
        </w:rPr>
        <w:t>Notification</w:t>
      </w:r>
      <w:r w:rsidR="002534E9">
        <w:rPr>
          <w:lang w:val="en-GB"/>
        </w:rPr>
        <w:t>’</w:t>
      </w:r>
      <w:r w:rsidR="00D835D0">
        <w:rPr>
          <w:lang w:val="en-GB"/>
        </w:rPr>
        <w:t xml:space="preserve"> is the primary concept used </w:t>
      </w:r>
      <w:r w:rsidR="002534E9">
        <w:rPr>
          <w:lang w:val="en-GB"/>
        </w:rPr>
        <w:t>in</w:t>
      </w:r>
      <w:r w:rsidR="00D835D0">
        <w:rPr>
          <w:lang w:val="en-GB"/>
        </w:rPr>
        <w:t xml:space="preserve"> the National Law. </w:t>
      </w:r>
      <w:r w:rsidR="00D92412">
        <w:rPr>
          <w:lang w:val="en-GB"/>
        </w:rPr>
        <w:t>Notifications are either concerns or complaints made to AHPRA, except in the co-regulatory jurisdictions of NSW or Queensland</w:t>
      </w:r>
      <w:r w:rsidR="004F1C8A">
        <w:rPr>
          <w:lang w:val="en-GB"/>
        </w:rPr>
        <w:t>,</w:t>
      </w:r>
      <w:r w:rsidR="00D92412">
        <w:rPr>
          <w:lang w:val="en-GB"/>
        </w:rPr>
        <w:t xml:space="preserve"> where the </w:t>
      </w:r>
      <w:r w:rsidR="00D92412" w:rsidRPr="00D92412">
        <w:rPr>
          <w:lang w:val="en-GB"/>
        </w:rPr>
        <w:t xml:space="preserve">Health Professional Councils Authority (HPCA) – on behalf of the NSW health professional councils – </w:t>
      </w:r>
      <w:r w:rsidR="00D92412">
        <w:rPr>
          <w:lang w:val="en-GB"/>
        </w:rPr>
        <w:t>or</w:t>
      </w:r>
      <w:r w:rsidR="00D92412" w:rsidRPr="00D92412">
        <w:rPr>
          <w:lang w:val="en-GB"/>
        </w:rPr>
        <w:t xml:space="preserve"> the Health Care Complaints Commission (HCCC) </w:t>
      </w:r>
      <w:r w:rsidR="00D92412">
        <w:rPr>
          <w:lang w:val="en-GB"/>
        </w:rPr>
        <w:t xml:space="preserve">in NSW or the </w:t>
      </w:r>
      <w:r w:rsidR="00D92412" w:rsidRPr="00D92412">
        <w:rPr>
          <w:lang w:val="en-GB"/>
        </w:rPr>
        <w:t>Office of the Health Ombudsman</w:t>
      </w:r>
      <w:r w:rsidR="00D92412">
        <w:rPr>
          <w:lang w:val="en-GB"/>
        </w:rPr>
        <w:t xml:space="preserve"> in Queensland are the </w:t>
      </w:r>
      <w:r w:rsidR="004F1C8A">
        <w:rPr>
          <w:lang w:val="en-GB"/>
        </w:rPr>
        <w:t>regulatory actors</w:t>
      </w:r>
      <w:r w:rsidR="00D92412">
        <w:rPr>
          <w:lang w:val="en-GB"/>
        </w:rPr>
        <w:t xml:space="preserve"> </w:t>
      </w:r>
      <w:r w:rsidR="007E6D45">
        <w:rPr>
          <w:lang w:val="en-GB"/>
        </w:rPr>
        <w:t>that</w:t>
      </w:r>
      <w:r w:rsidR="00D92412">
        <w:rPr>
          <w:lang w:val="en-GB"/>
        </w:rPr>
        <w:t xml:space="preserve"> receive notifications within the National Law</w:t>
      </w:r>
      <w:r w:rsidR="00C07795">
        <w:rPr>
          <w:lang w:val="en-GB"/>
        </w:rPr>
        <w:t>.</w:t>
      </w:r>
      <w:r w:rsidR="00D92412">
        <w:rPr>
          <w:lang w:val="en-GB"/>
        </w:rPr>
        <w:t xml:space="preserve"> </w:t>
      </w:r>
      <w:r w:rsidR="005D745C">
        <w:rPr>
          <w:lang w:val="en-GB"/>
        </w:rPr>
        <w:t xml:space="preserve"> </w:t>
      </w:r>
      <w:r w:rsidR="00D92412">
        <w:rPr>
          <w:lang w:val="en-GB"/>
        </w:rPr>
        <w:t xml:space="preserve">Notifications </w:t>
      </w:r>
      <w:r w:rsidR="004F1C8A">
        <w:rPr>
          <w:lang w:val="en-GB"/>
        </w:rPr>
        <w:t>may be</w:t>
      </w:r>
      <w:r w:rsidR="00D92412">
        <w:rPr>
          <w:lang w:val="en-GB"/>
        </w:rPr>
        <w:t xml:space="preserve"> eith</w:t>
      </w:r>
      <w:r w:rsidR="005E005C">
        <w:rPr>
          <w:lang w:val="en-GB"/>
        </w:rPr>
        <w:t>er be voluntary or mandatory</w:t>
      </w:r>
      <w:r w:rsidR="00D92412">
        <w:rPr>
          <w:lang w:val="en-GB"/>
        </w:rPr>
        <w:t>. Voluntary notifications</w:t>
      </w:r>
      <w:r w:rsidR="00C07795">
        <w:rPr>
          <w:lang w:val="en-GB"/>
        </w:rPr>
        <w:t xml:space="preserve"> may </w:t>
      </w:r>
      <w:r w:rsidR="00D92412">
        <w:rPr>
          <w:lang w:val="en-GB"/>
        </w:rPr>
        <w:t>be made by members of the public or a</w:t>
      </w:r>
      <w:r w:rsidR="004F1C8A">
        <w:rPr>
          <w:lang w:val="en-GB"/>
        </w:rPr>
        <w:t xml:space="preserve"> registered health practitioner.</w:t>
      </w:r>
      <w:r w:rsidR="00D92412">
        <w:rPr>
          <w:lang w:val="en-GB"/>
        </w:rPr>
        <w:t xml:space="preserve"> </w:t>
      </w:r>
      <w:r w:rsidR="004F1C8A">
        <w:rPr>
          <w:lang w:val="en-GB"/>
        </w:rPr>
        <w:t>The</w:t>
      </w:r>
      <w:r w:rsidR="00C07795">
        <w:rPr>
          <w:lang w:val="en-GB"/>
        </w:rPr>
        <w:t xml:space="preserve"> more controversial mandatory </w:t>
      </w:r>
      <w:r w:rsidR="004F1C8A">
        <w:rPr>
          <w:lang w:val="en-GB"/>
        </w:rPr>
        <w:t>notification system concerns notification made</w:t>
      </w:r>
      <w:r w:rsidR="00C07795">
        <w:rPr>
          <w:lang w:val="en-GB"/>
        </w:rPr>
        <w:t xml:space="preserve"> by other registered health practitioners or managers of health services and systems.</w:t>
      </w:r>
      <w:r w:rsidR="005E005C" w:rsidRPr="00B916B2">
        <w:rPr>
          <w:rStyle w:val="FootnoteReference"/>
        </w:rPr>
        <w:footnoteReference w:id="57"/>
      </w:r>
    </w:p>
    <w:p w14:paraId="461DC4BE" w14:textId="0FF08622" w:rsidR="00B836AC" w:rsidRDefault="004F1C8A" w:rsidP="00387790">
      <w:r w:rsidRPr="00387790">
        <w:rPr>
          <w:lang w:val="en-GB"/>
        </w:rPr>
        <w:t>Once received, a notification may give rise to the exercise of a</w:t>
      </w:r>
      <w:r w:rsidR="00387790" w:rsidRPr="00387790">
        <w:rPr>
          <w:lang w:val="en-GB"/>
        </w:rPr>
        <w:t xml:space="preserve"> range of powers. These include the MBA or other actors taking immediate action, investigation of the notification, undertaking a performance or health assessment </w:t>
      </w:r>
      <w:r w:rsidR="007E6D45">
        <w:rPr>
          <w:lang w:val="en-GB"/>
        </w:rPr>
        <w:t>that</w:t>
      </w:r>
      <w:r w:rsidR="00387790" w:rsidRPr="00387790">
        <w:rPr>
          <w:lang w:val="en-GB"/>
        </w:rPr>
        <w:t xml:space="preserve"> may lead to a disciplinary panel or tribunal hearing. </w:t>
      </w:r>
      <w:r w:rsidR="00387790">
        <w:rPr>
          <w:lang w:val="en-GB"/>
        </w:rPr>
        <w:t>At this point, it may be found</w:t>
      </w:r>
      <w:r w:rsidR="00387790" w:rsidRPr="00387790">
        <w:rPr>
          <w:lang w:val="en-GB"/>
        </w:rPr>
        <w:t xml:space="preserve"> that a practitioner has engaged in unprofessional conduct or professional misconduct,</w:t>
      </w:r>
      <w:r w:rsidR="00387790" w:rsidRPr="00B916B2">
        <w:rPr>
          <w:rStyle w:val="FootnoteReference"/>
        </w:rPr>
        <w:footnoteReference w:id="58"/>
      </w:r>
      <w:r w:rsidR="00387790" w:rsidRPr="00387790">
        <w:rPr>
          <w:lang w:val="en-GB"/>
        </w:rPr>
        <w:t xml:space="preserve"> have been found to have engaged in unsatisfactory professional performance,</w:t>
      </w:r>
      <w:r w:rsidR="00387790" w:rsidRPr="00B916B2">
        <w:rPr>
          <w:rStyle w:val="FootnoteReference"/>
        </w:rPr>
        <w:footnoteReference w:id="59"/>
      </w:r>
      <w:r w:rsidR="00387790" w:rsidRPr="00387790">
        <w:rPr>
          <w:lang w:val="en-GB"/>
        </w:rPr>
        <w:t xml:space="preserve"> or that their health is impaired and their practice may place the public at risk.</w:t>
      </w:r>
      <w:r w:rsidR="00387790" w:rsidRPr="00B916B2">
        <w:rPr>
          <w:rStyle w:val="FootnoteReference"/>
        </w:rPr>
        <w:footnoteReference w:id="60"/>
      </w:r>
      <w:r w:rsidR="00387790">
        <w:rPr>
          <w:lang w:val="en-GB"/>
        </w:rPr>
        <w:t xml:space="preserve"> Potential</w:t>
      </w:r>
      <w:r w:rsidR="00387790" w:rsidRPr="00387790">
        <w:rPr>
          <w:lang w:val="en-GB"/>
        </w:rPr>
        <w:t xml:space="preserve"> outcomes</w:t>
      </w:r>
      <w:r w:rsidR="00387790">
        <w:rPr>
          <w:lang w:val="en-GB"/>
        </w:rPr>
        <w:t xml:space="preserve"> of such findings</w:t>
      </w:r>
      <w:r w:rsidR="002534E9" w:rsidRPr="00387790">
        <w:rPr>
          <w:lang w:val="en-GB"/>
        </w:rPr>
        <w:t xml:space="preserve"> </w:t>
      </w:r>
      <w:r w:rsidR="00387790">
        <w:rPr>
          <w:lang w:val="en-GB"/>
        </w:rPr>
        <w:t>include</w:t>
      </w:r>
      <w:r w:rsidR="002534E9" w:rsidRPr="00387790">
        <w:rPr>
          <w:lang w:val="en-GB"/>
        </w:rPr>
        <w:t xml:space="preserve"> the ability to impose </w:t>
      </w:r>
      <w:r w:rsidR="00387790">
        <w:rPr>
          <w:lang w:val="en-GB"/>
        </w:rPr>
        <w:t>various limits or restrictions upon an individual practitioner’s</w:t>
      </w:r>
      <w:r w:rsidR="002534E9" w:rsidRPr="00387790">
        <w:rPr>
          <w:lang w:val="en-GB"/>
        </w:rPr>
        <w:t xml:space="preserve"> registration.</w:t>
      </w:r>
      <w:r w:rsidR="00387790">
        <w:rPr>
          <w:lang w:val="en-GB"/>
        </w:rPr>
        <w:t xml:space="preserve"> So too can the practitioner receive a caution or reprimand, suspension or cancellation of their registration should the need arise.</w:t>
      </w:r>
      <w:r w:rsidRPr="00387790">
        <w:rPr>
          <w:lang w:val="en-GB"/>
        </w:rPr>
        <w:t xml:space="preserve"> </w:t>
      </w:r>
    </w:p>
    <w:p w14:paraId="04572C95" w14:textId="7B357593" w:rsidR="007A4589" w:rsidRDefault="003522EF" w:rsidP="007A4589">
      <w:pPr>
        <w:rPr>
          <w:lang w:val="en-GB"/>
        </w:rPr>
      </w:pPr>
      <w:r>
        <w:t>Whilst there is a now well-established and active disciplinary process available under the National Law, u</w:t>
      </w:r>
      <w:r w:rsidR="000A219D">
        <w:t>ntil and unle</w:t>
      </w:r>
      <w:r>
        <w:t>ss a matter comes before an appropriate regulatory actor by way of a notification</w:t>
      </w:r>
      <w:r w:rsidR="000A219D">
        <w:t xml:space="preserve">, </w:t>
      </w:r>
      <w:r>
        <w:t>the MBA or other parts of the regulatory performance management system</w:t>
      </w:r>
      <w:r w:rsidR="000A219D">
        <w:t xml:space="preserve"> </w:t>
      </w:r>
      <w:r w:rsidR="000B3B86">
        <w:t>are</w:t>
      </w:r>
      <w:r w:rsidR="000A219D">
        <w:t xml:space="preserve"> limited in </w:t>
      </w:r>
      <w:r>
        <w:t>both</w:t>
      </w:r>
      <w:r w:rsidR="000A219D">
        <w:t xml:space="preserve"> formal powers</w:t>
      </w:r>
      <w:r>
        <w:t xml:space="preserve"> and practical systems</w:t>
      </w:r>
      <w:r w:rsidR="000A219D">
        <w:t xml:space="preserve"> to investigate, assess or compel improvements </w:t>
      </w:r>
      <w:r w:rsidR="000B3B86">
        <w:t>in a practitioner’s competency. A practical example assists in demonstrating the current state of affairs.</w:t>
      </w:r>
      <w:r w:rsidR="000B3B86" w:rsidRPr="00B916B2">
        <w:rPr>
          <w:rStyle w:val="FootnoteReference"/>
        </w:rPr>
        <w:footnoteReference w:id="61"/>
      </w:r>
      <w:r w:rsidR="000B3B86">
        <w:t xml:space="preserve"> </w:t>
      </w:r>
      <w:r w:rsidR="007A4589">
        <w:t xml:space="preserve">Identification of a competency issue </w:t>
      </w:r>
      <w:r w:rsidR="00266429">
        <w:t>may</w:t>
      </w:r>
      <w:r w:rsidR="007A4589">
        <w:t xml:space="preserve"> arise in the course of participating in clinical practice, brought to the notice of hospital or health services, managers, clinical or medical leadership</w:t>
      </w:r>
      <w:r w:rsidR="000B3B86">
        <w:t>,</w:t>
      </w:r>
      <w:r w:rsidR="007A4589">
        <w:t xml:space="preserve"> or colleagues</w:t>
      </w:r>
      <w:r w:rsidR="000B3B86">
        <w:t>,</w:t>
      </w:r>
      <w:r w:rsidR="007A4589">
        <w:t xml:space="preserve"> by virtue of formal or informal means. </w:t>
      </w:r>
      <w:r w:rsidR="000B3B86">
        <w:t xml:space="preserve">These </w:t>
      </w:r>
      <w:r w:rsidR="007A4589">
        <w:t>concerns may be resolved at the health service or local level, resulting in either a return to satisfactory performance, or terminatio</w:t>
      </w:r>
      <w:r w:rsidR="000B3B86">
        <w:t>n of employment/</w:t>
      </w:r>
      <w:r w:rsidR="00266429">
        <w:t>redeployment without the regulator being made aware of the issue having occurred.</w:t>
      </w:r>
      <w:r w:rsidR="00266429" w:rsidRPr="00266429">
        <w:rPr>
          <w:rStyle w:val="FootnoteReference"/>
          <w:lang w:val="en-GB"/>
        </w:rPr>
        <w:t xml:space="preserve"> </w:t>
      </w:r>
      <w:r w:rsidR="00266429" w:rsidRPr="00B916B2">
        <w:rPr>
          <w:rStyle w:val="FootnoteReference"/>
        </w:rPr>
        <w:footnoteReference w:id="62"/>
      </w:r>
      <w:r w:rsidR="007A4589">
        <w:t xml:space="preserve"> </w:t>
      </w:r>
      <w:r w:rsidR="000B3B86">
        <w:t>In some cases</w:t>
      </w:r>
      <w:r w:rsidR="007A4589">
        <w:t xml:space="preserve"> </w:t>
      </w:r>
      <w:r w:rsidR="000B3B86">
        <w:t xml:space="preserve">the concern might relate to very specific and particular factors present in the local work environment. Local resolution or termination/resignation might then be suitable, with performance in a new or different work environment resolving the matter and presenting no further risk of harm. However, </w:t>
      </w:r>
      <w:r w:rsidR="000B3B86">
        <w:rPr>
          <w:lang w:val="en-GB"/>
        </w:rPr>
        <w:t>if the matter relates to a competency or performance related issue</w:t>
      </w:r>
      <w:r w:rsidR="00266429">
        <w:rPr>
          <w:lang w:val="en-GB"/>
        </w:rPr>
        <w:t xml:space="preserve"> </w:t>
      </w:r>
      <w:r w:rsidR="009A0666">
        <w:rPr>
          <w:lang w:val="en-GB"/>
        </w:rPr>
        <w:t>that are</w:t>
      </w:r>
      <w:r w:rsidR="000B3B86">
        <w:rPr>
          <w:lang w:val="en-GB"/>
        </w:rPr>
        <w:t xml:space="preserve"> independent of local factors, ending a local performance management process</w:t>
      </w:r>
      <w:r w:rsidR="00266429">
        <w:rPr>
          <w:lang w:val="en-GB"/>
        </w:rPr>
        <w:t xml:space="preserve"> </w:t>
      </w:r>
      <w:r w:rsidR="000B3B86">
        <w:rPr>
          <w:lang w:val="en-GB"/>
        </w:rPr>
        <w:t>by either</w:t>
      </w:r>
      <w:r w:rsidR="00266429">
        <w:rPr>
          <w:lang w:val="en-GB"/>
        </w:rPr>
        <w:t xml:space="preserve"> termination </w:t>
      </w:r>
      <w:r w:rsidR="000B3B86">
        <w:rPr>
          <w:lang w:val="en-GB"/>
        </w:rPr>
        <w:t xml:space="preserve">or resignation </w:t>
      </w:r>
      <w:r w:rsidR="00266429">
        <w:rPr>
          <w:lang w:val="en-GB"/>
        </w:rPr>
        <w:t>of employment with the pract</w:t>
      </w:r>
      <w:r w:rsidR="000B3B86">
        <w:rPr>
          <w:lang w:val="en-GB"/>
        </w:rPr>
        <w:t xml:space="preserve">itioner finding work elsewhere leaves </w:t>
      </w:r>
      <w:r w:rsidR="00266429">
        <w:rPr>
          <w:lang w:val="en-GB"/>
        </w:rPr>
        <w:t xml:space="preserve">the new employer or </w:t>
      </w:r>
      <w:r w:rsidR="000B3B86">
        <w:rPr>
          <w:lang w:val="en-GB"/>
        </w:rPr>
        <w:t xml:space="preserve">the relevant </w:t>
      </w:r>
      <w:r w:rsidR="00266429">
        <w:rPr>
          <w:lang w:val="en-GB"/>
        </w:rPr>
        <w:t xml:space="preserve">regulator none-the-wiser as to </w:t>
      </w:r>
      <w:r w:rsidR="000B3B86">
        <w:rPr>
          <w:lang w:val="en-GB"/>
        </w:rPr>
        <w:t>the existence of this</w:t>
      </w:r>
      <w:r w:rsidR="00266429">
        <w:rPr>
          <w:lang w:val="en-GB"/>
        </w:rPr>
        <w:t xml:space="preserve"> competency or performance </w:t>
      </w:r>
      <w:r w:rsidR="000B3B86">
        <w:rPr>
          <w:lang w:val="en-GB"/>
        </w:rPr>
        <w:t>i</w:t>
      </w:r>
      <w:r w:rsidR="00FA5360">
        <w:rPr>
          <w:lang w:val="en-GB"/>
        </w:rPr>
        <w:t>ssue and its failed remediation. This more complex scenario stands alongside the alternative option where a practitioners’ competency declines over time, with no one, including perhaps the practitioner themselves, noticing.</w:t>
      </w:r>
    </w:p>
    <w:p w14:paraId="7299E985" w14:textId="40C9216D" w:rsidR="00546157" w:rsidRDefault="003522EF" w:rsidP="00546157">
      <w:pPr>
        <w:rPr>
          <w:lang w:val="en-GB"/>
        </w:rPr>
      </w:pPr>
      <w:r>
        <w:t xml:space="preserve">In relation to deteriorating or sub-standard physician competency </w:t>
      </w:r>
      <w:r w:rsidR="000A219D">
        <w:t xml:space="preserve">this leaves much of the regulatory performance management system and resources available only after </w:t>
      </w:r>
      <w:r>
        <w:t xml:space="preserve">a notification is made, </w:t>
      </w:r>
      <w:r w:rsidR="000B3B86">
        <w:t xml:space="preserve">and with significant ‘gaps’ in its coverage where </w:t>
      </w:r>
      <w:r w:rsidR="002C7E87">
        <w:t xml:space="preserve">local performance concerns or remediation exist in silos. </w:t>
      </w:r>
      <w:r w:rsidR="009A0666">
        <w:t xml:space="preserve">For these reasons, </w:t>
      </w:r>
      <w:r w:rsidR="009A0666" w:rsidRPr="005B723F">
        <w:rPr>
          <w:lang w:val="en-GB"/>
        </w:rPr>
        <w:t>responding</w:t>
      </w:r>
      <w:r w:rsidR="00C07795" w:rsidRPr="005B723F">
        <w:rPr>
          <w:lang w:val="en-GB"/>
        </w:rPr>
        <w:t xml:space="preserve"> to </w:t>
      </w:r>
      <w:r w:rsidR="00C07795">
        <w:rPr>
          <w:lang w:val="en-GB"/>
        </w:rPr>
        <w:t>competence issues</w:t>
      </w:r>
      <w:r w:rsidR="00C07795" w:rsidRPr="005B723F">
        <w:rPr>
          <w:lang w:val="en-GB"/>
        </w:rPr>
        <w:t xml:space="preserve"> </w:t>
      </w:r>
      <w:r w:rsidR="00C07795">
        <w:rPr>
          <w:lang w:val="en-GB"/>
        </w:rPr>
        <w:t xml:space="preserve">in medical practice </w:t>
      </w:r>
      <w:r w:rsidR="00C07795" w:rsidRPr="005B723F">
        <w:rPr>
          <w:lang w:val="en-GB"/>
        </w:rPr>
        <w:t xml:space="preserve">is </w:t>
      </w:r>
      <w:r w:rsidR="00C07795">
        <w:rPr>
          <w:lang w:val="en-GB"/>
        </w:rPr>
        <w:t>currently piecemeal.</w:t>
      </w:r>
    </w:p>
    <w:p w14:paraId="6D8F0EE2" w14:textId="4090159C" w:rsidR="00C07795" w:rsidRPr="00F679BA" w:rsidRDefault="00C07795" w:rsidP="000A219D">
      <w:pPr>
        <w:rPr>
          <w:lang w:val="en-GB"/>
        </w:rPr>
      </w:pPr>
    </w:p>
    <w:p w14:paraId="42736D50" w14:textId="149089DC" w:rsidR="00FB509E" w:rsidRPr="000A219D" w:rsidRDefault="006D2490" w:rsidP="006D2490">
      <w:pPr>
        <w:pStyle w:val="Heading2"/>
      </w:pPr>
      <w:r>
        <w:t xml:space="preserve">Medical Registration Revalidation </w:t>
      </w:r>
    </w:p>
    <w:p w14:paraId="4C4F8C6E" w14:textId="4CF0A243" w:rsidR="00746842" w:rsidRDefault="00F679BA" w:rsidP="00746842">
      <w:pPr>
        <w:rPr>
          <w:lang w:val="en-GB"/>
        </w:rPr>
      </w:pPr>
      <w:r>
        <w:rPr>
          <w:lang w:val="en-GB"/>
        </w:rPr>
        <w:t>Despite the</w:t>
      </w:r>
      <w:r w:rsidR="007A4589">
        <w:rPr>
          <w:lang w:val="en-GB"/>
        </w:rPr>
        <w:t xml:space="preserve"> existence of regulatory performance management systems,</w:t>
      </w:r>
      <w:r w:rsidR="00B51C73" w:rsidRPr="00B51C73">
        <w:rPr>
          <w:lang w:val="en-GB"/>
        </w:rPr>
        <w:t xml:space="preserve"> at present</w:t>
      </w:r>
      <w:r w:rsidR="000B3B86">
        <w:rPr>
          <w:lang w:val="en-GB"/>
        </w:rPr>
        <w:t>,</w:t>
      </w:r>
      <w:r w:rsidR="00B51C73" w:rsidRPr="00B51C73">
        <w:rPr>
          <w:lang w:val="en-GB"/>
        </w:rPr>
        <w:t xml:space="preserve"> there is no way to systematically identify </w:t>
      </w:r>
      <w:r w:rsidR="007A4589">
        <w:rPr>
          <w:lang w:val="en-GB"/>
        </w:rPr>
        <w:t xml:space="preserve">doctors at risk </w:t>
      </w:r>
      <w:r w:rsidR="00817423">
        <w:rPr>
          <w:lang w:val="en-GB"/>
        </w:rPr>
        <w:t xml:space="preserve">of, </w:t>
      </w:r>
      <w:r w:rsidR="007A4589">
        <w:rPr>
          <w:lang w:val="en-GB"/>
        </w:rPr>
        <w:t>or currently exhibiting</w:t>
      </w:r>
      <w:r w:rsidR="00817423">
        <w:rPr>
          <w:lang w:val="en-GB"/>
        </w:rPr>
        <w:t>,</w:t>
      </w:r>
      <w:r w:rsidR="007A4589">
        <w:rPr>
          <w:lang w:val="en-GB"/>
        </w:rPr>
        <w:t xml:space="preserve"> sub-standard competency. Revalidation processes have been</w:t>
      </w:r>
      <w:r w:rsidR="00746842">
        <w:rPr>
          <w:lang w:val="en-GB"/>
        </w:rPr>
        <w:t xml:space="preserve"> proposed to address this issue.</w:t>
      </w:r>
      <w:r w:rsidR="00817423">
        <w:rPr>
          <w:lang w:val="en-GB"/>
        </w:rPr>
        <w:t xml:space="preserve"> </w:t>
      </w:r>
      <w:r w:rsidR="00746842">
        <w:rPr>
          <w:lang w:val="en-GB"/>
        </w:rPr>
        <w:t xml:space="preserve">From a regulatory perspective, it seems likely that this reform will be achieved by embedding </w:t>
      </w:r>
      <w:r w:rsidR="00FA5360">
        <w:rPr>
          <w:lang w:val="en-GB"/>
        </w:rPr>
        <w:t>a</w:t>
      </w:r>
      <w:r w:rsidR="00746842">
        <w:rPr>
          <w:lang w:val="en-GB"/>
        </w:rPr>
        <w:t xml:space="preserve"> revalidation process and its re</w:t>
      </w:r>
      <w:r w:rsidR="00FA5360">
        <w:rPr>
          <w:lang w:val="en-GB"/>
        </w:rPr>
        <w:t>quirements or standards into a ‘Registration S</w:t>
      </w:r>
      <w:r w:rsidR="00746842">
        <w:rPr>
          <w:lang w:val="en-GB"/>
        </w:rPr>
        <w:t>tandard</w:t>
      </w:r>
      <w:r w:rsidR="00FA5360">
        <w:rPr>
          <w:lang w:val="en-GB"/>
        </w:rPr>
        <w:t>’</w:t>
      </w:r>
      <w:r w:rsidR="00746842">
        <w:rPr>
          <w:lang w:val="en-GB"/>
        </w:rPr>
        <w:t>. Each national board, including th</w:t>
      </w:r>
      <w:r w:rsidR="00FA5360">
        <w:rPr>
          <w:lang w:val="en-GB"/>
        </w:rPr>
        <w:t>e MBA, are required to develop R</w:t>
      </w:r>
      <w:r w:rsidR="00746842">
        <w:rPr>
          <w:lang w:val="en-GB"/>
        </w:rPr>
        <w:t xml:space="preserve">egistration </w:t>
      </w:r>
      <w:r w:rsidR="00FA5360">
        <w:rPr>
          <w:lang w:val="en-GB"/>
        </w:rPr>
        <w:t>S</w:t>
      </w:r>
      <w:r w:rsidR="00746842">
        <w:rPr>
          <w:lang w:val="en-GB"/>
        </w:rPr>
        <w:t xml:space="preserve">tandards on continuing professional development, indemnity insurance requirements, English language skills and matters </w:t>
      </w:r>
      <w:r w:rsidR="00FA5360">
        <w:rPr>
          <w:lang w:val="en-GB"/>
        </w:rPr>
        <w:t xml:space="preserve">regarding any </w:t>
      </w:r>
      <w:r w:rsidR="00746842">
        <w:rPr>
          <w:lang w:val="en-GB"/>
        </w:rPr>
        <w:t>criminal history of applicants and registered health practitioners.</w:t>
      </w:r>
      <w:r w:rsidR="00ED296A" w:rsidRPr="00B916B2">
        <w:rPr>
          <w:rStyle w:val="FootnoteReference"/>
        </w:rPr>
        <w:footnoteReference w:id="63"/>
      </w:r>
      <w:r w:rsidR="00746842">
        <w:rPr>
          <w:lang w:val="en-GB"/>
        </w:rPr>
        <w:t xml:space="preserve"> A National Board is also</w:t>
      </w:r>
      <w:r w:rsidR="00FA5360">
        <w:rPr>
          <w:lang w:val="en-GB"/>
        </w:rPr>
        <w:t xml:space="preserve"> able to develop and recommend R</w:t>
      </w:r>
      <w:r w:rsidR="00746842">
        <w:rPr>
          <w:lang w:val="en-GB"/>
        </w:rPr>
        <w:t xml:space="preserve">egistration </w:t>
      </w:r>
      <w:r w:rsidR="00FA5360">
        <w:rPr>
          <w:lang w:val="en-GB"/>
        </w:rPr>
        <w:t>S</w:t>
      </w:r>
      <w:r w:rsidR="00746842">
        <w:rPr>
          <w:lang w:val="en-GB"/>
        </w:rPr>
        <w:t xml:space="preserve">tandards relating to the physical and mental health of </w:t>
      </w:r>
      <w:r w:rsidR="007E6D45">
        <w:rPr>
          <w:lang w:val="en-GB"/>
        </w:rPr>
        <w:t xml:space="preserve">applicants, </w:t>
      </w:r>
      <w:r w:rsidR="00746842">
        <w:rPr>
          <w:lang w:val="en-GB"/>
        </w:rPr>
        <w:t xml:space="preserve">registered health practitioners and students, scope of practice and any other issue relevant </w:t>
      </w:r>
      <w:r w:rsidR="00ED296A">
        <w:rPr>
          <w:lang w:val="en-GB"/>
        </w:rPr>
        <w:t>to</w:t>
      </w:r>
      <w:r w:rsidR="00746842">
        <w:rPr>
          <w:lang w:val="en-GB"/>
        </w:rPr>
        <w:t xml:space="preserve"> the eligibility, suitability or competency of individuals.</w:t>
      </w:r>
      <w:r w:rsidR="00746842" w:rsidRPr="00B916B2">
        <w:rPr>
          <w:rStyle w:val="FootnoteReference"/>
        </w:rPr>
        <w:footnoteReference w:id="64"/>
      </w:r>
      <w:r w:rsidR="00746842">
        <w:rPr>
          <w:lang w:val="en-GB"/>
        </w:rPr>
        <w:t xml:space="preserve"> These </w:t>
      </w:r>
      <w:r w:rsidR="00FA5360">
        <w:rPr>
          <w:lang w:val="en-GB"/>
        </w:rPr>
        <w:t>Registration S</w:t>
      </w:r>
      <w:r w:rsidR="00746842">
        <w:rPr>
          <w:lang w:val="en-GB"/>
        </w:rPr>
        <w:t>tandards are approved by the Ministerial Council,</w:t>
      </w:r>
      <w:r w:rsidR="00746842" w:rsidRPr="00B916B2">
        <w:rPr>
          <w:rStyle w:val="FootnoteReference"/>
        </w:rPr>
        <w:footnoteReference w:id="65"/>
      </w:r>
      <w:r w:rsidR="00746842">
        <w:rPr>
          <w:lang w:val="en-GB"/>
        </w:rPr>
        <w:t xml:space="preserve"> </w:t>
      </w:r>
      <w:r w:rsidR="00ED296A">
        <w:rPr>
          <w:lang w:val="en-GB"/>
        </w:rPr>
        <w:t>are used during registration and re-registration processes</w:t>
      </w:r>
      <w:r w:rsidR="00FA5360">
        <w:rPr>
          <w:lang w:val="en-GB"/>
        </w:rPr>
        <w:t>,</w:t>
      </w:r>
      <w:r w:rsidR="00ED296A">
        <w:rPr>
          <w:lang w:val="en-GB"/>
        </w:rPr>
        <w:t xml:space="preserve"> and are admissible in disciplinary proceedings in all jurisdictions as evidence of what constitutes appropriate professional conduct or practice for the relevant health</w:t>
      </w:r>
      <w:r w:rsidR="00FA5360">
        <w:rPr>
          <w:lang w:val="en-GB"/>
        </w:rPr>
        <w:t xml:space="preserve"> profession.</w:t>
      </w:r>
      <w:r w:rsidR="00ED296A" w:rsidRPr="00B916B2">
        <w:rPr>
          <w:rStyle w:val="FootnoteReference"/>
        </w:rPr>
        <w:footnoteReference w:id="66"/>
      </w:r>
    </w:p>
    <w:p w14:paraId="40AD4C78" w14:textId="325CAB8D" w:rsidR="00B51C73" w:rsidRDefault="00ED296A" w:rsidP="009F59B5">
      <w:pPr>
        <w:rPr>
          <w:lang w:val="en-GB"/>
        </w:rPr>
      </w:pPr>
      <w:r>
        <w:rPr>
          <w:lang w:val="en-GB"/>
        </w:rPr>
        <w:t>Whilst the legal implementation of revalidation</w:t>
      </w:r>
      <w:r w:rsidR="00FA5360">
        <w:rPr>
          <w:lang w:val="en-GB"/>
        </w:rPr>
        <w:t xml:space="preserve"> by use of registration standards</w:t>
      </w:r>
      <w:r>
        <w:rPr>
          <w:lang w:val="en-GB"/>
        </w:rPr>
        <w:t xml:space="preserve"> is quite straightforward, the content of that reform represents an area of significant debate. </w:t>
      </w:r>
      <w:r w:rsidR="00746842">
        <w:rPr>
          <w:lang w:val="en-GB"/>
        </w:rPr>
        <w:t>O</w:t>
      </w:r>
      <w:r w:rsidR="00817423">
        <w:rPr>
          <w:lang w:val="en-GB"/>
        </w:rPr>
        <w:t xml:space="preserve">ther jurisdictions </w:t>
      </w:r>
      <w:r w:rsidR="007E6D45">
        <w:rPr>
          <w:lang w:val="en-GB"/>
        </w:rPr>
        <w:t>have</w:t>
      </w:r>
      <w:r w:rsidR="00817423">
        <w:rPr>
          <w:lang w:val="en-GB"/>
        </w:rPr>
        <w:t xml:space="preserve"> trialled or implemented r</w:t>
      </w:r>
      <w:r w:rsidR="00F636E6">
        <w:rPr>
          <w:lang w:val="en-GB"/>
        </w:rPr>
        <w:t>evalidation</w:t>
      </w:r>
      <w:r w:rsidR="00FA5360">
        <w:rPr>
          <w:lang w:val="en-GB"/>
        </w:rPr>
        <w:t>,</w:t>
      </w:r>
      <w:r w:rsidR="002C7E87" w:rsidRPr="00B916B2">
        <w:rPr>
          <w:rStyle w:val="FootnoteReference"/>
        </w:rPr>
        <w:footnoteReference w:id="67"/>
      </w:r>
      <w:r w:rsidR="00FA5360">
        <w:rPr>
          <w:lang w:val="en-GB"/>
        </w:rPr>
        <w:t xml:space="preserve"> and their experience has been influential on debate in Australia. C</w:t>
      </w:r>
      <w:r w:rsidR="00642D7E">
        <w:rPr>
          <w:lang w:val="en-GB"/>
        </w:rPr>
        <w:t xml:space="preserve">entral to the discussions in Australia has been the </w:t>
      </w:r>
      <w:r w:rsidR="001B1F49">
        <w:rPr>
          <w:lang w:val="en-GB"/>
        </w:rPr>
        <w:t xml:space="preserve">regulatory model and </w:t>
      </w:r>
      <w:r w:rsidR="00642D7E">
        <w:rPr>
          <w:lang w:val="en-GB"/>
        </w:rPr>
        <w:t xml:space="preserve">experience of revalidation in the United </w:t>
      </w:r>
      <w:r w:rsidR="001B1F49">
        <w:rPr>
          <w:lang w:val="en-GB"/>
        </w:rPr>
        <w:t>Kingdom. In that jurisdiction, r</w:t>
      </w:r>
      <w:r w:rsidR="00642D7E" w:rsidRPr="00642D7E">
        <w:rPr>
          <w:lang w:val="en-GB"/>
        </w:rPr>
        <w:t xml:space="preserve">evalidation </w:t>
      </w:r>
      <w:r w:rsidR="001B1F49">
        <w:rPr>
          <w:lang w:val="en-GB"/>
        </w:rPr>
        <w:t>is</w:t>
      </w:r>
      <w:r w:rsidR="00642D7E" w:rsidRPr="00642D7E">
        <w:rPr>
          <w:lang w:val="en-GB"/>
        </w:rPr>
        <w:t xml:space="preserve"> </w:t>
      </w:r>
      <w:r w:rsidR="001B1F49">
        <w:rPr>
          <w:lang w:val="en-GB"/>
        </w:rPr>
        <w:t>administered</w:t>
      </w:r>
      <w:r w:rsidR="00642D7E" w:rsidRPr="00642D7E">
        <w:rPr>
          <w:lang w:val="en-GB"/>
        </w:rPr>
        <w:t xml:space="preserve"> by th</w:t>
      </w:r>
      <w:r w:rsidR="001B1F49">
        <w:rPr>
          <w:lang w:val="en-GB"/>
        </w:rPr>
        <w:t xml:space="preserve">e General Medical Council (GMC), </w:t>
      </w:r>
      <w:r w:rsidR="00546157">
        <w:rPr>
          <w:lang w:val="en-GB"/>
        </w:rPr>
        <w:t>that jurisdictions’</w:t>
      </w:r>
      <w:r w:rsidR="001B1F49">
        <w:rPr>
          <w:lang w:val="en-GB"/>
        </w:rPr>
        <w:t xml:space="preserve"> equivalent of the MBA.</w:t>
      </w:r>
      <w:r w:rsidR="007E6D45">
        <w:rPr>
          <w:rStyle w:val="FootnoteReference"/>
          <w:lang w:val="en-GB"/>
        </w:rPr>
        <w:footnoteReference w:id="68"/>
      </w:r>
      <w:r w:rsidR="00642D7E" w:rsidRPr="00642D7E">
        <w:rPr>
          <w:lang w:val="en-GB"/>
        </w:rPr>
        <w:t xml:space="preserve"> </w:t>
      </w:r>
      <w:r w:rsidR="001B1F49">
        <w:rPr>
          <w:lang w:val="en-GB"/>
        </w:rPr>
        <w:t>Implemented in 2012, registered medical practitioners engage in revalidation cycles lasting</w:t>
      </w:r>
      <w:r w:rsidR="00642D7E" w:rsidRPr="00642D7E">
        <w:rPr>
          <w:lang w:val="en-GB"/>
        </w:rPr>
        <w:t xml:space="preserve"> five year</w:t>
      </w:r>
      <w:r w:rsidR="001B1F49">
        <w:rPr>
          <w:lang w:val="en-GB"/>
        </w:rPr>
        <w:t>s. Compulsory activities include completion of f</w:t>
      </w:r>
      <w:r w:rsidR="00642D7E" w:rsidRPr="00642D7E">
        <w:rPr>
          <w:lang w:val="en-GB"/>
        </w:rPr>
        <w:t xml:space="preserve">ive annual appraisals, </w:t>
      </w:r>
      <w:r w:rsidR="001B1F49">
        <w:rPr>
          <w:lang w:val="en-GB"/>
        </w:rPr>
        <w:t>continuing professional development activities,</w:t>
      </w:r>
      <w:r w:rsidR="00642D7E" w:rsidRPr="00642D7E">
        <w:rPr>
          <w:lang w:val="en-GB"/>
        </w:rPr>
        <w:t xml:space="preserve"> and </w:t>
      </w:r>
      <w:r w:rsidR="001B1F49">
        <w:rPr>
          <w:lang w:val="en-GB"/>
        </w:rPr>
        <w:t xml:space="preserve">compilation of a portfolio, </w:t>
      </w:r>
      <w:r w:rsidR="002E0860">
        <w:rPr>
          <w:lang w:val="en-GB"/>
        </w:rPr>
        <w:t>that</w:t>
      </w:r>
      <w:r w:rsidR="001B1F49">
        <w:rPr>
          <w:lang w:val="en-GB"/>
        </w:rPr>
        <w:t xml:space="preserve"> includes a flexible set of information, including review of s</w:t>
      </w:r>
      <w:r w:rsidR="00642D7E" w:rsidRPr="00642D7E">
        <w:rPr>
          <w:lang w:val="en-GB"/>
        </w:rPr>
        <w:t>ignificant events</w:t>
      </w:r>
      <w:r w:rsidR="001B1F49">
        <w:rPr>
          <w:lang w:val="en-GB"/>
        </w:rPr>
        <w:t xml:space="preserve"> and</w:t>
      </w:r>
      <w:r w:rsidR="00642D7E" w:rsidRPr="00642D7E">
        <w:rPr>
          <w:lang w:val="en-GB"/>
        </w:rPr>
        <w:t xml:space="preserve"> </w:t>
      </w:r>
      <w:r w:rsidR="001B1F49">
        <w:rPr>
          <w:lang w:val="en-GB"/>
        </w:rPr>
        <w:t>multi-source feedback.</w:t>
      </w:r>
      <w:r w:rsidR="001B1F49" w:rsidRPr="00B916B2">
        <w:rPr>
          <w:rStyle w:val="FootnoteReference"/>
        </w:rPr>
        <w:footnoteReference w:id="69"/>
      </w:r>
      <w:r w:rsidR="00642D7E" w:rsidRPr="00642D7E">
        <w:rPr>
          <w:lang w:val="en-GB"/>
        </w:rPr>
        <w:t xml:space="preserve"> </w:t>
      </w:r>
      <w:r w:rsidR="001B1F49">
        <w:rPr>
          <w:lang w:val="en-GB"/>
        </w:rPr>
        <w:t>Based on that process, a</w:t>
      </w:r>
      <w:r w:rsidR="00642D7E" w:rsidRPr="00642D7E">
        <w:rPr>
          <w:lang w:val="en-GB"/>
        </w:rPr>
        <w:t xml:space="preserve"> recommendation</w:t>
      </w:r>
      <w:r w:rsidR="002C7E87" w:rsidRPr="002C7E87">
        <w:rPr>
          <w:lang w:val="en-GB"/>
        </w:rPr>
        <w:t xml:space="preserve"> </w:t>
      </w:r>
      <w:r w:rsidR="002C7E87">
        <w:rPr>
          <w:lang w:val="en-GB"/>
        </w:rPr>
        <w:t>to the GMC</w:t>
      </w:r>
      <w:r w:rsidR="00642D7E" w:rsidRPr="00642D7E">
        <w:rPr>
          <w:lang w:val="en-GB"/>
        </w:rPr>
        <w:t xml:space="preserve"> </w:t>
      </w:r>
      <w:r w:rsidR="002C7E87">
        <w:rPr>
          <w:lang w:val="en-GB"/>
        </w:rPr>
        <w:t>supporting or not supporting</w:t>
      </w:r>
      <w:r w:rsidR="001B1F49">
        <w:rPr>
          <w:lang w:val="en-GB"/>
        </w:rPr>
        <w:t xml:space="preserve"> revalidation is made by a ‘responsible officer’. The</w:t>
      </w:r>
      <w:r w:rsidR="00642D7E" w:rsidRPr="00642D7E">
        <w:rPr>
          <w:lang w:val="en-GB"/>
        </w:rPr>
        <w:t xml:space="preserve"> ‘responsible officer’</w:t>
      </w:r>
      <w:r w:rsidR="001B1F49">
        <w:rPr>
          <w:lang w:val="en-GB"/>
        </w:rPr>
        <w:t xml:space="preserve"> is a formal office, held by a variety of nominated senior and experienced medical practitioners </w:t>
      </w:r>
      <w:r w:rsidR="00366930">
        <w:rPr>
          <w:lang w:val="en-GB"/>
        </w:rPr>
        <w:t xml:space="preserve">who are either regionally, college or employer-based. </w:t>
      </w:r>
      <w:r w:rsidR="00546157">
        <w:rPr>
          <w:lang w:val="en-GB"/>
        </w:rPr>
        <w:t xml:space="preserve">In the first period of its use, </w:t>
      </w:r>
      <w:r w:rsidR="00642D7E" w:rsidRPr="00642D7E">
        <w:rPr>
          <w:lang w:val="en-GB"/>
        </w:rPr>
        <w:t xml:space="preserve">63 doctors </w:t>
      </w:r>
      <w:r w:rsidR="00546157">
        <w:rPr>
          <w:lang w:val="en-GB"/>
        </w:rPr>
        <w:t>left</w:t>
      </w:r>
      <w:r w:rsidR="00642D7E" w:rsidRPr="00642D7E">
        <w:rPr>
          <w:lang w:val="en-GB"/>
        </w:rPr>
        <w:t xml:space="preserve"> practice as a res</w:t>
      </w:r>
      <w:r w:rsidR="00366930">
        <w:rPr>
          <w:lang w:val="en-GB"/>
        </w:rPr>
        <w:t>ult of the re</w:t>
      </w:r>
      <w:r w:rsidR="00546157">
        <w:rPr>
          <w:lang w:val="en-GB"/>
        </w:rPr>
        <w:t>validation scheme.</w:t>
      </w:r>
      <w:r w:rsidR="00366930" w:rsidRPr="00B916B2">
        <w:rPr>
          <w:rStyle w:val="FootnoteReference"/>
        </w:rPr>
        <w:footnoteReference w:id="70"/>
      </w:r>
      <w:r w:rsidR="00FA5360">
        <w:rPr>
          <w:lang w:val="en-GB"/>
        </w:rPr>
        <w:t xml:space="preserve"> </w:t>
      </w:r>
    </w:p>
    <w:p w14:paraId="4F89100F" w14:textId="2A1E1C16" w:rsidR="00746842" w:rsidRDefault="00FA5360" w:rsidP="009F59B5">
      <w:r>
        <w:rPr>
          <w:lang w:val="en-GB"/>
        </w:rPr>
        <w:t>The success or otherwise of revalidation in the UK has been applied to evaluation of revalidation proposals in Australia. Perhaps the most memorable claim in this genre, has been the view that notorious serial killer and doctor, Harold Shipman,</w:t>
      </w:r>
      <w:r w:rsidRPr="00FD62DA">
        <w:t xml:space="preserve"> </w:t>
      </w:r>
      <w:r w:rsidR="00F37E44">
        <w:t xml:space="preserve">who killed an estimated 250 people, </w:t>
      </w:r>
      <w:r>
        <w:t>‘</w:t>
      </w:r>
      <w:r w:rsidRPr="00FD62DA">
        <w:t>would probably have been able to revalidate if he sorted out the correct paperwork.</w:t>
      </w:r>
      <w:r>
        <w:t>’</w:t>
      </w:r>
      <w:r w:rsidRPr="00B916B2">
        <w:rPr>
          <w:rStyle w:val="FootnoteReference"/>
        </w:rPr>
        <w:footnoteReference w:id="71"/>
      </w:r>
      <w:r>
        <w:t xml:space="preserve"> </w:t>
      </w:r>
      <w:r w:rsidR="00F37E44">
        <w:t xml:space="preserve">In a more sober tone, </w:t>
      </w:r>
      <w:r w:rsidR="00455545" w:rsidRPr="00455545">
        <w:t>President of the Australian Society of Anaesthetists</w:t>
      </w:r>
      <w:r w:rsidR="00455545">
        <w:t xml:space="preserve">, Guy </w:t>
      </w:r>
      <w:r w:rsidR="00817423">
        <w:rPr>
          <w:lang w:val="en-GB"/>
        </w:rPr>
        <w:t>Christie-Taylor</w:t>
      </w:r>
      <w:r w:rsidR="00F37E44">
        <w:rPr>
          <w:lang w:val="en-GB"/>
        </w:rPr>
        <w:t xml:space="preserve">, </w:t>
      </w:r>
      <w:r w:rsidR="00817423">
        <w:rPr>
          <w:lang w:val="en-GB"/>
        </w:rPr>
        <w:t xml:space="preserve">notes that </w:t>
      </w:r>
      <w:r w:rsidR="00EC1777">
        <w:rPr>
          <w:lang w:val="en-GB"/>
        </w:rPr>
        <w:t>‘</w:t>
      </w:r>
      <w:r w:rsidR="00EC1777" w:rsidRPr="001B31B0">
        <w:rPr>
          <w:lang w:val="en-GB"/>
        </w:rPr>
        <w:t>healthcare delivery by medical practitioners in Australia is organisationally quite different from the UK,</w:t>
      </w:r>
      <w:r w:rsidR="00817423">
        <w:rPr>
          <w:lang w:val="en-GB"/>
        </w:rPr>
        <w:t>’</w:t>
      </w:r>
      <w:r w:rsidR="001E18AD" w:rsidRPr="001E18AD">
        <w:rPr>
          <w:rStyle w:val="FootnoteReference"/>
          <w:lang w:val="en-GB"/>
        </w:rPr>
        <w:t xml:space="preserve"> </w:t>
      </w:r>
      <w:r w:rsidR="001E18AD" w:rsidRPr="00B916B2">
        <w:rPr>
          <w:rStyle w:val="FootnoteReference"/>
        </w:rPr>
        <w:footnoteReference w:id="72"/>
      </w:r>
      <w:r w:rsidR="00817423">
        <w:rPr>
          <w:lang w:val="en-GB"/>
        </w:rPr>
        <w:t xml:space="preserve"> and that  ‘</w:t>
      </w:r>
      <w:r w:rsidR="00EC1777" w:rsidRPr="001B31B0">
        <w:rPr>
          <w:lang w:val="en-GB"/>
        </w:rPr>
        <w:t>despite some local failures of medical regulation and hospital governance, there has been no widespread loss of faith of the community in either its doctors or the current regulatory system.</w:t>
      </w:r>
      <w:r w:rsidR="00817423">
        <w:rPr>
          <w:lang w:val="en-GB"/>
        </w:rPr>
        <w:t>’</w:t>
      </w:r>
      <w:r w:rsidR="001E18AD" w:rsidRPr="00B916B2">
        <w:rPr>
          <w:rStyle w:val="FootnoteReference"/>
        </w:rPr>
        <w:footnoteReference w:id="73"/>
      </w:r>
      <w:r w:rsidR="00F37E44">
        <w:rPr>
          <w:lang w:val="en-GB"/>
        </w:rPr>
        <w:t xml:space="preserve"> Kerry</w:t>
      </w:r>
      <w:r w:rsidR="00817423">
        <w:rPr>
          <w:lang w:val="en-GB"/>
        </w:rPr>
        <w:t xml:space="preserve"> Breen</w:t>
      </w:r>
      <w:r w:rsidR="00F37E44">
        <w:rPr>
          <w:lang w:val="en-GB"/>
        </w:rPr>
        <w:t>, former President of the Australian Medical Council and past Chair of the Australian Health Ethics Committee of the NHMRC,</w:t>
      </w:r>
      <w:r w:rsidR="00817423">
        <w:rPr>
          <w:lang w:val="en-GB"/>
        </w:rPr>
        <w:t xml:space="preserve"> similarly </w:t>
      </w:r>
      <w:r w:rsidR="00F37E44">
        <w:rPr>
          <w:lang w:val="en-GB"/>
        </w:rPr>
        <w:t>argues that the UK’s introduction of revalidation</w:t>
      </w:r>
      <w:r w:rsidR="00817423">
        <w:rPr>
          <w:lang w:val="en-GB"/>
        </w:rPr>
        <w:t xml:space="preserve"> was premised on a ‘</w:t>
      </w:r>
      <w:r w:rsidR="00EC1777" w:rsidRPr="00E71E1A">
        <w:rPr>
          <w:lang w:val="en-GB"/>
        </w:rPr>
        <w:t>need to regain the trust of the community and to promote participation in cont</w:t>
      </w:r>
      <w:r w:rsidR="001E18AD">
        <w:rPr>
          <w:lang w:val="en-GB"/>
        </w:rPr>
        <w:t>inuing professional development’</w:t>
      </w:r>
      <w:r w:rsidR="002C7E87" w:rsidRPr="00B916B2">
        <w:rPr>
          <w:rStyle w:val="FootnoteReference"/>
        </w:rPr>
        <w:footnoteReference w:id="74"/>
      </w:r>
      <w:r w:rsidR="002C7E87">
        <w:rPr>
          <w:lang w:val="en-GB"/>
        </w:rPr>
        <w:t xml:space="preserve"> </w:t>
      </w:r>
      <w:r w:rsidR="001E18AD">
        <w:rPr>
          <w:lang w:val="en-GB"/>
        </w:rPr>
        <w:t xml:space="preserve">both being trends </w:t>
      </w:r>
      <w:r w:rsidR="002E0860">
        <w:rPr>
          <w:lang w:val="en-GB"/>
        </w:rPr>
        <w:t>that</w:t>
      </w:r>
      <w:r w:rsidR="001E18AD">
        <w:rPr>
          <w:lang w:val="en-GB"/>
        </w:rPr>
        <w:t xml:space="preserve"> do not apply to the Australian context, nor ‘</w:t>
      </w:r>
      <w:r w:rsidR="00EC1777" w:rsidRPr="00E71E1A">
        <w:rPr>
          <w:lang w:val="en-GB"/>
        </w:rPr>
        <w:t>justifiable grounds for introducing a similar process in Australia.</w:t>
      </w:r>
      <w:r w:rsidR="00EC1777">
        <w:rPr>
          <w:lang w:val="en-GB"/>
        </w:rPr>
        <w:t>’</w:t>
      </w:r>
      <w:r w:rsidR="00EC1777" w:rsidRPr="00B916B2">
        <w:rPr>
          <w:rStyle w:val="FootnoteReference"/>
        </w:rPr>
        <w:footnoteReference w:id="75"/>
      </w:r>
      <w:r w:rsidR="001E18AD">
        <w:rPr>
          <w:lang w:val="en-GB"/>
        </w:rPr>
        <w:t xml:space="preserve"> </w:t>
      </w:r>
    </w:p>
    <w:p w14:paraId="448F47D1" w14:textId="7DE8D9E5" w:rsidR="00CE7848" w:rsidRDefault="00977A7F" w:rsidP="009F59B5">
      <w:r>
        <w:rPr>
          <w:lang w:val="en-GB"/>
        </w:rPr>
        <w:t>Given the unique regulatory environment in Australia, the ‘gaps’ in the principal regulator’s ability to successfully intervene prior to harm arising from a competence issues, and the mixed experience of revalidation in overseas jurisdictions, there are, a</w:t>
      </w:r>
      <w:r w:rsidR="00817423">
        <w:rPr>
          <w:lang w:val="en-GB"/>
        </w:rPr>
        <w:t>t present, significant gaps in the evidence or theory to support a particular model or characteristics of a revalidation system</w:t>
      </w:r>
      <w:r>
        <w:rPr>
          <w:lang w:val="en-GB"/>
        </w:rPr>
        <w:t>.</w:t>
      </w:r>
      <w:r w:rsidRPr="00B916B2">
        <w:rPr>
          <w:rStyle w:val="FootnoteReference"/>
        </w:rPr>
        <w:footnoteReference w:id="76"/>
      </w:r>
      <w:r w:rsidR="00817423">
        <w:rPr>
          <w:lang w:val="en-GB"/>
        </w:rPr>
        <w:t xml:space="preserve"> </w:t>
      </w:r>
      <w:r w:rsidR="00F636E6">
        <w:rPr>
          <w:lang w:val="en-GB"/>
        </w:rPr>
        <w:t>The</w:t>
      </w:r>
      <w:r w:rsidR="002C7E87">
        <w:rPr>
          <w:lang w:val="en-GB"/>
        </w:rPr>
        <w:t>se</w:t>
      </w:r>
      <w:r w:rsidR="00F636E6">
        <w:rPr>
          <w:lang w:val="en-GB"/>
        </w:rPr>
        <w:t xml:space="preserve"> complexities, contest</w:t>
      </w:r>
      <w:r w:rsidR="002C7E87">
        <w:rPr>
          <w:lang w:val="en-GB"/>
        </w:rPr>
        <w:t>s</w:t>
      </w:r>
      <w:r w:rsidR="00F636E6">
        <w:rPr>
          <w:lang w:val="en-GB"/>
        </w:rPr>
        <w:t xml:space="preserve"> and </w:t>
      </w:r>
      <w:r w:rsidR="001E18AD">
        <w:rPr>
          <w:lang w:val="en-GB"/>
        </w:rPr>
        <w:t>unsettled evidence in relation to revalidation</w:t>
      </w:r>
      <w:r w:rsidR="00F636E6">
        <w:rPr>
          <w:lang w:val="en-GB"/>
        </w:rPr>
        <w:t xml:space="preserve"> means, at present, that</w:t>
      </w:r>
      <w:r w:rsidR="00F636E6" w:rsidRPr="001219AF">
        <w:t xml:space="preserve"> ‘the precise purpose and preferred approach to revalidation remains unclear’</w:t>
      </w:r>
      <w:r w:rsidR="00F636E6">
        <w:t>.</w:t>
      </w:r>
      <w:r w:rsidR="006E147E" w:rsidRPr="00B916B2">
        <w:rPr>
          <w:rStyle w:val="FootnoteReference"/>
        </w:rPr>
        <w:footnoteReference w:id="77"/>
      </w:r>
      <w:r w:rsidR="00F636E6" w:rsidRPr="001219AF">
        <w:t xml:space="preserve"> </w:t>
      </w:r>
      <w:r w:rsidR="00F636E6">
        <w:t xml:space="preserve">However, this means that there </w:t>
      </w:r>
      <w:r w:rsidR="00F636E6" w:rsidRPr="001219AF">
        <w:t xml:space="preserve">is scope for transparent debate and evidence development to better ensure that benefits of revalidation are delivered to ‘patients, the health systems and </w:t>
      </w:r>
      <w:r w:rsidR="00F636E6">
        <w:t>profession</w:t>
      </w:r>
      <w:r w:rsidR="00F636E6" w:rsidRPr="001219AF">
        <w:t xml:space="preserve"> as a whole.’</w:t>
      </w:r>
      <w:r w:rsidR="006E147E" w:rsidRPr="006E147E">
        <w:rPr>
          <w:rStyle w:val="FootnoteReference"/>
        </w:rPr>
        <w:t xml:space="preserve"> </w:t>
      </w:r>
      <w:r w:rsidR="006E147E" w:rsidRPr="00B916B2">
        <w:rPr>
          <w:rStyle w:val="FootnoteReference"/>
        </w:rPr>
        <w:footnoteReference w:id="78"/>
      </w:r>
      <w:r w:rsidR="00F636E6">
        <w:t xml:space="preserve"> This is urgent, especially as there seems to be an inevitability to the introduction of revalidation.</w:t>
      </w:r>
      <w:r w:rsidR="00F636E6" w:rsidRPr="00B916B2">
        <w:rPr>
          <w:rStyle w:val="FootnoteReference"/>
        </w:rPr>
        <w:footnoteReference w:id="79"/>
      </w:r>
    </w:p>
    <w:p w14:paraId="2B623378" w14:textId="77777777" w:rsidR="001E18AD" w:rsidRDefault="001E18AD" w:rsidP="009F59B5">
      <w:pPr>
        <w:rPr>
          <w:lang w:val="en-GB"/>
        </w:rPr>
      </w:pPr>
    </w:p>
    <w:p w14:paraId="0F8DABAB" w14:textId="09E0A342" w:rsidR="00430BC4" w:rsidRPr="001219AF" w:rsidRDefault="00480BD4" w:rsidP="009770E3">
      <w:pPr>
        <w:pStyle w:val="Heading1"/>
      </w:pPr>
      <w:r>
        <w:t>Understanding Public Preferences: Discrete Choice Experiment</w:t>
      </w:r>
    </w:p>
    <w:p w14:paraId="4C2B59C1" w14:textId="68FC2BAD" w:rsidR="00BC1A95" w:rsidRDefault="00377A60" w:rsidP="00BC1A95">
      <w:pPr>
        <w:rPr>
          <w:rFonts w:eastAsia="Times New Roman" w:cs="Times New Roman"/>
          <w:lang w:eastAsia="en-AU"/>
        </w:rPr>
      </w:pPr>
      <w:r>
        <w:rPr>
          <w:lang w:val="en-GB"/>
        </w:rPr>
        <w:t xml:space="preserve">In aid of advancing the evidence base in relation to revalidation, we conducted a discrete choice experiment to </w:t>
      </w:r>
      <w:r w:rsidRPr="001219AF">
        <w:t xml:space="preserve">determine the Australian general public’s </w:t>
      </w:r>
      <w:r>
        <w:t xml:space="preserve">acceptance of and </w:t>
      </w:r>
      <w:r w:rsidRPr="001219AF">
        <w:t>preferred model for medical registration rev</w:t>
      </w:r>
      <w:r>
        <w:t>alidation.</w:t>
      </w:r>
      <w:r>
        <w:rPr>
          <w:lang w:val="en-GB"/>
        </w:rPr>
        <w:t xml:space="preserve"> </w:t>
      </w:r>
      <w:r w:rsidR="005D745C">
        <w:rPr>
          <w:lang w:val="en-GB"/>
        </w:rPr>
        <w:t xml:space="preserve">This experiment was undertaken during the MBA’s Expert Advisory Group on Revalidation’s deliberation. </w:t>
      </w:r>
      <w:r w:rsidR="00825298">
        <w:t>Discrete choice experiments</w:t>
      </w:r>
      <w:r w:rsidR="00664C4A">
        <w:rPr>
          <w:rFonts w:eastAsia="Times New Roman" w:cs="Times New Roman"/>
          <w:lang w:eastAsia="en-AU"/>
        </w:rPr>
        <w:t xml:space="preserve"> present respondents with a short scenario or vignette, after which they are shown, sequentially, </w:t>
      </w:r>
      <w:r w:rsidR="00825298">
        <w:rPr>
          <w:rFonts w:eastAsia="Times New Roman" w:cs="Times New Roman"/>
          <w:lang w:eastAsia="en-AU"/>
        </w:rPr>
        <w:t>several</w:t>
      </w:r>
      <w:r w:rsidR="00664C4A">
        <w:rPr>
          <w:rFonts w:eastAsia="Times New Roman" w:cs="Times New Roman"/>
          <w:lang w:eastAsia="en-AU"/>
        </w:rPr>
        <w:t xml:space="preserve"> pairs of potential responses and forced to choose their preferred response from each pair. The underlying premise is that respondents choose what they value in the context in which they are asked to make the choice.</w:t>
      </w:r>
      <w:r w:rsidR="00560D43" w:rsidRPr="00B916B2">
        <w:rPr>
          <w:rStyle w:val="FootnoteReference"/>
        </w:rPr>
        <w:footnoteReference w:id="80"/>
      </w:r>
    </w:p>
    <w:p w14:paraId="13F52896" w14:textId="73AF8F73" w:rsidR="001D06D7" w:rsidRDefault="00BC1A95" w:rsidP="00BC1A95">
      <w:r>
        <w:t>Discrete choice</w:t>
      </w:r>
      <w:r w:rsidRPr="001219AF">
        <w:t xml:space="preserve"> methods have been applied successfully in a variety of health and health system-related contexts</w:t>
      </w:r>
      <w:r>
        <w:t>.</w:t>
      </w:r>
      <w:r w:rsidRPr="00B916B2">
        <w:rPr>
          <w:rStyle w:val="FootnoteReference"/>
        </w:rPr>
        <w:footnoteReference w:id="81"/>
      </w:r>
      <w:r>
        <w:t xml:space="preserve"> For instance, de </w:t>
      </w:r>
      <w:proofErr w:type="spellStart"/>
      <w:r>
        <w:t>Bekker-Grob</w:t>
      </w:r>
      <w:proofErr w:type="spellEnd"/>
      <w:r>
        <w:t xml:space="preserve"> et al</w:t>
      </w:r>
      <w:r w:rsidRPr="00664C4A">
        <w:t xml:space="preserve"> identified 69 published choice-based studies in health care in 2012</w:t>
      </w:r>
      <w:r>
        <w:t>,</w:t>
      </w:r>
      <w:r w:rsidRPr="00B916B2">
        <w:rPr>
          <w:rStyle w:val="FootnoteReference"/>
        </w:rPr>
        <w:footnoteReference w:id="82"/>
      </w:r>
      <w:r w:rsidRPr="00664C4A">
        <w:t xml:space="preserve"> </w:t>
      </w:r>
      <w:r>
        <w:t>whilst t</w:t>
      </w:r>
      <w:r w:rsidRPr="00664C4A">
        <w:t xml:space="preserve">he ISPOR task force </w:t>
      </w:r>
      <w:r w:rsidR="004114AB">
        <w:t>has developed</w:t>
      </w:r>
      <w:r w:rsidR="002C7E87">
        <w:t xml:space="preserve"> methodological guidance for such studies</w:t>
      </w:r>
      <w:r w:rsidRPr="00664C4A">
        <w:t>.</w:t>
      </w:r>
      <w:r w:rsidRPr="00B916B2">
        <w:rPr>
          <w:rStyle w:val="FootnoteReference"/>
        </w:rPr>
        <w:footnoteReference w:id="83"/>
      </w:r>
      <w:r w:rsidRPr="00664C4A">
        <w:t xml:space="preserve"> </w:t>
      </w:r>
      <w:r w:rsidR="002C7E87">
        <w:t>Within the health context</w:t>
      </w:r>
      <w:r w:rsidR="004114AB">
        <w:t xml:space="preserve">, discrete choice has been used in aid of developing </w:t>
      </w:r>
      <w:r w:rsidR="00A02C07">
        <w:t>and design of</w:t>
      </w:r>
      <w:r w:rsidR="004114AB">
        <w:t xml:space="preserve"> risk and side-effect profiles</w:t>
      </w:r>
      <w:r w:rsidR="002C7E87">
        <w:t xml:space="preserve"> of medication,</w:t>
      </w:r>
      <w:r w:rsidR="00AA7D62" w:rsidRPr="00B916B2">
        <w:rPr>
          <w:rStyle w:val="FootnoteReference"/>
        </w:rPr>
        <w:footnoteReference w:id="84"/>
      </w:r>
      <w:r w:rsidR="004114AB">
        <w:t xml:space="preserve"> and to revise quality of life indicators.</w:t>
      </w:r>
      <w:r w:rsidR="00AA7D62" w:rsidRPr="00B916B2">
        <w:rPr>
          <w:rStyle w:val="FootnoteReference"/>
        </w:rPr>
        <w:footnoteReference w:id="85"/>
      </w:r>
      <w:r w:rsidR="004114AB">
        <w:t xml:space="preserve"> </w:t>
      </w:r>
      <w:r w:rsidR="00AC5AB2">
        <w:t xml:space="preserve">Whilst less frequent, discrete choice has </w:t>
      </w:r>
      <w:r w:rsidR="002C7E87">
        <w:t xml:space="preserve">also </w:t>
      </w:r>
      <w:r w:rsidR="00AC5AB2">
        <w:t>been applied</w:t>
      </w:r>
      <w:r w:rsidR="00F37E44">
        <w:t xml:space="preserve"> </w:t>
      </w:r>
      <w:r w:rsidR="00AC5AB2">
        <w:t xml:space="preserve">in </w:t>
      </w:r>
      <w:r w:rsidR="001D06D7">
        <w:t xml:space="preserve">policy-related research </w:t>
      </w:r>
      <w:r w:rsidR="008F6614">
        <w:t>in healthcare contexts</w:t>
      </w:r>
      <w:r w:rsidR="001D06D7">
        <w:t xml:space="preserve">. Practitioner preferences </w:t>
      </w:r>
      <w:r w:rsidR="008F6614">
        <w:t>for the</w:t>
      </w:r>
      <w:r w:rsidR="001D06D7">
        <w:t xml:space="preserve"> design of a healthcare-associated </w:t>
      </w:r>
      <w:r w:rsidR="00DE6D0B">
        <w:t xml:space="preserve">infection surveillance </w:t>
      </w:r>
      <w:r w:rsidR="008F6614">
        <w:t>system</w:t>
      </w:r>
      <w:r w:rsidR="005723EA">
        <w:t>,</w:t>
      </w:r>
      <w:r w:rsidR="005723EA" w:rsidRPr="00B916B2">
        <w:rPr>
          <w:rStyle w:val="FootnoteReference"/>
        </w:rPr>
        <w:footnoteReference w:id="86"/>
      </w:r>
      <w:r w:rsidR="001D06D7">
        <w:t xml:space="preserve"> patient and community member preferences in relation to health service delivery models</w:t>
      </w:r>
      <w:r w:rsidR="005723EA">
        <w:t>,</w:t>
      </w:r>
      <w:r w:rsidR="005723EA" w:rsidRPr="00B916B2">
        <w:rPr>
          <w:rStyle w:val="FootnoteReference"/>
        </w:rPr>
        <w:footnoteReference w:id="87"/>
      </w:r>
      <w:r w:rsidR="005723EA">
        <w:t xml:space="preserve"> and </w:t>
      </w:r>
      <w:r w:rsidR="00977A7F">
        <w:t xml:space="preserve">policy responses to </w:t>
      </w:r>
      <w:r w:rsidR="005723EA">
        <w:t>rural and remote medical workforce shortages,</w:t>
      </w:r>
      <w:r w:rsidR="005723EA" w:rsidRPr="00B916B2">
        <w:rPr>
          <w:rStyle w:val="FootnoteReference"/>
        </w:rPr>
        <w:footnoteReference w:id="88"/>
      </w:r>
      <w:r w:rsidR="001D06D7">
        <w:t xml:space="preserve"> </w:t>
      </w:r>
      <w:r w:rsidR="002C7E87">
        <w:t xml:space="preserve">are all examples of areas where </w:t>
      </w:r>
      <w:r w:rsidR="008F6614">
        <w:t xml:space="preserve">discrete choice </w:t>
      </w:r>
      <w:r w:rsidR="002C7E87">
        <w:t xml:space="preserve">has been successfully used </w:t>
      </w:r>
      <w:r w:rsidR="008F6614">
        <w:t>to influence</w:t>
      </w:r>
      <w:r w:rsidR="00DE6D0B">
        <w:t xml:space="preserve"> </w:t>
      </w:r>
      <w:r w:rsidR="001D06D7">
        <w:t xml:space="preserve">policy </w:t>
      </w:r>
      <w:r w:rsidR="008F6614">
        <w:t>formulation.</w:t>
      </w:r>
      <w:r w:rsidR="00DE6D0B">
        <w:t xml:space="preserve"> </w:t>
      </w:r>
      <w:r w:rsidR="00F37E44">
        <w:t xml:space="preserve">It has been applied in a limited manner as an empirical legal method, with </w:t>
      </w:r>
      <w:r w:rsidR="008F6614">
        <w:t xml:space="preserve">contentious regulatory issues </w:t>
      </w:r>
      <w:r w:rsidR="00F37E44">
        <w:t>having</w:t>
      </w:r>
      <w:r w:rsidR="008F6614">
        <w:t xml:space="preserve"> been subject to discrete choice experiments. This includes recent work on the </w:t>
      </w:r>
      <w:r w:rsidR="00DE6D0B">
        <w:t>d</w:t>
      </w:r>
      <w:r w:rsidR="001D06D7">
        <w:t xml:space="preserve">esign of </w:t>
      </w:r>
      <w:r w:rsidR="008F6614">
        <w:t xml:space="preserve">legal and </w:t>
      </w:r>
      <w:r w:rsidR="001D06D7">
        <w:t>reg</w:t>
      </w:r>
      <w:r w:rsidR="00DE6D0B">
        <w:t xml:space="preserve">ulatory </w:t>
      </w:r>
      <w:r w:rsidR="008F6614">
        <w:t>responses</w:t>
      </w:r>
      <w:r w:rsidR="00DE6D0B">
        <w:t xml:space="preserve"> </w:t>
      </w:r>
      <w:r w:rsidR="008F6614">
        <w:t>to</w:t>
      </w:r>
      <w:r w:rsidR="00DE6D0B">
        <w:t xml:space="preserve"> cannabis use,</w:t>
      </w:r>
      <w:r w:rsidR="002A3A81" w:rsidRPr="00B916B2">
        <w:rPr>
          <w:rStyle w:val="FootnoteReference"/>
        </w:rPr>
        <w:footnoteReference w:id="89"/>
      </w:r>
      <w:r w:rsidR="00DE6D0B">
        <w:t xml:space="preserve"> </w:t>
      </w:r>
      <w:r w:rsidR="00D84B12">
        <w:t xml:space="preserve">on </w:t>
      </w:r>
      <w:r w:rsidR="00977A7F">
        <w:t xml:space="preserve">‘reverse-engineering’ </w:t>
      </w:r>
      <w:r w:rsidR="00D84B12">
        <w:t>the selection of areas of a city for committing robbery,</w:t>
      </w:r>
      <w:r w:rsidR="00D84B12" w:rsidRPr="00B916B2">
        <w:rPr>
          <w:rStyle w:val="FootnoteReference"/>
        </w:rPr>
        <w:footnoteReference w:id="90"/>
      </w:r>
      <w:r w:rsidR="00D84B12">
        <w:t xml:space="preserve"> </w:t>
      </w:r>
      <w:r w:rsidR="008F6614">
        <w:t xml:space="preserve">on the </w:t>
      </w:r>
      <w:r w:rsidR="001D06D7">
        <w:t>regulatory language displayed on complementary medicines</w:t>
      </w:r>
      <w:r w:rsidR="00AA7D62">
        <w:t>,</w:t>
      </w:r>
      <w:r w:rsidR="00AA7D62" w:rsidRPr="00B916B2">
        <w:rPr>
          <w:rStyle w:val="FootnoteReference"/>
        </w:rPr>
        <w:footnoteReference w:id="91"/>
      </w:r>
      <w:r w:rsidR="001D06D7">
        <w:t xml:space="preserve"> </w:t>
      </w:r>
      <w:r w:rsidR="002A3A81">
        <w:t>and</w:t>
      </w:r>
      <w:r w:rsidR="008F6614">
        <w:t xml:space="preserve"> on the pre-market </w:t>
      </w:r>
      <w:r w:rsidR="002A3A81">
        <w:t>approval of medical devices.</w:t>
      </w:r>
      <w:r w:rsidR="002A3A81" w:rsidRPr="00B916B2">
        <w:rPr>
          <w:rStyle w:val="FootnoteReference"/>
        </w:rPr>
        <w:footnoteReference w:id="92"/>
      </w:r>
    </w:p>
    <w:p w14:paraId="324F9565" w14:textId="500EFE9C" w:rsidR="001D06D7" w:rsidRPr="0037301F" w:rsidRDefault="001D06D7" w:rsidP="00BC1A95">
      <w:r>
        <w:t xml:space="preserve">The common </w:t>
      </w:r>
      <w:r w:rsidR="002C7E87">
        <w:t>motivation expressed for</w:t>
      </w:r>
      <w:r>
        <w:t xml:space="preserve"> the application of discrete choice to regulatory and policy questions has been </w:t>
      </w:r>
      <w:r w:rsidR="002C7E87">
        <w:t xml:space="preserve">its potential </w:t>
      </w:r>
      <w:r>
        <w:t>to direct regulatory decision making in a more patient or community-centred approach.</w:t>
      </w:r>
      <w:r w:rsidRPr="00B916B2">
        <w:rPr>
          <w:rStyle w:val="FootnoteReference"/>
        </w:rPr>
        <w:footnoteReference w:id="93"/>
      </w:r>
      <w:r w:rsidR="0037301F">
        <w:t xml:space="preserve"> Ho et al, in their work on pre-market </w:t>
      </w:r>
      <w:r w:rsidR="00E45810">
        <w:t xml:space="preserve">regulatory </w:t>
      </w:r>
      <w:r w:rsidR="0037301F">
        <w:t>approval of devices to treat overweight and obesity</w:t>
      </w:r>
      <w:r w:rsidR="002C7E87">
        <w:t>,</w:t>
      </w:r>
      <w:r w:rsidR="0037301F">
        <w:t xml:space="preserve"> are emblematic</w:t>
      </w:r>
      <w:r w:rsidR="002C7E87">
        <w:t xml:space="preserve"> in this regard</w:t>
      </w:r>
      <w:r w:rsidR="0037301F">
        <w:t xml:space="preserve">. They </w:t>
      </w:r>
      <w:r w:rsidR="002C7E87">
        <w:t>argue</w:t>
      </w:r>
      <w:r w:rsidR="0037301F">
        <w:t xml:space="preserve"> that patients’ have a unique role in influencing what treatment should be made available</w:t>
      </w:r>
      <w:r w:rsidR="002C7E87">
        <w:t xml:space="preserve">. </w:t>
      </w:r>
      <w:r w:rsidR="00AC344D">
        <w:t>P</w:t>
      </w:r>
      <w:r w:rsidR="002C7E87">
        <w:t>atient</w:t>
      </w:r>
      <w:r w:rsidR="0037301F">
        <w:t xml:space="preserve"> perspectives</w:t>
      </w:r>
      <w:r w:rsidR="00AC344D">
        <w:t xml:space="preserve"> regarding benefits and values </w:t>
      </w:r>
      <w:r w:rsidR="0037301F">
        <w:t xml:space="preserve">flow from their unique, lived experience, with </w:t>
      </w:r>
      <w:r w:rsidR="00AC344D">
        <w:t>a</w:t>
      </w:r>
      <w:r w:rsidR="0037301F">
        <w:t xml:space="preserve"> condition and the consequences of choices they make </w:t>
      </w:r>
      <w:r w:rsidR="0037301F">
        <w:rPr>
          <w:lang w:val="en-GB"/>
        </w:rPr>
        <w:t>for their own care. These patient perspectives ‘</w:t>
      </w:r>
      <w:r w:rsidR="00AC5AB2" w:rsidRPr="00AC5AB2">
        <w:rPr>
          <w:lang w:val="en-GB"/>
        </w:rPr>
        <w:t>can be different from those o</w:t>
      </w:r>
      <w:r w:rsidR="0037301F">
        <w:rPr>
          <w:lang w:val="en-GB"/>
        </w:rPr>
        <w:t>f regulators and care providers’,</w:t>
      </w:r>
      <w:r w:rsidR="00AC344D" w:rsidRPr="00B916B2">
        <w:rPr>
          <w:rStyle w:val="FootnoteReference"/>
        </w:rPr>
        <w:footnoteReference w:id="94"/>
      </w:r>
      <w:r w:rsidR="0037301F">
        <w:rPr>
          <w:lang w:val="en-GB"/>
        </w:rPr>
        <w:t xml:space="preserve"> and in so far as they are</w:t>
      </w:r>
      <w:r w:rsidR="00AC344D">
        <w:rPr>
          <w:lang w:val="en-GB"/>
        </w:rPr>
        <w:t>,</w:t>
      </w:r>
      <w:r w:rsidR="0037301F">
        <w:rPr>
          <w:lang w:val="en-GB"/>
        </w:rPr>
        <w:t xml:space="preserve"> the voice of patients should be privileged.</w:t>
      </w:r>
    </w:p>
    <w:p w14:paraId="65ECE362" w14:textId="7983F598" w:rsidR="00BC1A95" w:rsidRDefault="00AC344D" w:rsidP="00664C4A">
      <w:r>
        <w:t xml:space="preserve">In common with the justification for discrete choice, </w:t>
      </w:r>
      <w:r w:rsidR="00FD486F">
        <w:t>patients</w:t>
      </w:r>
      <w:r>
        <w:t xml:space="preserve"> and their experiences</w:t>
      </w:r>
      <w:r w:rsidR="00FD486F">
        <w:t xml:space="preserve"> have also been at the centre of calls for revalidation.</w:t>
      </w:r>
      <w:r w:rsidR="00BC1A95" w:rsidRPr="00B916B2">
        <w:rPr>
          <w:rStyle w:val="FootnoteReference"/>
        </w:rPr>
        <w:footnoteReference w:id="95"/>
      </w:r>
      <w:r w:rsidR="001E4C6D">
        <w:t xml:space="preserve"> </w:t>
      </w:r>
      <w:r>
        <w:t>F</w:t>
      </w:r>
      <w:r w:rsidR="00963534">
        <w:t xml:space="preserve">or a </w:t>
      </w:r>
      <w:r w:rsidR="00734410">
        <w:t xml:space="preserve">regulatory body like the MBA whose primary purpose is protective, </w:t>
      </w:r>
      <w:r>
        <w:t xml:space="preserve">there is an absolute necessity to </w:t>
      </w:r>
      <w:r w:rsidR="00734410">
        <w:t>genuinely engage and prioritise the voice of the public when designing regulatory and policy interventions in their name.</w:t>
      </w:r>
      <w:r w:rsidR="001E4C6D">
        <w:t xml:space="preserve"> </w:t>
      </w:r>
      <w:r w:rsidR="00734410">
        <w:t xml:space="preserve">Due to the intersection of discrete choice’s own ability to </w:t>
      </w:r>
      <w:r w:rsidR="00FF602A">
        <w:t xml:space="preserve">elicit the voice of the public, its existing application in the health policy and regulatory setting, and the need to contribute to the revalidation debate in a manner </w:t>
      </w:r>
      <w:r w:rsidR="007E6D45">
        <w:t>that</w:t>
      </w:r>
      <w:r w:rsidR="00FF602A">
        <w:t xml:space="preserve"> prioritises the perspectives of the public on this important question of regulatory design, we believe that a discrete choice experiment w</w:t>
      </w:r>
      <w:r w:rsidR="00977A7F">
        <w:t xml:space="preserve">as a suitable way of contributing to the development of </w:t>
      </w:r>
      <w:r w:rsidR="002040D8">
        <w:t xml:space="preserve">legal and </w:t>
      </w:r>
      <w:r w:rsidR="00977A7F">
        <w:t>regulatory responses to physician competenc</w:t>
      </w:r>
      <w:r w:rsidR="002040D8">
        <w:t>y issues and as suitable method to advance the empirical study of law.</w:t>
      </w:r>
    </w:p>
    <w:p w14:paraId="21A43825" w14:textId="340AB377" w:rsidR="00622239" w:rsidRPr="00825298" w:rsidRDefault="00622239" w:rsidP="00622239">
      <w:pPr>
        <w:pStyle w:val="Heading2"/>
      </w:pPr>
      <w:r>
        <w:t>Discrete Choice Experiment Design</w:t>
      </w:r>
    </w:p>
    <w:p w14:paraId="0C1307F9" w14:textId="7D729FCB" w:rsidR="00825298" w:rsidRDefault="00D6273D" w:rsidP="0094076B">
      <w:r>
        <w:t xml:space="preserve">In a </w:t>
      </w:r>
      <w:r w:rsidR="004F0200">
        <w:t>discrete choice experiment</w:t>
      </w:r>
      <w:r w:rsidR="002C5A22">
        <w:t xml:space="preserve"> </w:t>
      </w:r>
      <w:r w:rsidR="004F0200">
        <w:t xml:space="preserve">choices are made between </w:t>
      </w:r>
      <w:r w:rsidR="00E61799">
        <w:t xml:space="preserve">possible </w:t>
      </w:r>
      <w:r>
        <w:t xml:space="preserve">pairs constructed </w:t>
      </w:r>
      <w:r w:rsidR="002C5A22">
        <w:t xml:space="preserve">by varying the ‘levels’ of different ‘attributes’. </w:t>
      </w:r>
      <w:r w:rsidR="004253C1">
        <w:t>For example, a discrete choice experiment relating to delivered pizzas might construct different pairs of options based on the ‘type of pizza’ (either gourmet or traditional), the ‘price’ ($13 or $17) and the ‘manners shown by the delivery driver’ (polite and friendly or simply friendly).</w:t>
      </w:r>
      <w:r w:rsidR="008F650F" w:rsidRPr="00B916B2">
        <w:rPr>
          <w:rStyle w:val="FootnoteReference"/>
        </w:rPr>
        <w:footnoteReference w:id="96"/>
      </w:r>
      <w:r w:rsidR="004253C1">
        <w:t xml:space="preserve"> Given these possible </w:t>
      </w:r>
      <w:r w:rsidR="004F0200">
        <w:t>levels (type of pizza, price and manners) and possible attributes (either gourmet or tradition</w:t>
      </w:r>
      <w:r w:rsidR="006611DF">
        <w:t>al</w:t>
      </w:r>
      <w:r w:rsidR="004F0200">
        <w:t xml:space="preserve"> etc.)</w:t>
      </w:r>
      <w:r w:rsidR="004253C1">
        <w:t xml:space="preserve">, respondents </w:t>
      </w:r>
      <w:r w:rsidR="006611DF">
        <w:t>are</w:t>
      </w:r>
      <w:r w:rsidR="004253C1">
        <w:t xml:space="preserve"> asked to make a series of choices between varying combinations</w:t>
      </w:r>
      <w:r w:rsidR="004F0200">
        <w:t xml:space="preserve"> of levels</w:t>
      </w:r>
      <w:r w:rsidR="004253C1">
        <w:t xml:space="preserve">. </w:t>
      </w:r>
      <w:r w:rsidR="004F0200">
        <w:t xml:space="preserve">One such </w:t>
      </w:r>
      <w:r w:rsidR="006611DF">
        <w:t>‘</w:t>
      </w:r>
      <w:r w:rsidR="004F0200">
        <w:t>choice set</w:t>
      </w:r>
      <w:r w:rsidR="006611DF">
        <w:t>’</w:t>
      </w:r>
      <w:r w:rsidR="004F0200">
        <w:t xml:space="preserve"> presented to a respondent might</w:t>
      </w:r>
      <w:r w:rsidR="004253C1">
        <w:t xml:space="preserve"> be as follows:</w:t>
      </w:r>
    </w:p>
    <w:tbl>
      <w:tblPr>
        <w:tblStyle w:val="TableGrid"/>
        <w:tblW w:w="0" w:type="auto"/>
        <w:tblLook w:val="04A0" w:firstRow="1" w:lastRow="0" w:firstColumn="1" w:lastColumn="0" w:noHBand="0" w:noVBand="1"/>
      </w:tblPr>
      <w:tblGrid>
        <w:gridCol w:w="5353"/>
        <w:gridCol w:w="1843"/>
        <w:gridCol w:w="2047"/>
      </w:tblGrid>
      <w:tr w:rsidR="00E557C1" w:rsidRPr="001219AF" w14:paraId="672A1112" w14:textId="77777777" w:rsidTr="00E557C1">
        <w:tc>
          <w:tcPr>
            <w:tcW w:w="9243" w:type="dxa"/>
            <w:gridSpan w:val="3"/>
            <w:tcBorders>
              <w:top w:val="nil"/>
              <w:left w:val="nil"/>
              <w:bottom w:val="nil"/>
              <w:right w:val="nil"/>
            </w:tcBorders>
          </w:tcPr>
          <w:p w14:paraId="2E1E9AEC" w14:textId="259E260C" w:rsidR="00E557C1" w:rsidRPr="00E557C1" w:rsidRDefault="00E557C1" w:rsidP="00E557C1">
            <w:pPr>
              <w:pStyle w:val="TableText"/>
            </w:pPr>
            <w:r w:rsidRPr="00E557C1">
              <w:rPr>
                <w:rStyle w:val="TABHTableHeadingChar"/>
              </w:rPr>
              <w:t>Figure 1:</w:t>
            </w:r>
            <w:r>
              <w:t xml:space="preserve"> Fictional Choice Set - ‘Delivered Pizza’</w:t>
            </w:r>
            <w:r w:rsidRPr="00E557C1">
              <w:br/>
            </w:r>
          </w:p>
        </w:tc>
      </w:tr>
      <w:tr w:rsidR="004253C1" w:rsidRPr="001219AF" w14:paraId="6EA58DDD" w14:textId="77777777" w:rsidTr="00E557C1">
        <w:tc>
          <w:tcPr>
            <w:tcW w:w="5353" w:type="dxa"/>
            <w:tcBorders>
              <w:top w:val="nil"/>
              <w:left w:val="nil"/>
              <w:bottom w:val="single" w:sz="4" w:space="0" w:color="auto"/>
            </w:tcBorders>
          </w:tcPr>
          <w:p w14:paraId="71E839DA" w14:textId="77777777" w:rsidR="004253C1" w:rsidRPr="001219AF" w:rsidRDefault="004253C1" w:rsidP="00B4064E">
            <w:pPr>
              <w:pStyle w:val="TABHTableHeading"/>
            </w:pPr>
          </w:p>
        </w:tc>
        <w:tc>
          <w:tcPr>
            <w:tcW w:w="1843" w:type="dxa"/>
            <w:tcBorders>
              <w:bottom w:val="single" w:sz="4" w:space="0" w:color="auto"/>
            </w:tcBorders>
          </w:tcPr>
          <w:p w14:paraId="750050A9" w14:textId="77777777" w:rsidR="004253C1" w:rsidRPr="001219AF" w:rsidRDefault="004253C1" w:rsidP="00B4064E">
            <w:pPr>
              <w:pStyle w:val="TABHTableHeading"/>
            </w:pPr>
            <w:r w:rsidRPr="001219AF">
              <w:t>Option A</w:t>
            </w:r>
          </w:p>
        </w:tc>
        <w:tc>
          <w:tcPr>
            <w:tcW w:w="2047" w:type="dxa"/>
            <w:tcBorders>
              <w:bottom w:val="single" w:sz="4" w:space="0" w:color="auto"/>
            </w:tcBorders>
          </w:tcPr>
          <w:p w14:paraId="282355F6" w14:textId="77777777" w:rsidR="004253C1" w:rsidRPr="001219AF" w:rsidRDefault="004253C1" w:rsidP="00B4064E">
            <w:pPr>
              <w:pStyle w:val="TABHTableHeading"/>
            </w:pPr>
            <w:r w:rsidRPr="001219AF">
              <w:t>Option B</w:t>
            </w:r>
          </w:p>
        </w:tc>
      </w:tr>
      <w:tr w:rsidR="004253C1" w:rsidRPr="001219AF" w14:paraId="1C2ECC0C" w14:textId="77777777" w:rsidTr="00B4064E">
        <w:tc>
          <w:tcPr>
            <w:tcW w:w="5353" w:type="dxa"/>
            <w:tcBorders>
              <w:top w:val="single" w:sz="4" w:space="0" w:color="auto"/>
              <w:left w:val="single" w:sz="4" w:space="0" w:color="auto"/>
              <w:right w:val="single" w:sz="4" w:space="0" w:color="auto"/>
            </w:tcBorders>
          </w:tcPr>
          <w:p w14:paraId="60404CC5" w14:textId="45D32066" w:rsidR="004253C1" w:rsidRPr="001219AF" w:rsidRDefault="004253C1" w:rsidP="002040D8">
            <w:pPr>
              <w:pStyle w:val="TABTTableText"/>
            </w:pPr>
            <w:r w:rsidRPr="001219AF">
              <w:t xml:space="preserve">1 </w:t>
            </w:r>
            <w:r>
              <w:t>Type of Pizza</w:t>
            </w:r>
          </w:p>
        </w:tc>
        <w:tc>
          <w:tcPr>
            <w:tcW w:w="1843" w:type="dxa"/>
            <w:tcBorders>
              <w:top w:val="single" w:sz="4" w:space="0" w:color="auto"/>
              <w:left w:val="single" w:sz="4" w:space="0" w:color="auto"/>
              <w:right w:val="single" w:sz="4" w:space="0" w:color="auto"/>
            </w:tcBorders>
          </w:tcPr>
          <w:p w14:paraId="1DCE1A94" w14:textId="57CD5493" w:rsidR="004253C1" w:rsidRPr="00997B94" w:rsidRDefault="004253C1" w:rsidP="002040D8">
            <w:pPr>
              <w:pStyle w:val="TABTTableText"/>
              <w:rPr>
                <w:sz w:val="20"/>
                <w:szCs w:val="20"/>
              </w:rPr>
            </w:pPr>
            <w:r w:rsidRPr="00997B94">
              <w:rPr>
                <w:sz w:val="20"/>
                <w:szCs w:val="20"/>
              </w:rPr>
              <w:t>Gourmet</w:t>
            </w:r>
          </w:p>
        </w:tc>
        <w:tc>
          <w:tcPr>
            <w:tcW w:w="2047" w:type="dxa"/>
            <w:tcBorders>
              <w:top w:val="single" w:sz="4" w:space="0" w:color="auto"/>
              <w:left w:val="single" w:sz="4" w:space="0" w:color="auto"/>
              <w:right w:val="single" w:sz="4" w:space="0" w:color="auto"/>
            </w:tcBorders>
          </w:tcPr>
          <w:p w14:paraId="06DE60A8" w14:textId="4A7DD36B" w:rsidR="004253C1" w:rsidRPr="00997B94" w:rsidRDefault="00EC73AC" w:rsidP="002040D8">
            <w:pPr>
              <w:pStyle w:val="TABTTableText"/>
              <w:rPr>
                <w:sz w:val="20"/>
                <w:szCs w:val="20"/>
              </w:rPr>
            </w:pPr>
            <w:r w:rsidRPr="00997B94">
              <w:rPr>
                <w:sz w:val="20"/>
                <w:szCs w:val="20"/>
              </w:rPr>
              <w:t>Traditional</w:t>
            </w:r>
          </w:p>
        </w:tc>
      </w:tr>
      <w:tr w:rsidR="004253C1" w:rsidRPr="001219AF" w14:paraId="6FF555CE" w14:textId="77777777" w:rsidTr="002040D8">
        <w:trPr>
          <w:trHeight w:val="411"/>
        </w:trPr>
        <w:tc>
          <w:tcPr>
            <w:tcW w:w="5353" w:type="dxa"/>
            <w:tcBorders>
              <w:left w:val="single" w:sz="4" w:space="0" w:color="auto"/>
              <w:right w:val="single" w:sz="4" w:space="0" w:color="auto"/>
            </w:tcBorders>
          </w:tcPr>
          <w:p w14:paraId="4A56B8FB" w14:textId="3233C43C" w:rsidR="004253C1" w:rsidRPr="001219AF" w:rsidRDefault="004253C1" w:rsidP="002040D8">
            <w:pPr>
              <w:pStyle w:val="TABTTableText"/>
            </w:pPr>
            <w:r w:rsidRPr="001219AF">
              <w:t xml:space="preserve">2 </w:t>
            </w:r>
            <w:r>
              <w:t>Price</w:t>
            </w:r>
          </w:p>
        </w:tc>
        <w:tc>
          <w:tcPr>
            <w:tcW w:w="1843" w:type="dxa"/>
            <w:tcBorders>
              <w:left w:val="single" w:sz="4" w:space="0" w:color="auto"/>
              <w:right w:val="single" w:sz="4" w:space="0" w:color="auto"/>
            </w:tcBorders>
          </w:tcPr>
          <w:p w14:paraId="7C03601A" w14:textId="4EC8A80C" w:rsidR="004253C1" w:rsidRPr="00997B94" w:rsidRDefault="004253C1" w:rsidP="002040D8">
            <w:pPr>
              <w:pStyle w:val="TABTTableText"/>
              <w:rPr>
                <w:sz w:val="20"/>
                <w:szCs w:val="20"/>
              </w:rPr>
            </w:pPr>
            <w:r w:rsidRPr="00997B94">
              <w:rPr>
                <w:sz w:val="20"/>
                <w:szCs w:val="20"/>
              </w:rPr>
              <w:t>$17</w:t>
            </w:r>
          </w:p>
        </w:tc>
        <w:tc>
          <w:tcPr>
            <w:tcW w:w="2047" w:type="dxa"/>
            <w:tcBorders>
              <w:left w:val="single" w:sz="4" w:space="0" w:color="auto"/>
              <w:right w:val="single" w:sz="4" w:space="0" w:color="auto"/>
            </w:tcBorders>
          </w:tcPr>
          <w:p w14:paraId="288ACD5E" w14:textId="0E592A8F" w:rsidR="004253C1" w:rsidRPr="00997B94" w:rsidRDefault="004253C1" w:rsidP="002040D8">
            <w:pPr>
              <w:pStyle w:val="TABTTableText"/>
              <w:rPr>
                <w:sz w:val="20"/>
                <w:szCs w:val="20"/>
              </w:rPr>
            </w:pPr>
            <w:r w:rsidRPr="00997B94">
              <w:rPr>
                <w:sz w:val="20"/>
                <w:szCs w:val="20"/>
              </w:rPr>
              <w:t>$1</w:t>
            </w:r>
            <w:r w:rsidR="00EC73AC" w:rsidRPr="00997B94">
              <w:rPr>
                <w:sz w:val="20"/>
                <w:szCs w:val="20"/>
              </w:rPr>
              <w:t>3</w:t>
            </w:r>
          </w:p>
        </w:tc>
      </w:tr>
      <w:tr w:rsidR="004253C1" w:rsidRPr="001219AF" w14:paraId="7C9733ED" w14:textId="77777777" w:rsidTr="00B4064E">
        <w:tc>
          <w:tcPr>
            <w:tcW w:w="5353" w:type="dxa"/>
            <w:tcBorders>
              <w:left w:val="single" w:sz="4" w:space="0" w:color="auto"/>
              <w:right w:val="single" w:sz="4" w:space="0" w:color="auto"/>
            </w:tcBorders>
          </w:tcPr>
          <w:p w14:paraId="31E9A4B1" w14:textId="0EFB1685" w:rsidR="004253C1" w:rsidRPr="001219AF" w:rsidRDefault="004253C1" w:rsidP="002040D8">
            <w:pPr>
              <w:pStyle w:val="TABTTableText"/>
            </w:pPr>
            <w:r w:rsidRPr="001219AF">
              <w:t xml:space="preserve">3 </w:t>
            </w:r>
            <w:r>
              <w:t>Manners shown by the delivery driver</w:t>
            </w:r>
          </w:p>
        </w:tc>
        <w:tc>
          <w:tcPr>
            <w:tcW w:w="1843" w:type="dxa"/>
            <w:tcBorders>
              <w:left w:val="single" w:sz="4" w:space="0" w:color="auto"/>
              <w:right w:val="single" w:sz="4" w:space="0" w:color="auto"/>
            </w:tcBorders>
          </w:tcPr>
          <w:p w14:paraId="583A7C60" w14:textId="181CAE04" w:rsidR="004253C1" w:rsidRPr="00997B94" w:rsidRDefault="002040D8" w:rsidP="002040D8">
            <w:pPr>
              <w:pStyle w:val="TABTTableText"/>
              <w:rPr>
                <w:sz w:val="20"/>
                <w:szCs w:val="20"/>
              </w:rPr>
            </w:pPr>
            <w:r>
              <w:rPr>
                <w:sz w:val="20"/>
                <w:szCs w:val="20"/>
              </w:rPr>
              <w:t>Polite</w:t>
            </w:r>
          </w:p>
        </w:tc>
        <w:tc>
          <w:tcPr>
            <w:tcW w:w="2047" w:type="dxa"/>
            <w:tcBorders>
              <w:left w:val="single" w:sz="4" w:space="0" w:color="auto"/>
              <w:right w:val="single" w:sz="4" w:space="0" w:color="auto"/>
            </w:tcBorders>
          </w:tcPr>
          <w:p w14:paraId="75F96B53" w14:textId="1F4C8122" w:rsidR="004253C1" w:rsidRPr="00997B94" w:rsidRDefault="002040D8" w:rsidP="002040D8">
            <w:pPr>
              <w:pStyle w:val="TABTTableText"/>
              <w:rPr>
                <w:sz w:val="20"/>
                <w:szCs w:val="20"/>
              </w:rPr>
            </w:pPr>
            <w:r>
              <w:rPr>
                <w:sz w:val="20"/>
                <w:szCs w:val="20"/>
              </w:rPr>
              <w:t>Polite and Friendly</w:t>
            </w:r>
          </w:p>
        </w:tc>
      </w:tr>
      <w:tr w:rsidR="004253C1" w:rsidRPr="001219AF" w14:paraId="1B0B699A" w14:textId="77777777" w:rsidTr="00B4064E">
        <w:trPr>
          <w:trHeight w:val="470"/>
        </w:trPr>
        <w:tc>
          <w:tcPr>
            <w:tcW w:w="5353" w:type="dxa"/>
            <w:tcBorders>
              <w:top w:val="single" w:sz="18" w:space="0" w:color="auto"/>
              <w:bottom w:val="single" w:sz="18" w:space="0" w:color="auto"/>
            </w:tcBorders>
          </w:tcPr>
          <w:p w14:paraId="45A3BF95" w14:textId="77777777" w:rsidR="004253C1" w:rsidRPr="006611DF" w:rsidRDefault="004253C1" w:rsidP="002040D8">
            <w:pPr>
              <w:pStyle w:val="TABHTableHeading"/>
            </w:pPr>
            <w:r w:rsidRPr="006611DF">
              <w:t>Choose which option you prefer:</w:t>
            </w:r>
          </w:p>
        </w:tc>
        <w:tc>
          <w:tcPr>
            <w:tcW w:w="1843" w:type="dxa"/>
            <w:tcBorders>
              <w:top w:val="single" w:sz="18" w:space="0" w:color="auto"/>
              <w:bottom w:val="single" w:sz="18" w:space="0" w:color="auto"/>
            </w:tcBorders>
          </w:tcPr>
          <w:p w14:paraId="35F99A8F" w14:textId="77777777" w:rsidR="004253C1" w:rsidRPr="001219AF" w:rsidRDefault="004253C1" w:rsidP="002040D8">
            <w:pPr>
              <w:pStyle w:val="TABHTableHeading"/>
              <w:rPr>
                <w:sz w:val="20"/>
                <w:szCs w:val="20"/>
              </w:rPr>
            </w:pPr>
            <w:r w:rsidRPr="001219AF">
              <w:rPr>
                <w:sz w:val="20"/>
                <w:szCs w:val="20"/>
              </w:rPr>
              <w:t>Option A</w:t>
            </w:r>
            <w:r w:rsidRPr="001219AF">
              <w:rPr>
                <w:sz w:val="20"/>
                <w:szCs w:val="20"/>
              </w:rPr>
              <w:br/>
            </w:r>
            <w:r w:rsidRPr="001219AF">
              <w:rPr>
                <w:rFonts w:ascii="MS Mincho" w:eastAsia="MS Mincho" w:hAnsi="MS Mincho" w:cs="MS Mincho" w:hint="eastAsia"/>
                <w:color w:val="000000"/>
              </w:rPr>
              <w:t>☐</w:t>
            </w:r>
          </w:p>
        </w:tc>
        <w:tc>
          <w:tcPr>
            <w:tcW w:w="2047" w:type="dxa"/>
            <w:tcBorders>
              <w:top w:val="single" w:sz="18" w:space="0" w:color="auto"/>
              <w:bottom w:val="single" w:sz="18" w:space="0" w:color="auto"/>
            </w:tcBorders>
          </w:tcPr>
          <w:p w14:paraId="43AB3B36" w14:textId="77777777" w:rsidR="004253C1" w:rsidRPr="001219AF" w:rsidRDefault="004253C1" w:rsidP="002040D8">
            <w:pPr>
              <w:pStyle w:val="TABHTableHeading"/>
              <w:rPr>
                <w:sz w:val="20"/>
                <w:szCs w:val="20"/>
              </w:rPr>
            </w:pPr>
            <w:r w:rsidRPr="001219AF">
              <w:rPr>
                <w:sz w:val="20"/>
                <w:szCs w:val="20"/>
              </w:rPr>
              <w:t>Option B</w:t>
            </w:r>
            <w:r w:rsidRPr="001219AF">
              <w:rPr>
                <w:sz w:val="20"/>
                <w:szCs w:val="20"/>
              </w:rPr>
              <w:br/>
            </w:r>
            <w:r w:rsidRPr="001219AF">
              <w:rPr>
                <w:rFonts w:ascii="MS Mincho" w:eastAsia="MS Mincho" w:hAnsi="MS Mincho" w:cs="MS Mincho" w:hint="eastAsia"/>
                <w:color w:val="000000"/>
              </w:rPr>
              <w:t>☐</w:t>
            </w:r>
          </w:p>
        </w:tc>
      </w:tr>
    </w:tbl>
    <w:p w14:paraId="21E457A9" w14:textId="77777777" w:rsidR="00BB2738" w:rsidRDefault="00BB2738" w:rsidP="0094076B"/>
    <w:p w14:paraId="4FD8C192" w14:textId="1EE40764" w:rsidR="004253C1" w:rsidRDefault="004F0200" w:rsidP="0094076B">
      <w:r>
        <w:t xml:space="preserve">The respondent will need to choose between Option A and Option B. </w:t>
      </w:r>
      <w:r w:rsidR="006611DF">
        <w:t>H</w:t>
      </w:r>
      <w:r>
        <w:t xml:space="preserve">aving chosen, they </w:t>
      </w:r>
      <w:r w:rsidR="006611DF">
        <w:t xml:space="preserve">will be presented with another </w:t>
      </w:r>
      <w:r>
        <w:t>set of options.</w:t>
      </w:r>
      <w:r w:rsidR="006611DF">
        <w:t xml:space="preserve"> This and subsequent choices will consist of differently constructed options, mathematically calculated to </w:t>
      </w:r>
      <w:r w:rsidR="0000327E">
        <w:t>efficiently test the various valuations and driving forces of a respondent’s choice</w:t>
      </w:r>
      <w:r w:rsidR="006611DF">
        <w:t>.</w:t>
      </w:r>
      <w:r>
        <w:t xml:space="preserve"> </w:t>
      </w:r>
      <w:r w:rsidR="004253C1">
        <w:t xml:space="preserve">By making </w:t>
      </w:r>
      <w:r w:rsidR="0000327E">
        <w:t xml:space="preserve">such </w:t>
      </w:r>
      <w:r w:rsidR="004253C1">
        <w:t xml:space="preserve">repeated choices, </w:t>
      </w:r>
      <w:r w:rsidR="00EC73AC">
        <w:t xml:space="preserve">each time with differently constructed options, </w:t>
      </w:r>
      <w:r w:rsidR="004253C1">
        <w:t>r</w:t>
      </w:r>
      <w:r w:rsidR="00EC73AC">
        <w:t xml:space="preserve">espondents’ </w:t>
      </w:r>
      <w:r w:rsidR="004253C1">
        <w:t>preference</w:t>
      </w:r>
      <w:r w:rsidR="00EC73AC">
        <w:t xml:space="preserve">s in relation to the relative importance of different aspects </w:t>
      </w:r>
      <w:r w:rsidR="0000327E">
        <w:t>of a</w:t>
      </w:r>
      <w:r w:rsidR="00EC73AC">
        <w:t xml:space="preserve"> pizza delivery offering</w:t>
      </w:r>
      <w:r>
        <w:t xml:space="preserve"> become clear</w:t>
      </w:r>
      <w:r w:rsidR="00977A7F">
        <w:t>.</w:t>
      </w:r>
    </w:p>
    <w:p w14:paraId="6D5F87B4" w14:textId="7767DE26" w:rsidR="004F0200" w:rsidRDefault="00BC1A95" w:rsidP="0094076B">
      <w:r w:rsidRPr="00664C4A">
        <w:t xml:space="preserve">In our study, we described an adverse event scenario to respondents and then presented them with several pairs of possible recommendations about what should happen to the health professionals involved in the adverse event. </w:t>
      </w:r>
      <w:r w:rsidR="00D6273D">
        <w:t>In our DCE the</w:t>
      </w:r>
      <w:r w:rsidR="00D6273D" w:rsidRPr="001219AF">
        <w:t xml:space="preserve"> </w:t>
      </w:r>
      <w:r w:rsidR="00E61799" w:rsidRPr="001219AF">
        <w:t xml:space="preserve">hypothetical </w:t>
      </w:r>
      <w:r w:rsidR="00E61799">
        <w:t>recommendations</w:t>
      </w:r>
      <w:r w:rsidR="00E61799" w:rsidRPr="001219AF">
        <w:t xml:space="preserve"> were </w:t>
      </w:r>
      <w:r w:rsidR="00E61799">
        <w:t>constructed</w:t>
      </w:r>
      <w:r w:rsidR="00E61799" w:rsidRPr="001219AF">
        <w:t xml:space="preserve"> by </w:t>
      </w:r>
      <w:r w:rsidR="00977A7F">
        <w:t xml:space="preserve">presenting differing combinations of the levels for each of the </w:t>
      </w:r>
      <w:r w:rsidR="00E61799" w:rsidRPr="001219AF">
        <w:t>of six attributes (see Table 1)</w:t>
      </w:r>
      <w:r w:rsidR="004F0200">
        <w:t>:</w:t>
      </w:r>
    </w:p>
    <w:p w14:paraId="11BCAACF" w14:textId="0DF176B5" w:rsidR="00B4064E" w:rsidRDefault="00B4064E">
      <w:r>
        <w:br w:type="page"/>
      </w:r>
    </w:p>
    <w:p w14:paraId="0363B761" w14:textId="77777777" w:rsidR="00B4064E" w:rsidRPr="00BC1A95" w:rsidRDefault="00B4064E" w:rsidP="0094076B">
      <w:pPr>
        <w:rPr>
          <w:rFonts w:eastAsia="Times New Roman" w:cs="Times New Roman"/>
          <w:lang w:eastAsia="en-AU"/>
        </w:rPr>
      </w:pPr>
    </w:p>
    <w:tbl>
      <w:tblPr>
        <w:tblStyle w:val="MediumShading2"/>
        <w:tblW w:w="9039" w:type="dxa"/>
        <w:tblBorders>
          <w:insideH w:val="single" w:sz="4" w:space="0" w:color="auto"/>
        </w:tblBorders>
        <w:tblLayout w:type="fixed"/>
        <w:tblLook w:val="0600" w:firstRow="0" w:lastRow="0" w:firstColumn="0" w:lastColumn="0" w:noHBand="1" w:noVBand="1"/>
      </w:tblPr>
      <w:tblGrid>
        <w:gridCol w:w="3369"/>
        <w:gridCol w:w="5670"/>
      </w:tblGrid>
      <w:tr w:rsidR="00E557C1" w:rsidRPr="001219AF" w14:paraId="50BDAA5E" w14:textId="77777777" w:rsidTr="0096377F">
        <w:tc>
          <w:tcPr>
            <w:tcW w:w="9039" w:type="dxa"/>
            <w:gridSpan w:val="2"/>
            <w:tcBorders>
              <w:top w:val="nil"/>
            </w:tcBorders>
          </w:tcPr>
          <w:p w14:paraId="31E246AA" w14:textId="293B0234" w:rsidR="00E557C1" w:rsidRPr="001219AF" w:rsidRDefault="00E557C1" w:rsidP="006C132A">
            <w:pPr>
              <w:pStyle w:val="TableText"/>
              <w:rPr>
                <w:b/>
              </w:rPr>
            </w:pPr>
            <w:r>
              <w:rPr>
                <w:b/>
              </w:rPr>
              <w:t>Table 1:</w:t>
            </w:r>
            <w:r>
              <w:t xml:space="preserve"> Discrete Choice Experiment, Attributes &amp; Levels</w:t>
            </w:r>
            <w:r>
              <w:rPr>
                <w:b/>
              </w:rPr>
              <w:br/>
            </w:r>
          </w:p>
        </w:tc>
      </w:tr>
      <w:tr w:rsidR="004F0200" w:rsidRPr="001219AF" w14:paraId="38E14AF7" w14:textId="77777777" w:rsidTr="006C132A">
        <w:tc>
          <w:tcPr>
            <w:tcW w:w="3369" w:type="dxa"/>
          </w:tcPr>
          <w:p w14:paraId="34A6CE62" w14:textId="77777777" w:rsidR="004F0200" w:rsidRPr="001219AF" w:rsidRDefault="004F0200" w:rsidP="006C132A">
            <w:pPr>
              <w:pStyle w:val="TableText"/>
              <w:rPr>
                <w:b/>
              </w:rPr>
            </w:pPr>
            <w:r w:rsidRPr="001219AF">
              <w:rPr>
                <w:b/>
              </w:rPr>
              <w:br w:type="page"/>
              <w:t>ATTRIBUTE</w:t>
            </w:r>
          </w:p>
        </w:tc>
        <w:tc>
          <w:tcPr>
            <w:tcW w:w="5670" w:type="dxa"/>
          </w:tcPr>
          <w:p w14:paraId="7E485B3E" w14:textId="77777777" w:rsidR="004F0200" w:rsidRPr="001219AF" w:rsidRDefault="004F0200" w:rsidP="006C132A">
            <w:pPr>
              <w:pStyle w:val="TableText"/>
              <w:rPr>
                <w:b/>
              </w:rPr>
            </w:pPr>
            <w:r w:rsidRPr="001219AF">
              <w:rPr>
                <w:b/>
              </w:rPr>
              <w:t>LEVELS</w:t>
            </w:r>
          </w:p>
        </w:tc>
      </w:tr>
      <w:tr w:rsidR="004F0200" w:rsidRPr="001219AF" w14:paraId="023292CC" w14:textId="77777777" w:rsidTr="006C132A">
        <w:tc>
          <w:tcPr>
            <w:tcW w:w="3369" w:type="dxa"/>
          </w:tcPr>
          <w:p w14:paraId="3605BFDF" w14:textId="77777777" w:rsidR="004F0200" w:rsidRPr="001219AF" w:rsidRDefault="004F0200" w:rsidP="006C132A">
            <w:pPr>
              <w:pStyle w:val="TableText"/>
            </w:pPr>
            <w:r w:rsidRPr="001219AF">
              <w:t>1 Government-</w:t>
            </w:r>
            <w:r>
              <w:t>i</w:t>
            </w:r>
            <w:r w:rsidRPr="001219AF">
              <w:t xml:space="preserve">ssued </w:t>
            </w:r>
            <w:r>
              <w:t>f</w:t>
            </w:r>
            <w:r w:rsidRPr="001219AF">
              <w:t xml:space="preserve">ine for the </w:t>
            </w:r>
            <w:r>
              <w:t>d</w:t>
            </w:r>
            <w:r w:rsidRPr="001219AF">
              <w:t>octor</w:t>
            </w:r>
          </w:p>
        </w:tc>
        <w:tc>
          <w:tcPr>
            <w:tcW w:w="5670" w:type="dxa"/>
          </w:tcPr>
          <w:p w14:paraId="159E9532" w14:textId="77777777" w:rsidR="004F0200" w:rsidRPr="001219AF" w:rsidRDefault="004F0200" w:rsidP="006C132A">
            <w:pPr>
              <w:pStyle w:val="TableText"/>
              <w:numPr>
                <w:ilvl w:val="0"/>
                <w:numId w:val="15"/>
              </w:numPr>
            </w:pPr>
            <w:r w:rsidRPr="001219AF">
              <w:t xml:space="preserve">No </w:t>
            </w:r>
            <w:r>
              <w:t>f</w:t>
            </w:r>
            <w:r w:rsidRPr="001219AF">
              <w:t>ine for the doctor.</w:t>
            </w:r>
          </w:p>
          <w:p w14:paraId="7FCE6811" w14:textId="77777777" w:rsidR="004F0200" w:rsidRPr="001219AF" w:rsidRDefault="004F0200" w:rsidP="006C132A">
            <w:pPr>
              <w:pStyle w:val="TableText"/>
              <w:numPr>
                <w:ilvl w:val="0"/>
                <w:numId w:val="15"/>
              </w:numPr>
            </w:pPr>
            <w:r w:rsidRPr="001219AF">
              <w:t xml:space="preserve">A </w:t>
            </w:r>
            <w:r>
              <w:t>f</w:t>
            </w:r>
            <w:r w:rsidRPr="001219AF">
              <w:t xml:space="preserve">ine </w:t>
            </w:r>
            <w:r>
              <w:t>e</w:t>
            </w:r>
            <w:r w:rsidRPr="001219AF">
              <w:t xml:space="preserve">quivalent to </w:t>
            </w:r>
            <w:r>
              <w:t>o</w:t>
            </w:r>
            <w:r w:rsidRPr="001219AF">
              <w:t xml:space="preserve">ne </w:t>
            </w:r>
            <w:r>
              <w:t>d</w:t>
            </w:r>
            <w:r w:rsidRPr="001219AF">
              <w:t xml:space="preserve">ay of the </w:t>
            </w:r>
            <w:r>
              <w:t>d</w:t>
            </w:r>
            <w:r w:rsidRPr="001219AF">
              <w:t>octor's </w:t>
            </w:r>
            <w:r>
              <w:t>s</w:t>
            </w:r>
            <w:r w:rsidRPr="001219AF">
              <w:t>alary</w:t>
            </w:r>
          </w:p>
          <w:p w14:paraId="2C7B4A44" w14:textId="77777777" w:rsidR="004F0200" w:rsidRPr="001219AF" w:rsidRDefault="004F0200" w:rsidP="006C132A">
            <w:pPr>
              <w:pStyle w:val="TableText"/>
              <w:numPr>
                <w:ilvl w:val="0"/>
                <w:numId w:val="15"/>
              </w:numPr>
            </w:pPr>
            <w:r w:rsidRPr="001219AF">
              <w:t xml:space="preserve">A </w:t>
            </w:r>
            <w:r>
              <w:t>f</w:t>
            </w:r>
            <w:r w:rsidRPr="001219AF">
              <w:t xml:space="preserve">ine </w:t>
            </w:r>
            <w:r>
              <w:t>e</w:t>
            </w:r>
            <w:r w:rsidRPr="001219AF">
              <w:t xml:space="preserve">quivalent to </w:t>
            </w:r>
            <w:r>
              <w:t>o</w:t>
            </w:r>
            <w:r w:rsidRPr="001219AF">
              <w:t xml:space="preserve">ne </w:t>
            </w:r>
            <w:r>
              <w:t>m</w:t>
            </w:r>
            <w:r w:rsidRPr="001219AF">
              <w:t xml:space="preserve">onth of the </w:t>
            </w:r>
            <w:r>
              <w:t>d</w:t>
            </w:r>
            <w:r w:rsidRPr="001219AF">
              <w:t>octor's </w:t>
            </w:r>
            <w:r>
              <w:t>s</w:t>
            </w:r>
            <w:r w:rsidRPr="001219AF">
              <w:t>alary</w:t>
            </w:r>
          </w:p>
          <w:p w14:paraId="10DCD05F" w14:textId="77777777" w:rsidR="004F0200" w:rsidRPr="001219AF" w:rsidRDefault="004F0200" w:rsidP="006C132A">
            <w:pPr>
              <w:pStyle w:val="TableText"/>
              <w:numPr>
                <w:ilvl w:val="0"/>
                <w:numId w:val="15"/>
              </w:numPr>
            </w:pPr>
            <w:r w:rsidRPr="001219AF">
              <w:t xml:space="preserve">A </w:t>
            </w:r>
            <w:r>
              <w:t>f</w:t>
            </w:r>
            <w:r w:rsidRPr="001219AF">
              <w:t xml:space="preserve">ine </w:t>
            </w:r>
            <w:r>
              <w:t>e</w:t>
            </w:r>
            <w:r w:rsidRPr="001219AF">
              <w:t xml:space="preserve">quivalent to </w:t>
            </w:r>
            <w:r>
              <w:t>o</w:t>
            </w:r>
            <w:r w:rsidRPr="001219AF">
              <w:t xml:space="preserve">ne </w:t>
            </w:r>
            <w:r>
              <w:t>y</w:t>
            </w:r>
            <w:r w:rsidRPr="001219AF">
              <w:t xml:space="preserve">ear of the </w:t>
            </w:r>
            <w:r>
              <w:t>d</w:t>
            </w:r>
            <w:r w:rsidRPr="001219AF">
              <w:t>octor's </w:t>
            </w:r>
            <w:r>
              <w:t>s</w:t>
            </w:r>
            <w:r w:rsidRPr="001219AF">
              <w:t>alary</w:t>
            </w:r>
          </w:p>
        </w:tc>
      </w:tr>
      <w:tr w:rsidR="004F0200" w:rsidRPr="001219AF" w14:paraId="270CACF9" w14:textId="77777777" w:rsidTr="006C132A">
        <w:tc>
          <w:tcPr>
            <w:tcW w:w="3369" w:type="dxa"/>
          </w:tcPr>
          <w:p w14:paraId="69365E1E" w14:textId="77777777" w:rsidR="004F0200" w:rsidRPr="001219AF" w:rsidRDefault="004F0200" w:rsidP="006C132A">
            <w:pPr>
              <w:pStyle w:val="TableText"/>
            </w:pPr>
            <w:r w:rsidRPr="001219AF">
              <w:t xml:space="preserve">2 Restriction on </w:t>
            </w:r>
            <w:r>
              <w:t>f</w:t>
            </w:r>
            <w:r w:rsidRPr="001219AF">
              <w:t xml:space="preserve">uture </w:t>
            </w:r>
            <w:r>
              <w:t>m</w:t>
            </w:r>
            <w:r w:rsidRPr="001219AF">
              <w:t xml:space="preserve">edical </w:t>
            </w:r>
            <w:r>
              <w:t>p</w:t>
            </w:r>
            <w:r w:rsidRPr="001219AF">
              <w:t xml:space="preserve">ractice for the </w:t>
            </w:r>
            <w:r>
              <w:t>d</w:t>
            </w:r>
            <w:r w:rsidRPr="001219AF">
              <w:t>octor by the Medical Registration Board</w:t>
            </w:r>
          </w:p>
        </w:tc>
        <w:tc>
          <w:tcPr>
            <w:tcW w:w="5670" w:type="dxa"/>
          </w:tcPr>
          <w:p w14:paraId="65C5A613" w14:textId="77777777" w:rsidR="004F0200" w:rsidRPr="001219AF" w:rsidRDefault="004F0200" w:rsidP="006C132A">
            <w:pPr>
              <w:pStyle w:val="TableText"/>
              <w:numPr>
                <w:ilvl w:val="0"/>
                <w:numId w:val="15"/>
              </w:numPr>
            </w:pPr>
            <w:r w:rsidRPr="001219AF">
              <w:t xml:space="preserve">No </w:t>
            </w:r>
            <w:r>
              <w:t>r</w:t>
            </w:r>
            <w:r w:rsidRPr="001219AF">
              <w:t xml:space="preserve">estriction on </w:t>
            </w:r>
            <w:r>
              <w:t>p</w:t>
            </w:r>
            <w:r w:rsidRPr="001219AF">
              <w:t xml:space="preserve">ractice or </w:t>
            </w:r>
            <w:r>
              <w:t>d</w:t>
            </w:r>
            <w:r w:rsidRPr="001219AF">
              <w:t xml:space="preserve">isciplinary </w:t>
            </w:r>
            <w:r>
              <w:t>p</w:t>
            </w:r>
            <w:r w:rsidRPr="001219AF">
              <w:t>roceedings for the doctor</w:t>
            </w:r>
          </w:p>
          <w:p w14:paraId="6A811D70" w14:textId="77777777" w:rsidR="004F0200" w:rsidRPr="001219AF" w:rsidRDefault="004F0200" w:rsidP="006C132A">
            <w:pPr>
              <w:pStyle w:val="TableText"/>
              <w:numPr>
                <w:ilvl w:val="0"/>
                <w:numId w:val="15"/>
              </w:numPr>
            </w:pPr>
            <w:r w:rsidRPr="001219AF">
              <w:t>Noting of the incident on the doctor’s permanent medical registration record</w:t>
            </w:r>
          </w:p>
          <w:p w14:paraId="76533929" w14:textId="77777777" w:rsidR="004F0200" w:rsidRPr="001219AF" w:rsidRDefault="004F0200" w:rsidP="006C132A">
            <w:pPr>
              <w:pStyle w:val="TableText"/>
              <w:numPr>
                <w:ilvl w:val="0"/>
                <w:numId w:val="15"/>
              </w:numPr>
            </w:pPr>
            <w:r w:rsidRPr="001219AF">
              <w:t>Temporary suspension of the doctor’s registration as a medical practitioner and right to work as a doctor</w:t>
            </w:r>
          </w:p>
          <w:p w14:paraId="71C4D42D" w14:textId="77777777" w:rsidR="004F0200" w:rsidRPr="001219AF" w:rsidRDefault="004F0200" w:rsidP="006C132A">
            <w:pPr>
              <w:pStyle w:val="TableText"/>
              <w:numPr>
                <w:ilvl w:val="0"/>
                <w:numId w:val="15"/>
              </w:numPr>
            </w:pPr>
            <w:r w:rsidRPr="001219AF">
              <w:t>Permanent cancellation of their registration as a medical practitioner</w:t>
            </w:r>
          </w:p>
        </w:tc>
      </w:tr>
      <w:tr w:rsidR="004F0200" w:rsidRPr="001219AF" w14:paraId="1A73AE71" w14:textId="77777777" w:rsidTr="006C132A">
        <w:tc>
          <w:tcPr>
            <w:tcW w:w="3369" w:type="dxa"/>
          </w:tcPr>
          <w:p w14:paraId="2C549238" w14:textId="77777777" w:rsidR="004F0200" w:rsidRPr="001219AF" w:rsidRDefault="004F0200" w:rsidP="006C132A">
            <w:pPr>
              <w:pStyle w:val="TableText"/>
            </w:pPr>
            <w:r w:rsidRPr="001219AF">
              <w:t xml:space="preserve">3 Criminal </w:t>
            </w:r>
            <w:r>
              <w:t>t</w:t>
            </w:r>
            <w:r w:rsidRPr="001219AF">
              <w:t xml:space="preserve">rial for </w:t>
            </w:r>
            <w:r>
              <w:t>m</w:t>
            </w:r>
            <w:r w:rsidRPr="001219AF">
              <w:t xml:space="preserve">anslaughter for the </w:t>
            </w:r>
            <w:r>
              <w:t>d</w:t>
            </w:r>
            <w:r w:rsidRPr="001219AF">
              <w:t>octor</w:t>
            </w:r>
          </w:p>
        </w:tc>
        <w:tc>
          <w:tcPr>
            <w:tcW w:w="5670" w:type="dxa"/>
          </w:tcPr>
          <w:p w14:paraId="437A25F1" w14:textId="77777777" w:rsidR="004F0200" w:rsidRPr="001219AF" w:rsidRDefault="004F0200" w:rsidP="006C132A">
            <w:pPr>
              <w:pStyle w:val="TableText"/>
              <w:numPr>
                <w:ilvl w:val="0"/>
                <w:numId w:val="15"/>
              </w:numPr>
            </w:pPr>
            <w:r w:rsidRPr="001219AF">
              <w:t xml:space="preserve">No </w:t>
            </w:r>
            <w:r>
              <w:t>c</w:t>
            </w:r>
            <w:r w:rsidRPr="001219AF">
              <w:t xml:space="preserve">riminal </w:t>
            </w:r>
            <w:r>
              <w:t>t</w:t>
            </w:r>
            <w:r w:rsidRPr="001219AF">
              <w:t xml:space="preserve">rial for the </w:t>
            </w:r>
            <w:r>
              <w:t>d</w:t>
            </w:r>
            <w:r w:rsidRPr="001219AF">
              <w:t>octor</w:t>
            </w:r>
          </w:p>
          <w:p w14:paraId="400E5FD9" w14:textId="77777777" w:rsidR="004F0200" w:rsidRPr="001219AF" w:rsidRDefault="004F0200" w:rsidP="006C132A">
            <w:pPr>
              <w:pStyle w:val="TableText"/>
              <w:numPr>
                <w:ilvl w:val="0"/>
                <w:numId w:val="15"/>
              </w:numPr>
            </w:pPr>
            <w:r w:rsidRPr="001219AF">
              <w:t xml:space="preserve">Criminal </w:t>
            </w:r>
            <w:r>
              <w:t>t</w:t>
            </w:r>
            <w:r w:rsidRPr="001219AF">
              <w:t xml:space="preserve">rial of the </w:t>
            </w:r>
            <w:r>
              <w:t>d</w:t>
            </w:r>
            <w:r w:rsidRPr="001219AF">
              <w:t xml:space="preserve">octor for </w:t>
            </w:r>
            <w:r>
              <w:t>m</w:t>
            </w:r>
            <w:r w:rsidRPr="001219AF">
              <w:t>anslaughter with a finding of Not Guilty</w:t>
            </w:r>
          </w:p>
          <w:p w14:paraId="027FE4BF" w14:textId="77777777" w:rsidR="004F0200" w:rsidRPr="001219AF" w:rsidRDefault="004F0200" w:rsidP="006C132A">
            <w:pPr>
              <w:pStyle w:val="TableText"/>
              <w:numPr>
                <w:ilvl w:val="0"/>
                <w:numId w:val="15"/>
              </w:numPr>
            </w:pPr>
            <w:r w:rsidRPr="001219AF">
              <w:t xml:space="preserve">Criminal </w:t>
            </w:r>
            <w:r>
              <w:t>t</w:t>
            </w:r>
            <w:r w:rsidRPr="001219AF">
              <w:t xml:space="preserve">rial of the </w:t>
            </w:r>
            <w:r>
              <w:t>d</w:t>
            </w:r>
            <w:r w:rsidRPr="001219AF">
              <w:t xml:space="preserve">octor for </w:t>
            </w:r>
            <w:r>
              <w:t>m</w:t>
            </w:r>
            <w:r w:rsidRPr="001219AF">
              <w:t xml:space="preserve">anslaughter with a finding of Guilty but with no imprisonment </w:t>
            </w:r>
          </w:p>
          <w:p w14:paraId="7F772FDA" w14:textId="77777777" w:rsidR="004F0200" w:rsidRPr="001219AF" w:rsidRDefault="004F0200" w:rsidP="006C132A">
            <w:pPr>
              <w:pStyle w:val="TableText"/>
              <w:numPr>
                <w:ilvl w:val="0"/>
                <w:numId w:val="15"/>
              </w:numPr>
            </w:pPr>
            <w:r w:rsidRPr="001219AF">
              <w:t xml:space="preserve">Criminal </w:t>
            </w:r>
            <w:r>
              <w:t>t</w:t>
            </w:r>
            <w:r w:rsidRPr="001219AF">
              <w:t xml:space="preserve">rial of the </w:t>
            </w:r>
            <w:r>
              <w:t>d</w:t>
            </w:r>
            <w:r w:rsidRPr="001219AF">
              <w:t xml:space="preserve">octor for </w:t>
            </w:r>
            <w:r>
              <w:t>m</w:t>
            </w:r>
            <w:r w:rsidRPr="001219AF">
              <w:t>anslaughter with a finding of Guilty and imprisonment</w:t>
            </w:r>
          </w:p>
        </w:tc>
      </w:tr>
      <w:tr w:rsidR="004F0200" w:rsidRPr="001219AF" w14:paraId="319BDE3C" w14:textId="77777777" w:rsidTr="006C132A">
        <w:tc>
          <w:tcPr>
            <w:tcW w:w="3369" w:type="dxa"/>
          </w:tcPr>
          <w:p w14:paraId="62F7F359" w14:textId="77777777" w:rsidR="004F0200" w:rsidRPr="001219AF" w:rsidRDefault="004F0200" w:rsidP="006C132A">
            <w:pPr>
              <w:pStyle w:val="TableText"/>
            </w:pPr>
            <w:r w:rsidRPr="001219AF">
              <w:t xml:space="preserve">4 Restriction on </w:t>
            </w:r>
            <w:r>
              <w:t>f</w:t>
            </w:r>
            <w:r w:rsidRPr="001219AF">
              <w:t xml:space="preserve">uture </w:t>
            </w:r>
            <w:r>
              <w:t>n</w:t>
            </w:r>
            <w:r w:rsidRPr="001219AF">
              <w:t xml:space="preserve">ursing </w:t>
            </w:r>
            <w:r>
              <w:t>p</w:t>
            </w:r>
            <w:r w:rsidRPr="001219AF">
              <w:t xml:space="preserve">ractice for the </w:t>
            </w:r>
            <w:r>
              <w:t>n</w:t>
            </w:r>
            <w:r w:rsidRPr="001219AF">
              <w:t>urse by the Nursing and Midwifery Board</w:t>
            </w:r>
          </w:p>
        </w:tc>
        <w:tc>
          <w:tcPr>
            <w:tcW w:w="5670" w:type="dxa"/>
          </w:tcPr>
          <w:p w14:paraId="5D3F966A" w14:textId="77777777" w:rsidR="004F0200" w:rsidRPr="001219AF" w:rsidRDefault="004F0200" w:rsidP="006C132A">
            <w:pPr>
              <w:pStyle w:val="TableText"/>
              <w:numPr>
                <w:ilvl w:val="0"/>
                <w:numId w:val="15"/>
              </w:numPr>
            </w:pPr>
            <w:r w:rsidRPr="001219AF">
              <w:t xml:space="preserve">No </w:t>
            </w:r>
            <w:r>
              <w:t>r</w:t>
            </w:r>
            <w:r w:rsidRPr="001219AF">
              <w:t xml:space="preserve">estriction on </w:t>
            </w:r>
            <w:r>
              <w:t>p</w:t>
            </w:r>
            <w:r w:rsidRPr="001219AF">
              <w:t xml:space="preserve">ractice or </w:t>
            </w:r>
            <w:r>
              <w:t>d</w:t>
            </w:r>
            <w:r w:rsidRPr="001219AF">
              <w:t xml:space="preserve">isciplinary </w:t>
            </w:r>
            <w:r>
              <w:t>p</w:t>
            </w:r>
            <w:r w:rsidRPr="001219AF">
              <w:t xml:space="preserve">roceedings against the </w:t>
            </w:r>
            <w:r>
              <w:t>n</w:t>
            </w:r>
            <w:r w:rsidRPr="001219AF">
              <w:t>urse</w:t>
            </w:r>
          </w:p>
          <w:p w14:paraId="6B7A4EBA" w14:textId="77777777" w:rsidR="004F0200" w:rsidRPr="001219AF" w:rsidRDefault="004F0200" w:rsidP="006C132A">
            <w:pPr>
              <w:pStyle w:val="TableText"/>
              <w:numPr>
                <w:ilvl w:val="0"/>
                <w:numId w:val="15"/>
              </w:numPr>
            </w:pPr>
            <w:r w:rsidRPr="001219AF">
              <w:t>Noting of the failure to prevent this breach on the permanent record of the nurse</w:t>
            </w:r>
          </w:p>
          <w:p w14:paraId="4E2B16D4" w14:textId="77777777" w:rsidR="004F0200" w:rsidRPr="001219AF" w:rsidRDefault="004F0200" w:rsidP="006C132A">
            <w:pPr>
              <w:pStyle w:val="TableText"/>
              <w:numPr>
                <w:ilvl w:val="0"/>
                <w:numId w:val="15"/>
              </w:numPr>
            </w:pPr>
            <w:r w:rsidRPr="001219AF">
              <w:t xml:space="preserve">Temporary suspension of the nurse’s registration and right to work as a nurse </w:t>
            </w:r>
          </w:p>
          <w:p w14:paraId="66179429" w14:textId="77777777" w:rsidR="004F0200" w:rsidRPr="001219AF" w:rsidRDefault="004F0200" w:rsidP="006C132A">
            <w:pPr>
              <w:pStyle w:val="TableText"/>
              <w:numPr>
                <w:ilvl w:val="0"/>
                <w:numId w:val="15"/>
              </w:numPr>
            </w:pPr>
            <w:r w:rsidRPr="001219AF">
              <w:t>Cancellation of their registration as a nurse</w:t>
            </w:r>
          </w:p>
        </w:tc>
      </w:tr>
      <w:tr w:rsidR="004F0200" w:rsidRPr="001219AF" w14:paraId="00AD454B" w14:textId="77777777" w:rsidTr="006C132A">
        <w:tc>
          <w:tcPr>
            <w:tcW w:w="3369" w:type="dxa"/>
          </w:tcPr>
          <w:p w14:paraId="43A96882" w14:textId="77777777" w:rsidR="004F0200" w:rsidRPr="001219AF" w:rsidRDefault="004F0200" w:rsidP="006C132A">
            <w:pPr>
              <w:pStyle w:val="TableText"/>
            </w:pPr>
            <w:r w:rsidRPr="001219AF">
              <w:t xml:space="preserve">5 Publicity and </w:t>
            </w:r>
            <w:r>
              <w:t>p</w:t>
            </w:r>
            <w:r w:rsidRPr="001219AF">
              <w:t xml:space="preserve">ublic </w:t>
            </w:r>
            <w:r>
              <w:t>r</w:t>
            </w:r>
            <w:r w:rsidRPr="001219AF">
              <w:t>eporting of the Incident</w:t>
            </w:r>
          </w:p>
        </w:tc>
        <w:tc>
          <w:tcPr>
            <w:tcW w:w="5670" w:type="dxa"/>
          </w:tcPr>
          <w:p w14:paraId="551B0C5B" w14:textId="77777777" w:rsidR="004F0200" w:rsidRPr="001219AF" w:rsidRDefault="004F0200" w:rsidP="006C132A">
            <w:pPr>
              <w:pStyle w:val="TableText"/>
              <w:numPr>
                <w:ilvl w:val="0"/>
                <w:numId w:val="15"/>
              </w:numPr>
            </w:pPr>
            <w:r w:rsidRPr="001219AF">
              <w:t>No publicity or public reporting of the incident</w:t>
            </w:r>
          </w:p>
          <w:p w14:paraId="09B5E3B1" w14:textId="77777777" w:rsidR="004F0200" w:rsidRPr="001219AF" w:rsidRDefault="004F0200" w:rsidP="006C132A">
            <w:pPr>
              <w:pStyle w:val="TableText"/>
              <w:numPr>
                <w:ilvl w:val="0"/>
                <w:numId w:val="15"/>
              </w:numPr>
            </w:pPr>
            <w:r w:rsidRPr="001219AF">
              <w:t>A comment on an internet article about the doctor appears, describing the incident</w:t>
            </w:r>
          </w:p>
          <w:p w14:paraId="21ECAE9B" w14:textId="77777777" w:rsidR="004F0200" w:rsidRPr="001219AF" w:rsidRDefault="004F0200" w:rsidP="006C132A">
            <w:pPr>
              <w:pStyle w:val="TableText"/>
              <w:numPr>
                <w:ilvl w:val="0"/>
                <w:numId w:val="15"/>
              </w:numPr>
            </w:pPr>
            <w:r w:rsidRPr="001219AF">
              <w:t>A public Facebook status appears condemning the doctor for their actions</w:t>
            </w:r>
          </w:p>
          <w:p w14:paraId="0FF337B8" w14:textId="77777777" w:rsidR="004F0200" w:rsidRPr="001219AF" w:rsidRDefault="004F0200" w:rsidP="006C132A">
            <w:pPr>
              <w:pStyle w:val="TableText"/>
              <w:numPr>
                <w:ilvl w:val="0"/>
                <w:numId w:val="15"/>
              </w:numPr>
            </w:pPr>
            <w:r w:rsidRPr="001219AF">
              <w:t>A Facebook group of patients harmed by the doctor is started</w:t>
            </w:r>
          </w:p>
        </w:tc>
      </w:tr>
      <w:tr w:rsidR="004F0200" w:rsidRPr="001219AF" w14:paraId="24628767" w14:textId="77777777" w:rsidTr="006C132A">
        <w:tc>
          <w:tcPr>
            <w:tcW w:w="3369" w:type="dxa"/>
          </w:tcPr>
          <w:p w14:paraId="1248119C" w14:textId="77777777" w:rsidR="004F0200" w:rsidRPr="001219AF" w:rsidRDefault="004F0200" w:rsidP="006C132A">
            <w:pPr>
              <w:pStyle w:val="TableText"/>
            </w:pPr>
            <w:r w:rsidRPr="001219AF">
              <w:t xml:space="preserve">6 Verification of the </w:t>
            </w:r>
            <w:r>
              <w:t>d</w:t>
            </w:r>
            <w:r w:rsidRPr="001219AF">
              <w:t xml:space="preserve">octor’s </w:t>
            </w:r>
            <w:r>
              <w:t>s</w:t>
            </w:r>
            <w:r w:rsidRPr="001219AF">
              <w:t>kills</w:t>
            </w:r>
          </w:p>
        </w:tc>
        <w:tc>
          <w:tcPr>
            <w:tcW w:w="5670" w:type="dxa"/>
          </w:tcPr>
          <w:p w14:paraId="71D84C76" w14:textId="77777777" w:rsidR="004F0200" w:rsidRPr="001219AF" w:rsidRDefault="004F0200" w:rsidP="006C132A">
            <w:pPr>
              <w:pStyle w:val="TableText"/>
              <w:numPr>
                <w:ilvl w:val="0"/>
                <w:numId w:val="15"/>
              </w:numPr>
            </w:pPr>
            <w:r w:rsidRPr="001219AF">
              <w:t>No verification processes for the doctor</w:t>
            </w:r>
          </w:p>
          <w:p w14:paraId="11FA3874" w14:textId="77777777" w:rsidR="004F0200" w:rsidRPr="001219AF" w:rsidRDefault="004F0200" w:rsidP="006C132A">
            <w:pPr>
              <w:pStyle w:val="TableText"/>
              <w:numPr>
                <w:ilvl w:val="0"/>
                <w:numId w:val="15"/>
              </w:numPr>
            </w:pPr>
            <w:r w:rsidRPr="001219AF">
              <w:t>A mentoring program and review of the doctor’s skills by a colleague from the same hospital</w:t>
            </w:r>
          </w:p>
          <w:p w14:paraId="47547376" w14:textId="77777777" w:rsidR="004F0200" w:rsidRPr="001219AF" w:rsidRDefault="004F0200" w:rsidP="006C132A">
            <w:pPr>
              <w:pStyle w:val="TableText"/>
              <w:numPr>
                <w:ilvl w:val="0"/>
                <w:numId w:val="15"/>
              </w:numPr>
            </w:pPr>
            <w:r w:rsidRPr="001219AF">
              <w:t>Formal re-training by the doctor in relevant skills and topic areas</w:t>
            </w:r>
          </w:p>
          <w:p w14:paraId="0DDE4DFC" w14:textId="77777777" w:rsidR="004F0200" w:rsidRPr="001219AF" w:rsidRDefault="004F0200" w:rsidP="006C132A">
            <w:pPr>
              <w:pStyle w:val="TableText"/>
              <w:numPr>
                <w:ilvl w:val="0"/>
                <w:numId w:val="15"/>
              </w:numPr>
            </w:pPr>
            <w:r w:rsidRPr="001219AF">
              <w:t>Formal review and check of the doctor’s skills by independent senior doctor</w:t>
            </w:r>
          </w:p>
        </w:tc>
      </w:tr>
    </w:tbl>
    <w:p w14:paraId="55A616DD" w14:textId="66C246EC" w:rsidR="00BC1A95" w:rsidRDefault="00D6273D" w:rsidP="00BC1A95">
      <w:pPr>
        <w:rPr>
          <w:rFonts w:eastAsia="Times New Roman" w:cs="Times New Roman"/>
          <w:lang w:eastAsia="en-AU"/>
        </w:rPr>
      </w:pPr>
      <w:r>
        <w:t>T</w:t>
      </w:r>
      <w:r w:rsidR="00E61799" w:rsidRPr="001219AF">
        <w:t>his results in</w:t>
      </w:r>
      <w:r w:rsidR="00E61799">
        <w:t xml:space="preserve"> 4</w:t>
      </w:r>
      <w:r w:rsidR="00E61799">
        <w:rPr>
          <w:vertAlign w:val="superscript"/>
        </w:rPr>
        <w:t>6</w:t>
      </w:r>
      <w:r w:rsidR="00B20A61">
        <w:rPr>
          <w:vertAlign w:val="superscript"/>
        </w:rPr>
        <w:t xml:space="preserve"> </w:t>
      </w:r>
      <w:r w:rsidR="00E61799" w:rsidRPr="001219AF">
        <w:t xml:space="preserve">= </w:t>
      </w:r>
      <w:r w:rsidR="00E61799">
        <w:t>4096</w:t>
      </w:r>
      <w:r w:rsidR="00E61799" w:rsidRPr="001219AF">
        <w:t xml:space="preserve"> possible </w:t>
      </w:r>
      <w:r w:rsidR="00E61799">
        <w:t>recommendations and</w:t>
      </w:r>
      <w:r w:rsidR="00664C4A">
        <w:t xml:space="preserve"> therefore</w:t>
      </w:r>
      <w:r w:rsidR="00E61799">
        <w:t xml:space="preserve"> a total of 4096x4095/2</w:t>
      </w:r>
      <w:r w:rsidR="00D80069">
        <w:t xml:space="preserve"> </w:t>
      </w:r>
      <w:r w:rsidR="00E61799">
        <w:t>=</w:t>
      </w:r>
      <w:r w:rsidR="00D80069">
        <w:t xml:space="preserve"> </w:t>
      </w:r>
      <w:r w:rsidR="00E61799">
        <w:t>8</w:t>
      </w:r>
      <w:r w:rsidR="00E61799" w:rsidRPr="003F2484">
        <w:t xml:space="preserve">,386,560 </w:t>
      </w:r>
      <w:r w:rsidR="006811E4" w:rsidRPr="003F2484">
        <w:t xml:space="preserve">possible </w:t>
      </w:r>
      <w:r w:rsidR="00E61799">
        <w:t>pairs of recommendations</w:t>
      </w:r>
      <w:r w:rsidR="00E61799" w:rsidRPr="001219AF">
        <w:t xml:space="preserve">. </w:t>
      </w:r>
      <w:r w:rsidR="00BC1A95">
        <w:rPr>
          <w:rFonts w:eastAsia="Times New Roman" w:cs="Times New Roman"/>
          <w:lang w:eastAsia="en-AU"/>
        </w:rPr>
        <w:t xml:space="preserve">A sample choice </w:t>
      </w:r>
      <w:r w:rsidR="0000327E">
        <w:rPr>
          <w:rFonts w:eastAsia="Times New Roman" w:cs="Times New Roman"/>
          <w:lang w:eastAsia="en-AU"/>
        </w:rPr>
        <w:t>set</w:t>
      </w:r>
      <w:r w:rsidR="00BC1A95">
        <w:rPr>
          <w:rFonts w:eastAsia="Times New Roman" w:cs="Times New Roman"/>
          <w:lang w:eastAsia="en-AU"/>
        </w:rPr>
        <w:t xml:space="preserve"> </w:t>
      </w:r>
      <w:r w:rsidR="00977A7F">
        <w:rPr>
          <w:rFonts w:eastAsia="Times New Roman" w:cs="Times New Roman"/>
          <w:lang w:eastAsia="en-AU"/>
        </w:rPr>
        <w:t xml:space="preserve">constructed using our attributes and levels </w:t>
      </w:r>
      <w:r w:rsidR="00BC1A95">
        <w:rPr>
          <w:rFonts w:eastAsia="Times New Roman" w:cs="Times New Roman"/>
          <w:lang w:eastAsia="en-AU"/>
        </w:rPr>
        <w:t>is shown in Table 2:</w:t>
      </w:r>
    </w:p>
    <w:p w14:paraId="4CEBEBAA" w14:textId="237EAB81" w:rsidR="00B4064E" w:rsidRDefault="00B4064E">
      <w:pPr>
        <w:rPr>
          <w:rFonts w:eastAsia="Times New Roman" w:cs="Times New Roman"/>
          <w:lang w:eastAsia="en-AU"/>
        </w:rPr>
      </w:pPr>
      <w:r>
        <w:rPr>
          <w:rFonts w:eastAsia="Times New Roman" w:cs="Times New Roman"/>
          <w:lang w:eastAsia="en-AU"/>
        </w:rPr>
        <w:br w:type="page"/>
      </w:r>
    </w:p>
    <w:p w14:paraId="4D862E3B" w14:textId="77777777" w:rsidR="00B4064E" w:rsidRDefault="00B4064E" w:rsidP="00BC1A95">
      <w:pPr>
        <w:rPr>
          <w:rFonts w:eastAsia="Times New Roman" w:cs="Times New Roman"/>
          <w:lang w:eastAsia="en-AU"/>
        </w:rPr>
      </w:pPr>
    </w:p>
    <w:tbl>
      <w:tblPr>
        <w:tblStyle w:val="TableGrid"/>
        <w:tblW w:w="0" w:type="auto"/>
        <w:tblLook w:val="04A0" w:firstRow="1" w:lastRow="0" w:firstColumn="1" w:lastColumn="0" w:noHBand="0" w:noVBand="1"/>
      </w:tblPr>
      <w:tblGrid>
        <w:gridCol w:w="3081"/>
        <w:gridCol w:w="3081"/>
        <w:gridCol w:w="3081"/>
      </w:tblGrid>
      <w:tr w:rsidR="00E557C1" w:rsidRPr="001219AF" w14:paraId="7D9D9415" w14:textId="77777777" w:rsidTr="002040D8">
        <w:tc>
          <w:tcPr>
            <w:tcW w:w="9243" w:type="dxa"/>
            <w:gridSpan w:val="3"/>
            <w:tcBorders>
              <w:top w:val="nil"/>
              <w:left w:val="nil"/>
              <w:right w:val="nil"/>
            </w:tcBorders>
          </w:tcPr>
          <w:p w14:paraId="6A87FA63" w14:textId="63F71C0A" w:rsidR="00E557C1" w:rsidRPr="001219AF" w:rsidRDefault="00E557C1" w:rsidP="00E557C1">
            <w:pPr>
              <w:pStyle w:val="TABHTableHeading"/>
            </w:pPr>
            <w:r>
              <w:t xml:space="preserve">Figure 2: </w:t>
            </w:r>
            <w:r>
              <w:rPr>
                <w:rStyle w:val="TABTTableTextChar"/>
                <w:b w:val="0"/>
              </w:rPr>
              <w:t>Discrete Choice Experiment, Sample Choice Set</w:t>
            </w:r>
          </w:p>
        </w:tc>
      </w:tr>
      <w:tr w:rsidR="00BC1A95" w:rsidRPr="001219AF" w14:paraId="396E1322" w14:textId="77777777" w:rsidTr="006C132A">
        <w:tc>
          <w:tcPr>
            <w:tcW w:w="9243" w:type="dxa"/>
            <w:gridSpan w:val="3"/>
          </w:tcPr>
          <w:p w14:paraId="48FE123E" w14:textId="77777777" w:rsidR="00BC1A95" w:rsidRPr="001219AF" w:rsidRDefault="00BC1A95" w:rsidP="006C132A">
            <w:pPr>
              <w:pStyle w:val="NoSpacing"/>
              <w:rPr>
                <w:sz w:val="20"/>
                <w:szCs w:val="20"/>
              </w:rPr>
            </w:pPr>
          </w:p>
          <w:p w14:paraId="560EA4EC" w14:textId="77777777" w:rsidR="00BC1A95" w:rsidRPr="001219AF" w:rsidRDefault="00BC1A95" w:rsidP="006C132A">
            <w:pPr>
              <w:pStyle w:val="NoSpacing"/>
              <w:rPr>
                <w:sz w:val="20"/>
                <w:szCs w:val="20"/>
              </w:rPr>
            </w:pPr>
            <w:r w:rsidRPr="001219AF">
              <w:rPr>
                <w:sz w:val="20"/>
                <w:szCs w:val="20"/>
              </w:rPr>
              <w:t xml:space="preserve">At the end of the investigation, health authorities are left with a choice about what to recommend should happen to the ICU doctor and assisting nurse. </w:t>
            </w:r>
          </w:p>
          <w:p w14:paraId="0AD9C7C1" w14:textId="77777777" w:rsidR="00BC1A95" w:rsidRPr="001219AF" w:rsidRDefault="00BC1A95" w:rsidP="006C132A">
            <w:pPr>
              <w:pStyle w:val="NoSpacing"/>
              <w:rPr>
                <w:sz w:val="20"/>
                <w:szCs w:val="20"/>
              </w:rPr>
            </w:pPr>
          </w:p>
          <w:p w14:paraId="5FD0FEAB" w14:textId="77777777" w:rsidR="00BC1A95" w:rsidRPr="001219AF" w:rsidRDefault="00BC1A95" w:rsidP="006C132A">
            <w:pPr>
              <w:pStyle w:val="NoSpacing"/>
              <w:rPr>
                <w:sz w:val="20"/>
                <w:szCs w:val="20"/>
              </w:rPr>
            </w:pPr>
            <w:r w:rsidRPr="001219AF">
              <w:rPr>
                <w:sz w:val="20"/>
                <w:szCs w:val="20"/>
              </w:rPr>
              <w:t>If these were the only options, which alternative would you choose?</w:t>
            </w:r>
          </w:p>
          <w:p w14:paraId="6FC6D1DE" w14:textId="77777777" w:rsidR="00BC1A95" w:rsidRPr="001219AF" w:rsidRDefault="00BC1A95" w:rsidP="006C132A">
            <w:pPr>
              <w:pStyle w:val="NoSpacing"/>
              <w:rPr>
                <w:b/>
                <w:sz w:val="20"/>
                <w:szCs w:val="20"/>
              </w:rPr>
            </w:pPr>
          </w:p>
        </w:tc>
      </w:tr>
      <w:tr w:rsidR="00BC1A95" w:rsidRPr="001219AF" w14:paraId="574D1A96" w14:textId="77777777" w:rsidTr="006C132A">
        <w:tc>
          <w:tcPr>
            <w:tcW w:w="3081" w:type="dxa"/>
            <w:tcBorders>
              <w:bottom w:val="single" w:sz="4" w:space="0" w:color="auto"/>
            </w:tcBorders>
          </w:tcPr>
          <w:p w14:paraId="4EE0BEF7" w14:textId="77777777" w:rsidR="00BC1A95" w:rsidRPr="001219AF" w:rsidRDefault="00BC1A95" w:rsidP="006C132A">
            <w:pPr>
              <w:pStyle w:val="NoSpacing"/>
              <w:rPr>
                <w:sz w:val="20"/>
                <w:szCs w:val="20"/>
              </w:rPr>
            </w:pPr>
          </w:p>
        </w:tc>
        <w:tc>
          <w:tcPr>
            <w:tcW w:w="3081" w:type="dxa"/>
            <w:tcBorders>
              <w:bottom w:val="single" w:sz="4" w:space="0" w:color="auto"/>
            </w:tcBorders>
          </w:tcPr>
          <w:p w14:paraId="1F0AEBBD" w14:textId="77777777" w:rsidR="00BC1A95" w:rsidRPr="001219AF" w:rsidRDefault="00BC1A95" w:rsidP="006C132A">
            <w:pPr>
              <w:pStyle w:val="NoSpacing"/>
              <w:jc w:val="center"/>
              <w:rPr>
                <w:b/>
                <w:sz w:val="20"/>
                <w:szCs w:val="20"/>
              </w:rPr>
            </w:pPr>
            <w:r w:rsidRPr="001219AF">
              <w:rPr>
                <w:b/>
                <w:sz w:val="20"/>
                <w:szCs w:val="20"/>
              </w:rPr>
              <w:t>Option A</w:t>
            </w:r>
          </w:p>
        </w:tc>
        <w:tc>
          <w:tcPr>
            <w:tcW w:w="3081" w:type="dxa"/>
            <w:tcBorders>
              <w:bottom w:val="single" w:sz="4" w:space="0" w:color="auto"/>
            </w:tcBorders>
          </w:tcPr>
          <w:p w14:paraId="01027B9E" w14:textId="77777777" w:rsidR="00BC1A95" w:rsidRPr="001219AF" w:rsidRDefault="00BC1A95" w:rsidP="006C132A">
            <w:pPr>
              <w:pStyle w:val="NoSpacing"/>
              <w:jc w:val="center"/>
              <w:rPr>
                <w:b/>
                <w:sz w:val="20"/>
                <w:szCs w:val="20"/>
              </w:rPr>
            </w:pPr>
            <w:r w:rsidRPr="001219AF">
              <w:rPr>
                <w:b/>
                <w:sz w:val="20"/>
                <w:szCs w:val="20"/>
              </w:rPr>
              <w:t>Option B</w:t>
            </w:r>
          </w:p>
        </w:tc>
      </w:tr>
      <w:tr w:rsidR="00BC1A95" w:rsidRPr="001219AF" w14:paraId="6F8EFB9C" w14:textId="77777777" w:rsidTr="006C132A">
        <w:tc>
          <w:tcPr>
            <w:tcW w:w="3081" w:type="dxa"/>
            <w:tcBorders>
              <w:top w:val="single" w:sz="4" w:space="0" w:color="auto"/>
              <w:left w:val="single" w:sz="4" w:space="0" w:color="auto"/>
              <w:right w:val="single" w:sz="4" w:space="0" w:color="auto"/>
            </w:tcBorders>
          </w:tcPr>
          <w:p w14:paraId="4401E38E" w14:textId="77777777" w:rsidR="00BC1A95" w:rsidRPr="001219AF" w:rsidRDefault="00BC1A95" w:rsidP="006C132A">
            <w:pPr>
              <w:pStyle w:val="TableText"/>
              <w:rPr>
                <w:rFonts w:ascii="Times New Roman" w:hAnsi="Times New Roman"/>
              </w:rPr>
            </w:pPr>
            <w:r w:rsidRPr="001219AF">
              <w:t>1 Government-</w:t>
            </w:r>
            <w:r>
              <w:t>i</w:t>
            </w:r>
            <w:r w:rsidRPr="001219AF">
              <w:t xml:space="preserve">ssued </w:t>
            </w:r>
            <w:r>
              <w:t>f</w:t>
            </w:r>
            <w:r w:rsidRPr="001219AF">
              <w:t xml:space="preserve">ine for the </w:t>
            </w:r>
            <w:r>
              <w:t>d</w:t>
            </w:r>
            <w:r w:rsidRPr="001219AF">
              <w:t>octor</w:t>
            </w:r>
          </w:p>
        </w:tc>
        <w:tc>
          <w:tcPr>
            <w:tcW w:w="3081" w:type="dxa"/>
            <w:tcBorders>
              <w:top w:val="single" w:sz="4" w:space="0" w:color="auto"/>
              <w:left w:val="single" w:sz="4" w:space="0" w:color="auto"/>
              <w:right w:val="single" w:sz="4" w:space="0" w:color="auto"/>
            </w:tcBorders>
          </w:tcPr>
          <w:p w14:paraId="17839595" w14:textId="77777777" w:rsidR="00BC1A95" w:rsidRPr="001219AF" w:rsidRDefault="00BC1A95" w:rsidP="006C132A">
            <w:pPr>
              <w:pStyle w:val="NoSpacing"/>
              <w:rPr>
                <w:b/>
                <w:sz w:val="20"/>
                <w:szCs w:val="20"/>
              </w:rPr>
            </w:pPr>
            <w:r w:rsidRPr="001219AF">
              <w:rPr>
                <w:b/>
                <w:sz w:val="20"/>
                <w:szCs w:val="20"/>
              </w:rPr>
              <w:t xml:space="preserve">No </w:t>
            </w:r>
            <w:r>
              <w:rPr>
                <w:b/>
                <w:sz w:val="20"/>
                <w:szCs w:val="20"/>
              </w:rPr>
              <w:t>f</w:t>
            </w:r>
            <w:r w:rsidRPr="001219AF">
              <w:rPr>
                <w:b/>
                <w:sz w:val="20"/>
                <w:szCs w:val="20"/>
              </w:rPr>
              <w:t>ine for the doctor</w:t>
            </w:r>
          </w:p>
        </w:tc>
        <w:tc>
          <w:tcPr>
            <w:tcW w:w="3081" w:type="dxa"/>
            <w:tcBorders>
              <w:top w:val="single" w:sz="4" w:space="0" w:color="auto"/>
              <w:left w:val="single" w:sz="4" w:space="0" w:color="auto"/>
              <w:right w:val="single" w:sz="4" w:space="0" w:color="auto"/>
            </w:tcBorders>
          </w:tcPr>
          <w:p w14:paraId="2E0E242F" w14:textId="77777777" w:rsidR="00BC1A95" w:rsidRPr="001219AF" w:rsidRDefault="00BC1A95" w:rsidP="006C132A">
            <w:pPr>
              <w:pStyle w:val="NoSpacing"/>
              <w:rPr>
                <w:b/>
                <w:sz w:val="20"/>
                <w:szCs w:val="20"/>
              </w:rPr>
            </w:pPr>
            <w:r w:rsidRPr="001219AF">
              <w:rPr>
                <w:b/>
                <w:sz w:val="20"/>
                <w:szCs w:val="20"/>
              </w:rPr>
              <w:t>A fine equivalent to one month of the doctor’s salary</w:t>
            </w:r>
          </w:p>
        </w:tc>
      </w:tr>
      <w:tr w:rsidR="00BC1A95" w:rsidRPr="001219AF" w14:paraId="079EC8CE" w14:textId="77777777" w:rsidTr="006C132A">
        <w:tc>
          <w:tcPr>
            <w:tcW w:w="3081" w:type="dxa"/>
            <w:tcBorders>
              <w:left w:val="single" w:sz="4" w:space="0" w:color="auto"/>
              <w:right w:val="single" w:sz="4" w:space="0" w:color="auto"/>
            </w:tcBorders>
          </w:tcPr>
          <w:p w14:paraId="5B577606" w14:textId="77777777" w:rsidR="00BC1A95" w:rsidRPr="001219AF" w:rsidRDefault="00BC1A95" w:rsidP="006C132A">
            <w:pPr>
              <w:pStyle w:val="TableText"/>
              <w:rPr>
                <w:rFonts w:ascii="Times New Roman" w:hAnsi="Times New Roman"/>
              </w:rPr>
            </w:pPr>
            <w:r w:rsidRPr="001219AF">
              <w:t xml:space="preserve">2 Restriction on </w:t>
            </w:r>
            <w:r>
              <w:t>f</w:t>
            </w:r>
            <w:r w:rsidRPr="001219AF">
              <w:t xml:space="preserve">uture </w:t>
            </w:r>
            <w:r>
              <w:t>m</w:t>
            </w:r>
            <w:r w:rsidRPr="001219AF">
              <w:t xml:space="preserve">edical </w:t>
            </w:r>
            <w:r>
              <w:t>p</w:t>
            </w:r>
            <w:r w:rsidRPr="001219AF">
              <w:t xml:space="preserve">ractice for the </w:t>
            </w:r>
            <w:r>
              <w:t>d</w:t>
            </w:r>
            <w:r w:rsidRPr="001219AF">
              <w:t>octor by the Medical Registration Board</w:t>
            </w:r>
          </w:p>
        </w:tc>
        <w:tc>
          <w:tcPr>
            <w:tcW w:w="3081" w:type="dxa"/>
            <w:tcBorders>
              <w:left w:val="single" w:sz="4" w:space="0" w:color="auto"/>
              <w:right w:val="single" w:sz="4" w:space="0" w:color="auto"/>
            </w:tcBorders>
          </w:tcPr>
          <w:p w14:paraId="4557A2D0" w14:textId="4CAF7F4C" w:rsidR="00BC1A95" w:rsidRPr="001219AF" w:rsidRDefault="00BC1A95" w:rsidP="00977A7F">
            <w:pPr>
              <w:pStyle w:val="NoSpacing"/>
              <w:rPr>
                <w:b/>
                <w:sz w:val="20"/>
                <w:szCs w:val="20"/>
              </w:rPr>
            </w:pPr>
            <w:r w:rsidRPr="001219AF">
              <w:rPr>
                <w:b/>
                <w:sz w:val="20"/>
                <w:szCs w:val="20"/>
              </w:rPr>
              <w:t xml:space="preserve">Noting the </w:t>
            </w:r>
            <w:r w:rsidR="00977A7F">
              <w:rPr>
                <w:b/>
                <w:sz w:val="20"/>
                <w:szCs w:val="20"/>
              </w:rPr>
              <w:t>incident</w:t>
            </w:r>
            <w:r w:rsidRPr="001219AF">
              <w:rPr>
                <w:b/>
                <w:sz w:val="20"/>
                <w:szCs w:val="20"/>
              </w:rPr>
              <w:t xml:space="preserve"> on the doctor’s permanent medical registration record</w:t>
            </w:r>
          </w:p>
        </w:tc>
        <w:tc>
          <w:tcPr>
            <w:tcW w:w="3081" w:type="dxa"/>
            <w:tcBorders>
              <w:left w:val="single" w:sz="4" w:space="0" w:color="auto"/>
              <w:right w:val="single" w:sz="4" w:space="0" w:color="auto"/>
            </w:tcBorders>
          </w:tcPr>
          <w:p w14:paraId="4E0DEF36" w14:textId="77777777" w:rsidR="00BC1A95" w:rsidRPr="001219AF" w:rsidRDefault="00BC1A95" w:rsidP="006C132A">
            <w:pPr>
              <w:pStyle w:val="NoSpacing"/>
              <w:rPr>
                <w:b/>
                <w:sz w:val="20"/>
                <w:szCs w:val="20"/>
              </w:rPr>
            </w:pPr>
            <w:r w:rsidRPr="001219AF">
              <w:rPr>
                <w:b/>
                <w:sz w:val="20"/>
                <w:szCs w:val="20"/>
              </w:rPr>
              <w:t>Permanent cancellation of their registration as a medical practitioner</w:t>
            </w:r>
          </w:p>
        </w:tc>
      </w:tr>
      <w:tr w:rsidR="00BC1A95" w:rsidRPr="001219AF" w14:paraId="1CBC20E9" w14:textId="77777777" w:rsidTr="006C132A">
        <w:tc>
          <w:tcPr>
            <w:tcW w:w="3081" w:type="dxa"/>
            <w:tcBorders>
              <w:left w:val="single" w:sz="4" w:space="0" w:color="auto"/>
              <w:right w:val="single" w:sz="4" w:space="0" w:color="auto"/>
            </w:tcBorders>
          </w:tcPr>
          <w:p w14:paraId="718A46AC" w14:textId="77777777" w:rsidR="00BC1A95" w:rsidRPr="001219AF" w:rsidRDefault="00BC1A95" w:rsidP="006C132A">
            <w:pPr>
              <w:pStyle w:val="TableText"/>
              <w:rPr>
                <w:rFonts w:ascii="Times New Roman" w:hAnsi="Times New Roman"/>
              </w:rPr>
            </w:pPr>
            <w:r w:rsidRPr="001219AF">
              <w:t xml:space="preserve">3 Criminal </w:t>
            </w:r>
            <w:r>
              <w:t>t</w:t>
            </w:r>
            <w:r w:rsidRPr="001219AF">
              <w:t xml:space="preserve">rial for </w:t>
            </w:r>
            <w:r>
              <w:t>m</w:t>
            </w:r>
            <w:r w:rsidRPr="001219AF">
              <w:t xml:space="preserve">anslaughter for the </w:t>
            </w:r>
            <w:r>
              <w:t>d</w:t>
            </w:r>
            <w:r w:rsidRPr="001219AF">
              <w:t>octor</w:t>
            </w:r>
          </w:p>
        </w:tc>
        <w:tc>
          <w:tcPr>
            <w:tcW w:w="3081" w:type="dxa"/>
            <w:tcBorders>
              <w:left w:val="single" w:sz="4" w:space="0" w:color="auto"/>
              <w:right w:val="single" w:sz="4" w:space="0" w:color="auto"/>
            </w:tcBorders>
          </w:tcPr>
          <w:p w14:paraId="60C62B65" w14:textId="77777777" w:rsidR="00BC1A95" w:rsidRPr="001219AF" w:rsidRDefault="00BC1A95" w:rsidP="006C132A">
            <w:pPr>
              <w:pStyle w:val="NoSpacing"/>
              <w:rPr>
                <w:b/>
                <w:sz w:val="20"/>
                <w:szCs w:val="20"/>
              </w:rPr>
            </w:pPr>
            <w:r w:rsidRPr="001219AF">
              <w:rPr>
                <w:b/>
                <w:sz w:val="20"/>
                <w:szCs w:val="20"/>
              </w:rPr>
              <w:t xml:space="preserve">Criminal </w:t>
            </w:r>
            <w:r>
              <w:rPr>
                <w:b/>
                <w:sz w:val="20"/>
                <w:szCs w:val="20"/>
              </w:rPr>
              <w:t>t</w:t>
            </w:r>
            <w:r w:rsidRPr="001219AF">
              <w:rPr>
                <w:b/>
                <w:sz w:val="20"/>
                <w:szCs w:val="20"/>
              </w:rPr>
              <w:t xml:space="preserve">rial of the </w:t>
            </w:r>
            <w:r>
              <w:rPr>
                <w:b/>
                <w:sz w:val="20"/>
                <w:szCs w:val="20"/>
              </w:rPr>
              <w:t>d</w:t>
            </w:r>
            <w:r w:rsidRPr="001219AF">
              <w:rPr>
                <w:b/>
                <w:sz w:val="20"/>
                <w:szCs w:val="20"/>
              </w:rPr>
              <w:t xml:space="preserve">octor  for </w:t>
            </w:r>
            <w:r>
              <w:rPr>
                <w:b/>
                <w:sz w:val="20"/>
                <w:szCs w:val="20"/>
              </w:rPr>
              <w:t>m</w:t>
            </w:r>
            <w:r w:rsidRPr="001219AF">
              <w:rPr>
                <w:b/>
                <w:sz w:val="20"/>
                <w:szCs w:val="20"/>
              </w:rPr>
              <w:t xml:space="preserve">anslaughter with a finding of Guilty but with no imprisonment </w:t>
            </w:r>
          </w:p>
          <w:p w14:paraId="2D7BA5B9" w14:textId="77777777" w:rsidR="00BC1A95" w:rsidRPr="001219AF" w:rsidRDefault="00BC1A95" w:rsidP="006C132A">
            <w:pPr>
              <w:pStyle w:val="NoSpacing"/>
              <w:rPr>
                <w:b/>
                <w:sz w:val="20"/>
                <w:szCs w:val="20"/>
              </w:rPr>
            </w:pPr>
          </w:p>
        </w:tc>
        <w:tc>
          <w:tcPr>
            <w:tcW w:w="3081" w:type="dxa"/>
            <w:tcBorders>
              <w:left w:val="single" w:sz="4" w:space="0" w:color="auto"/>
              <w:right w:val="single" w:sz="4" w:space="0" w:color="auto"/>
            </w:tcBorders>
          </w:tcPr>
          <w:p w14:paraId="7B91707D" w14:textId="77777777" w:rsidR="00BC1A95" w:rsidRPr="001219AF" w:rsidRDefault="00BC1A95" w:rsidP="006C132A">
            <w:pPr>
              <w:pStyle w:val="NoSpacing"/>
              <w:rPr>
                <w:b/>
                <w:sz w:val="20"/>
                <w:szCs w:val="20"/>
              </w:rPr>
            </w:pPr>
            <w:r w:rsidRPr="001219AF">
              <w:rPr>
                <w:b/>
                <w:sz w:val="20"/>
                <w:szCs w:val="20"/>
              </w:rPr>
              <w:t xml:space="preserve">Criminal </w:t>
            </w:r>
            <w:r>
              <w:rPr>
                <w:b/>
                <w:sz w:val="20"/>
                <w:szCs w:val="20"/>
              </w:rPr>
              <w:t>t</w:t>
            </w:r>
            <w:r w:rsidRPr="001219AF">
              <w:rPr>
                <w:b/>
                <w:sz w:val="20"/>
                <w:szCs w:val="20"/>
              </w:rPr>
              <w:t xml:space="preserve">rial of the </w:t>
            </w:r>
            <w:r>
              <w:rPr>
                <w:b/>
                <w:sz w:val="20"/>
                <w:szCs w:val="20"/>
              </w:rPr>
              <w:t>d</w:t>
            </w:r>
            <w:r w:rsidRPr="001219AF">
              <w:rPr>
                <w:b/>
                <w:sz w:val="20"/>
                <w:szCs w:val="20"/>
              </w:rPr>
              <w:t xml:space="preserve">octor for </w:t>
            </w:r>
            <w:r>
              <w:rPr>
                <w:b/>
                <w:sz w:val="20"/>
                <w:szCs w:val="20"/>
              </w:rPr>
              <w:t>m</w:t>
            </w:r>
            <w:r w:rsidRPr="001219AF">
              <w:rPr>
                <w:b/>
                <w:sz w:val="20"/>
                <w:szCs w:val="20"/>
              </w:rPr>
              <w:t xml:space="preserve">anslaughter with a finding of Guilty but with no imprisonment </w:t>
            </w:r>
          </w:p>
          <w:p w14:paraId="159553CA" w14:textId="77777777" w:rsidR="00BC1A95" w:rsidRPr="001219AF" w:rsidRDefault="00BC1A95" w:rsidP="006C132A">
            <w:pPr>
              <w:pStyle w:val="NoSpacing"/>
              <w:rPr>
                <w:b/>
                <w:sz w:val="20"/>
                <w:szCs w:val="20"/>
              </w:rPr>
            </w:pPr>
          </w:p>
        </w:tc>
      </w:tr>
      <w:tr w:rsidR="00BC1A95" w:rsidRPr="001219AF" w14:paraId="2D0A7C58" w14:textId="77777777" w:rsidTr="006C132A">
        <w:tc>
          <w:tcPr>
            <w:tcW w:w="3081" w:type="dxa"/>
            <w:tcBorders>
              <w:left w:val="single" w:sz="4" w:space="0" w:color="auto"/>
              <w:right w:val="single" w:sz="4" w:space="0" w:color="auto"/>
            </w:tcBorders>
          </w:tcPr>
          <w:p w14:paraId="78474AC8" w14:textId="77777777" w:rsidR="00BC1A95" w:rsidRPr="001219AF" w:rsidRDefault="00BC1A95" w:rsidP="006C132A">
            <w:pPr>
              <w:pStyle w:val="TableText"/>
              <w:rPr>
                <w:rFonts w:ascii="Times New Roman" w:hAnsi="Times New Roman"/>
              </w:rPr>
            </w:pPr>
            <w:r w:rsidRPr="001219AF">
              <w:t xml:space="preserve">4 Restriction on </w:t>
            </w:r>
            <w:r>
              <w:t>f</w:t>
            </w:r>
            <w:r w:rsidRPr="001219AF">
              <w:t xml:space="preserve">uture </w:t>
            </w:r>
            <w:r>
              <w:t>n</w:t>
            </w:r>
            <w:r w:rsidRPr="001219AF">
              <w:t xml:space="preserve">ursing </w:t>
            </w:r>
            <w:r>
              <w:t>p</w:t>
            </w:r>
            <w:r w:rsidRPr="001219AF">
              <w:t xml:space="preserve">ractice for the </w:t>
            </w:r>
            <w:r>
              <w:t>n</w:t>
            </w:r>
            <w:r w:rsidRPr="001219AF">
              <w:t>urse by the Nursing and Midwifery Board</w:t>
            </w:r>
          </w:p>
        </w:tc>
        <w:tc>
          <w:tcPr>
            <w:tcW w:w="3081" w:type="dxa"/>
            <w:tcBorders>
              <w:left w:val="single" w:sz="4" w:space="0" w:color="auto"/>
              <w:right w:val="single" w:sz="4" w:space="0" w:color="auto"/>
            </w:tcBorders>
          </w:tcPr>
          <w:p w14:paraId="620CC713" w14:textId="77777777" w:rsidR="00BC1A95" w:rsidRPr="001219AF" w:rsidRDefault="00BC1A95" w:rsidP="006C132A">
            <w:pPr>
              <w:pStyle w:val="NoSpacing"/>
              <w:rPr>
                <w:b/>
                <w:sz w:val="20"/>
                <w:szCs w:val="20"/>
              </w:rPr>
            </w:pPr>
            <w:r w:rsidRPr="001219AF">
              <w:rPr>
                <w:b/>
                <w:sz w:val="20"/>
                <w:szCs w:val="20"/>
              </w:rPr>
              <w:t>Temporary suspension of the nurse’s registration and right to work as a nurse</w:t>
            </w:r>
          </w:p>
        </w:tc>
        <w:tc>
          <w:tcPr>
            <w:tcW w:w="3081" w:type="dxa"/>
            <w:tcBorders>
              <w:left w:val="single" w:sz="4" w:space="0" w:color="auto"/>
              <w:right w:val="single" w:sz="4" w:space="0" w:color="auto"/>
            </w:tcBorders>
          </w:tcPr>
          <w:p w14:paraId="1F3E1DD0" w14:textId="77777777" w:rsidR="00BC1A95" w:rsidRPr="001219AF" w:rsidRDefault="00BC1A95" w:rsidP="006C132A">
            <w:pPr>
              <w:pStyle w:val="NoSpacing"/>
              <w:rPr>
                <w:b/>
                <w:sz w:val="20"/>
                <w:szCs w:val="20"/>
              </w:rPr>
            </w:pPr>
            <w:r w:rsidRPr="001219AF">
              <w:rPr>
                <w:b/>
                <w:sz w:val="20"/>
                <w:szCs w:val="20"/>
              </w:rPr>
              <w:t>No restriction on practice or disciplinary proceedings against the nurse</w:t>
            </w:r>
          </w:p>
        </w:tc>
      </w:tr>
      <w:tr w:rsidR="00BC1A95" w:rsidRPr="001219AF" w14:paraId="103341F0" w14:textId="77777777" w:rsidTr="006C132A">
        <w:tc>
          <w:tcPr>
            <w:tcW w:w="3081" w:type="dxa"/>
            <w:tcBorders>
              <w:left w:val="single" w:sz="4" w:space="0" w:color="auto"/>
              <w:right w:val="single" w:sz="4" w:space="0" w:color="auto"/>
            </w:tcBorders>
          </w:tcPr>
          <w:p w14:paraId="06511643" w14:textId="77777777" w:rsidR="00BC1A95" w:rsidRPr="001219AF" w:rsidRDefault="00BC1A95" w:rsidP="006C132A">
            <w:pPr>
              <w:pStyle w:val="TableText"/>
              <w:rPr>
                <w:rFonts w:ascii="Times New Roman" w:hAnsi="Times New Roman"/>
              </w:rPr>
            </w:pPr>
            <w:r w:rsidRPr="001219AF">
              <w:t xml:space="preserve">5 Publicity and </w:t>
            </w:r>
            <w:r>
              <w:t>p</w:t>
            </w:r>
            <w:r w:rsidRPr="001219AF">
              <w:t xml:space="preserve">ublic </w:t>
            </w:r>
            <w:r>
              <w:t>r</w:t>
            </w:r>
            <w:r w:rsidRPr="001219AF">
              <w:t xml:space="preserve">eporting of the </w:t>
            </w:r>
            <w:r>
              <w:t>i</w:t>
            </w:r>
            <w:r w:rsidRPr="001219AF">
              <w:t>ncident</w:t>
            </w:r>
          </w:p>
        </w:tc>
        <w:tc>
          <w:tcPr>
            <w:tcW w:w="3081" w:type="dxa"/>
            <w:tcBorders>
              <w:left w:val="single" w:sz="4" w:space="0" w:color="auto"/>
              <w:right w:val="single" w:sz="4" w:space="0" w:color="auto"/>
            </w:tcBorders>
          </w:tcPr>
          <w:p w14:paraId="6FCFB718" w14:textId="77777777" w:rsidR="00BC1A95" w:rsidRPr="001219AF" w:rsidRDefault="00BC1A95" w:rsidP="006C132A">
            <w:pPr>
              <w:pStyle w:val="NoSpacing"/>
              <w:rPr>
                <w:b/>
                <w:sz w:val="20"/>
                <w:szCs w:val="20"/>
              </w:rPr>
            </w:pPr>
            <w:r w:rsidRPr="001219AF">
              <w:rPr>
                <w:b/>
                <w:sz w:val="20"/>
                <w:szCs w:val="20"/>
              </w:rPr>
              <w:t>No publicity or reporting of the incident.</w:t>
            </w:r>
          </w:p>
        </w:tc>
        <w:tc>
          <w:tcPr>
            <w:tcW w:w="3081" w:type="dxa"/>
            <w:tcBorders>
              <w:left w:val="single" w:sz="4" w:space="0" w:color="auto"/>
              <w:right w:val="single" w:sz="4" w:space="0" w:color="auto"/>
            </w:tcBorders>
          </w:tcPr>
          <w:p w14:paraId="0EAFFAC0" w14:textId="77777777" w:rsidR="00BC1A95" w:rsidRPr="001219AF" w:rsidRDefault="00BC1A95" w:rsidP="006C132A">
            <w:pPr>
              <w:pStyle w:val="NoSpacing"/>
              <w:rPr>
                <w:b/>
                <w:sz w:val="20"/>
                <w:szCs w:val="20"/>
              </w:rPr>
            </w:pPr>
            <w:r w:rsidRPr="001219AF">
              <w:rPr>
                <w:b/>
                <w:sz w:val="20"/>
                <w:szCs w:val="20"/>
              </w:rPr>
              <w:t>A public Facebook status appears condemning the doctor for their actions.</w:t>
            </w:r>
          </w:p>
        </w:tc>
      </w:tr>
      <w:tr w:rsidR="00BC1A95" w:rsidRPr="001219AF" w14:paraId="3BD0BD4B" w14:textId="77777777" w:rsidTr="006C132A">
        <w:trPr>
          <w:trHeight w:val="470"/>
        </w:trPr>
        <w:tc>
          <w:tcPr>
            <w:tcW w:w="3081" w:type="dxa"/>
            <w:tcBorders>
              <w:left w:val="single" w:sz="4" w:space="0" w:color="auto"/>
              <w:bottom w:val="single" w:sz="18" w:space="0" w:color="auto"/>
              <w:right w:val="single" w:sz="4" w:space="0" w:color="auto"/>
            </w:tcBorders>
          </w:tcPr>
          <w:p w14:paraId="197551C8" w14:textId="77777777" w:rsidR="00BC1A95" w:rsidRPr="001219AF" w:rsidRDefault="00BC1A95" w:rsidP="006C132A">
            <w:pPr>
              <w:pStyle w:val="TableText"/>
              <w:rPr>
                <w:rFonts w:ascii="Times New Roman" w:hAnsi="Times New Roman"/>
              </w:rPr>
            </w:pPr>
            <w:r w:rsidRPr="001219AF">
              <w:t xml:space="preserve">6 Verification of the </w:t>
            </w:r>
            <w:r>
              <w:t>d</w:t>
            </w:r>
            <w:r w:rsidRPr="001219AF">
              <w:t xml:space="preserve">octor’s </w:t>
            </w:r>
            <w:r>
              <w:t>s</w:t>
            </w:r>
            <w:r w:rsidRPr="001219AF">
              <w:t>kills</w:t>
            </w:r>
          </w:p>
        </w:tc>
        <w:tc>
          <w:tcPr>
            <w:tcW w:w="3081" w:type="dxa"/>
            <w:tcBorders>
              <w:left w:val="single" w:sz="4" w:space="0" w:color="auto"/>
              <w:bottom w:val="single" w:sz="18" w:space="0" w:color="auto"/>
              <w:right w:val="single" w:sz="4" w:space="0" w:color="auto"/>
            </w:tcBorders>
          </w:tcPr>
          <w:p w14:paraId="44CF24F8" w14:textId="77777777" w:rsidR="00BC1A95" w:rsidRPr="001219AF" w:rsidRDefault="00BC1A95" w:rsidP="006C132A">
            <w:pPr>
              <w:pStyle w:val="NoSpacing"/>
              <w:rPr>
                <w:b/>
                <w:sz w:val="20"/>
                <w:szCs w:val="20"/>
              </w:rPr>
            </w:pPr>
            <w:r w:rsidRPr="001219AF">
              <w:rPr>
                <w:b/>
                <w:sz w:val="20"/>
                <w:szCs w:val="20"/>
              </w:rPr>
              <w:t>A mentoring program and review of the doctor’s skills by a colleague from the same hospital.</w:t>
            </w:r>
          </w:p>
        </w:tc>
        <w:tc>
          <w:tcPr>
            <w:tcW w:w="3081" w:type="dxa"/>
            <w:tcBorders>
              <w:left w:val="single" w:sz="4" w:space="0" w:color="auto"/>
              <w:bottom w:val="single" w:sz="18" w:space="0" w:color="auto"/>
              <w:right w:val="single" w:sz="4" w:space="0" w:color="auto"/>
            </w:tcBorders>
          </w:tcPr>
          <w:p w14:paraId="59CA2A97" w14:textId="77777777" w:rsidR="00BC1A95" w:rsidRPr="001219AF" w:rsidRDefault="00BC1A95" w:rsidP="006C132A">
            <w:pPr>
              <w:pStyle w:val="NoSpacing"/>
              <w:rPr>
                <w:b/>
                <w:sz w:val="20"/>
                <w:szCs w:val="20"/>
              </w:rPr>
            </w:pPr>
            <w:r w:rsidRPr="001219AF">
              <w:rPr>
                <w:b/>
                <w:sz w:val="20"/>
                <w:szCs w:val="20"/>
              </w:rPr>
              <w:t>Formal review and check of the doctor’s skills by an independent senior doctor</w:t>
            </w:r>
          </w:p>
        </w:tc>
      </w:tr>
      <w:tr w:rsidR="00BC1A95" w:rsidRPr="001219AF" w14:paraId="45F0B4F8" w14:textId="77777777" w:rsidTr="006C132A">
        <w:trPr>
          <w:trHeight w:val="470"/>
        </w:trPr>
        <w:tc>
          <w:tcPr>
            <w:tcW w:w="3081" w:type="dxa"/>
            <w:tcBorders>
              <w:top w:val="single" w:sz="18" w:space="0" w:color="auto"/>
              <w:bottom w:val="single" w:sz="18" w:space="0" w:color="auto"/>
            </w:tcBorders>
          </w:tcPr>
          <w:p w14:paraId="51FAC94D" w14:textId="77777777" w:rsidR="00BC1A95" w:rsidRPr="001219AF" w:rsidRDefault="00BC1A95" w:rsidP="006C132A">
            <w:pPr>
              <w:pStyle w:val="TableText"/>
            </w:pPr>
            <w:r w:rsidRPr="001219AF">
              <w:t>Choose which option you prefer:</w:t>
            </w:r>
          </w:p>
        </w:tc>
        <w:tc>
          <w:tcPr>
            <w:tcW w:w="3081" w:type="dxa"/>
            <w:tcBorders>
              <w:top w:val="single" w:sz="18" w:space="0" w:color="auto"/>
              <w:bottom w:val="single" w:sz="18" w:space="0" w:color="auto"/>
            </w:tcBorders>
          </w:tcPr>
          <w:p w14:paraId="1D096DC2" w14:textId="77777777" w:rsidR="00BC1A95" w:rsidRPr="001219AF" w:rsidRDefault="00BC1A95" w:rsidP="006C132A">
            <w:pPr>
              <w:pStyle w:val="NoSpacing"/>
              <w:jc w:val="center"/>
              <w:rPr>
                <w:b/>
                <w:sz w:val="20"/>
                <w:szCs w:val="20"/>
              </w:rPr>
            </w:pPr>
            <w:r w:rsidRPr="001219AF">
              <w:rPr>
                <w:b/>
                <w:sz w:val="20"/>
                <w:szCs w:val="20"/>
              </w:rPr>
              <w:t>Option A</w:t>
            </w:r>
            <w:r w:rsidRPr="001219AF">
              <w:rPr>
                <w:b/>
                <w:sz w:val="20"/>
                <w:szCs w:val="20"/>
              </w:rPr>
              <w:br/>
            </w:r>
            <w:r w:rsidRPr="001219AF">
              <w:rPr>
                <w:rFonts w:ascii="Menlo Regular" w:eastAsia="MS Gothic" w:hAnsi="Menlo Regular" w:cs="Menlo Regular"/>
                <w:color w:val="000000"/>
              </w:rPr>
              <w:t>☐</w:t>
            </w:r>
          </w:p>
        </w:tc>
        <w:tc>
          <w:tcPr>
            <w:tcW w:w="3081" w:type="dxa"/>
            <w:tcBorders>
              <w:top w:val="single" w:sz="18" w:space="0" w:color="auto"/>
              <w:bottom w:val="single" w:sz="18" w:space="0" w:color="auto"/>
            </w:tcBorders>
          </w:tcPr>
          <w:p w14:paraId="0DC47CB4" w14:textId="77777777" w:rsidR="00BC1A95" w:rsidRPr="001219AF" w:rsidRDefault="00BC1A95" w:rsidP="006C132A">
            <w:pPr>
              <w:pStyle w:val="NoSpacing"/>
              <w:jc w:val="center"/>
              <w:rPr>
                <w:b/>
                <w:sz w:val="20"/>
                <w:szCs w:val="20"/>
              </w:rPr>
            </w:pPr>
            <w:r w:rsidRPr="001219AF">
              <w:rPr>
                <w:b/>
                <w:sz w:val="20"/>
                <w:szCs w:val="20"/>
              </w:rPr>
              <w:t>Option B</w:t>
            </w:r>
            <w:r w:rsidRPr="001219AF">
              <w:rPr>
                <w:b/>
                <w:sz w:val="20"/>
                <w:szCs w:val="20"/>
              </w:rPr>
              <w:br/>
            </w:r>
            <w:r w:rsidRPr="001219AF">
              <w:rPr>
                <w:rFonts w:ascii="Menlo Regular" w:eastAsia="MS Gothic" w:hAnsi="Menlo Regular" w:cs="Menlo Regular"/>
                <w:color w:val="000000"/>
              </w:rPr>
              <w:t>☐</w:t>
            </w:r>
          </w:p>
        </w:tc>
      </w:tr>
    </w:tbl>
    <w:p w14:paraId="6D6BB91F" w14:textId="77777777" w:rsidR="00B4064E" w:rsidRDefault="00B4064E" w:rsidP="00BC1A95"/>
    <w:p w14:paraId="5E0AD4D6" w14:textId="274F8B04" w:rsidR="00BC1A95" w:rsidRDefault="004C30ED" w:rsidP="00BC1A95">
      <w:r w:rsidRPr="00664C4A">
        <w:t xml:space="preserve">On each occasion respondents </w:t>
      </w:r>
      <w:r w:rsidR="0000327E">
        <w:t>were forced to choose</w:t>
      </w:r>
      <w:r w:rsidRPr="00664C4A">
        <w:t xml:space="preserve"> the recommendation they felt </w:t>
      </w:r>
      <w:r w:rsidR="0000327E">
        <w:t xml:space="preserve">was </w:t>
      </w:r>
      <w:r w:rsidRPr="00664C4A">
        <w:t>more appropriate. In total</w:t>
      </w:r>
      <w:r>
        <w:t>,</w:t>
      </w:r>
      <w:r w:rsidRPr="00664C4A">
        <w:t xml:space="preserve"> </w:t>
      </w:r>
      <w:r w:rsidR="00977A7F">
        <w:t xml:space="preserve">each respondent was </w:t>
      </w:r>
      <w:r w:rsidRPr="00664C4A">
        <w:t xml:space="preserve">shown 16 </w:t>
      </w:r>
      <w:r w:rsidR="00977A7F">
        <w:t xml:space="preserve">different </w:t>
      </w:r>
      <w:r w:rsidRPr="00664C4A">
        <w:t>pairs of recommendations.</w:t>
      </w:r>
      <w:r>
        <w:rPr>
          <w:rFonts w:eastAsia="Times New Roman" w:cs="Times New Roman"/>
          <w:lang w:eastAsia="en-AU"/>
        </w:rPr>
        <w:t xml:space="preserve"> </w:t>
      </w:r>
      <w:r w:rsidR="00FB3324" w:rsidRPr="001219AF">
        <w:t>Attributes and their attendant levels were constructed by literature review and regulatory knowledge</w:t>
      </w:r>
      <w:r w:rsidR="00491DA1">
        <w:t xml:space="preserve">. </w:t>
      </w:r>
      <w:r w:rsidR="00BC1A95">
        <w:t xml:space="preserve">We discuss that process below. </w:t>
      </w:r>
    </w:p>
    <w:p w14:paraId="08771A7B" w14:textId="77777777" w:rsidR="00BC1A95" w:rsidRPr="00BC1A95" w:rsidRDefault="00BC1A95" w:rsidP="00BC1A95">
      <w:pPr>
        <w:rPr>
          <w:lang w:val="en-GB"/>
        </w:rPr>
      </w:pPr>
    </w:p>
    <w:p w14:paraId="2D1A105E" w14:textId="016F708A" w:rsidR="00E10A44" w:rsidRDefault="00E10A44" w:rsidP="00E10A44">
      <w:pPr>
        <w:pStyle w:val="Heading2"/>
      </w:pPr>
      <w:r>
        <w:t>Attributes &amp; Levels</w:t>
      </w:r>
      <w:r w:rsidR="002040D8">
        <w:t>: Translating Regulatory Options</w:t>
      </w:r>
    </w:p>
    <w:p w14:paraId="26D0D380" w14:textId="7890FB85" w:rsidR="00BC1A95" w:rsidRDefault="004C30ED" w:rsidP="0094076B">
      <w:r>
        <w:t xml:space="preserve">For exploring responses to different models of revalidation, we constructed an </w:t>
      </w:r>
      <w:r w:rsidR="0000327E">
        <w:t>a</w:t>
      </w:r>
      <w:r>
        <w:t>ttribute</w:t>
      </w:r>
      <w:r w:rsidR="0000327E">
        <w:t xml:space="preserve"> named</w:t>
      </w:r>
      <w:r>
        <w:t xml:space="preserve"> ‘Verification of the doctor’s skills’ (Attribute 6</w:t>
      </w:r>
      <w:r w:rsidR="00977A7F">
        <w:t>, Table 1</w:t>
      </w:r>
      <w:r>
        <w:t>).</w:t>
      </w:r>
      <w:r w:rsidR="00BC1A95" w:rsidRPr="001219AF">
        <w:t xml:space="preserve"> </w:t>
      </w:r>
      <w:r>
        <w:t>F</w:t>
      </w:r>
      <w:r w:rsidR="00BC1A95" w:rsidRPr="001219AF">
        <w:t xml:space="preserve">our levels </w:t>
      </w:r>
      <w:r w:rsidR="00BC1A95">
        <w:t>were chosen</w:t>
      </w:r>
      <w:r w:rsidR="00BC1A95" w:rsidRPr="001219AF">
        <w:t xml:space="preserve"> to convey, in significantly truncated form, the current regulatory setting of ‘no revalidation’ (Level 0) alongside revalidation </w:t>
      </w:r>
      <w:r w:rsidR="00977A7F">
        <w:t xml:space="preserve">approaches </w:t>
      </w:r>
      <w:r w:rsidR="00BC1A95" w:rsidRPr="001219AF">
        <w:t>proposed by Archer et al in commissioned research for the Medical Board of Australia.</w:t>
      </w:r>
      <w:r w:rsidR="00BC1A95" w:rsidRPr="00B916B2">
        <w:rPr>
          <w:rStyle w:val="FootnoteReference"/>
        </w:rPr>
        <w:footnoteReference w:id="97"/>
      </w:r>
    </w:p>
    <w:p w14:paraId="67B46029" w14:textId="0BAB0970" w:rsidR="00817423" w:rsidRDefault="0000327E" w:rsidP="0094076B">
      <w:r>
        <w:rPr>
          <w:lang w:val="en-GB"/>
        </w:rPr>
        <w:t>In their</w:t>
      </w:r>
      <w:r w:rsidR="00817423">
        <w:rPr>
          <w:lang w:val="en-GB"/>
        </w:rPr>
        <w:t xml:space="preserve"> major review of </w:t>
      </w:r>
      <w:r w:rsidR="004C30ED">
        <w:rPr>
          <w:lang w:val="en-GB"/>
        </w:rPr>
        <w:t xml:space="preserve">international </w:t>
      </w:r>
      <w:r w:rsidR="00817423">
        <w:rPr>
          <w:lang w:val="en-GB"/>
        </w:rPr>
        <w:t xml:space="preserve">revalidation </w:t>
      </w:r>
      <w:r>
        <w:rPr>
          <w:lang w:val="en-GB"/>
        </w:rPr>
        <w:t xml:space="preserve">models, </w:t>
      </w:r>
      <w:r w:rsidR="00817423">
        <w:rPr>
          <w:lang w:val="en-GB"/>
        </w:rPr>
        <w:t xml:space="preserve">Archer et al </w:t>
      </w:r>
      <w:r>
        <w:rPr>
          <w:lang w:val="en-GB"/>
        </w:rPr>
        <w:t xml:space="preserve">identified </w:t>
      </w:r>
      <w:r w:rsidR="00817423">
        <w:rPr>
          <w:lang w:val="en-GB"/>
        </w:rPr>
        <w:t xml:space="preserve">a set of common elements used </w:t>
      </w:r>
      <w:r>
        <w:rPr>
          <w:lang w:val="en-GB"/>
        </w:rPr>
        <w:t>in</w:t>
      </w:r>
      <w:r w:rsidR="00817423">
        <w:rPr>
          <w:lang w:val="en-GB"/>
        </w:rPr>
        <w:t xml:space="preserve"> revalidation models. Continuing professional development activities were found to have been the </w:t>
      </w:r>
      <w:r w:rsidR="00817423" w:rsidRPr="00642D7E">
        <w:rPr>
          <w:lang w:val="en-GB"/>
        </w:rPr>
        <w:t>most frequently utilised method of medical regulation</w:t>
      </w:r>
      <w:r w:rsidR="00817423">
        <w:rPr>
          <w:lang w:val="en-GB"/>
        </w:rPr>
        <w:t>,</w:t>
      </w:r>
      <w:r w:rsidR="00817423" w:rsidRPr="00642D7E">
        <w:rPr>
          <w:lang w:val="en-GB"/>
        </w:rPr>
        <w:t xml:space="preserve"> operating at varying degrees of intensity and duration. </w:t>
      </w:r>
      <w:r w:rsidR="00817423">
        <w:rPr>
          <w:lang w:val="en-GB"/>
        </w:rPr>
        <w:t>P</w:t>
      </w:r>
      <w:r w:rsidR="00817423" w:rsidRPr="00642D7E">
        <w:rPr>
          <w:lang w:val="en-GB"/>
        </w:rPr>
        <w:t xml:space="preserve">eer review and/or practice review </w:t>
      </w:r>
      <w:r w:rsidR="00817423">
        <w:rPr>
          <w:lang w:val="en-GB"/>
        </w:rPr>
        <w:t>was used by the majority of reference jurisdictions, whilst f</w:t>
      </w:r>
      <w:r w:rsidR="00817423" w:rsidRPr="00642D7E">
        <w:rPr>
          <w:lang w:val="en-GB"/>
        </w:rPr>
        <w:t xml:space="preserve">ew </w:t>
      </w:r>
      <w:r w:rsidR="00817423">
        <w:rPr>
          <w:lang w:val="en-GB"/>
        </w:rPr>
        <w:t xml:space="preserve">jurisdictions integrated systematic </w:t>
      </w:r>
      <w:r w:rsidR="00817423" w:rsidRPr="00642D7E">
        <w:rPr>
          <w:lang w:val="en-GB"/>
        </w:rPr>
        <w:t>review</w:t>
      </w:r>
      <w:r w:rsidR="00817423">
        <w:rPr>
          <w:lang w:val="en-GB"/>
        </w:rPr>
        <w:t xml:space="preserve"> of patient complaints.</w:t>
      </w:r>
      <w:r w:rsidR="00817423" w:rsidRPr="00B916B2">
        <w:rPr>
          <w:rStyle w:val="FootnoteReference"/>
        </w:rPr>
        <w:footnoteReference w:id="98"/>
      </w:r>
      <w:r w:rsidR="00817423">
        <w:rPr>
          <w:lang w:val="en-GB"/>
        </w:rPr>
        <w:t xml:space="preserve"> Based on this review, Archer et al were able to propose </w:t>
      </w:r>
      <w:r w:rsidR="004C30ED">
        <w:rPr>
          <w:lang w:val="en-GB"/>
        </w:rPr>
        <w:t>a set of three potential models, labelled by them as Model A, B and C.</w:t>
      </w:r>
    </w:p>
    <w:p w14:paraId="2B49ACFC" w14:textId="231E1673" w:rsidR="001D20CE" w:rsidRPr="009763F5" w:rsidRDefault="004C30ED" w:rsidP="0064350E">
      <w:r>
        <w:rPr>
          <w:lang w:val="en-GB"/>
        </w:rPr>
        <w:t xml:space="preserve">Archer et </w:t>
      </w:r>
      <w:proofErr w:type="spellStart"/>
      <w:r>
        <w:rPr>
          <w:lang w:val="en-GB"/>
        </w:rPr>
        <w:t>al’s</w:t>
      </w:r>
      <w:proofErr w:type="spellEnd"/>
      <w:r>
        <w:rPr>
          <w:lang w:val="en-GB"/>
        </w:rPr>
        <w:t xml:space="preserve"> ‘</w:t>
      </w:r>
      <w:r w:rsidR="001D20CE" w:rsidRPr="001D20CE">
        <w:rPr>
          <w:lang w:val="en-GB"/>
        </w:rPr>
        <w:t>Model A</w:t>
      </w:r>
      <w:r>
        <w:rPr>
          <w:lang w:val="en-GB"/>
        </w:rPr>
        <w:t>’ represented</w:t>
      </w:r>
      <w:r w:rsidR="001D20CE" w:rsidRPr="001D20CE">
        <w:rPr>
          <w:lang w:val="en-GB"/>
        </w:rPr>
        <w:t xml:space="preserve"> a </w:t>
      </w:r>
      <w:r>
        <w:rPr>
          <w:lang w:val="en-GB"/>
        </w:rPr>
        <w:t>basic</w:t>
      </w:r>
      <w:r w:rsidR="001D20CE" w:rsidRPr="001D20CE">
        <w:rPr>
          <w:lang w:val="en-GB"/>
        </w:rPr>
        <w:t xml:space="preserve"> </w:t>
      </w:r>
      <w:r>
        <w:rPr>
          <w:lang w:val="en-GB"/>
        </w:rPr>
        <w:t>approach to</w:t>
      </w:r>
      <w:r w:rsidR="001D20CE" w:rsidRPr="001D20CE">
        <w:rPr>
          <w:lang w:val="en-GB"/>
        </w:rPr>
        <w:t xml:space="preserve"> revalidation</w:t>
      </w:r>
      <w:r>
        <w:rPr>
          <w:lang w:val="en-GB"/>
        </w:rPr>
        <w:t xml:space="preserve">. Operating </w:t>
      </w:r>
      <w:r w:rsidR="001D20CE" w:rsidRPr="001D20CE">
        <w:rPr>
          <w:lang w:val="en-GB"/>
        </w:rPr>
        <w:t>entirely online</w:t>
      </w:r>
      <w:r>
        <w:rPr>
          <w:lang w:val="en-GB"/>
        </w:rPr>
        <w:t>, medical practitioners</w:t>
      </w:r>
      <w:r w:rsidR="001D20CE" w:rsidRPr="001D20CE">
        <w:rPr>
          <w:lang w:val="en-GB"/>
        </w:rPr>
        <w:t xml:space="preserve"> would be required to produce an annual online </w:t>
      </w:r>
      <w:r>
        <w:rPr>
          <w:lang w:val="en-GB"/>
        </w:rPr>
        <w:t xml:space="preserve">portfolio of evidence to demonstrate </w:t>
      </w:r>
      <w:r w:rsidR="001D20CE" w:rsidRPr="001D20CE">
        <w:rPr>
          <w:lang w:val="en-GB"/>
        </w:rPr>
        <w:t>participation in mandatory but self-directed CME</w:t>
      </w:r>
      <w:r>
        <w:rPr>
          <w:lang w:val="en-GB"/>
        </w:rPr>
        <w:t xml:space="preserve"> as well as participation in a </w:t>
      </w:r>
      <w:r w:rsidR="001D20CE" w:rsidRPr="001D20CE">
        <w:rPr>
          <w:lang w:val="en-GB"/>
        </w:rPr>
        <w:t xml:space="preserve">multi-source feedback </w:t>
      </w:r>
      <w:r>
        <w:rPr>
          <w:lang w:val="en-GB"/>
        </w:rPr>
        <w:t>process</w:t>
      </w:r>
      <w:r w:rsidR="001D20CE" w:rsidRPr="001D20CE">
        <w:rPr>
          <w:lang w:val="en-GB"/>
        </w:rPr>
        <w:t>.</w:t>
      </w:r>
      <w:r>
        <w:rPr>
          <w:lang w:val="en-GB"/>
        </w:rPr>
        <w:t xml:space="preserve"> Archer et </w:t>
      </w:r>
      <w:proofErr w:type="spellStart"/>
      <w:r>
        <w:rPr>
          <w:lang w:val="en-GB"/>
        </w:rPr>
        <w:t>al’s</w:t>
      </w:r>
      <w:proofErr w:type="spellEnd"/>
      <w:r w:rsidR="001D20CE" w:rsidRPr="001D20CE">
        <w:rPr>
          <w:lang w:val="en-GB"/>
        </w:rPr>
        <w:t xml:space="preserve"> </w:t>
      </w:r>
      <w:r>
        <w:rPr>
          <w:lang w:val="en-GB"/>
        </w:rPr>
        <w:t>‘M</w:t>
      </w:r>
      <w:r w:rsidR="001D20CE" w:rsidRPr="001D20CE">
        <w:rPr>
          <w:lang w:val="en-GB"/>
        </w:rPr>
        <w:t>odel B</w:t>
      </w:r>
      <w:r>
        <w:rPr>
          <w:lang w:val="en-GB"/>
        </w:rPr>
        <w:t xml:space="preserve">’ similarly required construction of </w:t>
      </w:r>
      <w:r w:rsidR="001D20CE" w:rsidRPr="001D20CE">
        <w:rPr>
          <w:lang w:val="en-GB"/>
        </w:rPr>
        <w:t>an online portfolio</w:t>
      </w:r>
      <w:r>
        <w:rPr>
          <w:lang w:val="en-GB"/>
        </w:rPr>
        <w:t>.</w:t>
      </w:r>
      <w:r w:rsidR="001D20CE" w:rsidRPr="001D20CE">
        <w:rPr>
          <w:lang w:val="en-GB"/>
        </w:rPr>
        <w:t xml:space="preserve"> </w:t>
      </w:r>
      <w:r>
        <w:rPr>
          <w:lang w:val="en-GB"/>
        </w:rPr>
        <w:t xml:space="preserve">However, in Model B, continuing professional development activities were </w:t>
      </w:r>
      <w:r w:rsidR="001D20CE" w:rsidRPr="001D20CE">
        <w:rPr>
          <w:lang w:val="en-GB"/>
        </w:rPr>
        <w:t>directed</w:t>
      </w:r>
      <w:r>
        <w:rPr>
          <w:lang w:val="en-GB"/>
        </w:rPr>
        <w:t>, with</w:t>
      </w:r>
      <w:r w:rsidR="001D20CE" w:rsidRPr="001D20CE">
        <w:rPr>
          <w:lang w:val="en-GB"/>
        </w:rPr>
        <w:t xml:space="preserve"> </w:t>
      </w:r>
      <w:r w:rsidR="0000327E">
        <w:rPr>
          <w:lang w:val="en-GB"/>
        </w:rPr>
        <w:t xml:space="preserve">a number of </w:t>
      </w:r>
      <w:r w:rsidR="001D20CE" w:rsidRPr="001D20CE">
        <w:rPr>
          <w:lang w:val="en-GB"/>
        </w:rPr>
        <w:t xml:space="preserve">mandatory </w:t>
      </w:r>
      <w:r>
        <w:rPr>
          <w:lang w:val="en-GB"/>
        </w:rPr>
        <w:t xml:space="preserve">activities. So too did Model B include an </w:t>
      </w:r>
      <w:r w:rsidR="001D20CE" w:rsidRPr="001D20CE">
        <w:rPr>
          <w:lang w:val="en-GB"/>
        </w:rPr>
        <w:t>online learning</w:t>
      </w:r>
      <w:r>
        <w:rPr>
          <w:lang w:val="en-GB"/>
        </w:rPr>
        <w:t xml:space="preserve"> component, b</w:t>
      </w:r>
      <w:r w:rsidR="001D20CE" w:rsidRPr="001D20CE">
        <w:rPr>
          <w:lang w:val="en-GB"/>
        </w:rPr>
        <w:t xml:space="preserve">i-annual appraisals for targeted groups </w:t>
      </w:r>
      <w:r>
        <w:rPr>
          <w:lang w:val="en-GB"/>
        </w:rPr>
        <w:t>(based on factors such as age) as well as participation in a multi-source feedback process with a mandated</w:t>
      </w:r>
      <w:r w:rsidR="001D20CE" w:rsidRPr="001D20CE">
        <w:rPr>
          <w:lang w:val="en-GB"/>
        </w:rPr>
        <w:t xml:space="preserve"> number of patients and peers. </w:t>
      </w:r>
      <w:r>
        <w:rPr>
          <w:lang w:val="en-GB"/>
        </w:rPr>
        <w:t xml:space="preserve">In this model, </w:t>
      </w:r>
      <w:r w:rsidR="001D20CE" w:rsidRPr="001D20CE">
        <w:rPr>
          <w:lang w:val="en-GB"/>
        </w:rPr>
        <w:t xml:space="preserve"> revalidation appraisal would be undertaken for all doctors every fifth year</w:t>
      </w:r>
      <w:r w:rsidR="0000327E">
        <w:rPr>
          <w:lang w:val="en-GB"/>
        </w:rPr>
        <w:t xml:space="preserve"> as is the case in the UK. </w:t>
      </w:r>
      <w:r>
        <w:rPr>
          <w:lang w:val="en-GB"/>
        </w:rPr>
        <w:t xml:space="preserve">Finally, Archer et </w:t>
      </w:r>
      <w:proofErr w:type="spellStart"/>
      <w:r>
        <w:rPr>
          <w:lang w:val="en-GB"/>
        </w:rPr>
        <w:t>al’s</w:t>
      </w:r>
      <w:proofErr w:type="spellEnd"/>
      <w:r>
        <w:rPr>
          <w:lang w:val="en-GB"/>
        </w:rPr>
        <w:t xml:space="preserve"> ‘M</w:t>
      </w:r>
      <w:proofErr w:type="spellStart"/>
      <w:r w:rsidR="001D20CE" w:rsidRPr="009763F5">
        <w:t>odel</w:t>
      </w:r>
      <w:proofErr w:type="spellEnd"/>
      <w:r w:rsidR="001D20CE" w:rsidRPr="009763F5">
        <w:t xml:space="preserve"> C</w:t>
      </w:r>
      <w:r>
        <w:t>’ built upon Model A and Model B by requiring development of an</w:t>
      </w:r>
      <w:r w:rsidR="001D20CE" w:rsidRPr="009763F5">
        <w:t xml:space="preserve"> online portfolio evidencing </w:t>
      </w:r>
      <w:r>
        <w:t xml:space="preserve">continuing professional development, but added </w:t>
      </w:r>
      <w:r w:rsidR="0064350E">
        <w:t>requirements to engage in blended (on</w:t>
      </w:r>
      <w:r w:rsidR="0000327E">
        <w:t>line and face-to-face) learning. A</w:t>
      </w:r>
      <w:r w:rsidR="001D20CE">
        <w:t>nnual appraisals</w:t>
      </w:r>
      <w:r w:rsidR="0064350E">
        <w:t xml:space="preserve"> and multi-source feedback with </w:t>
      </w:r>
      <w:r w:rsidR="001D20CE" w:rsidRPr="009763F5">
        <w:t>ac</w:t>
      </w:r>
      <w:r w:rsidR="001D20CE">
        <w:t xml:space="preserve">companying facilitated feedback </w:t>
      </w:r>
      <w:r w:rsidR="0064350E">
        <w:t>and a mandatory re</w:t>
      </w:r>
      <w:r w:rsidR="001D20CE">
        <w:t>view of patient complaints</w:t>
      </w:r>
      <w:r w:rsidR="0000327E">
        <w:t xml:space="preserve"> were also added to the approach.</w:t>
      </w:r>
    </w:p>
    <w:p w14:paraId="2274CB18" w14:textId="48D038E3" w:rsidR="0011330C" w:rsidRDefault="000143EB" w:rsidP="0094076B">
      <w:r>
        <w:t>A key differentiator between</w:t>
      </w:r>
      <w:r w:rsidR="00977A7F">
        <w:t xml:space="preserve"> these and all</w:t>
      </w:r>
      <w:r w:rsidR="0000327E">
        <w:t xml:space="preserve"> </w:t>
      </w:r>
      <w:r w:rsidR="00A26848">
        <w:t>potential revalidation</w:t>
      </w:r>
      <w:r>
        <w:t xml:space="preserve"> models </w:t>
      </w:r>
      <w:r w:rsidR="00D3109C">
        <w:t xml:space="preserve">is </w:t>
      </w:r>
      <w:r>
        <w:t xml:space="preserve">whether revalidation </w:t>
      </w:r>
      <w:r w:rsidR="00D3109C">
        <w:t xml:space="preserve">is </w:t>
      </w:r>
      <w:r>
        <w:t xml:space="preserve">achieved by applying a </w:t>
      </w:r>
      <w:r w:rsidRPr="009763F5">
        <w:t>formative (to support individual learning), summative (minimum</w:t>
      </w:r>
      <w:r>
        <w:t xml:space="preserve"> standards of performance) or </w:t>
      </w:r>
      <w:r w:rsidRPr="009763F5">
        <w:t xml:space="preserve">mixed </w:t>
      </w:r>
      <w:r w:rsidR="0000327E">
        <w:t>approach</w:t>
      </w:r>
      <w:r>
        <w:t>.</w:t>
      </w:r>
      <w:r w:rsidR="00560D43" w:rsidRPr="00B916B2">
        <w:rPr>
          <w:rStyle w:val="FootnoteReference"/>
        </w:rPr>
        <w:footnoteReference w:id="99"/>
      </w:r>
      <w:r>
        <w:t xml:space="preserve"> </w:t>
      </w:r>
      <w:r w:rsidR="00762DF5">
        <w:t>For example, Archer’s Model C comprised</w:t>
      </w:r>
      <w:r w:rsidR="00762DF5" w:rsidRPr="009763F5">
        <w:t xml:space="preserve"> of both form</w:t>
      </w:r>
      <w:r w:rsidR="00762DF5">
        <w:t xml:space="preserve">ative and summative components. </w:t>
      </w:r>
      <w:r w:rsidR="00BA3F8A" w:rsidRPr="001219AF">
        <w:t>To this end,</w:t>
      </w:r>
      <w:r w:rsidR="00762DF5">
        <w:t xml:space="preserve"> </w:t>
      </w:r>
      <w:r w:rsidR="0000327E">
        <w:t>we constructed</w:t>
      </w:r>
      <w:r w:rsidR="00762DF5">
        <w:t xml:space="preserve"> Levels</w:t>
      </w:r>
      <w:r w:rsidR="0000327E">
        <w:t xml:space="preserve"> </w:t>
      </w:r>
      <w:r w:rsidR="00762DF5">
        <w:t xml:space="preserve">for use in our discrete choice experiment </w:t>
      </w:r>
      <w:r w:rsidR="0000327E">
        <w:t>by distinguishing between</w:t>
      </w:r>
      <w:r w:rsidR="00762DF5">
        <w:t xml:space="preserve"> formative and/or summative methods as their key differentiating factor.</w:t>
      </w:r>
      <w:r w:rsidR="0019339B" w:rsidRPr="001219AF">
        <w:t xml:space="preserve"> </w:t>
      </w:r>
      <w:r w:rsidR="0000327E">
        <w:t>Recalling the Levels relating to r</w:t>
      </w:r>
      <w:r w:rsidR="00977A7F">
        <w:t>evalidation shown above (Table 1</w:t>
      </w:r>
      <w:r w:rsidR="0000327E">
        <w:t xml:space="preserve">), </w:t>
      </w:r>
      <w:r w:rsidR="0019339B" w:rsidRPr="001219AF">
        <w:t xml:space="preserve">Level 1 was constructed to convey the </w:t>
      </w:r>
      <w:r w:rsidR="0019339B" w:rsidRPr="001219AF">
        <w:rPr>
          <w:i/>
        </w:rPr>
        <w:t>essence</w:t>
      </w:r>
      <w:r w:rsidR="0019339B" w:rsidRPr="001219AF">
        <w:t xml:space="preserve"> of a </w:t>
      </w:r>
      <w:r w:rsidR="00BA3F8A" w:rsidRPr="001219AF">
        <w:t>formative revalidation</w:t>
      </w:r>
      <w:r w:rsidR="00EA665C" w:rsidRPr="001219AF">
        <w:t xml:space="preserve"> (</w:t>
      </w:r>
      <w:r w:rsidR="00977A7F">
        <w:t xml:space="preserve">being </w:t>
      </w:r>
      <w:r w:rsidR="00EA665C" w:rsidRPr="001219AF">
        <w:t>‘up to date’)</w:t>
      </w:r>
      <w:r w:rsidR="00BA3F8A" w:rsidRPr="001219AF">
        <w:t xml:space="preserve">, Level </w:t>
      </w:r>
      <w:r w:rsidR="00D3109C">
        <w:t>2</w:t>
      </w:r>
      <w:r w:rsidR="00BA3F8A" w:rsidRPr="001219AF">
        <w:t xml:space="preserve"> a mixed-method </w:t>
      </w:r>
      <w:r w:rsidR="00D3109C">
        <w:t>model</w:t>
      </w:r>
      <w:r w:rsidR="00D3109C" w:rsidRPr="001219AF">
        <w:t xml:space="preserve"> </w:t>
      </w:r>
      <w:r w:rsidR="00D3109C">
        <w:t>combining elements of Level 1 and Level 3</w:t>
      </w:r>
      <w:r w:rsidR="00EA665C" w:rsidRPr="001219AF">
        <w:t xml:space="preserve"> (</w:t>
      </w:r>
      <w:r w:rsidR="00977A7F">
        <w:t xml:space="preserve">being </w:t>
      </w:r>
      <w:r w:rsidR="00EA665C" w:rsidRPr="001219AF">
        <w:t>both ‘up to date’ and ‘fit to practise’)</w:t>
      </w:r>
      <w:r w:rsidR="00D3109C">
        <w:t xml:space="preserve"> and </w:t>
      </w:r>
      <w:r w:rsidR="00D3109C" w:rsidRPr="001219AF">
        <w:t xml:space="preserve">Level </w:t>
      </w:r>
      <w:r w:rsidR="00D3109C">
        <w:t>3</w:t>
      </w:r>
      <w:r w:rsidR="00D3109C" w:rsidRPr="001219AF">
        <w:t xml:space="preserve"> a summative approach (</w:t>
      </w:r>
      <w:r w:rsidR="00977A7F">
        <w:t xml:space="preserve">being </w:t>
      </w:r>
      <w:r w:rsidR="00D3109C" w:rsidRPr="001219AF">
        <w:t>‘fit to practise’)</w:t>
      </w:r>
      <w:r w:rsidR="00EA665C" w:rsidRPr="001219AF">
        <w:t>.</w:t>
      </w:r>
      <w:r w:rsidR="00560D43" w:rsidRPr="00B916B2">
        <w:rPr>
          <w:rStyle w:val="FootnoteReference"/>
        </w:rPr>
        <w:footnoteReference w:id="100"/>
      </w:r>
      <w:r w:rsidR="00195DAF" w:rsidRPr="001219AF">
        <w:t xml:space="preserve"> </w:t>
      </w:r>
      <w:r w:rsidR="00D3109C">
        <w:t>In this way</w:t>
      </w:r>
      <w:r w:rsidR="00B20A61">
        <w:t>,</w:t>
      </w:r>
      <w:r w:rsidR="00D3109C">
        <w:t xml:space="preserve"> levels were constructed on a spectrum running </w:t>
      </w:r>
      <w:r w:rsidR="002C5A22">
        <w:t>between the poles of formative and</w:t>
      </w:r>
      <w:r w:rsidR="00D3109C">
        <w:t xml:space="preserve"> summative approaches</w:t>
      </w:r>
      <w:r w:rsidR="002C5A22">
        <w:t xml:space="preserve">, there being no clear ‘hierarchy’ in relation to the phenomenon of revalidation models, simply advantages and disadvantages attached to each </w:t>
      </w:r>
      <w:r w:rsidR="00E61799">
        <w:t xml:space="preserve">of the </w:t>
      </w:r>
      <w:r w:rsidR="002C5A22">
        <w:t xml:space="preserve">dominant </w:t>
      </w:r>
      <w:r w:rsidR="0011330C">
        <w:t>conceptual poles</w:t>
      </w:r>
      <w:r w:rsidR="00762DF5">
        <w:t>:</w:t>
      </w:r>
    </w:p>
    <w:p w14:paraId="445F2B46" w14:textId="78528D26" w:rsidR="00762DF5" w:rsidRPr="00E61799" w:rsidRDefault="00E557C1" w:rsidP="0094076B">
      <w:pPr>
        <w:rPr>
          <w:rFonts w:eastAsia="Times New Roman" w:cs="Times New Roman"/>
          <w:iCs/>
          <w:lang w:eastAsia="en-AU"/>
        </w:rPr>
      </w:pPr>
      <w:r>
        <w:rPr>
          <w:noProof/>
          <w:lang w:eastAsia="en-AU"/>
        </w:rPr>
        <w:drawing>
          <wp:anchor distT="0" distB="0" distL="114300" distR="114300" simplePos="0" relativeHeight="251658240" behindDoc="0" locked="0" layoutInCell="1" allowOverlap="1" wp14:anchorId="2024764C" wp14:editId="5081DCC0">
            <wp:simplePos x="0" y="0"/>
            <wp:positionH relativeFrom="column">
              <wp:posOffset>852170</wp:posOffset>
            </wp:positionH>
            <wp:positionV relativeFrom="paragraph">
              <wp:posOffset>326390</wp:posOffset>
            </wp:positionV>
            <wp:extent cx="4067810" cy="1896745"/>
            <wp:effectExtent l="19050" t="19050" r="27940" b="273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4067810" cy="1896745"/>
                    </a:xfrm>
                    <a:prstGeom prst="rect">
                      <a:avLst/>
                    </a:prstGeom>
                    <a:ln w="31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7496ED43" wp14:editId="11FDF101">
                <wp:simplePos x="0" y="0"/>
                <wp:positionH relativeFrom="column">
                  <wp:posOffset>851535</wp:posOffset>
                </wp:positionH>
                <wp:positionV relativeFrom="paragraph">
                  <wp:posOffset>124820</wp:posOffset>
                </wp:positionV>
                <wp:extent cx="4074160" cy="163195"/>
                <wp:effectExtent l="0" t="0" r="2540" b="8255"/>
                <wp:wrapNone/>
                <wp:docPr id="2" name="Text Box 2"/>
                <wp:cNvGraphicFramePr/>
                <a:graphic xmlns:a="http://schemas.openxmlformats.org/drawingml/2006/main">
                  <a:graphicData uri="http://schemas.microsoft.com/office/word/2010/wordprocessingShape">
                    <wps:wsp>
                      <wps:cNvSpPr txBox="1"/>
                      <wps:spPr>
                        <a:xfrm>
                          <a:off x="0" y="0"/>
                          <a:ext cx="4074160" cy="163195"/>
                        </a:xfrm>
                        <a:prstGeom prst="rect">
                          <a:avLst/>
                        </a:prstGeom>
                        <a:solidFill>
                          <a:prstClr val="white"/>
                        </a:solidFill>
                        <a:ln>
                          <a:noFill/>
                        </a:ln>
                        <a:effectLst/>
                      </wps:spPr>
                      <wps:txbx>
                        <w:txbxContent>
                          <w:p w14:paraId="6B6017D9" w14:textId="5446107B" w:rsidR="00387010" w:rsidRPr="00C84C14" w:rsidRDefault="00387010" w:rsidP="00E557C1">
                            <w:pPr>
                              <w:pStyle w:val="TableText"/>
                              <w:rPr>
                                <w:rFonts w:ascii="Times New Roman" w:hAnsi="Times New Roman"/>
                                <w:noProof/>
                                <w:sz w:val="24"/>
                                <w:szCs w:val="24"/>
                              </w:rPr>
                            </w:pPr>
                            <w:r w:rsidRPr="00E557C1">
                              <w:rPr>
                                <w:rStyle w:val="TABHTableHeadingChar"/>
                              </w:rPr>
                              <w:t>Figure 3:</w:t>
                            </w:r>
                            <w:r>
                              <w:t xml:space="preserve"> Revalidation Options Spectrum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96ED43" id="_x0000_t202" coordsize="21600,21600" o:spt="202" path="m,l,21600r21600,l21600,xe">
                <v:stroke joinstyle="miter"/>
                <v:path gradientshapeok="t" o:connecttype="rect"/>
              </v:shapetype>
              <v:shape id="Text Box 2" o:spid="_x0000_s1026" type="#_x0000_t202" style="position:absolute;margin-left:67.05pt;margin-top:9.85pt;width:320.8pt;height: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" stroked="f">
                <v:textbox style="mso-fit-shape-to-text:t" inset="0,0,0,0">
                  <w:txbxContent>
                    <w:p w14:paraId="6B6017D9" w14:textId="5446107B" w:rsidR="00387010" w:rsidRPr="00C84C14" w:rsidRDefault="00387010" w:rsidP="00E557C1">
                      <w:pPr>
                        <w:pStyle w:val="TableText"/>
                        <w:rPr>
                          <w:rFonts w:ascii="Times New Roman" w:hAnsi="Times New Roman"/>
                          <w:noProof/>
                          <w:sz w:val="24"/>
                          <w:szCs w:val="24"/>
                        </w:rPr>
                      </w:pPr>
                      <w:r w:rsidRPr="00E557C1">
                        <w:rPr>
                          <w:rStyle w:val="TABHTableHeadingChar"/>
                        </w:rPr>
                        <w:t>Figure 3:</w:t>
                      </w:r>
                      <w:r>
                        <w:t xml:space="preserve"> Revalidation Options Spectrum </w:t>
                      </w:r>
                    </w:p>
                  </w:txbxContent>
                </v:textbox>
              </v:shape>
            </w:pict>
          </mc:Fallback>
        </mc:AlternateContent>
      </w:r>
    </w:p>
    <w:p w14:paraId="58A9CAF4" w14:textId="77777777" w:rsidR="00B4064E" w:rsidRDefault="00B4064E" w:rsidP="00D80069"/>
    <w:p w14:paraId="7FA0B775" w14:textId="3C14B48E" w:rsidR="00E557C1" w:rsidRDefault="00D80069" w:rsidP="00D80069">
      <w:r>
        <w:t xml:space="preserve">A potential weakness of this study is that all revalidation models are complex and </w:t>
      </w:r>
      <w:r w:rsidR="00491DA1">
        <w:t>none are as yet</w:t>
      </w:r>
      <w:r>
        <w:t xml:space="preserve"> employed in the Australian healthcare system. Even in their proposed form, they </w:t>
      </w:r>
      <w:r w:rsidR="00491DA1">
        <w:t xml:space="preserve">describe </w:t>
      </w:r>
      <w:r>
        <w:t>a highly textured social practice in a setting</w:t>
      </w:r>
      <w:r w:rsidR="00B20A61">
        <w:t>,</w:t>
      </w:r>
      <w:r>
        <w:t xml:space="preserve"> and with meanings</w:t>
      </w:r>
      <w:r w:rsidR="00B20A61">
        <w:t>,</w:t>
      </w:r>
      <w:r>
        <w:t xml:space="preserve"> largely unfamiliar to the general public. </w:t>
      </w:r>
      <w:r w:rsidR="00E557C1">
        <w:t>This presents challenges when constructing a DCE both because of the need for brevity, and its application to non-specialists. As such, w</w:t>
      </w:r>
      <w:r w:rsidRPr="001219AF">
        <w:t xml:space="preserve">e </w:t>
      </w:r>
      <w:r w:rsidR="00E557C1">
        <w:t>constructed a series of</w:t>
      </w:r>
      <w:r w:rsidRPr="001219AF">
        <w:t xml:space="preserve"> </w:t>
      </w:r>
      <w:r w:rsidR="00E557C1">
        <w:t>‘</w:t>
      </w:r>
      <w:r w:rsidRPr="001219AF">
        <w:t>proxies</w:t>
      </w:r>
      <w:r w:rsidR="00E557C1">
        <w:t>’</w:t>
      </w:r>
      <w:r w:rsidRPr="001219AF">
        <w:t xml:space="preserve"> </w:t>
      </w:r>
      <w:r w:rsidR="00E557C1">
        <w:t>to express the fundamental or essential differentiators between potential revalidation models:</w:t>
      </w:r>
    </w:p>
    <w:p w14:paraId="797BA550" w14:textId="77777777" w:rsidR="00E557C1" w:rsidRDefault="00E557C1" w:rsidP="00D80069"/>
    <w:tbl>
      <w:tblPr>
        <w:tblStyle w:val="MediumShading2"/>
        <w:tblW w:w="9412" w:type="dxa"/>
        <w:tblBorders>
          <w:insideH w:val="single" w:sz="4" w:space="0" w:color="auto"/>
        </w:tblBorders>
        <w:tblLayout w:type="fixed"/>
        <w:tblLook w:val="0600" w:firstRow="0" w:lastRow="0" w:firstColumn="0" w:lastColumn="0" w:noHBand="1" w:noVBand="1"/>
      </w:tblPr>
      <w:tblGrid>
        <w:gridCol w:w="1311"/>
        <w:gridCol w:w="236"/>
        <w:gridCol w:w="1659"/>
        <w:gridCol w:w="3103"/>
        <w:gridCol w:w="3103"/>
      </w:tblGrid>
      <w:tr w:rsidR="00295BF5" w:rsidRPr="001219AF" w14:paraId="4CBAC12D" w14:textId="77777777" w:rsidTr="00295BF5">
        <w:trPr>
          <w:trHeight w:val="256"/>
        </w:trPr>
        <w:tc>
          <w:tcPr>
            <w:tcW w:w="9412" w:type="dxa"/>
            <w:gridSpan w:val="5"/>
            <w:tcBorders>
              <w:top w:val="nil"/>
              <w:bottom w:val="single" w:sz="18" w:space="0" w:color="auto"/>
            </w:tcBorders>
          </w:tcPr>
          <w:p w14:paraId="4045B197" w14:textId="39E918B6" w:rsidR="00295BF5" w:rsidRPr="00295BF5" w:rsidRDefault="00295BF5" w:rsidP="00295BF5">
            <w:pPr>
              <w:pStyle w:val="TableText"/>
            </w:pPr>
            <w:r w:rsidRPr="00295BF5">
              <w:rPr>
                <w:rStyle w:val="TABHTableHeadingChar"/>
              </w:rPr>
              <w:t>Table 2:</w:t>
            </w:r>
            <w:r w:rsidRPr="00295BF5">
              <w:t xml:space="preserve"> Comparison Between Archer’s Proposed Revalidation Models and the DCE’s Constructed Proxies</w:t>
            </w:r>
          </w:p>
        </w:tc>
      </w:tr>
      <w:tr w:rsidR="004A04A3" w:rsidRPr="001219AF" w14:paraId="7C63F925" w14:textId="77777777" w:rsidTr="004A04A3">
        <w:trPr>
          <w:trHeight w:val="256"/>
        </w:trPr>
        <w:tc>
          <w:tcPr>
            <w:tcW w:w="1311" w:type="dxa"/>
            <w:tcBorders>
              <w:top w:val="single" w:sz="18" w:space="0" w:color="auto"/>
              <w:bottom w:val="single" w:sz="18" w:space="0" w:color="auto"/>
              <w:right w:val="single" w:sz="4" w:space="0" w:color="auto"/>
            </w:tcBorders>
          </w:tcPr>
          <w:p w14:paraId="61A1DB82" w14:textId="77777777" w:rsidR="004A04A3" w:rsidRPr="001219AF" w:rsidRDefault="004A04A3" w:rsidP="0096377F">
            <w:pPr>
              <w:pStyle w:val="TableText"/>
              <w:rPr>
                <w:b/>
              </w:rPr>
            </w:pPr>
            <w:r w:rsidRPr="001219AF">
              <w:rPr>
                <w:b/>
              </w:rPr>
              <w:t>DCE Attribute Level</w:t>
            </w:r>
          </w:p>
        </w:tc>
        <w:tc>
          <w:tcPr>
            <w:tcW w:w="236" w:type="dxa"/>
            <w:tcBorders>
              <w:top w:val="single" w:sz="18" w:space="0" w:color="auto"/>
              <w:left w:val="single" w:sz="4" w:space="0" w:color="auto"/>
              <w:bottom w:val="single" w:sz="18" w:space="0" w:color="auto"/>
            </w:tcBorders>
          </w:tcPr>
          <w:p w14:paraId="01F0969B" w14:textId="77777777" w:rsidR="004A04A3" w:rsidRDefault="004A04A3">
            <w:pPr>
              <w:rPr>
                <w:b/>
                <w:sz w:val="20"/>
                <w:szCs w:val="20"/>
              </w:rPr>
            </w:pPr>
          </w:p>
          <w:p w14:paraId="05CE67D1" w14:textId="77777777" w:rsidR="004A04A3" w:rsidRDefault="004A04A3">
            <w:pPr>
              <w:rPr>
                <w:b/>
                <w:sz w:val="20"/>
                <w:szCs w:val="20"/>
              </w:rPr>
            </w:pPr>
          </w:p>
          <w:p w14:paraId="6377B1E5" w14:textId="77777777" w:rsidR="004A04A3" w:rsidRPr="001219AF" w:rsidRDefault="004A04A3" w:rsidP="004A04A3">
            <w:pPr>
              <w:pStyle w:val="TableText"/>
              <w:rPr>
                <w:b/>
              </w:rPr>
            </w:pPr>
          </w:p>
        </w:tc>
        <w:tc>
          <w:tcPr>
            <w:tcW w:w="4762" w:type="dxa"/>
            <w:gridSpan w:val="2"/>
            <w:tcBorders>
              <w:top w:val="single" w:sz="18" w:space="0" w:color="auto"/>
              <w:bottom w:val="single" w:sz="18" w:space="0" w:color="auto"/>
              <w:right w:val="single" w:sz="4" w:space="0" w:color="auto"/>
            </w:tcBorders>
          </w:tcPr>
          <w:p w14:paraId="196EEF15" w14:textId="7CC66E05" w:rsidR="004A04A3" w:rsidRPr="001219AF" w:rsidRDefault="004A04A3" w:rsidP="0096377F">
            <w:pPr>
              <w:pStyle w:val="TableText"/>
              <w:rPr>
                <w:b/>
              </w:rPr>
            </w:pPr>
            <w:r w:rsidRPr="001219AF">
              <w:rPr>
                <w:b/>
              </w:rPr>
              <w:t>Revalidation Model (</w:t>
            </w:r>
            <w:r>
              <w:rPr>
                <w:b/>
              </w:rPr>
              <w:t xml:space="preserve"> Proposed by </w:t>
            </w:r>
            <w:r w:rsidRPr="001219AF">
              <w:rPr>
                <w:b/>
              </w:rPr>
              <w:t>Archer et al)</w:t>
            </w:r>
            <w:r w:rsidRPr="00B916B2">
              <w:rPr>
                <w:rStyle w:val="FootnoteReference"/>
              </w:rPr>
              <w:footnoteReference w:id="101"/>
            </w:r>
          </w:p>
        </w:tc>
        <w:tc>
          <w:tcPr>
            <w:tcW w:w="3103" w:type="dxa"/>
            <w:tcBorders>
              <w:top w:val="single" w:sz="18" w:space="0" w:color="auto"/>
              <w:left w:val="single" w:sz="4" w:space="0" w:color="auto"/>
              <w:bottom w:val="single" w:sz="18" w:space="0" w:color="auto"/>
            </w:tcBorders>
          </w:tcPr>
          <w:p w14:paraId="4FD6BED6" w14:textId="5DB9523B" w:rsidR="004A04A3" w:rsidRPr="001219AF" w:rsidRDefault="004A04A3" w:rsidP="0096377F">
            <w:pPr>
              <w:pStyle w:val="TableText"/>
              <w:rPr>
                <w:b/>
              </w:rPr>
            </w:pPr>
            <w:r>
              <w:rPr>
                <w:b/>
              </w:rPr>
              <w:t xml:space="preserve">DCE’s </w:t>
            </w:r>
            <w:r w:rsidRPr="001219AF">
              <w:rPr>
                <w:b/>
              </w:rPr>
              <w:t>Attribute Level Description</w:t>
            </w:r>
            <w:r>
              <w:rPr>
                <w:b/>
              </w:rPr>
              <w:t xml:space="preserve"> (‘Proxies’)</w:t>
            </w:r>
          </w:p>
        </w:tc>
      </w:tr>
      <w:tr w:rsidR="004A04A3" w:rsidRPr="001219AF" w14:paraId="0736BDB4" w14:textId="77777777" w:rsidTr="004A04A3">
        <w:trPr>
          <w:trHeight w:val="256"/>
        </w:trPr>
        <w:tc>
          <w:tcPr>
            <w:tcW w:w="1311" w:type="dxa"/>
            <w:tcBorders>
              <w:top w:val="single" w:sz="18" w:space="0" w:color="auto"/>
              <w:right w:val="single" w:sz="4" w:space="0" w:color="auto"/>
            </w:tcBorders>
            <w:vAlign w:val="center"/>
          </w:tcPr>
          <w:p w14:paraId="225A05BE" w14:textId="77777777" w:rsidR="004A04A3" w:rsidRPr="001219AF" w:rsidRDefault="004A04A3" w:rsidP="0096377F">
            <w:pPr>
              <w:pStyle w:val="TableText"/>
            </w:pPr>
            <w:r w:rsidRPr="001219AF">
              <w:t>Level 0</w:t>
            </w:r>
          </w:p>
        </w:tc>
        <w:tc>
          <w:tcPr>
            <w:tcW w:w="236" w:type="dxa"/>
            <w:tcBorders>
              <w:top w:val="single" w:sz="18" w:space="0" w:color="auto"/>
              <w:left w:val="single" w:sz="4" w:space="0" w:color="auto"/>
            </w:tcBorders>
            <w:vAlign w:val="center"/>
          </w:tcPr>
          <w:p w14:paraId="2E8A0079" w14:textId="77777777" w:rsidR="004A04A3" w:rsidRPr="001219AF" w:rsidRDefault="004A04A3" w:rsidP="004A04A3">
            <w:pPr>
              <w:pStyle w:val="TableText"/>
            </w:pPr>
          </w:p>
        </w:tc>
        <w:tc>
          <w:tcPr>
            <w:tcW w:w="1659" w:type="dxa"/>
            <w:tcBorders>
              <w:top w:val="single" w:sz="18" w:space="0" w:color="auto"/>
            </w:tcBorders>
            <w:vAlign w:val="center"/>
          </w:tcPr>
          <w:p w14:paraId="729B02E4" w14:textId="1AB1B56E" w:rsidR="004A04A3" w:rsidRPr="00FA25EA" w:rsidRDefault="004A04A3" w:rsidP="0096377F">
            <w:pPr>
              <w:pStyle w:val="TableText"/>
              <w:rPr>
                <w:b/>
              </w:rPr>
            </w:pPr>
            <w:r w:rsidRPr="00FA25EA">
              <w:rPr>
                <w:b/>
              </w:rPr>
              <w:t>Status Quo:</w:t>
            </w:r>
          </w:p>
        </w:tc>
        <w:tc>
          <w:tcPr>
            <w:tcW w:w="3103" w:type="dxa"/>
            <w:tcBorders>
              <w:top w:val="single" w:sz="18" w:space="0" w:color="auto"/>
              <w:right w:val="single" w:sz="4" w:space="0" w:color="auto"/>
            </w:tcBorders>
            <w:vAlign w:val="center"/>
          </w:tcPr>
          <w:p w14:paraId="3FCADFDC" w14:textId="77777777" w:rsidR="004A04A3" w:rsidRPr="001219AF" w:rsidRDefault="004A04A3" w:rsidP="0096377F">
            <w:pPr>
              <w:pStyle w:val="TableText"/>
            </w:pPr>
          </w:p>
        </w:tc>
        <w:tc>
          <w:tcPr>
            <w:tcW w:w="3103" w:type="dxa"/>
            <w:tcBorders>
              <w:top w:val="single" w:sz="18" w:space="0" w:color="auto"/>
              <w:left w:val="single" w:sz="4" w:space="0" w:color="auto"/>
            </w:tcBorders>
            <w:vAlign w:val="center"/>
          </w:tcPr>
          <w:p w14:paraId="64FADE80" w14:textId="77777777" w:rsidR="004A04A3" w:rsidRPr="001219AF" w:rsidRDefault="004A04A3" w:rsidP="0096377F">
            <w:pPr>
              <w:pStyle w:val="TableText"/>
            </w:pPr>
            <w:r w:rsidRPr="001219AF">
              <w:t>No verification processes for the doctor.</w:t>
            </w:r>
          </w:p>
        </w:tc>
      </w:tr>
      <w:tr w:rsidR="004A04A3" w:rsidRPr="001219AF" w14:paraId="32E8084C" w14:textId="77777777" w:rsidTr="004A04A3">
        <w:trPr>
          <w:trHeight w:val="464"/>
        </w:trPr>
        <w:tc>
          <w:tcPr>
            <w:tcW w:w="1311" w:type="dxa"/>
            <w:tcBorders>
              <w:right w:val="single" w:sz="4" w:space="0" w:color="auto"/>
            </w:tcBorders>
            <w:vAlign w:val="center"/>
          </w:tcPr>
          <w:p w14:paraId="5A1856C4" w14:textId="77777777" w:rsidR="004A04A3" w:rsidRPr="001219AF" w:rsidRDefault="004A04A3" w:rsidP="0096377F">
            <w:pPr>
              <w:pStyle w:val="TableText"/>
            </w:pPr>
            <w:r w:rsidRPr="001219AF">
              <w:t>Level 1</w:t>
            </w:r>
          </w:p>
        </w:tc>
        <w:tc>
          <w:tcPr>
            <w:tcW w:w="236" w:type="dxa"/>
            <w:tcBorders>
              <w:left w:val="single" w:sz="4" w:space="0" w:color="auto"/>
            </w:tcBorders>
            <w:vAlign w:val="center"/>
          </w:tcPr>
          <w:p w14:paraId="49C1DE54" w14:textId="77777777" w:rsidR="004A04A3" w:rsidRPr="001219AF" w:rsidRDefault="004A04A3" w:rsidP="004A04A3">
            <w:pPr>
              <w:pStyle w:val="TableText"/>
            </w:pPr>
          </w:p>
        </w:tc>
        <w:tc>
          <w:tcPr>
            <w:tcW w:w="1659" w:type="dxa"/>
            <w:vAlign w:val="center"/>
          </w:tcPr>
          <w:p w14:paraId="72C575C4" w14:textId="0F87046F" w:rsidR="004A04A3" w:rsidRPr="001219AF" w:rsidRDefault="004A04A3" w:rsidP="0096377F">
            <w:pPr>
              <w:pStyle w:val="TableText"/>
            </w:pPr>
            <w:r w:rsidRPr="00FA25EA">
              <w:rPr>
                <w:b/>
              </w:rPr>
              <w:t>Model A:</w:t>
            </w:r>
          </w:p>
        </w:tc>
        <w:tc>
          <w:tcPr>
            <w:tcW w:w="3103" w:type="dxa"/>
            <w:tcBorders>
              <w:right w:val="single" w:sz="4" w:space="0" w:color="auto"/>
            </w:tcBorders>
            <w:vAlign w:val="center"/>
          </w:tcPr>
          <w:p w14:paraId="1C43D4DE" w14:textId="77777777" w:rsidR="004A04A3" w:rsidRDefault="004A04A3" w:rsidP="0096377F">
            <w:pPr>
              <w:pStyle w:val="TableText"/>
            </w:pPr>
            <w:r>
              <w:t>‘up to date’</w:t>
            </w:r>
          </w:p>
          <w:p w14:paraId="714A1B71" w14:textId="77777777" w:rsidR="004A04A3" w:rsidRPr="001219AF" w:rsidRDefault="004A04A3" w:rsidP="0096377F">
            <w:pPr>
              <w:pStyle w:val="TableText"/>
            </w:pPr>
            <w:r>
              <w:t>(Formative)</w:t>
            </w:r>
          </w:p>
        </w:tc>
        <w:tc>
          <w:tcPr>
            <w:tcW w:w="3103" w:type="dxa"/>
            <w:tcBorders>
              <w:left w:val="single" w:sz="4" w:space="0" w:color="auto"/>
            </w:tcBorders>
            <w:vAlign w:val="center"/>
          </w:tcPr>
          <w:p w14:paraId="430BB33D" w14:textId="77777777" w:rsidR="004A04A3" w:rsidRPr="001219AF" w:rsidRDefault="004A04A3" w:rsidP="0096377F">
            <w:pPr>
              <w:pStyle w:val="TableText"/>
            </w:pPr>
            <w:r w:rsidRPr="001219AF">
              <w:t>A mentoring program and review of the doctor’s skills by a colleague from the same hospital.</w:t>
            </w:r>
          </w:p>
        </w:tc>
      </w:tr>
      <w:tr w:rsidR="004A04A3" w:rsidRPr="001219AF" w14:paraId="691C8C0A" w14:textId="77777777" w:rsidTr="004A04A3">
        <w:trPr>
          <w:trHeight w:val="456"/>
        </w:trPr>
        <w:tc>
          <w:tcPr>
            <w:tcW w:w="1311" w:type="dxa"/>
            <w:tcBorders>
              <w:right w:val="single" w:sz="4" w:space="0" w:color="auto"/>
            </w:tcBorders>
            <w:vAlign w:val="center"/>
          </w:tcPr>
          <w:p w14:paraId="0A931CFC" w14:textId="77777777" w:rsidR="004A04A3" w:rsidRPr="001219AF" w:rsidRDefault="004A04A3" w:rsidP="0096377F">
            <w:pPr>
              <w:pStyle w:val="TableText"/>
            </w:pPr>
            <w:r w:rsidRPr="001219AF">
              <w:t>Level 2</w:t>
            </w:r>
          </w:p>
        </w:tc>
        <w:tc>
          <w:tcPr>
            <w:tcW w:w="236" w:type="dxa"/>
            <w:tcBorders>
              <w:left w:val="single" w:sz="4" w:space="0" w:color="auto"/>
            </w:tcBorders>
            <w:vAlign w:val="center"/>
          </w:tcPr>
          <w:p w14:paraId="436CF796" w14:textId="77777777" w:rsidR="004A04A3" w:rsidRPr="001219AF" w:rsidRDefault="004A04A3" w:rsidP="004A04A3">
            <w:pPr>
              <w:pStyle w:val="TableText"/>
            </w:pPr>
          </w:p>
        </w:tc>
        <w:tc>
          <w:tcPr>
            <w:tcW w:w="1659" w:type="dxa"/>
            <w:vAlign w:val="center"/>
          </w:tcPr>
          <w:p w14:paraId="48CBAD10" w14:textId="29BFF028" w:rsidR="004A04A3" w:rsidRPr="001219AF" w:rsidRDefault="004A04A3" w:rsidP="0096377F">
            <w:pPr>
              <w:pStyle w:val="TableText"/>
            </w:pPr>
            <w:r w:rsidRPr="00FA25EA">
              <w:rPr>
                <w:b/>
              </w:rPr>
              <w:t>Model C:</w:t>
            </w:r>
          </w:p>
        </w:tc>
        <w:tc>
          <w:tcPr>
            <w:tcW w:w="3103" w:type="dxa"/>
            <w:tcBorders>
              <w:right w:val="single" w:sz="4" w:space="0" w:color="auto"/>
            </w:tcBorders>
            <w:vAlign w:val="center"/>
          </w:tcPr>
          <w:p w14:paraId="48BB1D86" w14:textId="77777777" w:rsidR="004A04A3" w:rsidRDefault="004A04A3" w:rsidP="0096377F">
            <w:pPr>
              <w:pStyle w:val="TableText"/>
            </w:pPr>
            <w:r>
              <w:t>‘up to date’ + ‘ fit to practise’</w:t>
            </w:r>
          </w:p>
          <w:p w14:paraId="4D6867EF" w14:textId="77777777" w:rsidR="004A04A3" w:rsidRPr="001219AF" w:rsidRDefault="004A04A3" w:rsidP="0096377F">
            <w:pPr>
              <w:pStyle w:val="TableText"/>
            </w:pPr>
            <w:r>
              <w:t>(Formative &amp; Summative)</w:t>
            </w:r>
          </w:p>
        </w:tc>
        <w:tc>
          <w:tcPr>
            <w:tcW w:w="3103" w:type="dxa"/>
            <w:tcBorders>
              <w:left w:val="single" w:sz="4" w:space="0" w:color="auto"/>
            </w:tcBorders>
            <w:vAlign w:val="center"/>
          </w:tcPr>
          <w:p w14:paraId="396815E4" w14:textId="77777777" w:rsidR="004A04A3" w:rsidRPr="001219AF" w:rsidRDefault="004A04A3" w:rsidP="0096377F">
            <w:pPr>
              <w:pStyle w:val="TableText"/>
            </w:pPr>
            <w:r w:rsidRPr="001219AF">
              <w:t>Formal re-training by the doctor in relevant skills and topic areas.</w:t>
            </w:r>
          </w:p>
        </w:tc>
      </w:tr>
      <w:tr w:rsidR="004A04A3" w:rsidRPr="001219AF" w14:paraId="1E5B50FE" w14:textId="77777777" w:rsidTr="004A04A3">
        <w:trPr>
          <w:trHeight w:val="205"/>
        </w:trPr>
        <w:tc>
          <w:tcPr>
            <w:tcW w:w="1311" w:type="dxa"/>
            <w:tcBorders>
              <w:right w:val="single" w:sz="4" w:space="0" w:color="auto"/>
            </w:tcBorders>
            <w:vAlign w:val="center"/>
          </w:tcPr>
          <w:p w14:paraId="07354F07" w14:textId="77777777" w:rsidR="004A04A3" w:rsidRPr="001219AF" w:rsidRDefault="004A04A3" w:rsidP="0096377F">
            <w:pPr>
              <w:pStyle w:val="TableText"/>
            </w:pPr>
            <w:r w:rsidRPr="001219AF">
              <w:t>Level 3</w:t>
            </w:r>
          </w:p>
        </w:tc>
        <w:tc>
          <w:tcPr>
            <w:tcW w:w="236" w:type="dxa"/>
            <w:tcBorders>
              <w:left w:val="single" w:sz="4" w:space="0" w:color="auto"/>
            </w:tcBorders>
            <w:vAlign w:val="center"/>
          </w:tcPr>
          <w:p w14:paraId="3378E6ED" w14:textId="77777777" w:rsidR="004A04A3" w:rsidRPr="001219AF" w:rsidRDefault="004A04A3" w:rsidP="004A04A3">
            <w:pPr>
              <w:pStyle w:val="TableText"/>
            </w:pPr>
          </w:p>
        </w:tc>
        <w:tc>
          <w:tcPr>
            <w:tcW w:w="1659" w:type="dxa"/>
            <w:vAlign w:val="center"/>
          </w:tcPr>
          <w:p w14:paraId="23256888" w14:textId="5189EDE9" w:rsidR="004A04A3" w:rsidRPr="001219AF" w:rsidRDefault="004A04A3" w:rsidP="0096377F">
            <w:pPr>
              <w:pStyle w:val="TableText"/>
            </w:pPr>
            <w:r w:rsidRPr="00FA25EA">
              <w:rPr>
                <w:b/>
              </w:rPr>
              <w:t>Model B:</w:t>
            </w:r>
          </w:p>
        </w:tc>
        <w:tc>
          <w:tcPr>
            <w:tcW w:w="3103" w:type="dxa"/>
            <w:tcBorders>
              <w:right w:val="single" w:sz="4" w:space="0" w:color="auto"/>
            </w:tcBorders>
            <w:vAlign w:val="center"/>
          </w:tcPr>
          <w:p w14:paraId="6D27EA97" w14:textId="77777777" w:rsidR="004A04A3" w:rsidRDefault="004A04A3" w:rsidP="0096377F">
            <w:pPr>
              <w:pStyle w:val="TableText"/>
            </w:pPr>
            <w:r>
              <w:t>‘fit to practise’</w:t>
            </w:r>
          </w:p>
          <w:p w14:paraId="2F5FA41C" w14:textId="77777777" w:rsidR="004A04A3" w:rsidRPr="001219AF" w:rsidRDefault="004A04A3" w:rsidP="0096377F">
            <w:pPr>
              <w:pStyle w:val="TableText"/>
            </w:pPr>
            <w:r>
              <w:t>(Summative)</w:t>
            </w:r>
          </w:p>
        </w:tc>
        <w:tc>
          <w:tcPr>
            <w:tcW w:w="3103" w:type="dxa"/>
            <w:tcBorders>
              <w:left w:val="single" w:sz="4" w:space="0" w:color="auto"/>
            </w:tcBorders>
            <w:vAlign w:val="center"/>
          </w:tcPr>
          <w:p w14:paraId="03278664" w14:textId="77777777" w:rsidR="004A04A3" w:rsidRPr="001219AF" w:rsidRDefault="004A04A3" w:rsidP="0096377F">
            <w:pPr>
              <w:pStyle w:val="TableText"/>
            </w:pPr>
            <w:r w:rsidRPr="001219AF">
              <w:t>Formal review and check of the doctor’s skills by independent senior doctor.</w:t>
            </w:r>
          </w:p>
        </w:tc>
      </w:tr>
    </w:tbl>
    <w:p w14:paraId="60B49FC7" w14:textId="77777777" w:rsidR="00E557C1" w:rsidRDefault="00E557C1" w:rsidP="00D80069"/>
    <w:p w14:paraId="07781171" w14:textId="56992670" w:rsidR="00D80069" w:rsidRDefault="00D80069" w:rsidP="00D80069">
      <w:r w:rsidRPr="001219AF">
        <w:t xml:space="preserve"> varying levels of oversight (‘by a colleague’</w:t>
      </w:r>
      <w:r>
        <w:t xml:space="preserve"> and ‘independent senior doctor’</w:t>
      </w:r>
      <w:r w:rsidRPr="001219AF">
        <w:t>)</w:t>
      </w:r>
      <w:r>
        <w:t xml:space="preserve">, formative support of individual learning (‘mentoring program…doctor’s skills…same hospital’), summative </w:t>
      </w:r>
      <w:r w:rsidRPr="001219AF">
        <w:t>appraisal processes (‘formal review…by an independent senior doctor’)</w:t>
      </w:r>
      <w:r>
        <w:t xml:space="preserve"> or mixed approaches of summative appraisal (‘formal re-training’) with formative elements (‘in relevant skills and topic areas’).</w:t>
      </w:r>
      <w:r w:rsidRPr="001219AF">
        <w:t xml:space="preserve"> This was necessary as the </w:t>
      </w:r>
      <w:r>
        <w:t xml:space="preserve">fine </w:t>
      </w:r>
      <w:r w:rsidRPr="001219AF">
        <w:t>detail of models remains unsettled, and successfully conveying complex structures</w:t>
      </w:r>
      <w:r w:rsidR="00B20A61">
        <w:t xml:space="preserve"> —</w:t>
      </w:r>
      <w:r w:rsidRPr="001219AF">
        <w:t xml:space="preserve"> such as the office of the UK</w:t>
      </w:r>
      <w:r>
        <w:t>’s</w:t>
      </w:r>
      <w:r w:rsidRPr="001219AF">
        <w:t xml:space="preserve"> Responsible Officer as proposed by Archer et al (in their Model ‘C’)</w:t>
      </w:r>
      <w:r w:rsidR="00560D43" w:rsidRPr="00B916B2">
        <w:rPr>
          <w:rStyle w:val="FootnoteReference"/>
        </w:rPr>
        <w:footnoteReference w:id="102"/>
      </w:r>
      <w:r w:rsidR="00B20A61">
        <w:t xml:space="preserve"> —</w:t>
      </w:r>
      <w:r w:rsidRPr="001219AF">
        <w:t xml:space="preserve"> is </w:t>
      </w:r>
      <w:r>
        <w:t xml:space="preserve">impossible in this setting. </w:t>
      </w:r>
      <w:r w:rsidR="007666D8">
        <w:t xml:space="preserve">The novel integration of remediation activities directly into the structure of the MBA’s revalidation model further complicated construction. Level 2, </w:t>
      </w:r>
      <w:r w:rsidR="007E6D45">
        <w:t>that</w:t>
      </w:r>
      <w:r w:rsidR="007666D8">
        <w:t xml:space="preserve"> explicitly includes ‘formal re-training’, is thought to adequately represent this integration of remediation activities, </w:t>
      </w:r>
      <w:r w:rsidR="007E6D45">
        <w:t>that</w:t>
      </w:r>
      <w:r w:rsidR="007666D8">
        <w:t xml:space="preserve"> are a mixture of formative and summative activities undertaken to rectify and confirm rectification of competency concerns. Level 3 is thought to represent the confirmatory aspects of a remediation process alone, without the more supportive formative elements </w:t>
      </w:r>
      <w:r w:rsidR="007E6D45">
        <w:t>that</w:t>
      </w:r>
      <w:r w:rsidR="007666D8">
        <w:t xml:space="preserve"> are present in most remediation efforts. </w:t>
      </w:r>
      <w:r w:rsidRPr="00664C4A">
        <w:t>Initially the vignette and attribute and level descriptions were reviewed by two legal academics and two health services/nursing academics</w:t>
      </w:r>
      <w:r w:rsidR="0028336E">
        <w:t xml:space="preserve"> outside of the research team</w:t>
      </w:r>
      <w:r w:rsidRPr="00664C4A">
        <w:t>.</w:t>
      </w:r>
      <w:r>
        <w:t xml:space="preserve"> </w:t>
      </w:r>
      <w:r w:rsidRPr="001219AF">
        <w:t xml:space="preserve">The second phase involved three non-specialists who attempted to complete choice sets manually, providing feedback to researchers. This was supplemented by a panel member pilot </w:t>
      </w:r>
      <w:r>
        <w:t>of approximately 50 respondents</w:t>
      </w:r>
      <w:r w:rsidR="00B20A61">
        <w:t>,</w:t>
      </w:r>
      <w:r>
        <w:t xml:space="preserve"> who</w:t>
      </w:r>
      <w:r w:rsidRPr="001219AF">
        <w:t xml:space="preserve"> undertook the electronic version of the DCE instrument with </w:t>
      </w:r>
      <w:r w:rsidRPr="003F2484">
        <w:t>opportunity to seek guidance or provide feedback. Despite potential inability to differentiate between levels</w:t>
      </w:r>
      <w:r w:rsidR="00B95C75" w:rsidRPr="003F2484">
        <w:t xml:space="preserve"> given the subtle differences in wording</w:t>
      </w:r>
      <w:r w:rsidRPr="003F2484">
        <w:t xml:space="preserve">, both specialists </w:t>
      </w:r>
      <w:r>
        <w:t>and non-specialists were able to detect and describe differen</w:t>
      </w:r>
      <w:r w:rsidR="00B95C75">
        <w:t>ces between the levels proposed</w:t>
      </w:r>
      <w:r>
        <w:t>. The use of ‘the independent senior doctor’ compared with a ‘colleague from the same hospital’ was a clear differentiator.</w:t>
      </w:r>
    </w:p>
    <w:p w14:paraId="5711F4FC" w14:textId="0ACD43C9" w:rsidR="007F0481" w:rsidRDefault="007F0481" w:rsidP="007F0481">
      <w:r>
        <w:t xml:space="preserve">Although the order of levels within each attribute reflects an underlying synthesis of the literature, regulatory knowledge and our own model construction, respondents were not presented with them in that </w:t>
      </w:r>
      <w:r w:rsidR="00EE7DCD">
        <w:t>order</w:t>
      </w:r>
      <w:r>
        <w:t>. An</w:t>
      </w:r>
      <w:r w:rsidRPr="001219AF">
        <w:t xml:space="preserve"> example of one </w:t>
      </w:r>
      <w:r>
        <w:t>pair that was</w:t>
      </w:r>
      <w:r w:rsidRPr="001219AF">
        <w:t xml:space="preserve"> presented </w:t>
      </w:r>
      <w:r w:rsidR="00EE7DCD">
        <w:t xml:space="preserve">in a </w:t>
      </w:r>
      <w:r w:rsidRPr="001219AF">
        <w:t>choice-set is shown in Table 2.</w:t>
      </w:r>
      <w:r>
        <w:t xml:space="preserve"> We used the design construction techniques described in Street and Burgess to construct a set of 160 pairs </w:t>
      </w:r>
      <w:r w:rsidR="00EE7DCD">
        <w:t xml:space="preserve">like the example in Table 2 </w:t>
      </w:r>
      <w:r>
        <w:t>that allowed for the estimation of the effect of each attribute on the recommendation selected.</w:t>
      </w:r>
      <w:r w:rsidR="00560D43" w:rsidRPr="00B916B2">
        <w:rPr>
          <w:rStyle w:val="FootnoteReference"/>
        </w:rPr>
        <w:footnoteReference w:id="103"/>
      </w:r>
      <w:r>
        <w:t xml:space="preserve"> Our design ensures that a respondent is unable to make all their decisions based on a </w:t>
      </w:r>
      <w:r w:rsidR="00E61799">
        <w:t>single attribute</w:t>
      </w:r>
      <w:r w:rsidR="007677B8" w:rsidRPr="007677B8">
        <w:t xml:space="preserve"> </w:t>
      </w:r>
      <w:r w:rsidR="007677B8">
        <w:t>— for example</w:t>
      </w:r>
      <w:r w:rsidR="00E61799">
        <w:t xml:space="preserve">, </w:t>
      </w:r>
      <w:r>
        <w:t xml:space="preserve">by </w:t>
      </w:r>
      <w:r w:rsidR="00EE7DCD">
        <w:t xml:space="preserve">persistently </w:t>
      </w:r>
      <w:r>
        <w:t xml:space="preserve">selecting the recommendation </w:t>
      </w:r>
      <w:r w:rsidR="007677B8">
        <w:t xml:space="preserve">that </w:t>
      </w:r>
      <w:r>
        <w:t xml:space="preserve">has the </w:t>
      </w:r>
      <w:r w:rsidR="00EE7DCD">
        <w:t xml:space="preserve">greatest or </w:t>
      </w:r>
      <w:r>
        <w:t>leas</w:t>
      </w:r>
      <w:r w:rsidR="00E61799">
        <w:t>t impact on the nurse or doctor.</w:t>
      </w:r>
    </w:p>
    <w:p w14:paraId="301B86AD" w14:textId="77777777" w:rsidR="004F585F" w:rsidRDefault="004F585F" w:rsidP="007F0481"/>
    <w:p w14:paraId="6DF460FE" w14:textId="75D239A7" w:rsidR="00AF101A" w:rsidRPr="00205812" w:rsidRDefault="00AF101A" w:rsidP="00AF101A">
      <w:pPr>
        <w:pStyle w:val="Heading2"/>
        <w:rPr>
          <w:lang w:eastAsia="en-AU"/>
        </w:rPr>
      </w:pPr>
      <w:r>
        <w:rPr>
          <w:lang w:eastAsia="en-AU"/>
        </w:rPr>
        <w:t>Vignette Development</w:t>
      </w:r>
    </w:p>
    <w:p w14:paraId="4D29641E" w14:textId="1ACCB9A4" w:rsidR="00095DF2" w:rsidRDefault="00EA4D47" w:rsidP="00725C65">
      <w:r w:rsidRPr="001219AF">
        <w:t>The vignette was a fictionalised representation of a routine central line insertion in a NSW ICU, where the proceduralist</w:t>
      </w:r>
      <w:r w:rsidR="00E61799">
        <w:t xml:space="preserve"> (an intensive care physician)</w:t>
      </w:r>
      <w:r w:rsidRPr="001219AF">
        <w:t xml:space="preserve"> neglected to don a surgical cap after being reminded to do so</w:t>
      </w:r>
      <w:r w:rsidR="00E61799">
        <w:t xml:space="preserve"> by a nurse</w:t>
      </w:r>
      <w:r w:rsidR="00502FC3" w:rsidRPr="001219AF">
        <w:t>.</w:t>
      </w:r>
      <w:r w:rsidR="00EE7DCD">
        <w:t xml:space="preserve"> This vignette was loosely based on a scenario described by Burrell et al</w:t>
      </w:r>
      <w:r w:rsidR="00576DCE">
        <w:t>.</w:t>
      </w:r>
      <w:r w:rsidR="00EE7DCD">
        <w:t xml:space="preserve"> in their work on reducing mortality and morbidity associated with insertion and management of </w:t>
      </w:r>
      <w:r w:rsidR="00EE7DCD" w:rsidRPr="003F2484">
        <w:t>central lines in the NSW ICU setting.</w:t>
      </w:r>
      <w:r w:rsidR="00560D43" w:rsidRPr="00B916B2">
        <w:rPr>
          <w:rStyle w:val="FootnoteReference"/>
        </w:rPr>
        <w:footnoteReference w:id="104"/>
      </w:r>
      <w:r w:rsidR="00EE7DCD" w:rsidRPr="003F2484">
        <w:t xml:space="preserve"> We fictionalised and extended that scenario, describing a particular </w:t>
      </w:r>
      <w:r w:rsidR="00FE41FC" w:rsidRPr="003F2484">
        <w:t>Central Venous Line (</w:t>
      </w:r>
      <w:r w:rsidR="00EE7DCD" w:rsidRPr="003F2484">
        <w:t>CVL</w:t>
      </w:r>
      <w:r w:rsidR="00FE41FC" w:rsidRPr="003F2484">
        <w:t>)</w:t>
      </w:r>
      <w:r w:rsidR="00EE7DCD" w:rsidRPr="003F2484">
        <w:t xml:space="preserve"> insertion </w:t>
      </w:r>
      <w:r w:rsidR="007677B8">
        <w:t xml:space="preserve">that </w:t>
      </w:r>
      <w:r w:rsidR="00EE7DCD">
        <w:t xml:space="preserve">results </w:t>
      </w:r>
      <w:r w:rsidR="00E61799">
        <w:t>in iatrogenic death.</w:t>
      </w:r>
      <w:r w:rsidR="00EE7DCD">
        <w:t xml:space="preserve"> </w:t>
      </w:r>
      <w:r w:rsidR="00D135CE">
        <w:t>This was to reinforce the</w:t>
      </w:r>
      <w:r w:rsidR="00EE7DCD">
        <w:t xml:space="preserve"> ‘violation’</w:t>
      </w:r>
      <w:r w:rsidR="00560D43" w:rsidRPr="00B916B2">
        <w:rPr>
          <w:rStyle w:val="FootnoteReference"/>
        </w:rPr>
        <w:footnoteReference w:id="105"/>
      </w:r>
      <w:r w:rsidR="00752EB6">
        <w:t xml:space="preserve"> at the heart of this fictionalised adverse</w:t>
      </w:r>
      <w:r w:rsidR="004728D5">
        <w:t xml:space="preserve"> event</w:t>
      </w:r>
      <w:r w:rsidR="00EE7DCD">
        <w:t xml:space="preserve">, </w:t>
      </w:r>
      <w:r w:rsidR="004728D5">
        <w:t xml:space="preserve">whilst </w:t>
      </w:r>
      <w:r w:rsidR="00EE7DCD">
        <w:t>reducing the potential for responsibility attribution (</w:t>
      </w:r>
      <w:r w:rsidR="007E6D45">
        <w:t>that</w:t>
      </w:r>
      <w:r w:rsidR="00EE7DCD">
        <w:t xml:space="preserve"> is unmeasured) to impact on the DCE.</w:t>
      </w:r>
      <w:r w:rsidR="004728D5">
        <w:t xml:space="preserve"> </w:t>
      </w:r>
    </w:p>
    <w:p w14:paraId="7260E6FE" w14:textId="77777777" w:rsidR="00F47C93" w:rsidRDefault="00D135CE" w:rsidP="00095DF2">
      <w:r>
        <w:t xml:space="preserve">This </w:t>
      </w:r>
      <w:r w:rsidR="00095DF2">
        <w:t>vignette represents,</w:t>
      </w:r>
      <w:r>
        <w:t xml:space="preserve"> in one sense</w:t>
      </w:r>
      <w:r w:rsidR="00095DF2">
        <w:t>,</w:t>
      </w:r>
      <w:r>
        <w:t xml:space="preserve"> a ‘limit case’ scenario in relation to healthcare provision, i</w:t>
      </w:r>
      <w:r w:rsidR="001652CA">
        <w:t>a</w:t>
      </w:r>
      <w:r w:rsidR="00095DF2">
        <w:t>trogenic harm and revalidation. Iatrogenic death is not a ‘typical’ outcome of physician incompetence. However, we know that between 10 and 16</w:t>
      </w:r>
      <w:r w:rsidR="00095DF2" w:rsidRPr="00FB6B9C">
        <w:t xml:space="preserve"> per cent of all hospital admissions </w:t>
      </w:r>
      <w:r w:rsidR="00095DF2">
        <w:t xml:space="preserve">in Australia </w:t>
      </w:r>
      <w:r w:rsidR="00095DF2" w:rsidRPr="00FB6B9C">
        <w:t>result in some form of iatrogenic harm</w:t>
      </w:r>
      <w:r w:rsidR="00095DF2">
        <w:t>.</w:t>
      </w:r>
      <w:r w:rsidR="00095DF2" w:rsidRPr="00B916B2">
        <w:rPr>
          <w:rStyle w:val="FootnoteReference"/>
        </w:rPr>
        <w:footnoteReference w:id="106"/>
      </w:r>
      <w:r w:rsidR="00095DF2">
        <w:t xml:space="preserve"> Initially a highly controversial claim, i</w:t>
      </w:r>
      <w:r w:rsidR="00095DF2" w:rsidRPr="00435167">
        <w:rPr>
          <w:bCs/>
        </w:rPr>
        <w:t xml:space="preserve">t is now well-accepted that at least </w:t>
      </w:r>
      <w:r w:rsidR="00095DF2">
        <w:rPr>
          <w:bCs/>
        </w:rPr>
        <w:t>10</w:t>
      </w:r>
      <w:r w:rsidR="00095DF2" w:rsidRPr="00435167">
        <w:rPr>
          <w:bCs/>
        </w:rPr>
        <w:t xml:space="preserve"> per</w:t>
      </w:r>
      <w:r w:rsidR="00095DF2">
        <w:rPr>
          <w:bCs/>
        </w:rPr>
        <w:t xml:space="preserve"> </w:t>
      </w:r>
      <w:r w:rsidR="00095DF2" w:rsidRPr="00435167">
        <w:rPr>
          <w:bCs/>
        </w:rPr>
        <w:t xml:space="preserve">cent of admissions to acute care hospitals are associated with an adverse event, </w:t>
      </w:r>
      <w:r w:rsidR="00095DF2">
        <w:rPr>
          <w:bCs/>
        </w:rPr>
        <w:t xml:space="preserve">including </w:t>
      </w:r>
      <w:r w:rsidR="00095DF2" w:rsidRPr="00435167">
        <w:rPr>
          <w:bCs/>
        </w:rPr>
        <w:t>0.3</w:t>
      </w:r>
      <w:r w:rsidR="00095DF2">
        <w:rPr>
          <w:bCs/>
        </w:rPr>
        <w:t xml:space="preserve"> per cent</w:t>
      </w:r>
      <w:r w:rsidR="00095DF2" w:rsidRPr="00435167">
        <w:rPr>
          <w:bCs/>
        </w:rPr>
        <w:t xml:space="preserve"> associated with iatrogenic death and 1.7</w:t>
      </w:r>
      <w:r w:rsidR="00095DF2">
        <w:rPr>
          <w:bCs/>
        </w:rPr>
        <w:t xml:space="preserve"> per cent</w:t>
      </w:r>
      <w:r w:rsidR="00095DF2" w:rsidRPr="00435167">
        <w:rPr>
          <w:bCs/>
        </w:rPr>
        <w:t xml:space="preserve"> with a major iatrogenic disability.</w:t>
      </w:r>
      <w:r w:rsidR="00095DF2" w:rsidRPr="00B916B2">
        <w:rPr>
          <w:rStyle w:val="FootnoteReference"/>
        </w:rPr>
        <w:footnoteReference w:id="107"/>
      </w:r>
      <w:r w:rsidR="00095DF2" w:rsidRPr="00435167">
        <w:rPr>
          <w:bCs/>
        </w:rPr>
        <w:t xml:space="preserve"> </w:t>
      </w:r>
      <w:r w:rsidR="00095DF2">
        <w:t>Scholars agree that the rate</w:t>
      </w:r>
      <w:r w:rsidR="00095DF2" w:rsidRPr="00C65957">
        <w:t xml:space="preserve"> of</w:t>
      </w:r>
      <w:r w:rsidR="00095DF2">
        <w:t xml:space="preserve"> adverse events has</w:t>
      </w:r>
      <w:r w:rsidR="00095DF2" w:rsidRPr="00C65957">
        <w:t xml:space="preserve"> not measurably improved for fifty years</w:t>
      </w:r>
      <w:r w:rsidR="00095DF2">
        <w:t>, despite significant efforts to do so</w:t>
      </w:r>
      <w:r w:rsidR="00095DF2" w:rsidRPr="00C65957">
        <w:t>.</w:t>
      </w:r>
      <w:r w:rsidR="00095DF2" w:rsidRPr="00B916B2">
        <w:rPr>
          <w:rStyle w:val="FootnoteReference"/>
        </w:rPr>
        <w:footnoteReference w:id="108"/>
      </w:r>
      <w:r w:rsidR="00095DF2" w:rsidRPr="00C65957">
        <w:t xml:space="preserve"> Though not yet wholly settled, landmark studies in the area find that between 50 </w:t>
      </w:r>
      <w:r w:rsidR="00095DF2">
        <w:t xml:space="preserve">and </w:t>
      </w:r>
      <w:r w:rsidR="00095DF2" w:rsidRPr="00C65957">
        <w:t>80</w:t>
      </w:r>
      <w:r w:rsidR="00095DF2">
        <w:t xml:space="preserve"> per cent</w:t>
      </w:r>
      <w:r w:rsidR="00095DF2" w:rsidRPr="00C65957">
        <w:rPr>
          <w:bCs/>
        </w:rPr>
        <w:t xml:space="preserve"> </w:t>
      </w:r>
      <w:r w:rsidR="00095DF2" w:rsidRPr="00C65957">
        <w:t xml:space="preserve">of all adverse events are </w:t>
      </w:r>
      <w:r w:rsidR="00095DF2">
        <w:t>potentially</w:t>
      </w:r>
      <w:r w:rsidR="00095DF2" w:rsidRPr="00C65957">
        <w:t xml:space="preserve"> preventab</w:t>
      </w:r>
      <w:r w:rsidR="00095DF2">
        <w:t>le</w:t>
      </w:r>
      <w:r w:rsidR="00095DF2" w:rsidRPr="00C65957">
        <w:t>.</w:t>
      </w:r>
      <w:r w:rsidR="00095DF2" w:rsidRPr="00B916B2">
        <w:rPr>
          <w:rStyle w:val="FootnoteReference"/>
        </w:rPr>
        <w:footnoteReference w:id="109"/>
      </w:r>
      <w:r w:rsidR="00095DF2" w:rsidRPr="00C65957">
        <w:t xml:space="preserve"> </w:t>
      </w:r>
      <w:r w:rsidR="00346B60">
        <w:t>U</w:t>
      </w:r>
      <w:r w:rsidR="00346B60" w:rsidRPr="009F3B82">
        <w:t>p to 27,000 people die from iatrogenic harm per annum in Australian hospitals.</w:t>
      </w:r>
      <w:r w:rsidR="00346B60" w:rsidRPr="00B916B2">
        <w:rPr>
          <w:rStyle w:val="FootnoteReference"/>
        </w:rPr>
        <w:footnoteReference w:id="110"/>
      </w:r>
      <w:r w:rsidR="00C26F2D">
        <w:t xml:space="preserve"> </w:t>
      </w:r>
    </w:p>
    <w:p w14:paraId="4D2EBC6E" w14:textId="0CEF4C9B" w:rsidR="00EC122A" w:rsidRDefault="00095DF2" w:rsidP="00725C65">
      <w:r>
        <w:t>So too do we know that</w:t>
      </w:r>
      <w:r w:rsidR="00386EB7">
        <w:t xml:space="preserve"> </w:t>
      </w:r>
      <w:r w:rsidR="00C26F2D" w:rsidRPr="001F57DF">
        <w:t>cen</w:t>
      </w:r>
      <w:r w:rsidR="00C26F2D">
        <w:t>tral line-associated blood-stream infections</w:t>
      </w:r>
      <w:r>
        <w:t>, the cause of the fictionalised death in our vignette</w:t>
      </w:r>
      <w:r w:rsidR="00346B60">
        <w:t>,</w:t>
      </w:r>
      <w:r w:rsidR="004A04A3">
        <w:t xml:space="preserve"> are </w:t>
      </w:r>
      <w:r w:rsidR="00F47C93">
        <w:t xml:space="preserve">strongly </w:t>
      </w:r>
      <w:r w:rsidR="004A04A3">
        <w:t>associated with mortality,</w:t>
      </w:r>
      <w:r w:rsidR="004A04A3" w:rsidRPr="00B916B2">
        <w:rPr>
          <w:rStyle w:val="FootnoteReference"/>
        </w:rPr>
        <w:footnoteReference w:id="111"/>
      </w:r>
      <w:r w:rsidR="004A04A3">
        <w:t xml:space="preserve"> but can </w:t>
      </w:r>
      <w:r w:rsidR="00F47C93">
        <w:t xml:space="preserve">also </w:t>
      </w:r>
      <w:r w:rsidR="004A04A3">
        <w:t xml:space="preserve">be </w:t>
      </w:r>
      <w:r w:rsidR="00EC122A">
        <w:t xml:space="preserve">almost wholly </w:t>
      </w:r>
      <w:r w:rsidR="004A04A3">
        <w:t>prevented.</w:t>
      </w:r>
      <w:r w:rsidR="00560D43" w:rsidRPr="00B916B2">
        <w:rPr>
          <w:rStyle w:val="FootnoteReference"/>
        </w:rPr>
        <w:footnoteReference w:id="112"/>
      </w:r>
      <w:r w:rsidR="00194E32">
        <w:t xml:space="preserve"> </w:t>
      </w:r>
      <w:r w:rsidR="00F47C93">
        <w:t>Prevention, importantly, is not a matter of applying innovative medical science, new surgical techniques, or</w:t>
      </w:r>
      <w:r w:rsidR="00EC122A">
        <w:t xml:space="preserve"> other truly novel, </w:t>
      </w:r>
      <w:r w:rsidR="00F47C93">
        <w:t xml:space="preserve">extraordinary, or unusual activities. Instead, success in reducing central line-associated infections like that used in our vignette, is predicated on success factors </w:t>
      </w:r>
      <w:r w:rsidR="007E6D45">
        <w:t>that</w:t>
      </w:r>
      <w:r w:rsidR="00F47C93">
        <w:t xml:space="preserve"> are inexpensive, </w:t>
      </w:r>
      <w:r w:rsidR="00EC122A">
        <w:t xml:space="preserve">and are fundamentally about reaching and sustaining compliance with social, technical and clinical/procedural approaches </w:t>
      </w:r>
      <w:r w:rsidR="007E6D45">
        <w:t>that</w:t>
      </w:r>
      <w:r w:rsidR="00EC122A">
        <w:t xml:space="preserve"> are well-known.</w:t>
      </w:r>
      <w:r w:rsidR="00F47C93" w:rsidRPr="00B916B2">
        <w:rPr>
          <w:rStyle w:val="FootnoteReference"/>
        </w:rPr>
        <w:footnoteReference w:id="113"/>
      </w:r>
      <w:r w:rsidR="00EC122A">
        <w:t xml:space="preserve"> </w:t>
      </w:r>
      <w:r w:rsidR="00F47C93">
        <w:t>I</w:t>
      </w:r>
      <w:r w:rsidR="00194E32">
        <w:t xml:space="preserve">n the study </w:t>
      </w:r>
      <w:r>
        <w:t>fro</w:t>
      </w:r>
      <w:r w:rsidR="00F47C93">
        <w:t xml:space="preserve">m which we sourced the scenario, patients </w:t>
      </w:r>
      <w:r>
        <w:t xml:space="preserve">who had </w:t>
      </w:r>
      <w:r w:rsidR="00194E32">
        <w:t xml:space="preserve">CVLs inserted by clinicians who </w:t>
      </w:r>
      <w:r w:rsidR="007677B8">
        <w:t xml:space="preserve">did </w:t>
      </w:r>
      <w:r w:rsidR="00194E32">
        <w:t xml:space="preserve">not </w:t>
      </w:r>
      <w:r w:rsidR="007677B8">
        <w:t xml:space="preserve">comply </w:t>
      </w:r>
      <w:r w:rsidR="00194E32">
        <w:t xml:space="preserve">with maximal sterile barrier precautions </w:t>
      </w:r>
      <w:r w:rsidR="001F57DF">
        <w:t>had a relative risk of</w:t>
      </w:r>
      <w:r w:rsidR="001F57DF" w:rsidRPr="001F57DF">
        <w:t xml:space="preserve"> central line-associated bacteraemia</w:t>
      </w:r>
      <w:r w:rsidR="001F57DF">
        <w:t xml:space="preserve"> </w:t>
      </w:r>
      <w:r w:rsidR="00194E32">
        <w:t>1.62 times greater than those who</w:t>
      </w:r>
      <w:r w:rsidR="007677B8">
        <w:t>se clinicians</w:t>
      </w:r>
      <w:r w:rsidR="00194E32">
        <w:t xml:space="preserve"> were compliant.</w:t>
      </w:r>
      <w:r w:rsidR="00560D43" w:rsidRPr="00B916B2">
        <w:rPr>
          <w:rStyle w:val="FootnoteReference"/>
        </w:rPr>
        <w:footnoteReference w:id="114"/>
      </w:r>
      <w:r w:rsidR="00194E32">
        <w:t xml:space="preserve"> </w:t>
      </w:r>
      <w:r w:rsidR="001F57DF">
        <w:t>In that study,</w:t>
      </w:r>
      <w:r w:rsidR="00F47C93">
        <w:t xml:space="preserve"> like our vignette,</w:t>
      </w:r>
      <w:r w:rsidR="001F57DF">
        <w:t xml:space="preserve"> </w:t>
      </w:r>
      <w:r w:rsidR="00194E32">
        <w:t>‘hat wearing was identified as the contentious component</w:t>
      </w:r>
      <w:r w:rsidR="001F57DF">
        <w:t>’</w:t>
      </w:r>
      <w:r w:rsidR="00560D43" w:rsidRPr="00B916B2">
        <w:rPr>
          <w:rStyle w:val="FootnoteReference"/>
        </w:rPr>
        <w:footnoteReference w:id="115"/>
      </w:r>
      <w:r w:rsidR="00194E32">
        <w:t xml:space="preserve"> </w:t>
      </w:r>
      <w:r w:rsidR="001F57DF">
        <w:t>of the clinician’s barrier precautions</w:t>
      </w:r>
      <w:r w:rsidR="00194E32">
        <w:t>.</w:t>
      </w:r>
      <w:r w:rsidR="00EC122A">
        <w:t xml:space="preserve"> </w:t>
      </w:r>
      <w:r w:rsidR="00346B60">
        <w:t xml:space="preserve">At a practical level, </w:t>
      </w:r>
      <w:r w:rsidR="00EC122A">
        <w:t xml:space="preserve">then, </w:t>
      </w:r>
      <w:r w:rsidR="00677A51">
        <w:t xml:space="preserve">the vignette </w:t>
      </w:r>
      <w:r w:rsidR="00C26F2D">
        <w:t>reflects</w:t>
      </w:r>
      <w:r w:rsidR="00677A51">
        <w:t xml:space="preserve"> </w:t>
      </w:r>
      <w:r w:rsidR="00FE32A5">
        <w:t xml:space="preserve">scenarios </w:t>
      </w:r>
      <w:r w:rsidR="00C26F2D">
        <w:t>where</w:t>
      </w:r>
      <w:r w:rsidR="00FE32A5">
        <w:t xml:space="preserve"> revalidation</w:t>
      </w:r>
      <w:r w:rsidR="00C26F2D">
        <w:t xml:space="preserve"> might be used</w:t>
      </w:r>
      <w:r w:rsidR="00EC122A">
        <w:t xml:space="preserve"> and useful, as the vignette represents a correctable failure in competency.</w:t>
      </w:r>
      <w:r w:rsidR="00677A51">
        <w:t xml:space="preserve"> </w:t>
      </w:r>
    </w:p>
    <w:p w14:paraId="7963B733" w14:textId="43D5883D" w:rsidR="00C26F2D" w:rsidRDefault="00EC122A" w:rsidP="00725C65">
      <w:r>
        <w:t>The vignette’s</w:t>
      </w:r>
      <w:r w:rsidR="00346B60">
        <w:t xml:space="preserve"> </w:t>
      </w:r>
      <w:r>
        <w:t xml:space="preserve">focus upon an identified issue with competency, </w:t>
      </w:r>
      <w:r w:rsidR="00346B60">
        <w:t xml:space="preserve">aligns with the MBA’s proposed </w:t>
      </w:r>
      <w:r>
        <w:t>model.</w:t>
      </w:r>
      <w:r w:rsidR="005C29C9">
        <w:t xml:space="preserve"> </w:t>
      </w:r>
      <w:r w:rsidR="00C26F2D">
        <w:t xml:space="preserve">Following the work by Archer et al and </w:t>
      </w:r>
      <w:proofErr w:type="spellStart"/>
      <w:r w:rsidR="00C26F2D">
        <w:t>Bismark</w:t>
      </w:r>
      <w:proofErr w:type="spellEnd"/>
      <w:r w:rsidR="00C26F2D">
        <w:t xml:space="preserve"> et al</w:t>
      </w:r>
      <w:r w:rsidR="00C26F2D" w:rsidRPr="00B916B2">
        <w:rPr>
          <w:rStyle w:val="FootnoteReference"/>
        </w:rPr>
        <w:footnoteReference w:id="116"/>
      </w:r>
      <w:r w:rsidR="00C26F2D">
        <w:t xml:space="preserve"> the MBA’s proposal is to target doctors </w:t>
      </w:r>
      <w:r w:rsidR="00C26F2D" w:rsidRPr="00876070">
        <w:t>who are either</w:t>
      </w:r>
      <w:r w:rsidR="00C26F2D">
        <w:t xml:space="preserve"> ‘at risk’</w:t>
      </w:r>
      <w:r w:rsidR="00C26F2D" w:rsidRPr="00876070">
        <w:t xml:space="preserve"> </w:t>
      </w:r>
      <w:r w:rsidR="00C26F2D">
        <w:t xml:space="preserve">or who are </w:t>
      </w:r>
      <w:r w:rsidR="00C26F2D" w:rsidRPr="00876070">
        <w:t>performing poorly</w:t>
      </w:r>
      <w:r w:rsidR="00C26F2D">
        <w:t xml:space="preserve"> for summative, appraisal-like</w:t>
      </w:r>
      <w:r w:rsidR="005C29C9">
        <w:t xml:space="preserve"> testing and</w:t>
      </w:r>
      <w:r w:rsidR="00C26F2D">
        <w:t xml:space="preserve"> remediation activities. This brings ‘forward’ remediation, out of </w:t>
      </w:r>
      <w:r>
        <w:t>the realm of formal disciplinary proceedings</w:t>
      </w:r>
      <w:r w:rsidR="00C26F2D">
        <w:t>.</w:t>
      </w:r>
      <w:r w:rsidR="00C26F2D" w:rsidRPr="00B916B2">
        <w:rPr>
          <w:rStyle w:val="FootnoteReference"/>
        </w:rPr>
        <w:footnoteReference w:id="117"/>
      </w:r>
      <w:r w:rsidR="005C29C9">
        <w:t xml:space="preserve"> </w:t>
      </w:r>
      <w:r>
        <w:t xml:space="preserve">It is thus aimed at ensuring the </w:t>
      </w:r>
      <w:r w:rsidRPr="001219AF">
        <w:t>‘continuing competence of physicians’</w:t>
      </w:r>
      <w:r w:rsidRPr="00B916B2">
        <w:rPr>
          <w:rStyle w:val="FootnoteReference"/>
        </w:rPr>
        <w:footnoteReference w:id="118"/>
      </w:r>
      <w:r>
        <w:t xml:space="preserve"> rather than a broadly applied preventive measure for all medical practitioners. </w:t>
      </w:r>
      <w:r w:rsidR="00C26F2D">
        <w:t>I</w:t>
      </w:r>
      <w:r w:rsidR="00FE32A5">
        <w:t>n practice</w:t>
      </w:r>
      <w:r>
        <w:t>,</w:t>
      </w:r>
      <w:r w:rsidR="00C26F2D">
        <w:t xml:space="preserve"> this proposal means that the revalidation process will, in very large part, be no different to activities and requirements already operating</w:t>
      </w:r>
      <w:r w:rsidR="005C29C9">
        <w:t xml:space="preserve"> as a part of the regulatory performance management system</w:t>
      </w:r>
      <w:r w:rsidR="00C26F2D">
        <w:t>. Continuing professional development is already universally compu</w:t>
      </w:r>
      <w:r w:rsidR="005C29C9">
        <w:t>lsory for medical practitioners in Australia.</w:t>
      </w:r>
      <w:r w:rsidR="00C26F2D">
        <w:t xml:space="preserve"> </w:t>
      </w:r>
      <w:r>
        <w:t>R</w:t>
      </w:r>
      <w:r w:rsidR="00C26F2D">
        <w:t>unning a discrete choice e</w:t>
      </w:r>
      <w:r>
        <w:t xml:space="preserve">xperiment </w:t>
      </w:r>
      <w:r w:rsidR="007E6D45">
        <w:t>that</w:t>
      </w:r>
      <w:r>
        <w:t xml:space="preserve"> focuses on that situation (of standard, competent performance met with the usual CPD requirements) </w:t>
      </w:r>
      <w:r w:rsidR="00C26F2D">
        <w:t>will likely reveal very little of significa</w:t>
      </w:r>
      <w:r>
        <w:t xml:space="preserve">nt interest. Instead, the ‘new’, </w:t>
      </w:r>
      <w:r w:rsidR="00C26F2D">
        <w:t xml:space="preserve">contentious and currently unclear element of the MBA’s proposed revalidation model are </w:t>
      </w:r>
      <w:r>
        <w:t>plans to engage beyond</w:t>
      </w:r>
      <w:r w:rsidR="00346B60">
        <w:t xml:space="preserve"> universally compulsory CPD</w:t>
      </w:r>
      <w:r>
        <w:t xml:space="preserve"> for doctors specifically at risk of in need of remediation</w:t>
      </w:r>
      <w:r w:rsidR="00C26F2D">
        <w:t xml:space="preserve">. </w:t>
      </w:r>
      <w:r w:rsidR="005C29C9">
        <w:t>Recalling the discussion above, t</w:t>
      </w:r>
      <w:r w:rsidR="00C26F2D">
        <w:t>hese activities</w:t>
      </w:r>
      <w:r w:rsidR="00346B60">
        <w:t xml:space="preserve"> </w:t>
      </w:r>
      <w:r w:rsidR="00FE32A5">
        <w:t xml:space="preserve">will </w:t>
      </w:r>
      <w:r w:rsidR="00C26F2D">
        <w:t>be</w:t>
      </w:r>
      <w:r w:rsidR="00346B60">
        <w:t xml:space="preserve"> available </w:t>
      </w:r>
      <w:r w:rsidR="00C26F2D">
        <w:t xml:space="preserve">or applied </w:t>
      </w:r>
      <w:r w:rsidR="00FE32A5">
        <w:t>in response to</w:t>
      </w:r>
      <w:r w:rsidR="00C26F2D">
        <w:t xml:space="preserve"> (a)</w:t>
      </w:r>
      <w:r w:rsidR="00FE32A5">
        <w:t xml:space="preserve"> an identified issue in competence</w:t>
      </w:r>
      <w:r w:rsidR="00C26F2D">
        <w:t xml:space="preserve"> or (b) a material risk of a competency issue</w:t>
      </w:r>
      <w:r w:rsidR="00346B60">
        <w:t>.</w:t>
      </w:r>
      <w:r w:rsidR="005C29C9">
        <w:t xml:space="preserve"> Our vignette is designed to reflect the type of scenario where this more involved and active revalidation/remediation activity will likely apply.</w:t>
      </w:r>
      <w:r w:rsidR="00346B60">
        <w:t xml:space="preserve"> </w:t>
      </w:r>
    </w:p>
    <w:p w14:paraId="56522021" w14:textId="1CA75F31" w:rsidR="00FE32A5" w:rsidRDefault="00EC122A" w:rsidP="00725C65">
      <w:r>
        <w:t>A</w:t>
      </w:r>
      <w:r w:rsidR="00C26F2D">
        <w:t xml:space="preserve"> practical</w:t>
      </w:r>
      <w:r w:rsidR="00FE32A5">
        <w:t xml:space="preserve"> constraint in this study </w:t>
      </w:r>
      <w:r w:rsidR="005C29C9">
        <w:t xml:space="preserve">is that only </w:t>
      </w:r>
      <w:r w:rsidR="00FE32A5">
        <w:t xml:space="preserve">single vignette </w:t>
      </w:r>
      <w:r w:rsidR="005C29C9">
        <w:t xml:space="preserve">design </w:t>
      </w:r>
      <w:r w:rsidR="00C26F2D">
        <w:t>was available,</w:t>
      </w:r>
      <w:r w:rsidR="00FE32A5">
        <w:t xml:space="preserve"> driven resource limitations and by our broader aim to study responses to events of clear failure in physician competence, as part of a broader study on quality and</w:t>
      </w:r>
      <w:r w:rsidR="005C29C9">
        <w:t xml:space="preserve"> safety in healthcare.</w:t>
      </w:r>
    </w:p>
    <w:p w14:paraId="41778016" w14:textId="730BE23B" w:rsidR="00327D0B" w:rsidRDefault="00502FC3" w:rsidP="00DA0337">
      <w:r w:rsidRPr="001219AF">
        <w:t xml:space="preserve">Our study utilised </w:t>
      </w:r>
      <w:r w:rsidR="00295767" w:rsidRPr="001219AF">
        <w:t>a commercially sourced, double opt-in panel of Australian residents</w:t>
      </w:r>
      <w:r w:rsidR="006E7BFD">
        <w:t xml:space="preserve"> maintained by [Redacted].</w:t>
      </w:r>
      <w:r w:rsidR="00DA0337" w:rsidRPr="001219AF">
        <w:t xml:space="preserve"> </w:t>
      </w:r>
      <w:r w:rsidR="00FB1CAD">
        <w:t>We stipulat</w:t>
      </w:r>
      <w:r w:rsidR="00213F77">
        <w:t>ed</w:t>
      </w:r>
      <w:r w:rsidR="00FB1CAD">
        <w:t xml:space="preserve"> recruitment targets (rather than quotas) based on key demographic variables (age, gender, rural/metro)</w:t>
      </w:r>
      <w:r w:rsidR="001F0A2A">
        <w:t xml:space="preserve"> as is common in the application of DCEs</w:t>
      </w:r>
      <w:r w:rsidR="00FB1CAD">
        <w:t xml:space="preserve">. </w:t>
      </w:r>
      <w:r w:rsidR="00DA0337" w:rsidRPr="001219AF">
        <w:t xml:space="preserve">Whilst acknowledging limitations </w:t>
      </w:r>
      <w:r w:rsidR="00B0552B">
        <w:t>in</w:t>
      </w:r>
      <w:r w:rsidR="00B0552B" w:rsidRPr="001219AF">
        <w:t xml:space="preserve"> </w:t>
      </w:r>
      <w:r w:rsidR="00DA0337" w:rsidRPr="001219AF">
        <w:t>the method,</w:t>
      </w:r>
      <w:r w:rsidR="00560D43" w:rsidRPr="00B916B2">
        <w:rPr>
          <w:rStyle w:val="FootnoteReference"/>
        </w:rPr>
        <w:footnoteReference w:id="119"/>
      </w:r>
      <w:r w:rsidR="00A765F0" w:rsidRPr="001219AF">
        <w:t xml:space="preserve"> </w:t>
      </w:r>
      <w:r w:rsidR="00B0552B">
        <w:t>the</w:t>
      </w:r>
      <w:r w:rsidR="00DA0337" w:rsidRPr="001219AF">
        <w:t xml:space="preserve"> advantages of online panel approaches been d</w:t>
      </w:r>
      <w:r w:rsidRPr="001219AF">
        <w:t>ocumented by a range of authors.</w:t>
      </w:r>
      <w:r w:rsidR="00560D43" w:rsidRPr="00B916B2">
        <w:rPr>
          <w:rStyle w:val="FootnoteReference"/>
        </w:rPr>
        <w:footnoteReference w:id="120"/>
      </w:r>
      <w:r w:rsidR="00DA0337" w:rsidRPr="001219AF">
        <w:t xml:space="preserve"> </w:t>
      </w:r>
      <w:r w:rsidR="00D871DC" w:rsidRPr="001219AF">
        <w:t>The</w:t>
      </w:r>
      <w:r w:rsidR="00DA0337" w:rsidRPr="001219AF">
        <w:t xml:space="preserve"> panel </w:t>
      </w:r>
      <w:r w:rsidR="00D871DC" w:rsidRPr="001219AF">
        <w:t>method</w:t>
      </w:r>
      <w:r w:rsidR="00DA0337" w:rsidRPr="001219AF">
        <w:t xml:space="preserve"> was felt to be well</w:t>
      </w:r>
      <w:r w:rsidR="00B0552B">
        <w:t xml:space="preserve"> </w:t>
      </w:r>
      <w:r w:rsidR="00DA0337" w:rsidRPr="001219AF">
        <w:t>suited to the aims and scope of this research project</w:t>
      </w:r>
      <w:r w:rsidRPr="001219AF">
        <w:t xml:space="preserve">, and </w:t>
      </w:r>
      <w:r w:rsidR="000705CF">
        <w:t>is</w:t>
      </w:r>
      <w:r w:rsidRPr="001219AF">
        <w:t xml:space="preserve"> widely used in DCE designs.</w:t>
      </w:r>
      <w:r w:rsidR="00530220" w:rsidRPr="001219AF">
        <w:t xml:space="preserve"> </w:t>
      </w:r>
    </w:p>
    <w:p w14:paraId="6A48CCD8" w14:textId="03F2DE97" w:rsidR="00511EBD" w:rsidRDefault="00511EBD" w:rsidP="00DA0337">
      <w:r w:rsidRPr="001219AF">
        <w:t xml:space="preserve">We </w:t>
      </w:r>
      <w:r>
        <w:t>used</w:t>
      </w:r>
      <w:r w:rsidRPr="001219AF">
        <w:t xml:space="preserve"> a mixed logit (MIXL) model </w:t>
      </w:r>
      <w:r w:rsidRPr="00511EBD">
        <w:t xml:space="preserve">to quantify the characteristics that describe popular </w:t>
      </w:r>
      <w:r>
        <w:t xml:space="preserve">approaches to medical </w:t>
      </w:r>
      <w:r w:rsidRPr="00511EBD">
        <w:t>revalidation</w:t>
      </w:r>
      <w:r w:rsidR="009813D4">
        <w:t>.</w:t>
      </w:r>
      <w:r w:rsidR="00560D43" w:rsidRPr="00B916B2">
        <w:rPr>
          <w:rStyle w:val="FootnoteReference"/>
        </w:rPr>
        <w:footnoteReference w:id="121"/>
      </w:r>
      <w:r w:rsidRPr="00511EBD">
        <w:t xml:space="preserve"> Using the MIXL model</w:t>
      </w:r>
      <w:r w:rsidR="00B0552B">
        <w:t>,</w:t>
      </w:r>
      <w:r w:rsidRPr="00511EBD">
        <w:t xml:space="preserve"> we can allow for preference heterogeneity </w:t>
      </w:r>
      <w:r>
        <w:t xml:space="preserve">(variability of </w:t>
      </w:r>
      <w:r w:rsidRPr="00511EBD">
        <w:t xml:space="preserve">individual tastes and preferences </w:t>
      </w:r>
      <w:r>
        <w:t xml:space="preserve">for different characteristics) </w:t>
      </w:r>
      <w:r w:rsidRPr="00511EBD">
        <w:t>amongst respondents. More details about the M</w:t>
      </w:r>
      <w:r>
        <w:t>IXL mo</w:t>
      </w:r>
      <w:r w:rsidR="00EE2718">
        <w:t>del can be found in Train</w:t>
      </w:r>
      <w:r>
        <w:t>.</w:t>
      </w:r>
      <w:r w:rsidR="00560D43" w:rsidRPr="00B916B2">
        <w:rPr>
          <w:rStyle w:val="FootnoteReference"/>
        </w:rPr>
        <w:footnoteReference w:id="122"/>
      </w:r>
      <w:r>
        <w:t xml:space="preserve"> </w:t>
      </w:r>
      <w:r w:rsidRPr="00511EBD">
        <w:t xml:space="preserve">The analysis was performed using Stata. Ethics approval was granted by </w:t>
      </w:r>
      <w:r w:rsidR="001744D0">
        <w:t>[Redacted]</w:t>
      </w:r>
      <w:r w:rsidR="001744D0" w:rsidRPr="00511EBD">
        <w:t xml:space="preserve"> </w:t>
      </w:r>
      <w:r w:rsidRPr="00511EBD">
        <w:t>(</w:t>
      </w:r>
      <w:r w:rsidR="001744D0">
        <w:t>[Redacted]</w:t>
      </w:r>
      <w:r w:rsidRPr="00511EBD">
        <w:t xml:space="preserve">) </w:t>
      </w:r>
      <w:r w:rsidR="00B0552B">
        <w:t>and</w:t>
      </w:r>
      <w:r w:rsidR="00B0552B" w:rsidRPr="00511EBD">
        <w:t xml:space="preserve"> </w:t>
      </w:r>
      <w:r w:rsidRPr="00511EBD">
        <w:t xml:space="preserve">funding for the study was made available by </w:t>
      </w:r>
      <w:r w:rsidR="001744D0">
        <w:t>[Redacted]</w:t>
      </w:r>
      <w:r w:rsidRPr="00511EBD">
        <w:t>.</w:t>
      </w:r>
    </w:p>
    <w:p w14:paraId="0800CD1E" w14:textId="77777777" w:rsidR="005C29C9" w:rsidRPr="001219AF" w:rsidRDefault="005C29C9" w:rsidP="00DA0337"/>
    <w:p w14:paraId="0BED3CF9" w14:textId="6B061F3E" w:rsidR="00CF7209" w:rsidRPr="001219AF" w:rsidRDefault="00CF7209" w:rsidP="0094076B">
      <w:pPr>
        <w:pStyle w:val="Heading1"/>
      </w:pPr>
      <w:r w:rsidRPr="001219AF">
        <w:t>Results</w:t>
      </w:r>
    </w:p>
    <w:p w14:paraId="3599CBE8" w14:textId="61B2E8D8" w:rsidR="00B4064E" w:rsidRDefault="006E5389" w:rsidP="006E5389">
      <w:r w:rsidRPr="001219AF">
        <w:t xml:space="preserve">Driven by the use of recruitment targets on age, gender and </w:t>
      </w:r>
      <w:r>
        <w:t xml:space="preserve">self-reported </w:t>
      </w:r>
      <w:r w:rsidRPr="001219AF">
        <w:t>rural/metro location, results compare favourably with known distributions in the NSW population</w:t>
      </w:r>
      <w:r>
        <w:t xml:space="preserve"> (Table 3</w:t>
      </w:r>
      <w:r w:rsidR="00185324">
        <w:t>):</w:t>
      </w:r>
    </w:p>
    <w:p w14:paraId="279B8AE0" w14:textId="77777777" w:rsidR="00B4064E" w:rsidRDefault="00B4064E">
      <w:r>
        <w:br w:type="page"/>
      </w:r>
    </w:p>
    <w:p w14:paraId="51B68255" w14:textId="77777777" w:rsidR="006E5389" w:rsidRDefault="006E5389" w:rsidP="006E5389"/>
    <w:tbl>
      <w:tblPr>
        <w:tblW w:w="8113" w:type="dxa"/>
        <w:jc w:val="center"/>
        <w:tblLook w:val="04A0" w:firstRow="1" w:lastRow="0" w:firstColumn="1" w:lastColumn="0" w:noHBand="0" w:noVBand="1"/>
      </w:tblPr>
      <w:tblGrid>
        <w:gridCol w:w="4363"/>
        <w:gridCol w:w="1701"/>
        <w:gridCol w:w="2049"/>
      </w:tblGrid>
      <w:tr w:rsidR="00295BF5" w:rsidRPr="00E86BE2" w14:paraId="46E0CDC9" w14:textId="77777777" w:rsidTr="00295BF5">
        <w:trPr>
          <w:trHeight w:val="376"/>
          <w:jc w:val="center"/>
        </w:trPr>
        <w:tc>
          <w:tcPr>
            <w:tcW w:w="4363" w:type="dxa"/>
            <w:tcBorders>
              <w:top w:val="nil"/>
              <w:bottom w:val="single" w:sz="12" w:space="0" w:color="auto"/>
            </w:tcBorders>
            <w:shd w:val="clear" w:color="auto" w:fill="auto"/>
            <w:noWrap/>
          </w:tcPr>
          <w:p w14:paraId="290DFC96" w14:textId="169DD7E6" w:rsidR="00295BF5" w:rsidRPr="00E86BE2" w:rsidRDefault="00295BF5" w:rsidP="00295BF5">
            <w:pPr>
              <w:pStyle w:val="TABHTableHeading"/>
              <w:rPr>
                <w:lang w:eastAsia="en-AU"/>
              </w:rPr>
            </w:pPr>
            <w:r>
              <w:rPr>
                <w:lang w:eastAsia="en-AU"/>
              </w:rPr>
              <w:t xml:space="preserve">Table 3: </w:t>
            </w:r>
            <w:r w:rsidRPr="00295BF5">
              <w:rPr>
                <w:rStyle w:val="TABTTableTextChar"/>
                <w:b w:val="0"/>
              </w:rPr>
              <w:t>Respondent Characteristics</w:t>
            </w:r>
          </w:p>
        </w:tc>
        <w:tc>
          <w:tcPr>
            <w:tcW w:w="1701" w:type="dxa"/>
            <w:tcBorders>
              <w:top w:val="nil"/>
              <w:bottom w:val="single" w:sz="12" w:space="0" w:color="auto"/>
            </w:tcBorders>
            <w:shd w:val="clear" w:color="auto" w:fill="auto"/>
            <w:noWrap/>
          </w:tcPr>
          <w:p w14:paraId="189FC6DC" w14:textId="77777777" w:rsidR="00295BF5" w:rsidRPr="00E86BE2" w:rsidRDefault="00295BF5" w:rsidP="006C132A">
            <w:pPr>
              <w:pStyle w:val="TableText"/>
              <w:rPr>
                <w:b/>
                <w:lang w:eastAsia="en-AU"/>
              </w:rPr>
            </w:pPr>
          </w:p>
        </w:tc>
        <w:tc>
          <w:tcPr>
            <w:tcW w:w="2049" w:type="dxa"/>
            <w:tcBorders>
              <w:top w:val="nil"/>
              <w:bottom w:val="single" w:sz="12" w:space="0" w:color="auto"/>
            </w:tcBorders>
          </w:tcPr>
          <w:p w14:paraId="449C9A86" w14:textId="77777777" w:rsidR="00295BF5" w:rsidRDefault="00295BF5" w:rsidP="006C132A">
            <w:pPr>
              <w:pStyle w:val="TableText"/>
              <w:rPr>
                <w:b/>
                <w:lang w:eastAsia="en-AU"/>
              </w:rPr>
            </w:pPr>
          </w:p>
        </w:tc>
      </w:tr>
      <w:tr w:rsidR="00185324" w:rsidRPr="00E86BE2" w14:paraId="6CE9D4E2" w14:textId="77777777" w:rsidTr="00295BF5">
        <w:trPr>
          <w:trHeight w:val="376"/>
          <w:jc w:val="center"/>
        </w:trPr>
        <w:tc>
          <w:tcPr>
            <w:tcW w:w="4363" w:type="dxa"/>
            <w:tcBorders>
              <w:top w:val="single" w:sz="12" w:space="0" w:color="auto"/>
              <w:bottom w:val="single" w:sz="12" w:space="0" w:color="auto"/>
            </w:tcBorders>
            <w:shd w:val="clear" w:color="auto" w:fill="auto"/>
            <w:noWrap/>
            <w:hideMark/>
          </w:tcPr>
          <w:p w14:paraId="36EA358B" w14:textId="77777777" w:rsidR="00185324" w:rsidRPr="00E86BE2" w:rsidRDefault="00185324" w:rsidP="006C132A">
            <w:pPr>
              <w:pStyle w:val="TableText"/>
              <w:rPr>
                <w:b/>
                <w:lang w:eastAsia="en-AU"/>
              </w:rPr>
            </w:pPr>
            <w:r w:rsidRPr="00E86BE2">
              <w:rPr>
                <w:b/>
                <w:lang w:eastAsia="en-AU"/>
              </w:rPr>
              <w:t>Characteristic</w:t>
            </w:r>
          </w:p>
        </w:tc>
        <w:tc>
          <w:tcPr>
            <w:tcW w:w="1701" w:type="dxa"/>
            <w:tcBorders>
              <w:top w:val="single" w:sz="12" w:space="0" w:color="auto"/>
              <w:bottom w:val="single" w:sz="12" w:space="0" w:color="auto"/>
            </w:tcBorders>
            <w:shd w:val="clear" w:color="auto" w:fill="auto"/>
            <w:noWrap/>
            <w:hideMark/>
          </w:tcPr>
          <w:p w14:paraId="5214D9C1" w14:textId="77777777" w:rsidR="00185324" w:rsidRPr="00E86BE2" w:rsidRDefault="00185324" w:rsidP="006C132A">
            <w:pPr>
              <w:pStyle w:val="TableText"/>
              <w:rPr>
                <w:b/>
                <w:lang w:eastAsia="en-AU"/>
              </w:rPr>
            </w:pPr>
            <w:r w:rsidRPr="00E86BE2">
              <w:rPr>
                <w:b/>
                <w:lang w:eastAsia="en-AU"/>
              </w:rPr>
              <w:t>Percent (n=1000)</w:t>
            </w:r>
          </w:p>
        </w:tc>
        <w:tc>
          <w:tcPr>
            <w:tcW w:w="2049" w:type="dxa"/>
            <w:tcBorders>
              <w:top w:val="single" w:sz="12" w:space="0" w:color="auto"/>
              <w:bottom w:val="single" w:sz="12" w:space="0" w:color="auto"/>
            </w:tcBorders>
          </w:tcPr>
          <w:p w14:paraId="04F2AD2A" w14:textId="0EFD1CA2" w:rsidR="00185324" w:rsidRPr="00E86BE2" w:rsidRDefault="00295BF5" w:rsidP="006C132A">
            <w:pPr>
              <w:pStyle w:val="TableText"/>
              <w:rPr>
                <w:b/>
                <w:lang w:eastAsia="en-AU"/>
              </w:rPr>
            </w:pPr>
            <w:r>
              <w:rPr>
                <w:b/>
                <w:lang w:eastAsia="en-AU"/>
              </w:rPr>
              <w:t>Comparator (NSW)</w:t>
            </w:r>
          </w:p>
        </w:tc>
      </w:tr>
      <w:tr w:rsidR="00295BF5" w:rsidRPr="00E86BE2" w14:paraId="49E96A91" w14:textId="77777777" w:rsidTr="0096377F">
        <w:trPr>
          <w:trHeight w:val="454"/>
          <w:jc w:val="center"/>
        </w:trPr>
        <w:tc>
          <w:tcPr>
            <w:tcW w:w="8113" w:type="dxa"/>
            <w:gridSpan w:val="3"/>
            <w:tcBorders>
              <w:top w:val="single" w:sz="12" w:space="0" w:color="auto"/>
            </w:tcBorders>
            <w:shd w:val="clear" w:color="auto" w:fill="auto"/>
            <w:hideMark/>
          </w:tcPr>
          <w:p w14:paraId="408503A3" w14:textId="75BB5258" w:rsidR="00295BF5" w:rsidRPr="00E86BE2" w:rsidRDefault="00295BF5" w:rsidP="006C132A">
            <w:pPr>
              <w:pStyle w:val="TableText"/>
              <w:rPr>
                <w:b/>
                <w:lang w:eastAsia="en-AU"/>
              </w:rPr>
            </w:pPr>
            <w:r w:rsidRPr="00E86BE2">
              <w:rPr>
                <w:b/>
                <w:lang w:eastAsia="en-AU"/>
              </w:rPr>
              <w:t xml:space="preserve">How likely would you be to recommend </w:t>
            </w:r>
            <w:r>
              <w:rPr>
                <w:b/>
                <w:lang w:eastAsia="en-AU"/>
              </w:rPr>
              <w:t xml:space="preserve">your last healthcare service to </w:t>
            </w:r>
            <w:r w:rsidRPr="00E86BE2">
              <w:rPr>
                <w:b/>
                <w:lang w:eastAsia="en-AU"/>
              </w:rPr>
              <w:t>friends and family if they needed similar care or treatment?</w:t>
            </w:r>
          </w:p>
        </w:tc>
      </w:tr>
      <w:tr w:rsidR="00185324" w:rsidRPr="00E86BE2" w14:paraId="485E38C0" w14:textId="77777777" w:rsidTr="00295BF5">
        <w:trPr>
          <w:trHeight w:val="315"/>
          <w:jc w:val="center"/>
        </w:trPr>
        <w:tc>
          <w:tcPr>
            <w:tcW w:w="4363" w:type="dxa"/>
            <w:shd w:val="clear" w:color="auto" w:fill="auto"/>
            <w:noWrap/>
            <w:hideMark/>
          </w:tcPr>
          <w:p w14:paraId="1AAA1B2A" w14:textId="77777777" w:rsidR="00185324" w:rsidRPr="00E86BE2" w:rsidRDefault="00185324" w:rsidP="006C132A">
            <w:pPr>
              <w:pStyle w:val="TableText"/>
              <w:rPr>
                <w:lang w:eastAsia="en-AU"/>
              </w:rPr>
            </w:pPr>
            <w:r w:rsidRPr="00E86BE2">
              <w:rPr>
                <w:lang w:eastAsia="en-AU"/>
              </w:rPr>
              <w:t>Extremely Likely</w:t>
            </w:r>
          </w:p>
        </w:tc>
        <w:tc>
          <w:tcPr>
            <w:tcW w:w="1701" w:type="dxa"/>
            <w:shd w:val="clear" w:color="auto" w:fill="auto"/>
            <w:noWrap/>
            <w:hideMark/>
          </w:tcPr>
          <w:p w14:paraId="0AE0CF9C" w14:textId="77777777" w:rsidR="00185324" w:rsidRPr="00E86BE2" w:rsidRDefault="00185324" w:rsidP="006C132A">
            <w:pPr>
              <w:pStyle w:val="TableText"/>
              <w:rPr>
                <w:lang w:eastAsia="en-AU"/>
              </w:rPr>
            </w:pPr>
            <w:r w:rsidRPr="00E86BE2">
              <w:rPr>
                <w:lang w:eastAsia="en-AU"/>
              </w:rPr>
              <w:t>19.1%</w:t>
            </w:r>
          </w:p>
        </w:tc>
        <w:tc>
          <w:tcPr>
            <w:tcW w:w="2049" w:type="dxa"/>
          </w:tcPr>
          <w:p w14:paraId="6D8953BC" w14:textId="77777777" w:rsidR="00185324" w:rsidRPr="00E86BE2" w:rsidRDefault="00185324" w:rsidP="006C132A">
            <w:pPr>
              <w:pStyle w:val="TableText"/>
              <w:rPr>
                <w:lang w:eastAsia="en-AU"/>
              </w:rPr>
            </w:pPr>
            <w:r>
              <w:rPr>
                <w:lang w:eastAsia="en-AU"/>
              </w:rPr>
              <w:t>-</w:t>
            </w:r>
          </w:p>
        </w:tc>
      </w:tr>
      <w:tr w:rsidR="00185324" w:rsidRPr="00E86BE2" w14:paraId="213B43E0" w14:textId="77777777" w:rsidTr="00295BF5">
        <w:trPr>
          <w:trHeight w:val="315"/>
          <w:jc w:val="center"/>
        </w:trPr>
        <w:tc>
          <w:tcPr>
            <w:tcW w:w="4363" w:type="dxa"/>
            <w:shd w:val="clear" w:color="auto" w:fill="auto"/>
            <w:noWrap/>
            <w:hideMark/>
          </w:tcPr>
          <w:p w14:paraId="61B3F57D" w14:textId="77777777" w:rsidR="00185324" w:rsidRPr="00E86BE2" w:rsidRDefault="00185324" w:rsidP="006C132A">
            <w:pPr>
              <w:pStyle w:val="TableText"/>
              <w:rPr>
                <w:lang w:eastAsia="en-AU"/>
              </w:rPr>
            </w:pPr>
            <w:r w:rsidRPr="00E86BE2">
              <w:rPr>
                <w:lang w:eastAsia="en-AU"/>
              </w:rPr>
              <w:t>Likely</w:t>
            </w:r>
          </w:p>
        </w:tc>
        <w:tc>
          <w:tcPr>
            <w:tcW w:w="1701" w:type="dxa"/>
            <w:shd w:val="clear" w:color="auto" w:fill="auto"/>
            <w:noWrap/>
            <w:hideMark/>
          </w:tcPr>
          <w:p w14:paraId="4FDDB126" w14:textId="77777777" w:rsidR="00185324" w:rsidRPr="00E86BE2" w:rsidRDefault="00185324" w:rsidP="006C132A">
            <w:pPr>
              <w:pStyle w:val="TableText"/>
              <w:rPr>
                <w:lang w:eastAsia="en-AU"/>
              </w:rPr>
            </w:pPr>
            <w:r w:rsidRPr="00E86BE2">
              <w:rPr>
                <w:lang w:eastAsia="en-AU"/>
              </w:rPr>
              <w:t>42.2%</w:t>
            </w:r>
          </w:p>
        </w:tc>
        <w:tc>
          <w:tcPr>
            <w:tcW w:w="2049" w:type="dxa"/>
          </w:tcPr>
          <w:p w14:paraId="06E1D87F" w14:textId="77777777" w:rsidR="00185324" w:rsidRPr="00E86BE2" w:rsidRDefault="00185324" w:rsidP="006C132A">
            <w:pPr>
              <w:pStyle w:val="TableText"/>
              <w:rPr>
                <w:lang w:eastAsia="en-AU"/>
              </w:rPr>
            </w:pPr>
            <w:r>
              <w:rPr>
                <w:lang w:eastAsia="en-AU"/>
              </w:rPr>
              <w:t>-</w:t>
            </w:r>
          </w:p>
        </w:tc>
      </w:tr>
      <w:tr w:rsidR="00185324" w:rsidRPr="00E86BE2" w14:paraId="2BE9EBB0" w14:textId="77777777" w:rsidTr="00295BF5">
        <w:trPr>
          <w:trHeight w:val="315"/>
          <w:jc w:val="center"/>
        </w:trPr>
        <w:tc>
          <w:tcPr>
            <w:tcW w:w="4363" w:type="dxa"/>
            <w:shd w:val="clear" w:color="auto" w:fill="auto"/>
            <w:noWrap/>
            <w:hideMark/>
          </w:tcPr>
          <w:p w14:paraId="79A7A3A4" w14:textId="77777777" w:rsidR="00185324" w:rsidRPr="00E86BE2" w:rsidRDefault="00185324" w:rsidP="006C132A">
            <w:pPr>
              <w:pStyle w:val="TableText"/>
              <w:rPr>
                <w:lang w:eastAsia="en-AU"/>
              </w:rPr>
            </w:pPr>
            <w:r w:rsidRPr="00E86BE2">
              <w:rPr>
                <w:lang w:eastAsia="en-AU"/>
              </w:rPr>
              <w:t>Neither likely or unlikely</w:t>
            </w:r>
          </w:p>
        </w:tc>
        <w:tc>
          <w:tcPr>
            <w:tcW w:w="1701" w:type="dxa"/>
            <w:shd w:val="clear" w:color="auto" w:fill="auto"/>
            <w:noWrap/>
            <w:hideMark/>
          </w:tcPr>
          <w:p w14:paraId="2F3DBE6B" w14:textId="77777777" w:rsidR="00185324" w:rsidRPr="00E86BE2" w:rsidRDefault="00185324" w:rsidP="006C132A">
            <w:pPr>
              <w:pStyle w:val="TableText"/>
              <w:rPr>
                <w:lang w:eastAsia="en-AU"/>
              </w:rPr>
            </w:pPr>
            <w:r w:rsidRPr="00E86BE2">
              <w:rPr>
                <w:lang w:eastAsia="en-AU"/>
              </w:rPr>
              <w:t>25.7%</w:t>
            </w:r>
          </w:p>
        </w:tc>
        <w:tc>
          <w:tcPr>
            <w:tcW w:w="2049" w:type="dxa"/>
          </w:tcPr>
          <w:p w14:paraId="6EBEE1D0" w14:textId="77777777" w:rsidR="00185324" w:rsidRPr="00E86BE2" w:rsidRDefault="00185324" w:rsidP="006C132A">
            <w:pPr>
              <w:pStyle w:val="TableText"/>
              <w:rPr>
                <w:lang w:eastAsia="en-AU"/>
              </w:rPr>
            </w:pPr>
            <w:r>
              <w:rPr>
                <w:lang w:eastAsia="en-AU"/>
              </w:rPr>
              <w:t>-</w:t>
            </w:r>
          </w:p>
        </w:tc>
      </w:tr>
      <w:tr w:rsidR="00185324" w:rsidRPr="00E86BE2" w14:paraId="7A8BA282" w14:textId="77777777" w:rsidTr="00295BF5">
        <w:trPr>
          <w:trHeight w:val="315"/>
          <w:jc w:val="center"/>
        </w:trPr>
        <w:tc>
          <w:tcPr>
            <w:tcW w:w="4363" w:type="dxa"/>
            <w:shd w:val="clear" w:color="auto" w:fill="auto"/>
            <w:noWrap/>
            <w:hideMark/>
          </w:tcPr>
          <w:p w14:paraId="480393FB" w14:textId="77777777" w:rsidR="00185324" w:rsidRPr="00E86BE2" w:rsidRDefault="00185324" w:rsidP="006C132A">
            <w:pPr>
              <w:pStyle w:val="TableText"/>
              <w:rPr>
                <w:lang w:eastAsia="en-AU"/>
              </w:rPr>
            </w:pPr>
            <w:r w:rsidRPr="00E86BE2">
              <w:rPr>
                <w:lang w:eastAsia="en-AU"/>
              </w:rPr>
              <w:t>Unlikely</w:t>
            </w:r>
          </w:p>
        </w:tc>
        <w:tc>
          <w:tcPr>
            <w:tcW w:w="1701" w:type="dxa"/>
            <w:shd w:val="clear" w:color="auto" w:fill="auto"/>
            <w:noWrap/>
            <w:hideMark/>
          </w:tcPr>
          <w:p w14:paraId="4C50E43E" w14:textId="77777777" w:rsidR="00185324" w:rsidRPr="00E86BE2" w:rsidRDefault="00185324" w:rsidP="006C132A">
            <w:pPr>
              <w:pStyle w:val="TableText"/>
              <w:rPr>
                <w:lang w:eastAsia="en-AU"/>
              </w:rPr>
            </w:pPr>
            <w:r w:rsidRPr="00E86BE2">
              <w:rPr>
                <w:lang w:eastAsia="en-AU"/>
              </w:rPr>
              <w:t>6.0%</w:t>
            </w:r>
          </w:p>
        </w:tc>
        <w:tc>
          <w:tcPr>
            <w:tcW w:w="2049" w:type="dxa"/>
          </w:tcPr>
          <w:p w14:paraId="5650F31E" w14:textId="77777777" w:rsidR="00185324" w:rsidRPr="00E86BE2" w:rsidRDefault="00185324" w:rsidP="006C132A">
            <w:pPr>
              <w:pStyle w:val="TableText"/>
              <w:rPr>
                <w:lang w:eastAsia="en-AU"/>
              </w:rPr>
            </w:pPr>
            <w:r>
              <w:rPr>
                <w:lang w:eastAsia="en-AU"/>
              </w:rPr>
              <w:t>-</w:t>
            </w:r>
          </w:p>
        </w:tc>
      </w:tr>
      <w:tr w:rsidR="00185324" w:rsidRPr="00E86BE2" w14:paraId="4B3C4DB1" w14:textId="77777777" w:rsidTr="00295BF5">
        <w:trPr>
          <w:trHeight w:val="315"/>
          <w:jc w:val="center"/>
        </w:trPr>
        <w:tc>
          <w:tcPr>
            <w:tcW w:w="4363" w:type="dxa"/>
            <w:shd w:val="clear" w:color="auto" w:fill="auto"/>
            <w:noWrap/>
            <w:hideMark/>
          </w:tcPr>
          <w:p w14:paraId="59E6428C" w14:textId="77777777" w:rsidR="00185324" w:rsidRPr="00E86BE2" w:rsidRDefault="00185324" w:rsidP="006C132A">
            <w:pPr>
              <w:pStyle w:val="TableText"/>
              <w:rPr>
                <w:lang w:eastAsia="en-AU"/>
              </w:rPr>
            </w:pPr>
            <w:r w:rsidRPr="00E86BE2">
              <w:rPr>
                <w:lang w:eastAsia="en-AU"/>
              </w:rPr>
              <w:t>Extremely Unlikely</w:t>
            </w:r>
          </w:p>
        </w:tc>
        <w:tc>
          <w:tcPr>
            <w:tcW w:w="1701" w:type="dxa"/>
            <w:shd w:val="clear" w:color="auto" w:fill="auto"/>
            <w:noWrap/>
            <w:hideMark/>
          </w:tcPr>
          <w:p w14:paraId="7193CF4C" w14:textId="77777777" w:rsidR="00185324" w:rsidRPr="00E86BE2" w:rsidRDefault="00185324" w:rsidP="006C132A">
            <w:pPr>
              <w:pStyle w:val="TableText"/>
              <w:rPr>
                <w:lang w:eastAsia="en-AU"/>
              </w:rPr>
            </w:pPr>
            <w:r w:rsidRPr="00E86BE2">
              <w:rPr>
                <w:lang w:eastAsia="en-AU"/>
              </w:rPr>
              <w:t>4.0%</w:t>
            </w:r>
          </w:p>
        </w:tc>
        <w:tc>
          <w:tcPr>
            <w:tcW w:w="2049" w:type="dxa"/>
          </w:tcPr>
          <w:p w14:paraId="4E8479AA" w14:textId="77777777" w:rsidR="00185324" w:rsidRPr="00E86BE2" w:rsidRDefault="00185324" w:rsidP="006C132A">
            <w:pPr>
              <w:pStyle w:val="TableText"/>
              <w:rPr>
                <w:lang w:eastAsia="en-AU"/>
              </w:rPr>
            </w:pPr>
            <w:r>
              <w:rPr>
                <w:lang w:eastAsia="en-AU"/>
              </w:rPr>
              <w:t>-</w:t>
            </w:r>
          </w:p>
        </w:tc>
      </w:tr>
      <w:tr w:rsidR="00185324" w:rsidRPr="00E86BE2" w14:paraId="481A57B3" w14:textId="77777777" w:rsidTr="00295BF5">
        <w:trPr>
          <w:trHeight w:val="315"/>
          <w:jc w:val="center"/>
        </w:trPr>
        <w:tc>
          <w:tcPr>
            <w:tcW w:w="4363" w:type="dxa"/>
            <w:tcBorders>
              <w:bottom w:val="single" w:sz="12" w:space="0" w:color="auto"/>
            </w:tcBorders>
            <w:shd w:val="clear" w:color="auto" w:fill="auto"/>
            <w:noWrap/>
            <w:hideMark/>
          </w:tcPr>
          <w:p w14:paraId="637D5E75" w14:textId="77777777" w:rsidR="00185324" w:rsidRPr="00E86BE2" w:rsidRDefault="00185324" w:rsidP="006C132A">
            <w:pPr>
              <w:pStyle w:val="TableText"/>
              <w:rPr>
                <w:lang w:eastAsia="en-AU"/>
              </w:rPr>
            </w:pPr>
            <w:r w:rsidRPr="00E86BE2">
              <w:rPr>
                <w:lang w:eastAsia="en-AU"/>
              </w:rPr>
              <w:t>Don’t Know</w:t>
            </w:r>
          </w:p>
        </w:tc>
        <w:tc>
          <w:tcPr>
            <w:tcW w:w="1701" w:type="dxa"/>
            <w:tcBorders>
              <w:bottom w:val="single" w:sz="12" w:space="0" w:color="auto"/>
            </w:tcBorders>
            <w:shd w:val="clear" w:color="auto" w:fill="auto"/>
            <w:noWrap/>
            <w:hideMark/>
          </w:tcPr>
          <w:p w14:paraId="5B9DA291" w14:textId="77777777" w:rsidR="00185324" w:rsidRPr="00E86BE2" w:rsidRDefault="00185324" w:rsidP="006C132A">
            <w:pPr>
              <w:pStyle w:val="TableText"/>
              <w:rPr>
                <w:lang w:eastAsia="en-AU"/>
              </w:rPr>
            </w:pPr>
            <w:r w:rsidRPr="00E86BE2">
              <w:rPr>
                <w:lang w:eastAsia="en-AU"/>
              </w:rPr>
              <w:t>3.0%</w:t>
            </w:r>
          </w:p>
        </w:tc>
        <w:tc>
          <w:tcPr>
            <w:tcW w:w="2049" w:type="dxa"/>
            <w:tcBorders>
              <w:bottom w:val="single" w:sz="12" w:space="0" w:color="auto"/>
            </w:tcBorders>
          </w:tcPr>
          <w:p w14:paraId="49727C60" w14:textId="77777777" w:rsidR="00185324" w:rsidRPr="00E86BE2" w:rsidRDefault="00185324" w:rsidP="006C132A">
            <w:pPr>
              <w:pStyle w:val="TableText"/>
              <w:rPr>
                <w:lang w:eastAsia="en-AU"/>
              </w:rPr>
            </w:pPr>
            <w:r>
              <w:rPr>
                <w:lang w:eastAsia="en-AU"/>
              </w:rPr>
              <w:t>-</w:t>
            </w:r>
          </w:p>
        </w:tc>
      </w:tr>
      <w:tr w:rsidR="00185324" w:rsidRPr="00E86BE2" w14:paraId="59138EE6" w14:textId="77777777" w:rsidTr="00295BF5">
        <w:trPr>
          <w:trHeight w:val="315"/>
          <w:jc w:val="center"/>
        </w:trPr>
        <w:tc>
          <w:tcPr>
            <w:tcW w:w="4363" w:type="dxa"/>
            <w:tcBorders>
              <w:top w:val="single" w:sz="12" w:space="0" w:color="auto"/>
            </w:tcBorders>
            <w:shd w:val="clear" w:color="auto" w:fill="auto"/>
            <w:noWrap/>
            <w:hideMark/>
          </w:tcPr>
          <w:p w14:paraId="35A34C4A" w14:textId="77777777" w:rsidR="00185324" w:rsidRPr="00E86BE2" w:rsidRDefault="00185324" w:rsidP="006C132A">
            <w:pPr>
              <w:pStyle w:val="TableText"/>
              <w:rPr>
                <w:b/>
                <w:lang w:eastAsia="en-AU"/>
              </w:rPr>
            </w:pPr>
            <w:r w:rsidRPr="00E86BE2">
              <w:rPr>
                <w:b/>
                <w:lang w:eastAsia="en-AU"/>
              </w:rPr>
              <w:t>Age</w:t>
            </w:r>
            <w:r>
              <w:rPr>
                <w:b/>
                <w:lang w:eastAsia="en-AU"/>
              </w:rPr>
              <w:t>:</w:t>
            </w:r>
          </w:p>
        </w:tc>
        <w:tc>
          <w:tcPr>
            <w:tcW w:w="1701" w:type="dxa"/>
            <w:tcBorders>
              <w:top w:val="single" w:sz="12" w:space="0" w:color="auto"/>
            </w:tcBorders>
            <w:shd w:val="clear" w:color="auto" w:fill="auto"/>
            <w:noWrap/>
            <w:hideMark/>
          </w:tcPr>
          <w:p w14:paraId="54B279B0" w14:textId="77777777" w:rsidR="00185324" w:rsidRPr="00E86BE2" w:rsidRDefault="00185324" w:rsidP="006C132A">
            <w:pPr>
              <w:pStyle w:val="TableText"/>
              <w:rPr>
                <w:lang w:eastAsia="en-AU"/>
              </w:rPr>
            </w:pPr>
          </w:p>
        </w:tc>
        <w:tc>
          <w:tcPr>
            <w:tcW w:w="2049" w:type="dxa"/>
            <w:tcBorders>
              <w:top w:val="single" w:sz="12" w:space="0" w:color="auto"/>
            </w:tcBorders>
          </w:tcPr>
          <w:p w14:paraId="5DF347BA" w14:textId="77777777" w:rsidR="00185324" w:rsidRPr="00E86BE2" w:rsidRDefault="00185324" w:rsidP="006C132A">
            <w:pPr>
              <w:pStyle w:val="TableText"/>
              <w:rPr>
                <w:lang w:eastAsia="en-AU"/>
              </w:rPr>
            </w:pPr>
          </w:p>
        </w:tc>
      </w:tr>
      <w:tr w:rsidR="00185324" w:rsidRPr="00E86BE2" w14:paraId="6D1F6F14" w14:textId="77777777" w:rsidTr="00295BF5">
        <w:trPr>
          <w:trHeight w:val="315"/>
          <w:jc w:val="center"/>
        </w:trPr>
        <w:tc>
          <w:tcPr>
            <w:tcW w:w="4363" w:type="dxa"/>
            <w:shd w:val="clear" w:color="auto" w:fill="auto"/>
            <w:noWrap/>
            <w:hideMark/>
          </w:tcPr>
          <w:p w14:paraId="5E5DEFB6" w14:textId="77777777" w:rsidR="00185324" w:rsidRPr="00E86BE2" w:rsidRDefault="00185324" w:rsidP="006C132A">
            <w:pPr>
              <w:pStyle w:val="TableText"/>
              <w:rPr>
                <w:lang w:eastAsia="en-AU"/>
              </w:rPr>
            </w:pPr>
            <w:r>
              <w:rPr>
                <w:lang w:eastAsia="en-AU"/>
              </w:rPr>
              <w:t>18-29</w:t>
            </w:r>
          </w:p>
        </w:tc>
        <w:tc>
          <w:tcPr>
            <w:tcW w:w="1701" w:type="dxa"/>
            <w:shd w:val="clear" w:color="auto" w:fill="auto"/>
            <w:noWrap/>
            <w:hideMark/>
          </w:tcPr>
          <w:p w14:paraId="54C1F102" w14:textId="77777777" w:rsidR="00185324" w:rsidRPr="00E86BE2" w:rsidRDefault="00185324" w:rsidP="006C132A">
            <w:pPr>
              <w:pStyle w:val="TableText"/>
              <w:rPr>
                <w:lang w:eastAsia="en-AU"/>
              </w:rPr>
            </w:pPr>
            <w:r w:rsidRPr="00E86BE2">
              <w:rPr>
                <w:lang w:eastAsia="en-AU"/>
              </w:rPr>
              <w:t>17.8%</w:t>
            </w:r>
          </w:p>
        </w:tc>
        <w:tc>
          <w:tcPr>
            <w:tcW w:w="2049" w:type="dxa"/>
          </w:tcPr>
          <w:p w14:paraId="2F47B60A" w14:textId="77777777" w:rsidR="00185324" w:rsidRPr="00E86BE2" w:rsidRDefault="00185324" w:rsidP="006C132A">
            <w:pPr>
              <w:pStyle w:val="TableText"/>
              <w:rPr>
                <w:lang w:eastAsia="en-AU"/>
              </w:rPr>
            </w:pPr>
            <w:r>
              <w:rPr>
                <w:lang w:eastAsia="en-AU"/>
              </w:rPr>
              <w:t>17.9%</w:t>
            </w:r>
          </w:p>
        </w:tc>
      </w:tr>
      <w:tr w:rsidR="00185324" w:rsidRPr="00E86BE2" w14:paraId="59E521F0" w14:textId="77777777" w:rsidTr="00295BF5">
        <w:trPr>
          <w:trHeight w:val="315"/>
          <w:jc w:val="center"/>
        </w:trPr>
        <w:tc>
          <w:tcPr>
            <w:tcW w:w="4363" w:type="dxa"/>
            <w:shd w:val="clear" w:color="auto" w:fill="auto"/>
            <w:noWrap/>
            <w:hideMark/>
          </w:tcPr>
          <w:p w14:paraId="69F53D1C" w14:textId="77777777" w:rsidR="00185324" w:rsidRPr="00E86BE2" w:rsidRDefault="00185324" w:rsidP="006C132A">
            <w:pPr>
              <w:pStyle w:val="TableText"/>
              <w:rPr>
                <w:lang w:eastAsia="en-AU"/>
              </w:rPr>
            </w:pPr>
            <w:r w:rsidRPr="00E86BE2">
              <w:rPr>
                <w:lang w:eastAsia="en-AU"/>
              </w:rPr>
              <w:t>30-39</w:t>
            </w:r>
          </w:p>
        </w:tc>
        <w:tc>
          <w:tcPr>
            <w:tcW w:w="1701" w:type="dxa"/>
            <w:shd w:val="clear" w:color="auto" w:fill="auto"/>
            <w:noWrap/>
            <w:hideMark/>
          </w:tcPr>
          <w:p w14:paraId="00365C47" w14:textId="77777777" w:rsidR="00185324" w:rsidRPr="00E86BE2" w:rsidRDefault="00185324" w:rsidP="006C132A">
            <w:pPr>
              <w:pStyle w:val="TableText"/>
              <w:rPr>
                <w:lang w:eastAsia="en-AU"/>
              </w:rPr>
            </w:pPr>
            <w:r w:rsidRPr="00E86BE2">
              <w:rPr>
                <w:lang w:eastAsia="en-AU"/>
              </w:rPr>
              <w:t>19.1%</w:t>
            </w:r>
          </w:p>
        </w:tc>
        <w:tc>
          <w:tcPr>
            <w:tcW w:w="2049" w:type="dxa"/>
          </w:tcPr>
          <w:p w14:paraId="407EC1FF" w14:textId="77777777" w:rsidR="00185324" w:rsidRPr="00E86BE2" w:rsidRDefault="00185324" w:rsidP="006C132A">
            <w:pPr>
              <w:pStyle w:val="TableText"/>
              <w:rPr>
                <w:lang w:eastAsia="en-AU"/>
              </w:rPr>
            </w:pPr>
            <w:r>
              <w:rPr>
                <w:lang w:eastAsia="en-AU"/>
              </w:rPr>
              <w:t>18.6%</w:t>
            </w:r>
          </w:p>
        </w:tc>
      </w:tr>
      <w:tr w:rsidR="00185324" w:rsidRPr="00E86BE2" w14:paraId="12751D69" w14:textId="77777777" w:rsidTr="00295BF5">
        <w:trPr>
          <w:trHeight w:val="315"/>
          <w:jc w:val="center"/>
        </w:trPr>
        <w:tc>
          <w:tcPr>
            <w:tcW w:w="4363" w:type="dxa"/>
            <w:shd w:val="clear" w:color="auto" w:fill="auto"/>
            <w:noWrap/>
            <w:hideMark/>
          </w:tcPr>
          <w:p w14:paraId="4653D54B" w14:textId="77777777" w:rsidR="00185324" w:rsidRPr="00E86BE2" w:rsidRDefault="00185324" w:rsidP="006C132A">
            <w:pPr>
              <w:pStyle w:val="TableText"/>
              <w:rPr>
                <w:lang w:eastAsia="en-AU"/>
              </w:rPr>
            </w:pPr>
            <w:r w:rsidRPr="00E86BE2">
              <w:rPr>
                <w:lang w:eastAsia="en-AU"/>
              </w:rPr>
              <w:t>40-49</w:t>
            </w:r>
          </w:p>
        </w:tc>
        <w:tc>
          <w:tcPr>
            <w:tcW w:w="1701" w:type="dxa"/>
            <w:shd w:val="clear" w:color="auto" w:fill="auto"/>
            <w:noWrap/>
            <w:hideMark/>
          </w:tcPr>
          <w:p w14:paraId="192A87AC" w14:textId="77777777" w:rsidR="00185324" w:rsidRPr="00E86BE2" w:rsidRDefault="00185324" w:rsidP="006C132A">
            <w:pPr>
              <w:pStyle w:val="TableText"/>
              <w:rPr>
                <w:lang w:eastAsia="en-AU"/>
              </w:rPr>
            </w:pPr>
            <w:r w:rsidRPr="00E86BE2">
              <w:rPr>
                <w:lang w:eastAsia="en-AU"/>
              </w:rPr>
              <w:t>19.1%</w:t>
            </w:r>
          </w:p>
        </w:tc>
        <w:tc>
          <w:tcPr>
            <w:tcW w:w="2049" w:type="dxa"/>
          </w:tcPr>
          <w:p w14:paraId="0FA39AC4" w14:textId="77777777" w:rsidR="00185324" w:rsidRPr="00E86BE2" w:rsidRDefault="00185324" w:rsidP="006C132A">
            <w:pPr>
              <w:pStyle w:val="TableText"/>
              <w:rPr>
                <w:lang w:eastAsia="en-AU"/>
              </w:rPr>
            </w:pPr>
            <w:r>
              <w:rPr>
                <w:lang w:eastAsia="en-AU"/>
              </w:rPr>
              <w:t>18.8%</w:t>
            </w:r>
          </w:p>
        </w:tc>
      </w:tr>
      <w:tr w:rsidR="00185324" w:rsidRPr="00E86BE2" w14:paraId="0ED4C286" w14:textId="77777777" w:rsidTr="00295BF5">
        <w:trPr>
          <w:trHeight w:val="315"/>
          <w:jc w:val="center"/>
        </w:trPr>
        <w:tc>
          <w:tcPr>
            <w:tcW w:w="4363" w:type="dxa"/>
            <w:shd w:val="clear" w:color="auto" w:fill="auto"/>
            <w:noWrap/>
            <w:hideMark/>
          </w:tcPr>
          <w:p w14:paraId="31F5EE35" w14:textId="77777777" w:rsidR="00185324" w:rsidRPr="00E86BE2" w:rsidRDefault="00185324" w:rsidP="006C132A">
            <w:pPr>
              <w:pStyle w:val="TableText"/>
              <w:rPr>
                <w:lang w:eastAsia="en-AU"/>
              </w:rPr>
            </w:pPr>
            <w:r w:rsidRPr="00E86BE2">
              <w:rPr>
                <w:lang w:eastAsia="en-AU"/>
              </w:rPr>
              <w:t>50-59</w:t>
            </w:r>
          </w:p>
        </w:tc>
        <w:tc>
          <w:tcPr>
            <w:tcW w:w="1701" w:type="dxa"/>
            <w:shd w:val="clear" w:color="auto" w:fill="auto"/>
            <w:noWrap/>
            <w:hideMark/>
          </w:tcPr>
          <w:p w14:paraId="42C02F69" w14:textId="77777777" w:rsidR="00185324" w:rsidRPr="00E86BE2" w:rsidRDefault="00185324" w:rsidP="006C132A">
            <w:pPr>
              <w:pStyle w:val="TableText"/>
              <w:rPr>
                <w:lang w:eastAsia="en-AU"/>
              </w:rPr>
            </w:pPr>
            <w:r w:rsidRPr="00E86BE2">
              <w:rPr>
                <w:lang w:eastAsia="en-AU"/>
              </w:rPr>
              <w:t>17.6%</w:t>
            </w:r>
          </w:p>
        </w:tc>
        <w:tc>
          <w:tcPr>
            <w:tcW w:w="2049" w:type="dxa"/>
          </w:tcPr>
          <w:p w14:paraId="61E7A5E9" w14:textId="77777777" w:rsidR="00185324" w:rsidRPr="00E86BE2" w:rsidRDefault="00185324" w:rsidP="006C132A">
            <w:pPr>
              <w:pStyle w:val="TableText"/>
              <w:rPr>
                <w:lang w:eastAsia="en-AU"/>
              </w:rPr>
            </w:pPr>
            <w:r>
              <w:rPr>
                <w:lang w:eastAsia="en-AU"/>
              </w:rPr>
              <w:t>17.3%</w:t>
            </w:r>
          </w:p>
        </w:tc>
      </w:tr>
      <w:tr w:rsidR="00185324" w:rsidRPr="00E86BE2" w14:paraId="5FD3BF23" w14:textId="77777777" w:rsidTr="00295BF5">
        <w:trPr>
          <w:trHeight w:val="315"/>
          <w:jc w:val="center"/>
        </w:trPr>
        <w:tc>
          <w:tcPr>
            <w:tcW w:w="4363" w:type="dxa"/>
            <w:tcBorders>
              <w:bottom w:val="single" w:sz="12" w:space="0" w:color="auto"/>
            </w:tcBorders>
            <w:shd w:val="clear" w:color="auto" w:fill="auto"/>
            <w:noWrap/>
            <w:hideMark/>
          </w:tcPr>
          <w:p w14:paraId="13375138" w14:textId="77777777" w:rsidR="00185324" w:rsidRPr="00E86BE2" w:rsidRDefault="00185324" w:rsidP="006C132A">
            <w:pPr>
              <w:pStyle w:val="TableText"/>
              <w:rPr>
                <w:lang w:eastAsia="en-AU"/>
              </w:rPr>
            </w:pPr>
            <w:r w:rsidRPr="00E86BE2">
              <w:rPr>
                <w:lang w:eastAsia="en-AU"/>
              </w:rPr>
              <w:t>Over 59</w:t>
            </w:r>
          </w:p>
        </w:tc>
        <w:tc>
          <w:tcPr>
            <w:tcW w:w="1701" w:type="dxa"/>
            <w:tcBorders>
              <w:bottom w:val="single" w:sz="12" w:space="0" w:color="auto"/>
            </w:tcBorders>
            <w:shd w:val="clear" w:color="auto" w:fill="auto"/>
            <w:noWrap/>
            <w:hideMark/>
          </w:tcPr>
          <w:p w14:paraId="4C339035" w14:textId="77777777" w:rsidR="00185324" w:rsidRPr="00E86BE2" w:rsidRDefault="00185324" w:rsidP="006C132A">
            <w:pPr>
              <w:pStyle w:val="TableText"/>
              <w:rPr>
                <w:lang w:eastAsia="en-AU"/>
              </w:rPr>
            </w:pPr>
            <w:r w:rsidRPr="00E86BE2">
              <w:rPr>
                <w:lang w:eastAsia="en-AU"/>
              </w:rPr>
              <w:t>26.4%</w:t>
            </w:r>
          </w:p>
        </w:tc>
        <w:tc>
          <w:tcPr>
            <w:tcW w:w="2049" w:type="dxa"/>
            <w:tcBorders>
              <w:bottom w:val="single" w:sz="12" w:space="0" w:color="auto"/>
            </w:tcBorders>
          </w:tcPr>
          <w:p w14:paraId="71302A4D" w14:textId="77777777" w:rsidR="00185324" w:rsidRPr="00E86BE2" w:rsidRDefault="00185324" w:rsidP="006C132A">
            <w:pPr>
              <w:pStyle w:val="TableText"/>
              <w:rPr>
                <w:lang w:eastAsia="en-AU"/>
              </w:rPr>
            </w:pPr>
            <w:r>
              <w:rPr>
                <w:lang w:eastAsia="en-AU"/>
              </w:rPr>
              <w:t>27.4%</w:t>
            </w:r>
          </w:p>
        </w:tc>
      </w:tr>
      <w:tr w:rsidR="00185324" w:rsidRPr="00E86BE2" w14:paraId="697E086E" w14:textId="77777777" w:rsidTr="00295BF5">
        <w:trPr>
          <w:trHeight w:val="315"/>
          <w:jc w:val="center"/>
        </w:trPr>
        <w:tc>
          <w:tcPr>
            <w:tcW w:w="4363" w:type="dxa"/>
            <w:tcBorders>
              <w:top w:val="single" w:sz="12" w:space="0" w:color="auto"/>
            </w:tcBorders>
            <w:shd w:val="clear" w:color="auto" w:fill="auto"/>
            <w:noWrap/>
            <w:hideMark/>
          </w:tcPr>
          <w:p w14:paraId="59588299" w14:textId="77777777" w:rsidR="00185324" w:rsidRPr="00E86BE2" w:rsidRDefault="00185324" w:rsidP="006C132A">
            <w:pPr>
              <w:pStyle w:val="TableText"/>
              <w:rPr>
                <w:b/>
                <w:lang w:eastAsia="en-AU"/>
              </w:rPr>
            </w:pPr>
            <w:r w:rsidRPr="00E86BE2">
              <w:rPr>
                <w:b/>
                <w:lang w:eastAsia="en-AU"/>
              </w:rPr>
              <w:t>Gender</w:t>
            </w:r>
            <w:r>
              <w:rPr>
                <w:b/>
                <w:lang w:eastAsia="en-AU"/>
              </w:rPr>
              <w:t>:</w:t>
            </w:r>
          </w:p>
        </w:tc>
        <w:tc>
          <w:tcPr>
            <w:tcW w:w="1701" w:type="dxa"/>
            <w:tcBorders>
              <w:top w:val="single" w:sz="12" w:space="0" w:color="auto"/>
            </w:tcBorders>
            <w:shd w:val="clear" w:color="auto" w:fill="auto"/>
            <w:noWrap/>
            <w:hideMark/>
          </w:tcPr>
          <w:p w14:paraId="3396FC1A" w14:textId="77777777" w:rsidR="00185324" w:rsidRPr="00E86BE2" w:rsidRDefault="00185324" w:rsidP="006C132A">
            <w:pPr>
              <w:pStyle w:val="TableText"/>
              <w:rPr>
                <w:lang w:eastAsia="en-AU"/>
              </w:rPr>
            </w:pPr>
          </w:p>
        </w:tc>
        <w:tc>
          <w:tcPr>
            <w:tcW w:w="2049" w:type="dxa"/>
            <w:tcBorders>
              <w:top w:val="single" w:sz="12" w:space="0" w:color="auto"/>
            </w:tcBorders>
          </w:tcPr>
          <w:p w14:paraId="42524717" w14:textId="77777777" w:rsidR="00185324" w:rsidRPr="00E86BE2" w:rsidRDefault="00185324" w:rsidP="006C132A">
            <w:pPr>
              <w:pStyle w:val="TableText"/>
              <w:rPr>
                <w:lang w:eastAsia="en-AU"/>
              </w:rPr>
            </w:pPr>
          </w:p>
        </w:tc>
      </w:tr>
      <w:tr w:rsidR="00185324" w:rsidRPr="00E86BE2" w14:paraId="1114A0D4" w14:textId="77777777" w:rsidTr="00295BF5">
        <w:trPr>
          <w:trHeight w:val="315"/>
          <w:jc w:val="center"/>
        </w:trPr>
        <w:tc>
          <w:tcPr>
            <w:tcW w:w="4363" w:type="dxa"/>
            <w:shd w:val="clear" w:color="auto" w:fill="auto"/>
            <w:noWrap/>
            <w:hideMark/>
          </w:tcPr>
          <w:p w14:paraId="23166451" w14:textId="77777777" w:rsidR="00185324" w:rsidRPr="00E86BE2" w:rsidRDefault="00185324" w:rsidP="006C132A">
            <w:pPr>
              <w:pStyle w:val="TableText"/>
              <w:rPr>
                <w:lang w:eastAsia="en-AU"/>
              </w:rPr>
            </w:pPr>
            <w:r w:rsidRPr="00E86BE2">
              <w:rPr>
                <w:lang w:eastAsia="en-AU"/>
              </w:rPr>
              <w:t>Male</w:t>
            </w:r>
          </w:p>
        </w:tc>
        <w:tc>
          <w:tcPr>
            <w:tcW w:w="1701" w:type="dxa"/>
            <w:shd w:val="clear" w:color="auto" w:fill="auto"/>
            <w:noWrap/>
            <w:hideMark/>
          </w:tcPr>
          <w:p w14:paraId="2D1330AC" w14:textId="77777777" w:rsidR="00185324" w:rsidRPr="00E86BE2" w:rsidRDefault="00185324" w:rsidP="006C132A">
            <w:pPr>
              <w:pStyle w:val="TableText"/>
              <w:rPr>
                <w:lang w:eastAsia="en-AU"/>
              </w:rPr>
            </w:pPr>
            <w:r w:rsidRPr="00E86BE2">
              <w:rPr>
                <w:lang w:eastAsia="en-AU"/>
              </w:rPr>
              <w:t>48.5%</w:t>
            </w:r>
          </w:p>
        </w:tc>
        <w:tc>
          <w:tcPr>
            <w:tcW w:w="2049" w:type="dxa"/>
          </w:tcPr>
          <w:p w14:paraId="543F07A1" w14:textId="77777777" w:rsidR="00185324" w:rsidRPr="00E86BE2" w:rsidRDefault="00185324" w:rsidP="006C132A">
            <w:pPr>
              <w:pStyle w:val="TableText"/>
              <w:rPr>
                <w:lang w:eastAsia="en-AU"/>
              </w:rPr>
            </w:pPr>
            <w:r>
              <w:rPr>
                <w:lang w:eastAsia="en-AU"/>
              </w:rPr>
              <w:t>49.3%</w:t>
            </w:r>
          </w:p>
        </w:tc>
      </w:tr>
      <w:tr w:rsidR="00185324" w:rsidRPr="00E86BE2" w14:paraId="08CEB4B3" w14:textId="77777777" w:rsidTr="00295BF5">
        <w:trPr>
          <w:trHeight w:val="315"/>
          <w:jc w:val="center"/>
        </w:trPr>
        <w:tc>
          <w:tcPr>
            <w:tcW w:w="4363" w:type="dxa"/>
            <w:shd w:val="clear" w:color="auto" w:fill="auto"/>
            <w:noWrap/>
            <w:hideMark/>
          </w:tcPr>
          <w:p w14:paraId="5F6AA9B9" w14:textId="77777777" w:rsidR="00185324" w:rsidRPr="00E86BE2" w:rsidRDefault="00185324" w:rsidP="006C132A">
            <w:pPr>
              <w:pStyle w:val="TableText"/>
              <w:rPr>
                <w:lang w:eastAsia="en-AU"/>
              </w:rPr>
            </w:pPr>
            <w:r w:rsidRPr="00E86BE2">
              <w:rPr>
                <w:lang w:eastAsia="en-AU"/>
              </w:rPr>
              <w:t>Female</w:t>
            </w:r>
          </w:p>
        </w:tc>
        <w:tc>
          <w:tcPr>
            <w:tcW w:w="1701" w:type="dxa"/>
            <w:shd w:val="clear" w:color="auto" w:fill="auto"/>
            <w:noWrap/>
            <w:hideMark/>
          </w:tcPr>
          <w:p w14:paraId="19FE0DB4" w14:textId="77777777" w:rsidR="00185324" w:rsidRPr="00E86BE2" w:rsidRDefault="00185324" w:rsidP="006C132A">
            <w:pPr>
              <w:pStyle w:val="TableText"/>
              <w:rPr>
                <w:lang w:eastAsia="en-AU"/>
              </w:rPr>
            </w:pPr>
            <w:r w:rsidRPr="00E86BE2">
              <w:rPr>
                <w:lang w:eastAsia="en-AU"/>
              </w:rPr>
              <w:t>49.9%</w:t>
            </w:r>
          </w:p>
        </w:tc>
        <w:tc>
          <w:tcPr>
            <w:tcW w:w="2049" w:type="dxa"/>
          </w:tcPr>
          <w:p w14:paraId="426070A8" w14:textId="77777777" w:rsidR="00185324" w:rsidRPr="00E86BE2" w:rsidRDefault="00185324" w:rsidP="006C132A">
            <w:pPr>
              <w:pStyle w:val="TableText"/>
              <w:rPr>
                <w:lang w:eastAsia="en-AU"/>
              </w:rPr>
            </w:pPr>
            <w:r>
              <w:rPr>
                <w:lang w:eastAsia="en-AU"/>
              </w:rPr>
              <w:t>50.7%</w:t>
            </w:r>
          </w:p>
        </w:tc>
      </w:tr>
      <w:tr w:rsidR="00185324" w:rsidRPr="00E86BE2" w14:paraId="6FD2EE0E" w14:textId="77777777" w:rsidTr="00295BF5">
        <w:trPr>
          <w:trHeight w:val="315"/>
          <w:jc w:val="center"/>
        </w:trPr>
        <w:tc>
          <w:tcPr>
            <w:tcW w:w="4363" w:type="dxa"/>
            <w:shd w:val="clear" w:color="auto" w:fill="auto"/>
            <w:noWrap/>
            <w:hideMark/>
          </w:tcPr>
          <w:p w14:paraId="7CF6FE6E" w14:textId="77777777" w:rsidR="00185324" w:rsidRPr="00E86BE2" w:rsidRDefault="00185324" w:rsidP="006C132A">
            <w:pPr>
              <w:pStyle w:val="TableText"/>
              <w:rPr>
                <w:lang w:eastAsia="en-AU"/>
              </w:rPr>
            </w:pPr>
            <w:r w:rsidRPr="00E86BE2">
              <w:rPr>
                <w:lang w:eastAsia="en-AU"/>
              </w:rPr>
              <w:t>Intersex</w:t>
            </w:r>
          </w:p>
        </w:tc>
        <w:tc>
          <w:tcPr>
            <w:tcW w:w="1701" w:type="dxa"/>
            <w:shd w:val="clear" w:color="auto" w:fill="auto"/>
            <w:noWrap/>
            <w:hideMark/>
          </w:tcPr>
          <w:p w14:paraId="2A8BC623" w14:textId="77777777" w:rsidR="00185324" w:rsidRPr="00E86BE2" w:rsidRDefault="00185324" w:rsidP="006C132A">
            <w:pPr>
              <w:pStyle w:val="TableText"/>
              <w:rPr>
                <w:lang w:eastAsia="en-AU"/>
              </w:rPr>
            </w:pPr>
            <w:r w:rsidRPr="00E86BE2">
              <w:rPr>
                <w:lang w:eastAsia="en-AU"/>
              </w:rPr>
              <w:t>1.0%</w:t>
            </w:r>
          </w:p>
        </w:tc>
        <w:tc>
          <w:tcPr>
            <w:tcW w:w="2049" w:type="dxa"/>
          </w:tcPr>
          <w:p w14:paraId="4F3CF013" w14:textId="77777777" w:rsidR="00185324" w:rsidRPr="00E86BE2" w:rsidRDefault="00185324" w:rsidP="006C132A">
            <w:pPr>
              <w:pStyle w:val="TableText"/>
              <w:rPr>
                <w:lang w:eastAsia="en-AU"/>
              </w:rPr>
            </w:pPr>
            <w:r>
              <w:rPr>
                <w:lang w:eastAsia="en-AU"/>
              </w:rPr>
              <w:t>-</w:t>
            </w:r>
          </w:p>
        </w:tc>
      </w:tr>
      <w:tr w:rsidR="00185324" w:rsidRPr="00E86BE2" w14:paraId="229F506D" w14:textId="77777777" w:rsidTr="00295BF5">
        <w:trPr>
          <w:trHeight w:val="315"/>
          <w:jc w:val="center"/>
        </w:trPr>
        <w:tc>
          <w:tcPr>
            <w:tcW w:w="4363" w:type="dxa"/>
            <w:tcBorders>
              <w:bottom w:val="single" w:sz="12" w:space="0" w:color="auto"/>
            </w:tcBorders>
            <w:shd w:val="clear" w:color="auto" w:fill="auto"/>
            <w:noWrap/>
            <w:hideMark/>
          </w:tcPr>
          <w:p w14:paraId="0A03712C" w14:textId="77777777" w:rsidR="00185324" w:rsidRPr="00E86BE2" w:rsidRDefault="00185324" w:rsidP="006C132A">
            <w:pPr>
              <w:pStyle w:val="TableText"/>
              <w:rPr>
                <w:lang w:eastAsia="en-AU"/>
              </w:rPr>
            </w:pPr>
            <w:r w:rsidRPr="00E86BE2">
              <w:rPr>
                <w:lang w:eastAsia="en-AU"/>
              </w:rPr>
              <w:t>Indeterminate</w:t>
            </w:r>
          </w:p>
        </w:tc>
        <w:tc>
          <w:tcPr>
            <w:tcW w:w="1701" w:type="dxa"/>
            <w:tcBorders>
              <w:bottom w:val="single" w:sz="12" w:space="0" w:color="auto"/>
            </w:tcBorders>
            <w:shd w:val="clear" w:color="auto" w:fill="auto"/>
            <w:noWrap/>
            <w:hideMark/>
          </w:tcPr>
          <w:p w14:paraId="41194F9E" w14:textId="77777777" w:rsidR="00185324" w:rsidRPr="00E86BE2" w:rsidRDefault="00185324" w:rsidP="006C132A">
            <w:pPr>
              <w:pStyle w:val="TableText"/>
              <w:rPr>
                <w:lang w:eastAsia="en-AU"/>
              </w:rPr>
            </w:pPr>
            <w:r w:rsidRPr="00E86BE2">
              <w:rPr>
                <w:lang w:eastAsia="en-AU"/>
              </w:rPr>
              <w:t>0.6%</w:t>
            </w:r>
          </w:p>
        </w:tc>
        <w:tc>
          <w:tcPr>
            <w:tcW w:w="2049" w:type="dxa"/>
            <w:tcBorders>
              <w:bottom w:val="single" w:sz="12" w:space="0" w:color="auto"/>
            </w:tcBorders>
          </w:tcPr>
          <w:p w14:paraId="031047CE" w14:textId="77777777" w:rsidR="00185324" w:rsidRPr="00E86BE2" w:rsidRDefault="00185324" w:rsidP="006C132A">
            <w:pPr>
              <w:pStyle w:val="TableText"/>
              <w:rPr>
                <w:lang w:eastAsia="en-AU"/>
              </w:rPr>
            </w:pPr>
            <w:r>
              <w:rPr>
                <w:lang w:eastAsia="en-AU"/>
              </w:rPr>
              <w:t>-</w:t>
            </w:r>
          </w:p>
        </w:tc>
      </w:tr>
      <w:tr w:rsidR="00185324" w:rsidRPr="00E86BE2" w14:paraId="1F5AF5FB" w14:textId="77777777" w:rsidTr="00295BF5">
        <w:trPr>
          <w:trHeight w:val="315"/>
          <w:jc w:val="center"/>
        </w:trPr>
        <w:tc>
          <w:tcPr>
            <w:tcW w:w="4363" w:type="dxa"/>
            <w:tcBorders>
              <w:top w:val="single" w:sz="12" w:space="0" w:color="auto"/>
            </w:tcBorders>
            <w:shd w:val="clear" w:color="auto" w:fill="auto"/>
            <w:noWrap/>
            <w:hideMark/>
          </w:tcPr>
          <w:p w14:paraId="54DD2DFB" w14:textId="77777777" w:rsidR="00185324" w:rsidRPr="00E86BE2" w:rsidRDefault="00185324" w:rsidP="006C132A">
            <w:pPr>
              <w:pStyle w:val="TableText"/>
              <w:rPr>
                <w:b/>
                <w:lang w:eastAsia="en-AU"/>
              </w:rPr>
            </w:pPr>
            <w:r>
              <w:rPr>
                <w:b/>
                <w:lang w:eastAsia="en-AU"/>
              </w:rPr>
              <w:t>Level of Highest Educational Attainment:</w:t>
            </w:r>
          </w:p>
        </w:tc>
        <w:tc>
          <w:tcPr>
            <w:tcW w:w="1701" w:type="dxa"/>
            <w:tcBorders>
              <w:top w:val="single" w:sz="12" w:space="0" w:color="auto"/>
            </w:tcBorders>
            <w:shd w:val="clear" w:color="auto" w:fill="auto"/>
            <w:noWrap/>
            <w:hideMark/>
          </w:tcPr>
          <w:p w14:paraId="4439D27F" w14:textId="77777777" w:rsidR="00185324" w:rsidRPr="00E86BE2" w:rsidRDefault="00185324" w:rsidP="006C132A">
            <w:pPr>
              <w:pStyle w:val="TableText"/>
              <w:rPr>
                <w:lang w:eastAsia="en-AU"/>
              </w:rPr>
            </w:pPr>
          </w:p>
        </w:tc>
        <w:tc>
          <w:tcPr>
            <w:tcW w:w="2049" w:type="dxa"/>
            <w:tcBorders>
              <w:top w:val="single" w:sz="12" w:space="0" w:color="auto"/>
            </w:tcBorders>
          </w:tcPr>
          <w:p w14:paraId="794D2395" w14:textId="77777777" w:rsidR="00185324" w:rsidRPr="00E86BE2" w:rsidRDefault="00185324" w:rsidP="006C132A">
            <w:pPr>
              <w:pStyle w:val="TableText"/>
              <w:rPr>
                <w:lang w:eastAsia="en-AU"/>
              </w:rPr>
            </w:pPr>
          </w:p>
        </w:tc>
      </w:tr>
      <w:tr w:rsidR="00185324" w:rsidRPr="00E86BE2" w14:paraId="0DE65E14" w14:textId="77777777" w:rsidTr="00295BF5">
        <w:trPr>
          <w:trHeight w:val="315"/>
          <w:jc w:val="center"/>
        </w:trPr>
        <w:tc>
          <w:tcPr>
            <w:tcW w:w="4363" w:type="dxa"/>
            <w:shd w:val="clear" w:color="auto" w:fill="auto"/>
            <w:noWrap/>
            <w:hideMark/>
          </w:tcPr>
          <w:p w14:paraId="7F9B528E" w14:textId="77777777" w:rsidR="00185324" w:rsidRPr="00E86BE2" w:rsidRDefault="00185324" w:rsidP="006C132A">
            <w:pPr>
              <w:pStyle w:val="TableText"/>
              <w:rPr>
                <w:lang w:eastAsia="en-AU"/>
              </w:rPr>
            </w:pPr>
            <w:r w:rsidRPr="00E86BE2">
              <w:rPr>
                <w:lang w:eastAsia="en-AU"/>
              </w:rPr>
              <w:t>Secondary Education</w:t>
            </w:r>
          </w:p>
        </w:tc>
        <w:tc>
          <w:tcPr>
            <w:tcW w:w="1701" w:type="dxa"/>
            <w:shd w:val="clear" w:color="auto" w:fill="auto"/>
            <w:noWrap/>
            <w:hideMark/>
          </w:tcPr>
          <w:p w14:paraId="04BB1085" w14:textId="77777777" w:rsidR="00185324" w:rsidRPr="00E86BE2" w:rsidRDefault="00185324" w:rsidP="006C132A">
            <w:pPr>
              <w:pStyle w:val="TableText"/>
              <w:rPr>
                <w:lang w:eastAsia="en-AU"/>
              </w:rPr>
            </w:pPr>
            <w:r w:rsidRPr="00E86BE2">
              <w:rPr>
                <w:lang w:eastAsia="en-AU"/>
              </w:rPr>
              <w:t>21.0%</w:t>
            </w:r>
          </w:p>
        </w:tc>
        <w:tc>
          <w:tcPr>
            <w:tcW w:w="2049" w:type="dxa"/>
          </w:tcPr>
          <w:p w14:paraId="17756668" w14:textId="77777777" w:rsidR="00185324" w:rsidRPr="00E86BE2" w:rsidRDefault="00185324" w:rsidP="006C132A">
            <w:pPr>
              <w:pStyle w:val="TableText"/>
              <w:rPr>
                <w:lang w:eastAsia="en-AU"/>
              </w:rPr>
            </w:pPr>
            <w:r>
              <w:rPr>
                <w:lang w:eastAsia="en-AU"/>
              </w:rPr>
              <w:t>34.5%</w:t>
            </w:r>
          </w:p>
        </w:tc>
      </w:tr>
      <w:tr w:rsidR="00185324" w:rsidRPr="00E86BE2" w14:paraId="3AE9A829" w14:textId="77777777" w:rsidTr="00295BF5">
        <w:trPr>
          <w:trHeight w:val="315"/>
          <w:jc w:val="center"/>
        </w:trPr>
        <w:tc>
          <w:tcPr>
            <w:tcW w:w="4363" w:type="dxa"/>
            <w:shd w:val="clear" w:color="auto" w:fill="auto"/>
            <w:noWrap/>
            <w:hideMark/>
          </w:tcPr>
          <w:p w14:paraId="59B3E4E1" w14:textId="77777777" w:rsidR="00185324" w:rsidRPr="00E86BE2" w:rsidRDefault="00185324" w:rsidP="006C132A">
            <w:pPr>
              <w:pStyle w:val="TableText"/>
              <w:rPr>
                <w:lang w:eastAsia="en-AU"/>
              </w:rPr>
            </w:pPr>
            <w:r w:rsidRPr="00E86BE2">
              <w:rPr>
                <w:lang w:eastAsia="en-AU"/>
              </w:rPr>
              <w:t>Certificate Level</w:t>
            </w:r>
          </w:p>
        </w:tc>
        <w:tc>
          <w:tcPr>
            <w:tcW w:w="1701" w:type="dxa"/>
            <w:shd w:val="clear" w:color="auto" w:fill="auto"/>
            <w:noWrap/>
            <w:hideMark/>
          </w:tcPr>
          <w:p w14:paraId="65606DBE" w14:textId="77777777" w:rsidR="00185324" w:rsidRPr="00E86BE2" w:rsidRDefault="00185324" w:rsidP="006C132A">
            <w:pPr>
              <w:pStyle w:val="TableText"/>
              <w:rPr>
                <w:lang w:eastAsia="en-AU"/>
              </w:rPr>
            </w:pPr>
            <w:r w:rsidRPr="00E86BE2">
              <w:rPr>
                <w:lang w:eastAsia="en-AU"/>
              </w:rPr>
              <w:t>21.2%</w:t>
            </w:r>
          </w:p>
        </w:tc>
        <w:tc>
          <w:tcPr>
            <w:tcW w:w="2049" w:type="dxa"/>
          </w:tcPr>
          <w:p w14:paraId="3F5F0257" w14:textId="77777777" w:rsidR="00185324" w:rsidRPr="00E86BE2" w:rsidRDefault="00185324" w:rsidP="006C132A">
            <w:pPr>
              <w:pStyle w:val="TableText"/>
              <w:rPr>
                <w:lang w:eastAsia="en-AU"/>
              </w:rPr>
            </w:pPr>
            <w:r>
              <w:rPr>
                <w:lang w:eastAsia="en-AU"/>
              </w:rPr>
              <w:t>17.5%</w:t>
            </w:r>
          </w:p>
        </w:tc>
      </w:tr>
      <w:tr w:rsidR="00185324" w:rsidRPr="00E86BE2" w14:paraId="027F048A" w14:textId="77777777" w:rsidTr="00295BF5">
        <w:trPr>
          <w:trHeight w:val="315"/>
          <w:jc w:val="center"/>
        </w:trPr>
        <w:tc>
          <w:tcPr>
            <w:tcW w:w="4363" w:type="dxa"/>
            <w:shd w:val="clear" w:color="auto" w:fill="auto"/>
            <w:noWrap/>
            <w:hideMark/>
          </w:tcPr>
          <w:p w14:paraId="30E4FD98" w14:textId="77777777" w:rsidR="00185324" w:rsidRPr="00E86BE2" w:rsidRDefault="00185324" w:rsidP="006C132A">
            <w:pPr>
              <w:pStyle w:val="TableText"/>
              <w:rPr>
                <w:lang w:eastAsia="en-AU"/>
              </w:rPr>
            </w:pPr>
            <w:r w:rsidRPr="00E86BE2">
              <w:rPr>
                <w:lang w:eastAsia="en-AU"/>
              </w:rPr>
              <w:t>Advanced Diploma and Diploma</w:t>
            </w:r>
          </w:p>
        </w:tc>
        <w:tc>
          <w:tcPr>
            <w:tcW w:w="1701" w:type="dxa"/>
            <w:shd w:val="clear" w:color="auto" w:fill="auto"/>
            <w:noWrap/>
            <w:hideMark/>
          </w:tcPr>
          <w:p w14:paraId="5BE17BBF" w14:textId="77777777" w:rsidR="00185324" w:rsidRPr="00E86BE2" w:rsidRDefault="00185324" w:rsidP="006C132A">
            <w:pPr>
              <w:pStyle w:val="TableText"/>
              <w:rPr>
                <w:lang w:eastAsia="en-AU"/>
              </w:rPr>
            </w:pPr>
            <w:r w:rsidRPr="00E86BE2">
              <w:rPr>
                <w:lang w:eastAsia="en-AU"/>
              </w:rPr>
              <w:t>16.3%</w:t>
            </w:r>
          </w:p>
        </w:tc>
        <w:tc>
          <w:tcPr>
            <w:tcW w:w="2049" w:type="dxa"/>
          </w:tcPr>
          <w:p w14:paraId="74552BD2" w14:textId="77777777" w:rsidR="00185324" w:rsidRPr="00E86BE2" w:rsidRDefault="00185324" w:rsidP="006C132A">
            <w:pPr>
              <w:pStyle w:val="TableText"/>
              <w:rPr>
                <w:lang w:eastAsia="en-AU"/>
              </w:rPr>
            </w:pPr>
            <w:r>
              <w:rPr>
                <w:lang w:eastAsia="en-AU"/>
              </w:rPr>
              <w:t>9.2%</w:t>
            </w:r>
          </w:p>
        </w:tc>
      </w:tr>
      <w:tr w:rsidR="00185324" w:rsidRPr="00E86BE2" w14:paraId="48606EE9" w14:textId="77777777" w:rsidTr="00295BF5">
        <w:trPr>
          <w:trHeight w:val="315"/>
          <w:jc w:val="center"/>
        </w:trPr>
        <w:tc>
          <w:tcPr>
            <w:tcW w:w="4363" w:type="dxa"/>
            <w:shd w:val="clear" w:color="auto" w:fill="auto"/>
            <w:noWrap/>
            <w:hideMark/>
          </w:tcPr>
          <w:p w14:paraId="5DDDCF50" w14:textId="77777777" w:rsidR="00185324" w:rsidRPr="00E86BE2" w:rsidRDefault="00185324" w:rsidP="006C132A">
            <w:pPr>
              <w:pStyle w:val="TableText"/>
              <w:rPr>
                <w:lang w:eastAsia="en-AU"/>
              </w:rPr>
            </w:pPr>
            <w:r w:rsidRPr="00E86BE2">
              <w:rPr>
                <w:lang w:eastAsia="en-AU"/>
              </w:rPr>
              <w:t>Bachelor Degree</w:t>
            </w:r>
          </w:p>
        </w:tc>
        <w:tc>
          <w:tcPr>
            <w:tcW w:w="1701" w:type="dxa"/>
            <w:shd w:val="clear" w:color="auto" w:fill="auto"/>
            <w:noWrap/>
            <w:hideMark/>
          </w:tcPr>
          <w:p w14:paraId="21671E36" w14:textId="77777777" w:rsidR="00185324" w:rsidRPr="00E86BE2" w:rsidRDefault="00185324" w:rsidP="006C132A">
            <w:pPr>
              <w:pStyle w:val="TableText"/>
              <w:rPr>
                <w:lang w:eastAsia="en-AU"/>
              </w:rPr>
            </w:pPr>
            <w:r w:rsidRPr="00E86BE2">
              <w:rPr>
                <w:lang w:eastAsia="en-AU"/>
              </w:rPr>
              <w:t>26.8%</w:t>
            </w:r>
          </w:p>
        </w:tc>
        <w:tc>
          <w:tcPr>
            <w:tcW w:w="2049" w:type="dxa"/>
          </w:tcPr>
          <w:p w14:paraId="0BFEC88D" w14:textId="77777777" w:rsidR="00185324" w:rsidRPr="00E86BE2" w:rsidRDefault="00185324" w:rsidP="006C132A">
            <w:pPr>
              <w:pStyle w:val="TableText"/>
              <w:rPr>
                <w:lang w:eastAsia="en-AU"/>
              </w:rPr>
            </w:pPr>
            <w:r>
              <w:rPr>
                <w:lang w:eastAsia="en-AU"/>
              </w:rPr>
              <w:t>17.6%</w:t>
            </w:r>
          </w:p>
        </w:tc>
      </w:tr>
      <w:tr w:rsidR="00185324" w:rsidRPr="00E86BE2" w14:paraId="7D8B55F0" w14:textId="77777777" w:rsidTr="00295BF5">
        <w:trPr>
          <w:trHeight w:val="630"/>
          <w:jc w:val="center"/>
        </w:trPr>
        <w:tc>
          <w:tcPr>
            <w:tcW w:w="4363" w:type="dxa"/>
            <w:shd w:val="clear" w:color="auto" w:fill="auto"/>
            <w:hideMark/>
          </w:tcPr>
          <w:p w14:paraId="368BC87F" w14:textId="77777777" w:rsidR="00185324" w:rsidRPr="00E86BE2" w:rsidRDefault="00185324" w:rsidP="006C132A">
            <w:pPr>
              <w:pStyle w:val="TableText"/>
              <w:rPr>
                <w:lang w:eastAsia="en-AU"/>
              </w:rPr>
            </w:pPr>
            <w:r w:rsidRPr="00E86BE2">
              <w:rPr>
                <w:lang w:eastAsia="en-AU"/>
              </w:rPr>
              <w:t xml:space="preserve">Graduate Diploma and </w:t>
            </w:r>
            <w:r w:rsidRPr="00E86BE2">
              <w:rPr>
                <w:lang w:eastAsia="en-AU"/>
              </w:rPr>
              <w:br/>
              <w:t>Graduate Certificate Level</w:t>
            </w:r>
          </w:p>
        </w:tc>
        <w:tc>
          <w:tcPr>
            <w:tcW w:w="1701" w:type="dxa"/>
            <w:shd w:val="clear" w:color="auto" w:fill="auto"/>
            <w:noWrap/>
            <w:hideMark/>
          </w:tcPr>
          <w:p w14:paraId="2B978089" w14:textId="77777777" w:rsidR="00185324" w:rsidRPr="00E86BE2" w:rsidRDefault="00185324" w:rsidP="006C132A">
            <w:pPr>
              <w:pStyle w:val="TableText"/>
              <w:rPr>
                <w:lang w:eastAsia="en-AU"/>
              </w:rPr>
            </w:pPr>
            <w:r w:rsidRPr="00E86BE2">
              <w:rPr>
                <w:lang w:eastAsia="en-AU"/>
              </w:rPr>
              <w:t>4.7%</w:t>
            </w:r>
          </w:p>
        </w:tc>
        <w:tc>
          <w:tcPr>
            <w:tcW w:w="2049" w:type="dxa"/>
          </w:tcPr>
          <w:p w14:paraId="6E2ADDC9" w14:textId="77777777" w:rsidR="00185324" w:rsidRPr="00E86BE2" w:rsidRDefault="00185324" w:rsidP="006C132A">
            <w:pPr>
              <w:pStyle w:val="TableText"/>
              <w:rPr>
                <w:lang w:eastAsia="en-AU"/>
              </w:rPr>
            </w:pPr>
            <w:r>
              <w:rPr>
                <w:lang w:eastAsia="en-AU"/>
              </w:rPr>
              <w:t>2.6%</w:t>
            </w:r>
          </w:p>
        </w:tc>
      </w:tr>
      <w:tr w:rsidR="00185324" w:rsidRPr="00E86BE2" w14:paraId="5028B02C" w14:textId="77777777" w:rsidTr="00295BF5">
        <w:trPr>
          <w:trHeight w:val="315"/>
          <w:jc w:val="center"/>
        </w:trPr>
        <w:tc>
          <w:tcPr>
            <w:tcW w:w="4363" w:type="dxa"/>
            <w:tcBorders>
              <w:bottom w:val="single" w:sz="12" w:space="0" w:color="auto"/>
            </w:tcBorders>
            <w:shd w:val="clear" w:color="auto" w:fill="auto"/>
            <w:noWrap/>
            <w:hideMark/>
          </w:tcPr>
          <w:p w14:paraId="656CC402" w14:textId="77777777" w:rsidR="00185324" w:rsidRDefault="00185324" w:rsidP="006C132A">
            <w:pPr>
              <w:pStyle w:val="TableText"/>
              <w:rPr>
                <w:lang w:eastAsia="en-AU"/>
              </w:rPr>
            </w:pPr>
            <w:r w:rsidRPr="00E86BE2">
              <w:rPr>
                <w:lang w:eastAsia="en-AU"/>
              </w:rPr>
              <w:t>Postgraduate Degree Level</w:t>
            </w:r>
          </w:p>
          <w:p w14:paraId="18A86941" w14:textId="77777777" w:rsidR="00185324" w:rsidRPr="00E86BE2" w:rsidRDefault="00185324" w:rsidP="006C132A">
            <w:pPr>
              <w:pStyle w:val="TableText"/>
              <w:rPr>
                <w:lang w:eastAsia="en-AU"/>
              </w:rPr>
            </w:pPr>
            <w:r w:rsidRPr="00560E8F">
              <w:rPr>
                <w:sz w:val="16"/>
                <w:szCs w:val="16"/>
                <w:lang w:eastAsia="en-AU"/>
              </w:rPr>
              <w:t>(Comparator Source:</w:t>
            </w:r>
            <w:r>
              <w:rPr>
                <w:sz w:val="16"/>
                <w:szCs w:val="16"/>
                <w:lang w:eastAsia="en-AU"/>
              </w:rPr>
              <w:t xml:space="preserve"> Australian Bureau of Statistics: </w:t>
            </w:r>
            <w:r w:rsidRPr="00560E8F">
              <w:rPr>
                <w:sz w:val="16"/>
                <w:szCs w:val="16"/>
                <w:lang w:eastAsia="en-AU"/>
              </w:rPr>
              <w:t>Education and Work, Australia, May 2015</w:t>
            </w:r>
            <w:r>
              <w:rPr>
                <w:sz w:val="16"/>
                <w:szCs w:val="16"/>
                <w:lang w:eastAsia="en-AU"/>
              </w:rPr>
              <w:t xml:space="preserve">, </w:t>
            </w:r>
            <w:r w:rsidRPr="00560E8F">
              <w:rPr>
                <w:sz w:val="16"/>
                <w:szCs w:val="16"/>
                <w:lang w:eastAsia="en-AU"/>
              </w:rPr>
              <w:t>62270DO001_201505</w:t>
            </w:r>
            <w:r>
              <w:rPr>
                <w:sz w:val="16"/>
                <w:szCs w:val="16"/>
                <w:lang w:eastAsia="en-AU"/>
              </w:rPr>
              <w:t>)</w:t>
            </w:r>
          </w:p>
        </w:tc>
        <w:tc>
          <w:tcPr>
            <w:tcW w:w="1701" w:type="dxa"/>
            <w:tcBorders>
              <w:bottom w:val="single" w:sz="12" w:space="0" w:color="auto"/>
            </w:tcBorders>
            <w:shd w:val="clear" w:color="auto" w:fill="auto"/>
            <w:noWrap/>
            <w:hideMark/>
          </w:tcPr>
          <w:p w14:paraId="0FDAA501" w14:textId="77777777" w:rsidR="00185324" w:rsidRPr="00E86BE2" w:rsidRDefault="00185324" w:rsidP="006C132A">
            <w:pPr>
              <w:pStyle w:val="TableText"/>
              <w:rPr>
                <w:lang w:eastAsia="en-AU"/>
              </w:rPr>
            </w:pPr>
            <w:r w:rsidRPr="00E86BE2">
              <w:rPr>
                <w:lang w:eastAsia="en-AU"/>
              </w:rPr>
              <w:t>10.0%</w:t>
            </w:r>
          </w:p>
        </w:tc>
        <w:tc>
          <w:tcPr>
            <w:tcW w:w="2049" w:type="dxa"/>
            <w:tcBorders>
              <w:bottom w:val="single" w:sz="12" w:space="0" w:color="auto"/>
            </w:tcBorders>
          </w:tcPr>
          <w:p w14:paraId="51F8C84A" w14:textId="77777777" w:rsidR="00185324" w:rsidRPr="00E86BE2" w:rsidRDefault="00185324" w:rsidP="006C132A">
            <w:pPr>
              <w:pStyle w:val="TableText"/>
              <w:rPr>
                <w:lang w:eastAsia="en-AU"/>
              </w:rPr>
            </w:pPr>
            <w:r>
              <w:rPr>
                <w:lang w:eastAsia="en-AU"/>
              </w:rPr>
              <w:t>6.3%</w:t>
            </w:r>
          </w:p>
        </w:tc>
      </w:tr>
      <w:tr w:rsidR="00185324" w:rsidRPr="00E86BE2" w14:paraId="4D32BF3A" w14:textId="77777777" w:rsidTr="00295BF5">
        <w:trPr>
          <w:trHeight w:val="315"/>
          <w:jc w:val="center"/>
        </w:trPr>
        <w:tc>
          <w:tcPr>
            <w:tcW w:w="4363" w:type="dxa"/>
            <w:tcBorders>
              <w:top w:val="single" w:sz="12" w:space="0" w:color="auto"/>
            </w:tcBorders>
            <w:shd w:val="clear" w:color="auto" w:fill="auto"/>
            <w:noWrap/>
            <w:hideMark/>
          </w:tcPr>
          <w:p w14:paraId="43FB7A66" w14:textId="77777777" w:rsidR="00185324" w:rsidRPr="00E86BE2" w:rsidRDefault="00185324" w:rsidP="006C132A">
            <w:pPr>
              <w:pStyle w:val="TableText"/>
              <w:rPr>
                <w:b/>
                <w:lang w:eastAsia="en-AU"/>
              </w:rPr>
            </w:pPr>
            <w:r>
              <w:rPr>
                <w:b/>
                <w:lang w:eastAsia="en-AU"/>
              </w:rPr>
              <w:t>Ever Worked</w:t>
            </w:r>
            <w:r w:rsidRPr="00E86BE2">
              <w:rPr>
                <w:b/>
                <w:lang w:eastAsia="en-AU"/>
              </w:rPr>
              <w:t xml:space="preserve"> in</w:t>
            </w:r>
            <w:r>
              <w:rPr>
                <w:b/>
                <w:lang w:eastAsia="en-AU"/>
              </w:rPr>
              <w:t xml:space="preserve"> the</w:t>
            </w:r>
            <w:r w:rsidRPr="00E86BE2">
              <w:rPr>
                <w:b/>
                <w:lang w:eastAsia="en-AU"/>
              </w:rPr>
              <w:t xml:space="preserve"> Healthcare Industry</w:t>
            </w:r>
            <w:r>
              <w:rPr>
                <w:b/>
                <w:lang w:eastAsia="en-AU"/>
              </w:rPr>
              <w:t>:</w:t>
            </w:r>
          </w:p>
        </w:tc>
        <w:tc>
          <w:tcPr>
            <w:tcW w:w="1701" w:type="dxa"/>
            <w:tcBorders>
              <w:top w:val="single" w:sz="12" w:space="0" w:color="auto"/>
            </w:tcBorders>
            <w:shd w:val="clear" w:color="auto" w:fill="auto"/>
            <w:noWrap/>
            <w:hideMark/>
          </w:tcPr>
          <w:p w14:paraId="219382E8" w14:textId="77777777" w:rsidR="00185324" w:rsidRPr="00E86BE2" w:rsidRDefault="00185324" w:rsidP="006C132A">
            <w:pPr>
              <w:pStyle w:val="TableText"/>
              <w:rPr>
                <w:lang w:eastAsia="en-AU"/>
              </w:rPr>
            </w:pPr>
          </w:p>
        </w:tc>
        <w:tc>
          <w:tcPr>
            <w:tcW w:w="2049" w:type="dxa"/>
            <w:tcBorders>
              <w:top w:val="single" w:sz="12" w:space="0" w:color="auto"/>
            </w:tcBorders>
          </w:tcPr>
          <w:p w14:paraId="3311CEAE" w14:textId="77777777" w:rsidR="00185324" w:rsidRPr="00E86BE2" w:rsidRDefault="00185324" w:rsidP="006C132A">
            <w:pPr>
              <w:pStyle w:val="TableText"/>
              <w:rPr>
                <w:lang w:eastAsia="en-AU"/>
              </w:rPr>
            </w:pPr>
          </w:p>
        </w:tc>
      </w:tr>
      <w:tr w:rsidR="00185324" w:rsidRPr="00E86BE2" w14:paraId="6154DF7E" w14:textId="77777777" w:rsidTr="00295BF5">
        <w:trPr>
          <w:trHeight w:val="315"/>
          <w:jc w:val="center"/>
        </w:trPr>
        <w:tc>
          <w:tcPr>
            <w:tcW w:w="4363" w:type="dxa"/>
            <w:shd w:val="clear" w:color="auto" w:fill="auto"/>
            <w:noWrap/>
            <w:hideMark/>
          </w:tcPr>
          <w:p w14:paraId="2EDF01FE" w14:textId="77777777" w:rsidR="00185324" w:rsidRPr="00E86BE2" w:rsidRDefault="00185324" w:rsidP="006C132A">
            <w:pPr>
              <w:pStyle w:val="TableText"/>
              <w:rPr>
                <w:lang w:eastAsia="en-AU"/>
              </w:rPr>
            </w:pPr>
            <w:r w:rsidRPr="00E86BE2">
              <w:rPr>
                <w:lang w:eastAsia="en-AU"/>
              </w:rPr>
              <w:t>Yes</w:t>
            </w:r>
          </w:p>
        </w:tc>
        <w:tc>
          <w:tcPr>
            <w:tcW w:w="1701" w:type="dxa"/>
            <w:shd w:val="clear" w:color="auto" w:fill="auto"/>
            <w:noWrap/>
            <w:hideMark/>
          </w:tcPr>
          <w:p w14:paraId="3C5C32A8" w14:textId="77777777" w:rsidR="00185324" w:rsidRPr="00E86BE2" w:rsidRDefault="00185324" w:rsidP="006C132A">
            <w:pPr>
              <w:pStyle w:val="TableText"/>
              <w:rPr>
                <w:lang w:eastAsia="en-AU"/>
              </w:rPr>
            </w:pPr>
            <w:r w:rsidRPr="00E86BE2">
              <w:rPr>
                <w:lang w:eastAsia="en-AU"/>
              </w:rPr>
              <w:t>14.9%</w:t>
            </w:r>
          </w:p>
        </w:tc>
        <w:tc>
          <w:tcPr>
            <w:tcW w:w="2049" w:type="dxa"/>
          </w:tcPr>
          <w:p w14:paraId="38103884" w14:textId="77777777" w:rsidR="00185324" w:rsidRPr="00E86BE2" w:rsidRDefault="00185324" w:rsidP="006C132A">
            <w:pPr>
              <w:pStyle w:val="TableText"/>
              <w:rPr>
                <w:lang w:eastAsia="en-AU"/>
              </w:rPr>
            </w:pPr>
            <w:r>
              <w:rPr>
                <w:lang w:eastAsia="en-AU"/>
              </w:rPr>
              <w:t>-</w:t>
            </w:r>
          </w:p>
        </w:tc>
      </w:tr>
      <w:tr w:rsidR="00185324" w:rsidRPr="00E86BE2" w14:paraId="578D9FE9" w14:textId="77777777" w:rsidTr="00295BF5">
        <w:trPr>
          <w:trHeight w:val="315"/>
          <w:jc w:val="center"/>
        </w:trPr>
        <w:tc>
          <w:tcPr>
            <w:tcW w:w="4363" w:type="dxa"/>
            <w:tcBorders>
              <w:bottom w:val="single" w:sz="12" w:space="0" w:color="auto"/>
            </w:tcBorders>
            <w:shd w:val="clear" w:color="auto" w:fill="auto"/>
            <w:noWrap/>
            <w:hideMark/>
          </w:tcPr>
          <w:p w14:paraId="100EBFD1" w14:textId="77777777" w:rsidR="00185324" w:rsidRPr="00E86BE2" w:rsidRDefault="00185324" w:rsidP="006C132A">
            <w:pPr>
              <w:pStyle w:val="TableText"/>
              <w:rPr>
                <w:lang w:eastAsia="en-AU"/>
              </w:rPr>
            </w:pPr>
            <w:r w:rsidRPr="00E86BE2">
              <w:rPr>
                <w:lang w:eastAsia="en-AU"/>
              </w:rPr>
              <w:t>No</w:t>
            </w:r>
          </w:p>
        </w:tc>
        <w:tc>
          <w:tcPr>
            <w:tcW w:w="1701" w:type="dxa"/>
            <w:tcBorders>
              <w:bottom w:val="single" w:sz="12" w:space="0" w:color="auto"/>
            </w:tcBorders>
            <w:shd w:val="clear" w:color="auto" w:fill="auto"/>
            <w:noWrap/>
            <w:hideMark/>
          </w:tcPr>
          <w:p w14:paraId="20E15CA4" w14:textId="77777777" w:rsidR="00185324" w:rsidRPr="00E86BE2" w:rsidRDefault="00185324" w:rsidP="006C132A">
            <w:pPr>
              <w:pStyle w:val="TableText"/>
              <w:rPr>
                <w:lang w:eastAsia="en-AU"/>
              </w:rPr>
            </w:pPr>
            <w:r w:rsidRPr="00E86BE2">
              <w:rPr>
                <w:lang w:eastAsia="en-AU"/>
              </w:rPr>
              <w:t>85.1%</w:t>
            </w:r>
          </w:p>
        </w:tc>
        <w:tc>
          <w:tcPr>
            <w:tcW w:w="2049" w:type="dxa"/>
            <w:tcBorders>
              <w:bottom w:val="single" w:sz="12" w:space="0" w:color="auto"/>
            </w:tcBorders>
          </w:tcPr>
          <w:p w14:paraId="00ABBD66" w14:textId="77777777" w:rsidR="00185324" w:rsidRPr="00E86BE2" w:rsidRDefault="00185324" w:rsidP="006C132A">
            <w:pPr>
              <w:pStyle w:val="TableText"/>
              <w:rPr>
                <w:lang w:eastAsia="en-AU"/>
              </w:rPr>
            </w:pPr>
            <w:r>
              <w:rPr>
                <w:lang w:eastAsia="en-AU"/>
              </w:rPr>
              <w:t>-</w:t>
            </w:r>
          </w:p>
        </w:tc>
      </w:tr>
      <w:tr w:rsidR="00295BF5" w:rsidRPr="00E86BE2" w14:paraId="0EB80457" w14:textId="77777777" w:rsidTr="0096377F">
        <w:trPr>
          <w:trHeight w:val="315"/>
          <w:jc w:val="center"/>
        </w:trPr>
        <w:tc>
          <w:tcPr>
            <w:tcW w:w="8113" w:type="dxa"/>
            <w:gridSpan w:val="3"/>
            <w:tcBorders>
              <w:top w:val="single" w:sz="12" w:space="0" w:color="auto"/>
            </w:tcBorders>
            <w:shd w:val="clear" w:color="auto" w:fill="auto"/>
            <w:hideMark/>
          </w:tcPr>
          <w:p w14:paraId="0117F253" w14:textId="4209DE06" w:rsidR="00295BF5" w:rsidRPr="00E86BE2" w:rsidRDefault="00295BF5" w:rsidP="006C132A">
            <w:pPr>
              <w:pStyle w:val="TableText"/>
              <w:rPr>
                <w:b/>
                <w:lang w:eastAsia="en-AU"/>
              </w:rPr>
            </w:pPr>
            <w:r w:rsidRPr="00E86BE2">
              <w:rPr>
                <w:b/>
                <w:lang w:eastAsia="en-AU"/>
              </w:rPr>
              <w:t>Visits to a General Practiti</w:t>
            </w:r>
            <w:r>
              <w:rPr>
                <w:b/>
                <w:lang w:eastAsia="en-AU"/>
              </w:rPr>
              <w:t xml:space="preserve">oner in the past twelve months  </w:t>
            </w:r>
            <w:r w:rsidRPr="00E86BE2">
              <w:rPr>
                <w:b/>
                <w:lang w:eastAsia="en-AU"/>
              </w:rPr>
              <w:t>for your own healthcare</w:t>
            </w:r>
            <w:r>
              <w:rPr>
                <w:b/>
                <w:lang w:eastAsia="en-AU"/>
              </w:rPr>
              <w:t>:</w:t>
            </w:r>
          </w:p>
        </w:tc>
      </w:tr>
      <w:tr w:rsidR="00185324" w:rsidRPr="00E86BE2" w14:paraId="3804D289" w14:textId="77777777" w:rsidTr="00295BF5">
        <w:trPr>
          <w:trHeight w:val="315"/>
          <w:jc w:val="center"/>
        </w:trPr>
        <w:tc>
          <w:tcPr>
            <w:tcW w:w="4363" w:type="dxa"/>
            <w:shd w:val="clear" w:color="auto" w:fill="auto"/>
            <w:noWrap/>
            <w:hideMark/>
          </w:tcPr>
          <w:p w14:paraId="448B3B33" w14:textId="77777777" w:rsidR="00185324" w:rsidRPr="00E86BE2" w:rsidRDefault="00185324" w:rsidP="006C132A">
            <w:pPr>
              <w:pStyle w:val="TableText"/>
              <w:rPr>
                <w:lang w:eastAsia="en-AU"/>
              </w:rPr>
            </w:pPr>
            <w:r w:rsidRPr="00E86BE2">
              <w:rPr>
                <w:lang w:eastAsia="en-AU"/>
              </w:rPr>
              <w:t>I haven’t been in the past twelve months</w:t>
            </w:r>
          </w:p>
        </w:tc>
        <w:tc>
          <w:tcPr>
            <w:tcW w:w="1701" w:type="dxa"/>
            <w:shd w:val="clear" w:color="auto" w:fill="auto"/>
            <w:noWrap/>
            <w:hideMark/>
          </w:tcPr>
          <w:p w14:paraId="2C6ADE58" w14:textId="77777777" w:rsidR="00185324" w:rsidRPr="00E86BE2" w:rsidRDefault="00185324" w:rsidP="006C132A">
            <w:pPr>
              <w:pStyle w:val="TableText"/>
              <w:rPr>
                <w:lang w:eastAsia="en-AU"/>
              </w:rPr>
            </w:pPr>
            <w:r w:rsidRPr="00E86BE2">
              <w:rPr>
                <w:lang w:eastAsia="en-AU"/>
              </w:rPr>
              <w:t>9.7%</w:t>
            </w:r>
          </w:p>
        </w:tc>
        <w:tc>
          <w:tcPr>
            <w:tcW w:w="2049" w:type="dxa"/>
          </w:tcPr>
          <w:p w14:paraId="1AE0AACA" w14:textId="77777777" w:rsidR="00185324" w:rsidRPr="00E86BE2" w:rsidRDefault="00185324" w:rsidP="006C132A">
            <w:pPr>
              <w:pStyle w:val="TableText"/>
              <w:rPr>
                <w:lang w:eastAsia="en-AU"/>
              </w:rPr>
            </w:pPr>
            <w:r>
              <w:rPr>
                <w:lang w:eastAsia="en-AU"/>
              </w:rPr>
              <w:t>-</w:t>
            </w:r>
          </w:p>
        </w:tc>
      </w:tr>
      <w:tr w:rsidR="00185324" w:rsidRPr="00E86BE2" w14:paraId="5B6938E9" w14:textId="77777777" w:rsidTr="00295BF5">
        <w:trPr>
          <w:trHeight w:val="315"/>
          <w:jc w:val="center"/>
        </w:trPr>
        <w:tc>
          <w:tcPr>
            <w:tcW w:w="4363" w:type="dxa"/>
            <w:shd w:val="clear" w:color="auto" w:fill="auto"/>
            <w:noWrap/>
            <w:hideMark/>
          </w:tcPr>
          <w:p w14:paraId="2C0DB2BA" w14:textId="77777777" w:rsidR="00185324" w:rsidRPr="00E86BE2" w:rsidRDefault="00185324" w:rsidP="006C132A">
            <w:pPr>
              <w:pStyle w:val="TableText"/>
              <w:rPr>
                <w:lang w:eastAsia="en-AU"/>
              </w:rPr>
            </w:pPr>
            <w:r w:rsidRPr="00E86BE2">
              <w:rPr>
                <w:lang w:eastAsia="en-AU"/>
              </w:rPr>
              <w:t>Once</w:t>
            </w:r>
          </w:p>
        </w:tc>
        <w:tc>
          <w:tcPr>
            <w:tcW w:w="1701" w:type="dxa"/>
            <w:shd w:val="clear" w:color="auto" w:fill="auto"/>
            <w:noWrap/>
            <w:hideMark/>
          </w:tcPr>
          <w:p w14:paraId="248E650F" w14:textId="77777777" w:rsidR="00185324" w:rsidRPr="00E86BE2" w:rsidRDefault="00185324" w:rsidP="006C132A">
            <w:pPr>
              <w:pStyle w:val="TableText"/>
              <w:rPr>
                <w:lang w:eastAsia="en-AU"/>
              </w:rPr>
            </w:pPr>
            <w:r w:rsidRPr="00E86BE2">
              <w:rPr>
                <w:lang w:eastAsia="en-AU"/>
              </w:rPr>
              <w:t>16.9%</w:t>
            </w:r>
          </w:p>
        </w:tc>
        <w:tc>
          <w:tcPr>
            <w:tcW w:w="2049" w:type="dxa"/>
          </w:tcPr>
          <w:p w14:paraId="05C7C1FA" w14:textId="77777777" w:rsidR="00185324" w:rsidRPr="00E86BE2" w:rsidRDefault="00185324" w:rsidP="006C132A">
            <w:pPr>
              <w:pStyle w:val="TableText"/>
              <w:rPr>
                <w:lang w:eastAsia="en-AU"/>
              </w:rPr>
            </w:pPr>
            <w:r>
              <w:rPr>
                <w:lang w:eastAsia="en-AU"/>
              </w:rPr>
              <w:t>18.6%</w:t>
            </w:r>
          </w:p>
        </w:tc>
      </w:tr>
      <w:tr w:rsidR="00185324" w:rsidRPr="00E86BE2" w14:paraId="53D870C4" w14:textId="77777777" w:rsidTr="00295BF5">
        <w:trPr>
          <w:trHeight w:val="315"/>
          <w:jc w:val="center"/>
        </w:trPr>
        <w:tc>
          <w:tcPr>
            <w:tcW w:w="4363" w:type="dxa"/>
            <w:shd w:val="clear" w:color="auto" w:fill="auto"/>
            <w:noWrap/>
            <w:hideMark/>
          </w:tcPr>
          <w:p w14:paraId="6EB9191C" w14:textId="77777777" w:rsidR="00185324" w:rsidRPr="00E86BE2" w:rsidRDefault="00185324" w:rsidP="006C132A">
            <w:pPr>
              <w:pStyle w:val="TableText"/>
              <w:rPr>
                <w:lang w:eastAsia="en-AU"/>
              </w:rPr>
            </w:pPr>
            <w:r w:rsidRPr="00E86BE2">
              <w:rPr>
                <w:lang w:eastAsia="en-AU"/>
              </w:rPr>
              <w:t xml:space="preserve">2-3 </w:t>
            </w:r>
            <w:r>
              <w:rPr>
                <w:lang w:eastAsia="en-AU"/>
              </w:rPr>
              <w:t>t</w:t>
            </w:r>
            <w:r w:rsidRPr="00E86BE2">
              <w:rPr>
                <w:lang w:eastAsia="en-AU"/>
              </w:rPr>
              <w:t>imes</w:t>
            </w:r>
          </w:p>
        </w:tc>
        <w:tc>
          <w:tcPr>
            <w:tcW w:w="1701" w:type="dxa"/>
            <w:shd w:val="clear" w:color="auto" w:fill="auto"/>
            <w:noWrap/>
            <w:hideMark/>
          </w:tcPr>
          <w:p w14:paraId="4E05388A" w14:textId="77777777" w:rsidR="00185324" w:rsidRPr="00E86BE2" w:rsidRDefault="00185324" w:rsidP="006C132A">
            <w:pPr>
              <w:pStyle w:val="TableText"/>
              <w:rPr>
                <w:lang w:eastAsia="en-AU"/>
              </w:rPr>
            </w:pPr>
            <w:r w:rsidRPr="00E86BE2">
              <w:rPr>
                <w:lang w:eastAsia="en-AU"/>
              </w:rPr>
              <w:t>35.7%</w:t>
            </w:r>
          </w:p>
        </w:tc>
        <w:tc>
          <w:tcPr>
            <w:tcW w:w="2049" w:type="dxa"/>
          </w:tcPr>
          <w:p w14:paraId="3956D93B" w14:textId="77777777" w:rsidR="00185324" w:rsidRPr="00E86BE2" w:rsidRDefault="00185324" w:rsidP="006C132A">
            <w:pPr>
              <w:pStyle w:val="TableText"/>
              <w:rPr>
                <w:lang w:eastAsia="en-AU"/>
              </w:rPr>
            </w:pPr>
            <w:r>
              <w:rPr>
                <w:lang w:eastAsia="en-AU"/>
              </w:rPr>
              <w:t>42.0%</w:t>
            </w:r>
          </w:p>
        </w:tc>
      </w:tr>
      <w:tr w:rsidR="00185324" w:rsidRPr="00E86BE2" w14:paraId="5E5D8988" w14:textId="77777777" w:rsidTr="00295BF5">
        <w:trPr>
          <w:trHeight w:val="315"/>
          <w:jc w:val="center"/>
        </w:trPr>
        <w:tc>
          <w:tcPr>
            <w:tcW w:w="4363" w:type="dxa"/>
            <w:tcBorders>
              <w:bottom w:val="single" w:sz="12" w:space="0" w:color="auto"/>
            </w:tcBorders>
            <w:shd w:val="clear" w:color="auto" w:fill="auto"/>
            <w:noWrap/>
            <w:hideMark/>
          </w:tcPr>
          <w:p w14:paraId="316B0238" w14:textId="77777777" w:rsidR="00185324" w:rsidRDefault="00185324" w:rsidP="006C132A">
            <w:pPr>
              <w:pStyle w:val="TableText"/>
              <w:rPr>
                <w:lang w:eastAsia="en-AU"/>
              </w:rPr>
            </w:pPr>
            <w:r>
              <w:rPr>
                <w:lang w:eastAsia="en-AU"/>
              </w:rPr>
              <w:t>More than 3 times</w:t>
            </w:r>
          </w:p>
          <w:p w14:paraId="7140F136" w14:textId="77777777" w:rsidR="00185324" w:rsidRPr="00E86BE2" w:rsidRDefault="00185324" w:rsidP="006C132A">
            <w:pPr>
              <w:pStyle w:val="TableText"/>
              <w:rPr>
                <w:lang w:eastAsia="en-AU"/>
              </w:rPr>
            </w:pPr>
            <w:r w:rsidRPr="00C472B9">
              <w:rPr>
                <w:sz w:val="16"/>
                <w:szCs w:val="16"/>
                <w:lang w:eastAsia="en-AU"/>
              </w:rPr>
              <w:t>(Comparator Source:</w:t>
            </w:r>
            <w:r>
              <w:rPr>
                <w:sz w:val="16"/>
                <w:szCs w:val="16"/>
                <w:lang w:eastAsia="en-AU"/>
              </w:rPr>
              <w:t xml:space="preserve"> Australian Bureau of Statistics, </w:t>
            </w:r>
            <w:r w:rsidRPr="00560E8F">
              <w:rPr>
                <w:sz w:val="16"/>
                <w:szCs w:val="16"/>
                <w:lang w:eastAsia="en-AU"/>
              </w:rPr>
              <w:t>Health Services: Patient Experiences in Australia, 2009</w:t>
            </w:r>
            <w:r>
              <w:rPr>
                <w:sz w:val="16"/>
                <w:szCs w:val="16"/>
                <w:lang w:eastAsia="en-AU"/>
              </w:rPr>
              <w:t>, 4839.0.55.001)</w:t>
            </w:r>
          </w:p>
        </w:tc>
        <w:tc>
          <w:tcPr>
            <w:tcW w:w="1701" w:type="dxa"/>
            <w:tcBorders>
              <w:bottom w:val="single" w:sz="12" w:space="0" w:color="auto"/>
            </w:tcBorders>
            <w:shd w:val="clear" w:color="auto" w:fill="auto"/>
            <w:noWrap/>
            <w:hideMark/>
          </w:tcPr>
          <w:p w14:paraId="6372A0C6" w14:textId="77777777" w:rsidR="00185324" w:rsidRPr="00E86BE2" w:rsidRDefault="00185324" w:rsidP="006C132A">
            <w:pPr>
              <w:pStyle w:val="TableText"/>
              <w:rPr>
                <w:lang w:eastAsia="en-AU"/>
              </w:rPr>
            </w:pPr>
            <w:r w:rsidRPr="00E86BE2">
              <w:rPr>
                <w:lang w:eastAsia="en-AU"/>
              </w:rPr>
              <w:t>37.7%</w:t>
            </w:r>
          </w:p>
        </w:tc>
        <w:tc>
          <w:tcPr>
            <w:tcW w:w="2049" w:type="dxa"/>
            <w:tcBorders>
              <w:bottom w:val="single" w:sz="12" w:space="0" w:color="auto"/>
            </w:tcBorders>
          </w:tcPr>
          <w:p w14:paraId="3F8EA505" w14:textId="77777777" w:rsidR="00185324" w:rsidRPr="00E86BE2" w:rsidRDefault="00185324" w:rsidP="006C132A">
            <w:pPr>
              <w:pStyle w:val="TableText"/>
              <w:rPr>
                <w:lang w:eastAsia="en-AU"/>
              </w:rPr>
            </w:pPr>
            <w:r>
              <w:rPr>
                <w:lang w:eastAsia="en-AU"/>
              </w:rPr>
              <w:t>39.4%</w:t>
            </w:r>
          </w:p>
        </w:tc>
      </w:tr>
      <w:tr w:rsidR="00185324" w:rsidRPr="00E86BE2" w14:paraId="530F7B51" w14:textId="77777777" w:rsidTr="00295BF5">
        <w:trPr>
          <w:trHeight w:val="315"/>
          <w:jc w:val="center"/>
        </w:trPr>
        <w:tc>
          <w:tcPr>
            <w:tcW w:w="4363" w:type="dxa"/>
            <w:tcBorders>
              <w:top w:val="single" w:sz="12" w:space="0" w:color="auto"/>
            </w:tcBorders>
            <w:shd w:val="clear" w:color="auto" w:fill="auto"/>
            <w:noWrap/>
            <w:hideMark/>
          </w:tcPr>
          <w:p w14:paraId="457202A5" w14:textId="77777777" w:rsidR="00185324" w:rsidRPr="00C472B9" w:rsidRDefault="00185324" w:rsidP="006C132A">
            <w:pPr>
              <w:pStyle w:val="TableText"/>
              <w:rPr>
                <w:lang w:eastAsia="en-AU"/>
              </w:rPr>
            </w:pPr>
            <w:r>
              <w:rPr>
                <w:b/>
                <w:lang w:eastAsia="en-AU"/>
              </w:rPr>
              <w:t xml:space="preserve">Place of Usual </w:t>
            </w:r>
            <w:r w:rsidRPr="00E86BE2">
              <w:rPr>
                <w:b/>
                <w:lang w:eastAsia="en-AU"/>
              </w:rPr>
              <w:t>Residence</w:t>
            </w:r>
            <w:r>
              <w:rPr>
                <w:b/>
                <w:lang w:eastAsia="en-AU"/>
              </w:rPr>
              <w:t>:</w:t>
            </w:r>
          </w:p>
        </w:tc>
        <w:tc>
          <w:tcPr>
            <w:tcW w:w="1701" w:type="dxa"/>
            <w:tcBorders>
              <w:top w:val="single" w:sz="12" w:space="0" w:color="auto"/>
            </w:tcBorders>
            <w:shd w:val="clear" w:color="auto" w:fill="auto"/>
            <w:noWrap/>
            <w:hideMark/>
          </w:tcPr>
          <w:p w14:paraId="41DC3E6C" w14:textId="77777777" w:rsidR="00185324" w:rsidRPr="00E86BE2" w:rsidRDefault="00185324" w:rsidP="006C132A">
            <w:pPr>
              <w:pStyle w:val="TableText"/>
              <w:rPr>
                <w:lang w:eastAsia="en-AU"/>
              </w:rPr>
            </w:pPr>
          </w:p>
        </w:tc>
        <w:tc>
          <w:tcPr>
            <w:tcW w:w="2049" w:type="dxa"/>
            <w:tcBorders>
              <w:top w:val="single" w:sz="12" w:space="0" w:color="auto"/>
            </w:tcBorders>
          </w:tcPr>
          <w:p w14:paraId="39537DD7" w14:textId="77777777" w:rsidR="00185324" w:rsidRPr="00E86BE2" w:rsidRDefault="00185324" w:rsidP="006C132A">
            <w:pPr>
              <w:pStyle w:val="TableText"/>
              <w:rPr>
                <w:lang w:eastAsia="en-AU"/>
              </w:rPr>
            </w:pPr>
          </w:p>
        </w:tc>
      </w:tr>
      <w:tr w:rsidR="00185324" w:rsidRPr="00E86BE2" w14:paraId="52D3411D" w14:textId="77777777" w:rsidTr="00295BF5">
        <w:trPr>
          <w:trHeight w:val="315"/>
          <w:jc w:val="center"/>
        </w:trPr>
        <w:tc>
          <w:tcPr>
            <w:tcW w:w="4363" w:type="dxa"/>
            <w:shd w:val="clear" w:color="auto" w:fill="auto"/>
            <w:noWrap/>
            <w:hideMark/>
          </w:tcPr>
          <w:p w14:paraId="13FAC6F1" w14:textId="77777777" w:rsidR="00185324" w:rsidRPr="00E86BE2" w:rsidRDefault="00185324" w:rsidP="006C132A">
            <w:pPr>
              <w:pStyle w:val="TableText"/>
              <w:rPr>
                <w:lang w:eastAsia="en-AU"/>
              </w:rPr>
            </w:pPr>
            <w:r>
              <w:rPr>
                <w:lang w:eastAsia="en-AU"/>
              </w:rPr>
              <w:t>Greater Sydney</w:t>
            </w:r>
          </w:p>
        </w:tc>
        <w:tc>
          <w:tcPr>
            <w:tcW w:w="1701" w:type="dxa"/>
            <w:shd w:val="clear" w:color="auto" w:fill="auto"/>
            <w:noWrap/>
            <w:hideMark/>
          </w:tcPr>
          <w:p w14:paraId="16AED056" w14:textId="77777777" w:rsidR="00185324" w:rsidRPr="00E86BE2" w:rsidRDefault="00185324" w:rsidP="006C132A">
            <w:pPr>
              <w:pStyle w:val="TableText"/>
              <w:rPr>
                <w:lang w:eastAsia="en-AU"/>
              </w:rPr>
            </w:pPr>
            <w:r w:rsidRPr="00E86BE2">
              <w:rPr>
                <w:lang w:eastAsia="en-AU"/>
              </w:rPr>
              <w:t>64.9%</w:t>
            </w:r>
          </w:p>
        </w:tc>
        <w:tc>
          <w:tcPr>
            <w:tcW w:w="2049" w:type="dxa"/>
          </w:tcPr>
          <w:p w14:paraId="4B7B4357" w14:textId="77777777" w:rsidR="00185324" w:rsidRPr="00E86BE2" w:rsidRDefault="00185324" w:rsidP="006C132A">
            <w:pPr>
              <w:pStyle w:val="TableText"/>
              <w:rPr>
                <w:lang w:eastAsia="en-AU"/>
              </w:rPr>
            </w:pPr>
            <w:r>
              <w:rPr>
                <w:lang w:eastAsia="en-AU"/>
              </w:rPr>
              <w:t>60.4%</w:t>
            </w:r>
          </w:p>
        </w:tc>
      </w:tr>
      <w:tr w:rsidR="00185324" w:rsidRPr="00E86BE2" w14:paraId="00E0EB17" w14:textId="77777777" w:rsidTr="00295BF5">
        <w:trPr>
          <w:trHeight w:val="315"/>
          <w:jc w:val="center"/>
        </w:trPr>
        <w:tc>
          <w:tcPr>
            <w:tcW w:w="4363" w:type="dxa"/>
            <w:tcBorders>
              <w:bottom w:val="single" w:sz="12" w:space="0" w:color="auto"/>
            </w:tcBorders>
            <w:shd w:val="clear" w:color="auto" w:fill="auto"/>
            <w:noWrap/>
            <w:hideMark/>
          </w:tcPr>
          <w:p w14:paraId="0D75CD94" w14:textId="77777777" w:rsidR="00185324" w:rsidRDefault="00185324" w:rsidP="006C132A">
            <w:pPr>
              <w:pStyle w:val="TableText"/>
              <w:rPr>
                <w:lang w:eastAsia="en-AU"/>
              </w:rPr>
            </w:pPr>
            <w:r>
              <w:rPr>
                <w:lang w:eastAsia="en-AU"/>
              </w:rPr>
              <w:t>Rest of NSW</w:t>
            </w:r>
          </w:p>
          <w:p w14:paraId="7B5C6AA6" w14:textId="77777777" w:rsidR="00185324" w:rsidRPr="00E86BE2" w:rsidRDefault="00185324" w:rsidP="006C132A">
            <w:pPr>
              <w:pStyle w:val="TableText"/>
              <w:rPr>
                <w:lang w:eastAsia="en-AU"/>
              </w:rPr>
            </w:pPr>
            <w:r w:rsidRPr="00C472B9">
              <w:rPr>
                <w:sz w:val="16"/>
                <w:szCs w:val="16"/>
                <w:lang w:eastAsia="en-AU"/>
              </w:rPr>
              <w:t>(Comparator Source:</w:t>
            </w:r>
            <w:r>
              <w:rPr>
                <w:sz w:val="16"/>
                <w:szCs w:val="16"/>
                <w:lang w:eastAsia="en-AU"/>
              </w:rPr>
              <w:t xml:space="preserve"> 2011 ABS Census, </w:t>
            </w:r>
            <w:r w:rsidRPr="00C472B9">
              <w:rPr>
                <w:sz w:val="16"/>
                <w:szCs w:val="16"/>
                <w:lang w:eastAsia="en-AU"/>
              </w:rPr>
              <w:t>2016 New South Wales State and Local Government Area Population Projections</w:t>
            </w:r>
            <w:r>
              <w:rPr>
                <w:sz w:val="16"/>
                <w:szCs w:val="16"/>
                <w:lang w:eastAsia="en-AU"/>
              </w:rPr>
              <w:t xml:space="preserve"> classification of Sydney Metropolitan and Regional LGAs.)</w:t>
            </w:r>
          </w:p>
        </w:tc>
        <w:tc>
          <w:tcPr>
            <w:tcW w:w="1701" w:type="dxa"/>
            <w:tcBorders>
              <w:bottom w:val="single" w:sz="12" w:space="0" w:color="auto"/>
            </w:tcBorders>
            <w:shd w:val="clear" w:color="auto" w:fill="auto"/>
            <w:noWrap/>
            <w:hideMark/>
          </w:tcPr>
          <w:p w14:paraId="237451E0" w14:textId="77777777" w:rsidR="00185324" w:rsidRPr="00E86BE2" w:rsidRDefault="00185324" w:rsidP="006C132A">
            <w:pPr>
              <w:pStyle w:val="TableText"/>
              <w:rPr>
                <w:lang w:eastAsia="en-AU"/>
              </w:rPr>
            </w:pPr>
            <w:r w:rsidRPr="00E86BE2">
              <w:rPr>
                <w:lang w:eastAsia="en-AU"/>
              </w:rPr>
              <w:t>35.1%</w:t>
            </w:r>
          </w:p>
        </w:tc>
        <w:tc>
          <w:tcPr>
            <w:tcW w:w="2049" w:type="dxa"/>
            <w:tcBorders>
              <w:bottom w:val="single" w:sz="12" w:space="0" w:color="auto"/>
            </w:tcBorders>
          </w:tcPr>
          <w:p w14:paraId="4075C3AF" w14:textId="77777777" w:rsidR="00185324" w:rsidRPr="00E86BE2" w:rsidRDefault="00185324" w:rsidP="006C132A">
            <w:pPr>
              <w:pStyle w:val="TableText"/>
              <w:rPr>
                <w:lang w:eastAsia="en-AU"/>
              </w:rPr>
            </w:pPr>
            <w:r>
              <w:rPr>
                <w:lang w:eastAsia="en-AU"/>
              </w:rPr>
              <w:t>39.6%</w:t>
            </w:r>
          </w:p>
        </w:tc>
      </w:tr>
    </w:tbl>
    <w:p w14:paraId="0465D0E5" w14:textId="4A74231C" w:rsidR="00513D5F" w:rsidRDefault="00BD15F0" w:rsidP="00513D5F">
      <w:r>
        <w:t>Results of the MI</w:t>
      </w:r>
      <w:r w:rsidR="005C29C9">
        <w:t xml:space="preserve">XL analysis are shown in Table </w:t>
      </w:r>
      <w:r w:rsidR="00295BF5">
        <w:t>4</w:t>
      </w:r>
      <w:r>
        <w:t xml:space="preserve"> for all attributes and levels</w:t>
      </w:r>
      <w:r w:rsidR="00752EB6">
        <w:t xml:space="preserve"> </w:t>
      </w:r>
      <w:r w:rsidR="00677A51">
        <w:t>of the DCE related to revalidation</w:t>
      </w:r>
      <w:r w:rsidR="005C29C9">
        <w:t>:</w:t>
      </w:r>
    </w:p>
    <w:p w14:paraId="152B7624" w14:textId="77777777" w:rsidR="00B4064E" w:rsidRDefault="00B4064E" w:rsidP="00513D5F"/>
    <w:tbl>
      <w:tblPr>
        <w:tblStyle w:val="TableGrid"/>
        <w:tblW w:w="0" w:type="auto"/>
        <w:jc w:val="center"/>
        <w:tblLook w:val="04A0" w:firstRow="1" w:lastRow="0" w:firstColumn="1" w:lastColumn="0" w:noHBand="0" w:noVBand="1"/>
      </w:tblPr>
      <w:tblGrid>
        <w:gridCol w:w="1515"/>
        <w:gridCol w:w="2988"/>
        <w:gridCol w:w="992"/>
      </w:tblGrid>
      <w:tr w:rsidR="00295BF5" w:rsidRPr="002369EF" w14:paraId="731A3A03" w14:textId="77777777" w:rsidTr="00295BF5">
        <w:trPr>
          <w:trHeight w:val="312"/>
          <w:jc w:val="center"/>
        </w:trPr>
        <w:tc>
          <w:tcPr>
            <w:tcW w:w="5495" w:type="dxa"/>
            <w:gridSpan w:val="3"/>
            <w:tcBorders>
              <w:top w:val="nil"/>
              <w:left w:val="nil"/>
              <w:right w:val="nil"/>
            </w:tcBorders>
            <w:noWrap/>
          </w:tcPr>
          <w:p w14:paraId="23724DAA" w14:textId="27596858" w:rsidR="00295BF5" w:rsidRPr="00295BF5" w:rsidRDefault="00295BF5" w:rsidP="00295BF5">
            <w:pPr>
              <w:pStyle w:val="TableText"/>
              <w:rPr>
                <w:b/>
                <w:sz w:val="16"/>
                <w:szCs w:val="16"/>
              </w:rPr>
            </w:pPr>
            <w:r w:rsidRPr="00295BF5">
              <w:rPr>
                <w:b/>
                <w:lang w:eastAsia="en-AU"/>
              </w:rPr>
              <w:t>Table</w:t>
            </w:r>
            <w:r>
              <w:rPr>
                <w:b/>
                <w:lang w:eastAsia="en-AU"/>
              </w:rPr>
              <w:t xml:space="preserve"> 4</w:t>
            </w:r>
            <w:r w:rsidRPr="00295BF5">
              <w:rPr>
                <w:b/>
                <w:lang w:eastAsia="en-AU"/>
              </w:rPr>
              <w:t xml:space="preserve">: </w:t>
            </w:r>
            <w:r>
              <w:rPr>
                <w:rStyle w:val="TABTTableTextChar"/>
              </w:rPr>
              <w:t>Results of DCE (MIXL Model)</w:t>
            </w:r>
          </w:p>
        </w:tc>
      </w:tr>
      <w:tr w:rsidR="004E3DDC" w:rsidRPr="002369EF" w14:paraId="7F018905" w14:textId="77777777" w:rsidTr="006C132A">
        <w:trPr>
          <w:trHeight w:val="660"/>
          <w:jc w:val="center"/>
        </w:trPr>
        <w:tc>
          <w:tcPr>
            <w:tcW w:w="1515" w:type="dxa"/>
            <w:tcBorders>
              <w:top w:val="single" w:sz="12" w:space="0" w:color="auto"/>
            </w:tcBorders>
            <w:noWrap/>
            <w:hideMark/>
          </w:tcPr>
          <w:p w14:paraId="211BA06F" w14:textId="77777777" w:rsidR="004E3DDC" w:rsidRPr="00A765F0" w:rsidRDefault="004E3DDC" w:rsidP="006C132A">
            <w:pPr>
              <w:pStyle w:val="TableText"/>
              <w:rPr>
                <w:b/>
                <w:sz w:val="16"/>
                <w:szCs w:val="16"/>
              </w:rPr>
            </w:pPr>
            <w:r w:rsidRPr="002369EF">
              <w:rPr>
                <w:b/>
                <w:sz w:val="16"/>
                <w:szCs w:val="16"/>
              </w:rPr>
              <w:t>Attribute</w:t>
            </w:r>
          </w:p>
        </w:tc>
        <w:tc>
          <w:tcPr>
            <w:tcW w:w="2988" w:type="dxa"/>
            <w:tcBorders>
              <w:top w:val="single" w:sz="12" w:space="0" w:color="auto"/>
            </w:tcBorders>
            <w:noWrap/>
            <w:hideMark/>
          </w:tcPr>
          <w:p w14:paraId="3BE682B0" w14:textId="77777777" w:rsidR="004E3DDC" w:rsidRPr="00A765F0" w:rsidRDefault="004E3DDC" w:rsidP="006C132A">
            <w:pPr>
              <w:pStyle w:val="TableText"/>
              <w:rPr>
                <w:b/>
                <w:sz w:val="16"/>
                <w:szCs w:val="16"/>
              </w:rPr>
            </w:pPr>
            <w:r w:rsidRPr="002369EF">
              <w:rPr>
                <w:b/>
                <w:sz w:val="16"/>
                <w:szCs w:val="16"/>
              </w:rPr>
              <w:t>Level</w:t>
            </w:r>
          </w:p>
        </w:tc>
        <w:tc>
          <w:tcPr>
            <w:tcW w:w="992" w:type="dxa"/>
            <w:tcBorders>
              <w:top w:val="single" w:sz="12" w:space="0" w:color="auto"/>
            </w:tcBorders>
            <w:noWrap/>
            <w:hideMark/>
          </w:tcPr>
          <w:p w14:paraId="153074E7" w14:textId="77777777" w:rsidR="004E3DDC" w:rsidRPr="00384DAA" w:rsidRDefault="004E3DDC" w:rsidP="006C132A">
            <w:pPr>
              <w:pStyle w:val="TableText"/>
              <w:rPr>
                <w:b/>
                <w:sz w:val="16"/>
                <w:szCs w:val="16"/>
              </w:rPr>
            </w:pPr>
          </w:p>
        </w:tc>
      </w:tr>
      <w:tr w:rsidR="004E3DDC" w:rsidRPr="002369EF" w14:paraId="068013B5" w14:textId="77777777" w:rsidTr="006C132A">
        <w:trPr>
          <w:trHeight w:val="315"/>
          <w:jc w:val="center"/>
        </w:trPr>
        <w:tc>
          <w:tcPr>
            <w:tcW w:w="1515" w:type="dxa"/>
            <w:vMerge w:val="restart"/>
            <w:tcBorders>
              <w:top w:val="single" w:sz="12" w:space="0" w:color="auto"/>
            </w:tcBorders>
            <w:noWrap/>
            <w:hideMark/>
          </w:tcPr>
          <w:p w14:paraId="78F2937A" w14:textId="77777777" w:rsidR="004E3DDC" w:rsidRPr="002369EF" w:rsidRDefault="004E3DDC" w:rsidP="006C132A">
            <w:pPr>
              <w:pStyle w:val="TableText"/>
              <w:rPr>
                <w:b/>
                <w:sz w:val="16"/>
                <w:szCs w:val="16"/>
              </w:rPr>
            </w:pPr>
            <w:r w:rsidRPr="002369EF">
              <w:rPr>
                <w:b/>
                <w:sz w:val="16"/>
                <w:szCs w:val="16"/>
              </w:rPr>
              <w:t xml:space="preserve">Verification of the </w:t>
            </w:r>
            <w:r>
              <w:rPr>
                <w:b/>
                <w:sz w:val="16"/>
                <w:szCs w:val="16"/>
              </w:rPr>
              <w:t>d</w:t>
            </w:r>
            <w:r w:rsidRPr="002369EF">
              <w:rPr>
                <w:b/>
                <w:sz w:val="16"/>
                <w:szCs w:val="16"/>
              </w:rPr>
              <w:t xml:space="preserve">octor’s </w:t>
            </w:r>
            <w:r>
              <w:rPr>
                <w:b/>
                <w:sz w:val="16"/>
                <w:szCs w:val="16"/>
              </w:rPr>
              <w:t>s</w:t>
            </w:r>
            <w:r w:rsidRPr="002369EF">
              <w:rPr>
                <w:b/>
                <w:sz w:val="16"/>
                <w:szCs w:val="16"/>
              </w:rPr>
              <w:t>kills</w:t>
            </w:r>
          </w:p>
        </w:tc>
        <w:tc>
          <w:tcPr>
            <w:tcW w:w="2988" w:type="dxa"/>
            <w:tcBorders>
              <w:top w:val="single" w:sz="12" w:space="0" w:color="auto"/>
            </w:tcBorders>
            <w:noWrap/>
            <w:hideMark/>
          </w:tcPr>
          <w:p w14:paraId="0D10A988" w14:textId="77777777" w:rsidR="004E3DDC" w:rsidRPr="00384DAA" w:rsidRDefault="004E3DDC" w:rsidP="006C132A">
            <w:pPr>
              <w:pStyle w:val="TableText"/>
              <w:rPr>
                <w:iCs/>
                <w:sz w:val="16"/>
                <w:szCs w:val="16"/>
              </w:rPr>
            </w:pPr>
            <w:r w:rsidRPr="00384DAA">
              <w:rPr>
                <w:iCs/>
                <w:sz w:val="16"/>
                <w:szCs w:val="16"/>
              </w:rPr>
              <w:t>No verification processes for the doctor</w:t>
            </w:r>
          </w:p>
        </w:tc>
        <w:tc>
          <w:tcPr>
            <w:tcW w:w="992" w:type="dxa"/>
            <w:tcBorders>
              <w:top w:val="single" w:sz="12" w:space="0" w:color="auto"/>
            </w:tcBorders>
            <w:noWrap/>
          </w:tcPr>
          <w:p w14:paraId="534483C6" w14:textId="77777777" w:rsidR="004E3DDC" w:rsidRPr="002369EF" w:rsidRDefault="004E3DDC" w:rsidP="006C132A">
            <w:pPr>
              <w:pStyle w:val="TableText"/>
              <w:rPr>
                <w:sz w:val="16"/>
                <w:szCs w:val="16"/>
              </w:rPr>
            </w:pPr>
            <w:r>
              <w:rPr>
                <w:iCs/>
                <w:sz w:val="16"/>
                <w:szCs w:val="16"/>
              </w:rPr>
              <w:t>15%</w:t>
            </w:r>
          </w:p>
        </w:tc>
      </w:tr>
      <w:tr w:rsidR="004E3DDC" w:rsidRPr="002369EF" w14:paraId="4B9942E2" w14:textId="77777777" w:rsidTr="006C132A">
        <w:trPr>
          <w:trHeight w:val="315"/>
          <w:jc w:val="center"/>
        </w:trPr>
        <w:tc>
          <w:tcPr>
            <w:tcW w:w="1515" w:type="dxa"/>
            <w:vMerge/>
            <w:noWrap/>
            <w:hideMark/>
          </w:tcPr>
          <w:p w14:paraId="7A80B2E2" w14:textId="77777777" w:rsidR="004E3DDC" w:rsidRPr="002369EF" w:rsidRDefault="004E3DDC" w:rsidP="006C132A">
            <w:pPr>
              <w:pStyle w:val="TableText"/>
              <w:rPr>
                <w:b/>
                <w:sz w:val="16"/>
                <w:szCs w:val="16"/>
              </w:rPr>
            </w:pPr>
          </w:p>
        </w:tc>
        <w:tc>
          <w:tcPr>
            <w:tcW w:w="2988" w:type="dxa"/>
            <w:noWrap/>
            <w:hideMark/>
          </w:tcPr>
          <w:p w14:paraId="365B87C8" w14:textId="77777777" w:rsidR="004E3DDC" w:rsidRPr="002369EF" w:rsidRDefault="004E3DDC" w:rsidP="006C132A">
            <w:pPr>
              <w:pStyle w:val="TableText"/>
              <w:rPr>
                <w:sz w:val="16"/>
                <w:szCs w:val="16"/>
              </w:rPr>
            </w:pPr>
            <w:r w:rsidRPr="002369EF">
              <w:rPr>
                <w:sz w:val="16"/>
                <w:szCs w:val="16"/>
              </w:rPr>
              <w:t>A mentoring program and review of the doctor’s skills by a colleague from the same hospital</w:t>
            </w:r>
          </w:p>
        </w:tc>
        <w:tc>
          <w:tcPr>
            <w:tcW w:w="992" w:type="dxa"/>
            <w:noWrap/>
          </w:tcPr>
          <w:p w14:paraId="7074CAE9" w14:textId="77777777" w:rsidR="004E3DDC" w:rsidRPr="002369EF" w:rsidRDefault="004E3DDC" w:rsidP="006C132A">
            <w:pPr>
              <w:pStyle w:val="TableText"/>
              <w:rPr>
                <w:sz w:val="16"/>
                <w:szCs w:val="16"/>
              </w:rPr>
            </w:pPr>
            <w:r>
              <w:rPr>
                <w:sz w:val="16"/>
                <w:szCs w:val="16"/>
              </w:rPr>
              <w:t>26%</w:t>
            </w:r>
          </w:p>
        </w:tc>
      </w:tr>
      <w:tr w:rsidR="004E3DDC" w:rsidRPr="002369EF" w14:paraId="7B10172F" w14:textId="77777777" w:rsidTr="006C132A">
        <w:trPr>
          <w:trHeight w:val="315"/>
          <w:jc w:val="center"/>
        </w:trPr>
        <w:tc>
          <w:tcPr>
            <w:tcW w:w="1515" w:type="dxa"/>
            <w:vMerge/>
            <w:noWrap/>
            <w:hideMark/>
          </w:tcPr>
          <w:p w14:paraId="51A7A3DA" w14:textId="77777777" w:rsidR="004E3DDC" w:rsidRPr="002369EF" w:rsidRDefault="004E3DDC" w:rsidP="006C132A">
            <w:pPr>
              <w:pStyle w:val="TableText"/>
              <w:rPr>
                <w:b/>
                <w:sz w:val="16"/>
                <w:szCs w:val="16"/>
              </w:rPr>
            </w:pPr>
          </w:p>
        </w:tc>
        <w:tc>
          <w:tcPr>
            <w:tcW w:w="2988" w:type="dxa"/>
            <w:noWrap/>
            <w:hideMark/>
          </w:tcPr>
          <w:p w14:paraId="2745D48A" w14:textId="77777777" w:rsidR="004E3DDC" w:rsidRPr="002369EF" w:rsidRDefault="004E3DDC" w:rsidP="006C132A">
            <w:pPr>
              <w:pStyle w:val="TableText"/>
              <w:rPr>
                <w:sz w:val="16"/>
                <w:szCs w:val="16"/>
              </w:rPr>
            </w:pPr>
            <w:r w:rsidRPr="002369EF">
              <w:rPr>
                <w:sz w:val="16"/>
                <w:szCs w:val="16"/>
              </w:rPr>
              <w:t>Formal re-training by the doctor in relevant skills and topic areas</w:t>
            </w:r>
          </w:p>
        </w:tc>
        <w:tc>
          <w:tcPr>
            <w:tcW w:w="992" w:type="dxa"/>
            <w:noWrap/>
          </w:tcPr>
          <w:p w14:paraId="3CF76CA7" w14:textId="77777777" w:rsidR="004E3DDC" w:rsidRPr="002369EF" w:rsidRDefault="004E3DDC" w:rsidP="006C132A">
            <w:pPr>
              <w:pStyle w:val="TableText"/>
              <w:rPr>
                <w:sz w:val="16"/>
                <w:szCs w:val="16"/>
              </w:rPr>
            </w:pPr>
            <w:r>
              <w:rPr>
                <w:sz w:val="16"/>
                <w:szCs w:val="16"/>
              </w:rPr>
              <w:t>31%</w:t>
            </w:r>
          </w:p>
        </w:tc>
      </w:tr>
      <w:tr w:rsidR="004E3DDC" w:rsidRPr="002369EF" w14:paraId="2CDE9186" w14:textId="77777777" w:rsidTr="006C132A">
        <w:trPr>
          <w:trHeight w:val="315"/>
          <w:jc w:val="center"/>
        </w:trPr>
        <w:tc>
          <w:tcPr>
            <w:tcW w:w="1515" w:type="dxa"/>
            <w:vMerge/>
            <w:tcBorders>
              <w:bottom w:val="single" w:sz="12" w:space="0" w:color="auto"/>
            </w:tcBorders>
            <w:noWrap/>
            <w:hideMark/>
          </w:tcPr>
          <w:p w14:paraId="33566215" w14:textId="77777777" w:rsidR="004E3DDC" w:rsidRPr="002369EF" w:rsidRDefault="004E3DDC" w:rsidP="006C132A">
            <w:pPr>
              <w:pStyle w:val="TableText"/>
              <w:rPr>
                <w:b/>
                <w:sz w:val="16"/>
                <w:szCs w:val="16"/>
              </w:rPr>
            </w:pPr>
          </w:p>
        </w:tc>
        <w:tc>
          <w:tcPr>
            <w:tcW w:w="2988" w:type="dxa"/>
            <w:tcBorders>
              <w:bottom w:val="single" w:sz="12" w:space="0" w:color="auto"/>
            </w:tcBorders>
            <w:noWrap/>
            <w:hideMark/>
          </w:tcPr>
          <w:p w14:paraId="13FD8AC9" w14:textId="77777777" w:rsidR="004E3DDC" w:rsidRPr="002369EF" w:rsidRDefault="004E3DDC" w:rsidP="006C132A">
            <w:pPr>
              <w:pStyle w:val="TableText"/>
              <w:rPr>
                <w:sz w:val="16"/>
                <w:szCs w:val="16"/>
              </w:rPr>
            </w:pPr>
            <w:r w:rsidRPr="002369EF">
              <w:rPr>
                <w:sz w:val="16"/>
                <w:szCs w:val="16"/>
              </w:rPr>
              <w:t>Formal review and check of the doctor’s skills by independent senior doctor.</w:t>
            </w:r>
          </w:p>
        </w:tc>
        <w:tc>
          <w:tcPr>
            <w:tcW w:w="992" w:type="dxa"/>
            <w:tcBorders>
              <w:bottom w:val="single" w:sz="12" w:space="0" w:color="auto"/>
            </w:tcBorders>
            <w:noWrap/>
          </w:tcPr>
          <w:p w14:paraId="00C1FB9E" w14:textId="77777777" w:rsidR="004E3DDC" w:rsidRPr="002369EF" w:rsidRDefault="004E3DDC" w:rsidP="006C132A">
            <w:pPr>
              <w:pStyle w:val="TableText"/>
              <w:rPr>
                <w:sz w:val="16"/>
                <w:szCs w:val="16"/>
              </w:rPr>
            </w:pPr>
            <w:r>
              <w:rPr>
                <w:sz w:val="16"/>
                <w:szCs w:val="16"/>
              </w:rPr>
              <w:t>28%</w:t>
            </w:r>
          </w:p>
        </w:tc>
      </w:tr>
      <w:tr w:rsidR="004E3DDC" w:rsidRPr="002369EF" w14:paraId="6AFA34B6" w14:textId="77777777" w:rsidTr="006C132A">
        <w:trPr>
          <w:trHeight w:val="315"/>
          <w:jc w:val="center"/>
        </w:trPr>
        <w:tc>
          <w:tcPr>
            <w:tcW w:w="1515" w:type="dxa"/>
            <w:tcBorders>
              <w:top w:val="single" w:sz="12" w:space="0" w:color="auto"/>
            </w:tcBorders>
            <w:noWrap/>
            <w:hideMark/>
          </w:tcPr>
          <w:p w14:paraId="71819333" w14:textId="77777777" w:rsidR="004E3DDC" w:rsidRPr="002369EF" w:rsidRDefault="004E3DDC" w:rsidP="006C132A">
            <w:pPr>
              <w:pStyle w:val="TableText"/>
              <w:rPr>
                <w:b/>
                <w:sz w:val="16"/>
                <w:szCs w:val="16"/>
              </w:rPr>
            </w:pPr>
            <w:r w:rsidRPr="002369EF">
              <w:rPr>
                <w:b/>
                <w:sz w:val="16"/>
                <w:szCs w:val="16"/>
              </w:rPr>
              <w:t>N:</w:t>
            </w:r>
          </w:p>
        </w:tc>
        <w:tc>
          <w:tcPr>
            <w:tcW w:w="2988" w:type="dxa"/>
            <w:tcBorders>
              <w:top w:val="single" w:sz="12" w:space="0" w:color="auto"/>
            </w:tcBorders>
            <w:noWrap/>
            <w:hideMark/>
          </w:tcPr>
          <w:p w14:paraId="12F908D9" w14:textId="77777777" w:rsidR="004E3DDC" w:rsidRPr="002369EF" w:rsidRDefault="004E3DDC" w:rsidP="006C132A">
            <w:pPr>
              <w:pStyle w:val="TableText"/>
              <w:rPr>
                <w:sz w:val="16"/>
                <w:szCs w:val="16"/>
              </w:rPr>
            </w:pPr>
            <w:r w:rsidRPr="002369EF">
              <w:rPr>
                <w:sz w:val="16"/>
                <w:szCs w:val="16"/>
              </w:rPr>
              <w:t>1</w:t>
            </w:r>
            <w:r>
              <w:rPr>
                <w:sz w:val="16"/>
                <w:szCs w:val="16"/>
              </w:rPr>
              <w:t>,</w:t>
            </w:r>
            <w:r w:rsidRPr="002369EF">
              <w:rPr>
                <w:sz w:val="16"/>
                <w:szCs w:val="16"/>
              </w:rPr>
              <w:t>000</w:t>
            </w:r>
          </w:p>
        </w:tc>
        <w:tc>
          <w:tcPr>
            <w:tcW w:w="992" w:type="dxa"/>
            <w:vMerge w:val="restart"/>
            <w:tcBorders>
              <w:top w:val="single" w:sz="12" w:space="0" w:color="auto"/>
            </w:tcBorders>
            <w:noWrap/>
          </w:tcPr>
          <w:p w14:paraId="76D52BB2" w14:textId="77777777" w:rsidR="004E3DDC" w:rsidRPr="002369EF" w:rsidRDefault="004E3DDC" w:rsidP="006C132A">
            <w:pPr>
              <w:pStyle w:val="TableText"/>
              <w:rPr>
                <w:sz w:val="16"/>
                <w:szCs w:val="16"/>
              </w:rPr>
            </w:pPr>
          </w:p>
        </w:tc>
      </w:tr>
      <w:tr w:rsidR="004E3DDC" w:rsidRPr="002369EF" w14:paraId="5AADA65D" w14:textId="77777777" w:rsidTr="006C132A">
        <w:trPr>
          <w:trHeight w:val="315"/>
          <w:jc w:val="center"/>
        </w:trPr>
        <w:tc>
          <w:tcPr>
            <w:tcW w:w="1515" w:type="dxa"/>
            <w:noWrap/>
            <w:hideMark/>
          </w:tcPr>
          <w:p w14:paraId="1BC51D6F" w14:textId="77777777" w:rsidR="004E3DDC" w:rsidRPr="002369EF" w:rsidRDefault="004E3DDC" w:rsidP="006C132A">
            <w:pPr>
              <w:pStyle w:val="TableText"/>
              <w:rPr>
                <w:b/>
                <w:sz w:val="16"/>
                <w:szCs w:val="16"/>
              </w:rPr>
            </w:pPr>
            <w:r w:rsidRPr="002369EF">
              <w:rPr>
                <w:b/>
                <w:sz w:val="16"/>
                <w:szCs w:val="16"/>
              </w:rPr>
              <w:t>Observations:</w:t>
            </w:r>
          </w:p>
        </w:tc>
        <w:tc>
          <w:tcPr>
            <w:tcW w:w="2988" w:type="dxa"/>
            <w:noWrap/>
            <w:hideMark/>
          </w:tcPr>
          <w:p w14:paraId="7406F3C7" w14:textId="77777777" w:rsidR="004E3DDC" w:rsidRPr="002369EF" w:rsidRDefault="004E3DDC" w:rsidP="006C132A">
            <w:pPr>
              <w:pStyle w:val="TableText"/>
              <w:rPr>
                <w:sz w:val="16"/>
                <w:szCs w:val="16"/>
              </w:rPr>
            </w:pPr>
            <w:r w:rsidRPr="002369EF">
              <w:rPr>
                <w:sz w:val="16"/>
                <w:szCs w:val="16"/>
              </w:rPr>
              <w:t>16</w:t>
            </w:r>
            <w:r>
              <w:rPr>
                <w:sz w:val="16"/>
                <w:szCs w:val="16"/>
              </w:rPr>
              <w:t>,</w:t>
            </w:r>
            <w:r w:rsidRPr="002369EF">
              <w:rPr>
                <w:sz w:val="16"/>
                <w:szCs w:val="16"/>
              </w:rPr>
              <w:t>000</w:t>
            </w:r>
          </w:p>
        </w:tc>
        <w:tc>
          <w:tcPr>
            <w:tcW w:w="992" w:type="dxa"/>
            <w:vMerge/>
            <w:noWrap/>
          </w:tcPr>
          <w:p w14:paraId="49C30BEF" w14:textId="77777777" w:rsidR="004E3DDC" w:rsidRPr="002369EF" w:rsidRDefault="004E3DDC" w:rsidP="006C132A">
            <w:pPr>
              <w:pStyle w:val="TableText"/>
              <w:rPr>
                <w:sz w:val="16"/>
                <w:szCs w:val="16"/>
              </w:rPr>
            </w:pPr>
          </w:p>
        </w:tc>
      </w:tr>
    </w:tbl>
    <w:p w14:paraId="32886ADC" w14:textId="533B2D61" w:rsidR="0025396A" w:rsidRDefault="005C29C9" w:rsidP="00BD15F0">
      <w:r>
        <w:t xml:space="preserve">The model predicts that when presented with options that only vary on the revalidation attribute, </w:t>
      </w:r>
      <w:r w:rsidRPr="003F2484">
        <w:t xml:space="preserve">approximately 15% of choices would be for no </w:t>
      </w:r>
      <w:r>
        <w:t>revalidation</w:t>
      </w:r>
      <w:r w:rsidRPr="003F2484">
        <w:t xml:space="preserve"> process, whilst approximately 85% would be for one of the three models </w:t>
      </w:r>
      <w:r>
        <w:t xml:space="preserve">of revalidation. This indicates strong support for revalidation in response to a scenario like the one presented in our vignette. </w:t>
      </w:r>
      <w:r w:rsidR="00677A51">
        <w:t xml:space="preserve">If the aggregate volume of choices made by respondents </w:t>
      </w:r>
      <w:r w:rsidR="00D36912">
        <w:t xml:space="preserve">is </w:t>
      </w:r>
      <w:r w:rsidR="00677A51">
        <w:t xml:space="preserve">understood to </w:t>
      </w:r>
      <w:r w:rsidR="00061A68">
        <w:t>represent</w:t>
      </w:r>
      <w:r w:rsidR="00677A51">
        <w:t xml:space="preserve"> </w:t>
      </w:r>
      <w:r w:rsidR="00286727">
        <w:t xml:space="preserve">preferences for </w:t>
      </w:r>
      <w:r>
        <w:t xml:space="preserve">particular </w:t>
      </w:r>
      <w:r w:rsidR="00286727">
        <w:t>revalidation approaches</w:t>
      </w:r>
      <w:r w:rsidR="00677A51">
        <w:t xml:space="preserve">, this reveals that respondents preferred </w:t>
      </w:r>
      <w:r w:rsidR="00D36912">
        <w:t xml:space="preserve">the following </w:t>
      </w:r>
      <w:r w:rsidR="00677A51">
        <w:t>revalidation models</w:t>
      </w:r>
      <w:r w:rsidR="00286727">
        <w:t xml:space="preserve"> (i</w:t>
      </w:r>
      <w:r w:rsidR="00BD15F0">
        <w:t>n descending order</w:t>
      </w:r>
      <w:r w:rsidR="00677A51">
        <w:t xml:space="preserve"> of preference</w:t>
      </w:r>
      <w:r w:rsidR="00286727">
        <w:t>)</w:t>
      </w:r>
      <w:r w:rsidR="0025396A">
        <w:t>:</w:t>
      </w:r>
      <w:r w:rsidR="00FE41FC">
        <w:t xml:space="preserve"> </w:t>
      </w:r>
    </w:p>
    <w:p w14:paraId="20E746C3" w14:textId="38D1D9CC" w:rsidR="0025396A" w:rsidRDefault="00BD15F0" w:rsidP="0025396A">
      <w:pPr>
        <w:pStyle w:val="ListParagraph"/>
        <w:numPr>
          <w:ilvl w:val="0"/>
          <w:numId w:val="16"/>
        </w:numPr>
      </w:pPr>
      <w:r w:rsidRPr="001219AF">
        <w:t>formal re-training of the doctor in relevant skills and topic areas</w:t>
      </w:r>
      <w:r w:rsidR="0003488C">
        <w:t xml:space="preserve"> (Level 2)</w:t>
      </w:r>
      <w:r w:rsidR="0025396A">
        <w:t>;</w:t>
      </w:r>
    </w:p>
    <w:p w14:paraId="76F1799C" w14:textId="56B3E886" w:rsidR="00CB2CF3" w:rsidRDefault="00CB2CF3" w:rsidP="00CB2CF3">
      <w:pPr>
        <w:pStyle w:val="ListParagraph"/>
        <w:numPr>
          <w:ilvl w:val="0"/>
          <w:numId w:val="16"/>
        </w:numPr>
      </w:pPr>
      <w:r w:rsidRPr="001219AF">
        <w:t>formal review and check of the doctor’s skills by an independent senior doctor</w:t>
      </w:r>
      <w:r>
        <w:t xml:space="preserve"> (Level 3)</w:t>
      </w:r>
      <w:r w:rsidR="00FE41FC">
        <w:t>;</w:t>
      </w:r>
      <w:r w:rsidR="00FE41FC" w:rsidRPr="001219AF">
        <w:t xml:space="preserve"> </w:t>
      </w:r>
      <w:r w:rsidR="00FE41FC">
        <w:t xml:space="preserve">and </w:t>
      </w:r>
    </w:p>
    <w:p w14:paraId="0473DB00" w14:textId="36F8EDE4" w:rsidR="0025396A" w:rsidRDefault="00BD15F0" w:rsidP="0025396A">
      <w:pPr>
        <w:pStyle w:val="ListParagraph"/>
        <w:numPr>
          <w:ilvl w:val="0"/>
          <w:numId w:val="16"/>
        </w:numPr>
      </w:pPr>
      <w:r w:rsidRPr="001219AF">
        <w:t>a mentoring program and review of the doctor’s skills by a colleague from the same hospital</w:t>
      </w:r>
      <w:r w:rsidR="0003488C">
        <w:t xml:space="preserve"> (Level 1</w:t>
      </w:r>
      <w:r w:rsidR="00FE41FC">
        <w:t>).</w:t>
      </w:r>
    </w:p>
    <w:p w14:paraId="7402181C" w14:textId="4C4BAB71" w:rsidR="00A321A6" w:rsidRDefault="00677A51" w:rsidP="006E5389">
      <w:r>
        <w:t>As</w:t>
      </w:r>
      <w:r w:rsidR="0003488C">
        <w:t xml:space="preserve"> levels were constructed </w:t>
      </w:r>
      <w:r w:rsidR="00FB1CAD">
        <w:t xml:space="preserve">as </w:t>
      </w:r>
      <w:r w:rsidR="0003488C">
        <w:t xml:space="preserve">proxies </w:t>
      </w:r>
      <w:r w:rsidR="00FB1CAD">
        <w:t>for the</w:t>
      </w:r>
      <w:r w:rsidR="0003488C">
        <w:t xml:space="preserve"> options proposed by Archer et al</w:t>
      </w:r>
      <w:r>
        <w:t>,</w:t>
      </w:r>
      <w:r w:rsidR="0003488C">
        <w:t xml:space="preserve"> </w:t>
      </w:r>
      <w:r>
        <w:t>t</w:t>
      </w:r>
      <w:r w:rsidR="0003488C">
        <w:t>his order represents a preference in descending</w:t>
      </w:r>
      <w:r w:rsidR="007F0481">
        <w:t xml:space="preserve"> rank</w:t>
      </w:r>
      <w:r w:rsidR="0003488C">
        <w:t xml:space="preserve"> order of their models for revalidation</w:t>
      </w:r>
      <w:r w:rsidR="00D36912">
        <w:t>:</w:t>
      </w:r>
      <w:r w:rsidR="0003488C">
        <w:t xml:space="preserve"> </w:t>
      </w:r>
      <w:r w:rsidR="00795DD5">
        <w:t>‘</w:t>
      </w:r>
      <w:r w:rsidR="0003488C">
        <w:t>Model C</w:t>
      </w:r>
      <w:r w:rsidR="00795DD5">
        <w:t>’</w:t>
      </w:r>
      <w:r w:rsidR="004E5BAA">
        <w:t xml:space="preserve">, </w:t>
      </w:r>
      <w:r w:rsidR="0003488C">
        <w:t>‘up to date’ +</w:t>
      </w:r>
      <w:r w:rsidR="005C29C9">
        <w:t xml:space="preserve"> ‘ fit to practise’, a mixed f</w:t>
      </w:r>
      <w:r w:rsidR="0003488C">
        <w:t xml:space="preserve">ormative </w:t>
      </w:r>
      <w:r w:rsidR="004E5BAA">
        <w:t xml:space="preserve">and </w:t>
      </w:r>
      <w:r w:rsidR="005C29C9">
        <w:t>summative approach;</w:t>
      </w:r>
      <w:r w:rsidR="007F0481">
        <w:t xml:space="preserve"> </w:t>
      </w:r>
      <w:r w:rsidR="00CB2CF3">
        <w:t>followed by</w:t>
      </w:r>
      <w:r w:rsidR="007F0481">
        <w:t xml:space="preserve"> ‘Model B’</w:t>
      </w:r>
      <w:r w:rsidR="004E5BAA">
        <w:t xml:space="preserve">, </w:t>
      </w:r>
      <w:r w:rsidR="005C29C9">
        <w:t xml:space="preserve">‘fit to practise’, a summative approach; and, lastly, </w:t>
      </w:r>
      <w:r w:rsidR="00CB2CF3">
        <w:t>‘Model A’</w:t>
      </w:r>
      <w:r w:rsidR="004E5BAA">
        <w:t>,</w:t>
      </w:r>
      <w:r w:rsidR="0099448F">
        <w:t xml:space="preserve"> ‘up to date’  a formative approach</w:t>
      </w:r>
      <w:r w:rsidR="00CB2CF3">
        <w:t>.</w:t>
      </w:r>
      <w:r w:rsidR="00560D43" w:rsidRPr="00B916B2">
        <w:rPr>
          <w:rStyle w:val="FootnoteReference"/>
        </w:rPr>
        <w:footnoteReference w:id="123"/>
      </w:r>
      <w:r w:rsidR="00795DD5">
        <w:t xml:space="preserve"> Each of these three options </w:t>
      </w:r>
      <w:r w:rsidR="004E5BAA">
        <w:t xml:space="preserve">was </w:t>
      </w:r>
      <w:r w:rsidR="00795DD5">
        <w:t xml:space="preserve">preferred to the </w:t>
      </w:r>
      <w:r w:rsidR="007F0481">
        <w:t>‘</w:t>
      </w:r>
      <w:r w:rsidR="00795DD5">
        <w:t>status quo option</w:t>
      </w:r>
      <w:r w:rsidR="007F0481">
        <w:t>’</w:t>
      </w:r>
      <w:r w:rsidR="0099448F">
        <w:t xml:space="preserve"> of no revalidation activity.</w:t>
      </w:r>
    </w:p>
    <w:p w14:paraId="277457C6" w14:textId="0DFCF861" w:rsidR="005C29C9" w:rsidRDefault="005C29C9" w:rsidP="005C29C9">
      <w:r>
        <w:t>In relation to other attributes, such as a criminal trial for the doctor, a fine for the doctor, or for registration-based disciplinary processes for the nurse of doctor,</w:t>
      </w:r>
      <w:r w:rsidRPr="00513D5F">
        <w:t xml:space="preserve"> respondents always </w:t>
      </w:r>
      <w:r>
        <w:t>reported</w:t>
      </w:r>
      <w:r w:rsidRPr="00513D5F">
        <w:t xml:space="preserve"> a preference that was significantly dif</w:t>
      </w:r>
      <w:r>
        <w:t>ferent from the reference level (that no form of action be taken in relation to the particular attribute, e.g. no fine, no criminal trial).</w:t>
      </w:r>
      <w:r w:rsidRPr="00513D5F">
        <w:t xml:space="preserve"> </w:t>
      </w:r>
      <w:r>
        <w:t>I</w:t>
      </w:r>
      <w:r w:rsidRPr="00513D5F">
        <w:t>n all cases except one</w:t>
      </w:r>
      <w:r>
        <w:t>,</w:t>
      </w:r>
      <w:r w:rsidRPr="00513D5F">
        <w:t xml:space="preserve"> that preference was positive; that is, </w:t>
      </w:r>
      <w:r>
        <w:t>respondents indicated that they</w:t>
      </w:r>
      <w:r w:rsidRPr="00513D5F">
        <w:t xml:space="preserve"> wanted </w:t>
      </w:r>
      <w:r>
        <w:t>some form of response/action, rather than none</w:t>
      </w:r>
      <w:r w:rsidRPr="00513D5F">
        <w:t xml:space="preserve">. The </w:t>
      </w:r>
      <w:r>
        <w:t xml:space="preserve">single </w:t>
      </w:r>
      <w:r w:rsidRPr="00513D5F">
        <w:t xml:space="preserve">exception </w:t>
      </w:r>
      <w:r w:rsidRPr="003F2484">
        <w:t xml:space="preserve">was when presented with the option of </w:t>
      </w:r>
      <w:r>
        <w:t xml:space="preserve">deregistering </w:t>
      </w:r>
      <w:r w:rsidRPr="003F2484">
        <w:t xml:space="preserve">the nurse in the vignette relative to the reference </w:t>
      </w:r>
      <w:r>
        <w:t>level of no registration restrictions</w:t>
      </w:r>
      <w:r w:rsidRPr="00513D5F">
        <w:t>.</w:t>
      </w:r>
      <w:r w:rsidR="0099448F" w:rsidRPr="00B916B2">
        <w:rPr>
          <w:rStyle w:val="FootnoteReference"/>
        </w:rPr>
        <w:footnoteReference w:id="124"/>
      </w:r>
    </w:p>
    <w:p w14:paraId="612B1DC4" w14:textId="25E37895" w:rsidR="00F2683C" w:rsidRDefault="002201C2" w:rsidP="00F2683C">
      <w:r>
        <w:t>In summary, t</w:t>
      </w:r>
      <w:r w:rsidR="008E20AB" w:rsidRPr="001219AF">
        <w:t>he results do not display a stark preference for one</w:t>
      </w:r>
      <w:r w:rsidR="00C77E36">
        <w:t xml:space="preserve"> particular</w:t>
      </w:r>
      <w:r w:rsidR="008E20AB" w:rsidRPr="001219AF">
        <w:t xml:space="preserve"> </w:t>
      </w:r>
      <w:r w:rsidR="00F2683C" w:rsidRPr="001219AF">
        <w:t>form of revalidation</w:t>
      </w:r>
      <w:r>
        <w:t xml:space="preserve">. However, </w:t>
      </w:r>
      <w:r w:rsidR="004E5BAA">
        <w:t>they do</w:t>
      </w:r>
      <w:r w:rsidR="004E5BAA" w:rsidRPr="001219AF">
        <w:t xml:space="preserve"> </w:t>
      </w:r>
      <w:r w:rsidR="00F5758F" w:rsidRPr="001219AF">
        <w:t xml:space="preserve">indicate a </w:t>
      </w:r>
      <w:r w:rsidR="00B4320B">
        <w:t xml:space="preserve">strong </w:t>
      </w:r>
      <w:r w:rsidR="00F5758F" w:rsidRPr="001219AF">
        <w:t xml:space="preserve">preference for </w:t>
      </w:r>
      <w:r w:rsidR="005B3F2B">
        <w:t>revalidation of some type</w:t>
      </w:r>
      <w:r w:rsidR="00F5758F" w:rsidRPr="001219AF">
        <w:t>.</w:t>
      </w:r>
      <w:r w:rsidR="000F508A" w:rsidRPr="001219AF">
        <w:t xml:space="preserve"> </w:t>
      </w:r>
      <w:r w:rsidR="00F2683C" w:rsidRPr="001219AF">
        <w:t>The implication is that, subject to the DCE's own contextual factors and influences, if presented in revalidation models resembl</w:t>
      </w:r>
      <w:r w:rsidR="004E5BAA">
        <w:t>ing</w:t>
      </w:r>
      <w:r w:rsidR="00F2683C" w:rsidRPr="001219AF">
        <w:t xml:space="preserve"> Level 2</w:t>
      </w:r>
      <w:r>
        <w:t xml:space="preserve"> (‘up to date’ &amp;‘ fit to practise’, a mixed formative and summative approach) </w:t>
      </w:r>
      <w:r w:rsidR="007F0481">
        <w:t>or</w:t>
      </w:r>
      <w:r w:rsidR="00F2683C" w:rsidRPr="001219AF">
        <w:t xml:space="preserve"> Level 3</w:t>
      </w:r>
      <w:r>
        <w:t xml:space="preserve"> (‘fit to practise’, a summative approach),</w:t>
      </w:r>
      <w:r w:rsidR="006E5389">
        <w:t xml:space="preserve"> approximately 59</w:t>
      </w:r>
      <w:r w:rsidR="00F2683C" w:rsidRPr="001219AF">
        <w:t xml:space="preserve">% of </w:t>
      </w:r>
      <w:r w:rsidR="006E5389">
        <w:t>choices made by respondents would flow to that option</w:t>
      </w:r>
      <w:r w:rsidR="00B4320B">
        <w:t xml:space="preserve">, whilst </w:t>
      </w:r>
      <w:r w:rsidR="00B4320B" w:rsidRPr="003F2484">
        <w:t xml:space="preserve">approximately 85% would be for one of the three models </w:t>
      </w:r>
      <w:r w:rsidR="00B4320B">
        <w:t>of revalidation.</w:t>
      </w:r>
    </w:p>
    <w:p w14:paraId="42F2045A" w14:textId="77777777" w:rsidR="00BB7E65" w:rsidRDefault="00BB7E65" w:rsidP="00F2683C"/>
    <w:p w14:paraId="2E1EC3DA" w14:textId="2295C5AC" w:rsidR="00CF7209" w:rsidRPr="001219AF" w:rsidRDefault="00406487" w:rsidP="00CF7209">
      <w:pPr>
        <w:pStyle w:val="Heading1"/>
      </w:pPr>
      <w:r>
        <w:t>Protection of the Public</w:t>
      </w:r>
    </w:p>
    <w:p w14:paraId="7525CE59" w14:textId="77777777" w:rsidR="00B4320B" w:rsidRDefault="0051197D" w:rsidP="00A321A6">
      <w:r w:rsidRPr="001219AF">
        <w:t>Patients have been identified as the ‘discursive glue’</w:t>
      </w:r>
      <w:r w:rsidR="00560D43" w:rsidRPr="00B916B2">
        <w:rPr>
          <w:rStyle w:val="FootnoteReference"/>
        </w:rPr>
        <w:footnoteReference w:id="125"/>
      </w:r>
      <w:r w:rsidRPr="001219AF">
        <w:t xml:space="preserve"> at the centre of prevailing frames surrounding </w:t>
      </w:r>
      <w:r w:rsidR="001219AF">
        <w:t>revalidation</w:t>
      </w:r>
      <w:r w:rsidR="00EB345F">
        <w:t>.</w:t>
      </w:r>
      <w:r w:rsidR="001219AF">
        <w:t xml:space="preserve"> </w:t>
      </w:r>
      <w:r w:rsidR="00EB345F">
        <w:t>Y</w:t>
      </w:r>
      <w:r w:rsidR="001219AF">
        <w:t>et</w:t>
      </w:r>
      <w:r w:rsidR="00EB345F">
        <w:t>,</w:t>
      </w:r>
      <w:r w:rsidR="001219AF">
        <w:t xml:space="preserve"> there has been a lack of </w:t>
      </w:r>
      <w:r w:rsidR="00362BAC" w:rsidRPr="001219AF">
        <w:t>patient</w:t>
      </w:r>
      <w:r w:rsidR="00041B3F">
        <w:t xml:space="preserve"> perspective-driven</w:t>
      </w:r>
      <w:r w:rsidR="00362BAC" w:rsidRPr="001219AF">
        <w:t xml:space="preserve"> </w:t>
      </w:r>
      <w:r w:rsidR="00041B3F">
        <w:t xml:space="preserve">policy </w:t>
      </w:r>
      <w:r w:rsidR="00362BAC" w:rsidRPr="001219AF">
        <w:t xml:space="preserve">in revalidation </w:t>
      </w:r>
      <w:r w:rsidR="001219AF">
        <w:t>literature.</w:t>
      </w:r>
      <w:r w:rsidR="00BA6257" w:rsidRPr="001219AF">
        <w:t xml:space="preserve"> </w:t>
      </w:r>
      <w:r w:rsidR="001E64D9">
        <w:t xml:space="preserve">This is </w:t>
      </w:r>
      <w:r w:rsidR="00B4320B">
        <w:t xml:space="preserve">an </w:t>
      </w:r>
      <w:r w:rsidR="001E64D9">
        <w:t>especially problematic</w:t>
      </w:r>
      <w:r w:rsidR="00B4320B">
        <w:t xml:space="preserve"> state of affairs</w:t>
      </w:r>
      <w:r w:rsidR="001E64D9">
        <w:t xml:space="preserve"> given the nature of the MBA and</w:t>
      </w:r>
      <w:r w:rsidR="00B4320B">
        <w:t xml:space="preserve"> its practice of</w:t>
      </w:r>
      <w:r w:rsidR="001E64D9">
        <w:t xml:space="preserve"> registration</w:t>
      </w:r>
      <w:r w:rsidR="00BB7E65">
        <w:t xml:space="preserve"> </w:t>
      </w:r>
      <w:r w:rsidR="00B4320B">
        <w:t>as primarily t</w:t>
      </w:r>
      <w:r w:rsidR="00BB7E65">
        <w:t xml:space="preserve">o give effect to </w:t>
      </w:r>
      <w:r w:rsidR="00B4320B">
        <w:t xml:space="preserve">their responsibility to protect </w:t>
      </w:r>
      <w:r w:rsidR="001E64D9">
        <w:t>the public. Moreover, i</w:t>
      </w:r>
      <w:r w:rsidR="00DB0DC5">
        <w:t xml:space="preserve">f revalidation is </w:t>
      </w:r>
      <w:r w:rsidR="001E64D9">
        <w:t xml:space="preserve">to be truly </w:t>
      </w:r>
      <w:r w:rsidR="00DB0DC5">
        <w:t>focused on ensuring, amongst other things, that ‘</w:t>
      </w:r>
      <w:r w:rsidR="00DB0DC5" w:rsidRPr="001219AF">
        <w:t>patients remain at the</w:t>
      </w:r>
      <w:r w:rsidR="00DB0DC5">
        <w:t xml:space="preserve"> heart of medical care</w:t>
      </w:r>
      <w:r w:rsidR="00DB0DC5" w:rsidRPr="001219AF">
        <w:t>’</w:t>
      </w:r>
      <w:r w:rsidR="00DB0DC5">
        <w:t>,</w:t>
      </w:r>
      <w:r w:rsidR="00560D43" w:rsidRPr="00B916B2">
        <w:rPr>
          <w:rStyle w:val="FootnoteReference"/>
        </w:rPr>
        <w:footnoteReference w:id="126"/>
      </w:r>
      <w:r w:rsidR="00DB0DC5">
        <w:t xml:space="preserve"> </w:t>
      </w:r>
      <w:r w:rsidR="00B4320B">
        <w:t>then</w:t>
      </w:r>
      <w:r w:rsidR="001E64D9">
        <w:t xml:space="preserve"> </w:t>
      </w:r>
      <w:r w:rsidR="00C77E36">
        <w:t xml:space="preserve">the desires of patients </w:t>
      </w:r>
      <w:r w:rsidR="001E64D9">
        <w:t>and</w:t>
      </w:r>
      <w:r w:rsidR="00C77E36">
        <w:t xml:space="preserve"> the general public should be both elicited and provided with significant weight</w:t>
      </w:r>
      <w:r w:rsidR="001E64D9">
        <w:t xml:space="preserve"> in debates about law reform in these areas</w:t>
      </w:r>
      <w:r w:rsidR="00C77E36">
        <w:t xml:space="preserve">. </w:t>
      </w:r>
      <w:r w:rsidR="00B4320B">
        <w:t xml:space="preserve">This research contributes to placing the perspectives of the public at the heart of medical care that concerns them, and the design and function of a key protective jurisdiction which is bound to protect them and their interests. </w:t>
      </w:r>
      <w:r w:rsidR="00C77E36">
        <w:t>What</w:t>
      </w:r>
      <w:r w:rsidR="00083A98" w:rsidRPr="001219AF">
        <w:t xml:space="preserve"> is </w:t>
      </w:r>
      <w:r w:rsidR="00C77E36">
        <w:t>absolutely</w:t>
      </w:r>
      <w:r w:rsidR="00083A98" w:rsidRPr="001219AF">
        <w:t xml:space="preserve"> c</w:t>
      </w:r>
      <w:r w:rsidR="00C77E36">
        <w:t>lear from the results of the</w:t>
      </w:r>
      <w:r w:rsidR="001219AF">
        <w:t xml:space="preserve"> DCE</w:t>
      </w:r>
      <w:r w:rsidR="00083A98" w:rsidRPr="001219AF">
        <w:t xml:space="preserve"> is that </w:t>
      </w:r>
      <w:r w:rsidR="00B4320B">
        <w:t>the public</w:t>
      </w:r>
      <w:r w:rsidR="00083A98" w:rsidRPr="001219AF">
        <w:t xml:space="preserve"> indicate a clear prefer</w:t>
      </w:r>
      <w:r w:rsidR="00DB0DC5">
        <w:t>ence for revalidation processes</w:t>
      </w:r>
      <w:r w:rsidR="002836C2">
        <w:t xml:space="preserve"> </w:t>
      </w:r>
      <w:r w:rsidR="00752EB6">
        <w:t>i</w:t>
      </w:r>
      <w:r w:rsidR="002836C2">
        <w:t>n response to a failure in physician competence</w:t>
      </w:r>
      <w:r w:rsidR="00083A98" w:rsidRPr="001219AF">
        <w:t xml:space="preserve">. </w:t>
      </w:r>
      <w:r w:rsidR="00C77E36">
        <w:t xml:space="preserve">Moreover, they prefer a model </w:t>
      </w:r>
      <w:r w:rsidR="007E6D45">
        <w:t>that</w:t>
      </w:r>
      <w:r w:rsidR="00C77E36">
        <w:t xml:space="preserve"> expresses a mixture of both formative and summative elements. </w:t>
      </w:r>
    </w:p>
    <w:p w14:paraId="7AB9780A" w14:textId="466A281E" w:rsidR="00D0278D" w:rsidRDefault="00524C4D" w:rsidP="00A321A6">
      <w:r>
        <w:t>R</w:t>
      </w:r>
      <w:r w:rsidR="00A321A6">
        <w:t xml:space="preserve">eading </w:t>
      </w:r>
      <w:r>
        <w:t>the</w:t>
      </w:r>
      <w:r w:rsidR="006E5389">
        <w:t xml:space="preserve"> aggregate</w:t>
      </w:r>
      <w:r>
        <w:t xml:space="preserve"> </w:t>
      </w:r>
      <w:r w:rsidR="006E5389">
        <w:t>flow of choices</w:t>
      </w:r>
      <w:r w:rsidR="00BA606D">
        <w:t xml:space="preserve"> elicited by this DCE</w:t>
      </w:r>
      <w:r w:rsidR="00A321A6" w:rsidRPr="00BD15F0">
        <w:t xml:space="preserve"> </w:t>
      </w:r>
      <w:r w:rsidR="00A321A6">
        <w:t xml:space="preserve">the purely formative option </w:t>
      </w:r>
      <w:r w:rsidR="00C77E36">
        <w:t xml:space="preserve">- </w:t>
      </w:r>
      <w:r w:rsidR="00A321A6">
        <w:t>mentoring and skill review by a colleag</w:t>
      </w:r>
      <w:r w:rsidR="00286727">
        <w:t>ue</w:t>
      </w:r>
      <w:r w:rsidR="00C77E36">
        <w:t xml:space="preserve"> – </w:t>
      </w:r>
      <w:r w:rsidR="00286727">
        <w:t>achieve</w:t>
      </w:r>
      <w:r w:rsidR="00C77E36">
        <w:t>d</w:t>
      </w:r>
      <w:r w:rsidR="00286727">
        <w:t xml:space="preserve"> the</w:t>
      </w:r>
      <w:r w:rsidR="00A321A6">
        <w:t xml:space="preserve"> weake</w:t>
      </w:r>
      <w:r w:rsidR="00286727">
        <w:t>st</w:t>
      </w:r>
      <w:r w:rsidR="00A321A6">
        <w:t xml:space="preserve"> </w:t>
      </w:r>
      <w:r w:rsidR="00C77E36">
        <w:t>allocation of preferences. This options expressed by use of a</w:t>
      </w:r>
      <w:r w:rsidR="00B1457C">
        <w:t xml:space="preserve"> proxy the</w:t>
      </w:r>
      <w:r w:rsidR="00A321A6">
        <w:t xml:space="preserve"> ‘weakest’ of</w:t>
      </w:r>
      <w:r w:rsidR="00BA606D">
        <w:t xml:space="preserve"> </w:t>
      </w:r>
      <w:r w:rsidR="0005198F">
        <w:t xml:space="preserve">revalidation </w:t>
      </w:r>
      <w:r w:rsidR="00BA606D">
        <w:t>models canvassed by Archer</w:t>
      </w:r>
      <w:r w:rsidR="006E5389">
        <w:t xml:space="preserve"> et al</w:t>
      </w:r>
      <w:r w:rsidR="0005198F">
        <w:t>:</w:t>
      </w:r>
      <w:r w:rsidR="00560D43" w:rsidRPr="00B916B2">
        <w:rPr>
          <w:rStyle w:val="FootnoteReference"/>
        </w:rPr>
        <w:footnoteReference w:id="127"/>
      </w:r>
      <w:r w:rsidR="00BA606D">
        <w:t xml:space="preserve"> </w:t>
      </w:r>
      <w:r w:rsidR="0005198F">
        <w:t>internet-based</w:t>
      </w:r>
      <w:r w:rsidR="00C77E36">
        <w:t xml:space="preserve"> revalidation</w:t>
      </w:r>
      <w:r w:rsidR="0005198F">
        <w:t xml:space="preserve">, </w:t>
      </w:r>
      <w:r w:rsidR="00BA606D">
        <w:t xml:space="preserve">with participation in </w:t>
      </w:r>
      <w:r w:rsidR="00B1457C">
        <w:t>multi-source feedback</w:t>
      </w:r>
      <w:r w:rsidR="00C77E36">
        <w:t>, alongside</w:t>
      </w:r>
      <w:r w:rsidR="00B1457C">
        <w:t xml:space="preserve"> </w:t>
      </w:r>
      <w:r w:rsidR="00BA606D">
        <w:t>mandatory</w:t>
      </w:r>
      <w:r w:rsidR="004E5BAA">
        <w:t>,</w:t>
      </w:r>
      <w:r w:rsidR="00BA606D">
        <w:t xml:space="preserve"> but </w:t>
      </w:r>
      <w:r w:rsidR="00D356F5">
        <w:t xml:space="preserve">wholly </w:t>
      </w:r>
      <w:r w:rsidR="00B1457C">
        <w:t>self-directed</w:t>
      </w:r>
      <w:r w:rsidR="004E5BAA">
        <w:t>,</w:t>
      </w:r>
      <w:r w:rsidR="00B1457C">
        <w:t xml:space="preserve"> CPD</w:t>
      </w:r>
      <w:r w:rsidR="00BA606D">
        <w:t xml:space="preserve">. </w:t>
      </w:r>
      <w:r w:rsidR="0005198F">
        <w:t>That model lacks</w:t>
      </w:r>
      <w:r w:rsidR="00A321A6">
        <w:t xml:space="preserve"> </w:t>
      </w:r>
      <w:r w:rsidR="00C77E36">
        <w:t>really any</w:t>
      </w:r>
      <w:r w:rsidR="00A321A6">
        <w:t xml:space="preserve"> summative character or </w:t>
      </w:r>
      <w:r w:rsidR="00D356F5">
        <w:t xml:space="preserve">independent </w:t>
      </w:r>
      <w:r w:rsidR="00C77E36">
        <w:t>external review. That model, if implemented would be able to broadly demonstrate</w:t>
      </w:r>
      <w:r w:rsidR="00B1457C">
        <w:t xml:space="preserve"> </w:t>
      </w:r>
      <w:r w:rsidR="00A321A6">
        <w:t xml:space="preserve">that medical practitioners </w:t>
      </w:r>
      <w:r w:rsidR="00C77E36">
        <w:t>were generally</w:t>
      </w:r>
      <w:r w:rsidR="00A321A6">
        <w:t xml:space="preserve"> </w:t>
      </w:r>
      <w:r w:rsidR="00A321A6" w:rsidRPr="009763F5">
        <w:t>‘up to date’ but not necessarily ‘fit to practi</w:t>
      </w:r>
      <w:r w:rsidR="00A321A6">
        <w:t>s</w:t>
      </w:r>
      <w:r w:rsidR="00A321A6" w:rsidRPr="009763F5">
        <w:t>e’</w:t>
      </w:r>
      <w:r w:rsidR="00A321A6">
        <w:t>.</w:t>
      </w:r>
      <w:r w:rsidR="00560D43" w:rsidRPr="00B916B2">
        <w:rPr>
          <w:rStyle w:val="FootnoteReference"/>
        </w:rPr>
        <w:footnoteReference w:id="128"/>
      </w:r>
      <w:r w:rsidR="00A321A6">
        <w:t xml:space="preserve"> </w:t>
      </w:r>
      <w:r w:rsidR="00D26DD7">
        <w:t xml:space="preserve"> </w:t>
      </w:r>
      <w:r w:rsidR="00C77E36">
        <w:t xml:space="preserve">By contrast, </w:t>
      </w:r>
      <w:r w:rsidR="004E5BAA">
        <w:t>t</w:t>
      </w:r>
      <w:r w:rsidR="00D356F5">
        <w:t xml:space="preserve">he strongest flow of choices </w:t>
      </w:r>
      <w:r w:rsidR="00C77E36">
        <w:t xml:space="preserve">in the DCE flowed to the option </w:t>
      </w:r>
      <w:r w:rsidR="007E6D45">
        <w:t>that</w:t>
      </w:r>
      <w:r w:rsidR="00C77E36">
        <w:t xml:space="preserve"> </w:t>
      </w:r>
      <w:r w:rsidR="00286727">
        <w:t>encapsulat</w:t>
      </w:r>
      <w:r w:rsidR="00C77E36">
        <w:t>ed</w:t>
      </w:r>
      <w:r w:rsidR="00286727">
        <w:t xml:space="preserve"> Archer et </w:t>
      </w:r>
      <w:proofErr w:type="spellStart"/>
      <w:r w:rsidR="00286727">
        <w:t>al’s</w:t>
      </w:r>
      <w:proofErr w:type="spellEnd"/>
      <w:r>
        <w:t xml:space="preserve"> preferred model </w:t>
      </w:r>
      <w:r w:rsidR="00C77E36">
        <w:t>(</w:t>
      </w:r>
      <w:r>
        <w:t>Model C</w:t>
      </w:r>
      <w:r w:rsidR="00C77E36">
        <w:t xml:space="preserve"> in the report</w:t>
      </w:r>
      <w:r>
        <w:t>)</w:t>
      </w:r>
      <w:r w:rsidR="00C77E36">
        <w:t>;</w:t>
      </w:r>
      <w:r>
        <w:t xml:space="preserve"> </w:t>
      </w:r>
      <w:r w:rsidR="00D356F5">
        <w:t xml:space="preserve">a revalidation model </w:t>
      </w:r>
      <w:r w:rsidR="004E5BAA">
        <w:t>involving</w:t>
      </w:r>
      <w:r w:rsidR="00286727">
        <w:t xml:space="preserve"> a mix</w:t>
      </w:r>
      <w:r w:rsidR="00C77E36">
        <w:t>ture</w:t>
      </w:r>
      <w:r w:rsidR="00286727">
        <w:t xml:space="preserve"> of </w:t>
      </w:r>
      <w:r w:rsidR="00C77E36">
        <w:t xml:space="preserve">both </w:t>
      </w:r>
      <w:r w:rsidR="00286727">
        <w:t>formative and summative elements</w:t>
      </w:r>
      <w:r w:rsidR="0005198F">
        <w:t>.</w:t>
      </w:r>
      <w:r w:rsidR="00B1457C">
        <w:t xml:space="preserve"> </w:t>
      </w:r>
      <w:r w:rsidR="00C77E36">
        <w:t xml:space="preserve">This model was expressed by the proxy language of </w:t>
      </w:r>
      <w:r w:rsidR="00A94E91">
        <w:t>‘f</w:t>
      </w:r>
      <w:r w:rsidR="00A94E91" w:rsidRPr="00A94E91">
        <w:t xml:space="preserve">ormal re-training by the doctor in </w:t>
      </w:r>
      <w:r w:rsidR="00DE3CDB">
        <w:t>relevant skills and topic areas’ in our DCE.</w:t>
      </w:r>
      <w:r w:rsidR="00A94E91">
        <w:t xml:space="preserve"> If </w:t>
      </w:r>
      <w:r w:rsidR="00DE3CDB">
        <w:t xml:space="preserve">this form of revalidation was </w:t>
      </w:r>
      <w:r w:rsidR="00A94E91">
        <w:t>implemented</w:t>
      </w:r>
      <w:r w:rsidR="00DE3CDB">
        <w:t xml:space="preserve"> in the proposed regulatory reform</w:t>
      </w:r>
      <w:r w:rsidR="00A94E91">
        <w:t xml:space="preserve">, this model of revalidation would broadly ensure that a doctor </w:t>
      </w:r>
      <w:r w:rsidR="00DE3CDB">
        <w:t>would be up-to-date (</w:t>
      </w:r>
      <w:r w:rsidR="00A94E91">
        <w:t>as indicated by the re-training aspect of the proxy</w:t>
      </w:r>
      <w:r w:rsidR="00DE3CDB">
        <w:t>) as well as ‘fit to practise’ (</w:t>
      </w:r>
      <w:r w:rsidR="00A94E91">
        <w:t>as indicted by the formality of that re-training</w:t>
      </w:r>
      <w:r w:rsidR="00DE3CDB">
        <w:t>)</w:t>
      </w:r>
      <w:r w:rsidR="00A94E91">
        <w:t>. By reading the DCE results in line with the proposals made by Archer et al, w</w:t>
      </w:r>
      <w:r w:rsidR="00A321A6" w:rsidRPr="00BD15F0">
        <w:t>e conclude that</w:t>
      </w:r>
      <w:r w:rsidR="00A321A6">
        <w:t xml:space="preserve"> a </w:t>
      </w:r>
      <w:r w:rsidR="00A321A6" w:rsidRPr="00BD15F0">
        <w:t xml:space="preserve">combination of summative and formative </w:t>
      </w:r>
      <w:r w:rsidR="00A321A6">
        <w:t>revalidation is</w:t>
      </w:r>
      <w:r w:rsidR="002836C2">
        <w:t xml:space="preserve"> likely</w:t>
      </w:r>
      <w:r w:rsidR="00A321A6">
        <w:t xml:space="preserve"> </w:t>
      </w:r>
      <w:r w:rsidR="003C47F9">
        <w:t xml:space="preserve">to be more </w:t>
      </w:r>
      <w:r w:rsidR="00A321A6">
        <w:t>acceptable</w:t>
      </w:r>
      <w:r w:rsidR="002836C2">
        <w:t xml:space="preserve"> </w:t>
      </w:r>
      <w:r w:rsidR="00DE3CDB">
        <w:t xml:space="preserve">form of law reform </w:t>
      </w:r>
      <w:r w:rsidR="002836C2">
        <w:t>to the general public</w:t>
      </w:r>
      <w:r w:rsidR="003C47F9">
        <w:t xml:space="preserve"> than doing nothing</w:t>
      </w:r>
      <w:r w:rsidR="00A321A6">
        <w:t xml:space="preserve">. </w:t>
      </w:r>
    </w:p>
    <w:p w14:paraId="3A10D275" w14:textId="77777777" w:rsidR="00D510FF" w:rsidRDefault="0076118C" w:rsidP="00FA766F">
      <w:r>
        <w:t xml:space="preserve">Subject to further detail, trial and successful implementation, it seems likely that the combination of formative and summative assessment proposed by the </w:t>
      </w:r>
      <w:r w:rsidRPr="002B2186">
        <w:t>Medical Board of Australia’s Expert Advisory Group</w:t>
      </w:r>
      <w:r>
        <w:t xml:space="preserve"> on Revalidation will be an acceptable response to the broader public. </w:t>
      </w:r>
      <w:r w:rsidR="002C5872">
        <w:t>At present, the</w:t>
      </w:r>
      <w:r w:rsidR="002836C2">
        <w:t xml:space="preserve"> MBA</w:t>
      </w:r>
      <w:r w:rsidR="002C5872">
        <w:t>’s Expert Advisory Group o</w:t>
      </w:r>
      <w:r w:rsidR="00A94E91">
        <w:t>n</w:t>
      </w:r>
      <w:r w:rsidR="002C5872">
        <w:t xml:space="preserve"> Revalidation</w:t>
      </w:r>
      <w:r w:rsidR="002836C2">
        <w:t xml:space="preserve"> </w:t>
      </w:r>
      <w:r w:rsidR="002C5872">
        <w:t>proposes</w:t>
      </w:r>
      <w:r w:rsidR="002836C2">
        <w:t xml:space="preserve"> an integrated approach to revalidation</w:t>
      </w:r>
      <w:r w:rsidR="00DD2399">
        <w:t xml:space="preserve"> regulatory reform. It would</w:t>
      </w:r>
      <w:r w:rsidR="002836C2">
        <w:t xml:space="preserve"> consist of </w:t>
      </w:r>
      <w:r w:rsidR="00A3790E">
        <w:t xml:space="preserve">two components: </w:t>
      </w:r>
      <w:r w:rsidR="002836C2">
        <w:t>a strengthened form of CPD</w:t>
      </w:r>
      <w:r w:rsidR="00A04F63">
        <w:t>,</w:t>
      </w:r>
      <w:r w:rsidR="002836C2">
        <w:t xml:space="preserve"> and</w:t>
      </w:r>
      <w:r w:rsidR="002B2186" w:rsidRPr="002B2186">
        <w:t xml:space="preserve"> proactive identification and assessment of ‘at-risk’ and poorly performing practitioners</w:t>
      </w:r>
      <w:r w:rsidR="002836C2">
        <w:t>.</w:t>
      </w:r>
      <w:r w:rsidR="00560D43" w:rsidRPr="00B916B2">
        <w:rPr>
          <w:rStyle w:val="FootnoteReference"/>
        </w:rPr>
        <w:footnoteReference w:id="129"/>
      </w:r>
      <w:r w:rsidR="002836C2">
        <w:t xml:space="preserve"> This</w:t>
      </w:r>
      <w:r w:rsidR="00A94E91">
        <w:t xml:space="preserve"> proposal</w:t>
      </w:r>
      <w:r w:rsidR="002836C2">
        <w:t xml:space="preserve"> represents a mixed-model</w:t>
      </w:r>
      <w:r w:rsidR="00A94E91">
        <w:t xml:space="preserve"> of revalidation</w:t>
      </w:r>
      <w:r w:rsidR="002836C2">
        <w:t xml:space="preserve">, integrating largely formative CPD </w:t>
      </w:r>
      <w:r w:rsidR="00A94E91">
        <w:t xml:space="preserve">activities </w:t>
      </w:r>
      <w:r w:rsidR="002836C2">
        <w:t xml:space="preserve">to support individual learning (‘up to date’) and summative appraisal to ensure </w:t>
      </w:r>
      <w:r w:rsidR="002836C2" w:rsidRPr="009763F5">
        <w:t>minimum</w:t>
      </w:r>
      <w:r w:rsidR="002836C2">
        <w:t xml:space="preserve"> standards of performance (‘fit to practise’)</w:t>
      </w:r>
      <w:r w:rsidR="00A94E91">
        <w:t xml:space="preserve"> in select cases. In practice, this proposed </w:t>
      </w:r>
      <w:r w:rsidR="002836C2">
        <w:t xml:space="preserve">model </w:t>
      </w:r>
      <w:r w:rsidR="00A94E91">
        <w:t>would seem to arrange</w:t>
      </w:r>
      <w:r w:rsidR="00656F95">
        <w:t xml:space="preserve"> CPD</w:t>
      </w:r>
      <w:r w:rsidR="002B2186">
        <w:t xml:space="preserve"> </w:t>
      </w:r>
      <w:r w:rsidR="00A94E91">
        <w:t xml:space="preserve">to ‘nest’ </w:t>
      </w:r>
      <w:r w:rsidR="002B2186">
        <w:t>within the second</w:t>
      </w:r>
      <w:r w:rsidR="00A94E91">
        <w:t>ary</w:t>
      </w:r>
      <w:r w:rsidR="002B2186">
        <w:t xml:space="preserve"> </w:t>
      </w:r>
      <w:r w:rsidR="00A94E91">
        <w:t xml:space="preserve">summative </w:t>
      </w:r>
      <w:r w:rsidR="002B2186">
        <w:t>component</w:t>
      </w:r>
      <w:r w:rsidR="00656F95">
        <w:t>, using CPD</w:t>
      </w:r>
      <w:r w:rsidR="002836C2">
        <w:t xml:space="preserve"> </w:t>
      </w:r>
      <w:r w:rsidR="002B2186">
        <w:t>to assist in identifying</w:t>
      </w:r>
      <w:r w:rsidR="002836C2">
        <w:t xml:space="preserve"> ‘at risk’</w:t>
      </w:r>
      <w:r w:rsidR="002B2186">
        <w:t xml:space="preserve"> medical practitioners by use of compulsory performance review and outcome measurement alongside validated education activities.</w:t>
      </w:r>
      <w:r w:rsidR="00656F95">
        <w:t xml:space="preserve"> </w:t>
      </w:r>
      <w:r w:rsidR="00A94E91">
        <w:t xml:space="preserve">So too, does it seem possible that practitioners will be referred or required to complete the more intensive, summative, aspects of the second part of the model should they meet particular risk profiles, based on practice type and other factors such as age and gender. Perhaps, there is also scope for referral of practitioners into this second stage of revalidation based on the existence of particular complaint or notification activity. However, the line between regulatory performance management and disciplinary processes on the one hand, and the revalidation process on the other will require some work to establish, particularly if they overlap in some way. All of this goes to say that according to the preferred model, </w:t>
      </w:r>
      <w:r w:rsidR="00656F95">
        <w:t xml:space="preserve">a form of summative appraisal revalidation activity would be compulsory for all medical practitioners (to </w:t>
      </w:r>
      <w:r w:rsidR="0087536F">
        <w:t xml:space="preserve">satisfy their CPD requirement). </w:t>
      </w:r>
      <w:r w:rsidR="00656F95">
        <w:t xml:space="preserve">This selection of a mixed formative and summative approach is supported </w:t>
      </w:r>
      <w:r w:rsidR="0087536F">
        <w:t>by the findings presented here.</w:t>
      </w:r>
      <w:r>
        <w:t xml:space="preserve"> </w:t>
      </w:r>
    </w:p>
    <w:p w14:paraId="68B9B548" w14:textId="562AD376" w:rsidR="007121A7" w:rsidRDefault="00D510FF" w:rsidP="00B670B4">
      <w:r w:rsidRPr="00D510FF">
        <w:t xml:space="preserve">Not only </w:t>
      </w:r>
      <w:r>
        <w:t xml:space="preserve">will the proposed regulatory reform be acceptable to the public, its implementation will significantly advance the law’s contribution to constraining dangerous medical practice from a </w:t>
      </w:r>
      <w:r w:rsidRPr="00D510FF">
        <w:t>largely reactive stanc</w:t>
      </w:r>
      <w:r>
        <w:t>e onto a more proactive footing. This</w:t>
      </w:r>
      <w:r w:rsidR="00FA766F" w:rsidRPr="001219AF">
        <w:t xml:space="preserve"> represent</w:t>
      </w:r>
      <w:r>
        <w:t>s</w:t>
      </w:r>
      <w:r w:rsidR="00FA766F" w:rsidRPr="001219AF">
        <w:t xml:space="preserve"> a potentially effective </w:t>
      </w:r>
      <w:r w:rsidR="00FA766F">
        <w:t>and, importantly, acceptable reform to existing regulatory performance management and disciplinary systems</w:t>
      </w:r>
      <w:r>
        <w:t xml:space="preserve">. </w:t>
      </w:r>
      <w:r w:rsidR="008C43AA">
        <w:t>However,</w:t>
      </w:r>
      <w:r w:rsidR="00FA766F" w:rsidRPr="001219AF">
        <w:t xml:space="preserve"> </w:t>
      </w:r>
      <w:r w:rsidR="00FA766F">
        <w:t xml:space="preserve">the proposal </w:t>
      </w:r>
      <w:r w:rsidR="00896CB3">
        <w:t xml:space="preserve">will also provide the opportunity </w:t>
      </w:r>
      <w:r w:rsidR="00FA766F" w:rsidRPr="001219AF">
        <w:t xml:space="preserve">for reassessment of the role of </w:t>
      </w:r>
      <w:r w:rsidR="00FA766F">
        <w:t xml:space="preserve">existing </w:t>
      </w:r>
      <w:r w:rsidR="00FA766F" w:rsidRPr="001219AF">
        <w:t>medico-legal practices</w:t>
      </w:r>
      <w:r w:rsidR="00FA766F">
        <w:t>, like complaints, in support of</w:t>
      </w:r>
      <w:r w:rsidR="00FA766F" w:rsidRPr="001219AF">
        <w:t xml:space="preserve"> </w:t>
      </w:r>
      <w:r w:rsidR="001E14D8">
        <w:t xml:space="preserve">other forms of </w:t>
      </w:r>
      <w:r w:rsidR="00896CB3">
        <w:t xml:space="preserve">proactive </w:t>
      </w:r>
      <w:r w:rsidR="001E14D8">
        <w:t>regulatory action in support of the quality and safety of healthcare</w:t>
      </w:r>
      <w:r w:rsidR="00FA766F" w:rsidRPr="001219AF">
        <w:t>.</w:t>
      </w:r>
      <w:r w:rsidR="008C43AA">
        <w:t xml:space="preserve"> </w:t>
      </w:r>
      <w:r w:rsidR="001E14D8">
        <w:rPr>
          <w:lang w:val="en-US"/>
        </w:rPr>
        <w:t>Existing medico-legal processes and practices have been subject to almost consistent critique and discomfort in Australia. The long and often complex reception of tortious negligence,</w:t>
      </w:r>
      <w:r w:rsidR="001E14D8" w:rsidRPr="00B916B2">
        <w:rPr>
          <w:rStyle w:val="FootnoteReference"/>
        </w:rPr>
        <w:footnoteReference w:id="130"/>
      </w:r>
      <w:r w:rsidR="001E14D8">
        <w:rPr>
          <w:lang w:val="en-US"/>
        </w:rPr>
        <w:t xml:space="preserve"> indemnity insurance systems, and (currently) mandatory reporting requirements are all part of </w:t>
      </w:r>
      <w:r w:rsidR="008C43AA">
        <w:rPr>
          <w:lang w:val="en-US"/>
        </w:rPr>
        <w:t xml:space="preserve">the </w:t>
      </w:r>
      <w:r w:rsidR="001E14D8">
        <w:rPr>
          <w:lang w:val="en-US"/>
        </w:rPr>
        <w:t>tension</w:t>
      </w:r>
      <w:r w:rsidR="008C43AA">
        <w:rPr>
          <w:lang w:val="en-US"/>
        </w:rPr>
        <w:t>s</w:t>
      </w:r>
      <w:r w:rsidR="001E14D8">
        <w:rPr>
          <w:lang w:val="en-US"/>
        </w:rPr>
        <w:t xml:space="preserve"> and debate</w:t>
      </w:r>
      <w:r w:rsidR="008C43AA">
        <w:rPr>
          <w:lang w:val="en-US"/>
        </w:rPr>
        <w:t>s</w:t>
      </w:r>
      <w:r w:rsidR="001E14D8">
        <w:rPr>
          <w:lang w:val="en-US"/>
        </w:rPr>
        <w:t xml:space="preserve"> surrounding the practice of medicine. Perhaps this tension surrounding regulatory system design and administration is not a bad thing. However, </w:t>
      </w:r>
      <w:r w:rsidR="001E14D8">
        <w:t xml:space="preserve">through this process, medico-legal mechanisms and practice have very often come to be </w:t>
      </w:r>
      <w:r w:rsidR="001E14D8" w:rsidRPr="00F76EA7">
        <w:t>cast as an unwelcome interloper in the field of patient safety</w:t>
      </w:r>
      <w:r w:rsidR="001E14D8">
        <w:t xml:space="preserve"> and regulation of the profession</w:t>
      </w:r>
      <w:r w:rsidR="001E14D8" w:rsidRPr="00F76EA7">
        <w:t>—threateni</w:t>
      </w:r>
      <w:r w:rsidR="001E14D8">
        <w:t>ng</w:t>
      </w:r>
      <w:r w:rsidR="001E14D8" w:rsidRPr="00F76EA7">
        <w:t xml:space="preserve"> unjust, inaccurate and otherwise unhelpful punitive action.</w:t>
      </w:r>
      <w:r w:rsidR="001E14D8" w:rsidRPr="00B916B2">
        <w:rPr>
          <w:rStyle w:val="FootnoteReference"/>
        </w:rPr>
        <w:footnoteReference w:id="131"/>
      </w:r>
      <w:r w:rsidR="001E14D8" w:rsidRPr="00F76EA7">
        <w:t xml:space="preserve"> </w:t>
      </w:r>
      <w:r w:rsidR="001E14D8">
        <w:t xml:space="preserve">One outcome of </w:t>
      </w:r>
      <w:r w:rsidR="006A38E1">
        <w:t>the suspicion or tension surrounding existing medico-legal practices</w:t>
      </w:r>
      <w:r w:rsidR="001E14D8">
        <w:t xml:space="preserve"> has been the establishment of silos around particular regulatory mechanisms and their outputs. </w:t>
      </w:r>
      <w:r w:rsidR="00B23845">
        <w:t xml:space="preserve">For example, formal complaints mechanisms might collect and manage complaints at a local hospital or health service level, whilst statutory health complaints or ombudsman bodies that are best positioned to monitor and evaluate broader patterns of complaint or concern are left without access to the complaints data unless a complaint is made directly to them. </w:t>
      </w:r>
      <w:r w:rsidR="006A38E1">
        <w:t xml:space="preserve">These silos </w:t>
      </w:r>
      <w:r w:rsidR="00B23845">
        <w:t>must</w:t>
      </w:r>
      <w:r w:rsidR="006A38E1">
        <w:t xml:space="preserve"> be broken down. These significant resources,</w:t>
      </w:r>
      <w:r w:rsidR="00B23845">
        <w:t xml:space="preserve"> experience, expertise and</w:t>
      </w:r>
      <w:r w:rsidR="006A38E1">
        <w:t xml:space="preserve"> data should be </w:t>
      </w:r>
      <w:r w:rsidR="00B23845">
        <w:t>mobilised in aid of a</w:t>
      </w:r>
      <w:r w:rsidR="006A38E1">
        <w:t>dvancin</w:t>
      </w:r>
      <w:r w:rsidR="00B23845">
        <w:t>g healthcare quality and safety,</w:t>
      </w:r>
      <w:r w:rsidR="0037131E" w:rsidRPr="00B916B2">
        <w:rPr>
          <w:rStyle w:val="FootnoteReference"/>
        </w:rPr>
        <w:footnoteReference w:id="132"/>
      </w:r>
      <w:r w:rsidR="00B23845">
        <w:t xml:space="preserve"> and to do so means bringing whatever information we have to bear on the task of protecting of the public.</w:t>
      </w:r>
      <w:r w:rsidR="006A38E1">
        <w:t xml:space="preserve"> Thankfully, the current revalidation regulatory reform proposals </w:t>
      </w:r>
      <w:r w:rsidR="001E14D8">
        <w:t>promise to</w:t>
      </w:r>
      <w:r w:rsidR="006A38E1">
        <w:t xml:space="preserve"> do just tha</w:t>
      </w:r>
      <w:r w:rsidR="0037131E">
        <w:t>t</w:t>
      </w:r>
      <w:r w:rsidR="006A38E1">
        <w:t xml:space="preserve">. </w:t>
      </w:r>
      <w:r w:rsidR="00B23845">
        <w:t>V</w:t>
      </w:r>
      <w:r w:rsidR="006A38E1">
        <w:t>arious silos</w:t>
      </w:r>
      <w:r w:rsidR="00B23845">
        <w:t xml:space="preserve"> of information will be tapped, </w:t>
      </w:r>
      <w:r w:rsidR="001E14D8">
        <w:t>draw</w:t>
      </w:r>
      <w:r w:rsidR="006A38E1">
        <w:t>ing</w:t>
      </w:r>
      <w:r w:rsidR="001E14D8">
        <w:t xml:space="preserve"> directly upon existing </w:t>
      </w:r>
      <w:r w:rsidR="006A38E1">
        <w:t xml:space="preserve">medico-legal </w:t>
      </w:r>
      <w:r w:rsidR="001E14D8">
        <w:t xml:space="preserve">processes </w:t>
      </w:r>
      <w:r w:rsidR="00B23845">
        <w:t xml:space="preserve">like complaints systems </w:t>
      </w:r>
      <w:r w:rsidR="001E14D8">
        <w:t xml:space="preserve">to design and administer various facets of the proposed </w:t>
      </w:r>
      <w:r w:rsidR="006A38E1">
        <w:t xml:space="preserve">revalidation </w:t>
      </w:r>
      <w:r w:rsidR="001E14D8">
        <w:t>model.</w:t>
      </w:r>
      <w:r w:rsidR="006A38E1">
        <w:t xml:space="preserve"> In particular, the use of existing complaints data </w:t>
      </w:r>
      <w:r w:rsidR="00DB36D4">
        <w:t xml:space="preserve">held by various actors </w:t>
      </w:r>
      <w:r w:rsidR="006A38E1">
        <w:t xml:space="preserve">to </w:t>
      </w:r>
      <w:r w:rsidR="00DB36D4">
        <w:t xml:space="preserve">formulate and </w:t>
      </w:r>
      <w:r w:rsidR="006A38E1">
        <w:t>justify the risk-based targeting of revalida</w:t>
      </w:r>
      <w:r w:rsidR="00DB36D4">
        <w:t xml:space="preserve">tion’s more rigorous processes </w:t>
      </w:r>
      <w:r w:rsidR="006A38E1">
        <w:t xml:space="preserve">represent just such an integration of otherwise separate medico-legal practices and their outputs in a productive way. In so far as it will do so, this </w:t>
      </w:r>
      <w:r w:rsidR="001E14D8">
        <w:t xml:space="preserve">represents a potentiation of </w:t>
      </w:r>
      <w:r w:rsidR="001E14D8" w:rsidRPr="001219AF">
        <w:t xml:space="preserve">the patient’s </w:t>
      </w:r>
      <w:r w:rsidR="001E14D8">
        <w:t>and</w:t>
      </w:r>
      <w:r w:rsidR="001E14D8" w:rsidRPr="001219AF">
        <w:t xml:space="preserve"> general public’s contribution </w:t>
      </w:r>
      <w:r w:rsidR="001E14D8">
        <w:t xml:space="preserve">to revalidation efforts </w:t>
      </w:r>
      <w:r w:rsidR="00CA031C">
        <w:t xml:space="preserve">and the regulation of healthcare quality and safety </w:t>
      </w:r>
      <w:r w:rsidR="001E14D8">
        <w:t>by harnessing their existing contribution made through those channels.</w:t>
      </w:r>
    </w:p>
    <w:p w14:paraId="1288FAAB" w14:textId="638A77E2" w:rsidR="00561909" w:rsidRPr="00650BF6" w:rsidRDefault="00561909" w:rsidP="00561909">
      <w:pPr>
        <w:autoSpaceDE w:val="0"/>
        <w:autoSpaceDN w:val="0"/>
        <w:adjustRightInd w:val="0"/>
        <w:rPr>
          <w:rFonts w:cs="Times New Roman"/>
          <w:color w:val="000000"/>
        </w:rPr>
      </w:pPr>
      <w:r>
        <w:t>Finally, the implementation of revalidation will work to greatly assist achieving the fundamental purpose of a medical registration system: the protection of the public. Whilst protection of the public requires that particular practitioners be stopped from continuing to risk the safety and health of their patients, this is not its only feature. T</w:t>
      </w:r>
      <w:r w:rsidR="00896CB3">
        <w:t>he concept is broader than this</w:t>
      </w:r>
      <w:r>
        <w:t xml:space="preserve"> and the features of the protective jurisdiction are multiple:</w:t>
      </w:r>
      <w:r w:rsidRPr="00650BF6">
        <w:rPr>
          <w:rFonts w:cs="Times New Roman"/>
          <w:color w:val="000000"/>
        </w:rPr>
        <w:t xml:space="preserve"> </w:t>
      </w:r>
    </w:p>
    <w:p w14:paraId="2C052440" w14:textId="77777777" w:rsidR="00561909" w:rsidRPr="00650BF6" w:rsidRDefault="00561909" w:rsidP="00561909">
      <w:pPr>
        <w:pStyle w:val="AGLCindentquotationstyle"/>
      </w:pPr>
      <w:r w:rsidRPr="00650BF6">
        <w:rPr>
          <w:rFonts w:cs="Times New Roman"/>
          <w:color w:val="000000"/>
        </w:rPr>
        <w:t xml:space="preserve">It includes protecting the public from the </w:t>
      </w:r>
      <w:r w:rsidRPr="00BB7E65">
        <w:rPr>
          <w:rFonts w:cs="Times New Roman"/>
          <w:color w:val="000000"/>
        </w:rPr>
        <w:t xml:space="preserve">similar misconduct </w:t>
      </w:r>
      <w:r w:rsidRPr="00BB7E65">
        <w:t>or incompetence of other practitioners and upholding public confidence</w:t>
      </w:r>
      <w:r w:rsidRPr="00650BF6">
        <w:t xml:space="preserve"> by setting and maintaining those standards and, where appropriate, by cancelling the registration of practitioners who are not competent or otherwise not fit to practise, including those who have been guilty of serious misconduct. Denouncing such misconduct operates both as a deterrent to the individual concerned, as well as to the general body of practitioners. It also maintains public confidence by signalling that those whose conduct does not meet the required standards wi</w:t>
      </w:r>
      <w:r>
        <w:t>ll not be permitted to practise.</w:t>
      </w:r>
      <w:r>
        <w:rPr>
          <w:rStyle w:val="FootnoteReference"/>
        </w:rPr>
        <w:footnoteReference w:id="133"/>
      </w:r>
    </w:p>
    <w:p w14:paraId="7BD494F8" w14:textId="6F3F05F1" w:rsidR="00561909" w:rsidRDefault="00561909" w:rsidP="00561909">
      <w:r>
        <w:t>Ian Freckelton echoes this sentiment, writing that ‘protection’ is a ‘subtle and complex concept’, one which ‘</w:t>
      </w:r>
      <w:r w:rsidRPr="00650BF6">
        <w:t>includes addressing public disillusionment after phenomena such as Shipman, Bristol, Bailey and Patel. It also requires maintenance within the general community of trust and well-founded confidence in the integrity and competence of health practitioners.’</w:t>
      </w:r>
      <w:r>
        <w:rPr>
          <w:rStyle w:val="FootnoteReference"/>
        </w:rPr>
        <w:footnoteReference w:id="134"/>
      </w:r>
      <w:r>
        <w:t xml:space="preserve"> </w:t>
      </w:r>
      <w:r w:rsidR="00896CB3">
        <w:t>Even amidst such</w:t>
      </w:r>
      <w:r>
        <w:t xml:space="preserve"> multiple and subtle </w:t>
      </w:r>
      <w:r w:rsidR="00896CB3">
        <w:t>features</w:t>
      </w:r>
      <w:r>
        <w:t xml:space="preserve"> of </w:t>
      </w:r>
      <w:r w:rsidR="00896CB3">
        <w:t>‘</w:t>
      </w:r>
      <w:r>
        <w:t>protection</w:t>
      </w:r>
      <w:r w:rsidR="00896CB3">
        <w:t>’</w:t>
      </w:r>
      <w:r>
        <w:t>, establishing a revalidation system seems to represent a</w:t>
      </w:r>
      <w:r w:rsidR="00896CB3">
        <w:t xml:space="preserve"> potentially</w:t>
      </w:r>
      <w:r>
        <w:t xml:space="preserve"> significant advance </w:t>
      </w:r>
      <w:r w:rsidR="00896CB3">
        <w:t>on all fronts</w:t>
      </w:r>
      <w:r>
        <w:t xml:space="preserve">.  As a </w:t>
      </w:r>
      <w:r w:rsidR="00896CB3">
        <w:t xml:space="preserve">regulatory performance management </w:t>
      </w:r>
      <w:r>
        <w:t>method, it will support the identification and response to ‘</w:t>
      </w:r>
      <w:r w:rsidRPr="00561909">
        <w:t>sim</w:t>
      </w:r>
      <w:r>
        <w:t>ilar misconduct or incompetence’</w:t>
      </w:r>
      <w:r>
        <w:rPr>
          <w:rStyle w:val="FootnoteReference"/>
        </w:rPr>
        <w:footnoteReference w:id="135"/>
      </w:r>
      <w:r>
        <w:t xml:space="preserve"> of</w:t>
      </w:r>
      <w:r w:rsidRPr="00561909">
        <w:t xml:space="preserve"> practitioners</w:t>
      </w:r>
      <w:r>
        <w:t xml:space="preserve"> by drawing records of complaint and misconduct</w:t>
      </w:r>
      <w:r w:rsidRPr="00561909">
        <w:t xml:space="preserve"> </w:t>
      </w:r>
      <w:r>
        <w:t>directly into its design and proactive risk-based targeting. It will assist in identifying those ‘</w:t>
      </w:r>
      <w:r w:rsidRPr="00561909">
        <w:t>practitioners who are not competent or otherwise not fit to practise</w:t>
      </w:r>
      <w:r>
        <w:t>’</w:t>
      </w:r>
      <w:r>
        <w:rPr>
          <w:rStyle w:val="FootnoteReference"/>
        </w:rPr>
        <w:footnoteReference w:id="136"/>
      </w:r>
      <w:r>
        <w:t xml:space="preserve"> before harm has occurred, rather than in the reactive manner available today. All the while, it will be able to build and maintain public confidence and trust</w:t>
      </w:r>
      <w:r w:rsidR="00896CB3">
        <w:t xml:space="preserve"> in the protective jurisdiction and its processes</w:t>
      </w:r>
      <w:r>
        <w:t xml:space="preserve"> by reflect</w:t>
      </w:r>
      <w:r w:rsidR="000A529F">
        <w:t xml:space="preserve">ing the public’s sentiments and desires in the task of </w:t>
      </w:r>
      <w:r w:rsidR="00896CB3">
        <w:t>protecting</w:t>
      </w:r>
      <w:r w:rsidR="000A529F">
        <w:t xml:space="preserve"> that</w:t>
      </w:r>
      <w:r w:rsidR="00896CB3">
        <w:t xml:space="preserve"> very</w:t>
      </w:r>
      <w:r w:rsidR="000A529F">
        <w:t xml:space="preserve"> same public.</w:t>
      </w:r>
    </w:p>
    <w:p w14:paraId="4048D0C0" w14:textId="447D35E2" w:rsidR="00561909" w:rsidRDefault="00561909" w:rsidP="00B670B4"/>
    <w:p w14:paraId="49418ADE" w14:textId="0776B3AE" w:rsidR="00406487" w:rsidRPr="00B670B4" w:rsidRDefault="00406487" w:rsidP="00B670B4"/>
    <w:sectPr w:rsidR="00406487" w:rsidRPr="00B670B4" w:rsidSect="003A360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BD3E" w14:textId="77777777" w:rsidR="00E37F8D" w:rsidRDefault="00E37F8D" w:rsidP="00277C3B">
      <w:r>
        <w:separator/>
      </w:r>
    </w:p>
  </w:endnote>
  <w:endnote w:type="continuationSeparator" w:id="0">
    <w:p w14:paraId="20F9B814" w14:textId="77777777" w:rsidR="00E37F8D" w:rsidRDefault="00E37F8D" w:rsidP="0027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quity Text A">
    <w:altName w:val="Times New Roman"/>
    <w:charset w:val="00"/>
    <w:family w:val="auto"/>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quity Caps A">
    <w:altName w:val="Times New Roman"/>
    <w:charset w:val="00"/>
    <w:family w:val="auto"/>
    <w:pitch w:val="variable"/>
    <w:sig w:usb0="00000001" w:usb1="00000000" w:usb2="00000000" w:usb3="00000000" w:csb0="00000193"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20FB" w14:textId="77777777" w:rsidR="00387010" w:rsidRDefault="00387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51442"/>
      <w:docPartObj>
        <w:docPartGallery w:val="Page Numbers (Bottom of Page)"/>
        <w:docPartUnique/>
      </w:docPartObj>
    </w:sdtPr>
    <w:sdtEndPr>
      <w:rPr>
        <w:sz w:val="20"/>
        <w:szCs w:val="20"/>
      </w:rPr>
    </w:sdtEndPr>
    <w:sdtContent>
      <w:p w14:paraId="6703A638" w14:textId="76B3D282" w:rsidR="00387010" w:rsidRPr="00B4064E" w:rsidRDefault="00387010" w:rsidP="00B4064E">
        <w:pPr>
          <w:pStyle w:val="Footer"/>
          <w:jc w:val="right"/>
          <w:rPr>
            <w:sz w:val="20"/>
            <w:szCs w:val="20"/>
          </w:rPr>
        </w:pPr>
        <w:r w:rsidRPr="00B4064E">
          <w:rPr>
            <w:sz w:val="20"/>
            <w:szCs w:val="20"/>
          </w:rPr>
          <w:fldChar w:fldCharType="begin"/>
        </w:r>
        <w:r w:rsidRPr="00B4064E">
          <w:rPr>
            <w:sz w:val="20"/>
            <w:szCs w:val="20"/>
          </w:rPr>
          <w:instrText xml:space="preserve"> PAGE   \* MERGEFORMAT </w:instrText>
        </w:r>
        <w:r w:rsidRPr="00B4064E">
          <w:rPr>
            <w:sz w:val="20"/>
            <w:szCs w:val="20"/>
          </w:rPr>
          <w:fldChar w:fldCharType="separate"/>
        </w:r>
        <w:r w:rsidR="00564F1D">
          <w:rPr>
            <w:noProof/>
            <w:sz w:val="20"/>
            <w:szCs w:val="20"/>
          </w:rPr>
          <w:t>2</w:t>
        </w:r>
        <w:r w:rsidRPr="00B4064E">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97923"/>
      <w:docPartObj>
        <w:docPartGallery w:val="Page Numbers (Bottom of Page)"/>
        <w:docPartUnique/>
      </w:docPartObj>
    </w:sdtPr>
    <w:sdtEndPr>
      <w:rPr>
        <w:sz w:val="20"/>
        <w:szCs w:val="20"/>
      </w:rPr>
    </w:sdtEndPr>
    <w:sdtContent>
      <w:p w14:paraId="57853162" w14:textId="6E2E22C3" w:rsidR="00387010" w:rsidRPr="00B4064E" w:rsidRDefault="00387010" w:rsidP="00B4064E">
        <w:pPr>
          <w:pStyle w:val="Footer"/>
          <w:jc w:val="right"/>
          <w:rPr>
            <w:sz w:val="20"/>
            <w:szCs w:val="20"/>
          </w:rPr>
        </w:pPr>
        <w:r w:rsidRPr="00B4064E">
          <w:rPr>
            <w:sz w:val="20"/>
            <w:szCs w:val="20"/>
          </w:rPr>
          <w:fldChar w:fldCharType="begin"/>
        </w:r>
        <w:r w:rsidRPr="00B4064E">
          <w:rPr>
            <w:sz w:val="20"/>
            <w:szCs w:val="20"/>
          </w:rPr>
          <w:instrText xml:space="preserve"> PAGE   \* MERGEFORMAT </w:instrText>
        </w:r>
        <w:r w:rsidRPr="00B4064E">
          <w:rPr>
            <w:sz w:val="20"/>
            <w:szCs w:val="20"/>
          </w:rPr>
          <w:fldChar w:fldCharType="separate"/>
        </w:r>
        <w:r w:rsidR="00564F1D">
          <w:rPr>
            <w:noProof/>
            <w:sz w:val="20"/>
            <w:szCs w:val="20"/>
          </w:rPr>
          <w:t>1</w:t>
        </w:r>
        <w:r w:rsidRPr="00B4064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B07C" w14:textId="77777777" w:rsidR="00E37F8D" w:rsidRDefault="00E37F8D" w:rsidP="00277C3B">
      <w:r>
        <w:separator/>
      </w:r>
    </w:p>
  </w:footnote>
  <w:footnote w:type="continuationSeparator" w:id="0">
    <w:p w14:paraId="738E2058" w14:textId="77777777" w:rsidR="00E37F8D" w:rsidRDefault="00E37F8D" w:rsidP="00277C3B">
      <w:r>
        <w:continuationSeparator/>
      </w:r>
    </w:p>
  </w:footnote>
  <w:footnote w:type="continuationNotice" w:id="1">
    <w:p w14:paraId="5F4FB555" w14:textId="77777777" w:rsidR="00E37F8D" w:rsidRDefault="00E37F8D" w:rsidP="00277C3B"/>
  </w:footnote>
  <w:footnote w:id="2">
    <w:p w14:paraId="7D5ACDC6" w14:textId="02D5D495" w:rsidR="00387010" w:rsidRPr="00881026" w:rsidRDefault="00387010" w:rsidP="000C00C2">
      <w:pPr>
        <w:pStyle w:val="FootnoteText"/>
        <w:tabs>
          <w:tab w:val="left" w:pos="709"/>
        </w:tabs>
        <w:spacing w:before="120" w:after="120" w:line="240" w:lineRule="auto"/>
      </w:pPr>
      <w:r w:rsidRPr="0090068A">
        <w:rPr>
          <w:rStyle w:val="FootnoteReference"/>
        </w:rPr>
        <w:footnoteRef/>
      </w:r>
      <w:r w:rsidRPr="00B32C5D">
        <w:rPr>
          <w:rStyle w:val="FootnoteReference"/>
        </w:rPr>
        <w:t xml:space="preserve"> </w:t>
      </w:r>
      <w:r>
        <w:rPr>
          <w:rStyle w:val="FootnoteReference"/>
        </w:rPr>
        <w:tab/>
      </w:r>
      <w:r w:rsidRPr="00D073BB">
        <w:fldChar w:fldCharType="begin"/>
      </w:r>
      <w:r>
        <w:instrText xml:space="preserve"> ADDIN ZOTERO_ITEM CSL_CITATION {"citationID":"diaMPBO2","properties":{"formattedCitation":"{\\rtf Iatrogenic harm is harm to the person, including death, which arises in the course of medical or health care treatment caused by the application of treatment itself, rather than the underlying disease or injury. Bill Runciman, Alan Merry and Merrilyn Walton, {\\i{}Safety and Ethics in Healthcare: A Guide to Getting It Right} (Ashgate Publishing, Ltd., 2007) Chapter One; William Runciman and J Moller, {\\i{}Iatrogenic Injury in Australia} (Australian Patient Safety Foundation, 2001) 8.}","plainCitation":"Iatrogenic harm is harm to the person, including death, which arises in the course of medical or health care treatment caused by the application of treatment itself, rather than the underlying disease or injury. Bill Runciman, Alan Merry and Merrilyn Walton, Safety and Ethics in Healthcare: A Guide to Getting It Right (Ashgate Publishing, Ltd., 2007) Chapter One; William Runciman and J Moller, Iatrogenic Injury in Australia (Australian Patient Safety Foundation, 2001) 8."},"citationItems":[{"id":2704,"uris":["http://zotero.org/users/955090/items/T5HS6BW5"],"uri":["http://zotero.org/users/955090/items/T5HS6BW5"],"itemData":{"id":2704,"type":"book","multi":{"main":{},"_keys":{}},"title":"Safety and Ethics in Healthcare: A Guide to Getting it Right","publisher":"Ashgate Publishing, Ltd.","number-of-pages":"368","source":"Google Books","abstract":"Patient safety, litigation and ethical behaviour have each received huge media coverage in all western countries in the last few years. Here, the authors provide a single coherent source of information on these various interlinking domains intended to have wide appeal, particularly as it is based on accounts of real-life situations.","ISBN":"978-0-7546-4437-8","shortTitle":"Safety and Ethics in Healthcare","language":"en","author":[{"family":"Runciman","given":"Bill","multi":{"_key":{}}},{"family":"Merry","given":"Alan","multi":{"_key":{}}},{"family":"Walton","given":"Merrilyn","multi":{"_key":{}}}],"issued":{"raw":"2007"}},"locator":"Chapter One","prefix":"Iatrogenic harm is harm to the person, including death, which arises in the course of medical or health care treatment caused by the application of treatment itself, rather than the underlying disease or injury. "},{"id":4825,"uris":["http://zotero.org/users/955090/items/MX8Q36QS"],"uri":["http://zotero.org/users/955090/items/MX8Q36QS"],"itemData":{"id":4825,"type":"book","multi":{"main":{},"_keys":{}},"title":"Iatrogenic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2001"}},"locator":"8"}],"schema":"https://github.com/citation-style-language/schema/raw/master/csl-citation.json"} </w:instrText>
      </w:r>
      <w:r w:rsidRPr="00D073BB">
        <w:fldChar w:fldCharType="separate"/>
      </w:r>
      <w:r w:rsidRPr="00F01F8B">
        <w:rPr>
          <w:rFonts w:cs="Times New Roman"/>
          <w:szCs w:val="24"/>
        </w:rPr>
        <w:t xml:space="preserve">Iatrogenic harm is harm to the person, including death, which arises in the course of medical or health care treatment caused by the application of treatment itself, rather than the underlying disease or injury. Bill Runciman, Alan Merry and Merrilyn Walton, </w:t>
      </w:r>
      <w:r w:rsidRPr="00F01F8B">
        <w:rPr>
          <w:rFonts w:cs="Times New Roman"/>
          <w:i/>
          <w:szCs w:val="24"/>
        </w:rPr>
        <w:t>Safety and Ethics in Healthcare: A Guide to Getting It Right</w:t>
      </w:r>
      <w:r w:rsidRPr="00F01F8B">
        <w:rPr>
          <w:rFonts w:cs="Times New Roman"/>
          <w:szCs w:val="24"/>
        </w:rPr>
        <w:t xml:space="preserve"> (Ashgate Publishing, Ltd., 2007) Chapter One; William Runciman and J Moller, </w:t>
      </w:r>
      <w:r w:rsidRPr="00F01F8B">
        <w:rPr>
          <w:rFonts w:cs="Times New Roman"/>
          <w:i/>
          <w:szCs w:val="24"/>
        </w:rPr>
        <w:t>Iatrogenic Injury in Australia</w:t>
      </w:r>
      <w:r w:rsidRPr="00F01F8B">
        <w:rPr>
          <w:rFonts w:cs="Times New Roman"/>
          <w:szCs w:val="24"/>
        </w:rPr>
        <w:t xml:space="preserve"> (Australian Patient Safety Foundation, 2001) 8.</w:t>
      </w:r>
      <w:r w:rsidRPr="00D073BB">
        <w:fldChar w:fldCharType="end"/>
      </w:r>
    </w:p>
  </w:footnote>
  <w:footnote w:id="3">
    <w:p w14:paraId="3E6A302B" w14:textId="287A6866"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{"citationID":"aWgdKktB","properties":{"formattedCitation":"{\\rtf The question of medical registration and protection of the public was front of mind even in 1868, where a medical practitioner (who signed his letter \\uc0\\u8217{}Scalpel\\uc0\\u8217{}) wrote to the Editor of the Sydney Morning Herald in support of the publication of the \\uc0\\u8216{}Medical Register\\uc0\\u8217{} as a \\uc0\\u8216{}step in the right direction\\uc0\\u8217{}. The register contained the qualifications of practitioners and the letter writer declared that they had \\uc0\\u8216{}long looked forward to the publication of the various qualifications of \\uc0\\u8220{}doctors\\uc0\\u8221{}, as it is the only means by which the properly educated practitioner can be distinguished from the imposter or the imperfectly qualified.\\uc0\\u8217{} \\uc0\\u8216{}The Medical Register.\\uc0\\u8217{} {\\i{}The Sydney Morning Herald} (NSW), 10 March 1868 5.}","plainCitation":"The question of medical registration and protection of the public was front of mind even in 1868, where a medical practitioner (who signed his letter ’Scalpel’) wrote to the Editor of the Sydney Morning Herald in support of the publication of the ‘Medical Register’ as a ‘step in the right direction’. The register contained the qualifications of practitioners and the letter writer declared that they had ‘long looked forward to the publication of the various qualifications of “doctors”, as it is the only means by which the properly educated practitioner can be distinguished from the imposter or the imperfectly qualified.’ ‘The Medical Register.’ The Sydney Morning Herald (NSW), 10 March 1868 5."},"citationItems":[{"id":5595,"uris":["http://zotero.org/users/955090/items/DRHR4TX5"],"uri":["http://zotero.org/users/955090/items/DRHR4TX5"],"itemData":{"id":5595,"type":"article-newspaper","multi":{"main":{},"_keys":{}},"title":"The Medical Register.","container-title":"The Sydney Morning Herald","publisher-place":"NSW","page":"5","source":"Trove","event-place":"NSW","archive-place":"NSW","abstract":"SIR,—The \"Medical Register\" for 1868, as published in the Gazette of the 3rd instant, is a step in the right direction; the qualifications of every recognised practitioner being declared, and the public informed of the professional ...","issued":{"raw":"10 Mar 1868"}},"prefix":"The question of medical registration and protection of the public was front of mind even in 1868, where a medical practitioner (who signed his letter 'Scalpel') wrote to the Editor of the Sydney Morning Herald in support of the publication of the 'Medical Register' as a 'step in the right direction'. The register contained the qualifications of practitioners and the letter writer declared that they had 'long looked forward to the publication of the various qualifications of \"doctors\", as it is the only means by which the properly educated practitioner can be distinguished from the imposter or the imperfectly qualified.' "}],"schema":"https://github.com/citation-style-language/schema/raw/master/csl-citation.json"} </w:instrText>
      </w:r>
      <w:r>
        <w:fldChar w:fldCharType="separate"/>
      </w:r>
      <w:r w:rsidRPr="00387010">
        <w:rPr>
          <w:rFonts w:cs="Times New Roman"/>
          <w:szCs w:val="24"/>
        </w:rPr>
        <w:t xml:space="preserve">The question of medical registration and protection of the public was front of mind even in 1868, where a medical practitioner (who signed his letter ’Scalpel’) wrote to the Editor of the Sydney Morning Herald in support of the publication of the ‘Medical Register’ as a ‘step in the right direction’. The register contained the qualifications of practitioners and the letter writer declared that they had ‘long looked forward to the publication of the various qualifications of “doctors”, as it is the only means by which the properly educated practitioner can be distinguished from the imposter or the imperfectly qualified.’ ‘The Medical Register.’ </w:t>
      </w:r>
      <w:r w:rsidRPr="00387010">
        <w:rPr>
          <w:rFonts w:cs="Times New Roman"/>
          <w:i/>
          <w:szCs w:val="24"/>
        </w:rPr>
        <w:t>The Sydney Morning Herald</w:t>
      </w:r>
      <w:r w:rsidRPr="00387010">
        <w:rPr>
          <w:rFonts w:cs="Times New Roman"/>
          <w:szCs w:val="24"/>
        </w:rPr>
        <w:t xml:space="preserve"> (NSW), 10 March 1868 5.</w:t>
      </w:r>
      <w:r>
        <w:fldChar w:fldCharType="end"/>
      </w:r>
    </w:p>
  </w:footnote>
  <w:footnote w:id="4">
    <w:p w14:paraId="130C95A1" w14:textId="4C6ECBD2" w:rsidR="00387010" w:rsidRPr="00335EDE" w:rsidRDefault="00387010" w:rsidP="000C00C2">
      <w:pPr>
        <w:pStyle w:val="FootnoteText"/>
        <w:tabs>
          <w:tab w:val="left" w:pos="709"/>
        </w:tabs>
        <w:spacing w:before="120" w:after="120" w:line="240" w:lineRule="auto"/>
      </w:pPr>
      <w:r w:rsidRPr="0090068A">
        <w:rPr>
          <w:rStyle w:val="FootnoteReference"/>
        </w:rPr>
        <w:footnoteRef/>
      </w:r>
      <w:r>
        <w:t xml:space="preserve"> </w:t>
      </w:r>
      <w:r>
        <w:tab/>
      </w:r>
      <w:r>
        <w:fldChar w:fldCharType="begin"/>
      </w:r>
      <w:r>
        <w:instrText xml:space="preserve"> ADDIN ZOTERO_ITEM CSL_CITATION {"citationID":"A8rxierX","properties":{"formattedCitation":"{\\rtf See Runciman and Moller, above n 1; Robert L Wears, Kathleen M Sutcliffe and Eric Van Rite, \\uc0\\u8216{}Patient Safety: A Brief But Spirited History\\uc0\\u8217{} in Lorri Zipperer (ed), {\\i{}Patient Safety: Perspectives on Evidence, Information and Knowledge Transfer} (Ashgate Publishing, Ltd., 2014) 3; however compare the early account by Illich of iatrogenesis, see Ivan Illich, {\\i{}Limits to Medicine: Medical Nemesis\\uc0\\u8239{}: The Expropriation of Health} (M. Boyars, 1995).}","plainCitation":"See Runciman and Moller, above n 1; Robert L Wears, Kathleen M Sutcliffe and Eric Van Rite, ‘Patient Safety: A Brief But Spirited History’ in Lorri Zipperer (ed), Patient Safety: Perspectives on Evidence, Information and Knowledge Transfer (Ashgate Publishing, Ltd., 2014) 3; however compare the early account by Illich of iatrogenesis, see Ivan Illich, Limits to Medicine: Medical Nemesis : The Expropriation of Health (M. Boyars, 1995)."},"citationItems":[{"id":4825,"uris":["http://zotero.org/users/955090/items/MX8Q36QS"],"uri":["http://zotero.org/users/955090/items/MX8Q36QS"],"itemData":{"id":4825,"type":"book","multi":{"main":{},"_keys":{}},"title":"Iatrogenic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2001"}},"prefix":"See "},{"id":3061,"uris":["http://zotero.org/users/955090/items/52QH6ZTC"],"uri":["http://zotero.org/users/955090/items/52QH6ZTC"],"itemData":{"id":3061,"type":"chapter","multi":{"main":{},"_keys":{}},"title":"Patient Safety: A Brief But Spirited History","container-title":"Patient Safety: Perspectives on Evidence, Information and Knowledge Transfer","publisher":"Ashgate Publishing, Ltd.","page":"3-22","source":"Google Books","abstract":"Patient Safety: Perspectives on Evidence, Information and Knowledge Transfer provides background on the patient safety movement, systems safety, human error and other key philosophies that support change and innovation in the reduction of medical error. The book draws from multidisciplinary areas within the acute care environment to share models to drive proactive changes in how team-based improvement efforts can make evidence, information and knowledge (EIK) sharing processes reliable, effective and necessary in support of safe care delivery. The publication discusses how the tenets of safety (described in the beginning of the book) can be actively applied to EIK processes in the front line of care.","ISBN":"978-1-4094-3857-1","language":"en","editor":[{"family":"Zipperer","given":"Lorri","multi":{"_key":{}}}],"author":[{"family":"Wears","given":"Robert L.","multi":{"_key":{}}},{"family":"Sutcliffe","given":"Kathleen M.","multi":{"_key":{}}},{"family":"Van Rite","given":"Eric","multi":{"_key":{}}}],"issued":{"raw":"2014-06-28"}}},{"id":5143,"uris":["http://zotero.org/users/955090/items/7UTRNDB5"],"uri":["http://zotero.org/users/955090/items/7UTRNDB5"],"itemData":{"id":5143,"type":"book","multi":{"main":{},"_keys":{}},"title":"Limits to Medicine: Medical Nemesis : the Expropriation of Health","publisher":"M. Boyars","number-of-pages":"294","source":"Google Books","abstract":"So begins Ivan Illich's spirited and reasoned attack upon the mythic prestige of contemporary medicines, examining the customs and rituals conducted by the medical profession. Relentlessly and with full documentation taken from recognized medical sources Illich proves the impotence of medical services to change life expectancy, the insignificant of most contemporary clinical care in curing disease, the magnitude of medically inflicted damage to health, and the futility of medical and political counter-measures. Illich's deeply shocking analysis into the clinical and social reality of doctor-made illness examines the culture of health, sickness and suffering and includes an historical examination of the concept and image of death. Only by recognizing and insisting upon the essential ingredients personal health, Illich argues, can individuals recover the integrity of their bodies and lives. 'People need no bureaucratic interference to mate, give birth, share the human condition, and die. Man's consciously lived fragility; individuality and relatedness make the experience of pain, of sickness and of death an integral part of his life. The ability to cope with this trio autonomously is fundamental to his health'. -- Back cover.","ISBN":"978-0-7145-2993-6","shortTitle":"Limits to Medicine","language":"en","author":[{"family":"Illich","given":"Ivan","multi":{"_key":{}}}],"issued":{"raw":"1995"}},"prefix":"however compare the early account by Illich of iatrogenesis, see "}],"schema":"https://github.com/citation-style-language/schema/raw/master/csl-citation.json"} </w:instrText>
      </w:r>
      <w:r>
        <w:fldChar w:fldCharType="separate"/>
      </w:r>
      <w:r w:rsidRPr="001724B2">
        <w:rPr>
          <w:rFonts w:cs="Times New Roman"/>
          <w:szCs w:val="24"/>
        </w:rPr>
        <w:t xml:space="preserve">See Runciman and Moller, above n 1; Robert L Wears, Kathleen M Sutcliffe and Eric Van Rite, ‘Patient Safety: A Brief But Spirited History’ in Lorri Zipperer (ed), </w:t>
      </w:r>
      <w:r w:rsidRPr="001724B2">
        <w:rPr>
          <w:rFonts w:cs="Times New Roman"/>
          <w:i/>
          <w:szCs w:val="24"/>
        </w:rPr>
        <w:t>Patient Safety: Perspectives on Evidence, Information and Knowledge Transfer</w:t>
      </w:r>
      <w:r w:rsidRPr="001724B2">
        <w:rPr>
          <w:rFonts w:cs="Times New Roman"/>
          <w:szCs w:val="24"/>
        </w:rPr>
        <w:t xml:space="preserve"> (Ashgate Publishing, Ltd., 2014) 3; however compare the early account by Illich of iatrogenesis, see Ivan Illich, </w:t>
      </w:r>
      <w:r w:rsidRPr="001724B2">
        <w:rPr>
          <w:rFonts w:cs="Times New Roman"/>
          <w:i/>
          <w:szCs w:val="24"/>
        </w:rPr>
        <w:t>Limits to Medicine: Medical Nemesis : The Expropriation of Health</w:t>
      </w:r>
      <w:r w:rsidRPr="001724B2">
        <w:rPr>
          <w:rFonts w:cs="Times New Roman"/>
          <w:szCs w:val="24"/>
        </w:rPr>
        <w:t xml:space="preserve"> (M. Boyars, 1995).</w:t>
      </w:r>
      <w:r>
        <w:fldChar w:fldCharType="end"/>
      </w:r>
    </w:p>
  </w:footnote>
  <w:footnote w:id="5">
    <w:p w14:paraId="647CC755" w14:textId="352B71CF" w:rsidR="00387010" w:rsidRPr="00F07F9E" w:rsidRDefault="00387010" w:rsidP="000C00C2">
      <w:pPr>
        <w:pStyle w:val="FootnoteText"/>
        <w:tabs>
          <w:tab w:val="left" w:pos="709"/>
        </w:tabs>
        <w:spacing w:before="120" w:after="120" w:line="240" w:lineRule="auto"/>
      </w:pPr>
      <w:r w:rsidRPr="007B0F58">
        <w:rPr>
          <w:rStyle w:val="FootnoteReference"/>
        </w:rPr>
        <w:footnoteRef/>
      </w:r>
      <w:r>
        <w:t xml:space="preserve"> </w:t>
      </w:r>
      <w:r>
        <w:tab/>
      </w:r>
      <w:r>
        <w:fldChar w:fldCharType="begin"/>
      </w:r>
      <w:r>
        <w:instrText xml:space="preserve"> ADDIN ZOTERO_ITEM CSL_CITATION {"citationID":"VqeSmw35","properties":{"formattedCitation":"{\\rtf Jeffrey Braithwaite, Robert L Wears and Erik Hollnagel, \\uc0\\u8216{}Resilient Health Care: Turning Patient Safety on Its Head\\uc0\\u8217{} (2015) 27(5) {\\i{}International Journal for Quality in Health Care} 418, 419; Wears, Sutcliffe and Van Rite, above n 3.}","plainCitation":"Jeffrey Braithwaite, Robert L Wears and Erik Hollnagel, ‘Resilient Health Care: Turning Patient Safety on Its Head’ (2015) 27(5) International Journal for Quality in Health Care 418, 419; Wears, Sutcliffe and Van Rite, above n 3."},"citationItems":[{"id":2836,"uris":["http://zotero.org/users/955090/items/HV6W56DX"],"uri":["http://zotero.org/users/955090/items/HV6W56DX"],"itemData":{"id":2836,"type":"article-journal","multi":{"main":{},"_keys":{}},"title":"Resilient health care: turning patient safety on its head","container-title":"International Journal for Quality in Health Care","page":"418-420","volume":"27","issue":"5","source":"intqhc.oxfordjournals.org","abstract":"The current approach to patient safety, labelled Safety-I, is predicated on a ‘find and fix’ model. It identifies things going wrong, after the event, and aims to stamp them out, in order to ensure that the number of errors is as low as possible. Healthcare is much more complex than such a linear model suggests. We need to switch the focus to what we have come to call Safety-II: a concerted effort to enable things to go right more often. The key is to appreciate that healthcare is resilient to a large extent, and everyday performance succeeds much more often than it fails. Clinicians constantly adjust what they do to match the conditions. Facilitating work flexibility, and actively trying to increase the capacity of clinicians to deliver more care more effectively, is key to this new paradigm. At its heart, proactive safety management focuses on how everyday performance usually succeeds rather than on why it occasionally fails, and actively strives to improve the former rather than simply preventing the latter.","DOI":"10.1093/intqhc/mzv063","ISSN":"1353-4505, 1464-3677","note":"PMID: 26294709","shortTitle":"Resilient health care","language":"en","author":[{"family":"Braithwaite","given":"Jeffrey","multi":{"_key":{}}},{"family":"Wears","given":"Robert L.","multi":{"_key":{}}},{"family":"Hollnagel","given":"Erik","multi":{"_key":{}}}],"issued":{"raw":"2015/10/01"}},"locator":"419"},{"id":3061,"uris":["http://zotero.org/users/955090/items/52QH6ZTC"],"uri":["http://zotero.org/users/955090/items/52QH6ZTC"],"itemData":{"id":3061,"type":"chapter","multi":{"main":{},"_keys":{}},"title":"Patient Safety: A Brief But Spirited History","container-title":"Patient Safety: Perspectives on Evidence, Information and Knowledge Transfer","publisher":"Ashgate Publishing, Ltd.","page":"3-22","source":"Google Books","abstract":"Patient Safety: Perspectives on Evidence, Information and Knowledge Transfer provides background on the patient safety movement, systems safety, human error and other key philosophies that support change and innovation in the reduction of medical error. The book draws from multidisciplinary areas within the acute care environment to share models to drive proactive changes in how team-based improvement efforts can make evidence, information and knowledge (EIK) sharing processes reliable, effective and necessary in support of safe care delivery. The publication discusses how the tenets of safety (described in the beginning of the book) can be actively applied to EIK processes in the front line of care.","ISBN":"978-1-4094-3857-1","language":"en","editor":[{"family":"Zipperer","given":"Lorri","multi":{"_key":{}}}],"author":[{"family":"Wears","given":"Robert L.","multi":{"_key":{}}},{"family":"Sutcliffe","given":"Kathleen M.","multi":{"_key":{}}},{"family":"Van Rite","given":"Eric","multi":{"_key":{}}}],"issued":{"raw":"2014-06-28"}}}],"schema":"https://github.com/citation-style-language/schema/raw/master/csl-citation.json"} </w:instrText>
      </w:r>
      <w:r>
        <w:fldChar w:fldCharType="separate"/>
      </w:r>
      <w:r w:rsidRPr="001724B2">
        <w:rPr>
          <w:rFonts w:cs="Times New Roman"/>
          <w:szCs w:val="24"/>
        </w:rPr>
        <w:t xml:space="preserve">Jeffrey Braithwaite, Robert L Wears and Erik Hollnagel, ‘Resilient Health Care: Turning Patient Safety on Its Head’ (2015) 27(5) </w:t>
      </w:r>
      <w:r w:rsidRPr="001724B2">
        <w:rPr>
          <w:rFonts w:cs="Times New Roman"/>
          <w:i/>
          <w:szCs w:val="24"/>
        </w:rPr>
        <w:t>International Journal for Quality in Health Care</w:t>
      </w:r>
      <w:r w:rsidRPr="001724B2">
        <w:rPr>
          <w:rFonts w:cs="Times New Roman"/>
          <w:szCs w:val="24"/>
        </w:rPr>
        <w:t xml:space="preserve"> 418, 419; Wears, Sutcliffe and Van Rite, above n 3.</w:t>
      </w:r>
      <w:r>
        <w:fldChar w:fldCharType="end"/>
      </w:r>
    </w:p>
  </w:footnote>
  <w:footnote w:id="6">
    <w:p w14:paraId="40B774B2" w14:textId="06FB839F" w:rsidR="00387010" w:rsidRPr="00881026" w:rsidRDefault="00387010" w:rsidP="000C00C2">
      <w:pPr>
        <w:pStyle w:val="FootnoteText"/>
        <w:tabs>
          <w:tab w:val="left" w:pos="709"/>
        </w:tabs>
        <w:spacing w:before="120" w:after="120" w:line="240" w:lineRule="auto"/>
      </w:pPr>
      <w:r w:rsidRPr="003857AF">
        <w:rPr>
          <w:rStyle w:val="FootnoteReference"/>
        </w:rPr>
        <w:footnoteRef/>
      </w:r>
      <w:r w:rsidRPr="00B32C5D">
        <w:rPr>
          <w:rStyle w:val="FootnoteReference"/>
        </w:rPr>
        <w:t xml:space="preserve"> </w:t>
      </w:r>
      <w:r>
        <w:tab/>
      </w:r>
      <w:r w:rsidRPr="00881026">
        <w:fldChar w:fldCharType="begin"/>
      </w:r>
      <w:r>
        <w:instrText xml:space="preserve"> ADDIN ZOTERO_ITEM CSL_CITATION {"citationID":"MZE0iamq","properties":{"formattedCitation":"{\\rtf The 1994-95 Australian QAHCS study reported Preventability was not strongly associated with age, sex or insurance status, nor was it associated with the level of disability, except for death (in which 70% of Adverse Events showed high preventability). Only 1.2% of AEs in the \\uc0\\u8220{}no preventability\\uc0\\u8221{} category resulted in death, compared with 4.1% in the \\uc0\\u8220{}low preventability\\uc0\\u8221{} category and 6.5% in the \\uc0\\u8220{}high preventability\\uc0\\u8221{} category. Some of this association between preventability and death could be ascribed to outcome bias Ross M Wilson et al, \\uc0\\u8216{}The Quality in Australian Health Care Study\\uc0\\u8217{} (1995) 163(9) {\\i{}Medical Journal of Australia} 458; the QAHCS study reported 51% preventability across all adverse events, see Runciman and Moller, above n 1, 22; see also the QAHCS results reinterpreted where all adverse events were re-classified as to whether they fell into one of two categories, \\uc0\\u8220{}potentially preventable\\uc0\\u8221{}, or \\uc0\\u8220{}not preventable with current medical knowledge\\uc0\\u8221{} rather than using the six-point scale in the QAHCS, it was found that 80% of adverse events fell into potentially preventable categories William Runciman, MJ Edmonds and M Pradhan, \\uc0\\u8216{}Setting Priorities for Patient Safety\\uc0\\u8217{} (2002) 11(3) {\\i{}Quality and Safety in Health Care} 224.}","plainCitation":"The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Ross M Wilson et al, ‘The Quality in Australian Health Care Study’ (1995) 163(9) Medical Journal of Australia 458; the QAHCS study reported 51% preventability across all adverse events, see Runciman and Moller, above n 1, 22; 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William Runciman, MJ Edmonds and M Pradhan, ‘Setting Priorities for Patient Safety’ (2002) 11(3) Quality and Safety in Health Care 224."},"citationItems":[{"id":2694,"uris":["http://zotero.org/users/955090/items/5P43DSZ6"],"uri":["http://zotero.org/users/955090/items/5P43DSZ6"],"itemData":{"id":2694,"type":"article-journal","multi":{"main":{},"_keys":{}},"title":"The quality in Australian health care study","container-title":"Medical Journal of Australia","page":"458–471","volume":"163","issue":"9","source":"Google Scholar","author":[{"family":"Wilson","given":"Ross M.","multi":{"_key":{}}},{"family":"Runciman","given":"William B.","multi":{"_key":{}}},{"family":"Gibberd","given":"Robert W.","multi":{"_key":{}}},{"family":"Harrison","given":"Bernadette T.","multi":{"_key":{}}},{"family":"Newby","given":"Liza","multi":{"_key":{}}},{"family":"Hamilton","given":"John D.","multi":{"_key":{}}},{"literal":"others","multi":{"_key":{}}}],"issued":{"raw":"1995"}},"prefix":"The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2001"}},"locator":"22","prefix":"the QAHCS study reported 51% preventability across all adverse events, see "},{"id":4826,"uris":["http://zotero.org/users/955090/items/CJEIQ9CA"],"uri":["http://zotero.org/users/955090/items/CJEIQ9CA"],"itemData":{"id":4826,"type":"article-journal","multi":{"main":{},"_keys":{}},"title":"Setting priorities for patient safety","container-title":"Quality and Safety in Health Care","page":"224–229","volume":"11","issue":"3","source":"Google Scholar","author":[{"family":"Runciman","given":"William","multi":{"_key":{}}},{"family":"Edmonds","given":"M. J.","multi":{"_key":{}}},{"family":"Pradhan","given":"M.","multi":{"_key":{}}}],"issued":{"raw":"2002"}},"prefix":"see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"}],"schema":"https://github.com/citation-style-language/schema/raw/master/csl-citation.json"} </w:instrText>
      </w:r>
      <w:r w:rsidRPr="00881026">
        <w:fldChar w:fldCharType="separate"/>
      </w:r>
      <w:r w:rsidRPr="00387010">
        <w:rPr>
          <w:rFonts w:cs="Times New Roman"/>
          <w:szCs w:val="24"/>
        </w:rPr>
        <w:t xml:space="preserve">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Ross M Wilson et al, ‘The Quality in Australian Health Care Study’ (1995) 163(9) </w:t>
      </w:r>
      <w:r w:rsidRPr="00387010">
        <w:rPr>
          <w:rFonts w:cs="Times New Roman"/>
          <w:i/>
          <w:szCs w:val="24"/>
        </w:rPr>
        <w:t>Medical Journal of Australia</w:t>
      </w:r>
      <w:r w:rsidRPr="00387010">
        <w:rPr>
          <w:rFonts w:cs="Times New Roman"/>
          <w:szCs w:val="24"/>
        </w:rPr>
        <w:t xml:space="preserve"> 458; the QAHCS study reported 51% preventability across all adverse events, see Runciman and Moller, above n 1, 22; 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William Runciman, MJ Edmonds and M Pradhan, ‘Setting Priorities for Patient Safety’ (2002) 11(3) </w:t>
      </w:r>
      <w:r w:rsidRPr="00387010">
        <w:rPr>
          <w:rFonts w:cs="Times New Roman"/>
          <w:i/>
          <w:szCs w:val="24"/>
        </w:rPr>
        <w:t>Quality and Safety in Health Care</w:t>
      </w:r>
      <w:r w:rsidRPr="00387010">
        <w:rPr>
          <w:rFonts w:cs="Times New Roman"/>
          <w:szCs w:val="24"/>
        </w:rPr>
        <w:t xml:space="preserve"> 224.</w:t>
      </w:r>
      <w:r w:rsidRPr="00881026">
        <w:fldChar w:fldCharType="end"/>
      </w:r>
    </w:p>
  </w:footnote>
  <w:footnote w:id="7">
    <w:p w14:paraId="4B0E0A7D" w14:textId="5828F44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{"citationID":"yJye9dfg","properties":{"formattedCitation":"{\\rtf Helen Kiel, \\uc0\\u8216{}Regulating Impaired Doctors: A Snapshot from New South Wales\\uc0\\u8217{} (2013) 21(2) {\\i{}Journal of Law and Medicine} 429, 430.}","plainCitation":"Helen Kiel, ‘Regulating Impaired Doctors: A Snapshot from New South Wales’ (2013) 21(2) Journal of Law and Medicine 429, 430."},"citationItems":[{"id":3510,"uris":["http://zotero.org/users/955090/items/VP4J5M6X"],"uri":["http://zotero.org/users/955090/items/VP4J5M6X"],"itemData":{"id":3510,"type":"article-journal","multi":{"main":{},"_keys":{}},"title":"Regulating impaired doctors: a snapshot from New South Wales","container-title":"Journal of Law and Medicine","page":"429-440","volume":"21","issue":"2","source":"PubMed","abstract":"This article examines the regulation of impaired doctors in Australia and explores the inherent tensions in the new Health Practitioner Regulation National Law in attempting to both treat the doctor and protect the public. It discusses both informal and formal mechanisms of regulation with particular reference to therapeutic jurisprudence and mandatory notification. It focuses particularly on New South Wales and examines all the impairment cases which resulted in disciplinary proceedings in the Medical Tribunal of New South Wales in 2010. It identifies the most common forms of impairment and discusses the particular challenges that impaired doctors pose for regulators.","ISSN":"1320-159X","note":"PMID: 24597391","shortTitle":"Regulating impaired doctors","journalAbbreviation":"J Law Med","language":"eng","author":[{"family":"Kiel","given":"Helen","multi":{"_key":{}}}],"issued":{"raw":"Dec 2013"}},"locator":"430"}],"schema":"https://github.com/citation-style-language/schema/raw/master/csl-citation.json"} </w:instrText>
      </w:r>
      <w:r>
        <w:fldChar w:fldCharType="separate"/>
      </w:r>
      <w:r w:rsidRPr="001724B2">
        <w:rPr>
          <w:rFonts w:cs="Times New Roman"/>
          <w:szCs w:val="24"/>
        </w:rPr>
        <w:t xml:space="preserve">Helen Kiel, ‘Regulating Impaired Doctors: A Snapshot from New South Wales’ (2013) 21(2) </w:t>
      </w:r>
      <w:r w:rsidRPr="001724B2">
        <w:rPr>
          <w:rFonts w:cs="Times New Roman"/>
          <w:i/>
          <w:szCs w:val="24"/>
        </w:rPr>
        <w:t>Journal of Law and Medicine</w:t>
      </w:r>
      <w:r w:rsidRPr="001724B2">
        <w:rPr>
          <w:rFonts w:cs="Times New Roman"/>
          <w:szCs w:val="24"/>
        </w:rPr>
        <w:t xml:space="preserve"> 429, 430.</w:t>
      </w:r>
      <w:r>
        <w:fldChar w:fldCharType="end"/>
      </w:r>
    </w:p>
  </w:footnote>
  <w:footnote w:id="8">
    <w:p w14:paraId="5453D8D3" w14:textId="3CD18DF9"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{"citationID":"9BeWhh1g","properties":{"formattedCitation":"{\\rtf {\\i{}Health Practitioner Regulation National Law Act} {\\i{}2009} (QLD); {\\i{}Health Practitioner Regulation National Law} (NSW) No 86a (\\uc0\\u8216{}{\\i{}Health Practitioner Regulation National Law (NSW)}\\uc0\\u8217{}) (known also as the Health Practitioner Regulation National Law [NSW]); {\\i{}Health Practitioner Regulation National Law (ACT) Act} {\\i{}2010} (ACT); {\\i{}Health Practitioner Regulation (National Uniform Legislation) Act} {\\i{}2010} (NT); {\\i{}Health Practitioner Regulation National Law (Victoria) Act} {\\i{}2009} (Vic); {\\i{}Health Practitioner Regulation National Law (South Australia) Act} {\\i{}2010} (SA); {\\i{}Health Practitioner Regulation National Law (Tasmania) Act} {\\i{}2010} (TAS); {\\i{}Health Practitioner Regulation National Law (WA) Act} {\\i{}2010} (WA).}","plainCitation":"Health Practitioner Regulation National Law Act 2009 (QLD); Health Practitioner Regulation National Law (NSW) No 86a (‘Health Practitioner Regulation National Law (NSW)’) (known also as the Health Practitioner Regulation National Law [NSW]); Health Practitioner Regulation National Law (ACT) Act 2010 (ACT); Health Practitioner Regulation (National Uniform Legislation) Act 2010 (NT); Health Practitioner Regulation National Law (Victoria) Act 2009 (Vic); Health Practitioner Regulation National Law (South Australia) Act 2010 (SA); Health Practitioner Regulation National Law (Tasmania) Act 2010 (TAS); Health Practitioner Regulation National Law (WA) Act 2010 (WA)."},"citationItems":[{"id":3225,"uris":["http://zotero.org/users/955090/items/HKCWPPKR"],"uri":["http://zotero.org/users/955090/items/HKCWPPKR"],"itemData":{"id":3225,"type":"legislation","multi":{"main":{},"_keys":{}},"title":"Health Practitioner Regulation National Law Act","container-title":"QLD","issued":{"raw":"2009"}}},{"id":4761,"uris":["http://zotero.org/users/955090/items/5NCDRPI4"],"uri":["http://zotero.org/users/955090/items/5NCDRPI4"],"itemData":{"id":4761,"type":"legislation","multi":{"main":{},"_keys":{}},"title":"Health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(NSW)"},"suffix":"(known also as the Health Practitioner Regulation National Law (NSW))"},{"id":3223,"uris":["http://zotero.org/users/955090/items/587SINUW"],"uri":["http://zotero.org/users/955090/items/587SINUW"],"itemData":{"id":3223,"type":"legislation","multi":{"main":{},"_keys":{}},"title":"Health Practitioner Regulation National Law (ACT) Act","container-title":"ACT","issued":{"raw":"2010"}}},{"id":3221,"uris":["http://zotero.org/users/955090/items/GTRSWUZ4"],"uri":["http://zotero.org/users/955090/items/GTRSWUZ4"],"itemData":{"id":3221,"type":"legislation","multi":{"main":{},"_keys":{}},"title":"Health Practitioner Regulation (National Uniform Legislation) Act","container-title":"NT","issued":{"raw":"2010"}}},{"id":3224,"uris":["http://zotero.org/users/955090/items/4R2Z6J76"],"uri":["http://zotero.org/users/955090/items/4R2Z6J76"],"itemData":{"id":3224,"type":"legislation","multi":{"main":{},"_keys":{}},"title":"Health Practitioner Regulation National Law (Victoria) Act","container-title":"Vic","issued":{"raw":"2009"}}},{"id":3219,"uris":["http://zotero.org/users/955090/items/WQFHGEHM"],"uri":["http://zotero.org/users/955090/items/WQFHGEHM"],"itemData":{"id":3219,"type":"legislation","multi":{"main":{},"_keys":{}},"title":"Health Practitioner Regulation National Law (South Australia) Act","container-title":"SA","issued":{"raw":"2010"}}},{"id":12057,"uris":["http://zotero.org/groups/83625/items/34VM3BMN"],"uri":["http://zotero.org/groups/83625/items/34VM3BMN"],"itemData":{"id":12057,"type":"legislation","multi":{"main":{},"_keys":{}},"title":"Health Practitioner Regulation National Law (Tasmania) Act","container-title":"TAS","issued":{"raw":"2010"}}},{"id":3218,"uris":["http://zotero.org/users/955090/items/EQAN3CW7"],"uri":["http://zotero.org/users/955090/items/EQAN3CW7"],"itemData":{"id":3218,"type":"legislation","multi":{"main":{},"_keys":{}},"title":"Health Practitioner Regulation National Law (WA) Act","container-title":"WA","issued":{"raw":"2010"}}}],"schema":"https://github.com/citation-style-language/schema/raw/master/csl-citation.json"} </w:instrText>
      </w:r>
      <w:r>
        <w:fldChar w:fldCharType="separate"/>
      </w:r>
      <w:r w:rsidRPr="009A0666">
        <w:rPr>
          <w:rFonts w:cs="Times New Roman"/>
          <w:i/>
          <w:szCs w:val="24"/>
        </w:rPr>
        <w:t>Health Practitioner Regulation National Law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(QLD); </w:t>
      </w:r>
      <w:r w:rsidRPr="009A0666">
        <w:rPr>
          <w:rFonts w:cs="Times New Roman"/>
          <w:i/>
          <w:szCs w:val="24"/>
        </w:rPr>
        <w:t>Health Practitioner Regulation National Law</w:t>
      </w:r>
      <w:r w:rsidRPr="009A0666">
        <w:rPr>
          <w:rFonts w:cs="Times New Roman"/>
          <w:szCs w:val="24"/>
        </w:rPr>
        <w:t xml:space="preserve"> (NSW) No 86a (‘</w:t>
      </w:r>
      <w:r w:rsidRPr="009A0666">
        <w:rPr>
          <w:rFonts w:cs="Times New Roman"/>
          <w:i/>
          <w:szCs w:val="24"/>
        </w:rPr>
        <w:t>Health Practitioner Regulation National Law (NSW)</w:t>
      </w:r>
      <w:r w:rsidRPr="009A0666">
        <w:rPr>
          <w:rFonts w:cs="Times New Roman"/>
          <w:szCs w:val="24"/>
        </w:rPr>
        <w:t xml:space="preserve">’) (known also as the Health Practitioner Regulation National Law [NSW]); </w:t>
      </w:r>
      <w:r w:rsidRPr="009A0666">
        <w:rPr>
          <w:rFonts w:cs="Times New Roman"/>
          <w:i/>
          <w:szCs w:val="24"/>
        </w:rPr>
        <w:t>Health Practitioner Regulation National Law (ACT)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(ACT); </w:t>
      </w:r>
      <w:r w:rsidRPr="009A0666">
        <w:rPr>
          <w:rFonts w:cs="Times New Roman"/>
          <w:i/>
          <w:szCs w:val="24"/>
        </w:rPr>
        <w:t>Health Practitioner Regulation (National Uniform Legislation)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(NT); </w:t>
      </w:r>
      <w:r w:rsidRPr="009A0666">
        <w:rPr>
          <w:rFonts w:cs="Times New Roman"/>
          <w:i/>
          <w:szCs w:val="24"/>
        </w:rPr>
        <w:t>Health Practitioner Regulation National Law (Victoria)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(Vic); </w:t>
      </w:r>
      <w:r w:rsidRPr="009A0666">
        <w:rPr>
          <w:rFonts w:cs="Times New Roman"/>
          <w:i/>
          <w:szCs w:val="24"/>
        </w:rPr>
        <w:t>Health Practitioner Regulation National Law (South Australia)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(SA); </w:t>
      </w:r>
      <w:r w:rsidRPr="009A0666">
        <w:rPr>
          <w:rFonts w:cs="Times New Roman"/>
          <w:i/>
          <w:szCs w:val="24"/>
        </w:rPr>
        <w:t>Health Practitioner Regulation National Law (Tasmania)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(TAS); </w:t>
      </w:r>
      <w:r w:rsidRPr="009A0666">
        <w:rPr>
          <w:rFonts w:cs="Times New Roman"/>
          <w:i/>
          <w:szCs w:val="24"/>
        </w:rPr>
        <w:t>Health Practitioner Regulation National Law (WA)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(WA).</w:t>
      </w:r>
      <w:r>
        <w:fldChar w:fldCharType="end"/>
      </w:r>
    </w:p>
  </w:footnote>
  <w:footnote w:id="9">
    <w:p w14:paraId="34EB7114" w14:textId="40FE2796" w:rsidR="00387010" w:rsidRPr="0099518D"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{"citationID":"nGI2Ak8b","properties":{"formattedCitation":"{\\rtf {\\i{}Health Practitioner Regulation National Law Act} {\\i{}2009} (QLD) s 3(2)(a).}","plainCitation":"Health Practitioner Regulation National Law Act 2009 (QLD) s 3(2)(a)."},"citationItems":[{"id":3225,"uris":["http://zotero.org/users/955090/items/HKCWPPKR"],"uri":["http://zotero.org/users/955090/items/HKCWPPKR"],"itemData":{"id":3225,"type":"legislation","multi":{"main":{},"_keys":{}},"title":"Health Practitioner Regulation National Law Act","container-title":"QLD","issued":{"raw":"2009"}},"locator":"s 3(2)(a)"}],"schema":"https://github.com/citation-style-language/schema/raw/master/csl-citation.json"} </w:instrText>
      </w:r>
      <w:r>
        <w:fldChar w:fldCharType="separate"/>
      </w:r>
      <w:r w:rsidRPr="009A0666">
        <w:rPr>
          <w:rFonts w:cs="Times New Roman"/>
          <w:i/>
          <w:szCs w:val="24"/>
        </w:rPr>
        <w:t>Health Practitioner Regulation National Law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(QLD) s 3(2)(a).</w:t>
      </w:r>
      <w:r>
        <w:fldChar w:fldCharType="end"/>
      </w:r>
    </w:p>
  </w:footnote>
  <w:footnote w:id="10">
    <w:p w14:paraId="475DCCC7" w14:textId="1DA1BB99"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{"citationID":"Ruz7lGVI","properties":{"formattedCitation":"{\\rtf See in the NSW enactment of the National Law, that an additional New South Wales provision provides that \\uc0\\u8216{}In the exercise of functions under a NSW provision, the protection of the health and safety of the public must be the paramount consideration\\uc0\\u8217{}, {\\i{}Health Practitioner Regulation National Law (NSW)} (NSW) No 86a, s 3A.}","plainCitation":"See in the NSW enactment of the National Law, that an additional New South Wales provision provides that ‘In the exercise of functions under a NSW provision, the protection of the health and safety of the public must be the paramount consideration’, Health Practitioner Regulation National Law (NSW) (NSW) No 86a, s 3A."},"citationItems":[{"id":4761,"uris":["http://zotero.org/users/955090/items/5NCDRPI4"],"uri":["http://zotero.org/users/955090/items/5NCDRPI4"],"itemData":{"id":4761,"type":"legislation","multi":{"main":{},"_keys":{}},"title":"Health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 3A","prefix":"See in the NSW enactment of the National Law, that an additional New South Wales provision provides that 'In the exercise of functions under a NSW provision, the protection of the health and safety of the public must be the paramount consideration', "}],"schema":"https://github.com/citation-style-language/schema/raw/master/csl-citation.json"} </w:instrText>
      </w:r>
      <w:r>
        <w:fldChar w:fldCharType="separate"/>
      </w:r>
      <w:r w:rsidRPr="009A0666">
        <w:rPr>
          <w:rFonts w:cs="Times New Roman"/>
          <w:szCs w:val="24"/>
        </w:rPr>
        <w:t xml:space="preserve">See in the NSW enactment of the National Law, that an additional New South Wales provision provides that ‘In the exercise of functions under a NSW provision, the protection of the health and safety of the public must be the paramount consideration’, </w:t>
      </w:r>
      <w:r w:rsidRPr="009A0666">
        <w:rPr>
          <w:rFonts w:cs="Times New Roman"/>
          <w:i/>
          <w:szCs w:val="24"/>
        </w:rPr>
        <w:t>Health Practitioner Regulation National Law (NSW)</w:t>
      </w:r>
      <w:r w:rsidRPr="009A0666">
        <w:rPr>
          <w:rFonts w:cs="Times New Roman"/>
          <w:szCs w:val="24"/>
        </w:rPr>
        <w:t xml:space="preserve"> (NSW) No 86a, s 3A.</w:t>
      </w:r>
      <w:r>
        <w:fldChar w:fldCharType="end"/>
      </w:r>
    </w:p>
  </w:footnote>
  <w:footnote w:id="11">
    <w:p w14:paraId="7485D731" w14:textId="3FA1874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{"citationID":"DX82pbtt","properties":{"formattedCitation":"{\\rtf The Medical Board of Australia, Expert Advisory Group on Revalidation, \\uc0\\u8216{}Expert Advisory Group on Revalidation Interim Report\\uc0\\u8217{} (August 2016) 43.}","plainCitation":"The Medical Board of Australia, Expert Advisory Group on Revalidation, ‘Expert Advisory Group on Revalidation Interim Report’ (August 2016) 43."},"citationItems":[{"id":3650,"uris":["http://zotero.org/users/955090/items/AC8DB33R"],"uri":["http://zotero.org/users/955090/items/AC8DB33R"],"itemData":{"id":3650,"type":"report","multi":{"main":{},"_keys":{}},"title":"Expert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2016"}},"locator":"43"}],"schema":"https://github.com/citation-style-language/schema/raw/master/csl-citation.json"} </w:instrText>
      </w:r>
      <w:r>
        <w:fldChar w:fldCharType="separate"/>
      </w:r>
      <w:r w:rsidRPr="009A0666">
        <w:rPr>
          <w:rFonts w:cs="Times New Roman"/>
          <w:szCs w:val="24"/>
        </w:rPr>
        <w:t>The Medical Board of Australia, Expert Advisory Group on Revalidation, ‘Expert Advisory Group on Revalidation Interim Report’ (August 2016) 43.</w:t>
      </w:r>
      <w:r>
        <w:fldChar w:fldCharType="end"/>
      </w:r>
    </w:p>
  </w:footnote>
  <w:footnote w:id="12">
    <w:p w14:paraId="0BB52035" w14:textId="77777777" w:rsidR="00387010" w:rsidRDefault="00387010" w:rsidP="000C00C2">
      <w:pPr>
        <w:pStyle w:val="FootnoteText"/>
        <w:spacing w:before="120" w:after="120" w:line="240" w:lineRule="auto"/>
      </w:pPr>
      <w:r w:rsidRPr="00B916B2">
        <w:rPr>
          <w:rStyle w:val="FootnoteReference"/>
        </w:rPr>
        <w:footnoteRef/>
      </w:r>
      <w:r>
        <w:t xml:space="preserve"> </w:t>
      </w:r>
      <w:r>
        <w:tab/>
        <w:t>This includes their ability to set educational, character and other standards for student and initial registration, alongside the more obvious use of registration within the context of disciplinary processes, where registration conditions, restrictions or de-registering a person are all ways in which the regulator uses their control of registration.</w:t>
      </w:r>
    </w:p>
  </w:footnote>
  <w:footnote w:id="13">
    <w:p w14:paraId="3EA140E9" w14:textId="66F80C15"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{"citationID":"PPZgdgmf","properties":{"formattedCitation":"{\\rtf Medical Board of Australia, \\uc0\\u8216{}Good Medical Practice: A Code of Conduct for Doctors in Australia\\uc0\\u8217{}.}","plainCitation":"Medical Board of Australia, ‘Good Medical Practice: A Code of Conduct for Doctors in Australia’."},"citationItems":[{"id":2126,"uris":["http://zotero.org/users/955090/items/PP2NPTTP"],"uri":["http://zotero.org/users/955090/items/PP2NPTTP"],"itemData":{"id":2126,"type":"article","multi":{"main":{},"_keys":{}},"title":"Good medical practice: a code of conduct for doctors in Australia","author":[{"literal":"Medical Board of Australia","multi":{"_key":{}}}],"issued":{"raw":"March, 2014"}}}],"schema":"https://github.com/citation-style-language/schema/raw/master/csl-citation.json"} </w:instrText>
      </w:r>
      <w:r>
        <w:fldChar w:fldCharType="separate"/>
      </w:r>
      <w:r w:rsidRPr="009A0666">
        <w:rPr>
          <w:rFonts w:cs="Times New Roman"/>
          <w:szCs w:val="24"/>
        </w:rPr>
        <w:t>Medical Board of Australia, ‘Good Medical Practice: A Code of Conduct for Doctors in Australia’.</w:t>
      </w:r>
      <w:r>
        <w:fldChar w:fldCharType="end"/>
      </w:r>
    </w:p>
  </w:footnote>
  <w:footnote w:id="14">
    <w:p w14:paraId="4B43F233" w14:textId="3DA305E0"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{"citationID":"xyVYTBy2","properties":{"formattedCitation":"{\\rtf These registration standards are provided for within the National Law, see for example {\\i{}Health Practitioner Regulation National Law (NSW)} (NSW) No 86a, ss 38-41; as to registration standards themselves, see for example, Medical Board of Australia, {\\i{}Registration Standard: Continuing Professional Development} (1 October 2016) &lt;http://www.medicalboard.gov.au/Registration-Standards.aspx&gt;.}","plainCitation":"These registration standards are provided for within the National Law, see for example Health Practitioner Regulation National Law (NSW) (NSW) No 86a, ss 38-41; as to registration standards themselves, see for example, Medical Board of Australia, Registration Standard: Continuing Professional Development (1 October 2016) &lt;http://www.medicalboard.gov.au/Registration-Standards.aspx&gt;."},"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(NSW)"},"locator":"ss 38-41","prefix":"These registration standards are provided for within the National Law, see for example "},{"id":4739,"uris":["http://zotero.org/users/955090/items/CNQG9IGU"],"uri":["http://zotero.org/users/955090/items/CNQG9IGU"],"itemData":{"id":4739,"type":"webpage","multi":{"main":{},"_keys":{}},"title":"Registration Standard: Continuing Professional Development","URL":"http://www.medicalboard.gov.au/Registration-Standards.aspx","author":[{"literal":"Medical Board of Australia","multi":{"_key":{}}}],"issued":{"raw":"1 October 2016"}},"prefix":"as to registration standards themselves, see for example, "}],"schema":"https://github.com/citation-style-language/schema/raw/master/csl-citation.json"} </w:instrText>
      </w:r>
      <w:r>
        <w:fldChar w:fldCharType="separate"/>
      </w:r>
      <w:r w:rsidRPr="009A0666">
        <w:rPr>
          <w:rFonts w:cs="Times New Roman"/>
          <w:szCs w:val="24"/>
        </w:rPr>
        <w:t xml:space="preserve">These registration standards are provided for within the National Law, see for example </w:t>
      </w:r>
      <w:r w:rsidRPr="009A0666">
        <w:rPr>
          <w:rFonts w:cs="Times New Roman"/>
          <w:i/>
          <w:szCs w:val="24"/>
        </w:rPr>
        <w:t>Health Practitioner Regulation National Law (NSW)</w:t>
      </w:r>
      <w:r w:rsidRPr="009A0666">
        <w:rPr>
          <w:rFonts w:cs="Times New Roman"/>
          <w:szCs w:val="24"/>
        </w:rPr>
        <w:t xml:space="preserve"> (NSW) No 86a, ss 38-41; as to registration standards themselves, see for example, Medical Board of Australia, </w:t>
      </w:r>
      <w:r w:rsidRPr="009A0666">
        <w:rPr>
          <w:rFonts w:cs="Times New Roman"/>
          <w:i/>
          <w:szCs w:val="24"/>
        </w:rPr>
        <w:t>Registration Standard: Continuing Professional Development</w:t>
      </w:r>
      <w:r w:rsidRPr="009A0666">
        <w:rPr>
          <w:rFonts w:cs="Times New Roman"/>
          <w:szCs w:val="24"/>
        </w:rPr>
        <w:t xml:space="preserve"> (1 October 2016) &lt;http://www.medicalboard.gov.au/Registration-Standards.aspx&gt;.</w:t>
      </w:r>
      <w:r>
        <w:fldChar w:fldCharType="end"/>
      </w:r>
    </w:p>
  </w:footnote>
  <w:footnote w:id="15">
    <w:p w14:paraId="5C325002" w14:textId="78E78DF7" w:rsidR="00387010" w:rsidRDefault="00387010" w:rsidP="000C00C2">
      <w:pPr>
        <w:pStyle w:val="FootnoteText"/>
        <w:spacing w:before="120" w:after="120" w:line="240" w:lineRule="auto"/>
      </w:pPr>
      <w:r>
        <w:rPr>
          <w:rStyle w:val="FootnoteReference"/>
        </w:rPr>
        <w:footnoteRef/>
      </w:r>
      <w:r>
        <w:t xml:space="preserve"> </w:t>
      </w:r>
      <w:r>
        <w:tab/>
        <w:t xml:space="preserve">For those regulated health professions who have a form of specialist registration. For others, such as Nursing and Midwifery, the equivalent is an ‘endorsement’ of registration, that identifies registered nurses and midwives who meet the relevant registration standard for either specific forms of advanced practice (such as rural or isolate practitioners who may supply scheduled medicines), or as a Nurse Practitioner. </w:t>
      </w:r>
    </w:p>
  </w:footnote>
  <w:footnote w:id="16">
    <w:p w14:paraId="41A195E0" w14:textId="7B683832"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{"citationID":"6pe4zNUY","properties":{"formattedCitation":"{\\rtf Julian Archer et al, \\uc0\\u8216{}The Evidence and Options for Medical Revalidation in the Australian Context: Final Report\\uc0\\u8217{} (7 October 2015).}","plainCitation":"Julian Archer et al, ‘The Evidence and Options for Medical Revalidation in the Australian Context: Final Report’ (7 October 2015)."},"citationItems":[{"id":4738,"uris":["http://zotero.org/users/955090/items/3V58ADQ9"],"uri":["http://zotero.org/users/955090/items/3V58ADQ9"],"itemData":{"id":4738,"type":"report","multi":{"main":{},"_keys":{}},"title":"The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fldChar w:fldCharType="separate"/>
      </w:r>
      <w:r w:rsidRPr="00387010">
        <w:rPr>
          <w:rFonts w:cs="Times New Roman"/>
          <w:szCs w:val="24"/>
        </w:rPr>
        <w:t>Julian Archer et al, ‘The Evidence and Options for Medical Revalidation in the Australian Context: Final Report’ (7 October 2015).</w:t>
      </w:r>
      <w:r w:rsidRPr="001219AF">
        <w:fldChar w:fldCharType="end"/>
      </w:r>
    </w:p>
  </w:footnote>
  <w:footnote w:id="17">
    <w:p w14:paraId="3861A082" w14:textId="034F3023"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{"citationID":"1degahr1mi","properties":{"formattedCitation":"{\\rtf Tanya Horsley et al, \\uc0\\u8216{}National Programmes for Validating Physician Competence and Fitness for Practice: A Scoping Review\\uc0\\u8217{} (2016) 6(4) {\\i{}BMJ Open} e010368.}","plainCitation":"Tanya Horsley et al, ‘National Programmes for Validating Physician Competence and Fitness for Practice: A Scoping Review’ (2016) 6(4) BMJ Open e010368."},"citationItems":[{"id":3034,"uris":["http://zotero.org/users/955090/items/WJ93C3J9"],"uri":["http://zotero.org/users/955090/items/WJ93C3J9"],"itemData":{"id":3034,"type":"article-journal","multi":{"main":{},"_keys":{}},"title":"National programmes for validating physician competence and fitness for practice: a scoping review","container-title":"BMJ Open","page":"e010368","volume":"6","issue":"4","source":"bmjopen.bmj.com","abstract":"Objective To explore and categorise the state of existing literature for national programmes designed to affirm or establish the continuing competence of physicians.\nDesign Scoping review.\nData sources MEDLINE, ERIC, Sociological Abstracts, web/grey literature (2000–2014).\nSelection Included when a record described a (1) national-level physician validation system, (2) recognised as a system for affirming competence and (3) reported relevant data.\nData extraction Using bibliographic software, title and abstracts were reviewed using an assessment matrix to ensure duplicate, paired screening. Dyads included both a methodologist and content expert on each assessment, reflective of evidence-informed best practices to decrease errors.\nResults 45 reports were included. Publication dates ranged from 2002 to 2014 with the majority of publications occurring in the previous six years (n=35). Country of origin—defined as that of the primary author—included the USA (N=32), the UK (N=8), Canada (N=3), Kuwait (N=1) and Australia (N=1). Three broad themes emerged from this heterogeneous data set: contemporary national programmes, contextual factors and terminological consistency. Four national physician validation systems emerged from the data: the American Board of Medical Specialties Maintenance of Certification Program, the Federation of State Medical Boards Maintenance of Licensure Program, the Canadian Revalidation Program and the UK Revalidation Program. Three contextual factors emerged as stimuli for the implementation of national validation systems: medical regulation, quality of care and professional competence. Finally, great variation among the definitions of key terms was identified.\nConclusions There is an emerging literature focusing on national physician validation systems. Four major systems have been implemented in recent years and it is anticipated that more will follow. Much of this work is descriptive, and gaps exist for the extent to which systems build on current evidence or theory. Terminology is highly variable across programmes for validating physician competence and fitness for practice.","DOI":"10.1136/bmjopen-2015-010368","ISSN":"2044-6055,","note":"PMID: 27084276","shortTitle":"National programmes for validating physician competence and fitness for practice","journalAbbreviation":"BMJ Open","language":"en","author":[{"family":"Horsley","given":"Tanya","multi":{"_key":{}}},{"family":"Lockyer","given":"Jocelyn","multi":{"_key":{}}},{"family":"Cogo","given":"Elise","multi":{"_key":{}}},{"family":"Zeiter","given":"Jeanie","multi":{"_key":{}}},{"family":"Bursey","given":"Ford","multi":{"_key":{}}},{"family":"Campbell","given":"Craig","multi":{"_key":{}}}],"issued":{"raw":"04/01/2016"}}}],"schema":"https://github.com/citation-style-language/schema/raw/master/csl-citation.json"} </w:instrText>
      </w:r>
      <w:r w:rsidRPr="001219AF">
        <w:fldChar w:fldCharType="separate"/>
      </w:r>
      <w:r w:rsidRPr="009A0666">
        <w:rPr>
          <w:rFonts w:cs="Times New Roman"/>
          <w:szCs w:val="24"/>
        </w:rPr>
        <w:t xml:space="preserve">Tanya Horsley et al, ‘National Programmes for Validating Physician Competence and Fitness for Practice: A Scoping Review’ (2016) 6(4) </w:t>
      </w:r>
      <w:r w:rsidRPr="009A0666">
        <w:rPr>
          <w:rFonts w:cs="Times New Roman"/>
          <w:i/>
          <w:szCs w:val="24"/>
        </w:rPr>
        <w:t>BMJ Open</w:t>
      </w:r>
      <w:r w:rsidRPr="009A0666">
        <w:rPr>
          <w:rFonts w:cs="Times New Roman"/>
          <w:szCs w:val="24"/>
        </w:rPr>
        <w:t xml:space="preserve"> e010368.</w:t>
      </w:r>
      <w:r w:rsidRPr="001219AF">
        <w:fldChar w:fldCharType="end"/>
      </w:r>
    </w:p>
  </w:footnote>
  <w:footnote w:id="18">
    <w:p w14:paraId="023A227E" w14:textId="42F59ED2"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{"citationID":"1trl2kttmu","properties":{"formattedCitation":"{\\rtf Stephen N Bolsin, Elizabeth Cawson and Mark E Colson, \\uc0\\u8216{}Revalidation Is Not to Be Feared and Can Be Achieved by Continuous Objective Assessment\\uc0\\u8217{} (2015) 203(3) {\\i{}The Medical Journal of Australia} 142.}","plainCitation":"Stephen N Bolsin, Elizabeth Cawson and Mark E Colson, ‘Revalidation Is Not to Be Feared and Can Be Achieved by Continuous Objective Assessment’ (2015) 203(3) The Medical Journal of Australia 142."},"citationItems":[{"id":3033,"uris":["http://zotero.org/users/955090/items/BD7KTXQI"],"uri":["http://zotero.org/users/955090/items/BD7KTXQI"],"itemData":{"id":3033,"type":"article-journal","multi":{"main":{},"_keys":{}},"title":"Revalidation is not to be feared and can be achieved by continuous objective assessment","container-title":"The Medical Journal of Australia","page":"142-144","volume":"203","issue":"3","source":"CrossRef","DOI":"10.5694/mja14.00081","ISSN":"0025729X, 13265377","author":[{"family":"Bolsin","given":"Stephen N","multi":{"_key":{}}},{"family":"Cawson","given":"Elizabeth","multi":{"_key":{}}},{"family":"Colson","given":"Mark E","multi":{"_key":{}}}],"issued":{"raw":"2015-8-3"}}}],"schema":"https://github.com/citation-style-language/schema/raw/master/csl-citation.json"} </w:instrText>
      </w:r>
      <w:r w:rsidRPr="001219AF">
        <w:fldChar w:fldCharType="separate"/>
      </w:r>
      <w:r w:rsidRPr="009A0666">
        <w:rPr>
          <w:rFonts w:cs="Times New Roman"/>
          <w:szCs w:val="24"/>
        </w:rPr>
        <w:t xml:space="preserve">Stephen N Bolsin, Elizabeth Cawson and Mark E Colson, ‘Revalidation Is Not to Be Feared and Can Be Achieved by Continuous Objective Assessment’ (2015) 203(3) </w:t>
      </w:r>
      <w:r w:rsidRPr="009A0666">
        <w:rPr>
          <w:rFonts w:cs="Times New Roman"/>
          <w:i/>
          <w:szCs w:val="24"/>
        </w:rPr>
        <w:t>The Medical Journal of Australia</w:t>
      </w:r>
      <w:r w:rsidRPr="009A0666">
        <w:rPr>
          <w:rFonts w:cs="Times New Roman"/>
          <w:szCs w:val="24"/>
        </w:rPr>
        <w:t xml:space="preserve"> 142.</w:t>
      </w:r>
      <w:r w:rsidRPr="001219AF">
        <w:fldChar w:fldCharType="end"/>
      </w:r>
    </w:p>
  </w:footnote>
  <w:footnote w:id="19">
    <w:p w14:paraId="7E142348" w14:textId="516B7B7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{"citationID":"7gmsd5vla","properties":{"formattedCitation":"{\\rtf The Medical Board of Australia, \\uc0\\u8216{}Options for Revalidation in Australia: Discussion Paper\\uc0\\u8217{} (August 2016) 6.}","plainCitation":"The Medical Board of Australia, ‘Options for Revalidation in Australia: Discussion Paper’ (August 2016) 6."},"citationItems":[{"id":3651,"uris":["http://zotero.org/users/955090/items/WI67UGIE"],"uri":["http://zotero.org/users/955090/items/WI67UGIE"],"itemData":{"id":3651,"type":"report","multi":{"main":{},"_keys":{}},"title":"Options for Revalidation in Australia: Discussion Paper","author":[{"literal":"The Medical Board of Australia","multi":{"_key":{}}}],"issued":{"raw":"August 2016"}},"locator":"6"}],"schema":"https://github.com/citation-style-language/schema/raw/master/csl-citation.json"} </w:instrText>
      </w:r>
      <w:r>
        <w:fldChar w:fldCharType="separate"/>
      </w:r>
      <w:r w:rsidRPr="009A0666">
        <w:rPr>
          <w:rFonts w:cs="Times New Roman"/>
          <w:szCs w:val="24"/>
        </w:rPr>
        <w:t>The Medical Board of Australia, ‘Options for Revalidation in Australia: Discussion Paper’ (August 2016) 6.</w:t>
      </w:r>
      <w:r>
        <w:fldChar w:fldCharType="end"/>
      </w:r>
    </w:p>
  </w:footnote>
  <w:footnote w:id="20">
    <w:p w14:paraId="07D601F2" w14:textId="115488EB"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{"citationID":"1pilcsu9va","properties":{"formattedCitation":"Archer et al, above n 15.","plainCitation":"Archer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fldChar w:fldCharType="separate"/>
      </w:r>
      <w:r w:rsidRPr="001724B2">
        <w:t>Archer et al, above n 15.</w:t>
      </w:r>
      <w:r w:rsidRPr="001219AF">
        <w:fldChar w:fldCharType="end"/>
      </w:r>
    </w:p>
  </w:footnote>
  <w:footnote w:id="21">
    <w:p w14:paraId="2BCA894D" w14:textId="1C241315"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{"citationID":"McckCZaj","properties":{"formattedCitation":"{\\rtf Medical Board of Australia, \\uc0\\u8216{}Building a Professional Performance Framework\\uc0\\u8217{} &lt;http://www.medicalboard.gov.au/Registration/Professional-Performance-Framework.aspx&gt;; The Medical Board of Australia, above n 18, 2; see especially The Medical Board of Australia, Expert Advisory Group on Revalidation, \\uc0\\u8216{}Expert Advisory Group on Revalidation Final Report\\uc0\\u8217{} (August 2017) &lt;http://www.medicalboard.gov.au/Registration/Revalidation.aspx&gt;.}","plainCitation":"Medical Board of Australia, ‘Building a Professional Performance Framework’ &lt;http://www.medicalboard.gov.au/Registration/Professional-Performance-Framework.aspx&gt;; The Medical Board of Australia, above n 18, 2; see especially The Medical Board of Australia, Expert Advisory Group on Revalidation, ‘Expert Advisory Group on Revalidation Final Report’ (August 2017) &lt;http://www.medicalboard.gov.au/Registration/Revalidation.aspx&gt;."},"citationItems":[{"id":15758,"uris":["http://zotero.org/users/955090/items/WVVQCKMH"],"uri":["http://zotero.org/users/955090/items/WVVQCKMH"],"itemData":{"id":15758,"type":"article","multi":{"main":{},"_keys":{}},"title":"Building a Professional Performance Framework","URL":"http://www.medicalboard.gov.au/Registration/Professional-Performance-Framework.aspx","author":[{"family":"Medical Board of Australia","given":"","literal":"Medical Board of Australia","multi":{"_key":{}}}],"issued":{"raw":"2018"}}},{"id":3651,"uris":["http://zotero.org/users/955090/items/WI67UGIE"],"uri":["http://zotero.org/users/955090/items/WI67UGIE"],"itemData":{"id":3651,"type":"report","multi":{"main":{},"_keys":{}},"title":"Options for Revalidation in Australia: Discussion Paper","author":[{"literal":"The Medical Board of Australia","multi":{"_key":{}}}],"issued":{"raw":"August 2016"}},"locator":"2"},{"id":15778,"uris":["http://zotero.org/users/955090/items/QDBVDKEH"],"uri":["http://zotero.org/users/955090/items/QDBVDKEH"],"itemData":{"id":15778,"type":"report","multi":{"main":{},"_keys":{}},"title":"Expert Advisory Group on Revalidation Final Report","URL":"http://www.medicalboard.gov.au/Registration/Revalidation.aspx","author":[{"literal":"The Medical Board of Australia, Expert Advisory Group on Revalidation","multi":{"_key":{}}}],"issued":{"raw":"August 2017"}},"prefix":"see especially "}],"schema":"https://github.com/citation-style-language/schema/raw/master/csl-citation.json"} </w:instrText>
      </w:r>
      <w:r>
        <w:fldChar w:fldCharType="separate"/>
      </w:r>
      <w:r w:rsidRPr="00387010">
        <w:rPr>
          <w:rFonts w:cs="Times New Roman"/>
          <w:szCs w:val="24"/>
        </w:rPr>
        <w:t>Medical Board of Australia, ‘Building a Professional Performance Framework’ &lt;http://www.medicalboard.gov.au/Registration/Professional-Performance-Framework.aspx&gt;; The Medical Board of Australia, above n 18, 2; see especially The Medical Board of Australia, Expert Advisory Group on Revalidation, ‘Expert Advisory Group on Revalidation Final Report’ (August 2017) &lt;http://www.medicalboard.gov.au/Registration/Revalidation.aspx&gt;.</w:t>
      </w:r>
      <w:r>
        <w:fldChar w:fldCharType="end"/>
      </w:r>
    </w:p>
  </w:footnote>
  <w:footnote w:id="22">
    <w:p w14:paraId="26F0CEF1" w14:textId="7CA1204E"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{"citationID":"MpcVYoQO","properties":{"formattedCitation":"{\\rtf MM Bismark et al, \\uc0\\u8216{}Relationship between Complaints and Quality of Care in New Zealand: A Descriptive Analysis of Complainants and Non\\uc0\\u8208{}complainants Following Adverse Events\\uc0\\u8217{} (2006) 15(1) {\\i{}Quality &amp; Safety in Health Care} 17; Marie M Bismark et al, \\uc0\\u8216{}Remedies Sought and Obtained in Healthcare Complaints\\uc0\\u8217{} (2011) 20(9) {\\i{}BMJ Quality &amp; Safety} 806; Marie M Bismark et al, \\uc0\\u8216{}Identification of Doctors at Risk of Recurrent Complaints: A National Study of Healthcare Complaints in Australia\\uc0\\u8217{} (2013) 22(7) {\\i{}BMJ Quality &amp; Safety} 532.}","plainCitation":"MM Bismark et al,</w:instrText>
      </w:r>
      <w:r>
        <w:rPr>
          <w:rFonts w:hint="eastAsia"/>
        </w:rPr>
        <w:instrText xml:space="preserve"> ‘Relationship between Complaints and Quality of Care in New Zealand: A Descriptive Analysis of Complainants and Non‐complainants Following Adverse Events’ (2006) 15(1) Quality &amp; Safety in Health Care 17; Marie M Bismark et al, ‘Remedies Sought and Obtain</w:instrText>
      </w:r>
      <w:r>
        <w:instrText>ed in Healthcare Complaints’ (2011) 20(9) BMJ Quality &amp; Safety 806; Marie M Bismark et al, ‘Identification of Doctors at Risk of Recurrent Complaints: A National Study of Healthcare Complaints in Australia’ (2013) 22(7) BMJ Quality &amp; Safety 532."},"citationItems":[{"id":2844,"uris":["http://zotero.org/users/955090/items/5F73S74V"],"uri":["http://zotero.org/users/955090/items/5F73S74V"],"itemData":{"id":2844,"type":"article-journal","multi":{"main":{},"_keys":{}},"title":"Relationship between complaints an</w:instrText>
      </w:r>
      <w:r>
        <w:rPr>
          <w:rFonts w:hint="eastAsia"/>
        </w:rPr>
        <w:instrText>d quality of care in New Zealand: a descriptive analysis of complainants and non‐complainants following adverse events","container-title":"Quality &amp; Safety in Health Care","page":"17-22","volume":"15","issue":"1","source":"PubMed Central","abstract":"Obje</w:instrText>
      </w:r>
      <w:r>
        <w:instrText>ctives\nTo estimate the proportion and characteristics of patients injured by medical care in New Zealand public hospitals who complain to an independent health ombudsman, the Health and Disability Commissioner (“the Commissioner”).\n\nDesign\nThe percentage of injured patients who lodge complaints was estimated by linking the Commissioner's complaints database to records reviewed in the New Zealand Quality of Healthcare Study (NZQHS). Bivariate and multivariate analyses investigated sociodemographic and socioeconomic differences between complainants and non</w:instrText>
      </w:r>
      <w:r>
        <w:rPr>
          <w:rFonts w:hint="eastAsia"/>
        </w:rPr>
        <w:instrText>‐</w:instrText>
      </w:r>
      <w:r>
        <w:instrText xml:space="preserve">complainants.\n\nSetting\nNew Zealand public hospitals and the Office of the Commissioner in 1998.\n\nPopulation\nPatients who lodged claims with the Commissioner (n = 398) and patients identified by the NZQHS as having suffered an adverse event who did not lodge a complaint with the Commissioner (n = 847).\n\nMain outcome measures\nAdverse events, preventable adverse events, and complaints lodged with the Commissioner.\n\nResults\nAmong adverse events identified by the NZQHS, 0.4% (3/850) resulted in complaints; among serious, preventable adverse events 4% (2/48) resulted in complaints. The propensity of injured patients to complain increased steeply with the severity of the injury: odds of complaint were 11 times greater after serious permanent injuries than after temporary injuries, and 18 times greater after deaths. Odds of complaining were significantly lower for patients who were elderly (odds ratio (OR) 0.2, 95% confidence interval (CI) 0.1 to 0.4), of Pacific ethnicity (OR 0.3, 95% CI 0.1 to 0.9), or lived in the most deprived areas (OR 0.3, 95% CI 0.2 to 0.6).\n\nConclusion\nMost medical injuries never trigger a complaint to the Commissioner. Among complaints that are brought, severe and preventable injuries are common, offering a potentially valuable “window” on serious threats to patient safety. The relatively low propensity to complain among patients who are elderly, socioeconomically deprived, or of Pacific ethnicity suggests troubling disparities in access to and utilisation of complaints processes.","DOI":"10.1136/qshc.2005.015743","ISSN":"1475-3898","note":"PMID: 16456205\nPMCID: PMC2563994","shortTitle":"Relationship between complaints and quality of care in New Zealand","journalAbbreviation":"Qual Saf Health Care","author":[{"family":"Bismark","given":"M M","multi":{"_key":{}}},{"family":"Brennan","given":"T A","multi":{"_key":{}}},{"family":"Paterson","given":"R J","multi":{"_key":{}}},{"family":"Davis","given":"P B","multi":{"_key":{}}},{"family":"Studdert","given":"D M","multi":{"_key":{}}}],"issued":{"raw":"2006-2"}}},{"id":2851,"uris":["http://zotero.org/users/955090/items/3NUUUHTQ"],"uri":["http://zotero.org/users/955090/items/3NUUUHTQ"],"itemData":{"id":2851,"type":"article-journal","multi":{"main":{},"_keys":{}},"title":"Remedies sought and obtained in healthcare complaints","container-title":"BMJ Quality &amp; Safety","page":"806-810","volume":"20","issue":"9","source":"qualitysafety.bmj.com.ezproxy.lib.uts.edu.au","abstract":"In the wake of adverse events, injured patients and their families have a complex range of needs and wants. The tort system, even when operating at its best, will inevitably fall far short of addressing them. In Australia and New Zealand, government-run health complaints commissions take a more flexible and expansive approach to providing remedies for patients injured by or disgruntled with care. Unfortunately, survey research has shown that many patients in these systems are dissatisfied with their experience. We hypothesised that an important explanation for this dissatisfaction is an ‘expectations gap’; discordance between what complainants want and what they eventually get out of the process. Analysing a sample of complaints relating to informed consent from the Commission in Victoria (Australia's second largest state, with 5.2 million residents), we found evidence of such a gap. One-third (59/189) of complainants who sought restoration received it; 1 in 5 complainants (17/101) who sought correction received assurances that changes had been or would be made to reduce the risk of others suffering a similar harm; and fewer than 1 in 10 (3/37) who sought sanctions saw steps taken to achieve this outcome initiated. We argue that bridging the expectations gap would go far toward improving patient satisfaction with complaints systems, and suggest several ways this might be done.","DOI":"10.1136/bmjqs-2011-000109","ISSN":", 2044-5423","note":"PMID: 21859814","journalAbbreviation":"BMJ Qual Saf","language":"en","author":[{"family":"Bismark","given":"Marie M.","multi":{"_key":{}}},{"family":"Spittal","given":"Matthew J.","multi":{"_key":{}}},{"family":"Gogos","given":"Andrew J.","multi":{"_key":{}}},{"family":"Gruen","given":"Russell L.","multi":{"_key":{}}},{"family":"Studdert","given":"David M.","multi":{"_key":{}}}],"issued":{"raw":"09/01/2011"}}},{"id":2862,"uris":["http://zotero.org/users/955090/items/74D57ZGB"],"uri":["http://zotero.org/users/955090/items/74D57ZGB"],"itemData":{"id":2862,"type":"article-journal","multi":{"main":{},"_keys":{}},"title":"Identification of doctors at risk of recurrent complaints: a national study of healthcare complaints in Australia","container-title":"BMJ Quality &amp; Safety","page":"532-540","volume":"22","issue":"7","source":"qualitysafety.bmj.com.ezproxy.lib.uts.edu.au","abstract":"Objectives (1) To determine the distribution of formal patient complaints across Australia's medical workforce and (2) to identify characteristics of doctors at high risk of incurring recurrent complaints.\nMethods We assembled a national sample of all 18 907 formal patient complaints filed against doctors with health service ombudsmen (‘Commissions’) in Australia over an 11-year period. We analysed the distribution of complaints among practicing doctors. We then used recurrent-event survival analysis to identify characteristics of doctors at high risk of recurrent complaints, and to estimate each individual doctor's risk of incurring future complaints.\nResults The distribution of complaints among doctors was highly skewed: 3% of Australia's medical workforce accounted for 49% of complaints and 1% accounted for a quarter of complaints. Short-term risks of recurrence varied significantly among doctors: there was a strong dose-response relationship with number of previous complaints and significant differences by doctor specialty and sex. At the practitioner level, risks varied widely, from doctors with &lt;10% risk of further complaints within 2 years to doctors with &gt;80% risk.\nConclusions A small group of doctors accounts for half of all patient complaints lodged with Australian Commissions. It is feasible to predict which doctors are at high risk of incurring more complaints in the near future. Widespread use of this approach to identify high-risk doctors and target quality improvement efforts coupled with effective interventions, could help reduce adverse events and patient dissatisfaction in health systems.","DOI":"10.1136/bmjqs-2012-001691","ISSN":", 2044-5423","note":"PMID: 23576774","shortTitle":"Identification of doctors at risk of recurrent complaints","journalAbbreviation":"BMJ Qual Saf","language":"en","author":[{"family":"Bismark","given":"Marie M.","multi":{"_key":{}}},{"family":"Spittal","given":"Matthew J.","multi":{"_key":{}}},{"family":"Gurrin","given":"Lyle C.","multi":{"_key":{}}},{"family":"Ward","given":"Michael","multi":{"_key":{}}},{"family":"Studdert","given":"David M.","multi":{"_key":{}}}],"issued":{"raw":"07/01/2013"}}}],"schema":"https://github.com/citation-style-language/schema/raw/master/csl-citation.json"} </w:instrText>
      </w:r>
      <w:r w:rsidRPr="001219AF">
        <w:fldChar w:fldCharType="separate"/>
      </w:r>
      <w:r w:rsidRPr="00387010">
        <w:rPr>
          <w:rFonts w:cs="Times New Roman"/>
          <w:szCs w:val="24"/>
        </w:rPr>
        <w:t>MM Bismark et al, ‘Relationship between Complaints and Quality of Care in New Zealand: A Descriptive Analysis of Complainants and Non</w:t>
      </w:r>
      <w:r w:rsidRPr="00387010">
        <w:rPr>
          <w:rFonts w:ascii="Cambria Math" w:hAnsi="Cambria Math" w:cs="Cambria Math"/>
          <w:szCs w:val="24"/>
        </w:rPr>
        <w:t>‐</w:t>
      </w:r>
      <w:r w:rsidRPr="00387010">
        <w:rPr>
          <w:rFonts w:cs="Times New Roman"/>
          <w:szCs w:val="24"/>
        </w:rPr>
        <w:t xml:space="preserve">complainants Following Adverse Events’ (2006) 15(1) </w:t>
      </w:r>
      <w:r w:rsidRPr="00387010">
        <w:rPr>
          <w:rFonts w:cs="Times New Roman"/>
          <w:i/>
          <w:szCs w:val="24"/>
        </w:rPr>
        <w:t>Quality &amp; Safety in Health Care</w:t>
      </w:r>
      <w:r w:rsidRPr="00387010">
        <w:rPr>
          <w:rFonts w:cs="Times New Roman"/>
          <w:szCs w:val="24"/>
        </w:rPr>
        <w:t xml:space="preserve"> 17; Marie M Bismark et al, ‘Remedies Sought and Obtained in Healthcare Complaints’ (2011) 20(9) </w:t>
      </w:r>
      <w:r w:rsidRPr="00387010">
        <w:rPr>
          <w:rFonts w:cs="Times New Roman"/>
          <w:i/>
          <w:szCs w:val="24"/>
        </w:rPr>
        <w:t>BMJ Quality &amp; Safety</w:t>
      </w:r>
      <w:r w:rsidRPr="00387010">
        <w:rPr>
          <w:rFonts w:cs="Times New Roman"/>
          <w:szCs w:val="24"/>
        </w:rPr>
        <w:t xml:space="preserve"> 806; Marie M Bismark et al, ‘Identification of Doctors at Risk of Recurrent Complaints: A National Study of Healthcare Complaints in Australia’ (2013) 22(7) </w:t>
      </w:r>
      <w:r w:rsidRPr="00387010">
        <w:rPr>
          <w:rFonts w:cs="Times New Roman"/>
          <w:i/>
          <w:szCs w:val="24"/>
        </w:rPr>
        <w:t>BMJ Quality &amp; Safety</w:t>
      </w:r>
      <w:r w:rsidRPr="00387010">
        <w:rPr>
          <w:rFonts w:cs="Times New Roman"/>
          <w:szCs w:val="24"/>
        </w:rPr>
        <w:t xml:space="preserve"> 532.</w:t>
      </w:r>
      <w:r w:rsidRPr="001219AF">
        <w:fldChar w:fldCharType="end"/>
      </w:r>
    </w:p>
  </w:footnote>
  <w:footnote w:id="23">
    <w:p w14:paraId="00BC94BF" w14:textId="54A32ED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{"citationID":"CThHqZio","properties":{"formattedCitation":"{\\rtf Based on the empirical work of Bismark and Studdert, see Bismark et al, \\uc0\\u8216{}Identification of Doctors at Risk of Recurrent Complaints\\uc0\\u8217{}, above n 25.}","plainCitation":"Based on the empirical work of Bismark and Studdert, see Bismark et al, ‘Identification of Doctors at Risk of Recurrent Complaints’, above n 25."},"citationItems":[{"id":2862,"uris":["http://zotero.org/users/955090/items/74D57ZGB"],"uri":["http://zotero.org/users/955090/items/74D57ZGB"],"itemData":{"id":2862,"type":"article-journal","multi":{"main":{},"_keys":{}},"title":"Identification of doctors at risk of recurrent complaints: a national study of healthcare complaints in Australia","container-title":"BMJ Quality &amp; Safety","page":"532-540","volume":"22","issue":"7","source":"qualitysafety.bmj.com.ezproxy.lib.uts.edu.au","abstract":"Objectives (1) To determine the distribution of formal patient complaints across Australia's medical workforce and (2) to identify characteristics of doctors at high risk of incurring recurrent complaints.\nMethods We assembled a national sample of all 18 907 formal patient complaints filed against doctors with health service ombudsmen (‘Commissions’) in Australia over an 11-year period. We analysed the distribution of complaints among practicing doctors. We then used recurrent-event survival analysis to identify characteristics of doctors at high risk of recurrent complaints, and to estimate each individual doctor's risk of incurring future complaints.\nResults The distribution of complaints among doctors was highly skewed: 3% of Australia's medical workforce accounted for 49% of complaints and 1% accounted for a quarter of complaints. Short-term risks of recurrence varied significantly among doctors: there was a strong dose-response relationship with number of previous complaints and significant differences by doctor specialty and sex. At the practitioner level, risks varied widely, from doctors with &lt;10% risk of further complaints within 2 years to doctors with &gt;80% risk.\nConclusions A small group of doctors accounts for half of all patient complaints lodged with Australian Commissions. It is feasible to predict which doctors are at high risk of incurring more complaints in the near future. Widespread use of this approach to identify high-risk doctors and target quality improvement efforts coupled with effective interventions, could help reduce adverse events and patient dissatisfaction in health systems.","DOI":"10.1136/bmjqs-2012-001691","ISSN":", 2044-5423","note":"PMID: 23576774","shortTitle":"Identification of doctors at risk of recurrent complaints","journalAbbreviation":"BMJ Qual Saf","language":"en","author":[{"family":"Bismark","given":"Marie M.","multi":{"_key":{}}},{"family":"Spittal","given":"Matthew J.","multi":{"_key":{}}},{"family":"Gurrin","given":"Lyle C.","multi":{"_key":{}}},{"family":"Ward","given":"Michael","multi":{"_key":{}}},{"family":"Studdert","given":"David M.","multi":{"_key":{}}}],"issued":{"raw":"07/01/2013"}},"prefix":"Based on the empirical work of Bismark and Studdert, see"}],"schema":"https://github.com/citation-style-language/schema/raw/master/csl-citation.json"} </w:instrText>
      </w:r>
      <w:r>
        <w:fldChar w:fldCharType="separate"/>
      </w:r>
      <w:r w:rsidRPr="001724B2">
        <w:rPr>
          <w:rFonts w:cs="Times New Roman"/>
          <w:szCs w:val="24"/>
        </w:rPr>
        <w:t>Based on the empirical work of Bismark and Studdert, see Bismark et al, ‘Identification of Doctors at Risk of Recurrent Complaints’, above n 25.</w:t>
      </w:r>
      <w:r>
        <w:fldChar w:fldCharType="end"/>
      </w:r>
    </w:p>
  </w:footnote>
  <w:footnote w:id="24">
    <w:p w14:paraId="3DFFD1F9" w14:textId="4560683A"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{"citationID":"rhoshj6kp","properties":{"formattedCitation":"{\\rtf Marilys Guillemin et al, \\uc0\\u8216{}Revalidation: Patients or Process? Analysis Using Visual Data\\uc0\\u8217{} (2014) 114(2\\uc0\\u8211{}3) {\\i{}Health Policy} 128.}","plainCitation":"Marilys Guillemin et al, ‘Revalidation: Patients or Process? Analysis Using Visual Data’ (2014) 114(2–3) Health Policy 128."},"citationItems":[{"id":3032,"uris":["http://zotero.org/users/955090/items/G9WHNP4C"],"uri":["http://zotero.org/users/955090/items/G9WHNP4C"],"itemData":{"id":3032,"type":"article-journal","multi":{"main":{},"_keys":{}},"title":"Revalidation: Patients or process? Analysis using visual data","container-title":"Health Policy","page":"128-138","volume":"114","issue":"2–3","source":"ScienceDirect","abstract":"Revalidation is a significant recent regulatory policy reform from the UK General Medical Council and being considered elsewhere around the world. The policy aims to regulate licensed doctors to ensure that they are ‘up-to-date and fit-to practise’. Fundamental to the policy is that the revalidation of doctors should benefit patients and improve doctor–patient relationships. As part of an evaluation of the development of revalidation, 31 policy makers involved in its development were interviewed in 2010–2011 and were asked to draw what revalidation meant to them. From this, 29 drawings were produced and this article focuses on their analysis. The drawings emphasised abstract systems and processes, with a distinct lack of interpersonal interactions or representation of individual patients and doctors. Only 3 of the 29 images included individual patients and doctors. This depersonalisation of policy is examined with respect to the purported key objective of revalidation to benefit patients. Using a distinctively different modality, the drawings serve to confirm the two key discourses of regulation and professionalism prevalent in the interview data, while highlighting the notable absence of the patient. The benefits and limitations of using drawings as a research method are discussed for a health policy context.","DOI":"10.1016/j.healthpol.2013.12.006","ISSN":"0168-8510","shortTitle":"Revalidation","journalAbbreviation":"Health Policy","author":[{"family":"Guillemin","given":"Marilys","multi":{"_key":{}}},{"family":"Archer","given":"Julian","multi":{"_key":{}}},{"family":"Nunn","given":"Suzanne","multi":{"_key":{}}},{"family":"Bere","given":"Samantha Regan","non-dropping-particle":"de","multi":{"_key":{}}}],"issued":{"raw":"February 2014"}}}],"schema":"https://github.com/citation-style-language/schema/raw/master/csl-citation.json"} </w:instrText>
      </w:r>
      <w:r w:rsidRPr="001219AF">
        <w:fldChar w:fldCharType="separate"/>
      </w:r>
      <w:r w:rsidRPr="009A0666">
        <w:rPr>
          <w:rFonts w:cs="Times New Roman"/>
          <w:szCs w:val="24"/>
        </w:rPr>
        <w:t xml:space="preserve">Marilys Guillemin et al, ‘Revalidation: Patients or Process? Analysis Using Visual Data’ (2014) 114(2–3) </w:t>
      </w:r>
      <w:r w:rsidRPr="009A0666">
        <w:rPr>
          <w:rFonts w:cs="Times New Roman"/>
          <w:i/>
          <w:szCs w:val="24"/>
        </w:rPr>
        <w:t>Health Policy</w:t>
      </w:r>
      <w:r w:rsidRPr="009A0666">
        <w:rPr>
          <w:rFonts w:cs="Times New Roman"/>
          <w:szCs w:val="24"/>
        </w:rPr>
        <w:t xml:space="preserve"> 128.</w:t>
      </w:r>
      <w:r w:rsidRPr="001219AF">
        <w:fldChar w:fldCharType="end"/>
      </w:r>
    </w:p>
  </w:footnote>
  <w:footnote w:id="25">
    <w:p w14:paraId="266BAF72" w14:textId="202D860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{"citationID":"avYhAgUd","properties":{"formattedCitation":"{\\rtf Jill Thistlethwaite, Rodger Charlton and Jane Coomber, \\uc0\\u8216{}Revalidation for Relicensing: Reflections on the Proposed British Model\\uc0\\u8217{} (2012) 41(1/2) {\\i{}Australian family physician} 70, 71.}","plainCitation":"Jill Thistlethwaite, Rodger Charlton and Jane Coomber, ‘Revalidation for Relicensing: Reflections on the Proposed British Model’ (2012) 41(1/2) Australian family physician 70, 71."},"citationItems":[{"id":4002,"uris":["http://zotero.org/users/955090/items/FE5WVM7T"],"uri":["http://zotero.org/users/955090/items/FE5WVM7T"],"itemData":{"id":4002,"type":"article-journal","multi":{"main":{},"_keys":{}},"title":"Revalidation for relicensing: reflections on the proposed British model","container-title":"Australian family physician","page":"70","volume":"41","issue":"1/2","source":"Google Scholar","shortTitle":"Revalidation for relicensing","author":[{"family":"Thistlethwaite","given":"Jill","multi":{"_key":{}}},{"family":"Charlton","given":"Rodger","multi":{"_key":{}}},{"family":"Coomber","given":"Jane","multi":{"_key":{}}}],"issued":{"raw":"2012"}},"locator":"71"}],"schema":"https://github.com/citation-style-language/schema/raw/master/csl-citation.json"} </w:instrText>
      </w:r>
      <w:r>
        <w:fldChar w:fldCharType="separate"/>
      </w:r>
      <w:r w:rsidRPr="009A0666">
        <w:rPr>
          <w:rFonts w:cs="Times New Roman"/>
          <w:szCs w:val="24"/>
        </w:rPr>
        <w:t xml:space="preserve">Jill Thistlethwaite, Rodger Charlton and Jane Coomber, ‘Revalidation for Relicensing: Reflections on the Proposed British Model’ (2012) 41(1/2) </w:t>
      </w:r>
      <w:r w:rsidRPr="009A0666">
        <w:rPr>
          <w:rFonts w:cs="Times New Roman"/>
          <w:i/>
          <w:szCs w:val="24"/>
        </w:rPr>
        <w:t>Australian family physician</w:t>
      </w:r>
      <w:r w:rsidRPr="009A0666">
        <w:rPr>
          <w:rFonts w:cs="Times New Roman"/>
          <w:szCs w:val="24"/>
        </w:rPr>
        <w:t xml:space="preserve"> 70, 71.</w:t>
      </w:r>
      <w:r>
        <w:fldChar w:fldCharType="end"/>
      </w:r>
    </w:p>
  </w:footnote>
  <w:footnote w:id="26">
    <w:p w14:paraId="28DB47ED" w14:textId="7233E7A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{"citationID":"MPFauhmQ","properties":{"formattedCitation":"{\\rtf M Parker, \\uc0\\u8216{}Monitoring Doctors\\uc0\\u8217{} Clinical Competence: A Queensland Focus\\uc0\\u8217{} (2001) 9(1) {\\i{}Journal of Law and Medicine} 105, 105; see also Margaret Cunneen, \\uc0\\u8216{}The Patel Case \\uc0\\u8211{} Implications for the Medical Profession\\uc0\\u8217{} (2010); this was amongst other calls for regulatory responses, see in relation to the vexed example of criminal prosecution, David J Carter, \\uc0\\u8216{}Correcting the Record: Australian Prosecutions for Manslaughter in the Medical Context\\uc0\\u8217{} (2015) 22(3) {\\i{}Journal of Law and Medicine} 588.}","plainCitation":"M Parker, ‘Monitoring Doctors’ Clinical Competence: A Queensland Focus’ (2001) 9(1) Journal of Law and Medicine 105, 105; see also Margaret Cunneen, ‘The Patel Case – Implications for the Medical Profession’ (2010); this was amongst other calls for regulatory responses, see in relation to the vexed example of criminal prosecution, David J Carter, ‘Correcting the Record: Australian Prosecutions for Manslaughter in the Medical Context’ (2015) 22(3) Journal of Law and Medicine 588."},"citationItems":[{"id":4004,"uris":["http://zotero.org/users/955090/items/4CMUQN8D"],"uri":["http://zotero.org/users/955090/items/4CMUQN8D"],"itemData":{"id":4004,"type":"article-journal","multi":{"main":{},"_keys":{}},"title":"Monitoring doctors' clinical competence: a Queensland focus","container-title":"Journal of Law and Medicine","page":"105-114","volume":"9","issue":"1","source":"PubMed","abstract":"The medical profession is held accountable in numerous ways, many of which are concerned with clinical competence. However, while Australia's State medical boards are statutorily charged with protecting the public from incompetent practice, they have never instituted programs aimed at maintaining the standards of all practitioners. The article describes recent legislative changes and developments in undergraduate medical education, which aim to increase physicians' accountability in relation to competence, and compares developments in Queensland and other States with those in the United Kingdom, Quebec and New Zealand. The investigation of clinical incompetence as currently undertaken by the Medical Board of Queensland should, and will, be adopted in other States. However, responding to incompetence is necessarily piecemeal, and the article further argues that the States should develop inclusive revalidation strategies. Both the community and leading voices within the profession are demanding greater commitment to a self-regulation culture that is more transparent and has sharper teeth.","ISSN":"1320-159X","note":"PMID: 12116659","shortTitle":"Monitoring doctors' clinical competence","journalAbbreviation":"J Law Med","language":"eng","author":[{"family":"Parker","given":"M.","multi":{"_key":{}}}],"issued":{"raw":"Aug 2001"}},"locator":"105"},{"id":435,"uris":["http://zotero.org/users/955090/items/MI68ICZ8"],"uri":["http://zotero.org/users/955090/items/MI68ICZ8"],"itemData":{"id":435,"type":"paper-conference","multi":{"main":{},"_keys":{}},"title":"The Patel Case – Implications for the Medical Profession","abstract":"Dr Patel was working in a regional area, without supervision, was completely reluctant to seek second\nopinions or assistance from other people, had an absolutely toxic ego, treated nurses and junior doctors\ndisparagingly, and was madly keen on surgery for everything – even if people didn’t need it.","author":[{"family":"Cunneen","given":"Margaret","multi":{"_key":{}}}],"issued":{"raw":"2010 November"}},"prefix":"see also"},{"id":3407,"uris":["http://zotero.org/users/955090/items/TPU8AGHA"],"uri":["http://zotero.org/users/955090/items/TPU8AGHA"],"itemData":{"id":3407,"type":"article-journal","multi":{"main":{},"_keys":{}},"title":"Correcting the Record: Australian Prosecutions for Manslaughter in the Medical Context","container-title":"Journal of Law and Medicine","page":"588","volume":"22","issue":"3","abstract":"The failure to prosecute Dr Jayant Patel successfully for any of the deaths associated with his time as Director of Surgery at Bundaberg Base Hospital was received in some quarters as an abject failure of the criminal law to deal adequately with significant wrongdoing. The case itself, the multiple public inquiries and the significant expense to pursue, extradite and prosecute Patel, resulting finally in a finding of guilt on a number of minor fraud charges, seems to compound this sense of failure. This article argues otherwise. When placed within the far longer and forgotten history of the prosecution of manslaughter by criminal negligence in the Australian jurisdiction, this story of prosecutorial failure becomes instead wholly consistent with the case law over time. No adequate account of the history of prosecution in the Australian jurisdiction exists for this area of law. To present Patel in context, the article draws upon archival research to provide a significantly extended account of the history of prosecution for manslaughter in the health care context. The extension of the case law is significant, from four known prosecutions, case histories of another 33 inadequately acknowledged prosecutions are presented.","shortTitle":"Correcting the Record","author":[{"family":"Carter","given":"David J.","multi":{"_key":{}}}],"issued":{"raw":"2015/03/01"}},"prefix":"this was amongst other calls for regulatory responses, see in relation to the vexed example of criminal prosecution, "}],"schema":"https://github.com/citation-style-language/schema/raw/master/csl-citation.json"} </w:instrText>
      </w:r>
      <w:r>
        <w:fldChar w:fldCharType="separate"/>
      </w:r>
      <w:r w:rsidRPr="00387010">
        <w:rPr>
          <w:rFonts w:cs="Times New Roman"/>
          <w:szCs w:val="24"/>
        </w:rPr>
        <w:t xml:space="preserve">M Parker, ‘Monitoring Doctors’ Clinical Competence: A Queensland Focus’ (2001) 9(1) </w:t>
      </w:r>
      <w:r w:rsidRPr="00387010">
        <w:rPr>
          <w:rFonts w:cs="Times New Roman"/>
          <w:i/>
          <w:szCs w:val="24"/>
        </w:rPr>
        <w:t>Journal of Law and Medicine</w:t>
      </w:r>
      <w:r w:rsidRPr="00387010">
        <w:rPr>
          <w:rFonts w:cs="Times New Roman"/>
          <w:szCs w:val="24"/>
        </w:rPr>
        <w:t xml:space="preserve"> 105, 105; see also Margaret Cunneen, ‘The Patel Case – Implications for the Medical Profession’ (2010); this was amongst other calls for regulatory responses, see in relation to the vexed example of criminal prosecution, David J Carter, ‘Correcting the Record: Australian Prosecutions for Manslaughter in the Medical Context’ (2015) 22(3) </w:t>
      </w:r>
      <w:r w:rsidRPr="00387010">
        <w:rPr>
          <w:rFonts w:cs="Times New Roman"/>
          <w:i/>
          <w:szCs w:val="24"/>
        </w:rPr>
        <w:t>Journal of Law and Medicine</w:t>
      </w:r>
      <w:r w:rsidRPr="00387010">
        <w:rPr>
          <w:rFonts w:cs="Times New Roman"/>
          <w:szCs w:val="24"/>
        </w:rPr>
        <w:t xml:space="preserve"> 588.</w:t>
      </w:r>
      <w:r>
        <w:fldChar w:fldCharType="end"/>
      </w:r>
    </w:p>
  </w:footnote>
  <w:footnote w:id="27">
    <w:p w14:paraId="302CD37B" w14:textId="37A970F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{"citationID":"z5SJowpr","properties":{"formattedCitation":"{\\rtf Reported by Radio National\\uc0\\u8217{}s Background Briefing, the Morris Inquiry heard from a key witness, Toni Hoffman, a nurse in the Bundaberg ICU, that 'the hospital\\uc0\\u8217{}s chief anaesthetist dubbed Dr Patel \\uc0\\u8216{}Dr Death\\uc0\\u8217{}. And that his incompetence was so well known among hospital staff they\\uc0\\u8217{}d say, \"If I have an accident on the weekend, fly me out to Brisbane, don\\uc0\\u8217{}t let Dr Patel touch me.\"\\uc0\\u8217{} Radio National, Australian Broadcasting Corporation, \\uc0\\u8216{}Bundaberg\\uc0\\u8217{}s Dr Death\\uc0\\u8217{}, {\\i{}Radio National}, 7 June 1000 &lt;http://www.abc.net.au/radionational/programs/backgroundbriefing/bundabergs-dr-death/3451382&gt;.}","plainCitation":"Reported by Radio National’s Background Briefing, the Morris Inquiry heard from a key witness, Toni Hoffman, a nurse in the Bundaberg ICU, that 'the hospital’s chief anaesthetist dubbed Dr Patel ‘Dr Death’. And that his incompetence was so well known among hospital staff they’d say, \"If I have an accident on the weekend, fly me out to Brisbane, don’t let Dr Patel touch me.\"’ Radio National, Australian Broadcasting Corporation, ‘Bundaberg’s Dr Death’, Radio National, 7 June 1000 &lt;http://www.abc.net.au/radionational/programs/backgroundbriefing/bundabergs-dr-death/3451382&gt;."},"citationItems":[{"id":3528,"uris":["http://zotero.org/users/955090/items/59ZM3UZ7"],"uri":["http://zotero.org/users/955090/items/59ZM3UZ7"],"itemData":{"id":3528,"type":"broadcast","multi":{"main":{},"_keys":{}},"title":"Bundaberg's Dr Death","container-title":"Radio National","publisher":"Radio National, Australian Broadcasting Corporation","abstract":"Scores have died and many more were severely traumatised by treatment at Bundaberg Hospital.","URL":"http://www.abc.net.au/radionational/programs/backgroundbriefing/bundabergs-dr-death/3451382","language":"en-AU","issued":{"raw":"2005-06-07T16:34:00+1000"},"accessed":{"raw":"2017-03-13T02:04:45Z"},"genre":"radio broadcast"},"prefix":"Reported by Radio National's Background Briefing, the Morris Inquiry heard from a key witness, Toni Hoffman, a nurse in the Bundaberg ICU, that 'the hospital’s chief anaesthetist dubbed Dr Patel \"Dr Death\". And that his incompetence was so well known among hospital staff they’d say, \"If I have an accident on the weekend, fly me out to Brisbane, don’t let Dr Patel touch me.\"'"}],"schema":"https://github.com/citation-style-language/schema/raw/master/csl-citation.json"} </w:instrText>
      </w:r>
      <w:r>
        <w:fldChar w:fldCharType="separate"/>
      </w:r>
      <w:r w:rsidRPr="00387010">
        <w:rPr>
          <w:rFonts w:cs="Times New Roman"/>
          <w:szCs w:val="24"/>
        </w:rPr>
        <w:t xml:space="preserve">Reported by Radio National’s Background Briefing, the Morris Inquiry heard from a key witness, Toni Hoffman, a nurse in the Bundaberg ICU, that 'the hospital’s chief anaesthetist dubbed Dr Patel ‘Dr Death’. And that his incompetence was so well known among hospital staff they’d say, "If I have an accident on the weekend, fly me out to Brisbane, don’t let Dr Patel touch me."’ Radio National, Australian Broadcasting Corporation, ‘Bundaberg’s Dr Death’, </w:t>
      </w:r>
      <w:r w:rsidRPr="00387010">
        <w:rPr>
          <w:rFonts w:cs="Times New Roman"/>
          <w:i/>
          <w:szCs w:val="24"/>
        </w:rPr>
        <w:t>Radio National</w:t>
      </w:r>
      <w:r w:rsidRPr="00387010">
        <w:rPr>
          <w:rFonts w:cs="Times New Roman"/>
          <w:szCs w:val="24"/>
        </w:rPr>
        <w:t>, 7 June 1000 &lt;http://www.abc.net.au/radionational/programs/backgroundbriefing/bundabergs-dr-death/3451382&gt;.</w:t>
      </w:r>
      <w:r>
        <w:fldChar w:fldCharType="end"/>
      </w:r>
    </w:p>
  </w:footnote>
  <w:footnote w:id="28">
    <w:p w14:paraId="42B9DB84" w14:textId="5B7B6F0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{"citationID":"RwJwjIid","properties":{"formattedCitation":"{\\rtf Commissioner Davies reported in his final report evidence that 'there were 13 deaths in which an unacceptable level of care on the part of Dr Patel contributed to the adverse outcome; and there were a further 4 deaths in which an unacceptable level of care by Dr Patel may have contributed to the outcome. He found, in addition, 31 surviving patients where Dr Patel\\uc0\\u8217{}s poor level of care contributed to or may have contributed to an adverse outcome\\uc0\\u8217{}, see Hon Geoffrey Davies, \\uc0\\u8216{}Queensland Public Hospitals Commission of Inquiry (\\uc0\\u8220{}The Davies Commission\\uc0\\u8221{})\\uc0\\u8217{} (30 November 2005) 4 &lt;http://www.parliament.qld.gov.au/documents/tableOffice/TabledPapers/2005/5105T5305.pdf&gt;.}","plainCitation":"Commissioner Davies reported in his final report evidence that 'there were 13 deaths in which an unacceptable level of care on the part of Dr Patel contributed to the adverse outcome; and there were a further 4 deaths in which an unacceptable level of care by Dr Patel may have contributed to the outcome. He found, in addition, 31 surviving patients where Dr Patel’s poor level of care contributed to or may have contributed to an adverse outcome’, see Hon Geoffrey Davies, ‘Queensland Public Hospitals Commission of Inquiry (“The Davies Commission”)’ (30 November 2005) 4 &lt;http://www.parliament.qld.gov.au/documents/tableOffice/TabledPapers/2005/5105T5305.pdf&gt;."},"citationItems":[{"id":5179,"uris":["http://zotero.org/users/955090/items/5PEVVSBN"],"uri":["http://zotero.org/users/955090/items/5PEVVSBN"],"itemData":{"id":5179,"type":"report","multi":{"main":{},"_keys":{}},"title":"Queensland Public Hospitals Commission of Inquiry (\"The Davies Commission\")","publisher-place":"Queensland, Australia","event-place":"Queensland, Australia","archive-place":"Queensland, Australia","URL":"http://www.parliament.qld.gov.au/documents/tableOffice/TabledPapers/2005/5105T5305.pdf","author":[{"family":"Davies","given":"Hon. Geoffrey","multi":{"_key":{}}}],"issued":{"raw":"30 November, 2005"},"accessed":{"raw":"2015-12-30"}},"locator":"4","prefix":"Commissioner Davies reported in his final report evidence that 'there were 13 deaths in which an unacceptable level of care on the part of Dr Patel contributed to the adverse outcome; and there were a further 4 deaths in which an unacceptable level of care by Dr Patel may have contributed to the outcome. He found, in addition, 31 surviving patients where Dr Patel’s poor level of care contributed to or may have contributed to an adverse outcome', see "}],"schema":"https://github.com/citation-style-language/schema/raw/master/csl-citation.json"} </w:instrText>
      </w:r>
      <w:r>
        <w:fldChar w:fldCharType="separate"/>
      </w:r>
      <w:r w:rsidRPr="00387010">
        <w:rPr>
          <w:rFonts w:cs="Times New Roman"/>
          <w:szCs w:val="24"/>
        </w:rPr>
        <w:t>Commissioner Davies reported in his final report evidence that 'there were 13 deaths in which an unacceptable level of care on the part of Dr Patel contributed to the adverse outcome; and there were a further 4 deaths in which an unacceptable level of care by Dr Patel may have contributed to the outcome. He found, in addition, 31 surviving patients where Dr Patel’s poor level of care contributed to or may have contributed to an adverse outcome’, see Hon Geoffrey Davies, ‘Queensland Public Hospitals Commission of Inquiry (“The Davies Commission”)’ (30 November 2005) 4 &lt;http://www.parliament.qld.gov.au/documents/tableOffice/TabledPapers/2005/5105T5305.pdf&gt;.</w:t>
      </w:r>
      <w:r>
        <w:fldChar w:fldCharType="end"/>
      </w:r>
    </w:p>
  </w:footnote>
  <w:footnote w:id="29">
    <w:p w14:paraId="6F273BE1" w14:textId="69FE942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{"citationID":"zE3lagnU","properties":{"formattedCitation":"{\\rtf See, Nikita Tuckett, \\uc0\\u8216{}Balancing Public Health and Practitioner Accountability in Cases of Medical Manslaughter: Reconsidering the Tests for Criminal Negligence-Related Offences in Australia after R v Patel\\uc0\\u8217{} (2011) 19(2) {\\i{}Journal of Law and Medicine} 377; Ian Dobinson, \\uc0\\u8216{}Doctors Who Kill or Harm Their Patients: The Australian Experience\\uc0\\u8217{} in Danielle Griffiths and Andrew Sanders (eds), {\\i{}Bioethics, Medicine and the Criminal Law: Medicine, Crime and Society} (Cambridge University Press, 2013); Owen Bradfield, \\uc0\\u8216{}Serving Two Masters? Recent Legal Developments Regarding the Professional Obligations of Medical Administrators in Australia\\uc0\\u8217{} (2011) 18(3) {\\i{}Journal of Law and Medicine} 545.}","plainCitation":"See, Nikita Tuckett, ‘Balancing Public Health and Practitioner Accountability in Cases of Medical Manslaughter: Reconsidering the Tests for Criminal Negligence-Related Offences in Australia after R v Patel’ (2011) 19(2) Journal of Law and Medicine 377; Ian Dobinson, ‘Doctors Who Kill or Harm Their Patients: The Australian Experience’ in Danielle Griffiths and Andrew Sanders (eds), Bioethics, Medicine and the Criminal Law: Medicine, Crime and Society (Cambridge University Press, 2013); Owen Bradfield, ‘Serving Two Masters? Recent Legal Developments Regarding the Professional Obligations of Medical Administrators in Australia’ (2011) 18(3) Journal of Law and Medicine 545."},"citationItems":[{"id":5444,"uris":["http://zotero.org/users/955090/items/QTS7DPIR"],"uri":["http://zotero.org/users/955090/items/QTS7DPIR"],"itemData":{"id":5444,"type":"article-journal","multi":{"main":{},"_keys":{}},"title":"Balancing public health and practitioner accountability in cases of medical manslaughter: reconsidering the tests for criminal negligence-related offences in Australia after R v Patel","container-title":"Journal of Law and Medicine","page":"377-396","volume":"19","issue":"2","source":"NCBI PubMed","abstract":"In 2010 Dr Jayant Patel was convicted of several offences on the basis of criminal negligence. Following the Queensland Court of Appeal's 2011 endorsement of the trial judge's decision, the case provides a timely opportunity to review prosecutions for medical negligence criminal offences throughout Australia and to critically examine the tests in assessing whether the balance has been correctly struck. The author argues that the thresholds required for prosecutions for criminal negligence for medical manslaughter are problematic and unduly onerous, and do not adequately strike the balance between the utilitarian value in health care and patient safety, on the one hand, and practitioner accountability and deterrence, on the other. This article considers reforms to remedy the imbalance, including a reformulation of the Criminal Code (Qld) and common law thresholds, proposals for the enactment of a separate offence of criminally negligent manslaughter and the utilisation of corporate prosecutions for manslaughter liability to broaden accountability in health care and promote patient safety on a systemic level.","ISSN":"1320-159X","note":"PMID: 22320009","shortTitle":"Balancing public health and practitioner accountability in cases of medical manslaughter","journalAbbreviation":"J Law Med","author":[{"family":"Tuckett","given":"Nikita","multi":{"_key":{}}}],"issued":{"raw":"Dec 2011"}},"prefix":"See, "},{"id":1648,"uris":["http://zotero.org/users/955090/items/VRK2T38B"],"uri":["http://zotero.org/users/955090/items/VRK2T38B"],"itemData":{"id":1648,"type":"chapter","multi":{"main":{},"_keys":{}},"title":"Doctors who kill or harm their patients: the Australian experience","container-title":"Bioethics, Medicine and the Criminal Law: Medicine, Crime and Society","publisher":"Cambridge University Press","source":"Google Books","abstract":"In recent years, debates have arisen concerning the encroachment of the criminal process in regulating fatal medical error, the implementation of the Corporate Manslaughter and Corporate Homicide Act 2007 and the recent release of the Director of Public Prosecution's assisted suicide policy. Consequently, questions have been raised regarding the extent to which such intervention helps, or if it in fact hinders, the sustained development of medical practice. In this collection, Danielle Griffiths and Andrew Sanders explore the operation of the criminal process in healthcare in the UK as well as in other jurisdictions, including the USA, Australia, New Zealand, France and the Netherlands. Using evidence from previous cases alongside empirical data, each essay engages the reader with the debate surrounding what the appropriate role of the criminal process in healthcare should be and aims to clarify and shape policy and legislation in this under-researched area.","ISBN":"978-1-107-02153-2","language":"en","editor":[{"family":"Griffiths","given":"Danielle","multi":{"_key":{}}},{"family":"Sanders","given":"Andrew","multi":{"_key":{}}}],"author":[{"family":"Dobinson","given":"Ian","multi":{"_key":{}}}],"issued":{"raw":"2013-01-31"}}},{"id":5204,"uris":["http://zotero.org/users/955090/items/7ZPKPRTT"],"uri":["http://zotero.org/users/955090/items/7ZPKPRTT"],"itemData":{"id":5204,"type":"article-journal","multi":{"main":{},"_keys":{}},"title":"Serving Two Masters? Recent Legal Developments Regarding the Professional Obligations of Medical Administrators in Australia","container-title":"Journal of Law and Medicine","page":"545-553","volume":"18","issue":"3","source":"NCBI PubMed","abstract":"Medical administration is a recognised medical specialty in Australia. Historically, medical administrators have rarely been subjected to litigation or disciplinary hearings relating specifically to their administrative functions. However, the legal landscape for medical administrators in Australia appears to be shifting. In 2009, the Queensland Health Practitioners Tribunal heard two separate cases involving the professional conduct of medical administrators who were implicated in the scandal surrounding Dr. Jayant Patel at Bundaberg Hospital. In September 2010, judgment in one of those cases was delivered. This article reviews the tribunal's decision through the lens of relevant United Kingdom authorities and recent legislative changes in Australia regulating the health professions.","ISSN":"1320-159X","note":"PMID: 21528739","shortTitle":"Serving two masters?","journalAbbreviation":"J Law Med","author":[{"family":"Bradfield","given":"Owen","multi":{"_key":{}}}],"issued":{"raw":"Mar 2011"}}}],"schema":"https://github.com/citation-style-language/schema/raw/master/csl-citation.json"} </w:instrText>
      </w:r>
      <w:r>
        <w:fldChar w:fldCharType="separate"/>
      </w:r>
      <w:r w:rsidRPr="009A0666">
        <w:rPr>
          <w:rFonts w:cs="Times New Roman"/>
          <w:szCs w:val="24"/>
        </w:rPr>
        <w:t xml:space="preserve">See, Nikita Tuckett, ‘Balancing Public Health and Practitioner Accountability in Cases of Medical Manslaughter: Reconsidering the Tests for Criminal Negligence-Related Offences in Australia after R v Patel’ (2011) 19(2) </w:t>
      </w:r>
      <w:r w:rsidRPr="009A0666">
        <w:rPr>
          <w:rFonts w:cs="Times New Roman"/>
          <w:i/>
          <w:szCs w:val="24"/>
        </w:rPr>
        <w:t>Journal of Law and Medicine</w:t>
      </w:r>
      <w:r w:rsidRPr="009A0666">
        <w:rPr>
          <w:rFonts w:cs="Times New Roman"/>
          <w:szCs w:val="24"/>
        </w:rPr>
        <w:t xml:space="preserve"> 377; Ian Dobinson, ‘Doctors Who Kill or Harm Their Patients: The Australian Experience’ in Danielle Griffiths and Andrew Sanders (eds), </w:t>
      </w:r>
      <w:r w:rsidRPr="009A0666">
        <w:rPr>
          <w:rFonts w:cs="Times New Roman"/>
          <w:i/>
          <w:szCs w:val="24"/>
        </w:rPr>
        <w:t>Bioethics, Medicine and the Criminal Law: Medicine, Crime and Society</w:t>
      </w:r>
      <w:r w:rsidRPr="009A0666">
        <w:rPr>
          <w:rFonts w:cs="Times New Roman"/>
          <w:szCs w:val="24"/>
        </w:rPr>
        <w:t xml:space="preserve"> (Cambridge University Press, 2013); Owen Bradfield, ‘Serving Two Masters? Recent Legal Developments Regarding the Professional Obligations of Medical Administrators in Australia’ (2011) 18(3) </w:t>
      </w:r>
      <w:r w:rsidRPr="009A0666">
        <w:rPr>
          <w:rFonts w:cs="Times New Roman"/>
          <w:i/>
          <w:szCs w:val="24"/>
        </w:rPr>
        <w:t>Journal of Law and Medicine</w:t>
      </w:r>
      <w:r w:rsidRPr="009A0666">
        <w:rPr>
          <w:rFonts w:cs="Times New Roman"/>
          <w:szCs w:val="24"/>
        </w:rPr>
        <w:t xml:space="preserve"> 545.</w:t>
      </w:r>
      <w:r>
        <w:fldChar w:fldCharType="end"/>
      </w:r>
    </w:p>
  </w:footnote>
  <w:footnote w:id="30">
    <w:p w14:paraId="1E2680FD" w14:textId="289B3A2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{"citationID":"W7qZ8OuT","properties":{"formattedCitation":"{\\rtf {\\i{}R v Patel} [2010] QSC 233; {\\i{}R v Patel; ex parte A-G (Qld)} [2011] QCA 81 (21 April 2011) (\\uc0\\u8216{}{\\i{}Patel 3}\\uc0\\u8217{}); {\\i{}Patel v The Queen} (2012) 247 CLR 531 (\\uc0\\u8216{}{\\i{}Patel}\\uc0\\u8217{}); {\\i{}R v Patel} [2013] District Court of Queensland Indictment No 1701 of 2013 (21 November 2013); see for an overview of the prosecutions of Patel, Carter, above n 29.}","plainCitation":"R v Patel [2010] QSC 233; R v Patel; ex parte A-G (Qld) [2011] QCA 81 (21 April 2011) (‘Patel 3’); Patel v The Queen (2012) 247 CLR 531 (‘Patel’); R v Patel [2013] District Court of Queensland Indictment No 1701 of 2013 (21 November 2013); see for an overview of the prosecutions of Patel, Carter, above n 29."},"citationItems":[{"id":2681,"uris":["http://zotero.org/users/955090/items/TVBKKK5T"],"uri":["http://zotero.org/users/955090/items/TVBKKK5T"],"itemData":{"id":2681,"type":"legal_case","multi":{"main":{},"_keys":{}},"title":"R v Patel","container-title":"QSC","page":"233","issued":{"raw":"2010"}}},{"id":3619,"uris":["http://zotero.org/users/955090/items/JQZ6766E"],"uri":["http://zotero.org/users/955090/items/JQZ6766E"],"itemData":{"id":3619,"type":"legal_case","multi":{"main":{},"_keys":{}},"title":"R v Patel; ex parte A-G (Qld)","authority":"QCA","URL":"http://www.austlii.edu.au/cgi-bin/sinodisp/au/cases/qld/QCA/2011/81.html?stem=0&amp;synonyms=0&amp;query=title(R%20near%20Patel)&amp;nocontext=1","number":"81","shortTitle":"Patel 3","issued":{"raw":"21 April 2011"},"accessed":{"raw":"2014-01-31T00:12:39Z"}}},{"id":4746,"uris":["http://zotero.org/users/955090/items/RTPREW7A"],"uri":["http://zotero.org/users/955090/items/RTPREW7A"],"itemData":{"id":4746,"type":"legal_case","multi":{"main":{},"_keys":{}},"title":"Patel v The Queen","container-title":"CLR","page":"531","volume":"247","URL":"http://www.austlii.edu.au/cgi-bin/sinodisp/au/cases/cth/HCA/2012/29.html","shortTitle":"Patel","issued":{"raw":"24 August 2012"},"accessed":{"raw":"2016-08-12T07:25:39Z"}}},{"id":1646,"uris":["http://zotero.org/users/955090/items/PAIDJHFN"],"uri":["http://zotero.org/users/955090/items/PAIDJHFN"],"itemData":{"id":1646,"type":"legal_case","multi":{"main":{},"_keys":{}},"title":"R v Patel","authority":"District Court of Queensland","number":"Indictment No 1701 of 2013","issued":{"raw":"21 NOVEMBER 2013"}}},{"id":3407,"uris":["http://zotero.org/users/955090/items/TPU8AGHA"],"uri":["http://zotero.org/users/955090/items/TPU8AGHA"],"itemData":{"id":3407,"type":"article-journal","multi":{"main":{},"_keys":{}},"title":"Correcting the Record: Australian Prosecutions for Manslaughter in the Medical Context","container-title":"Journal of Law and Medicine","page":"588","volume":"22","issue":"3","abstract":"The failure to prosecute Dr Jayant Patel successfully for any of the deaths associated with his time as Director of Surgery at Bundaberg Base Hospital was received in some quarters as an abject failure of the criminal law to deal adequately with significant wrongdoing. The case itself, the multiple public inquiries and the significant expense to pursue, extradite and prosecute Patel, resulting finally in a finding of guilt on a number of minor fraud charges, seems to compound this sense of failure. This article argues otherwise. When placed within the far longer and forgotten history of the prosecution of manslaughter by criminal negligence in the Australian jurisdiction, this story of prosecutorial failure becomes instead wholly consistent with the case law over time. No adequate account of the history of prosecution in the Australian jurisdiction exists for this area of law. To present Patel in context, the article draws upon archival research to provide a significantly extended account of the history of prosecution for manslaughter in the health care context. The extension of the case law is significant, from four known prosecutions, case histories of another 33 inadequately acknowledged prosecutions are presented.","shortTitle":"Correcting the Record","author":[{"family":"Carter","given":"David J.","multi":{"_key":{}}}],"issued":{"raw":"2015/03/01"}},"prefix":"see for an overview of the prosecutions of Patel, "}],"schema":"https://github.com/citation-style-language/schema/raw/master/csl-citation.json"} </w:instrText>
      </w:r>
      <w:r>
        <w:fldChar w:fldCharType="separate"/>
      </w:r>
      <w:r w:rsidRPr="001724B2">
        <w:rPr>
          <w:rFonts w:cs="Times New Roman"/>
          <w:i/>
          <w:szCs w:val="24"/>
        </w:rPr>
        <w:t>R v Patel</w:t>
      </w:r>
      <w:r w:rsidRPr="001724B2">
        <w:rPr>
          <w:rFonts w:cs="Times New Roman"/>
          <w:szCs w:val="24"/>
        </w:rPr>
        <w:t xml:space="preserve"> [2010] QSC 233; </w:t>
      </w:r>
      <w:r w:rsidRPr="001724B2">
        <w:rPr>
          <w:rFonts w:cs="Times New Roman"/>
          <w:i/>
          <w:szCs w:val="24"/>
        </w:rPr>
        <w:t>R v Patel; ex parte A-G (Qld)</w:t>
      </w:r>
      <w:r w:rsidRPr="001724B2">
        <w:rPr>
          <w:rFonts w:cs="Times New Roman"/>
          <w:szCs w:val="24"/>
        </w:rPr>
        <w:t xml:space="preserve"> [2011] QCA 81 (21 April 2011) (‘</w:t>
      </w:r>
      <w:r w:rsidRPr="001724B2">
        <w:rPr>
          <w:rFonts w:cs="Times New Roman"/>
          <w:i/>
          <w:szCs w:val="24"/>
        </w:rPr>
        <w:t>Patel 3</w:t>
      </w:r>
      <w:r w:rsidRPr="001724B2">
        <w:rPr>
          <w:rFonts w:cs="Times New Roman"/>
          <w:szCs w:val="24"/>
        </w:rPr>
        <w:t xml:space="preserve">’); </w:t>
      </w:r>
      <w:r w:rsidRPr="001724B2">
        <w:rPr>
          <w:rFonts w:cs="Times New Roman"/>
          <w:i/>
          <w:szCs w:val="24"/>
        </w:rPr>
        <w:t>Patel v The Queen</w:t>
      </w:r>
      <w:r w:rsidRPr="001724B2">
        <w:rPr>
          <w:rFonts w:cs="Times New Roman"/>
          <w:szCs w:val="24"/>
        </w:rPr>
        <w:t xml:space="preserve"> (2012) 247 CLR 531 (‘</w:t>
      </w:r>
      <w:r w:rsidRPr="001724B2">
        <w:rPr>
          <w:rFonts w:cs="Times New Roman"/>
          <w:i/>
          <w:szCs w:val="24"/>
        </w:rPr>
        <w:t>Patel</w:t>
      </w:r>
      <w:r w:rsidRPr="001724B2">
        <w:rPr>
          <w:rFonts w:cs="Times New Roman"/>
          <w:szCs w:val="24"/>
        </w:rPr>
        <w:t xml:space="preserve">’); </w:t>
      </w:r>
      <w:r w:rsidRPr="001724B2">
        <w:rPr>
          <w:rFonts w:cs="Times New Roman"/>
          <w:i/>
          <w:szCs w:val="24"/>
        </w:rPr>
        <w:t>R v Patel</w:t>
      </w:r>
      <w:r w:rsidRPr="001724B2">
        <w:rPr>
          <w:rFonts w:cs="Times New Roman"/>
          <w:szCs w:val="24"/>
        </w:rPr>
        <w:t xml:space="preserve"> [2013] District Court of Queensland Indictment No 1701 of 2013 (21 November 2013); see for an overview of the prosecutions of Patel, Carter, above n 29.</w:t>
      </w:r>
      <w:r>
        <w:fldChar w:fldCharType="end"/>
      </w:r>
    </w:p>
  </w:footnote>
  <w:footnote w:id="31">
    <w:p w14:paraId="462F28C6" w14:textId="03AF0908"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{"citationID":"47THwkPe","properties":{"formattedCitation":"{\\rtf {\\i{}Patel} (2012) 247 CLR 531.}","plainCitation":"Patel (2012) 247 CLR 531."},"citationItems":[{"id":4746,"uris":["http://zotero.org/users/955090/items/RTPREW7A"],"uri":["http://zotero.org/users/955090/items/RTPREW7A"],"itemData":{"id":4746,"type":"legal_case","multi":{"main":{},"_keys":{}},"title":"Patel v The Queen","container-title":"CLR","page":"531","volume":"247","URL":"http://www.austlii.edu.au/cgi-bin/sinodisp/au/cases/cth/HCA/2012/29.html","shortTitle":"Patel","issued":{"raw":"24 August 2012"},"accessed":{"raw":"2016-08-12T07:25:39Z"}}}],"schema":"https://github.com/citation-style-language/schema/raw/master/csl-citation.json"} </w:instrText>
      </w:r>
      <w:r>
        <w:fldChar w:fldCharType="separate"/>
      </w:r>
      <w:r w:rsidRPr="009A0666">
        <w:rPr>
          <w:rFonts w:cs="Times New Roman"/>
          <w:i/>
          <w:szCs w:val="24"/>
        </w:rPr>
        <w:t>Patel</w:t>
      </w:r>
      <w:r w:rsidRPr="009A0666">
        <w:rPr>
          <w:rFonts w:cs="Times New Roman"/>
          <w:szCs w:val="24"/>
        </w:rPr>
        <w:t xml:space="preserve"> (2012) 247 CLR 531.</w:t>
      </w:r>
      <w:r>
        <w:fldChar w:fldCharType="end"/>
      </w:r>
    </w:p>
  </w:footnote>
  <w:footnote w:id="32">
    <w:p w14:paraId="1A3C1CFB" w14:textId="55E72DB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{"citationID":"tNPFVz9e","properties":{"formattedCitation":"{\\rtf {\\i{}R v Patel} [2013] District Court of Queensland Indictment No 1701 of 2013 (21 November 2013).}","plainCitation":"R v Patel [2013] District Court of Queensland Indictment No 1701 of 2013 (21 November 2013)."},"citationItems":[{"id":1646,"uris":["http://zotero.org/users/955090/items/PAIDJHFN"],"uri":["http://zotero.org/users/955090/items/PAIDJHFN"],"itemData":{"id":1646,"type":"legal_case","multi":{"main":{},"_keys":{}},"title":"R v Patel","authority":"District Court of Queensland","number":"Indictment No 1701 of 2013","issued":{"raw":"21 NOVEMBER 2013"}}}],"schema":"https://github.com/citation-style-language/schema/raw/master/csl-citation.json"} </w:instrText>
      </w:r>
      <w:r>
        <w:fldChar w:fldCharType="separate"/>
      </w:r>
      <w:r w:rsidRPr="009A0666">
        <w:rPr>
          <w:rFonts w:cs="Times New Roman"/>
          <w:i/>
          <w:szCs w:val="24"/>
        </w:rPr>
        <w:t>R v Patel</w:t>
      </w:r>
      <w:r w:rsidRPr="009A0666">
        <w:rPr>
          <w:rFonts w:cs="Times New Roman"/>
          <w:szCs w:val="24"/>
        </w:rPr>
        <w:t xml:space="preserve"> [2013] District Court of Queensland Indictment No 1701 of 2013 (21 November 2013).</w:t>
      </w:r>
      <w:r>
        <w:fldChar w:fldCharType="end"/>
      </w:r>
    </w:p>
  </w:footnote>
  <w:footnote w:id="33">
    <w:p w14:paraId="0F3095FD" w14:textId="43F9C9A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{"citationID":"xiEaPXy5","properties":{"formattedCitation":"{\\rtf Ibid [4] (\\uc0\\u8216{}...you are the author of all of the misfortune that has resulted from your totally undeserved employment in Queensland.\\uc0\\u8217{} ).}","plainCitation":"Ibid [4] (‘...you are the author of all of the misfortune that has resulted from your totally undeserved employment in Queensland.’ )."},"citationItems":[{"id":1646,"uris":["http://zotero.org/users/955090/items/PAIDJHFN"],"uri":["http://zotero.org/users/955090/items/PAIDJHFN"],"itemData":{"id":1646,"type":"legal_case","multi":{"main":{},"_keys":{}},"title":"R v Patel","authority":"District Court of Queensland","number":"Indictment No 1701 of 2013","issued":{"raw":"21 NOVEMBER 2013"}},"locator":"[4] ('...you are the author of all of the misfortune that has resulted from your totally undeserved employment in Queensland.' )"}],"schema":"https://github.com/citation-style-language/schema/raw/master/csl-citation.json"} </w:instrText>
      </w:r>
      <w:r>
        <w:fldChar w:fldCharType="separate"/>
      </w:r>
      <w:r w:rsidRPr="00387010">
        <w:rPr>
          <w:rFonts w:cs="Times New Roman"/>
          <w:szCs w:val="24"/>
        </w:rPr>
        <w:t>Ibid [4] (‘...you are the author of all of the misfortune that has resulted from your totally undeserved employment in Queensland.’ ).</w:t>
      </w:r>
      <w:r>
        <w:fldChar w:fldCharType="end"/>
      </w:r>
    </w:p>
  </w:footnote>
  <w:footnote w:id="34">
    <w:p w14:paraId="7752673E" w14:textId="532A34A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{"citationID":"iptpXdWo","properties":{"formattedCitation":"{\\rtf See especially the work of Thomas, who provides a detailed account of much of the saga surrounding Patel, a process in which his journalistic contribution was key, Hedley Thomas, {\\i{}Sick to Death: A Manipulative Surgeon and a Health System in Crisis-- a Disaster Waiting to Happen} (Allen &amp; Unwin, 2007).}","plainCitation":"See especially the work of Thomas, who provides a detailed account of much of the saga surrounding Patel, a process in which his journalistic contribution was key, Hedley Thomas, Sick to Death: A Manipulative Surgeon and a Health System in Crisis-- a Disaster Waiting to Happen (Allen &amp; Unwin, 2007)."},"citationItems":[{"id":1626,"uris":["http://zotero.org/users/955090/items/Z72XSMI4"],"uri":["http://zotero.org/users/955090/items/Z72XSMI4"],"itemData":{"id":1626,"type":"book","multi":{"main":{},"_keys":{}},"title":"Sick to Death: A Manipulative Surgeon and a Health System in Crisis-- a Disaster Waiting to Happen","publisher":"Allen &amp; Unwin","number-of-pages":"452","source":"Google Books","abstract":"Dr. Jayant Patel, better known as “Doctor Death,” shocked a nation when the truth came to light that he may have killed as many as 87 people under his care. This true-life account told by the journalist who broke the story details the horrifying actions of this deviant doctor whose patients suffered serious infections, internal bleeding from nicked arteries, and the mutilation of healthy organs. Banned from surgical practice in the United States, the manipulative Patel managed to commit atrocities in an Australian hospital without consequences for two years. Finally, nurse Toni Hoffman exposed his horrifying behavior, which resulted in a Royal Commission investigation of Patel and the overall health system. This disturbing tale of grieving families and shattered lives challenges the faith that many have in medical systems.","ISBN":"978-1-74114-881-7","shortTitle":"Sick to Death","language":"en","author":[{"family":"Thomas","given":"Hedley","multi":{"_key":{}}}],"issued":{"raw":"2007"}},"prefix":"See especially the work of Thomas, who provides a detailed account of much of the saga surrounding Patel, a process in which his journalistic contribution was key, "}],"schema":"https://github.com/citation-style-language/schema/raw/master/csl-citation.json"} </w:instrText>
      </w:r>
      <w:r>
        <w:fldChar w:fldCharType="separate"/>
      </w:r>
      <w:r w:rsidRPr="009A0666">
        <w:rPr>
          <w:rFonts w:cs="Times New Roman"/>
          <w:szCs w:val="24"/>
        </w:rPr>
        <w:t xml:space="preserve">See especially the work of Thomas, who provides a detailed account of much of the saga surrounding Patel, a process in which his journalistic contribution was key, Hedley Thomas, </w:t>
      </w:r>
      <w:r w:rsidRPr="009A0666">
        <w:rPr>
          <w:rFonts w:cs="Times New Roman"/>
          <w:i/>
          <w:szCs w:val="24"/>
        </w:rPr>
        <w:t>Sick to Death: A Manipulative Surgeon and a Health System in Crisis-- a Disaster Waiting to Happen</w:t>
      </w:r>
      <w:r w:rsidRPr="009A0666">
        <w:rPr>
          <w:rFonts w:cs="Times New Roman"/>
          <w:szCs w:val="24"/>
        </w:rPr>
        <w:t xml:space="preserve"> (Allen &amp; Unwin, 2007).</w:t>
      </w:r>
      <w:r>
        <w:fldChar w:fldCharType="end"/>
      </w:r>
    </w:p>
  </w:footnote>
  <w:footnote w:id="35">
    <w:p w14:paraId="492D1718" w14:textId="66D7B09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{"citationID":"5pXR4b6J","properties":{"formattedCitation":"{\\rtf Carter, above n 29; Kiel, \\uc0\\u8216{}Regulating Impaired Doctors\\uc0\\u8217{}, above n 6.}","plainCitation":"Carter, above n 29; Kiel, ‘Regulating Impaired Doctors’, above n 6."},"citationItems":[{"id":3407,"uris":["http://zotero.org/users/955090/items/TPU8AGHA"],"uri":["http://zotero.org/users/955090/items/TPU8AGHA"],"itemData":{"id":3407,"type":"article-journal","multi":{"main":{},"_keys":{}},"title":"Correcting the Record: Australian Prosecutions for Manslaughter in the Medical Context","container-title":"Journal of Law and Medicine","page":"588","volume":"22","issue":"3","abstract":"The failure to prosecute Dr Jayant Patel successfully for any of the deaths associated with his time as Director of Surgery at Bundaberg Base Hospital was received in some quarters as an abject failure of the criminal law to deal adequately with significant wrongdoing. The case itself, the multiple public inquiries and the significant expense to pursue, extradite and prosecute Patel, resulting finally in a finding of guilt on a number of minor fraud charges, seems to compound this sense of failure. This article argues otherwise. When placed within the far longer and forgotten history of the prosecution of manslaughter by criminal negligence in the Australian jurisdiction, this story of prosecutorial failure becomes instead wholly consistent with the case law over time. No adequate account of the history of prosecution in the Australian jurisdiction exists for this area of law. To present Patel in context, the article draws upon archival research to provide a significantly extended account of the history of prosecution for manslaughter in the health care context. The extension of the case law is significant, from four known prosecutions, case histories of another 33 inadequately acknowledged prosecutions are presented.","shortTitle":"Correcting the Record","author":[{"family":"Carter","given":"David J.","multi":{"_key":{}}}],"issued":{"raw":"2015/03/01"}}},{"id":3510,"uris":["http://zotero.org/users/955090/items/VP4J5M6X"],"uri":["http://zotero.org/users/955090/items/VP4J5M6X"],"itemData":{"id":3510,"type":"article-journal","multi":{"main":{},"_keys":{}},"title":"Regulating impaired doctors: a snapshot from New South Wales","container-title":"Journal of Law and Medicine","page":"429-440","volume":"21","issue":"2","source":"PubMed","abstract":"This article examines the regulation of impaired doctors in Australia and explores the inherent tensions in the new Health Practitioner Regulation National Law in attempting to both treat the doctor and protect the public. It discusses both informal and formal mechanisms of regulation with particular reference to therapeutic jurisprudence and mandatory notification. It focuses particularly on New South Wales and examines all the impairment cases which resulted in disciplinary proceedings in the Medical Tribunal of New South Wales in 2010. It identifies the most common forms of impairment and discusses the particular challenges that impaired doctors pose for regulators.","ISSN":"1320-159X","note":"PMID: 24597391","shortTitle":"Regulating impaired doctors","journalAbbreviation":"J Law Med","language":"eng","author":[{"family":"Kiel","given":"Helen","multi":{"_key":{}}}],"issued":{"raw":"Dec 2013"}}}],"schema":"https://github.com/citation-style-language/schema/raw/master/csl-citation.json"} </w:instrText>
      </w:r>
      <w:r>
        <w:fldChar w:fldCharType="separate"/>
      </w:r>
      <w:r w:rsidRPr="001724B2">
        <w:rPr>
          <w:rFonts w:cs="Times New Roman"/>
          <w:szCs w:val="24"/>
        </w:rPr>
        <w:t>Carter, above n 29; Kiel, ‘Regulating Impaired Doctors’, above n 6.</w:t>
      </w:r>
      <w:r>
        <w:fldChar w:fldCharType="end"/>
      </w:r>
    </w:p>
  </w:footnote>
  <w:footnote w:id="36">
    <w:p w14:paraId="0BED601F" w14:textId="4D130A0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{"citationID":"ZOTOjHku","properties":{"formattedCitation":"{\\rtf Kiel, \\uc0\\u8216{}Regulating Impaired Doctors\\uc0\\u8217{}, above n 6; see also Helen Kiel, {\\i{}Problem Doctors in Disciplinary Tribunals: Who Do Protective Orders Protect? An Analysis of Australian Tribunal Decisions from 2010 \\uc0\\u8211{} 2013} (2016).}","plainCitation":"Kiel, ‘Regulating Impaired Doctors’, above n 6; see also Helen Kiel, Problem Doctors in Disciplinary Tribunals: Who Do Protective Orders Protect? An Analysis of Australian Tribunal Decisions from 2010 – 2013 (2016)."},"citationItems":[{"id":3510,"uris":["http://zotero.org/users/955090/items/VP4J5M6X"],"uri":["http://zotero.org/users/955090/items/VP4J5M6X"],"itemData":{"id":3510,"type":"article-journal","multi":{"main":{},"_keys":{}},"title":"Regulating impaired doctors: a snapshot from New South Wales","container-title":"Journal of Law and Medicine","page":"429-440","volume":"21","issue":"2","source":"PubMed","abstract":"This article examines the regulation of impaired doctors in Australia and explores the inherent tensions in the new Health Practitioner Regulation National Law in attempting to both treat the doctor and protect the public. It discusses both informal and formal mechanisms of regulation with particular reference to therapeutic jurisprudence and mandatory notification. It focuses particularly on New South Wales and examines all the impairment cases which resulted in disciplinary proceedings in the Medical Tribunal of New South Wales in 2010. It identifies the most common forms of impairment and discusses the particular challenges that impaired doctors pose for regulators.","ISSN":"1320-159X","note":"PMID: 24597391","shortTitle":"Regulating impaired doctors","journalAbbreviation":"J Law Med","language":"eng","author":[{"family":"Kiel","given":"Helen","multi":{"_key":{}}}],"issued":{"raw":"Dec 2013"}}},{"id":12926,"uris":["http://zotero.org/groups/83625/items/K7EC7ZMA"],"uri":["http://zotero.org/groups/83625/items/K7EC7ZMA"],"itemData":{"id":12926,"type":"thesis","multi":{"main":{},"_keys":{}},"title":"Problem Doctors in Disciplinary Tribunals: Who Do Protective Orders Protect? An Analysis of Australian Tribunal Decisions from 2010 – 2013","author":[{"family":"Kiel","given":"Helen","multi":{"_key":{}}}],"issued":{"raw":"2016"}},"prefix":"see also"}],"schema":"https://github.com/citation-style-language/schema/raw/master/csl-citation.json"} </w:instrText>
      </w:r>
      <w:r>
        <w:fldChar w:fldCharType="separate"/>
      </w:r>
      <w:r w:rsidRPr="001724B2">
        <w:rPr>
          <w:rFonts w:cs="Times New Roman"/>
          <w:szCs w:val="24"/>
        </w:rPr>
        <w:t xml:space="preserve">Kiel, ‘Regulating Impaired Doctors’, above n 6; see also Helen Kiel, </w:t>
      </w:r>
      <w:r w:rsidRPr="001724B2">
        <w:rPr>
          <w:rFonts w:cs="Times New Roman"/>
          <w:i/>
          <w:szCs w:val="24"/>
        </w:rPr>
        <w:t>Problem Doctors in Disciplinary Tribunals: Who Do Protective Orders Protect? An Analysis of Australian Tribunal Decisions from 2010 – 2013</w:t>
      </w:r>
      <w:r w:rsidRPr="001724B2">
        <w:rPr>
          <w:rFonts w:cs="Times New Roman"/>
          <w:szCs w:val="24"/>
        </w:rPr>
        <w:t xml:space="preserve"> (2016).</w:t>
      </w:r>
      <w:r>
        <w:fldChar w:fldCharType="end"/>
      </w:r>
    </w:p>
  </w:footnote>
  <w:footnote w:id="37">
    <w:p w14:paraId="1E003417" w14:textId="6360E60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{"citationID":"aH2jB9ke","properties":{"formattedCitation":"{\\rtf Ian Freckelton, \\uc0\\u8216{}The Emergence and Evolution of Health Law\\uc0\\u8217{} (2013) 29 {\\i{}Law in Context: A Socio-Legal Journal} 74, 84.}","plainCitation":"Ian Freckelton, ‘The Emergence and Evolution of Health Law’ (2013) 29 Law in Context: A Socio-Legal Journal 74, 84."},"citationItems":[{"id":4765,"uris":["http://zotero.org/users/955090/items/SJV3N6NB"],"uri":["http://zotero.org/users/955090/items/SJV3N6NB"],"itemData":{"id":4765,"type":"article-journal","multi":{"main":{},"_keys":{}},"title":"The Emergence and Evolution of Health Law","container-title":"Law in Context: A Socio-Legal Journal","page":"74-98","volume":"29","source":"HeinOnline","shortTitle":"The Emergence and Evolution of Health Law Socio-Legality","journalAbbreviation":"Law Context: A Socio-Legal J.","language":"eng","author":[{"family":"Freckelton","given":"Ian","multi":{"_key":{}}}],"issued":{"raw":"2013"}},"locator":"84"}],"schema":"https://github.com/citation-style-language/schema/raw/master/csl-citation.json"} </w:instrText>
      </w:r>
      <w:r>
        <w:fldChar w:fldCharType="separate"/>
      </w:r>
      <w:r w:rsidRPr="009A0666">
        <w:rPr>
          <w:rFonts w:cs="Times New Roman"/>
          <w:szCs w:val="24"/>
        </w:rPr>
        <w:t xml:space="preserve">Ian Freckelton, ‘The Emergence and Evolution of Health Law’ (2013) 29 </w:t>
      </w:r>
      <w:r w:rsidRPr="009A0666">
        <w:rPr>
          <w:rFonts w:cs="Times New Roman"/>
          <w:i/>
          <w:szCs w:val="24"/>
        </w:rPr>
        <w:t>Law in Context: A Socio-Legal Journal</w:t>
      </w:r>
      <w:r w:rsidRPr="009A0666">
        <w:rPr>
          <w:rFonts w:cs="Times New Roman"/>
          <w:szCs w:val="24"/>
        </w:rPr>
        <w:t xml:space="preserve"> 74, 84.</w:t>
      </w:r>
      <w:r>
        <w:fldChar w:fldCharType="end"/>
      </w:r>
    </w:p>
  </w:footnote>
  <w:footnote w:id="38">
    <w:p w14:paraId="6B81E258" w14:textId="5F3E5E9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kcsegcQl","properties":{"formattedCitation":"Ibid.","plainCitation":"Ibid."},"citationItems":[{"id":4765,"uris":["http://zotero.org/users/955090/items/SJV3N6NB"],"uri":["http://zotero.org/users/955090/items/SJV3N6NB"],"itemData":{"id":4765,"type":"article-journal","multi":{"main":{},"_keys":{}},"title":"The Emergence and Evolution of Health Law","container-title":"Law in Context: A Socio-Legal Journal","page":"74-98","volume":"29","source":"HeinOnline","shortTitle":"The Emergence and Evolution of Health Law Socio-Legality","journalAbbreviation":"Law Context: A Socio-Legal J.","language":"eng","author":[{"family":"Freckelton","given":"Ian","multi":{"_key":{}}}],"issued":{"raw":"2013"}},"locator":"84"}],"schema":"https://github.com/citation-style-language/schema/raw/master/csl-citation.json"} </w:instrText>
      </w:r>
      <w:r>
        <w:fldChar w:fldCharType="separate"/>
      </w:r>
      <w:r w:rsidRPr="009A0666">
        <w:t>Ibid.</w:t>
      </w:r>
      <w:r>
        <w:fldChar w:fldCharType="end"/>
      </w:r>
    </w:p>
  </w:footnote>
  <w:footnote w:id="39">
    <w:p w14:paraId="4D8952AF" w14:textId="37EBF97A"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{"citationID":"jm0GHAjw","properties":{"formattedCitation":"{\\rtf Helen Kiel, {\\i{}Problem Doctors in Disciplinary Tribunals: Who Do Protective Orders Protect? An Analysis of Australian Tribunal Decisions from 2010 \\uc0\\u8211{} 2013} (PhD Thesis, University of Technology Sydney, 2016) 266.}","plainCitation":"Helen Kiel, Problem Doctors in Disciplinary Tribunals: Who Do Protective Orders Protect? An Analysis of Australian Tribunal Decisions from 2010 – 2013 (PhD Thesis, University of Technology Sydney, 2016) 266."},"citationItems":[{"id":5599,"uris":["http://zotero.org/users/955090/items/DBJICRF9"],"uri":["http://zotero.org/users/955090/items/DBJICRF9"],"itemData":{"id":5599,"type":"thesis","multi":{"main":{},"_keys":{}},"title":"Problem Doctors in Disciplinary Tribunals: Who Do Protective Orders Protect? An Analysis of Australian Tribunal Decisions from 2010 – 2013","publisher":"University of Technology Sydney","genre":"PhD Thesis","author":[{"family":"Kiel","given":"Helen","multi":{"_key":{}}}],"issued":{"raw":"2016"}},"locator":"266"}],"schema":"https://github.com/citation-style-language/schema/raw/master/csl-citation.json"} </w:instrText>
      </w:r>
      <w:r>
        <w:fldChar w:fldCharType="separate"/>
      </w:r>
      <w:r w:rsidRPr="009A0666">
        <w:rPr>
          <w:rFonts w:cs="Times New Roman"/>
          <w:szCs w:val="24"/>
        </w:rPr>
        <w:t xml:space="preserve">Helen Kiel, </w:t>
      </w:r>
      <w:r w:rsidRPr="009A0666">
        <w:rPr>
          <w:rFonts w:cs="Times New Roman"/>
          <w:i/>
          <w:szCs w:val="24"/>
        </w:rPr>
        <w:t>Problem Doctors in Disciplinary Tribunals: Who Do Protective Orders Protect? An Analysis of Australian Tribunal Decisions from 2010 – 2013</w:t>
      </w:r>
      <w:r w:rsidRPr="009A0666">
        <w:rPr>
          <w:rFonts w:cs="Times New Roman"/>
          <w:szCs w:val="24"/>
        </w:rPr>
        <w:t xml:space="preserve"> (PhD Thesis, University of Technology Sydney, 2016) 266.</w:t>
      </w:r>
      <w:r>
        <w:fldChar w:fldCharType="end"/>
      </w:r>
    </w:p>
  </w:footnote>
  <w:footnote w:id="40">
    <w:p w14:paraId="588FC460" w14:textId="47DCFE7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{"citationID":"Af9JNn7b","properties":{"formattedCitation":"{\\rtf Kiel, \\uc0\\u8216{}Regulating Impaired Doctors\\uc0\\u8217{}, above n 6, 430.}","plainCitation":"Kiel, ‘Regulating Impaired Doctors’, above n 6, 430."},"citationItems":[{"id":3510,"uris":["http://zotero.org/users/955090/items/VP4J5M6X"],"uri":["http://zotero.org/users/955090/items/VP4J5M6X"],"itemData":{"id":3510,"type":"article-journal","multi":{"main":{},"_keys":{}},"title":"Regulating impaired doctors: a snapshot from New South Wales","container-title":"Journal of Law and Medicine","page":"429-440","volume":"21","issue":"2","source":"PubMed","abstract":"This article examines the regulation of impaired doctors in Australia and explores the inherent tensions in the new Health Practitioner Regulation National Law in attempting to both treat the doctor and protect the public. It discusses both informal and formal mechanisms of regulation with particular reference to therapeutic jurisprudence and mandatory notification. It focuses particularly on New South Wales and examines all the impairment cases which resulted in disciplinary proceedings in the Medical Tribunal of New South Wales in 2010. It identifies the most common forms of impairment and discusses the particular challenges that impaired doctors pose for regulators.","ISSN":"1320-159X","note":"PMID: 24597391","shortTitle":"Regulating impaired doctors","journalAbbreviation":"J Law Med","language":"eng","author":[{"family":"Kiel","given":"Helen","multi":{"_key":{}}}],"issued":{"raw":"Dec 2013"}},"locator":"430"}],"schema":"https://github.com/citation-style-language/schema/raw/master/csl-citation.json"} </w:instrText>
      </w:r>
      <w:r>
        <w:fldChar w:fldCharType="separate"/>
      </w:r>
      <w:r w:rsidRPr="001724B2">
        <w:rPr>
          <w:rFonts w:cs="Times New Roman"/>
          <w:szCs w:val="24"/>
        </w:rPr>
        <w:t>Kiel, ‘Regulating Impaired Doctors’, above n 6, 430.</w:t>
      </w:r>
      <w:r>
        <w:fldChar w:fldCharType="end"/>
      </w:r>
    </w:p>
  </w:footnote>
  <w:footnote w:id="41">
    <w:p w14:paraId="2A2199B4" w14:textId="70866827" w:rsidR="00387010" w:rsidRDefault="00387010" w:rsidP="000C00C2">
      <w:pPr>
        <w:pStyle w:val="FootnoteText"/>
        <w:spacing w:before="120" w:after="120" w:line="240" w:lineRule="auto"/>
      </w:pPr>
      <w:r w:rsidRPr="00B916B2">
        <w:rPr>
          <w:rStyle w:val="FootnoteReference"/>
        </w:rPr>
        <w:footnoteRef/>
      </w:r>
      <w:r>
        <w:t xml:space="preserve"> </w:t>
      </w:r>
      <w:r>
        <w:tab/>
        <w:t>For example, State and Territory Departments of Health, quality and safety accreditation agencies and providers, Medical Advisory Committees of Private Hospitals, internal mortality and morbidity committees and processes through to specialist medical colleges and education providers.</w:t>
      </w:r>
    </w:p>
  </w:footnote>
  <w:footnote w:id="42">
    <w:p w14:paraId="66124742" w14:textId="671B49B8" w:rsidR="00387010" w:rsidRPr="0099518D"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{"citationID":"pu9nocEm","properties":{"formattedCitation":"{\\rtf Judith Healy, {\\i{}Improving Health Care Safety and Quality: Reluctant Regulators} (Ashgate Publishing, Ltd., 2013).}","plainCitation":"Judith Healy, Improving Health Care Safety and Quality: Reluctant Regulators (Ashgate Publishing, Ltd., 2013)."},"citationItems":[{"id":2775,"uris":["http://zotero.org/users/955090/items/A2W78W3P"],"uri":["http://zotero.org/users/955090/items/A2W78W3P"],"itemData":{"id":2775,"type":"book","multi":{"main":{},"_keys":{}},"title":"Improving Health Care Safety and Quality: Reluctant Regulators","publisher":"Ashgate Publishing, Ltd.","number-of-pages":"349","source":"Google Books","abstract":"Responding to the public concern caused by recent hospital scandals and accounts of unintended harm to patients, this author draws on her experience of analysing the health care systems of over a dozen countries and examines whether greater regulation has increased patient safety and health care quality. The book adopts a new approach to mapping developments in health care systems in Europe, North America and Australia and pieces together evidence of which regulatory strategies and mechanisms work well to ensure safer patient care. It identifies the regulatory bodies, the regulatory principles and the implementation strategies adopted to improve governance in health care systems and suggests a conceptual framework for responsive regulation.The book will be of interest to government actors, health care professionals and medico-legal scholars.","ISBN":"978-1-4094-9749-3","shortTitle":"Improving Health Care Safety and Quality","language":"en","author":[{"family":"Healy","given":"Judith","multi":{"_key":{}}}],"issued":{"raw":"2013-02-28"}}}],"schema":"https://github.com/citation-style-language/schema/raw/master/csl-citation.json"} </w:instrText>
      </w:r>
      <w:r>
        <w:fldChar w:fldCharType="separate"/>
      </w:r>
      <w:r w:rsidRPr="009A0666">
        <w:rPr>
          <w:rFonts w:cs="Times New Roman"/>
          <w:szCs w:val="24"/>
        </w:rPr>
        <w:t xml:space="preserve">Judith Healy, </w:t>
      </w:r>
      <w:r w:rsidRPr="009A0666">
        <w:rPr>
          <w:rFonts w:cs="Times New Roman"/>
          <w:i/>
          <w:szCs w:val="24"/>
        </w:rPr>
        <w:t>Improving Health Care Safety and Quality: Reluctant Regulators</w:t>
      </w:r>
      <w:r w:rsidRPr="009A0666">
        <w:rPr>
          <w:rFonts w:cs="Times New Roman"/>
          <w:szCs w:val="24"/>
        </w:rPr>
        <w:t xml:space="preserve"> (Ashgate Publishing, Ltd., 2013).</w:t>
      </w:r>
      <w:r>
        <w:fldChar w:fldCharType="end"/>
      </w:r>
    </w:p>
  </w:footnote>
  <w:footnote w:id="43">
    <w:p w14:paraId="2A70525F" w14:textId="33687B2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{"citationID":"gZztBHxt","properties":{"formattedCitation":"{\\rtf For an overview of the shared/overlapping responsibilities at different levels of government, see the report of the now-defunct Commonwealth Federation reform project, Commonwealth of Australia, Department of the Prime Minister and Cabinet, \\uc0\\u8216{}Reform of the Federation White Paper. Issues Paper 3\\uc0\\u8212{}Roles and Responsibilities in Health\\uc0\\u8217{} (11 December 2014).}","plainCitation":"For an overview of the shared/overlapping responsibilities at different levels of government, see the report of the now-defunct Commonwealth Federation reform project, Commonwealth of Australia, Department of the Prime Minister and Cabinet, ‘Reform of the Federation White Paper. Issues Paper 3—Roles and Responsibilities in Health’ (11 December 2014)."},"citationItems":[{"id":4762,"uris":["http://zotero.org/users/955090/items/M3AUAURF"],"uri":["http://zotero.org/users/955090/items/M3AUAURF"],"itemData":{"id":4762,"type":"report","multi":{"main":{},"_keys":{}},"title":"Reform of the Federation White Paper. Issues Paper 3—Roles and Responsibilities in Health","publisher-place":"Canberra, ACT.","authority":"Commonwealth of Australia","event-place":"Canberra, ACT.","archive-place":"Canberra, ACT.","author":[{"literal":"Commonwealth of Australia, Department of the Prime Minister and Cabinet","multi":{"_key":{}}}],"issued":{"raw":"11 December 2014"}},"prefix":"For an overview of the shared/overlapping responsibilities at different levels of government, see the report of the now-defunct Commonwealth Federation reform project, "}],"schema":"https://github.com/citation-style-language/schema/raw/master/csl-citation.json"} </w:instrText>
      </w:r>
      <w:r>
        <w:fldChar w:fldCharType="separate"/>
      </w:r>
      <w:r w:rsidRPr="00387010">
        <w:rPr>
          <w:rFonts w:cs="Times New Roman"/>
          <w:szCs w:val="24"/>
        </w:rPr>
        <w:t>For an overview of the shared/overlapping responsibilities at different levels of government, see the report of the now-defunct Commonwealth Federation reform project, Commonwealth of Australia, Department of the Prime Minister and Cabinet, ‘Reform of the Federation White Paper. Issues Paper 3—Roles and Responsibilities in Health’ (11 December 2014).</w:t>
      </w:r>
      <w:r>
        <w:fldChar w:fldCharType="end"/>
      </w:r>
    </w:p>
  </w:footnote>
  <w:footnote w:id="44">
    <w:p w14:paraId="012124FB" w14:textId="7A190DBD" w:rsidR="00387010" w:rsidRDefault="00387010" w:rsidP="000C00C2">
      <w:pPr>
        <w:pStyle w:val="FootnoteText"/>
        <w:spacing w:before="120" w:after="120" w:line="240" w:lineRule="auto"/>
      </w:pPr>
      <w:r w:rsidRPr="00B916B2">
        <w:rPr>
          <w:rStyle w:val="FootnoteReference"/>
        </w:rPr>
        <w:footnoteRef/>
      </w:r>
      <w:r>
        <w:t xml:space="preserve"> </w:t>
      </w:r>
      <w:r>
        <w:tab/>
        <w:t>The national scheme came into effect on the very same day that Jayant Patel was first sentenced to seven years imprisonment for manslaughter.</w:t>
      </w:r>
    </w:p>
  </w:footnote>
  <w:footnote w:id="45">
    <w:p w14:paraId="4448C8CB" w14:textId="1D45AC12" w:rsidR="00387010" w:rsidRDefault="00387010" w:rsidP="000C00C2">
      <w:pPr>
        <w:pStyle w:val="FootnoteText"/>
        <w:spacing w:before="120" w:after="120" w:line="240" w:lineRule="auto"/>
      </w:pPr>
      <w:r w:rsidRPr="00B916B2">
        <w:rPr>
          <w:rStyle w:val="FootnoteReference"/>
        </w:rPr>
        <w:footnoteRef/>
      </w:r>
      <w:r>
        <w:t xml:space="preserve"> </w:t>
      </w:r>
      <w:r>
        <w:tab/>
        <w:t>Although, as discussed below at Part #, the National Law as force in each jurisdiction is designed to have extraterritorial application.</w:t>
      </w:r>
    </w:p>
  </w:footnote>
  <w:footnote w:id="46">
    <w:p w14:paraId="5437BB29" w14:textId="71E64020"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{"citationID":"wEdHjFZ8","properties":{"formattedCitation":"{\\rtf {\\i{}Health Practitioner Regulation National Law Act} {\\i{}2009} (QLD).}","plainCitation":"Health Practitioner Regulation National Law Act 2009 (QLD)."},"citationItems":[{"id":3225,"uris":["http://zotero.org/users/955090/items/HKCWPPKR"],"uri":["http://zotero.org/users/955090/items/HKCWPPKR"],"itemData":{"id":3225,"type":"legislation","multi":{"main":{},"_keys":{}},"title":"Health Practitioner Regulation National Law Act","container-title":"QLD","issued":{"raw":"2009"}}}],"schema":"https://github.com/citation-style-language/schema/raw/master/csl-citation.json"} </w:instrText>
      </w:r>
      <w:r>
        <w:fldChar w:fldCharType="separate"/>
      </w:r>
      <w:r w:rsidRPr="009A0666">
        <w:rPr>
          <w:rFonts w:cs="Times New Roman"/>
          <w:i/>
          <w:szCs w:val="24"/>
        </w:rPr>
        <w:t>Health Practitioner Regulation National Law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(QLD).</w:t>
      </w:r>
      <w:r>
        <w:fldChar w:fldCharType="end"/>
      </w:r>
    </w:p>
  </w:footnote>
  <w:footnote w:id="47">
    <w:p w14:paraId="7913E856" w14:textId="69A4542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{"citationID":"vIqNGuvc","properties":{"formattedCitation":"{\\rtf Ibid; {\\i{}Health Practitioner Regulation National Law (NSW)} (NSW) No 86a (known also as the Health Practitioner Regulation National Law [NSW]); {\\i{}Health Practitioner Regulation National Law (ACT) Act} {\\i{}2010} (ACT); {\\i{}Health Practitioner Regulation (National Uniform Legislation) Act} {\\i{}2010} (NT); {\\i{}Health Practitioner Regulation National Law (Victoria) Act} {\\i{}2009} (Vic); {\\i{}Health Practitioner Regulation National Law (South Australia) Act} {\\i{}2010} (SA); {\\i{}Health Practitioner Regulation National Law (Tasmania) Act} {\\i{}2010} (TAS); {\\i{}Health Practitioner Regulation National Law (WA) Act} {\\i{}2010} (WA).}","plainCitation":"Ibid; Health Practitioner Regulation National Law (NSW) (NSW) No 86a (known also as the Health Practitioner Regulation National Law [NSW]); Health Practitioner Regulation National Law (ACT) Act 2010 (ACT); Health Practitioner Regulation (National Uniform Legislation) Act 2010 (NT); Health Practitioner Regulation National Law (Victoria) Act 2009 (Vic); Health Practitioner Regulation National Law (South Australia) Act 2010 (SA); Health Practitioner Regulation National Law (Tasmania) Act 2010 (TAS); Health Practitioner Regulation National Law (WA) Act 2010 (WA)."},"citationItems":[{"id":3225,"uris":["http://zotero.org/users/955090/items/HKCWPPKR"],"uri":["http://zotero.org/users/955090/items/HKCWPPKR"],"itemData":{"id":3225,"type":"legislation","multi":{"main":{},"_keys":{}},"title":"Health Practitioner Regulation National Law Act","container-title":"QLD","issued":{"raw":"2009"}}},{"id":4761,"uris":["http://zotero.org/users/955090/items/5NCDRPI4"],"uri":["http://zotero.org/users/955090/items/5NCDRPI4"],"itemData":{"id":4761,"type":"legislation","multi":{"main":{},"_keys":{}},"title":"Health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(NSW)"},"suffix":"(known also as the Health Practitioner Regulation National Law (NSW))"},{"id":3223,"uris":["http://zotero.org/users/955090/items/587SINUW"],"uri":["http://zotero.org/users/955090/items/587SINUW"],"itemData":{"id":3223,"type":"legislation","multi":{"main":{},"_keys":{}},"title":"Health Practitioner Regulation National Law (ACT) Act","container-title":"ACT","issued":{"raw":"2010"}}},{"id":3221,"uris":["http://zotero.org/users/955090/items/GTRSWUZ4"],"uri":["http://zotero.org/users/955090/items/GTRSWUZ4"],"itemData":{"id":3221,"type":"legislation","multi":{"main":{},"_keys":{}},"title":"Health Practitioner Regulation (National Uniform Legislation) Act","container-title":"NT","issued":{"raw":"2010"}}},{"id":3224,"uris":["http://zotero.org/users/955090/items/4R2Z6J76"],"uri":["http://zotero.org/users/955090/items/4R2Z6J76"],"itemData":{"id":3224,"type":"legislation","multi":{"main":{},"_keys":{}},"title":"Health Practitioner Regulation National Law (Victoria) Act","container-title":"Vic","issued":{"raw":"2009"}}},{"id":3219,"uris":["http://zotero.org/users/955090/items/WQFHGEHM"],"uri":["http://zotero.org/users/955090/items/WQFHGEHM"],"itemData":{"id":3219,"type":"legislation","multi":{"main":{},"_keys":{}},"title":"Health Practitioner Regulation National Law (South Australia) Act","container-title":"SA","issued":{"raw":"2010"}}},{"id":12057,"uris":["http://zotero.org/groups/83625/items/34VM3BMN"],"uri":["http://zotero.org/groups/83625/items/34VM3BMN"],"itemData":{"id":12057,"type":"legislation","multi":{"main":{},"_keys":{}},"title":"Health Practitioner Regulation National Law (Tasmania) Act","container-title":"TAS","issued":{"raw":"2010"}}},{"id":3218,"uris":["http://zotero.org/users/955090/items/EQAN3CW7"],"uri":["http://zotero.org/users/955090/items/EQAN3CW7"],"itemData":{"id":3218,"type":"legislation","multi":{"main":{},"_keys":{}},"title":"Health Practitioner Regulation National Law (WA) Act","container-title":"WA","issued":{"raw":"2010"}}}],"schema":"https://github.com/citation-style-language/schema/raw/master/csl-citation.json"} </w:instrText>
      </w:r>
      <w:r>
        <w:fldChar w:fldCharType="separate"/>
      </w:r>
      <w:r w:rsidRPr="009A0666">
        <w:rPr>
          <w:rFonts w:cs="Times New Roman"/>
          <w:szCs w:val="24"/>
        </w:rPr>
        <w:t xml:space="preserve">Ibid; </w:t>
      </w:r>
      <w:r w:rsidRPr="009A0666">
        <w:rPr>
          <w:rFonts w:cs="Times New Roman"/>
          <w:i/>
          <w:szCs w:val="24"/>
        </w:rPr>
        <w:t>Health Practitioner Regulation National Law (NSW)</w:t>
      </w:r>
      <w:r w:rsidRPr="009A0666">
        <w:rPr>
          <w:rFonts w:cs="Times New Roman"/>
          <w:szCs w:val="24"/>
        </w:rPr>
        <w:t xml:space="preserve"> (NSW) No 86a (known also as the Health Practitioner Regulation National Law [NSW]); </w:t>
      </w:r>
      <w:r w:rsidRPr="009A0666">
        <w:rPr>
          <w:rFonts w:cs="Times New Roman"/>
          <w:i/>
          <w:szCs w:val="24"/>
        </w:rPr>
        <w:t>Health Practitioner Regulation National Law (ACT)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(ACT); </w:t>
      </w:r>
      <w:r w:rsidRPr="009A0666">
        <w:rPr>
          <w:rFonts w:cs="Times New Roman"/>
          <w:i/>
          <w:szCs w:val="24"/>
        </w:rPr>
        <w:t>Health Practitioner Regulation (National Uniform Legislation)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(NT); </w:t>
      </w:r>
      <w:r w:rsidRPr="009A0666">
        <w:rPr>
          <w:rFonts w:cs="Times New Roman"/>
          <w:i/>
          <w:szCs w:val="24"/>
        </w:rPr>
        <w:t>Health Practitioner Regulation National Law (Victoria)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(Vic); </w:t>
      </w:r>
      <w:r w:rsidRPr="009A0666">
        <w:rPr>
          <w:rFonts w:cs="Times New Roman"/>
          <w:i/>
          <w:szCs w:val="24"/>
        </w:rPr>
        <w:t>Health Practitioner Regulation National Law (South Australia)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(SA); </w:t>
      </w:r>
      <w:r w:rsidRPr="009A0666">
        <w:rPr>
          <w:rFonts w:cs="Times New Roman"/>
          <w:i/>
          <w:szCs w:val="24"/>
        </w:rPr>
        <w:t>Health Practitioner Regulation National Law (Tasmania)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(TAS); </w:t>
      </w:r>
      <w:r w:rsidRPr="009A0666">
        <w:rPr>
          <w:rFonts w:cs="Times New Roman"/>
          <w:i/>
          <w:szCs w:val="24"/>
        </w:rPr>
        <w:t>Health Practitioner Regulation National Law (WA) Act</w:t>
      </w:r>
      <w:r w:rsidRPr="009A0666">
        <w:rPr>
          <w:rFonts w:cs="Times New Roman"/>
          <w:szCs w:val="24"/>
        </w:rPr>
        <w:t xml:space="preserve"> </w:t>
      </w:r>
      <w:r w:rsidRPr="009A0666">
        <w:rPr>
          <w:rFonts w:cs="Times New Roman"/>
          <w:i/>
          <w:szCs w:val="24"/>
        </w:rPr>
        <w:t>2010</w:t>
      </w:r>
      <w:r w:rsidRPr="009A0666">
        <w:rPr>
          <w:rFonts w:cs="Times New Roman"/>
          <w:szCs w:val="24"/>
        </w:rPr>
        <w:t xml:space="preserve"> (WA).</w:t>
      </w:r>
      <w:r>
        <w:fldChar w:fldCharType="end"/>
      </w:r>
    </w:p>
  </w:footnote>
  <w:footnote w:id="48">
    <w:p w14:paraId="4A9D63CA" w14:textId="5433E57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{"citationID":"lvX6HDZ7","properties":{"formattedCitation":"See Kiel, above n 39.","plainCitation":"See Kiel, above n 39."},"citationItems":[{"id":12926,"uris":["http://zotero.org/groups/83625/items/K7EC7ZMA"],"uri":["http://zotero.org/groups/83625/items/K7EC7ZMA"],"itemData":{"id":12926,"type":"thesis","multi":{"main":{},"_keys":{}},"title":"Problem Doctors in Disciplinary Tribunals: Who Do Protective Orders Protect? An Analysis of Australian Tribunal Decisions from 2010 – 2013","author":[{"family":"Kiel","given":"Helen","multi":{"_key":{}}}],"issued":{"raw":"2016"}},"prefix":"See"}],"schema":"https://github.com/citation-style-language/schema/raw/master/csl-citation.json"} </w:instrText>
      </w:r>
      <w:r>
        <w:fldChar w:fldCharType="separate"/>
      </w:r>
      <w:r w:rsidRPr="001724B2">
        <w:t>See Kiel, above n 39.</w:t>
      </w:r>
      <w:r>
        <w:fldChar w:fldCharType="end"/>
      </w:r>
    </w:p>
  </w:footnote>
  <w:footnote w:id="49">
    <w:p w14:paraId="2968227D" w14:textId="676D3128" w:rsidR="00387010" w:rsidRDefault="00387010" w:rsidP="000C00C2">
      <w:pPr>
        <w:pStyle w:val="FootnoteText"/>
        <w:spacing w:before="120" w:after="120" w:line="240" w:lineRule="auto"/>
      </w:pPr>
      <w:r w:rsidRPr="00B916B2">
        <w:rPr>
          <w:rStyle w:val="FootnoteReference"/>
        </w:rPr>
        <w:footnoteRef/>
      </w:r>
      <w:r w:rsidRPr="00AC3F26">
        <w:rPr>
          <w:rStyle w:val="FootnoteReference"/>
        </w:rPr>
        <w:t xml:space="preserve"> </w:t>
      </w:r>
      <w:r>
        <w:tab/>
      </w:r>
      <w:r>
        <w:fldChar w:fldCharType="begin"/>
      </w:r>
      <w:r>
        <w:instrText xml:space="preserve"> ADDIN ZOTERO_ITEM CSL_CITATION {"citationID":"pUTUbCW6","properties":{"formattedCitation":"{\\rtf Currently, health practitioners regulated by the NRAS through the National Law include: Aboriginal and Torres Strait Islander health practitioners; chiropractors; Chinese medicine practitioners; dental practitioners (including dentists, dental specialists, dental hygienists, dental prosthetists and dental therapists); medical practitioners; medical radiation practitioners; nurses and midwives; optometrists; osteopaths; pharmacists; physiotherapists; podiatrists; and psychologists. See in relation to practitioners outside of the NRAS, J Wardle, \\uc0\\u8216{}Holding Unregistered Health Practitioners to Account: An Analysis of Current Regulatory and Legislative Approaches.\\uc0\\u8217{} (2014) 22(2) {\\i{}Journal of law and medicine} 350.}","plainCitation":"Currently, health practitioners regulated by the NRAS through the National Law include: Aboriginal and Torres Strait Islander health practitioners; chiropractors; Chinese medicine practitioners; dental practitioners (including dentists, dental specialists, dental hygienists, dental prosthetists and dental therapists); medical practitioners; medical radiation practitioners; nurses and midwives; optometrists; osteopaths; pharmacists; physiotherapists; podiatrists; and psychologists. See in relation to practitioners outside of the NRAS, J Wardle, ‘Holding Unregistered Health Practitioners to Account: An Analysis of Current Regulatory and Legislative Approaches.’ (2014) 22(2) Journal of law and medicine 350."},"citationItems":[{"id":2606,"uris":["http://zotero.org/users/955090/items/KN2FJFJD"],"uri":["http://zotero.org/users/955090/items/KN2FJFJD"],"itemData":{"id":2606,"type":"article-journal","multi":{"main":{},"_keys":{}},"title":"Holding unregistered health practitioners to account: an analysis of current regulatory and legislative approaches.","container-title":"Journal of law and medicine","page":"350–375","volume":"22","issue":"2","source":"Google Scholar","shortTitle":"Holding unregistered health practitioners to account","author":[{"family":"Wardle","given":"J.","multi":{"_key":{}}}],"issued":{"raw":"2014"}},"prefix":"Currently, health practitioners regulated by the NRAS through the National Law include: Aboriginal and Torres Strait Islander health practitioners; chiropractors; Chinese medicine practitioners; dental practitioners (including dentists, dental specialists, dental hygienists, dental prosthetists and dental therapists); medical practitioners; medical radiation practitioners; nurses and midwives; optometrists; osteopaths; pharmacists; physiotherapists; podiatrists; and psychologists. See in relation to practitioners outside of the NRAS, "}],"schema":"https://github.com/citation-style-language/schema/raw/master/csl-citation.json"} </w:instrText>
      </w:r>
      <w:r>
        <w:fldChar w:fldCharType="separate"/>
      </w:r>
      <w:r w:rsidRPr="009A0666">
        <w:rPr>
          <w:rFonts w:cs="Times New Roman"/>
          <w:szCs w:val="24"/>
        </w:rPr>
        <w:t xml:space="preserve">Currently, health practitioners regulated by the NRAS through the National Law include: Aboriginal and Torres Strait Islander health practitioners; chiropractors; Chinese medicine practitioners; dental practitioners (including dentists, dental specialists, dental hygienists, dental prosthetists and dental therapists); medical practitioners; medical radiation practitioners; nurses and midwives; optometrists; osteopaths; pharmacists; physiotherapists; podiatrists; and psychologists. See in relation to practitioners outside of the NRAS, J Wardle, ‘Holding Unregistered Health Practitioners to Account: An Analysis of Current Regulatory and Legislative Approaches.’ (2014) 22(2) </w:t>
      </w:r>
      <w:r w:rsidRPr="009A0666">
        <w:rPr>
          <w:rFonts w:cs="Times New Roman"/>
          <w:i/>
          <w:szCs w:val="24"/>
        </w:rPr>
        <w:t>Journal of law and medicine</w:t>
      </w:r>
      <w:r w:rsidRPr="009A0666">
        <w:rPr>
          <w:rFonts w:cs="Times New Roman"/>
          <w:szCs w:val="24"/>
        </w:rPr>
        <w:t xml:space="preserve"> 350.</w:t>
      </w:r>
      <w:r>
        <w:fldChar w:fldCharType="end"/>
      </w:r>
    </w:p>
  </w:footnote>
  <w:footnote w:id="50">
    <w:p w14:paraId="1AFFD062" w14:textId="5A72EDB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{"citationID":"91b2vfqG","properties":{"formattedCitation":"{\\rtf See for example in NSW, {\\i{}Health Practitioner Regulation National Law (NSW)} (NSW) No 86a, ss 38-41.}","plainCitation":"See for example in NSW, Health Practitioner Regulation National Law (NSW) (NSW) No 86a, ss 38-41."},"citationItems":[{"id":4761,"uris":["http://zotero.org/users/955090/items/5NCDRPI4"],"uri":["http://zotero.org/users/955090/items/5NCDRPI4"],"itemData":{"id":4761,"type":"legislation","multi":{"main":{},"_keys":{}},"title":"Health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(NSW)"},"locator":"ss 38-41","prefix":"See for example in NSW, "}],"schema":"https://github.com/citation-style-language/schema/raw/master/csl-citation.json"} </w:instrText>
      </w:r>
      <w:r>
        <w:fldChar w:fldCharType="separate"/>
      </w:r>
      <w:r w:rsidRPr="009A0666">
        <w:rPr>
          <w:rFonts w:cs="Times New Roman"/>
          <w:szCs w:val="24"/>
        </w:rPr>
        <w:t xml:space="preserve">See for example in NSW, </w:t>
      </w:r>
      <w:r w:rsidRPr="009A0666">
        <w:rPr>
          <w:rFonts w:cs="Times New Roman"/>
          <w:i/>
          <w:szCs w:val="24"/>
        </w:rPr>
        <w:t>Health Practitioner Regulation National Law (NSW)</w:t>
      </w:r>
      <w:r w:rsidRPr="009A0666">
        <w:rPr>
          <w:rFonts w:cs="Times New Roman"/>
          <w:szCs w:val="24"/>
        </w:rPr>
        <w:t xml:space="preserve"> (NSW) No 86a, ss 38-41.</w:t>
      </w:r>
      <w:r>
        <w:fldChar w:fldCharType="end"/>
      </w:r>
    </w:p>
  </w:footnote>
  <w:footnote w:id="51">
    <w:p w14:paraId="62E9F134" w14:textId="000020D9" w:rsidR="00387010" w:rsidRDefault="00387010" w:rsidP="000C00C2">
      <w:pPr>
        <w:pStyle w:val="FootnoteText"/>
        <w:spacing w:before="120" w:after="120" w:line="240" w:lineRule="auto"/>
      </w:pPr>
      <w:r w:rsidRPr="00B916B2">
        <w:rPr>
          <w:rStyle w:val="FootnoteReference"/>
        </w:rPr>
        <w:footnoteRef/>
      </w:r>
      <w:r>
        <w:t xml:space="preserve"> </w:t>
      </w:r>
      <w:r>
        <w:tab/>
        <w:t>The registration of medical practitioners themselves occurs in a consistent manner across all jurisdictions, it is, rather, from that point ‘onwards’ where divergences occurs. Most especially this is in relation to the management and process of complaints and notifications, as well as the process for adjudicating upon them. In NSW specifically, the forms of practitioner professional liability differ in form and substance as well.</w:t>
      </w:r>
    </w:p>
  </w:footnote>
  <w:footnote w:id="52">
    <w:p w14:paraId="43D73B2C" w14:textId="319E555D"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{"citationID":"s1fEOGju","properties":{"formattedCitation":"{\\rtf See in relation to so-called \\uc0\\u8216{}impaired\\uc0\\u8217{} doctors, Kiel, \\uc0\\u8216{}Regulating Impaired Doctors\\uc0\\u8217{}, above n 6.}","plainCitation":"See in relation to so-called ‘impaired’ doctors, Kiel, ‘Regulating Impaired Doctors’, above n 6."},"citationItems":[{"id":3510,"uris":["http://zotero.org/users/955090/items/VP4J5M6X"],"uri":["http://zotero.org/users/955090/items/VP4J5M6X"],"itemData":{"id":3510,"type":"article-journal","multi":{"main":{},"_keys":{}},"title":"Regulating impaired doctors: a snapshot from New South Wales","container-title":"Journal of Law and Medicine","page":"429-440","volume":"21","issue":"2","source":"PubMed","abstract":"This article examines the regulation of impaired doctors in Australia and explores the inherent tensions in the new Health Practitioner Regulation National Law in attempting to both treat the doctor and protect the public. It discusses both informal and formal mechanisms of regulation with particular reference to therapeutic jurisprudence and mandatory notification. It focuses particularly on New South Wales and examines all the impairment cases which resulted in disciplinary proceedings in the Medical Tribunal of New South Wales in 2010. It identifies the most common forms of impairment and discusses the particular challenges that impaired doctors pose for regulators.","ISSN":"1320-159X","note":"PMID: 24597391","shortTitle":"Regulating impaired doctors","journalAbbreviation":"J Law Med","language":"eng","author":[{"family":"Kiel","given":"Helen","multi":{"_key":{}}}],"issued":{"raw":"Dec 2013"}},"prefix":"See in relation to so-called 'impaired' doctors, "}],"schema":"https://github.com/citation-style-language/schema/raw/master/csl-citation.json"} </w:instrText>
      </w:r>
      <w:r>
        <w:fldChar w:fldCharType="separate"/>
      </w:r>
      <w:r w:rsidRPr="001724B2">
        <w:rPr>
          <w:rFonts w:cs="Times New Roman"/>
          <w:szCs w:val="24"/>
        </w:rPr>
        <w:t>See in relation to so-called ‘impaired’ doctors, Kiel, ‘Regulating Impaired Doctors’, above n 6.</w:t>
      </w:r>
      <w:r>
        <w:fldChar w:fldCharType="end"/>
      </w:r>
    </w:p>
  </w:footnote>
  <w:footnote w:id="53">
    <w:p w14:paraId="01AEC5ED" w14:textId="3FE51F0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{"citationID":"qJd5QGqR","properties":{"formattedCitation":"{\\rtf See for example {\\i{}Health Practitioner Regulation National Law (NSW)} (NSW) No 86a, ss 31-41 (as to the establishment, powers, functions and relationship of national boards to State and Territory Boards in the co-regulatory jurisdiction of NSW).}","plainCitation":"See for example Health Practitioner Regulation National Law (NSW) (NSW) No 86a, ss 31-41 (as to the establishment, powers, functions and relationship of national boards to State and Territory Boards in the co-regulatory jurisdiction of NSW)."},"citationItems":[{"id":4761,"uris":["http://zotero.org/users/955090/items/5NCDRPI4"],"uri":["http://zotero.org/users/955090/items/5NCDRPI4"],"itemData":{"id":4761,"type":"legislation","multi":{"main":{},"_keys":{}},"title":"Health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(NSW)"},"locator":"ss 31-41","prefix":"See for example ","suffix":"(as to the establishment, powers, functions and relationship of national boards to State and Territory Boards in the co-regulatory jurisdiction of NSW)"}],"schema":"https://github.com/citation-style-language/schema/raw/master/csl-citation.json"} </w:instrText>
      </w:r>
      <w:r>
        <w:fldChar w:fldCharType="separate"/>
      </w:r>
      <w:r w:rsidRPr="009A0666">
        <w:rPr>
          <w:rFonts w:cs="Times New Roman"/>
          <w:szCs w:val="24"/>
        </w:rPr>
        <w:t xml:space="preserve">See for example </w:t>
      </w:r>
      <w:r w:rsidRPr="009A0666">
        <w:rPr>
          <w:rFonts w:cs="Times New Roman"/>
          <w:i/>
          <w:szCs w:val="24"/>
        </w:rPr>
        <w:t>Health Practitioner Regulation National Law (NSW)</w:t>
      </w:r>
      <w:r w:rsidRPr="009A0666">
        <w:rPr>
          <w:rFonts w:cs="Times New Roman"/>
          <w:szCs w:val="24"/>
        </w:rPr>
        <w:t xml:space="preserve"> (NSW) No 86a, ss 31-41 (as to the establishment, powers, functions and relationship of national boards to State and Territory Boards in the co-regulatory jurisdiction of NSW).</w:t>
      </w:r>
      <w:r>
        <w:fldChar w:fldCharType="end"/>
      </w:r>
    </w:p>
  </w:footnote>
  <w:footnote w:id="54">
    <w:p w14:paraId="6CC4A53C" w14:textId="0F43D764" w:rsidR="00387010" w:rsidRPr="0099518D"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{"citationID":"SEKdqHkh","properties":{"formattedCitation":"{\\rtf {\\i{}Health Practitioner Regulation National Law Act} {\\i{}2009} (QLD) s 3(2)(a).}","plainCitation":"Health Practitioner Regulation National Law Act 2009 (QLD) s 3(2)(a)."},"citationItems":[{"id":3225,"uris":["http://zotero.org/users/955090/items/HKCWPPKR"],"uri":["http://zotero.org/users/955090/items/HKCWPPKR"],"itemData":{"id":3225,"type":"legislation","multi":{"main":{},"_keys":{}},"title":"Health Practitioner Regulation National Law Act","container-title":"QLD","issued":{"raw":"2009"}},"locator":"s 3(2)(a)"}],"schema":"https://github.com/citation-style-language/schema/raw/master/csl-citation.json"} </w:instrText>
      </w:r>
      <w:r>
        <w:fldChar w:fldCharType="separate"/>
      </w:r>
      <w:r w:rsidRPr="009A0666">
        <w:rPr>
          <w:rFonts w:cs="Times New Roman"/>
          <w:i/>
          <w:szCs w:val="24"/>
        </w:rPr>
        <w:t>Health Practitioner Regulation National Law Act</w:t>
      </w:r>
      <w:r w:rsidRPr="009A0666">
        <w:rPr>
          <w:rFonts w:cs="Times New Roman"/>
          <w:szCs w:val="24"/>
        </w:rPr>
        <w:t xml:space="preserve"> </w:t>
      </w:r>
      <w:r w:rsidRPr="009A0666">
        <w:rPr>
          <w:rFonts w:cs="Times New Roman"/>
          <w:i/>
          <w:szCs w:val="24"/>
        </w:rPr>
        <w:t>2009</w:t>
      </w:r>
      <w:r w:rsidRPr="009A0666">
        <w:rPr>
          <w:rFonts w:cs="Times New Roman"/>
          <w:szCs w:val="24"/>
        </w:rPr>
        <w:t xml:space="preserve"> (QLD) s 3(2)(a).</w:t>
      </w:r>
      <w:r>
        <w:fldChar w:fldCharType="end"/>
      </w:r>
    </w:p>
  </w:footnote>
  <w:footnote w:id="55">
    <w:p w14:paraId="4F03E2A3" w14:textId="3F7DCD6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{"citationID":"YZcrgx68","properties":{"formattedCitation":"{\\rtf See in the NSW enactment of the National Law, that an additional New South Wales provision provides that \\uc0\\u8216{}In the exercise of functions under a NSW provision, the protection of the health and safety of the public must be the paramount consideration\\uc0\\u8217{}, {\\i{}Health Practitioner Regulation National Law (NSW)} (NSW) No 86a, s 3A.}","plainCitation":"See in the NSW enactment of the National Law, that an additional New South Wales provision provides that ‘In the exercise of functions under a NSW provision, the protection of the health and safety of the public must be the paramount consideration’, Health Practitioner Regulation National Law (NSW) (NSW) No 86a, s 3A."},"citationItems":[{"id":4761,"uris":["http://zotero.org/users/955090/items/5NCDRPI4"],"uri":["http://zotero.org/users/955090/items/5NCDRPI4"],"itemData":{"id":4761,"type":"legislation","multi":{"main":{},"_keys":{}},"title":"Health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 3A","prefix":"See in the NSW enactment of the National Law, that an additional New South Wales provision provides that 'In the exercise of functions under a NSW provision, the protection of the health and safety of the public must be the paramount consideration', "}],"schema":"https://github.com/citation-style-language/schema/raw/master/csl-citation.json"} </w:instrText>
      </w:r>
      <w:r>
        <w:fldChar w:fldCharType="separate"/>
      </w:r>
      <w:r w:rsidRPr="009A0666">
        <w:rPr>
          <w:rFonts w:cs="Times New Roman"/>
          <w:szCs w:val="24"/>
        </w:rPr>
        <w:t xml:space="preserve">See in the NSW enactment of the National Law, that an additional New South Wales provision provides that ‘In the exercise of functions under a NSW provision, the protection of the health and safety of the public must be the paramount consideration’, </w:t>
      </w:r>
      <w:r w:rsidRPr="009A0666">
        <w:rPr>
          <w:rFonts w:cs="Times New Roman"/>
          <w:i/>
          <w:szCs w:val="24"/>
        </w:rPr>
        <w:t>Health Practitioner Regulation National Law (NSW)</w:t>
      </w:r>
      <w:r w:rsidRPr="009A0666">
        <w:rPr>
          <w:rFonts w:cs="Times New Roman"/>
          <w:szCs w:val="24"/>
        </w:rPr>
        <w:t xml:space="preserve"> (NSW) No 86a, s 3A.</w:t>
      </w:r>
      <w:r>
        <w:fldChar w:fldCharType="end"/>
      </w:r>
    </w:p>
  </w:footnote>
  <w:footnote w:id="56">
    <w:p w14:paraId="631A5A02" w14:textId="630AEAD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{"citationID":"5DgecXcw","properties":{"formattedCitation":"The Medical Board of Australia, Expert Advisory Group on Revalidation, above n 10, 43.","plainCitation":"The Medical Board of Australia, Expert Advisory Group on Revalidation, above n 10, 43."},"citationItems":[{"id":3650,"uris":["http://zotero.org/users/955090/items/AC8DB33R"],"uri":["http://zotero.org/users/955090/items/AC8DB33R"],"itemData":{"id":3650,"type":"report","multi":{"main":{},"_keys":{}},"title":"Expert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2016"}},"locator":"43"}],"schema":"https://github.com/citation-style-language/schema/raw/master/csl-citation.json"} </w:instrText>
      </w:r>
      <w:r>
        <w:fldChar w:fldCharType="separate"/>
      </w:r>
      <w:r w:rsidRPr="001724B2">
        <w:t>The Medical Board of Australia, Expert Advisory Group on Revalidation, above n 10, 43.</w:t>
      </w:r>
      <w:r>
        <w:fldChar w:fldCharType="end"/>
      </w:r>
    </w:p>
  </w:footnote>
  <w:footnote w:id="57">
    <w:p w14:paraId="37862B84" w14:textId="372A1029"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{"citationID":"NWX3wP6P","properties":{"formattedCitation":"{\\rtf This aspect of the National Law remains very contentious in some quarters, see Hon Nick Goiran et al, \\uc0\\u8216{}Mandatory Reporting of Health Professionals: The Case for a Western Australian Style Exemption for All Australian Practitioners\\uc0\\u8217{} (2014) 22 {\\i{}Journal of Law and Medicine} 209.}","plainCitation":"This aspect of the National Law remains very contentious in some quarters, see Hon Nick Goiran et al, ‘Mandatory Reporting of Health Professionals: The Case for a Western Australian Style Exemption for All Australian Practitioners’ (2014) 22 Journal of Law and Medicine 209."},"citationItems":[{"id":4760,"uris":["http://zotero.org/users/955090/items/RRUMDD6G"],"uri":["http://zotero.org/users/955090/items/RRUMDD6G"],"itemData":{"id":4760,"type":"article-journal","multi":{"main":{},"_keys":{}},"title":"Mandatory Reporting of Health Professionals: The Case for a Western Australian Style Exemption for All Australian Practitioners","container-title":"Journal of Law and Medicine","page":"209","volume":"22","author":[{"family":"Goiran","given":"Hon. Nick","multi":{"_key":{}}},{"family":"Kay","given":"Margaret","multi":{"_key":{}}},{"family":"Nash","given":"Louise","multi":{"_key":{}}},{"family":"Haysom","given":"Georgie","multi":{"_key":{}}}],"issued":{"raw":"2014"}},"prefix":"This aspect of the National Law remains very contentious in some quarters, see "}],"schema":"https://github.com/citation-style-language/schema/raw/master/csl-citation.json"} </w:instrText>
      </w:r>
      <w:r>
        <w:fldChar w:fldCharType="separate"/>
      </w:r>
      <w:r w:rsidRPr="009A0666">
        <w:rPr>
          <w:rFonts w:cs="Times New Roman"/>
          <w:szCs w:val="24"/>
        </w:rPr>
        <w:t xml:space="preserve">This aspect of the National Law remains very contentious in some quarters, see Hon Nick Goiran et al, ‘Mandatory Reporting of Health Professionals: The Case for a Western Australian Style Exemption for All Australian Practitioners’ (2014) 22 </w:t>
      </w:r>
      <w:r w:rsidRPr="009A0666">
        <w:rPr>
          <w:rFonts w:cs="Times New Roman"/>
          <w:i/>
          <w:szCs w:val="24"/>
        </w:rPr>
        <w:t>Journal of Law and Medicine</w:t>
      </w:r>
      <w:r w:rsidRPr="009A0666">
        <w:rPr>
          <w:rFonts w:cs="Times New Roman"/>
          <w:szCs w:val="24"/>
        </w:rPr>
        <w:t xml:space="preserve"> 209.</w:t>
      </w:r>
      <w:r>
        <w:fldChar w:fldCharType="end"/>
      </w:r>
    </w:p>
  </w:footnote>
  <w:footnote w:id="58">
    <w:p w14:paraId="284F903B" w14:textId="45403664" w:rsidR="00387010" w:rsidRDefault="00387010" w:rsidP="000C00C2">
      <w:pPr>
        <w:pStyle w:val="FootnoteText"/>
        <w:spacing w:before="120" w:after="120" w:line="240" w:lineRule="auto"/>
      </w:pPr>
      <w:r w:rsidRPr="00B916B2">
        <w:rPr>
          <w:rStyle w:val="FootnoteReference"/>
        </w:rPr>
        <w:footnoteRef/>
      </w:r>
      <w:r>
        <w:t xml:space="preserve"> </w:t>
      </w:r>
      <w:r>
        <w:tab/>
        <w:t>Unprofessional Conduct is conduct of a registered health practitioner that ‘is of a lesser standard than that which might reasonably be expected of the health practitioner by the public or the practitioner’s professional peers’.  In New South Wales the definition of ‘unsatisfactory professional conduct’ is provided at s 139B and includes (inter alia): (a) Conduct that demonstrates the knowledge, skill or judgment possessed, or care exercised, by the practitioner in the practice of the practitioner’s profession is significantly below the standard reasonably expected of a practitioner of an equivalent level of training or experience…(l) Any other improper or unethical conduct relating to the practice or purported practice of the practitioner’s profession. The test for unsatisfactory professional conduct in New South Wales is therefore more stringent than the test for unprofessional conduct under the National Law.</w:t>
      </w:r>
    </w:p>
  </w:footnote>
  <w:footnote w:id="59">
    <w:p w14:paraId="4D545619" w14:textId="4B737272" w:rsidR="00387010" w:rsidRDefault="00387010" w:rsidP="000C00C2">
      <w:pPr>
        <w:pStyle w:val="FootnoteText"/>
        <w:spacing w:before="120" w:after="120" w:line="240" w:lineRule="auto"/>
      </w:pPr>
      <w:r w:rsidRPr="00B916B2">
        <w:rPr>
          <w:rStyle w:val="FootnoteReference"/>
        </w:rPr>
        <w:footnoteRef/>
      </w:r>
      <w:r>
        <w:t xml:space="preserve"> </w:t>
      </w:r>
      <w:r>
        <w:tab/>
        <w:t>Despite the use of the same nomenclature, the definition of the more serious matter of Professional Misconduct again differs in relation to NSW alone. Defined under s 5 of the National Law, Professional Misconduct includes:  ‘(a) unprofessional conduct by the practitioner that amounts to conduct that is substantially below the standard reasonably expected of a registered health practitioner of an equivalent level of training or experience; and (b) more than one instance of unprofessional conduct that, when considered together, amounts to conduct that is substantially below the standard reasonably expected of a registered health practitioner of an equivalent level of training or experience; and (c) conduct of the practitioner, whether occurring in connection with the practice of the health practitioner’s profession or not, that is inconsistent with the practitioner being a fit and proper person to hold registration in the profession.’ The equivalent provision operating in NSW defines professional misconduct as meaning: ‘(a)  unsatisfactory professional conduct of a sufficiently serious nature to justify suspension or cancellation of the practitioner’s registration; or (b)  more than one instance of unsatisfactory professional conduct that, when the instances are considered together, amount to conduct of a sufficiently serious nature to justify suspension or cancellation of the practitioner’s registration.’ The NSW provision is more stringent in this regard, requiring that the conduct be (in one instance or an aggregate of instances) sufficiently serious nature to justify suspension or cancellation of the practitioner’s registration. The National Law as in force in other jurisdictions more simply refers to ‘conduct substantially below the standard…’ or, more broadly, conduct that is ‘inconsistent with the practitioner being a fit and proper person to hold registration in the profession.’</w:t>
      </w:r>
    </w:p>
  </w:footnote>
  <w:footnote w:id="60">
    <w:p w14:paraId="07B058FF" w14:textId="26FA4A45" w:rsidR="00387010" w:rsidRDefault="00387010" w:rsidP="000C00C2">
      <w:pPr>
        <w:pStyle w:val="FootnoteText"/>
        <w:spacing w:before="120" w:after="120" w:line="240" w:lineRule="auto"/>
      </w:pPr>
      <w:r w:rsidRPr="00B916B2">
        <w:rPr>
          <w:rStyle w:val="FootnoteReference"/>
        </w:rPr>
        <w:footnoteRef/>
      </w:r>
      <w:r>
        <w:t xml:space="preserve"> </w:t>
      </w:r>
      <w:r>
        <w:tab/>
      </w:r>
      <w:r w:rsidRPr="00387790">
        <w:t>The existing disciplinary process constructs a division between what is understood to be ‘conduct related’ matters, and those which relate to the health (‘impairment’) of a practitioner.</w:t>
      </w:r>
    </w:p>
  </w:footnote>
  <w:footnote w:id="61">
    <w:p w14:paraId="444A8A83" w14:textId="48AD1BE5"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{"citationID":"toK2Eyp3","properties":{"formattedCitation":"See for a more complete accounting of scenarios like this, The Medical Board of Australia, Expert Advisory Group on Revalidation, above n 10, 43.","plainCitation":"See for a more complete accounting of scenarios like this, The Medical Board of Australia, Expert Advisory Group on Revalidation, above n 10, 43."},"citationItems":[{"id":3650,"uris":["http://zotero.org/users/955090/items/AC8DB33R"],"uri":["http://zotero.org/users/955090/items/AC8DB33R"],"itemData":{"id":3650,"type":"report","multi":{"main":{},"_keys":{}},"title":"Expert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2016"}},"locator":"43","prefix":"See for a more complete accounting of scenarios like this, "}],"schema":"https://github.com/citation-style-language/schema/raw/master/csl-citation.json"} </w:instrText>
      </w:r>
      <w:r>
        <w:fldChar w:fldCharType="separate"/>
      </w:r>
      <w:r w:rsidRPr="001724B2">
        <w:t>See for a more complete accounting of scenarios like this, The Medical Board of Australia, Expert Advisory Group on Revalidation, above n 10, 43.</w:t>
      </w:r>
      <w:r>
        <w:fldChar w:fldCharType="end"/>
      </w:r>
    </w:p>
  </w:footnote>
  <w:footnote w:id="62">
    <w:p w14:paraId="010A685E" w14:textId="4F5F3D4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{"citationID":"hmOch8Z5","properties":{"formattedCitation":"The Medical Board of Australia, Expert Advisory Group on Revalidation, above n 10.","plainCitation":"The Medical Board of Australia, Expert Advisory Group on Revalidation, above n 10."},"citationItems":[{"id":3650,"uris":["http://zotero.org/users/955090/items/AC8DB33R"],"uri":["http://zotero.org/users/955090/items/AC8DB33R"],"itemData":{"id":3650,"type":"report","multi":{"main":{},"_keys":{}},"title":"Expert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2016"}}}],"schema":"https://github.com/citation-style-language/schema/raw/master/csl-citation.json"} </w:instrText>
      </w:r>
      <w:r>
        <w:fldChar w:fldCharType="separate"/>
      </w:r>
      <w:r w:rsidRPr="001724B2">
        <w:t>The Medical Board of Australia, Expert Advisory Group on Revalidation, above n 10.</w:t>
      </w:r>
      <w:r>
        <w:fldChar w:fldCharType="end"/>
      </w:r>
    </w:p>
  </w:footnote>
  <w:footnote w:id="63">
    <w:p w14:paraId="19D7944C" w14:textId="4AFEDBE0"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{"citationID":"zylxIv1U","properties":{"formattedCitation":"{\\rtf See for example, {\\i{}Health Practitioner Regulation National Law (NSW)} (NSW) No 86a, s 38(1).}","plainCitation":"See for example, Health Practitioner Regulation National Law (NSW) (NSW) No 86a, s 38(1)."},"citationItems":[{"id":4761,"uris":["http://zotero.org/users/955090/items/5NCDRPI4"],"uri":["http://zotero.org/users/955090/items/5NCDRPI4"],"itemData":{"id":4761,"type":"legislation","multi":{"main":{},"_keys":{}},"title":"Health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 38(1)","prefix":"See for example, "}],"schema":"https://github.com/citation-style-language/schema/raw/master/csl-citation.json"} </w:instrText>
      </w:r>
      <w:r>
        <w:fldChar w:fldCharType="separate"/>
      </w:r>
      <w:r w:rsidRPr="009A0666">
        <w:rPr>
          <w:rFonts w:cs="Times New Roman"/>
          <w:szCs w:val="24"/>
        </w:rPr>
        <w:t xml:space="preserve">See for example, </w:t>
      </w:r>
      <w:r w:rsidRPr="009A0666">
        <w:rPr>
          <w:rFonts w:cs="Times New Roman"/>
          <w:i/>
          <w:szCs w:val="24"/>
        </w:rPr>
        <w:t>Health Practitioner Regulation National Law (NSW)</w:t>
      </w:r>
      <w:r w:rsidRPr="009A0666">
        <w:rPr>
          <w:rFonts w:cs="Times New Roman"/>
          <w:szCs w:val="24"/>
        </w:rPr>
        <w:t xml:space="preserve"> (NSW) No 86a, s 38(1).</w:t>
      </w:r>
      <w:r>
        <w:fldChar w:fldCharType="end"/>
      </w:r>
    </w:p>
  </w:footnote>
  <w:footnote w:id="64">
    <w:p w14:paraId="4815A2A2" w14:textId="31A839B5"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{"citationID":"x0lRbIiv","properties":{"formattedCitation":"See for example, ibid s 38(2)(c).","plainCitation":"See for example, ibid s 38(2)(c)."},"citationItems":[{"id":4761,"uris":["http://zotero.org/users/955090/items/5NCDRPI4"],"uri":["http://zotero.org/users/955090/items/5NCDRPI4"],"itemData":{"id":4761,"type":"legislation","multi":{"main":{},"_keys":{}},"title":"Health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 38(2)(c)","prefix":"See for example, "}],"schema":"https://github.com/citation-style-language/schema/raw/master/csl-citation.json"} </w:instrText>
      </w:r>
      <w:r>
        <w:fldChar w:fldCharType="separate"/>
      </w:r>
      <w:r w:rsidRPr="009A0666">
        <w:t>See for example, ibid s 38(2)(c).</w:t>
      </w:r>
      <w:r>
        <w:fldChar w:fldCharType="end"/>
      </w:r>
    </w:p>
  </w:footnote>
  <w:footnote w:id="65">
    <w:p w14:paraId="22CB2C2F" w14:textId="43E0E3D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{"citationID":"fDJxYMZD","properties":{"formattedCitation":"{\\rtf Currently defined as the Australian Health Workforce Ministerial Council comprising Ministers of the governments of the participating jurisdictions and the Commonwealth with portfolio responsibility for health. Following reforms to the Council of Australian Governments (\\uc0\\u8216{}COAG\\uc0\\u8217{}) in 2013, the Ministerial Council/Australian Health Workforce Ministerial Council continues to meet under the auspices of the newly reformed COAG Health Council (which comprises a slightly expanded membership of Commonwealth, State, Territory and New Zealand Ministers with responsibility for health matters, and the Commonwealth Minister for Veterans\\uc0\\u8217{} Affairs). The 2014 Terms of Reference for the COAG Health Council contemplates a future reform to the National Law such that reference to the Australian Health Workforce Ministerial Council will be changed. See \\uc0\\u8216{}Scope of Council responsibility\\uc0\\u8217{}, Council of Australian Governments Health Council, \\uc0\\u8216{}COAG Health Council 2014 Terms of Reference\\uc0\\u8217{} 3 &lt;http://www.coaghealthcouncil.gov.au/Portals/0/Final_COAG%20Health%20Council%20Terms%20of%20Reference_2014.pdf&gt;.}","plainCitation":"Currently defined as the Australian Health Workforce Ministerial Council comprising Ministers of the governments of the participating jurisdictions and the Commonwealth with portfolio responsibility for health. Following reforms to the Council of Australian Governments (‘COAG’) in 2013, the Ministerial Council/Australian Health Workforce Ministerial Council continues to meet under the auspices of the newly reformed COAG Health Council (which comprises a slightly expanded membership of Commonwealth, State, Territory and New Zealand Ministers with responsibility for health matters, and the Commonwealth Minister for Veterans’ Affairs). The 2014 Terms of Reference for the COAG Health Council contemplates a future reform to the National Law such that reference to the Australian Health Workforce Ministerial Council will be changed. See ‘Scope of Council responsibility’, Council of Australian Governments Health Council, ‘COAG Health Council 2014 Terms of Reference’ 3 &lt;http://www.coaghealthcouncil.gov.au/Portals/0/Final_COAG%20Health%20Council%20Terms%20of%20Reference_2014.pdf&gt;."},"citationItems":[{"id":4499,"uris":["http://zotero.org/users/955090/items/34HRHI6N"],"uri":["http://zotero.org/users/955090/items/34HRHI6N"],"itemData":{"id":4499,"type":"article","multi":{"main":{},"_keys":{}},"title":"COAG Health Council 2014 Terms of Reference","URL":"http://www.coaghealthcouncil.gov.au/Portals/0/Final_COAG%20Health%20Council%20Terms%20of%20Reference_2014.pdf","author":[{"literal":"Council of Australian Governments Health Council","multi":{"_key":{}}}],"issued":{"raw":"n.d."}},"locator":"3","prefix":"Currently defined as the Australian Health Workforce Ministerial Council comprising Ministers of the governments of the participating jurisdictions and the Commonwealth with portfolio responsibility for health. Following reforms to the Council of Australian Governments (‘COAG’) in 2013, the Ministerial Council/Australian Health Workforce Ministerial Council continues to meet under the auspices of the newly reformed COAG Health Council (which comprises a slightly expanded membership of Commonwealth, State, Territory and New Zealand Ministers with responsibility for health matters, and the Commonwealth Minister for Veterans’ Affairs). The 2014 Terms of Reference for the COAG Health Council contemplates a future reform to the National Law such that reference to the Australian Health Workforce Ministerial Council will be changed. See 'Scope of Council responsibility', "}],"schema":"https://github.com/citation-style-language/schema/raw/master/csl-citation.json"} </w:instrText>
      </w:r>
      <w:r>
        <w:fldChar w:fldCharType="separate"/>
      </w:r>
      <w:r w:rsidRPr="009A0666">
        <w:rPr>
          <w:rFonts w:cs="Times New Roman"/>
          <w:szCs w:val="24"/>
        </w:rPr>
        <w:t>Currently defined as the Australian Health Workforce Ministerial Council comprising Ministers of the governments of the participating jurisdictions and the Commonwealth with portfolio responsibility for health. Following reforms to the Council of Australian Governments (‘COAG’) in 2013, the Ministerial Council/Australian Health Workforce Ministerial Council continues to meet under the auspices of the newly reformed COAG Health Council (which comprises a slightly expanded membership of Commonwealth, State, Territory and New Zealand Ministers with responsibility for health matters, and the Commonwealth Minister for Veterans’ Affairs). The 2014 Terms of Reference for the COAG Health Council contemplates a future reform to the National Law such that reference to the Australian Health Workforce Ministerial Council will be changed. See ‘Scope of Council responsibility’, Council of Australian Governments Health Council, ‘COAG Health Council 2014 Terms of Reference’ 3 &lt;http://www.coaghealthcouncil.gov.au/Portals/0/Final_COAG%20Health%20Council%20Terms%20of%20Reference_2014.pdf&gt;.</w:t>
      </w:r>
      <w:r>
        <w:fldChar w:fldCharType="end"/>
      </w:r>
    </w:p>
  </w:footnote>
  <w:footnote w:id="66">
    <w:p w14:paraId="29D4E633" w14:textId="13C5076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{"citationID":"hZ2jcJtY","properties":{"formattedCitation":"{\\rtf See for example, {\\i{}Health Practitioner Regulation National Law (NSW)} (NSW) No 86a, s 41.}","plainCitation":"See for example, Health Practitioner Regulation National Law (NSW) (NSW) No 86a, s 41."},"citationItems":[{"id":4761,"uris":["http://zotero.org/users/955090/items/5NCDRPI4"],"uri":["http://zotero.org/users/955090/items/5NCDRPI4"],"itemData":{"id":4761,"type":"legislation","multi":{"main":{},"_keys":{}},"title":"Health Practitioner Regulation National Law","container-title":"NSW","page":"No 86a","abstract":"Note: Applied and modified as a law of New South Wales by the Health Practitioner Regulation (Adoption of National Law) Act 2009 No 86","note":"No 86a","shortTitle":"Health Practitioner Regulation National Law (NSW)"},"locator":"s 41","prefix":"See for example, "}],"schema":"https://github.com/citation-style-language/schema/raw/master/csl-citation.json"} </w:instrText>
      </w:r>
      <w:r>
        <w:fldChar w:fldCharType="separate"/>
      </w:r>
      <w:r w:rsidRPr="009A0666">
        <w:rPr>
          <w:rFonts w:cs="Times New Roman"/>
          <w:szCs w:val="24"/>
        </w:rPr>
        <w:t xml:space="preserve">See for example, </w:t>
      </w:r>
      <w:r w:rsidRPr="009A0666">
        <w:rPr>
          <w:rFonts w:cs="Times New Roman"/>
          <w:i/>
          <w:szCs w:val="24"/>
        </w:rPr>
        <w:t>Health Practitioner Regulation National Law (NSW)</w:t>
      </w:r>
      <w:r w:rsidRPr="009A0666">
        <w:rPr>
          <w:rFonts w:cs="Times New Roman"/>
          <w:szCs w:val="24"/>
        </w:rPr>
        <w:t xml:space="preserve"> (NSW) No 86a, s 41.</w:t>
      </w:r>
      <w:r>
        <w:fldChar w:fldCharType="end"/>
      </w:r>
    </w:p>
  </w:footnote>
  <w:footnote w:id="67">
    <w:p w14:paraId="5A91FD9B" w14:textId="70B8017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{"citationID":"bhEn5yLQ","properties":{"formattedCitation":"See Archer et al, above n 15.","plainCitation":"See 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Bere","given":"Samantha","multi":{"_key":{}}}],"issued":{"raw":"10/07/2015"}},"prefix":"See "}],"schema":"https://github.com/citation-style-language/schema/raw/master/csl-citation.json"} </w:instrText>
      </w:r>
      <w:r>
        <w:fldChar w:fldCharType="separate"/>
      </w:r>
      <w:r w:rsidRPr="001724B2">
        <w:t>See Archer et al, above n 15.</w:t>
      </w:r>
      <w:r>
        <w:fldChar w:fldCharType="end"/>
      </w:r>
    </w:p>
  </w:footnote>
  <w:footnote w:id="68">
    <w:p w14:paraId="282E0D07" w14:textId="68D81DAD"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{"citationID":"64O9Uw1B","properties":{"formattedCitation":"{\\rtf For an up-to-date and critical account of the operation of the model, see the recent work of Chamberlain, John Martyn Chamberlain, \\uc0\\u8216{}Malpractice, Criminality, and Medical Regulation: Reforming the Role of the GMC in Fitness to Practise Panels\\uc0\\u8217{} (2017) 25(1) {\\i{}Medical Law Review} 1; John Martyn Chamberlain, \\uc0\\u8216{}Risk-Based Regulation and Reforms to Fitness to Practise Tribunals in the United Kingdom: Serving the Public Interest?\\uc0\\u8217{} (2016) 18(5\\uc0\\u8211{}6) {\\i{}Health, Risk &amp; Society} 318; see generally John Martyn Chamberlain, {\\i{}Medical Regulation and Revalidation: A Critical Introduction} (Policy Press, 2015).}","plainCitation":"For an up-to-date and critical account of the operation of the model, see the recent work of Chamberlain, John Martyn Chamberlain, ‘Malpractice, Criminality, and Medical Regulation: Reforming the Role of the GMC in Fitness to Practise Panels’ (2017) 25(1) Medical Law Review 1; John Martyn Chamberlain, ‘Risk-Based Regulation and Reforms to Fitness to Practise Tribunals in the United Kingdom: Serving the Public Interest?’ (2016) 18(5–6) Health, Risk &amp; Society 318; see generally John Martyn Chamberlain, Medical Regulation and Revalidation: A Critical Introduction (Policy Press, 2015)."},"citationItems":[{"id":5598,"uris":["http://zotero.org/users/955090/items/C2TRFH2M"],"uri":["http://zotero.org/users/955090/items/C2TRFH2M"],"itemData":{"id":5598,"type":"article-journal","multi":{"main":{},"_keys":{}},"title":"Malpractice, Criminality, and Medical Regulation: Reforming the Role of the GMC in Fitness to Practise Panels","container-title":"Medical Law Review","page":"1-22","volume":"25","issue":"1","source":"academic.oup.com","abstract":"A recent Law Commission Review emphasised that medical fitness to practise panels (also called medical practitioners tribunals) are an important legal mechanism for ensuring that public trust in medical regulation is maintained when a complaint is made against a doctor. This article examines trends over time in panel outcomes to identify their effectiveness in ensuring public protection. Although a rise in complaints, and a change from the criminal to civil standard of proof, has not led to more doctors being struck off the medical register, increasingly action is being taken to provide advice, issue warnings, and agree rehabilitative forms of action with doctors. It is argued that these trends are congruent with the broader adoption of a risk-based approach to professional regulation. Legal reforms to maintain public trust must ensure that the shift towards risk-averse forms of professional accountability do not sacrifice public safety and due process for the sake of political pragmatic exigency.","DOI":"10.1093/medlaw/fww025","ISSN":"0967-0742","shortTitle":"Malpractice, Criminality, and Medical Regulation","journalAbbreviation":"Med Law Rev","author":[{"family":"Chamberlain","given":"John Martyn","multi":{"_key":{}}}],"issued":{"raw":"2017/02/01"}},"prefix":"For an up-to-date and critical account of the operation of the model, see the recent work of Chamberlain, "},{"id":5596,"uris":["http://zotero.org/users/955090/items/S2PRE8SG"],"uri":["http://zotero.org/users/955090/items/S2PRE8SG"],"itemData":{"id":5596,"type":"article-journal","multi":{"main":{},"_keys":{}},"title":"Risk-based regulation and reforms to fitness to practise tribunals in the United Kingdom: Serving the public interest?","container-title":"Health, Risk &amp; Society","page":"318-334","volume":"18","issue":"5-6","source":"Taylor and Francis+NEJM","abstract":"In this paper, I outline recent policy reforms to the General Medical Council (GMC) and how these are designed to promote greater public confidence in its management of the patient complaint and fitness to practise tribunal process. I explore how in spite of a decade of reform, potential for bias remains in relation to how issues of race and ethnicity, disability, age, class, gender and English language proficiency intersect with complaint making and case progression. I draw on reviews of and data from the GMC to examine the key issues surrounding the representativeness of the medical tribunal process, in terms of members’ age, gender and race and ethnicity. I note that, as in other high-income countries, there is a tendency within the United Kingdom (UK) for the risk-focused regulatory system to focus its reforming agenda on the more effective performance management of cost and risk, rather than on inculcating a more diverse patient presence and biographical profile within the day-to-day operation of regulatory regimes. I argue that this might unintentionally lead to the promotion of an optimism bias within risk-focused regulatory systems, potentially leading to a failure to communicate realistic perceptions of medical risk to patients and their families, and in doing so perhaps serving to further exacerbate the situation when instances of medical error and negligence occur. I conclude that current regulatory reforms in the UK are unlikely as a result to as fully promote the public interest and patient safety as they intend.","DOI":"10.1080/13698575.2016.1232374","ISSN":"1369-8575","shortTitle":"Risk-based regulation and reforms to fitness to practise tribunals in the United Kingdom","author":[{"family":"Chamberlain","given":"John Martyn","multi":{"_key":{}}}],"issued":{"raw":"August 17, 2016"}}},{"id":5597,"uris":["http://zotero.org/users/955090/items/PEBSRQ2J"],"uri":["http://zotero.org/users/955090/items/PEBSRQ2J"],"itemData":{"id":5597,"type":"book","multi":{"main":{},"_keys":{}},"title":"Medical regulation and revalidation: A critical introduction","publisher":"Policy Press","number-of-pages":"82","source":"Google Books","abstract":"Medical sociology has long been concerned with the role played by specialist forms of expertise in enabling the governance of ‘troublesome’ social groups – including those who are unwell, ‘deviant’ and criminally insane. However, only recently has it begun to explore how the state ensures the public is protected from acts of medical malpractice, negligence and criminality. Against the background of a series of high-profile scandals, including the case of Dr Harold Shipman who murdered over 200 of his patients, this topical and authoritative book examines how the regulation of doctors has been modernised by reforms to the Medical Practitioners Tribunal Service and the introduction of the quality assurance process of medical revalidation. In doing so, it questions whether there is evidence to support the argument that revalidation serves the public interest by ensuring that individual doctors are fit to practise. Highlighting areas of good practice and areas for further research and development, the book is ideal for academics and postgraduates interested in medical sociology, socio-legal studies, medical law, medical education, health policy and related subjects","ISBN":"978-1-4473-2546-8","note":"Google-Books-ID: uiKMCgAAQBAJ","shortTitle":"Medical regulation and revalidation","language":"en","author":[{"family":"Chamberlain","given":"John Martyn","multi":{"_key":{}}}],"issued":{"raw":"2015-08-26"}},"prefix":"see generally "}],"schema":"https://github.com/citation-style-language/schema/raw/master/csl-citation.json"} </w:instrText>
      </w:r>
      <w:r>
        <w:fldChar w:fldCharType="separate"/>
      </w:r>
      <w:r w:rsidRPr="00B12242">
        <w:rPr>
          <w:rFonts w:cs="Times New Roman"/>
          <w:szCs w:val="24"/>
        </w:rPr>
        <w:t xml:space="preserve">For an up-to-date and critical account of the operation of the model, see the recent work of Chamberlain, John Martyn Chamberlain, ‘Malpractice, Criminality, and Medical Regulation: Reforming the Role of the GMC in Fitness to Practise Panels’ (2017) 25(1) </w:t>
      </w:r>
      <w:r w:rsidRPr="00B12242">
        <w:rPr>
          <w:rFonts w:cs="Times New Roman"/>
          <w:i/>
          <w:szCs w:val="24"/>
        </w:rPr>
        <w:t>Medical Law Review</w:t>
      </w:r>
      <w:r w:rsidRPr="00B12242">
        <w:rPr>
          <w:rFonts w:cs="Times New Roman"/>
          <w:szCs w:val="24"/>
        </w:rPr>
        <w:t xml:space="preserve"> 1; John Martyn Chamberlain, ‘Risk-Based Regulation and Reforms to Fitness to Practise Tribunals in the United Kingdom: Serving the Public Interest?’ (2016) 18(5–6) </w:t>
      </w:r>
      <w:r w:rsidRPr="00B12242">
        <w:rPr>
          <w:rFonts w:cs="Times New Roman"/>
          <w:i/>
          <w:szCs w:val="24"/>
        </w:rPr>
        <w:t>Health, Risk &amp; Society</w:t>
      </w:r>
      <w:r w:rsidRPr="00B12242">
        <w:rPr>
          <w:rFonts w:cs="Times New Roman"/>
          <w:szCs w:val="24"/>
        </w:rPr>
        <w:t xml:space="preserve"> 318; see generally John Martyn Chamberlain, </w:t>
      </w:r>
      <w:r w:rsidRPr="00B12242">
        <w:rPr>
          <w:rFonts w:cs="Times New Roman"/>
          <w:i/>
          <w:szCs w:val="24"/>
        </w:rPr>
        <w:t>Medical Regulation and Revalidation: A Critical Introduction</w:t>
      </w:r>
      <w:r w:rsidRPr="00B12242">
        <w:rPr>
          <w:rFonts w:cs="Times New Roman"/>
          <w:szCs w:val="24"/>
        </w:rPr>
        <w:t xml:space="preserve"> (Policy Press, 2015).</w:t>
      </w:r>
      <w:r>
        <w:fldChar w:fldCharType="end"/>
      </w:r>
    </w:p>
  </w:footnote>
  <w:footnote w:id="69">
    <w:p w14:paraId="526AFCEF" w14:textId="59D85103" w:rsidR="00387010" w:rsidRDefault="00387010" w:rsidP="000C00C2">
      <w:pPr>
        <w:pStyle w:val="FootnoteText"/>
        <w:spacing w:before="120" w:after="120" w:line="240" w:lineRule="auto"/>
      </w:pPr>
      <w:r w:rsidRPr="00B916B2">
        <w:rPr>
          <w:rStyle w:val="FootnoteReference"/>
        </w:rPr>
        <w:footnoteRef/>
      </w:r>
      <w:r>
        <w:t xml:space="preserve"> </w:t>
      </w:r>
      <w:r>
        <w:tab/>
        <w:t>Guidelines dictate that feedback must be sought from</w:t>
      </w:r>
      <w:r w:rsidRPr="001B1F49">
        <w:t xml:space="preserve"> multiple health professional colleagues (of whom only half should be doctors) and from multiple patients.</w:t>
      </w:r>
    </w:p>
  </w:footnote>
  <w:footnote w:id="70">
    <w:p w14:paraId="2F1880F0" w14:textId="02FF4247"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{"citationID":"poMk90sz","properties":{"formattedCitation":"{\\rtf Between January 2013 and July 2013, Kerry J Breen, \\uc0\\u8216{}Revalidation \\uc0\\u8212{} What Is the Problem and What Are the Possible Solutions?\\uc0\\u8217{} (2014) 200(3) {\\i{}Medical Journal of Australia} 153 &lt;https://www.mja.com.au/journal/2014/200/3/revalidation-what-problem-and-what-are-possible-solutions&gt;.}","plainCitation":"Between January 2013 and July 2013, Kerry J Breen, ‘Revalidation — What Is the Problem and What Are the Possible Solutions?’ (2014) 200(3) Medical Journal of Australia 153 &lt;https://www.mja.com.au/journal/2014/200/3/revalidation-what-problem-and-what-are-possible-solutions&gt;."},"citationItems":[{"id":4001,"uris":["http://zotero.org/users/955090/items/ZAV5MEJT"],"uri":["http://zotero.org/users/955090/items/ZAV5MEJT"],"itemData":{"id":4001,"type":"article-journal","multi":{"main":{},"_keys":{}},"title":"Revalidation — what is the problem and what are the possible solutions?","container-title":"Medical Journal of Australia","volume":"200","issue":"3","source":"eMJA","abstract":"Summary The proposed introduction of a revalidation process as part of renewal of medical registration in Australia needs wide debate.  The revalidation process that began in the United Kingdom in 2012 is premised on a need to regain the trust of the community and to promote participation in continuing professional development. These alone are not justifiable grounds for introducing a similar process in Australia.  There are good reasons to argue that existing processes and databases should be used to determine more accurately what the weaknesses in Australia’s medical regulatory regime are and to tailor improvements to those weaknesses.","URL":"https://www.mja.com.au/journal/2014/200/3/revalidation-what-problem-and-what-are-possible-solutions","ISSN":"0025-729X","journalAbbreviation":"Med. J. Aust.","author":[{"family":"Breen","given":"Kerry J.","multi":{"_key":{}}}],"issued":{"raw":"2014"},"accessed":{"raw":"2017-05-05T03:33:27Z"}},"locator":"153","prefix":"Between January 2013 and July 2013, "}],"schema":"https://github.com/citation-style-language/schema/raw/master/csl-citation.json"} </w:instrText>
      </w:r>
      <w:r>
        <w:fldChar w:fldCharType="separate"/>
      </w:r>
      <w:r w:rsidRPr="009A0666">
        <w:rPr>
          <w:rFonts w:cs="Times New Roman"/>
          <w:szCs w:val="24"/>
        </w:rPr>
        <w:t xml:space="preserve">Between January 2013 and July 2013, Kerry J Breen, ‘Revalidation — What Is the Problem and What Are the Possible Solutions?’ (2014) 200(3) </w:t>
      </w:r>
      <w:r w:rsidRPr="009A0666">
        <w:rPr>
          <w:rFonts w:cs="Times New Roman"/>
          <w:i/>
          <w:szCs w:val="24"/>
        </w:rPr>
        <w:t>Medical Journal of Australia</w:t>
      </w:r>
      <w:r w:rsidRPr="009A0666">
        <w:rPr>
          <w:rFonts w:cs="Times New Roman"/>
          <w:szCs w:val="24"/>
        </w:rPr>
        <w:t xml:space="preserve"> 153 &lt;https://www.mja.com.au/journal/2014/200/3/revalidation-what-problem-and-what-are-possible-solutions&gt;.</w:t>
      </w:r>
      <w:r>
        <w:fldChar w:fldCharType="end"/>
      </w:r>
    </w:p>
  </w:footnote>
  <w:footnote w:id="71">
    <w:p w14:paraId="4159109E" w14:textId="79F6D0A8"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{"citationID":"rYEuaioz","properties":{"formattedCitation":"Thistlethwaite, Charlton and Coomber, above n 28, 71.","plainCitation":"Thistlethwaite, Charlton and Coomber, above n 28, 71."},"citationItems":[{"id":4002,"uris":["http://zotero.org/users/955090/items/FE5WVM7T"],"uri":["http://zotero.org/users/955090/items/FE5WVM7T"],"itemData":{"id":4002,"type":"article-journal","multi":{"main":{},"_keys":{}},"title":"Revalidation for relicensing: reflections on the proposed British model","container-title":"Australian family physician","page":"70","volume":"41","issue":"1/2","source":"Google Scholar","shortTitle":"Revalidation for relicensing","author":[{"family":"Thistlethwaite","given":"Jill","multi":{"_key":{}}},{"family":"Charlton","given":"Rodger","multi":{"_key":{}}},{"family":"Coomber","given":"Jane","multi":{"_key":{}}}],"issued":{"raw":"2012"}},"locator":"71"}],"schema":"https://github.com/citation-style-language/schema/raw/master/csl-citation.json"} </w:instrText>
      </w:r>
      <w:r>
        <w:fldChar w:fldCharType="separate"/>
      </w:r>
      <w:r w:rsidRPr="001724B2">
        <w:t>Thistlethwaite, Charlton and Coomber, above n 28, 71.</w:t>
      </w:r>
      <w:r>
        <w:fldChar w:fldCharType="end"/>
      </w:r>
    </w:p>
  </w:footnote>
  <w:footnote w:id="72">
    <w:p w14:paraId="60AA1939" w14:textId="27E3FAE5"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{"citationID":"CUY5ruoQ","properties":{"formattedCitation":"{\\rtf G Christie-Taylor, \\uc0\\u8216{}Revalidation for Anaesthetists: Will It Be Effective, Evidence-Based and Practical?\\uc0\\u8217{} (2015) 43(5) {\\i{}Anaesthesia and Intensive Care} 563, 564.}","plainCitation":"G Christie-Taylor, ‘Revalidation for Anaesthetists: Will It Be Effective, Evidence-Based and Practical?’ (2015) 43(5) Anaesthesia and Intensive Care 563, 564."},"citationItems":[{"id":4741,"uris":["http://zotero.org/users/955090/items/63C9NGSW"],"uri":["http://zotero.org/users/955090/items/63C9NGSW"],"itemData":{"id":4741,"type":"article-journal","multi":{"main":{},"_keys":{}},"title":"Revalidation for anaesthetists: will it be effective, evidence-based and practical?","container-title":"Anaesthesia and Intensive Care","page":"563-565","volume":"43","issue":"5","source":"PubMed","ISSN":"0310-057X","note":"PMID: 26310404","shortTitle":"Revalidation for anaesthetists","journalAbbreviation":"Anaesth Intensive Care","language":"eng","author":[{"family":"Christie-Taylor","given":"G.","multi":{"_key":{}}}],"issued":{"raw":"Sep 2015"}},"locator":"564"}],"schema":"https://github.com/citation-style-language/schema/raw/master/csl-citation.json"} </w:instrText>
      </w:r>
      <w:r>
        <w:fldChar w:fldCharType="separate"/>
      </w:r>
      <w:r w:rsidRPr="00387010">
        <w:rPr>
          <w:rFonts w:cs="Times New Roman"/>
          <w:szCs w:val="24"/>
        </w:rPr>
        <w:t xml:space="preserve">G Christie-Taylor, ‘Revalidation for Anaesthetists: Will It Be Effective, Evidence-Based and Practical?’ (2015) 43(5) </w:t>
      </w:r>
      <w:r w:rsidRPr="00387010">
        <w:rPr>
          <w:rFonts w:cs="Times New Roman"/>
          <w:i/>
          <w:szCs w:val="24"/>
        </w:rPr>
        <w:t>Anaesthesia and Intensive Care</w:t>
      </w:r>
      <w:r w:rsidRPr="00387010">
        <w:rPr>
          <w:rFonts w:cs="Times New Roman"/>
          <w:szCs w:val="24"/>
        </w:rPr>
        <w:t xml:space="preserve"> 563, 564.</w:t>
      </w:r>
      <w:r>
        <w:fldChar w:fldCharType="end"/>
      </w:r>
    </w:p>
  </w:footnote>
  <w:footnote w:id="73">
    <w:p w14:paraId="5FAB293C" w14:textId="6AE7355D"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EQhAtAFD","properties":{"formattedCitation":"Ibid.","plainCitation":"Ibid."},"citationItems":[{"id":4741,"uris":["http://zotero.org/users/955090/items/63C9NGSW"],"uri":["http://zotero.org/users/955090/items/63C9NGSW"],"itemData":{"id":4741,"type":"article-journal","multi":{"main":{},"_keys":{}},"title":"Revalidation for anaesthetists: will it be effective, evidence-based and practical?","container-title":"Anaesthesia and Intensive Care","page":"563-565","volume":"43","issue":"5","source":"PubMed","ISSN":"0310-057X","note":"PMID: 26310404","shortTitle":"Revalidation for anaesthetists","journalAbbreviation":"Anaesth Intensive Care","language":"eng","author":[{"family":"Christie-Taylor","given":"G.","multi":{"_key":{}}}],"issued":{"raw":"Sep 2015"}},"locator":"564"}],"schema":"https://github.com/citation-style-language/schema/raw/master/csl-citation.json"} </w:instrText>
      </w:r>
      <w:r>
        <w:fldChar w:fldCharType="separate"/>
      </w:r>
      <w:r w:rsidRPr="009A0666">
        <w:t>Ibid.</w:t>
      </w:r>
      <w:r>
        <w:fldChar w:fldCharType="end"/>
      </w:r>
    </w:p>
  </w:footnote>
  <w:footnote w:id="74">
    <w:p w14:paraId="0C62E290" w14:textId="3B95F4E8"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{"citationID":"9oED290O","properties":{"formattedCitation":"Breen, above n 73.","plainCitation":"Breen, above n 73."},"citationItems":[{"id":4001,"uris":["http://zotero.org/users/955090/items/ZAV5MEJT"],"uri":["http://zotero.org/users/955090/items/ZAV5MEJT"],"itemData":{"id":4001,"type":"article-journal","multi":{"main":{},"_keys":{}},"title":"Revalidation — what is the problem and what are the possible solutions?","container-title":"Medical Journal of Australia","volume":"200","issue":"3","source":"eMJA","abstract":"Summary The proposed introduction of a revalidation process as part of renewal of medical registration in Australia needs wide debate.  The revalidation process that began in the United Kingdom in 2012 is premised on a need to regain the trust of the community and to promote participation in continuing professional development. These alone are not justifiable grounds for introducing a similar process in Australia.  There are good reasons to argue that existing processes and databases should be used to determine more accurately what the weaknesses in Australia’s medical regulatory regime are and to tailor improvements to those weaknesses.","URL":"https://www.mja.com.au/journal/2014/200/3/revalidation-what-problem-and-what-are-possible-solutions","ISSN":"0025-729X","journalAbbreviation":"Med. J. Aust.","author":[{"family":"Breen","given":"Kerry J.","multi":{"_key":{}}}],"issued":{"raw":"2014"},"accessed":{"raw":"2017-05-05T03:33:27Z"}}}],"schema":"https://github.com/citation-style-language/schema/raw/master/csl-citation.json"} </w:instrText>
      </w:r>
      <w:r>
        <w:fldChar w:fldCharType="separate"/>
      </w:r>
      <w:r w:rsidRPr="001724B2">
        <w:t>Breen, above n 73.</w:t>
      </w:r>
      <w:r>
        <w:fldChar w:fldCharType="end"/>
      </w:r>
    </w:p>
  </w:footnote>
  <w:footnote w:id="75">
    <w:p w14:paraId="559F5F5A" w14:textId="1192B13D"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ugDPi4rq","properties":{"formattedCitation":"Ibid.","plainCitation":"Ibid."},"citationItems":[{"id":4001,"uris":["http://zotero.org/users/955090/items/ZAV5MEJT"],"uri":["http://zotero.org/users/955090/items/ZAV5MEJT"],"itemData":{"id":4001,"type":"article-journal","multi":{"main":{},"_keys":{}},"title":"Revalidation — what is the problem and what are the possible solutions?","container-title":"Medical Journal of Australia","volume":"200","issue":"3","source":"eMJA","abstract":"Summary The proposed introduction of a revalidation process as part of renewal of medical registration in Australia needs wide debate.  The revalidation process that began in the United Kingdom in 2012 is premised on a need to regain the trust of the community and to promote participation in continuing professional development. These alone are not justifiable grounds for introducing a similar process in Australia.  There are good reasons to argue that existing processes and databases should be used to determine more accurately what the weaknesses in Australia’s medical regulatory regime are and to tailor improvements to those weaknesses.","URL":"https://www.mja.com.au/journal/2014/200/3/revalidation-what-problem-and-what-are-possible-solutions","ISSN":"0025-729X","journalAbbreviation":"Med. J. Aust.","author":[{"family":"Breen","given":"Kerry J.","multi":{"_key":{}}}],"issued":{"raw":"2014"},"accessed":{"raw":"2017-05-05T03:33:27Z"}}}],"schema":"https://github.com/citation-style-language/schema/raw/master/csl-citation.json"} </w:instrText>
      </w:r>
      <w:r>
        <w:fldChar w:fldCharType="separate"/>
      </w:r>
      <w:r w:rsidRPr="009A0666">
        <w:t>Ibid.</w:t>
      </w:r>
      <w:r>
        <w:fldChar w:fldCharType="end"/>
      </w:r>
    </w:p>
  </w:footnote>
  <w:footnote w:id="76">
    <w:p w14:paraId="37336611" w14:textId="4FDA31C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{"citationID":"FDnQugFd","properties":{"formattedCitation":"{\\rtf Christie-Taylor, above n 75, 563 ('The strongest criticisms of revalidation have been of its sparse evidence base\\uc0\\u8217{}).}","plainCitation":"Christie-Taylor, above n 75, 563 ('The strongest criticisms of revalidation have been of its sparse evidence base’)."},"citationItems":[{"id":4741,"uris":["http://zotero.org/users/955090/items/63C9NGSW"],"uri":["http://zotero.org/users/955090/items/63C9NGSW"],"itemData":{"id":4741,"type":"article-journal","multi":{"main":{},"_keys":{}},"title":"Revalidation for anaesthetists: will it be effective, evidence-based and practical?","container-title":"Anaesthesia and Intensive Care","page":"563-565","volume":"43","issue":"5","source":"PubMed","ISSN":"0310-057X","note":"PMID: 26310404","shortTitle":"Revalidation for anaesthetists","journalAbbreviation":"Anaesth Intensive Care","language":"eng","author":[{"family":"Christie-Taylor","given":"G.","multi":{"_key":{}}}],"issued":{"raw":"Sep 2015"}},"locator":"563","suffix":"('The strongest criticisms of revalidation have been of its sparse evidence base')"}],"schema":"https://github.com/citation-style-language/schema/raw/master/csl-citation.json"} </w:instrText>
      </w:r>
      <w:r>
        <w:fldChar w:fldCharType="separate"/>
      </w:r>
      <w:r w:rsidRPr="00387010">
        <w:rPr>
          <w:rFonts w:cs="Times New Roman"/>
          <w:szCs w:val="24"/>
        </w:rPr>
        <w:t>Christie-Taylor, above n 75, 563 ('The strongest criticisms of revalidation have been of its sparse evidence base’).</w:t>
      </w:r>
      <w:r>
        <w:fldChar w:fldCharType="end"/>
      </w:r>
    </w:p>
  </w:footnote>
  <w:footnote w:id="77">
    <w:p w14:paraId="18B0F6BC" w14:textId="2F10B64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{"citationID":"AfEKFFKK","properties":{"formattedCitation":"{\\rtf Marie Bismark, {\\i{}Marie Bismark: Gauging Revalidation} (5 October 2015) MJA InSight &lt;https://www.mja.com.au/insight/2015/38/marie-bismark-gauging-revalidation&gt;.}","plainCitation":"Marie Bismark, Marie Bismark: Gauging Revalidation (5 October 2015) MJA InSight &lt;https://www.mja.com.au/insight/2015/38/marie-bismark-gauging-revalidation&gt;."},"citationItems":[{"id":3039,"uris":["http://zotero.org/users/955090/items/6Q7CQTZA"],"uri":["http://zotero.org/users/955090/items/6Q7CQTZA"],"itemData":{"id":3039,"type":"webpage","multi":{"main":{},"_keys":{}},"title":"Marie Bismark: Gauging Revalidation","container-title":"MJA InSight","URL":"https://www.mja.com.au/insight/2015/38/marie-bismark-gauging-revalidation","shortTitle":"Marie Bismark","author":[{"family":"Bismark","given":"Marie","multi":{"_key":{}}}],"issued":{"raw":"5 October 2015"},"accessed":{"raw":"2016-07-20T01:08:06Z"}}}],"schema":"https://github.com/citation-style-language/schema/raw/master/csl-citation.json"} </w:instrText>
      </w:r>
      <w:r>
        <w:fldChar w:fldCharType="separate"/>
      </w:r>
      <w:r w:rsidRPr="009A0666">
        <w:rPr>
          <w:rFonts w:cs="Times New Roman"/>
          <w:szCs w:val="24"/>
        </w:rPr>
        <w:t xml:space="preserve">Marie Bismark, </w:t>
      </w:r>
      <w:r w:rsidRPr="009A0666">
        <w:rPr>
          <w:rFonts w:cs="Times New Roman"/>
          <w:i/>
          <w:szCs w:val="24"/>
        </w:rPr>
        <w:t>Marie Bismark: Gauging Revalidation</w:t>
      </w:r>
      <w:r w:rsidRPr="009A0666">
        <w:rPr>
          <w:rFonts w:cs="Times New Roman"/>
          <w:szCs w:val="24"/>
        </w:rPr>
        <w:t xml:space="preserve"> (5 October 2015) MJA InSight &lt;https://www.mja.com.au/insight/2015/38/marie-bismark-gauging-revalidation&gt;.</w:t>
      </w:r>
      <w:r>
        <w:fldChar w:fldCharType="end"/>
      </w:r>
    </w:p>
  </w:footnote>
  <w:footnote w:id="78">
    <w:p w14:paraId="5AA92D69" w14:textId="705F7107"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Ez3Fn1KJ","properties":{"formattedCitation":"Ibid.","plainCitation":"Ibid."},"citationItems":[{"id":3039,"uris":["http://zotero.org/users/955090/items/6Q7CQTZA"],"uri":["http://zotero.org/users/955090/items/6Q7CQTZA"],"itemData":{"id":3039,"type":"webpage","multi":{"main":{},"_keys":{}},"title":"Marie Bismark: Gauging Revalidation","container-title":"MJA InSight","URL":"https://www.mja.com.au/insight/2015/38/marie-bismark-gauging-revalidation","shortTitle":"Marie Bismark","author":[{"family":"Bismark","given":"Marie","multi":{"_key":{}}}],"issued":{"raw":"5 October 2015"},"accessed":{"raw":"2016-07-20T01:08:06Z"}}}],"schema":"https://github.com/citation-style-language/schema/raw/master/csl-citation.json"} </w:instrText>
      </w:r>
      <w:r>
        <w:fldChar w:fldCharType="separate"/>
      </w:r>
      <w:r w:rsidRPr="009A0666">
        <w:t>Ibid.</w:t>
      </w:r>
      <w:r>
        <w:fldChar w:fldCharType="end"/>
      </w:r>
    </w:p>
  </w:footnote>
  <w:footnote w:id="79">
    <w:p w14:paraId="2DA54E57" w14:textId="4ED1FF76"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{"citationID":"Km1ao77w","properties":{"formattedCitation":"{\\rtf Ian Freckelton, \\uc0\\u8216{}Regulating Health Practitioner Professionalism Regulating Health Practitioners\\uc0\\u8217{} (2005) 23 {\\i{}Law in Context: A Socio-Legal Journal} 1, 17 (\\uc0\\u8216{}The move from disciplinary regulation toward the broader notion of fitness to practice revalidation is inevitable. The real question is how it can be most effectively and practically implemented.\\uc0\\u8217{}).}","plainCitation":"Ian Freckelton, ‘Regulating Health Practitioner Professionalism Regulating Health Practitioners’ (2005) 23 Law in Context: A Socio-Legal Journal 1, 17 (‘The move from disciplinary regulation toward the broader notion of fitness to practice revalidation is inevitable. The real question is how it can be most effectively and practically implemented.’)."},"citationItems":[{"id":4003,"uris":["http://zotero.org/users/955090/items/QBBEM9EV"],"uri":["http://zotero.org/users/955090/items/QBBEM9EV"],"itemData":{"id":4003,"type":"article-journal","multi":{"main":{},"_keys":{}},"title":"Regulating Health Practitioner Professionalism Regulating Health Practitioners","container-title":"Law in Context: A Socio-Legal Journal","page":"1-20","volume":"23","source":"HeinOnline","journalAbbreviation":"Law Context: A Socio-Legal J.","language":"eng","author":[{"family":"Freckelton","given":"Ian","multi":{"_key":{}}}],"issued":{"raw":"2005"}},"locator":"17","suffix":"(‘The move from disciplinary regulation toward the broader notion of fitness to practice revalidation is inevitable. The real question is how it can be most effectively and practically implemented.')"}],"schema":"https://github.com/citation-style-language/schema/raw/master/csl-citation.json"} </w:instrText>
      </w:r>
      <w:r>
        <w:fldChar w:fldCharType="separate"/>
      </w:r>
      <w:r w:rsidRPr="009A0666">
        <w:rPr>
          <w:rFonts w:cs="Times New Roman"/>
          <w:szCs w:val="24"/>
        </w:rPr>
        <w:t xml:space="preserve">Ian Freckelton, ‘Regulating Health Practitioner Professionalism Regulating Health Practitioners’ (2005) 23 </w:t>
      </w:r>
      <w:r w:rsidRPr="009A0666">
        <w:rPr>
          <w:rFonts w:cs="Times New Roman"/>
          <w:i/>
          <w:szCs w:val="24"/>
        </w:rPr>
        <w:t>Law in Context: A Socio-Legal Journal</w:t>
      </w:r>
      <w:r w:rsidRPr="009A0666">
        <w:rPr>
          <w:rFonts w:cs="Times New Roman"/>
          <w:szCs w:val="24"/>
        </w:rPr>
        <w:t xml:space="preserve"> 1, 17 (‘The move from disciplinary regulation toward the broader notion of fitness to practice revalidation is inevitable. The real question is how it can be most effectively and practically implemented.’).</w:t>
      </w:r>
      <w:r>
        <w:fldChar w:fldCharType="end"/>
      </w:r>
    </w:p>
  </w:footnote>
  <w:footnote w:id="80">
    <w:p w14:paraId="696F83F0" w14:textId="38236625" w:rsidR="00387010" w:rsidRDefault="00387010" w:rsidP="000C00C2">
      <w:pPr>
        <w:pStyle w:val="FootnoteText"/>
        <w:spacing w:before="120" w:after="120" w:line="240" w:lineRule="auto"/>
      </w:pPr>
      <w:r w:rsidRPr="00B916B2">
        <w:rPr>
          <w:rStyle w:val="FootnoteReference"/>
        </w:rPr>
        <w:footnoteRef/>
      </w:r>
      <w:r>
        <w:t xml:space="preserve"> </w:t>
      </w:r>
      <w:r>
        <w:tab/>
      </w:r>
      <w:r>
        <w:rPr>
          <w:rFonts w:eastAsia="Times New Roman" w:cs="Times New Roman"/>
          <w:iCs/>
          <w:lang w:eastAsia="en-AU"/>
        </w:rPr>
        <w:fldChar w:fldCharType="begin"/>
      </w:r>
      <w:r>
        <w:rPr>
          <w:rFonts w:eastAsia="Times New Roman" w:cs="Times New Roman"/>
          <w:lang w:eastAsia="en-AU"/>
        </w:rPr>
        <w:instrText xml:space="preserve"> ADDIN ZOTERO_ITEM CSL_CITATION {"citationID":"2p02tiub0f","properties":{"formattedCitation":"{\\rtf Mabel Amaya-Amaya, Karen Gerard and Mandy Ryan, \\uc0\\u8216{}Discrete Choice Experiments in a Nutshell\\uc0\\u8217{} in Mandy Ryan, Karen Gerard and Mabel Amaya-Amaya (eds), {\\i{}Using Discrete Choice Experiments to Value Health and Health Care} (Springer Netherlands, 2008) 13 &lt;http://link.springer.com.ezproxy.lib.uts.edu.au/chapter/10.1007/978-1-4020-5753-3_1&gt;.}","plainCitation":"Mabel Amaya-Amaya, Karen Gerard and Mandy Ryan, ‘Discrete Choice Experiments in a Nutshell’ in Mandy Ryan, Karen Gerard and Mabel Amaya-Amaya (eds), Using Discrete Choice Experiments to Value Health and Health Care (Springer Netherlands, 2008) 13 &lt;http://link.springer.com.ezproxy.lib.uts.edu.au/chapter/10.1007/978-1-4020-5753-3_1&gt;."},"citationItems":[{"id":3649,"uris":["http://zotero.org/users/955090/items/AVXKCX26"],"uri":["http://zotero.org/users/955090/items/AVXKCX26"],"itemData":{"id":3649,"type":"chapter","multi":{"main":{},"_keys":{}},"title":"Discrete Choice Experiments in a Nutshell","container-title":"Using Discrete Choice Experiments to Value Health and Health Care","collection-title":"The Economics of Non-Market Goods and Resources","collection-number":"11","publisher":"Springer Netherlands","page":"13-46","source":"link.springer.com.ezproxy.lib.uts.edu.au","abstract":"Since their introduction in health economics in the early 1990s, research in the area of health care benefits valuation has seen an increased interest in the use of discrete choice experiments (DCEs). This is shown by the explosion of literature applying this technique to direct evaluation of different policy-relevant attributes of health care interventions as well as to look at other issues such as understanding labour supply characteristics, time preferences or uptake or demand forecasting (see Ryan and Gerard, 2003; Fiebig et al., 2005 for recent reviews).","URL":"http://link.springer.com.ezproxy.lib.uts.edu.au/chapter/10.1007/978-1-4020-5753-3_1","ISBN":"978-1-4020-4082-5","note":"DOI: 10.1007/978-1-4020-5753-3_1","language":"en","author":[{"family":"Amaya-Amaya","given":"Mabel","multi":{"_key":{}}},{"family":"Gerard","given":"Karen","multi":{"_key":{}}},{"family":"Ryan","given":"Mandy","multi":{"_key":{}}}],"editor":[{"family":"Ryan","given":"Mandy","multi":{"_key":{}}},{"family":"Gerard","given":"Karen","multi":{"_key":{}}},{"family":"Amaya-Amaya","given":"Mabel","multi":{"_key":{}}}],"issued":{"raw":"2008"},"accessed":{"raw":"2016-09-14T06:28:07Z"}}}],"schema":"https://github.com/citation-style-language/schema/raw/master/csl-citation.json"} </w:instrText>
      </w:r>
      <w:r>
        <w:rPr>
          <w:rFonts w:eastAsia="Times New Roman" w:cs="Times New Roman"/>
          <w:iCs/>
          <w:lang w:eastAsia="en-AU"/>
        </w:rPr>
        <w:fldChar w:fldCharType="separate"/>
      </w:r>
      <w:r w:rsidRPr="009A0666">
        <w:rPr>
          <w:rFonts w:cs="Times New Roman"/>
          <w:szCs w:val="24"/>
        </w:rPr>
        <w:t xml:space="preserve">Mabel Amaya-Amaya, Karen Gerard and Mandy Ryan, ‘Discrete Choice Experiments in a Nutshell’ in Mandy Ryan, Karen Gerard and Mabel Amaya-Amaya (eds), </w:t>
      </w:r>
      <w:r w:rsidRPr="009A0666">
        <w:rPr>
          <w:rFonts w:cs="Times New Roman"/>
          <w:i/>
          <w:szCs w:val="24"/>
        </w:rPr>
        <w:t>Using Discrete Choice Experiments to Value Health and Health Care</w:t>
      </w:r>
      <w:r w:rsidRPr="009A0666">
        <w:rPr>
          <w:rFonts w:cs="Times New Roman"/>
          <w:szCs w:val="24"/>
        </w:rPr>
        <w:t xml:space="preserve"> (Springer Netherlands, 2008) 13 &lt;http://link.springer.com.ezproxy.lib.uts.edu.au/chapter/10.1007/978-1-4020-5753-3_1&gt;.</w:t>
      </w:r>
      <w:r>
        <w:rPr>
          <w:rFonts w:eastAsia="Times New Roman" w:cs="Times New Roman"/>
          <w:iCs/>
          <w:lang w:eastAsia="en-AU"/>
        </w:rPr>
        <w:fldChar w:fldCharType="end"/>
      </w:r>
    </w:p>
  </w:footnote>
  <w:footnote w:id="81">
    <w:p w14:paraId="46864CA0" w14:textId="7DEF4644"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{"citationID":"2vANDkNs","properties":{"formattedCitation":"{\\rtf Deborah J Street and Leonie Burgess, {\\i{}The Construction of Optimal Stated Choice Experiments: Theory and Methods} (John Wiley &amp; Sons, 2007); Mandy Ryan, Karen Gerard and Mabel Amaya-Amaya, {\\i{}Using Discrete Choice Experiments to Value Health and Health Care} (Springer Science &amp; Business Media, 2007); Philip L Russo et al, \\uc0\\u8216{}Novel Application of a Discrete Choice Experiment to Identify Preferences for a National Healthcare-Associated Infection Surveillance Programme: A Cross-Sectional Study\\uc0\\u8217{} (2016) 6(5) {\\i{}BMJ Open} e011397; Esther W de Bekker-Grob, Mandy Ryan and Karen Gerard, \\uc0\\u8216{}Discrete Choice Experiments in Health Economics: A Review of the Literature\\uc0\\u8217{} (2012) 21(2) {\\i{}Health Economics} 145; M Ryan et al, \\uc0\\u8216{}Use of Discrete Choice Experiments to Elicit Preferences\\uc0\\u8217{} (2001) 10(suppl 1) {\\i{}Quality and Safety in Health Care} i55.}","plainCitation":"Deborah J Street and Leonie Burgess, The Construction of Optimal Stated Choice Experiments: Theory and Methods (John Wiley &amp; Sons, 2007); Mandy Ryan, Karen Gerard and Mabel Amaya-Amaya, Using Discrete Choice Experiments to Value Health and Health Care (Springer Science &amp; Business Media, 2007); Philip L Russo et al, ‘Novel Application of a Discrete Choice Experiment to Identify Preferences for a National Healthcare-Associated Infection Surveillance Programme: A Cross-Sectional Study’ (2016) 6(5) BMJ Open e011397; Esther W de Bekker-Grob, Mandy Ryan and Karen Gerard, ‘Discrete Choice Experiments in Health Economics: A Review of the Literature’ (2012) 21(2) Health Economics 145; M Ryan et al, ‘Use of Discrete Choice Experiments to Elicit Preferences’ (2001) 10(suppl 1) Quality and Safety in Health Care i55."},"citationItems":[{"id":3037,"uris":["http://zotero.org/users/955090/items/7XKACXCN"],"uri":["http://zotero.org/users/955090/items/7XKACXCN"],"itemData":{"id":3037,"type":"book","multi":{"main":{},"_keys":{}},"title":"The Construction of Optimal Stated Choice Experiments: Theory and Methods","publisher":"John Wiley &amp; Sons","number-of-pages":"345","source":"Google Books","abstract":"The most comprehensive and applied discussion of stated choice experiment constructions available The Construction of Optimal Stated Choice Experiments provides an accessible introduction to the construction methods needed to create the best possible designs for use in modeling decision-making. Many aspects of the design of a generic stated choice experiment are independent of its area of application, and until now there has been no single book describing these constructions. This book begins with a brief description of the various areas where stated choice experiments are applicable, including marketing and health economics, transportation, environmental resource economics, and public welfare analysis. The authors focus on recent research results on the construction of optimal and near-optimal choice experiments and conclude with guidelines and insight on how to properly implement these results. Features of the book include:  Construction of generic stated choice experiments for the estimation of main effects only, as well as experiments for the estimation of main effects plus two-factor interactions  Constructions for choice sets of any size and for attributes with any number of levels   A discussion of designs that contain a none option or a common base option   Practical techniques for the implementation of the constructions   Class-tested material that presents theoretical discussion of optimal design   Complete and extensive references to the mathematical and statistical literature for the constructions   Exercise sets in most chapters, which reinforce the understanding of the presented material   The Construction of Optimal Stated Choice Experiments serves as an invaluable reference guide for applied statisticians and practitioners in the areas of marketing, health economics, transport, and environmental evaluation. It is also ideal as a supplemental text for courses in the design of experiments, decision support systems, and choice models. A companion web site is available for readers to access web-based software that can be used to implement the constructions described in the book.","ISBN":"978-0-470-14855-6","shortTitle":"The Construction of Optimal Stated Choice Experiments","language":"en","author":[{"family":"Street","given":"Deborah J.","multi":{"_key":{}}},{"family":"Burgess","given":"Leonie","multi":{"_key":{}}}],"issued":{"raw":"2007-07-20"}}},{"id":3038,"uris":["http://zotero.org/users/955090/items/5KEWCEVD"],"uri":["http://zotero.org/users/955090/items/5KEWCEVD"],"itemData":{"id":3038,"type":"book","multi":{"main":{},"_keys":{}},"title":"Using Discrete Choice Experiments to Value Health and Health Care","publisher":"Springer Science &amp; Business Media","number-of-pages":"265","source":"Google Books","abstract":"USING DISCRETE CHOICE EXPERIMENTS TO VALUE HEALTH AND HEALTH CARE In recent years, there has been a growing interest in the development and application of discrete choice experiments (DCEs) within health economics. The use of this re- tively new instrument to value health and health care has now evolved to the point where a general text for practising professionals seems appropriate. The few existing books in this area are either research monographs or focus almost entirely on more advanced t- ics. By contrast, this book serves as a general reference for those applying the technique to health care for the first time as well as for more experienced practitioners. Thus, the book is relevant to postgraduate students and applied researchers who have an interest in the use of DCEs for valuing health and health care. Contributions are made by a number of leading experts in the field, enabling the book to contain a uniquely rich mix of research applications and methodological developments. Part 1 summarises how DCEs can be implemented, from experimental design to data analysis and the interpretation of results. In many ways, this can be regarded as a crash course on the conduct of DCEs. Extensive reference is made throughout to other sources of literature where the interested reader can find further details. Part 2 presents a series of case studies, illustrating the breadth of applications in health e- nomics.","ISBN":"978-1-4020-5753-3","language":"en","author":[{"family":"Ryan","given":"Mandy","multi":{"_key":{}}},{"family":"Gerard","given":"Karen","multi":{"_key":{}}},{"family":"Amaya-Amaya","given":"Mabel","multi":{"_key":{}}}],"issued":{"raw":"2007-10-23"}}},{"id":3059,"uris":["http://zotero.org/users/955090/items/ZTW8XMV3"],"uri":["http://zotero.org/users/955090/items/ZTW8XMV3"],"itemData":{"id":3059,"type":"article-journal","multi":{"main":{},"_keys":{}},"title":"Novel application of a discrete choice experiment to identify preferences for a national healthcare-associated infection surveillance programme: a cross-sectional study","container-title":"BMJ Open","page":"e011397","volume":"6","issue":"5","source":"bmjopen.bmj.com","abstract":"Objective To identify key stakeholder preferences and priorities when considering a national healthcare-associated infection (HAI) surveillance programme through the use of a discrete choice experiment (DCE).\nSetting Australia does not have a national HAI surveillance programme. An online web-based DCE was developed and made available to participants in Australia.\nParticipants A sample of 184 purposively selected healthcare workers based on their senior leadership role in infection prevention in Australia.\nPrimary and secondary outcomes A DCE requiring respondents to select 1 HAI surveillance programme over another based on 5 different characteristics (or attributes) in repeated hypothetical scenarios. Data were analysed using a mixed logit model to evaluate preferences and identify the relative importance of each attribute.\nResults A total of 122 participants completed the survey (response rate 66%) over a 5-week period. Excluding 22 who mismatched a duplicate choice scenario, analysis was conducted on 100 responses. The key findings included: 72% of stakeholders exhibited a preference for a surveillance programme with continuous mandatory core components (mean coefficient 0.640 (p&lt;0.01)), 65% for a standard surveillance protocol where patient-level data are collected on infected and non-infected patients (mean coefficient 0.641 (p&lt;0.01)), and 92% for hospital-level data that are publicly reported on a website and not associated with financial penalties (mean coefficient 1.663 (p&lt;0.01)).\nConclusions The use of the DCE has provided a unique insight to key stakeholder priorities when considering a national HAI surveillance programme. The application of a DCE offers a meaningful method to explore and quantify preferences in this setting.","DOI":"10.1136/bmjopen-2016-011397","ISSN":"2044-6055,","note":"PMID: 27147392","shortTitle":"Novel application of a discrete choice experiment to identify preferences for a national healthcare-associated infection surveillance programme","journalAbbreviation":"BMJ Open","language":"en","author":[{"family":"Russo","given":"Philip L.","multi":{"_key":{}}},{"family":"Chen","given":"Gang","multi":{"_key":{}}},{"family":"Cheng","given":"Allen C.","multi":{"_key":{}}},{"family":"Richards","given":"Michael","multi":{"_key":{}}},{"family":"Graves","given":"Nicholas","multi":{"_key":{}}},{"family":"Ratcliffe","given":"Julie","multi":{"_key":{}}},{"family":"Hall","given":"Lisa","multi":{"_key":{}}}],"issued":{"raw":"05/01/2016"}}},{"id":3646,"uris":["http://zotero.org/users/955090/items/4WCNQMSJ"],"uri":["http://zotero.org/users/955090/items/4WCNQMSJ"],"itemData":{"id":3646,"type":"article-journal","multi":{"main":{},"_keys":{}},"title":"Discrete choice experiments in health economics: a review of the literature","container-title":"Health Economics","page":"145-172","volume":"21","issue":"2","source":"Wiley Online Library","abstract":"Discrete choice experiments (DCEs) have become a commonly used instrument in health economics. This paper updates a review of published papers between 1990 and 2000 for the years 2001–2008. Based on this previous review, and a number of other key review papers, focus is given to three issues: experimental design; estimation procedures; and validity of responses. Consideration is also given to how DCEs are applied and reported. We identified 114 DCEs, covering a wide range of policy questions. Applications took place in a broader range of health-care systems, and there has been a move to incorporating fewer attributes, more choices and interview-based surveys. There has also been a shift towards statistically more efficient designs and flexible econometric models. The reporting of monetary values continues to be popular, the use of utility scores has not gained popularity, and there has been an increasing use of odds ratios and probabilities. The latter are likely to be useful at the policy level to investigate take-up and acceptability of new interventions. Incorporation of interactions terms in the design and analysis of DCEs, explanations of risk, tests of external validity and incorporation of DCE results into a decision-making framework remain important areas for future research. Copyright © 2010 John Wiley &amp; Sons, Ltd.","DOI":"10.1002/hec.1697","ISSN":"1099-1050","shortTitle":"Discrete choice experiments in health economics","journalAbbreviation":"Health Econ.","language":"en","author":[{"family":"Bekker-Grob","given":"Esther W.","non-dropping-particle":"de","multi":{"_key":{}}},{"family":"Ryan","given":"Mandy","multi":{"_key":{}}},{"family":"Gerard","given":"Karen","multi":{"_key":{}}}],"issued":{"raw":"February 1, 2012"}}},{"id":3544,"uris":["http://zotero.org/users/955090/items/BSB4NMSG"],"uri":["http://zotero.org/users/955090/items/BSB4NMSG"],"itemData":{"id":3544,"type":"article-journal","multi":{"main":{},"_keys":{}},"title":"Use of discrete choice experiments to elicit preferences","container-title":"Quality and Safety in Health Care","page":"i55-i60","volume":"10","issue":"suppl 1","source":"qualitysafety.bmj.com","abstract":"This paper considers the application of discrete choice experiments for eliciting preferences in the delivery of health care. Drawing upon the results from a recently completed systematic review, the paper summarises the application of this technique in health care. It then presents a case study applying the technique to rheumatology outpatient clinics. 200 patients were questioned about the importance of six attributes: staff seen (junior doctor or specialist nurse); time in waiting area; continuity of contact with same staff; provision of a phone-in/advice service; length of consultation; and change in pain levels. The systematic review indicated that discrete choice experiments have been applied to a wide number of areas and a number of methodological issues have been addressed. Consistent with this literature, the case study found evidence of both rationality and theoretical validity of responses. The approach was used to establish the relative importance of different attributes, how individuals trade between these attributes, and overall benefit scores for different clinic configurations. The value of attributes was estimated in terms of time, and this was converted to a monetary measure using the value of waiting time for public transport. Discrete choice experiments represent a potentially useful instrument for eliciting preferences. Future methodological work should explore issues related to the experimental design of the study, methods of data collection and analysis, and satisfaction with the economic axioms of the instrument. Collaborative work with psychologists and qualitative researchers will prove useful in this research agenda.","DOI":"10.1136/qhc.0100055..","ISSN":"2044-5415, 2044-5423","note":"PMID: 11533440","language":"en","author":[{"family":"Ryan","given":"M.","multi":{"_key":{}}},{"family":"Bate","given":"A.","multi":{"_key":{}}},{"family":"Eastmond","given":"C. J.","multi":{"_key":{}}},{"family":"Ludbrook","given":"A.","multi":{"_key":{}}}],"issued":{"raw":"2001/09/01"}}}],"schema":"https://github.com/citation-style-language/schema/raw/master/csl-citation.json"} </w:instrText>
      </w:r>
      <w:r w:rsidRPr="001219AF">
        <w:fldChar w:fldCharType="separate"/>
      </w:r>
      <w:r w:rsidRPr="009A0666">
        <w:rPr>
          <w:rFonts w:cs="Times New Roman"/>
          <w:szCs w:val="24"/>
        </w:rPr>
        <w:t xml:space="preserve">Deborah J Street and Leonie Burgess, </w:t>
      </w:r>
      <w:r w:rsidRPr="009A0666">
        <w:rPr>
          <w:rFonts w:cs="Times New Roman"/>
          <w:i/>
          <w:szCs w:val="24"/>
        </w:rPr>
        <w:t>The Construction of Optimal Stated Choice Experiments: Theory and Methods</w:t>
      </w:r>
      <w:r w:rsidRPr="009A0666">
        <w:rPr>
          <w:rFonts w:cs="Times New Roman"/>
          <w:szCs w:val="24"/>
        </w:rPr>
        <w:t xml:space="preserve"> (John Wiley &amp; Sons, 2007); Mandy Ryan, Karen Gerard and Mabel Amaya-Amaya, </w:t>
      </w:r>
      <w:r w:rsidRPr="009A0666">
        <w:rPr>
          <w:rFonts w:cs="Times New Roman"/>
          <w:i/>
          <w:szCs w:val="24"/>
        </w:rPr>
        <w:t>Using Discrete Choice Experiments to Value Health and Health Care</w:t>
      </w:r>
      <w:r w:rsidRPr="009A0666">
        <w:rPr>
          <w:rFonts w:cs="Times New Roman"/>
          <w:szCs w:val="24"/>
        </w:rPr>
        <w:t xml:space="preserve"> (Springer Science &amp; Business Media, 2007); Philip L Russo et al, ‘Novel Application of a Discrete Choice Experiment to Identify Preferences for a National Healthcare-Associated Infection Surveillance Programme: A Cross-Sectional Study’ (2016) 6(5) </w:t>
      </w:r>
      <w:r w:rsidRPr="009A0666">
        <w:rPr>
          <w:rFonts w:cs="Times New Roman"/>
          <w:i/>
          <w:szCs w:val="24"/>
        </w:rPr>
        <w:t>BMJ Open</w:t>
      </w:r>
      <w:r w:rsidRPr="009A0666">
        <w:rPr>
          <w:rFonts w:cs="Times New Roman"/>
          <w:szCs w:val="24"/>
        </w:rPr>
        <w:t xml:space="preserve"> e011397; Esther W de Bekker-Grob, Mandy Ryan and Karen Gerard, ‘Discrete Choice Experiments in Health Economics: A Review of the Literature’ (2012) 21(2) </w:t>
      </w:r>
      <w:r w:rsidRPr="009A0666">
        <w:rPr>
          <w:rFonts w:cs="Times New Roman"/>
          <w:i/>
          <w:szCs w:val="24"/>
        </w:rPr>
        <w:t>Health Economics</w:t>
      </w:r>
      <w:r w:rsidRPr="009A0666">
        <w:rPr>
          <w:rFonts w:cs="Times New Roman"/>
          <w:szCs w:val="24"/>
        </w:rPr>
        <w:t xml:space="preserve"> 145; M Ryan et al, ‘Use of Discrete Choice Experiments to Elicit Preferences’ (2001) 10(suppl 1) </w:t>
      </w:r>
      <w:r w:rsidRPr="009A0666">
        <w:rPr>
          <w:rFonts w:cs="Times New Roman"/>
          <w:i/>
          <w:szCs w:val="24"/>
        </w:rPr>
        <w:t>Quality and Safety in Health Care</w:t>
      </w:r>
      <w:r w:rsidRPr="009A0666">
        <w:rPr>
          <w:rFonts w:cs="Times New Roman"/>
          <w:szCs w:val="24"/>
        </w:rPr>
        <w:t xml:space="preserve"> i55.</w:t>
      </w:r>
      <w:r w:rsidRPr="001219AF">
        <w:fldChar w:fldCharType="end"/>
      </w:r>
    </w:p>
  </w:footnote>
  <w:footnote w:id="82">
    <w:p w14:paraId="29367416" w14:textId="2AF116C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{"citationID":"hU6Qx5i0","properties":{"formattedCitation":"{\\rtf Esther W de Bekker-Grob et al, \\uc0\\u8216{}Sample Size Requirements for Discrete-Choice Experiments in Healthcare: A Practical Guide\\uc0\\u8217{} (2015) 8(5) {\\i{}The Patient-Patient-Centered Outcomes Research} 373.}","plainCitation":"Esther W de Bekker-Grob et al, ‘Sample Size Requirements for Discrete-Choice Experiments in Healthcare: A Practical Guide’ (2015) 8(5) The Patient-Patient-Centered Outcomes Research 373."},"citationItems":[{"id":3605,"uris":["http://zotero.org/users/955090/items/HIQ4T5MU"],"uri":["http://zotero.org/users/955090/items/HIQ4T5MU"],"itemData":{"id":3605,"type":"article-journal","multi":{"main":{},"_keys":{}},"title":"Sample size requirements for discrete-choice experiments in healthcare: a practical guide","container-title":"The Patient-Patient-Centered Outcomes Research","page":"373–384","volume":"8","issue":"5","source":"Google Scholar","shortTitle":"Sample size requirements for discrete-choice experiments in healthcare","author":[{"family":"Bekker-Grob","given":"Esther W.","non-dropping-particle":"de","multi":{"_key":{}}},{"family":"Donkers","given":"Bas","multi":{"_key":{}}},{"family":"Jonker","given":"Marcel F.","multi":{"_key":{}}},{"family":"Stolk","given":"Elly A.","multi":{"_key":{}}}],"issued":{"raw":"2015"}}}],"schema":"https://github.com/citation-style-language/schema/raw/master/csl-citation.json"} </w:instrText>
      </w:r>
      <w:r>
        <w:fldChar w:fldCharType="separate"/>
      </w:r>
      <w:r w:rsidRPr="009A0666">
        <w:rPr>
          <w:rFonts w:cs="Times New Roman"/>
          <w:szCs w:val="24"/>
        </w:rPr>
        <w:t xml:space="preserve">Esther W de Bekker-Grob et al, ‘Sample Size Requirements for Discrete-Choice Experiments in Healthcare: A Practical Guide’ (2015) 8(5) </w:t>
      </w:r>
      <w:r w:rsidRPr="009A0666">
        <w:rPr>
          <w:rFonts w:cs="Times New Roman"/>
          <w:i/>
          <w:szCs w:val="24"/>
        </w:rPr>
        <w:t>The Patient-Patient-Centered Outcomes Research</w:t>
      </w:r>
      <w:r w:rsidRPr="009A0666">
        <w:rPr>
          <w:rFonts w:cs="Times New Roman"/>
          <w:szCs w:val="24"/>
        </w:rPr>
        <w:t xml:space="preserve"> 373.</w:t>
      </w:r>
      <w:r>
        <w:fldChar w:fldCharType="end"/>
      </w:r>
    </w:p>
  </w:footnote>
  <w:footnote w:id="83">
    <w:p w14:paraId="2910414B" w14:textId="55E82E6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{"citationID":"vpi35jfi6","properties":{"formattedCitation":"{\\rtf F Reed Johnson et al, \\uc0\\u8216{}Constructing Experimental Designs for Discrete-Choice Experiments: Report of the ISPOR Conjoint Analysis Experimental Design Good Research Practices Task Force\\uc0\\u8217{} (2013) 16(1) {\\i{}Value in Health} 3.}","plainCitation":"F Reed Johnson et al, ‘Constructing Experimental Designs for Discrete-Choice Experiments: Report of the ISPOR Conjoint Analysis Experimental Design Good Research Practices Task Force’ (2013) 16(1) Value in Health 3."},"citationItems":[{"id":3606,"uris":["http://zotero.org/users/955090/items/4AIKUPVJ"],"uri":["http://zotero.org/users/955090/items/4AIKUPVJ"],"itemData":{"id":3606,"type":"article-journal","multi":{"main":{},"_keys":{}},"title":"Constructing experimental designs for discrete-choice experiments: report of the ISPOR conjoint analysis experimental design good research practices task force","container-title":"Value in Health","page":"3–13","volume":"16","issue":"1","source":"Google Scholar","shortTitle":"Constructing experimental designs for discrete-choice experiments","author":[{"family":"Johnson","given":"F. Reed","multi":{"_key":{}}},{"family":"Lancsar","given":"Emily","multi":{"_key":{}}},{"family":"Marshall","given":"Deborah","multi":{"_key":{}}},{"family":"Kilambi","given":"Vikram","multi":{"_key":{}}},{"family":"Mühlbacher","given":"Axel","multi":{"_key":{}}},{"family":"Regier","given":"Dean A.","multi":{"_key":{}}},{"family":"Bresnahan","given":"Brian W.","multi":{"_key":{}}},{"family":"Kanninen","given":"Barbara","multi":{"_key":{}}},{"family":"Bridges","given":"John FP","multi":{"_key":{}}}],"issued":{"raw":"2013"}}}],"schema":"https://github.com/citation-style-language/schema/raw/master/csl-citation.json"} </w:instrText>
      </w:r>
      <w:r>
        <w:fldChar w:fldCharType="separate"/>
      </w:r>
      <w:r w:rsidRPr="009A0666">
        <w:rPr>
          <w:rFonts w:cs="Times New Roman"/>
          <w:szCs w:val="24"/>
        </w:rPr>
        <w:t xml:space="preserve">F Reed Johnson et al, ‘Constructing Experimental Designs for Discrete-Choice Experiments: Report of the ISPOR Conjoint Analysis Experimental Design Good Research Practices Task Force’ (2013) 16(1) </w:t>
      </w:r>
      <w:r w:rsidRPr="009A0666">
        <w:rPr>
          <w:rFonts w:cs="Times New Roman"/>
          <w:i/>
          <w:szCs w:val="24"/>
        </w:rPr>
        <w:t>Value in Health</w:t>
      </w:r>
      <w:r w:rsidRPr="009A0666">
        <w:rPr>
          <w:rFonts w:cs="Times New Roman"/>
          <w:szCs w:val="24"/>
        </w:rPr>
        <w:t xml:space="preserve"> 3.</w:t>
      </w:r>
      <w:r>
        <w:fldChar w:fldCharType="end"/>
      </w:r>
    </w:p>
  </w:footnote>
  <w:footnote w:id="84">
    <w:p w14:paraId="74C0AF6A" w14:textId="3792472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{"citationID":"fCUvJXDG","properties":{"formattedCitation":"{\\rtf Denzil G Fiebig et al, \\uc0\\u8216{}Preferences for New and Existing Contraceptive Products\\uc0\\u8217{} (2011) 20(S1) {\\i{}Health Economics} 35.}","plainCitation":"Denzil G Fiebig et al, ‘Preferences for New and Existing Contraceptive Products’ (2011) 20(S1) Health Economics 35."},"citationItems":[{"id":3648,"uris":["http://zotero.org/users/955090/items/ZK5AEVMB"],"uri":["http://zotero.org/users/955090/items/ZK5AEVMB"],"itemData":{"id":3648,"type":"article-journal","multi":{"main":{},"_keys":{}},"title":"Preferences for new and existing contraceptive products","container-title":"Health Economics","page":"35-52","volume":"20","issue":"S1","source":"Wiley Online Library","abstract":"New contraceptive methods provide greater choice in terms of effectiveness, management of side-effects, convenience and frequency of administration and flexibility, but make the decisions about contraception more complex. There are limited data on the factors that determine women's choices among these alternatives, to inform providers about the factors which are most important to women, or to predict uptake of new products. This paper reports on a choice experiment designed to elicit women's preferences in relation to prescribed contraception and to forecast the impact of the introduction of two new products into the Australian market. A generalised multinomial logit model is estimated and used in the simulation exercise. The model forecasts that the hormonal patch would be well received among women, achieving a greater market share than current non-pill products, but the vaginal ring would have limited appeal. Copyright © 2011 John Wiley &amp; Sons, Ltd.","DOI":"10.1002/hec.1686","ISSN":"1099-1050","journalAbbreviation":"Health Econ.","language":"en","author":[{"family":"Fiebig","given":"Denzil G.","multi":{"_key":{}}},{"family":"Knox","given":"Stephanie","multi":{"_key":{}}},{"family":"Viney","given":"Rosalie","multi":{"_key":{}}},{"family":"Haas","given":"Marion","multi":{"_key":{}}},{"family":"Street","given":"Deborah J.","multi":{"_key":{}}}],"issued":{"raw":"September 1, 2011"}}}],"schema":"https://github.com/citation-style-language/schema/raw/master/csl-citation.json"} </w:instrText>
      </w:r>
      <w:r>
        <w:fldChar w:fldCharType="separate"/>
      </w:r>
      <w:r w:rsidRPr="009A0666">
        <w:rPr>
          <w:rFonts w:cs="Times New Roman"/>
          <w:szCs w:val="24"/>
        </w:rPr>
        <w:t xml:space="preserve">Denzil G Fiebig et al, ‘Preferences for New and Existing Contraceptive Products’ (2011) 20(S1) </w:t>
      </w:r>
      <w:r w:rsidRPr="009A0666">
        <w:rPr>
          <w:rFonts w:cs="Times New Roman"/>
          <w:i/>
          <w:szCs w:val="24"/>
        </w:rPr>
        <w:t>Health Economics</w:t>
      </w:r>
      <w:r w:rsidRPr="009A0666">
        <w:rPr>
          <w:rFonts w:cs="Times New Roman"/>
          <w:szCs w:val="24"/>
        </w:rPr>
        <w:t xml:space="preserve"> 35.</w:t>
      </w:r>
      <w:r>
        <w:fldChar w:fldCharType="end"/>
      </w:r>
    </w:p>
  </w:footnote>
  <w:footnote w:id="85">
    <w:p w14:paraId="3C5C4FA2" w14:textId="7BE90597"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{"citationID":"r3G6oBuX","properties":{"formattedCitation":"{\\rtf Rosalie Viney et al, \\uc0\\u8216{}An Australian Discrete Choice Experiment to Value Eq-5d Health States\\uc0\\u8217{} (2014) 23(6) {\\i{}Health Economics} 729.}","plainCitation":"Rosalie Viney et al, ‘An Australian Discrete Choice Experiment to Value Eq-5d Health States’ (2014) 23(6) Health Economics 729."},"citationItems":[{"id":3647,"uris":["http://zotero.org/users/955090/items/4A4FNR7X"],"uri":["http://zotero.org/users/955090/items/4A4FNR7X"],"itemData":{"id":3647,"type":"article-journal","multi":{"main":{},"_keys":{}},"title":"An Australian Discrete Choice Experiment to Value Eq-5d Health States","container-title":"Health Economics","page":"729-742","volume":"23","issue":"6","source":"Wiley Online Library","abstract":"Conventionally, generic quality-of-life health states, defined within multi-attribute utility instruments, have been valued using a Standard Gamble or a Time Trade-Off. Both are grounded in expected utility theory but impose strong assumptions about the form of the utility function. Preference elicitation tasks for both are complicated, limiting the number of health states that each respondent can value and, therefore, that can be valued overall. The usual approach has been to value a set of the possible health states and impute values for the remainder. Discrete Choice Experiments (DCEs) offer an attractive alternative, allowing investigation of more flexible specifications of the utility function and greater coverage of the response surface. We designed a DCE to obtain values for EQ-5D health states and implemented it in an Australia-representative online panel (n = 1,031). A range of specifications investigating non-linear preferences with respect to time and interactions between EQ-5D levels were estimated using a random-effects probit model. The results provide empirical support for a flexible utility function, including at least some two-factor interactions. We then constructed a preference index such that full health and death were valued at 1 and 0, respectively, to provide a DCE-based algorithm for Australian cost–utility analyses. Copyright © 2013 John Wiley &amp; Sons, Ltd.","DOI":"10.1002/hec.2953","ISSN":"1099-1050","journalAbbreviation":"Health Econ.","language":"en","author":[{"family":"Viney","given":"Rosalie","multi":{"_key":{}}},{"family":"Norman","given":"Richard","multi":{"_key":{}}},{"family":"Brazier","given":"John","multi":{"_key":{}}},{"family":"Cronin","given":"Paula","multi":{"_key":{}}},{"family":"King","given":"Madeleine T.","multi":{"_key":{}}},{"family":"Ratcliffe","given":"Julie","multi":{"_key":{}}},{"family":"Street","given":"Deborah","multi":{"_key":{}}}],"issued":{"raw":"June 1, 2014"}}}],"schema":"https://github.com/citation-style-language/schema/raw/master/csl-citation.json"} </w:instrText>
      </w:r>
      <w:r>
        <w:fldChar w:fldCharType="separate"/>
      </w:r>
      <w:r w:rsidRPr="009A0666">
        <w:rPr>
          <w:rFonts w:cs="Times New Roman"/>
          <w:szCs w:val="24"/>
        </w:rPr>
        <w:t xml:space="preserve">Rosalie Viney et al, ‘An Australian Discrete Choice Experiment to Value Eq-5d Health States’ (2014) 23(6) </w:t>
      </w:r>
      <w:r w:rsidRPr="009A0666">
        <w:rPr>
          <w:rFonts w:cs="Times New Roman"/>
          <w:i/>
          <w:szCs w:val="24"/>
        </w:rPr>
        <w:t>Health Economics</w:t>
      </w:r>
      <w:r w:rsidRPr="009A0666">
        <w:rPr>
          <w:rFonts w:cs="Times New Roman"/>
          <w:szCs w:val="24"/>
        </w:rPr>
        <w:t xml:space="preserve"> 729.</w:t>
      </w:r>
      <w:r>
        <w:fldChar w:fldCharType="end"/>
      </w:r>
    </w:p>
  </w:footnote>
  <w:footnote w:id="86">
    <w:p w14:paraId="783F2324" w14:textId="14C18663"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{"citationID":"TWM5zmI7","properties":{"formattedCitation":"Russo et al, above n 84.","plainCitation":"Russo et al, above n 84."},"citationItems":[{"id":3059,"uris":["http://zotero.org/users/955090/items/ZTW8XMV3"],"uri":["http://zotero.org/users/955090/items/ZTW8XMV3"],"itemData":{"id":3059,"type":"article-journal","multi":{"main":{},"_keys":{}},"title":"Novel application of a discrete choice experiment to identify preferences for a national healthcare-associated infection surveillance programme: a cross-sectional study","container-title":"BMJ Open","page":"e011397","volume":"6","issue":"5","source":"bmjopen.bmj.com","abstract":"Objective To identify key stakeholder preferences and priorities when considering a national healthcare-associated infection (HAI) surveillance programme through the use of a discrete choice experiment (DCE).\nSetting Australia does not have a national HAI surveillance programme. An online web-based DCE was developed and made available to participants in Australia.\nParticipants A sample of 184 purposively selected healthcare workers based on their senior leadership role in infection prevention in Australia.\nPrimary and secondary outcomes A DCE requiring respondents to select 1 HAI surveillance programme over another based on 5 different characteristics (or attributes) in repeated hypothetical scenarios. Data were analysed using a mixed logit model to evaluate preferences and identify the relative importance of each attribute.\nResults A total of 122 participants completed the survey (response rate 66%) over a 5-week period. Excluding 22 who mismatched a duplicate choice scenario, analysis was conducted on 100 responses. The key findings included: 72% of stakeholders exhibited a preference for a surveillance programme with continuous mandatory core components (mean coefficient 0.640 (p&lt;0.01)), 65% for a standard surveillance protocol where patient-level data are collected on infected and non-infected patients (mean coefficient 0.641 (p&lt;0.01)), and 92% for hospital-level data that are publicly reported on a website and not associated with financial penalties (mean coefficient 1.663 (p&lt;0.01)).\nConclusions The use of the DCE has provided a unique insight to key stakeholder priorities when considering a national HAI surveillance programme. The application of a DCE offers a meaningful method to explore and quantify preferences in this setting.","DOI":"10.1136/bmjopen-2016-011397","ISSN":"2044-6055,","note":"PMID: 27147392","shortTitle":"Novel application of a discrete choice experiment to identify preferences for a national healthcare-associated infection surveillance programme","journalAbbreviation":"BMJ Open","language":"en","author":[{"family":"Russo","given":"Philip L.","multi":{"_key":{}}},{"family":"Chen","given":"Gang","multi":{"_key":{}}},{"family":"Cheng","given":"Allen C.","multi":{"_key":{}}},{"family":"Richards","given":"Michael","multi":{"_key":{}}},{"family":"Graves","given":"Nicholas","multi":{"_key":{}}},{"family":"Ratcliffe","given":"Julie","multi":{"_key":{}}},{"family":"Hall","given":"Lisa","multi":{"_key":{}}}],"issued":{"raw":"05/01/2016"}}}],"schema":"https://github.com/citation-style-language/schema/raw/master/csl-citation.json"} </w:instrText>
      </w:r>
      <w:r>
        <w:fldChar w:fldCharType="separate"/>
      </w:r>
      <w:r w:rsidRPr="001724B2">
        <w:t>Russo et al, above n 84.</w:t>
      </w:r>
      <w:r>
        <w:fldChar w:fldCharType="end"/>
      </w:r>
    </w:p>
  </w:footnote>
  <w:footnote w:id="87">
    <w:p w14:paraId="6F6258CC" w14:textId="700A2E6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{"citationID":"Xdfu39DZ","properties":{"formattedCitation":"{\\rtf V Watson et al, \\uc0\\u8216{}Involving the Public in Priority Setting: A Case Study Using Discrete Choice Experiments\\uc0\\u8217{} (2012) 34(2) {\\i{}Journal of Public Health} 253; Simon Dixon et al, \\uc0\\u8216{}Assessing Patient Preferences for the Delivery of Different Community-Based Models of Care Using a Discrete Choice Experiment\\uc0\\u8217{} (2015) 18(5) {\\i{}Health Expectations} 1204.}","plainCitation":"V Watson et al, ‘Involving the Public in Priority Setting: A Case Study Using Discrete Choice Experiments’ (2012) 34(2) Journal of Public Health 253; Simon Dixon et al, ‘Assessing Patient Preferences for the Delivery of Different Community-Based Models of Care Using a Discrete Choice Experiment’ (2015) 18(5) Health Expectations 1204."},"citationItems":[{"id":3057,"uris":["http://zotero.org/users/955090/items/8IGQGQST"],"uri":["http://zotero.org/users/955090/items/8IGQGQST"],"itemData":{"id":3057,"type":"article-journal","multi":{"main":{},"_keys":{}},"title":"Involving the public in priority setting: a case study using discrete choice experiments","container-title":"Journal of Public Health","page":"253-260","volume":"34","issue":"2","source":"CrossRef","DOI":"10.1093/pubmed/fdr102","ISSN":"1741-3842, 1741-3850","shortTitle":"Involving the public in priority setting","language":"en","author":[{"family":"Watson","given":"V.","multi":{"_key":{}}},{"family":"Carnon","given":"A.","multi":{"_key":{}}},{"family":"Ryan","given":"M.","multi":{"_key":{}}},{"family":"Cox","given":"D.","multi":{"_key":{}}}],"issued":{"raw":"2012-06-01"}}},{"id":3058,"uris":["http://zotero.org/users/955090/items/FB97TFNQ"],"uri":["http://zotero.org/users/955090/items/FB97TFNQ"],"itemData":{"id":3058,"type":"article-journal","multi":{"main":{},"_keys":{}},"title":"Assessing patient preferences for the delivery of different community-based models of care using a discrete choice experiment","container-title":"Health Expectations","page":"1204-1214","volume":"18","issue":"5","source":"Wiley Online Library","abstract":"Objectives\n\nTo assess patient preferences for different models of care defined by location of care, frequency of care and principal carer within community-based health-care services for older people.\n\n\nDesign\n\nDiscrete choice experiment administered within a face-to-face interview.\n\n\nSetting\n\nAn intermediate care service in a large city within the United Kingdom.\n\n\nParticipants\n\nThe projected sample size was calculated to be 200; however, 77 patients were recruited to the study. The subjects had recently been discharged from hospital and were living at home and were receiving short-term care by a publicly funded intermediate care service.\n\n\nInterventions\n\nNot applicable.\n\n\nMain Outcome Measure\n\nThe degree of preference, measured using single utility score, for individual service characteristics presented within a series of potential care packages.\n\n\nResults\n\nLocation of care was the dominant service characteristics with care at home being the strongly stated preference when compared with outpatient care (0.003), hospital care (&lt;0.001) and nursing home care (&lt;0.001) relative to home care, although this was less pronounced among less sick patients. Additionally, the respondents indicated a dislike for very frequent care contacts. No particular type of professional carer background was universally preferred but, unsurprisingly, there was evidence that sick patients showed a preference for nurse-led care.\n\n\nConclusions\n\nPatients have clear preferences for the location for their care and were able to state preferences between different care packages when their ideal service was not available. Service providers can use this information to assess which models of care are most preferred within resource constraints.","DOI":"10.1111/hex.12096","ISSN":"1369-7625","journalAbbreviation":"Health Expect","language":"en","author":[{"family":"Dixon","given":"Simon","multi":{"_key":{}}},{"family":"Nancarrow","given":"Susan A.","multi":{"_key":{}}},{"family":"Enderby","given":"Pamela M.","multi":{"_key":{}}},{"family":"Moran","given":"Anna M.","multi":{"_key":{}}},{"family":"Parker","given":"Stuart G.","multi":{"_key":{}}}],"issued":{"raw":"October 1, 2015"}}}],"schema":"https://github.com/citation-style-language/schema/raw/master/csl-citation.json"} </w:instrText>
      </w:r>
      <w:r>
        <w:fldChar w:fldCharType="separate"/>
      </w:r>
      <w:r w:rsidRPr="009A0666">
        <w:rPr>
          <w:rFonts w:cs="Times New Roman"/>
          <w:szCs w:val="24"/>
        </w:rPr>
        <w:t xml:space="preserve">V Watson et al, ‘Involving the Public in Priority Setting: A Case Study Using Discrete Choice Experiments’ (2012) 34(2) </w:t>
      </w:r>
      <w:r w:rsidRPr="009A0666">
        <w:rPr>
          <w:rFonts w:cs="Times New Roman"/>
          <w:i/>
          <w:szCs w:val="24"/>
        </w:rPr>
        <w:t>Journal of Public Health</w:t>
      </w:r>
      <w:r w:rsidRPr="009A0666">
        <w:rPr>
          <w:rFonts w:cs="Times New Roman"/>
          <w:szCs w:val="24"/>
        </w:rPr>
        <w:t xml:space="preserve"> 253; Simon Dixon et al, ‘Assessing Patient Preferences for the Delivery of Different Community-Based Models of Care Using a Discrete Choice Experiment’ (2015) 18(5) </w:t>
      </w:r>
      <w:r w:rsidRPr="009A0666">
        <w:rPr>
          <w:rFonts w:cs="Times New Roman"/>
          <w:i/>
          <w:szCs w:val="24"/>
        </w:rPr>
        <w:t>Health Expectations</w:t>
      </w:r>
      <w:r w:rsidRPr="009A0666">
        <w:rPr>
          <w:rFonts w:cs="Times New Roman"/>
          <w:szCs w:val="24"/>
        </w:rPr>
        <w:t xml:space="preserve"> 1204.</w:t>
      </w:r>
      <w:r>
        <w:fldChar w:fldCharType="end"/>
      </w:r>
    </w:p>
  </w:footnote>
  <w:footnote w:id="88">
    <w:p w14:paraId="15B73B4B" w14:textId="4893609F" w:rsidR="00387010" w:rsidRDefault="00387010" w:rsidP="000C00C2">
      <w:pPr>
        <w:pStyle w:val="FootnoteText"/>
        <w:spacing w:before="120" w:after="120" w:line="240" w:lineRule="auto"/>
      </w:pPr>
      <w:r w:rsidRPr="00B916B2">
        <w:rPr>
          <w:rStyle w:val="FootnoteReference"/>
        </w:rPr>
        <w:footnoteRef/>
      </w:r>
      <w:r>
        <w:t xml:space="preserve"> </w:t>
      </w:r>
      <w:r>
        <w:fldChar w:fldCharType="begin"/>
      </w:r>
      <w:r>
        <w:instrText xml:space="preserve"> ADDIN ZOTERO_ITEM CSL_CITATION {"citationID":"bMMfL2Mp","properties":{"formattedCitation":"{\\rtf Anthony Scott et al, \\uc0\\u8216{}Getting Doctors into the Bush: General Practitioners\\uc0\\u8217{} Preference for Rural Location\\uc0\\u8217{} (Working Paper No 13/12, 2012).}","plainCitation":"Anthony Scott et al, ‘Getting Doctors into the Bush: General Practitioners’ Preference for Rural Location’ (Working Paper No 13/12, 2012)."},"citationItems":[{"id":4740,"uris":["http://zotero.org/users/955090/items/P8H4VMBA"],"uri":["http://zotero.org/users/955090/items/P8H4VMBA"],"itemData":{"id":4740,"type":"report","multi":{"main":{},"_keys":{}},"title":"Getting doctors into the bush: general Practitioners' preference for rural location","collection-title":"Melbourne Institute Working Paper Series","publisher-place":"Parkville, Victoria","authority":"Melbourne Institute of Applied Economic and Social Research, University of Melbourne","source":"Gemeinsamer Bibliotheksverbund ISBN","event-place":"Parkville, Victoria","archive-place":"Parkville, Victoria","note":"OCLC: 930843457","number":"Working Paper No 13/12","shortTitle":"Getting doctors into the bush","language":"eng","author":[{"family":"Scott","given":"Anthony","multi":{"_key":{}}},{"family":"Witt","given":"Julia","multi":{"_key":{}}},{"family":"Humphreys","given":"John","multi":{"_key":{}}},{"family":"Joyce","given":"Catherine","multi":{"_key":{}}},{"family":"Kalb","given":"Guyonne","multi":{"_key":{}}},{"family":"Jeon","given":"Sung-Hee","multi":{"_key":{}}},{"family":"McGrail","given":"Matthew","multi":{"_key":{}}}],"issued":{"raw":"2012"}}}],"schema":"https://github.com/citation-style-language/schema/raw/master/csl-citation.json"} </w:instrText>
      </w:r>
      <w:r>
        <w:fldChar w:fldCharType="separate"/>
      </w:r>
      <w:r w:rsidRPr="00387010">
        <w:rPr>
          <w:rFonts w:cs="Times New Roman"/>
          <w:szCs w:val="24"/>
        </w:rPr>
        <w:t>Anthony Scott et al, ‘Getting Doctors into the Bush: General Practitioners’ Preference for Rural Location’ (Working Paper No 13/12, 2012).</w:t>
      </w:r>
      <w:r>
        <w:fldChar w:fldCharType="end"/>
      </w:r>
    </w:p>
  </w:footnote>
  <w:footnote w:id="89">
    <w:p w14:paraId="60F17B88" w14:textId="737046B8"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{"citationID":"wSR6cenH","properties":{"formattedCitation":"{\\rtf Marian Shanahan, Karen Gerard and Alison Ritter, \\uc0\\u8216{}Preferences for Policy Options for Cannabis in an Australian General Population: A Discrete Choice Experiment\\uc0\\u8217{} (2014) 25(4) {\\i{}International Journal of Drug Policy} 682.}","plainCitation":"Marian Shanahan, Karen Gerard and Alison Ritter, ‘Preferences for Policy Options for Cannabis in an Australian General Population: A Discrete Choice Experiment’ (2014) 25(4) International Journal of Drug Policy 682."},"citationItems":[{"id":3048,"uris":["http://zotero.org/users/955090/items/C4D8CRSB"],"uri":["http://zotero.org/users/955090/items/C4D8CRSB"],"itemData":{"id":3048,"type":"article-journal","multi":{"main":{},"_keys":{}},"title":"Preferences for policy options for cannabis in an Australian general population: A discrete choice experiment","container-title":"International Journal of Drug Policy","page":"682-690","volume":"25","issue":"4","source":"ScienceDirect","abstract":"Background\nPolicy choices for illicit drugs such as cannabis entail consideration of competing factors such as individual health, societal views about pleasure, and criminal justice impacts. Society must weigh up these factors in determining the preferred cannabis policy; although often cast as a contest between legalisation of cannabis or full prohibition the actual policy choices are not so black and white. This study assessed societal preferences for different cannabis policies and multiple consequences.\nMethod\nA discrete choice experiment (DCE) quantified value-based preferences for alternative cannabis policies described by the five key attributes legal status, health harms, criminal justice service costs, rates of cannabis use and purchase location. An online survey was conducted on a population sample of 1020 Australians. The analytical model was based on stated choices for Policy A, B or Current Policy.\nResults\nThe results revealed a strong general preference for either civil penalties or legalisation compared to cannabis cautioning (Current Policy) and a strong dislike of criminalising possession and use of cannabis. Results also demonstrate difference in preferences among those with different demographics and beliefs. Understanding these nuances help to quantify the range of preferences held within the population and can be used to inform policy.\nConclusion\nThis is the first known DCE survey applied to the area of illicit drugs policy. It demonstrates the public hold disparate views on the most appropriate status for cannabis offences and they are able to make trade-offs between policy choices and outcomes in complex areas of social policy.","DOI":"10.1016/j.drugpo.2014.03.005","ISSN":"0955-3959","shortTitle":"Preferences for policy options for cannabis in an Australian general population","journalAbbreviation":"International Journal of Drug Policy","author":[{"family":"Shanahan","given":"Marian","multi":{"_key":{}}},{"family":"Gerard","given":"Karen","multi":{"_key":{}}},{"family":"Ritter","given":"Alison","multi":{"_key":{}}}],"issued":{"raw":"July 2014"}}}],"schema":"https://github.com/citation-style-language/schema/raw/master/csl-citation.json"} </w:instrText>
      </w:r>
      <w:r>
        <w:fldChar w:fldCharType="separate"/>
      </w:r>
      <w:r w:rsidRPr="009A0666">
        <w:rPr>
          <w:rFonts w:cs="Times New Roman"/>
          <w:szCs w:val="24"/>
        </w:rPr>
        <w:t xml:space="preserve">Marian Shanahan, Karen Gerard and Alison Ritter, ‘Preferences for Policy Options for Cannabis in an Australian General Population: A Discrete Choice Experiment’ (2014) 25(4) </w:t>
      </w:r>
      <w:r w:rsidRPr="009A0666">
        <w:rPr>
          <w:rFonts w:cs="Times New Roman"/>
          <w:i/>
          <w:szCs w:val="24"/>
        </w:rPr>
        <w:t>International Journal of Drug Policy</w:t>
      </w:r>
      <w:r w:rsidRPr="009A0666">
        <w:rPr>
          <w:rFonts w:cs="Times New Roman"/>
          <w:szCs w:val="24"/>
        </w:rPr>
        <w:t xml:space="preserve"> 682.</w:t>
      </w:r>
      <w:r>
        <w:fldChar w:fldCharType="end"/>
      </w:r>
    </w:p>
  </w:footnote>
  <w:footnote w:id="90">
    <w:p w14:paraId="6DE5969B" w14:textId="453BD53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{"citationID":"7BWh96mg","properties":{"formattedCitation":"{\\rtf Wim Bernasco and Richard Block, \\uc0\\u8216{}Where Offenders Choose to Attack: A Discrete Choice Model of Robberies in Chicago\\uc0\\u8217{} (2009) 47(1) {\\i{}Criminology} 93.}","plainCitation":"Wim Bernasco and Richard Block, ‘Where Offenders Choose to Attack: A Discrete Choice Model of Robberies in Chicago’ (2009) 47(1) Criminology 93."},"citationItems":[{"id":3999,"uris":["http://zotero.org/users/955090/items/KVUF4PZE"],"uri":["http://zotero.org/users/955090/items/KVUF4PZE"],"itemData":{"id":3999,"type":"article-journal","multi":{"main":{},"_keys":{}},"title":"Where Offenders Choose to Attack: A Discrete Choice Model of Robberies in Chicago","container-title":"Criminology","page":"93-130","volume":"47","issue":"1","source":"Wiley Online Library","abstract":"Why do robbers choose a particular area to commit an offense? Do they rob close to home? Do they search for areas with suitable and attractive targets? What keeps them away from certain areas? To answer these questions, a model is developed of how robbers choose target areas. The model draws on various theoretical and empirical traditions, which include environmental criminology, journey to crime research, gang research, and social disorganization theory. Testing the model on cleared robbery cases in Chicago in the years 1996–1998, we demonstrate that robbery location choice is related to characteristics of target areas, to areas where offenders live, to joint characteristics of the resident and target areas, and to characteristics of the offenders themselves. The presence of illegal markets and other crime generators and crime attractors make areas attractive for robbers, whereas collective efficacy seems to keep them out. Distance as well as racial and ethnic segregation restrict the mobility of offenders.","DOI":"10.1111/j.1745-9125.2009.00140.x","ISSN":"1745-9125","shortTitle":"Where Offenders Choose to Attack","language":"en","author":[{"family":"Bernasco","given":"Wim","multi":{"_key":{}}},{"family":"Block","given":"Richard","multi":{"_key":{}}}],"issued":{"raw":"February 1, 2009"}}}],"schema":"https://github.com/citation-style-language/schema/raw/master/csl-citation.json"} </w:instrText>
      </w:r>
      <w:r>
        <w:fldChar w:fldCharType="separate"/>
      </w:r>
      <w:r w:rsidRPr="009A0666">
        <w:rPr>
          <w:rFonts w:cs="Times New Roman"/>
          <w:szCs w:val="24"/>
        </w:rPr>
        <w:t xml:space="preserve">Wim Bernasco and Richard Block, ‘Where Offenders Choose to Attack: A Discrete Choice Model of Robberies in Chicago’ (2009) 47(1) </w:t>
      </w:r>
      <w:r w:rsidRPr="009A0666">
        <w:rPr>
          <w:rFonts w:cs="Times New Roman"/>
          <w:i/>
          <w:szCs w:val="24"/>
        </w:rPr>
        <w:t>Criminology</w:t>
      </w:r>
      <w:r w:rsidRPr="009A0666">
        <w:rPr>
          <w:rFonts w:cs="Times New Roman"/>
          <w:szCs w:val="24"/>
        </w:rPr>
        <w:t xml:space="preserve"> 93.</w:t>
      </w:r>
      <w:r>
        <w:fldChar w:fldCharType="end"/>
      </w:r>
    </w:p>
  </w:footnote>
  <w:footnote w:id="91">
    <w:p w14:paraId="3F7F5C64" w14:textId="0D13711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{"citationID":"0ozSz6pe","properties":{"formattedCitation":"{\\rtf Jean Spinks and Duncan Mortimer, \\uc0\\u8216{}The Effect of Traffic Lights and Regulatory Statements on the Choice between Complementary and Conventional Medicines in Australia: Results from a Discrete Choice Experiment\\uc0\\u8217{} (2015) 124 {\\i{}Social Science &amp; Medicine} 257.}","plainCitation":"Jean Spinks and Duncan Mortimer, ‘The Effect of Traffic Lights and Regulatory Statements on the Choice between Complementary and Conventional Medicines in Australia: Results from a Discrete Choice Experiment’ (2015) 124 Social Science &amp; Medicine 257."},"citationItems":[{"id":3053,"uris":["http://zotero.org/users/955090/items/NFMZFPCT"],"uri":["http://zotero.org/users/955090/items/NFMZFPCT"],"itemData":{"id":3053,"type":"article-journal","multi":{"main":{},"_keys":{}},"title":"The effect of traffic lights and regulatory statements on the choice between complementary and conventional medicines in Australia: Results from a discrete choice experiment","container-title":"Social Science &amp; Medicine","page":"257-265","volume":"124","source":"ScienceDirect","abstract":"It has been suggested that complementary medicines are currently ‘under-regulated’ in some countries due to their potential for harm as a direct result from side-effects or interactions; from delaying more effective care; or from the economic cost of purchasing an ineffective or inappropriate treatment. The requirement of additional labelling on complementary medicine products has been suggested in Australia and may provide additional information to consumers at the point of purchase. This paper details a unique way of testing the potential effects on consumer behaviour of including either a traffic light logo or regulatory statement on labels. Using a discrete choice experiment, data were collected in 2012 in a sample of 521 Australians with either type 2 diabetes or cardiovascular disease. We find that additional labelling can affect consumer behaviour, but in unpredictable ways. The results of this experiment are informative to further the dialogue concerning possible regulatory mechanisms.","DOI":"10.1016/j.socscimed.2014.11.049","ISSN":"0277-9536","shortTitle":"The effect of traffic lights and regulatory statements on the choice between complementary and conventional medicines in Australia","journalAbbreviation":"Social Science &amp; Medicine","author":[{"family":"Spinks","given":"Jean","multi":{"_key":{}}},{"family":"Mortimer","given":"Duncan","multi":{"_key":{}}}],"issued":{"raw":"January 2015"}}}],"schema":"https://github.com/citation-style-language/schema/raw/master/csl-citation.json"} </w:instrText>
      </w:r>
      <w:r>
        <w:fldChar w:fldCharType="separate"/>
      </w:r>
      <w:r w:rsidRPr="009A0666">
        <w:rPr>
          <w:rFonts w:cs="Times New Roman"/>
          <w:szCs w:val="24"/>
        </w:rPr>
        <w:t xml:space="preserve">Jean Spinks and Duncan Mortimer, ‘The Effect of Traffic Lights and Regulatory Statements on the Choice between Complementary and Conventional Medicines in Australia: Results from a Discrete Choice Experiment’ (2015) 124 </w:t>
      </w:r>
      <w:r w:rsidRPr="009A0666">
        <w:rPr>
          <w:rFonts w:cs="Times New Roman"/>
          <w:i/>
          <w:szCs w:val="24"/>
        </w:rPr>
        <w:t>Social Science &amp; Medicine</w:t>
      </w:r>
      <w:r w:rsidRPr="009A0666">
        <w:rPr>
          <w:rFonts w:cs="Times New Roman"/>
          <w:szCs w:val="24"/>
        </w:rPr>
        <w:t xml:space="preserve"> 257.</w:t>
      </w:r>
      <w:r>
        <w:fldChar w:fldCharType="end"/>
      </w:r>
    </w:p>
  </w:footnote>
  <w:footnote w:id="92">
    <w:p w14:paraId="200892E3" w14:textId="10FC295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{"citationID":"8AYc6wJL","properties":{"formattedCitation":"{\\rtf Martin P Ho et al, \\uc0\\u8216{}Incorporating Patient-Preference Evidence into Regulatory Decision Making\\uc0\\u8217{} (2015) 29(10) {\\i{}Surgical Endoscopy} 2984.}","plainCitation":"Martin P Ho et al, ‘Incorporating Patient-Preference Evidence into Regulatory Decision Making’ (2015) 29(10) Surgical Endoscopy 2984."},"citationItems":[{"id":3051,"uris":["http://zotero.org/users/955090/items/DT83MHA5"],"uri":["http://zotero.org/users/955090/items/DT83MHA5"],"itemData":{"id":3051,"type":"article-journal","multi":{"main":{},"_keys":{}},"title":"Incorporating patient-preference evidence into regulatory decision making","container-title":"Surgical Endoscopy","page":"2984-2993","volume":"29","issue":"10","source":"link.springer.com.ezproxy.lib.uts.edu.au","abstract":"Background Patients have a unique role in deciding what treatments should be available for them and regulatory agencies should take their preferences into account when making treatment approval decisions. This is the first study designed to obtain quantitative patient-preference evidence to inform regulatory approval decisions by the Food and Drug Administration Center for Devices and Radiological Health. Methods Five-hundred and forty United States adults with body mass index (BMI) ≥30 kg/m2 evaluated tradeoffs among effectiveness, safety, and other attributes of weight-loss devices in a scientific survey. Discrete-choice experiments were used to quantify the importance of safety, effectiveness, and other attributes of weight-loss devices to obese respondents. A tool based on these measures is being used to inform benefit-risk assessments for premarket approval of medical devices. Results Respondent choices yielded preference scores indicating their relative value for attributes of weight-loss devices in this study. We developed a tool to estimate the minimum weight loss acceptable by a patient to receive a device with a given risk profile and the maximum mortality risk tolerable in exchange for a given weight loss. For example, to accept a device with 0.01 % mortality risk, a risk tolerant patient will require about 10 % total body weight loss lasting 5 years. Conclusions Patient preference evidence was used make regulatory decision making more patient-centered. In addition, we captured the heterogeneity of patient preferences allowing market approval of effective devices for risk tolerant patients. CDRH is using the study tool to define minimum clinical effectiveness to evaluate new weight-loss devices. The methods presented can be applied to a wide variety of medical products. This study supports the ongoing development of a guidance document on incorporating patient preferences into medical-device premarket approval decisions.","DOI":"10.1007/s00464-014-4044-2","ISSN":"0930-2794, 1432-2218","journalAbbreviation":"Surg Endosc","language":"en","author":[{"family":"Ho","given":"Martin P.","multi":{"_key":{}}},{"family":"Gonzalez","given":"Juan Marcos","multi":{"_key":{}}},{"family":"Lerner","given":"Herbert P.","multi":{"_key":{}}},{"family":"Neuland","given":"Carolyn Y.","multi":{"_key":{}}},{"family":"Whang","given":"Joyce M.","multi":{"_key":{}}},{"family":"McMurry-Heath","given":"Michelle","multi":{"_key":{}}},{"family":"Hauber","given":"A. Brett","multi":{"_key":{}}},{"family":"Irony","given":"Telba","multi":{"_key":{}}}],"issued":{"raw":"2015/01/01"}}}],"schema":"https://github.com/citation-style-language/schema/raw/master/csl-citation.json"} </w:instrText>
      </w:r>
      <w:r>
        <w:fldChar w:fldCharType="separate"/>
      </w:r>
      <w:r w:rsidRPr="009A0666">
        <w:rPr>
          <w:rFonts w:cs="Times New Roman"/>
          <w:szCs w:val="24"/>
        </w:rPr>
        <w:t xml:space="preserve">Martin P Ho et al, ‘Incorporating Patient-Preference Evidence into Regulatory Decision Making’ (2015) 29(10) </w:t>
      </w:r>
      <w:r w:rsidRPr="009A0666">
        <w:rPr>
          <w:rFonts w:cs="Times New Roman"/>
          <w:i/>
          <w:szCs w:val="24"/>
        </w:rPr>
        <w:t>Surgical Endoscopy</w:t>
      </w:r>
      <w:r w:rsidRPr="009A0666">
        <w:rPr>
          <w:rFonts w:cs="Times New Roman"/>
          <w:szCs w:val="24"/>
        </w:rPr>
        <w:t xml:space="preserve"> 2984.</w:t>
      </w:r>
      <w:r>
        <w:fldChar w:fldCharType="end"/>
      </w:r>
    </w:p>
  </w:footnote>
  <w:footnote w:id="93">
    <w:p w14:paraId="244F9FDF" w14:textId="45946247"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{"citationID":"BAiMNWsc","properties":{"formattedCitation":"See for example, ibid; Ryan et al, above n 84; Dixon et al, above n 90.","plainCitation":"See for example, ibid; Ryan et al, above n 84; Dixon et al, above n 90."},"citationItems":[{"id":3051,"uris":["http://zotero.org/users/955090/items/DT83MHA5"],"uri":["http://zotero.org/users/955090/items/DT83MHA5"],"itemData":{"id":3051,"type":"article-journal","multi":{"main":{},"_keys":{}},"title":"Incorporating patient-preference evidence into regulatory decision making","container-title":"Surgical Endoscopy","page":"2984-2993","volume":"29","issue":"10","source":"link.springer.com.ezproxy.lib.uts.edu.au","abstract":"Background Patients have a unique role in deciding what treatments should be available for them and regulatory agencies should take their preferences into account when making treatment approval decisions. This is the first study designed to obtain quantitative patient-preference evidence to inform regulatory approval decisions by the Food and Drug Administration Center for Devices and Radiological Health. Methods Five-hundred and forty United States adults with body mass index (BMI) ≥30 kg/m2 evaluated tradeoffs among effectiveness, safety, and other attributes of weight-loss devices in a scientific survey. Discrete-choice experiments were used to quantify the importance of safety, effectiveness, and other attributes of weight-loss devices to obese respondents. A tool based on these measures is being used to inform benefit-risk assessments for premarket approval of medical devices. Results Respondent choices yielded preference scores indicating their relative value for attributes of weight-loss devices in this study. We developed a tool to estimate the minimum weight loss acceptable by a patient to receive a device with a given risk profile and the maximum mortality risk tolerable in exchange for a given weight loss. For example, to accept a device with 0.01 % mortality risk, a risk tolerant patient will require about 10 % total body weight loss lasting 5 years. Conclusions Patient preference evidence was used make regulatory decision making more patient-centered. In addition, we captured the heterogeneity of patient preferences allowing market approval of effective devices for risk tolerant patients. CDRH is using the study tool to define minimum clinical effectiveness to evaluate new weight-loss devices. The methods presented can be applied to a wide variety of medical products. This study supports the ongoing development of a guidance document on incorporating patient preferences into medical-device premarket approval decisions.","DOI":"10.1007/s00464-014-4044-2","ISSN":"0930-2794, 1432-2218","journalAbbreviation":"Surg Endosc","language":"en","author":[{"family":"Ho","given":"Martin P.","multi":{"_key":{}}},{"family":"Gonzalez","given":"Juan Marcos","multi":{"_key":{}}},{"family":"Lerner","given":"Herbert P.","multi":{"_key":{}}},{"family":"Neuland","given":"Carolyn Y.","multi":{"_key":{}}},{"family":"Whang","given":"Joyce M.","multi":{"_key":{}}},{"family":"McMurry-Heath","given":"Michelle","multi":{"_key":{}}},{"family":"Hauber","given":"A. Brett","multi":{"_key":{}}},{"family":"Irony","given":"Telba","multi":{"_key":{}}}],"issued":{"raw":"2015/01/01"}},"prefix":"See for example, "},{"id":3544,"uris":["http://zotero.org/users/955090/items/BSB4NMSG"],"uri":["http://zotero.org/users/955090/items/BSB4NMSG"],"itemData":{"id":3544,"type":"article-journal","multi":{"main":{},"_keys":{}},"title":"Use of discrete choice experiments to elicit preferences","container-title":"Quality and Safety in Health Care","page":"i55-i60","volume":"10","issue":"suppl 1","source":"qualitysafety.bmj.com","abstract":"This paper considers the application of discrete choice experiments for eliciting preferences in the delivery of health care. Drawing upon the results from a recently completed systematic review, the paper summarises the application of this technique in health care. It then presents a case study applying the technique to rheumatology outpatient clinics. 200 patients were questioned about the importance of six attributes: staff seen (junior doctor or specialist nurse); time in waiting area; continuity of contact with same staff; provision of a phone-in/advice service; length of consultation; and change in pain levels. The systematic review indicated that discrete choice experiments have been applied to a wide number of areas and a number of methodological issues have been addressed. Consistent with this literature, the case study found evidence of both rationality and theoretical validity of responses. The approach was used to establish the relative importance of different attributes, how individuals trade between these attributes, and overall benefit scores for different clinic configurations. The value of attributes was estimated in terms of time, and this was converted to a monetary measure using the value of waiting time for public transport. Discrete choice experiments represent a potentially useful instrument for eliciting preferences. Future methodological work should explore issues related to the experimental design of the study, methods of data collection and analysis, and satisfaction with the economic axioms of the instrument. Collaborative work with psychologists and qualitative researchers will prove useful in this research agenda.","DOI":"10.1136/qhc.0100055..","ISSN":"2044-5415, 2044-5423","note":"PMID: 11533440","language":"en","author":[{"family":"Ryan","given":"M.","multi":{"_key":{}}},{"family":"Bate","given":"A.","multi":{"_key":{}}},{"family":"Eastmond","given":"C. J.","multi":{"_key":{}}},{"family":"Ludbrook","given":"A.","multi":{"_key":{}}}],"issued":{"raw":"2001/09/01"}}},{"id":3058,"uris":["http://zotero.org/users/955090/items/FB97TFNQ"],"uri":["http://zotero.org/users/955090/items/FB97TFNQ"],"itemData":{"id":3058,"type":"article-journal","multi":{"main":{},"_keys":{}},"title":"Assessing patient preferences for the delivery of different community-based models of care using a discrete choice experiment","container-title":"Health Expectations","page":"1204-1214","volume":"18","issue":"5","source":"Wiley Online Library","abstract":"Objectives\n\nTo assess patient preferences for different models of care defined by location of care, frequency of care and principal carer within community-based health-care services for older people.\n\n\nDesign\n\nDiscrete choice experiment administered within a face-to-face interview.\n\n\nSetting\n\nAn intermediate care service in a large city within the United Kingdom.\n\n\nParticipants\n\nThe projected sample size was calculated to be 200; however, 77 patients were recruited to the study. The subjects had recently been discharged from hospital and were living at home and were receiving short-term care by a publicly funded intermediate care service.\n\n\nInterventions\n\nNot applicable.\n\n\nMain Outcome Measure\n\nThe degree of preference, measured using single utility score, for individual service characteristics presented within a series of potential care packages.\n\n\nResults\n\nLocation of care was the dominant service characteristics with care at home being the strongly stated preference when compared with outpatient care (0.003), hospital care (&lt;0.001) and nursing home care (&lt;0.001) relative to home care, although this was less pronounced among less sick patients. Additionally, the respondents indicated a dislike for very frequent care contacts. No particular type of professional carer background was universally preferred but, unsurprisingly, there was evidence that sick patients showed a preference for nurse-led care.\n\n\nConclusions\n\nPatients have clear preferences for the location for their care and were able to state preferences between different care packages when their ideal service was not available. Service providers can use this information to assess which models of care are most preferred within resource constraints.","DOI":"10.1111/hex.12096","ISSN":"1369-7625","journalAbbreviation":"Health Expect","language":"en","author":[{"family":"Dixon","given":"Simon","multi":{"_key":{}}},{"family":"Nancarrow","given":"Susan A.","multi":{"_key":{}}},{"family":"Enderby","given":"Pamela M.","multi":{"_key":{}}},{"family":"Moran","given":"Anna M.","multi":{"_key":{}}},{"family":"Parker","given":"Stuart G.","multi":{"_key":{}}}],"issued":{"raw":"October 1, 2015"}}}],"schema":"https://github.com/citation-style-language/schema/raw/master/csl-citation.json"} </w:instrText>
      </w:r>
      <w:r>
        <w:fldChar w:fldCharType="separate"/>
      </w:r>
      <w:r w:rsidRPr="001724B2">
        <w:t>See for example, ibid; Ryan et al, above n 84; Dixon et al, above n 90.</w:t>
      </w:r>
      <w:r>
        <w:fldChar w:fldCharType="end"/>
      </w:r>
    </w:p>
  </w:footnote>
  <w:footnote w:id="94">
    <w:p w14:paraId="7EADF47C" w14:textId="10A58AE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{"citationID":"jsBB1RuW","properties":{"formattedCitation":"Ho et al, above n 95.","plainCitation":"Ho et al, above n 95."},"citationItems":[{"id":3051,"uris":["http://zotero.org/users/955090/items/DT83MHA5"],"uri":["http://zotero.org/users/955090/items/DT83MHA5"],"itemData":{"id":3051,"type":"article-journal","multi":{"main":{},"_keys":{}},"title":"Incorporating patient-preference evidence into regulatory decision making","container-title":"Surgical Endoscopy","page":"2984-2993","volume":"29","issue":"10","source":"link.springer.com.ezproxy.lib.uts.edu.au","abstract":"Background Patients have a unique role in deciding what treatments should be available for them and regulatory agencies should take their preferences into account when making treatment approval decisions. This is the first study designed to obtain quantitative patient-preference evidence to inform regulatory approval decisions by the Food and Drug Administration Center for Devices and Radiological Health. Methods Five-hundred and forty United States adults with body mass index (BMI) ≥30 kg/m2 evaluated tradeoffs among effectiveness, safety, and other attributes of weight-loss devices in a scientific survey. Discrete-choice experiments were used to quantify the importance of safety, effectiveness, and other attributes of weight-loss devices to obese respondents. A tool based on these measures is being used to inform benefit-risk assessments for premarket approval of medical devices. Results Respondent choices yielded preference scores indicating their relative value for attributes of weight-loss devices in this study. We developed a tool to estimate the minimum weight loss acceptable by a patient to receive a device with a given risk profile and the maximum mortality risk tolerable in exchange for a given weight loss. For example, to accept a device with 0.01 % mortality risk, a risk tolerant patient will require about 10 % total body weight loss lasting 5 years. Conclusions Patient preference evidence was used make regulatory decision making more patient-centered. In addition, we captured the heterogeneity of patient preferences allowing market approval of effective devices for risk tolerant patients. CDRH is using the study tool to define minimum clinical effectiveness to evaluate new weight-loss devices. The methods presented can be applied to a wide variety of medical products. This study supports the ongoing development of a guidance document on incorporating patient preferences into medical-device premarket approval decisions.","DOI":"10.1007/s00464-014-4044-2","ISSN":"0930-2794, 1432-2218","journalAbbreviation":"Surg Endosc","language":"en","author":[{"family":"Ho","given":"Martin P.","multi":{"_key":{}}},{"family":"Gonzalez","given":"Juan Marcos","multi":{"_key":{}}},{"family":"Lerner","given":"Herbert P.","multi":{"_key":{}}},{"family":"Neuland","given":"Carolyn Y.","multi":{"_key":{}}},{"family":"Whang","given":"Joyce M.","multi":{"_key":{}}},{"family":"McMurry-Heath","given":"Michelle","multi":{"_key":{}}},{"family":"Hauber","given":"A. Brett","multi":{"_key":{}}},{"family":"Irony","given":"Telba","multi":{"_key":{}}}],"issued":{"raw":"2015/01/01"}}}],"schema":"https://github.com/citation-style-language/schema/raw/master/csl-citation.json"} </w:instrText>
      </w:r>
      <w:r>
        <w:fldChar w:fldCharType="separate"/>
      </w:r>
      <w:r w:rsidRPr="001724B2">
        <w:t>Ho et al, above n 95.</w:t>
      </w:r>
      <w:r>
        <w:fldChar w:fldCharType="end"/>
      </w:r>
    </w:p>
  </w:footnote>
  <w:footnote w:id="95">
    <w:p w14:paraId="6FA590CB" w14:textId="0663EC01"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{"citationID":"GMvwWpYs","properties":{"formattedCitation":"Guillemin et al, above n 27, 128.","plainCitation":"Guillemin et al, above n 27, 128."},"citationItems":[{"id":3032,"uris":["http://zotero.org/users/955090/items/G9WHNP4C"],"uri":["http://zotero.org/users/955090/items/G9WHNP4C"],"itemData":{"id":3032,"type":"article-journal","multi":{"main":{},"_keys":{}},"title":"Revalidation: Patients or process? Analysis using visual data","container-title":"Health Policy","page":"128-138","volume":"114","issue":"2–3","source":"ScienceDirect","abstract":"Revalidation is a significant recent regulatory policy reform from the UK General Medical Council and being considered elsewhere around the world. The policy aims to regulate licensed doctors to ensure that they are ‘up-to-date and fit-to practise’. Fundamental to the policy is that the revalidation of doctors should benefit patients and improve doctor–patient relationships. As part of an evaluation of the development of revalidation, 31 policy makers involved in its development were interviewed in 2010–2011 and were asked to draw what revalidation meant to them. From this, 29 drawings were produced and this article focuses on their analysis. The drawings emphasised abstract systems and processes, with a distinct lack of interpersonal interactions or representation of individual patients and doctors. Only 3 of the 29 images included individual patients and doctors. This depersonalisation of policy is examined with respect to the purported key objective of revalidation to benefit patients. Using a distinctively different modality, the drawings serve to confirm the two key discourses of regulation and professionalism prevalent in the interview data, while highlighting the notable absence of the patient. The benefits and limitations of using drawings as a research method are discussed for a health policy context.","DOI":"10.1016/j.healthpol.2013.12.006","ISSN":"0168-8510","shortTitle":"Revalidation","journalAbbreviation":"Health Policy","author":[{"family":"Guillemin","given":"Marilys","multi":{"_key":{}}},{"family":"Archer","given":"Julian","multi":{"_key":{}}},{"family":"Nunn","given":"Suzanne","multi":{"_key":{}}},{"family":"Bere","given":"Samantha Regan","non-dropping-particle":"de","multi":{"_key":{}}}],"issued":{"raw":"February 2014"}},"locator":"128"}],"schema":"https://github.com/citation-style-language/schema/raw/master/csl-citation.json"} </w:instrText>
      </w:r>
      <w:r>
        <w:fldChar w:fldCharType="separate"/>
      </w:r>
      <w:r w:rsidRPr="001724B2">
        <w:t>Guillemin et al, above n 27, 128.</w:t>
      </w:r>
      <w:r>
        <w:fldChar w:fldCharType="end"/>
      </w:r>
    </w:p>
  </w:footnote>
  <w:footnote w:id="96">
    <w:p w14:paraId="68E6F47A" w14:textId="4E20B89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{"citationID":"ca2AYUkw","properties":{"formattedCitation":"{\\rtf A scenario we modify from the work of Louviere et al, Jordan J Louviere et al, \\uc0\\u8216{}Designing Discrete Choice Experiments: Do Optimal Designs Come at a Price?\\uc0\\u8217{} (2008) 35(2) {\\i{}Journal of Consumer Research} 360.}","plainCitation":"A scenario we modify from the work of Louviere et al, Jordan J Louviere et al, ‘Designing Discrete Choice Experiments: Do Optimal Designs Come at a Price?’ (2008) 35(2) Journal of Consumer Research 360."},"citationItems":[{"id":4000,"uris":["http://zotero.org/users/955090/items/W2HJHVWG"],"uri":["http://zotero.org/users/955090/items/W2HJHVWG"],"itemData":{"id":4000,"type":"article-journal","multi":{"main":{},"_keys":{}},"title":"Designing discrete choice experiments: Do optimal designs come at a price?","container-title":"Journal of Consumer Research","page":"360–375","volume":"35","issue":"2","source":"Google Scholar","shortTitle":"Designing discrete choice experiments","author":[{"family":"Louviere","given":"Jordan J.","multi":{"_key":{}}},{"family":"Islam","given":"Towhidul","multi":{"_key":{}}},{"family":"Wasi","given":"Nada","multi":{"_key":{}}},{"family":"Street","given":"Deborah","multi":{"_key":{}}},{"family":"Burgess","given":"Leonie","multi":{"_key":{}}}],"issued":{"raw":"2008"}},"prefix":"A scenario we modify from the work of Louviere et al, "}],"schema":"https://github.com/citation-style-language/schema/raw/master/csl-citation.json"} </w:instrText>
      </w:r>
      <w:r>
        <w:fldChar w:fldCharType="separate"/>
      </w:r>
      <w:r w:rsidRPr="009A0666">
        <w:rPr>
          <w:rFonts w:cs="Times New Roman"/>
          <w:szCs w:val="24"/>
        </w:rPr>
        <w:t xml:space="preserve">A scenario we modify from the work of Louviere et al, Jordan J Louviere et al, ‘Designing Discrete Choice Experiments: Do Optimal Designs Come at a Price?’ (2008) 35(2) </w:t>
      </w:r>
      <w:r w:rsidRPr="009A0666">
        <w:rPr>
          <w:rFonts w:cs="Times New Roman"/>
          <w:i/>
          <w:szCs w:val="24"/>
        </w:rPr>
        <w:t>Journal of Consumer Research</w:t>
      </w:r>
      <w:r w:rsidRPr="009A0666">
        <w:rPr>
          <w:rFonts w:cs="Times New Roman"/>
          <w:szCs w:val="24"/>
        </w:rPr>
        <w:t xml:space="preserve"> 360.</w:t>
      </w:r>
      <w:r>
        <w:fldChar w:fldCharType="end"/>
      </w:r>
    </w:p>
  </w:footnote>
  <w:footnote w:id="97">
    <w:p w14:paraId="474529D3" w14:textId="01274144"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{"citationID":"2e05bmi6ig","properties":{"formattedCitation":"Archer et al, above n 15.","plainCitation":"Archer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fldChar w:fldCharType="separate"/>
      </w:r>
      <w:r w:rsidRPr="001724B2">
        <w:t>Archer et al, above n 15.</w:t>
      </w:r>
      <w:r w:rsidRPr="001219AF">
        <w:fldChar w:fldCharType="end"/>
      </w:r>
    </w:p>
  </w:footnote>
  <w:footnote w:id="98">
    <w:p w14:paraId="7C3C8D34" w14:textId="1025A9C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{"citationID":"BoT5ybJn","properties":{"formattedCitation":"{\\rtf Ibid 30\\uc0\\u8211{}31.}","plainCitation":"Ibid 30–31."},"citationItems":[{"id":4738,"uris":["http://zotero.org/users/955090/items/3V58ADQ9"],"uri":["http://zotero.org/users/955090/items/3V58ADQ9"],"itemData":{"id":4738,"type":"report","multi":{"main":{},"_keys":{}},"title":"The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Bere","given":"Samantha","multi":{"_key":{}}}],"issued":{"raw":"10/07/2015"}},"locator":"30-31"}],"schema":"https://github.com/citation-style-language/schema/raw/master/csl-citation.json"} </w:instrText>
      </w:r>
      <w:r>
        <w:fldChar w:fldCharType="separate"/>
      </w:r>
      <w:r w:rsidRPr="009A0666">
        <w:rPr>
          <w:rFonts w:cs="Times New Roman"/>
          <w:szCs w:val="24"/>
        </w:rPr>
        <w:t>Ibid 30–31.</w:t>
      </w:r>
      <w:r>
        <w:fldChar w:fldCharType="end"/>
      </w:r>
    </w:p>
  </w:footnote>
  <w:footnote w:id="99">
    <w:p w14:paraId="799D8E75" w14:textId="491188D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{"citationID":"1lvc808k3u","properties":{"formattedCitation":"Archer et al, above n 15.","plainCitation":"Archer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fldChar w:fldCharType="separate"/>
      </w:r>
      <w:r w:rsidRPr="001724B2">
        <w:t>Archer et al, above n 15.</w:t>
      </w:r>
      <w:r>
        <w:fldChar w:fldCharType="end"/>
      </w:r>
    </w:p>
  </w:footnote>
  <w:footnote w:id="100">
    <w:p w14:paraId="46FFC8AF" w14:textId="12D8EEE7"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HpVHxCNi","properties":{"formattedCitation":"Ibid.","plainCitation":"Ibid."},"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fldChar w:fldCharType="separate"/>
      </w:r>
      <w:r w:rsidRPr="009A0666">
        <w:t>Ibid.</w:t>
      </w:r>
      <w:r w:rsidRPr="001219AF">
        <w:fldChar w:fldCharType="end"/>
      </w:r>
    </w:p>
  </w:footnote>
  <w:footnote w:id="101">
    <w:p w14:paraId="303EEFA0" w14:textId="4F45DC0E" w:rsidR="00387010" w:rsidRDefault="00387010" w:rsidP="000C00C2">
      <w:pPr>
        <w:pStyle w:val="FootnoteText"/>
        <w:spacing w:before="120" w:after="120" w:line="240" w:lineRule="auto"/>
      </w:pPr>
      <w:r w:rsidRPr="00B916B2">
        <w:rPr>
          <w:rStyle w:val="FootnoteReference"/>
        </w:rPr>
        <w:footnoteRef/>
      </w:r>
      <w:r>
        <w:t xml:space="preserve"> </w:t>
      </w:r>
      <w:r>
        <w:tab/>
      </w:r>
      <w:r w:rsidRPr="001219AF">
        <w:rPr>
          <w:b/>
        </w:rPr>
        <w:fldChar w:fldCharType="begin"/>
      </w:r>
      <w:r>
        <w:rPr>
          <w:b/>
        </w:rPr>
        <w:instrText xml:space="preserve"> ADDIN ZOTERO_ITEM CSL_CITATION {"citationID":"2q46loha6b","properties":{"formattedCitation":"Ibid.","plainCitation":"Ibid."},"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rPr>
          <w:b/>
        </w:rPr>
        <w:fldChar w:fldCharType="separate"/>
      </w:r>
      <w:r w:rsidRPr="009A0666">
        <w:t>Ibid.</w:t>
      </w:r>
      <w:r w:rsidRPr="001219AF">
        <w:rPr>
          <w:b/>
        </w:rPr>
        <w:fldChar w:fldCharType="end"/>
      </w:r>
    </w:p>
  </w:footnote>
  <w:footnote w:id="102">
    <w:p w14:paraId="2859259C" w14:textId="0B63888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1bcndsu7os","properties":{"formattedCitation":"Ibid.","plainCitation":"Ibid."},"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fldChar w:fldCharType="separate"/>
      </w:r>
      <w:r w:rsidRPr="009A0666">
        <w:t>Ibid.</w:t>
      </w:r>
      <w:r>
        <w:fldChar w:fldCharType="end"/>
      </w:r>
    </w:p>
  </w:footnote>
  <w:footnote w:id="103">
    <w:p w14:paraId="4B05D97D" w14:textId="0FA0F597"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{"citationID":"220o90qc69","properties":{"formattedCitation":"Street and Burgess, above n 84.","plainCitation":"Street and Burgess, above n 84."},"citationItems":[{"id":3037,"uris":["http://zotero.org/users/955090/items/7XKACXCN"],"uri":["http://zotero.org/users/955090/items/7XKACXCN"],"itemData":{"id":3037,"type":"book","multi":{"main":{},"_keys":{}},"title":"The Construction of Optimal Stated Choice Experiments: Theory and Methods","publisher":"John Wiley &amp; Sons","number-of-pages":"345","source":"Google Books","abstract":"The most comprehensive and applied discussion of stated choice experiment constructions available The Construction of Optimal Stated Choice Experiments provides an accessible introduction to the construction methods needed to create the best possible designs for use in modeling decision-making. Many aspects of the design of a generic stated choice experiment are independent of its area of application, and until now there has been no single book describing these constructions. This book begins with a brief description of the various areas where stated choice experiments are applicable, including marketing and health economics, transportation, environmental resource economics, and public welfare analysis. The authors focus on recent research results on the construction of optimal and near-optimal choice experiments and conclude with guidelines and insight on how to properly implement these results. Features of the book include:  Construction of generic stated choice experiments for the estimation of main effects only, as well as experiments for the estimation of main effects plus two-factor interactions  Constructions for choice sets of any size and for attributes with any number of levels   A discussion of designs that contain a none option or a common base option   Practical techniques for the implementation of the constructions   Class-tested material that presents theoretical discussion of optimal design   Complete and extensive references to the mathematical and statistical literature for the constructions   Exercise sets in most chapters, which reinforce the understanding of the presented material   The Construction of Optimal Stated Choice Experiments serves as an invaluable reference guide for applied statisticians and practitioners in the areas of marketing, health economics, transport, and environmental evaluation. It is also ideal as a supplemental text for courses in the design of experiments, decision support systems, and choice models. A companion web site is available for readers to access web-based software that can be used to implement the constructions described in the book.","ISBN":"978-0-470-14855-6","shortTitle":"The Construction of Optimal Stated Choice Experiments","language":"en","author":[{"family":"Street","given":"Deborah J.","multi":{"_key":{}}},{"family":"Burgess","given":"Leonie","multi":{"_key":{}}}],"issued":{"raw":"2007-07-20"}}}],"schema":"https://github.com/citation-style-language/schema/raw/master/csl-citation.json"} </w:instrText>
      </w:r>
      <w:r>
        <w:fldChar w:fldCharType="separate"/>
      </w:r>
      <w:r w:rsidRPr="001724B2">
        <w:t>Street and Burgess, above n 84.</w:t>
      </w:r>
      <w:r>
        <w:fldChar w:fldCharType="end"/>
      </w:r>
    </w:p>
  </w:footnote>
  <w:footnote w:id="104">
    <w:p w14:paraId="56B467BB" w14:textId="4C2EAFD2" w:rsidR="00387010" w:rsidRDefault="00387010" w:rsidP="000C00C2">
      <w:pPr>
        <w:pStyle w:val="FootnoteText"/>
        <w:spacing w:before="120" w:after="120" w:line="240" w:lineRule="auto"/>
      </w:pPr>
      <w:r w:rsidRPr="00B916B2">
        <w:rPr>
          <w:rStyle w:val="FootnoteReference"/>
        </w:rPr>
        <w:footnoteRef/>
      </w:r>
      <w:r>
        <w:t xml:space="preserve"> </w:t>
      </w:r>
      <w:r>
        <w:tab/>
      </w:r>
      <w:r w:rsidRPr="003F2484">
        <w:fldChar w:fldCharType="begin"/>
      </w:r>
      <w:r>
        <w:instrText xml:space="preserve"> ADDIN ZOTERO_ITEM CSL_CITATION {"citationID":"2gec45rplt","properties":{"formattedCitation":"{\\rtf Anthony R Burrell et al, \\uc0\\u8216{}Aseptic Insertion of Central Venous Lines to Reduce Bacteraemia\\uc0\\u8217{} (2011) 194(11) {\\i{}The Medical journal of Australia} 583.}","plainCitation":"Anthony R Burrell et al, ‘Aseptic Insertion of Central Venous Lines to Reduce Bacteraemia’ (2011) 194(11) The Medical journal of Australia 583."},"citationItems":[{"id":2930,"uris":["http://zotero.org/users/955090/items/7C824QR9"],"uri":["http://zotero.org/users/955090/items/7C824QR9"],"itemData":{"id":2930,"type":"article-journal","multi":{"main":{},"_keys":{}},"title":"Aseptic insertion of central venous lines to reduce bacteraemia","container-title":"The Medical journal of Australia","page":"583-587","volume":"194","issue":"11","source":"NCBI PubMed","abstract":"OBJECTIVE\n\nTo reduce the rate of central line-associated bacteraemia (CLAB).\n\n\nDESIGN\n\nA collaborative quality improvement project in intensive care units (ICUs) to promote aseptic insertion of central venous lines (CVLs). A checklist was used to record compliance with all aspects of aseptic CVL insertion, with maximal sterile barrier precautions for clinicians (\"clinician bundle\") and patients (\"patient bundle\"). CLAB was identified and reported using a standard surveillance definition.\n\n\nPARTICIPANTS AND SETTING\n\nPatients and clinicians in 37 ICUs in New South Wales, July 2007-December 2008.\n\n\nMAIN OUTCOME MEASURES\n\nCompliance with aseptic CVL insertion; rates of CLAB.\n\n\nRESULTS\n\n10 890 CVL checklists were reviewed for compliance with the clinician and patient bundles: compliance with aseptic CVL insertion improved significantly (P &lt; 0.001). The CLAB rate dropped from 3.0 to 1.2 per 1000 line-days (P &lt; 0.001). Regardless of CVL type, the relative risk (RR) of CLAB in patients with CVLs inserted by clinicians not compliant with the clinician bundle was 1.62 times greater (95% CI, 1.1-2.4; P = 0.018) than the RR with CVLs inserted by clinicians compliant with both bundles. Compliance with both the bundles was associated with a 50% reduction in risk of CLAB (RR, 0.5; 95% CI, 0.4-0.8; P = 0.004).\n\n\nCONCLUSIONS\n\nCompliance with all aspects of aseptic CVL insertion significantly reduces the risk of CLAB. A difficulty we experienced was that most ICUs lacked the organisation and staff to support quality improvement and audit.","ISSN":"1326-5377","note":"PMID: 21644871","journalAbbreviation":"Med. J. Aust.","author":[{"family":"Burrell","given":"Anthony R","multi":{"_key":{}}},{"family":"McLaws","given":"Mary-Louise","multi":{"_key":{}}},{"family":"Murgo","given":"Margherita","multi":{"_key":{}}},{"family":"Calabria","given":"Eda","multi":{"_key":{}}},{"family":"Pantle","given":"Annette C","multi":{"_key":{}}},{"family":"Herkes","given":"Robert","multi":{"_key":{}}}],"issued":{"raw":"Jun 6, 2011"}}}],"schema":"https://github.com/citation-style-language/schema/raw/master/csl-citation.json"} </w:instrText>
      </w:r>
      <w:r w:rsidRPr="003F2484">
        <w:fldChar w:fldCharType="separate"/>
      </w:r>
      <w:r w:rsidRPr="009A0666">
        <w:rPr>
          <w:rFonts w:cs="Times New Roman"/>
          <w:szCs w:val="24"/>
        </w:rPr>
        <w:t xml:space="preserve">Anthony R Burrell et al, ‘Aseptic Insertion of Central Venous Lines to Reduce Bacteraemia’ (2011) 194(11) </w:t>
      </w:r>
      <w:r w:rsidRPr="009A0666">
        <w:rPr>
          <w:rFonts w:cs="Times New Roman"/>
          <w:i/>
          <w:szCs w:val="24"/>
        </w:rPr>
        <w:t>The Medical journal of Australia</w:t>
      </w:r>
      <w:r w:rsidRPr="009A0666">
        <w:rPr>
          <w:rFonts w:cs="Times New Roman"/>
          <w:szCs w:val="24"/>
        </w:rPr>
        <w:t xml:space="preserve"> 583.</w:t>
      </w:r>
      <w:r w:rsidRPr="003F2484">
        <w:fldChar w:fldCharType="end"/>
      </w:r>
    </w:p>
  </w:footnote>
  <w:footnote w:id="105">
    <w:p w14:paraId="2C98F9B3" w14:textId="17A81566"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{"citationID":"6awbpYaU","properties":{"formattedCitation":"{\\rtf Alan Merry and Alexander McCall Smith, {\\i{}Errors, Medicine and the Law} (Cambridge University Press, 2001); see also, Alan Merry and Warren Brookbanks, {\\i{}Merry and McCall Smith\\uc0\\u8217{}s Errors, Medicine and the Law} (Cambridge University Press, Kindle Edition, 2017).}","plainCitation":"Alan Merry and Alexander McCall Smith, Errors, Medicine and the Law (Cambridge University Press, 2001); see also, Alan Merry and Warren Brookbanks, Merry and McCall Smith’s Errors, Medicine and the Law (Cambridge University Press, Kindle Edition, 2017)."},"citationItems":[{"id":4963,"uris":["http://zotero.org/users/955090/items/KPSZW2WA"],"uri":["http://zotero.org/users/955090/items/KPSZW2WA"],"itemData":{"id":4963,"type":"book","multi":{"main":{},"_keys":{}},"title":"Errors, Medicine and the Law","publisher":"Cambridge University Press","number-of-pages":"264","source":"Google Books","abstract":"Merry and McCall-Smith question the understandable, but often inappropriate, tendency to blame individuals for medical errors. They point out that the goal of safety is far better served by a sophisticated understanding of the difference between negligence and inevitable error, and by a frank recognition of just why human error occurs and how things go wrong in any complex system. Although medicine is used as the book's primary example, the points made apply equally to aviation, industrial activities, and many other fields of human endeavour.","ISBN":"978-0-521-80631-2","language":"en","author":[{"family":"Merry","given":"Alan","multi":{"_key":{}}},{"family":"McCall Smith","given":"Alexander","multi":{"_key":{}}}],"issued":{"raw":"2001-08-16"}}},{"id":4965,"uris":["http://zotero.org/users/955090/items/AEJQHB8C"],"uri":["http://zotero.org/users/955090/items/AEJQHB8C"],"itemData":{"id":4965,"type":"book","multi":{"main":{},"_keys":{}},"title":"Merry and McCall Smith's Errors, Medicine and the Law","publisher":"Cambridge University Press","number-of-pages":"660","edition":"Kindle Edition","source":"Google Books","abstract":"There is an understandable tendency or desire to attribute blame when patients are harmed by their own healthcare. However, many cases of iatrogenic harm involve little or no moral culpability. Even when blame is justified, an undue focus on one individual often deflects attention from other important factors within the inherent complexity of modern healthcare. This revised second edition advocates a rethinking of accountability in healthcare based on science, the principles of a just culture, and novel therapeutic legal processes. Updated to include many recent relevant events, including the Keystone Project in the USA and the Mid Staffordshire scandal in the UK, this book considers how the concepts of a just culture have been successfully implemented so far, and makes recommendations for best practice. This book will be of interest to anyone concerned with patient safety, medical law and the regulation of healthcare.","ISBN":"978-1-316-85168-5","note":"Google-Books-ID: TH2JDgAAQBAJ","language":"en","author":[{"family":"Merry","given":"Alan","multi":{"_key":{}}},{"family":"Brookbanks","given":"Warren","multi":{"_key":{}}}],"issued":{"raw":"2017-04-13"}},"prefix":"see also, "}],"schema":"https://github.com/citation-style-language/schema/raw/master/csl-citation.json"} </w:instrText>
      </w:r>
      <w:r>
        <w:fldChar w:fldCharType="separate"/>
      </w:r>
      <w:r w:rsidRPr="009A0666">
        <w:rPr>
          <w:rFonts w:cs="Times New Roman"/>
          <w:szCs w:val="24"/>
        </w:rPr>
        <w:t xml:space="preserve">Alan Merry and Alexander McCall Smith, </w:t>
      </w:r>
      <w:r w:rsidRPr="009A0666">
        <w:rPr>
          <w:rFonts w:cs="Times New Roman"/>
          <w:i/>
          <w:szCs w:val="24"/>
        </w:rPr>
        <w:t>Errors, Medicine and the Law</w:t>
      </w:r>
      <w:r w:rsidRPr="009A0666">
        <w:rPr>
          <w:rFonts w:cs="Times New Roman"/>
          <w:szCs w:val="24"/>
        </w:rPr>
        <w:t xml:space="preserve"> (Cambridge University Press, 2001); see also, Alan Merry and Warren Brookbanks, </w:t>
      </w:r>
      <w:r w:rsidRPr="009A0666">
        <w:rPr>
          <w:rFonts w:cs="Times New Roman"/>
          <w:i/>
          <w:szCs w:val="24"/>
        </w:rPr>
        <w:t>Merry and McCall Smith’s Errors, Medicine and the Law</w:t>
      </w:r>
      <w:r w:rsidRPr="009A0666">
        <w:rPr>
          <w:rFonts w:cs="Times New Roman"/>
          <w:szCs w:val="24"/>
        </w:rPr>
        <w:t xml:space="preserve"> (Cambridge University Press, Kindle Edition, 2017).</w:t>
      </w:r>
      <w:r>
        <w:fldChar w:fldCharType="end"/>
      </w:r>
    </w:p>
  </w:footnote>
  <w:footnote w:id="106">
    <w:p w14:paraId="7503A9A2" w14:textId="3A5E838F" w:rsidR="00387010" w:rsidRDefault="00387010" w:rsidP="000C00C2">
      <w:pPr>
        <w:pStyle w:val="FootnoteText"/>
        <w:spacing w:before="120" w:after="120" w:line="240" w:lineRule="auto"/>
      </w:pPr>
      <w:r w:rsidRPr="00B916B2">
        <w:rPr>
          <w:rStyle w:val="FootnoteReference"/>
          <w:rFonts w:hint="eastAsia"/>
        </w:rPr>
        <w:footnoteRef/>
      </w:r>
      <w:r>
        <w:rPr>
          <w:rFonts w:hint="eastAsia"/>
        </w:rPr>
        <w:t xml:space="preserve"> </w:t>
      </w:r>
      <w:r>
        <w:tab/>
      </w:r>
      <w:r>
        <w:rPr>
          <w:rFonts w:hint="eastAsia"/>
        </w:rPr>
        <w:fldChar w:fldCharType="begin"/>
      </w:r>
      <w:r>
        <w:instrText xml:space="preserve"> ADDIN ZOTERO_ITEM CSL_CITATION {"citationID":"oAI1Jm7x","properties":{"formattedCitation":"{\\rtf See in the specifically Australian and New Zealand context, Wilson et al, above n 5; PB Davis et al, \\uc0\\u8216{}Adverse Events in New Zealand Public Hospitals: Principal Findings from a National Survey\\uc0\\u8217{} (Number 3, December 2001) &lt;https://www.health.govt.nz/system/files/documents/publications/adverseevents.pdf&gt;; Peter Davis et al, \\uc0\\u8216{}Adverse Events in New Zealand Public Hospitals I: Occurrence and Impact\\uc0\\u8217{} (2002) 115(1167) {\\i{}New Zealand Medical Journal} &lt;http://www.nzma.org.nz/journal/115-1167/271/&gt;; Runciman and Moller, above n 1; Peter Davis et al, \\uc0\\u8216{}Adverse Events in New Zealand Public Hospitals Ii: Preventability and Clinical Context\\uc0\\u8217{} (2003) 116(1183) {\\i{}New Zealand Medical Journal} U624.}","plainCitation":"See in the specifically Australian and New Zealand context, Wilson et al, above n 5; PB Davis et al, ‘Adverse Events in New Zealand Public Hospitals: Principal Findings from a National Survey’ (Number 3, December 2001) &lt;https://www.health.govt.nz/system/files/documents/publications/adverseevents.pdf&gt;; Peter Davis et al, ‘Adverse Events in New Zealand Public Hospitals I: Occurrence and Impact’ (2002) 115(1167) New Zealand Medical Journal &lt;http://www.nzma.org.nz/journal/115-1167/271/&gt;; Runciman and Moller, above n 1; Peter Davis et al, ‘Adverse Events in New Zealand Public Hospitals Ii: Preventability and Clinical Context’ (2003) 116(1183) New Zealand Medical Journal U624."},"citationItems":[{"id":2694,"uris":["http://zotero.org/users/955090/items/5P43DSZ6"],"uri":["http://zotero.org/users/955090/items/5P43DSZ6"],"itemData":{"id":2694,"type":"article-journal","multi":{"main":{},"_keys":{}},"title":"The quality in Australian health care study","container-title":"Medical Journal of Australia","page":"458–471","volume":"163","issue":"9","source":"Google Scholar","author":[{"family":"Wilson","given":"Ross M.","multi":{"_key":{}}},{"family":"Runciman","given":"William B.","multi":{"_key":{}}},{"family":"Gibberd","given":"Robert W.","multi":{"_key":{}}},{"family":"Harrison","given":"Bernadette T.","multi":{"_key":{}}},{"family":"Newby","given":"Liza","multi":{"_key":{}}},{"family":"Hamilton","given":"John D.","multi":{"_key":{}}},{"literal":"others","multi":{"_key":{}}}],"issued":{"raw":"1995"}},"prefix":"See in the specifically Australian and New Zealand context, "},{"id":5178,"uris":["http://zotero.org/users/955090/items/6WIBJCUD"],"uri":["http://zotero.org/users/955090/items/6WIBJCUD"],"itemData":{"id":5178,"type":"report","multi":{"main":{},"_keys":{}},"title":"Adverse events in New Zealand public hospitals: principal findings from a national survey","collection-title":"Occasional Paper","publisher-place":"Wellington, New Zealand","authority":"Ministry of Health","event-place":"Wellington, New Zealand","archive-place":"Wellington, New Zealand","URL":"https://www.health.govt.nz/system/files/documents/publications/adverseevents.pdf","number":"Number 3","shortTitle":"Adverse events in New Zealand public hospitals","author":[{"family":"Davis","given":"P. B.","multi":{"_key":{}}},{"family":"Lay-Yee","given":"R.","multi":{"_key":{}}},{"family":"Briant","given":"R. H.","multi":{"_key":{}}},{"family":"Schug","given":"S. A.","multi":{"_key":{}}},{"family":"Scott","given":"A. J.","multi":{"_key":{}}},{"family":"Johnson","given":"S.","multi":{"_key":{}}},{"family":"Bingley","given":"W.","multi":{"_key":{}}}],"issued":{"raw":"December 2001"},"accessed":{"raw":"2016-01-10T23:55:34Z"}}},{"id":5177,"uris":["http://zotero.org/users/955090/items/NDNJI8EC"],"uri":["http://zotero.org/users/955090/items/NDNJI8EC"],"itemData":{"id":5177,"type":"article-journal","multi":{"main":{},"_keys":{}},"title":"Adverse events in New Zealand public hospitals I: occurrence and impact","container-title":"New Zealand Medical Journal","volume":"115","issue":"1167","source":"Google Scholar","URL":"http://www.nzma.org.nz/journal/115-1167/271/","shortTitle":"Adverse events in New Zealand public hospitals I","author":[{"family":"Davis","given":"Peter","multi":{"_key":{}}},{"family":"Lay-Yee","given":"Roy","multi":{"_key":{}}},{"family":"Briant","given":"Robin","multi":{"_key":{}}},{"family":"Ali","given":"Wasan","multi":{"_key":{}}},{"family":"Scott","given":"Alastair","multi":{"_key":{}}},{"family":"Schug","given":"Stephan","multi":{"_key":{}}}],"issued":{"raw":"13 December 2002"},"accessed":{"raw":"2013-03-12T23:52:52Z"}}},{"id":4825,"uris":["http://zotero.org/users/955090/items/MX8Q36QS"],"uri":["http://zotero.org/users/955090/items/MX8Q36QS"],"itemData":{"id":4825,"type":"book","multi":{"main":{},"_keys":{}},"title":"Iatrogenic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2001"}}},{"id":5176,"uris":["http://zotero.org/users/955090/items/TR46M42I"],"uri":["http://zotero.org/users/955090/items/TR46M42I"],"itemData":{"id":5176,"type":"article-journal","multi":{"main":{},"_keys":{}},"title":"Adverse Events in New Zealand Public Hospitals Ii: Preventability and Clinical Context","container-title":"New Zealand Medical Journal","page":"U624","volume":"116","issue":"1183","source":"Google Scholar","shortTitle":"Adverse events in New Zealand public hospitals II","author":[{"family":"Davis","given":"Peter","multi":{"_key":{}}},{"family":"Lay-Yee","given":"Roy","multi":{"_key":{}}},{"family":"Briant","given":"Robin","multi":{"_key":{}}},{"family":"Ali","given":"Wasan","multi":{"_key":{}}},{"family":"Scott","given":"Alastair","multi":{"_key":{}}},{"family":"Schug","given":"Stephan","multi":{"_key":{}}}],"issued":{"raw":"2003"}}}],"schema":"https://github.com/citation-style-language/schema/raw/master/csl-citation.json"} </w:instrText>
      </w:r>
      <w:r>
        <w:rPr>
          <w:rFonts w:hint="eastAsia"/>
        </w:rPr>
        <w:fldChar w:fldCharType="separate"/>
      </w:r>
      <w:r w:rsidRPr="00387010">
        <w:rPr>
          <w:rFonts w:cs="Times New Roman"/>
          <w:szCs w:val="24"/>
        </w:rPr>
        <w:t xml:space="preserve">See in the specifically Australian and New Zealand context, Wilson et al, above n 5; PB Davis et al, ‘Adverse Events in New Zealand Public Hospitals: Principal Findings from a National Survey’ (Number 3, December 2001) &lt;https://www.health.govt.nz/system/files/documents/publications/adverseevents.pdf&gt;; Peter Davis et al, ‘Adverse Events in New Zealand Public Hospitals I: Occurrence and Impact’ (2002) 115(1167) </w:t>
      </w:r>
      <w:r w:rsidRPr="00387010">
        <w:rPr>
          <w:rFonts w:cs="Times New Roman"/>
          <w:i/>
          <w:szCs w:val="24"/>
        </w:rPr>
        <w:t>New Zealand Medical Journal</w:t>
      </w:r>
      <w:r w:rsidRPr="00387010">
        <w:rPr>
          <w:rFonts w:cs="Times New Roman"/>
          <w:szCs w:val="24"/>
        </w:rPr>
        <w:t xml:space="preserve"> &lt;http://www.nzma.org.nz/journal/115-1167/271/&gt;; Runciman and Moller, above n 1; Peter Davis et al, ‘Adverse Events in New Zealand Public Hospitals Ii: Preventability and Clinical Context’ (2003) 116(1183) </w:t>
      </w:r>
      <w:r w:rsidRPr="00387010">
        <w:rPr>
          <w:rFonts w:cs="Times New Roman"/>
          <w:i/>
          <w:szCs w:val="24"/>
        </w:rPr>
        <w:t>New Zealand Medical Journal</w:t>
      </w:r>
      <w:r w:rsidRPr="00387010">
        <w:rPr>
          <w:rFonts w:cs="Times New Roman"/>
          <w:szCs w:val="24"/>
        </w:rPr>
        <w:t xml:space="preserve"> U624.</w:t>
      </w:r>
      <w:r>
        <w:rPr>
          <w:rFonts w:hint="eastAsia"/>
        </w:rPr>
        <w:fldChar w:fldCharType="end"/>
      </w:r>
    </w:p>
  </w:footnote>
  <w:footnote w:id="107">
    <w:p w14:paraId="283EC410" w14:textId="4A8F825F" w:rsidR="00387010" w:rsidRPr="00702369" w:rsidRDefault="00387010" w:rsidP="000C00C2">
      <w:pPr>
        <w:pStyle w:val="FootnoteText"/>
        <w:tabs>
          <w:tab w:val="left" w:pos="709"/>
        </w:tabs>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{"citationID":"SkNqT7vp","properties":{"formattedCitation":"{\\rtf Runciman and Moller, above n 1, 17; these rates are now regarded as consistent across both advanced and developing healthcare systems, see Angus Corbett, Jo Travaglia and Jeffrey Braithwaite, \\uc0\\u8216{}The Role of Individual Diligence in Improving Safety\\uc0\\u8217{} (2011) 25(3) {\\i{}Journal of Health Organization and Management} 247, 248; John D Hamilton, Robert W Gibberd and Bernadette T Harrison, \\uc0\\u8216{}After the Quality in Australian Health Care Study, What Happened?\\uc0\\u8217{} (2014) 201(1) {\\i{}The Medical Journal of Australia} 23; RM Wilson et al, \\uc0\\u8216{}Patient Safety in Developing Countries: Retrospective Estimation of Scale and Nature of Harm to Patients in Hospital\\uc0\\u8217{} (2012) 344 {\\i{}BMJ} e832.}","plainCitation":"Runciman and Moller, above n 1, 17; these rates are now regarded as consistent across both advanced and developing healthcare systems, see Angus Corbett, Jo Travaglia and Jeffrey Braithwaite, ‘The Role of Individual Diligence in Improving Safety’ (2011) 25(3) Journal of Health Organization and Management 247, 248; John D Hamilton, Robert W Gibberd and Bernadette T Harrison, ‘After the Quality in Australian Health Care Study, What Happened?’ (2014) 201(1) The Medical Journal of Australia 23; RM Wilson et al, ‘Patient Safety in Developing Countries: Retrospective Estimation of Scale and Nature of Harm to Patients in Hospital’ (2012) 344 BMJ e832."},"citationItems":[{"id":4825,"uris":["http://zotero.org/users/955090/items/MX8Q36QS"],"uri":["http://zotero.org/users/955090/items/MX8Q36QS"],"itemData":{"id":4825,"type":"book","multi":{"main":{},"_keys":{}},"title":"Iatrogenic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2001"}},"locator":"17"},{"id":4836,"uris":["http://zotero.org/users/955090/items/K66DTPQJ"],"uri":["http://zotero.org/users/955090/items/K66DTPQJ"],"itemData":{"id":4836,"type":"article-journal","multi":{"main":{},"_keys":{}},"title":"The role of individual diligence in improving safety","container-title":"Journal of Health Organization and Management","page":"247–260","volume":"25","issue":"3","source":"Google Scholar","author":[{"family":"Corbett","given":"Angus","multi":{"_key":{}}},{"family":"Travaglia","given":"Jo","multi":{"_key":{}}},{"family":"Braithwaite","given":"Jeffrey","multi":{"_key":{}}}],"issued":{"raw":"2011"}},"locator":"248","prefix":"these rates are now regarded as consistent across both advanced and developing healthcare systems, see "},{"id":2693,"uris":["http://zotero.org/users/955090/items/P8RTSQEF"],"uri":["http://zotero.org/users/955090/items/P8RTSQEF"],"itemData":{"id":2693,"type":"article-journal","multi":{"main":{},"_keys":{}},"title":"After the Quality in Australian Health Care Study, what happened?","container-title":"The Medical Journal of Australia","page":"23","volume":"201","issue":"1","source":"CrossRef","DOI":"10.5694/mja14.00615","ISSN":"0025729X, 13265377","author":[{"family":"Hamilton","given":"John D","multi":{"_key":{}}},{"family":"Gibberd","given":"Robert W","multi":{"_key":{}}},{"family":"Harrison","given":"Bernadette T","multi":{"_key":{}}}],"issued":{"raw":"2014-11-13"}}},{"id":2692,"uris":["http://zotero.org/users/955090/items/BJ968KFW"],"uri":["http://zotero.org/users/955090/items/BJ968KFW"],"itemData":{"id":2692,"type":"article-journal","multi":{"main":{},"_keys":{}},"title":"Patient safety in developing countries: retrospective estimation of scale and nature of harm to patients in hospital","container-title":"BMJ","page":"e832","volume":"344","source":"www.bmj.com","abstract":"Objective To assess the frequency and nature of adverse events to patients in selected hospitals in developing or transitional economies.\nDesign Retrospective medical record review of hospital admissions during 2005 in eight countries.\nSetting Ministries of Health of Egypt, Jordan, Kenya, Morocco, Tunisia, Sudan, South Africa and Yemen; the World Health Organisation (WHO) Eastern Mediterranean and African Regions (EMRO and AFRO), and WHO Patient Safety.\nParticipants Convenience sample of 26 hospitals from which 15 548 patient records were randomly sampled.\nMain outcome measures Two stage screening. Initial screening based on 18 explicit criteria. Records that screened positive were then reviewed by a senior physician for determination of adverse event, its preventability, and the resulting disability.\nResults Of the 15 548 records reviewed, 8.2% showed at least one adverse event, with a range of 2.5% to 18.4% per country. Of these events, 83% were judged to be preventable, while about 30% were associated with death of the patient. About 34% adverse events were from therapeutic errors in relatively non-complex clinical situations. Inadequate training and supervision of clinical staff or the failure to follow policies or protocols contributed to most events.\nConclusions Unsafe patient care represents a serious and considerable danger to patients in the hospitals that were studied, and hence should be a high priority public health problem. Many other developing and transitional economies will probably share similar rates of harm and similar contributory factors. The convenience sampling of hospitals might limit the interpretation of results, but the identified adverse event rates show an estimate that should stimulate and facilitate the urgent institution of appropriate remedial action and also to trigger more research. Prevention of these adverse events will be complex and involves improving basic clinical processes and does not simply depend on the provision of more resources.","DOI":"10.1136/bmj.e832","ISSN":"0959-8138, 1468-5833","note":"PMID: 22416061","shortTitle":"Patient safety in developing countries","journalAbbreviation":"BMJ","language":"en","author":[{"family":"Wilson","given":"R. M.","multi":{"_key":{}}},{"family":"Michel","given":"P.","multi":{"_key":{}}},{"family":"Olsen","given":"S.","multi":{"_key":{}}},{"family":"Gibberd","given":"R. W.","multi":{"_key":{}}},{"family":"Vincent","given":"C.","multi":{"_key":{}}},{"family":"El-Assady","given":"R.","multi":{"_key":{}}},{"family":"Rasslan","given":"O.","multi":{"_key":{}}},{"family":"Qsous","given":"S.","multi":{"_key":{}}},{"family":"Macharia","given":"W. M.","multi":{"_key":{}}},{"family":"Sahel","given":"A.","multi":{"_key":{}}},{"family":"Whittaker","given":"S.","multi":{"_key":{}}},{"family":"Abdo-Ali","given":"M.","multi":{"_key":{}}},{"family":"Letaief","given":"M.","multi":{"_key":{}}},{"family":"Ahmed","given":"N. A.","multi":{"_key":{}}},{"family":"Abdellatif","given":"A.","multi":{"_key":{}}},{"family":"Larizgoitia","given":"I.","multi":{"_key":{}}}],"issued":{"raw":"2012/03/13"}}}],"schema":"https://github.com/citation-style-language/schema/raw/master/csl-citation.json"} </w:instrText>
      </w:r>
      <w:r>
        <w:fldChar w:fldCharType="separate"/>
      </w:r>
      <w:r w:rsidRPr="001724B2">
        <w:rPr>
          <w:rFonts w:cs="Times New Roman"/>
          <w:szCs w:val="24"/>
        </w:rPr>
        <w:t xml:space="preserve">Runciman and Moller, above n 1, 17; these rates are now regarded as consistent across both advanced and developing healthcare systems, see Angus Corbett, Jo Travaglia and Jeffrey Braithwaite, ‘The Role of Individual Diligence in Improving Safety’ (2011) 25(3) </w:t>
      </w:r>
      <w:r w:rsidRPr="001724B2">
        <w:rPr>
          <w:rFonts w:cs="Times New Roman"/>
          <w:i/>
          <w:szCs w:val="24"/>
        </w:rPr>
        <w:t>Journal of Health Organization and Management</w:t>
      </w:r>
      <w:r w:rsidRPr="001724B2">
        <w:rPr>
          <w:rFonts w:cs="Times New Roman"/>
          <w:szCs w:val="24"/>
        </w:rPr>
        <w:t xml:space="preserve"> 247, 248; John D Hamilton, Robert W Gibberd and Bernadette T Harrison, ‘After the Quality in Australian Health Care Study, What Happened?’ (2014) 201(1) </w:t>
      </w:r>
      <w:r w:rsidRPr="001724B2">
        <w:rPr>
          <w:rFonts w:cs="Times New Roman"/>
          <w:i/>
          <w:szCs w:val="24"/>
        </w:rPr>
        <w:t>The Medical Journal of Australia</w:t>
      </w:r>
      <w:r w:rsidRPr="001724B2">
        <w:rPr>
          <w:rFonts w:cs="Times New Roman"/>
          <w:szCs w:val="24"/>
        </w:rPr>
        <w:t xml:space="preserve"> 23; RM Wilson et al, ‘Patient Safety in Developing Countries: Retrospective Estimation of Scale and Nature of Harm to Patients in Hospital’ (2012) 344 </w:t>
      </w:r>
      <w:r w:rsidRPr="001724B2">
        <w:rPr>
          <w:rFonts w:cs="Times New Roman"/>
          <w:i/>
          <w:szCs w:val="24"/>
        </w:rPr>
        <w:t>BMJ</w:t>
      </w:r>
      <w:r w:rsidRPr="001724B2">
        <w:rPr>
          <w:rFonts w:cs="Times New Roman"/>
          <w:szCs w:val="24"/>
        </w:rPr>
        <w:t xml:space="preserve"> e832.</w:t>
      </w:r>
      <w:r>
        <w:fldChar w:fldCharType="end"/>
      </w:r>
    </w:p>
  </w:footnote>
  <w:footnote w:id="108">
    <w:p w14:paraId="27E617B9" w14:textId="08776C39" w:rsidR="00387010" w:rsidRPr="00F07F9E" w:rsidRDefault="00387010" w:rsidP="000C00C2">
      <w:pPr>
        <w:pStyle w:val="FootnoteText"/>
        <w:tabs>
          <w:tab w:val="left" w:pos="709"/>
        </w:tabs>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{"citationID":"SqSD77aF","properties":{"formattedCitation":"See for example, Braithwaite, Wears and Hollnagel, above n 4, 419; Wears, Sutcliffe and Van Rite, above n 3.","plainCitation":"See for example, Braithwaite, Wears and Hollnagel, above n 4, 419; Wears, Sutcliffe and Van Rite, above n 3."},"citationItems":[{"id":2836,"uris":["http://zotero.org/users/955090/items/HV6W56DX"],"uri":["http://zotero.org/users/955090/items/HV6W56DX"],"itemData":{"id":2836,"type":"article-journal","multi":{"main":{},"_keys":{}},"title":"Resilient health care: turning patient safety on its head","container-title":"International Journal for Quality in Health Care","page":"418-420","volume":"27","issue":"5","source":"intqhc.oxfordjournals.org","abstract":"The current approach to patient safety, labelled Safety-I, is predicated on a ‘find and fix’ model. It identifies things going wrong, after the event, and aims to stamp them out, in order to ensure that the number of errors is as low as possible. Healthcare is much more complex than such a linear model suggests. We need to switch the focus to what we have come to call Safety-II: a concerted effort to enable things to go right more often. The key is to appreciate that healthcare is resilient to a large extent, and everyday performance succeeds much more often than it fails. Clinicians constantly adjust what they do to match the conditions. Facilitating work flexibility, and actively trying to increase the capacity of clinicians to deliver more care more effectively, is key to this new paradigm. At its heart, proactive safety management focuses on how everyday performance usually succeeds rather than on why it occasionally fails, and actively strives to improve the former rather than simply preventing the latter.","DOI":"10.1093/intqhc/mzv063","ISSN":"1353-4505, 1464-3677","note":"PMID: 26294709","shortTitle":"Resilient health care","language":"en","author":[{"family":"Braithwaite","given":"Jeffrey","multi":{"_key":{}}},{"family":"Wears","given":"Robert L.","multi":{"_key":{}}},{"family":"Hollnagel","given":"Erik","multi":{"_key":{}}}],"issued":{"raw":"2015/10/01"}},"locator":"419","prefix":"See for example, "},{"id":3061,"uris":["http://zotero.org/users/955090/items/52QH6ZTC"],"uri":["http://zotero.org/users/955090/items/52QH6ZTC"],"itemData":{"id":3061,"type":"chapter","multi":{"main":{},"_keys":{}},"title":"Patient Safety: A Brief But Spirited History","container-title":"Patient Safety: Perspectives on Evidence, Information and Knowledge Transfer","publisher":"Ashgate Publishing, Ltd.","page":"3-22","source":"Google Books","abstract":"Patient Safety: Perspectives on Evidence, Information and Knowledge Transfer provides background on the patient safety movement, systems safety, human error and other key philosophies that support change and innovation in the reduction of medical error. The book draws from multidisciplinary areas within the acute care environment to share models to drive proactive changes in how team-based improvement efforts can make evidence, information and knowledge (EIK) sharing processes reliable, effective and necessary in support of safe care delivery. The publication discusses how the tenets of safety (described in the beginning of the book) can be actively applied to EIK processes in the front line of care.","ISBN":"978-1-4094-3857-1","language":"en","editor":[{"family":"Zipperer","given":"Lorri","multi":{"_key":{}}}],"author":[{"family":"Wears","given":"Robert L.","multi":{"_key":{}}},{"family":"Sutcliffe","given":"Kathleen M.","multi":{"_key":{}}},{"family":"Van Rite","given":"Eric","multi":{"_key":{}}}],"issued":{"raw":"2014-06-28"}}}],"schema":"https://github.com/citation-style-language/schema/raw/master/csl-citation.json"} </w:instrText>
      </w:r>
      <w:r>
        <w:fldChar w:fldCharType="separate"/>
      </w:r>
      <w:r w:rsidRPr="001724B2">
        <w:t>See for example, Braithwaite, Wears and Hollnagel, above n 4, 419; Wears, Sutcliffe and Van Rite, above n 3.</w:t>
      </w:r>
      <w:r>
        <w:fldChar w:fldCharType="end"/>
      </w:r>
    </w:p>
  </w:footnote>
  <w:footnote w:id="109">
    <w:p w14:paraId="6BC257DA" w14:textId="38CF1D77" w:rsidR="00387010" w:rsidRPr="00881026" w:rsidRDefault="00387010" w:rsidP="000C00C2">
      <w:pPr>
        <w:pStyle w:val="FootnoteText"/>
        <w:tabs>
          <w:tab w:val="left" w:pos="709"/>
        </w:tabs>
        <w:spacing w:before="120" w:after="120" w:line="240" w:lineRule="auto"/>
      </w:pPr>
      <w:r w:rsidRPr="00B916B2">
        <w:rPr>
          <w:rStyle w:val="FootnoteReference"/>
        </w:rPr>
        <w:footnoteRef/>
      </w:r>
      <w:r w:rsidRPr="00B32C5D">
        <w:rPr>
          <w:rStyle w:val="FootnoteReference"/>
        </w:rPr>
        <w:t xml:space="preserve"> </w:t>
      </w:r>
      <w:r>
        <w:tab/>
      </w:r>
      <w:r w:rsidRPr="00881026">
        <w:fldChar w:fldCharType="begin"/>
      </w:r>
      <w:r>
        <w:instrText xml:space="preserve"> ADDIN ZOTERO_ITEM CSL_CITATION {"citationID":"JD8MlIss","properties":{"formattedCitation":"{\\rtf The 1994-95 Australian QAHCS study reported Preventability was not strongly associated with age, sex or insurance status, nor was it associated with the level of disability, except for death (in which 70% of Adverse Events showed high preventability). Only 1.2% of AEs in the \\uc0\\u8220{}no preventability\\uc0\\u8221{} category resulted in death, compared with 4.1% in the \\uc0\\u8220{}low preventability\\uc0\\u8221{} category and 6.5% in the \\uc0\\u8220{}high preventability\\uc0\\u8221{} category. Some of this association between preventability and death could be ascribed to outcome bias Wilson et al, above n 5; the QAHCS study reported 51% preventability across all adverse events, see Runciman and Moller, above n 1, 22; see also the QAHCS results reinterpreted where all adverse events were re-classified as to whether they fell into one of two categories, \\uc0\\u8220{}potentially preventable\\uc0\\u8221{}, or \\uc0\\u8220{}not preventable with current medical knowledge\\uc0\\u8221{} rather than using the six-point scale in the QAHCS, it was found that 80% of adverse events fell into potentially preventable categories Runciman, Edmonds and Pradhan, above n 5.}","plainCitation":"The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Wilson et al, above n 5; the QAHCS study reported 51% preventability across all adverse events, see Runciman and Moller, above n 1, 22; 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Runciman, Edmonds and Pradhan, above n 5."},"citationItems":[{"id":2694,"uris":["http://zotero.org/users/955090/items/5P43DSZ6"],"uri":["http://zotero.org/users/955090/items/5P43DSZ6"],"itemData":{"id":2694,"type":"article-journal","multi":{"main":{},"_keys":{}},"title":"The quality in Australian health care study","container-title":"Medical Journal of Australia","page":"458–471","volume":"163","issue":"9","source":"Google Scholar","author":[{"family":"Wilson","given":"Ross M.","multi":{"_key":{}}},{"family":"Runciman","given":"William B.","multi":{"_key":{}}},{"family":"Gibberd","given":"Robert W.","multi":{"_key":{}}},{"family":"Harrison","given":"Bernadette T.","multi":{"_key":{}}},{"family":"Newby","given":"Liza","multi":{"_key":{}}},{"family":"Hamilton","given":"John D.","multi":{"_key":{}}},{"literal":"others","multi":{"_key":{}}}],"issued":{"raw":"1995"}},"prefix":"The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2001"}},"locator":"22","prefix":"the QAHCS study reported 51% preventability across all adverse events, see "},{"id":4826,"uris":["http://zotero.org/users/955090/items/CJEIQ9CA"],"uri":["http://zotero.org/users/955090/items/CJEIQ9CA"],"itemData":{"id":4826,"type":"article-journal","multi":{"main":{},"_keys":{}},"title":"Setting priorities for patient safety","container-title":"Quality and Safety in Health Care","page":"224–229","volume":"11","issue":"3","source":"Google Scholar","author":[{"family":"Runciman","given":"William","multi":{"_key":{}}},{"family":"Edmonds","given":"M. J.","multi":{"_key":{}}},{"family":"Pradhan","given":"M.","multi":{"_key":{}}}],"issued":{"raw":"2002"}},"prefix":"see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"}],"schema":"https://github.com/citation-style-language/schema/raw/master/csl-citation.json"} </w:instrText>
      </w:r>
      <w:r w:rsidRPr="00881026">
        <w:fldChar w:fldCharType="separate"/>
      </w:r>
      <w:r w:rsidRPr="00387010">
        <w:rPr>
          <w:rFonts w:cs="Times New Roman"/>
          <w:szCs w:val="24"/>
        </w:rPr>
        <w:t>The 1994-95 Australian QAHCS study reported Preventability was not strongly associated with age, sex or insurance status, nor was it associated with the level of disability, except for death (in which 70% of Adverse Events showed high preventability). Only 1.2% of AEs in the “no preventability” category resulted in death, compared with 4.1% in the “low preventability” category and 6.5% in the “high preventability” category. Some of this association between preventability and death could be ascribed to outcome bias Wilson et al, above n 5; the QAHCS study reported 51% preventability across all adverse events, see Runciman and Moller, above n 1, 22; see also the QAHCS results reinterpreted where all adverse events were re-classified as to whether they fell into one of two categories, “potentially preventable”, or “not preventable with current medical knowledge” rather than using the six-point scale in the QAHCS, it was found that 80% of adverse events fell into potentially preventable categories Runciman, Edmonds and Pradhan, above n 5.</w:t>
      </w:r>
      <w:r w:rsidRPr="00881026">
        <w:fldChar w:fldCharType="end"/>
      </w:r>
    </w:p>
  </w:footnote>
  <w:footnote w:id="110">
    <w:p w14:paraId="7EDE36AD" w14:textId="542267F5" w:rsidR="00387010" w:rsidRPr="00881026" w:rsidRDefault="00387010" w:rsidP="000C00C2">
      <w:pPr>
        <w:pStyle w:val="FootnoteText"/>
        <w:tabs>
          <w:tab w:val="left" w:pos="709"/>
        </w:tabs>
        <w:spacing w:before="120" w:after="120" w:line="240" w:lineRule="auto"/>
      </w:pPr>
      <w:r w:rsidRPr="00B916B2">
        <w:rPr>
          <w:rStyle w:val="FootnoteReference"/>
        </w:rPr>
        <w:footnoteRef/>
      </w:r>
      <w:r w:rsidRPr="00B32C5D">
        <w:rPr>
          <w:rStyle w:val="FootnoteReference"/>
        </w:rPr>
        <w:t xml:space="preserve"> </w:t>
      </w:r>
      <w:r>
        <w:tab/>
      </w:r>
      <w:r w:rsidRPr="00881026">
        <w:fldChar w:fldCharType="begin"/>
      </w:r>
      <w:r>
        <w:instrText xml:space="preserve"> ADDIN ZOTERO_ITEM CSL_CITATION {"citationID":"Qv3RzBZ0","properties":{"formattedCitation":"{\\rtf Runciman and Moller report a figure of 10,000 deaths in Australia per annum on 1992 figures, however, it is unclear from this report the exact source of this figure Runciman and Moller, above n 1, xv; The earlier QAHCS findings in Australia found 230,000 preventable iatrogenic injuries in 1992, of which 13,000 were associated with death Eric J Thomas et al, \\uc0\\u8216{}A Comparison of Iatrogenic Injury Studies in Australia and the USA I: Context, Methods, Casemix, Population, Patient and Hospital Characteristics\\uc0\\u8217{} (2000) 12(5) {\\i{}International Journal for Quality in Health Care} 371, 372; although hospital activity reporting is almost uniformly reported as separations (which includes discharges, transfer or statistical type changes) it seems the analysis of the incidence of iatrogenic in the landmark studies during the 1990\\uc0\\u8217{}s was based upon \\uc0\\u8216{}discharge\\uc0\\u8217{} (home). As such, the estimate of 27,000 iatrogenic deaths per annum is based on an extrapolation of the widely agreed 0.3% incidence of iatrogenic death applies to discharge (home or to place of usual residency including residential aged care) which in 2013-14 accounted for 8,969,032 of 9,702,304 total separations (26,907 per annum) Australian Institute of Health and Welfare, \\uc0\\u8216{}Admitted Patient Care 2013\\uc0\\u8211{}14, Australian Hospital Statistics\\uc0\\u8217{} (No 60 Cat. HSE 156, 2015) (Table 5.37) 134 &lt;http://www.aihw.gov.au/WorkArea/DownloadAsset.aspx?id=60129550480&gt;; this assumes, per Braithwaite et al, that these rates have not materially shifted since their accounting in the early 1990\\uc0\\u8217{}s and 2000\\uc0\\u8217{}s, see Braithwaite, Wears and Hollnagel, above n 4, 419.}","plainCitation":"Runciman and Moller report a figure of 10,000 deaths in Australia per annum on 1992 figures, however, it is unclear from this report the exact source of this figure Runciman and Moller, above n 1, xv; The earlier QAHCS findings in Australia found 230,000 preventable iatrogenic injuries in 1992, of which 13,000 were associated with death Eric J Thomas et al, ‘A Comparison of Iatrogenic Injury Studies in Australia and the USA I: Context, Methods, Casemix, Population, Patient and Hospital Characteristics’ (2000) 12(5) International Journal for Quality in Health Care 371, 372; although hospital activity reporting is almost uniformly reported as separations (which includes discharges, transfer or statistical type changes) it seems the analysis of the incidence of iatrogenic in the landmark studies during the 1990’s was based upon ‘discharge’ (home). As such, the estimate of 27,000 iatrogenic deaths per annum is based on an extrapolation of the widely agreed 0.3% incidence of iatrogenic death applies to discharge (home or to place of usual residency including residential aged care) which in 2013-14 accounted for 8,969,032 of 9,702,304 total separations (26,907 per annum) Australian Institute of Health and Welfare, ‘Admitted Patient Care 2013–14, Australian Hospital Statistics’ (No 60 Cat. HSE 156, 2015) (Table 5.37) 134 &lt;http://www.aihw.gov.au/WorkArea/DownloadAsset.aspx?id=60129550480&gt;; this assumes, per Braithwaite et al, that these rates have not materially shifted since their accounting in the early 1990’s and 2000’s, see Braithwaite, Wears and Hollnagel, above n 4, 419."},"citationItems":[{"id":4825,"uris":["http://zotero.org/users/955090/items/MX8Q36QS"],"uri":["http://zotero.org/users/955090/items/MX8Q36QS"],"itemData":{"id":4825,"type":"book","multi":{"main":{},"_keys":{}},"title":"Iatrogenic Injury in Australia","publisher":"Australian Patient Safety Foundation","number-of-pages":"150","source":"Google Books","ISBN":"978-0-646-41132-3","language":"en","author":[{"family":"Runciman","given":"William","multi":{"_key":{}}},{"family":"Moller","given":"J","multi":{"_key":{}}}],"issued":{"raw":"August 2001"}},"locator":"xv","prefix":"Runciman and Moller report a figure of 10,000 deaths in Australia per annum on 1992 figures, however, it is unclear from this report the exact source of this figure "},{"id":2830,"uris":["http://zotero.org/users/955090/items/NXW3BH4B"],"uri":["http://zotero.org/users/955090/items/NXW3BH4B"],"itemData":{"id":2830,"type":"article-journal","multi":{"main":{},"_keys":{}},"title":"A comparison of iatrogenic injury studies in Australia and the USA I: context, methods, casemix, population, patient and hospital characteristics","container-title":"International Journal for Quality in Health Care","page":"371–378","volume":"12","issue":"5","source":"Google Scholar","shortTitle":"A comparison of iatrogenic injury studies in Australia and the USA I","author":[{"family":"Thomas","given":"Eric J.","multi":{"_key":{}}},{"family":"Studdert","given":"David M.","multi":{"_key":{}}},{"family":"Runciman","given":"William B.","multi":{"_key":{}}},{"family":"Webb","given":"Robert K.","multi":{"_key":{}}},{"family":"Sexton","given":"Elizabeth J.","multi":{"_key":{}}},{"family":"Wilson","given":"R. M.","multi":{"_key":{}}},{"family":"Gibberd","given":"Robert W.","multi":{"_key":{}}},{"family":"Harrison","given":"Bernadette T.","multi":{"_key":{}}},{"family":"Brennan","given":"TROYEN A.","multi":{"_key":{}}}],"issued":{"raw":"2000"}},"locator":"372","prefix":"The earlier QAHCS findings in Australia found 230,000 preventable iatrogenic injuries in 1992, of which 13,000 were associated with death "},{"id":5809,"uris":["http://zotero.org/users/955090/items/EV9IJ62B"],"uri":["http://zotero.org/users/955090/items/EV9IJ62B"],"itemData":{"id":5809,"type":"report","multi":{"main":{},"_keys":{}},"title":"Admitted Patient Care 2013–14, Australian Hospital Statistics","collection-title":"Health Services Series","publisher-place":"Canberra, ACT.","authority":"Australian Institute of Health and Welfare","event-place":"Canberra, ACT.","archive-place":"Canberra, ACT.","URL":"http://www.aihw.gov.au/WorkArea/DownloadAsset.aspx?id=60129550480","number":"No 60 Cat. HSE 156","author":[{"literal":"Australian Institute of Health and Welfare","multi":{"_key":{}}}],"issued":{"raw":"2015"}},"locator":"(Table 5.37) 134","prefix":"although hospital activity reporting is almost uniformly reported as separations (which includes discharges, transfer or statistical type changes) it seems the analysis of the incidence of iatrogenic in the landmark studies during the 1990's was based upon 'discharge' (home). As such, the estimate of 27,000 iatrogenic deaths per annum is based on an extrapolation of the widely agreed 0.3% incidence of iatrogenic death applies to discharge (home or to place of usual residency including residential aged care) which in 2013-14 accounted for 8,969,032 of 9,702,304 total separations (26,907 per annum)"},{"id":2836,"uris":["http://zotero.org/users/955090/items/HV6W56DX"],"uri":["http://zotero.org/users/955090/items/HV6W56DX"],"itemData":{"id":2836,"type":"article-journal","multi":{"main":{},"_keys":{}},"title":"Resilient health care: turning patient safety on its head","container-title":"International Journal for Quality in Health Care","page":"418-420","volume":"27","issue":"5","source":"intqhc.oxfordjournals.org","abstract":"The current approach to patient safety, labelled Safety-I, is predicated on a ‘find and fix’ model. It identifies things going wrong, after the event, and aims to stamp them out, in order to ensure that the number of errors is as low as possible. Healthcare is much more complex than such a linear model suggests. We need to switch the focus to what we have come to call Safety-II: a concerted effort to enable things to go right more often. The key is to appreciate that healthcare is resilient to a large extent, and everyday performance succeeds much more often than it fails. Clinicians constantly adjust what they do to match the conditions. Facilitating work flexibility, and actively trying to increase the capacity of clinicians to deliver more care more effectively, is key to this new paradigm. At its heart, proactive safety management focuses on how everyday performance usually succeeds rather than on why it occasionally fails, and actively strives to improve the former rather than simply preventing the latter.","DOI":"10.1093/intqhc/mzv063","ISSN":"1353-4505, 1464-3677","note":"PMID: 26294709","shortTitle":"Resilient health care","language":"en","author":[{"family":"Braithwaite","given":"Jeffrey","multi":{"_key":{}}},{"family":"Wears","given":"Robert L.","multi":{"_key":{}}},{"family":"Hollnagel","given":"Erik","multi":{"_key":{}}}],"issued":{"raw":"2015/10/01"}},"locator":"419","prefix":"this assumes, per Braithwaite et al, that these rates have not materially shifted since their accounting in the early 1990's and 2000's, see "}],"schema":"https://github.com/citation-style-language/schema/raw/master/csl-citation.json"} </w:instrText>
      </w:r>
      <w:r w:rsidRPr="00881026">
        <w:fldChar w:fldCharType="separate"/>
      </w:r>
      <w:r w:rsidRPr="00387010">
        <w:rPr>
          <w:rFonts w:cs="Times New Roman"/>
          <w:szCs w:val="24"/>
        </w:rPr>
        <w:t xml:space="preserve">Runciman and Moller report a figure of 10,000 deaths in Australia per annum on 1992 figures, however, it is unclear from this report the exact source of this figure Runciman and Moller, above n 1, xv; The earlier QAHCS findings in Australia found 230,000 preventable iatrogenic injuries in 1992, of which 13,000 were associated with death Eric J Thomas et al, ‘A Comparison of Iatrogenic Injury Studies in Australia and the USA I: Context, Methods, Casemix, Population, Patient and Hospital Characteristics’ (2000) 12(5) </w:t>
      </w:r>
      <w:r w:rsidRPr="00387010">
        <w:rPr>
          <w:rFonts w:cs="Times New Roman"/>
          <w:i/>
          <w:szCs w:val="24"/>
        </w:rPr>
        <w:t>International Journal for Quality in Health Care</w:t>
      </w:r>
      <w:r w:rsidRPr="00387010">
        <w:rPr>
          <w:rFonts w:cs="Times New Roman"/>
          <w:szCs w:val="24"/>
        </w:rPr>
        <w:t xml:space="preserve"> 371, 372; although hospital activity reporting is almost uniformly reported as separations (which includes discharges, transfer or statistical type changes) it seems the analysis of the incidence of iatrogenic in the landmark studies during the 1990’s was based upon ‘discharge’ (home). As such, the estimate of 27,000 iatrogenic deaths per annum is based on an extrapolation of the widely agreed 0.3% incidence of iatrogenic death applies to discharge (home or to place of usual residency including residential aged care) which in 2013-14 accounted for 8,969,032 of 9,702,304 total separations (26,907 per annum) Australian Institute of Health and Welfare, ‘Admitted Patient Care 2013–14, Australian Hospital Statistics’ (No 60 Cat. HSE 156, 2015) (Table 5.37) 134 &lt;http://www.aihw.gov.au/WorkArea/DownloadAsset.aspx?id=60129550480&gt;; this assumes, per Braithwaite et al, that these rates have not materially shifted since their accounting in the early 1990’s and 2000’s, see Braithwaite, Wears and Hollnagel, above n 4, 419.</w:t>
      </w:r>
      <w:r w:rsidRPr="00881026">
        <w:fldChar w:fldCharType="end"/>
      </w:r>
    </w:p>
  </w:footnote>
  <w:footnote w:id="111">
    <w:p w14:paraId="5C37FCD1" w14:textId="2EB1EFE3"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{"citationID":"QrXgdwnQ","properties":{"formattedCitation":"{\\rtf Matthew J Ziegler, Daniela C Pellegrini and Nasia Safdar, \\uc0\\u8216{}Attributable Mortality of Central Line Associated Bloodstream Infection: Systematic Review and Meta-Analysis.\\uc0\\u8217{} (2015) 43(1) {\\i{}Infection} 29, 29 (\\uc0\\u8216{}CLABSI is associated with a significantly increased risk of death\\uc0\\u8217{}. This systematic review and meta-analysis reported  significantly increased odds of death, reporting a calculated odds ratio of 2.75 [CI 1.86\\uc0\\u8211{}4.07]).}","plainCitation":"Matthew J Ziegler, Daniela C Pellegrini and Nasia Safdar, ‘Attributable Mortality of Central Line Associated Bloodstream Infection: Systematic Review and Meta-Analysis.’ (2015) 43(1) Infection 29, 29 (‘CLABSI is associated with a significantly increased risk of death’. This systematic review and meta-analysis reported  significantly increased odds of death, reporting a calculated odds ratio of 2.75 [CI 1.86–4.07])."},"citationItems":[{"id":4764,"uris":["http://zotero.org/users/955090/items/R7TNCFHK"],"uri":["http://zotero.org/users/955090/items/R7TNCFHK"],"itemData":{"id":4764,"type":"article-journal","multi":{"main":{},"_keys":{}},"title":"Attributable mortality of central line associated bloodstream infection: systematic review and meta-analysis.","container-title":"Infection","page":"29-36","volume":"43","issue":"1","abstract":"PURPOSE: To identify the attributable mortality of central line associated blood  stream infections (CLABSI) through meta-analysis. METHODS: Meta-analysis of case  control and cohort studies, matched and unmatched, that reported on mortality of  patients with and without CLABSI was performed. MEDLINE, CENTRAL, CINAHL were searched. Non-interventional studies of all languages that reported mortality in  patients with CLABSI were included. Data were extracted on patient population, study setting, design, diagnostic criteria for CLABSI, and mortality. Results from studies comparing mortality due to CLABSI were pooled using a random effects model with assessment of heterogeneity. Heterogeneity of studies was assessed with an I (2) statistic and a funnel plot was generated to assess for publication bias. RESULTS: Eighteen studies were included with 1,976 CLABSI cases. Of the included studies, 17 took place in intensive care unit settings, most involved a  mixed population of medical and surgical patients, and ten were matched using an  illness severity index. Our findings show an odds ratio of in hospital death associated with CLABSI as 2.75 (CI 1.86-4.07) and 1.51 (CI 1.08-2.09) in the subgroup of the ten matched studies. Those studies where greater than 30 % of CLABSI were attributed to coagulase-negative Staphylococcus had an odds ratio of  death of 1.64 (95 % CI 1.02-2.65) compared with 4.71 (95 % CI 1.54-14.39). CONCLUSIONS: CLABSI is associated with a significantly increased risk of death supporting the use of extensive efforts to reduce these infections.","DOI":"10.1007/s15010-014-0689-y","ISSN":"1439-0973 0300-8126","note":"PMID: 25331552","journalAbbreviation":"Infection","language":"eng","author":[{"family":"Ziegler","given":"Matthew J.","multi":{"_key":{}}},{"family":"Pellegrini","given":"Daniela C.","multi":{"_key":{}}},{"family":"Safdar","given":"Nasia","multi":{"_key":{}}}],"issued":{"raw":"2015 Feb"}},"locator":"29","suffix":"('CLABSI is associated with a significantly increased risk of death'. This systematic review and meta-analysis reported  significantly increased odds of death, reporting a calculated odds ratio of 2.75 (CI 1.86–4.07))"}],"schema":"https://github.com/citation-style-language/schema/raw/master/csl-citation.json"} </w:instrText>
      </w:r>
      <w:r>
        <w:fldChar w:fldCharType="separate"/>
      </w:r>
      <w:r w:rsidRPr="00387010">
        <w:rPr>
          <w:rFonts w:cs="Times New Roman"/>
          <w:szCs w:val="24"/>
        </w:rPr>
        <w:t xml:space="preserve">Matthew J Ziegler, Daniela C Pellegrini and Nasia Safdar, ‘Attributable Mortality of Central Line Associated Bloodstream Infection: Systematic Review and Meta-Analysis.’ (2015) 43(1) </w:t>
      </w:r>
      <w:r w:rsidRPr="00387010">
        <w:rPr>
          <w:rFonts w:cs="Times New Roman"/>
          <w:i/>
          <w:szCs w:val="24"/>
        </w:rPr>
        <w:t>Infection</w:t>
      </w:r>
      <w:r w:rsidRPr="00387010">
        <w:rPr>
          <w:rFonts w:cs="Times New Roman"/>
          <w:szCs w:val="24"/>
        </w:rPr>
        <w:t xml:space="preserve"> 29, 29 (‘CLABSI is associated with a significantly increased risk of death’. This systematic review and meta-analysis reported  significantly increased odds of death, reporting a calculated odds ratio of 2.75 [CI 1.86–4.07]).</w:t>
      </w:r>
      <w:r>
        <w:fldChar w:fldCharType="end"/>
      </w:r>
    </w:p>
  </w:footnote>
  <w:footnote w:id="112">
    <w:p w14:paraId="1DBC024F" w14:textId="7153598D"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{"citationID":"51n8k888g","properties":{"formattedCitation":"Burrell et al, above n 107.","plainCitation":"Burrell et al, above n 107."},"citationItems":[{"id":2930,"uris":["http://zotero.org/users/955090/items/7C824QR9"],"uri":["http://zotero.org/users/955090/items/7C824QR9"],"itemData":{"id":2930,"type":"article-journal","multi":{"main":{},"_keys":{}},"title":"Aseptic insertion of central venous lines to reduce bacteraemia","container-title":"The Medical journal of Australia","page":"583-587","volume":"194","issue":"11","source":"NCBI PubMed","abstract":"OBJECTIVE\n\nTo reduce the rate of central line-associated bacteraemia (CLAB).\n\n\nDESIGN\n\nA collaborative quality improvement project in intensive care units (ICUs) to promote aseptic insertion of central venous lines (CVLs). A checklist was used to record compliance with all aspects of aseptic CVL insertion, with maximal sterile barrier precautions for clinicians (\"clinician bundle\") and patients (\"patient bundle\"). CLAB was identified and reported using a standard surveillance definition.\n\n\nPARTICIPANTS AND SETTING\n\nPatients and clinicians in 37 ICUs in New South Wales, July 2007-December 2008.\n\n\nMAIN OUTCOME MEASURES\n\nCompliance with aseptic CVL insertion; rates of CLAB.\n\n\nRESULTS\n\n10 890 CVL checklists were reviewed for compliance with the clinician and patient bundles: compliance with aseptic CVL insertion improved significantly (P &lt; 0.001). The CLAB rate dropped from 3.0 to 1.2 per 1000 line-days (P &lt; 0.001). Regardless of CVL type, the relative risk (RR) of CLAB in patients with CVLs inserted by clinicians not compliant with the clinician bundle was 1.62 times greater (95% CI, 1.1-2.4; P = 0.018) than the RR with CVLs inserted by clinicians compliant with both bundles. Compliance with both the bundles was associated with a 50% reduction in risk of CLAB (RR, 0.5; 95% CI, 0.4-0.8; P = 0.004).\n\n\nCONCLUSIONS\n\nCompliance with all aspects of aseptic CVL insertion significantly reduces the risk of CLAB. A difficulty we experienced was that most ICUs lacked the organisation and staff to support quality improvement and audit.","ISSN":"1326-5377","note":"PMID: 21644871","journalAbbreviation":"Med. J. Aust.","author":[{"family":"Burrell","given":"Anthony R","multi":{"_key":{}}},{"family":"McLaws","given":"Mary-Louise","multi":{"_key":{}}},{"family":"Murgo","given":"Margherita","multi":{"_key":{}}},{"family":"Calabria","given":"Eda","multi":{"_key":{}}},{"family":"Pantle","given":"Annette C","multi":{"_key":{}}},{"family":"Herkes","given":"Robert","multi":{"_key":{}}}],"issued":{"raw":"Jun 6, 2011"}}}],"schema":"https://github.com/citation-style-language/schema/raw/master/csl-citation.json"} </w:instrText>
      </w:r>
      <w:r>
        <w:fldChar w:fldCharType="separate"/>
      </w:r>
      <w:r w:rsidRPr="001724B2">
        <w:t>Burrell et al, above n 107.</w:t>
      </w:r>
      <w:r>
        <w:fldChar w:fldCharType="end"/>
      </w:r>
    </w:p>
  </w:footnote>
  <w:footnote w:id="113">
    <w:p w14:paraId="623487D7" w14:textId="09F680E2"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{"citationID":"zq3LpvOJ","properties":{"formattedCitation":"{\\rtf See in particular the excellent post-hoc theoretical evaluation work of Dixon-Woods et al, which outlines key success factors in the Michigan Keystone programme, Mary Dixon-Woods et al, \\uc0\\u8216{}Explaining Michigan: Developing an Ex Post Theory of a Quality Improvement Program\\uc0\\u8217{} (2011) 89(2) {\\i{}The Milbank Quarterly} 167, 176 (Namely, [1] isomorphic pressures, [2] networked community effects, [3] reframing CVC-BSIs as a social problem, [4] changing practice and culture at the sharp end by using interventions with different effects, [5] using data as a disciplinary force, and [6] skillfully using \\uc0\\u8220{}hard edges\").}","plainCitation":"See in particular the excellent post-hoc theoretical evaluation work of Dixon-Woods et al, which outlines key success factors in the Michigan Keystone programme, Mary Dixon-Woods et al, ‘Explaining Michigan: Developing an Ex Post Theory of a Quality Improvement Program’ (2011) 89(2) The Milbank Quarterly 167, 176 (Namely, [1] isomorphic pressures, [2] networked community effects, [3] reframing CVC-BSIs as a social problem, [4] changing practice and culture at the sharp end by using interventions with different effects, [5] using data as a disciplinary force, and [6] skillfully using “hard edges\")."},"citationItems":[{"id":2749,"uris":["http://zotero.org/users/955090/items/XBTEDSDT"],"uri":["http://zotero.org/users/955090/items/XBTEDSDT"],"itemData":{"id":2749,"type":"article-journal","multi":{"main":{},"_keys":{}},"title":"Explaining Michigan: developing an ex post theory of a quality improvement program","container-title":"The Milbank Quarterly","page":"167-205","volume":"89","issue":"2","source":"EBSCOhost","archive_location":"21676020","abstract":"Context: Understanding how and why programs work-not simply whether they work-is crucial. Good theory is indispensable to advancing the science of improvement. We argue for the usefulness of ex post theorization of programs.; Methods: We propose an approach, located within the broad family of theory-oriented methods, for developing ex post theories of interventional programs. We use this approach to develop an ex post theory of the Michigan Intensive Care Unit (ICU) project, which attracted international attention by successfully reducing rates of central venous catheter bloodstream infections (CVC-BSIs). The procedure used to develop the ex post theory was (1) identify program leaders' initial theory of change and learning from running the program; (2) enhance this with new information in the form of theoretical contributions from social scientists; (3) synthesize prior and new information to produce an updated theory.; Findings: The Michigan project achieved its effects by (1) generating isomorphic pressures for ICUs to join the program and conform to its requirements; (2) creating a densely networked community with strong horizontal links that exerted normative pressures on members; (3) reframing CVC-BSIs as a social problem and addressing it through a professional movement combining \"grassroots\" features with a vertically integrating program structure; (4) using several interventions that functioned in different ways to shape a culture of commitment to doing better in practice; (5) harnessing data on infection rates as a disciplinary force; and (6) using \"hard edges.\"; Conclusions: Updating program theory in the light of experience from program implementation is essential to improving programs' generalizability and transferability, although it is not a substitute for concurrent evaluative fieldwork. Future iterations of programs based on the Michigan project, and improvement science more generally, may benefit from the updated theory present here.; © 2011 Milbank Memorial Fund. Published by Wiley Periodicals Inc.","DOI":"10.1111/j.1468-0009.2011.00625.x","ISSN":"1468-0009","shortTitle":"Explaining Michigan","journalAbbreviation":"The Milbank Quarterly","author":[{"family":"Dixon-Woods","given":"Mary","multi":{"_key":{}}},{"family":"Bosk","given":"Charles L","multi":{"_key":{}}},{"family":"Aveling","given":"Emma Louise","multi":{"_key":{}}},{"family":"Goeschel","given":"Christine A","multi":{"_key":{}}},{"family":"Pronovost","given":"Peter J","multi":{"_key":{}}}],"issued":{"raw":"June 2011"}},"locator":"176","prefix":"See in particular the excellent post-hoc theoretical evaluation work of Dixon-Woods et al, which outlines key success factors in the Michigan Keystone programme, ","suffix":"(Namely, (1) isomorphic pressures, (2) networked community effects, (3) reframing CVC-BSIs as a social problem, (4) changing practice and culture at the sharp end by using interventions with different effects, (5) using data as a disciplinary force, and (6) skillfully using “hard edges\")"}],"schema":"https://github.com/citation-style-language/schema/raw/master/csl-citation.json"} </w:instrText>
      </w:r>
      <w:r>
        <w:fldChar w:fldCharType="separate"/>
      </w:r>
      <w:r w:rsidRPr="009A0666">
        <w:rPr>
          <w:rFonts w:cs="Times New Roman"/>
          <w:szCs w:val="24"/>
        </w:rPr>
        <w:t xml:space="preserve">See in particular the excellent post-hoc theoretical evaluation work of Dixon-Woods et al, which outlines key success factors in the Michigan Keystone programme, Mary Dixon-Woods et al, ‘Explaining Michigan: Developing an Ex Post Theory of a Quality Improvement Program’ (2011) 89(2) </w:t>
      </w:r>
      <w:r w:rsidRPr="009A0666">
        <w:rPr>
          <w:rFonts w:cs="Times New Roman"/>
          <w:i/>
          <w:szCs w:val="24"/>
        </w:rPr>
        <w:t>The Milbank Quarterly</w:t>
      </w:r>
      <w:r w:rsidRPr="009A0666">
        <w:rPr>
          <w:rFonts w:cs="Times New Roman"/>
          <w:szCs w:val="24"/>
        </w:rPr>
        <w:t xml:space="preserve"> 167, 176 (Namely, [1] isomorphic pressures, [2] networked community effects, [3] reframing CVC-BSIs as a social problem, [4] changing practice and culture at the sharp end by using interventions with different effects, [5] using data as a disciplinary force, and [6] skillfully using “hard edges").</w:t>
      </w:r>
      <w:r>
        <w:fldChar w:fldCharType="end"/>
      </w:r>
    </w:p>
  </w:footnote>
  <w:footnote w:id="114">
    <w:p w14:paraId="5933AEDE" w14:textId="53B785C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{"citationID":"2v3u6bghr","properties":{"formattedCitation":"Burrell et al, above n 107.","plainCitation":"Burrell et al, above n 107."},"citationItems":[{"id":2930,"uris":["http://zotero.org/users/955090/items/7C824QR9"],"uri":["http://zotero.org/users/955090/items/7C824QR9"],"itemData":{"id":2930,"type":"article-journal","multi":{"main":{},"_keys":{}},"title":"Aseptic insertion of central venous lines to reduce bacteraemia","container-title":"The Medical journal of Australia","page":"583-587","volume":"194","issue":"11","source":"NCBI PubMed","abstract":"OBJECTIVE\n\nTo reduce the rate of central line-associated bacteraemia (CLAB).\n\n\nDESIGN\n\nA collaborative quality improvement project in intensive care units (ICUs) to promote aseptic insertion of central venous lines (CVLs). A checklist was used to record compliance with all aspects of aseptic CVL insertion, with maximal sterile barrier precautions for clinicians (\"clinician bundle\") and patients (\"patient bundle\"). CLAB was identified and reported using a standard surveillance definition.\n\n\nPARTICIPANTS AND SETTING\n\nPatients and clinicians in 37 ICUs in New South Wales, July 2007-December 2008.\n\n\nMAIN OUTCOME MEASURES\n\nCompliance with aseptic CVL insertion; rates of CLAB.\n\n\nRESULTS\n\n10 890 CVL checklists were reviewed for compliance with the clinician and patient bundles: compliance with aseptic CVL insertion improved significantly (P &lt; 0.001). The CLAB rate dropped from 3.0 to 1.2 per 1000 line-days (P &lt; 0.001). Regardless of CVL type, the relative risk (RR) of CLAB in patients with CVLs inserted by clinicians not compliant with the clinician bundle was 1.62 times greater (95% CI, 1.1-2.4; P = 0.018) than the RR with CVLs inserted by clinicians compliant with both bundles. Compliance with both the bundles was associated with a 50% reduction in risk of CLAB (RR, 0.5; 95% CI, 0.4-0.8; P = 0.004).\n\n\nCONCLUSIONS\n\nCompliance with all aspects of aseptic CVL insertion significantly reduces the risk of CLAB. A difficulty we experienced was that most ICUs lacked the organisation and staff to support quality improvement and audit.","ISSN":"1326-5377","note":"PMID: 21644871","journalAbbreviation":"Med. J. Aust.","author":[{"family":"Burrell","given":"Anthony R","multi":{"_key":{}}},{"family":"McLaws","given":"Mary-Louise","multi":{"_key":{}}},{"family":"Murgo","given":"Margherita","multi":{"_key":{}}},{"family":"Calabria","given":"Eda","multi":{"_key":{}}},{"family":"Pantle","given":"Annette C","multi":{"_key":{}}},{"family":"Herkes","given":"Robert","multi":{"_key":{}}}],"issued":{"raw":"Jun 6, 2011"}}}],"schema":"https://github.com/citation-style-language/schema/raw/master/csl-citation.json"} </w:instrText>
      </w:r>
      <w:r>
        <w:fldChar w:fldCharType="separate"/>
      </w:r>
      <w:r w:rsidRPr="001724B2">
        <w:t>Burrell et al, above n 107.</w:t>
      </w:r>
      <w:r>
        <w:fldChar w:fldCharType="end"/>
      </w:r>
    </w:p>
  </w:footnote>
  <w:footnote w:id="115">
    <w:p w14:paraId="59BD4432" w14:textId="20271DF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q4ds5k6pc","properties":{"formattedCitation":"Ibid.","plainCitation":"Ibid."},"citationItems":[{"id":2930,"uris":["http://zotero.org/users/955090/items/7C824QR9"],"uri":["http://zotero.org/users/955090/items/7C824QR9"],"itemData":{"id":2930,"type":"article-journal","multi":{"main":{},"_keys":{}},"title":"Aseptic insertion of central venous lines to reduce bacteraemia","container-title":"The Medical journal of Australia","page":"583-587","volume":"194","issue":"11","source":"NCBI PubMed","abstract":"OBJECTIVE\n\nTo reduce the rate of central line-associated bacteraemia (CLAB).\n\n\nDESIGN\n\nA collaborative quality improvement project in intensive care units (ICUs) to promote aseptic insertion of central venous lines (CVLs). A checklist was used to record compliance with all aspects of aseptic CVL insertion, with maximal sterile barrier precautions for clinicians (\"clinician bundle\") and patients (\"patient bundle\"). CLAB was identified and reported using a standard surveillance definition.\n\n\nPARTICIPANTS AND SETTING\n\nPatients and clinicians in 37 ICUs in New South Wales, July 2007-December 2008.\n\n\nMAIN OUTCOME MEASURES\n\nCompliance with aseptic CVL insertion; rates of CLAB.\n\n\nRESULTS\n\n10 890 CVL checklists were reviewed for compliance with the clinician and patient bundles: compliance with aseptic CVL insertion improved significantly (P &lt; 0.001). The CLAB rate dropped from 3.0 to 1.2 per 1000 line-days (P &lt; 0.001). Regardless of CVL type, the relative risk (RR) of CLAB in patients with CVLs inserted by clinicians not compliant with the clinician bundle was 1.62 times greater (95% CI, 1.1-2.4; P = 0.018) than the RR with CVLs inserted by clinicians compliant with both bundles. Compliance with both the bundles was associated with a 50% reduction in risk of CLAB (RR, 0.5; 95% CI, 0.4-0.8; P = 0.004).\n\n\nCONCLUSIONS\n\nCompliance with all aspects of aseptic CVL insertion significantly reduces the risk of CLAB. A difficulty we experienced was that most ICUs lacked the organisation and staff to support quality improvement and audit.","ISSN":"1326-5377","note":"PMID: 21644871","journalAbbreviation":"Med. J. Aust.","author":[{"family":"Burrell","given":"Anthony R","multi":{"_key":{}}},{"family":"McLaws","given":"Mary-Louise","multi":{"_key":{}}},{"family":"Murgo","given":"Margherita","multi":{"_key":{}}},{"family":"Calabria","given":"Eda","multi":{"_key":{}}},{"family":"Pantle","given":"Annette C","multi":{"_key":{}}},{"family":"Herkes","given":"Robert","multi":{"_key":{}}}],"issued":{"raw":"Jun 6, 2011"}}}],"schema":"https://github.com/citation-style-language/schema/raw/master/csl-citation.json"} </w:instrText>
      </w:r>
      <w:r>
        <w:fldChar w:fldCharType="separate"/>
      </w:r>
      <w:r w:rsidRPr="009A0666">
        <w:t>Ibid.</w:t>
      </w:r>
      <w:r>
        <w:fldChar w:fldCharType="end"/>
      </w:r>
    </w:p>
  </w:footnote>
  <w:footnote w:id="116">
    <w:p w14:paraId="4C9D30A0" w14:textId="539431CA"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{"citationID":"OdTeoReD","properties":{"formattedCitation":"{\\rtf Archer et al, above n 15; Bismark et al, \\uc0\\u8216{}Relationship between Complaints and Quality of Care in New Zealand\\uc0\\u8217{}, above n 25; Bismark et al, \\uc0\\u8216{}Remedies Sought and Obtained in Healthcare Complaints\\uc0\\u8217{}, above n 25; Bismark et al, \\uc0\\u8216{}Identification of Doctors at Risk of Recurrent Complaints\\uc0\\u8217{}, above n 25.}","plainCitation":"Archer et al, above n 15; Bismark et al, ‘Relationship between Complaints and Quality of Care in New Zealand’, above n 25; Bismark et al, ‘Remedies Sought and Obtained in Healthcare Complaints’, above n 25; Bismark et al, ‘Identification of Doctors at Risk of Recurrent Complaints’, above n 25."},"citationItems":[{"id":4738,"uris":["http://zotero.org/users/955090/items/3V58ADQ9"],"uri":["http://zotero.org/users/955090/items/3V58ADQ9"],"itemData":{"id":4738,"type":"report","multi":{"main":{},"_keys":{}},"title":"The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id":2844,"uris":["http://zotero.org/users/955090/items/5F73S74V"],"uri":["http://zotero.org/users/955090/items/5F73S74V"],"itemData":{"id":2844,"type":"article-journal","multi":{"main":{},"_keys":{}},"title":"Relationship between complaint</w:instrText>
      </w:r>
      <w:r>
        <w:rPr>
          <w:rFonts w:hint="eastAsia"/>
        </w:rPr>
        <w:instrText>s and quality of care in New Zealand: a descriptive analysis of complainants and non‐complainants following adverse events","container-title":"Quality &amp; Safety in Health Care","page":"17-22","volume":"15","issue":"1","source":"PubMed Central","abstract":"</w:instrText>
      </w:r>
      <w:r>
        <w:instrText>Objectives\nTo estimate the proportion and characteristics of patients injured by medical care in New Zealand public hospitals who complain to an independent health ombudsman, the Health and Disability Commissioner (“the Commissioner”).\n\nDesign\nThe percentage of injured patients who lodge complaints was estimated by linking the Commissioner's complaints database to records reviewed in the New Zealand Quality of Healthcare Study (NZQHS). Bivariate and multivariate analyses investigated sociodemographic and socioeconomic differences between complainants and non</w:instrText>
      </w:r>
      <w:r>
        <w:rPr>
          <w:rFonts w:hint="eastAsia"/>
        </w:rPr>
        <w:instrText>‐</w:instrText>
      </w:r>
      <w:r>
        <w:instrText xml:space="preserve">complainants.\n\nSetting\nNew Zealand public hospitals and the Office of the Commissioner in 1998.\n\nPopulation\nPatients who lodged claims with the Commissioner (n = 398) and patients identified by the NZQHS as having suffered an adverse event who did not lodge a complaint with the Commissioner (n = 847).\n\nMain outcome measures\nAdverse events, preventable adverse events, and complaints lodged with the Commissioner.\n\nResults\nAmong adverse events identified by the NZQHS, 0.4% (3/850) resulted in complaints; among serious, preventable adverse events 4% (2/48) resulted in complaints. The propensity of injured patients to complain increased steeply with the severity of the injury: odds of complaint were 11 times greater after serious permanent injuries than after temporary injuries, and 18 times greater after deaths. Odds of complaining were significantly lower for patients who were elderly (odds ratio (OR) 0.2, 95% confidence interval (CI) 0.1 to 0.4), of Pacific ethnicity (OR 0.3, 95% CI 0.1 to 0.9), or lived in the most deprived areas (OR 0.3, 95% CI 0.2 to 0.6).\n\nConclusion\nMost medical injuries never trigger a complaint to the Commissioner. Among complaints that are brought, severe and preventable injuries are common, offering a potentially valuable “window” on serious threats to patient safety. The relatively low propensity to complain among patients who are elderly, socioeconomically deprived, or of Pacific ethnicity suggests troubling disparities in access to and utilisation of complaints processes.","DOI":"10.1136/qshc.2005.015743","ISSN":"1475-3898","note":"PMID: 16456205\nPMCID: PMC2563994","shortTitle":"Relationship between complaints and quality of care in New Zealand","journalAbbreviation":"Qual Saf Health Care","author":[{"family":"Bismark","given":"M M","multi":{"_key":{}}},{"family":"Brennan","given":"T A","multi":{"_key":{}}},{"family":"Paterson","given":"R J","multi":{"_key":{}}},{"family":"Davis","given":"P B","multi":{"_key":{}}},{"family":"Studdert","given":"D M","multi":{"_key":{}}}],"issued":{"raw":"2006-2"}}},{"id":2851,"uris":["http://zotero.org/users/955090/items/3NUUUHTQ"],"uri":["http://zotero.org/users/955090/items/3NUUUHTQ"],"itemData":{"id":2851,"type":"article-journal","multi":{"main":{},"_keys":{}},"title":"Remedies sought and obtained in healthcare complaints","container-title":"BMJ Quality &amp; Safety","page":"806-810","volume":"20","issue":"9","source":"qualitysafety.bmj.com.ezproxy.lib.uts.edu.au","abstract":"In the wake of adverse events, injured patients and their families have a complex range of needs and wants. The tort system, even when operating at its best, will inevitably fall far short of addressing them. In Australia and New Zealand, government-run health complaints commissions take a more flexible and expansive approach to providing remedies for patients injured by or disgruntled with care. Unfortunately, survey research has shown that many patients in these systems are dissatisfied with their experience. We hypothesised that an important explanation for this dissatisfaction is an ‘expectations gap’; discordance between what complainants want and what they eventually get out of the process. Analysing a sample of complaints relating to informed consent from the Commission in Victoria (Australia's second largest state, with 5.2 million residents), we found evidence of such a gap. One-third (59/189) of complainants who sought restoration received it; 1 in 5 complainants (17/101) who sought correction received assurances that changes had been or would be made to reduce the risk of others suffering a similar harm; and fewer than 1 in 10 (3/37) who sought sanctions saw steps taken to achieve this outcome initiated. We argue that bridging the expectations gap would go far toward improving patient satisfaction with complaints systems, and suggest several ways this might be done.","DOI":"10.1136/bmjqs-2011-000109","ISSN":", 2044-5423","note":"PMID: 21859814","journalAbbreviation":"BMJ Qual Saf","language":"en","author":[{"family":"Bismark","given":"Marie M.","multi":{"_key":{}}},{"family":"Spittal","given":"Matthew J.","multi":{"_key":{}}},{"family":"Gogos","given":"Andrew J.","multi":{"_key":{}}},{"family":"Gruen","given":"Russell L.","multi":{"_key":{}}},{"family":"Studdert","given":"David M.","multi":{"_key":{}}}],"issued":{"raw":"09/01/2011"}}},{"id":2862,"uris":["http://zotero.org/users/955090/items/74D57ZGB"],"uri":["http://zotero.org/users/955090/items/74D57ZGB"],"itemData":{"id":2862,"type":"article-journal","multi":{"main":{},"_keys":{}},"title":"Identification of doctors at risk of recurrent complaints: a national study of healthcare complaints in Australia","container-title":"BMJ Quality &amp; Safety","page":"532-540","volume":"22","issue":"7","source":"qualitysafety.bmj.com.ezproxy.lib.uts.edu.au","abstract":"Objectives (1) To determine the distribution of formal patient complaints across Australia's medical workforce and (2) to identify characteristics of doctors at high risk of incurring recurrent complaints.\nMethods We assembled a national sample of all 18 907 formal patient complaints filed against doctors with health service ombudsmen (‘Commissions’) in Australia over an 11-year period. We analysed the distribution of complaints among practicing doctors. We then used recurrent-event survival analysis to identify characteristics of doctors at high risk of recurrent complaints, and to estimate each individual doctor's risk of incurring future complaints.\nResults The distribution of complaints among doctors was highly skewed: 3% of Australia's medical workforce accounted for 49% of complaints and 1% accounted for a quarter of complaints. Short-term risks of recurrence varied significantly among doctors: there was a strong dose-response relationship with number of previous complaints and significant differences by doctor specialty and sex. At the practitioner level, risks varied widely, from doctors with &lt;10% risk of further complaints within 2 years to doctors with &gt;80% risk.\nConclusions A small group of doctors accounts for half of all patient complaints lodged with Australian Commissions. It is feasible to predict which doctors are at high risk of incurring more complaints in the near future. Widespread use of this approach to identify high-risk doctors and target quality improvement efforts coupled with effective interventions, could help reduce adverse events and patient dissatisfaction in health systems.","DOI":"10.1136/bmjqs-2012-001691","ISSN":", 2044-5423","note":"PMID: 23576774","shortTitle":"Identification of doctors at risk of recurrent complaints","journalAbbreviation":"BMJ Qual Saf","language":"en","author":[{"family":"Bismark","given":"Marie M.","multi":{"_key":{}}},{"family":"Spittal","given":"Matthew J.","multi":{"_key":{}}},{"family":"Gurrin","given":"Lyle C.","multi":{"_key":{}}},{"family":"Ward","given":"Michael","multi":{"_key":{}}},{"family":"Studdert","given":"David M.","multi":{"_key":{}}}],"issued":{"raw":"07/01/2013"}}}],"schema":"https://github.com/citation-style-language/schema/raw/master/csl-citation.json"} </w:instrText>
      </w:r>
      <w:r>
        <w:fldChar w:fldCharType="separate"/>
      </w:r>
      <w:r w:rsidRPr="001724B2">
        <w:rPr>
          <w:rFonts w:cs="Times New Roman"/>
          <w:szCs w:val="24"/>
        </w:rPr>
        <w:t>Archer et al, above n 15; Bismark et al, ‘Relationship between Complaints and Quality of Care in New Zealand’, above n 25; Bismark et al, ‘Remedies Sought and Obtained in Healthcare Complaints’, above n 25; Bismark et al, ‘Identification of Doctors at Risk of Recurrent Complaints’, above n 25.</w:t>
      </w:r>
      <w:r>
        <w:fldChar w:fldCharType="end"/>
      </w:r>
    </w:p>
  </w:footnote>
  <w:footnote w:id="117">
    <w:p w14:paraId="455F405E" w14:textId="14EDD474"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{"citationID":"2icjbjbsi","properties":{"formattedCitation":"The Medical Board of Australia, Expert Advisory Group on Revalidation, above n 10.","plainCitation":"The Medical Board of Australia, Expert Advisory Group on Revalidation, above n 10."},"citationItems":[{"id":3650,"uris":["http://zotero.org/users/955090/items/AC8DB33R"],"uri":["http://zotero.org/users/955090/items/AC8DB33R"],"itemData":{"id":3650,"type":"report","multi":{"main":{},"_keys":{}},"title":"Expert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2016"}}}],"schema":"https://github.com/citation-style-language/schema/raw/master/csl-citation.json"} </w:instrText>
      </w:r>
      <w:r>
        <w:fldChar w:fldCharType="separate"/>
      </w:r>
      <w:r w:rsidRPr="001724B2">
        <w:t>The Medical Board of Australia, Expert Advisory Group on Revalidation, above n 10.</w:t>
      </w:r>
      <w:r>
        <w:fldChar w:fldCharType="end"/>
      </w:r>
    </w:p>
  </w:footnote>
  <w:footnote w:id="118">
    <w:p w14:paraId="4A190066" w14:textId="470B5EA4"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{"citationID":"oCBtehAX","properties":{"formattedCitation":"Horsley et al, above n 16.","plainCitation":"Horsley et al, above n 16."},"citationItems":[{"id":3034,"uris":["http://zotero.org/users/955090/items/WJ93C3J9"],"uri":["http://zotero.org/users/955090/items/WJ93C3J9"],"itemData":{"id":3034,"type":"article-journal","multi":{"main":{},"_keys":{}},"title":"National programmes for validating physician competence and fitness for practice: a scoping review","container-title":"BMJ Open","page":"e010368","volume":"6","issue":"4","source":"bmjopen.bmj.com","abstract":"Objective To explore and categorise the state of existing literature for national programmes designed to affirm or establish the continuing competence of physicians.\nDesign Scoping review.\nData sources MEDLINE, ERIC, Sociological Abstracts, web/grey literature (2000–2014).\nSelection Included when a record described a (1) national-level physician validation system, (2) recognised as a system for affirming competence and (3) reported relevant data.\nData extraction Using bibliographic software, title and abstracts were reviewed using an assessment matrix to ensure duplicate, paired screening. Dyads included both a methodologist and content expert on each assessment, reflective of evidence-informed best practices to decrease errors.\nResults 45 reports were included. Publication dates ranged from 2002 to 2014 with the majority of publications occurring in the previous six years (n=35). Country of origin—defined as that of the primary author—included the USA (N=32), the UK (N=8), Canada (N=3), Kuwait (N=1) and Australia (N=1). Three broad themes emerged from this heterogeneous data set: contemporary national programmes, contextual factors and terminological consistency. Four national physician validation systems emerged from the data: the American Board of Medical Specialties Maintenance of Certification Program, the Federation of State Medical Boards Maintenance of Licensure Program, the Canadian Revalidation Program and the UK Revalidation Program. Three contextual factors emerged as stimuli for the implementation of national validation systems: medical regulation, quality of care and professional competence. Finally, great variation among the definitions of key terms was identified.\nConclusions There is an emerging literature focusing on national physician validation systems. Four major systems have been implemented in recent years and it is anticipated that more will follow. Much of this work is descriptive, and gaps exist for the extent to which systems build on current evidence or theory. Terminology is highly variable across programmes for validating physician competence and fitness for practice.","DOI":"10.1136/bmjopen-2015-010368","ISSN":"2044-6055,","note":"PMID: 27084276","shortTitle":"National programmes for validating physician competence and fitness for practice","journalAbbreviation":"BMJ Open","language":"en","author":[{"family":"Horsley","given":"Tanya","multi":{"_key":{}}},{"family":"Lockyer","given":"Jocelyn","multi":{"_key":{}}},{"family":"Cogo","given":"Elise","multi":{"_key":{}}},{"family":"Zeiter","given":"Jeanie","multi":{"_key":{}}},{"family":"Bursey","given":"Ford","multi":{"_key":{}}},{"family":"Campbell","given":"Craig","multi":{"_key":{}}}],"issued":{"raw":"04/01/2016"}}}],"schema":"https://github.com/citation-style-language/schema/raw/master/csl-citation.json"} </w:instrText>
      </w:r>
      <w:r w:rsidRPr="001219AF">
        <w:fldChar w:fldCharType="separate"/>
      </w:r>
      <w:r w:rsidRPr="001724B2">
        <w:t>Horsley et al, above n 16.</w:t>
      </w:r>
      <w:r w:rsidRPr="001219AF">
        <w:fldChar w:fldCharType="end"/>
      </w:r>
    </w:p>
  </w:footnote>
  <w:footnote w:id="119">
    <w:p w14:paraId="5354072F" w14:textId="5083BCD3"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{"citationID":"1kpu4rel3f","properties":{"formattedCitation":"{\\rtf Mario Callegaro et al, \\uc0\\u8216{}Online Panel Research\\uc0\\u8217{} in rio Callegaro et al (eds), {\\i{}Online Panel Research} (John Wiley &amp; Sons, Ltd, 2014) 1 &lt;http://onlinelibrary.wiley.com/doi/10.1002/9781118763520.ch1/summary&gt;.}","plainCitation":"Mario Callegaro et al, ‘Online Panel Research’ in rio Callegaro et al (eds), Online Panel Research (John Wiley &amp; Sons, Ltd, 2014) 1 &lt;http://onlinelibrary.wiley.com/doi/10.1002/9781118763520.ch1/summary&gt;."},"citationItems":[{"id":2733,"uris":["http://zotero.org/users/955090/items/6QUHDEWH"],"uri":["http://zotero.org/users/955090/items/6QUHDEWH"],"itemData":{"id":2733,"type":"chapter","multi":{"main":{},"_keys":{}},"title":"Online panel research","container-title":"Online Panel Research","publisher":"John Wiley &amp; Sons, Ltd","page":"1-22","source":"Wiley Online Library","abstract":"In this introductory chapter, written by the six editors of this volume, we introduce and attempt to systematize the key concepts used when discussing online panels. The connection between Internet penetration and the evolution of panels is discussed as are the different types of online panels, their composition, and how they are built. Most online panels do not use probability-based methods, but some do and the differences are discussed. The chapter also describes in some detail the process of joining a panel, answering initial profiling questions, and becoming an active panel member. We discuss the most common sampling techniques, highlighting their strengths and limitations, and touch on techniques to increase representativeness when using a non-probability panel. The variety of incentive methods in current use also is described. Panel maintenance is another key issue, since attrition often is substantial and a panel must be constantly refreshed. Online panels can be used to support a wide range of study designs, some cross-sectional or and others longitudinal, where the same sample members are surveyed multiple times on the same topic. We also discuss industry standards and professional association guidelines for conducting research using online panels. The chapter concludes with a look to the future of online panels and more generally online sampling via means other than classic panels.","URL":"http://onlinelibrary.wiley.com/doi/10.1002/9781118763520.ch1/summary","ISBN":"978-1-118-76352-0","language":"en","author":[{"family":"Callegaro","given":"Mario","multi":{"_key":{}}},{"family":"Baker","given":"Reg","multi":{"_key":{}}},{"family":"Bethlehem","given":"Jelke","multi":{"_key":{}}},{"family":"Göritz","given":"Anja S.","multi":{"_key":{}}},{"family":"Krosnick","given":"Jon A.","multi":{"_key":{}}},{"family":"Lavrakas","given":"Paul J.","multi":{"_key":{}}}],"editor":[{"family":"Callegaro","given":"rio","multi":{"_key":{}}},{"family":"Baker","given":"Reg","multi":{"_key":{}}},{"family":"Bethlehem","given":"Jelke","multi":{"_key":{}}},{"family":"Göritz","given":"Anja S.","multi":{"_key":{}}},{"family":"Krosnick","given":"Jon A.","multi":{"_key":{}}},{"family":"Lavrakas","given":"Paul J.","multi":{"_key":{}}}],"issued":{"raw":"2014"},"accessed":{"raw":"2016-03-14T03:39:19Z"}}}],"schema":"https://github.com/citation-style-language/schema/raw/master/csl-citation.json"} </w:instrText>
      </w:r>
      <w:r>
        <w:fldChar w:fldCharType="separate"/>
      </w:r>
      <w:r w:rsidRPr="009A0666">
        <w:rPr>
          <w:rFonts w:cs="Times New Roman"/>
          <w:szCs w:val="24"/>
        </w:rPr>
        <w:t xml:space="preserve">Mario Callegaro et al, ‘Online Panel Research’ in rio Callegaro et al (eds), </w:t>
      </w:r>
      <w:r w:rsidRPr="009A0666">
        <w:rPr>
          <w:rFonts w:cs="Times New Roman"/>
          <w:i/>
          <w:szCs w:val="24"/>
        </w:rPr>
        <w:t>Online Panel Research</w:t>
      </w:r>
      <w:r w:rsidRPr="009A0666">
        <w:rPr>
          <w:rFonts w:cs="Times New Roman"/>
          <w:szCs w:val="24"/>
        </w:rPr>
        <w:t xml:space="preserve"> (John Wiley &amp; Sons, Ltd, 2014) 1 &lt;http://onlinelibrary.wiley.com/doi/10.1002/9781118763520.ch1/summary&gt;.</w:t>
      </w:r>
      <w:r>
        <w:fldChar w:fldCharType="end"/>
      </w:r>
    </w:p>
  </w:footnote>
  <w:footnote w:id="120">
    <w:p w14:paraId="48BCDCAD" w14:textId="32A1B5A6"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{"citationID":"13lo2cnnfj","properties":{"formattedCitation":"{\\rtf Hilary Bambrick, Josh Fear and Richard Denniss, \\uc0\\u8216{}What  Does  $50,000  Buy  in a Population Survey? Characteristics  of  Internet Survey  Participants Compared with a Random Telephone Sample\\uc0\\u8217{} (Technical Brief No.4, October 2009) &lt;http://www.tai.org.au/sites/defualt/files/TB4%20%20Phone%20and%20internet%20survey%20comparison%20final_7.pdf&gt;.}","plainCitation":"Hilary Bambrick, Josh Fear and Richard Denniss, ‘What  Does  $50,000  Buy  in a Population Survey? Characteristics  of  Internet Survey  Participants Compared with a Random Telephone Sample’ (Technical Brief No.4, October 2009) &lt;http://www.tai.org.au/sites/defualt/files/TB4%20%20Phone%20and%20internet%20survey%20comparison%20final_7.pdf&gt;."},"citationItems":[{"id":2742,"uris":["http://zotero.org/users/955090/items/W4R7Z9AW"],"uri":["http://zotero.org/users/955090/items/W4R7Z9AW"],"itemData":{"id":2742,"type":"report","multi":{"main":{},"_keys":{}},"title":"What  does  $50,000  buy  in a population survey? Characteristics  of  internet survey  participants compared with a random telephone sample","authority":"The Australia Institute","URL":"http://www.tai.org.au/sites/defualt/files/TB4%20%20Phone%20and%20internet%20survey%20comparison%20final_7.pdf","number":"Technical Brief No.4","author":[{"family":"Bambrick","given":"Hilary","multi":{"_key":{}}},{"family":"Fear","given":"Josh","multi":{"_key":{}}},{"family":"Denniss","given":"Richard","multi":{"_key":{}}}],"issued":{"raw":"October 2009"},"accessed":{"raw":"2016-03-14T02:46:41Z"}}}],"schema":"https://github.com/citation-style-language/schema/raw/master/csl-citation.json"} </w:instrText>
      </w:r>
      <w:r w:rsidRPr="001219AF">
        <w:fldChar w:fldCharType="separate"/>
      </w:r>
      <w:r w:rsidRPr="00387010">
        <w:rPr>
          <w:rFonts w:cs="Times New Roman"/>
          <w:szCs w:val="24"/>
        </w:rPr>
        <w:t>Hilary Bambrick, Josh Fear and Richard Denniss, ‘What  Does  $50,000  Buy  in a Population Survey? Characteristics  of  Internet Survey  Participants Compared with a Random Telephone Sample’ (Technical Brief No.4, October 2009) &lt;http://www.tai.org.au/sites/defualt/files/TB4%20%20Phone%20and%20internet%20survey%20comparison%20final_7.pdf&gt;.</w:t>
      </w:r>
      <w:r w:rsidRPr="001219AF">
        <w:fldChar w:fldCharType="end"/>
      </w:r>
    </w:p>
  </w:footnote>
  <w:footnote w:id="121">
    <w:p w14:paraId="6718D860" w14:textId="7F6A27A9"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{"citationID":"3MXHQBVA","properties":{"formattedCitation":"{\\rtf Daniel McFadden and Kenneth Train, \\uc0\\u8216{}Mixed MNL Models for Discrete Response\\uc0\\u8217{} (2000) 15(5) {\\i{}Journal of Applied Econometrics} 447; Leonie Burgess, Deborah J Street and Nada Wasi, \\uc0\\u8216{}Comparing Designs for Choice Experiments: A Case Study\\uc0\\u8217{} (2011) 5(1) {\\i{}Journal of Statistical Theory and Practice} 25.}","plainCitation":"Daniel McFadden and Kenneth Train, ‘Mixed MNL Models for Discrete Response’ (2000) 15(5) Journal of Applied Econometrics 447; Leonie Burgess, Deborah J Street and Nada Wasi, ‘Comparing Designs for Choice Experiments: A Case Study’ (2011) 5(1) Journal of Statistical Theory and Practice 25."},"citationItems":[{"id":3036,"uris":["http://zotero.org/users/955090/items/93HDE4GZ"],"uri":["http://zotero.org/users/955090/items/93HDE4GZ"],"itemData":{"id":3036,"type":"article-journal","multi":{"main":{},"_keys":{}},"title":"Mixed MNL models for discrete response","container-title":"Journal of Applied Econometrics","page":"447-470","volume":"15","issue":"5","source":"Wiley Online Library","abstract":"This paper considers mixed, or random coefficients, multinomial logit (MMNL) models for discrete response, and establishes the following results. Under mild regularity conditions, any discrete choice model derived from random utility maximization has choice probabilities that can be approximated as closely as one pleases by a MMNL model. Practical estimation of a parametric mixing family can be carried out by Maximum Simulated Likelihood Estimation or Method of Simulated Moments, and easily computed instruments are provided that make the latter procedure fairly efficient. The adequacy of a mixing specification can be tested simply as an omitted variable test with appropriately defined artificial variables. An application to a problem of demand for alternative vehicles shows that MMNL provides a flexible and computationally practical approach to discrete response analysis. Copyright © 2000 John Wiley &amp; Sons, Ltd.","DOI":"10.1002/1099-1255(200009/10)15:5&lt;447::AID-JAE570&gt;3.0.CO;2-1","ISSN":"1099-1255","journalAbbreviation":"J. Appl. Econ.","language":"en","author":[{"family":"McFadden","given":"Daniel","multi":{"_key":{}}},{"family":"Train","given":"Kenneth","multi":{"_key":{}}}],"issued":{"raw":"September 1, 2000"}}},{"id":3298,"uris":["http://zotero.org/users/955090/items/FE6FVZ6M"],"uri":["http://zotero.org/users/955090/items/FE6FVZ6M"],"itemData":{"id":3298,"type":"article-journal","multi":{"main":{},"_keys":{}},"title":"Comparing Designs for Choice Experiments: A Case Study","container-title":"Journal of Statistical Theory and Practice","page":"25-46","volume":"5","issue":"1","source":"Taylor and Francis+NEJM","abstract":"This paper describes an empirical comparison of the performance of four designs for a discrete choice experiment. These designs were chosen to represent the range of construction techniques that are currently popular for choice experiments when no prior knowledge of the parameters is available. Each design had 320 respondents who each completed 16 choice sets. The results suggest that for the multinomial logit model (MNL) the design that is used at this stage is fairly unimportant. As the sample size gets smaller, however, differences between the designs become apparent. We also analysed the results using four different models which accommodate preference heterogeneity. We find that any of these models are able to predict choices more accurately for born in-sample and out-of-sample than the MNL model for the designs used here, and that the differences across designs arc larger for models with more parameters, although preliminary results suggest the gain appears to depend on the underlying preference structure.","DOI":"10.1080/15598608.2011.10412048","ISSN":"1559-8608","shortTitle":"Comparing Designs for Choice Experiments","author":[{"family":"Burgess","given":"Leonie","multi":{"_key":{}}},{"family":"Street","given":"Deborah J.","multi":{"_key":{}}},{"family":"Wasi","given":"Nada","multi":{"_key":{}}}],"issued":{"raw":"March 1, 2011"}}}],"schema":"https://github.com/citation-style-language/schema/raw/master/csl-citation.json"} </w:instrText>
      </w:r>
      <w:r w:rsidRPr="001219AF">
        <w:fldChar w:fldCharType="separate"/>
      </w:r>
      <w:r w:rsidRPr="009A0666">
        <w:rPr>
          <w:rFonts w:cs="Times New Roman"/>
          <w:szCs w:val="24"/>
        </w:rPr>
        <w:t xml:space="preserve">Daniel McFadden and Kenneth Train, ‘Mixed MNL Models for Discrete Response’ (2000) 15(5) </w:t>
      </w:r>
      <w:r w:rsidRPr="009A0666">
        <w:rPr>
          <w:rFonts w:cs="Times New Roman"/>
          <w:i/>
          <w:szCs w:val="24"/>
        </w:rPr>
        <w:t>Journal of Applied Econometrics</w:t>
      </w:r>
      <w:r w:rsidRPr="009A0666">
        <w:rPr>
          <w:rFonts w:cs="Times New Roman"/>
          <w:szCs w:val="24"/>
        </w:rPr>
        <w:t xml:space="preserve"> 447; Leonie Burgess, Deborah J Street and Nada Wasi, ‘Comparing Designs for Choice Experiments: A Case Study’ (2011) 5(1) </w:t>
      </w:r>
      <w:r w:rsidRPr="009A0666">
        <w:rPr>
          <w:rFonts w:cs="Times New Roman"/>
          <w:i/>
          <w:szCs w:val="24"/>
        </w:rPr>
        <w:t>Journal of Statistical Theory and Practice</w:t>
      </w:r>
      <w:r w:rsidRPr="009A0666">
        <w:rPr>
          <w:rFonts w:cs="Times New Roman"/>
          <w:szCs w:val="24"/>
        </w:rPr>
        <w:t xml:space="preserve"> 25.</w:t>
      </w:r>
      <w:r w:rsidRPr="001219AF">
        <w:fldChar w:fldCharType="end"/>
      </w:r>
    </w:p>
  </w:footnote>
  <w:footnote w:id="122">
    <w:p w14:paraId="79B4A1A0" w14:textId="4AB5BFD0"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{"citationID":"11l2hf1i5n","properties":{"formattedCitation":"{\\rtf Kenneth Train, {\\i{}Discrete Choice Methods with Simulation} (Cambridge University Press, 2009).}","plainCitation":"Kenneth Train, Discrete Choice Methods with Simulation (Cambridge University Press, 2009)."},"citationItems":[{"id":3607,"uris":["http://zotero.org/users/955090/items/9852VH4N"],"uri":["http://zotero.org/users/955090/items/9852VH4N"],"itemData":{"id":3607,"type":"book","multi":{"main":{},"_keys":{}},"title":"Discrete Choice Methods with Simulation","publisher":"Cambridge University Press","number-of-pages":"399","source":"Google Books","abstract":"This book describes the new generation of discrete choice methods, focusing on the many advances that are made possible by simulation. Researchers use these statistical methods to examine the choices that consumers, households, firms, and other agents make. Each of the major models is covered: logit, generalized extreme value, or GEV (including nested and cross-nested logits), probit, and mixed logit, plus a variety of specifications that build on these basics. Simulation-assisted estimation procedures are investigated and compared, including maximum stimulated likelihood, method of simulated moments, and method of simulated scores. Procedures for drawing from densities are described, including variance reduction techniques such as anithetics and Halton draws. Recent advances in Bayesian procedures are explored, including the use of the Metropolis-Hastings algorithm and its variant Gibbs sampling. The second edition adds chapters on endogeneity and expectation-maximization (EM) algorithms. No other book incorporates all these fields, which have arisen in the past 25 years. The procedures are applicable in many fields, including energy, transportation, environmental studies, health, labor, and marketing.","ISBN":"978-0-521-76655-5","note":"Google-Books-ID: R59uqw5HaM4C","language":"en","author":[{"family":"Train","given":"Kenneth","multi":{"_key":{}}}],"issued":{"raw":"2009-07-06"}}}],"schema":"https://github.com/citation-style-language/schema/raw/master/csl-citation.json"} </w:instrText>
      </w:r>
      <w:r>
        <w:fldChar w:fldCharType="separate"/>
      </w:r>
      <w:r w:rsidRPr="009A0666">
        <w:rPr>
          <w:rFonts w:cs="Times New Roman"/>
          <w:szCs w:val="24"/>
        </w:rPr>
        <w:t xml:space="preserve">Kenneth Train, </w:t>
      </w:r>
      <w:r w:rsidRPr="009A0666">
        <w:rPr>
          <w:rFonts w:cs="Times New Roman"/>
          <w:i/>
          <w:szCs w:val="24"/>
        </w:rPr>
        <w:t>Discrete Choice Methods with Simulation</w:t>
      </w:r>
      <w:r w:rsidRPr="009A0666">
        <w:rPr>
          <w:rFonts w:cs="Times New Roman"/>
          <w:szCs w:val="24"/>
        </w:rPr>
        <w:t xml:space="preserve"> (Cambridge University Press, 2009).</w:t>
      </w:r>
      <w:r>
        <w:fldChar w:fldCharType="end"/>
      </w:r>
    </w:p>
  </w:footnote>
  <w:footnote w:id="123">
    <w:p w14:paraId="4116E85E" w14:textId="4CDF756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{"citationID":"ppi92tgl6","properties":{"formattedCitation":"Archer et al, above n 15.","plainCitation":"Archer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fldChar w:fldCharType="separate"/>
      </w:r>
      <w:r w:rsidRPr="001724B2">
        <w:t>Archer et al, above n 15.</w:t>
      </w:r>
      <w:r>
        <w:fldChar w:fldCharType="end"/>
      </w:r>
    </w:p>
  </w:footnote>
  <w:footnote w:id="124">
    <w:p w14:paraId="3CD14B0C" w14:textId="63EF5088" w:rsidR="00387010" w:rsidRDefault="00387010" w:rsidP="000C00C2">
      <w:pPr>
        <w:pStyle w:val="FootnoteText"/>
        <w:spacing w:before="120" w:after="120" w:line="240" w:lineRule="auto"/>
      </w:pPr>
      <w:r w:rsidRPr="00B916B2">
        <w:rPr>
          <w:rStyle w:val="FootnoteReference"/>
        </w:rPr>
        <w:footnoteRef/>
      </w:r>
      <w:r>
        <w:t xml:space="preserve"> </w:t>
      </w:r>
      <w:r>
        <w:tab/>
        <w:t>These results are the subject of ongoing research.</w:t>
      </w:r>
    </w:p>
  </w:footnote>
  <w:footnote w:id="125">
    <w:p w14:paraId="5DBD6514" w14:textId="3DAE4D64"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{"citationID":"1no5mroinp","properties":{"formattedCitation":"{\\rtf Julian Archer et al, \\uc0\\u8216{}\\uc0\\u8220{}No One Has Yet Properly Articulated What We Are Trying to Achieve\\uc0\\u8221{}: A Discourse Analysis of Interviews With Revalidation Policy Leaders in the United Kingdom\\uc0\\u8217{} (2015) 90(1) {\\i{}Academic Medicine} 88.}","plainCitation":"Julian Archer et al, ‘“No One Has Yet Properly Articulated What We Are Trying to Achieve”: A Discourse Analysis of Interviews With Revalidation Policy Leaders in the United Kingdom’ (2015) 90(1) Academic Medicine 88."},"citationItems":[{"id":3035,"uris":["http://zotero.org/users/955090/items/3R8EPGGT"],"uri":["http://zotero.org/users/955090/items/3R8EPGGT"],"itemData":{"id":3035,"type":"article-journal","multi":{"main":{},"_keys":{}},"title":"“No One Has Yet Properly Articulated What We Are Trying to Achieve”: A Discourse Analysis of Interviews With Revalidation Policy Leaders in the United Kingdom","container-title":"Academic Medicine","page":"88-93","volume":"90","issue":"1","source":"CrossRef","DOI":"10.1097/ACM.0000000000000464","ISSN":"1040-2446","shortTitle":"“No One Has Yet Properly Articulated What We Are Trying to Achieve”","language":"en","author":[{"family":"Archer","given":"Julian","multi":{"_key":{}}},{"family":"Regan de Bere","given":"Sam","multi":{"_key":{}}},{"family":"Nunn","given":"Suzanne","multi":{"_key":{}}},{"family":"Clark","given":"Jonathan","multi":{"_key":{}}},{"family":"Corrigan","given":"Oonagh","multi":{"_key":{}}}],"issued":{"raw":"01/2015"}}}],"schema":"https://github.com/citation-style-language/schema/raw/master/csl-citation.json"} </w:instrText>
      </w:r>
      <w:r w:rsidRPr="001219AF">
        <w:fldChar w:fldCharType="separate"/>
      </w:r>
      <w:r w:rsidRPr="009A0666">
        <w:rPr>
          <w:rFonts w:cs="Times New Roman"/>
          <w:szCs w:val="24"/>
        </w:rPr>
        <w:t xml:space="preserve">Julian Archer et al, ‘“No One Has Yet Properly Articulated What We Are Trying to Achieve”: A Discourse Analysis of Interviews With Revalidation Policy Leaders in the United Kingdom’ (2015) 90(1) </w:t>
      </w:r>
      <w:r w:rsidRPr="009A0666">
        <w:rPr>
          <w:rFonts w:cs="Times New Roman"/>
          <w:i/>
          <w:szCs w:val="24"/>
        </w:rPr>
        <w:t>Academic Medicine</w:t>
      </w:r>
      <w:r w:rsidRPr="009A0666">
        <w:rPr>
          <w:rFonts w:cs="Times New Roman"/>
          <w:szCs w:val="24"/>
        </w:rPr>
        <w:t xml:space="preserve"> 88.</w:t>
      </w:r>
      <w:r w:rsidRPr="001219AF">
        <w:fldChar w:fldCharType="end"/>
      </w:r>
    </w:p>
  </w:footnote>
  <w:footnote w:id="126">
    <w:p w14:paraId="56D30604" w14:textId="5434688D" w:rsidR="00387010" w:rsidRDefault="00387010" w:rsidP="000C00C2">
      <w:pPr>
        <w:pStyle w:val="FootnoteText"/>
        <w:spacing w:before="120" w:after="120" w:line="240" w:lineRule="auto"/>
      </w:pPr>
      <w:r w:rsidRPr="00B916B2">
        <w:rPr>
          <w:rStyle w:val="FootnoteReference"/>
        </w:rPr>
        <w:footnoteRef/>
      </w:r>
      <w:r>
        <w:t xml:space="preserve"> </w:t>
      </w:r>
      <w:r>
        <w:tab/>
      </w:r>
      <w:r w:rsidRPr="001219AF">
        <w:fldChar w:fldCharType="begin"/>
      </w:r>
      <w:r>
        <w:instrText xml:space="preserve"> ADDIN ZOTERO_ITEM CSL_CITATION {"citationID":"j82g7pod4","properties":{"formattedCitation":"Archer et al, above n 15.","plainCitation":"Archer et al, above n 15."},"citationItems":[{"id":4738,"uris":["http://zotero.org/users/955090/items/3V58ADQ9"],"uri":["http://zotero.org/users/955090/items/3V58ADQ9"],"itemData":{"id":4738,"type":"report","multi":{"main":{},"_keys":{}},"title":"The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rsidRPr="001219AF">
        <w:fldChar w:fldCharType="separate"/>
      </w:r>
      <w:r w:rsidRPr="001724B2">
        <w:t>Archer et al, above n 15.</w:t>
      </w:r>
      <w:r w:rsidRPr="001219AF">
        <w:fldChar w:fldCharType="end"/>
      </w:r>
    </w:p>
  </w:footnote>
  <w:footnote w:id="127">
    <w:p w14:paraId="4E9B13CA" w14:textId="28C0313B"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26nm5nou8e","properties":{"formattedCitation":"Ibid.","plainCitation":"Ibid."},"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fldChar w:fldCharType="separate"/>
      </w:r>
      <w:r w:rsidRPr="00387010">
        <w:t>Ibid.</w:t>
      </w:r>
      <w:r>
        <w:fldChar w:fldCharType="end"/>
      </w:r>
    </w:p>
  </w:footnote>
  <w:footnote w:id="128">
    <w:p w14:paraId="00C2F052" w14:textId="14EE10EF"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o5slq6n99","properties":{"formattedCitation":"Ibid.","plainCitation":"Ibid."},"citationItems":[{"id":4738,"uris":["http://zotero.org/users/955090/items/3V58ADQ9"],"uri":["http://zotero.org/users/955090/items/3V58ADQ9"],"itemData":{"id":4738,"type":"report","multi":{"main":{},"_keys":{}},"title":"The evidence and options for medical revalidation in the Australian context: Final Report","authority":"Collaboration for the Advancement of Medical Education REsearch and Assessment (CAMERA), Peninsula Schools of Medicine and Dentistry, Plymouth University","author":[{"family":"Archer","given":"Julian","multi":{"_key":{}}},{"family":"Pitt","given":"Rebecca","multi":{"_key":{}}},{"family":"Nunn","given":"Suzanne","multi":{"_key":{}}},{"family":"Regan de Bere","given":"Samantha","multi":{"_key":{}}}],"issued":{"raw":"10/07/2015"}}}],"schema":"https://github.com/citation-style-language/schema/raw/master/csl-citation.json"} </w:instrText>
      </w:r>
      <w:r>
        <w:fldChar w:fldCharType="separate"/>
      </w:r>
      <w:r w:rsidRPr="009A0666">
        <w:t>Ibid.</w:t>
      </w:r>
      <w:r>
        <w:fldChar w:fldCharType="end"/>
      </w:r>
    </w:p>
  </w:footnote>
  <w:footnote w:id="129">
    <w:p w14:paraId="08299240" w14:textId="08B935BC" w:rsidR="00387010" w:rsidRDefault="00387010" w:rsidP="000C00C2">
      <w:pPr>
        <w:pStyle w:val="FootnoteText"/>
        <w:spacing w:before="120" w:after="120" w:line="240" w:lineRule="auto"/>
      </w:pPr>
      <w:r w:rsidRPr="00B916B2">
        <w:rPr>
          <w:rStyle w:val="FootnoteReference"/>
        </w:rPr>
        <w:footnoteRef/>
      </w:r>
      <w:r>
        <w:t xml:space="preserve"> </w:t>
      </w:r>
      <w:r>
        <w:tab/>
      </w:r>
      <w:r>
        <w:fldChar w:fldCharType="begin"/>
      </w:r>
      <w:r>
        <w:instrText xml:space="preserve"> ADDIN ZOTERO_ITEM CSL_CITATION {"citationID":"2l5ific992","properties":{"formattedCitation":"The Medical Board of Australia, Expert Advisory Group on Revalidation, above n 10.","plainCitation":"The Medical Board of Australia, Expert Advisory Group on Revalidation, above n 10."},"citationItems":[{"id":3650,"uris":["http://zotero.org/users/955090/items/AC8DB33R"],"uri":["http://zotero.org/users/955090/items/AC8DB33R"],"itemData":{"id":3650,"type":"report","multi":{"main":{},"_keys":{}},"title":"Expert Advisory Group on Revalidation Interim Report","author":[{"literal":"The Medical Board of Australia, Expert Advisory Group on Revalidation","multi":{"_key":{}}}],"issued":{"raw":"August 2016"}}}],"schema":"https://github.com/citation-style-language/schema/raw/master/csl-citation.json"} </w:instrText>
      </w:r>
      <w:r>
        <w:fldChar w:fldCharType="separate"/>
      </w:r>
      <w:r w:rsidRPr="001724B2">
        <w:t>The Medical Board of Australia, Expert Advisory Group on Revalidation, above n 10.</w:t>
      </w:r>
      <w:r>
        <w:fldChar w:fldCharType="end"/>
      </w:r>
    </w:p>
  </w:footnote>
  <w:footnote w:id="130">
    <w:p w14:paraId="6D736D8E" w14:textId="72AA0771" w:rsidR="00387010" w:rsidRPr="00C22D8B" w:rsidRDefault="00387010" w:rsidP="000C00C2">
      <w:pPr>
        <w:pStyle w:val="FootnoteText"/>
        <w:spacing w:before="120" w:after="120" w:line="240" w:lineRule="auto"/>
        <w:rPr>
          <w:rFonts w:cs="Times New Roman"/>
        </w:rPr>
      </w:pPr>
      <w:r w:rsidRPr="00B916B2">
        <w:rPr>
          <w:rStyle w:val="FootnoteReference"/>
        </w:rPr>
        <w:footnoteRef/>
      </w:r>
      <w:r w:rsidRPr="00B66951">
        <w:rPr>
          <w:sz w:val="16"/>
          <w:szCs w:val="16"/>
        </w:rPr>
        <w:t xml:space="preserve"> </w:t>
      </w:r>
      <w:r>
        <w:rPr>
          <w:sz w:val="16"/>
          <w:szCs w:val="16"/>
        </w:rPr>
        <w:tab/>
      </w:r>
      <w:r w:rsidRPr="00C22D8B">
        <w:rPr>
          <w:rFonts w:cs="Times New Roman"/>
        </w:rPr>
        <w:fldChar w:fldCharType="begin"/>
      </w:r>
      <w:r>
        <w:rPr>
          <w:rFonts w:cs="Times New Roman"/>
        </w:rPr>
        <w:instrText xml:space="preserve"> ADDIN ZOTERO_ITEM CSL_CITATION {"citationID":"SNpOeFUx","properties":{"formattedCitation":"{\\rtf Rahmati and colleagues are one voice amongst a growing group who question the received orthodoxy of the tort crisis. Following analysis of approximately thirty years of medical malpractice claims data from Illinois, they write that: Tort reform may be a good idea or a bad idea. However, tort reform is aimed at a problem that has little to do with the malpractice crises that prompted Illinois to take action in the first instance. In other work, we find that damage caps have limited, if any, potential to reduce health-care spending and attract physicians. Those looking for a magic bullet for the ills that beset the health-care system would be well advised to look elsewhere, Mohammad Rahmati et al, \\uc0\\u8216{}Insurance Crisis or Liability Crisis? Medical Malpractice Claiming in Illinois, 1980-2010: Insurance Crisis or Liability Crisis?\\uc0\\u8217{} (2016) 13(2) {\\i{}Journal of Empirical Legal Studies} 183; Rahmati and colleagues join others including Black, Zabinski, Frakes and Jena who have come to look with fresh eyes at the data in recent years, see Bernard S Black, Wagner and Zenon Zabinski, \\uc0\\u8216{}The Association between Medical Malpractice Risk and Healthcare Quality: Evidence from Texas\\uc0\\u8217{} [2011] (No. 11-20) {\\i{}Northwestern Law and Economics Research Paper}; Michael D Frakes, \\uc0\\u8216{}The Surprising Relevance of Medical Malpractice Law\\uc0\\u8217{} [2015] {\\i{}The University of Chicago Law Review} 317; Michael Frakes and Anupam Jena, \\uc0\\u8216{}Does Medical Malpractice Law Improve Health Care Quality?\\uc0\\u8217{} [2016] {\\i{}Journal of Public Economics} &lt;DOI: 10.1016/j.jpubeco.2016.09.002&gt;.}","plainCitation":"Rahmati and colleagues are one voice amongst a growing group who question the received orthodoxy of the tort crisis. Following analysis of approximately thirty years of medical malpractice claims data from Illinois, they write that: Tort reform may be a good idea or a bad idea. However, tort reform is aimed at a problem that has little to do with the malpractice crises that prompted Illinois to take action in the first instance. In other work, we find that damage caps have limited, if any, potential to reduce health-care spending and attract physicians. Those looking for a magic bullet for the ills that beset the health-care system would be well advised to look elsewhere, Mohammad Rahmati et al, ‘Insurance Crisis or Liability Crisis? Medical Malpractice Claiming in Illinois, 1980-2010: Insurance Crisis or Liability Crisis?’ (2016) 13(2) Journal of Empirical Legal Studies 183; Rahmati and colleagues join others including Black, Zabinski, Frakes and Jena who have come to look with fresh eyes at the data in recent years, see Bernard S Black, Wagner and Zenon Zabinski, ‘The Association between Medical Malpractice Risk and Healthcare Quality: Evidence from Texas’ [2011] (No. 11-20) Northwestern Law and Economics Research Paper; Michael D Frakes, ‘The Surprising Relevance of Medical Malpractice Law’ [2015] The University of Chicago Law Review 317; Michael Frakes and Anupam Jena, ‘Does Medical Malpractice Law Improve Health Care Quality?’ [2016] Journal of Public Economics &lt;DOI: 10.1016/j.jpubeco.2016.09.002&gt;."},"citationItems":[{"id":3282,"uris":["http://zotero.org/users/955090/items/6RMJES46"],"uri":["http://zotero.org/users/955090/items/6RMJES46"],"itemData":{"id":3282,"type":"article-journal","multi":{"main":{},"_keys":{}},"title":"Insurance Crisis or Liability Crisis? Medical Malpractice Claiming in Illinois, 1980-2010: Insurance Crisis or Liability Crisis?","container-title":"Journal of Empirical Legal Studies","page":"183-204","volume":"13","issue":"2","source":"CrossRef","DOI":"10.1111/jels.12113","ISSN":"17401453","shortTitle":"Insurance Crisis or Liability Crisis?","language":"en","author":[{"family":"Rahmati","given":"Mohammad","multi":{"_key":{}}},{"family":"Hyman","given":"David A.","multi":{"_key":{}}},{"family":"Black","given":"Bernard","multi":{"_key":{}}},{"family":"Silver","given":"Charles","multi":{"_key":{}}}],"issued":{"raw":"06/2016"}},"prefix":"Rahmati and colleagues are one voice amongst a growing group who question the received orthodoxy of the tort crisis. Following analysis of approximately thirty years of medical malpractice claims data from Illinois, they write that: Tort reform may be a good idea or a bad idea. However, tort reform is aimed at a problem that has little to do with the malpractice crises that prompted Illinois to take action in the first instance. In other work, we find that damage caps have limited, if any, potential to reduce health-care spending and attract physicians. Those looking for a magic bullet for the ills that beset the health-care system would be well advised to look elsewhere, "},{"id":5208,"uris":["http://zotero.org/users/955090/items/88EKHPED"],"uri":["http://zotero.org/users/955090/items/88EKHPED"],"itemData":{"id":5208,"type":"article-journal","multi":{"main":{},"_keys":{}},"title":"The Association between Medical Malpractice Risk and Healthcare Quality: Evidence from Texas","container-title":"Northwestern Law and Economics Research Paper","issue":"No. 11-20","source":"CrossRef","DOI":"http://dx.doi.org/10.2139/ssrn.1884630","shortTitle":"The Association between Medical Malpractice Risk and Healthcare Quality","language":"en","author":[{"family":"Black","given":"Bernard S.","multi":{"_key":{}}},{"family":"Wagner","given":"","literal":"Wagner","multi":{"_key":{}}},{"family":"Zabinski","given":"Zenon","multi":{"_key":{}}}],"issued":{"raw":"2011"},"accessed":{"raw":"2016-07-27T03:12:09Z"}},"prefix":"Rahmati and colleagues join others including Black, Zabinski, Frakes and Jena who have come to look with fresh eyes at the data in recent years, see "},{"id":3277,"uris":["http://zotero.org/users/955090/items/R2NPPF6J"],"uri":["http://zotero.org/users/955090/items/R2NPPF6J"],"itemData":{"id":3277,"type":"article-journal","multi":{"main":{},"_keys":{}},"title":"The surprising relevance of medical malpractice law","container-title":"The University of Chicago Law Review","page":"317–391","source":"Google Scholar","author":[{"family":"Frakes","given":"Michael D.","multi":{"_key":{}}}],"issued":{"raw":"2015"}}},{"id":5154,"uris":["http://zotero.org/users/955090/items/NEGSQ9TP"],"uri":["http://zotero.org/users/955090/items/NEGSQ9TP"],"itemData":{"id":5154,"type":"article-journal","multi":{"main":{},"_keys":{}},"title":"Does Medical Malpractice Law Improve Health Care Quality?","container-title":"Journal of Public Economics","URL":"DOI: 10.1016/j.jpubeco.2016.09.002","DOI":"10.1016/j.jpubeco.2016.09.002","author":[{"family":"Frakes","given":"Michael","multi":{"_key":{}}},{"family":"Jena","given":"Anupam","multi":{"_key":{}}}],"issued":{"raw":"2016-01-01"}}}],"schema":"https://github.com/citation-style-language/schema/raw/master/csl-citation.json"} </w:instrText>
      </w:r>
      <w:r w:rsidRPr="00C22D8B">
        <w:rPr>
          <w:rFonts w:cs="Times New Roman"/>
        </w:rPr>
        <w:fldChar w:fldCharType="separate"/>
      </w:r>
      <w:r w:rsidRPr="009A0666">
        <w:rPr>
          <w:rFonts w:cs="Times New Roman"/>
          <w:szCs w:val="24"/>
        </w:rPr>
        <w:t xml:space="preserve">Rahmati and colleagues are one voice amongst a growing group who question the received orthodoxy of the tort crisis. Following analysis of approximately thirty years of medical malpractice claims data from Illinois, they write that: Tort reform may be a good idea or a bad idea. However, tort reform is aimed at a problem that has little to do with the malpractice crises that prompted Illinois to take action in the first instance. In other work, we find that damage caps have limited, if any, potential to reduce health-care spending and attract physicians. Those looking for a magic bullet for the ills that beset the health-care system would be well advised to look elsewhere, Mohammad Rahmati et al, ‘Insurance Crisis or Liability Crisis? Medical Malpractice Claiming in Illinois, 1980-2010: Insurance Crisis or Liability Crisis?’ (2016) 13(2) </w:t>
      </w:r>
      <w:r w:rsidRPr="009A0666">
        <w:rPr>
          <w:rFonts w:cs="Times New Roman"/>
          <w:i/>
          <w:szCs w:val="24"/>
        </w:rPr>
        <w:t>Journal of Empirical Legal Studies</w:t>
      </w:r>
      <w:r w:rsidRPr="009A0666">
        <w:rPr>
          <w:rFonts w:cs="Times New Roman"/>
          <w:szCs w:val="24"/>
        </w:rPr>
        <w:t xml:space="preserve"> 183; Rahmati and colleagues join others including Black, Zabinski, Frakes and Jena who have come to look with fresh eyes at the data in recent years, see Bernard S Black, Wagner and Zenon Zabinski, ‘The Association between Medical Malpractice Risk and Healthcare Quality: Evidence from Texas’ [2011] (No. 11-20) </w:t>
      </w:r>
      <w:r w:rsidRPr="009A0666">
        <w:rPr>
          <w:rFonts w:cs="Times New Roman"/>
          <w:i/>
          <w:szCs w:val="24"/>
        </w:rPr>
        <w:t>Northwestern Law and Economics Research Paper</w:t>
      </w:r>
      <w:r w:rsidRPr="009A0666">
        <w:rPr>
          <w:rFonts w:cs="Times New Roman"/>
          <w:szCs w:val="24"/>
        </w:rPr>
        <w:t xml:space="preserve">; Michael D Frakes, ‘The Surprising Relevance of Medical Malpractice Law’ [2015] </w:t>
      </w:r>
      <w:r w:rsidRPr="009A0666">
        <w:rPr>
          <w:rFonts w:cs="Times New Roman"/>
          <w:i/>
          <w:szCs w:val="24"/>
        </w:rPr>
        <w:t>The University of Chicago Law Review</w:t>
      </w:r>
      <w:r w:rsidRPr="009A0666">
        <w:rPr>
          <w:rFonts w:cs="Times New Roman"/>
          <w:szCs w:val="24"/>
        </w:rPr>
        <w:t xml:space="preserve"> 317; Michael Frakes and Anupam Jena, ‘Does Medical Malpractice Law Improve Health Care Quality?’ [2016] </w:t>
      </w:r>
      <w:r w:rsidRPr="009A0666">
        <w:rPr>
          <w:rFonts w:cs="Times New Roman"/>
          <w:i/>
          <w:szCs w:val="24"/>
        </w:rPr>
        <w:t>Journal of Public Economics</w:t>
      </w:r>
      <w:r w:rsidRPr="009A0666">
        <w:rPr>
          <w:rFonts w:cs="Times New Roman"/>
          <w:szCs w:val="24"/>
        </w:rPr>
        <w:t xml:space="preserve"> &lt;DOI: 10.1016/j.jpubeco.2016.09.002&gt;.</w:t>
      </w:r>
      <w:r w:rsidRPr="00C22D8B">
        <w:rPr>
          <w:rFonts w:cs="Times New Roman"/>
        </w:rPr>
        <w:fldChar w:fldCharType="end"/>
      </w:r>
    </w:p>
  </w:footnote>
  <w:footnote w:id="131">
    <w:p w14:paraId="1F1C0700" w14:textId="4F9AE62F" w:rsidR="00387010" w:rsidRPr="00C22D8B" w:rsidRDefault="00387010" w:rsidP="000C00C2">
      <w:pPr>
        <w:pStyle w:val="FootnoteText"/>
        <w:spacing w:before="120" w:after="120" w:line="240" w:lineRule="auto"/>
        <w:rPr>
          <w:rFonts w:cs="Times New Roman"/>
        </w:rPr>
      </w:pPr>
      <w:r w:rsidRPr="00B916B2">
        <w:rPr>
          <w:rStyle w:val="FootnoteReference"/>
        </w:rPr>
        <w:footnoteRef/>
      </w:r>
      <w:r w:rsidRPr="00B66951">
        <w:rPr>
          <w:sz w:val="16"/>
          <w:szCs w:val="16"/>
        </w:rPr>
        <w:t xml:space="preserve"> </w:t>
      </w:r>
      <w:r>
        <w:rPr>
          <w:sz w:val="16"/>
          <w:szCs w:val="16"/>
        </w:rPr>
        <w:tab/>
      </w:r>
      <w:r w:rsidRPr="00C22D8B">
        <w:rPr>
          <w:rFonts w:cs="Times New Roman"/>
        </w:rPr>
        <w:fldChar w:fldCharType="begin"/>
      </w:r>
      <w:r>
        <w:rPr>
          <w:rFonts w:cs="Times New Roman"/>
        </w:rPr>
        <w:instrText xml:space="preserve"> ADDIN ZOTERO_ITEM CSL_CITATION {"citationID":"8X5SiwLC","properties":{"formattedCitation":"{\\rtf In relation to civil litigation, see for example, C Wood, \\uc0\\u8216{}The Misplace of Litigation in Medical Practice\\uc0\\u8217{} (1998) 38(4) {\\i{}The Australian &amp; New Zealand Journal of Obstetrics &amp; Gynaecology} 365; Corbett, Travaglia and Braithwaite, above n 110; Angus Corbett, \\uc0\\u8216{}Regulating Compensation for Injuries Associated with Medical Error\\uc0\\u8217{} (2006) 28(2) {\\i{}Sydney Law Review} 259; Angus Corbett, \\uc0\\u8216{}Australia: An Integrated Scheme for Regulating Liability for Medical Malpractice and Indemnity Insurance Markets That Does Not Include the Goal of Improving the Safety and Quality of Health Care\\uc0\\u8217{} (2011) 4 {\\i{}Drexel Law Review} 199; David M Studdert et al, \\uc0\\u8216{}Negligent Care and Malpractice Claiming Behavior in Utah and Colorado\\uc0\\u8217{} [2000] {\\i{}Medical Care} 250; Studdert DM et al, \\uc0\\u8216{}Defensive Medicine among High-Risk Specialist Physicians in a Volatile Malpractice Environment\\uc0\\u8217{} (2005) 293(21) {\\i{}JAMA} 2609; Eric J Thomas et al, \\uc0\\u8216{}Incidence and Types of Adverse Events and Negligent Care in Utah and Colorado\\uc0\\u8217{} [2000] {\\i{}Medical Care} 261; compare for example more recent work by Frakes and colleagues, Frakes, above n 133; Frakes and Jena, above n 133; See for example in relation to criminal law specifically, (#pages needed from lit review), Alan Merry, \\uc0\\u8216{}When Are Errors a Crime?\\uc0\\u8212{}Lessons from New Zealand\\uc0\\u8217{} in Charles A Erin and Suzanne Ost (eds), {\\i{}The Criminal Justice System and Health Care} (Oxford University Press, 2007); AF Merry, \\uc0\\u8216{}How Does the Law Recognize and Deal with Medical Errors?\\uc0\\u8217{} (2009) 102(7) {\\i{}Journal of the Royal Society of Medicine} 265; Sidney Dekker, {\\i{}Just Culture: Balancing Safety and Accountability} (Ashgate, 2nd Edition, Kindle Version, 2012); Sidney WA Dekker, \\uc0\\u8216{}Eve and the Serpent: A Rational Choice to Err\\uc0\\u8217{} (2007) 46(4) {\\i{}Journal of Religion &amp; Health} 571; Sidney Dekker, \\uc0\\u8216{}The Criminalization of Human Error in Aviation and Healthcare: A Review\\uc0\\u8217{} (2011) 49(2) {\\i{}Safety Science} 121; Sidney WA Dekker, \\uc0\\u8216{}Criminalization of Medical Error: Who Draws the Line?\\uc0\\u8217{} (2007) 77(10) {\\i{}ANZ Journal of Surgery} 831; O Quick, \\uc0\\u8216{}Medicine, Mistakes and Manslaughter: A Criminal Combination?\\uc0\\u8217{} (2010) 69(1) {\\i{}Cambridge Law Journal} 186; Oliver Quick, \\uc0\\u8216{}Prosecuting \\uc0\\u8220{}Gross\\uc0\\u8221{} Medical Negligence: Manslaughter, Discretion, and the Crown Prosecution Service\\uc0\\u8217{} (2006) 33(3) {\\i{}Journal of Law and Society} 421.}","plainCitation":"In relation to civil litigation, see for example, C Wood, ‘The Misplace of Litigation in Medical Practice’ (1998) 38(4) The Australian &amp; New Zealand Journal of Obstetrics &amp; Gynaecology 365; Corbett, Travaglia and Braithwaite, above n 110; Angus Corbett, ‘Regulating Compensation for Injuries Associated with Medical Error’ (2006) 28(2) Sydney Law Review 259; Angus Corbett, ‘Australia: An Integrated Scheme for Regulating Liability for Medical Malpractice and Indemnity Insurance Markets That Does Not Include the Goal of Improving the Safety and Quality of Health Care’ (2011) 4 Drexel Law Review 199; David M Studdert et al, ‘Negligent Care and Malpractice Claiming Behavior in Utah and Colorado’ [2000] Medical Care 250; Studdert DM et al, ‘Defensive Medicine among High-Risk Specialist Physicians in a Volatile Malpractice Environment’ (2005) 293(21) JAMA 2609; Eric J Thomas et al, ‘Incidence and Types of Adverse Events and Negligent Care in Utah and Colorado’ [2000] Medical Care 261; compare for example more recent work by Frakes and colleagues, Frakes, above n 133; Frakes and Jena, above n 133; See for example in relation to criminal law specifically, (#pages needed from lit review), Alan Merry, ‘When Are Errors a Crime?—Lessons from New Zealand’ in Charles A Erin and Suzanne Ost (eds), The Criminal Justice System and Health Care (Oxford University Press, 2007); AF Merry, ‘How Does the Law Recognize and Deal with Medical Errors?’ (2009) 102(7) Journal of the Royal Society of Medicine 265; Sidney Dekker, Just Culture: Balancing Safety and Accountability (Ashgate, 2nd Edition, Kindle Version, 2012); Sidney WA Dekker, ‘Eve and the Serpent: A Rational Choice to Err’ (2007) 46(4) Journal of Religion &amp; Health 571; Sidney Dekker, ‘The Criminalization of Human Error in Aviation and Healthcare: A Review’ (2011) 49(2) Safety Science 121; Sidney WA Dekker, ‘Criminalization of Medical Error: Who Draws the Line?’ (2007) 77(10) ANZ Journal of Surgery 831; O Quick, ‘Medicine, Mistakes and Manslaughter: A Criminal Combination?’ (2010) 69(1) Cambridge Law Journal 186; Oliver Quick, ‘Prosecuting “Gross” Medical Negligence: Manslaughter, Discretion, and the Crown Prosecution Service’ (2006) 33(3) Journal of Law and Society 421."},"citationItems":[{"id":3262,"uris":["http://zotero.org/users/955090/items/KVS72P5U"],"uri":["http://zotero.org/users/955090/items/KVS72P5U"],"itemData":{"id":3262,"type":"article-journal","multi":{"main":{},"_keys":{}},"title":"The misplace of litigation in medical practice","container-title":"The Australian &amp; New Zealand Journal of Obstetrics &amp; Gynaecology","page":"365-376","volume":"38","issue":"4","source":"PubMed","abstract":"Medical decision-making is based upon mathematical probability in determining the significance of variables involved. Truth is often not absolute and medical decisions often require reconsideration of information, reanalysis and possible change. Litigation based upon error negates the ordinary practice of medicine. Error is intrinsic to all human behaviour and contributed to by uncertainty concerning precision in diagnosis and treatment of some diseases, mood change affecting ability to process cognitive and analytic function, and adverse work environment. Error is an important process in learning and providing it is recognized and fully admitted is a creative process providing opportunity for improving medical practice. Litigation is based on proof of negligence. Negligence is defined as carelessness, which is a rare cause of human and medical errors. The law confuses error with negligence; error should not be the basis for litigation. Litigation based on error is counter-productive to the best practice and improvement of clinical medicine. The assessment of errors and negligence is limited by the method of choice of medical experts, the adversarial system often ignoring the intermediate position in favour of a yes-no answer, the selection of experts to favour the desired result rather than the real situation, the method of questioning of witnesses which discourages explanation and creative solution of disagreement, and the hierarchical system which does not allow exploration of the issues and creative solutions. The basis for financial compensation for ill health is relevant when this assists the sufferer to cope with the ill health. The ethical basis for compensation when ill health results from error by health care workers is not more valid than ill health resulting from biological or environmental factors. Human error is common normal behaviour, while biological and environmental causes of ill health are common errors of human biology and the environment. Unintentional human error should not be the basis of financial remuneration or punishment. This latter principle has been applied to all services between the customer and service supplier, which may lead to unnecessary mistrust, anxiety and alienation in modern society. Incapacity from injury or disablement is covered by damages payment in only a small percentage of permanent disability cases (1.5% in the U.K.). Universal insurance by government or private agencies e.g. as in motor accident insurance to include the 98% of the permanently disabled who are receiving no payment at present would be both preferable and fairer. The protection of barristers from litigation for negligence in court is based upon arguments that could apply to most other occupations, and are equally, if not more relevant to medicine. The legal system of settling claims for negligence by doctors needs to be replaced by an investigative system which seeks to explain the basis and cause of error, which would benefit the patient and the doctor, and improve medical practice. A creative process needs to replace a judgmental, rigid and punitive system. A committee involving specialist groups in selecting expert witnesses, a health counsellor and a patient representative may be most suitable. Criminal acts, where error is performed deliberately, assault or sexual misdemeanors, would still be subject to the common law.","ISSN":"0004-8666","note":"PMID: 9890212","journalAbbreviation":"Aust N Z J Obstet Gynaecol","language":"eng","author":[{"family":"Wood","given":"C.","multi":{"_key":{}}}],"issued":{"raw":"Nov 1998"}},"prefix":"In relation to civil litigation, see for example, "},{"id":4836,"uris":["http://zotero.org/users/955090/items/K66DTPQJ"],"uri":["http://zotero.org/users/955090/items/K66DTPQJ"],"itemData":{"id":4836,"type":"article-journal","multi":{"main":{},"_keys":{}},"title":"The role of individual diligence in improving safety","container-title":"Journal of Health Organization and Management","page":"247–260","volume":"25","issue":"3","source":"Google Scholar","author":[{"family":"Corbett","given":"Angus","multi":{"_key":{}}},{"family":"Travaglia","given":"Jo","multi":{"_key":{}}},{"family":"Braithwaite","given":"Jeffrey","multi":{"_key":{}}}],"issued":{"raw":"2011"}}},{"id":5185,"uris":["http://zotero.org/users/955090/items/D6RV4ACM"],"uri":["http://zotero.org/users/955090/items/D6RV4ACM"],"itemData":{"id":5185,"type":"article-journal","multi":{"main":{},"_keys":{}},"title":"Regulating compensation for injuries associated with medical error","container-title":"Sydney Law Review","page":"259–296","volume":"28","issue":"2","source":"Google Scholar","journalAbbreviation":"SLR","author":[{"family":"Corbett","given":"Angus","multi":{"_key":{}}}],"issued":{"raw":"2006"}}},{"id":4839,"uris":["http://zotero.org/users/955090/items/XXD9IZD9"],"uri":["http://zotero.org/users/955090/items/XXD9IZD9"],"itemData":{"id":4839,"type":"article-journal","multi":{"main":{},"_keys":{}},"title":"Australia: An Integrated Scheme for Regulating Liability for Medical Malpractice and Indemnity Insurance Markets That Does Not Include the Goal of Improving the Safety and Quality of Health Care","container-title":"Drexel Law Review","page":"199","volume":"4","source":"Google Scholar","shortTitle":"Australia","author":[{"family":"Corbett","given":"Angus","multi":{"_key":{}}}],"issued":{"raw":"2011"}}},{"id":5294,"uris":["http://zotero.org/users/955090/items/7ZK5G9E4"],"uri":["http://zotero.org/users/955090/items/7ZK5G9E4"],"itemData":{"id":5294,"type":"article-journal","multi":{"main":{},"_keys":{}},"title":"Negligent care and malpractice claiming behavior in Utah and Colorado","container-title":"Medical Care","page":"250–260","source":"Google Scholar","author":[{"family":"Studdert","given":"David M.","multi":{"_key":{}}},{"family":"Thomas","given":"Eric J.","multi":{"_key":{}}},{"family":"Burstin","given":"Helen R.","multi":{"_key":{}}},{"family":"Zbar","given":"Brett IW","multi":{"_key":{}}},{"family":"Orav","given":"E. John","multi":{"_key":{}}},{"family":"Brennan","given":"Troyen A.","multi":{"_key":{}}}],"issued":{"raw":"2000"}}},{"id":2671,"uris":["http://zotero.org/users/955090/items/GZWAXQPG"],"uri":["http://zotero.org/users/955090/items/GZWAXQPG"],"itemData":{"id":2671,"type":"article-journal","multi":{"main":{},"_keys":{}},"title":"Defensive medicine among high-risk specialist physicians in a volatile malpractice environment","container-title":"JAMA","page":"2609-2617","volume":"293","issue":"21","source":"Silverchair","abstract":"Context How often physicians alter their clinical behavior because of the threat\nof malpractice liability, termed defensive medicine,\nand the consequences of those changes, are central questions in the ongoing\nmedical malpractice reform debate.Objective To study the prevalence and characteristics of defensive medicine among\nphysicians practicing in high-liability specialties during a period of substantial\ninstability in the malpractice environment.Design, Setting, and Participants Mail survey of physicians in 6 specialties at high risk of litigation\n(emergency medicine, general surgery, orthopedic surgery, neurosurgery, obstetrics/gynecology,\nand radiology) in Pennsylvania in May 2003.Main Outcome Measures Number of physicians in each specialty reporting defensive medicine\nor changes in scope of practice and characteristics of defensive medicine\n(assurance and avoidance behavior).Results A total of 824 physicians (65%) completed the survey. Nearly all (93%)\nreported practicing defensive medicine. “Assurance behavior” such\nas ordering tests, performing diagnostic procedures, and referring patients\nfor consultation, was very common (92%). Among practitioners of defensive\nmedicine who detailed their most recent defensive act, 43% reported using\nimaging technology in clinically unnecessary circumstances. Avoidance of procedures\nand patients that were perceived to elevate the probability of litigation\nwas also widespread. Forty-two percent of respondents reported that they had\ntaken steps to restrict their practice in the previous 3 years, including\neliminating procedures prone to complications, such as trauma surgery, and\navoiding patients who had complex medical problems or were perceived as litigious.\nDefensive practice correlated strongly with respondents’ lack of confidence\nin their liability insurance and perceived burden of insurance premiums.Conclusion Defensive medicine is highly prevalent among physicians in Pennsylvania\nwho pay the most for liability insurance, with potentially serious implications\nfor cost, access, and both technical and interpersonal quality of care.","DOI":"10.1001/jama.293.21.2609","ISSN":"0098-7484","journalAbbreviation":"JAMA","author":[{"literal":"Studdert DM","multi":{"_key":{}}},{"literal":"Mello MM","multi":{"_key":{}}},{"literal":"Sage WM","multi":{"_key":{}}},{"literal":"et al","multi":{"_key":{}}}],"issued":{"raw":"June 1, 2005"}}},{"id":5287,"uris":["http://zotero.org/users/955090/items/QC7VI4RD"],"uri":["http://zotero.org/users/955090/items/QC7VI4RD"],"itemData":{"id":5287,"type":"article-journal","multi":{"main":{},"_keys":{}},"title":"Incidence and types of adverse events and negligent care in Utah and Colorado","container-title":"Medical Care","page":"261–271","source":"Google Scholar","author":[{"family":"Thomas","given":"Eric J.","multi":{"_key":{}}},{"family":"Studdert","given":"David M.","multi":{"_key":{}}},{"family":"Burstin","given":"Helen R.","multi":{"_key":{}}},{"family":"Orav","given":"E. John","multi":{"_key":{}}},{"family":"Zeena","given":"Timothy","multi":{"_key":{}}},{"family":"Williams","given":"Elliott J.","multi":{"_key":{}}},{"family":"Howard","given":"K. Mason","multi":{"_key":{}}},{"family":"Weiler","given":"Paul C.","multi":{"_key":{}}},{"family":"Brennan","given":"Troyen A.","multi":{"_key":{}}}],"issued":{"raw":"2000"}}},{"id":3277,"uris":["http://zotero.org/users/955090/items/R2NPPF6J"],"uri":["http://zotero.org/users/955090/items/R2NPPF6J"],"itemData":{"id":3277,"type":"article-journal","multi":{"main":{},"_keys":{}},"title":"The surprising relevance of medical malpractice law","container-title":"The University of Chicago Law Review","page":"317–391","source":"Google Scholar","author":[{"family":"Frakes","given":"Michael D.","multi":{"_key":{}}}],"issued":{"raw":"2015"}},"prefix":"compare for example more recent work by Frakes and colleagues, "},{"id":5154,"uris":["http://zotero.org/users/955090/items/NEGSQ9TP"],"uri":["http://zotero.org/users/955090/items/NEGSQ9TP"],"itemData":{"id":5154,"type":"article-journal","multi":{"main":{},"_keys":{}},"title":"Does Medical Malpractice Law Improve Health Care Quality?","container-title":"Journal of Public Economics","URL":"DOI: 10.1016/j.jpubeco.2016.09.002","DOI":"10.1016/j.jpubeco.2016.09.002","author":[{"family":"Frakes","given":"Michael","multi":{"_key":{}}},{"family":"Jena","given":"Anupam","multi":{"_key":{}}}],"issued":{"raw":"2016-01-01"}}},{"id":2679,"uris":["http://zotero.org/users/955090/items/I6TCZX7F"],"uri":["http://zotero.org/users/955090/items/I6TCZX7F"],"itemData":{"id":2679,"type":"chapter","multi":{"main":{},"_keys":{}},"title":"When Are Errors a Crime?—Lessons from New Zealand","container-title":"The Criminal Justice System and Health Care","publisher":"Oxford University Press","source":"CrossRef","ISBN":"978-0-19-922829-4","editor":[{"family":"Erin","given":"Charles A.","multi":{"_key":{}}},{"family":"Ost","given":"Suzanne","multi":{"_key":{}}}],"author":[{"family":"Merry","given":"Alan","multi":{"_key":{}}}],"issued":{"raw":"2007-11-29"},"accessed":{"raw":"2013-03-01T06:12:21Z"}},"prefix":"See for example in relation to criminal law specifically, (#pages needed from lit review), "},{"id":5125,"uris":["http://zotero.org/users/955090/items/7JPIB8VK"],"uri":["http://zotero.org/users/955090/items/7JPIB8VK"],"itemData":{"id":5125,"type":"article-journal","multi":{"main":{},"_keys":{}},"title":"How does the law recognize and deal with medical errors?","container-title":"Journal of the Royal Society of Medicine","page":"265-271","volume":"102","issue":"7","archive":"Scopus","DOI":"10.1258/jrsm.2009.09k029","ISSN":"01410768 (ISSN)","journalAbbreviation":"J. R. Soc. Med.","language":"English","author":[{"family":"Merry","given":"A.F.","multi":{"_key":{}}}],"issued":{"raw":"2009"}}},{"id":2860,"uris":["http://zotero.org/users/955090/items/JQ6R4IV8"],"uri":["http://zotero.org/users/955090/items/JQ6R4IV8"],"itemData":{"id":2860,"type":"book","multi":{"main":{},"_keys":{}},"title":"Just Culture: Balancing Safety and Accountability","publisher":"Ashgate","number-of-pages":"204","edition":"2nd Edition, Kindle Version","source":"Amazon","shortTitle":"Just Culture","language":"English","author":[{"family":"Dekker","given":"Sidney","multi":{"_key":{}}}],"issued":{"raw":"October 1, 2012"}}},{"id":2382,"uris":["http://zotero.org/users/955090/items/4UGP4W4G"],"uri":["http://zotero.org/users/955090/items/4UGP4W4G"],"itemData":{"id":2382,"type":"article-journal","multi":{"main":{},"_keys":{}},"title":"Eve and the Serpent: A Rational Choice to Err","container-title":"Journal of Religion &amp; Health","page":"571-579","volume":"46","issue":"4","source":"EBSCOhost","abstract":"In dealing with inexplicable disaster, like the untimely death of a child in a hospital, we increasingly turn to the justice system for accountability and retribution. While seemingly sensible, criminalizing human error has a range of negative consequences. But it does offer “good” narratives of failure as the result of human fault—even at the cost of guilt. Such narratives allow us to pinpoint a cause: people made a rational choice to err and should be punished. This allows us to imagine ourselves in control over random, meaningless events. This paper traces Judeo–Christian roots of such regulative ideals in Western moral thinking, by examining the Genesis account of Eve and the Serpent, and St. Augustine’s interpretation of it.","DOI":"10.1007/s10943-007-9118-1","ISSN":"00224197","shortTitle":"Eve and the Serpent","journalAbbreviation":"Journal of Religion &amp; Health","author":[{"family":"Dekker","given":"Sidney W. A.","multi":{"_key":{}}}],"issued":{"raw":"December 2007"}}},{"id":748,"uris":["http://zotero.org/users/955090/items/57UIIRKI"],"uri":["http://zotero.org/users/955090/items/57UIIRKI"],"itemData":{"id":748,"type":"article-journal","multi":{"main":{},"_keys":{}},"title":"The criminalization of human error in aviation and healthcare: A review","container-title":"Safety Science","page":"121-127","volume":"49","issue":"2","source":"ScienceDirect","abstract":"This review explores the social causes and psychological and organizational consequences of the criminalization of human error in aviation and healthcare. Increasing prevalence of criminal prosecution is seen as a threat to the health and safety of employees and entire safety–critical systems in many industries, but initiatives to counter or mitigate the trend are local and haphazard. Social causes such as a greater societal risk consciousness and intolerance of failure are examined, as well as organizational consequences for disclosure and incident reporting. Psychological consequences of the criminalization of human error are evaluated in terms of employee ill-health, an area that is under-investigated. The criminalization of professional mistakes seems to be an increasingly prevalent phenomenon at the intersection of safety work, sociology, criminology and legal as well as social justice. This paper reviews possible research directions into the criminalization of professional mistake in aviation and healthcare, in the hope of stimulating debate and eventually legitimating it as a topic of study in its own right.","DOI":"10.1016/j.ssci.2010.09.010","ISSN":"0925-7535","shortTitle":"The criminalization of human error in aviation and healthcare","journalAbbreviation":"Safety Science","author":[{"family":"Dekker","given":"Sidney","multi":{"_key":{}}}],"issued":{"raw":"February 2011"}}},{"id":747,"uris":["http://zotero.org/users/955090/items/K3CS5DSW"],"uri":["http://zotero.org/users/955090/items/K3CS5DSW"],"itemData":{"id":747,"type":"article-journal","multi":{"main":{},"_keys":{}},"title":"Criminalization of Medical Error: Who Draws the Line?","container-title":"ANZ Journal of Surgery","page":"831–837","volume":"77","issue":"10","source":"Wiley Online Library","abstract":"As stakeholders struggle to reconcile calls for accountability and pressures for increased patient safety, criminal prosecution of surgeons and other health-care workers for medical error seems to be on the rise. This paper examines whether legal systems can meaningfully draw a line between acceptable performance and negligence. By questioning essentialist assumptions behind ‘crime’ or ‘negligence’, this paper suggests that multiple overlapping and partially contradictory descriptions of the same act are always possible, and even necessary, to approximate the complexity of reality. Although none of these descriptions is inherently right or wrong, each description of the act (as negligence, or system failure, or pedagogical issue) has a fixed repertoire of responses and countermeasures appended to it, which enables certain courses of action while excluding others. Simply holding practitioners accountable (e.g. by putting them on trial) excludes any beneficial effects as it produces defensive posturing, obfuscation and excessive stress and leads to defensive medicine, silent reporting systems and interference with professional oversight. Calls for accountability are important, but accountability should be seen as bringing information about needed improvements to levels or groups that can do something about it, rather than deflecting resources into legal protection and limiting liability. We must avoid a future in which we have to turn increasingly to legal systems to wring accountability out of practitioners because legal systems themselves have increasingly created a climate in which telling each other accounts openly is less and less possible.","DOI":"10.1111/j.1445-2197.2007.04253.x","ISSN":"1445-2197","shortTitle":"Criminalization of Medical Error","language":"en","author":[{"family":"Dekker","given":"Sidney W. A.","multi":{"_key":{}}}],"issued":{"raw":"2007"}}},{"id":4503,"uris":["http://zotero.org/users/955090/items/7FTC3SB5"],"uri":["http://zotero.org/users/955090/items/7FTC3SB5"],"itemData":{"id":4503,"type":"article-journal","multi":{"main":{},"_keys":{}},"title":"Medicine, mistakes and manslaughter: A criminal combination?","container-title":"Cambridge Law Journal","page":"186-203","volume":"69","issue":"1","archive":"Scopus","DOI":"10.1017/S0008197310000231","ISSN":"00081973 (ISSN)","journalAbbreviation":"Camb. Law. J.","language":"English","author":[{"family":"Quick","given":"O.","multi":{"_key":{}}}],"issued":{"raw":"2010"}}},{"id":431,"uris":["http://zotero.org/users/955090/items/3J37XGF6"],"uri":["http://zotero.org/users/955090/items/3J37XGF6"],"itemData":{"id":431,"type":"article-journal","multi":{"main":{},"_keys":{}},"title":"Prosecuting ‘Gross’ Medical Negligence: Manslaughter, Discretion, and the Crown Prosecution Service","container-title":"Journal of Law and Society","page":"421–450","volume":"33","issue":"3","source":"Wiley Online Library","abstract":"This article examines prosecutions of health care professionals for gross negligence manslaughter following fatal errors committed in the course of their work. Unease has long surrounded the use of ‘gross negligence’ as a form of criminal liability, and particularly as it applies to health care professions operating in high-risk settings. The recent dramatic rise of such prosecutions calls for a closer understanding of the processes by which important prosecutorial decisions are made. In particular, this calls for an investigation into the exercise of discretion by prosecutors in interpreting the loosely defined and contested concept of gross negligence. This article analyses data obtained from a statistical analysis of ‘medical manslaughter’ cases and also from interviews with crown prosecutors. Discussion of the main findings leads to the conclusion that the offence of gross negligence manslaughter is incapable of any objective and fair measurement and ought to be abolished.","DOI":"10.1111/j.1467-6478.2006.00365.x","ISSN":"1467-6478","shortTitle":"Prosecuting ‘Gross’ Medical Negligence","language":"en","author":[{"family":"Quick","given":"Oliver","multi":{"_key":{}}}],"issued":{"raw":"2006"}}}],"schema":"https://github.com/citation-style-language/schema/raw/master/csl-citation.json"} </w:instrText>
      </w:r>
      <w:r w:rsidRPr="00C22D8B">
        <w:rPr>
          <w:rFonts w:cs="Times New Roman"/>
        </w:rPr>
        <w:fldChar w:fldCharType="separate"/>
      </w:r>
      <w:r w:rsidRPr="00387010">
        <w:rPr>
          <w:rFonts w:cs="Times New Roman"/>
          <w:szCs w:val="24"/>
        </w:rPr>
        <w:t xml:space="preserve">In relation to civil litigation, see for example, C Wood, ‘The Misplace of Litigation in Medical Practice’ (1998) 38(4) </w:t>
      </w:r>
      <w:r w:rsidRPr="00387010">
        <w:rPr>
          <w:rFonts w:cs="Times New Roman"/>
          <w:i/>
          <w:szCs w:val="24"/>
        </w:rPr>
        <w:t>The Australian &amp; New Zealand Journal of Obstetrics &amp; Gynaecology</w:t>
      </w:r>
      <w:r w:rsidRPr="00387010">
        <w:rPr>
          <w:rFonts w:cs="Times New Roman"/>
          <w:szCs w:val="24"/>
        </w:rPr>
        <w:t xml:space="preserve"> 365; Corbett, Travaglia and Braithwaite, above n 110; Angus Corbett, ‘Regulating Compensation for Injuries Associated with Medical Error’ (2006) 28(2) </w:t>
      </w:r>
      <w:r w:rsidRPr="00387010">
        <w:rPr>
          <w:rFonts w:cs="Times New Roman"/>
          <w:i/>
          <w:szCs w:val="24"/>
        </w:rPr>
        <w:t>Sydney Law Review</w:t>
      </w:r>
      <w:r w:rsidRPr="00387010">
        <w:rPr>
          <w:rFonts w:cs="Times New Roman"/>
          <w:szCs w:val="24"/>
        </w:rPr>
        <w:t xml:space="preserve"> 259; Angus Corbett, ‘Australia: An Integrated Scheme for Regulating Liability for Medical Malpractice and Indemnity Insurance Markets That Does Not Include the Goal of Improving the Safety and Quality of Health Care’ (2011) 4 </w:t>
      </w:r>
      <w:r w:rsidRPr="00387010">
        <w:rPr>
          <w:rFonts w:cs="Times New Roman"/>
          <w:i/>
          <w:szCs w:val="24"/>
        </w:rPr>
        <w:t>Drexel Law Review</w:t>
      </w:r>
      <w:r w:rsidRPr="00387010">
        <w:rPr>
          <w:rFonts w:cs="Times New Roman"/>
          <w:szCs w:val="24"/>
        </w:rPr>
        <w:t xml:space="preserve"> 199; David M Studdert et al, ‘Negligent Care and Malpractice Claiming Behavior in Utah and Colorado’ [2000] </w:t>
      </w:r>
      <w:r w:rsidRPr="00387010">
        <w:rPr>
          <w:rFonts w:cs="Times New Roman"/>
          <w:i/>
          <w:szCs w:val="24"/>
        </w:rPr>
        <w:t>Medical Care</w:t>
      </w:r>
      <w:r w:rsidRPr="00387010">
        <w:rPr>
          <w:rFonts w:cs="Times New Roman"/>
          <w:szCs w:val="24"/>
        </w:rPr>
        <w:t xml:space="preserve"> 250; Studdert DM et al, ‘Defensive Medicine among High-Risk Specialist Physicians in a Volatile Malpractice Environment’ (2005) 293(21) </w:t>
      </w:r>
      <w:r w:rsidRPr="00387010">
        <w:rPr>
          <w:rFonts w:cs="Times New Roman"/>
          <w:i/>
          <w:szCs w:val="24"/>
        </w:rPr>
        <w:t>JAMA</w:t>
      </w:r>
      <w:r w:rsidRPr="00387010">
        <w:rPr>
          <w:rFonts w:cs="Times New Roman"/>
          <w:szCs w:val="24"/>
        </w:rPr>
        <w:t xml:space="preserve"> 2609; Eric J Thomas et al, ‘Incidence and Types of Adverse Events and Negligent Care in Utah and Colorado’ [2000] </w:t>
      </w:r>
      <w:r w:rsidRPr="00387010">
        <w:rPr>
          <w:rFonts w:cs="Times New Roman"/>
          <w:i/>
          <w:szCs w:val="24"/>
        </w:rPr>
        <w:t>Medical Care</w:t>
      </w:r>
      <w:r w:rsidRPr="00387010">
        <w:rPr>
          <w:rFonts w:cs="Times New Roman"/>
          <w:szCs w:val="24"/>
        </w:rPr>
        <w:t xml:space="preserve"> 261; compare for example more recent work by Frakes and colleagues, Frakes, above n 133; Frakes and Jena, above n 133; See for example in relation to criminal law specifically, (#pages needed from lit review), Alan Merry, ‘When Are Errors a Crime?—Lessons from New Zealand’ in Charles A Erin and Suzanne Ost (eds), </w:t>
      </w:r>
      <w:r w:rsidRPr="00387010">
        <w:rPr>
          <w:rFonts w:cs="Times New Roman"/>
          <w:i/>
          <w:szCs w:val="24"/>
        </w:rPr>
        <w:t>The Criminal Justice System and Health Care</w:t>
      </w:r>
      <w:r w:rsidRPr="00387010">
        <w:rPr>
          <w:rFonts w:cs="Times New Roman"/>
          <w:szCs w:val="24"/>
        </w:rPr>
        <w:t xml:space="preserve"> (Oxford University Press, 2007); AF Merry, ‘How Does the Law Recognize and Deal with Medical Errors?’ (2009) 102(7) </w:t>
      </w:r>
      <w:r w:rsidRPr="00387010">
        <w:rPr>
          <w:rFonts w:cs="Times New Roman"/>
          <w:i/>
          <w:szCs w:val="24"/>
        </w:rPr>
        <w:t>Journal of the Royal Society of Medicine</w:t>
      </w:r>
      <w:r w:rsidRPr="00387010">
        <w:rPr>
          <w:rFonts w:cs="Times New Roman"/>
          <w:szCs w:val="24"/>
        </w:rPr>
        <w:t xml:space="preserve"> 265; Sidney Dekker, </w:t>
      </w:r>
      <w:r w:rsidRPr="00387010">
        <w:rPr>
          <w:rFonts w:cs="Times New Roman"/>
          <w:i/>
          <w:szCs w:val="24"/>
        </w:rPr>
        <w:t>Just Culture: Balancing Safety and Accountability</w:t>
      </w:r>
      <w:r w:rsidRPr="00387010">
        <w:rPr>
          <w:rFonts w:cs="Times New Roman"/>
          <w:szCs w:val="24"/>
        </w:rPr>
        <w:t xml:space="preserve"> (Ashgate, 2nd Edition, Kindle Version, 2012); Sidney WA Dekker, ‘Eve and the Serpent: A Rational Choice to Err’ (2007) 46(4) </w:t>
      </w:r>
      <w:r w:rsidRPr="00387010">
        <w:rPr>
          <w:rFonts w:cs="Times New Roman"/>
          <w:i/>
          <w:szCs w:val="24"/>
        </w:rPr>
        <w:t>Journal of Religion &amp; Health</w:t>
      </w:r>
      <w:r w:rsidRPr="00387010">
        <w:rPr>
          <w:rFonts w:cs="Times New Roman"/>
          <w:szCs w:val="24"/>
        </w:rPr>
        <w:t xml:space="preserve"> 571; Sidney Dekker, ‘The Criminalization of Human Error in Aviation and Healthcare: A Review’ (2011) 49(2) </w:t>
      </w:r>
      <w:r w:rsidRPr="00387010">
        <w:rPr>
          <w:rFonts w:cs="Times New Roman"/>
          <w:i/>
          <w:szCs w:val="24"/>
        </w:rPr>
        <w:t>Safety Science</w:t>
      </w:r>
      <w:r w:rsidRPr="00387010">
        <w:rPr>
          <w:rFonts w:cs="Times New Roman"/>
          <w:szCs w:val="24"/>
        </w:rPr>
        <w:t xml:space="preserve"> 121; Sidney WA Dekker, ‘Criminalization of Medical Error: Who Draws the Line?’ (2007) 77(10) </w:t>
      </w:r>
      <w:r w:rsidRPr="00387010">
        <w:rPr>
          <w:rFonts w:cs="Times New Roman"/>
          <w:i/>
          <w:szCs w:val="24"/>
        </w:rPr>
        <w:t>ANZ Journal of Surgery</w:t>
      </w:r>
      <w:r w:rsidRPr="00387010">
        <w:rPr>
          <w:rFonts w:cs="Times New Roman"/>
          <w:szCs w:val="24"/>
        </w:rPr>
        <w:t xml:space="preserve"> 831; O Quick, ‘Medicine, Mistakes and Manslaughter: A Criminal Combination?’ (2010) 69(1) </w:t>
      </w:r>
      <w:r w:rsidRPr="00387010">
        <w:rPr>
          <w:rFonts w:cs="Times New Roman"/>
          <w:i/>
          <w:szCs w:val="24"/>
        </w:rPr>
        <w:t>Cambridge Law Journal</w:t>
      </w:r>
      <w:r w:rsidRPr="00387010">
        <w:rPr>
          <w:rFonts w:cs="Times New Roman"/>
          <w:szCs w:val="24"/>
        </w:rPr>
        <w:t xml:space="preserve"> 186; Oliver Quick, ‘Prosecuting “Gross” Medical Negligence: Manslaughter, Discretion, and the Crown Prosecution Service’ (2006) 33(3) </w:t>
      </w:r>
      <w:r w:rsidRPr="00387010">
        <w:rPr>
          <w:rFonts w:cs="Times New Roman"/>
          <w:i/>
          <w:szCs w:val="24"/>
        </w:rPr>
        <w:t>Journal of Law and Society</w:t>
      </w:r>
      <w:r w:rsidRPr="00387010">
        <w:rPr>
          <w:rFonts w:cs="Times New Roman"/>
          <w:szCs w:val="24"/>
        </w:rPr>
        <w:t xml:space="preserve"> 421.</w:t>
      </w:r>
      <w:r w:rsidRPr="00C22D8B">
        <w:rPr>
          <w:rFonts w:cs="Times New Roman"/>
        </w:rPr>
        <w:fldChar w:fldCharType="end"/>
      </w:r>
    </w:p>
  </w:footnote>
  <w:footnote w:id="132">
    <w:p w14:paraId="332487A8" w14:textId="6BDBD75D" w:rsidR="00387010" w:rsidRPr="00C22D8B" w:rsidRDefault="00387010" w:rsidP="000C00C2">
      <w:pPr>
        <w:pStyle w:val="FootnoteText"/>
        <w:spacing w:before="120" w:after="120" w:line="240" w:lineRule="auto"/>
        <w:rPr>
          <w:rFonts w:cs="Times New Roman"/>
        </w:rPr>
      </w:pPr>
      <w:r w:rsidRPr="00B916B2">
        <w:rPr>
          <w:rStyle w:val="FootnoteReference"/>
        </w:rPr>
        <w:footnoteRef/>
      </w:r>
      <w:r w:rsidRPr="00B66951">
        <w:rPr>
          <w:sz w:val="16"/>
          <w:szCs w:val="16"/>
        </w:rPr>
        <w:t xml:space="preserve"> </w:t>
      </w:r>
      <w:r>
        <w:rPr>
          <w:sz w:val="16"/>
          <w:szCs w:val="16"/>
        </w:rPr>
        <w:tab/>
      </w:r>
      <w:r w:rsidRPr="00C22D8B">
        <w:rPr>
          <w:rFonts w:cs="Times New Roman"/>
        </w:rPr>
        <w:fldChar w:fldCharType="begin"/>
      </w:r>
      <w:r>
        <w:rPr>
          <w:rFonts w:cs="Times New Roman"/>
        </w:rPr>
        <w:instrText xml:space="preserve"> ADDIN ZOTERO_ITEM CSL_CITATION {"citationID":"HqUx02LC","properties":{"formattedCitation":"{\\rtf The work of Black and Frakes in particular offers a much needed and much more detailed engagement with law\\uc0\\u8217{}s instrumental effects on the micro-practices and quality and safety outcomes of medical care. The point here is rather more foundational, but nonetheless important, that the relationship has been productive in a range of ways (which deregulation and law reform in fact effaces and threatens), see for example Karl Y Bilimoria et al, \\uc0\\u8216{}Association Between State Medical Malpractice Environment and Surgical Quality and Cost in the United States\\uc0\\u8217{}: (2016) 263(6) {\\i{}Annals of Surgery} 1126; Myungho Paik, Bernard Black and David A Hyman, \\uc0\\u8216{}The Receding Tide of Medical Malpractice Litigation: Part 1-National Trends\\uc0\\u8217{} (2013) 10(4) {\\i{}Journal of Empirical Legal Studies} 612; Myungho Paik, Bernard Black and David Hyman, \\uc0\\u8216{}The Receding Tide of Medical Malpractice Litigation: Part 2-Effect of Damage Caps\\uc0\\u8217{} (2013) 10(4) {\\i{}Journal of Empirical Legal Studies} 639; Daniel P Kessler, \\uc0\\u8216{}Evaluating the Medical Malpractice System and Options for Reform\\uc0\\u8217{} (2011) 25(2) {\\i{}The Journal of Economic Perspectives: A Journal of the American Economic Association} 93; Frakes, above n 133; Steven A Farmer, Bernard Black and Robert O Bonow, \\uc0\\u8216{}Tension Between Quality Measurement, Public Quality Reporting, and Pay for Performance\\uc0\\u8217{} (2013) 309(4) {\\i{}JAMA} 349; Myungho Paik, Bernard Black and David A Hyman, \\uc0\\u8216{}Do Doctors Practice Defensive Medicine, Revisited\\uc0\\u8217{} &lt;https://www.scholars.northwestern.edu/en/publications/do-doctors-practice-defensive-medicine-revisited&gt;; Myungho Paik, Bernard S Black and David A Hyman, \\uc0\\u8216{}The Direct and Indirect Effects of Medical Malpractice Reforms: Evidence from the Third Reform Wave\\uc0\\u8217{} [2012] (No 13-20) {\\i{}Northwestern Law and Economics Research Paper} &lt;http://www.ssrn.com/abstract=2110656&gt;; Zenon Zabinski and Bernard S Black, \\uc0\\u8216{}The Deterrent Effect of Tort Law: Evidence from Medical Malpractice Reform\\uc0\\u8217{} [2013] {\\i{}SSRN Electronic Journal} &lt;http://www.ssrn.com/abstract=2161362&gt;; Frakes and Jena, above n 133.}","plainCitation":"The work of Black and Frakes in particular offers a much needed and much more detailed engagement with law’s instrumental effects on the micro-practices and quality and safety outcomes of medical care. The point here is rather more foundational, but nonetheless important, that the relationship has been productive in a range of ways (which deregulation and law reform in fact effaces and threatens), see for example Karl Y Bilimoria et al, ‘Association Between State Medical Malpractice Environment and Surgical Quality and Cost in the United States’: (2016) 263(6) Annals of Surgery 1126; Myungho Paik, Bernard Black and David A Hyman, ‘The Receding Tide of Medical Malpractice Litigation: Part 1-National Trends’ (2013) 10(4) Journal of Empirical Legal Studies 612; Myungho Paik, Bernard Black and David Hyman, ‘The Receding Tide of Medical Malpractice Litigation: Part 2-Effect of Damage Caps’ (2013) 10(4) Journal of Empirical Legal Studies 639; Daniel P Kessler, ‘Evaluating the Medical Malpractice System and Options for Reform’ (2011) 25(2) The Journal of Economic Perspectives: A Journal of the American Economic Association 93; Frakes, above n 133; Steven A Farmer, Bernard Black and Robert O Bonow, ‘Tension Between Quality Measurement, Public Quality Reporting, and Pay for Performance’ (2013) 309(4) JAMA 349; Myungho Paik, Bernard Black and David A Hyman, ‘Do Doctors Practice Defensive Medicine, Revisited’ &lt;https://www.scholars.northwestern.edu/en/publications/do-doctors-practice-defensive-medicine-revisited&gt;; Myungho Paik, Bernard S Black and David A Hyman, ‘The Direct and Indirect Effects of Medical Malpractice Reforms: Evidence from the Third Reform Wave’ [2012] (No 13-20) Northwestern Law and Economics Research Paper &lt;http://www.ssrn.com/abstract=2110656&gt;; Zenon Zabinski and Bernard S Black, ‘The Deterrent Effect of Tort Law: Evidence from Medical Malpractice Reform’ [2013] SSRN Electronic Journal &lt;http://www.ssrn.com/abstract=2161362&gt;; Frakes and Jena, above n 133."},"citationItems":[{"id":3283,"uris":["http://zotero.org/users/955090/items/4HIJ9S9J"],"uri":["http://zotero.org/users/955090/items/4HIJ9S9J"],"itemData":{"id":3283,"type":"article-journal","multi":{"main":{},"_keys":{}},"title":"Association Between State Medical Malpractice Environment and Surgical Quality and Cost in the United States:","container-title":"Annals of Surgery","page":"1126-1132","volume":"263","issue":"6","source":"CrossRef","DOI":"10.1097/SLA.0000000000001538","ISSN":"0003-4932","shortTitle":"Association Between State Medical Malpractice Environment and Surgical Quality and Cost in the United States","language":"en","author":[{"family":"Bilimoria","given":"Karl Y.","multi":{"_key":{}}},{"family":"Sohn","given":"Min-Woong","multi":{"_key":{}}},{"family":"Chung","given":"Jeanette W.","multi":{"_key":{}}},{"family":"Minami","given":"Christina A.","multi":{"_key":{}}},{"family":"Oh","given":"Elissa H.","multi":{"_key":{}}},{"family":"Pavey","given":"Emily S.","multi":{"_key":{}}},{"family":"Holl","given":"Jane L.","multi":{"_key":{}}},{"family":"Black","given":"Bernard S.","multi":{"_key":{}}},{"family":"Mello","given":"Michelle M.","multi":{"_key":{}}},{"family":"Bentrem","given":"David J.","multi":{"_key":{}}}],"issued":{"raw":"06/2016"}},"prefix":"The work of Black and Frakes in particular offers a much needed and much more detailed engagement with law’s instrumental effects on the micro-practices and quality and safety outcomes of medical care. The point here is rather more foundational, but nonetheless important, that the relationship has been productive in a range of ways (which deregulation and law reform in fact effaces and threatens), see for example "},{"id":5310,"uris":["http://zotero.org/users/955090/items/ZU6QQIG5"],"uri":["http://zotero.org/users/955090/items/ZU6QQIG5"],"itemData":{"id":5310,"type":"article-journal","multi":{"main":{},"_keys":{}},"title":"The Receding Tide of Medical Malpractice Litigation: Part 1-National Trends","container-title":"Journal of Empirical Legal Studies","page":"612-638","volume":"10","issue":"4","source":"CrossRef","DOI":"10.1111/jels.12021","ISSN":"17401453","shortTitle":"The Receding Tide of Medical Malpractice Litigation","language":"en","author":[{"family":"Paik","given":"Myungho","multi":{"_key":{}}},{"family":"Black","given":"Bernard","multi":{"_key":{}}},{"family":"Hyman","given":"David A.","multi":{"_key":{}}}],"issued":{"raw":"12/2013"}}},{"id":5309,"uris":["http://zotero.org/users/955090/items/NJSHE3CW"],"uri":["http://zotero.org/users/955090/items/NJSHE3CW"],"itemData":{"id":5309,"type":"article-journal","multi":{"main":{},"_keys":{}},"title":"The Receding Tide of Medical Malpractice Litigation: Part 2-Effect of Damage Caps","container-title":"Journal of Empirical Legal Studies","page":"639-669","volume":"10","issue":"4","source":"CrossRef","DOI":"10.1111/jels.12022","ISSN":"17401453","shortTitle":"The Receding Tide of Medical Malpractice Litigation","language":"en","author":[{"family":"Paik","given":"Myungho","multi":{"_key":{}}},{"family":"Black","given":"Bernard","multi":{"_key":{}}},{"family":"Hyman","given":"David","multi":{"_key":{}}}],"issued":{"raw":"12/2013"}}},{"id":4835,"uris":["http://zotero.org/users/955090/items/XPWHQ574"],"uri":["http://zotero.org/users/955090/items/XPWHQ574"],"itemData":{"id":4835,"type":"article-journal","multi":{"main":{},"_keys":{}},"title":"Evaluating the Medical Malpractice System and Options for Reform","container-title":"The Journal of Economic Perspectives: A Journal of the American Economic Association","page":"93-110","volume":"25","issue":"2","source":"PubMed Central","ISSN":"0895-3309","note":"PMID: 21595327\nPMCID: PMC3195420","journalAbbreviation":"J Econ Perspect","author":[{"family":"Kessler","given":"Daniel P.","multi":{"_key":{}}}],"issued":{"raw":"2011"}}},{"id":3277,"uris":["http://zotero.org/users/955090/items/R2NPPF6J"],"uri":["http://zotero.org/users/955090/items/R2NPPF6J"],"itemData":{"id":3277,"type":"article-journal","multi":{"main":{},"_keys":{}},"title":"The surprising relevance of medical malpractice law","container-title":"The University of Chicago Law Review","page":"317–391","source":"Google Scholar","author":[{"family":"Frakes","given":"Michael D.","multi":{"_key":{}}}],"issued":{"raw":"2015"}}},{"id":3278,"uris":["http://zotero.org/users/955090/items/JBWT3FVT"],"uri":["http://zotero.org/users/955090/items/JBWT3FVT"],"itemData":{"id":3278,"type":"article-journal","multi":{"main":{},"_keys":{}},"title":"Tension Between Quality Measurement, Public Quality Reporting, and Pay for Performance","container-title":"JAMA","page":"349","volume":"309","issue":"4","source":"CrossRef","DOI":"10.1001/jama.2012.191276","ISSN":"0098-7484","language":"en","author":[{"family":"Farmer","given":"Steven A.","multi":{"_key":{}}},{"family":"Black","given":"Bernard","multi":{"_key":{}}},{"family":"Bonow","given":"Robert O.","multi":{"_key":{}}}],"issued":{"raw":"2013-01-23"}}},{"id":3279,"uris":["http://zotero.org/users/955090/items/WGJBN9K8"],"uri":["http://zotero.org/users/955090/items/WGJBN9K8"],"itemData":{"id":3279,"type":"article-journal","multi":{"main":{},"_keys":{}},"title":"Do Doctors Practice Defensive Medicine, Revisited","source":"www.scholars.northwestern.edu","URL":"https://www.scholars.northwestern.edu/en/publications/do-doctors-practice-defensive-medicine-revisited","language":"English (US)","author":[{"family":"Paik","given":"Myungho","multi":{"_key":{}}},{"family":"Black","given":"Bernard","multi":{"_key":{}}},{"family":"Hyman","given":"David A.","multi":{"_key":{}}}],"issued":{"raw":"2014/10/21"},"accessed":{"raw":"2016-07-27T03:12:23Z"}}},{"id":5311,"uris":["http://zotero.org/users/955090/items/JEEQCX2J"],"uri":["http://zotero.org/users/955090/items/JEEQCX2J"],"itemData":{"id":5311,"type":"article-journal","multi":{"main":{},"_keys":{}},"title":"The Direct and Indirect Effects of Medical Malpractice Reforms: Evidence from the Third Reform Wave","container-title":"Northwestern Law and Economics Research Paper","issue":"No 13-20","source":"CrossRef","URL":"http://www.ssrn.com/abstract=2110656","DOI":"10.2139/ssrn.2110656","ISSN":"1556-5068","shortTitle":"The Direct and Indirect Effects of Medical Malpractice Reforms","language":"en","author":[{"family":"Paik","given":"Myungho","multi":{"_key":{}}},{"family":"Black","given":"Bernard S.","multi":{"_key":{}}},{"family":"Hyman","given":"David A.","multi":{"_key":{}}}],"issued":{"raw":"2012"},"accessed":{"raw":"2016-07-27T03:12:20Z"}}},{"id":3280,"uris":["http://zotero.org/users/955090/items/ZBGRKNC9"],"uri":["http://zotero.org/users/955090/items/ZBGRKNC9"],"itemData":{"id":3280,"type":"article-journal","multi":{"main":{},"_keys":{}},"title":"The Deterrent Effect of Tort Law: Evidence from Medical Malpractice Reform","container-title":"SSRN Electronic Journal","source":"CrossRef","URL":"http://www.ssrn.com/abstract=2161362","DOI":"10.2139/ssrn.2161362","ISSN":"1556-5068","shortTitle":"The Deterrent Effect of Tort Law","language":"en","author":[{"family":"Zabinski","given":"Zenon","multi":{"_key":{}}},{"family":"Black","given":"Bernard S.","multi":{"_key":{}}}],"issued":{"raw":"2013"},"accessed":{"raw":"2016-07-27T03:12:16Z"}}},{"id":5154,"uris":["http://zotero.org/users/955090/items/NEGSQ9TP"],"uri":["http://zotero.org/users/955090/items/NEGSQ9TP"],"itemData":{"id":5154,"type":"article-journal","multi":{"main":{},"_keys":{}},"title":"Does Medical Malpractice Law Improve Health Care Quality?","container-title":"Journal of Public Economics","URL":"DOI: 10.1016/j.jpubeco.2016.09.002","DOI":"10.1016/j.jpubeco.2016.09.002","author":[{"family":"Frakes","given":"Michael","multi":{"_key":{}}},{"family":"Jena","given":"Anupam","multi":{"_key":{}}}],"issued":{"raw":"2016-01-01"}}}],"schema":"https://github.com/citation-style-language/schema/raw/master/csl-citation.json"} </w:instrText>
      </w:r>
      <w:r w:rsidRPr="00C22D8B">
        <w:rPr>
          <w:rFonts w:cs="Times New Roman"/>
        </w:rPr>
        <w:fldChar w:fldCharType="separate"/>
      </w:r>
      <w:r w:rsidRPr="00387010">
        <w:rPr>
          <w:rFonts w:cs="Times New Roman"/>
          <w:szCs w:val="24"/>
        </w:rPr>
        <w:t xml:space="preserve">The work of Black and Frakes in particular offers a much needed and much more detailed engagement with law’s instrumental effects on the micro-practices and quality and safety outcomes of medical care. The point here is rather more foundational, but nonetheless important, that the relationship has been productive in a range of ways (which deregulation and law reform in fact effaces and threatens), see for example Karl Y Bilimoria et al, ‘Association Between State Medical Malpractice Environment and Surgical Quality and Cost in the United States’: (2016) 263(6) </w:t>
      </w:r>
      <w:r w:rsidRPr="00387010">
        <w:rPr>
          <w:rFonts w:cs="Times New Roman"/>
          <w:i/>
          <w:szCs w:val="24"/>
        </w:rPr>
        <w:t>Annals of Surgery</w:t>
      </w:r>
      <w:r w:rsidRPr="00387010">
        <w:rPr>
          <w:rFonts w:cs="Times New Roman"/>
          <w:szCs w:val="24"/>
        </w:rPr>
        <w:t xml:space="preserve"> 1126; Myungho Paik, Bernard Black and David A Hyman, ‘The Receding Tide of Medical Malpractice Litigation: Part 1-National Trends’ (2013) 10(4) </w:t>
      </w:r>
      <w:r w:rsidRPr="00387010">
        <w:rPr>
          <w:rFonts w:cs="Times New Roman"/>
          <w:i/>
          <w:szCs w:val="24"/>
        </w:rPr>
        <w:t>Journal of Empirical Legal Studies</w:t>
      </w:r>
      <w:r w:rsidRPr="00387010">
        <w:rPr>
          <w:rFonts w:cs="Times New Roman"/>
          <w:szCs w:val="24"/>
        </w:rPr>
        <w:t xml:space="preserve"> 612; Myungho Paik, Bernard Black and David Hyman, ‘The Receding Tide of Medical Malpractice Litigation: Part 2-Effect of Damage Caps’ (2013) 10(4) </w:t>
      </w:r>
      <w:r w:rsidRPr="00387010">
        <w:rPr>
          <w:rFonts w:cs="Times New Roman"/>
          <w:i/>
          <w:szCs w:val="24"/>
        </w:rPr>
        <w:t>Journal of Empirical Legal Studies</w:t>
      </w:r>
      <w:r w:rsidRPr="00387010">
        <w:rPr>
          <w:rFonts w:cs="Times New Roman"/>
          <w:szCs w:val="24"/>
        </w:rPr>
        <w:t xml:space="preserve"> 639; Daniel P Kessler, ‘Evaluating the Medical Malpractice System and Options for Reform’ (2011) 25(2) </w:t>
      </w:r>
      <w:r w:rsidRPr="00387010">
        <w:rPr>
          <w:rFonts w:cs="Times New Roman"/>
          <w:i/>
          <w:szCs w:val="24"/>
        </w:rPr>
        <w:t>The Journal of Economic Perspectives: A Journal of the American Economic Association</w:t>
      </w:r>
      <w:r w:rsidRPr="00387010">
        <w:rPr>
          <w:rFonts w:cs="Times New Roman"/>
          <w:szCs w:val="24"/>
        </w:rPr>
        <w:t xml:space="preserve"> 93; Frakes, above n 133; Steven A Farmer, Bernard Black and Robert O Bonow, ‘Tension Between Quality Measurement, Public Quality Reporting, and Pay for Performance’ (2013) 309(4) </w:t>
      </w:r>
      <w:r w:rsidRPr="00387010">
        <w:rPr>
          <w:rFonts w:cs="Times New Roman"/>
          <w:i/>
          <w:szCs w:val="24"/>
        </w:rPr>
        <w:t>JAMA</w:t>
      </w:r>
      <w:r w:rsidRPr="00387010">
        <w:rPr>
          <w:rFonts w:cs="Times New Roman"/>
          <w:szCs w:val="24"/>
        </w:rPr>
        <w:t xml:space="preserve"> 349; Myungho Paik, Bernard Black and David A Hyman, ‘Do Doctors Practice Defensive Medicine, Revisited’ &lt;https://www.scholars.northwestern.edu/en/publications/do-doctors-practice-defensive-medicine-revisited&gt;; Myungho Paik, Bernard S Black and David A Hyman, ‘The Direct and Indirect Effects of Medical Malpractice Reforms: Evidence from the Third Reform Wave’ [2012] (No 13-20) </w:t>
      </w:r>
      <w:r w:rsidRPr="00387010">
        <w:rPr>
          <w:rFonts w:cs="Times New Roman"/>
          <w:i/>
          <w:szCs w:val="24"/>
        </w:rPr>
        <w:t>Northwestern Law and Economics Research Paper</w:t>
      </w:r>
      <w:r w:rsidRPr="00387010">
        <w:rPr>
          <w:rFonts w:cs="Times New Roman"/>
          <w:szCs w:val="24"/>
        </w:rPr>
        <w:t xml:space="preserve"> &lt;http://www.ssrn.com/abstract=2110656&gt;; Zenon Zabinski and Bernard S Black, ‘The Deterrent Effect of Tort Law: Evidence from Medical Malpractice Reform’ [2013] </w:t>
      </w:r>
      <w:r w:rsidRPr="00387010">
        <w:rPr>
          <w:rFonts w:cs="Times New Roman"/>
          <w:i/>
          <w:szCs w:val="24"/>
        </w:rPr>
        <w:t>SSRN Electronic Journal</w:t>
      </w:r>
      <w:r w:rsidRPr="00387010">
        <w:rPr>
          <w:rFonts w:cs="Times New Roman"/>
          <w:szCs w:val="24"/>
        </w:rPr>
        <w:t xml:space="preserve"> &lt;http://www.ssrn.com/abstract=2161362&gt;; Frakes and Jena, above n 133.</w:t>
      </w:r>
      <w:r w:rsidRPr="00C22D8B">
        <w:rPr>
          <w:rFonts w:cs="Times New Roman"/>
        </w:rPr>
        <w:fldChar w:fldCharType="end"/>
      </w:r>
    </w:p>
  </w:footnote>
  <w:footnote w:id="133">
    <w:p w14:paraId="2563DBF1" w14:textId="34CC96BF"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{"citationID":"XltdvGTh","properties":{"formattedCitation":"{\\rtf {\\i{}Health Care Complaints Commission v Do} [2014] NSWCA 307 (4 September 2014) [45].}","plainCitation":"Health Care Complaints Commission v Do [2014] NSWCA 307 (4 September 2014) [45]."},"citationItems":[{"id":5592,"uris":["http://zotero.org/users/955090/items/5XKNSDJG"],"uri":["http://zotero.org/users/955090/items/5XKNSDJG"],"itemData":{"id":5592,"type":"legal_case","multi":{"main":{},"_keys":{}},"title":"Health Care Complaints Commission v Do","authority":"NSWCA","number":"307","issued":{"raw":"4 September 2014"}},"locator":"[45]"}],"schema":"https://github.com/citation-style-language/schema/raw/master/csl-citation.json"} </w:instrText>
      </w:r>
      <w:r>
        <w:fldChar w:fldCharType="separate"/>
      </w:r>
      <w:r w:rsidRPr="001724B2">
        <w:rPr>
          <w:rFonts w:cs="Times New Roman"/>
          <w:i/>
          <w:szCs w:val="24"/>
        </w:rPr>
        <w:t>Health Care Complaints Commission v Do</w:t>
      </w:r>
      <w:r w:rsidRPr="001724B2">
        <w:rPr>
          <w:rFonts w:cs="Times New Roman"/>
          <w:szCs w:val="24"/>
        </w:rPr>
        <w:t xml:space="preserve"> [2014] NSWCA 307 (4 September 2014) [45].</w:t>
      </w:r>
      <w:r>
        <w:fldChar w:fldCharType="end"/>
      </w:r>
    </w:p>
  </w:footnote>
  <w:footnote w:id="134">
    <w:p w14:paraId="02F96AF8" w14:textId="159212F0"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{"citationID":"RFvck1Kk","properties":{"formattedCitation":"{\\rtf Ian Freckelton, \\uc0\\u8216{}The Margins of Professional Regulation: Disjunctions, Dilemmas and Deterrence\\uc0\\u8217{} (2006) 23(2) {\\i{}Law in Context} 148, 167; Helen Kiel echoes Freckleton\\uc0\\u8217{}s words in support of them, Kiel, above n 42, 7.}","plainCitation":"Ian Freckelton, ‘The Margins of Professional Regulation: Disjunctions, Dilemmas and Deterrence’ (2006) 23(2) Law in Context 148, 167; Helen Kiel echoes Freckleton’s words in support of them, Kiel, above n 42, 7."},"citationItems":[{"id":5591,"uris":["http://zotero.org/users/955090/items/6FW9RP2M"],"uri":["http://zotero.org/users/955090/items/6FW9RP2M"],"itemData":{"id":5591,"type":"article-journal","multi":{"main":{},"_keys":{}},"title":"The Margins of Professional Regulation: Disjunctions, Dilemmas and Deterrence","container-title":"Law in Context","page":"148-170","volume":"23","issue":"2","source":"Google Scholar","shortTitle":"The margins of professional regulation","author":[{"family":"Freckelton","given":"Ian","multi":{"_key":{}}}],"issued":{"raw":"2006"}},"locator":"167"},{"id":5599,"uris":["http://zotero.org/users/955090/items/DBJICRF9"],"uri":["http://zotero.org/users/955090/items/DBJICRF9"],"itemData":{"id":5599,"type":"thesis","multi":{"main":{},"_keys":{}},"title":"Problem Doctors in Disciplinary Tribunals: Who Do Protective Orders Protect? An Analysis of Australian Tribunal Decisions from 2010 – 2013","publisher":"University of Technology Sydney","genre":"PhD Thesis","author":[{"family":"Kiel","given":"Helen","multi":{"_key":{}}}],"issued":{"raw":"2016"}},"locator":"7","prefix":"Helen Kiel echoes Freckleton's words in support of them, "}],"schema":"https://github.com/citation-style-language/schema/raw/master/csl-citation.json"} </w:instrText>
      </w:r>
      <w:r>
        <w:fldChar w:fldCharType="separate"/>
      </w:r>
      <w:r w:rsidRPr="000D456F">
        <w:rPr>
          <w:rFonts w:cs="Times New Roman"/>
          <w:szCs w:val="24"/>
        </w:rPr>
        <w:t xml:space="preserve">Ian Freckelton, ‘The Margins of Professional Regulation: Disjunctions, Dilemmas and Deterrence’ (2006) 23(2) </w:t>
      </w:r>
      <w:r w:rsidRPr="000D456F">
        <w:rPr>
          <w:rFonts w:cs="Times New Roman"/>
          <w:i/>
          <w:szCs w:val="24"/>
        </w:rPr>
        <w:t>Law in Context</w:t>
      </w:r>
      <w:r w:rsidRPr="000D456F">
        <w:rPr>
          <w:rFonts w:cs="Times New Roman"/>
          <w:szCs w:val="24"/>
        </w:rPr>
        <w:t xml:space="preserve"> 148, 167; Helen Kiel echoes Freckleton’s words in support of them, Kiel, above n 42, 7.</w:t>
      </w:r>
      <w:r>
        <w:fldChar w:fldCharType="end"/>
      </w:r>
    </w:p>
  </w:footnote>
  <w:footnote w:id="135">
    <w:p w14:paraId="295C33E6" w14:textId="4DDA64C8"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{"citationID":"yO3TI5HQ","properties":{"formattedCitation":"{\\rtf {\\i{}Health Care Complaints Commission v Do} [2014] NSWCA 307 (4 September 2014) [45].}","plainCitation":"Health Care Complaints Commission v Do [2014] NSWCA 307 (4 September 2014) [45]."},"citationItems":[{"id":5592,"uris":["http://zotero.org/users/955090/items/5XKNSDJG"],"uri":["http://zotero.org/users/955090/items/5XKNSDJG"],"itemData":{"id":5592,"type":"legal_case","multi":{"main":{},"_keys":{}},"title":"Health Care Complaints Commission v Do","authority":"NSWCA","number":"307","issued":{"raw":"4 September 2014"}},"locator":"[45]"}],"schema":"https://github.com/citation-style-language/schema/raw/master/csl-citation.json"} </w:instrText>
      </w:r>
      <w:r>
        <w:fldChar w:fldCharType="separate"/>
      </w:r>
      <w:r w:rsidRPr="001724B2">
        <w:rPr>
          <w:rFonts w:cs="Times New Roman"/>
          <w:i/>
          <w:szCs w:val="24"/>
        </w:rPr>
        <w:t>Health Care Complaints Commission v Do</w:t>
      </w:r>
      <w:r w:rsidRPr="001724B2">
        <w:rPr>
          <w:rFonts w:cs="Times New Roman"/>
          <w:szCs w:val="24"/>
        </w:rPr>
        <w:t xml:space="preserve"> [2014] NSWCA 307 (4 September 2014) [45].</w:t>
      </w:r>
      <w:r>
        <w:fldChar w:fldCharType="end"/>
      </w:r>
    </w:p>
  </w:footnote>
  <w:footnote w:id="136">
    <w:p w14:paraId="4F7F0E77" w14:textId="31DFC383" w:rsidR="00387010" w:rsidRDefault="00387010" w:rsidP="000C00C2">
      <w:pPr>
        <w:pStyle w:val="FootnoteText"/>
        <w:spacing w:before="120" w:after="120" w:line="240" w:lineRule="auto"/>
      </w:pPr>
      <w:r>
        <w:rPr>
          <w:rStyle w:val="FootnoteReference"/>
        </w:rPr>
        <w:footnoteRef/>
      </w:r>
      <w:r>
        <w:t xml:space="preserve"> </w:t>
      </w:r>
      <w:r>
        <w:tab/>
      </w:r>
      <w:r>
        <w:fldChar w:fldCharType="begin"/>
      </w:r>
      <w:r>
        <w:instrText xml:space="preserve"> ADDIN ZOTERO_ITEM CSL_CITATION {"citationID":"mR1qLqX3","properties":{"formattedCitation":"Ibid.","plainCitation":"Ibid."},"citationItems":[{"id":5592,"uris":["http://zotero.org/users/955090/items/5XKNSDJG"],"uri":["http://zotero.org/users/955090/items/5XKNSDJG"],"itemData":{"id":5592,"type":"legal_case","multi":{"main":{},"_keys":{}},"title":"Health Care Complaints Commission v Do","authority":"NSWCA","number":"307","issued":{"raw":"4 September 2014"}},"locator":"[45]"}],"schema":"https://github.com/citation-style-language/schema/raw/master/csl-citation.json"} </w:instrText>
      </w:r>
      <w:r>
        <w:fldChar w:fldCharType="separate"/>
      </w:r>
      <w:r w:rsidRPr="00126071">
        <w:t>Ibid.</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BAE8" w14:textId="77777777" w:rsidR="00387010" w:rsidRDefault="00387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FEC9" w14:textId="77777777" w:rsidR="00387010" w:rsidRDefault="00387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BCD0" w14:textId="77777777" w:rsidR="00387010" w:rsidRDefault="0038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B4A"/>
    <w:multiLevelType w:val="hybridMultilevel"/>
    <w:tmpl w:val="D86893A6"/>
    <w:lvl w:ilvl="0" w:tplc="995A7B8A">
      <w:start w:val="1"/>
      <w:numFmt w:val="upperLetter"/>
      <w:pStyle w:val="Bibliography"/>
      <w:lvlText w:val="%1"/>
      <w:lvlJc w:val="left"/>
      <w:pPr>
        <w:tabs>
          <w:tab w:val="num" w:pos="567"/>
        </w:tabs>
        <w:ind w:left="567" w:hanging="567"/>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B2F03"/>
    <w:multiLevelType w:val="hybridMultilevel"/>
    <w:tmpl w:val="20FC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32B30"/>
    <w:multiLevelType w:val="hybridMultilevel"/>
    <w:tmpl w:val="217E21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09F56F2"/>
    <w:multiLevelType w:val="multilevel"/>
    <w:tmpl w:val="F38872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2B44543"/>
    <w:multiLevelType w:val="hybridMultilevel"/>
    <w:tmpl w:val="DE002A6A"/>
    <w:lvl w:ilvl="0" w:tplc="B308C60E">
      <w:start w:val="1"/>
      <w:numFmt w:val="decimal"/>
      <w:pStyle w:val="FIGFigure"/>
      <w:lvlText w:val="Figure %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793C5E"/>
    <w:multiLevelType w:val="hybridMultilevel"/>
    <w:tmpl w:val="2012DBC2"/>
    <w:lvl w:ilvl="0" w:tplc="726E7BF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5C12F6"/>
    <w:multiLevelType w:val="multilevel"/>
    <w:tmpl w:val="219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1138D"/>
    <w:multiLevelType w:val="hybridMultilevel"/>
    <w:tmpl w:val="6904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83263"/>
    <w:multiLevelType w:val="hybridMultilevel"/>
    <w:tmpl w:val="DF3A3D7C"/>
    <w:lvl w:ilvl="0" w:tplc="4572BDF4">
      <w:start w:val="1"/>
      <w:numFmt w:val="bullet"/>
      <w:pStyle w:val="TABBTableBullets"/>
      <w:lvlText w:val=""/>
      <w:lvlJc w:val="left"/>
      <w:pPr>
        <w:tabs>
          <w:tab w:val="num" w:pos="567"/>
        </w:tabs>
        <w:ind w:left="567" w:hanging="567"/>
      </w:pPr>
      <w:rPr>
        <w:rFonts w:ascii="Symbol" w:hAnsi="Symbol" w:hint="default"/>
      </w:rPr>
    </w:lvl>
    <w:lvl w:ilvl="1" w:tplc="03286AC8">
      <w:start w:val="1"/>
      <w:numFmt w:val="bullet"/>
      <w:lvlText w:val="o"/>
      <w:lvlJc w:val="left"/>
      <w:pPr>
        <w:tabs>
          <w:tab w:val="num" w:pos="1134"/>
        </w:tabs>
        <w:ind w:left="1134" w:hanging="567"/>
      </w:pPr>
      <w:rPr>
        <w:rFonts w:ascii="Courier New" w:hAnsi="Courier New" w:hint="default"/>
      </w:rPr>
    </w:lvl>
    <w:lvl w:ilvl="2" w:tplc="1998618C">
      <w:start w:val="1"/>
      <w:numFmt w:val="bullet"/>
      <w:lvlText w:val=""/>
      <w:lvlJc w:val="left"/>
      <w:pPr>
        <w:tabs>
          <w:tab w:val="num" w:pos="1701"/>
        </w:tabs>
        <w:ind w:left="1701" w:hanging="567"/>
      </w:pPr>
      <w:rPr>
        <w:rFonts w:ascii="Wingdings" w:hAnsi="Wingdings" w:hint="default"/>
      </w:rPr>
    </w:lvl>
    <w:lvl w:ilvl="3" w:tplc="989C3DEA">
      <w:start w:val="1"/>
      <w:numFmt w:val="bullet"/>
      <w:lvlText w:val=""/>
      <w:lvlJc w:val="left"/>
      <w:pPr>
        <w:tabs>
          <w:tab w:val="num" w:pos="2268"/>
        </w:tabs>
        <w:ind w:left="2268" w:hanging="567"/>
      </w:pPr>
      <w:rPr>
        <w:rFonts w:ascii="Symbol" w:hAnsi="Symbol" w:hint="default"/>
      </w:rPr>
    </w:lvl>
    <w:lvl w:ilvl="4" w:tplc="8EE8DABE">
      <w:start w:val="1"/>
      <w:numFmt w:val="bullet"/>
      <w:lvlText w:val="o"/>
      <w:lvlJc w:val="left"/>
      <w:pPr>
        <w:tabs>
          <w:tab w:val="num" w:pos="2835"/>
        </w:tabs>
        <w:ind w:left="2835" w:hanging="567"/>
      </w:pPr>
      <w:rPr>
        <w:rFonts w:ascii="Courier New" w:hAnsi="Courier New" w:hint="default"/>
      </w:rPr>
    </w:lvl>
    <w:lvl w:ilvl="5" w:tplc="192E5446">
      <w:start w:val="1"/>
      <w:numFmt w:val="bullet"/>
      <w:lvlText w:val=""/>
      <w:lvlJc w:val="left"/>
      <w:pPr>
        <w:tabs>
          <w:tab w:val="num" w:pos="3402"/>
        </w:tabs>
        <w:ind w:left="3402" w:hanging="567"/>
      </w:pPr>
      <w:rPr>
        <w:rFonts w:ascii="Wingdings" w:hAnsi="Wingdings" w:hint="default"/>
      </w:rPr>
    </w:lvl>
    <w:lvl w:ilvl="6" w:tplc="EFDEB6C2">
      <w:start w:val="1"/>
      <w:numFmt w:val="bullet"/>
      <w:lvlText w:val=""/>
      <w:lvlJc w:val="left"/>
      <w:pPr>
        <w:tabs>
          <w:tab w:val="num" w:pos="3969"/>
        </w:tabs>
        <w:ind w:left="3969" w:hanging="567"/>
      </w:pPr>
      <w:rPr>
        <w:rFonts w:ascii="Symbol" w:hAnsi="Symbol" w:hint="default"/>
      </w:rPr>
    </w:lvl>
    <w:lvl w:ilvl="7" w:tplc="A2C4A666">
      <w:start w:val="1"/>
      <w:numFmt w:val="bullet"/>
      <w:lvlText w:val="o"/>
      <w:lvlJc w:val="left"/>
      <w:pPr>
        <w:tabs>
          <w:tab w:val="num" w:pos="4536"/>
        </w:tabs>
        <w:ind w:left="4536" w:hanging="567"/>
      </w:pPr>
      <w:rPr>
        <w:rFonts w:ascii="Courier New" w:hAnsi="Courier New" w:hint="default"/>
      </w:rPr>
    </w:lvl>
    <w:lvl w:ilvl="8" w:tplc="68D2C362">
      <w:start w:val="1"/>
      <w:numFmt w:val="bullet"/>
      <w:lvlText w:val=""/>
      <w:lvlJc w:val="left"/>
      <w:pPr>
        <w:tabs>
          <w:tab w:val="num" w:pos="5103"/>
        </w:tabs>
        <w:ind w:left="5103" w:hanging="567"/>
      </w:pPr>
      <w:rPr>
        <w:rFonts w:ascii="Wingdings" w:hAnsi="Wingdings" w:hint="default"/>
      </w:rPr>
    </w:lvl>
  </w:abstractNum>
  <w:abstractNum w:abstractNumId="10" w15:restartNumberingAfterBreak="0">
    <w:nsid w:val="1D0468BF"/>
    <w:multiLevelType w:val="multilevel"/>
    <w:tmpl w:val="4154AEDA"/>
    <w:lvl w:ilvl="0">
      <w:start w:val="1"/>
      <w:numFmt w:val="upperRoman"/>
      <w:pStyle w:val="Heading1"/>
      <w:lvlText w:val="%1"/>
      <w:lvlJc w:val="left"/>
      <w:pPr>
        <w:tabs>
          <w:tab w:val="num" w:pos="567"/>
        </w:tabs>
        <w:ind w:left="567" w:hanging="567"/>
      </w:pPr>
      <w:rPr>
        <w:rFonts w:hint="default"/>
      </w:rPr>
    </w:lvl>
    <w:lvl w:ilvl="1">
      <w:start w:val="1"/>
      <w:numFmt w:val="upperLetter"/>
      <w:pStyle w:val="Heading2"/>
      <w:lvlText w:val="%2"/>
      <w:lvlJc w:val="left"/>
      <w:pPr>
        <w:tabs>
          <w:tab w:val="num" w:pos="567"/>
        </w:tabs>
        <w:ind w:left="567" w:hanging="567"/>
      </w:pPr>
      <w:rPr>
        <w:rFonts w:hint="default"/>
        <w:b w:val="0"/>
        <w:i w:val="0"/>
      </w:rPr>
    </w:lvl>
    <w:lvl w:ilvl="2">
      <w:start w:val="1"/>
      <w:numFmt w:val="decimal"/>
      <w:pStyle w:val="Heading3"/>
      <w:lvlText w:val="%3"/>
      <w:lvlJc w:val="left"/>
      <w:pPr>
        <w:tabs>
          <w:tab w:val="num" w:pos="567"/>
        </w:tabs>
        <w:ind w:left="567" w:hanging="567"/>
      </w:pPr>
      <w:rPr>
        <w:rFonts w:hint="default"/>
        <w:b w:val="0"/>
        <w:i w:val="0"/>
      </w:rPr>
    </w:lvl>
    <w:lvl w:ilvl="3">
      <w:start w:val="1"/>
      <w:numFmt w:val="lowerLetter"/>
      <w:pStyle w:val="Heading4"/>
      <w:lvlText w:val="(%4)"/>
      <w:lvlJc w:val="left"/>
      <w:pPr>
        <w:tabs>
          <w:tab w:val="num" w:pos="567"/>
        </w:tabs>
        <w:ind w:left="567" w:hanging="567"/>
      </w:pPr>
      <w:rPr>
        <w:rFonts w:hint="default"/>
        <w:b w:val="0"/>
        <w:i/>
      </w:rPr>
    </w:lvl>
    <w:lvl w:ilvl="4">
      <w:start w:val="1"/>
      <w:numFmt w:val="lowerRoman"/>
      <w:pStyle w:val="Heading5"/>
      <w:lvlText w:val="(%5)"/>
      <w:lvlJc w:val="left"/>
      <w:pPr>
        <w:tabs>
          <w:tab w:val="num" w:pos="567"/>
        </w:tabs>
        <w:ind w:left="567" w:hanging="567"/>
      </w:pPr>
      <w:rPr>
        <w:rFonts w:hint="default"/>
        <w:b w:val="0"/>
        <w:i/>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1" w15:restartNumberingAfterBreak="0">
    <w:nsid w:val="21836708"/>
    <w:multiLevelType w:val="hybridMultilevel"/>
    <w:tmpl w:val="7616CF40"/>
    <w:lvl w:ilvl="0" w:tplc="477813D6">
      <w:start w:val="1"/>
      <w:numFmt w:val="bullet"/>
      <w:pStyle w:val="BBullets"/>
      <w:lvlText w:val=""/>
      <w:lvlJc w:val="left"/>
      <w:pPr>
        <w:tabs>
          <w:tab w:val="num" w:pos="567"/>
        </w:tabs>
        <w:ind w:left="567" w:hanging="567"/>
      </w:pPr>
      <w:rPr>
        <w:rFonts w:ascii="Symbol" w:hAnsi="Symbol" w:hint="default"/>
      </w:rPr>
    </w:lvl>
    <w:lvl w:ilvl="1" w:tplc="E7C616DE">
      <w:start w:val="1"/>
      <w:numFmt w:val="bullet"/>
      <w:lvlText w:val="o"/>
      <w:lvlJc w:val="left"/>
      <w:pPr>
        <w:tabs>
          <w:tab w:val="num" w:pos="1134"/>
        </w:tabs>
        <w:ind w:left="1134" w:hanging="567"/>
      </w:pPr>
      <w:rPr>
        <w:rFonts w:ascii="Courier New" w:hAnsi="Courier New" w:hint="default"/>
      </w:rPr>
    </w:lvl>
    <w:lvl w:ilvl="2" w:tplc="B6B61C88">
      <w:start w:val="1"/>
      <w:numFmt w:val="bullet"/>
      <w:lvlText w:val=""/>
      <w:lvlJc w:val="left"/>
      <w:pPr>
        <w:tabs>
          <w:tab w:val="num" w:pos="1701"/>
        </w:tabs>
        <w:ind w:left="1701" w:hanging="567"/>
      </w:pPr>
      <w:rPr>
        <w:rFonts w:ascii="Wingdings" w:hAnsi="Wingdings" w:hint="default"/>
      </w:rPr>
    </w:lvl>
    <w:lvl w:ilvl="3" w:tplc="BB264118">
      <w:start w:val="1"/>
      <w:numFmt w:val="bullet"/>
      <w:lvlText w:val=""/>
      <w:lvlJc w:val="left"/>
      <w:pPr>
        <w:tabs>
          <w:tab w:val="num" w:pos="2268"/>
        </w:tabs>
        <w:ind w:left="2268" w:hanging="567"/>
      </w:pPr>
      <w:rPr>
        <w:rFonts w:ascii="Symbol" w:hAnsi="Symbol" w:hint="default"/>
      </w:rPr>
    </w:lvl>
    <w:lvl w:ilvl="4" w:tplc="18F83ED2">
      <w:start w:val="1"/>
      <w:numFmt w:val="bullet"/>
      <w:lvlText w:val="o"/>
      <w:lvlJc w:val="left"/>
      <w:pPr>
        <w:tabs>
          <w:tab w:val="num" w:pos="2835"/>
        </w:tabs>
        <w:ind w:left="2835" w:hanging="567"/>
      </w:pPr>
      <w:rPr>
        <w:rFonts w:ascii="Courier New" w:hAnsi="Courier New" w:hint="default"/>
      </w:rPr>
    </w:lvl>
    <w:lvl w:ilvl="5" w:tplc="D47AF500">
      <w:start w:val="1"/>
      <w:numFmt w:val="bullet"/>
      <w:lvlText w:val=""/>
      <w:lvlJc w:val="left"/>
      <w:pPr>
        <w:tabs>
          <w:tab w:val="num" w:pos="3402"/>
        </w:tabs>
        <w:ind w:left="3402" w:hanging="567"/>
      </w:pPr>
      <w:rPr>
        <w:rFonts w:ascii="Wingdings" w:hAnsi="Wingdings" w:hint="default"/>
      </w:rPr>
    </w:lvl>
    <w:lvl w:ilvl="6" w:tplc="692AF100">
      <w:start w:val="1"/>
      <w:numFmt w:val="bullet"/>
      <w:lvlText w:val=""/>
      <w:lvlJc w:val="left"/>
      <w:pPr>
        <w:tabs>
          <w:tab w:val="num" w:pos="3969"/>
        </w:tabs>
        <w:ind w:left="3969" w:hanging="567"/>
      </w:pPr>
      <w:rPr>
        <w:rFonts w:ascii="Symbol" w:hAnsi="Symbol" w:hint="default"/>
      </w:rPr>
    </w:lvl>
    <w:lvl w:ilvl="7" w:tplc="F9F4AE2C">
      <w:start w:val="1"/>
      <w:numFmt w:val="bullet"/>
      <w:lvlText w:val="o"/>
      <w:lvlJc w:val="left"/>
      <w:pPr>
        <w:tabs>
          <w:tab w:val="num" w:pos="4536"/>
        </w:tabs>
        <w:ind w:left="4536" w:hanging="567"/>
      </w:pPr>
      <w:rPr>
        <w:rFonts w:ascii="Courier New" w:hAnsi="Courier New" w:hint="default"/>
      </w:rPr>
    </w:lvl>
    <w:lvl w:ilvl="8" w:tplc="235491B0">
      <w:start w:val="1"/>
      <w:numFmt w:val="bullet"/>
      <w:lvlText w:val=""/>
      <w:lvlJc w:val="left"/>
      <w:pPr>
        <w:tabs>
          <w:tab w:val="num" w:pos="5103"/>
        </w:tabs>
        <w:ind w:left="5103" w:hanging="567"/>
      </w:pPr>
      <w:rPr>
        <w:rFonts w:ascii="Wingdings" w:hAnsi="Wingdings" w:hint="default"/>
      </w:rPr>
    </w:lvl>
  </w:abstractNum>
  <w:abstractNum w:abstractNumId="12" w15:restartNumberingAfterBreak="0">
    <w:nsid w:val="23955170"/>
    <w:multiLevelType w:val="hybridMultilevel"/>
    <w:tmpl w:val="BF2CB2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281649"/>
    <w:multiLevelType w:val="hybridMultilevel"/>
    <w:tmpl w:val="566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B03FA"/>
    <w:multiLevelType w:val="multilevel"/>
    <w:tmpl w:val="8056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706EA4"/>
    <w:multiLevelType w:val="hybridMultilevel"/>
    <w:tmpl w:val="DA7C6B6E"/>
    <w:lvl w:ilvl="0" w:tplc="FC7849BA">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9D2D61"/>
    <w:multiLevelType w:val="multilevel"/>
    <w:tmpl w:val="4864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A5072"/>
    <w:multiLevelType w:val="hybridMultilevel"/>
    <w:tmpl w:val="DF0C7EF4"/>
    <w:lvl w:ilvl="0" w:tplc="61320EB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C97EFE"/>
    <w:multiLevelType w:val="hybridMultilevel"/>
    <w:tmpl w:val="414C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53821"/>
    <w:multiLevelType w:val="hybridMultilevel"/>
    <w:tmpl w:val="6BD07240"/>
    <w:lvl w:ilvl="0" w:tplc="8132E50A">
      <w:start w:val="17"/>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B4A0F"/>
    <w:multiLevelType w:val="multilevel"/>
    <w:tmpl w:val="10E0DCF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3D884FF6"/>
    <w:multiLevelType w:val="hybridMultilevel"/>
    <w:tmpl w:val="C502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14311"/>
    <w:multiLevelType w:val="multilevel"/>
    <w:tmpl w:val="E620DB32"/>
    <w:lvl w:ilvl="0">
      <w:start w:val="1"/>
      <w:numFmt w:val="decimal"/>
      <w:pStyle w:val="P1Paragraph1"/>
      <w:lvlText w:val="%1."/>
      <w:lvlJc w:val="left"/>
      <w:pPr>
        <w:tabs>
          <w:tab w:val="num" w:pos="567"/>
        </w:tabs>
        <w:ind w:left="567" w:hanging="567"/>
      </w:pPr>
      <w:rPr>
        <w:rFonts w:hint="default"/>
      </w:rPr>
    </w:lvl>
    <w:lvl w:ilvl="1">
      <w:start w:val="1"/>
      <w:numFmt w:val="decimal"/>
      <w:pStyle w:val="P2Paragraph2"/>
      <w:lvlText w:val="%1.%2"/>
      <w:lvlJc w:val="left"/>
      <w:pPr>
        <w:tabs>
          <w:tab w:val="num" w:pos="567"/>
        </w:tabs>
        <w:ind w:left="567" w:hanging="567"/>
      </w:pPr>
      <w:rPr>
        <w:rFonts w:hint="default"/>
      </w:rPr>
    </w:lvl>
    <w:lvl w:ilvl="2">
      <w:start w:val="1"/>
      <w:numFmt w:val="lowerLetter"/>
      <w:pStyle w:val="P3Paragraph3"/>
      <w:lvlText w:val="%3."/>
      <w:lvlJc w:val="left"/>
      <w:pPr>
        <w:tabs>
          <w:tab w:val="num" w:pos="1134"/>
        </w:tabs>
        <w:ind w:left="1134" w:hanging="567"/>
      </w:pPr>
      <w:rPr>
        <w:rFonts w:hint="default"/>
      </w:rPr>
    </w:lvl>
    <w:lvl w:ilvl="3">
      <w:start w:val="1"/>
      <w:numFmt w:val="lowerRoman"/>
      <w:pStyle w:val="P4Paragraph4"/>
      <w:lvlText w:val="%4."/>
      <w:lvlJc w:val="left"/>
      <w:pPr>
        <w:tabs>
          <w:tab w:val="num" w:pos="1701"/>
        </w:tabs>
        <w:ind w:left="1701" w:hanging="567"/>
      </w:pPr>
      <w:rPr>
        <w:rFonts w:hint="default"/>
      </w:rPr>
    </w:lvl>
    <w:lvl w:ilvl="4">
      <w:start w:val="1"/>
      <w:numFmt w:val="upperLetter"/>
      <w:pStyle w:val="P5Paragraph5"/>
      <w:lvlText w:val="%5."/>
      <w:lvlJc w:val="left"/>
      <w:pPr>
        <w:tabs>
          <w:tab w:val="num" w:pos="2268"/>
        </w:tabs>
        <w:ind w:left="2268" w:hanging="567"/>
      </w:pPr>
      <w:rPr>
        <w:rFonts w:hint="default"/>
      </w:rPr>
    </w:lvl>
    <w:lvl w:ilvl="5">
      <w:start w:val="1"/>
      <w:numFmt w:val="upperRoman"/>
      <w:pStyle w:val="P6Paragraph6"/>
      <w:lvlText w:val="%6."/>
      <w:lvlJc w:val="left"/>
      <w:pPr>
        <w:tabs>
          <w:tab w:val="num" w:pos="2835"/>
        </w:tabs>
        <w:ind w:left="2835" w:hanging="567"/>
      </w:pPr>
      <w:rPr>
        <w:rFonts w:hint="default"/>
      </w:rPr>
    </w:lvl>
    <w:lvl w:ilvl="6">
      <w:start w:val="1"/>
      <w:numFmt w:val="decimal"/>
      <w:pStyle w:val="P7Paragraph7"/>
      <w:lvlText w:val="%7)"/>
      <w:lvlJc w:val="left"/>
      <w:pPr>
        <w:tabs>
          <w:tab w:val="num" w:pos="3402"/>
        </w:tabs>
        <w:ind w:left="3402" w:hanging="567"/>
      </w:pPr>
      <w:rPr>
        <w:rFonts w:hint="default"/>
      </w:rPr>
    </w:lvl>
    <w:lvl w:ilvl="7">
      <w:start w:val="1"/>
      <w:numFmt w:val="lowerLetter"/>
      <w:pStyle w:val="P8Paragraph8"/>
      <w:lvlText w:val="%8)"/>
      <w:lvlJc w:val="left"/>
      <w:pPr>
        <w:tabs>
          <w:tab w:val="num" w:pos="3969"/>
        </w:tabs>
        <w:ind w:left="3969" w:hanging="567"/>
      </w:pPr>
      <w:rPr>
        <w:rFonts w:hint="default"/>
      </w:rPr>
    </w:lvl>
    <w:lvl w:ilvl="8">
      <w:start w:val="1"/>
      <w:numFmt w:val="lowerRoman"/>
      <w:pStyle w:val="P9Paragraph9"/>
      <w:lvlText w:val="%9)"/>
      <w:lvlJc w:val="left"/>
      <w:pPr>
        <w:tabs>
          <w:tab w:val="num" w:pos="4536"/>
        </w:tabs>
        <w:ind w:left="4536" w:hanging="567"/>
      </w:pPr>
      <w:rPr>
        <w:rFonts w:hint="default"/>
      </w:rPr>
    </w:lvl>
  </w:abstractNum>
  <w:abstractNum w:abstractNumId="23" w15:restartNumberingAfterBreak="0">
    <w:nsid w:val="535656D9"/>
    <w:multiLevelType w:val="hybridMultilevel"/>
    <w:tmpl w:val="BA061A4E"/>
    <w:lvl w:ilvl="0" w:tplc="A7725FDC">
      <w:start w:val="1"/>
      <w:numFmt w:val="decimal"/>
      <w:pStyle w:val="TABTable"/>
      <w:lvlText w:val="Table %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9474DB"/>
    <w:multiLevelType w:val="hybridMultilevel"/>
    <w:tmpl w:val="6D5E1AC8"/>
    <w:lvl w:ilvl="0" w:tplc="213EB90A">
      <w:numFmt w:val="bullet"/>
      <w:lvlText w:val="-"/>
      <w:lvlJc w:val="left"/>
      <w:pPr>
        <w:ind w:left="720" w:hanging="360"/>
      </w:pPr>
      <w:rPr>
        <w:rFonts w:ascii="Times New Roman" w:eastAsiaTheme="minorEastAsia" w:hAnsi="Times New Roman" w:cs="Times New Roman" w:hint="default"/>
        <w:color w:val="1919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08A2"/>
    <w:multiLevelType w:val="hybridMultilevel"/>
    <w:tmpl w:val="4852C122"/>
    <w:lvl w:ilvl="0" w:tplc="948C5334">
      <w:numFmt w:val="decimal"/>
      <w:lvlText w:val="%1."/>
      <w:lvlJc w:val="left"/>
      <w:pPr>
        <w:ind w:left="720" w:hanging="360"/>
      </w:pPr>
      <w:rPr>
        <w:rFonts w:hint="default"/>
      </w:rPr>
    </w:lvl>
    <w:lvl w:ilvl="1" w:tplc="213EB90A">
      <w:numFmt w:val="bullet"/>
      <w:lvlText w:val="-"/>
      <w:lvlJc w:val="left"/>
      <w:pPr>
        <w:ind w:left="1440" w:hanging="360"/>
      </w:pPr>
      <w:rPr>
        <w:rFonts w:ascii="Times New Roman" w:eastAsiaTheme="minorEastAsia" w:hAnsi="Times New Roman" w:cs="Times New Roman" w:hint="default"/>
        <w:color w:val="1919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46E2C"/>
    <w:multiLevelType w:val="hybridMultilevel"/>
    <w:tmpl w:val="94A40270"/>
    <w:lvl w:ilvl="0" w:tplc="4FDE83E0">
      <w:numFmt w:val="bullet"/>
      <w:lvlText w:val="•"/>
      <w:lvlJc w:val="left"/>
      <w:pPr>
        <w:ind w:left="720" w:hanging="360"/>
      </w:pPr>
      <w:rPr>
        <w:rFonts w:ascii="Equity Text A" w:eastAsiaTheme="minorEastAsia" w:hAnsi="Equity Text 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352DC"/>
    <w:multiLevelType w:val="hybridMultilevel"/>
    <w:tmpl w:val="F06A9AE2"/>
    <w:lvl w:ilvl="0" w:tplc="4984DA4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E463D"/>
    <w:multiLevelType w:val="hybridMultilevel"/>
    <w:tmpl w:val="4852C122"/>
    <w:lvl w:ilvl="0" w:tplc="948C5334">
      <w:numFmt w:val="decimal"/>
      <w:lvlText w:val="%1."/>
      <w:lvlJc w:val="left"/>
      <w:pPr>
        <w:ind w:left="720" w:hanging="360"/>
      </w:pPr>
      <w:rPr>
        <w:rFonts w:hint="default"/>
      </w:rPr>
    </w:lvl>
    <w:lvl w:ilvl="1" w:tplc="213EB90A">
      <w:numFmt w:val="bullet"/>
      <w:lvlText w:val="-"/>
      <w:lvlJc w:val="left"/>
      <w:pPr>
        <w:ind w:left="1440" w:hanging="360"/>
      </w:pPr>
      <w:rPr>
        <w:rFonts w:ascii="Times New Roman" w:eastAsiaTheme="minorEastAsia" w:hAnsi="Times New Roman" w:cs="Times New Roman" w:hint="default"/>
        <w:color w:val="1919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F41C1"/>
    <w:multiLevelType w:val="hybridMultilevel"/>
    <w:tmpl w:val="3572B3CC"/>
    <w:lvl w:ilvl="0" w:tplc="BAFE4BAA">
      <w:numFmt w:val="decimal"/>
      <w:pStyle w:val="TABNTableTopicNumbers"/>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DA50FA"/>
    <w:multiLevelType w:val="hybridMultilevel"/>
    <w:tmpl w:val="BD947F5A"/>
    <w:lvl w:ilvl="0" w:tplc="104453F0">
      <w:start w:val="4"/>
      <w:numFmt w:val="bullet"/>
      <w:lvlText w:val="-"/>
      <w:lvlJc w:val="left"/>
      <w:pPr>
        <w:ind w:left="720" w:hanging="360"/>
      </w:pPr>
      <w:rPr>
        <w:rFonts w:ascii="Tahoma" w:eastAsiaTheme="minorEastAsia" w:hAnsi="Tahoma"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D3C2F"/>
    <w:multiLevelType w:val="hybridMultilevel"/>
    <w:tmpl w:val="4852C122"/>
    <w:lvl w:ilvl="0" w:tplc="948C5334">
      <w:numFmt w:val="decimal"/>
      <w:lvlText w:val="%1."/>
      <w:lvlJc w:val="left"/>
      <w:pPr>
        <w:ind w:left="720" w:hanging="360"/>
      </w:pPr>
      <w:rPr>
        <w:rFonts w:hint="default"/>
      </w:rPr>
    </w:lvl>
    <w:lvl w:ilvl="1" w:tplc="213EB90A">
      <w:numFmt w:val="bullet"/>
      <w:lvlText w:val="-"/>
      <w:lvlJc w:val="left"/>
      <w:pPr>
        <w:ind w:left="1440" w:hanging="360"/>
      </w:pPr>
      <w:rPr>
        <w:rFonts w:ascii="Times New Roman" w:eastAsiaTheme="minorEastAsia" w:hAnsi="Times New Roman" w:cs="Times New Roman" w:hint="default"/>
        <w:color w:val="1919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459CB"/>
    <w:multiLevelType w:val="multilevel"/>
    <w:tmpl w:val="68EC8F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F083AD7"/>
    <w:multiLevelType w:val="hybridMultilevel"/>
    <w:tmpl w:val="2518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14"/>
  </w:num>
  <w:num w:numId="5">
    <w:abstractNumId w:val="20"/>
  </w:num>
  <w:num w:numId="6">
    <w:abstractNumId w:val="32"/>
  </w:num>
  <w:num w:numId="7">
    <w:abstractNumId w:val="33"/>
  </w:num>
  <w:num w:numId="8">
    <w:abstractNumId w:val="4"/>
  </w:num>
  <w:num w:numId="9">
    <w:abstractNumId w:val="25"/>
  </w:num>
  <w:num w:numId="10">
    <w:abstractNumId w:val="28"/>
  </w:num>
  <w:num w:numId="11">
    <w:abstractNumId w:val="31"/>
  </w:num>
  <w:num w:numId="12">
    <w:abstractNumId w:val="6"/>
  </w:num>
  <w:num w:numId="13">
    <w:abstractNumId w:val="27"/>
  </w:num>
  <w:num w:numId="14">
    <w:abstractNumId w:val="17"/>
  </w:num>
  <w:num w:numId="15">
    <w:abstractNumId w:val="24"/>
  </w:num>
  <w:num w:numId="16">
    <w:abstractNumId w:val="21"/>
  </w:num>
  <w:num w:numId="17">
    <w:abstractNumId w:val="19"/>
  </w:num>
  <w:num w:numId="18">
    <w:abstractNumId w:val="12"/>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3"/>
  </w:num>
  <w:num w:numId="24">
    <w:abstractNumId w:val="18"/>
  </w:num>
  <w:num w:numId="25">
    <w:abstractNumId w:val="30"/>
  </w:num>
  <w:num w:numId="26">
    <w:abstractNumId w:val="8"/>
  </w:num>
  <w:num w:numId="27">
    <w:abstractNumId w:val="10"/>
  </w:num>
  <w:num w:numId="28">
    <w:abstractNumId w:val="1"/>
  </w:num>
  <w:num w:numId="29">
    <w:abstractNumId w:val="11"/>
  </w:num>
  <w:num w:numId="30">
    <w:abstractNumId w:val="5"/>
  </w:num>
  <w:num w:numId="31">
    <w:abstractNumId w:val="23"/>
  </w:num>
  <w:num w:numId="32">
    <w:abstractNumId w:val="15"/>
  </w:num>
  <w:num w:numId="33">
    <w:abstractNumId w:val="29"/>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linkStyles/>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E644E-20C0-415E-9215-DBA5AD350B03}"/>
    <w:docVar w:name="dgnword-eventsink" w:val="120252184"/>
  </w:docVars>
  <w:rsids>
    <w:rsidRoot w:val="00175E74"/>
    <w:rsid w:val="00000C99"/>
    <w:rsid w:val="00002139"/>
    <w:rsid w:val="00002D3C"/>
    <w:rsid w:val="0000327E"/>
    <w:rsid w:val="00003759"/>
    <w:rsid w:val="00003AA5"/>
    <w:rsid w:val="00003B99"/>
    <w:rsid w:val="0000431F"/>
    <w:rsid w:val="00005216"/>
    <w:rsid w:val="0000747C"/>
    <w:rsid w:val="00007F2D"/>
    <w:rsid w:val="00010B5F"/>
    <w:rsid w:val="00012C11"/>
    <w:rsid w:val="00013493"/>
    <w:rsid w:val="00013529"/>
    <w:rsid w:val="000143EB"/>
    <w:rsid w:val="00016ACF"/>
    <w:rsid w:val="00016F9E"/>
    <w:rsid w:val="0002052F"/>
    <w:rsid w:val="000210F8"/>
    <w:rsid w:val="00022909"/>
    <w:rsid w:val="000230E5"/>
    <w:rsid w:val="0002337E"/>
    <w:rsid w:val="000236E7"/>
    <w:rsid w:val="0002419C"/>
    <w:rsid w:val="000241D3"/>
    <w:rsid w:val="00026554"/>
    <w:rsid w:val="00027D9C"/>
    <w:rsid w:val="00030ADD"/>
    <w:rsid w:val="00033612"/>
    <w:rsid w:val="00033B81"/>
    <w:rsid w:val="0003488C"/>
    <w:rsid w:val="00036E0D"/>
    <w:rsid w:val="000378A7"/>
    <w:rsid w:val="000406E7"/>
    <w:rsid w:val="00041B3F"/>
    <w:rsid w:val="00042030"/>
    <w:rsid w:val="00042886"/>
    <w:rsid w:val="000428A9"/>
    <w:rsid w:val="0004458A"/>
    <w:rsid w:val="00045105"/>
    <w:rsid w:val="0004768E"/>
    <w:rsid w:val="00047D0C"/>
    <w:rsid w:val="0005008C"/>
    <w:rsid w:val="00050C86"/>
    <w:rsid w:val="000514F5"/>
    <w:rsid w:val="00051560"/>
    <w:rsid w:val="0005198F"/>
    <w:rsid w:val="00052648"/>
    <w:rsid w:val="00054E07"/>
    <w:rsid w:val="000553FB"/>
    <w:rsid w:val="000559FD"/>
    <w:rsid w:val="000570E2"/>
    <w:rsid w:val="00057138"/>
    <w:rsid w:val="000578C3"/>
    <w:rsid w:val="000600CC"/>
    <w:rsid w:val="00060100"/>
    <w:rsid w:val="000602D4"/>
    <w:rsid w:val="00060472"/>
    <w:rsid w:val="00061A68"/>
    <w:rsid w:val="00061B2A"/>
    <w:rsid w:val="00061E9A"/>
    <w:rsid w:val="000620C3"/>
    <w:rsid w:val="00062A41"/>
    <w:rsid w:val="00062DB2"/>
    <w:rsid w:val="00063B44"/>
    <w:rsid w:val="00065156"/>
    <w:rsid w:val="00065BA7"/>
    <w:rsid w:val="00066327"/>
    <w:rsid w:val="00066611"/>
    <w:rsid w:val="00066A40"/>
    <w:rsid w:val="00067D80"/>
    <w:rsid w:val="000705CF"/>
    <w:rsid w:val="00070741"/>
    <w:rsid w:val="00070F31"/>
    <w:rsid w:val="00072597"/>
    <w:rsid w:val="0007263F"/>
    <w:rsid w:val="00072C4D"/>
    <w:rsid w:val="0007351D"/>
    <w:rsid w:val="00073BCF"/>
    <w:rsid w:val="0007477D"/>
    <w:rsid w:val="000753A9"/>
    <w:rsid w:val="00077B17"/>
    <w:rsid w:val="00077BF7"/>
    <w:rsid w:val="000812CA"/>
    <w:rsid w:val="000819FF"/>
    <w:rsid w:val="00082903"/>
    <w:rsid w:val="00083010"/>
    <w:rsid w:val="000833EA"/>
    <w:rsid w:val="000837CA"/>
    <w:rsid w:val="00083A98"/>
    <w:rsid w:val="00085541"/>
    <w:rsid w:val="00086A5B"/>
    <w:rsid w:val="00091713"/>
    <w:rsid w:val="000921D6"/>
    <w:rsid w:val="0009393E"/>
    <w:rsid w:val="00093C79"/>
    <w:rsid w:val="000940C2"/>
    <w:rsid w:val="0009430E"/>
    <w:rsid w:val="0009591B"/>
    <w:rsid w:val="00095DF2"/>
    <w:rsid w:val="0009706C"/>
    <w:rsid w:val="000A03C7"/>
    <w:rsid w:val="000A1965"/>
    <w:rsid w:val="000A1F35"/>
    <w:rsid w:val="000A219D"/>
    <w:rsid w:val="000A3C96"/>
    <w:rsid w:val="000A41BE"/>
    <w:rsid w:val="000A42E2"/>
    <w:rsid w:val="000A50C8"/>
    <w:rsid w:val="000A529F"/>
    <w:rsid w:val="000A5417"/>
    <w:rsid w:val="000A6287"/>
    <w:rsid w:val="000B17C6"/>
    <w:rsid w:val="000B2678"/>
    <w:rsid w:val="000B32F6"/>
    <w:rsid w:val="000B3B86"/>
    <w:rsid w:val="000B4E49"/>
    <w:rsid w:val="000B52B5"/>
    <w:rsid w:val="000B5B79"/>
    <w:rsid w:val="000C00C2"/>
    <w:rsid w:val="000C0139"/>
    <w:rsid w:val="000C03F6"/>
    <w:rsid w:val="000C10F2"/>
    <w:rsid w:val="000C1A19"/>
    <w:rsid w:val="000C307F"/>
    <w:rsid w:val="000C3C52"/>
    <w:rsid w:val="000C3D09"/>
    <w:rsid w:val="000C516B"/>
    <w:rsid w:val="000C55F6"/>
    <w:rsid w:val="000C5FEF"/>
    <w:rsid w:val="000C6582"/>
    <w:rsid w:val="000C79DC"/>
    <w:rsid w:val="000D1222"/>
    <w:rsid w:val="000D1BAB"/>
    <w:rsid w:val="000D1F2F"/>
    <w:rsid w:val="000D2D1F"/>
    <w:rsid w:val="000D35BA"/>
    <w:rsid w:val="000D456F"/>
    <w:rsid w:val="000D4A9A"/>
    <w:rsid w:val="000D4CF7"/>
    <w:rsid w:val="000D5568"/>
    <w:rsid w:val="000D5FE4"/>
    <w:rsid w:val="000D6244"/>
    <w:rsid w:val="000D6D23"/>
    <w:rsid w:val="000D6EBC"/>
    <w:rsid w:val="000D74C3"/>
    <w:rsid w:val="000D7EF8"/>
    <w:rsid w:val="000E0158"/>
    <w:rsid w:val="000E0E00"/>
    <w:rsid w:val="000E0F7A"/>
    <w:rsid w:val="000E1063"/>
    <w:rsid w:val="000E1C78"/>
    <w:rsid w:val="000E1D1C"/>
    <w:rsid w:val="000E1D6B"/>
    <w:rsid w:val="000E2F9F"/>
    <w:rsid w:val="000E364D"/>
    <w:rsid w:val="000E4371"/>
    <w:rsid w:val="000E472C"/>
    <w:rsid w:val="000E4DC4"/>
    <w:rsid w:val="000E5004"/>
    <w:rsid w:val="000E5069"/>
    <w:rsid w:val="000E50D3"/>
    <w:rsid w:val="000E5436"/>
    <w:rsid w:val="000E6081"/>
    <w:rsid w:val="000E6190"/>
    <w:rsid w:val="000E7581"/>
    <w:rsid w:val="000E776A"/>
    <w:rsid w:val="000F1F6F"/>
    <w:rsid w:val="000F205E"/>
    <w:rsid w:val="000F508A"/>
    <w:rsid w:val="000F5136"/>
    <w:rsid w:val="000F5234"/>
    <w:rsid w:val="000F5CF4"/>
    <w:rsid w:val="000F5FA7"/>
    <w:rsid w:val="000F63B2"/>
    <w:rsid w:val="000F6983"/>
    <w:rsid w:val="000F7290"/>
    <w:rsid w:val="000F7E80"/>
    <w:rsid w:val="00101D2B"/>
    <w:rsid w:val="00101F11"/>
    <w:rsid w:val="00102F39"/>
    <w:rsid w:val="001047BE"/>
    <w:rsid w:val="0010684B"/>
    <w:rsid w:val="001068A8"/>
    <w:rsid w:val="00107D7F"/>
    <w:rsid w:val="00110CB3"/>
    <w:rsid w:val="001112BF"/>
    <w:rsid w:val="00111549"/>
    <w:rsid w:val="00112711"/>
    <w:rsid w:val="0011330C"/>
    <w:rsid w:val="0011334B"/>
    <w:rsid w:val="00113D5C"/>
    <w:rsid w:val="00113EED"/>
    <w:rsid w:val="00116608"/>
    <w:rsid w:val="00117293"/>
    <w:rsid w:val="00117A19"/>
    <w:rsid w:val="00117A8C"/>
    <w:rsid w:val="00120686"/>
    <w:rsid w:val="00120DBC"/>
    <w:rsid w:val="001219AF"/>
    <w:rsid w:val="0012467E"/>
    <w:rsid w:val="001257ED"/>
    <w:rsid w:val="00125B02"/>
    <w:rsid w:val="00126071"/>
    <w:rsid w:val="00127685"/>
    <w:rsid w:val="00130325"/>
    <w:rsid w:val="00130D85"/>
    <w:rsid w:val="00132CEE"/>
    <w:rsid w:val="0013377A"/>
    <w:rsid w:val="00134D1C"/>
    <w:rsid w:val="001361E7"/>
    <w:rsid w:val="00136F4C"/>
    <w:rsid w:val="00137B3E"/>
    <w:rsid w:val="00140697"/>
    <w:rsid w:val="001409BE"/>
    <w:rsid w:val="001410D1"/>
    <w:rsid w:val="00142A0F"/>
    <w:rsid w:val="00142FDC"/>
    <w:rsid w:val="001457E1"/>
    <w:rsid w:val="00146D89"/>
    <w:rsid w:val="001476BD"/>
    <w:rsid w:val="00150353"/>
    <w:rsid w:val="0015130F"/>
    <w:rsid w:val="00152239"/>
    <w:rsid w:val="00152D49"/>
    <w:rsid w:val="0015395E"/>
    <w:rsid w:val="00153CF0"/>
    <w:rsid w:val="00155C08"/>
    <w:rsid w:val="001569B0"/>
    <w:rsid w:val="00157A9C"/>
    <w:rsid w:val="00157D8C"/>
    <w:rsid w:val="0016050D"/>
    <w:rsid w:val="001608E0"/>
    <w:rsid w:val="00160DAA"/>
    <w:rsid w:val="001611A0"/>
    <w:rsid w:val="0016155A"/>
    <w:rsid w:val="001616E3"/>
    <w:rsid w:val="00162183"/>
    <w:rsid w:val="00162640"/>
    <w:rsid w:val="00162F9E"/>
    <w:rsid w:val="001646CD"/>
    <w:rsid w:val="00164785"/>
    <w:rsid w:val="00164ABD"/>
    <w:rsid w:val="001652CA"/>
    <w:rsid w:val="00165E65"/>
    <w:rsid w:val="0016679C"/>
    <w:rsid w:val="001678A6"/>
    <w:rsid w:val="00170230"/>
    <w:rsid w:val="00170335"/>
    <w:rsid w:val="001705B1"/>
    <w:rsid w:val="001706C3"/>
    <w:rsid w:val="001711FC"/>
    <w:rsid w:val="001716B4"/>
    <w:rsid w:val="001724B2"/>
    <w:rsid w:val="00172776"/>
    <w:rsid w:val="0017319B"/>
    <w:rsid w:val="0017358A"/>
    <w:rsid w:val="001744D0"/>
    <w:rsid w:val="00174BA7"/>
    <w:rsid w:val="00175E74"/>
    <w:rsid w:val="00176327"/>
    <w:rsid w:val="00176924"/>
    <w:rsid w:val="001802F2"/>
    <w:rsid w:val="00181535"/>
    <w:rsid w:val="00181D4F"/>
    <w:rsid w:val="0018298D"/>
    <w:rsid w:val="00182E47"/>
    <w:rsid w:val="00183BF3"/>
    <w:rsid w:val="0018404F"/>
    <w:rsid w:val="00185324"/>
    <w:rsid w:val="00185830"/>
    <w:rsid w:val="0018601D"/>
    <w:rsid w:val="001906B1"/>
    <w:rsid w:val="00190887"/>
    <w:rsid w:val="0019339B"/>
    <w:rsid w:val="001934F4"/>
    <w:rsid w:val="00194E32"/>
    <w:rsid w:val="0019509F"/>
    <w:rsid w:val="001957B3"/>
    <w:rsid w:val="00195DAF"/>
    <w:rsid w:val="0019630A"/>
    <w:rsid w:val="0019668D"/>
    <w:rsid w:val="00196936"/>
    <w:rsid w:val="00196DD4"/>
    <w:rsid w:val="0019759C"/>
    <w:rsid w:val="0019766B"/>
    <w:rsid w:val="001A0BB6"/>
    <w:rsid w:val="001A0D7D"/>
    <w:rsid w:val="001A17F9"/>
    <w:rsid w:val="001A21BE"/>
    <w:rsid w:val="001A24B8"/>
    <w:rsid w:val="001A257B"/>
    <w:rsid w:val="001A279F"/>
    <w:rsid w:val="001A3528"/>
    <w:rsid w:val="001A517D"/>
    <w:rsid w:val="001A5A8C"/>
    <w:rsid w:val="001A5EB8"/>
    <w:rsid w:val="001A609E"/>
    <w:rsid w:val="001A65E2"/>
    <w:rsid w:val="001A7565"/>
    <w:rsid w:val="001B1A91"/>
    <w:rsid w:val="001B1F49"/>
    <w:rsid w:val="001B24CC"/>
    <w:rsid w:val="001B26D1"/>
    <w:rsid w:val="001B2B7D"/>
    <w:rsid w:val="001B2CF3"/>
    <w:rsid w:val="001B31B0"/>
    <w:rsid w:val="001B3747"/>
    <w:rsid w:val="001B475A"/>
    <w:rsid w:val="001B50C9"/>
    <w:rsid w:val="001B6461"/>
    <w:rsid w:val="001B7426"/>
    <w:rsid w:val="001B762D"/>
    <w:rsid w:val="001C0471"/>
    <w:rsid w:val="001C0742"/>
    <w:rsid w:val="001C0E49"/>
    <w:rsid w:val="001C3B22"/>
    <w:rsid w:val="001C55C2"/>
    <w:rsid w:val="001C5CCB"/>
    <w:rsid w:val="001C673E"/>
    <w:rsid w:val="001C68E6"/>
    <w:rsid w:val="001C6AA2"/>
    <w:rsid w:val="001C6DCA"/>
    <w:rsid w:val="001C7275"/>
    <w:rsid w:val="001C767A"/>
    <w:rsid w:val="001D06D7"/>
    <w:rsid w:val="001D20CE"/>
    <w:rsid w:val="001D3734"/>
    <w:rsid w:val="001D3922"/>
    <w:rsid w:val="001D508D"/>
    <w:rsid w:val="001D5817"/>
    <w:rsid w:val="001E02E7"/>
    <w:rsid w:val="001E0B05"/>
    <w:rsid w:val="001E11EC"/>
    <w:rsid w:val="001E14D8"/>
    <w:rsid w:val="001E18AD"/>
    <w:rsid w:val="001E18B6"/>
    <w:rsid w:val="001E19BE"/>
    <w:rsid w:val="001E3530"/>
    <w:rsid w:val="001E4498"/>
    <w:rsid w:val="001E466C"/>
    <w:rsid w:val="001E4C6D"/>
    <w:rsid w:val="001E5006"/>
    <w:rsid w:val="001E6340"/>
    <w:rsid w:val="001E64D9"/>
    <w:rsid w:val="001E6A75"/>
    <w:rsid w:val="001E730C"/>
    <w:rsid w:val="001E79E2"/>
    <w:rsid w:val="001F0014"/>
    <w:rsid w:val="001F0A2A"/>
    <w:rsid w:val="001F0A9C"/>
    <w:rsid w:val="001F0B65"/>
    <w:rsid w:val="001F10EE"/>
    <w:rsid w:val="001F1559"/>
    <w:rsid w:val="001F19B1"/>
    <w:rsid w:val="001F2EE0"/>
    <w:rsid w:val="001F31BD"/>
    <w:rsid w:val="001F33C3"/>
    <w:rsid w:val="001F3A6A"/>
    <w:rsid w:val="001F3CFA"/>
    <w:rsid w:val="001F57DF"/>
    <w:rsid w:val="00201629"/>
    <w:rsid w:val="002040D8"/>
    <w:rsid w:val="00205812"/>
    <w:rsid w:val="00205BB7"/>
    <w:rsid w:val="00205D78"/>
    <w:rsid w:val="0020652D"/>
    <w:rsid w:val="002111C3"/>
    <w:rsid w:val="00213385"/>
    <w:rsid w:val="00213E03"/>
    <w:rsid w:val="00213F77"/>
    <w:rsid w:val="00215F20"/>
    <w:rsid w:val="0021620D"/>
    <w:rsid w:val="00217D2F"/>
    <w:rsid w:val="00217FFA"/>
    <w:rsid w:val="002201C2"/>
    <w:rsid w:val="002209D3"/>
    <w:rsid w:val="0022146E"/>
    <w:rsid w:val="002218D4"/>
    <w:rsid w:val="00223283"/>
    <w:rsid w:val="0022471F"/>
    <w:rsid w:val="0022509A"/>
    <w:rsid w:val="00226CBE"/>
    <w:rsid w:val="00227221"/>
    <w:rsid w:val="002273D3"/>
    <w:rsid w:val="0023177C"/>
    <w:rsid w:val="0023291D"/>
    <w:rsid w:val="002346A7"/>
    <w:rsid w:val="002369EF"/>
    <w:rsid w:val="002402B5"/>
    <w:rsid w:val="002405E3"/>
    <w:rsid w:val="0024140B"/>
    <w:rsid w:val="002427DD"/>
    <w:rsid w:val="00243761"/>
    <w:rsid w:val="002454FA"/>
    <w:rsid w:val="00246345"/>
    <w:rsid w:val="00247878"/>
    <w:rsid w:val="00247B94"/>
    <w:rsid w:val="0025167F"/>
    <w:rsid w:val="00252D49"/>
    <w:rsid w:val="002534E9"/>
    <w:rsid w:val="0025396A"/>
    <w:rsid w:val="00253CFC"/>
    <w:rsid w:val="00254159"/>
    <w:rsid w:val="002546D7"/>
    <w:rsid w:val="00254DA6"/>
    <w:rsid w:val="002551F8"/>
    <w:rsid w:val="002561A7"/>
    <w:rsid w:val="00257347"/>
    <w:rsid w:val="00257F05"/>
    <w:rsid w:val="00260CCF"/>
    <w:rsid w:val="00260D15"/>
    <w:rsid w:val="00260D87"/>
    <w:rsid w:val="00262726"/>
    <w:rsid w:val="00262E78"/>
    <w:rsid w:val="002634C1"/>
    <w:rsid w:val="00264AF2"/>
    <w:rsid w:val="00265300"/>
    <w:rsid w:val="00265A90"/>
    <w:rsid w:val="00265F84"/>
    <w:rsid w:val="00266429"/>
    <w:rsid w:val="002674E6"/>
    <w:rsid w:val="002676CC"/>
    <w:rsid w:val="00267ABF"/>
    <w:rsid w:val="002701C1"/>
    <w:rsid w:val="0027051F"/>
    <w:rsid w:val="00271D1D"/>
    <w:rsid w:val="002727B9"/>
    <w:rsid w:val="002727FD"/>
    <w:rsid w:val="002737E9"/>
    <w:rsid w:val="00274D68"/>
    <w:rsid w:val="0027676F"/>
    <w:rsid w:val="002775F1"/>
    <w:rsid w:val="00277C3B"/>
    <w:rsid w:val="00280832"/>
    <w:rsid w:val="00281B57"/>
    <w:rsid w:val="00282009"/>
    <w:rsid w:val="00282923"/>
    <w:rsid w:val="0028336E"/>
    <w:rsid w:val="002836C2"/>
    <w:rsid w:val="002843C9"/>
    <w:rsid w:val="00284B84"/>
    <w:rsid w:val="00285EE3"/>
    <w:rsid w:val="00286727"/>
    <w:rsid w:val="00286B18"/>
    <w:rsid w:val="00286FE3"/>
    <w:rsid w:val="00287B28"/>
    <w:rsid w:val="00287D64"/>
    <w:rsid w:val="00287D9E"/>
    <w:rsid w:val="002908A8"/>
    <w:rsid w:val="00295767"/>
    <w:rsid w:val="00295BF5"/>
    <w:rsid w:val="00296968"/>
    <w:rsid w:val="002A0D94"/>
    <w:rsid w:val="002A11B0"/>
    <w:rsid w:val="002A1D96"/>
    <w:rsid w:val="002A3482"/>
    <w:rsid w:val="002A3A81"/>
    <w:rsid w:val="002A4FB6"/>
    <w:rsid w:val="002A680A"/>
    <w:rsid w:val="002A7E90"/>
    <w:rsid w:val="002B0C2C"/>
    <w:rsid w:val="002B16B7"/>
    <w:rsid w:val="002B1C0B"/>
    <w:rsid w:val="002B2186"/>
    <w:rsid w:val="002B32FB"/>
    <w:rsid w:val="002B569D"/>
    <w:rsid w:val="002B64E8"/>
    <w:rsid w:val="002B689F"/>
    <w:rsid w:val="002C2103"/>
    <w:rsid w:val="002C2A70"/>
    <w:rsid w:val="002C34EA"/>
    <w:rsid w:val="002C366F"/>
    <w:rsid w:val="002C3A9E"/>
    <w:rsid w:val="002C471F"/>
    <w:rsid w:val="002C4C7B"/>
    <w:rsid w:val="002C5872"/>
    <w:rsid w:val="002C5A22"/>
    <w:rsid w:val="002C5B29"/>
    <w:rsid w:val="002C5C9C"/>
    <w:rsid w:val="002C5D84"/>
    <w:rsid w:val="002C7236"/>
    <w:rsid w:val="002C79D9"/>
    <w:rsid w:val="002C7E87"/>
    <w:rsid w:val="002D00F8"/>
    <w:rsid w:val="002D036B"/>
    <w:rsid w:val="002D18A3"/>
    <w:rsid w:val="002D1C3D"/>
    <w:rsid w:val="002D1CD2"/>
    <w:rsid w:val="002D1E56"/>
    <w:rsid w:val="002D3EB2"/>
    <w:rsid w:val="002D3EFB"/>
    <w:rsid w:val="002D50F0"/>
    <w:rsid w:val="002D62E4"/>
    <w:rsid w:val="002D7473"/>
    <w:rsid w:val="002D7977"/>
    <w:rsid w:val="002D7ACB"/>
    <w:rsid w:val="002D7CF8"/>
    <w:rsid w:val="002D7E9D"/>
    <w:rsid w:val="002E0860"/>
    <w:rsid w:val="002E0C63"/>
    <w:rsid w:val="002E2240"/>
    <w:rsid w:val="002E556D"/>
    <w:rsid w:val="002E594E"/>
    <w:rsid w:val="002E5B77"/>
    <w:rsid w:val="002E68BF"/>
    <w:rsid w:val="002E727B"/>
    <w:rsid w:val="002E7A60"/>
    <w:rsid w:val="002F0941"/>
    <w:rsid w:val="002F0B6E"/>
    <w:rsid w:val="002F1584"/>
    <w:rsid w:val="002F1C29"/>
    <w:rsid w:val="002F1DF6"/>
    <w:rsid w:val="002F301B"/>
    <w:rsid w:val="002F423F"/>
    <w:rsid w:val="002F5CA6"/>
    <w:rsid w:val="002F683D"/>
    <w:rsid w:val="002F74AB"/>
    <w:rsid w:val="002F7810"/>
    <w:rsid w:val="002F7A22"/>
    <w:rsid w:val="00300269"/>
    <w:rsid w:val="0030123C"/>
    <w:rsid w:val="00301B6F"/>
    <w:rsid w:val="00301BF5"/>
    <w:rsid w:val="00301FB1"/>
    <w:rsid w:val="0030204D"/>
    <w:rsid w:val="00302E92"/>
    <w:rsid w:val="00305DE5"/>
    <w:rsid w:val="00305FA4"/>
    <w:rsid w:val="00306484"/>
    <w:rsid w:val="0030787A"/>
    <w:rsid w:val="00310E95"/>
    <w:rsid w:val="0031211E"/>
    <w:rsid w:val="00312436"/>
    <w:rsid w:val="00312C71"/>
    <w:rsid w:val="003131AF"/>
    <w:rsid w:val="00313233"/>
    <w:rsid w:val="00313A6B"/>
    <w:rsid w:val="003154BC"/>
    <w:rsid w:val="00315855"/>
    <w:rsid w:val="00321318"/>
    <w:rsid w:val="00323561"/>
    <w:rsid w:val="003236A3"/>
    <w:rsid w:val="003237AF"/>
    <w:rsid w:val="00323A85"/>
    <w:rsid w:val="003248AC"/>
    <w:rsid w:val="00324A69"/>
    <w:rsid w:val="00327068"/>
    <w:rsid w:val="003270F8"/>
    <w:rsid w:val="00327D0B"/>
    <w:rsid w:val="00330441"/>
    <w:rsid w:val="0033164F"/>
    <w:rsid w:val="00332316"/>
    <w:rsid w:val="0033272F"/>
    <w:rsid w:val="00334DD2"/>
    <w:rsid w:val="003353AA"/>
    <w:rsid w:val="00336EDC"/>
    <w:rsid w:val="003375F6"/>
    <w:rsid w:val="0033788A"/>
    <w:rsid w:val="00337EB5"/>
    <w:rsid w:val="00340C61"/>
    <w:rsid w:val="00340EDC"/>
    <w:rsid w:val="003411A2"/>
    <w:rsid w:val="00341B15"/>
    <w:rsid w:val="003426A5"/>
    <w:rsid w:val="0034270B"/>
    <w:rsid w:val="0034304C"/>
    <w:rsid w:val="003435E5"/>
    <w:rsid w:val="00344778"/>
    <w:rsid w:val="00344BF6"/>
    <w:rsid w:val="00344F88"/>
    <w:rsid w:val="003464F7"/>
    <w:rsid w:val="00346B60"/>
    <w:rsid w:val="00346CFB"/>
    <w:rsid w:val="0035095D"/>
    <w:rsid w:val="003515A7"/>
    <w:rsid w:val="003522EF"/>
    <w:rsid w:val="00353744"/>
    <w:rsid w:val="003537ED"/>
    <w:rsid w:val="00353E00"/>
    <w:rsid w:val="00354190"/>
    <w:rsid w:val="00354A80"/>
    <w:rsid w:val="00354E93"/>
    <w:rsid w:val="0035620F"/>
    <w:rsid w:val="00356A1E"/>
    <w:rsid w:val="00356AAC"/>
    <w:rsid w:val="00357180"/>
    <w:rsid w:val="00357BFC"/>
    <w:rsid w:val="003600DE"/>
    <w:rsid w:val="003612C2"/>
    <w:rsid w:val="003620FE"/>
    <w:rsid w:val="003621CF"/>
    <w:rsid w:val="00362BAC"/>
    <w:rsid w:val="00363321"/>
    <w:rsid w:val="00363D3F"/>
    <w:rsid w:val="00364AEE"/>
    <w:rsid w:val="003653AF"/>
    <w:rsid w:val="00365AF8"/>
    <w:rsid w:val="00366930"/>
    <w:rsid w:val="003678C9"/>
    <w:rsid w:val="0037033C"/>
    <w:rsid w:val="0037131E"/>
    <w:rsid w:val="0037170E"/>
    <w:rsid w:val="003727E7"/>
    <w:rsid w:val="0037301F"/>
    <w:rsid w:val="00374902"/>
    <w:rsid w:val="003762F1"/>
    <w:rsid w:val="00377A60"/>
    <w:rsid w:val="0038024C"/>
    <w:rsid w:val="00380680"/>
    <w:rsid w:val="00380A7F"/>
    <w:rsid w:val="00382EC2"/>
    <w:rsid w:val="00383373"/>
    <w:rsid w:val="00383599"/>
    <w:rsid w:val="00383735"/>
    <w:rsid w:val="003842AC"/>
    <w:rsid w:val="00384B0E"/>
    <w:rsid w:val="00384DAA"/>
    <w:rsid w:val="00386969"/>
    <w:rsid w:val="00386E9B"/>
    <w:rsid w:val="00386EB7"/>
    <w:rsid w:val="00387010"/>
    <w:rsid w:val="00387788"/>
    <w:rsid w:val="00387790"/>
    <w:rsid w:val="00390677"/>
    <w:rsid w:val="00390D0D"/>
    <w:rsid w:val="00390DFB"/>
    <w:rsid w:val="003912B5"/>
    <w:rsid w:val="0039146D"/>
    <w:rsid w:val="00391B71"/>
    <w:rsid w:val="00392178"/>
    <w:rsid w:val="00392637"/>
    <w:rsid w:val="003929DD"/>
    <w:rsid w:val="0039360B"/>
    <w:rsid w:val="00393B9A"/>
    <w:rsid w:val="0039461F"/>
    <w:rsid w:val="0039582A"/>
    <w:rsid w:val="0039592A"/>
    <w:rsid w:val="00396228"/>
    <w:rsid w:val="003974A5"/>
    <w:rsid w:val="003979AF"/>
    <w:rsid w:val="003A1494"/>
    <w:rsid w:val="003A1EA4"/>
    <w:rsid w:val="003A2273"/>
    <w:rsid w:val="003A268E"/>
    <w:rsid w:val="003A26A3"/>
    <w:rsid w:val="003A360B"/>
    <w:rsid w:val="003A3C30"/>
    <w:rsid w:val="003A4C96"/>
    <w:rsid w:val="003A58B3"/>
    <w:rsid w:val="003A6250"/>
    <w:rsid w:val="003A74A9"/>
    <w:rsid w:val="003A7D96"/>
    <w:rsid w:val="003B1DB2"/>
    <w:rsid w:val="003B24BD"/>
    <w:rsid w:val="003B2548"/>
    <w:rsid w:val="003B3CDC"/>
    <w:rsid w:val="003B5DF8"/>
    <w:rsid w:val="003B6170"/>
    <w:rsid w:val="003B6A08"/>
    <w:rsid w:val="003B6FB9"/>
    <w:rsid w:val="003B738C"/>
    <w:rsid w:val="003B7398"/>
    <w:rsid w:val="003C002D"/>
    <w:rsid w:val="003C043B"/>
    <w:rsid w:val="003C06E1"/>
    <w:rsid w:val="003C1CB0"/>
    <w:rsid w:val="003C265F"/>
    <w:rsid w:val="003C3FB8"/>
    <w:rsid w:val="003C3FF2"/>
    <w:rsid w:val="003C40AD"/>
    <w:rsid w:val="003C47F9"/>
    <w:rsid w:val="003C502A"/>
    <w:rsid w:val="003C58F1"/>
    <w:rsid w:val="003C66C2"/>
    <w:rsid w:val="003C70C0"/>
    <w:rsid w:val="003C7EBE"/>
    <w:rsid w:val="003D052A"/>
    <w:rsid w:val="003D0E5E"/>
    <w:rsid w:val="003D199B"/>
    <w:rsid w:val="003D37D2"/>
    <w:rsid w:val="003D3C7A"/>
    <w:rsid w:val="003D451D"/>
    <w:rsid w:val="003D7214"/>
    <w:rsid w:val="003D7794"/>
    <w:rsid w:val="003E0501"/>
    <w:rsid w:val="003E3789"/>
    <w:rsid w:val="003E4017"/>
    <w:rsid w:val="003E6052"/>
    <w:rsid w:val="003E60DB"/>
    <w:rsid w:val="003E6252"/>
    <w:rsid w:val="003E6B34"/>
    <w:rsid w:val="003E7740"/>
    <w:rsid w:val="003E7B9B"/>
    <w:rsid w:val="003E7F75"/>
    <w:rsid w:val="003F2484"/>
    <w:rsid w:val="003F3599"/>
    <w:rsid w:val="003F4432"/>
    <w:rsid w:val="003F44E7"/>
    <w:rsid w:val="003F53DC"/>
    <w:rsid w:val="003F54F4"/>
    <w:rsid w:val="003F62BE"/>
    <w:rsid w:val="003F6D40"/>
    <w:rsid w:val="003F73F3"/>
    <w:rsid w:val="003F759B"/>
    <w:rsid w:val="003F75B0"/>
    <w:rsid w:val="004000E2"/>
    <w:rsid w:val="00400C81"/>
    <w:rsid w:val="004042F0"/>
    <w:rsid w:val="004061BA"/>
    <w:rsid w:val="00406487"/>
    <w:rsid w:val="00407351"/>
    <w:rsid w:val="0040783D"/>
    <w:rsid w:val="00410743"/>
    <w:rsid w:val="00410F93"/>
    <w:rsid w:val="004113CD"/>
    <w:rsid w:val="004114AB"/>
    <w:rsid w:val="00411B2F"/>
    <w:rsid w:val="00413906"/>
    <w:rsid w:val="00414241"/>
    <w:rsid w:val="00414E66"/>
    <w:rsid w:val="00414E7B"/>
    <w:rsid w:val="00416B68"/>
    <w:rsid w:val="00416C37"/>
    <w:rsid w:val="004171C3"/>
    <w:rsid w:val="00421D17"/>
    <w:rsid w:val="004253C1"/>
    <w:rsid w:val="004274E0"/>
    <w:rsid w:val="004305E5"/>
    <w:rsid w:val="00430BC4"/>
    <w:rsid w:val="00431D68"/>
    <w:rsid w:val="00434057"/>
    <w:rsid w:val="004355BE"/>
    <w:rsid w:val="00435CB7"/>
    <w:rsid w:val="00436D16"/>
    <w:rsid w:val="00436ECA"/>
    <w:rsid w:val="004371C2"/>
    <w:rsid w:val="00437B11"/>
    <w:rsid w:val="00437E01"/>
    <w:rsid w:val="004400E8"/>
    <w:rsid w:val="00440269"/>
    <w:rsid w:val="00440426"/>
    <w:rsid w:val="0044054C"/>
    <w:rsid w:val="0044186F"/>
    <w:rsid w:val="00441A89"/>
    <w:rsid w:val="00443000"/>
    <w:rsid w:val="0044369F"/>
    <w:rsid w:val="00446723"/>
    <w:rsid w:val="00447A71"/>
    <w:rsid w:val="00450406"/>
    <w:rsid w:val="004518E6"/>
    <w:rsid w:val="00451900"/>
    <w:rsid w:val="00452164"/>
    <w:rsid w:val="00453308"/>
    <w:rsid w:val="004540FA"/>
    <w:rsid w:val="0045465E"/>
    <w:rsid w:val="00455545"/>
    <w:rsid w:val="00460252"/>
    <w:rsid w:val="00460EDF"/>
    <w:rsid w:val="004611E0"/>
    <w:rsid w:val="00461ABE"/>
    <w:rsid w:val="004627EA"/>
    <w:rsid w:val="00462A3B"/>
    <w:rsid w:val="00464B38"/>
    <w:rsid w:val="00465043"/>
    <w:rsid w:val="00465700"/>
    <w:rsid w:val="0046625E"/>
    <w:rsid w:val="00466C6E"/>
    <w:rsid w:val="00466CC9"/>
    <w:rsid w:val="004706F6"/>
    <w:rsid w:val="00471BFD"/>
    <w:rsid w:val="0047283C"/>
    <w:rsid w:val="004728D5"/>
    <w:rsid w:val="00472BD6"/>
    <w:rsid w:val="00473205"/>
    <w:rsid w:val="0047344F"/>
    <w:rsid w:val="00473F39"/>
    <w:rsid w:val="00475465"/>
    <w:rsid w:val="00475DC9"/>
    <w:rsid w:val="00480100"/>
    <w:rsid w:val="0048017E"/>
    <w:rsid w:val="00480BD4"/>
    <w:rsid w:val="004844A8"/>
    <w:rsid w:val="004849DB"/>
    <w:rsid w:val="00485E26"/>
    <w:rsid w:val="00486CC1"/>
    <w:rsid w:val="00490F63"/>
    <w:rsid w:val="004913A0"/>
    <w:rsid w:val="004919CD"/>
    <w:rsid w:val="00491AC4"/>
    <w:rsid w:val="00491DA1"/>
    <w:rsid w:val="00494188"/>
    <w:rsid w:val="00494713"/>
    <w:rsid w:val="004948BE"/>
    <w:rsid w:val="00495057"/>
    <w:rsid w:val="00495201"/>
    <w:rsid w:val="00496134"/>
    <w:rsid w:val="004A04A3"/>
    <w:rsid w:val="004A1824"/>
    <w:rsid w:val="004A332E"/>
    <w:rsid w:val="004A3812"/>
    <w:rsid w:val="004A483E"/>
    <w:rsid w:val="004A511D"/>
    <w:rsid w:val="004A65CB"/>
    <w:rsid w:val="004A6956"/>
    <w:rsid w:val="004B20A2"/>
    <w:rsid w:val="004B2F75"/>
    <w:rsid w:val="004B33A4"/>
    <w:rsid w:val="004B5D27"/>
    <w:rsid w:val="004B64DB"/>
    <w:rsid w:val="004B66DF"/>
    <w:rsid w:val="004B6965"/>
    <w:rsid w:val="004B78E5"/>
    <w:rsid w:val="004C069A"/>
    <w:rsid w:val="004C0ECF"/>
    <w:rsid w:val="004C105B"/>
    <w:rsid w:val="004C122D"/>
    <w:rsid w:val="004C1290"/>
    <w:rsid w:val="004C1380"/>
    <w:rsid w:val="004C1D31"/>
    <w:rsid w:val="004C1F17"/>
    <w:rsid w:val="004C2056"/>
    <w:rsid w:val="004C30ED"/>
    <w:rsid w:val="004C46C1"/>
    <w:rsid w:val="004C530C"/>
    <w:rsid w:val="004C6BA7"/>
    <w:rsid w:val="004D0F87"/>
    <w:rsid w:val="004D0FCA"/>
    <w:rsid w:val="004D234A"/>
    <w:rsid w:val="004D2D9F"/>
    <w:rsid w:val="004D4CC5"/>
    <w:rsid w:val="004D5A45"/>
    <w:rsid w:val="004D5C8E"/>
    <w:rsid w:val="004D6304"/>
    <w:rsid w:val="004D7918"/>
    <w:rsid w:val="004E0519"/>
    <w:rsid w:val="004E1365"/>
    <w:rsid w:val="004E2004"/>
    <w:rsid w:val="004E3DDC"/>
    <w:rsid w:val="004E4E15"/>
    <w:rsid w:val="004E50FB"/>
    <w:rsid w:val="004E5BAA"/>
    <w:rsid w:val="004E6504"/>
    <w:rsid w:val="004F0200"/>
    <w:rsid w:val="004F07D7"/>
    <w:rsid w:val="004F1C8A"/>
    <w:rsid w:val="004F2124"/>
    <w:rsid w:val="004F23C8"/>
    <w:rsid w:val="004F2610"/>
    <w:rsid w:val="004F271A"/>
    <w:rsid w:val="004F4AE1"/>
    <w:rsid w:val="004F4E2C"/>
    <w:rsid w:val="004F585F"/>
    <w:rsid w:val="004F5F8F"/>
    <w:rsid w:val="004F749C"/>
    <w:rsid w:val="004F77B1"/>
    <w:rsid w:val="00500226"/>
    <w:rsid w:val="00500283"/>
    <w:rsid w:val="0050064B"/>
    <w:rsid w:val="005019EE"/>
    <w:rsid w:val="00501A31"/>
    <w:rsid w:val="00502D9A"/>
    <w:rsid w:val="00502F60"/>
    <w:rsid w:val="00502FC3"/>
    <w:rsid w:val="00503864"/>
    <w:rsid w:val="00503F7C"/>
    <w:rsid w:val="005041E5"/>
    <w:rsid w:val="005050E8"/>
    <w:rsid w:val="00505473"/>
    <w:rsid w:val="005064F3"/>
    <w:rsid w:val="00506A8E"/>
    <w:rsid w:val="005076E7"/>
    <w:rsid w:val="005079E4"/>
    <w:rsid w:val="00511500"/>
    <w:rsid w:val="005117F7"/>
    <w:rsid w:val="0051197D"/>
    <w:rsid w:val="00511EBD"/>
    <w:rsid w:val="00512162"/>
    <w:rsid w:val="00513399"/>
    <w:rsid w:val="00513D5F"/>
    <w:rsid w:val="0051562F"/>
    <w:rsid w:val="00517E8F"/>
    <w:rsid w:val="005201C4"/>
    <w:rsid w:val="0052227D"/>
    <w:rsid w:val="00523A68"/>
    <w:rsid w:val="00523C6A"/>
    <w:rsid w:val="00524C4D"/>
    <w:rsid w:val="00525327"/>
    <w:rsid w:val="00525ED0"/>
    <w:rsid w:val="00525F4E"/>
    <w:rsid w:val="00526361"/>
    <w:rsid w:val="00526E29"/>
    <w:rsid w:val="00527092"/>
    <w:rsid w:val="00530220"/>
    <w:rsid w:val="005304AB"/>
    <w:rsid w:val="005304B2"/>
    <w:rsid w:val="0053087E"/>
    <w:rsid w:val="00530C58"/>
    <w:rsid w:val="00530DB4"/>
    <w:rsid w:val="00532381"/>
    <w:rsid w:val="005333A2"/>
    <w:rsid w:val="00533744"/>
    <w:rsid w:val="00533EB1"/>
    <w:rsid w:val="00534B6A"/>
    <w:rsid w:val="0053679B"/>
    <w:rsid w:val="0053703C"/>
    <w:rsid w:val="005377D7"/>
    <w:rsid w:val="005405EF"/>
    <w:rsid w:val="00540EBA"/>
    <w:rsid w:val="00541869"/>
    <w:rsid w:val="005420D6"/>
    <w:rsid w:val="005438B2"/>
    <w:rsid w:val="00543991"/>
    <w:rsid w:val="005452C3"/>
    <w:rsid w:val="00546157"/>
    <w:rsid w:val="0054675B"/>
    <w:rsid w:val="005476EC"/>
    <w:rsid w:val="00550F4A"/>
    <w:rsid w:val="00551911"/>
    <w:rsid w:val="005525CF"/>
    <w:rsid w:val="00553671"/>
    <w:rsid w:val="0055503F"/>
    <w:rsid w:val="00555FC4"/>
    <w:rsid w:val="0055735C"/>
    <w:rsid w:val="00560240"/>
    <w:rsid w:val="00560639"/>
    <w:rsid w:val="00560D43"/>
    <w:rsid w:val="00560E8F"/>
    <w:rsid w:val="00561909"/>
    <w:rsid w:val="005632ED"/>
    <w:rsid w:val="0056383F"/>
    <w:rsid w:val="00564F1D"/>
    <w:rsid w:val="005652D0"/>
    <w:rsid w:val="0056585D"/>
    <w:rsid w:val="0056756F"/>
    <w:rsid w:val="0057019B"/>
    <w:rsid w:val="005701EF"/>
    <w:rsid w:val="00570511"/>
    <w:rsid w:val="0057074A"/>
    <w:rsid w:val="005723EA"/>
    <w:rsid w:val="005739DE"/>
    <w:rsid w:val="00573F92"/>
    <w:rsid w:val="00575530"/>
    <w:rsid w:val="005765EF"/>
    <w:rsid w:val="00576855"/>
    <w:rsid w:val="00576DCE"/>
    <w:rsid w:val="00576DE2"/>
    <w:rsid w:val="005777A9"/>
    <w:rsid w:val="005809E1"/>
    <w:rsid w:val="00580C2D"/>
    <w:rsid w:val="00581522"/>
    <w:rsid w:val="0058183B"/>
    <w:rsid w:val="00581E83"/>
    <w:rsid w:val="00582220"/>
    <w:rsid w:val="00583073"/>
    <w:rsid w:val="0058360A"/>
    <w:rsid w:val="00585078"/>
    <w:rsid w:val="00586202"/>
    <w:rsid w:val="00587EB3"/>
    <w:rsid w:val="0059069C"/>
    <w:rsid w:val="00591F90"/>
    <w:rsid w:val="00591FC4"/>
    <w:rsid w:val="005928CF"/>
    <w:rsid w:val="0059344A"/>
    <w:rsid w:val="005936C4"/>
    <w:rsid w:val="00593CD3"/>
    <w:rsid w:val="005940B4"/>
    <w:rsid w:val="005952A9"/>
    <w:rsid w:val="00596563"/>
    <w:rsid w:val="00596841"/>
    <w:rsid w:val="00596931"/>
    <w:rsid w:val="00597A25"/>
    <w:rsid w:val="005A1A98"/>
    <w:rsid w:val="005A2660"/>
    <w:rsid w:val="005A2D01"/>
    <w:rsid w:val="005A30B2"/>
    <w:rsid w:val="005A6DAB"/>
    <w:rsid w:val="005A6E51"/>
    <w:rsid w:val="005A6F85"/>
    <w:rsid w:val="005A70A7"/>
    <w:rsid w:val="005A72C9"/>
    <w:rsid w:val="005A7561"/>
    <w:rsid w:val="005B04AF"/>
    <w:rsid w:val="005B178C"/>
    <w:rsid w:val="005B221B"/>
    <w:rsid w:val="005B2525"/>
    <w:rsid w:val="005B376F"/>
    <w:rsid w:val="005B39FA"/>
    <w:rsid w:val="005B3E19"/>
    <w:rsid w:val="005B3F2B"/>
    <w:rsid w:val="005B4899"/>
    <w:rsid w:val="005B4BB8"/>
    <w:rsid w:val="005B52FB"/>
    <w:rsid w:val="005B6744"/>
    <w:rsid w:val="005B723F"/>
    <w:rsid w:val="005B724A"/>
    <w:rsid w:val="005B72A0"/>
    <w:rsid w:val="005C03EF"/>
    <w:rsid w:val="005C172A"/>
    <w:rsid w:val="005C2012"/>
    <w:rsid w:val="005C29C9"/>
    <w:rsid w:val="005C387E"/>
    <w:rsid w:val="005C4C64"/>
    <w:rsid w:val="005C4FA1"/>
    <w:rsid w:val="005C5AA0"/>
    <w:rsid w:val="005C7296"/>
    <w:rsid w:val="005C7508"/>
    <w:rsid w:val="005D0E34"/>
    <w:rsid w:val="005D1B15"/>
    <w:rsid w:val="005D1B49"/>
    <w:rsid w:val="005D2065"/>
    <w:rsid w:val="005D2577"/>
    <w:rsid w:val="005D311A"/>
    <w:rsid w:val="005D3785"/>
    <w:rsid w:val="005D4F45"/>
    <w:rsid w:val="005D639B"/>
    <w:rsid w:val="005D6FBE"/>
    <w:rsid w:val="005D7332"/>
    <w:rsid w:val="005D745C"/>
    <w:rsid w:val="005D76EC"/>
    <w:rsid w:val="005E005C"/>
    <w:rsid w:val="005E08EF"/>
    <w:rsid w:val="005E0D90"/>
    <w:rsid w:val="005E26AC"/>
    <w:rsid w:val="005E425F"/>
    <w:rsid w:val="005E4EED"/>
    <w:rsid w:val="005E4F7A"/>
    <w:rsid w:val="005E5BD5"/>
    <w:rsid w:val="005E74F9"/>
    <w:rsid w:val="005E78C0"/>
    <w:rsid w:val="005F0BD9"/>
    <w:rsid w:val="005F0D2A"/>
    <w:rsid w:val="005F116E"/>
    <w:rsid w:val="005F153C"/>
    <w:rsid w:val="005F1C08"/>
    <w:rsid w:val="005F20AD"/>
    <w:rsid w:val="005F2F49"/>
    <w:rsid w:val="005F48FD"/>
    <w:rsid w:val="005F5CB2"/>
    <w:rsid w:val="005F6019"/>
    <w:rsid w:val="005F6041"/>
    <w:rsid w:val="005F680D"/>
    <w:rsid w:val="0060040D"/>
    <w:rsid w:val="00602853"/>
    <w:rsid w:val="00603306"/>
    <w:rsid w:val="0060493B"/>
    <w:rsid w:val="00605B65"/>
    <w:rsid w:val="00606F31"/>
    <w:rsid w:val="00607920"/>
    <w:rsid w:val="00610E48"/>
    <w:rsid w:val="00611053"/>
    <w:rsid w:val="00611BFA"/>
    <w:rsid w:val="00611D6B"/>
    <w:rsid w:val="00612068"/>
    <w:rsid w:val="0061216C"/>
    <w:rsid w:val="00612C8E"/>
    <w:rsid w:val="006133FC"/>
    <w:rsid w:val="006136CF"/>
    <w:rsid w:val="006137FB"/>
    <w:rsid w:val="00614116"/>
    <w:rsid w:val="00614743"/>
    <w:rsid w:val="006157A0"/>
    <w:rsid w:val="00615E64"/>
    <w:rsid w:val="0061663F"/>
    <w:rsid w:val="006175E4"/>
    <w:rsid w:val="006179B0"/>
    <w:rsid w:val="00620546"/>
    <w:rsid w:val="0062070A"/>
    <w:rsid w:val="00620E4E"/>
    <w:rsid w:val="006216FC"/>
    <w:rsid w:val="006217B6"/>
    <w:rsid w:val="00622239"/>
    <w:rsid w:val="006222AA"/>
    <w:rsid w:val="00622465"/>
    <w:rsid w:val="00622DA4"/>
    <w:rsid w:val="00623392"/>
    <w:rsid w:val="006237DE"/>
    <w:rsid w:val="00623E4B"/>
    <w:rsid w:val="006249D0"/>
    <w:rsid w:val="00626496"/>
    <w:rsid w:val="00626F5C"/>
    <w:rsid w:val="00627D62"/>
    <w:rsid w:val="00631CBF"/>
    <w:rsid w:val="00631F9A"/>
    <w:rsid w:val="006322D5"/>
    <w:rsid w:val="0063260A"/>
    <w:rsid w:val="00635F0F"/>
    <w:rsid w:val="006374BA"/>
    <w:rsid w:val="00640B7C"/>
    <w:rsid w:val="00640E4D"/>
    <w:rsid w:val="0064158B"/>
    <w:rsid w:val="00641A63"/>
    <w:rsid w:val="006421D7"/>
    <w:rsid w:val="00642AB4"/>
    <w:rsid w:val="00642D7E"/>
    <w:rsid w:val="006434D7"/>
    <w:rsid w:val="0064350E"/>
    <w:rsid w:val="00643DD2"/>
    <w:rsid w:val="0064421E"/>
    <w:rsid w:val="00644731"/>
    <w:rsid w:val="00644D51"/>
    <w:rsid w:val="00645255"/>
    <w:rsid w:val="00645BB3"/>
    <w:rsid w:val="00645F70"/>
    <w:rsid w:val="00646A97"/>
    <w:rsid w:val="00647206"/>
    <w:rsid w:val="006502E7"/>
    <w:rsid w:val="006512B9"/>
    <w:rsid w:val="00651921"/>
    <w:rsid w:val="00653113"/>
    <w:rsid w:val="0065372B"/>
    <w:rsid w:val="00654A88"/>
    <w:rsid w:val="00654F24"/>
    <w:rsid w:val="00654F75"/>
    <w:rsid w:val="00655FFB"/>
    <w:rsid w:val="00656F95"/>
    <w:rsid w:val="006610B7"/>
    <w:rsid w:val="006611DF"/>
    <w:rsid w:val="0066141B"/>
    <w:rsid w:val="00661616"/>
    <w:rsid w:val="00662313"/>
    <w:rsid w:val="00663343"/>
    <w:rsid w:val="00664105"/>
    <w:rsid w:val="0066412E"/>
    <w:rsid w:val="00664874"/>
    <w:rsid w:val="00664BA5"/>
    <w:rsid w:val="00664C34"/>
    <w:rsid w:val="00664C4A"/>
    <w:rsid w:val="00664EE9"/>
    <w:rsid w:val="0066590C"/>
    <w:rsid w:val="006665CC"/>
    <w:rsid w:val="006671B4"/>
    <w:rsid w:val="006677E2"/>
    <w:rsid w:val="00670206"/>
    <w:rsid w:val="00670766"/>
    <w:rsid w:val="00670CF2"/>
    <w:rsid w:val="00672A31"/>
    <w:rsid w:val="00673230"/>
    <w:rsid w:val="00674CDD"/>
    <w:rsid w:val="00675408"/>
    <w:rsid w:val="0067628C"/>
    <w:rsid w:val="00676A51"/>
    <w:rsid w:val="00677A51"/>
    <w:rsid w:val="006811E4"/>
    <w:rsid w:val="00681D78"/>
    <w:rsid w:val="00681F56"/>
    <w:rsid w:val="006822BB"/>
    <w:rsid w:val="00682466"/>
    <w:rsid w:val="00682EC5"/>
    <w:rsid w:val="006831F7"/>
    <w:rsid w:val="006853F8"/>
    <w:rsid w:val="00686698"/>
    <w:rsid w:val="00694558"/>
    <w:rsid w:val="00694C5B"/>
    <w:rsid w:val="00695FD2"/>
    <w:rsid w:val="006963F7"/>
    <w:rsid w:val="006973EA"/>
    <w:rsid w:val="006978B7"/>
    <w:rsid w:val="00697D77"/>
    <w:rsid w:val="00697DFB"/>
    <w:rsid w:val="006A0D93"/>
    <w:rsid w:val="006A0FA5"/>
    <w:rsid w:val="006A191F"/>
    <w:rsid w:val="006A26F5"/>
    <w:rsid w:val="006A38E1"/>
    <w:rsid w:val="006A3CAA"/>
    <w:rsid w:val="006A4F65"/>
    <w:rsid w:val="006A4FA9"/>
    <w:rsid w:val="006A5954"/>
    <w:rsid w:val="006A5B69"/>
    <w:rsid w:val="006B1A1E"/>
    <w:rsid w:val="006B2047"/>
    <w:rsid w:val="006B29AF"/>
    <w:rsid w:val="006B34C8"/>
    <w:rsid w:val="006B4013"/>
    <w:rsid w:val="006B591A"/>
    <w:rsid w:val="006B5C45"/>
    <w:rsid w:val="006B6BCD"/>
    <w:rsid w:val="006B7EDA"/>
    <w:rsid w:val="006C04A5"/>
    <w:rsid w:val="006C0CCF"/>
    <w:rsid w:val="006C132A"/>
    <w:rsid w:val="006C2DB4"/>
    <w:rsid w:val="006C3D07"/>
    <w:rsid w:val="006C421F"/>
    <w:rsid w:val="006C5F2F"/>
    <w:rsid w:val="006C792F"/>
    <w:rsid w:val="006D0B62"/>
    <w:rsid w:val="006D15D7"/>
    <w:rsid w:val="006D22A8"/>
    <w:rsid w:val="006D2490"/>
    <w:rsid w:val="006D2A40"/>
    <w:rsid w:val="006D4659"/>
    <w:rsid w:val="006D4EA5"/>
    <w:rsid w:val="006D58DB"/>
    <w:rsid w:val="006D74BF"/>
    <w:rsid w:val="006E0AD6"/>
    <w:rsid w:val="006E147E"/>
    <w:rsid w:val="006E153B"/>
    <w:rsid w:val="006E23A8"/>
    <w:rsid w:val="006E2D17"/>
    <w:rsid w:val="006E2FFD"/>
    <w:rsid w:val="006E330E"/>
    <w:rsid w:val="006E3BA8"/>
    <w:rsid w:val="006E437C"/>
    <w:rsid w:val="006E44F3"/>
    <w:rsid w:val="006E474F"/>
    <w:rsid w:val="006E4AF7"/>
    <w:rsid w:val="006E5389"/>
    <w:rsid w:val="006E539F"/>
    <w:rsid w:val="006E5A79"/>
    <w:rsid w:val="006E68DD"/>
    <w:rsid w:val="006E6998"/>
    <w:rsid w:val="006E6EAB"/>
    <w:rsid w:val="006E76A9"/>
    <w:rsid w:val="006E7BFD"/>
    <w:rsid w:val="006F0101"/>
    <w:rsid w:val="006F05CA"/>
    <w:rsid w:val="006F17CB"/>
    <w:rsid w:val="006F1918"/>
    <w:rsid w:val="006F1C0B"/>
    <w:rsid w:val="006F2464"/>
    <w:rsid w:val="006F2D01"/>
    <w:rsid w:val="006F2DB8"/>
    <w:rsid w:val="006F575E"/>
    <w:rsid w:val="006F6278"/>
    <w:rsid w:val="006F6E39"/>
    <w:rsid w:val="007008C4"/>
    <w:rsid w:val="00700AC7"/>
    <w:rsid w:val="007027E6"/>
    <w:rsid w:val="00703F1B"/>
    <w:rsid w:val="00704CC2"/>
    <w:rsid w:val="007051CF"/>
    <w:rsid w:val="00705376"/>
    <w:rsid w:val="00706F74"/>
    <w:rsid w:val="007121A7"/>
    <w:rsid w:val="007127E4"/>
    <w:rsid w:val="0071377B"/>
    <w:rsid w:val="0071408F"/>
    <w:rsid w:val="00716130"/>
    <w:rsid w:val="007166B9"/>
    <w:rsid w:val="00720474"/>
    <w:rsid w:val="0072076F"/>
    <w:rsid w:val="007207AC"/>
    <w:rsid w:val="0072086D"/>
    <w:rsid w:val="00720F39"/>
    <w:rsid w:val="007214BA"/>
    <w:rsid w:val="00721C4B"/>
    <w:rsid w:val="00721CA0"/>
    <w:rsid w:val="007236C3"/>
    <w:rsid w:val="007249AE"/>
    <w:rsid w:val="00724A0B"/>
    <w:rsid w:val="0072534F"/>
    <w:rsid w:val="00725746"/>
    <w:rsid w:val="007258BF"/>
    <w:rsid w:val="00725C65"/>
    <w:rsid w:val="00726ACF"/>
    <w:rsid w:val="00726D24"/>
    <w:rsid w:val="00726F7A"/>
    <w:rsid w:val="00727A14"/>
    <w:rsid w:val="00730781"/>
    <w:rsid w:val="0073254F"/>
    <w:rsid w:val="00734410"/>
    <w:rsid w:val="007346A4"/>
    <w:rsid w:val="00734FF9"/>
    <w:rsid w:val="00735716"/>
    <w:rsid w:val="00735843"/>
    <w:rsid w:val="007372AB"/>
    <w:rsid w:val="007372E3"/>
    <w:rsid w:val="00737565"/>
    <w:rsid w:val="00737945"/>
    <w:rsid w:val="00740CB5"/>
    <w:rsid w:val="00743311"/>
    <w:rsid w:val="00743C1D"/>
    <w:rsid w:val="00743F96"/>
    <w:rsid w:val="00744830"/>
    <w:rsid w:val="00745D1B"/>
    <w:rsid w:val="0074631F"/>
    <w:rsid w:val="007466FA"/>
    <w:rsid w:val="00746842"/>
    <w:rsid w:val="00746FE2"/>
    <w:rsid w:val="00747907"/>
    <w:rsid w:val="00751964"/>
    <w:rsid w:val="007519C7"/>
    <w:rsid w:val="00752055"/>
    <w:rsid w:val="007520E3"/>
    <w:rsid w:val="00752EB6"/>
    <w:rsid w:val="007556D8"/>
    <w:rsid w:val="007565EE"/>
    <w:rsid w:val="007571AB"/>
    <w:rsid w:val="00757E37"/>
    <w:rsid w:val="0076118C"/>
    <w:rsid w:val="0076283A"/>
    <w:rsid w:val="00762D38"/>
    <w:rsid w:val="00762DF5"/>
    <w:rsid w:val="00764347"/>
    <w:rsid w:val="007650B8"/>
    <w:rsid w:val="00765770"/>
    <w:rsid w:val="007666D8"/>
    <w:rsid w:val="0076740E"/>
    <w:rsid w:val="0076778E"/>
    <w:rsid w:val="007677B8"/>
    <w:rsid w:val="00770224"/>
    <w:rsid w:val="0077032E"/>
    <w:rsid w:val="00771032"/>
    <w:rsid w:val="007721B4"/>
    <w:rsid w:val="00773DF5"/>
    <w:rsid w:val="007743BC"/>
    <w:rsid w:val="00775DA6"/>
    <w:rsid w:val="00776113"/>
    <w:rsid w:val="0078137C"/>
    <w:rsid w:val="007818A3"/>
    <w:rsid w:val="00782CC0"/>
    <w:rsid w:val="00783510"/>
    <w:rsid w:val="00785228"/>
    <w:rsid w:val="00786599"/>
    <w:rsid w:val="00786E9A"/>
    <w:rsid w:val="0078715C"/>
    <w:rsid w:val="007908FA"/>
    <w:rsid w:val="007909C1"/>
    <w:rsid w:val="00792312"/>
    <w:rsid w:val="0079301E"/>
    <w:rsid w:val="00793398"/>
    <w:rsid w:val="00793F87"/>
    <w:rsid w:val="00793F8C"/>
    <w:rsid w:val="00795DD5"/>
    <w:rsid w:val="007961B0"/>
    <w:rsid w:val="00796E88"/>
    <w:rsid w:val="007A009E"/>
    <w:rsid w:val="007A0AEA"/>
    <w:rsid w:val="007A1FC0"/>
    <w:rsid w:val="007A2926"/>
    <w:rsid w:val="007A4589"/>
    <w:rsid w:val="007A5383"/>
    <w:rsid w:val="007A6A9F"/>
    <w:rsid w:val="007A7041"/>
    <w:rsid w:val="007B0EF0"/>
    <w:rsid w:val="007B1D68"/>
    <w:rsid w:val="007B259A"/>
    <w:rsid w:val="007B2784"/>
    <w:rsid w:val="007B34CF"/>
    <w:rsid w:val="007B4154"/>
    <w:rsid w:val="007B4D96"/>
    <w:rsid w:val="007B5B1B"/>
    <w:rsid w:val="007B656B"/>
    <w:rsid w:val="007B7FBF"/>
    <w:rsid w:val="007C09DD"/>
    <w:rsid w:val="007C0E87"/>
    <w:rsid w:val="007C12D4"/>
    <w:rsid w:val="007C222A"/>
    <w:rsid w:val="007C5BCF"/>
    <w:rsid w:val="007C73EF"/>
    <w:rsid w:val="007C7D94"/>
    <w:rsid w:val="007D1052"/>
    <w:rsid w:val="007D23CA"/>
    <w:rsid w:val="007D35FA"/>
    <w:rsid w:val="007D62CF"/>
    <w:rsid w:val="007D7449"/>
    <w:rsid w:val="007D769F"/>
    <w:rsid w:val="007E0315"/>
    <w:rsid w:val="007E0F3F"/>
    <w:rsid w:val="007E1215"/>
    <w:rsid w:val="007E174F"/>
    <w:rsid w:val="007E18C0"/>
    <w:rsid w:val="007E318C"/>
    <w:rsid w:val="007E3643"/>
    <w:rsid w:val="007E3967"/>
    <w:rsid w:val="007E572C"/>
    <w:rsid w:val="007E610A"/>
    <w:rsid w:val="007E6324"/>
    <w:rsid w:val="007E662E"/>
    <w:rsid w:val="007E6D45"/>
    <w:rsid w:val="007E741B"/>
    <w:rsid w:val="007E759B"/>
    <w:rsid w:val="007E7D47"/>
    <w:rsid w:val="007E7EC7"/>
    <w:rsid w:val="007F0481"/>
    <w:rsid w:val="007F0923"/>
    <w:rsid w:val="007F0FBA"/>
    <w:rsid w:val="007F11C1"/>
    <w:rsid w:val="007F1EEE"/>
    <w:rsid w:val="007F2002"/>
    <w:rsid w:val="007F241F"/>
    <w:rsid w:val="007F2C63"/>
    <w:rsid w:val="007F4BFD"/>
    <w:rsid w:val="007F4D3A"/>
    <w:rsid w:val="007F4DF8"/>
    <w:rsid w:val="007F4F7C"/>
    <w:rsid w:val="007F73E9"/>
    <w:rsid w:val="00801D28"/>
    <w:rsid w:val="00802BC5"/>
    <w:rsid w:val="0080421E"/>
    <w:rsid w:val="0080549C"/>
    <w:rsid w:val="008059B7"/>
    <w:rsid w:val="008059C3"/>
    <w:rsid w:val="008064C2"/>
    <w:rsid w:val="00811190"/>
    <w:rsid w:val="008114F1"/>
    <w:rsid w:val="0081176A"/>
    <w:rsid w:val="0081197C"/>
    <w:rsid w:val="00812A67"/>
    <w:rsid w:val="00812BB9"/>
    <w:rsid w:val="00814C7C"/>
    <w:rsid w:val="00814F34"/>
    <w:rsid w:val="0081559B"/>
    <w:rsid w:val="00815E68"/>
    <w:rsid w:val="00817423"/>
    <w:rsid w:val="008202EA"/>
    <w:rsid w:val="008228A9"/>
    <w:rsid w:val="008232FB"/>
    <w:rsid w:val="0082484C"/>
    <w:rsid w:val="00824AD1"/>
    <w:rsid w:val="00825298"/>
    <w:rsid w:val="00825807"/>
    <w:rsid w:val="008258A5"/>
    <w:rsid w:val="00825C65"/>
    <w:rsid w:val="00826D26"/>
    <w:rsid w:val="008273FF"/>
    <w:rsid w:val="00827BB0"/>
    <w:rsid w:val="00827D07"/>
    <w:rsid w:val="00831A46"/>
    <w:rsid w:val="00831B10"/>
    <w:rsid w:val="008321A3"/>
    <w:rsid w:val="00833680"/>
    <w:rsid w:val="00834283"/>
    <w:rsid w:val="008351C7"/>
    <w:rsid w:val="00835C97"/>
    <w:rsid w:val="00837A67"/>
    <w:rsid w:val="0084082C"/>
    <w:rsid w:val="0084084C"/>
    <w:rsid w:val="00841E75"/>
    <w:rsid w:val="00841EB7"/>
    <w:rsid w:val="00843936"/>
    <w:rsid w:val="008449F0"/>
    <w:rsid w:val="008458A4"/>
    <w:rsid w:val="0084646E"/>
    <w:rsid w:val="00850AC9"/>
    <w:rsid w:val="00852DA9"/>
    <w:rsid w:val="00852F18"/>
    <w:rsid w:val="00855E48"/>
    <w:rsid w:val="00856626"/>
    <w:rsid w:val="00856871"/>
    <w:rsid w:val="00856DE7"/>
    <w:rsid w:val="00857A0C"/>
    <w:rsid w:val="00857B5D"/>
    <w:rsid w:val="008601CA"/>
    <w:rsid w:val="008601CD"/>
    <w:rsid w:val="00860517"/>
    <w:rsid w:val="008630D1"/>
    <w:rsid w:val="00863C0A"/>
    <w:rsid w:val="00863D70"/>
    <w:rsid w:val="00864AC0"/>
    <w:rsid w:val="00865E8A"/>
    <w:rsid w:val="00866EF8"/>
    <w:rsid w:val="00867997"/>
    <w:rsid w:val="00867A40"/>
    <w:rsid w:val="00871C60"/>
    <w:rsid w:val="00873423"/>
    <w:rsid w:val="00873B27"/>
    <w:rsid w:val="00874306"/>
    <w:rsid w:val="00874F88"/>
    <w:rsid w:val="0087536F"/>
    <w:rsid w:val="00876070"/>
    <w:rsid w:val="008767AD"/>
    <w:rsid w:val="00877214"/>
    <w:rsid w:val="008778C7"/>
    <w:rsid w:val="008779DA"/>
    <w:rsid w:val="008828DB"/>
    <w:rsid w:val="00882A32"/>
    <w:rsid w:val="00884257"/>
    <w:rsid w:val="008849CB"/>
    <w:rsid w:val="00886496"/>
    <w:rsid w:val="00887B0B"/>
    <w:rsid w:val="0089199C"/>
    <w:rsid w:val="008919FB"/>
    <w:rsid w:val="0089280E"/>
    <w:rsid w:val="0089283D"/>
    <w:rsid w:val="008933F6"/>
    <w:rsid w:val="00893CD6"/>
    <w:rsid w:val="0089463A"/>
    <w:rsid w:val="008950A3"/>
    <w:rsid w:val="00895836"/>
    <w:rsid w:val="00896151"/>
    <w:rsid w:val="008964F1"/>
    <w:rsid w:val="00896B3C"/>
    <w:rsid w:val="00896CB3"/>
    <w:rsid w:val="008A07D0"/>
    <w:rsid w:val="008A0BBC"/>
    <w:rsid w:val="008A0EBA"/>
    <w:rsid w:val="008A1C5B"/>
    <w:rsid w:val="008A2726"/>
    <w:rsid w:val="008A41D8"/>
    <w:rsid w:val="008A450B"/>
    <w:rsid w:val="008A673A"/>
    <w:rsid w:val="008A70B0"/>
    <w:rsid w:val="008A7C36"/>
    <w:rsid w:val="008A7D9B"/>
    <w:rsid w:val="008B0A14"/>
    <w:rsid w:val="008B108D"/>
    <w:rsid w:val="008B1463"/>
    <w:rsid w:val="008B1AFC"/>
    <w:rsid w:val="008B43B4"/>
    <w:rsid w:val="008B48BA"/>
    <w:rsid w:val="008B57FA"/>
    <w:rsid w:val="008B67FC"/>
    <w:rsid w:val="008B68A8"/>
    <w:rsid w:val="008B75CF"/>
    <w:rsid w:val="008C0711"/>
    <w:rsid w:val="008C10C6"/>
    <w:rsid w:val="008C1AAF"/>
    <w:rsid w:val="008C1C79"/>
    <w:rsid w:val="008C2B61"/>
    <w:rsid w:val="008C30A0"/>
    <w:rsid w:val="008C3E17"/>
    <w:rsid w:val="008C4029"/>
    <w:rsid w:val="008C41FD"/>
    <w:rsid w:val="008C43AA"/>
    <w:rsid w:val="008C55F1"/>
    <w:rsid w:val="008C5C7D"/>
    <w:rsid w:val="008C623A"/>
    <w:rsid w:val="008C781C"/>
    <w:rsid w:val="008D07B3"/>
    <w:rsid w:val="008D0ADD"/>
    <w:rsid w:val="008D1175"/>
    <w:rsid w:val="008D1398"/>
    <w:rsid w:val="008D27B0"/>
    <w:rsid w:val="008D285E"/>
    <w:rsid w:val="008D2917"/>
    <w:rsid w:val="008D3A97"/>
    <w:rsid w:val="008D3ED7"/>
    <w:rsid w:val="008D427D"/>
    <w:rsid w:val="008D4906"/>
    <w:rsid w:val="008D4B85"/>
    <w:rsid w:val="008D54B8"/>
    <w:rsid w:val="008D6822"/>
    <w:rsid w:val="008E09B2"/>
    <w:rsid w:val="008E0FDE"/>
    <w:rsid w:val="008E1AE6"/>
    <w:rsid w:val="008E20AB"/>
    <w:rsid w:val="008E44C3"/>
    <w:rsid w:val="008E4758"/>
    <w:rsid w:val="008E50D8"/>
    <w:rsid w:val="008E5E77"/>
    <w:rsid w:val="008E765C"/>
    <w:rsid w:val="008E7C07"/>
    <w:rsid w:val="008F13B9"/>
    <w:rsid w:val="008F294A"/>
    <w:rsid w:val="008F29A8"/>
    <w:rsid w:val="008F2D0D"/>
    <w:rsid w:val="008F2FE6"/>
    <w:rsid w:val="008F3036"/>
    <w:rsid w:val="008F3718"/>
    <w:rsid w:val="008F44FE"/>
    <w:rsid w:val="008F4E4E"/>
    <w:rsid w:val="008F60D6"/>
    <w:rsid w:val="008F6415"/>
    <w:rsid w:val="008F650F"/>
    <w:rsid w:val="008F6614"/>
    <w:rsid w:val="008F7747"/>
    <w:rsid w:val="009005CC"/>
    <w:rsid w:val="0090133C"/>
    <w:rsid w:val="00902C6C"/>
    <w:rsid w:val="0090377B"/>
    <w:rsid w:val="0090424F"/>
    <w:rsid w:val="0090460F"/>
    <w:rsid w:val="0090588C"/>
    <w:rsid w:val="00911145"/>
    <w:rsid w:val="0091293F"/>
    <w:rsid w:val="009136C7"/>
    <w:rsid w:val="00913B1D"/>
    <w:rsid w:val="009151C2"/>
    <w:rsid w:val="00915768"/>
    <w:rsid w:val="00915F66"/>
    <w:rsid w:val="00916634"/>
    <w:rsid w:val="0092011C"/>
    <w:rsid w:val="009207CC"/>
    <w:rsid w:val="00920819"/>
    <w:rsid w:val="00920DA9"/>
    <w:rsid w:val="00921386"/>
    <w:rsid w:val="00921A10"/>
    <w:rsid w:val="00922785"/>
    <w:rsid w:val="0092313C"/>
    <w:rsid w:val="009258E9"/>
    <w:rsid w:val="00927A36"/>
    <w:rsid w:val="0093054E"/>
    <w:rsid w:val="0093413F"/>
    <w:rsid w:val="00936AC6"/>
    <w:rsid w:val="00937C97"/>
    <w:rsid w:val="009401C1"/>
    <w:rsid w:val="00940605"/>
    <w:rsid w:val="0094076B"/>
    <w:rsid w:val="009423BD"/>
    <w:rsid w:val="00942C9A"/>
    <w:rsid w:val="00944111"/>
    <w:rsid w:val="00944838"/>
    <w:rsid w:val="00944AF7"/>
    <w:rsid w:val="00945D52"/>
    <w:rsid w:val="009461F7"/>
    <w:rsid w:val="00947CAD"/>
    <w:rsid w:val="00950C54"/>
    <w:rsid w:val="00951277"/>
    <w:rsid w:val="00951E39"/>
    <w:rsid w:val="00953580"/>
    <w:rsid w:val="0095422D"/>
    <w:rsid w:val="009547AE"/>
    <w:rsid w:val="00954BF4"/>
    <w:rsid w:val="00955016"/>
    <w:rsid w:val="00955365"/>
    <w:rsid w:val="00955513"/>
    <w:rsid w:val="009557DA"/>
    <w:rsid w:val="00956798"/>
    <w:rsid w:val="00956BEB"/>
    <w:rsid w:val="00956C67"/>
    <w:rsid w:val="00957145"/>
    <w:rsid w:val="00957795"/>
    <w:rsid w:val="009602DB"/>
    <w:rsid w:val="009620E8"/>
    <w:rsid w:val="009623AD"/>
    <w:rsid w:val="00962DA9"/>
    <w:rsid w:val="00963534"/>
    <w:rsid w:val="0096377F"/>
    <w:rsid w:val="00963B6C"/>
    <w:rsid w:val="00966252"/>
    <w:rsid w:val="00967113"/>
    <w:rsid w:val="00967E8E"/>
    <w:rsid w:val="00970D8C"/>
    <w:rsid w:val="00972416"/>
    <w:rsid w:val="009724C9"/>
    <w:rsid w:val="009724D3"/>
    <w:rsid w:val="0097302E"/>
    <w:rsid w:val="009736BF"/>
    <w:rsid w:val="009739D9"/>
    <w:rsid w:val="009739F1"/>
    <w:rsid w:val="009754F1"/>
    <w:rsid w:val="00976C9D"/>
    <w:rsid w:val="009770BB"/>
    <w:rsid w:val="009770E3"/>
    <w:rsid w:val="00977A7F"/>
    <w:rsid w:val="009800B4"/>
    <w:rsid w:val="00980204"/>
    <w:rsid w:val="009805A3"/>
    <w:rsid w:val="009813D4"/>
    <w:rsid w:val="0098175F"/>
    <w:rsid w:val="009819A5"/>
    <w:rsid w:val="00981CD4"/>
    <w:rsid w:val="00982E77"/>
    <w:rsid w:val="00983045"/>
    <w:rsid w:val="00983829"/>
    <w:rsid w:val="0098390B"/>
    <w:rsid w:val="00983E51"/>
    <w:rsid w:val="009867E6"/>
    <w:rsid w:val="00987063"/>
    <w:rsid w:val="009909F7"/>
    <w:rsid w:val="00991200"/>
    <w:rsid w:val="009912E1"/>
    <w:rsid w:val="009913A1"/>
    <w:rsid w:val="009919E3"/>
    <w:rsid w:val="00993C8E"/>
    <w:rsid w:val="0099448F"/>
    <w:rsid w:val="00994884"/>
    <w:rsid w:val="00996216"/>
    <w:rsid w:val="00996CF5"/>
    <w:rsid w:val="009971E1"/>
    <w:rsid w:val="00997B94"/>
    <w:rsid w:val="009A0666"/>
    <w:rsid w:val="009A15FE"/>
    <w:rsid w:val="009A197B"/>
    <w:rsid w:val="009A2381"/>
    <w:rsid w:val="009A26B9"/>
    <w:rsid w:val="009A4BF4"/>
    <w:rsid w:val="009A57C8"/>
    <w:rsid w:val="009A71B5"/>
    <w:rsid w:val="009A7D98"/>
    <w:rsid w:val="009B0A26"/>
    <w:rsid w:val="009B0FA1"/>
    <w:rsid w:val="009B1D59"/>
    <w:rsid w:val="009B22DF"/>
    <w:rsid w:val="009B23C9"/>
    <w:rsid w:val="009B2C8D"/>
    <w:rsid w:val="009B2DB7"/>
    <w:rsid w:val="009B5445"/>
    <w:rsid w:val="009C05DF"/>
    <w:rsid w:val="009C17FE"/>
    <w:rsid w:val="009C183E"/>
    <w:rsid w:val="009C1F94"/>
    <w:rsid w:val="009C3895"/>
    <w:rsid w:val="009C4BDF"/>
    <w:rsid w:val="009C4BEB"/>
    <w:rsid w:val="009C6BD2"/>
    <w:rsid w:val="009C7E23"/>
    <w:rsid w:val="009D0057"/>
    <w:rsid w:val="009D0C9E"/>
    <w:rsid w:val="009D1620"/>
    <w:rsid w:val="009D239D"/>
    <w:rsid w:val="009D2A88"/>
    <w:rsid w:val="009D499F"/>
    <w:rsid w:val="009D530D"/>
    <w:rsid w:val="009D6009"/>
    <w:rsid w:val="009D7BFD"/>
    <w:rsid w:val="009D7C1E"/>
    <w:rsid w:val="009E1BF7"/>
    <w:rsid w:val="009E1C9E"/>
    <w:rsid w:val="009E2881"/>
    <w:rsid w:val="009E4267"/>
    <w:rsid w:val="009E5063"/>
    <w:rsid w:val="009E57D4"/>
    <w:rsid w:val="009E65D8"/>
    <w:rsid w:val="009E6CBA"/>
    <w:rsid w:val="009E75EA"/>
    <w:rsid w:val="009E79E7"/>
    <w:rsid w:val="009F011E"/>
    <w:rsid w:val="009F033F"/>
    <w:rsid w:val="009F0373"/>
    <w:rsid w:val="009F1646"/>
    <w:rsid w:val="009F415F"/>
    <w:rsid w:val="009F59B5"/>
    <w:rsid w:val="009F5C00"/>
    <w:rsid w:val="009F6B78"/>
    <w:rsid w:val="009F7980"/>
    <w:rsid w:val="00A00FBB"/>
    <w:rsid w:val="00A01405"/>
    <w:rsid w:val="00A0245C"/>
    <w:rsid w:val="00A02C07"/>
    <w:rsid w:val="00A03443"/>
    <w:rsid w:val="00A04F63"/>
    <w:rsid w:val="00A06260"/>
    <w:rsid w:val="00A06AB8"/>
    <w:rsid w:val="00A07907"/>
    <w:rsid w:val="00A07A0E"/>
    <w:rsid w:val="00A1160F"/>
    <w:rsid w:val="00A13ABB"/>
    <w:rsid w:val="00A13B59"/>
    <w:rsid w:val="00A163C3"/>
    <w:rsid w:val="00A169C3"/>
    <w:rsid w:val="00A16ABF"/>
    <w:rsid w:val="00A20DAB"/>
    <w:rsid w:val="00A228E7"/>
    <w:rsid w:val="00A22D6B"/>
    <w:rsid w:val="00A2322F"/>
    <w:rsid w:val="00A247E7"/>
    <w:rsid w:val="00A24A09"/>
    <w:rsid w:val="00A24D10"/>
    <w:rsid w:val="00A250A9"/>
    <w:rsid w:val="00A25742"/>
    <w:rsid w:val="00A261D0"/>
    <w:rsid w:val="00A26848"/>
    <w:rsid w:val="00A26FF8"/>
    <w:rsid w:val="00A2718B"/>
    <w:rsid w:val="00A27B30"/>
    <w:rsid w:val="00A3015F"/>
    <w:rsid w:val="00A321A6"/>
    <w:rsid w:val="00A32F11"/>
    <w:rsid w:val="00A338A1"/>
    <w:rsid w:val="00A3449A"/>
    <w:rsid w:val="00A3790E"/>
    <w:rsid w:val="00A37B67"/>
    <w:rsid w:val="00A402B5"/>
    <w:rsid w:val="00A40A5F"/>
    <w:rsid w:val="00A40CEE"/>
    <w:rsid w:val="00A41388"/>
    <w:rsid w:val="00A4282D"/>
    <w:rsid w:val="00A432B3"/>
    <w:rsid w:val="00A434EC"/>
    <w:rsid w:val="00A46697"/>
    <w:rsid w:val="00A4737E"/>
    <w:rsid w:val="00A477A6"/>
    <w:rsid w:val="00A47944"/>
    <w:rsid w:val="00A47E70"/>
    <w:rsid w:val="00A50D69"/>
    <w:rsid w:val="00A51DA7"/>
    <w:rsid w:val="00A5306D"/>
    <w:rsid w:val="00A54671"/>
    <w:rsid w:val="00A547F8"/>
    <w:rsid w:val="00A55219"/>
    <w:rsid w:val="00A5572F"/>
    <w:rsid w:val="00A55FC1"/>
    <w:rsid w:val="00A56ECA"/>
    <w:rsid w:val="00A57274"/>
    <w:rsid w:val="00A60286"/>
    <w:rsid w:val="00A6029D"/>
    <w:rsid w:val="00A60A80"/>
    <w:rsid w:val="00A64F8C"/>
    <w:rsid w:val="00A71E14"/>
    <w:rsid w:val="00A720F7"/>
    <w:rsid w:val="00A765F0"/>
    <w:rsid w:val="00A76606"/>
    <w:rsid w:val="00A76914"/>
    <w:rsid w:val="00A77755"/>
    <w:rsid w:val="00A778BA"/>
    <w:rsid w:val="00A77B12"/>
    <w:rsid w:val="00A804D0"/>
    <w:rsid w:val="00A81BAE"/>
    <w:rsid w:val="00A83169"/>
    <w:rsid w:val="00A8513E"/>
    <w:rsid w:val="00A86B14"/>
    <w:rsid w:val="00A8727A"/>
    <w:rsid w:val="00A87CC7"/>
    <w:rsid w:val="00A90E4D"/>
    <w:rsid w:val="00A91556"/>
    <w:rsid w:val="00A922B2"/>
    <w:rsid w:val="00A9320C"/>
    <w:rsid w:val="00A941F9"/>
    <w:rsid w:val="00A94752"/>
    <w:rsid w:val="00A94E91"/>
    <w:rsid w:val="00A957C8"/>
    <w:rsid w:val="00A95CB4"/>
    <w:rsid w:val="00A97E8B"/>
    <w:rsid w:val="00AA0B14"/>
    <w:rsid w:val="00AA0F40"/>
    <w:rsid w:val="00AA1014"/>
    <w:rsid w:val="00AA18A6"/>
    <w:rsid w:val="00AA25F7"/>
    <w:rsid w:val="00AA2A8B"/>
    <w:rsid w:val="00AA384C"/>
    <w:rsid w:val="00AA3FFC"/>
    <w:rsid w:val="00AA7157"/>
    <w:rsid w:val="00AA7D62"/>
    <w:rsid w:val="00AB11E2"/>
    <w:rsid w:val="00AB13EF"/>
    <w:rsid w:val="00AB38EA"/>
    <w:rsid w:val="00AB3FFA"/>
    <w:rsid w:val="00AB48F2"/>
    <w:rsid w:val="00AB5A13"/>
    <w:rsid w:val="00AB5EA1"/>
    <w:rsid w:val="00AB63D6"/>
    <w:rsid w:val="00AB6DBA"/>
    <w:rsid w:val="00AB7E16"/>
    <w:rsid w:val="00AC0562"/>
    <w:rsid w:val="00AC0F8C"/>
    <w:rsid w:val="00AC1EAA"/>
    <w:rsid w:val="00AC344D"/>
    <w:rsid w:val="00AC34CC"/>
    <w:rsid w:val="00AC5AB2"/>
    <w:rsid w:val="00AC5BB3"/>
    <w:rsid w:val="00AC776B"/>
    <w:rsid w:val="00AC7A31"/>
    <w:rsid w:val="00AD0AF4"/>
    <w:rsid w:val="00AD1280"/>
    <w:rsid w:val="00AD276A"/>
    <w:rsid w:val="00AD51D2"/>
    <w:rsid w:val="00AD52EA"/>
    <w:rsid w:val="00AD62B1"/>
    <w:rsid w:val="00AD761C"/>
    <w:rsid w:val="00AD7D46"/>
    <w:rsid w:val="00AE159E"/>
    <w:rsid w:val="00AE17B8"/>
    <w:rsid w:val="00AE214B"/>
    <w:rsid w:val="00AE257D"/>
    <w:rsid w:val="00AE42B2"/>
    <w:rsid w:val="00AE677D"/>
    <w:rsid w:val="00AE6858"/>
    <w:rsid w:val="00AE6EE4"/>
    <w:rsid w:val="00AE735F"/>
    <w:rsid w:val="00AE762A"/>
    <w:rsid w:val="00AF0CC9"/>
    <w:rsid w:val="00AF101A"/>
    <w:rsid w:val="00AF1416"/>
    <w:rsid w:val="00AF22D0"/>
    <w:rsid w:val="00AF2A2D"/>
    <w:rsid w:val="00AF4D8D"/>
    <w:rsid w:val="00AF4DED"/>
    <w:rsid w:val="00AF517F"/>
    <w:rsid w:val="00B037D8"/>
    <w:rsid w:val="00B03E37"/>
    <w:rsid w:val="00B03F37"/>
    <w:rsid w:val="00B04704"/>
    <w:rsid w:val="00B04C1E"/>
    <w:rsid w:val="00B0552B"/>
    <w:rsid w:val="00B05D70"/>
    <w:rsid w:val="00B06295"/>
    <w:rsid w:val="00B06525"/>
    <w:rsid w:val="00B06B7A"/>
    <w:rsid w:val="00B06E3C"/>
    <w:rsid w:val="00B07802"/>
    <w:rsid w:val="00B12242"/>
    <w:rsid w:val="00B1329F"/>
    <w:rsid w:val="00B1457C"/>
    <w:rsid w:val="00B14E04"/>
    <w:rsid w:val="00B1503E"/>
    <w:rsid w:val="00B15DD8"/>
    <w:rsid w:val="00B20A61"/>
    <w:rsid w:val="00B212A7"/>
    <w:rsid w:val="00B23845"/>
    <w:rsid w:val="00B24FFB"/>
    <w:rsid w:val="00B25F76"/>
    <w:rsid w:val="00B26159"/>
    <w:rsid w:val="00B261C5"/>
    <w:rsid w:val="00B266C0"/>
    <w:rsid w:val="00B27A75"/>
    <w:rsid w:val="00B3023E"/>
    <w:rsid w:val="00B30A04"/>
    <w:rsid w:val="00B311B9"/>
    <w:rsid w:val="00B31581"/>
    <w:rsid w:val="00B315AC"/>
    <w:rsid w:val="00B321A7"/>
    <w:rsid w:val="00B321C4"/>
    <w:rsid w:val="00B325F4"/>
    <w:rsid w:val="00B33A4A"/>
    <w:rsid w:val="00B3427A"/>
    <w:rsid w:val="00B36289"/>
    <w:rsid w:val="00B36359"/>
    <w:rsid w:val="00B36FF9"/>
    <w:rsid w:val="00B40532"/>
    <w:rsid w:val="00B4064E"/>
    <w:rsid w:val="00B40BDF"/>
    <w:rsid w:val="00B4217C"/>
    <w:rsid w:val="00B4320B"/>
    <w:rsid w:val="00B433E8"/>
    <w:rsid w:val="00B43DA6"/>
    <w:rsid w:val="00B43E8C"/>
    <w:rsid w:val="00B4470D"/>
    <w:rsid w:val="00B453BD"/>
    <w:rsid w:val="00B45AEB"/>
    <w:rsid w:val="00B4737F"/>
    <w:rsid w:val="00B50364"/>
    <w:rsid w:val="00B51C73"/>
    <w:rsid w:val="00B523C3"/>
    <w:rsid w:val="00B52EE3"/>
    <w:rsid w:val="00B53446"/>
    <w:rsid w:val="00B53528"/>
    <w:rsid w:val="00B53AD8"/>
    <w:rsid w:val="00B53C93"/>
    <w:rsid w:val="00B5530F"/>
    <w:rsid w:val="00B56542"/>
    <w:rsid w:val="00B56AAC"/>
    <w:rsid w:val="00B57997"/>
    <w:rsid w:val="00B61306"/>
    <w:rsid w:val="00B62B30"/>
    <w:rsid w:val="00B64BD0"/>
    <w:rsid w:val="00B670B4"/>
    <w:rsid w:val="00B67B37"/>
    <w:rsid w:val="00B7011F"/>
    <w:rsid w:val="00B7107D"/>
    <w:rsid w:val="00B734C5"/>
    <w:rsid w:val="00B73E05"/>
    <w:rsid w:val="00B746B9"/>
    <w:rsid w:val="00B75876"/>
    <w:rsid w:val="00B75A85"/>
    <w:rsid w:val="00B80E76"/>
    <w:rsid w:val="00B81395"/>
    <w:rsid w:val="00B81D06"/>
    <w:rsid w:val="00B81D88"/>
    <w:rsid w:val="00B8263A"/>
    <w:rsid w:val="00B8266D"/>
    <w:rsid w:val="00B828C4"/>
    <w:rsid w:val="00B83527"/>
    <w:rsid w:val="00B836AC"/>
    <w:rsid w:val="00B839F4"/>
    <w:rsid w:val="00B8433A"/>
    <w:rsid w:val="00B84D1C"/>
    <w:rsid w:val="00B852BA"/>
    <w:rsid w:val="00B85CAA"/>
    <w:rsid w:val="00B85CC0"/>
    <w:rsid w:val="00B862E1"/>
    <w:rsid w:val="00B9165F"/>
    <w:rsid w:val="00B916B2"/>
    <w:rsid w:val="00B91B4E"/>
    <w:rsid w:val="00B92CE5"/>
    <w:rsid w:val="00B92D89"/>
    <w:rsid w:val="00B94A75"/>
    <w:rsid w:val="00B94BD4"/>
    <w:rsid w:val="00B94C66"/>
    <w:rsid w:val="00B94C6C"/>
    <w:rsid w:val="00B957F3"/>
    <w:rsid w:val="00B95C75"/>
    <w:rsid w:val="00B95CF5"/>
    <w:rsid w:val="00B965CC"/>
    <w:rsid w:val="00B975E0"/>
    <w:rsid w:val="00B97821"/>
    <w:rsid w:val="00BA07CE"/>
    <w:rsid w:val="00BA0922"/>
    <w:rsid w:val="00BA0A12"/>
    <w:rsid w:val="00BA0F5F"/>
    <w:rsid w:val="00BA16F8"/>
    <w:rsid w:val="00BA1D93"/>
    <w:rsid w:val="00BA1EDD"/>
    <w:rsid w:val="00BA3F8A"/>
    <w:rsid w:val="00BA3FAB"/>
    <w:rsid w:val="00BA447C"/>
    <w:rsid w:val="00BA461E"/>
    <w:rsid w:val="00BA5D0F"/>
    <w:rsid w:val="00BA606D"/>
    <w:rsid w:val="00BA6257"/>
    <w:rsid w:val="00BA77CC"/>
    <w:rsid w:val="00BA7A5E"/>
    <w:rsid w:val="00BB1F41"/>
    <w:rsid w:val="00BB20EF"/>
    <w:rsid w:val="00BB2545"/>
    <w:rsid w:val="00BB2738"/>
    <w:rsid w:val="00BB2FD8"/>
    <w:rsid w:val="00BB4151"/>
    <w:rsid w:val="00BB4C26"/>
    <w:rsid w:val="00BB50AA"/>
    <w:rsid w:val="00BB66F6"/>
    <w:rsid w:val="00BB68B0"/>
    <w:rsid w:val="00BB6DC8"/>
    <w:rsid w:val="00BB7775"/>
    <w:rsid w:val="00BB7E65"/>
    <w:rsid w:val="00BC0402"/>
    <w:rsid w:val="00BC06EF"/>
    <w:rsid w:val="00BC0C20"/>
    <w:rsid w:val="00BC1292"/>
    <w:rsid w:val="00BC1A95"/>
    <w:rsid w:val="00BC3274"/>
    <w:rsid w:val="00BC34D3"/>
    <w:rsid w:val="00BC3D96"/>
    <w:rsid w:val="00BC5149"/>
    <w:rsid w:val="00BC5D85"/>
    <w:rsid w:val="00BC6040"/>
    <w:rsid w:val="00BC6064"/>
    <w:rsid w:val="00BC785A"/>
    <w:rsid w:val="00BD0BA4"/>
    <w:rsid w:val="00BD15F0"/>
    <w:rsid w:val="00BD1FF6"/>
    <w:rsid w:val="00BD244C"/>
    <w:rsid w:val="00BD3A78"/>
    <w:rsid w:val="00BD3A9B"/>
    <w:rsid w:val="00BD4960"/>
    <w:rsid w:val="00BD4D86"/>
    <w:rsid w:val="00BD5B56"/>
    <w:rsid w:val="00BD624B"/>
    <w:rsid w:val="00BD75A5"/>
    <w:rsid w:val="00BD7C1E"/>
    <w:rsid w:val="00BD7FDB"/>
    <w:rsid w:val="00BE02BD"/>
    <w:rsid w:val="00BE091F"/>
    <w:rsid w:val="00BE0BFF"/>
    <w:rsid w:val="00BE0E80"/>
    <w:rsid w:val="00BE3212"/>
    <w:rsid w:val="00BE33DF"/>
    <w:rsid w:val="00BE525A"/>
    <w:rsid w:val="00BE6C49"/>
    <w:rsid w:val="00BF0DFB"/>
    <w:rsid w:val="00BF28A5"/>
    <w:rsid w:val="00BF2B20"/>
    <w:rsid w:val="00BF4CE8"/>
    <w:rsid w:val="00BF51A4"/>
    <w:rsid w:val="00BF6087"/>
    <w:rsid w:val="00BF6817"/>
    <w:rsid w:val="00BF6B8C"/>
    <w:rsid w:val="00C00F50"/>
    <w:rsid w:val="00C022E0"/>
    <w:rsid w:val="00C0235A"/>
    <w:rsid w:val="00C02730"/>
    <w:rsid w:val="00C036B4"/>
    <w:rsid w:val="00C03BCA"/>
    <w:rsid w:val="00C03F55"/>
    <w:rsid w:val="00C04DC6"/>
    <w:rsid w:val="00C055FF"/>
    <w:rsid w:val="00C061C2"/>
    <w:rsid w:val="00C07795"/>
    <w:rsid w:val="00C101CD"/>
    <w:rsid w:val="00C10895"/>
    <w:rsid w:val="00C10A6F"/>
    <w:rsid w:val="00C112FF"/>
    <w:rsid w:val="00C11811"/>
    <w:rsid w:val="00C11E5B"/>
    <w:rsid w:val="00C12FFF"/>
    <w:rsid w:val="00C1489D"/>
    <w:rsid w:val="00C14944"/>
    <w:rsid w:val="00C14FA6"/>
    <w:rsid w:val="00C15275"/>
    <w:rsid w:val="00C152CB"/>
    <w:rsid w:val="00C15620"/>
    <w:rsid w:val="00C15765"/>
    <w:rsid w:val="00C17B83"/>
    <w:rsid w:val="00C20031"/>
    <w:rsid w:val="00C20DCA"/>
    <w:rsid w:val="00C215DA"/>
    <w:rsid w:val="00C21858"/>
    <w:rsid w:val="00C21E1E"/>
    <w:rsid w:val="00C22A94"/>
    <w:rsid w:val="00C22D8B"/>
    <w:rsid w:val="00C23495"/>
    <w:rsid w:val="00C24157"/>
    <w:rsid w:val="00C24245"/>
    <w:rsid w:val="00C24AC0"/>
    <w:rsid w:val="00C24BFA"/>
    <w:rsid w:val="00C24D65"/>
    <w:rsid w:val="00C25062"/>
    <w:rsid w:val="00C26811"/>
    <w:rsid w:val="00C26DFD"/>
    <w:rsid w:val="00C26F2D"/>
    <w:rsid w:val="00C27AB4"/>
    <w:rsid w:val="00C30581"/>
    <w:rsid w:val="00C40680"/>
    <w:rsid w:val="00C41098"/>
    <w:rsid w:val="00C41696"/>
    <w:rsid w:val="00C42AF7"/>
    <w:rsid w:val="00C44418"/>
    <w:rsid w:val="00C44471"/>
    <w:rsid w:val="00C45A94"/>
    <w:rsid w:val="00C468E5"/>
    <w:rsid w:val="00C46B37"/>
    <w:rsid w:val="00C472B9"/>
    <w:rsid w:val="00C473AA"/>
    <w:rsid w:val="00C521E1"/>
    <w:rsid w:val="00C534CD"/>
    <w:rsid w:val="00C53D81"/>
    <w:rsid w:val="00C53E5F"/>
    <w:rsid w:val="00C53F3E"/>
    <w:rsid w:val="00C54355"/>
    <w:rsid w:val="00C546C9"/>
    <w:rsid w:val="00C55ADF"/>
    <w:rsid w:val="00C5608E"/>
    <w:rsid w:val="00C615C5"/>
    <w:rsid w:val="00C616AD"/>
    <w:rsid w:val="00C61F4B"/>
    <w:rsid w:val="00C6292C"/>
    <w:rsid w:val="00C633F5"/>
    <w:rsid w:val="00C6576A"/>
    <w:rsid w:val="00C65B6B"/>
    <w:rsid w:val="00C6705B"/>
    <w:rsid w:val="00C67E20"/>
    <w:rsid w:val="00C67E2D"/>
    <w:rsid w:val="00C7205A"/>
    <w:rsid w:val="00C723F4"/>
    <w:rsid w:val="00C72B84"/>
    <w:rsid w:val="00C72BEB"/>
    <w:rsid w:val="00C74E7D"/>
    <w:rsid w:val="00C7548A"/>
    <w:rsid w:val="00C754BB"/>
    <w:rsid w:val="00C7691D"/>
    <w:rsid w:val="00C76ACB"/>
    <w:rsid w:val="00C77A8C"/>
    <w:rsid w:val="00C77E36"/>
    <w:rsid w:val="00C81AAF"/>
    <w:rsid w:val="00C81ADE"/>
    <w:rsid w:val="00C8562C"/>
    <w:rsid w:val="00C863F6"/>
    <w:rsid w:val="00C8741F"/>
    <w:rsid w:val="00C917C5"/>
    <w:rsid w:val="00C92066"/>
    <w:rsid w:val="00C921BD"/>
    <w:rsid w:val="00C9419D"/>
    <w:rsid w:val="00C952D4"/>
    <w:rsid w:val="00C95476"/>
    <w:rsid w:val="00C974AA"/>
    <w:rsid w:val="00CA031C"/>
    <w:rsid w:val="00CA0E0D"/>
    <w:rsid w:val="00CA37A6"/>
    <w:rsid w:val="00CA3844"/>
    <w:rsid w:val="00CA4055"/>
    <w:rsid w:val="00CA681E"/>
    <w:rsid w:val="00CB0F13"/>
    <w:rsid w:val="00CB1210"/>
    <w:rsid w:val="00CB2365"/>
    <w:rsid w:val="00CB2C55"/>
    <w:rsid w:val="00CB2CF3"/>
    <w:rsid w:val="00CB710D"/>
    <w:rsid w:val="00CC0B02"/>
    <w:rsid w:val="00CC18A2"/>
    <w:rsid w:val="00CC261B"/>
    <w:rsid w:val="00CC2A79"/>
    <w:rsid w:val="00CC403F"/>
    <w:rsid w:val="00CC482C"/>
    <w:rsid w:val="00CC5D8E"/>
    <w:rsid w:val="00CC6189"/>
    <w:rsid w:val="00CC7E31"/>
    <w:rsid w:val="00CD0667"/>
    <w:rsid w:val="00CD1990"/>
    <w:rsid w:val="00CD2E90"/>
    <w:rsid w:val="00CD31EF"/>
    <w:rsid w:val="00CD357E"/>
    <w:rsid w:val="00CD493D"/>
    <w:rsid w:val="00CD7B8C"/>
    <w:rsid w:val="00CE0EA4"/>
    <w:rsid w:val="00CE1489"/>
    <w:rsid w:val="00CE1676"/>
    <w:rsid w:val="00CE3389"/>
    <w:rsid w:val="00CE3881"/>
    <w:rsid w:val="00CE4F9D"/>
    <w:rsid w:val="00CE5131"/>
    <w:rsid w:val="00CE60F1"/>
    <w:rsid w:val="00CE62FF"/>
    <w:rsid w:val="00CE6700"/>
    <w:rsid w:val="00CE6BC9"/>
    <w:rsid w:val="00CE72CD"/>
    <w:rsid w:val="00CE7848"/>
    <w:rsid w:val="00CF0EAE"/>
    <w:rsid w:val="00CF1645"/>
    <w:rsid w:val="00CF1D76"/>
    <w:rsid w:val="00CF2E48"/>
    <w:rsid w:val="00CF3FFA"/>
    <w:rsid w:val="00CF44D4"/>
    <w:rsid w:val="00CF565A"/>
    <w:rsid w:val="00CF5FC1"/>
    <w:rsid w:val="00CF627A"/>
    <w:rsid w:val="00CF71C7"/>
    <w:rsid w:val="00CF7209"/>
    <w:rsid w:val="00D00D71"/>
    <w:rsid w:val="00D01B8D"/>
    <w:rsid w:val="00D01D0B"/>
    <w:rsid w:val="00D02179"/>
    <w:rsid w:val="00D0278D"/>
    <w:rsid w:val="00D027B6"/>
    <w:rsid w:val="00D02B24"/>
    <w:rsid w:val="00D032C1"/>
    <w:rsid w:val="00D0376E"/>
    <w:rsid w:val="00D03BC5"/>
    <w:rsid w:val="00D0477B"/>
    <w:rsid w:val="00D057D7"/>
    <w:rsid w:val="00D05D00"/>
    <w:rsid w:val="00D0695A"/>
    <w:rsid w:val="00D073D1"/>
    <w:rsid w:val="00D075F8"/>
    <w:rsid w:val="00D07DF1"/>
    <w:rsid w:val="00D1028F"/>
    <w:rsid w:val="00D133AF"/>
    <w:rsid w:val="00D135CE"/>
    <w:rsid w:val="00D14F9A"/>
    <w:rsid w:val="00D1509E"/>
    <w:rsid w:val="00D15D05"/>
    <w:rsid w:val="00D1639E"/>
    <w:rsid w:val="00D16845"/>
    <w:rsid w:val="00D2025E"/>
    <w:rsid w:val="00D202EE"/>
    <w:rsid w:val="00D20A42"/>
    <w:rsid w:val="00D21541"/>
    <w:rsid w:val="00D222C1"/>
    <w:rsid w:val="00D222D7"/>
    <w:rsid w:val="00D223A6"/>
    <w:rsid w:val="00D225B3"/>
    <w:rsid w:val="00D22C4A"/>
    <w:rsid w:val="00D260C1"/>
    <w:rsid w:val="00D264ED"/>
    <w:rsid w:val="00D268F1"/>
    <w:rsid w:val="00D26DD7"/>
    <w:rsid w:val="00D277E6"/>
    <w:rsid w:val="00D3109C"/>
    <w:rsid w:val="00D31159"/>
    <w:rsid w:val="00D32FF8"/>
    <w:rsid w:val="00D34357"/>
    <w:rsid w:val="00D34565"/>
    <w:rsid w:val="00D347D7"/>
    <w:rsid w:val="00D3484A"/>
    <w:rsid w:val="00D356F5"/>
    <w:rsid w:val="00D35C44"/>
    <w:rsid w:val="00D36912"/>
    <w:rsid w:val="00D378A3"/>
    <w:rsid w:val="00D42B47"/>
    <w:rsid w:val="00D4337A"/>
    <w:rsid w:val="00D45114"/>
    <w:rsid w:val="00D45454"/>
    <w:rsid w:val="00D4762D"/>
    <w:rsid w:val="00D510FF"/>
    <w:rsid w:val="00D51BFA"/>
    <w:rsid w:val="00D52314"/>
    <w:rsid w:val="00D530F7"/>
    <w:rsid w:val="00D53F23"/>
    <w:rsid w:val="00D544ED"/>
    <w:rsid w:val="00D555E6"/>
    <w:rsid w:val="00D55D5C"/>
    <w:rsid w:val="00D56753"/>
    <w:rsid w:val="00D5688C"/>
    <w:rsid w:val="00D5766F"/>
    <w:rsid w:val="00D57F8C"/>
    <w:rsid w:val="00D6089F"/>
    <w:rsid w:val="00D60CA1"/>
    <w:rsid w:val="00D61CCB"/>
    <w:rsid w:val="00D6273D"/>
    <w:rsid w:val="00D62DFB"/>
    <w:rsid w:val="00D63478"/>
    <w:rsid w:val="00D65E36"/>
    <w:rsid w:val="00D672D3"/>
    <w:rsid w:val="00D6785C"/>
    <w:rsid w:val="00D701D9"/>
    <w:rsid w:val="00D70AE0"/>
    <w:rsid w:val="00D710B2"/>
    <w:rsid w:val="00D74545"/>
    <w:rsid w:val="00D75101"/>
    <w:rsid w:val="00D75803"/>
    <w:rsid w:val="00D759AC"/>
    <w:rsid w:val="00D75DED"/>
    <w:rsid w:val="00D75F7B"/>
    <w:rsid w:val="00D76FD2"/>
    <w:rsid w:val="00D77133"/>
    <w:rsid w:val="00D77275"/>
    <w:rsid w:val="00D80069"/>
    <w:rsid w:val="00D81DD3"/>
    <w:rsid w:val="00D823A2"/>
    <w:rsid w:val="00D835D0"/>
    <w:rsid w:val="00D8371B"/>
    <w:rsid w:val="00D84395"/>
    <w:rsid w:val="00D84B12"/>
    <w:rsid w:val="00D85240"/>
    <w:rsid w:val="00D85B2C"/>
    <w:rsid w:val="00D85E8B"/>
    <w:rsid w:val="00D85FE0"/>
    <w:rsid w:val="00D86767"/>
    <w:rsid w:val="00D871DC"/>
    <w:rsid w:val="00D87847"/>
    <w:rsid w:val="00D87F4F"/>
    <w:rsid w:val="00D90DC0"/>
    <w:rsid w:val="00D90EAC"/>
    <w:rsid w:val="00D91A1C"/>
    <w:rsid w:val="00D9229B"/>
    <w:rsid w:val="00D92412"/>
    <w:rsid w:val="00D9374D"/>
    <w:rsid w:val="00D964AC"/>
    <w:rsid w:val="00D97377"/>
    <w:rsid w:val="00DA0337"/>
    <w:rsid w:val="00DA0A4C"/>
    <w:rsid w:val="00DA2428"/>
    <w:rsid w:val="00DA3CBE"/>
    <w:rsid w:val="00DA5619"/>
    <w:rsid w:val="00DA5CEA"/>
    <w:rsid w:val="00DA7981"/>
    <w:rsid w:val="00DB0DC5"/>
    <w:rsid w:val="00DB193B"/>
    <w:rsid w:val="00DB31C4"/>
    <w:rsid w:val="00DB36D4"/>
    <w:rsid w:val="00DB5240"/>
    <w:rsid w:val="00DB6CB8"/>
    <w:rsid w:val="00DB6E71"/>
    <w:rsid w:val="00DB6E91"/>
    <w:rsid w:val="00DB6EB6"/>
    <w:rsid w:val="00DC0FE5"/>
    <w:rsid w:val="00DC2DEC"/>
    <w:rsid w:val="00DC30DE"/>
    <w:rsid w:val="00DC5F87"/>
    <w:rsid w:val="00DC5FDF"/>
    <w:rsid w:val="00DC6391"/>
    <w:rsid w:val="00DC7DD0"/>
    <w:rsid w:val="00DD228A"/>
    <w:rsid w:val="00DD2399"/>
    <w:rsid w:val="00DD2BDF"/>
    <w:rsid w:val="00DD466D"/>
    <w:rsid w:val="00DD60C6"/>
    <w:rsid w:val="00DD6E11"/>
    <w:rsid w:val="00DD70DA"/>
    <w:rsid w:val="00DE0D8C"/>
    <w:rsid w:val="00DE1034"/>
    <w:rsid w:val="00DE1E70"/>
    <w:rsid w:val="00DE21F2"/>
    <w:rsid w:val="00DE233F"/>
    <w:rsid w:val="00DE2B36"/>
    <w:rsid w:val="00DE3CDB"/>
    <w:rsid w:val="00DE40EF"/>
    <w:rsid w:val="00DE46DD"/>
    <w:rsid w:val="00DE55B3"/>
    <w:rsid w:val="00DE5BAF"/>
    <w:rsid w:val="00DE6D0B"/>
    <w:rsid w:val="00DF11ED"/>
    <w:rsid w:val="00DF1253"/>
    <w:rsid w:val="00DF188C"/>
    <w:rsid w:val="00DF266C"/>
    <w:rsid w:val="00DF2673"/>
    <w:rsid w:val="00DF364D"/>
    <w:rsid w:val="00DF3D8F"/>
    <w:rsid w:val="00DF3DD2"/>
    <w:rsid w:val="00DF7294"/>
    <w:rsid w:val="00E00119"/>
    <w:rsid w:val="00E01F88"/>
    <w:rsid w:val="00E031EA"/>
    <w:rsid w:val="00E0333B"/>
    <w:rsid w:val="00E0452E"/>
    <w:rsid w:val="00E0567E"/>
    <w:rsid w:val="00E05966"/>
    <w:rsid w:val="00E05C9B"/>
    <w:rsid w:val="00E067C5"/>
    <w:rsid w:val="00E06BD0"/>
    <w:rsid w:val="00E06ED0"/>
    <w:rsid w:val="00E10275"/>
    <w:rsid w:val="00E106EC"/>
    <w:rsid w:val="00E1078B"/>
    <w:rsid w:val="00E10A44"/>
    <w:rsid w:val="00E11083"/>
    <w:rsid w:val="00E1155E"/>
    <w:rsid w:val="00E1156C"/>
    <w:rsid w:val="00E11A2D"/>
    <w:rsid w:val="00E12F0B"/>
    <w:rsid w:val="00E13382"/>
    <w:rsid w:val="00E1454E"/>
    <w:rsid w:val="00E14D69"/>
    <w:rsid w:val="00E16B32"/>
    <w:rsid w:val="00E20104"/>
    <w:rsid w:val="00E213FF"/>
    <w:rsid w:val="00E21A73"/>
    <w:rsid w:val="00E220BF"/>
    <w:rsid w:val="00E2343A"/>
    <w:rsid w:val="00E24DE9"/>
    <w:rsid w:val="00E26D31"/>
    <w:rsid w:val="00E26EE2"/>
    <w:rsid w:val="00E30328"/>
    <w:rsid w:val="00E308C0"/>
    <w:rsid w:val="00E312F3"/>
    <w:rsid w:val="00E33656"/>
    <w:rsid w:val="00E345F1"/>
    <w:rsid w:val="00E34DEF"/>
    <w:rsid w:val="00E35D16"/>
    <w:rsid w:val="00E36A80"/>
    <w:rsid w:val="00E36B9C"/>
    <w:rsid w:val="00E370F4"/>
    <w:rsid w:val="00E37391"/>
    <w:rsid w:val="00E37F8D"/>
    <w:rsid w:val="00E40E3C"/>
    <w:rsid w:val="00E41366"/>
    <w:rsid w:val="00E41B7F"/>
    <w:rsid w:val="00E41D74"/>
    <w:rsid w:val="00E4274F"/>
    <w:rsid w:val="00E436DC"/>
    <w:rsid w:val="00E43E2D"/>
    <w:rsid w:val="00E449AF"/>
    <w:rsid w:val="00E454FC"/>
    <w:rsid w:val="00E45810"/>
    <w:rsid w:val="00E462E9"/>
    <w:rsid w:val="00E46CA9"/>
    <w:rsid w:val="00E46FC5"/>
    <w:rsid w:val="00E50CF8"/>
    <w:rsid w:val="00E512F4"/>
    <w:rsid w:val="00E5270E"/>
    <w:rsid w:val="00E5511E"/>
    <w:rsid w:val="00E55354"/>
    <w:rsid w:val="00E553C7"/>
    <w:rsid w:val="00E557C1"/>
    <w:rsid w:val="00E563FA"/>
    <w:rsid w:val="00E566E6"/>
    <w:rsid w:val="00E56E65"/>
    <w:rsid w:val="00E57116"/>
    <w:rsid w:val="00E57BD7"/>
    <w:rsid w:val="00E60AFC"/>
    <w:rsid w:val="00E60EB3"/>
    <w:rsid w:val="00E61799"/>
    <w:rsid w:val="00E61D94"/>
    <w:rsid w:val="00E62571"/>
    <w:rsid w:val="00E6313A"/>
    <w:rsid w:val="00E64C0D"/>
    <w:rsid w:val="00E656C8"/>
    <w:rsid w:val="00E65E8E"/>
    <w:rsid w:val="00E668DF"/>
    <w:rsid w:val="00E70B83"/>
    <w:rsid w:val="00E70B9A"/>
    <w:rsid w:val="00E715F6"/>
    <w:rsid w:val="00E71E1A"/>
    <w:rsid w:val="00E7277B"/>
    <w:rsid w:val="00E730B5"/>
    <w:rsid w:val="00E748D4"/>
    <w:rsid w:val="00E74992"/>
    <w:rsid w:val="00E749A8"/>
    <w:rsid w:val="00E75E65"/>
    <w:rsid w:val="00E767EB"/>
    <w:rsid w:val="00E808C0"/>
    <w:rsid w:val="00E81C6F"/>
    <w:rsid w:val="00E824D5"/>
    <w:rsid w:val="00E82AD3"/>
    <w:rsid w:val="00E836D0"/>
    <w:rsid w:val="00E83E47"/>
    <w:rsid w:val="00E84A6E"/>
    <w:rsid w:val="00E8531E"/>
    <w:rsid w:val="00E85922"/>
    <w:rsid w:val="00E86278"/>
    <w:rsid w:val="00E86A7B"/>
    <w:rsid w:val="00E86BE2"/>
    <w:rsid w:val="00E86D80"/>
    <w:rsid w:val="00E90543"/>
    <w:rsid w:val="00E910A7"/>
    <w:rsid w:val="00E9125F"/>
    <w:rsid w:val="00E9350C"/>
    <w:rsid w:val="00E9424C"/>
    <w:rsid w:val="00E95054"/>
    <w:rsid w:val="00E9648B"/>
    <w:rsid w:val="00E96FD6"/>
    <w:rsid w:val="00E97004"/>
    <w:rsid w:val="00E97CCD"/>
    <w:rsid w:val="00EA0385"/>
    <w:rsid w:val="00EA2DB0"/>
    <w:rsid w:val="00EA4D47"/>
    <w:rsid w:val="00EA51B2"/>
    <w:rsid w:val="00EA521A"/>
    <w:rsid w:val="00EA5677"/>
    <w:rsid w:val="00EA574E"/>
    <w:rsid w:val="00EA665C"/>
    <w:rsid w:val="00EA7A40"/>
    <w:rsid w:val="00EB0086"/>
    <w:rsid w:val="00EB00F9"/>
    <w:rsid w:val="00EB03DF"/>
    <w:rsid w:val="00EB1D79"/>
    <w:rsid w:val="00EB28CD"/>
    <w:rsid w:val="00EB345F"/>
    <w:rsid w:val="00EB4407"/>
    <w:rsid w:val="00EB4D22"/>
    <w:rsid w:val="00EB4F32"/>
    <w:rsid w:val="00EB7882"/>
    <w:rsid w:val="00EC0131"/>
    <w:rsid w:val="00EC0D94"/>
    <w:rsid w:val="00EC122A"/>
    <w:rsid w:val="00EC14E4"/>
    <w:rsid w:val="00EC1600"/>
    <w:rsid w:val="00EC1777"/>
    <w:rsid w:val="00EC1DC5"/>
    <w:rsid w:val="00EC73AC"/>
    <w:rsid w:val="00ED06D2"/>
    <w:rsid w:val="00ED0850"/>
    <w:rsid w:val="00ED0F7D"/>
    <w:rsid w:val="00ED296A"/>
    <w:rsid w:val="00ED33FA"/>
    <w:rsid w:val="00ED3668"/>
    <w:rsid w:val="00ED3B92"/>
    <w:rsid w:val="00ED3C0F"/>
    <w:rsid w:val="00ED4066"/>
    <w:rsid w:val="00ED4B3C"/>
    <w:rsid w:val="00ED4EA3"/>
    <w:rsid w:val="00ED55B2"/>
    <w:rsid w:val="00ED5F86"/>
    <w:rsid w:val="00ED6530"/>
    <w:rsid w:val="00EE0096"/>
    <w:rsid w:val="00EE2718"/>
    <w:rsid w:val="00EE2D6F"/>
    <w:rsid w:val="00EE2F3B"/>
    <w:rsid w:val="00EE3CFA"/>
    <w:rsid w:val="00EE48BD"/>
    <w:rsid w:val="00EE7DCD"/>
    <w:rsid w:val="00EF1603"/>
    <w:rsid w:val="00EF3B7B"/>
    <w:rsid w:val="00EF486A"/>
    <w:rsid w:val="00EF58A9"/>
    <w:rsid w:val="00EF65FC"/>
    <w:rsid w:val="00EF76F3"/>
    <w:rsid w:val="00F00E0E"/>
    <w:rsid w:val="00F01F8B"/>
    <w:rsid w:val="00F02909"/>
    <w:rsid w:val="00F038F8"/>
    <w:rsid w:val="00F05A33"/>
    <w:rsid w:val="00F07E4F"/>
    <w:rsid w:val="00F10945"/>
    <w:rsid w:val="00F11C03"/>
    <w:rsid w:val="00F122D7"/>
    <w:rsid w:val="00F13010"/>
    <w:rsid w:val="00F1307C"/>
    <w:rsid w:val="00F16BEF"/>
    <w:rsid w:val="00F16EF8"/>
    <w:rsid w:val="00F171FB"/>
    <w:rsid w:val="00F2243F"/>
    <w:rsid w:val="00F22576"/>
    <w:rsid w:val="00F23038"/>
    <w:rsid w:val="00F23937"/>
    <w:rsid w:val="00F2441A"/>
    <w:rsid w:val="00F24B59"/>
    <w:rsid w:val="00F2597C"/>
    <w:rsid w:val="00F2683C"/>
    <w:rsid w:val="00F272F4"/>
    <w:rsid w:val="00F276BB"/>
    <w:rsid w:val="00F30840"/>
    <w:rsid w:val="00F32444"/>
    <w:rsid w:val="00F3270F"/>
    <w:rsid w:val="00F34985"/>
    <w:rsid w:val="00F3523F"/>
    <w:rsid w:val="00F3525A"/>
    <w:rsid w:val="00F36AC4"/>
    <w:rsid w:val="00F36CF8"/>
    <w:rsid w:val="00F37424"/>
    <w:rsid w:val="00F37DE5"/>
    <w:rsid w:val="00F37E44"/>
    <w:rsid w:val="00F4012A"/>
    <w:rsid w:val="00F41A3A"/>
    <w:rsid w:val="00F41EAC"/>
    <w:rsid w:val="00F420DD"/>
    <w:rsid w:val="00F42B08"/>
    <w:rsid w:val="00F43873"/>
    <w:rsid w:val="00F44ADF"/>
    <w:rsid w:val="00F45BBA"/>
    <w:rsid w:val="00F47C93"/>
    <w:rsid w:val="00F50D2D"/>
    <w:rsid w:val="00F50D9D"/>
    <w:rsid w:val="00F5332D"/>
    <w:rsid w:val="00F53901"/>
    <w:rsid w:val="00F5758F"/>
    <w:rsid w:val="00F57CCE"/>
    <w:rsid w:val="00F60A61"/>
    <w:rsid w:val="00F61C28"/>
    <w:rsid w:val="00F61FC5"/>
    <w:rsid w:val="00F6292A"/>
    <w:rsid w:val="00F6337B"/>
    <w:rsid w:val="00F636E6"/>
    <w:rsid w:val="00F63961"/>
    <w:rsid w:val="00F63A8A"/>
    <w:rsid w:val="00F63B4B"/>
    <w:rsid w:val="00F64400"/>
    <w:rsid w:val="00F65631"/>
    <w:rsid w:val="00F67544"/>
    <w:rsid w:val="00F67943"/>
    <w:rsid w:val="00F679BA"/>
    <w:rsid w:val="00F679E9"/>
    <w:rsid w:val="00F70666"/>
    <w:rsid w:val="00F70683"/>
    <w:rsid w:val="00F719AC"/>
    <w:rsid w:val="00F719D9"/>
    <w:rsid w:val="00F71B97"/>
    <w:rsid w:val="00F723A0"/>
    <w:rsid w:val="00F739B6"/>
    <w:rsid w:val="00F748D1"/>
    <w:rsid w:val="00F74989"/>
    <w:rsid w:val="00F75957"/>
    <w:rsid w:val="00F7796A"/>
    <w:rsid w:val="00F805B3"/>
    <w:rsid w:val="00F80CBB"/>
    <w:rsid w:val="00F811C9"/>
    <w:rsid w:val="00F814FC"/>
    <w:rsid w:val="00F81954"/>
    <w:rsid w:val="00F81B36"/>
    <w:rsid w:val="00F83491"/>
    <w:rsid w:val="00F83920"/>
    <w:rsid w:val="00F83ACC"/>
    <w:rsid w:val="00F8445D"/>
    <w:rsid w:val="00F846D9"/>
    <w:rsid w:val="00F84F2D"/>
    <w:rsid w:val="00F8545F"/>
    <w:rsid w:val="00F85D3F"/>
    <w:rsid w:val="00F870AE"/>
    <w:rsid w:val="00F872CB"/>
    <w:rsid w:val="00F87F1F"/>
    <w:rsid w:val="00F90629"/>
    <w:rsid w:val="00F90A64"/>
    <w:rsid w:val="00F91A07"/>
    <w:rsid w:val="00F91C06"/>
    <w:rsid w:val="00F926D9"/>
    <w:rsid w:val="00F93CBD"/>
    <w:rsid w:val="00F951F3"/>
    <w:rsid w:val="00F958ED"/>
    <w:rsid w:val="00F97494"/>
    <w:rsid w:val="00F974DD"/>
    <w:rsid w:val="00FA038D"/>
    <w:rsid w:val="00FA065A"/>
    <w:rsid w:val="00FA0E71"/>
    <w:rsid w:val="00FA10EC"/>
    <w:rsid w:val="00FA156D"/>
    <w:rsid w:val="00FA25EA"/>
    <w:rsid w:val="00FA3F79"/>
    <w:rsid w:val="00FA50BE"/>
    <w:rsid w:val="00FA5360"/>
    <w:rsid w:val="00FA56EB"/>
    <w:rsid w:val="00FA5DCA"/>
    <w:rsid w:val="00FA766F"/>
    <w:rsid w:val="00FB19D0"/>
    <w:rsid w:val="00FB1CAD"/>
    <w:rsid w:val="00FB22F0"/>
    <w:rsid w:val="00FB3324"/>
    <w:rsid w:val="00FB509E"/>
    <w:rsid w:val="00FB5A0C"/>
    <w:rsid w:val="00FB5E90"/>
    <w:rsid w:val="00FB654A"/>
    <w:rsid w:val="00FC0CA2"/>
    <w:rsid w:val="00FC1194"/>
    <w:rsid w:val="00FC6E1B"/>
    <w:rsid w:val="00FC73F7"/>
    <w:rsid w:val="00FD0FB8"/>
    <w:rsid w:val="00FD1199"/>
    <w:rsid w:val="00FD1CB1"/>
    <w:rsid w:val="00FD23F0"/>
    <w:rsid w:val="00FD42F2"/>
    <w:rsid w:val="00FD45D4"/>
    <w:rsid w:val="00FD486F"/>
    <w:rsid w:val="00FD4E61"/>
    <w:rsid w:val="00FD5391"/>
    <w:rsid w:val="00FD539B"/>
    <w:rsid w:val="00FD551D"/>
    <w:rsid w:val="00FD62DA"/>
    <w:rsid w:val="00FE1BED"/>
    <w:rsid w:val="00FE1FE2"/>
    <w:rsid w:val="00FE308F"/>
    <w:rsid w:val="00FE32A5"/>
    <w:rsid w:val="00FE41FC"/>
    <w:rsid w:val="00FE45AA"/>
    <w:rsid w:val="00FE5176"/>
    <w:rsid w:val="00FE6449"/>
    <w:rsid w:val="00FE748A"/>
    <w:rsid w:val="00FF09FF"/>
    <w:rsid w:val="00FF0E24"/>
    <w:rsid w:val="00FF16AC"/>
    <w:rsid w:val="00FF45E3"/>
    <w:rsid w:val="00FF4A6A"/>
    <w:rsid w:val="00FF602A"/>
    <w:rsid w:val="00FF631B"/>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B0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8" w:unhideWhenUsed="1" w:qFormat="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27" w:unhideWhenUsed="1" w:qFormat="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Normal"/>
    <w:qFormat/>
    <w:rsid w:val="00BC0C20"/>
    <w:pPr>
      <w:spacing w:after="160" w:line="259" w:lineRule="auto"/>
    </w:pPr>
    <w:rPr>
      <w:rFonts w:eastAsiaTheme="minorHAnsi"/>
      <w:sz w:val="22"/>
      <w:szCs w:val="22"/>
      <w:lang w:val="en-AU"/>
    </w:rPr>
  </w:style>
  <w:style w:type="paragraph" w:styleId="Heading1">
    <w:name w:val="heading 1"/>
    <w:aliases w:val="AGLC Heading 1,[H1] Heading 1"/>
    <w:basedOn w:val="Normal"/>
    <w:next w:val="Normal"/>
    <w:link w:val="Heading1Char"/>
    <w:uiPriority w:val="3"/>
    <w:qFormat/>
    <w:rsid w:val="00045105"/>
    <w:pPr>
      <w:keepNext/>
      <w:keepLines/>
      <w:numPr>
        <w:numId w:val="27"/>
      </w:numPr>
      <w:jc w:val="center"/>
      <w:outlineLvl w:val="0"/>
    </w:pPr>
    <w:rPr>
      <w:smallCaps/>
    </w:rPr>
  </w:style>
  <w:style w:type="paragraph" w:styleId="Heading2">
    <w:name w:val="heading 2"/>
    <w:aliases w:val="AGLC Heading 2,[H2] Heading 2"/>
    <w:basedOn w:val="Normal"/>
    <w:next w:val="Normal"/>
    <w:link w:val="Heading2Char"/>
    <w:uiPriority w:val="4"/>
    <w:qFormat/>
    <w:rsid w:val="00045105"/>
    <w:pPr>
      <w:keepNext/>
      <w:keepLines/>
      <w:numPr>
        <w:ilvl w:val="1"/>
        <w:numId w:val="27"/>
      </w:numPr>
      <w:jc w:val="center"/>
      <w:outlineLvl w:val="1"/>
    </w:pPr>
    <w:rPr>
      <w:i/>
    </w:rPr>
  </w:style>
  <w:style w:type="paragraph" w:styleId="Heading3">
    <w:name w:val="heading 3"/>
    <w:aliases w:val="AGLC Heading 3,[H3] Heading 3"/>
    <w:basedOn w:val="Normal"/>
    <w:next w:val="Normal"/>
    <w:link w:val="Heading3Char"/>
    <w:uiPriority w:val="5"/>
    <w:qFormat/>
    <w:rsid w:val="00045105"/>
    <w:pPr>
      <w:keepNext/>
      <w:keepLines/>
      <w:numPr>
        <w:ilvl w:val="2"/>
        <w:numId w:val="27"/>
      </w:numPr>
      <w:outlineLvl w:val="2"/>
    </w:pPr>
    <w:rPr>
      <w:i/>
    </w:rPr>
  </w:style>
  <w:style w:type="paragraph" w:styleId="Heading4">
    <w:name w:val="heading 4"/>
    <w:aliases w:val="AGLC Heading 4,[H4] Heading 4"/>
    <w:basedOn w:val="Normal"/>
    <w:next w:val="Normal"/>
    <w:link w:val="Heading4Char"/>
    <w:uiPriority w:val="6"/>
    <w:qFormat/>
    <w:rsid w:val="00045105"/>
    <w:pPr>
      <w:keepNext/>
      <w:keepLines/>
      <w:numPr>
        <w:ilvl w:val="3"/>
        <w:numId w:val="27"/>
      </w:numPr>
      <w:outlineLvl w:val="3"/>
    </w:pPr>
    <w:rPr>
      <w:i/>
    </w:rPr>
  </w:style>
  <w:style w:type="paragraph" w:styleId="Heading5">
    <w:name w:val="heading 5"/>
    <w:aliases w:val="AGLC Heading 5,[H5] Heading 5"/>
    <w:basedOn w:val="Normal"/>
    <w:next w:val="Normal"/>
    <w:link w:val="Heading5Char"/>
    <w:uiPriority w:val="7"/>
    <w:qFormat/>
    <w:rsid w:val="00045105"/>
    <w:pPr>
      <w:keepNext/>
      <w:keepLines/>
      <w:numPr>
        <w:ilvl w:val="4"/>
        <w:numId w:val="27"/>
      </w:numPr>
      <w:outlineLvl w:val="4"/>
    </w:pPr>
    <w:rPr>
      <w:i/>
    </w:rPr>
  </w:style>
  <w:style w:type="paragraph" w:styleId="Heading6">
    <w:name w:val="heading 6"/>
    <w:basedOn w:val="Normal"/>
    <w:next w:val="Normal"/>
    <w:link w:val="Heading6Char"/>
    <w:uiPriority w:val="7"/>
    <w:rsid w:val="00045105"/>
    <w:pPr>
      <w:keepNext/>
      <w:keepLines/>
      <w:outlineLvl w:val="5"/>
    </w:pPr>
    <w:rPr>
      <w:rFonts w:eastAsiaTheme="majorEastAsia" w:cstheme="majorBidi"/>
      <w:i/>
      <w:iCs/>
    </w:rPr>
  </w:style>
  <w:style w:type="paragraph" w:styleId="Heading7">
    <w:name w:val="heading 7"/>
    <w:basedOn w:val="Normal"/>
    <w:next w:val="Normal"/>
    <w:link w:val="Heading7Char"/>
    <w:uiPriority w:val="7"/>
    <w:semiHidden/>
    <w:qFormat/>
    <w:rsid w:val="00045105"/>
    <w:pPr>
      <w:keepNext/>
      <w:keepLines/>
      <w:outlineLvl w:val="6"/>
    </w:pPr>
    <w:rPr>
      <w:rFonts w:eastAsiaTheme="majorEastAsia" w:cstheme="majorBidi"/>
      <w:i/>
      <w:iCs/>
    </w:rPr>
  </w:style>
  <w:style w:type="paragraph" w:styleId="Heading8">
    <w:name w:val="heading 8"/>
    <w:basedOn w:val="Normal"/>
    <w:next w:val="Normal"/>
    <w:link w:val="Heading8Char"/>
    <w:uiPriority w:val="7"/>
    <w:semiHidden/>
    <w:qFormat/>
    <w:rsid w:val="00045105"/>
    <w:pPr>
      <w:keepNext/>
      <w:keepLines/>
      <w:outlineLvl w:val="7"/>
    </w:pPr>
    <w:rPr>
      <w:rFonts w:eastAsiaTheme="majorEastAsia" w:cstheme="majorBidi"/>
      <w:i/>
      <w:szCs w:val="20"/>
    </w:rPr>
  </w:style>
  <w:style w:type="paragraph" w:styleId="Heading9">
    <w:name w:val="heading 9"/>
    <w:basedOn w:val="Normal"/>
    <w:next w:val="Normal"/>
    <w:link w:val="Heading9Char"/>
    <w:uiPriority w:val="7"/>
    <w:semiHidden/>
    <w:qFormat/>
    <w:rsid w:val="00045105"/>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rsid w:val="00BC0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C20"/>
  </w:style>
  <w:style w:type="paragraph" w:styleId="Header">
    <w:name w:val="header"/>
    <w:basedOn w:val="Normal"/>
    <w:link w:val="HeaderChar"/>
    <w:uiPriority w:val="99"/>
    <w:rsid w:val="00045105"/>
    <w:pPr>
      <w:tabs>
        <w:tab w:val="center" w:pos="4383"/>
        <w:tab w:val="right" w:pos="8766"/>
      </w:tabs>
    </w:pPr>
    <w:rPr>
      <w:caps/>
    </w:rPr>
  </w:style>
  <w:style w:type="character" w:customStyle="1" w:styleId="HeaderChar">
    <w:name w:val="Header Char"/>
    <w:basedOn w:val="DefaultParagraphFont"/>
    <w:link w:val="Header"/>
    <w:uiPriority w:val="99"/>
    <w:rsid w:val="00045105"/>
    <w:rPr>
      <w:rFonts w:ascii="Times New Roman" w:eastAsiaTheme="minorHAnsi" w:hAnsi="Times New Roman"/>
      <w:caps/>
      <w:lang w:val="en-AU"/>
    </w:rPr>
  </w:style>
  <w:style w:type="paragraph" w:styleId="Footer">
    <w:name w:val="footer"/>
    <w:basedOn w:val="Normal"/>
    <w:link w:val="FooterChar"/>
    <w:uiPriority w:val="36"/>
    <w:rsid w:val="00045105"/>
    <w:pPr>
      <w:tabs>
        <w:tab w:val="center" w:pos="4383"/>
        <w:tab w:val="right" w:pos="8766"/>
      </w:tabs>
    </w:pPr>
  </w:style>
  <w:style w:type="character" w:customStyle="1" w:styleId="FooterChar">
    <w:name w:val="Footer Char"/>
    <w:basedOn w:val="DefaultParagraphFont"/>
    <w:link w:val="Footer"/>
    <w:uiPriority w:val="36"/>
    <w:rsid w:val="00045105"/>
    <w:rPr>
      <w:rFonts w:ascii="Times New Roman" w:eastAsiaTheme="minorHAnsi" w:hAnsi="Times New Roman"/>
      <w:lang w:val="en-AU"/>
    </w:rPr>
  </w:style>
  <w:style w:type="paragraph" w:styleId="BalloonText">
    <w:name w:val="Balloon Text"/>
    <w:basedOn w:val="Normal"/>
    <w:link w:val="BalloonTextChar"/>
    <w:uiPriority w:val="99"/>
    <w:semiHidden/>
    <w:unhideWhenUsed/>
    <w:rsid w:val="00045105"/>
    <w:rPr>
      <w:rFonts w:ascii="Tahoma" w:hAnsi="Tahoma" w:cs="Tahoma"/>
      <w:sz w:val="16"/>
      <w:szCs w:val="16"/>
    </w:rPr>
  </w:style>
  <w:style w:type="character" w:customStyle="1" w:styleId="BalloonTextChar">
    <w:name w:val="Balloon Text Char"/>
    <w:basedOn w:val="DefaultParagraphFont"/>
    <w:link w:val="BalloonText"/>
    <w:uiPriority w:val="99"/>
    <w:semiHidden/>
    <w:rsid w:val="00045105"/>
    <w:rPr>
      <w:rFonts w:ascii="Tahoma" w:eastAsiaTheme="minorHAnsi" w:hAnsi="Tahoma" w:cs="Tahoma"/>
      <w:sz w:val="16"/>
      <w:szCs w:val="16"/>
      <w:lang w:val="en-AU"/>
    </w:rPr>
  </w:style>
  <w:style w:type="character" w:styleId="PlaceholderText">
    <w:name w:val="Placeholder Text"/>
    <w:basedOn w:val="DefaultParagraphFont"/>
    <w:uiPriority w:val="99"/>
    <w:semiHidden/>
    <w:rsid w:val="00B839F4"/>
    <w:rPr>
      <w:color w:val="808080"/>
    </w:rPr>
  </w:style>
  <w:style w:type="character" w:customStyle="1" w:styleId="Heading1Char">
    <w:name w:val="Heading 1 Char"/>
    <w:aliases w:val="AGLC Heading 1 Char,[H1] Heading 1 Char"/>
    <w:basedOn w:val="DefaultParagraphFont"/>
    <w:link w:val="Heading1"/>
    <w:uiPriority w:val="3"/>
    <w:rsid w:val="00045105"/>
    <w:rPr>
      <w:rFonts w:ascii="Times New Roman" w:eastAsiaTheme="minorHAnsi" w:hAnsi="Times New Roman"/>
      <w:smallCaps/>
      <w:lang w:val="en-AU"/>
    </w:rPr>
  </w:style>
  <w:style w:type="paragraph" w:customStyle="1" w:styleId="author">
    <w:name w:val="author"/>
    <w:next w:val="Normal"/>
    <w:qFormat/>
    <w:rsid w:val="0018298D"/>
    <w:pPr>
      <w:suppressAutoHyphens/>
      <w:spacing w:before="480" w:after="220"/>
      <w:jc w:val="center"/>
    </w:pPr>
    <w:rPr>
      <w:rFonts w:ascii="Equity Caps A" w:eastAsia="Times New Roman" w:hAnsi="Equity Caps A" w:cs="Times New Roman"/>
      <w:caps/>
      <w:lang w:val="en-AU" w:eastAsia="de-DE"/>
    </w:rPr>
  </w:style>
  <w:style w:type="paragraph" w:customStyle="1" w:styleId="abstract">
    <w:name w:val="abstract"/>
    <w:basedOn w:val="Normal"/>
    <w:next w:val="Normal"/>
    <w:rsid w:val="007E318C"/>
  </w:style>
  <w:style w:type="paragraph" w:styleId="Title">
    <w:name w:val="Title"/>
    <w:aliases w:val="AGLC Title,[T] Title"/>
    <w:basedOn w:val="Normal"/>
    <w:next w:val="Normal"/>
    <w:link w:val="TitleChar"/>
    <w:uiPriority w:val="24"/>
    <w:qFormat/>
    <w:rsid w:val="00045105"/>
    <w:pPr>
      <w:jc w:val="center"/>
    </w:pPr>
    <w:rPr>
      <w:rFonts w:ascii="Times New Roman Bold" w:hAnsi="Times New Roman Bold"/>
      <w:b/>
      <w:caps/>
    </w:rPr>
  </w:style>
  <w:style w:type="character" w:customStyle="1" w:styleId="TitleChar">
    <w:name w:val="Title Char"/>
    <w:aliases w:val="AGLC Title Char,[T] Title Char"/>
    <w:basedOn w:val="DefaultParagraphFont"/>
    <w:link w:val="Title"/>
    <w:uiPriority w:val="24"/>
    <w:rsid w:val="00045105"/>
    <w:rPr>
      <w:rFonts w:ascii="Times New Roman Bold" w:eastAsiaTheme="minorHAnsi" w:hAnsi="Times New Roman Bold"/>
      <w:b/>
      <w:caps/>
      <w:lang w:val="en-AU"/>
    </w:rPr>
  </w:style>
  <w:style w:type="paragraph" w:styleId="Subtitle">
    <w:name w:val="Subtitle"/>
    <w:aliases w:val="AGLC AuthourSubtitle,[ST] Subtitle"/>
    <w:basedOn w:val="Normal"/>
    <w:next w:val="Normal"/>
    <w:link w:val="SubtitleChar"/>
    <w:uiPriority w:val="25"/>
    <w:qFormat/>
    <w:rsid w:val="00045105"/>
    <w:pPr>
      <w:jc w:val="center"/>
    </w:pPr>
    <w:rPr>
      <w:smallCaps/>
      <w:szCs w:val="20"/>
    </w:rPr>
  </w:style>
  <w:style w:type="character" w:customStyle="1" w:styleId="SubtitleChar">
    <w:name w:val="Subtitle Char"/>
    <w:aliases w:val="AGLC AuthourSubtitle Char,[ST] Subtitle Char"/>
    <w:basedOn w:val="DefaultParagraphFont"/>
    <w:link w:val="Subtitle"/>
    <w:uiPriority w:val="25"/>
    <w:rsid w:val="00045105"/>
    <w:rPr>
      <w:rFonts w:ascii="Times New Roman" w:eastAsiaTheme="minorHAnsi" w:hAnsi="Times New Roman"/>
      <w:smallCaps/>
      <w:szCs w:val="20"/>
      <w:lang w:val="en-AU"/>
    </w:rPr>
  </w:style>
  <w:style w:type="character" w:styleId="CommentReference">
    <w:name w:val="annotation reference"/>
    <w:basedOn w:val="DefaultParagraphFont"/>
    <w:uiPriority w:val="99"/>
    <w:semiHidden/>
    <w:unhideWhenUsed/>
    <w:rsid w:val="007E318C"/>
    <w:rPr>
      <w:sz w:val="18"/>
      <w:szCs w:val="18"/>
    </w:rPr>
  </w:style>
  <w:style w:type="paragraph" w:styleId="CommentText">
    <w:name w:val="annotation text"/>
    <w:basedOn w:val="Normal"/>
    <w:link w:val="CommentTextChar"/>
    <w:uiPriority w:val="99"/>
    <w:unhideWhenUsed/>
    <w:rsid w:val="007E318C"/>
  </w:style>
  <w:style w:type="character" w:customStyle="1" w:styleId="CommentTextChar">
    <w:name w:val="Comment Text Char"/>
    <w:basedOn w:val="DefaultParagraphFont"/>
    <w:link w:val="CommentText"/>
    <w:uiPriority w:val="99"/>
    <w:rsid w:val="007E318C"/>
    <w:rPr>
      <w:rFonts w:ascii="Times" w:eastAsia="Times New Roman" w:hAnsi="Times" w:cs="Times New Roman"/>
      <w:noProof/>
      <w:sz w:val="24"/>
      <w:szCs w:val="24"/>
      <w:lang w:val="en-AU" w:eastAsia="de-DE"/>
    </w:rPr>
  </w:style>
  <w:style w:type="paragraph" w:styleId="TOC1">
    <w:name w:val="toc 1"/>
    <w:basedOn w:val="Normal"/>
    <w:next w:val="Normal"/>
    <w:autoRedefine/>
    <w:uiPriority w:val="44"/>
    <w:unhideWhenUsed/>
    <w:rsid w:val="00045105"/>
    <w:pPr>
      <w:spacing w:after="100"/>
    </w:pPr>
  </w:style>
  <w:style w:type="paragraph" w:styleId="TOC2">
    <w:name w:val="toc 2"/>
    <w:basedOn w:val="Normal"/>
    <w:next w:val="Normal"/>
    <w:autoRedefine/>
    <w:uiPriority w:val="44"/>
    <w:unhideWhenUsed/>
    <w:rsid w:val="00045105"/>
    <w:pPr>
      <w:spacing w:after="100"/>
      <w:ind w:left="240"/>
    </w:pPr>
  </w:style>
  <w:style w:type="paragraph" w:styleId="Bibliography">
    <w:name w:val="Bibliography"/>
    <w:aliases w:val="[BIB] Bibliography"/>
    <w:basedOn w:val="Normal"/>
    <w:next w:val="Normal"/>
    <w:link w:val="BibliographyChar"/>
    <w:uiPriority w:val="27"/>
    <w:qFormat/>
    <w:rsid w:val="00045105"/>
    <w:pPr>
      <w:numPr>
        <w:numId w:val="28"/>
      </w:numPr>
      <w:jc w:val="center"/>
    </w:pPr>
    <w:rPr>
      <w:i/>
    </w:rPr>
  </w:style>
  <w:style w:type="paragraph" w:styleId="FootnoteText">
    <w:name w:val="footnote text"/>
    <w:basedOn w:val="Normal"/>
    <w:link w:val="FootnoteTextChar"/>
    <w:uiPriority w:val="38"/>
    <w:rsid w:val="00045105"/>
    <w:pPr>
      <w:ind w:left="567" w:hanging="567"/>
    </w:pPr>
    <w:rPr>
      <w:sz w:val="20"/>
      <w:szCs w:val="20"/>
    </w:rPr>
  </w:style>
  <w:style w:type="character" w:customStyle="1" w:styleId="FootnoteTextChar">
    <w:name w:val="Footnote Text Char"/>
    <w:basedOn w:val="DefaultParagraphFont"/>
    <w:link w:val="FootnoteText"/>
    <w:uiPriority w:val="38"/>
    <w:rsid w:val="00045105"/>
    <w:rPr>
      <w:rFonts w:ascii="Times New Roman" w:eastAsiaTheme="minorHAnsi" w:hAnsi="Times New Roman"/>
      <w:sz w:val="20"/>
      <w:szCs w:val="20"/>
      <w:lang w:val="en-AU"/>
    </w:rPr>
  </w:style>
  <w:style w:type="character" w:styleId="FootnoteReference">
    <w:name w:val="footnote reference"/>
    <w:basedOn w:val="DefaultParagraphFont"/>
    <w:uiPriority w:val="37"/>
    <w:rsid w:val="00045105"/>
    <w:rPr>
      <w:vertAlign w:val="superscript"/>
    </w:rPr>
  </w:style>
  <w:style w:type="paragraph" w:styleId="NormalWeb">
    <w:name w:val="Normal (Web)"/>
    <w:basedOn w:val="Normal"/>
    <w:uiPriority w:val="99"/>
    <w:semiHidden/>
    <w:unhideWhenUsed/>
    <w:rsid w:val="00D9374D"/>
  </w:style>
  <w:style w:type="character" w:customStyle="1" w:styleId="Heading2Char">
    <w:name w:val="Heading 2 Char"/>
    <w:aliases w:val="AGLC Heading 2 Char,[H2] Heading 2 Char"/>
    <w:basedOn w:val="DefaultParagraphFont"/>
    <w:link w:val="Heading2"/>
    <w:uiPriority w:val="4"/>
    <w:rsid w:val="00045105"/>
    <w:rPr>
      <w:rFonts w:ascii="Times New Roman" w:eastAsiaTheme="minorHAnsi" w:hAnsi="Times New Roman"/>
      <w:i/>
      <w:lang w:val="en-AU"/>
    </w:rPr>
  </w:style>
  <w:style w:type="paragraph" w:styleId="NoSpacing">
    <w:name w:val="No Spacing"/>
    <w:aliases w:val="[NS] No Spacing"/>
    <w:uiPriority w:val="33"/>
    <w:qFormat/>
    <w:rsid w:val="00045105"/>
    <w:rPr>
      <w:rFonts w:ascii="Times New Roman" w:eastAsiaTheme="minorHAnsi" w:hAnsi="Times New Roman"/>
      <w:szCs w:val="22"/>
      <w:lang w:val="en-AU"/>
    </w:rPr>
  </w:style>
  <w:style w:type="paragraph" w:customStyle="1" w:styleId="Footnote">
    <w:name w:val="Footnote"/>
    <w:basedOn w:val="FootnoteText"/>
    <w:link w:val="FootnoteChar"/>
    <w:rsid w:val="00B67B37"/>
    <w:rPr>
      <w:rFonts w:cs="Times New Roman"/>
    </w:rPr>
  </w:style>
  <w:style w:type="character" w:customStyle="1" w:styleId="FootnoteChar">
    <w:name w:val="Footnote Char"/>
    <w:basedOn w:val="FootnoteTextChar"/>
    <w:link w:val="Footnote"/>
    <w:rsid w:val="00B67B37"/>
    <w:rPr>
      <w:rFonts w:ascii="Times New Roman" w:eastAsiaTheme="minorEastAsia" w:hAnsi="Times New Roman" w:cs="Times New Roman"/>
      <w:iCs w:val="0"/>
      <w:sz w:val="20"/>
      <w:szCs w:val="24"/>
      <w:lang w:val="en-AU"/>
    </w:rPr>
  </w:style>
  <w:style w:type="character" w:styleId="EndnoteReference">
    <w:name w:val="endnote reference"/>
    <w:basedOn w:val="DefaultParagraphFont"/>
    <w:uiPriority w:val="99"/>
    <w:semiHidden/>
    <w:unhideWhenUsed/>
    <w:rsid w:val="00966252"/>
    <w:rPr>
      <w:vertAlign w:val="superscript"/>
    </w:rPr>
  </w:style>
  <w:style w:type="paragraph" w:styleId="DocumentMap">
    <w:name w:val="Document Map"/>
    <w:basedOn w:val="Normal"/>
    <w:link w:val="DocumentMapChar"/>
    <w:uiPriority w:val="99"/>
    <w:semiHidden/>
    <w:unhideWhenUsed/>
    <w:rsid w:val="00EE3CFA"/>
    <w:rPr>
      <w:rFonts w:ascii="Lucida Grande" w:hAnsi="Lucida Grande" w:cs="Lucida Grande"/>
    </w:rPr>
  </w:style>
  <w:style w:type="character" w:customStyle="1" w:styleId="DocumentMapChar">
    <w:name w:val="Document Map Char"/>
    <w:basedOn w:val="DefaultParagraphFont"/>
    <w:link w:val="DocumentMap"/>
    <w:uiPriority w:val="99"/>
    <w:semiHidden/>
    <w:rsid w:val="00EE3CFA"/>
    <w:rPr>
      <w:rFonts w:ascii="Lucida Grande" w:eastAsia="Times New Roman" w:hAnsi="Lucida Grande" w:cs="Lucida Grande"/>
      <w:noProof/>
      <w:sz w:val="24"/>
      <w:szCs w:val="24"/>
      <w:lang w:val="en-AU" w:eastAsia="de-DE"/>
    </w:rPr>
  </w:style>
  <w:style w:type="character" w:styleId="Hyperlink">
    <w:name w:val="Hyperlink"/>
    <w:basedOn w:val="DefaultParagraphFont"/>
    <w:uiPriority w:val="99"/>
    <w:unhideWhenUsed/>
    <w:rsid w:val="00045105"/>
    <w:rPr>
      <w:color w:val="0000FF" w:themeColor="hyperlink"/>
      <w:u w:val="single"/>
    </w:rPr>
  </w:style>
  <w:style w:type="character" w:styleId="SubtleEmphasis">
    <w:name w:val="Subtle Emphasis"/>
    <w:basedOn w:val="DefaultParagraphFont"/>
    <w:uiPriority w:val="19"/>
    <w:rsid w:val="00B61306"/>
    <w:rPr>
      <w:i/>
      <w:iCs/>
      <w:color w:val="808080" w:themeColor="text1" w:themeTint="7F"/>
    </w:rPr>
  </w:style>
  <w:style w:type="paragraph" w:styleId="Quote">
    <w:name w:val="Quote"/>
    <w:aliases w:val="[Q] Quote"/>
    <w:basedOn w:val="Normal"/>
    <w:next w:val="Normal"/>
    <w:link w:val="QuoteChar"/>
    <w:uiPriority w:val="2"/>
    <w:qFormat/>
    <w:rsid w:val="00045105"/>
    <w:pPr>
      <w:ind w:left="567"/>
    </w:pPr>
    <w:rPr>
      <w:iCs/>
    </w:rPr>
  </w:style>
  <w:style w:type="character" w:customStyle="1" w:styleId="QuoteChar">
    <w:name w:val="Quote Char"/>
    <w:aliases w:val="[Q] Quote Char"/>
    <w:basedOn w:val="DefaultParagraphFont"/>
    <w:link w:val="Quote"/>
    <w:uiPriority w:val="2"/>
    <w:rsid w:val="00045105"/>
    <w:rPr>
      <w:rFonts w:ascii="Times New Roman" w:eastAsiaTheme="minorHAnsi" w:hAnsi="Times New Roman"/>
      <w:iCs/>
      <w:sz w:val="22"/>
      <w:lang w:val="en-AU"/>
    </w:rPr>
  </w:style>
  <w:style w:type="paragraph" w:styleId="CommentSubject">
    <w:name w:val="annotation subject"/>
    <w:basedOn w:val="CommentText"/>
    <w:next w:val="CommentText"/>
    <w:link w:val="CommentSubjectChar"/>
    <w:uiPriority w:val="99"/>
    <w:semiHidden/>
    <w:unhideWhenUsed/>
    <w:rsid w:val="00A46697"/>
    <w:rPr>
      <w:b/>
      <w:bCs/>
      <w:sz w:val="20"/>
      <w:szCs w:val="20"/>
    </w:rPr>
  </w:style>
  <w:style w:type="character" w:customStyle="1" w:styleId="CommentSubjectChar">
    <w:name w:val="Comment Subject Char"/>
    <w:basedOn w:val="CommentTextChar"/>
    <w:link w:val="CommentSubject"/>
    <w:uiPriority w:val="99"/>
    <w:semiHidden/>
    <w:rsid w:val="00A46697"/>
    <w:rPr>
      <w:rFonts w:ascii="Times" w:eastAsia="Times New Roman" w:hAnsi="Times" w:cs="Times New Roman"/>
      <w:b/>
      <w:bCs/>
      <w:noProof/>
      <w:sz w:val="20"/>
      <w:szCs w:val="20"/>
      <w:lang w:val="en-AU" w:eastAsia="de-DE"/>
    </w:rPr>
  </w:style>
  <w:style w:type="paragraph" w:customStyle="1" w:styleId="Default">
    <w:name w:val="Default"/>
    <w:rsid w:val="000E50D3"/>
    <w:pPr>
      <w:autoSpaceDE w:val="0"/>
      <w:autoSpaceDN w:val="0"/>
      <w:adjustRightInd w:val="0"/>
    </w:pPr>
    <w:rPr>
      <w:rFonts w:ascii="Times New Roman" w:hAnsi="Times New Roman" w:cs="Times New Roman"/>
      <w:color w:val="000000"/>
      <w:lang w:val="en-AU"/>
    </w:rPr>
  </w:style>
  <w:style w:type="paragraph" w:styleId="Revision">
    <w:name w:val="Revision"/>
    <w:hidden/>
    <w:uiPriority w:val="99"/>
    <w:semiHidden/>
    <w:rsid w:val="00B06295"/>
    <w:rPr>
      <w:rFonts w:ascii="Times" w:eastAsia="Times New Roman" w:hAnsi="Times" w:cs="Times New Roman"/>
      <w:noProof/>
      <w:szCs w:val="20"/>
      <w:lang w:val="en-AU" w:eastAsia="de-DE"/>
    </w:rPr>
  </w:style>
  <w:style w:type="character" w:customStyle="1" w:styleId="Heading3Char">
    <w:name w:val="Heading 3 Char"/>
    <w:aliases w:val="AGLC Heading 3 Char,[H3] Heading 3 Char"/>
    <w:basedOn w:val="DefaultParagraphFont"/>
    <w:link w:val="Heading3"/>
    <w:uiPriority w:val="5"/>
    <w:rsid w:val="00045105"/>
    <w:rPr>
      <w:rFonts w:ascii="Times New Roman" w:eastAsiaTheme="minorHAnsi" w:hAnsi="Times New Roman"/>
      <w:i/>
      <w:lang w:val="en-AU"/>
    </w:rPr>
  </w:style>
  <w:style w:type="character" w:customStyle="1" w:styleId="Heading4Char">
    <w:name w:val="Heading 4 Char"/>
    <w:aliases w:val="AGLC Heading 4 Char,[H4] Heading 4 Char"/>
    <w:basedOn w:val="DefaultParagraphFont"/>
    <w:link w:val="Heading4"/>
    <w:uiPriority w:val="6"/>
    <w:rsid w:val="00045105"/>
    <w:rPr>
      <w:rFonts w:ascii="Times New Roman" w:eastAsiaTheme="minorHAnsi" w:hAnsi="Times New Roman"/>
      <w:i/>
      <w:lang w:val="en-AU"/>
    </w:rPr>
  </w:style>
  <w:style w:type="character" w:customStyle="1" w:styleId="Heading5Char">
    <w:name w:val="Heading 5 Char"/>
    <w:aliases w:val="AGLC Heading 5 Char,[H5] Heading 5 Char"/>
    <w:basedOn w:val="DefaultParagraphFont"/>
    <w:link w:val="Heading5"/>
    <w:uiPriority w:val="7"/>
    <w:rsid w:val="00045105"/>
    <w:rPr>
      <w:rFonts w:ascii="Times New Roman" w:eastAsiaTheme="minorHAnsi" w:hAnsi="Times New Roman"/>
      <w:i/>
      <w:lang w:val="en-AU"/>
    </w:rPr>
  </w:style>
  <w:style w:type="character" w:customStyle="1" w:styleId="Heading6Char">
    <w:name w:val="Heading 6 Char"/>
    <w:basedOn w:val="DefaultParagraphFont"/>
    <w:link w:val="Heading6"/>
    <w:uiPriority w:val="7"/>
    <w:rsid w:val="00045105"/>
    <w:rPr>
      <w:rFonts w:ascii="Times New Roman" w:eastAsiaTheme="majorEastAsia" w:hAnsi="Times New Roman" w:cstheme="majorBidi"/>
      <w:i/>
      <w:iCs/>
      <w:lang w:val="en-AU"/>
    </w:rPr>
  </w:style>
  <w:style w:type="character" w:customStyle="1" w:styleId="Heading7Char">
    <w:name w:val="Heading 7 Char"/>
    <w:basedOn w:val="DefaultParagraphFont"/>
    <w:link w:val="Heading7"/>
    <w:uiPriority w:val="7"/>
    <w:semiHidden/>
    <w:rsid w:val="00045105"/>
    <w:rPr>
      <w:rFonts w:ascii="Times New Roman" w:eastAsiaTheme="majorEastAsia" w:hAnsi="Times New Roman" w:cstheme="majorBidi"/>
      <w:i/>
      <w:iCs/>
      <w:lang w:val="en-AU"/>
    </w:rPr>
  </w:style>
  <w:style w:type="character" w:customStyle="1" w:styleId="Heading8Char">
    <w:name w:val="Heading 8 Char"/>
    <w:basedOn w:val="DefaultParagraphFont"/>
    <w:link w:val="Heading8"/>
    <w:uiPriority w:val="7"/>
    <w:semiHidden/>
    <w:rsid w:val="00045105"/>
    <w:rPr>
      <w:rFonts w:ascii="Times New Roman" w:eastAsiaTheme="majorEastAsia" w:hAnsi="Times New Roman" w:cstheme="majorBidi"/>
      <w:i/>
      <w:szCs w:val="20"/>
      <w:lang w:val="en-AU"/>
    </w:rPr>
  </w:style>
  <w:style w:type="character" w:customStyle="1" w:styleId="Heading9Char">
    <w:name w:val="Heading 9 Char"/>
    <w:basedOn w:val="DefaultParagraphFont"/>
    <w:link w:val="Heading9"/>
    <w:uiPriority w:val="7"/>
    <w:semiHidden/>
    <w:rsid w:val="00045105"/>
    <w:rPr>
      <w:rFonts w:ascii="Times New Roman" w:eastAsiaTheme="majorEastAsia" w:hAnsi="Times New Roman" w:cstheme="majorBidi"/>
      <w:i/>
      <w:iCs/>
      <w:szCs w:val="20"/>
      <w:lang w:val="en-AU"/>
    </w:rPr>
  </w:style>
  <w:style w:type="paragraph" w:styleId="ListParagraph">
    <w:name w:val="List Paragraph"/>
    <w:basedOn w:val="Normal"/>
    <w:link w:val="ListParagraphChar"/>
    <w:uiPriority w:val="35"/>
    <w:rsid w:val="00045105"/>
    <w:pPr>
      <w:contextualSpacing/>
    </w:pPr>
  </w:style>
  <w:style w:type="paragraph" w:customStyle="1" w:styleId="AGLCindentquotationstyle">
    <w:name w:val="AGLC indent quotation style"/>
    <w:basedOn w:val="Normal"/>
    <w:link w:val="AGLCindentquotationstyleChar"/>
    <w:qFormat/>
    <w:rsid w:val="00DC0FE5"/>
    <w:pPr>
      <w:ind w:left="567"/>
    </w:pPr>
    <w:rPr>
      <w:lang w:eastAsia="ar-SA"/>
    </w:rPr>
  </w:style>
  <w:style w:type="character" w:customStyle="1" w:styleId="AGLCindentquotationstyleChar">
    <w:name w:val="AGLC indent quotation style Char"/>
    <w:basedOn w:val="DefaultParagraphFont"/>
    <w:link w:val="AGLCindentquotationstyle"/>
    <w:rsid w:val="00DC0FE5"/>
    <w:rPr>
      <w:rFonts w:ascii="Equity Text A" w:hAnsi="Equity Text A"/>
      <w:iCs/>
      <w:sz w:val="22"/>
      <w:szCs w:val="22"/>
      <w:lang w:val="en-AU" w:eastAsia="ar-SA"/>
    </w:rPr>
  </w:style>
  <w:style w:type="table" w:styleId="TableGrid">
    <w:name w:val="Table Grid"/>
    <w:basedOn w:val="TableNormal"/>
    <w:uiPriority w:val="59"/>
    <w:rsid w:val="00045105"/>
    <w:rPr>
      <w:rFonts w:ascii="Times New Roman" w:eastAsiaTheme="minorHAnsi" w:hAnsi="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qFormat/>
    <w:rsid w:val="005F6019"/>
    <w:rPr>
      <w:rFonts w:ascii="Equity Text A" w:hAnsi="Equity Text A"/>
      <w:sz w:val="20"/>
      <w:szCs w:val="20"/>
    </w:rPr>
  </w:style>
  <w:style w:type="table" w:styleId="LightShading">
    <w:name w:val="Light Shading"/>
    <w:basedOn w:val="TableNormal"/>
    <w:uiPriority w:val="60"/>
    <w:rsid w:val="00475D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E82A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042030"/>
    <w:rPr>
      <w:rFonts w:ascii="Calibri" w:hAnsi="Calibri"/>
      <w:iCs/>
      <w:szCs w:val="21"/>
    </w:rPr>
  </w:style>
  <w:style w:type="character" w:customStyle="1" w:styleId="PlainTextChar">
    <w:name w:val="Plain Text Char"/>
    <w:basedOn w:val="DefaultParagraphFont"/>
    <w:link w:val="PlainText"/>
    <w:uiPriority w:val="99"/>
    <w:semiHidden/>
    <w:rsid w:val="00042030"/>
    <w:rPr>
      <w:rFonts w:ascii="Calibri" w:eastAsiaTheme="minorHAnsi" w:hAnsi="Calibri"/>
      <w:sz w:val="22"/>
      <w:szCs w:val="21"/>
      <w:lang w:val="en-AU"/>
    </w:rPr>
  </w:style>
  <w:style w:type="character" w:customStyle="1" w:styleId="apple-converted-space">
    <w:name w:val="apple-converted-space"/>
    <w:basedOn w:val="DefaultParagraphFont"/>
    <w:rsid w:val="007B34CF"/>
  </w:style>
  <w:style w:type="paragraph" w:customStyle="1" w:styleId="AAuthor">
    <w:name w:val="[A] Author"/>
    <w:basedOn w:val="Normal"/>
    <w:next w:val="Normal"/>
    <w:link w:val="AAuthorChar"/>
    <w:uiPriority w:val="26"/>
    <w:qFormat/>
    <w:rsid w:val="00045105"/>
    <w:pPr>
      <w:jc w:val="center"/>
    </w:pPr>
    <w:rPr>
      <w:smallCaps/>
      <w:sz w:val="20"/>
      <w:szCs w:val="20"/>
    </w:rPr>
  </w:style>
  <w:style w:type="character" w:customStyle="1" w:styleId="AAuthorChar">
    <w:name w:val="[A] Author Char"/>
    <w:basedOn w:val="DefaultParagraphFont"/>
    <w:link w:val="AAuthor"/>
    <w:uiPriority w:val="26"/>
    <w:rsid w:val="00045105"/>
    <w:rPr>
      <w:rFonts w:ascii="Times New Roman" w:eastAsiaTheme="minorHAnsi" w:hAnsi="Times New Roman"/>
      <w:smallCaps/>
      <w:sz w:val="20"/>
      <w:szCs w:val="20"/>
      <w:lang w:val="en-AU"/>
    </w:rPr>
  </w:style>
  <w:style w:type="paragraph" w:customStyle="1" w:styleId="BBullets">
    <w:name w:val="[B] Bullets"/>
    <w:basedOn w:val="ListParagraph"/>
    <w:link w:val="BBulletsChar"/>
    <w:uiPriority w:val="22"/>
    <w:qFormat/>
    <w:rsid w:val="00045105"/>
    <w:pPr>
      <w:numPr>
        <w:numId w:val="29"/>
      </w:numPr>
      <w:spacing w:before="240"/>
    </w:pPr>
  </w:style>
  <w:style w:type="character" w:customStyle="1" w:styleId="BibliographyChar">
    <w:name w:val="Bibliography Char"/>
    <w:aliases w:val="[BIB] Bibliography Char"/>
    <w:basedOn w:val="DefaultParagraphFont"/>
    <w:link w:val="Bibliography"/>
    <w:uiPriority w:val="27"/>
    <w:rsid w:val="00045105"/>
    <w:rPr>
      <w:rFonts w:ascii="Times New Roman" w:eastAsiaTheme="minorHAnsi" w:hAnsi="Times New Roman"/>
      <w:i/>
      <w:lang w:val="en-AU"/>
    </w:rPr>
  </w:style>
  <w:style w:type="character" w:customStyle="1" w:styleId="ListParagraphChar">
    <w:name w:val="List Paragraph Char"/>
    <w:basedOn w:val="DefaultParagraphFont"/>
    <w:link w:val="ListParagraph"/>
    <w:uiPriority w:val="35"/>
    <w:rsid w:val="00045105"/>
    <w:rPr>
      <w:rFonts w:ascii="Times New Roman" w:eastAsiaTheme="minorHAnsi" w:hAnsi="Times New Roman"/>
      <w:lang w:val="en-AU"/>
    </w:rPr>
  </w:style>
  <w:style w:type="character" w:customStyle="1" w:styleId="BBulletsChar">
    <w:name w:val="[B] Bullets Char"/>
    <w:basedOn w:val="ListParagraphChar"/>
    <w:link w:val="BBullets"/>
    <w:uiPriority w:val="22"/>
    <w:rsid w:val="00045105"/>
    <w:rPr>
      <w:rFonts w:ascii="Times New Roman" w:eastAsiaTheme="minorHAnsi" w:hAnsi="Times New Roman"/>
      <w:lang w:val="en-AU"/>
    </w:rPr>
  </w:style>
  <w:style w:type="paragraph" w:customStyle="1" w:styleId="FIGFigure">
    <w:name w:val="[FIG] Figure"/>
    <w:basedOn w:val="ListParagraph"/>
    <w:next w:val="Normal"/>
    <w:link w:val="FIGFigureChar"/>
    <w:uiPriority w:val="20"/>
    <w:qFormat/>
    <w:rsid w:val="00045105"/>
    <w:pPr>
      <w:keepNext/>
      <w:numPr>
        <w:numId w:val="30"/>
      </w:numPr>
      <w:spacing w:before="240" w:after="120"/>
    </w:pPr>
    <w:rPr>
      <w:sz w:val="20"/>
    </w:rPr>
  </w:style>
  <w:style w:type="paragraph" w:customStyle="1" w:styleId="TABTable">
    <w:name w:val="[TAB] Table"/>
    <w:basedOn w:val="ListParagraph"/>
    <w:next w:val="Normal"/>
    <w:link w:val="TABTableChar"/>
    <w:uiPriority w:val="21"/>
    <w:qFormat/>
    <w:rsid w:val="00045105"/>
    <w:pPr>
      <w:keepNext/>
      <w:numPr>
        <w:numId w:val="31"/>
      </w:numPr>
      <w:spacing w:before="240" w:after="120"/>
    </w:pPr>
    <w:rPr>
      <w:sz w:val="20"/>
    </w:rPr>
  </w:style>
  <w:style w:type="character" w:customStyle="1" w:styleId="FIGFigureChar">
    <w:name w:val="[FIG] Figure Char"/>
    <w:basedOn w:val="ListParagraphChar"/>
    <w:link w:val="FIGFigure"/>
    <w:uiPriority w:val="20"/>
    <w:rsid w:val="00045105"/>
    <w:rPr>
      <w:rFonts w:ascii="Times New Roman" w:eastAsiaTheme="minorHAnsi" w:hAnsi="Times New Roman"/>
      <w:sz w:val="20"/>
      <w:lang w:val="en-AU"/>
    </w:rPr>
  </w:style>
  <w:style w:type="paragraph" w:customStyle="1" w:styleId="NINormalIndented">
    <w:name w:val="[NI] Normal Indented"/>
    <w:basedOn w:val="Normal"/>
    <w:link w:val="NINormalIndentedChar"/>
    <w:uiPriority w:val="32"/>
    <w:qFormat/>
    <w:rsid w:val="00045105"/>
    <w:pPr>
      <w:ind w:left="567"/>
    </w:pPr>
  </w:style>
  <w:style w:type="character" w:customStyle="1" w:styleId="TABTableChar">
    <w:name w:val="[TAB] Table Char"/>
    <w:basedOn w:val="ListParagraphChar"/>
    <w:link w:val="TABTable"/>
    <w:uiPriority w:val="21"/>
    <w:rsid w:val="00045105"/>
    <w:rPr>
      <w:rFonts w:ascii="Times New Roman" w:eastAsiaTheme="minorHAnsi" w:hAnsi="Times New Roman"/>
      <w:sz w:val="20"/>
      <w:lang w:val="en-AU"/>
    </w:rPr>
  </w:style>
  <w:style w:type="character" w:customStyle="1" w:styleId="NINormalIndentedChar">
    <w:name w:val="[NI] Normal Indented Char"/>
    <w:basedOn w:val="DefaultParagraphFont"/>
    <w:link w:val="NINormalIndented"/>
    <w:uiPriority w:val="32"/>
    <w:rsid w:val="00045105"/>
    <w:rPr>
      <w:rFonts w:ascii="Times New Roman" w:eastAsiaTheme="minorHAnsi" w:hAnsi="Times New Roman"/>
      <w:lang w:val="en-AU"/>
    </w:rPr>
  </w:style>
  <w:style w:type="paragraph" w:customStyle="1" w:styleId="TABHTableHeading">
    <w:name w:val="[TABH] Table Heading"/>
    <w:basedOn w:val="Normal"/>
    <w:link w:val="TABHTableHeadingChar"/>
    <w:uiPriority w:val="28"/>
    <w:qFormat/>
    <w:rsid w:val="00045105"/>
    <w:rPr>
      <w:b/>
    </w:rPr>
  </w:style>
  <w:style w:type="paragraph" w:customStyle="1" w:styleId="TABTTableText">
    <w:name w:val="[TABT] Table Text"/>
    <w:basedOn w:val="Normal"/>
    <w:link w:val="TABTTableTextChar"/>
    <w:uiPriority w:val="29"/>
    <w:qFormat/>
    <w:rsid w:val="00045105"/>
  </w:style>
  <w:style w:type="character" w:customStyle="1" w:styleId="TABHTableHeadingChar">
    <w:name w:val="[TABH] Table Heading Char"/>
    <w:basedOn w:val="DefaultParagraphFont"/>
    <w:link w:val="TABHTableHeading"/>
    <w:uiPriority w:val="28"/>
    <w:rsid w:val="00045105"/>
    <w:rPr>
      <w:rFonts w:ascii="Times New Roman" w:eastAsiaTheme="minorHAnsi" w:hAnsi="Times New Roman"/>
      <w:b/>
      <w:sz w:val="22"/>
      <w:lang w:val="en-AU"/>
    </w:rPr>
  </w:style>
  <w:style w:type="paragraph" w:customStyle="1" w:styleId="TABNTableTopicNumbers">
    <w:name w:val="[TABN] Table Topic Numbers"/>
    <w:basedOn w:val="ListParagraph"/>
    <w:link w:val="TABNTableTopicNumbersChar"/>
    <w:uiPriority w:val="30"/>
    <w:qFormat/>
    <w:rsid w:val="00045105"/>
    <w:pPr>
      <w:numPr>
        <w:numId w:val="33"/>
      </w:numPr>
    </w:pPr>
  </w:style>
  <w:style w:type="character" w:customStyle="1" w:styleId="TABTTableTextChar">
    <w:name w:val="[TABT] Table Text Char"/>
    <w:basedOn w:val="DefaultParagraphFont"/>
    <w:link w:val="TABTTableText"/>
    <w:uiPriority w:val="29"/>
    <w:rsid w:val="00045105"/>
    <w:rPr>
      <w:rFonts w:ascii="Times New Roman" w:eastAsiaTheme="minorHAnsi" w:hAnsi="Times New Roman"/>
      <w:sz w:val="22"/>
      <w:lang w:val="en-AU"/>
    </w:rPr>
  </w:style>
  <w:style w:type="paragraph" w:customStyle="1" w:styleId="TABBTableBullets">
    <w:name w:val="[TABB] Table Bullets"/>
    <w:basedOn w:val="BBullets"/>
    <w:link w:val="TABBTableBulletsChar"/>
    <w:uiPriority w:val="31"/>
    <w:qFormat/>
    <w:rsid w:val="00045105"/>
    <w:pPr>
      <w:numPr>
        <w:numId w:val="34"/>
      </w:numPr>
      <w:spacing w:before="0"/>
    </w:pPr>
  </w:style>
  <w:style w:type="character" w:customStyle="1" w:styleId="TABNTableTopicNumbersChar">
    <w:name w:val="[TABN] Table Topic Numbers Char"/>
    <w:basedOn w:val="ListParagraphChar"/>
    <w:link w:val="TABNTableTopicNumbers"/>
    <w:uiPriority w:val="30"/>
    <w:rsid w:val="00045105"/>
    <w:rPr>
      <w:rFonts w:ascii="Times New Roman" w:eastAsiaTheme="minorHAnsi" w:hAnsi="Times New Roman"/>
      <w:sz w:val="22"/>
      <w:lang w:val="en-AU"/>
    </w:rPr>
  </w:style>
  <w:style w:type="character" w:customStyle="1" w:styleId="TABBTableBulletsChar">
    <w:name w:val="[TABB] Table Bullets Char"/>
    <w:basedOn w:val="BBulletsChar"/>
    <w:link w:val="TABBTableBullets"/>
    <w:uiPriority w:val="31"/>
    <w:rsid w:val="00045105"/>
    <w:rPr>
      <w:rFonts w:ascii="Times New Roman" w:eastAsiaTheme="minorHAnsi" w:hAnsi="Times New Roman"/>
      <w:sz w:val="22"/>
      <w:szCs w:val="22"/>
      <w:lang w:val="en-AU"/>
    </w:rPr>
  </w:style>
  <w:style w:type="paragraph" w:styleId="TOC3">
    <w:name w:val="toc 3"/>
    <w:basedOn w:val="Normal"/>
    <w:next w:val="Normal"/>
    <w:autoRedefine/>
    <w:uiPriority w:val="44"/>
    <w:unhideWhenUsed/>
    <w:rsid w:val="00045105"/>
    <w:pPr>
      <w:spacing w:after="100"/>
      <w:ind w:left="480"/>
    </w:pPr>
  </w:style>
  <w:style w:type="paragraph" w:customStyle="1" w:styleId="P1Paragraph1">
    <w:name w:val="[P1] Paragraph 1"/>
    <w:basedOn w:val="ListParagraph"/>
    <w:link w:val="P1Paragraph1Char"/>
    <w:uiPriority w:val="8"/>
    <w:qFormat/>
    <w:rsid w:val="00045105"/>
    <w:pPr>
      <w:numPr>
        <w:numId w:val="35"/>
      </w:numPr>
      <w:spacing w:before="240"/>
      <w:contextualSpacing w:val="0"/>
    </w:pPr>
  </w:style>
  <w:style w:type="paragraph" w:customStyle="1" w:styleId="P2Paragraph2">
    <w:name w:val="[P2] Paragraph 2"/>
    <w:basedOn w:val="ListParagraph"/>
    <w:link w:val="P2Paragraph2Char"/>
    <w:uiPriority w:val="9"/>
    <w:qFormat/>
    <w:rsid w:val="00045105"/>
    <w:pPr>
      <w:numPr>
        <w:ilvl w:val="1"/>
        <w:numId w:val="35"/>
      </w:numPr>
      <w:spacing w:before="240"/>
      <w:contextualSpacing w:val="0"/>
    </w:pPr>
  </w:style>
  <w:style w:type="character" w:customStyle="1" w:styleId="P1Paragraph1Char">
    <w:name w:val="[P1] Paragraph 1 Char"/>
    <w:basedOn w:val="ListParagraphChar"/>
    <w:link w:val="P1Paragraph1"/>
    <w:uiPriority w:val="8"/>
    <w:rsid w:val="00045105"/>
    <w:rPr>
      <w:rFonts w:ascii="Times New Roman" w:eastAsiaTheme="minorHAnsi" w:hAnsi="Times New Roman"/>
      <w:lang w:val="en-AU"/>
    </w:rPr>
  </w:style>
  <w:style w:type="paragraph" w:customStyle="1" w:styleId="P3Paragraph3">
    <w:name w:val="[P3] Paragraph 3"/>
    <w:basedOn w:val="ListParagraph"/>
    <w:link w:val="P3Paragraph3Char"/>
    <w:uiPriority w:val="10"/>
    <w:qFormat/>
    <w:rsid w:val="00045105"/>
    <w:pPr>
      <w:numPr>
        <w:ilvl w:val="2"/>
        <w:numId w:val="35"/>
      </w:numPr>
    </w:pPr>
  </w:style>
  <w:style w:type="character" w:customStyle="1" w:styleId="P2Paragraph2Char">
    <w:name w:val="[P2] Paragraph 2 Char"/>
    <w:basedOn w:val="ListParagraphChar"/>
    <w:link w:val="P2Paragraph2"/>
    <w:uiPriority w:val="9"/>
    <w:rsid w:val="00045105"/>
    <w:rPr>
      <w:rFonts w:ascii="Times New Roman" w:eastAsiaTheme="minorHAnsi" w:hAnsi="Times New Roman"/>
      <w:lang w:val="en-AU"/>
    </w:rPr>
  </w:style>
  <w:style w:type="paragraph" w:customStyle="1" w:styleId="P4Paragraph4">
    <w:name w:val="[P4] Paragraph 4"/>
    <w:basedOn w:val="ListParagraph"/>
    <w:link w:val="P4Paragraph4Char"/>
    <w:uiPriority w:val="11"/>
    <w:qFormat/>
    <w:rsid w:val="00045105"/>
    <w:pPr>
      <w:numPr>
        <w:ilvl w:val="3"/>
        <w:numId w:val="35"/>
      </w:numPr>
    </w:pPr>
  </w:style>
  <w:style w:type="character" w:customStyle="1" w:styleId="P3Paragraph3Char">
    <w:name w:val="[P3] Paragraph 3 Char"/>
    <w:basedOn w:val="ListParagraphChar"/>
    <w:link w:val="P3Paragraph3"/>
    <w:uiPriority w:val="10"/>
    <w:rsid w:val="00045105"/>
    <w:rPr>
      <w:rFonts w:ascii="Times New Roman" w:eastAsiaTheme="minorHAnsi" w:hAnsi="Times New Roman"/>
      <w:lang w:val="en-AU"/>
    </w:rPr>
  </w:style>
  <w:style w:type="paragraph" w:customStyle="1" w:styleId="P5Paragraph5">
    <w:name w:val="[P5] Paragraph 5"/>
    <w:basedOn w:val="ListParagraph"/>
    <w:link w:val="P5Paragraph5Char"/>
    <w:uiPriority w:val="12"/>
    <w:qFormat/>
    <w:rsid w:val="00045105"/>
    <w:pPr>
      <w:numPr>
        <w:ilvl w:val="4"/>
        <w:numId w:val="35"/>
      </w:numPr>
    </w:pPr>
  </w:style>
  <w:style w:type="character" w:customStyle="1" w:styleId="P4Paragraph4Char">
    <w:name w:val="[P4] Paragraph 4 Char"/>
    <w:basedOn w:val="ListParagraphChar"/>
    <w:link w:val="P4Paragraph4"/>
    <w:uiPriority w:val="11"/>
    <w:rsid w:val="00045105"/>
    <w:rPr>
      <w:rFonts w:ascii="Times New Roman" w:eastAsiaTheme="minorHAnsi" w:hAnsi="Times New Roman"/>
      <w:lang w:val="en-AU"/>
    </w:rPr>
  </w:style>
  <w:style w:type="paragraph" w:customStyle="1" w:styleId="P6Paragraph6">
    <w:name w:val="[P6] Paragraph 6"/>
    <w:basedOn w:val="ListParagraph"/>
    <w:link w:val="P6Paragraph6Char"/>
    <w:uiPriority w:val="13"/>
    <w:qFormat/>
    <w:rsid w:val="00045105"/>
    <w:pPr>
      <w:numPr>
        <w:ilvl w:val="5"/>
        <w:numId w:val="35"/>
      </w:numPr>
    </w:pPr>
  </w:style>
  <w:style w:type="character" w:customStyle="1" w:styleId="P5Paragraph5Char">
    <w:name w:val="[P5] Paragraph 5 Char"/>
    <w:basedOn w:val="ListParagraphChar"/>
    <w:link w:val="P5Paragraph5"/>
    <w:uiPriority w:val="12"/>
    <w:rsid w:val="00045105"/>
    <w:rPr>
      <w:rFonts w:ascii="Times New Roman" w:eastAsiaTheme="minorHAnsi" w:hAnsi="Times New Roman"/>
      <w:lang w:val="en-AU"/>
    </w:rPr>
  </w:style>
  <w:style w:type="paragraph" w:customStyle="1" w:styleId="P7Paragraph7">
    <w:name w:val="[P7] Paragraph 7"/>
    <w:basedOn w:val="ListParagraph"/>
    <w:link w:val="P7Paragraph7Char"/>
    <w:uiPriority w:val="14"/>
    <w:qFormat/>
    <w:rsid w:val="00045105"/>
    <w:pPr>
      <w:numPr>
        <w:ilvl w:val="6"/>
        <w:numId w:val="35"/>
      </w:numPr>
    </w:pPr>
  </w:style>
  <w:style w:type="character" w:customStyle="1" w:styleId="P6Paragraph6Char">
    <w:name w:val="[P6] Paragraph 6 Char"/>
    <w:basedOn w:val="ListParagraphChar"/>
    <w:link w:val="P6Paragraph6"/>
    <w:uiPriority w:val="13"/>
    <w:rsid w:val="00045105"/>
    <w:rPr>
      <w:rFonts w:ascii="Times New Roman" w:eastAsiaTheme="minorHAnsi" w:hAnsi="Times New Roman"/>
      <w:lang w:val="en-AU"/>
    </w:rPr>
  </w:style>
  <w:style w:type="paragraph" w:customStyle="1" w:styleId="P8Paragraph8">
    <w:name w:val="[P8] Paragraph 8"/>
    <w:basedOn w:val="ListParagraph"/>
    <w:link w:val="P8Paragraph8Char"/>
    <w:uiPriority w:val="15"/>
    <w:qFormat/>
    <w:rsid w:val="00045105"/>
    <w:pPr>
      <w:numPr>
        <w:ilvl w:val="7"/>
        <w:numId w:val="35"/>
      </w:numPr>
    </w:pPr>
  </w:style>
  <w:style w:type="character" w:customStyle="1" w:styleId="P7Paragraph7Char">
    <w:name w:val="[P7] Paragraph 7 Char"/>
    <w:basedOn w:val="ListParagraphChar"/>
    <w:link w:val="P7Paragraph7"/>
    <w:uiPriority w:val="14"/>
    <w:rsid w:val="00045105"/>
    <w:rPr>
      <w:rFonts w:ascii="Times New Roman" w:eastAsiaTheme="minorHAnsi" w:hAnsi="Times New Roman"/>
      <w:lang w:val="en-AU"/>
    </w:rPr>
  </w:style>
  <w:style w:type="paragraph" w:customStyle="1" w:styleId="P9Paragraph9">
    <w:name w:val="[P9] Paragraph 9"/>
    <w:basedOn w:val="ListParagraph"/>
    <w:link w:val="P9Paragraph9Char"/>
    <w:uiPriority w:val="16"/>
    <w:qFormat/>
    <w:rsid w:val="00045105"/>
    <w:pPr>
      <w:numPr>
        <w:ilvl w:val="8"/>
        <w:numId w:val="35"/>
      </w:numPr>
    </w:pPr>
  </w:style>
  <w:style w:type="character" w:customStyle="1" w:styleId="P8Paragraph8Char">
    <w:name w:val="[P8] Paragraph 8 Char"/>
    <w:basedOn w:val="ListParagraphChar"/>
    <w:link w:val="P8Paragraph8"/>
    <w:uiPriority w:val="15"/>
    <w:rsid w:val="00045105"/>
    <w:rPr>
      <w:rFonts w:ascii="Times New Roman" w:eastAsiaTheme="minorHAnsi" w:hAnsi="Times New Roman"/>
      <w:lang w:val="en-AU"/>
    </w:rPr>
  </w:style>
  <w:style w:type="character" w:customStyle="1" w:styleId="P9Paragraph9Char">
    <w:name w:val="[P9] Paragraph 9 Char"/>
    <w:basedOn w:val="ListParagraphChar"/>
    <w:link w:val="P9Paragraph9"/>
    <w:uiPriority w:val="16"/>
    <w:rsid w:val="00045105"/>
    <w:rPr>
      <w:rFonts w:ascii="Times New Roman" w:eastAsiaTheme="minorHAnsi" w:hAnsi="Times New Roman"/>
      <w:lang w:val="en-AU"/>
    </w:rPr>
  </w:style>
  <w:style w:type="paragraph" w:styleId="TOCHeading">
    <w:name w:val="TOC Heading"/>
    <w:basedOn w:val="Heading1"/>
    <w:next w:val="Normal"/>
    <w:uiPriority w:val="44"/>
    <w:semiHidden/>
    <w:unhideWhenUsed/>
    <w:qFormat/>
    <w:rsid w:val="00045105"/>
    <w:pPr>
      <w:numPr>
        <w:numId w:val="0"/>
      </w:numPr>
      <w:outlineLvl w:val="9"/>
    </w:pPr>
    <w:rPr>
      <w:rFonts w:eastAsiaTheme="majorEastAsia" w:cstheme="majorBidi"/>
      <w:bCs/>
      <w:szCs w:val="28"/>
    </w:rPr>
  </w:style>
  <w:style w:type="paragraph" w:styleId="EndnoteText">
    <w:name w:val="endnote text"/>
    <w:basedOn w:val="Normal"/>
    <w:link w:val="EndnoteTextChar"/>
    <w:uiPriority w:val="99"/>
    <w:semiHidden/>
    <w:unhideWhenUsed/>
    <w:rsid w:val="00B3023E"/>
    <w:rPr>
      <w:sz w:val="20"/>
      <w:szCs w:val="20"/>
    </w:rPr>
  </w:style>
  <w:style w:type="character" w:customStyle="1" w:styleId="EndnoteTextChar">
    <w:name w:val="Endnote Text Char"/>
    <w:basedOn w:val="DefaultParagraphFont"/>
    <w:link w:val="EndnoteText"/>
    <w:uiPriority w:val="99"/>
    <w:semiHidden/>
    <w:rsid w:val="00B3023E"/>
    <w:rPr>
      <w:rFonts w:ascii="Times New Roman" w:eastAsiaTheme="minorHAnsi" w:hAnsi="Times New Roman"/>
      <w:sz w:val="20"/>
      <w:szCs w:val="20"/>
      <w:lang w:val="en-AU"/>
    </w:rPr>
  </w:style>
  <w:style w:type="paragraph" w:styleId="Caption">
    <w:name w:val="caption"/>
    <w:basedOn w:val="Normal"/>
    <w:next w:val="Normal"/>
    <w:uiPriority w:val="35"/>
    <w:unhideWhenUsed/>
    <w:qFormat/>
    <w:rsid w:val="00E557C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644">
      <w:bodyDiv w:val="1"/>
      <w:marLeft w:val="0"/>
      <w:marRight w:val="0"/>
      <w:marTop w:val="0"/>
      <w:marBottom w:val="0"/>
      <w:divBdr>
        <w:top w:val="none" w:sz="0" w:space="0" w:color="auto"/>
        <w:left w:val="none" w:sz="0" w:space="0" w:color="auto"/>
        <w:bottom w:val="none" w:sz="0" w:space="0" w:color="auto"/>
        <w:right w:val="none" w:sz="0" w:space="0" w:color="auto"/>
      </w:divBdr>
    </w:div>
    <w:div w:id="69544619">
      <w:bodyDiv w:val="1"/>
      <w:marLeft w:val="0"/>
      <w:marRight w:val="0"/>
      <w:marTop w:val="0"/>
      <w:marBottom w:val="0"/>
      <w:divBdr>
        <w:top w:val="none" w:sz="0" w:space="0" w:color="auto"/>
        <w:left w:val="none" w:sz="0" w:space="0" w:color="auto"/>
        <w:bottom w:val="none" w:sz="0" w:space="0" w:color="auto"/>
        <w:right w:val="none" w:sz="0" w:space="0" w:color="auto"/>
      </w:divBdr>
      <w:divsChild>
        <w:div w:id="1365330526">
          <w:marLeft w:val="0"/>
          <w:marRight w:val="0"/>
          <w:marTop w:val="0"/>
          <w:marBottom w:val="0"/>
          <w:divBdr>
            <w:top w:val="none" w:sz="0" w:space="0" w:color="auto"/>
            <w:left w:val="none" w:sz="0" w:space="0" w:color="auto"/>
            <w:bottom w:val="none" w:sz="0" w:space="0" w:color="auto"/>
            <w:right w:val="none" w:sz="0" w:space="0" w:color="auto"/>
          </w:divBdr>
        </w:div>
      </w:divsChild>
    </w:div>
    <w:div w:id="70349730">
      <w:bodyDiv w:val="1"/>
      <w:marLeft w:val="0"/>
      <w:marRight w:val="0"/>
      <w:marTop w:val="0"/>
      <w:marBottom w:val="0"/>
      <w:divBdr>
        <w:top w:val="none" w:sz="0" w:space="0" w:color="auto"/>
        <w:left w:val="none" w:sz="0" w:space="0" w:color="auto"/>
        <w:bottom w:val="none" w:sz="0" w:space="0" w:color="auto"/>
        <w:right w:val="none" w:sz="0" w:space="0" w:color="auto"/>
      </w:divBdr>
      <w:divsChild>
        <w:div w:id="1696539767">
          <w:marLeft w:val="0"/>
          <w:marRight w:val="0"/>
          <w:marTop w:val="0"/>
          <w:marBottom w:val="0"/>
          <w:divBdr>
            <w:top w:val="none" w:sz="0" w:space="0" w:color="auto"/>
            <w:left w:val="none" w:sz="0" w:space="0" w:color="auto"/>
            <w:bottom w:val="none" w:sz="0" w:space="0" w:color="auto"/>
            <w:right w:val="none" w:sz="0" w:space="0" w:color="auto"/>
          </w:divBdr>
          <w:divsChild>
            <w:div w:id="856118414">
              <w:marLeft w:val="0"/>
              <w:marRight w:val="0"/>
              <w:marTop w:val="0"/>
              <w:marBottom w:val="0"/>
              <w:divBdr>
                <w:top w:val="none" w:sz="0" w:space="0" w:color="auto"/>
                <w:left w:val="none" w:sz="0" w:space="0" w:color="auto"/>
                <w:bottom w:val="none" w:sz="0" w:space="0" w:color="auto"/>
                <w:right w:val="none" w:sz="0" w:space="0" w:color="auto"/>
              </w:divBdr>
              <w:divsChild>
                <w:div w:id="17614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590">
      <w:bodyDiv w:val="1"/>
      <w:marLeft w:val="0"/>
      <w:marRight w:val="0"/>
      <w:marTop w:val="0"/>
      <w:marBottom w:val="0"/>
      <w:divBdr>
        <w:top w:val="none" w:sz="0" w:space="0" w:color="auto"/>
        <w:left w:val="none" w:sz="0" w:space="0" w:color="auto"/>
        <w:bottom w:val="none" w:sz="0" w:space="0" w:color="auto"/>
        <w:right w:val="none" w:sz="0" w:space="0" w:color="auto"/>
      </w:divBdr>
    </w:div>
    <w:div w:id="152373483">
      <w:bodyDiv w:val="1"/>
      <w:marLeft w:val="0"/>
      <w:marRight w:val="0"/>
      <w:marTop w:val="0"/>
      <w:marBottom w:val="0"/>
      <w:divBdr>
        <w:top w:val="none" w:sz="0" w:space="0" w:color="auto"/>
        <w:left w:val="none" w:sz="0" w:space="0" w:color="auto"/>
        <w:bottom w:val="none" w:sz="0" w:space="0" w:color="auto"/>
        <w:right w:val="none" w:sz="0" w:space="0" w:color="auto"/>
      </w:divBdr>
      <w:divsChild>
        <w:div w:id="469399143">
          <w:marLeft w:val="0"/>
          <w:marRight w:val="0"/>
          <w:marTop w:val="0"/>
          <w:marBottom w:val="0"/>
          <w:divBdr>
            <w:top w:val="none" w:sz="0" w:space="0" w:color="auto"/>
            <w:left w:val="none" w:sz="0" w:space="0" w:color="auto"/>
            <w:bottom w:val="none" w:sz="0" w:space="0" w:color="auto"/>
            <w:right w:val="none" w:sz="0" w:space="0" w:color="auto"/>
          </w:divBdr>
          <w:divsChild>
            <w:div w:id="190337334">
              <w:marLeft w:val="0"/>
              <w:marRight w:val="0"/>
              <w:marTop w:val="0"/>
              <w:marBottom w:val="0"/>
              <w:divBdr>
                <w:top w:val="none" w:sz="0" w:space="0" w:color="auto"/>
                <w:left w:val="none" w:sz="0" w:space="0" w:color="auto"/>
                <w:bottom w:val="none" w:sz="0" w:space="0" w:color="auto"/>
                <w:right w:val="none" w:sz="0" w:space="0" w:color="auto"/>
              </w:divBdr>
              <w:divsChild>
                <w:div w:id="740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3712">
      <w:bodyDiv w:val="1"/>
      <w:marLeft w:val="0"/>
      <w:marRight w:val="0"/>
      <w:marTop w:val="0"/>
      <w:marBottom w:val="0"/>
      <w:divBdr>
        <w:top w:val="none" w:sz="0" w:space="0" w:color="auto"/>
        <w:left w:val="none" w:sz="0" w:space="0" w:color="auto"/>
        <w:bottom w:val="none" w:sz="0" w:space="0" w:color="auto"/>
        <w:right w:val="none" w:sz="0" w:space="0" w:color="auto"/>
      </w:divBdr>
      <w:divsChild>
        <w:div w:id="39867275">
          <w:marLeft w:val="0"/>
          <w:marRight w:val="0"/>
          <w:marTop w:val="0"/>
          <w:marBottom w:val="0"/>
          <w:divBdr>
            <w:top w:val="none" w:sz="0" w:space="0" w:color="auto"/>
            <w:left w:val="none" w:sz="0" w:space="0" w:color="auto"/>
            <w:bottom w:val="none" w:sz="0" w:space="0" w:color="auto"/>
            <w:right w:val="none" w:sz="0" w:space="0" w:color="auto"/>
          </w:divBdr>
          <w:divsChild>
            <w:div w:id="117993807">
              <w:marLeft w:val="0"/>
              <w:marRight w:val="0"/>
              <w:marTop w:val="0"/>
              <w:marBottom w:val="0"/>
              <w:divBdr>
                <w:top w:val="none" w:sz="0" w:space="0" w:color="auto"/>
                <w:left w:val="none" w:sz="0" w:space="0" w:color="auto"/>
                <w:bottom w:val="none" w:sz="0" w:space="0" w:color="auto"/>
                <w:right w:val="none" w:sz="0" w:space="0" w:color="auto"/>
              </w:divBdr>
              <w:divsChild>
                <w:div w:id="464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4058">
      <w:bodyDiv w:val="1"/>
      <w:marLeft w:val="0"/>
      <w:marRight w:val="0"/>
      <w:marTop w:val="0"/>
      <w:marBottom w:val="0"/>
      <w:divBdr>
        <w:top w:val="none" w:sz="0" w:space="0" w:color="auto"/>
        <w:left w:val="none" w:sz="0" w:space="0" w:color="auto"/>
        <w:bottom w:val="none" w:sz="0" w:space="0" w:color="auto"/>
        <w:right w:val="none" w:sz="0" w:space="0" w:color="auto"/>
      </w:divBdr>
      <w:divsChild>
        <w:div w:id="229460033">
          <w:marLeft w:val="0"/>
          <w:marRight w:val="0"/>
          <w:marTop w:val="0"/>
          <w:marBottom w:val="0"/>
          <w:divBdr>
            <w:top w:val="none" w:sz="0" w:space="0" w:color="auto"/>
            <w:left w:val="none" w:sz="0" w:space="0" w:color="auto"/>
            <w:bottom w:val="none" w:sz="0" w:space="0" w:color="auto"/>
            <w:right w:val="none" w:sz="0" w:space="0" w:color="auto"/>
          </w:divBdr>
        </w:div>
        <w:div w:id="1445227170">
          <w:marLeft w:val="0"/>
          <w:marRight w:val="0"/>
          <w:marTop w:val="0"/>
          <w:marBottom w:val="0"/>
          <w:divBdr>
            <w:top w:val="none" w:sz="0" w:space="0" w:color="auto"/>
            <w:left w:val="none" w:sz="0" w:space="0" w:color="auto"/>
            <w:bottom w:val="none" w:sz="0" w:space="0" w:color="auto"/>
            <w:right w:val="none" w:sz="0" w:space="0" w:color="auto"/>
          </w:divBdr>
        </w:div>
        <w:div w:id="1512723047">
          <w:marLeft w:val="0"/>
          <w:marRight w:val="0"/>
          <w:marTop w:val="0"/>
          <w:marBottom w:val="0"/>
          <w:divBdr>
            <w:top w:val="none" w:sz="0" w:space="0" w:color="auto"/>
            <w:left w:val="none" w:sz="0" w:space="0" w:color="auto"/>
            <w:bottom w:val="none" w:sz="0" w:space="0" w:color="auto"/>
            <w:right w:val="none" w:sz="0" w:space="0" w:color="auto"/>
          </w:divBdr>
        </w:div>
        <w:div w:id="2084374956">
          <w:marLeft w:val="0"/>
          <w:marRight w:val="0"/>
          <w:marTop w:val="0"/>
          <w:marBottom w:val="0"/>
          <w:divBdr>
            <w:top w:val="none" w:sz="0" w:space="0" w:color="auto"/>
            <w:left w:val="none" w:sz="0" w:space="0" w:color="auto"/>
            <w:bottom w:val="none" w:sz="0" w:space="0" w:color="auto"/>
            <w:right w:val="none" w:sz="0" w:space="0" w:color="auto"/>
          </w:divBdr>
        </w:div>
      </w:divsChild>
    </w:div>
    <w:div w:id="414860173">
      <w:bodyDiv w:val="1"/>
      <w:marLeft w:val="0"/>
      <w:marRight w:val="0"/>
      <w:marTop w:val="0"/>
      <w:marBottom w:val="0"/>
      <w:divBdr>
        <w:top w:val="none" w:sz="0" w:space="0" w:color="auto"/>
        <w:left w:val="none" w:sz="0" w:space="0" w:color="auto"/>
        <w:bottom w:val="none" w:sz="0" w:space="0" w:color="auto"/>
        <w:right w:val="none" w:sz="0" w:space="0" w:color="auto"/>
      </w:divBdr>
      <w:divsChild>
        <w:div w:id="1759786232">
          <w:marLeft w:val="0"/>
          <w:marRight w:val="0"/>
          <w:marTop w:val="0"/>
          <w:marBottom w:val="0"/>
          <w:divBdr>
            <w:top w:val="none" w:sz="0" w:space="0" w:color="auto"/>
            <w:left w:val="none" w:sz="0" w:space="0" w:color="auto"/>
            <w:bottom w:val="none" w:sz="0" w:space="0" w:color="auto"/>
            <w:right w:val="none" w:sz="0" w:space="0" w:color="auto"/>
          </w:divBdr>
          <w:divsChild>
            <w:div w:id="1803768120">
              <w:marLeft w:val="0"/>
              <w:marRight w:val="0"/>
              <w:marTop w:val="0"/>
              <w:marBottom w:val="0"/>
              <w:divBdr>
                <w:top w:val="none" w:sz="0" w:space="0" w:color="auto"/>
                <w:left w:val="none" w:sz="0" w:space="0" w:color="auto"/>
                <w:bottom w:val="none" w:sz="0" w:space="0" w:color="auto"/>
                <w:right w:val="none" w:sz="0" w:space="0" w:color="auto"/>
              </w:divBdr>
              <w:divsChild>
                <w:div w:id="646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7212">
      <w:bodyDiv w:val="1"/>
      <w:marLeft w:val="0"/>
      <w:marRight w:val="0"/>
      <w:marTop w:val="0"/>
      <w:marBottom w:val="0"/>
      <w:divBdr>
        <w:top w:val="none" w:sz="0" w:space="0" w:color="auto"/>
        <w:left w:val="none" w:sz="0" w:space="0" w:color="auto"/>
        <w:bottom w:val="none" w:sz="0" w:space="0" w:color="auto"/>
        <w:right w:val="none" w:sz="0" w:space="0" w:color="auto"/>
      </w:divBdr>
      <w:divsChild>
        <w:div w:id="233201288">
          <w:marLeft w:val="0"/>
          <w:marRight w:val="0"/>
          <w:marTop w:val="0"/>
          <w:marBottom w:val="0"/>
          <w:divBdr>
            <w:top w:val="none" w:sz="0" w:space="0" w:color="auto"/>
            <w:left w:val="none" w:sz="0" w:space="0" w:color="auto"/>
            <w:bottom w:val="none" w:sz="0" w:space="0" w:color="auto"/>
            <w:right w:val="none" w:sz="0" w:space="0" w:color="auto"/>
          </w:divBdr>
          <w:divsChild>
            <w:div w:id="714231473">
              <w:marLeft w:val="0"/>
              <w:marRight w:val="0"/>
              <w:marTop w:val="0"/>
              <w:marBottom w:val="0"/>
              <w:divBdr>
                <w:top w:val="none" w:sz="0" w:space="0" w:color="auto"/>
                <w:left w:val="none" w:sz="0" w:space="0" w:color="auto"/>
                <w:bottom w:val="none" w:sz="0" w:space="0" w:color="auto"/>
                <w:right w:val="none" w:sz="0" w:space="0" w:color="auto"/>
              </w:divBdr>
              <w:divsChild>
                <w:div w:id="20683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9078">
      <w:bodyDiv w:val="1"/>
      <w:marLeft w:val="0"/>
      <w:marRight w:val="0"/>
      <w:marTop w:val="0"/>
      <w:marBottom w:val="0"/>
      <w:divBdr>
        <w:top w:val="none" w:sz="0" w:space="0" w:color="auto"/>
        <w:left w:val="none" w:sz="0" w:space="0" w:color="auto"/>
        <w:bottom w:val="none" w:sz="0" w:space="0" w:color="auto"/>
        <w:right w:val="none" w:sz="0" w:space="0" w:color="auto"/>
      </w:divBdr>
      <w:divsChild>
        <w:div w:id="1187405178">
          <w:marLeft w:val="0"/>
          <w:marRight w:val="0"/>
          <w:marTop w:val="0"/>
          <w:marBottom w:val="0"/>
          <w:divBdr>
            <w:top w:val="none" w:sz="0" w:space="0" w:color="auto"/>
            <w:left w:val="none" w:sz="0" w:space="0" w:color="auto"/>
            <w:bottom w:val="none" w:sz="0" w:space="0" w:color="auto"/>
            <w:right w:val="none" w:sz="0" w:space="0" w:color="auto"/>
          </w:divBdr>
          <w:divsChild>
            <w:div w:id="1481994600">
              <w:marLeft w:val="0"/>
              <w:marRight w:val="0"/>
              <w:marTop w:val="0"/>
              <w:marBottom w:val="0"/>
              <w:divBdr>
                <w:top w:val="none" w:sz="0" w:space="0" w:color="auto"/>
                <w:left w:val="none" w:sz="0" w:space="0" w:color="auto"/>
                <w:bottom w:val="none" w:sz="0" w:space="0" w:color="auto"/>
                <w:right w:val="none" w:sz="0" w:space="0" w:color="auto"/>
              </w:divBdr>
              <w:divsChild>
                <w:div w:id="18832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0499">
      <w:bodyDiv w:val="1"/>
      <w:marLeft w:val="0"/>
      <w:marRight w:val="0"/>
      <w:marTop w:val="0"/>
      <w:marBottom w:val="0"/>
      <w:divBdr>
        <w:top w:val="none" w:sz="0" w:space="0" w:color="auto"/>
        <w:left w:val="none" w:sz="0" w:space="0" w:color="auto"/>
        <w:bottom w:val="none" w:sz="0" w:space="0" w:color="auto"/>
        <w:right w:val="none" w:sz="0" w:space="0" w:color="auto"/>
      </w:divBdr>
      <w:divsChild>
        <w:div w:id="282541298">
          <w:marLeft w:val="0"/>
          <w:marRight w:val="0"/>
          <w:marTop w:val="0"/>
          <w:marBottom w:val="0"/>
          <w:divBdr>
            <w:top w:val="none" w:sz="0" w:space="0" w:color="auto"/>
            <w:left w:val="none" w:sz="0" w:space="0" w:color="auto"/>
            <w:bottom w:val="none" w:sz="0" w:space="0" w:color="auto"/>
            <w:right w:val="none" w:sz="0" w:space="0" w:color="auto"/>
          </w:divBdr>
          <w:divsChild>
            <w:div w:id="956109892">
              <w:marLeft w:val="0"/>
              <w:marRight w:val="0"/>
              <w:marTop w:val="0"/>
              <w:marBottom w:val="0"/>
              <w:divBdr>
                <w:top w:val="none" w:sz="0" w:space="0" w:color="auto"/>
                <w:left w:val="none" w:sz="0" w:space="0" w:color="auto"/>
                <w:bottom w:val="none" w:sz="0" w:space="0" w:color="auto"/>
                <w:right w:val="none" w:sz="0" w:space="0" w:color="auto"/>
              </w:divBdr>
              <w:divsChild>
                <w:div w:id="104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154">
      <w:bodyDiv w:val="1"/>
      <w:marLeft w:val="0"/>
      <w:marRight w:val="0"/>
      <w:marTop w:val="0"/>
      <w:marBottom w:val="0"/>
      <w:divBdr>
        <w:top w:val="none" w:sz="0" w:space="0" w:color="auto"/>
        <w:left w:val="none" w:sz="0" w:space="0" w:color="auto"/>
        <w:bottom w:val="none" w:sz="0" w:space="0" w:color="auto"/>
        <w:right w:val="none" w:sz="0" w:space="0" w:color="auto"/>
      </w:divBdr>
      <w:divsChild>
        <w:div w:id="428085674">
          <w:marLeft w:val="0"/>
          <w:marRight w:val="0"/>
          <w:marTop w:val="0"/>
          <w:marBottom w:val="0"/>
          <w:divBdr>
            <w:top w:val="none" w:sz="0" w:space="0" w:color="auto"/>
            <w:left w:val="none" w:sz="0" w:space="0" w:color="auto"/>
            <w:bottom w:val="none" w:sz="0" w:space="0" w:color="auto"/>
            <w:right w:val="none" w:sz="0" w:space="0" w:color="auto"/>
          </w:divBdr>
          <w:divsChild>
            <w:div w:id="2073578328">
              <w:marLeft w:val="0"/>
              <w:marRight w:val="0"/>
              <w:marTop w:val="0"/>
              <w:marBottom w:val="0"/>
              <w:divBdr>
                <w:top w:val="none" w:sz="0" w:space="0" w:color="auto"/>
                <w:left w:val="none" w:sz="0" w:space="0" w:color="auto"/>
                <w:bottom w:val="none" w:sz="0" w:space="0" w:color="auto"/>
                <w:right w:val="none" w:sz="0" w:space="0" w:color="auto"/>
              </w:divBdr>
              <w:divsChild>
                <w:div w:id="851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6126">
      <w:bodyDiv w:val="1"/>
      <w:marLeft w:val="0"/>
      <w:marRight w:val="0"/>
      <w:marTop w:val="0"/>
      <w:marBottom w:val="0"/>
      <w:divBdr>
        <w:top w:val="none" w:sz="0" w:space="0" w:color="auto"/>
        <w:left w:val="none" w:sz="0" w:space="0" w:color="auto"/>
        <w:bottom w:val="none" w:sz="0" w:space="0" w:color="auto"/>
        <w:right w:val="none" w:sz="0" w:space="0" w:color="auto"/>
      </w:divBdr>
      <w:divsChild>
        <w:div w:id="306512867">
          <w:marLeft w:val="0"/>
          <w:marRight w:val="0"/>
          <w:marTop w:val="0"/>
          <w:marBottom w:val="0"/>
          <w:divBdr>
            <w:top w:val="none" w:sz="0" w:space="0" w:color="auto"/>
            <w:left w:val="none" w:sz="0" w:space="0" w:color="auto"/>
            <w:bottom w:val="none" w:sz="0" w:space="0" w:color="auto"/>
            <w:right w:val="none" w:sz="0" w:space="0" w:color="auto"/>
          </w:divBdr>
          <w:divsChild>
            <w:div w:id="1715277902">
              <w:marLeft w:val="0"/>
              <w:marRight w:val="0"/>
              <w:marTop w:val="0"/>
              <w:marBottom w:val="0"/>
              <w:divBdr>
                <w:top w:val="none" w:sz="0" w:space="0" w:color="auto"/>
                <w:left w:val="none" w:sz="0" w:space="0" w:color="auto"/>
                <w:bottom w:val="none" w:sz="0" w:space="0" w:color="auto"/>
                <w:right w:val="none" w:sz="0" w:space="0" w:color="auto"/>
              </w:divBdr>
              <w:divsChild>
                <w:div w:id="19322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9282">
      <w:bodyDiv w:val="1"/>
      <w:marLeft w:val="0"/>
      <w:marRight w:val="0"/>
      <w:marTop w:val="0"/>
      <w:marBottom w:val="0"/>
      <w:divBdr>
        <w:top w:val="none" w:sz="0" w:space="0" w:color="auto"/>
        <w:left w:val="none" w:sz="0" w:space="0" w:color="auto"/>
        <w:bottom w:val="none" w:sz="0" w:space="0" w:color="auto"/>
        <w:right w:val="none" w:sz="0" w:space="0" w:color="auto"/>
      </w:divBdr>
    </w:div>
    <w:div w:id="880291331">
      <w:bodyDiv w:val="1"/>
      <w:marLeft w:val="0"/>
      <w:marRight w:val="0"/>
      <w:marTop w:val="0"/>
      <w:marBottom w:val="0"/>
      <w:divBdr>
        <w:top w:val="none" w:sz="0" w:space="0" w:color="auto"/>
        <w:left w:val="none" w:sz="0" w:space="0" w:color="auto"/>
        <w:bottom w:val="none" w:sz="0" w:space="0" w:color="auto"/>
        <w:right w:val="none" w:sz="0" w:space="0" w:color="auto"/>
      </w:divBdr>
      <w:divsChild>
        <w:div w:id="1948847590">
          <w:marLeft w:val="0"/>
          <w:marRight w:val="0"/>
          <w:marTop w:val="0"/>
          <w:marBottom w:val="0"/>
          <w:divBdr>
            <w:top w:val="none" w:sz="0" w:space="0" w:color="auto"/>
            <w:left w:val="none" w:sz="0" w:space="0" w:color="auto"/>
            <w:bottom w:val="none" w:sz="0" w:space="0" w:color="auto"/>
            <w:right w:val="none" w:sz="0" w:space="0" w:color="auto"/>
          </w:divBdr>
          <w:divsChild>
            <w:div w:id="1234391145">
              <w:marLeft w:val="0"/>
              <w:marRight w:val="0"/>
              <w:marTop w:val="0"/>
              <w:marBottom w:val="0"/>
              <w:divBdr>
                <w:top w:val="none" w:sz="0" w:space="0" w:color="auto"/>
                <w:left w:val="none" w:sz="0" w:space="0" w:color="auto"/>
                <w:bottom w:val="none" w:sz="0" w:space="0" w:color="auto"/>
                <w:right w:val="none" w:sz="0" w:space="0" w:color="auto"/>
              </w:divBdr>
              <w:divsChild>
                <w:div w:id="2097625397">
                  <w:marLeft w:val="0"/>
                  <w:marRight w:val="0"/>
                  <w:marTop w:val="0"/>
                  <w:marBottom w:val="0"/>
                  <w:divBdr>
                    <w:top w:val="none" w:sz="0" w:space="0" w:color="auto"/>
                    <w:left w:val="none" w:sz="0" w:space="0" w:color="auto"/>
                    <w:bottom w:val="none" w:sz="0" w:space="0" w:color="auto"/>
                    <w:right w:val="none" w:sz="0" w:space="0" w:color="auto"/>
                  </w:divBdr>
                  <w:divsChild>
                    <w:div w:id="1597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7037">
      <w:bodyDiv w:val="1"/>
      <w:marLeft w:val="0"/>
      <w:marRight w:val="0"/>
      <w:marTop w:val="0"/>
      <w:marBottom w:val="0"/>
      <w:divBdr>
        <w:top w:val="none" w:sz="0" w:space="0" w:color="auto"/>
        <w:left w:val="none" w:sz="0" w:space="0" w:color="auto"/>
        <w:bottom w:val="none" w:sz="0" w:space="0" w:color="auto"/>
        <w:right w:val="none" w:sz="0" w:space="0" w:color="auto"/>
      </w:divBdr>
      <w:divsChild>
        <w:div w:id="1263101921">
          <w:marLeft w:val="0"/>
          <w:marRight w:val="0"/>
          <w:marTop w:val="0"/>
          <w:marBottom w:val="0"/>
          <w:divBdr>
            <w:top w:val="none" w:sz="0" w:space="0" w:color="auto"/>
            <w:left w:val="none" w:sz="0" w:space="0" w:color="auto"/>
            <w:bottom w:val="none" w:sz="0" w:space="0" w:color="auto"/>
            <w:right w:val="none" w:sz="0" w:space="0" w:color="auto"/>
          </w:divBdr>
          <w:divsChild>
            <w:div w:id="2121410398">
              <w:marLeft w:val="0"/>
              <w:marRight w:val="0"/>
              <w:marTop w:val="0"/>
              <w:marBottom w:val="0"/>
              <w:divBdr>
                <w:top w:val="none" w:sz="0" w:space="0" w:color="auto"/>
                <w:left w:val="none" w:sz="0" w:space="0" w:color="auto"/>
                <w:bottom w:val="none" w:sz="0" w:space="0" w:color="auto"/>
                <w:right w:val="none" w:sz="0" w:space="0" w:color="auto"/>
              </w:divBdr>
              <w:divsChild>
                <w:div w:id="1149394894">
                  <w:marLeft w:val="0"/>
                  <w:marRight w:val="0"/>
                  <w:marTop w:val="0"/>
                  <w:marBottom w:val="0"/>
                  <w:divBdr>
                    <w:top w:val="none" w:sz="0" w:space="0" w:color="auto"/>
                    <w:left w:val="none" w:sz="0" w:space="0" w:color="auto"/>
                    <w:bottom w:val="none" w:sz="0" w:space="0" w:color="auto"/>
                    <w:right w:val="none" w:sz="0" w:space="0" w:color="auto"/>
                  </w:divBdr>
                </w:div>
                <w:div w:id="1976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3402">
      <w:bodyDiv w:val="1"/>
      <w:marLeft w:val="0"/>
      <w:marRight w:val="0"/>
      <w:marTop w:val="0"/>
      <w:marBottom w:val="0"/>
      <w:divBdr>
        <w:top w:val="none" w:sz="0" w:space="0" w:color="auto"/>
        <w:left w:val="none" w:sz="0" w:space="0" w:color="auto"/>
        <w:bottom w:val="none" w:sz="0" w:space="0" w:color="auto"/>
        <w:right w:val="none" w:sz="0" w:space="0" w:color="auto"/>
      </w:divBdr>
      <w:divsChild>
        <w:div w:id="448552419">
          <w:marLeft w:val="0"/>
          <w:marRight w:val="0"/>
          <w:marTop w:val="0"/>
          <w:marBottom w:val="0"/>
          <w:divBdr>
            <w:top w:val="none" w:sz="0" w:space="0" w:color="auto"/>
            <w:left w:val="none" w:sz="0" w:space="0" w:color="auto"/>
            <w:bottom w:val="none" w:sz="0" w:space="0" w:color="auto"/>
            <w:right w:val="none" w:sz="0" w:space="0" w:color="auto"/>
          </w:divBdr>
        </w:div>
        <w:div w:id="1143351706">
          <w:marLeft w:val="0"/>
          <w:marRight w:val="0"/>
          <w:marTop w:val="0"/>
          <w:marBottom w:val="0"/>
          <w:divBdr>
            <w:top w:val="none" w:sz="0" w:space="0" w:color="auto"/>
            <w:left w:val="none" w:sz="0" w:space="0" w:color="auto"/>
            <w:bottom w:val="none" w:sz="0" w:space="0" w:color="auto"/>
            <w:right w:val="none" w:sz="0" w:space="0" w:color="auto"/>
          </w:divBdr>
        </w:div>
        <w:div w:id="1593856281">
          <w:marLeft w:val="0"/>
          <w:marRight w:val="0"/>
          <w:marTop w:val="0"/>
          <w:marBottom w:val="0"/>
          <w:divBdr>
            <w:top w:val="none" w:sz="0" w:space="0" w:color="auto"/>
            <w:left w:val="none" w:sz="0" w:space="0" w:color="auto"/>
            <w:bottom w:val="none" w:sz="0" w:space="0" w:color="auto"/>
            <w:right w:val="none" w:sz="0" w:space="0" w:color="auto"/>
          </w:divBdr>
        </w:div>
      </w:divsChild>
    </w:div>
    <w:div w:id="1258825561">
      <w:bodyDiv w:val="1"/>
      <w:marLeft w:val="0"/>
      <w:marRight w:val="0"/>
      <w:marTop w:val="0"/>
      <w:marBottom w:val="0"/>
      <w:divBdr>
        <w:top w:val="none" w:sz="0" w:space="0" w:color="auto"/>
        <w:left w:val="none" w:sz="0" w:space="0" w:color="auto"/>
        <w:bottom w:val="none" w:sz="0" w:space="0" w:color="auto"/>
        <w:right w:val="none" w:sz="0" w:space="0" w:color="auto"/>
      </w:divBdr>
      <w:divsChild>
        <w:div w:id="907689760">
          <w:marLeft w:val="0"/>
          <w:marRight w:val="0"/>
          <w:marTop w:val="0"/>
          <w:marBottom w:val="0"/>
          <w:divBdr>
            <w:top w:val="none" w:sz="0" w:space="0" w:color="auto"/>
            <w:left w:val="none" w:sz="0" w:space="0" w:color="auto"/>
            <w:bottom w:val="none" w:sz="0" w:space="0" w:color="auto"/>
            <w:right w:val="none" w:sz="0" w:space="0" w:color="auto"/>
          </w:divBdr>
          <w:divsChild>
            <w:div w:id="1293176285">
              <w:marLeft w:val="0"/>
              <w:marRight w:val="0"/>
              <w:marTop w:val="0"/>
              <w:marBottom w:val="0"/>
              <w:divBdr>
                <w:top w:val="none" w:sz="0" w:space="0" w:color="auto"/>
                <w:left w:val="none" w:sz="0" w:space="0" w:color="auto"/>
                <w:bottom w:val="none" w:sz="0" w:space="0" w:color="auto"/>
                <w:right w:val="none" w:sz="0" w:space="0" w:color="auto"/>
              </w:divBdr>
              <w:divsChild>
                <w:div w:id="16051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590">
      <w:bodyDiv w:val="1"/>
      <w:marLeft w:val="0"/>
      <w:marRight w:val="0"/>
      <w:marTop w:val="0"/>
      <w:marBottom w:val="0"/>
      <w:divBdr>
        <w:top w:val="none" w:sz="0" w:space="0" w:color="auto"/>
        <w:left w:val="none" w:sz="0" w:space="0" w:color="auto"/>
        <w:bottom w:val="none" w:sz="0" w:space="0" w:color="auto"/>
        <w:right w:val="none" w:sz="0" w:space="0" w:color="auto"/>
      </w:divBdr>
    </w:div>
    <w:div w:id="1411392686">
      <w:bodyDiv w:val="1"/>
      <w:marLeft w:val="0"/>
      <w:marRight w:val="0"/>
      <w:marTop w:val="0"/>
      <w:marBottom w:val="0"/>
      <w:divBdr>
        <w:top w:val="none" w:sz="0" w:space="0" w:color="auto"/>
        <w:left w:val="none" w:sz="0" w:space="0" w:color="auto"/>
        <w:bottom w:val="none" w:sz="0" w:space="0" w:color="auto"/>
        <w:right w:val="none" w:sz="0" w:space="0" w:color="auto"/>
      </w:divBdr>
      <w:divsChild>
        <w:div w:id="295574718">
          <w:marLeft w:val="0"/>
          <w:marRight w:val="0"/>
          <w:marTop w:val="0"/>
          <w:marBottom w:val="0"/>
          <w:divBdr>
            <w:top w:val="none" w:sz="0" w:space="0" w:color="auto"/>
            <w:left w:val="none" w:sz="0" w:space="0" w:color="auto"/>
            <w:bottom w:val="none" w:sz="0" w:space="0" w:color="auto"/>
            <w:right w:val="none" w:sz="0" w:space="0" w:color="auto"/>
          </w:divBdr>
        </w:div>
        <w:div w:id="627861350">
          <w:marLeft w:val="0"/>
          <w:marRight w:val="0"/>
          <w:marTop w:val="0"/>
          <w:marBottom w:val="0"/>
          <w:divBdr>
            <w:top w:val="none" w:sz="0" w:space="0" w:color="auto"/>
            <w:left w:val="none" w:sz="0" w:space="0" w:color="auto"/>
            <w:bottom w:val="none" w:sz="0" w:space="0" w:color="auto"/>
            <w:right w:val="none" w:sz="0" w:space="0" w:color="auto"/>
          </w:divBdr>
        </w:div>
        <w:div w:id="779879450">
          <w:marLeft w:val="0"/>
          <w:marRight w:val="0"/>
          <w:marTop w:val="0"/>
          <w:marBottom w:val="0"/>
          <w:divBdr>
            <w:top w:val="none" w:sz="0" w:space="0" w:color="auto"/>
            <w:left w:val="none" w:sz="0" w:space="0" w:color="auto"/>
            <w:bottom w:val="none" w:sz="0" w:space="0" w:color="auto"/>
            <w:right w:val="none" w:sz="0" w:space="0" w:color="auto"/>
          </w:divBdr>
        </w:div>
        <w:div w:id="827751811">
          <w:marLeft w:val="0"/>
          <w:marRight w:val="0"/>
          <w:marTop w:val="0"/>
          <w:marBottom w:val="0"/>
          <w:divBdr>
            <w:top w:val="none" w:sz="0" w:space="0" w:color="auto"/>
            <w:left w:val="none" w:sz="0" w:space="0" w:color="auto"/>
            <w:bottom w:val="none" w:sz="0" w:space="0" w:color="auto"/>
            <w:right w:val="none" w:sz="0" w:space="0" w:color="auto"/>
          </w:divBdr>
        </w:div>
        <w:div w:id="984045086">
          <w:marLeft w:val="0"/>
          <w:marRight w:val="0"/>
          <w:marTop w:val="0"/>
          <w:marBottom w:val="0"/>
          <w:divBdr>
            <w:top w:val="none" w:sz="0" w:space="0" w:color="auto"/>
            <w:left w:val="none" w:sz="0" w:space="0" w:color="auto"/>
            <w:bottom w:val="none" w:sz="0" w:space="0" w:color="auto"/>
            <w:right w:val="none" w:sz="0" w:space="0" w:color="auto"/>
          </w:divBdr>
        </w:div>
        <w:div w:id="1164856055">
          <w:marLeft w:val="0"/>
          <w:marRight w:val="0"/>
          <w:marTop w:val="0"/>
          <w:marBottom w:val="0"/>
          <w:divBdr>
            <w:top w:val="none" w:sz="0" w:space="0" w:color="auto"/>
            <w:left w:val="none" w:sz="0" w:space="0" w:color="auto"/>
            <w:bottom w:val="none" w:sz="0" w:space="0" w:color="auto"/>
            <w:right w:val="none" w:sz="0" w:space="0" w:color="auto"/>
          </w:divBdr>
        </w:div>
        <w:div w:id="1263415896">
          <w:marLeft w:val="0"/>
          <w:marRight w:val="0"/>
          <w:marTop w:val="0"/>
          <w:marBottom w:val="0"/>
          <w:divBdr>
            <w:top w:val="none" w:sz="0" w:space="0" w:color="auto"/>
            <w:left w:val="none" w:sz="0" w:space="0" w:color="auto"/>
            <w:bottom w:val="none" w:sz="0" w:space="0" w:color="auto"/>
            <w:right w:val="none" w:sz="0" w:space="0" w:color="auto"/>
          </w:divBdr>
        </w:div>
        <w:div w:id="1273902579">
          <w:marLeft w:val="0"/>
          <w:marRight w:val="0"/>
          <w:marTop w:val="0"/>
          <w:marBottom w:val="0"/>
          <w:divBdr>
            <w:top w:val="none" w:sz="0" w:space="0" w:color="auto"/>
            <w:left w:val="none" w:sz="0" w:space="0" w:color="auto"/>
            <w:bottom w:val="none" w:sz="0" w:space="0" w:color="auto"/>
            <w:right w:val="none" w:sz="0" w:space="0" w:color="auto"/>
          </w:divBdr>
        </w:div>
        <w:div w:id="1277177598">
          <w:marLeft w:val="0"/>
          <w:marRight w:val="0"/>
          <w:marTop w:val="0"/>
          <w:marBottom w:val="0"/>
          <w:divBdr>
            <w:top w:val="none" w:sz="0" w:space="0" w:color="auto"/>
            <w:left w:val="none" w:sz="0" w:space="0" w:color="auto"/>
            <w:bottom w:val="none" w:sz="0" w:space="0" w:color="auto"/>
            <w:right w:val="none" w:sz="0" w:space="0" w:color="auto"/>
          </w:divBdr>
        </w:div>
        <w:div w:id="1547180158">
          <w:marLeft w:val="0"/>
          <w:marRight w:val="0"/>
          <w:marTop w:val="0"/>
          <w:marBottom w:val="0"/>
          <w:divBdr>
            <w:top w:val="none" w:sz="0" w:space="0" w:color="auto"/>
            <w:left w:val="none" w:sz="0" w:space="0" w:color="auto"/>
            <w:bottom w:val="none" w:sz="0" w:space="0" w:color="auto"/>
            <w:right w:val="none" w:sz="0" w:space="0" w:color="auto"/>
          </w:divBdr>
        </w:div>
        <w:div w:id="1548641926">
          <w:marLeft w:val="0"/>
          <w:marRight w:val="0"/>
          <w:marTop w:val="0"/>
          <w:marBottom w:val="0"/>
          <w:divBdr>
            <w:top w:val="none" w:sz="0" w:space="0" w:color="auto"/>
            <w:left w:val="none" w:sz="0" w:space="0" w:color="auto"/>
            <w:bottom w:val="none" w:sz="0" w:space="0" w:color="auto"/>
            <w:right w:val="none" w:sz="0" w:space="0" w:color="auto"/>
          </w:divBdr>
        </w:div>
        <w:div w:id="1551574204">
          <w:marLeft w:val="0"/>
          <w:marRight w:val="0"/>
          <w:marTop w:val="0"/>
          <w:marBottom w:val="0"/>
          <w:divBdr>
            <w:top w:val="none" w:sz="0" w:space="0" w:color="auto"/>
            <w:left w:val="none" w:sz="0" w:space="0" w:color="auto"/>
            <w:bottom w:val="none" w:sz="0" w:space="0" w:color="auto"/>
            <w:right w:val="none" w:sz="0" w:space="0" w:color="auto"/>
          </w:divBdr>
        </w:div>
        <w:div w:id="1599946684">
          <w:marLeft w:val="0"/>
          <w:marRight w:val="0"/>
          <w:marTop w:val="0"/>
          <w:marBottom w:val="0"/>
          <w:divBdr>
            <w:top w:val="none" w:sz="0" w:space="0" w:color="auto"/>
            <w:left w:val="none" w:sz="0" w:space="0" w:color="auto"/>
            <w:bottom w:val="none" w:sz="0" w:space="0" w:color="auto"/>
            <w:right w:val="none" w:sz="0" w:space="0" w:color="auto"/>
          </w:divBdr>
        </w:div>
        <w:div w:id="1747454409">
          <w:marLeft w:val="0"/>
          <w:marRight w:val="0"/>
          <w:marTop w:val="0"/>
          <w:marBottom w:val="0"/>
          <w:divBdr>
            <w:top w:val="none" w:sz="0" w:space="0" w:color="auto"/>
            <w:left w:val="none" w:sz="0" w:space="0" w:color="auto"/>
            <w:bottom w:val="none" w:sz="0" w:space="0" w:color="auto"/>
            <w:right w:val="none" w:sz="0" w:space="0" w:color="auto"/>
          </w:divBdr>
        </w:div>
        <w:div w:id="1790392653">
          <w:marLeft w:val="0"/>
          <w:marRight w:val="0"/>
          <w:marTop w:val="0"/>
          <w:marBottom w:val="0"/>
          <w:divBdr>
            <w:top w:val="none" w:sz="0" w:space="0" w:color="auto"/>
            <w:left w:val="none" w:sz="0" w:space="0" w:color="auto"/>
            <w:bottom w:val="none" w:sz="0" w:space="0" w:color="auto"/>
            <w:right w:val="none" w:sz="0" w:space="0" w:color="auto"/>
          </w:divBdr>
        </w:div>
      </w:divsChild>
    </w:div>
    <w:div w:id="1415325377">
      <w:bodyDiv w:val="1"/>
      <w:marLeft w:val="0"/>
      <w:marRight w:val="0"/>
      <w:marTop w:val="0"/>
      <w:marBottom w:val="0"/>
      <w:divBdr>
        <w:top w:val="none" w:sz="0" w:space="0" w:color="auto"/>
        <w:left w:val="none" w:sz="0" w:space="0" w:color="auto"/>
        <w:bottom w:val="none" w:sz="0" w:space="0" w:color="auto"/>
        <w:right w:val="none" w:sz="0" w:space="0" w:color="auto"/>
      </w:divBdr>
      <w:divsChild>
        <w:div w:id="128673711">
          <w:marLeft w:val="0"/>
          <w:marRight w:val="0"/>
          <w:marTop w:val="0"/>
          <w:marBottom w:val="0"/>
          <w:divBdr>
            <w:top w:val="none" w:sz="0" w:space="0" w:color="auto"/>
            <w:left w:val="none" w:sz="0" w:space="0" w:color="auto"/>
            <w:bottom w:val="none" w:sz="0" w:space="0" w:color="auto"/>
            <w:right w:val="none" w:sz="0" w:space="0" w:color="auto"/>
          </w:divBdr>
        </w:div>
        <w:div w:id="327831992">
          <w:marLeft w:val="0"/>
          <w:marRight w:val="0"/>
          <w:marTop w:val="0"/>
          <w:marBottom w:val="0"/>
          <w:divBdr>
            <w:top w:val="none" w:sz="0" w:space="0" w:color="auto"/>
            <w:left w:val="none" w:sz="0" w:space="0" w:color="auto"/>
            <w:bottom w:val="none" w:sz="0" w:space="0" w:color="auto"/>
            <w:right w:val="none" w:sz="0" w:space="0" w:color="auto"/>
          </w:divBdr>
        </w:div>
        <w:div w:id="547571539">
          <w:marLeft w:val="0"/>
          <w:marRight w:val="0"/>
          <w:marTop w:val="0"/>
          <w:marBottom w:val="0"/>
          <w:divBdr>
            <w:top w:val="none" w:sz="0" w:space="0" w:color="auto"/>
            <w:left w:val="none" w:sz="0" w:space="0" w:color="auto"/>
            <w:bottom w:val="none" w:sz="0" w:space="0" w:color="auto"/>
            <w:right w:val="none" w:sz="0" w:space="0" w:color="auto"/>
          </w:divBdr>
        </w:div>
        <w:div w:id="1048066175">
          <w:marLeft w:val="0"/>
          <w:marRight w:val="0"/>
          <w:marTop w:val="0"/>
          <w:marBottom w:val="0"/>
          <w:divBdr>
            <w:top w:val="none" w:sz="0" w:space="0" w:color="auto"/>
            <w:left w:val="none" w:sz="0" w:space="0" w:color="auto"/>
            <w:bottom w:val="none" w:sz="0" w:space="0" w:color="auto"/>
            <w:right w:val="none" w:sz="0" w:space="0" w:color="auto"/>
          </w:divBdr>
        </w:div>
        <w:div w:id="1608586652">
          <w:marLeft w:val="0"/>
          <w:marRight w:val="0"/>
          <w:marTop w:val="0"/>
          <w:marBottom w:val="0"/>
          <w:divBdr>
            <w:top w:val="none" w:sz="0" w:space="0" w:color="auto"/>
            <w:left w:val="none" w:sz="0" w:space="0" w:color="auto"/>
            <w:bottom w:val="none" w:sz="0" w:space="0" w:color="auto"/>
            <w:right w:val="none" w:sz="0" w:space="0" w:color="auto"/>
          </w:divBdr>
        </w:div>
        <w:div w:id="1824083956">
          <w:marLeft w:val="0"/>
          <w:marRight w:val="0"/>
          <w:marTop w:val="0"/>
          <w:marBottom w:val="0"/>
          <w:divBdr>
            <w:top w:val="none" w:sz="0" w:space="0" w:color="auto"/>
            <w:left w:val="none" w:sz="0" w:space="0" w:color="auto"/>
            <w:bottom w:val="none" w:sz="0" w:space="0" w:color="auto"/>
            <w:right w:val="none" w:sz="0" w:space="0" w:color="auto"/>
          </w:divBdr>
        </w:div>
        <w:div w:id="1876960816">
          <w:marLeft w:val="0"/>
          <w:marRight w:val="0"/>
          <w:marTop w:val="0"/>
          <w:marBottom w:val="0"/>
          <w:divBdr>
            <w:top w:val="none" w:sz="0" w:space="0" w:color="auto"/>
            <w:left w:val="none" w:sz="0" w:space="0" w:color="auto"/>
            <w:bottom w:val="none" w:sz="0" w:space="0" w:color="auto"/>
            <w:right w:val="none" w:sz="0" w:space="0" w:color="auto"/>
          </w:divBdr>
        </w:div>
        <w:div w:id="1908614790">
          <w:marLeft w:val="0"/>
          <w:marRight w:val="0"/>
          <w:marTop w:val="0"/>
          <w:marBottom w:val="0"/>
          <w:divBdr>
            <w:top w:val="none" w:sz="0" w:space="0" w:color="auto"/>
            <w:left w:val="none" w:sz="0" w:space="0" w:color="auto"/>
            <w:bottom w:val="none" w:sz="0" w:space="0" w:color="auto"/>
            <w:right w:val="none" w:sz="0" w:space="0" w:color="auto"/>
          </w:divBdr>
        </w:div>
      </w:divsChild>
    </w:div>
    <w:div w:id="1522008329">
      <w:bodyDiv w:val="1"/>
      <w:marLeft w:val="0"/>
      <w:marRight w:val="0"/>
      <w:marTop w:val="0"/>
      <w:marBottom w:val="0"/>
      <w:divBdr>
        <w:top w:val="none" w:sz="0" w:space="0" w:color="auto"/>
        <w:left w:val="none" w:sz="0" w:space="0" w:color="auto"/>
        <w:bottom w:val="none" w:sz="0" w:space="0" w:color="auto"/>
        <w:right w:val="none" w:sz="0" w:space="0" w:color="auto"/>
      </w:divBdr>
      <w:divsChild>
        <w:div w:id="795758139">
          <w:marLeft w:val="0"/>
          <w:marRight w:val="0"/>
          <w:marTop w:val="0"/>
          <w:marBottom w:val="0"/>
          <w:divBdr>
            <w:top w:val="none" w:sz="0" w:space="0" w:color="auto"/>
            <w:left w:val="none" w:sz="0" w:space="0" w:color="auto"/>
            <w:bottom w:val="none" w:sz="0" w:space="0" w:color="auto"/>
            <w:right w:val="none" w:sz="0" w:space="0" w:color="auto"/>
          </w:divBdr>
          <w:divsChild>
            <w:div w:id="1626504519">
              <w:marLeft w:val="0"/>
              <w:marRight w:val="0"/>
              <w:marTop w:val="0"/>
              <w:marBottom w:val="0"/>
              <w:divBdr>
                <w:top w:val="none" w:sz="0" w:space="0" w:color="auto"/>
                <w:left w:val="none" w:sz="0" w:space="0" w:color="auto"/>
                <w:bottom w:val="none" w:sz="0" w:space="0" w:color="auto"/>
                <w:right w:val="none" w:sz="0" w:space="0" w:color="auto"/>
              </w:divBdr>
              <w:divsChild>
                <w:div w:id="1060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0599">
      <w:bodyDiv w:val="1"/>
      <w:marLeft w:val="0"/>
      <w:marRight w:val="0"/>
      <w:marTop w:val="0"/>
      <w:marBottom w:val="0"/>
      <w:divBdr>
        <w:top w:val="none" w:sz="0" w:space="0" w:color="auto"/>
        <w:left w:val="none" w:sz="0" w:space="0" w:color="auto"/>
        <w:bottom w:val="none" w:sz="0" w:space="0" w:color="auto"/>
        <w:right w:val="none" w:sz="0" w:space="0" w:color="auto"/>
      </w:divBdr>
    </w:div>
    <w:div w:id="1580404147">
      <w:bodyDiv w:val="1"/>
      <w:marLeft w:val="0"/>
      <w:marRight w:val="0"/>
      <w:marTop w:val="0"/>
      <w:marBottom w:val="0"/>
      <w:divBdr>
        <w:top w:val="none" w:sz="0" w:space="0" w:color="auto"/>
        <w:left w:val="none" w:sz="0" w:space="0" w:color="auto"/>
        <w:bottom w:val="none" w:sz="0" w:space="0" w:color="auto"/>
        <w:right w:val="none" w:sz="0" w:space="0" w:color="auto"/>
      </w:divBdr>
      <w:divsChild>
        <w:div w:id="1445347899">
          <w:marLeft w:val="0"/>
          <w:marRight w:val="0"/>
          <w:marTop w:val="0"/>
          <w:marBottom w:val="0"/>
          <w:divBdr>
            <w:top w:val="none" w:sz="0" w:space="0" w:color="auto"/>
            <w:left w:val="none" w:sz="0" w:space="0" w:color="auto"/>
            <w:bottom w:val="none" w:sz="0" w:space="0" w:color="auto"/>
            <w:right w:val="none" w:sz="0" w:space="0" w:color="auto"/>
          </w:divBdr>
          <w:divsChild>
            <w:div w:id="157576789">
              <w:marLeft w:val="0"/>
              <w:marRight w:val="0"/>
              <w:marTop w:val="0"/>
              <w:marBottom w:val="0"/>
              <w:divBdr>
                <w:top w:val="none" w:sz="0" w:space="0" w:color="auto"/>
                <w:left w:val="none" w:sz="0" w:space="0" w:color="auto"/>
                <w:bottom w:val="none" w:sz="0" w:space="0" w:color="auto"/>
                <w:right w:val="none" w:sz="0" w:space="0" w:color="auto"/>
              </w:divBdr>
              <w:divsChild>
                <w:div w:id="21424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6887">
      <w:bodyDiv w:val="1"/>
      <w:marLeft w:val="0"/>
      <w:marRight w:val="0"/>
      <w:marTop w:val="0"/>
      <w:marBottom w:val="0"/>
      <w:divBdr>
        <w:top w:val="none" w:sz="0" w:space="0" w:color="auto"/>
        <w:left w:val="none" w:sz="0" w:space="0" w:color="auto"/>
        <w:bottom w:val="none" w:sz="0" w:space="0" w:color="auto"/>
        <w:right w:val="none" w:sz="0" w:space="0" w:color="auto"/>
      </w:divBdr>
      <w:divsChild>
        <w:div w:id="837617293">
          <w:marLeft w:val="0"/>
          <w:marRight w:val="0"/>
          <w:marTop w:val="0"/>
          <w:marBottom w:val="0"/>
          <w:divBdr>
            <w:top w:val="none" w:sz="0" w:space="0" w:color="auto"/>
            <w:left w:val="none" w:sz="0" w:space="0" w:color="auto"/>
            <w:bottom w:val="none" w:sz="0" w:space="0" w:color="auto"/>
            <w:right w:val="none" w:sz="0" w:space="0" w:color="auto"/>
          </w:divBdr>
          <w:divsChild>
            <w:div w:id="1653605875">
              <w:marLeft w:val="0"/>
              <w:marRight w:val="0"/>
              <w:marTop w:val="0"/>
              <w:marBottom w:val="0"/>
              <w:divBdr>
                <w:top w:val="none" w:sz="0" w:space="0" w:color="auto"/>
                <w:left w:val="none" w:sz="0" w:space="0" w:color="auto"/>
                <w:bottom w:val="none" w:sz="0" w:space="0" w:color="auto"/>
                <w:right w:val="none" w:sz="0" w:space="0" w:color="auto"/>
              </w:divBdr>
              <w:divsChild>
                <w:div w:id="357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4984">
      <w:bodyDiv w:val="1"/>
      <w:marLeft w:val="0"/>
      <w:marRight w:val="0"/>
      <w:marTop w:val="0"/>
      <w:marBottom w:val="0"/>
      <w:divBdr>
        <w:top w:val="none" w:sz="0" w:space="0" w:color="auto"/>
        <w:left w:val="none" w:sz="0" w:space="0" w:color="auto"/>
        <w:bottom w:val="none" w:sz="0" w:space="0" w:color="auto"/>
        <w:right w:val="none" w:sz="0" w:space="0" w:color="auto"/>
      </w:divBdr>
    </w:div>
    <w:div w:id="1706251976">
      <w:bodyDiv w:val="1"/>
      <w:marLeft w:val="0"/>
      <w:marRight w:val="0"/>
      <w:marTop w:val="0"/>
      <w:marBottom w:val="0"/>
      <w:divBdr>
        <w:top w:val="none" w:sz="0" w:space="0" w:color="auto"/>
        <w:left w:val="none" w:sz="0" w:space="0" w:color="auto"/>
        <w:bottom w:val="none" w:sz="0" w:space="0" w:color="auto"/>
        <w:right w:val="none" w:sz="0" w:space="0" w:color="auto"/>
      </w:divBdr>
      <w:divsChild>
        <w:div w:id="665790293">
          <w:marLeft w:val="0"/>
          <w:marRight w:val="0"/>
          <w:marTop w:val="0"/>
          <w:marBottom w:val="0"/>
          <w:divBdr>
            <w:top w:val="none" w:sz="0" w:space="0" w:color="auto"/>
            <w:left w:val="none" w:sz="0" w:space="0" w:color="auto"/>
            <w:bottom w:val="none" w:sz="0" w:space="0" w:color="auto"/>
            <w:right w:val="none" w:sz="0" w:space="0" w:color="auto"/>
          </w:divBdr>
        </w:div>
        <w:div w:id="2823696">
          <w:marLeft w:val="0"/>
          <w:marRight w:val="0"/>
          <w:marTop w:val="0"/>
          <w:marBottom w:val="0"/>
          <w:divBdr>
            <w:top w:val="none" w:sz="0" w:space="0" w:color="auto"/>
            <w:left w:val="none" w:sz="0" w:space="0" w:color="auto"/>
            <w:bottom w:val="none" w:sz="0" w:space="0" w:color="auto"/>
            <w:right w:val="none" w:sz="0" w:space="0" w:color="auto"/>
          </w:divBdr>
        </w:div>
      </w:divsChild>
    </w:div>
    <w:div w:id="1711762140">
      <w:bodyDiv w:val="1"/>
      <w:marLeft w:val="0"/>
      <w:marRight w:val="0"/>
      <w:marTop w:val="0"/>
      <w:marBottom w:val="0"/>
      <w:divBdr>
        <w:top w:val="none" w:sz="0" w:space="0" w:color="auto"/>
        <w:left w:val="none" w:sz="0" w:space="0" w:color="auto"/>
        <w:bottom w:val="none" w:sz="0" w:space="0" w:color="auto"/>
        <w:right w:val="none" w:sz="0" w:space="0" w:color="auto"/>
      </w:divBdr>
      <w:divsChild>
        <w:div w:id="1665860207">
          <w:marLeft w:val="0"/>
          <w:marRight w:val="0"/>
          <w:marTop w:val="0"/>
          <w:marBottom w:val="0"/>
          <w:divBdr>
            <w:top w:val="none" w:sz="0" w:space="0" w:color="auto"/>
            <w:left w:val="none" w:sz="0" w:space="0" w:color="auto"/>
            <w:bottom w:val="none" w:sz="0" w:space="0" w:color="auto"/>
            <w:right w:val="none" w:sz="0" w:space="0" w:color="auto"/>
          </w:divBdr>
          <w:divsChild>
            <w:div w:id="96029931">
              <w:marLeft w:val="0"/>
              <w:marRight w:val="0"/>
              <w:marTop w:val="0"/>
              <w:marBottom w:val="0"/>
              <w:divBdr>
                <w:top w:val="none" w:sz="0" w:space="0" w:color="auto"/>
                <w:left w:val="none" w:sz="0" w:space="0" w:color="auto"/>
                <w:bottom w:val="none" w:sz="0" w:space="0" w:color="auto"/>
                <w:right w:val="none" w:sz="0" w:space="0" w:color="auto"/>
              </w:divBdr>
              <w:divsChild>
                <w:div w:id="17420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3568">
      <w:bodyDiv w:val="1"/>
      <w:marLeft w:val="0"/>
      <w:marRight w:val="0"/>
      <w:marTop w:val="0"/>
      <w:marBottom w:val="0"/>
      <w:divBdr>
        <w:top w:val="none" w:sz="0" w:space="0" w:color="auto"/>
        <w:left w:val="none" w:sz="0" w:space="0" w:color="auto"/>
        <w:bottom w:val="none" w:sz="0" w:space="0" w:color="auto"/>
        <w:right w:val="none" w:sz="0" w:space="0" w:color="auto"/>
      </w:divBdr>
      <w:divsChild>
        <w:div w:id="878858358">
          <w:marLeft w:val="0"/>
          <w:marRight w:val="0"/>
          <w:marTop w:val="0"/>
          <w:marBottom w:val="0"/>
          <w:divBdr>
            <w:top w:val="none" w:sz="0" w:space="0" w:color="auto"/>
            <w:left w:val="none" w:sz="0" w:space="0" w:color="auto"/>
            <w:bottom w:val="none" w:sz="0" w:space="0" w:color="auto"/>
            <w:right w:val="none" w:sz="0" w:space="0" w:color="auto"/>
          </w:divBdr>
          <w:divsChild>
            <w:div w:id="1058168076">
              <w:marLeft w:val="0"/>
              <w:marRight w:val="0"/>
              <w:marTop w:val="0"/>
              <w:marBottom w:val="0"/>
              <w:divBdr>
                <w:top w:val="none" w:sz="0" w:space="0" w:color="auto"/>
                <w:left w:val="none" w:sz="0" w:space="0" w:color="auto"/>
                <w:bottom w:val="none" w:sz="0" w:space="0" w:color="auto"/>
                <w:right w:val="none" w:sz="0" w:space="0" w:color="auto"/>
              </w:divBdr>
              <w:divsChild>
                <w:div w:id="33585192">
                  <w:marLeft w:val="0"/>
                  <w:marRight w:val="0"/>
                  <w:marTop w:val="0"/>
                  <w:marBottom w:val="0"/>
                  <w:divBdr>
                    <w:top w:val="none" w:sz="0" w:space="0" w:color="auto"/>
                    <w:left w:val="none" w:sz="0" w:space="0" w:color="auto"/>
                    <w:bottom w:val="none" w:sz="0" w:space="0" w:color="auto"/>
                    <w:right w:val="none" w:sz="0" w:space="0" w:color="auto"/>
                  </w:divBdr>
                  <w:divsChild>
                    <w:div w:id="276642570">
                      <w:marLeft w:val="0"/>
                      <w:marRight w:val="0"/>
                      <w:marTop w:val="0"/>
                      <w:marBottom w:val="0"/>
                      <w:divBdr>
                        <w:top w:val="none" w:sz="0" w:space="0" w:color="auto"/>
                        <w:left w:val="none" w:sz="0" w:space="0" w:color="auto"/>
                        <w:bottom w:val="none" w:sz="0" w:space="0" w:color="auto"/>
                        <w:right w:val="none" w:sz="0" w:space="0" w:color="auto"/>
                      </w:divBdr>
                    </w:div>
                  </w:divsChild>
                </w:div>
                <w:div w:id="399059034">
                  <w:marLeft w:val="0"/>
                  <w:marRight w:val="0"/>
                  <w:marTop w:val="0"/>
                  <w:marBottom w:val="0"/>
                  <w:divBdr>
                    <w:top w:val="none" w:sz="0" w:space="0" w:color="auto"/>
                    <w:left w:val="none" w:sz="0" w:space="0" w:color="auto"/>
                    <w:bottom w:val="none" w:sz="0" w:space="0" w:color="auto"/>
                    <w:right w:val="none" w:sz="0" w:space="0" w:color="auto"/>
                  </w:divBdr>
                  <w:divsChild>
                    <w:div w:id="275646048">
                      <w:marLeft w:val="0"/>
                      <w:marRight w:val="0"/>
                      <w:marTop w:val="0"/>
                      <w:marBottom w:val="0"/>
                      <w:divBdr>
                        <w:top w:val="none" w:sz="0" w:space="0" w:color="auto"/>
                        <w:left w:val="none" w:sz="0" w:space="0" w:color="auto"/>
                        <w:bottom w:val="none" w:sz="0" w:space="0" w:color="auto"/>
                        <w:right w:val="none" w:sz="0" w:space="0" w:color="auto"/>
                      </w:divBdr>
                    </w:div>
                  </w:divsChild>
                </w:div>
                <w:div w:id="430470914">
                  <w:marLeft w:val="0"/>
                  <w:marRight w:val="0"/>
                  <w:marTop w:val="0"/>
                  <w:marBottom w:val="0"/>
                  <w:divBdr>
                    <w:top w:val="none" w:sz="0" w:space="0" w:color="auto"/>
                    <w:left w:val="none" w:sz="0" w:space="0" w:color="auto"/>
                    <w:bottom w:val="none" w:sz="0" w:space="0" w:color="auto"/>
                    <w:right w:val="none" w:sz="0" w:space="0" w:color="auto"/>
                  </w:divBdr>
                  <w:divsChild>
                    <w:div w:id="954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040">
      <w:bodyDiv w:val="1"/>
      <w:marLeft w:val="0"/>
      <w:marRight w:val="0"/>
      <w:marTop w:val="0"/>
      <w:marBottom w:val="0"/>
      <w:divBdr>
        <w:top w:val="none" w:sz="0" w:space="0" w:color="auto"/>
        <w:left w:val="none" w:sz="0" w:space="0" w:color="auto"/>
        <w:bottom w:val="none" w:sz="0" w:space="0" w:color="auto"/>
        <w:right w:val="none" w:sz="0" w:space="0" w:color="auto"/>
      </w:divBdr>
      <w:divsChild>
        <w:div w:id="1473327043">
          <w:marLeft w:val="0"/>
          <w:marRight w:val="0"/>
          <w:marTop w:val="0"/>
          <w:marBottom w:val="0"/>
          <w:divBdr>
            <w:top w:val="none" w:sz="0" w:space="0" w:color="auto"/>
            <w:left w:val="none" w:sz="0" w:space="0" w:color="auto"/>
            <w:bottom w:val="none" w:sz="0" w:space="0" w:color="auto"/>
            <w:right w:val="none" w:sz="0" w:space="0" w:color="auto"/>
          </w:divBdr>
          <w:divsChild>
            <w:div w:id="510024813">
              <w:marLeft w:val="0"/>
              <w:marRight w:val="0"/>
              <w:marTop w:val="0"/>
              <w:marBottom w:val="0"/>
              <w:divBdr>
                <w:top w:val="none" w:sz="0" w:space="0" w:color="auto"/>
                <w:left w:val="none" w:sz="0" w:space="0" w:color="auto"/>
                <w:bottom w:val="none" w:sz="0" w:space="0" w:color="auto"/>
                <w:right w:val="none" w:sz="0" w:space="0" w:color="auto"/>
              </w:divBdr>
              <w:divsChild>
                <w:div w:id="1355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6855">
      <w:bodyDiv w:val="1"/>
      <w:marLeft w:val="0"/>
      <w:marRight w:val="0"/>
      <w:marTop w:val="0"/>
      <w:marBottom w:val="0"/>
      <w:divBdr>
        <w:top w:val="none" w:sz="0" w:space="0" w:color="auto"/>
        <w:left w:val="none" w:sz="0" w:space="0" w:color="auto"/>
        <w:bottom w:val="none" w:sz="0" w:space="0" w:color="auto"/>
        <w:right w:val="none" w:sz="0" w:space="0" w:color="auto"/>
      </w:divBdr>
    </w:div>
    <w:div w:id="2009863545">
      <w:bodyDiv w:val="1"/>
      <w:marLeft w:val="0"/>
      <w:marRight w:val="0"/>
      <w:marTop w:val="0"/>
      <w:marBottom w:val="0"/>
      <w:divBdr>
        <w:top w:val="none" w:sz="0" w:space="0" w:color="auto"/>
        <w:left w:val="none" w:sz="0" w:space="0" w:color="auto"/>
        <w:bottom w:val="none" w:sz="0" w:space="0" w:color="auto"/>
        <w:right w:val="none" w:sz="0" w:space="0" w:color="auto"/>
      </w:divBdr>
    </w:div>
    <w:div w:id="2010868722">
      <w:bodyDiv w:val="1"/>
      <w:marLeft w:val="0"/>
      <w:marRight w:val="0"/>
      <w:marTop w:val="0"/>
      <w:marBottom w:val="0"/>
      <w:divBdr>
        <w:top w:val="none" w:sz="0" w:space="0" w:color="auto"/>
        <w:left w:val="none" w:sz="0" w:space="0" w:color="auto"/>
        <w:bottom w:val="none" w:sz="0" w:space="0" w:color="auto"/>
        <w:right w:val="none" w:sz="0" w:space="0" w:color="auto"/>
      </w:divBdr>
      <w:divsChild>
        <w:div w:id="1401830237">
          <w:marLeft w:val="0"/>
          <w:marRight w:val="0"/>
          <w:marTop w:val="0"/>
          <w:marBottom w:val="0"/>
          <w:divBdr>
            <w:top w:val="none" w:sz="0" w:space="0" w:color="auto"/>
            <w:left w:val="none" w:sz="0" w:space="0" w:color="auto"/>
            <w:bottom w:val="none" w:sz="0" w:space="0" w:color="auto"/>
            <w:right w:val="none" w:sz="0" w:space="0" w:color="auto"/>
          </w:divBdr>
          <w:divsChild>
            <w:div w:id="389961302">
              <w:marLeft w:val="0"/>
              <w:marRight w:val="0"/>
              <w:marTop w:val="0"/>
              <w:marBottom w:val="0"/>
              <w:divBdr>
                <w:top w:val="none" w:sz="0" w:space="0" w:color="auto"/>
                <w:left w:val="none" w:sz="0" w:space="0" w:color="auto"/>
                <w:bottom w:val="none" w:sz="0" w:space="0" w:color="auto"/>
                <w:right w:val="none" w:sz="0" w:space="0" w:color="auto"/>
              </w:divBdr>
              <w:divsChild>
                <w:div w:id="6406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7539">
      <w:bodyDiv w:val="1"/>
      <w:marLeft w:val="0"/>
      <w:marRight w:val="0"/>
      <w:marTop w:val="0"/>
      <w:marBottom w:val="0"/>
      <w:divBdr>
        <w:top w:val="none" w:sz="0" w:space="0" w:color="auto"/>
        <w:left w:val="none" w:sz="0" w:space="0" w:color="auto"/>
        <w:bottom w:val="none" w:sz="0" w:space="0" w:color="auto"/>
        <w:right w:val="none" w:sz="0" w:space="0" w:color="auto"/>
      </w:divBdr>
      <w:divsChild>
        <w:div w:id="1002852861">
          <w:marLeft w:val="0"/>
          <w:marRight w:val="0"/>
          <w:marTop w:val="0"/>
          <w:marBottom w:val="0"/>
          <w:divBdr>
            <w:top w:val="none" w:sz="0" w:space="0" w:color="auto"/>
            <w:left w:val="none" w:sz="0" w:space="0" w:color="auto"/>
            <w:bottom w:val="none" w:sz="0" w:space="0" w:color="auto"/>
            <w:right w:val="none" w:sz="0" w:space="0" w:color="auto"/>
          </w:divBdr>
          <w:divsChild>
            <w:div w:id="613054571">
              <w:marLeft w:val="0"/>
              <w:marRight w:val="0"/>
              <w:marTop w:val="0"/>
              <w:marBottom w:val="0"/>
              <w:divBdr>
                <w:top w:val="none" w:sz="0" w:space="0" w:color="auto"/>
                <w:left w:val="none" w:sz="0" w:space="0" w:color="auto"/>
                <w:bottom w:val="none" w:sz="0" w:space="0" w:color="auto"/>
                <w:right w:val="none" w:sz="0" w:space="0" w:color="auto"/>
              </w:divBdr>
              <w:divsChild>
                <w:div w:id="5785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8809">
      <w:bodyDiv w:val="1"/>
      <w:marLeft w:val="0"/>
      <w:marRight w:val="0"/>
      <w:marTop w:val="0"/>
      <w:marBottom w:val="0"/>
      <w:divBdr>
        <w:top w:val="none" w:sz="0" w:space="0" w:color="auto"/>
        <w:left w:val="none" w:sz="0" w:space="0" w:color="auto"/>
        <w:bottom w:val="none" w:sz="0" w:space="0" w:color="auto"/>
        <w:right w:val="none" w:sz="0" w:space="0" w:color="auto"/>
      </w:divBdr>
      <w:divsChild>
        <w:div w:id="1779907998">
          <w:marLeft w:val="0"/>
          <w:marRight w:val="0"/>
          <w:marTop w:val="0"/>
          <w:marBottom w:val="0"/>
          <w:divBdr>
            <w:top w:val="none" w:sz="0" w:space="0" w:color="auto"/>
            <w:left w:val="none" w:sz="0" w:space="0" w:color="auto"/>
            <w:bottom w:val="none" w:sz="0" w:space="0" w:color="auto"/>
            <w:right w:val="none" w:sz="0" w:space="0" w:color="auto"/>
          </w:divBdr>
          <w:divsChild>
            <w:div w:id="1161193986">
              <w:marLeft w:val="0"/>
              <w:marRight w:val="0"/>
              <w:marTop w:val="0"/>
              <w:marBottom w:val="0"/>
              <w:divBdr>
                <w:top w:val="none" w:sz="0" w:space="0" w:color="auto"/>
                <w:left w:val="none" w:sz="0" w:space="0" w:color="auto"/>
                <w:bottom w:val="none" w:sz="0" w:space="0" w:color="auto"/>
                <w:right w:val="none" w:sz="0" w:space="0" w:color="auto"/>
              </w:divBdr>
              <w:divsChild>
                <w:div w:id="1644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10273</Words>
  <Characters>58558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2018-07-25T22:31:00Z</dcterms:created>
  <dcterms:modified xsi:type="dcterms:W3CDTF">2018-07-25T22:31:00Z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zotero-version="5.0.17.3"&gt;&lt;session id="3nwMzHML"/&gt;&lt;style id="http://www.zotero.org/styles/australian-guide-to-legal-citation" hasBibliography="1" bibliographyStyleHasBeenSet="0"/&gt;&lt;prefs&gt;&lt;pref name="citationTransliteration" value=""/</vt:lpwstr>
  </property>
  <property fmtid="{D5CDD505-2E9C-101B-9397-08002B2CF9AE}" pid="3" name="ZOTERO_PREF_2">
    <vt:lpwstr>&gt;&lt;pref name="citationTranslation" value=""/&gt;&lt;pref name="citationSort" value=""/&gt;&lt;pref name="citationLangPrefsPersons" value="orig"/&gt;&lt;pref name="citationLangPrefsInstitutions" value="orig"/&gt;&lt;pref name="citationLangPrefsTitles" value="orig"/&gt;&lt;pref name="cit</vt:lpwstr>
  </property>
  <property fmtid="{D5CDD505-2E9C-101B-9397-08002B2CF9AE}" pid="4" name="ZOTERO_PREF_3">
    <vt:lpwstr>ationLangPrefsJournals" value="orig"/&gt;&lt;pref name="citationLangPrefsPublishers" value="orig"/&gt;&lt;pref name="citationLangPrefsPlaces" value="orig"/&gt;&lt;pref name="citationAffixes" value="|||||||||||||||||||||||||||||||||||||||||||||||"/&gt;&lt;pref name="extractingLib</vt:lpwstr>
  </property>
  <property fmtid="{D5CDD505-2E9C-101B-9397-08002B2CF9AE}" pid="5" name="ZOTERO_PREF_4">
    <vt:lpwstr>raryID" value="0"/&gt;&lt;pref name="extractingLibraryName" value="No group selected"/&gt;&lt;pref name="fieldType" value="Field"/&gt;&lt;pref name="automaticJournalAbbreviations" value="false"/&gt;&lt;pref name="noteType" value="1"/&gt;&lt;pref name="suppressTrailingPunctuation" valu</vt:lpwstr>
  </property>
  <property fmtid="{D5CDD505-2E9C-101B-9397-08002B2CF9AE}" pid="6" name="ZOTERO_PREF_5">
    <vt:lpwstr>e="false"/&gt;&lt;/prefs&gt;&lt;/data&gt;</vt:lpwstr>
  </property>
</Properties>
</file>