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91317" w14:textId="77777777" w:rsidR="00F306A1" w:rsidRDefault="00F306A1" w:rsidP="00F306A1">
      <w:pPr>
        <w:spacing w:after="0" w:line="240" w:lineRule="auto"/>
      </w:pPr>
    </w:p>
    <w:p w14:paraId="477E4BB2" w14:textId="0B1CFBAC" w:rsidR="00F306A1" w:rsidRPr="00FD29E6" w:rsidRDefault="00BF21E5" w:rsidP="00F306A1">
      <w:pPr>
        <w:spacing w:after="0" w:line="240" w:lineRule="auto"/>
        <w:jc w:val="center"/>
        <w:rPr>
          <w:b/>
        </w:rPr>
      </w:pPr>
      <w:r w:rsidRPr="00BF21E5">
        <w:rPr>
          <w:b/>
          <w:highlight w:val="yellow"/>
        </w:rPr>
        <w:t>DOES RELIGIOUS AFFFILIATION INFLUENCE TRUST?</w:t>
      </w:r>
    </w:p>
    <w:p w14:paraId="532ACCB2" w14:textId="77777777" w:rsidR="00F306A1" w:rsidRDefault="00F306A1" w:rsidP="00F306A1">
      <w:pPr>
        <w:spacing w:after="0" w:line="240" w:lineRule="auto"/>
      </w:pPr>
    </w:p>
    <w:p w14:paraId="2BFBAB1F" w14:textId="23303008" w:rsidR="00F306A1" w:rsidRDefault="00F306A1" w:rsidP="00F306A1">
      <w:pPr>
        <w:spacing w:after="0" w:line="240" w:lineRule="auto"/>
      </w:pPr>
    </w:p>
    <w:p w14:paraId="78B61372" w14:textId="77777777" w:rsidR="00FB541B" w:rsidRDefault="00FB541B" w:rsidP="00FB541B">
      <w:pPr>
        <w:spacing w:after="0" w:line="240" w:lineRule="auto"/>
        <w:jc w:val="center"/>
        <w:rPr>
          <w:i/>
        </w:rPr>
      </w:pPr>
      <w:r>
        <w:rPr>
          <w:b/>
          <w:i/>
        </w:rPr>
        <w:t>Michael A. Kortt</w:t>
      </w:r>
      <w:r>
        <w:rPr>
          <w:i/>
        </w:rPr>
        <w:t>,</w:t>
      </w:r>
      <w:r>
        <w:rPr>
          <w:b/>
          <w:i/>
        </w:rPr>
        <w:t xml:space="preserve"> </w:t>
      </w:r>
      <w:r>
        <w:rPr>
          <w:i/>
        </w:rPr>
        <w:t>Southern Cross University, Queensland, Australia.</w:t>
      </w:r>
    </w:p>
    <w:p w14:paraId="2E7F8FE4" w14:textId="77777777" w:rsidR="00FB541B" w:rsidRDefault="00FB541B" w:rsidP="00F306A1">
      <w:pPr>
        <w:spacing w:after="0" w:line="240" w:lineRule="auto"/>
      </w:pPr>
    </w:p>
    <w:p w14:paraId="70E091A9" w14:textId="77777777" w:rsidR="00F306A1" w:rsidRDefault="00F306A1" w:rsidP="00F306A1">
      <w:pPr>
        <w:spacing w:after="0" w:line="240" w:lineRule="auto"/>
        <w:jc w:val="center"/>
      </w:pPr>
      <w:r>
        <w:rPr>
          <w:b/>
          <w:i/>
        </w:rPr>
        <w:t>Joseph Drew</w:t>
      </w:r>
      <w:r>
        <w:rPr>
          <w:i/>
        </w:rPr>
        <w:t>,</w:t>
      </w:r>
      <w:r>
        <w:rPr>
          <w:b/>
          <w:i/>
        </w:rPr>
        <w:t xml:space="preserve"> </w:t>
      </w:r>
      <w:r>
        <w:rPr>
          <w:i/>
        </w:rPr>
        <w:t>University of Technology, Sydney, New South Wales, Australia and Tokyo Metropolitan University, Tokyo, Japan.</w:t>
      </w:r>
    </w:p>
    <w:p w14:paraId="7240F295" w14:textId="77777777" w:rsidR="00F306A1" w:rsidRDefault="00F306A1" w:rsidP="00F306A1">
      <w:pPr>
        <w:spacing w:after="0" w:line="240" w:lineRule="auto"/>
        <w:jc w:val="center"/>
        <w:rPr>
          <w:caps/>
        </w:rPr>
      </w:pPr>
    </w:p>
    <w:p w14:paraId="1B49108B" w14:textId="77777777" w:rsidR="00F306A1" w:rsidRDefault="00F306A1" w:rsidP="00F306A1">
      <w:pPr>
        <w:spacing w:after="0" w:line="240" w:lineRule="auto"/>
      </w:pPr>
    </w:p>
    <w:p w14:paraId="5D0C727F" w14:textId="77777777" w:rsidR="00F306A1" w:rsidRDefault="00F306A1" w:rsidP="00F306A1">
      <w:pPr>
        <w:spacing w:after="0" w:line="240" w:lineRule="auto"/>
      </w:pPr>
    </w:p>
    <w:p w14:paraId="41914F59" w14:textId="77777777" w:rsidR="00F306A1" w:rsidRDefault="00F306A1" w:rsidP="00F306A1">
      <w:pPr>
        <w:spacing w:after="0" w:line="240" w:lineRule="auto"/>
      </w:pPr>
    </w:p>
    <w:p w14:paraId="7E9DE1AB" w14:textId="77777777" w:rsidR="00F306A1" w:rsidRDefault="00F306A1" w:rsidP="00F306A1">
      <w:pPr>
        <w:spacing w:after="0" w:line="240" w:lineRule="auto"/>
      </w:pPr>
    </w:p>
    <w:p w14:paraId="09E7633F" w14:textId="77777777" w:rsidR="00F306A1" w:rsidRDefault="00F306A1" w:rsidP="00F306A1">
      <w:pPr>
        <w:spacing w:after="0" w:line="240" w:lineRule="auto"/>
      </w:pPr>
    </w:p>
    <w:p w14:paraId="0CD720C3" w14:textId="77777777" w:rsidR="00F306A1" w:rsidRDefault="00F306A1" w:rsidP="00F306A1">
      <w:pPr>
        <w:spacing w:after="0" w:line="240" w:lineRule="auto"/>
      </w:pPr>
    </w:p>
    <w:p w14:paraId="34108726" w14:textId="77777777" w:rsidR="00F306A1" w:rsidRDefault="00F306A1" w:rsidP="00F306A1">
      <w:pPr>
        <w:spacing w:after="0" w:line="240" w:lineRule="auto"/>
      </w:pPr>
    </w:p>
    <w:p w14:paraId="791D7A05" w14:textId="77777777" w:rsidR="00F306A1" w:rsidRDefault="00F306A1" w:rsidP="00F306A1">
      <w:pPr>
        <w:spacing w:after="0" w:line="240" w:lineRule="auto"/>
      </w:pPr>
    </w:p>
    <w:p w14:paraId="7ADEFB03" w14:textId="77777777" w:rsidR="00F306A1" w:rsidRDefault="00F306A1" w:rsidP="00F306A1">
      <w:pPr>
        <w:spacing w:after="0" w:line="240" w:lineRule="auto"/>
      </w:pPr>
    </w:p>
    <w:p w14:paraId="5750A331" w14:textId="77777777" w:rsidR="00F306A1" w:rsidRDefault="00F306A1" w:rsidP="00F306A1">
      <w:pPr>
        <w:spacing w:after="0" w:line="240" w:lineRule="auto"/>
      </w:pPr>
    </w:p>
    <w:p w14:paraId="4B916771" w14:textId="77777777" w:rsidR="00F306A1" w:rsidRDefault="00F306A1" w:rsidP="00F306A1">
      <w:pPr>
        <w:spacing w:after="0" w:line="240" w:lineRule="auto"/>
      </w:pPr>
    </w:p>
    <w:p w14:paraId="243A2F52" w14:textId="77777777" w:rsidR="00F306A1" w:rsidRDefault="00F306A1" w:rsidP="00F306A1">
      <w:pPr>
        <w:spacing w:after="0" w:line="240" w:lineRule="auto"/>
      </w:pPr>
    </w:p>
    <w:p w14:paraId="67362B63" w14:textId="77777777" w:rsidR="00F306A1" w:rsidRDefault="00F306A1" w:rsidP="00F306A1">
      <w:pPr>
        <w:spacing w:after="0" w:line="240" w:lineRule="auto"/>
      </w:pPr>
    </w:p>
    <w:p w14:paraId="242B6390" w14:textId="77777777" w:rsidR="00F306A1" w:rsidRDefault="00F306A1" w:rsidP="00F306A1">
      <w:pPr>
        <w:spacing w:after="0" w:line="240" w:lineRule="auto"/>
      </w:pPr>
    </w:p>
    <w:p w14:paraId="2F9742B0" w14:textId="77777777" w:rsidR="00F306A1" w:rsidRDefault="00F306A1" w:rsidP="00F306A1">
      <w:pPr>
        <w:spacing w:after="0" w:line="240" w:lineRule="auto"/>
      </w:pPr>
    </w:p>
    <w:p w14:paraId="58E61654" w14:textId="77777777" w:rsidR="00F306A1" w:rsidRDefault="00F306A1" w:rsidP="00F306A1">
      <w:pPr>
        <w:spacing w:after="0" w:line="240" w:lineRule="auto"/>
      </w:pPr>
    </w:p>
    <w:p w14:paraId="0DF37DCB" w14:textId="77777777" w:rsidR="00F306A1" w:rsidRDefault="00F306A1" w:rsidP="00F306A1">
      <w:pPr>
        <w:spacing w:after="0" w:line="240" w:lineRule="auto"/>
      </w:pPr>
    </w:p>
    <w:p w14:paraId="512D9017" w14:textId="77777777" w:rsidR="00F306A1" w:rsidRDefault="00F306A1" w:rsidP="00F306A1">
      <w:pPr>
        <w:spacing w:after="0" w:line="240" w:lineRule="auto"/>
      </w:pPr>
    </w:p>
    <w:p w14:paraId="5BFD96CC" w14:textId="2B31C1F3" w:rsidR="00F306A1" w:rsidRDefault="00F306A1" w:rsidP="00F306A1">
      <w:pPr>
        <w:spacing w:after="0" w:line="240" w:lineRule="auto"/>
      </w:pPr>
    </w:p>
    <w:p w14:paraId="221B0B9A" w14:textId="0298EA8A" w:rsidR="00F306A1" w:rsidRDefault="00F306A1" w:rsidP="00F306A1">
      <w:pPr>
        <w:spacing w:after="0" w:line="240" w:lineRule="auto"/>
      </w:pPr>
    </w:p>
    <w:p w14:paraId="3F6A7092" w14:textId="77777777" w:rsidR="00F306A1" w:rsidRDefault="00F306A1" w:rsidP="00F306A1">
      <w:pPr>
        <w:spacing w:after="0" w:line="240" w:lineRule="auto"/>
      </w:pPr>
    </w:p>
    <w:p w14:paraId="2A8F0526" w14:textId="77777777" w:rsidR="00F306A1" w:rsidRDefault="00F306A1" w:rsidP="00F306A1">
      <w:pPr>
        <w:spacing w:after="0" w:line="240" w:lineRule="auto"/>
      </w:pPr>
    </w:p>
    <w:p w14:paraId="4BC55201" w14:textId="77777777" w:rsidR="00F306A1" w:rsidRDefault="00F306A1" w:rsidP="00F306A1">
      <w:pPr>
        <w:spacing w:after="0" w:line="240" w:lineRule="auto"/>
      </w:pPr>
    </w:p>
    <w:p w14:paraId="6BE7C9FA" w14:textId="77777777" w:rsidR="00F306A1" w:rsidRDefault="00F306A1" w:rsidP="00F306A1">
      <w:pPr>
        <w:spacing w:after="0" w:line="240" w:lineRule="auto"/>
        <w:rPr>
          <w:i/>
          <w:u w:val="single"/>
        </w:rPr>
      </w:pPr>
      <w:r>
        <w:rPr>
          <w:i/>
          <w:u w:val="single"/>
        </w:rPr>
        <w:t>Correspondence:</w:t>
      </w:r>
    </w:p>
    <w:p w14:paraId="363C5EF4" w14:textId="77777777" w:rsidR="00F306A1" w:rsidRDefault="00F306A1" w:rsidP="00F306A1">
      <w:pPr>
        <w:spacing w:after="0" w:line="240" w:lineRule="auto"/>
        <w:rPr>
          <w:rFonts w:eastAsia="Calibri"/>
          <w:color w:val="000000"/>
          <w:lang w:eastAsia="en-GB"/>
        </w:rPr>
      </w:pPr>
    </w:p>
    <w:p w14:paraId="4513761B" w14:textId="77777777" w:rsidR="00F306A1" w:rsidRDefault="00F306A1" w:rsidP="00F306A1">
      <w:pPr>
        <w:spacing w:after="0" w:line="240" w:lineRule="auto"/>
        <w:rPr>
          <w:rFonts w:eastAsia="Calibri"/>
          <w:color w:val="000000"/>
          <w:lang w:val="en-AU" w:eastAsia="en-GB"/>
        </w:rPr>
      </w:pPr>
      <w:r>
        <w:rPr>
          <w:rFonts w:eastAsia="Calibri"/>
          <w:color w:val="000000"/>
          <w:lang w:eastAsia="en-GB"/>
        </w:rPr>
        <w:t>Michael Kortt</w:t>
      </w:r>
    </w:p>
    <w:p w14:paraId="16A6BDE2" w14:textId="77777777" w:rsidR="00F306A1" w:rsidRDefault="00F306A1" w:rsidP="00F306A1">
      <w:pPr>
        <w:spacing w:after="0" w:line="240" w:lineRule="auto"/>
        <w:rPr>
          <w:rFonts w:eastAsia="Calibri"/>
          <w:color w:val="000000"/>
          <w:lang w:eastAsia="en-GB"/>
        </w:rPr>
      </w:pPr>
      <w:r>
        <w:rPr>
          <w:rFonts w:eastAsia="Calibri"/>
          <w:color w:val="000000"/>
          <w:lang w:eastAsia="en-GB"/>
        </w:rPr>
        <w:t>Associate Professor</w:t>
      </w:r>
    </w:p>
    <w:p w14:paraId="15CF32F0" w14:textId="77777777" w:rsidR="00F306A1" w:rsidRDefault="00F306A1" w:rsidP="00F306A1">
      <w:pPr>
        <w:spacing w:after="0" w:line="240" w:lineRule="auto"/>
        <w:rPr>
          <w:rFonts w:eastAsia="Calibri"/>
          <w:color w:val="000000"/>
          <w:lang w:eastAsia="en-GB"/>
        </w:rPr>
      </w:pPr>
      <w:r>
        <w:rPr>
          <w:rFonts w:eastAsia="Calibri"/>
          <w:color w:val="000000"/>
          <w:lang w:eastAsia="en-GB"/>
        </w:rPr>
        <w:t>School of Business and Tourism</w:t>
      </w:r>
    </w:p>
    <w:p w14:paraId="48E1DEA1" w14:textId="77777777" w:rsidR="00F306A1" w:rsidRDefault="00F306A1" w:rsidP="00F306A1">
      <w:pPr>
        <w:spacing w:after="0" w:line="240" w:lineRule="auto"/>
        <w:rPr>
          <w:rFonts w:eastAsia="Calibri"/>
          <w:color w:val="000000"/>
          <w:lang w:eastAsia="en-GB"/>
        </w:rPr>
      </w:pPr>
      <w:r>
        <w:rPr>
          <w:rFonts w:eastAsia="Calibri"/>
          <w:color w:val="000000"/>
          <w:lang w:eastAsia="en-GB"/>
        </w:rPr>
        <w:t>Southern Cross University</w:t>
      </w:r>
    </w:p>
    <w:p w14:paraId="1C269E3B" w14:textId="77777777" w:rsidR="00F306A1" w:rsidRDefault="00F306A1" w:rsidP="00F306A1">
      <w:pPr>
        <w:spacing w:after="0" w:line="240" w:lineRule="auto"/>
        <w:rPr>
          <w:rFonts w:eastAsia="Calibri"/>
          <w:color w:val="000000"/>
          <w:lang w:eastAsia="en-GB"/>
        </w:rPr>
      </w:pPr>
      <w:r>
        <w:rPr>
          <w:rFonts w:eastAsia="Calibri"/>
          <w:color w:val="000000"/>
          <w:lang w:eastAsia="en-GB"/>
        </w:rPr>
        <w:t>Gold Coast Campus</w:t>
      </w:r>
    </w:p>
    <w:p w14:paraId="10910BD0" w14:textId="77777777" w:rsidR="00F306A1" w:rsidRDefault="00F306A1" w:rsidP="00F306A1">
      <w:pPr>
        <w:spacing w:after="0" w:line="240" w:lineRule="auto"/>
        <w:rPr>
          <w:rFonts w:eastAsia="Calibri"/>
          <w:color w:val="000000"/>
          <w:lang w:eastAsia="en-GB"/>
        </w:rPr>
      </w:pPr>
      <w:r>
        <w:rPr>
          <w:rFonts w:eastAsia="Calibri"/>
          <w:color w:val="000000"/>
          <w:lang w:eastAsia="en-GB"/>
        </w:rPr>
        <w:t>Locked Bag 4</w:t>
      </w:r>
    </w:p>
    <w:p w14:paraId="277EDDE4" w14:textId="77777777" w:rsidR="00F306A1" w:rsidRDefault="00F306A1" w:rsidP="00F306A1">
      <w:pPr>
        <w:spacing w:after="0" w:line="240" w:lineRule="auto"/>
        <w:rPr>
          <w:rFonts w:eastAsia="Calibri"/>
          <w:color w:val="000000"/>
          <w:lang w:eastAsia="en-GB"/>
        </w:rPr>
      </w:pPr>
      <w:r>
        <w:rPr>
          <w:rFonts w:eastAsia="Calibri"/>
          <w:color w:val="000000"/>
          <w:lang w:eastAsia="en-GB"/>
        </w:rPr>
        <w:t>Coolangatta QLD 4255</w:t>
      </w:r>
    </w:p>
    <w:p w14:paraId="49133790" w14:textId="77777777" w:rsidR="00F306A1" w:rsidRDefault="00F306A1" w:rsidP="00F306A1">
      <w:pPr>
        <w:spacing w:after="0" w:line="240" w:lineRule="auto"/>
        <w:rPr>
          <w:rFonts w:eastAsia="Calibri"/>
          <w:color w:val="000000"/>
          <w:lang w:eastAsia="en-GB"/>
        </w:rPr>
      </w:pPr>
      <w:r>
        <w:rPr>
          <w:rFonts w:eastAsia="Calibri"/>
          <w:color w:val="000000"/>
          <w:lang w:eastAsia="en-GB"/>
        </w:rPr>
        <w:t>AUSTRALIA</w:t>
      </w:r>
    </w:p>
    <w:p w14:paraId="014770F3" w14:textId="77777777" w:rsidR="00F306A1" w:rsidRDefault="00F306A1" w:rsidP="00F306A1">
      <w:pPr>
        <w:spacing w:after="0" w:line="240" w:lineRule="auto"/>
        <w:rPr>
          <w:rFonts w:eastAsia="Calibri"/>
          <w:color w:val="282828"/>
          <w:lang w:eastAsia="en-GB"/>
        </w:rPr>
      </w:pPr>
    </w:p>
    <w:p w14:paraId="2CC4C164" w14:textId="77777777" w:rsidR="00F306A1" w:rsidRDefault="00F306A1" w:rsidP="00F306A1">
      <w:pPr>
        <w:spacing w:after="0" w:line="240" w:lineRule="auto"/>
        <w:rPr>
          <w:rFonts w:eastAsia="Calibri"/>
          <w:color w:val="000000"/>
          <w:lang w:val="en-AU" w:eastAsia="en-GB"/>
        </w:rPr>
      </w:pPr>
      <w:r>
        <w:rPr>
          <w:rFonts w:eastAsia="Calibri"/>
          <w:color w:val="000000"/>
          <w:lang w:eastAsia="en-GB"/>
        </w:rPr>
        <w:t>p: 61-7-5589-3212</w:t>
      </w:r>
    </w:p>
    <w:p w14:paraId="133BEC21" w14:textId="77777777" w:rsidR="00F306A1" w:rsidRDefault="00F306A1" w:rsidP="00F306A1">
      <w:pPr>
        <w:spacing w:after="0" w:line="240" w:lineRule="auto"/>
        <w:rPr>
          <w:rFonts w:eastAsia="Calibri"/>
          <w:color w:val="000000"/>
          <w:lang w:eastAsia="en-GB"/>
        </w:rPr>
      </w:pPr>
      <w:r>
        <w:rPr>
          <w:rFonts w:eastAsia="Calibri"/>
          <w:color w:val="000000"/>
          <w:lang w:eastAsia="en-GB"/>
        </w:rPr>
        <w:t xml:space="preserve">e: </w:t>
      </w:r>
      <w:hyperlink r:id="rId7" w:history="1">
        <w:r>
          <w:rPr>
            <w:rStyle w:val="Hyperlink"/>
            <w:rFonts w:eastAsia="Calibri"/>
            <w:lang w:eastAsia="en-GB"/>
          </w:rPr>
          <w:t>michael.kortt@scu.edu.au</w:t>
        </w:r>
      </w:hyperlink>
    </w:p>
    <w:p w14:paraId="7CDE61F3" w14:textId="77777777" w:rsidR="00F306A1" w:rsidRDefault="00F306A1" w:rsidP="00F306A1">
      <w:pPr>
        <w:spacing w:after="0" w:line="240" w:lineRule="auto"/>
        <w:rPr>
          <w:rFonts w:eastAsiaTheme="minorEastAsia"/>
          <w:lang w:eastAsia="en-AU"/>
        </w:rPr>
      </w:pPr>
    </w:p>
    <w:p w14:paraId="7A60930F" w14:textId="083676BD" w:rsidR="00F306A1" w:rsidRDefault="00FB541B" w:rsidP="00F306A1">
      <w:pPr>
        <w:spacing w:after="0" w:line="240" w:lineRule="auto"/>
        <w:rPr>
          <w:b/>
          <w:i/>
        </w:rPr>
      </w:pPr>
      <w:r>
        <w:rPr>
          <w:b/>
          <w:i/>
          <w:highlight w:val="yellow"/>
        </w:rPr>
        <w:t xml:space="preserve">2 </w:t>
      </w:r>
      <w:r w:rsidR="00901C13" w:rsidRPr="00901C13">
        <w:rPr>
          <w:b/>
          <w:i/>
          <w:highlight w:val="yellow"/>
        </w:rPr>
        <w:t>July</w:t>
      </w:r>
      <w:r w:rsidR="00F306A1" w:rsidRPr="00901C13">
        <w:rPr>
          <w:b/>
          <w:i/>
          <w:highlight w:val="yellow"/>
        </w:rPr>
        <w:t xml:space="preserve"> 2018</w:t>
      </w:r>
    </w:p>
    <w:p w14:paraId="6F1DED44" w14:textId="02368DCC" w:rsidR="000E6374" w:rsidRDefault="000E6374" w:rsidP="00F306A1">
      <w:pPr>
        <w:spacing w:after="0" w:line="240" w:lineRule="auto"/>
      </w:pPr>
    </w:p>
    <w:p w14:paraId="01EA84BC" w14:textId="174CE956" w:rsidR="00F306A1" w:rsidRDefault="00F306A1">
      <w:r>
        <w:br w:type="page"/>
      </w:r>
    </w:p>
    <w:p w14:paraId="28DEB0AF" w14:textId="77777777" w:rsidR="00F306A1" w:rsidRPr="00135538" w:rsidRDefault="00F306A1" w:rsidP="001B4E19">
      <w:pPr>
        <w:spacing w:after="0" w:line="480" w:lineRule="auto"/>
        <w:jc w:val="center"/>
      </w:pPr>
    </w:p>
    <w:p w14:paraId="1B0BBC2D" w14:textId="3A6DDB97" w:rsidR="00164ABD" w:rsidRPr="00FD29E6" w:rsidRDefault="00BF21E5" w:rsidP="001B4E19">
      <w:pPr>
        <w:spacing w:after="0" w:line="480" w:lineRule="auto"/>
        <w:jc w:val="center"/>
        <w:rPr>
          <w:b/>
        </w:rPr>
      </w:pPr>
      <w:r w:rsidRPr="00BF21E5">
        <w:rPr>
          <w:b/>
          <w:highlight w:val="yellow"/>
        </w:rPr>
        <w:t>DOES RELIGIOUS AFFFILIATION INFLUENCE TRUST?</w:t>
      </w:r>
      <w:r>
        <w:rPr>
          <w:b/>
        </w:rPr>
        <w:t xml:space="preserve"> </w:t>
      </w:r>
    </w:p>
    <w:p w14:paraId="2FFA8B36" w14:textId="77777777" w:rsidR="004260CE" w:rsidRPr="006236DC" w:rsidRDefault="004260CE" w:rsidP="001B4E19">
      <w:pPr>
        <w:spacing w:after="0" w:line="480" w:lineRule="auto"/>
      </w:pPr>
    </w:p>
    <w:p w14:paraId="185F3F19" w14:textId="75010FFA" w:rsidR="00B20C8B" w:rsidRPr="006236DC" w:rsidRDefault="00E152A1" w:rsidP="001B4E19">
      <w:pPr>
        <w:spacing w:after="0" w:line="480" w:lineRule="auto"/>
        <w:rPr>
          <w:b/>
        </w:rPr>
      </w:pPr>
      <w:r w:rsidRPr="006236DC">
        <w:rPr>
          <w:b/>
        </w:rPr>
        <w:t>ABSTRACT</w:t>
      </w:r>
    </w:p>
    <w:p w14:paraId="6D4FF944" w14:textId="27CF8190" w:rsidR="006D7A9F" w:rsidRDefault="006236DC" w:rsidP="001B4E19">
      <w:pPr>
        <w:autoSpaceDE w:val="0"/>
        <w:autoSpaceDN w:val="0"/>
        <w:adjustRightInd w:val="0"/>
        <w:spacing w:after="0" w:line="480" w:lineRule="auto"/>
        <w:rPr>
          <w:lang w:val="en-AU"/>
        </w:rPr>
      </w:pPr>
      <w:r w:rsidRPr="006236DC">
        <w:rPr>
          <w:b/>
          <w:lang w:val="en-AU"/>
        </w:rPr>
        <w:t>Purpose</w:t>
      </w:r>
      <w:r w:rsidRPr="006236DC">
        <w:rPr>
          <w:lang w:val="en-AU"/>
        </w:rPr>
        <w:t xml:space="preserve"> – </w:t>
      </w:r>
      <w:r w:rsidR="00D548A0">
        <w:rPr>
          <w:lang w:val="en-AU"/>
        </w:rPr>
        <w:t xml:space="preserve">The purpose of this paper is </w:t>
      </w:r>
      <w:r w:rsidR="00C93190" w:rsidRPr="00C93190">
        <w:rPr>
          <w:highlight w:val="yellow"/>
          <w:lang w:val="en-AU"/>
        </w:rPr>
        <w:t>to</w:t>
      </w:r>
      <w:r w:rsidR="00C93190">
        <w:rPr>
          <w:lang w:val="en-AU"/>
        </w:rPr>
        <w:t xml:space="preserve"> </w:t>
      </w:r>
      <w:r w:rsidR="006D7A9F">
        <w:rPr>
          <w:lang w:val="en-AU"/>
        </w:rPr>
        <w:t>estimate and explore</w:t>
      </w:r>
      <w:r w:rsidR="00D548A0">
        <w:rPr>
          <w:lang w:val="en-AU"/>
        </w:rPr>
        <w:t xml:space="preserve"> </w:t>
      </w:r>
      <w:r w:rsidR="006D7A9F">
        <w:rPr>
          <w:lang w:val="en-AU"/>
        </w:rPr>
        <w:t>how religious affiliation</w:t>
      </w:r>
      <w:r w:rsidR="00D548A0">
        <w:rPr>
          <w:lang w:val="en-AU"/>
        </w:rPr>
        <w:t xml:space="preserve"> </w:t>
      </w:r>
      <w:r w:rsidR="002A5600">
        <w:rPr>
          <w:lang w:val="en-AU"/>
        </w:rPr>
        <w:t>may influence general</w:t>
      </w:r>
      <w:r w:rsidR="006D7A9F">
        <w:rPr>
          <w:lang w:val="en-AU"/>
        </w:rPr>
        <w:t xml:space="preserve"> and local trust in contemporary society.</w:t>
      </w:r>
    </w:p>
    <w:p w14:paraId="4E6D8DB4" w14:textId="47D3D03B" w:rsidR="00D548A0" w:rsidRDefault="006236DC" w:rsidP="001B4E19">
      <w:pPr>
        <w:autoSpaceDE w:val="0"/>
        <w:autoSpaceDN w:val="0"/>
        <w:adjustRightInd w:val="0"/>
        <w:spacing w:after="0" w:line="480" w:lineRule="auto"/>
        <w:rPr>
          <w:lang w:val="en-AU"/>
        </w:rPr>
      </w:pPr>
      <w:r w:rsidRPr="006236DC">
        <w:rPr>
          <w:b/>
          <w:lang w:val="en-AU"/>
        </w:rPr>
        <w:t>Design/methodology/approach</w:t>
      </w:r>
      <w:r w:rsidRPr="006236DC">
        <w:rPr>
          <w:lang w:val="en-AU"/>
        </w:rPr>
        <w:t xml:space="preserve"> – This paper employs data from the </w:t>
      </w:r>
      <w:r w:rsidR="006D7A9F">
        <w:rPr>
          <w:lang w:val="en-AU"/>
        </w:rPr>
        <w:t xml:space="preserve">2010 and 2014 waves of </w:t>
      </w:r>
      <w:r w:rsidR="00D548A0">
        <w:rPr>
          <w:lang w:val="en-AU"/>
        </w:rPr>
        <w:t>Household, Income and Labour Dynamics i</w:t>
      </w:r>
      <w:r w:rsidR="006D7A9F">
        <w:rPr>
          <w:lang w:val="en-AU"/>
        </w:rPr>
        <w:t xml:space="preserve">n Australia (HILDA) survey. The association between religious affiliation and trust was estimated using </w:t>
      </w:r>
      <w:r w:rsidR="00CC5065" w:rsidRPr="00CC5065">
        <w:rPr>
          <w:highlight w:val="yellow"/>
          <w:lang w:val="en-AU"/>
        </w:rPr>
        <w:t>an ordered logistic regression and conventional OLS model</w:t>
      </w:r>
      <w:r w:rsidR="00CC5065">
        <w:rPr>
          <w:lang w:val="en-AU"/>
        </w:rPr>
        <w:t>.</w:t>
      </w:r>
    </w:p>
    <w:p w14:paraId="2A49BA5C" w14:textId="716C3A52" w:rsidR="006D7A9F" w:rsidRDefault="006236DC" w:rsidP="001B4E19">
      <w:pPr>
        <w:autoSpaceDE w:val="0"/>
        <w:autoSpaceDN w:val="0"/>
        <w:adjustRightInd w:val="0"/>
        <w:spacing w:after="0" w:line="480" w:lineRule="auto"/>
        <w:rPr>
          <w:lang w:val="en-AU"/>
        </w:rPr>
      </w:pPr>
      <w:r w:rsidRPr="006236DC">
        <w:rPr>
          <w:b/>
          <w:lang w:val="en-AU"/>
        </w:rPr>
        <w:t>Findings</w:t>
      </w:r>
      <w:r w:rsidRPr="006236DC">
        <w:rPr>
          <w:lang w:val="en-AU"/>
        </w:rPr>
        <w:t xml:space="preserve"> – </w:t>
      </w:r>
      <w:r w:rsidR="006C3329">
        <w:rPr>
          <w:lang w:val="en-AU"/>
        </w:rPr>
        <w:t xml:space="preserve">The paper presents evidence of </w:t>
      </w:r>
      <w:r w:rsidR="00117FC4">
        <w:rPr>
          <w:lang w:val="en-AU"/>
        </w:rPr>
        <w:t xml:space="preserve">a </w:t>
      </w:r>
      <w:r w:rsidR="006C3329">
        <w:rPr>
          <w:lang w:val="en-AU"/>
        </w:rPr>
        <w:t>statistically significant association between religious affiliation and trust that are consistent with theory.</w:t>
      </w:r>
    </w:p>
    <w:p w14:paraId="045580E1" w14:textId="5FAD4495" w:rsidR="00681A6F" w:rsidRDefault="00681A6F" w:rsidP="001B4E19">
      <w:pPr>
        <w:autoSpaceDE w:val="0"/>
        <w:autoSpaceDN w:val="0"/>
        <w:adjustRightInd w:val="0"/>
        <w:spacing w:after="0" w:line="480" w:lineRule="auto"/>
      </w:pPr>
      <w:r w:rsidRPr="00681A6F">
        <w:rPr>
          <w:b/>
          <w:lang w:val="en-AU"/>
        </w:rPr>
        <w:t>Social implications</w:t>
      </w:r>
      <w:r>
        <w:rPr>
          <w:lang w:val="en-AU"/>
        </w:rPr>
        <w:t xml:space="preserve"> – </w:t>
      </w:r>
      <w:r>
        <w:t xml:space="preserve">This finding is important for a heterogeneous population like Australia as it seeks to build social cohesion in the face of threats to internal </w:t>
      </w:r>
      <w:r w:rsidR="004E3C88">
        <w:t xml:space="preserve">and external </w:t>
      </w:r>
      <w:r>
        <w:t>security.</w:t>
      </w:r>
    </w:p>
    <w:p w14:paraId="4F868783" w14:textId="4B2B4E42" w:rsidR="005301FA" w:rsidRDefault="006236DC" w:rsidP="001B4E19">
      <w:pPr>
        <w:autoSpaceDE w:val="0"/>
        <w:autoSpaceDN w:val="0"/>
        <w:adjustRightInd w:val="0"/>
        <w:spacing w:after="0" w:line="480" w:lineRule="auto"/>
        <w:rPr>
          <w:lang w:val="en-AU"/>
        </w:rPr>
      </w:pPr>
      <w:r w:rsidRPr="006236DC">
        <w:rPr>
          <w:b/>
          <w:lang w:val="en-AU"/>
        </w:rPr>
        <w:t>Originality/value</w:t>
      </w:r>
      <w:r w:rsidRPr="006236DC">
        <w:rPr>
          <w:lang w:val="en-AU"/>
        </w:rPr>
        <w:t xml:space="preserve"> – The study contributes to the literature by prov</w:t>
      </w:r>
      <w:r w:rsidR="00B72FCF">
        <w:rPr>
          <w:lang w:val="en-AU"/>
        </w:rPr>
        <w:t xml:space="preserve">iding – to the best of </w:t>
      </w:r>
      <w:r w:rsidR="00B72FCF" w:rsidRPr="00B72FCF">
        <w:rPr>
          <w:highlight w:val="yellow"/>
          <w:lang w:val="en-AU"/>
        </w:rPr>
        <w:t>our</w:t>
      </w:r>
      <w:r>
        <w:rPr>
          <w:lang w:val="en-AU"/>
        </w:rPr>
        <w:t xml:space="preserve"> </w:t>
      </w:r>
      <w:r w:rsidRPr="006236DC">
        <w:rPr>
          <w:lang w:val="en-AU"/>
        </w:rPr>
        <w:t xml:space="preserve">knowledge – the first results </w:t>
      </w:r>
      <w:r w:rsidR="005301FA">
        <w:rPr>
          <w:lang w:val="en-AU"/>
        </w:rPr>
        <w:t>on the association between religious affiliation and trust for Australia.</w:t>
      </w:r>
    </w:p>
    <w:p w14:paraId="5724F72E" w14:textId="77777777" w:rsidR="00135538" w:rsidRPr="00135538" w:rsidRDefault="00135538" w:rsidP="001B4E19">
      <w:pPr>
        <w:spacing w:after="0" w:line="480" w:lineRule="auto"/>
      </w:pPr>
    </w:p>
    <w:p w14:paraId="402B7F2B" w14:textId="7A9FF701" w:rsidR="00BC1194" w:rsidRPr="00BC1194" w:rsidRDefault="00BC1194" w:rsidP="001B4E19">
      <w:pPr>
        <w:spacing w:after="0" w:line="480" w:lineRule="auto"/>
      </w:pPr>
      <w:r w:rsidRPr="00135538">
        <w:rPr>
          <w:b/>
        </w:rPr>
        <w:t>Keywords</w:t>
      </w:r>
      <w:r w:rsidRPr="00BC1194">
        <w:t>:</w:t>
      </w:r>
      <w:r w:rsidR="00ED7911">
        <w:t xml:space="preserve"> general trust, local trust, </w:t>
      </w:r>
      <w:r w:rsidR="00ED7911" w:rsidRPr="002010D8">
        <w:rPr>
          <w:highlight w:val="yellow"/>
        </w:rPr>
        <w:t>r</w:t>
      </w:r>
      <w:r w:rsidR="002010D8" w:rsidRPr="002010D8">
        <w:rPr>
          <w:highlight w:val="yellow"/>
        </w:rPr>
        <w:t>eligious affiliation</w:t>
      </w:r>
      <w:r w:rsidR="002010D8">
        <w:t>.</w:t>
      </w:r>
    </w:p>
    <w:p w14:paraId="5FBA7E32" w14:textId="77777777" w:rsidR="00B95405" w:rsidRDefault="00B95405" w:rsidP="001B4E19">
      <w:pPr>
        <w:spacing w:after="0" w:line="480" w:lineRule="auto"/>
      </w:pPr>
    </w:p>
    <w:p w14:paraId="10881B62" w14:textId="77777777" w:rsidR="00B95405" w:rsidRDefault="00B95405">
      <w:pPr>
        <w:rPr>
          <w:b/>
        </w:rPr>
      </w:pPr>
      <w:r>
        <w:rPr>
          <w:b/>
        </w:rPr>
        <w:br w:type="page"/>
      </w:r>
    </w:p>
    <w:p w14:paraId="17C03E66" w14:textId="77777777" w:rsidR="001061BF" w:rsidRDefault="001061BF" w:rsidP="007239B9">
      <w:pPr>
        <w:spacing w:after="0" w:line="480" w:lineRule="auto"/>
      </w:pPr>
    </w:p>
    <w:p w14:paraId="44CED7BD" w14:textId="4E37597B" w:rsidR="00E152A1" w:rsidRPr="00E152A1" w:rsidRDefault="00E152A1" w:rsidP="007239B9">
      <w:pPr>
        <w:spacing w:after="0" w:line="480" w:lineRule="auto"/>
        <w:rPr>
          <w:b/>
        </w:rPr>
      </w:pPr>
      <w:r w:rsidRPr="00E152A1">
        <w:rPr>
          <w:b/>
        </w:rPr>
        <w:t>INTRODUCTION</w:t>
      </w:r>
    </w:p>
    <w:p w14:paraId="5429C299" w14:textId="3911DA30" w:rsidR="00B95405" w:rsidRDefault="00726287" w:rsidP="000F6CEE">
      <w:pPr>
        <w:spacing w:after="0" w:line="480" w:lineRule="auto"/>
      </w:pPr>
      <w:r>
        <w:t>T</w:t>
      </w:r>
      <w:r w:rsidR="002707E6">
        <w:t>rust is important for a whole host of everyday associations and represents the foundation of m</w:t>
      </w:r>
      <w:r w:rsidR="00266EBB">
        <w:t>any of the human interactions upon which</w:t>
      </w:r>
      <w:r w:rsidR="004D3F1A">
        <w:t xml:space="preserve"> society is based (Finnis</w:t>
      </w:r>
      <w:r w:rsidR="001172CE">
        <w:t>,</w:t>
      </w:r>
      <w:r w:rsidR="00266EBB">
        <w:t xml:space="preserve"> 2013</w:t>
      </w:r>
      <w:r>
        <w:t>; Putnam, 2000</w:t>
      </w:r>
      <w:r w:rsidR="00266EBB">
        <w:t>).</w:t>
      </w:r>
      <w:r w:rsidR="002707E6">
        <w:t xml:space="preserve"> </w:t>
      </w:r>
      <w:r w:rsidR="00F60854">
        <w:t>For instance, t</w:t>
      </w:r>
      <w:r w:rsidR="00462A69">
        <w:t xml:space="preserve">rust is critical to social cohesion (identity as a citizen of a nation is predicated on trust in other citizens), </w:t>
      </w:r>
      <w:r w:rsidR="009463F0">
        <w:t>democratic participation (Navarro-Carrillo et al.</w:t>
      </w:r>
      <w:r w:rsidR="001172CE">
        <w:t>,</w:t>
      </w:r>
      <w:r w:rsidR="009463F0">
        <w:t xml:space="preserve"> 2018), </w:t>
      </w:r>
      <w:r w:rsidR="00462A69">
        <w:t xml:space="preserve">resilience in the face of a crisis whether a natural disaster, institutional failure or act of </w:t>
      </w:r>
      <w:r w:rsidR="008A14CD">
        <w:t>terrorism</w:t>
      </w:r>
      <w:r w:rsidR="007F339C">
        <w:t xml:space="preserve"> (e.g.,</w:t>
      </w:r>
      <w:r w:rsidR="00462A69">
        <w:t xml:space="preserve"> </w:t>
      </w:r>
      <w:r w:rsidR="004D3F1A">
        <w:t>Mayer et al.</w:t>
      </w:r>
      <w:r w:rsidR="001172CE">
        <w:t>,</w:t>
      </w:r>
      <w:r w:rsidR="00462A69" w:rsidRPr="00462A69">
        <w:t xml:space="preserve"> 1995; Rousseau et al.</w:t>
      </w:r>
      <w:r w:rsidR="001172CE">
        <w:t>,</w:t>
      </w:r>
      <w:r w:rsidR="007F339C">
        <w:t xml:space="preserve"> 1998).</w:t>
      </w:r>
      <w:r w:rsidR="00462A69" w:rsidRPr="00462A69">
        <w:t xml:space="preserve"> </w:t>
      </w:r>
      <w:r w:rsidR="008A73C0">
        <w:t>Trust</w:t>
      </w:r>
      <w:r w:rsidR="007F339C">
        <w:t xml:space="preserve"> </w:t>
      </w:r>
      <w:r w:rsidR="00462A69">
        <w:t xml:space="preserve">has also been linked to lower levels of crime </w:t>
      </w:r>
      <w:r w:rsidR="009463F0">
        <w:t xml:space="preserve">and hence </w:t>
      </w:r>
      <w:r w:rsidR="007B289A">
        <w:t xml:space="preserve">enhanced </w:t>
      </w:r>
      <w:r w:rsidR="009463F0">
        <w:t xml:space="preserve">safety </w:t>
      </w:r>
      <w:r w:rsidR="00AE10AB">
        <w:t>because</w:t>
      </w:r>
      <w:r w:rsidR="00462A69">
        <w:t xml:space="preserve"> of citizens </w:t>
      </w:r>
      <w:r w:rsidR="00933A2F">
        <w:t>being more disposed to report</w:t>
      </w:r>
      <w:r w:rsidR="00462A69">
        <w:t xml:space="preserve"> crimes because they trust that effectiv</w:t>
      </w:r>
      <w:r w:rsidR="004D3F1A">
        <w:t>e action will be taken</w:t>
      </w:r>
      <w:r w:rsidR="007F339C">
        <w:t xml:space="preserve"> (</w:t>
      </w:r>
      <w:r w:rsidR="004D3F1A">
        <w:t>Wuthnow</w:t>
      </w:r>
      <w:r w:rsidR="001172CE">
        <w:t>,</w:t>
      </w:r>
      <w:r w:rsidR="00462A69">
        <w:t xml:space="preserve"> 2002). </w:t>
      </w:r>
      <w:r w:rsidR="00933A2F">
        <w:t>Indeed, it has been suggested that there is an association between trust in the community and the need for regulations a</w:t>
      </w:r>
      <w:r w:rsidR="004D3F1A">
        <w:t>nd legislation (Mendolia et al.</w:t>
      </w:r>
      <w:r w:rsidR="001172CE">
        <w:t>,</w:t>
      </w:r>
      <w:r w:rsidR="00933A2F">
        <w:t xml:space="preserve"> 2016). </w:t>
      </w:r>
      <w:r w:rsidR="009463F0">
        <w:t>Furthermore</w:t>
      </w:r>
      <w:r w:rsidR="007B289A">
        <w:t xml:space="preserve">, economic performance is </w:t>
      </w:r>
      <w:r w:rsidR="000F6CEE">
        <w:t xml:space="preserve">also </w:t>
      </w:r>
      <w:r w:rsidR="007B289A">
        <w:t>enhanced by trust</w:t>
      </w:r>
      <w:r w:rsidR="00022B46" w:rsidRPr="00022B46">
        <w:t xml:space="preserve"> because it reduces transac</w:t>
      </w:r>
      <w:r w:rsidR="007B289A">
        <w:t xml:space="preserve">tion costs, </w:t>
      </w:r>
      <w:r w:rsidR="00022B46" w:rsidRPr="00022B46">
        <w:t>promotes organisational citizenship</w:t>
      </w:r>
      <w:r w:rsidR="009463F0">
        <w:t xml:space="preserve">, </w:t>
      </w:r>
      <w:r w:rsidR="007B289A">
        <w:t xml:space="preserve">encourages </w:t>
      </w:r>
      <w:r w:rsidR="009463F0">
        <w:t>entrepreneurship</w:t>
      </w:r>
      <w:r w:rsidR="007B289A">
        <w:t>,</w:t>
      </w:r>
      <w:r w:rsidR="00022B46" w:rsidRPr="00022B46">
        <w:t xml:space="preserve"> and enhances confidence in financial markets (Alesina and La Ferrara</w:t>
      </w:r>
      <w:r w:rsidR="001172CE">
        <w:t>,</w:t>
      </w:r>
      <w:r w:rsidR="00022B46" w:rsidRPr="00022B46">
        <w:t xml:space="preserve"> 2002</w:t>
      </w:r>
      <w:r w:rsidR="009463F0">
        <w:t>; Addai et al.</w:t>
      </w:r>
      <w:r w:rsidR="001172CE">
        <w:t>,</w:t>
      </w:r>
      <w:r w:rsidR="009463F0">
        <w:t xml:space="preserve"> 2013</w:t>
      </w:r>
      <w:r w:rsidR="007B289A">
        <w:t xml:space="preserve">). </w:t>
      </w:r>
      <w:r w:rsidR="007B289A" w:rsidRPr="00BD1A26">
        <w:rPr>
          <w:highlight w:val="yellow"/>
        </w:rPr>
        <w:t>Moreover, t</w:t>
      </w:r>
      <w:r w:rsidR="008A14CD" w:rsidRPr="00BD1A26">
        <w:rPr>
          <w:highlight w:val="yellow"/>
        </w:rPr>
        <w:t>here are strong grounds for suspecting that trust is subject to a feedback loop</w:t>
      </w:r>
      <w:r w:rsidR="00BD1A26" w:rsidRPr="00BD1A26">
        <w:rPr>
          <w:highlight w:val="yellow"/>
        </w:rPr>
        <w:t>,</w:t>
      </w:r>
      <w:r w:rsidR="008A14CD" w:rsidRPr="00BD1A26">
        <w:rPr>
          <w:highlight w:val="yellow"/>
        </w:rPr>
        <w:t xml:space="preserve"> which means that it is critical for us to understand the level of trust in</w:t>
      </w:r>
      <w:r w:rsidR="00BD1A26" w:rsidRPr="00BD1A26">
        <w:rPr>
          <w:highlight w:val="yellow"/>
        </w:rPr>
        <w:t xml:space="preserve"> our communities along with its</w:t>
      </w:r>
      <w:r w:rsidR="008A14CD" w:rsidRPr="00BD1A26">
        <w:rPr>
          <w:highlight w:val="yellow"/>
        </w:rPr>
        <w:t xml:space="preserve"> determinants and barriers</w:t>
      </w:r>
      <w:r w:rsidR="004C7AF2">
        <w:t xml:space="preserve"> </w:t>
      </w:r>
      <w:r w:rsidR="008A14CD">
        <w:t>(Mayer et a</w:t>
      </w:r>
      <w:r w:rsidR="004D3F1A">
        <w:t>l.</w:t>
      </w:r>
      <w:r w:rsidR="001172CE">
        <w:t>,</w:t>
      </w:r>
      <w:r w:rsidR="004D3F1A">
        <w:t xml:space="preserve"> 1995; Alesina and La Ferrara</w:t>
      </w:r>
      <w:r w:rsidR="001172CE">
        <w:t>,</w:t>
      </w:r>
      <w:r w:rsidR="008A14CD">
        <w:t xml:space="preserve"> 2002; Rousseau et al.</w:t>
      </w:r>
      <w:r w:rsidR="001172CE">
        <w:t>,</w:t>
      </w:r>
      <w:r w:rsidR="008A14CD">
        <w:t xml:space="preserve"> 1998</w:t>
      </w:r>
      <w:r w:rsidR="009463F0">
        <w:t>; Addai et al.</w:t>
      </w:r>
      <w:r w:rsidR="001172CE">
        <w:t>,</w:t>
      </w:r>
      <w:r w:rsidR="009463F0">
        <w:t xml:space="preserve"> 2013</w:t>
      </w:r>
      <w:r w:rsidR="008A14CD">
        <w:t>).</w:t>
      </w:r>
    </w:p>
    <w:p w14:paraId="0A30DA6A" w14:textId="77777777" w:rsidR="00022B46" w:rsidRDefault="00022B46" w:rsidP="00E152A1">
      <w:pPr>
        <w:spacing w:after="0" w:line="480" w:lineRule="auto"/>
      </w:pPr>
    </w:p>
    <w:p w14:paraId="425EB364" w14:textId="62572E76" w:rsidR="00022B46" w:rsidRPr="00022B46" w:rsidRDefault="00022B46" w:rsidP="00022B46">
      <w:pPr>
        <w:spacing w:after="0" w:line="480" w:lineRule="auto"/>
      </w:pPr>
      <w:r w:rsidRPr="006469CE">
        <w:t>Trust is a willingness to accept vulnerability and it occurs in proximity to an action in which the Trustor has an expectation of a c</w:t>
      </w:r>
      <w:r w:rsidR="0081438E">
        <w:t>ertain behaviour from a Trustee.</w:t>
      </w:r>
      <w:r w:rsidRPr="006469CE">
        <w:t xml:space="preserve"> </w:t>
      </w:r>
      <w:r w:rsidR="0081438E" w:rsidRPr="0081438E">
        <w:rPr>
          <w:highlight w:val="yellow"/>
        </w:rPr>
        <w:t>This</w:t>
      </w:r>
      <w:r w:rsidRPr="0081438E">
        <w:rPr>
          <w:highlight w:val="yellow"/>
        </w:rPr>
        <w:t xml:space="preserve"> is</w:t>
      </w:r>
      <w:r w:rsidRPr="006469CE">
        <w:t xml:space="preserve"> especially salient i</w:t>
      </w:r>
      <w:r w:rsidRPr="00681CFC">
        <w:t>n conditions where it may not be possible to monitor the said act or seek remedy in the event of disappointment (e.g., Rousseau et al.</w:t>
      </w:r>
      <w:r w:rsidR="001172CE">
        <w:t>,</w:t>
      </w:r>
      <w:r w:rsidRPr="00681CFC">
        <w:t xml:space="preserve"> 1998; Mayer et al.</w:t>
      </w:r>
      <w:r w:rsidR="001172CE">
        <w:t>,</w:t>
      </w:r>
      <w:r w:rsidRPr="00681CFC">
        <w:t xml:space="preserve"> 1995). </w:t>
      </w:r>
      <w:r w:rsidR="00681CFC">
        <w:t>T</w:t>
      </w:r>
      <w:r w:rsidR="00BD4C5F">
        <w:t>rus</w:t>
      </w:r>
      <w:r w:rsidR="001074C3">
        <w:t xml:space="preserve">t is predicated on two factors: </w:t>
      </w:r>
      <w:r w:rsidR="006F287F" w:rsidRPr="006F287F">
        <w:rPr>
          <w:highlight w:val="yellow"/>
        </w:rPr>
        <w:t>(i)</w:t>
      </w:r>
      <w:r w:rsidR="006F287F">
        <w:t xml:space="preserve"> </w:t>
      </w:r>
      <w:r w:rsidR="001074C3">
        <w:t>i</w:t>
      </w:r>
      <w:r w:rsidR="00BD4C5F">
        <w:t>nterdependence</w:t>
      </w:r>
      <w:r w:rsidR="006F287F">
        <w:t xml:space="preserve">, </w:t>
      </w:r>
      <w:r w:rsidR="00BD4C5F">
        <w:t xml:space="preserve">and </w:t>
      </w:r>
      <w:r w:rsidR="006F287F" w:rsidRPr="006F287F">
        <w:rPr>
          <w:highlight w:val="yellow"/>
        </w:rPr>
        <w:t>(ii)</w:t>
      </w:r>
      <w:r w:rsidR="006F287F">
        <w:t xml:space="preserve"> </w:t>
      </w:r>
      <w:r w:rsidR="001074C3">
        <w:t>r</w:t>
      </w:r>
      <w:r w:rsidR="00BD4C5F">
        <w:t xml:space="preserve">isk. Trust </w:t>
      </w:r>
      <w:r w:rsidR="008A710C">
        <w:t>is salient because we need to rely on others to achieve our end</w:t>
      </w:r>
      <w:r w:rsidR="00F60854">
        <w:t>s (interdependence) and significant</w:t>
      </w:r>
      <w:r w:rsidR="008A710C">
        <w:t xml:space="preserve"> because social interaction involves the </w:t>
      </w:r>
      <w:r w:rsidR="008A710C">
        <w:lastRenderedPageBreak/>
        <w:t>risk that others might not behave in the way we wish them to (Navarro-Carrillo et al.</w:t>
      </w:r>
      <w:r w:rsidR="001172CE">
        <w:t>,</w:t>
      </w:r>
      <w:r w:rsidR="008A710C">
        <w:t xml:space="preserve"> 2018). However, it is important that we carefully delineate trust from co-operation given that the two concepts are often confused</w:t>
      </w:r>
      <w:r w:rsidR="008A710C" w:rsidRPr="00EB7771">
        <w:t>. T</w:t>
      </w:r>
      <w:r w:rsidRPr="006469CE">
        <w:t>he fact that we might co-operate with another on a task does not necessar</w:t>
      </w:r>
      <w:r w:rsidRPr="008A710C">
        <w:t xml:space="preserve">ily imply that we trust them. </w:t>
      </w:r>
      <w:r w:rsidRPr="006F287F">
        <w:rPr>
          <w:highlight w:val="yellow"/>
        </w:rPr>
        <w:t xml:space="preserve">For instance, there may be strong </w:t>
      </w:r>
      <w:r w:rsidR="006F287F" w:rsidRPr="006F287F">
        <w:rPr>
          <w:highlight w:val="yellow"/>
        </w:rPr>
        <w:t>deterrents in place to stop someone from betraying our trust (e.g., contract provisions) or it may be the case that the prospective collaborat</w:t>
      </w:r>
      <w:r w:rsidR="001D245D">
        <w:rPr>
          <w:highlight w:val="yellow"/>
        </w:rPr>
        <w:t>ors</w:t>
      </w:r>
      <w:r w:rsidR="006F287F" w:rsidRPr="006F287F">
        <w:rPr>
          <w:highlight w:val="yellow"/>
        </w:rPr>
        <w:t xml:space="preserve"> ha</w:t>
      </w:r>
      <w:r w:rsidR="00994072">
        <w:rPr>
          <w:highlight w:val="yellow"/>
        </w:rPr>
        <w:t>ve</w:t>
      </w:r>
      <w:r w:rsidR="006F287F" w:rsidRPr="006F287F">
        <w:rPr>
          <w:highlight w:val="yellow"/>
        </w:rPr>
        <w:t xml:space="preserve"> a strong motivation </w:t>
      </w:r>
      <w:r w:rsidR="00994072">
        <w:rPr>
          <w:highlight w:val="yellow"/>
        </w:rPr>
        <w:t>to</w:t>
      </w:r>
      <w:r w:rsidR="006F287F" w:rsidRPr="006F287F">
        <w:rPr>
          <w:highlight w:val="yellow"/>
        </w:rPr>
        <w:t xml:space="preserve"> carry out the action (e.g., </w:t>
      </w:r>
      <w:r w:rsidR="008A710C" w:rsidRPr="006F287F">
        <w:rPr>
          <w:highlight w:val="yellow"/>
        </w:rPr>
        <w:t>a</w:t>
      </w:r>
      <w:r w:rsidR="006F287F" w:rsidRPr="006F287F">
        <w:rPr>
          <w:highlight w:val="yellow"/>
        </w:rPr>
        <w:t>n</w:t>
      </w:r>
      <w:r w:rsidR="008A710C" w:rsidRPr="006F287F">
        <w:rPr>
          <w:highlight w:val="yellow"/>
        </w:rPr>
        <w:t xml:space="preserve"> airline pilot</w:t>
      </w:r>
      <w:r w:rsidRPr="006F287F">
        <w:rPr>
          <w:highlight w:val="yellow"/>
        </w:rPr>
        <w:t xml:space="preserve"> will take care </w:t>
      </w:r>
      <w:r w:rsidR="008A710C" w:rsidRPr="006F287F">
        <w:rPr>
          <w:highlight w:val="yellow"/>
        </w:rPr>
        <w:t xml:space="preserve">for </w:t>
      </w:r>
      <w:r w:rsidR="006F287F" w:rsidRPr="006F287F">
        <w:rPr>
          <w:highlight w:val="yellow"/>
        </w:rPr>
        <w:t xml:space="preserve">their </w:t>
      </w:r>
      <w:r w:rsidR="008A710C" w:rsidRPr="006F287F">
        <w:rPr>
          <w:highlight w:val="yellow"/>
        </w:rPr>
        <w:t>own sake as much as for ours</w:t>
      </w:r>
      <w:r w:rsidR="006F287F" w:rsidRPr="006F287F">
        <w:rPr>
          <w:highlight w:val="yellow"/>
        </w:rPr>
        <w:t>)</w:t>
      </w:r>
      <w:r w:rsidR="008A710C" w:rsidRPr="006F287F">
        <w:rPr>
          <w:highlight w:val="yellow"/>
        </w:rPr>
        <w:t>.</w:t>
      </w:r>
    </w:p>
    <w:p w14:paraId="1328D1C4" w14:textId="77777777" w:rsidR="00E152A1" w:rsidRDefault="00E152A1" w:rsidP="00E152A1">
      <w:pPr>
        <w:spacing w:after="0" w:line="480" w:lineRule="auto"/>
      </w:pPr>
    </w:p>
    <w:p w14:paraId="0D013FDC" w14:textId="38FFD19B" w:rsidR="0021544C" w:rsidRDefault="008A14CD" w:rsidP="00E152A1">
      <w:pPr>
        <w:spacing w:after="0" w:line="480" w:lineRule="auto"/>
      </w:pPr>
      <w:r>
        <w:t>One important determinant of trust (as testif</w:t>
      </w:r>
      <w:r w:rsidR="003635F6">
        <w:t xml:space="preserve">ied to in the </w:t>
      </w:r>
      <w:r>
        <w:t>corpus of scholarly literature) is religion</w:t>
      </w:r>
      <w:r w:rsidR="00857D1A">
        <w:t xml:space="preserve"> (e.g.,</w:t>
      </w:r>
      <w:r w:rsidR="00A62E8D">
        <w:t xml:space="preserve"> </w:t>
      </w:r>
      <w:r w:rsidR="00E078A3">
        <w:t>Welch et al.</w:t>
      </w:r>
      <w:r w:rsidR="001172CE">
        <w:t>,</w:t>
      </w:r>
      <w:r w:rsidR="00E078A3">
        <w:t xml:space="preserve"> 2004; Addai et al.</w:t>
      </w:r>
      <w:r w:rsidR="001172CE">
        <w:t>,</w:t>
      </w:r>
      <w:r w:rsidR="00E078A3">
        <w:t xml:space="preserve"> 2013; Johansson-Stenman et al.</w:t>
      </w:r>
      <w:r w:rsidR="001172CE">
        <w:t>,</w:t>
      </w:r>
      <w:r w:rsidR="00E078A3">
        <w:t xml:space="preserve"> 2009; Daniels and von der Ruhr</w:t>
      </w:r>
      <w:r w:rsidR="001172CE">
        <w:t>,</w:t>
      </w:r>
      <w:r w:rsidR="00E078A3">
        <w:t xml:space="preserve"> 2010)</w:t>
      </w:r>
      <w:r>
        <w:t xml:space="preserve">. </w:t>
      </w:r>
      <w:r w:rsidR="00F62947">
        <w:t xml:space="preserve">This might come as something of a surprise to some, but as we build our model of trust </w:t>
      </w:r>
      <w:r w:rsidR="00857D1A">
        <w:t>below,</w:t>
      </w:r>
      <w:r w:rsidR="00F62947">
        <w:t xml:space="preserve"> the reasons for positing statistical</w:t>
      </w:r>
      <w:r w:rsidR="00933A2F">
        <w:t>ly</w:t>
      </w:r>
      <w:r w:rsidR="00F62947">
        <w:t xml:space="preserve"> significant associations will become clear. First, membership of a religio</w:t>
      </w:r>
      <w:r w:rsidR="00477BC5">
        <w:t>us faith</w:t>
      </w:r>
      <w:r w:rsidR="00F62947">
        <w:t xml:space="preserve"> can often be taken as reliable evidence of a personality trait consiste</w:t>
      </w:r>
      <w:r w:rsidR="00857D1A">
        <w:t>nt with the propensity to trust.</w:t>
      </w:r>
      <w:r w:rsidR="00F62947">
        <w:t xml:space="preserve"> </w:t>
      </w:r>
      <w:r w:rsidR="00857D1A" w:rsidRPr="009577A7">
        <w:rPr>
          <w:highlight w:val="yellow"/>
        </w:rPr>
        <w:t>W</w:t>
      </w:r>
      <w:r w:rsidR="00F62947" w:rsidRPr="009577A7">
        <w:rPr>
          <w:highlight w:val="yellow"/>
        </w:rPr>
        <w:t xml:space="preserve">e all know people who seem to be very trusting of others and it is not surprising that those who can trust </w:t>
      </w:r>
      <w:r w:rsidR="009577A7" w:rsidRPr="009577A7">
        <w:rPr>
          <w:highlight w:val="yellow"/>
        </w:rPr>
        <w:t>re</w:t>
      </w:r>
      <w:r w:rsidR="003635F6" w:rsidRPr="009577A7">
        <w:rPr>
          <w:highlight w:val="yellow"/>
        </w:rPr>
        <w:t>ligious leaders</w:t>
      </w:r>
      <w:r w:rsidR="00F62947" w:rsidRPr="009577A7">
        <w:rPr>
          <w:highlight w:val="yellow"/>
        </w:rPr>
        <w:t xml:space="preserve"> on matters of spiritual importance </w:t>
      </w:r>
      <w:r w:rsidR="009577A7" w:rsidRPr="009577A7">
        <w:rPr>
          <w:highlight w:val="yellow"/>
        </w:rPr>
        <w:t xml:space="preserve">may </w:t>
      </w:r>
      <w:r w:rsidR="00F62947" w:rsidRPr="009577A7">
        <w:rPr>
          <w:highlight w:val="yellow"/>
        </w:rPr>
        <w:t>also be</w:t>
      </w:r>
      <w:r w:rsidR="009577A7" w:rsidRPr="009577A7">
        <w:rPr>
          <w:highlight w:val="yellow"/>
        </w:rPr>
        <w:t xml:space="preserve"> more </w:t>
      </w:r>
      <w:r w:rsidR="00F62947" w:rsidRPr="009577A7">
        <w:rPr>
          <w:highlight w:val="yellow"/>
        </w:rPr>
        <w:t xml:space="preserve">trusting </w:t>
      </w:r>
      <w:r w:rsidR="009577A7" w:rsidRPr="009577A7">
        <w:rPr>
          <w:highlight w:val="yellow"/>
        </w:rPr>
        <w:t>with respect to non-spiritual matters</w:t>
      </w:r>
      <w:r w:rsidR="004D3F1A">
        <w:t xml:space="preserve"> (Azzi and Ehrenberg</w:t>
      </w:r>
      <w:r w:rsidR="001172CE">
        <w:t>,</w:t>
      </w:r>
      <w:r w:rsidR="004D3F1A">
        <w:t xml:space="preserve"> 1975; McCleary and Barro</w:t>
      </w:r>
      <w:r w:rsidR="001172CE">
        <w:t>,</w:t>
      </w:r>
      <w:r w:rsidR="00910F56">
        <w:t xml:space="preserve"> 2006)</w:t>
      </w:r>
      <w:r w:rsidR="0021544C">
        <w:t>.</w:t>
      </w:r>
    </w:p>
    <w:p w14:paraId="5310E51C" w14:textId="77777777" w:rsidR="0021544C" w:rsidRDefault="0021544C" w:rsidP="00E152A1">
      <w:pPr>
        <w:spacing w:after="0" w:line="480" w:lineRule="auto"/>
      </w:pPr>
    </w:p>
    <w:p w14:paraId="492F160F" w14:textId="77777777" w:rsidR="009C26B5" w:rsidRDefault="00F62947" w:rsidP="00E152A1">
      <w:pPr>
        <w:spacing w:after="0" w:line="480" w:lineRule="auto"/>
      </w:pPr>
      <w:r>
        <w:t>Second, interactions can act to increase (through positive outcomes arising from interdependence) or reduce (through disappointment or betrayal) trust in others</w:t>
      </w:r>
      <w:r w:rsidR="00E30682">
        <w:t xml:space="preserve">. </w:t>
      </w:r>
      <w:r w:rsidR="00762014">
        <w:t>As</w:t>
      </w:r>
      <w:r w:rsidR="00E30682">
        <w:t xml:space="preserve"> religious practise often represents a considerable investment of time and money it can have clear implications for the frequency of </w:t>
      </w:r>
      <w:r w:rsidR="00910F56">
        <w:t xml:space="preserve">both in-group and </w:t>
      </w:r>
      <w:r w:rsidR="00B13646">
        <w:t>out-group</w:t>
      </w:r>
      <w:r w:rsidR="00E30682">
        <w:t xml:space="preserve"> interactions</w:t>
      </w:r>
      <w:r w:rsidR="004D3F1A">
        <w:t xml:space="preserve"> (Sarkissian</w:t>
      </w:r>
      <w:r w:rsidR="001172CE">
        <w:t>,</w:t>
      </w:r>
      <w:r w:rsidR="00910F56">
        <w:t xml:space="preserve"> 2012; Ian</w:t>
      </w:r>
      <w:r w:rsidR="004D3F1A">
        <w:t>naccone</w:t>
      </w:r>
      <w:r w:rsidR="001172CE">
        <w:t>,</w:t>
      </w:r>
      <w:r w:rsidR="00910F56">
        <w:t xml:space="preserve"> 1994)</w:t>
      </w:r>
      <w:r w:rsidR="00E30682">
        <w:t>.</w:t>
      </w:r>
      <w:r w:rsidR="00910F56">
        <w:t xml:space="preserve"> </w:t>
      </w:r>
      <w:r w:rsidR="00D57863">
        <w:t xml:space="preserve">That is, sometimes religions require significant investments of time, money and other sacrifices (such as abstinence from alcohol) which will increase in-group bonding at the expense of </w:t>
      </w:r>
      <w:r w:rsidR="003635F6">
        <w:t>out-group</w:t>
      </w:r>
      <w:r w:rsidR="00D57863">
        <w:t xml:space="preserve"> bridging. </w:t>
      </w:r>
      <w:r w:rsidR="00910F56">
        <w:t xml:space="preserve">Similarly, patriarchal structures can influence </w:t>
      </w:r>
      <w:r w:rsidR="00910F56">
        <w:lastRenderedPageBreak/>
        <w:t>the type (</w:t>
      </w:r>
      <w:r w:rsidR="000E7C98">
        <w:t>e.g.,</w:t>
      </w:r>
      <w:r w:rsidR="00910F56">
        <w:t xml:space="preserve"> orthodox Jewry place limitations on the practice of females in the Synagogue) and number of interactions (</w:t>
      </w:r>
      <w:r w:rsidR="000E7C98">
        <w:t>e.g.,</w:t>
      </w:r>
      <w:r w:rsidR="00910F56">
        <w:t xml:space="preserve"> some Mus</w:t>
      </w:r>
      <w:r w:rsidR="00933A2F">
        <w:t>lim women are not permitted to participate</w:t>
      </w:r>
      <w:r w:rsidR="003B4095">
        <w:t xml:space="preserve"> in the labour market</w:t>
      </w:r>
      <w:r w:rsidR="009C26B5">
        <w:t>).</w:t>
      </w:r>
    </w:p>
    <w:p w14:paraId="20706123" w14:textId="77777777" w:rsidR="009C26B5" w:rsidRDefault="009C26B5" w:rsidP="00E152A1">
      <w:pPr>
        <w:spacing w:after="0" w:line="480" w:lineRule="auto"/>
      </w:pPr>
    </w:p>
    <w:p w14:paraId="611B5234" w14:textId="1CD1728A" w:rsidR="00B95405" w:rsidRDefault="00910F56" w:rsidP="00E152A1">
      <w:pPr>
        <w:spacing w:after="0" w:line="480" w:lineRule="auto"/>
      </w:pPr>
      <w:r>
        <w:t>Third, some religio</w:t>
      </w:r>
      <w:r w:rsidR="00477BC5">
        <w:t>us faiths</w:t>
      </w:r>
      <w:r w:rsidR="00933A2F">
        <w:t xml:space="preserve"> have a history of being persecuted</w:t>
      </w:r>
      <w:r>
        <w:t xml:space="preserve"> for their beliefs (notably Judaism, but also some of the more fundamentalist Christian sects such as the Jehovah’s Witness), and this has been posited to </w:t>
      </w:r>
      <w:r w:rsidR="00BA6B32">
        <w:t xml:space="preserve">reduce the levels of trust in others by members of the persecuted faith. Finally, the religious texts of some faiths are </w:t>
      </w:r>
      <w:r w:rsidR="00E078A3">
        <w:t xml:space="preserve">sometimes </w:t>
      </w:r>
      <w:r w:rsidR="00BA6B32">
        <w:t>associated with intolerance</w:t>
      </w:r>
      <w:r w:rsidR="00022B46">
        <w:t xml:space="preserve">. </w:t>
      </w:r>
      <w:r w:rsidR="00022B46" w:rsidRPr="00FB6DB6">
        <w:rPr>
          <w:highlight w:val="yellow"/>
        </w:rPr>
        <w:t>F</w:t>
      </w:r>
      <w:r w:rsidR="00BA6B32" w:rsidRPr="00FB6DB6">
        <w:rPr>
          <w:highlight w:val="yellow"/>
        </w:rPr>
        <w:t xml:space="preserve">or example, </w:t>
      </w:r>
      <w:r w:rsidR="00477BC5" w:rsidRPr="00FB6DB6">
        <w:rPr>
          <w:highlight w:val="yellow"/>
        </w:rPr>
        <w:t>some religious faiths</w:t>
      </w:r>
      <w:r w:rsidR="00E078A3" w:rsidRPr="00FB6DB6">
        <w:rPr>
          <w:highlight w:val="yellow"/>
        </w:rPr>
        <w:t xml:space="preserve"> draw on their canonical texts to oppose</w:t>
      </w:r>
      <w:r w:rsidR="00022B46" w:rsidRPr="00FB6DB6">
        <w:rPr>
          <w:highlight w:val="yellow"/>
        </w:rPr>
        <w:t xml:space="preserve"> homosexual marriage, consumption of alcohol, and the like</w:t>
      </w:r>
      <w:r w:rsidR="00BA6B32" w:rsidRPr="00FB6DB6">
        <w:rPr>
          <w:highlight w:val="yellow"/>
        </w:rPr>
        <w:t xml:space="preserve"> and this may well constrain interactions in liberal societies</w:t>
      </w:r>
      <w:r w:rsidR="00FB6DB6" w:rsidRPr="00FB6DB6">
        <w:rPr>
          <w:highlight w:val="yellow"/>
        </w:rPr>
        <w:t xml:space="preserve"> (</w:t>
      </w:r>
      <w:r w:rsidR="004D3F1A" w:rsidRPr="00FB6DB6">
        <w:rPr>
          <w:highlight w:val="yellow"/>
        </w:rPr>
        <w:t>Welch</w:t>
      </w:r>
      <w:r w:rsidR="001172CE" w:rsidRPr="00FB6DB6">
        <w:rPr>
          <w:highlight w:val="yellow"/>
        </w:rPr>
        <w:t>,</w:t>
      </w:r>
      <w:r w:rsidR="00BA6B32" w:rsidRPr="00FB6DB6">
        <w:rPr>
          <w:highlight w:val="yellow"/>
        </w:rPr>
        <w:t xml:space="preserve"> 2004).</w:t>
      </w:r>
    </w:p>
    <w:p w14:paraId="200416C2" w14:textId="77777777" w:rsidR="00E152A1" w:rsidRDefault="00E152A1" w:rsidP="00E152A1">
      <w:pPr>
        <w:spacing w:after="0" w:line="480" w:lineRule="auto"/>
        <w:rPr>
          <w:lang w:val="en-AU"/>
        </w:rPr>
      </w:pPr>
    </w:p>
    <w:p w14:paraId="702D80EF" w14:textId="4FF8FA57" w:rsidR="00B95405" w:rsidRDefault="00F60854" w:rsidP="00E152A1">
      <w:pPr>
        <w:spacing w:after="0" w:line="480" w:lineRule="auto"/>
        <w:rPr>
          <w:lang w:val="en-AU"/>
        </w:rPr>
      </w:pPr>
      <w:r>
        <w:rPr>
          <w:lang w:val="en-AU"/>
        </w:rPr>
        <w:t>The p</w:t>
      </w:r>
      <w:r w:rsidR="00806013">
        <w:rPr>
          <w:lang w:val="en-AU"/>
        </w:rPr>
        <w:t xml:space="preserve">urpose of this paper is to </w:t>
      </w:r>
      <w:r w:rsidR="00806013" w:rsidRPr="00806013">
        <w:rPr>
          <w:highlight w:val="yellow"/>
          <w:lang w:val="en-AU"/>
        </w:rPr>
        <w:t>examine</w:t>
      </w:r>
      <w:r w:rsidR="00806013">
        <w:rPr>
          <w:lang w:val="en-AU"/>
        </w:rPr>
        <w:t xml:space="preserve"> </w:t>
      </w:r>
      <w:r>
        <w:rPr>
          <w:lang w:val="en-AU"/>
        </w:rPr>
        <w:t>whether there is an association</w:t>
      </w:r>
      <w:r w:rsidR="00806013">
        <w:rPr>
          <w:lang w:val="en-AU"/>
        </w:rPr>
        <w:t xml:space="preserve"> between </w:t>
      </w:r>
      <w:r w:rsidR="00806013" w:rsidRPr="00806013">
        <w:rPr>
          <w:highlight w:val="yellow"/>
          <w:lang w:val="en-AU"/>
        </w:rPr>
        <w:t>religious affiliation</w:t>
      </w:r>
      <w:r w:rsidRPr="00806013">
        <w:rPr>
          <w:highlight w:val="yellow"/>
          <w:lang w:val="en-AU"/>
        </w:rPr>
        <w:t xml:space="preserve"> and trust</w:t>
      </w:r>
      <w:r w:rsidR="00806013" w:rsidRPr="007E6C31">
        <w:rPr>
          <w:highlight w:val="yellow"/>
          <w:lang w:val="en-AU"/>
        </w:rPr>
        <w:t>.</w:t>
      </w:r>
      <w:r w:rsidRPr="007E6C31">
        <w:rPr>
          <w:highlight w:val="yellow"/>
          <w:lang w:val="en-AU"/>
        </w:rPr>
        <w:t xml:space="preserve"> </w:t>
      </w:r>
      <w:r w:rsidR="00806013" w:rsidRPr="007E6C31">
        <w:rPr>
          <w:highlight w:val="yellow"/>
          <w:lang w:val="en-AU"/>
        </w:rPr>
        <w:t>T</w:t>
      </w:r>
      <w:r w:rsidR="00B95405" w:rsidRPr="007E6C31">
        <w:rPr>
          <w:highlight w:val="yellow"/>
          <w:lang w:val="en-AU"/>
        </w:rPr>
        <w:t>he balance of this</w:t>
      </w:r>
      <w:r w:rsidR="007E6C31" w:rsidRPr="007E6C31">
        <w:rPr>
          <w:highlight w:val="yellow"/>
          <w:lang w:val="en-AU"/>
        </w:rPr>
        <w:t xml:space="preserve"> journal article is organised into three main parts</w:t>
      </w:r>
      <w:r w:rsidR="00B95405" w:rsidRPr="00B95405">
        <w:rPr>
          <w:lang w:val="en-AU"/>
        </w:rPr>
        <w:t xml:space="preserve">. </w:t>
      </w:r>
      <w:r w:rsidR="00A03C01" w:rsidRPr="00B95405">
        <w:rPr>
          <w:lang w:val="en-AU"/>
        </w:rPr>
        <w:t>First,</w:t>
      </w:r>
      <w:r w:rsidR="00B95405" w:rsidRPr="00B95405">
        <w:rPr>
          <w:lang w:val="en-AU"/>
        </w:rPr>
        <w:t xml:space="preserve"> we review the literature on </w:t>
      </w:r>
      <w:r w:rsidR="00B95405">
        <w:rPr>
          <w:lang w:val="en-AU"/>
        </w:rPr>
        <w:t>trust and religion with a view to constructing</w:t>
      </w:r>
      <w:r w:rsidR="007E1E46">
        <w:rPr>
          <w:lang w:val="en-AU"/>
        </w:rPr>
        <w:t xml:space="preserve"> a model of </w:t>
      </w:r>
      <w:r w:rsidR="00A03C01">
        <w:rPr>
          <w:lang w:val="en-AU"/>
        </w:rPr>
        <w:t>trust, which</w:t>
      </w:r>
      <w:r w:rsidR="007E1E46">
        <w:rPr>
          <w:lang w:val="en-AU"/>
        </w:rPr>
        <w:t xml:space="preserve"> casts light on the determinants o</w:t>
      </w:r>
      <w:r w:rsidR="007E6C31">
        <w:rPr>
          <w:lang w:val="en-AU"/>
        </w:rPr>
        <w:t xml:space="preserve">f trust with respect to </w:t>
      </w:r>
      <w:r w:rsidR="007E6C31" w:rsidRPr="007E6C31">
        <w:rPr>
          <w:highlight w:val="yellow"/>
          <w:lang w:val="en-AU"/>
        </w:rPr>
        <w:t>religious affiliation</w:t>
      </w:r>
      <w:r w:rsidR="007E1E46">
        <w:rPr>
          <w:lang w:val="en-AU"/>
        </w:rPr>
        <w:t>.</w:t>
      </w:r>
      <w:r w:rsidR="00B95405">
        <w:rPr>
          <w:lang w:val="en-AU"/>
        </w:rPr>
        <w:t xml:space="preserve"> </w:t>
      </w:r>
      <w:r w:rsidR="00B95405" w:rsidRPr="00B95405">
        <w:rPr>
          <w:lang w:val="en-AU"/>
        </w:rPr>
        <w:t xml:space="preserve">Next, we outline the empirical strategy employed to test the </w:t>
      </w:r>
      <w:r w:rsidR="007E6C31">
        <w:rPr>
          <w:lang w:val="en-AU"/>
        </w:rPr>
        <w:t xml:space="preserve">association between </w:t>
      </w:r>
      <w:r w:rsidR="007E6C31" w:rsidRPr="007E6C31">
        <w:rPr>
          <w:highlight w:val="yellow"/>
          <w:lang w:val="en-AU"/>
        </w:rPr>
        <w:t>religious affiliation</w:t>
      </w:r>
      <w:r w:rsidR="007E1E46">
        <w:rPr>
          <w:lang w:val="en-AU"/>
        </w:rPr>
        <w:t xml:space="preserve"> and trust</w:t>
      </w:r>
      <w:r w:rsidR="00B95405" w:rsidRPr="00B95405">
        <w:rPr>
          <w:lang w:val="en-AU"/>
        </w:rPr>
        <w:t>. The findings point to</w:t>
      </w:r>
      <w:r w:rsidR="007E1E46">
        <w:rPr>
          <w:lang w:val="en-AU"/>
        </w:rPr>
        <w:t xml:space="preserve"> statistically significant associations between certain religions and </w:t>
      </w:r>
      <w:r w:rsidR="0040385E">
        <w:rPr>
          <w:lang w:val="en-AU"/>
        </w:rPr>
        <w:t>trust, which</w:t>
      </w:r>
      <w:r w:rsidR="007E1E46">
        <w:rPr>
          <w:lang w:val="en-AU"/>
        </w:rPr>
        <w:t xml:space="preserve"> ha</w:t>
      </w:r>
      <w:r w:rsidR="00012380">
        <w:rPr>
          <w:lang w:val="en-AU"/>
        </w:rPr>
        <w:t xml:space="preserve">ve important implications for </w:t>
      </w:r>
      <w:r w:rsidR="007E1E46">
        <w:rPr>
          <w:lang w:val="en-AU"/>
        </w:rPr>
        <w:t>heterogeneous societ</w:t>
      </w:r>
      <w:r w:rsidR="00012380">
        <w:rPr>
          <w:lang w:val="en-AU"/>
        </w:rPr>
        <w:t>ies that might face</w:t>
      </w:r>
      <w:r w:rsidR="007E1E46">
        <w:rPr>
          <w:lang w:val="en-AU"/>
        </w:rPr>
        <w:t xml:space="preserve"> challenges on social cohesion, economic growth</w:t>
      </w:r>
      <w:r w:rsidR="009B3C19">
        <w:rPr>
          <w:lang w:val="en-AU"/>
        </w:rPr>
        <w:t>,</w:t>
      </w:r>
      <w:r w:rsidR="007E1E46">
        <w:rPr>
          <w:lang w:val="en-AU"/>
        </w:rPr>
        <w:t xml:space="preserve"> internal security</w:t>
      </w:r>
      <w:r w:rsidR="007B289A">
        <w:rPr>
          <w:lang w:val="en-AU"/>
        </w:rPr>
        <w:t xml:space="preserve"> and the like</w:t>
      </w:r>
      <w:r w:rsidR="00B95405" w:rsidRPr="00B95405">
        <w:rPr>
          <w:lang w:val="en-AU"/>
        </w:rPr>
        <w:t xml:space="preserve">. The article concludes by outlining </w:t>
      </w:r>
      <w:r w:rsidR="002F57AD" w:rsidRPr="002F57AD">
        <w:rPr>
          <w:highlight w:val="yellow"/>
          <w:lang w:val="en-AU"/>
        </w:rPr>
        <w:t xml:space="preserve">areas for future </w:t>
      </w:r>
      <w:r w:rsidR="00B95405" w:rsidRPr="002F57AD">
        <w:rPr>
          <w:highlight w:val="yellow"/>
          <w:lang w:val="en-AU"/>
        </w:rPr>
        <w:t>research</w:t>
      </w:r>
      <w:r w:rsidR="002F57AD" w:rsidRPr="002F57AD">
        <w:rPr>
          <w:highlight w:val="yellow"/>
          <w:lang w:val="en-AU"/>
        </w:rPr>
        <w:t>.</w:t>
      </w:r>
    </w:p>
    <w:p w14:paraId="57E9E00D" w14:textId="2FBB7C60" w:rsidR="00793296" w:rsidRDefault="00793296">
      <w:pPr>
        <w:rPr>
          <w:lang w:val="en-AU"/>
        </w:rPr>
      </w:pPr>
      <w:r>
        <w:rPr>
          <w:lang w:val="en-AU"/>
        </w:rPr>
        <w:br w:type="page"/>
      </w:r>
    </w:p>
    <w:p w14:paraId="469F480A" w14:textId="77777777" w:rsidR="00E152A1" w:rsidRPr="00B95405" w:rsidRDefault="00E152A1" w:rsidP="00E152A1">
      <w:pPr>
        <w:spacing w:after="0" w:line="480" w:lineRule="auto"/>
        <w:rPr>
          <w:lang w:val="en-AU"/>
        </w:rPr>
      </w:pPr>
    </w:p>
    <w:p w14:paraId="0F349E99" w14:textId="1CCE84BF" w:rsidR="00B61463" w:rsidRPr="00B61463" w:rsidRDefault="00EB5AA8" w:rsidP="007239B9">
      <w:pPr>
        <w:spacing w:after="0" w:line="480" w:lineRule="auto"/>
        <w:rPr>
          <w:b/>
        </w:rPr>
      </w:pPr>
      <w:r>
        <w:rPr>
          <w:b/>
        </w:rPr>
        <w:t>THEORY OF TRUST</w:t>
      </w:r>
    </w:p>
    <w:p w14:paraId="27B4C734" w14:textId="4F0F076E" w:rsidR="00041831" w:rsidRDefault="008E1BC4" w:rsidP="00631EB7">
      <w:pPr>
        <w:spacing w:after="0" w:line="480" w:lineRule="auto"/>
      </w:pPr>
      <w:r>
        <w:t xml:space="preserve">A dyadic model of trust is helpful for one to fully understand the concept </w:t>
      </w:r>
      <w:r w:rsidR="00567E18">
        <w:t xml:space="preserve">of trust </w:t>
      </w:r>
      <w:r>
        <w:t>and hence a</w:t>
      </w:r>
      <w:r w:rsidR="008A5ED2">
        <w:t xml:space="preserve">ppreciate the saliency of </w:t>
      </w:r>
      <w:r w:rsidR="008A5ED2" w:rsidRPr="008A5ED2">
        <w:rPr>
          <w:highlight w:val="yellow"/>
        </w:rPr>
        <w:t>its key</w:t>
      </w:r>
      <w:r>
        <w:t xml:space="preserve"> determinants</w:t>
      </w:r>
      <w:r w:rsidR="00B13646">
        <w:t xml:space="preserve"> (Figure 1)</w:t>
      </w:r>
      <w:r>
        <w:t xml:space="preserve">. </w:t>
      </w:r>
      <w:r w:rsidR="00B15644">
        <w:t xml:space="preserve">The attribute of the </w:t>
      </w:r>
      <w:r w:rsidR="00793296">
        <w:t>Trustor, which is most important to the conception of trust,</w:t>
      </w:r>
      <w:r w:rsidR="00E56370">
        <w:t xml:space="preserve"> is a personality </w:t>
      </w:r>
      <w:r w:rsidR="00793296">
        <w:t>type, which</w:t>
      </w:r>
      <w:r w:rsidR="00E56370">
        <w:t xml:space="preserve"> has a propensity to trust (Mayer et al.</w:t>
      </w:r>
      <w:r w:rsidR="001172CE">
        <w:t>,</w:t>
      </w:r>
      <w:r w:rsidR="00E56370">
        <w:t xml:space="preserve"> 1995; Rousseau et al.</w:t>
      </w:r>
      <w:r w:rsidR="001172CE">
        <w:t>,</w:t>
      </w:r>
      <w:r w:rsidR="00E56370">
        <w:t xml:space="preserve"> 1998). </w:t>
      </w:r>
      <w:r w:rsidR="00E56370" w:rsidRPr="005529FE">
        <w:rPr>
          <w:highlight w:val="yellow"/>
        </w:rPr>
        <w:t xml:space="preserve">Some persons are more trusting than </w:t>
      </w:r>
      <w:r w:rsidR="005529FE" w:rsidRPr="005529FE">
        <w:rPr>
          <w:highlight w:val="yellow"/>
        </w:rPr>
        <w:t>others are</w:t>
      </w:r>
      <w:r w:rsidR="00E56370" w:rsidRPr="005529FE">
        <w:rPr>
          <w:highlight w:val="yellow"/>
        </w:rPr>
        <w:t xml:space="preserve"> and this may be due to </w:t>
      </w:r>
      <w:r w:rsidR="005529FE" w:rsidRPr="005529FE">
        <w:rPr>
          <w:highlight w:val="yellow"/>
        </w:rPr>
        <w:t>experience</w:t>
      </w:r>
      <w:r w:rsidR="00E56370" w:rsidRPr="005529FE">
        <w:rPr>
          <w:highlight w:val="yellow"/>
        </w:rPr>
        <w:t>, th</w:t>
      </w:r>
      <w:r w:rsidR="00B15644" w:rsidRPr="005529FE">
        <w:rPr>
          <w:highlight w:val="yellow"/>
        </w:rPr>
        <w:t xml:space="preserve">e religious </w:t>
      </w:r>
      <w:r w:rsidR="00477BC5" w:rsidRPr="005529FE">
        <w:rPr>
          <w:highlight w:val="yellow"/>
        </w:rPr>
        <w:t>faith</w:t>
      </w:r>
      <w:r w:rsidR="00B15644" w:rsidRPr="005529FE">
        <w:rPr>
          <w:highlight w:val="yellow"/>
        </w:rPr>
        <w:t xml:space="preserve"> of the T</w:t>
      </w:r>
      <w:r w:rsidR="00E56370" w:rsidRPr="005529FE">
        <w:rPr>
          <w:highlight w:val="yellow"/>
        </w:rPr>
        <w:t xml:space="preserve">rustor, the number and quality of interactions </w:t>
      </w:r>
      <w:r w:rsidR="00B15644" w:rsidRPr="005529FE">
        <w:rPr>
          <w:highlight w:val="yellow"/>
        </w:rPr>
        <w:t>that the T</w:t>
      </w:r>
      <w:r w:rsidR="00E56370" w:rsidRPr="005529FE">
        <w:rPr>
          <w:highlight w:val="yellow"/>
        </w:rPr>
        <w:t>rustor has with others</w:t>
      </w:r>
      <w:r w:rsidR="003635F6" w:rsidRPr="005529FE">
        <w:rPr>
          <w:highlight w:val="yellow"/>
        </w:rPr>
        <w:t>,</w:t>
      </w:r>
      <w:r w:rsidR="00E56370" w:rsidRPr="005529FE">
        <w:rPr>
          <w:highlight w:val="yellow"/>
        </w:rPr>
        <w:t xml:space="preserve"> and the ability of t</w:t>
      </w:r>
      <w:r w:rsidR="00B15644" w:rsidRPr="005529FE">
        <w:rPr>
          <w:highlight w:val="yellow"/>
        </w:rPr>
        <w:t>he T</w:t>
      </w:r>
      <w:r w:rsidR="00E56370" w:rsidRPr="005529FE">
        <w:rPr>
          <w:highlight w:val="yellow"/>
        </w:rPr>
        <w:t xml:space="preserve">rustor to communicate with others </w:t>
      </w:r>
      <w:r w:rsidR="005529FE" w:rsidRPr="005529FE">
        <w:rPr>
          <w:highlight w:val="yellow"/>
        </w:rPr>
        <w:t>(</w:t>
      </w:r>
      <w:r w:rsidR="004D3F1A" w:rsidRPr="005529FE">
        <w:rPr>
          <w:highlight w:val="yellow"/>
        </w:rPr>
        <w:t>Alesina and La Ferrara</w:t>
      </w:r>
      <w:r w:rsidR="001172CE" w:rsidRPr="005529FE">
        <w:rPr>
          <w:highlight w:val="yellow"/>
        </w:rPr>
        <w:t>,</w:t>
      </w:r>
      <w:r w:rsidR="004D3F1A" w:rsidRPr="005529FE">
        <w:rPr>
          <w:highlight w:val="yellow"/>
        </w:rPr>
        <w:t xml:space="preserve"> 2002; Sarkissian</w:t>
      </w:r>
      <w:r w:rsidR="001172CE" w:rsidRPr="005529FE">
        <w:rPr>
          <w:highlight w:val="yellow"/>
        </w:rPr>
        <w:t>,</w:t>
      </w:r>
      <w:r w:rsidR="004D3F1A" w:rsidRPr="005529FE">
        <w:rPr>
          <w:highlight w:val="yellow"/>
        </w:rPr>
        <w:t xml:space="preserve"> 2012; Leigh</w:t>
      </w:r>
      <w:r w:rsidR="001172CE" w:rsidRPr="005529FE">
        <w:rPr>
          <w:highlight w:val="yellow"/>
        </w:rPr>
        <w:t>,</w:t>
      </w:r>
      <w:r w:rsidR="00E56370" w:rsidRPr="005529FE">
        <w:rPr>
          <w:highlight w:val="yellow"/>
        </w:rPr>
        <w:t xml:space="preserve"> 2006</w:t>
      </w:r>
      <w:r w:rsidR="009331CD" w:rsidRPr="005529FE">
        <w:rPr>
          <w:highlight w:val="yellow"/>
        </w:rPr>
        <w:t>; Iannaccone, 1994</w:t>
      </w:r>
      <w:r w:rsidR="00041831" w:rsidRPr="005529FE">
        <w:rPr>
          <w:highlight w:val="yellow"/>
        </w:rPr>
        <w:t>).</w:t>
      </w:r>
    </w:p>
    <w:p w14:paraId="2C52E976" w14:textId="77777777" w:rsidR="00041831" w:rsidRDefault="00041831" w:rsidP="00631EB7">
      <w:pPr>
        <w:spacing w:after="0" w:line="480" w:lineRule="auto"/>
      </w:pPr>
    </w:p>
    <w:p w14:paraId="70B5058E" w14:textId="15278B22" w:rsidR="00A86D4A" w:rsidRDefault="00E56370" w:rsidP="00631EB7">
      <w:pPr>
        <w:spacing w:after="0" w:line="480" w:lineRule="auto"/>
      </w:pPr>
      <w:r>
        <w:t>The</w:t>
      </w:r>
      <w:r w:rsidR="00B15644">
        <w:t xml:space="preserve"> other party to trust is the T</w:t>
      </w:r>
      <w:r>
        <w:t xml:space="preserve">rustee. Here the </w:t>
      </w:r>
      <w:r w:rsidR="00B15644">
        <w:t>salient attributes are ability, benevole</w:t>
      </w:r>
      <w:r w:rsidR="004D3F1A">
        <w:t>nce</w:t>
      </w:r>
      <w:r w:rsidR="00391F76">
        <w:t>,</w:t>
      </w:r>
      <w:r w:rsidR="004D3F1A">
        <w:t xml:space="preserve"> and integrity (Mayer et al.</w:t>
      </w:r>
      <w:r w:rsidR="001172CE">
        <w:t>,</w:t>
      </w:r>
      <w:r w:rsidR="004D3F1A">
        <w:t xml:space="preserve"> </w:t>
      </w:r>
      <w:r w:rsidR="00B15644">
        <w:t xml:space="preserve">1995). If the Trustee does not have the ability to carry out a task proficiently then making </w:t>
      </w:r>
      <w:r w:rsidR="00E152A1">
        <w:t>on</w:t>
      </w:r>
      <w:r w:rsidR="00061E17">
        <w:t>e</w:t>
      </w:r>
      <w:r w:rsidR="00FF73D5">
        <w:t>self</w:t>
      </w:r>
      <w:r w:rsidR="00B15644">
        <w:t xml:space="preserve"> vulnerable to such a person would not </w:t>
      </w:r>
      <w:r w:rsidR="00FF73D5">
        <w:t xml:space="preserve">seem </w:t>
      </w:r>
      <w:r w:rsidR="00B15644">
        <w:t xml:space="preserve">be a </w:t>
      </w:r>
      <w:r w:rsidR="009331CD">
        <w:t>rational</w:t>
      </w:r>
      <w:r w:rsidR="00B15644">
        <w:t xml:space="preserve"> choice. Ability may be gauged by </w:t>
      </w:r>
      <w:r w:rsidR="00793296" w:rsidRPr="003635F6">
        <w:t>experience</w:t>
      </w:r>
      <w:r w:rsidR="003635F6">
        <w:t>, or by</w:t>
      </w:r>
      <w:r w:rsidR="003635F6" w:rsidRPr="003635F6">
        <w:t xml:space="preserve"> </w:t>
      </w:r>
      <w:r w:rsidR="00B15644">
        <w:t xml:space="preserve">seeking a reference to attest to the Trustee’s proficiency, or through certification of ability </w:t>
      </w:r>
      <w:r w:rsidR="00B15644" w:rsidRPr="001A7CAC">
        <w:rPr>
          <w:highlight w:val="yellow"/>
        </w:rPr>
        <w:t>(</w:t>
      </w:r>
      <w:r w:rsidR="00041831" w:rsidRPr="001A7CAC">
        <w:rPr>
          <w:highlight w:val="yellow"/>
        </w:rPr>
        <w:t xml:space="preserve">e.g., </w:t>
      </w:r>
      <w:r w:rsidR="00B15644" w:rsidRPr="001A7CAC">
        <w:rPr>
          <w:highlight w:val="yellow"/>
        </w:rPr>
        <w:t>academic qualifications)</w:t>
      </w:r>
      <w:r w:rsidR="00B15644">
        <w:t xml:space="preserve">. However, even if the Trustee has the requisite </w:t>
      </w:r>
      <w:r w:rsidR="00FF73D5">
        <w:t>ability</w:t>
      </w:r>
      <w:r w:rsidR="00B15644">
        <w:t xml:space="preserve"> to carry out the desired action there can be no assurance that they will. In this </w:t>
      </w:r>
      <w:r w:rsidR="00A9217E">
        <w:t>regard,</w:t>
      </w:r>
      <w:r w:rsidR="00B15644">
        <w:t xml:space="preserve"> benevolence becomes an important quality – if the Trustee is known to have </w:t>
      </w:r>
      <w:r w:rsidR="003635F6">
        <w:t xml:space="preserve">the </w:t>
      </w:r>
      <w:r w:rsidR="00B15644">
        <w:t xml:space="preserve">Trustor’s interests at heart then there is a far greater likelihood that the willingness to make oneself vulnerable will end </w:t>
      </w:r>
      <w:r w:rsidR="007B6730" w:rsidRPr="007B6730">
        <w:rPr>
          <w:highlight w:val="yellow"/>
        </w:rPr>
        <w:t>favourably</w:t>
      </w:r>
      <w:r w:rsidR="00BB57DD">
        <w:t xml:space="preserve"> (Addai et al.</w:t>
      </w:r>
      <w:r w:rsidR="001172CE">
        <w:t>,</w:t>
      </w:r>
      <w:r w:rsidR="00BB57DD">
        <w:t xml:space="preserve"> 2013)</w:t>
      </w:r>
      <w:r w:rsidR="00B15644">
        <w:t xml:space="preserve">. Yet one might have the ability and the interest of the Trustor at heart but still fail to act in the desired manner – hence the importance of integrity. </w:t>
      </w:r>
      <w:r w:rsidR="00312F47">
        <w:t xml:space="preserve">Integrity refers to the Trustee’s disposition to act consistently in a </w:t>
      </w:r>
      <w:r w:rsidR="00793296">
        <w:t>manner, which</w:t>
      </w:r>
      <w:r w:rsidR="00312F47">
        <w:t xml:space="preserve"> is </w:t>
      </w:r>
      <w:r w:rsidR="00D55ACD">
        <w:t xml:space="preserve">morally </w:t>
      </w:r>
      <w:r w:rsidR="00312F47">
        <w:t xml:space="preserve">acceptable to the Trustor. </w:t>
      </w:r>
      <w:r w:rsidR="00FF15BC">
        <w:rPr>
          <w:highlight w:val="yellow"/>
        </w:rPr>
        <w:t>A</w:t>
      </w:r>
      <w:r w:rsidR="00312F47" w:rsidRPr="00144610">
        <w:rPr>
          <w:highlight w:val="yellow"/>
        </w:rPr>
        <w:t xml:space="preserve"> Trustee might have t</w:t>
      </w:r>
      <w:r w:rsidR="00FF15BC">
        <w:rPr>
          <w:highlight w:val="yellow"/>
        </w:rPr>
        <w:t>he ability to carry out an act</w:t>
      </w:r>
      <w:r w:rsidR="00312F47" w:rsidRPr="00144610">
        <w:rPr>
          <w:highlight w:val="yellow"/>
        </w:rPr>
        <w:t xml:space="preserve"> and be well disposed towards the Trustor </w:t>
      </w:r>
      <w:r w:rsidR="00312F47" w:rsidRPr="00144610">
        <w:rPr>
          <w:highlight w:val="yellow"/>
        </w:rPr>
        <w:lastRenderedPageBreak/>
        <w:t xml:space="preserve">but if the Trustee </w:t>
      </w:r>
      <w:r w:rsidR="00FF15BC" w:rsidRPr="00144610">
        <w:rPr>
          <w:highlight w:val="yellow"/>
        </w:rPr>
        <w:t>were</w:t>
      </w:r>
      <w:r w:rsidR="00312F47" w:rsidRPr="00144610">
        <w:rPr>
          <w:highlight w:val="yellow"/>
        </w:rPr>
        <w:t xml:space="preserve"> likely to carry out the act in a </w:t>
      </w:r>
      <w:r w:rsidR="00144610" w:rsidRPr="00144610">
        <w:rPr>
          <w:highlight w:val="yellow"/>
        </w:rPr>
        <w:t>manner</w:t>
      </w:r>
      <w:r w:rsidR="00FF15BC">
        <w:rPr>
          <w:highlight w:val="yellow"/>
        </w:rPr>
        <w:t xml:space="preserve"> that </w:t>
      </w:r>
      <w:r w:rsidR="00312F47" w:rsidRPr="00144610">
        <w:rPr>
          <w:highlight w:val="yellow"/>
        </w:rPr>
        <w:t xml:space="preserve">the Trustor finds </w:t>
      </w:r>
      <w:r w:rsidR="008948D7" w:rsidRPr="00144610">
        <w:rPr>
          <w:highlight w:val="yellow"/>
        </w:rPr>
        <w:t xml:space="preserve">morally </w:t>
      </w:r>
      <w:r w:rsidR="00144610" w:rsidRPr="00144610">
        <w:rPr>
          <w:highlight w:val="yellow"/>
        </w:rPr>
        <w:t>reprehensible</w:t>
      </w:r>
      <w:r w:rsidR="00312F47" w:rsidRPr="00144610">
        <w:rPr>
          <w:highlight w:val="yellow"/>
        </w:rPr>
        <w:t xml:space="preserve">, it would not be </w:t>
      </w:r>
      <w:r w:rsidR="00D55ACD" w:rsidRPr="00144610">
        <w:rPr>
          <w:highlight w:val="yellow"/>
        </w:rPr>
        <w:t xml:space="preserve">rational </w:t>
      </w:r>
      <w:r w:rsidR="00312F47" w:rsidRPr="00144610">
        <w:rPr>
          <w:highlight w:val="yellow"/>
        </w:rPr>
        <w:t>to make oneself vulnerable to such a character</w:t>
      </w:r>
      <w:r w:rsidR="004C7AF2" w:rsidRPr="00144610">
        <w:rPr>
          <w:highlight w:val="yellow"/>
        </w:rPr>
        <w:t>.</w:t>
      </w:r>
    </w:p>
    <w:p w14:paraId="28502EC3" w14:textId="77777777" w:rsidR="00E152A1" w:rsidRDefault="00E152A1" w:rsidP="00E152A1">
      <w:pPr>
        <w:spacing w:after="0" w:line="480" w:lineRule="auto"/>
      </w:pPr>
    </w:p>
    <w:p w14:paraId="642C1CB4" w14:textId="388783F1" w:rsidR="00CC5EF3" w:rsidRDefault="00B13646" w:rsidP="00E152A1">
      <w:pPr>
        <w:spacing w:after="0" w:line="480" w:lineRule="auto"/>
      </w:pPr>
      <w:r>
        <w:t xml:space="preserve">However, </w:t>
      </w:r>
      <w:r w:rsidR="002A7BC2" w:rsidRPr="002A7BC2">
        <w:rPr>
          <w:highlight w:val="yellow"/>
        </w:rPr>
        <w:t>the</w:t>
      </w:r>
      <w:r w:rsidR="002A7BC2">
        <w:t xml:space="preserve"> </w:t>
      </w:r>
      <w:r>
        <w:t>attribute</w:t>
      </w:r>
      <w:r w:rsidR="00AD72BD">
        <w:t xml:space="preserve">s of Trustee and Trustor </w:t>
      </w:r>
      <w:r w:rsidR="00FF15BC" w:rsidRPr="00FF15BC">
        <w:rPr>
          <w:highlight w:val="yellow"/>
        </w:rPr>
        <w:t xml:space="preserve">in themselves </w:t>
      </w:r>
      <w:r w:rsidR="00AD72BD" w:rsidRPr="00FF15BC">
        <w:rPr>
          <w:highlight w:val="yellow"/>
        </w:rPr>
        <w:t>do not</w:t>
      </w:r>
      <w:r w:rsidRPr="00FF15BC">
        <w:rPr>
          <w:highlight w:val="yellow"/>
        </w:rPr>
        <w:t xml:space="preserve"> create trust</w:t>
      </w:r>
      <w:r>
        <w:t>. There needs to be a reason to trust – that is, there must be both a need for interdependence and a risk that the desired act may not be carried out in a manner that the Trus</w:t>
      </w:r>
      <w:r w:rsidR="004D3F1A">
        <w:t>tor would like (Rousseau et al.</w:t>
      </w:r>
      <w:r w:rsidR="001172CE">
        <w:t>,</w:t>
      </w:r>
      <w:r>
        <w:t xml:space="preserve"> 1998). Once these conditions have been</w:t>
      </w:r>
      <w:r w:rsidR="008948D7">
        <w:t xml:space="preserve"> met then trust may be invested:</w:t>
      </w:r>
      <w:r>
        <w:t xml:space="preserve"> </w:t>
      </w:r>
      <w:r w:rsidR="00914082">
        <w:t>a</w:t>
      </w:r>
      <w:r>
        <w:t xml:space="preserve"> </w:t>
      </w:r>
      <w:r w:rsidRPr="009C4984">
        <w:t>willingness to ac</w:t>
      </w:r>
      <w:r>
        <w:t>cept vulnerability</w:t>
      </w:r>
      <w:r w:rsidRPr="009C4984">
        <w:t xml:space="preserve"> in proxi</w:t>
      </w:r>
      <w:r>
        <w:t>mity to an action in which the T</w:t>
      </w:r>
      <w:r w:rsidRPr="009C4984">
        <w:t>rustor has an expectation</w:t>
      </w:r>
      <w:r>
        <w:t xml:space="preserve"> of certain behaviour from a T</w:t>
      </w:r>
      <w:r w:rsidRPr="009C4984">
        <w:t>rustee</w:t>
      </w:r>
      <w:r>
        <w:t xml:space="preserve">. Because trust is proximate to an act, an outcome is likely to eventuate. </w:t>
      </w:r>
      <w:r w:rsidRPr="009870DB">
        <w:rPr>
          <w:highlight w:val="yellow"/>
        </w:rPr>
        <w:t>Outcomes represent a feedback loop</w:t>
      </w:r>
      <w:r w:rsidR="009870DB" w:rsidRPr="009870DB">
        <w:rPr>
          <w:highlight w:val="yellow"/>
        </w:rPr>
        <w:t>. I</w:t>
      </w:r>
      <w:r w:rsidRPr="009870DB">
        <w:rPr>
          <w:highlight w:val="yellow"/>
        </w:rPr>
        <w:t>f the Trustee carries out the act in the desired fashion then this may reinforce the Trustor’s perception of ability, integrity or benevolence in this person (</w:t>
      </w:r>
      <w:r w:rsidR="00EF6EB5" w:rsidRPr="009870DB">
        <w:rPr>
          <w:highlight w:val="yellow"/>
        </w:rPr>
        <w:t xml:space="preserve">e.g., </w:t>
      </w:r>
      <w:r w:rsidR="00D55ACD" w:rsidRPr="009870DB">
        <w:rPr>
          <w:highlight w:val="yellow"/>
        </w:rPr>
        <w:t>Mayer et al., 1995</w:t>
      </w:r>
      <w:r w:rsidR="00CC5EF3" w:rsidRPr="009870DB">
        <w:rPr>
          <w:highlight w:val="yellow"/>
        </w:rPr>
        <w:t>).</w:t>
      </w:r>
    </w:p>
    <w:p w14:paraId="035539B5" w14:textId="77777777" w:rsidR="00CC5EF3" w:rsidRDefault="00CC5EF3" w:rsidP="00E152A1">
      <w:pPr>
        <w:spacing w:after="0" w:line="480" w:lineRule="auto"/>
      </w:pPr>
    </w:p>
    <w:p w14:paraId="2354FB4B" w14:textId="27D8140E" w:rsidR="00B13646" w:rsidRDefault="00B13646" w:rsidP="00E152A1">
      <w:pPr>
        <w:spacing w:after="0" w:line="480" w:lineRule="auto"/>
      </w:pPr>
      <w:r w:rsidRPr="00136E4B">
        <w:rPr>
          <w:highlight w:val="yellow"/>
        </w:rPr>
        <w:t>Moreover, a positive outcome will do nothing to dent the Trusto</w:t>
      </w:r>
      <w:r w:rsidR="00136E4B" w:rsidRPr="00136E4B">
        <w:rPr>
          <w:highlight w:val="yellow"/>
        </w:rPr>
        <w:t>r’s propensity to trust others</w:t>
      </w:r>
      <w:r w:rsidRPr="00136E4B">
        <w:rPr>
          <w:highlight w:val="yellow"/>
        </w:rPr>
        <w:t>.</w:t>
      </w:r>
      <w:r>
        <w:t xml:space="preserve"> Negative outcomes may cause the Trustor to re-evaluate their perception of the Trustee’s attributes, but </w:t>
      </w:r>
      <w:r w:rsidR="00136E4B" w:rsidRPr="00136E4B">
        <w:rPr>
          <w:highlight w:val="yellow"/>
        </w:rPr>
        <w:t xml:space="preserve">this </w:t>
      </w:r>
      <w:r w:rsidRPr="00136E4B">
        <w:rPr>
          <w:highlight w:val="yellow"/>
        </w:rPr>
        <w:t xml:space="preserve">does not necessarily destroy trust </w:t>
      </w:r>
      <w:r w:rsidR="00136E4B" w:rsidRPr="00136E4B">
        <w:rPr>
          <w:highlight w:val="yellow"/>
        </w:rPr>
        <w:t>and, in the case of ability, would seem to be a matter of degree. In addition</w:t>
      </w:r>
      <w:r>
        <w:t>, a single negative outcome is unlikely to materially alter one’s propensity to trust, although it may be summed wi</w:t>
      </w:r>
      <w:r w:rsidR="00136E4B">
        <w:t xml:space="preserve">th other poor outcomes to </w:t>
      </w:r>
      <w:r w:rsidR="00136E4B" w:rsidRPr="00136E4B">
        <w:rPr>
          <w:highlight w:val="yellow"/>
        </w:rPr>
        <w:t>influence</w:t>
      </w:r>
      <w:r>
        <w:t xml:space="preserve"> propensity over time. Outright betrayal</w:t>
      </w:r>
      <w:r w:rsidR="003C26AC">
        <w:t>,</w:t>
      </w:r>
      <w:r>
        <w:t xml:space="preserve"> however, would seem to be an entirely different matter and is likely to attract a </w:t>
      </w:r>
      <w:r w:rsidR="00793296">
        <w:t>premium, which</w:t>
      </w:r>
      <w:r>
        <w:t xml:space="preserve"> reflects people’s reticence to feel as if they have b</w:t>
      </w:r>
      <w:r w:rsidR="004D3F1A">
        <w:t>een played for a fool (</w:t>
      </w:r>
      <w:r w:rsidR="000B1118">
        <w:t>Arai</w:t>
      </w:r>
      <w:r w:rsidR="001172CE">
        <w:t>,</w:t>
      </w:r>
      <w:r>
        <w:t xml:space="preserve"> 2009). In this case, it is entirely likely that a single bad outcome will destroy trust in the Trustee forever, and may even cause the Tr</w:t>
      </w:r>
      <w:r w:rsidR="00A23208">
        <w:t>ustor to re-evaluate their trust</w:t>
      </w:r>
      <w:r>
        <w:t xml:space="preserve"> in all persons.</w:t>
      </w:r>
    </w:p>
    <w:p w14:paraId="1A9F0400" w14:textId="5EB26C29" w:rsidR="002515C0" w:rsidRDefault="002515C0">
      <w:r>
        <w:br w:type="page"/>
      </w:r>
    </w:p>
    <w:p w14:paraId="7DEC39D5" w14:textId="77777777" w:rsidR="0072436C" w:rsidRDefault="0072436C" w:rsidP="007239B9">
      <w:pPr>
        <w:spacing w:after="0" w:line="480" w:lineRule="auto"/>
      </w:pPr>
    </w:p>
    <w:p w14:paraId="433D4E74" w14:textId="77777777" w:rsidR="00613BE8" w:rsidRPr="00F95B0F" w:rsidRDefault="00F900EC" w:rsidP="007239B9">
      <w:pPr>
        <w:spacing w:line="480" w:lineRule="auto"/>
        <w:rPr>
          <w:b/>
          <w:i/>
        </w:rPr>
      </w:pPr>
      <w:r w:rsidRPr="00F95B0F">
        <w:rPr>
          <w:b/>
          <w:i/>
        </w:rPr>
        <w:t>What Makes Others Trust?</w:t>
      </w:r>
    </w:p>
    <w:p w14:paraId="21F78D90" w14:textId="12C99349" w:rsidR="00613BE8" w:rsidRDefault="00683E4E" w:rsidP="00E152A1">
      <w:pPr>
        <w:spacing w:after="0" w:line="480" w:lineRule="auto"/>
      </w:pPr>
      <w:r>
        <w:t xml:space="preserve">We seek to identify the determinants of two types of trust: general trust in others and local trust. </w:t>
      </w:r>
      <w:r w:rsidRPr="0021350A">
        <w:rPr>
          <w:highlight w:val="yellow"/>
        </w:rPr>
        <w:t xml:space="preserve">General trust implies attitudes to people </w:t>
      </w:r>
      <w:r w:rsidR="00613BE8" w:rsidRPr="0021350A">
        <w:rPr>
          <w:highlight w:val="yellow"/>
        </w:rPr>
        <w:t>with whom</w:t>
      </w:r>
      <w:r w:rsidRPr="0021350A">
        <w:rPr>
          <w:highlight w:val="yellow"/>
        </w:rPr>
        <w:t xml:space="preserve"> the respondent may not have </w:t>
      </w:r>
      <w:r w:rsidR="00613BE8" w:rsidRPr="0021350A">
        <w:rPr>
          <w:highlight w:val="yellow"/>
        </w:rPr>
        <w:t xml:space="preserve">had personal interactions </w:t>
      </w:r>
      <w:r w:rsidRPr="0021350A">
        <w:rPr>
          <w:highlight w:val="yellow"/>
        </w:rPr>
        <w:t xml:space="preserve">and </w:t>
      </w:r>
      <w:r w:rsidR="009F3AAA" w:rsidRPr="0021350A">
        <w:rPr>
          <w:highlight w:val="yellow"/>
        </w:rPr>
        <w:t>experimental evidence suggests</w:t>
      </w:r>
      <w:r w:rsidRPr="0021350A">
        <w:rPr>
          <w:highlight w:val="yellow"/>
        </w:rPr>
        <w:t xml:space="preserve"> that </w:t>
      </w:r>
      <w:r w:rsidR="003635F6" w:rsidRPr="0021350A">
        <w:rPr>
          <w:highlight w:val="yellow"/>
        </w:rPr>
        <w:t xml:space="preserve">it may </w:t>
      </w:r>
      <w:r w:rsidR="001A1025">
        <w:rPr>
          <w:highlight w:val="yellow"/>
        </w:rPr>
        <w:t xml:space="preserve">actually </w:t>
      </w:r>
      <w:r w:rsidR="003635F6" w:rsidRPr="0021350A">
        <w:rPr>
          <w:highlight w:val="yellow"/>
        </w:rPr>
        <w:t>be a better measure of</w:t>
      </w:r>
      <w:r w:rsidR="003635F6">
        <w:t xml:space="preserve"> ‘</w:t>
      </w:r>
      <w:r w:rsidR="00011125">
        <w:t xml:space="preserve">whether or not a person is </w:t>
      </w:r>
      <w:r w:rsidR="00011125" w:rsidRPr="00011125">
        <w:rPr>
          <w:i/>
        </w:rPr>
        <w:t>trustworthy</w:t>
      </w:r>
      <w:r w:rsidR="00011125">
        <w:t xml:space="preserve"> </w:t>
      </w:r>
      <w:r w:rsidR="003635F6">
        <w:t>[than it is]</w:t>
      </w:r>
      <w:r w:rsidR="00011125">
        <w:t xml:space="preserve"> whether or not he trusts others</w:t>
      </w:r>
      <w:r w:rsidR="003635F6">
        <w:t>’</w:t>
      </w:r>
      <w:r w:rsidR="00011125">
        <w:rPr>
          <w:rStyle w:val="FootnoteReference"/>
        </w:rPr>
        <w:footnoteReference w:id="1"/>
      </w:r>
      <w:r w:rsidR="00011125">
        <w:t xml:space="preserve"> </w:t>
      </w:r>
      <w:r w:rsidR="009F3AAA">
        <w:t>(</w:t>
      </w:r>
      <w:r w:rsidR="00011125">
        <w:t xml:space="preserve">emphasis added, </w:t>
      </w:r>
      <w:r w:rsidR="00F81C99" w:rsidRPr="00F81C99">
        <w:t>Glaeser</w:t>
      </w:r>
      <w:bookmarkStart w:id="0" w:name="_GoBack"/>
      <w:bookmarkEnd w:id="0"/>
      <w:r w:rsidR="004D3F1A">
        <w:t xml:space="preserve"> et al</w:t>
      </w:r>
      <w:r w:rsidR="00856EC5">
        <w:t>.</w:t>
      </w:r>
      <w:r w:rsidR="001172CE">
        <w:t>,</w:t>
      </w:r>
      <w:r w:rsidR="00740975">
        <w:t xml:space="preserve"> 2000</w:t>
      </w:r>
      <w:r w:rsidR="002B2757">
        <w:t xml:space="preserve">, p. </w:t>
      </w:r>
      <w:r w:rsidR="00011125" w:rsidRPr="00011125">
        <w:t>833</w:t>
      </w:r>
      <w:r w:rsidR="006330A4">
        <w:t>)</w:t>
      </w:r>
      <w:r>
        <w:t>. Local trust</w:t>
      </w:r>
      <w:r w:rsidR="003635F6">
        <w:t>,</w:t>
      </w:r>
      <w:r>
        <w:t xml:space="preserve"> </w:t>
      </w:r>
      <w:r w:rsidR="009F3AAA">
        <w:t>on the other hand</w:t>
      </w:r>
      <w:r w:rsidR="003635F6">
        <w:t>,</w:t>
      </w:r>
      <w:r w:rsidR="009F3AAA">
        <w:t xml:space="preserve"> suggests the neighbourhood that the respondent lives in (which might well be more homogenous) and </w:t>
      </w:r>
      <w:r w:rsidR="008948D7">
        <w:t>is more likely to call</w:t>
      </w:r>
      <w:r w:rsidR="009F3AAA">
        <w:t xml:space="preserve"> to mind actual interactions.</w:t>
      </w:r>
    </w:p>
    <w:p w14:paraId="5EAD1EEE" w14:textId="77777777" w:rsidR="00E152A1" w:rsidRDefault="00E152A1" w:rsidP="00E152A1">
      <w:pPr>
        <w:spacing w:after="0" w:line="480" w:lineRule="auto"/>
      </w:pPr>
    </w:p>
    <w:p w14:paraId="5534C382" w14:textId="5B6573D7" w:rsidR="00BD66EF" w:rsidRDefault="00683E4E" w:rsidP="00E152A1">
      <w:pPr>
        <w:spacing w:after="0" w:line="480" w:lineRule="auto"/>
      </w:pPr>
      <w:r>
        <w:t xml:space="preserve">Our </w:t>
      </w:r>
      <w:r w:rsidR="001F4DA9">
        <w:t>model of trust p</w:t>
      </w:r>
      <w:r w:rsidR="00EF0CFF">
        <w:t xml:space="preserve">rovides us with an insight into the </w:t>
      </w:r>
      <w:r w:rsidR="007B1126">
        <w:t>variables required for the empirical analysis of</w:t>
      </w:r>
      <w:r w:rsidR="00613BE8">
        <w:t xml:space="preserve"> trust</w:t>
      </w:r>
      <w:r w:rsidR="00EF0CFF">
        <w:t xml:space="preserve">. The existence of a feedback loop means that variables need to be included which </w:t>
      </w:r>
      <w:r w:rsidR="00613BE8">
        <w:t>reflect</w:t>
      </w:r>
      <w:r>
        <w:t xml:space="preserve"> opportunities for interactions with others. Thus, the number of years that a respondent has resided at their current address </w:t>
      </w:r>
      <w:r w:rsidR="00613BE8">
        <w:t xml:space="preserve">will be important for local </w:t>
      </w:r>
      <w:r w:rsidR="00F82D8D">
        <w:t>trust,</w:t>
      </w:r>
      <w:r w:rsidR="00613BE8">
        <w:t xml:space="preserve"> as will </w:t>
      </w:r>
      <w:r w:rsidR="00F82D8D">
        <w:t>variables that</w:t>
      </w:r>
      <w:r w:rsidR="00613BE8">
        <w:t xml:space="preserve"> identify whether the respondent </w:t>
      </w:r>
      <w:r w:rsidR="006F27C0" w:rsidRPr="006F27C0">
        <w:rPr>
          <w:highlight w:val="yellow"/>
        </w:rPr>
        <w:t xml:space="preserve">was born </w:t>
      </w:r>
      <w:r w:rsidR="00613BE8" w:rsidRPr="00F82D8D">
        <w:rPr>
          <w:highlight w:val="yellow"/>
        </w:rPr>
        <w:t xml:space="preserve">overseas </w:t>
      </w:r>
      <w:r w:rsidR="00F82D8D" w:rsidRPr="00F82D8D">
        <w:rPr>
          <w:highlight w:val="yellow"/>
        </w:rPr>
        <w:t>or is a refugee, which may be indicative of lower levels of interaction.</w:t>
      </w:r>
      <w:r w:rsidR="00F82D8D">
        <w:t xml:space="preserve"> </w:t>
      </w:r>
      <w:r w:rsidR="00613BE8">
        <w:t xml:space="preserve">A variable which indicates whether the respondent lives in an urban or rural environment is also </w:t>
      </w:r>
      <w:r w:rsidR="0059439D">
        <w:t>routinely em</w:t>
      </w:r>
      <w:r w:rsidR="00012380">
        <w:t>ployed</w:t>
      </w:r>
      <w:r w:rsidR="002B0CB7">
        <w:t xml:space="preserve"> </w:t>
      </w:r>
      <w:r w:rsidR="0059439D">
        <w:t xml:space="preserve">because communities in rural areas tend to be more homogenous and also often </w:t>
      </w:r>
      <w:r w:rsidR="00FF73D5">
        <w:t>rely more</w:t>
      </w:r>
      <w:r w:rsidR="0059439D">
        <w:t xml:space="preserve"> on neighbours as a result of dista</w:t>
      </w:r>
      <w:r w:rsidR="007B66E5">
        <w:t>nces from services (</w:t>
      </w:r>
      <w:r w:rsidR="00F82D8D">
        <w:t>e.g., Mendolia et al., 2016; Addai et al., 2013</w:t>
      </w:r>
      <w:r w:rsidR="00734B6B">
        <w:t>)</w:t>
      </w:r>
      <w:r w:rsidR="0059439D">
        <w:t>.</w:t>
      </w:r>
      <w:r w:rsidR="00BD66EF">
        <w:t xml:space="preserve"> </w:t>
      </w:r>
      <w:r w:rsidR="00BD66EF" w:rsidRPr="00BD66EF">
        <w:rPr>
          <w:highlight w:val="yellow"/>
        </w:rPr>
        <w:t>Another variable that is often i</w:t>
      </w:r>
      <w:r w:rsidR="00F8237D">
        <w:rPr>
          <w:highlight w:val="yellow"/>
        </w:rPr>
        <w:t xml:space="preserve">ncluded in trust studies is </w:t>
      </w:r>
      <w:r w:rsidR="00BD66EF" w:rsidRPr="00BD66EF">
        <w:rPr>
          <w:highlight w:val="yellow"/>
        </w:rPr>
        <w:t xml:space="preserve">time spent commuting. It </w:t>
      </w:r>
      <w:r w:rsidR="008936E1">
        <w:rPr>
          <w:highlight w:val="yellow"/>
        </w:rPr>
        <w:t>contended</w:t>
      </w:r>
      <w:r w:rsidR="00BD66EF" w:rsidRPr="00BD66EF">
        <w:rPr>
          <w:highlight w:val="yellow"/>
        </w:rPr>
        <w:t xml:space="preserve"> tha</w:t>
      </w:r>
      <w:r w:rsidR="00CF1882">
        <w:rPr>
          <w:highlight w:val="yellow"/>
        </w:rPr>
        <w:t>t longer commuting times reduce</w:t>
      </w:r>
      <w:r w:rsidR="00BD66EF" w:rsidRPr="00BD66EF">
        <w:rPr>
          <w:highlight w:val="yellow"/>
        </w:rPr>
        <w:t xml:space="preserve"> the time available for social interactions and thus lead</w:t>
      </w:r>
      <w:r w:rsidR="00AA4E6C">
        <w:rPr>
          <w:highlight w:val="yellow"/>
        </w:rPr>
        <w:t>s</w:t>
      </w:r>
      <w:r w:rsidR="00BD66EF" w:rsidRPr="00BD66EF">
        <w:rPr>
          <w:highlight w:val="yellow"/>
        </w:rPr>
        <w:t xml:space="preserve"> to a reduction in </w:t>
      </w:r>
      <w:r w:rsidR="004B357D">
        <w:rPr>
          <w:highlight w:val="yellow"/>
        </w:rPr>
        <w:t>local</w:t>
      </w:r>
      <w:r w:rsidR="00BD66EF" w:rsidRPr="00BD66EF">
        <w:rPr>
          <w:highlight w:val="yellow"/>
        </w:rPr>
        <w:t xml:space="preserve"> trust (e.g.</w:t>
      </w:r>
      <w:r w:rsidR="008936E1">
        <w:rPr>
          <w:highlight w:val="yellow"/>
        </w:rPr>
        <w:t>,</w:t>
      </w:r>
      <w:r w:rsidR="00BD66EF" w:rsidRPr="00BD66EF">
        <w:rPr>
          <w:highlight w:val="yellow"/>
        </w:rPr>
        <w:t xml:space="preserve"> Mattisson et al., 2015).</w:t>
      </w:r>
    </w:p>
    <w:p w14:paraId="443FF614" w14:textId="77777777" w:rsidR="00E152A1" w:rsidRDefault="00E152A1" w:rsidP="00E152A1">
      <w:pPr>
        <w:spacing w:after="0" w:line="480" w:lineRule="auto"/>
      </w:pPr>
    </w:p>
    <w:p w14:paraId="2F071266" w14:textId="661AFFD0" w:rsidR="0059439D" w:rsidRDefault="0059439D" w:rsidP="00E152A1">
      <w:pPr>
        <w:spacing w:after="0" w:line="480" w:lineRule="auto"/>
      </w:pPr>
      <w:r>
        <w:t xml:space="preserve">The level of education attained by the respondent is also an important variable for empirical work on trust. </w:t>
      </w:r>
      <w:r w:rsidR="007E5151" w:rsidRPr="00153CBE">
        <w:rPr>
          <w:highlight w:val="yellow"/>
        </w:rPr>
        <w:t xml:space="preserve">This is because education is an </w:t>
      </w:r>
      <w:r w:rsidR="00153CBE" w:rsidRPr="00153CBE">
        <w:rPr>
          <w:highlight w:val="yellow"/>
        </w:rPr>
        <w:t>external attestation to ability that</w:t>
      </w:r>
      <w:r w:rsidR="007E5151" w:rsidRPr="00153CBE">
        <w:rPr>
          <w:highlight w:val="yellow"/>
        </w:rPr>
        <w:t xml:space="preserve"> is </w:t>
      </w:r>
      <w:r w:rsidR="00FB102E" w:rsidRPr="00153CBE">
        <w:rPr>
          <w:highlight w:val="yellow"/>
        </w:rPr>
        <w:t>essential</w:t>
      </w:r>
      <w:r w:rsidR="007E5151" w:rsidRPr="00153CBE">
        <w:rPr>
          <w:highlight w:val="yellow"/>
        </w:rPr>
        <w:t xml:space="preserve"> for the accurate assessment of ability in others and may be </w:t>
      </w:r>
      <w:r w:rsidR="008948D7" w:rsidRPr="00153CBE">
        <w:rPr>
          <w:highlight w:val="yellow"/>
        </w:rPr>
        <w:t>reflective</w:t>
      </w:r>
      <w:r w:rsidR="007E5151" w:rsidRPr="00153CBE">
        <w:rPr>
          <w:highlight w:val="yellow"/>
        </w:rPr>
        <w:t xml:space="preserve"> of success in life</w:t>
      </w:r>
      <w:r w:rsidR="00A95D12" w:rsidRPr="00153CBE">
        <w:rPr>
          <w:highlight w:val="yellow"/>
        </w:rPr>
        <w:t>.</w:t>
      </w:r>
      <w:r w:rsidR="00A95D12">
        <w:t xml:space="preserve"> On this </w:t>
      </w:r>
      <w:r w:rsidR="00FF73D5">
        <w:t xml:space="preserve">latter </w:t>
      </w:r>
      <w:r w:rsidR="00A95D12">
        <w:t xml:space="preserve">point, </w:t>
      </w:r>
      <w:r w:rsidR="007E5151">
        <w:t xml:space="preserve">Daniels and von der Ruhr </w:t>
      </w:r>
      <w:r w:rsidR="005D6991">
        <w:t>(</w:t>
      </w:r>
      <w:r w:rsidR="007E5151">
        <w:t>2010</w:t>
      </w:r>
      <w:r w:rsidR="005D6991">
        <w:t>)</w:t>
      </w:r>
      <w:r w:rsidR="007E5151">
        <w:t xml:space="preserve"> not</w:t>
      </w:r>
      <w:r w:rsidR="007B1126">
        <w:t>e</w:t>
      </w:r>
      <w:r w:rsidR="007E5151">
        <w:t xml:space="preserve"> that success in life is a good predictor of trust</w:t>
      </w:r>
      <w:r w:rsidR="008948D7">
        <w:t xml:space="preserve">. Similar proxies for </w:t>
      </w:r>
      <w:r w:rsidR="007E5151">
        <w:t xml:space="preserve">success in life – which in one sense is a reflection of positive payoffs from trusting others </w:t>
      </w:r>
      <w:r w:rsidR="00FF73D5">
        <w:t>– are</w:t>
      </w:r>
      <w:r w:rsidR="007E5151">
        <w:t xml:space="preserve"> indicated by income, marital and employment status. Moreover, in the case of income and employment status there is a clear association with opportunity costs – those </w:t>
      </w:r>
      <w:r w:rsidR="00814D91">
        <w:t>who have</w:t>
      </w:r>
      <w:r w:rsidR="00145BE2">
        <w:t xml:space="preserve"> more to lose risk more – while</w:t>
      </w:r>
      <w:r w:rsidR="00814D91">
        <w:t xml:space="preserve"> marital status measures a very significant investment in trust in others (and divorce or separation represent a possible betrayal in trust</w:t>
      </w:r>
      <w:r w:rsidR="00655742">
        <w:t xml:space="preserve">, </w:t>
      </w:r>
      <w:r w:rsidR="00814D91">
        <w:t>hence their inclusion).</w:t>
      </w:r>
    </w:p>
    <w:p w14:paraId="3D1B5545" w14:textId="77777777" w:rsidR="00D37906" w:rsidRDefault="00D37906" w:rsidP="007239B9">
      <w:pPr>
        <w:spacing w:after="0" w:line="480" w:lineRule="auto"/>
      </w:pPr>
    </w:p>
    <w:p w14:paraId="3D59B18A" w14:textId="7E917D09" w:rsidR="00814D91" w:rsidRDefault="00814D91" w:rsidP="00E152A1">
      <w:pPr>
        <w:spacing w:after="0" w:line="480" w:lineRule="auto"/>
      </w:pPr>
      <w:r>
        <w:t xml:space="preserve">Gender is often included as a variable in trust models and reflects the inequality in opportunity </w:t>
      </w:r>
      <w:r w:rsidR="00424712">
        <w:t>for females in terms of</w:t>
      </w:r>
      <w:r>
        <w:t xml:space="preserve"> interactions with others </w:t>
      </w:r>
      <w:r w:rsidR="001549A8">
        <w:t>(</w:t>
      </w:r>
      <w:r>
        <w:t>particularly in patriarchal societies), the vulnerability of females in many societies (</w:t>
      </w:r>
      <w:r w:rsidR="007B66E5">
        <w:t>e.g.,</w:t>
      </w:r>
      <w:r>
        <w:t xml:space="preserve"> in domestic violence situations) </w:t>
      </w:r>
      <w:r w:rsidRPr="00F54A77">
        <w:rPr>
          <w:highlight w:val="yellow"/>
        </w:rPr>
        <w:t>and the special position of trust that women with children find themselves in</w:t>
      </w:r>
      <w:r w:rsidR="004D3F1A">
        <w:t xml:space="preserve"> (Alesina and La Ferrara</w:t>
      </w:r>
      <w:r w:rsidR="001172CE">
        <w:t>,</w:t>
      </w:r>
      <w:r w:rsidR="003635F6">
        <w:t xml:space="preserve"> 2002)</w:t>
      </w:r>
      <w:r>
        <w:t>. Age is also a potentially important predictor of trust</w:t>
      </w:r>
      <w:r w:rsidR="00424712">
        <w:t xml:space="preserve"> for at least two reasons. </w:t>
      </w:r>
      <w:r w:rsidR="00424712" w:rsidRPr="00240A7F">
        <w:rPr>
          <w:highlight w:val="yellow"/>
        </w:rPr>
        <w:t xml:space="preserve">First, there is a large body of </w:t>
      </w:r>
      <w:r w:rsidR="00240A7F">
        <w:rPr>
          <w:highlight w:val="yellow"/>
        </w:rPr>
        <w:t>work, which</w:t>
      </w:r>
      <w:r w:rsidR="00424712" w:rsidRPr="00240A7F">
        <w:rPr>
          <w:highlight w:val="yellow"/>
        </w:rPr>
        <w:t xml:space="preserve"> suggests that civic participation has decreased in rece</w:t>
      </w:r>
      <w:r w:rsidR="00240A7F">
        <w:rPr>
          <w:highlight w:val="yellow"/>
        </w:rPr>
        <w:t xml:space="preserve">nt years to be replaced by </w:t>
      </w:r>
      <w:r w:rsidR="00424712" w:rsidRPr="00240A7F">
        <w:rPr>
          <w:highlight w:val="yellow"/>
        </w:rPr>
        <w:t xml:space="preserve">indirect forms of interaction </w:t>
      </w:r>
      <w:r w:rsidR="007A39B8" w:rsidRPr="00240A7F">
        <w:rPr>
          <w:highlight w:val="yellow"/>
        </w:rPr>
        <w:t xml:space="preserve">like social media, </w:t>
      </w:r>
      <w:r w:rsidR="007B1126" w:rsidRPr="00240A7F">
        <w:rPr>
          <w:highlight w:val="yellow"/>
        </w:rPr>
        <w:t xml:space="preserve">which may not be as conducive to </w:t>
      </w:r>
      <w:r w:rsidR="00240A7F">
        <w:rPr>
          <w:highlight w:val="yellow"/>
        </w:rPr>
        <w:t xml:space="preserve">trust </w:t>
      </w:r>
      <w:r w:rsidR="007B1126" w:rsidRPr="00240A7F">
        <w:rPr>
          <w:highlight w:val="yellow"/>
        </w:rPr>
        <w:t>building</w:t>
      </w:r>
      <w:r w:rsidR="007B1126">
        <w:t xml:space="preserve"> </w:t>
      </w:r>
      <w:r w:rsidR="00424712">
        <w:t>(</w:t>
      </w:r>
      <w:r w:rsidR="007A39B8">
        <w:t>e.</w:t>
      </w:r>
      <w:r w:rsidR="00B338E3">
        <w:t>g.,</w:t>
      </w:r>
      <w:r w:rsidR="004D3F1A">
        <w:t xml:space="preserve"> Fergusson</w:t>
      </w:r>
      <w:r w:rsidR="001172CE">
        <w:t>,</w:t>
      </w:r>
      <w:r w:rsidR="00424712">
        <w:t xml:space="preserve"> </w:t>
      </w:r>
      <w:r w:rsidR="004127B2">
        <w:t>2013).</w:t>
      </w:r>
      <w:r w:rsidR="00215D99">
        <w:t xml:space="preserve"> Second, religious atti</w:t>
      </w:r>
      <w:r w:rsidR="00144D1D">
        <w:t>tudes are not time invariant. F</w:t>
      </w:r>
      <w:r w:rsidR="00215D99">
        <w:t xml:space="preserve">or instance, </w:t>
      </w:r>
      <w:r w:rsidR="001A6554">
        <w:t xml:space="preserve">the Vatican II reforms ending in 1965 changed the practise of Catholicism in many ways </w:t>
      </w:r>
      <w:r w:rsidR="007B1126">
        <w:t>including</w:t>
      </w:r>
      <w:r w:rsidR="007E2163">
        <w:t xml:space="preserve"> the displacement of Latin as</w:t>
      </w:r>
      <w:r w:rsidR="001A6554">
        <w:t xml:space="preserve"> the vernacular, the heralding of inter-faith dialogue and ecumenism, a loosening of the vertical links of obligation and an intellectual l</w:t>
      </w:r>
      <w:r w:rsidR="004D3F1A">
        <w:t>iberalisation (Rodden</w:t>
      </w:r>
      <w:r w:rsidR="001172CE">
        <w:t>,</w:t>
      </w:r>
      <w:r w:rsidR="001A6554">
        <w:t xml:space="preserve"> 2013). Similar transformations have occurred in other religion</w:t>
      </w:r>
      <w:r w:rsidR="007B1126">
        <w:t>s (</w:t>
      </w:r>
      <w:r w:rsidR="007A39B8" w:rsidRPr="007A39B8">
        <w:rPr>
          <w:highlight w:val="yellow"/>
        </w:rPr>
        <w:t>e.g.,</w:t>
      </w:r>
      <w:r w:rsidR="007B1126">
        <w:t xml:space="preserve"> </w:t>
      </w:r>
      <w:r w:rsidR="00145BE2">
        <w:t>Reform</w:t>
      </w:r>
      <w:r w:rsidR="007B1126">
        <w:t xml:space="preserve"> Judaism) and these </w:t>
      </w:r>
      <w:r w:rsidR="00012380">
        <w:t xml:space="preserve">time specific </w:t>
      </w:r>
      <w:r w:rsidR="007B1126">
        <w:t xml:space="preserve">changes are </w:t>
      </w:r>
      <w:r w:rsidR="007B1126">
        <w:lastRenderedPageBreak/>
        <w:t xml:space="preserve">likely to have had </w:t>
      </w:r>
      <w:r w:rsidR="008948D7">
        <w:t>disproportional</w:t>
      </w:r>
      <w:r w:rsidR="007B1126">
        <w:t xml:space="preserve"> influence on </w:t>
      </w:r>
      <w:r w:rsidR="00012380">
        <w:t xml:space="preserve">particular age cohorts with respect to </w:t>
      </w:r>
      <w:r w:rsidR="007B1126">
        <w:t>the trust that adherents state they are willing to place in others.</w:t>
      </w:r>
    </w:p>
    <w:p w14:paraId="2011CE92" w14:textId="77777777" w:rsidR="00BD66EF" w:rsidRDefault="00BD66EF" w:rsidP="00E152A1">
      <w:pPr>
        <w:spacing w:after="0" w:line="480" w:lineRule="auto"/>
      </w:pPr>
    </w:p>
    <w:p w14:paraId="34FCD6D9" w14:textId="54536650" w:rsidR="00A936B1" w:rsidRDefault="007B1126" w:rsidP="00E152A1">
      <w:pPr>
        <w:spacing w:after="0" w:line="480" w:lineRule="auto"/>
      </w:pPr>
      <w:r>
        <w:t>We noted in the introduction that religio</w:t>
      </w:r>
      <w:r w:rsidR="008F7DEA">
        <w:t>n</w:t>
      </w:r>
      <w:r>
        <w:t xml:space="preserve"> is likely to be a determinant of trust given that</w:t>
      </w:r>
      <w:r w:rsidR="00802C02">
        <w:t xml:space="preserve"> it may</w:t>
      </w:r>
      <w:r w:rsidR="00085C40">
        <w:t xml:space="preserve">: (i) </w:t>
      </w:r>
      <w:r>
        <w:t xml:space="preserve">indicate a propensity to trust, </w:t>
      </w:r>
      <w:r w:rsidR="00085C40">
        <w:t xml:space="preserve">(ii) </w:t>
      </w:r>
      <w:r w:rsidR="00F900EC">
        <w:t xml:space="preserve">significantly </w:t>
      </w:r>
      <w:r w:rsidR="00B92906">
        <w:t>influence</w:t>
      </w:r>
      <w:r w:rsidR="00F900EC">
        <w:t xml:space="preserve"> the</w:t>
      </w:r>
      <w:r w:rsidR="00734B6B">
        <w:t xml:space="preserve"> frequency,</w:t>
      </w:r>
      <w:r w:rsidR="00F900EC">
        <w:t xml:space="preserve"> type a</w:t>
      </w:r>
      <w:r w:rsidR="001549A8">
        <w:t>nd quality of interactions of</w:t>
      </w:r>
      <w:r w:rsidR="00F900EC">
        <w:t xml:space="preserve"> adherents, </w:t>
      </w:r>
      <w:r w:rsidR="00085C40">
        <w:t xml:space="preserve">(iii) </w:t>
      </w:r>
      <w:r w:rsidR="00F900EC">
        <w:t xml:space="preserve">lead to intolerance, and </w:t>
      </w:r>
      <w:r w:rsidR="00085C40">
        <w:t xml:space="preserve">(iv) </w:t>
      </w:r>
      <w:r w:rsidR="00F900EC">
        <w:t xml:space="preserve">sometimes </w:t>
      </w:r>
      <w:r w:rsidR="00802C02">
        <w:t xml:space="preserve">be </w:t>
      </w:r>
      <w:r w:rsidR="00F900EC">
        <w:t xml:space="preserve">accompanied by persecution. Clearly not all religions are created equal when it comes to a consideration of how religious practise influences trust with </w:t>
      </w:r>
      <w:r w:rsidR="00085C40">
        <w:t>respect to our model. It is therefore</w:t>
      </w:r>
      <w:r w:rsidR="00F900EC">
        <w:t xml:space="preserve"> helpful to think of religion in terms of </w:t>
      </w:r>
      <w:r w:rsidR="00F900EC" w:rsidRPr="00F900EC">
        <w:t>Iannaccone</w:t>
      </w:r>
      <w:r w:rsidR="00F900EC">
        <w:t>’s (1994) seminal work on strict churches</w:t>
      </w:r>
      <w:r w:rsidR="00A82C01">
        <w:t xml:space="preserve"> (or religions in our case)</w:t>
      </w:r>
      <w:r w:rsidR="00F900EC">
        <w:t xml:space="preserve">. </w:t>
      </w:r>
      <w:r w:rsidR="00A82C01">
        <w:t>Strict religions are identifiable according to a single attribute</w:t>
      </w:r>
      <w:r w:rsidR="00474BF6">
        <w:t>:</w:t>
      </w:r>
      <w:r w:rsidR="00A82C01">
        <w:t xml:space="preserve"> ‘the degree to which a group limits and thereby increases the costs of non</w:t>
      </w:r>
      <w:r w:rsidR="0009381A">
        <w:t>-</w:t>
      </w:r>
      <w:r w:rsidR="00A82C01">
        <w:t>group ac</w:t>
      </w:r>
      <w:r w:rsidR="00934943">
        <w:t>tivities’ (Iannaccone</w:t>
      </w:r>
      <w:r w:rsidR="001172CE">
        <w:t>,</w:t>
      </w:r>
      <w:r w:rsidR="00934943">
        <w:t xml:space="preserve"> 1994</w:t>
      </w:r>
      <w:r w:rsidR="001172CE">
        <w:t>, p.</w:t>
      </w:r>
      <w:r w:rsidR="00934943">
        <w:t xml:space="preserve"> </w:t>
      </w:r>
      <w:r w:rsidR="00A82C01">
        <w:t xml:space="preserve">1182). </w:t>
      </w:r>
      <w:r w:rsidR="001B28B1" w:rsidRPr="001D4A04">
        <w:rPr>
          <w:highlight w:val="yellow"/>
        </w:rPr>
        <w:t>This constraint</w:t>
      </w:r>
      <w:r w:rsidR="009E730A" w:rsidRPr="001D4A04">
        <w:rPr>
          <w:highlight w:val="yellow"/>
        </w:rPr>
        <w:t xml:space="preserve"> is imposed through high bonding demands of membership such a</w:t>
      </w:r>
      <w:r w:rsidR="001D4A04" w:rsidRPr="001D4A04">
        <w:rPr>
          <w:highlight w:val="yellow"/>
        </w:rPr>
        <w:t>s distinctive dress,</w:t>
      </w:r>
      <w:r w:rsidR="009E730A" w:rsidRPr="001D4A04">
        <w:rPr>
          <w:highlight w:val="yellow"/>
        </w:rPr>
        <w:t xml:space="preserve"> prohibitio</w:t>
      </w:r>
      <w:r w:rsidR="00A23208" w:rsidRPr="001D4A04">
        <w:rPr>
          <w:highlight w:val="yellow"/>
        </w:rPr>
        <w:t>ns on</w:t>
      </w:r>
      <w:r w:rsidR="007B66E5" w:rsidRPr="001D4A04">
        <w:rPr>
          <w:highlight w:val="yellow"/>
        </w:rPr>
        <w:t xml:space="preserve"> certain foods</w:t>
      </w:r>
      <w:r w:rsidR="009E730A" w:rsidRPr="001D4A04">
        <w:rPr>
          <w:highlight w:val="yellow"/>
        </w:rPr>
        <w:t xml:space="preserve">, a distinctive morality, </w:t>
      </w:r>
      <w:r w:rsidR="00994072">
        <w:rPr>
          <w:highlight w:val="yellow"/>
        </w:rPr>
        <w:t>prohibition on</w:t>
      </w:r>
      <w:r w:rsidR="009E730A" w:rsidRPr="001D4A04">
        <w:rPr>
          <w:highlight w:val="yellow"/>
        </w:rPr>
        <w:t xml:space="preserve"> certain drugs</w:t>
      </w:r>
      <w:r w:rsidR="001D4A04" w:rsidRPr="001D4A04">
        <w:rPr>
          <w:highlight w:val="yellow"/>
        </w:rPr>
        <w:t>,</w:t>
      </w:r>
      <w:r w:rsidR="009E730A" w:rsidRPr="001D4A04">
        <w:rPr>
          <w:highlight w:val="yellow"/>
        </w:rPr>
        <w:t xml:space="preserve"> and significant time demands.</w:t>
      </w:r>
      <w:r w:rsidR="009E730A">
        <w:t xml:space="preserve"> Moreover, strict churches tend to ‘proclaim an exclusive truth – a </w:t>
      </w:r>
      <w:r w:rsidR="009E730A" w:rsidRPr="00047B2E">
        <w:t>closed</w:t>
      </w:r>
      <w:r w:rsidR="009E730A">
        <w:t xml:space="preserve">, comprehensive and eternal </w:t>
      </w:r>
      <w:r w:rsidR="00740975">
        <w:t>doctrine’ (Iannaccone</w:t>
      </w:r>
      <w:r w:rsidR="006A3BE5">
        <w:t>,</w:t>
      </w:r>
      <w:r w:rsidR="00047B2E">
        <w:t xml:space="preserve"> 1994,</w:t>
      </w:r>
      <w:r w:rsidR="004D3F1A">
        <w:t xml:space="preserve"> </w:t>
      </w:r>
      <w:r w:rsidR="00A04318">
        <w:t xml:space="preserve">p. </w:t>
      </w:r>
      <w:r w:rsidR="009E730A">
        <w:t>1182).</w:t>
      </w:r>
    </w:p>
    <w:p w14:paraId="3A0185A7" w14:textId="77777777" w:rsidR="00E152A1" w:rsidRDefault="00E152A1" w:rsidP="00E152A1">
      <w:pPr>
        <w:spacing w:after="0" w:line="480" w:lineRule="auto"/>
      </w:pPr>
    </w:p>
    <w:p w14:paraId="62CB02E5" w14:textId="7D811986" w:rsidR="0009381A" w:rsidRDefault="0009381A" w:rsidP="00E152A1">
      <w:pPr>
        <w:spacing w:after="0" w:line="480" w:lineRule="auto"/>
      </w:pPr>
      <w:r>
        <w:t>It has been posited that the strictness of a religio</w:t>
      </w:r>
      <w:r w:rsidR="00477BC5">
        <w:t>us faith</w:t>
      </w:r>
      <w:r>
        <w:t xml:space="preserve"> represents a rational design that discourages deleterious </w:t>
      </w:r>
      <w:r w:rsidR="00E20745">
        <w:t>free riding</w:t>
      </w:r>
      <w:r>
        <w:t xml:space="preserve"> (</w:t>
      </w:r>
      <w:r w:rsidR="00F12A13">
        <w:t xml:space="preserve">i.e., </w:t>
      </w:r>
      <w:r>
        <w:t>use of religious ‘resources’ without paying the full ‘price’) and thus results in a more committed adherent base and better and more efficient religious experie</w:t>
      </w:r>
      <w:r w:rsidR="001549A8">
        <w:t>nce</w:t>
      </w:r>
      <w:r w:rsidR="004D3F1A">
        <w:t xml:space="preserve"> (Stark and Finke</w:t>
      </w:r>
      <w:r w:rsidR="006A3BE5">
        <w:t>,</w:t>
      </w:r>
      <w:r w:rsidR="00085C40">
        <w:t xml:space="preserve"> 2000)</w:t>
      </w:r>
      <w:r w:rsidR="001549A8">
        <w:t>. It is also likely to predict</w:t>
      </w:r>
      <w:r>
        <w:t xml:space="preserve"> trust given that the sacrifice demanded by strict religions is li</w:t>
      </w:r>
      <w:r w:rsidR="003346FE">
        <w:t>able</w:t>
      </w:r>
      <w:r>
        <w:t xml:space="preserve"> to</w:t>
      </w:r>
      <w:r w:rsidR="009E1289">
        <w:t xml:space="preserve"> </w:t>
      </w:r>
      <w:r w:rsidR="00F7636C">
        <w:t>indicate</w:t>
      </w:r>
      <w:r>
        <w:t xml:space="preserve"> a</w:t>
      </w:r>
      <w:r w:rsidR="00853DF6">
        <w:t>n initial</w:t>
      </w:r>
      <w:r>
        <w:t xml:space="preserve"> higher propensity to trust (religious leaders) owing to the </w:t>
      </w:r>
      <w:r w:rsidR="00F7636C">
        <w:t>proportionally higher risk involved</w:t>
      </w:r>
      <w:r w:rsidR="001D13FF">
        <w:t>.</w:t>
      </w:r>
      <w:r w:rsidR="001B28B1">
        <w:rPr>
          <w:rStyle w:val="FootnoteReference"/>
        </w:rPr>
        <w:footnoteReference w:id="2"/>
      </w:r>
      <w:r w:rsidR="00F7636C">
        <w:t xml:space="preserve"> </w:t>
      </w:r>
      <w:r w:rsidR="009E1289">
        <w:t xml:space="preserve">However, religious persecution and prejudice </w:t>
      </w:r>
      <w:r w:rsidR="009E1289" w:rsidRPr="00E20745">
        <w:rPr>
          <w:highlight w:val="yellow"/>
        </w:rPr>
        <w:t>can</w:t>
      </w:r>
      <w:r w:rsidR="00E20745" w:rsidRPr="00E20745">
        <w:rPr>
          <w:highlight w:val="yellow"/>
        </w:rPr>
        <w:t xml:space="preserve"> reduce </w:t>
      </w:r>
      <w:r w:rsidR="009E1289" w:rsidRPr="00E20745">
        <w:rPr>
          <w:highlight w:val="yellow"/>
        </w:rPr>
        <w:t xml:space="preserve">trust </w:t>
      </w:r>
      <w:r w:rsidR="00E20745" w:rsidRPr="00E20745">
        <w:rPr>
          <w:highlight w:val="yellow"/>
        </w:rPr>
        <w:t>over time</w:t>
      </w:r>
      <w:r w:rsidR="00E20745">
        <w:t xml:space="preserve">, </w:t>
      </w:r>
      <w:r w:rsidR="00853DF6">
        <w:t xml:space="preserve">especially </w:t>
      </w:r>
      <w:r w:rsidR="009E1289">
        <w:t xml:space="preserve">in those who do not share the </w:t>
      </w:r>
      <w:r w:rsidR="00853DF6">
        <w:lastRenderedPageBreak/>
        <w:t xml:space="preserve">particular </w:t>
      </w:r>
      <w:r w:rsidR="009E1289">
        <w:t>strict religious conviction</w:t>
      </w:r>
      <w:r w:rsidR="003B4095">
        <w:t xml:space="preserve"> (</w:t>
      </w:r>
      <w:r w:rsidR="00E20745">
        <w:t xml:space="preserve">i.e., </w:t>
      </w:r>
      <w:r w:rsidR="003B4095">
        <w:t>the out-group)</w:t>
      </w:r>
      <w:r w:rsidR="009E1289">
        <w:t xml:space="preserve">. </w:t>
      </w:r>
      <w:r w:rsidR="00F7636C">
        <w:t xml:space="preserve">Moreover, the strict bonding activities and freedom from </w:t>
      </w:r>
      <w:r w:rsidR="00E20745">
        <w:t>free riders</w:t>
      </w:r>
      <w:r w:rsidR="00F7636C">
        <w:t xml:space="preserve"> are likely to result in elevated in-group levels of trust (but less time and resources for bridging activities d</w:t>
      </w:r>
      <w:r w:rsidR="0072436C">
        <w:t>ue to the higher cost of same).</w:t>
      </w:r>
    </w:p>
    <w:p w14:paraId="578D5979" w14:textId="77777777" w:rsidR="00E152A1" w:rsidRDefault="00E152A1" w:rsidP="00E152A1">
      <w:pPr>
        <w:spacing w:after="0" w:line="480" w:lineRule="auto"/>
      </w:pPr>
    </w:p>
    <w:p w14:paraId="780C244E" w14:textId="4E5A9D10" w:rsidR="007E5A43" w:rsidRDefault="00F7636C" w:rsidP="00E152A1">
      <w:pPr>
        <w:spacing w:after="0" w:line="480" w:lineRule="auto"/>
      </w:pPr>
      <w:r>
        <w:t>We investigate a number of strict religions in our empirical work</w:t>
      </w:r>
      <w:r w:rsidR="003346FE">
        <w:t>,</w:t>
      </w:r>
      <w:r>
        <w:t xml:space="preserve"> which follows</w:t>
      </w:r>
      <w:r w:rsidR="003346FE">
        <w:t>,</w:t>
      </w:r>
      <w:r w:rsidR="001D13FF">
        <w:t xml:space="preserve"> by employing the </w:t>
      </w:r>
      <w:r w:rsidR="00085C40">
        <w:t>Household</w:t>
      </w:r>
      <w:r w:rsidR="00E152A1">
        <w:t>,</w:t>
      </w:r>
      <w:r w:rsidR="00085C40">
        <w:t xml:space="preserve"> Income and Labour Dynamics in Australia (HILDA) </w:t>
      </w:r>
      <w:r w:rsidR="00E152A1">
        <w:t>S</w:t>
      </w:r>
      <w:r w:rsidR="001D13FF">
        <w:t>urvey</w:t>
      </w:r>
      <w:r>
        <w:t xml:space="preserve">. </w:t>
      </w:r>
      <w:r w:rsidR="003346FE">
        <w:t xml:space="preserve">For example, </w:t>
      </w:r>
      <w:r>
        <w:t>Islam and non-Council of Churches</w:t>
      </w:r>
      <w:r w:rsidR="00452B84">
        <w:t xml:space="preserve"> (CoC)</w:t>
      </w:r>
      <w:r>
        <w:t xml:space="preserve"> Christianity</w:t>
      </w:r>
      <w:r w:rsidR="00A114D7">
        <w:rPr>
          <w:rStyle w:val="FootnoteReference"/>
        </w:rPr>
        <w:footnoteReference w:id="3"/>
      </w:r>
      <w:r>
        <w:t xml:space="preserve"> represent </w:t>
      </w:r>
      <w:r w:rsidR="001A0629">
        <w:t>the extreme end of t</w:t>
      </w:r>
      <w:r w:rsidR="00C83A8F">
        <w:t xml:space="preserve">he </w:t>
      </w:r>
      <w:r w:rsidR="008948D7">
        <w:t xml:space="preserve">strictness </w:t>
      </w:r>
      <w:r w:rsidR="00C83A8F">
        <w:t>spectrum and account for 1.04</w:t>
      </w:r>
      <w:r w:rsidR="00FE4E7E">
        <w:t>%</w:t>
      </w:r>
      <w:r w:rsidR="00C83A8F">
        <w:t xml:space="preserve"> and 8.79</w:t>
      </w:r>
      <w:r w:rsidR="00FE4E7E">
        <w:t>%</w:t>
      </w:r>
      <w:r w:rsidR="001A0629">
        <w:t xml:space="preserve"> of our survey respondents</w:t>
      </w:r>
      <w:r w:rsidR="00FE4E7E">
        <w:t>,</w:t>
      </w:r>
      <w:r w:rsidR="001A0629">
        <w:t xml:space="preserve"> respectively (</w:t>
      </w:r>
      <w:r w:rsidR="00FE4E7E">
        <w:t xml:space="preserve">and is </w:t>
      </w:r>
      <w:r w:rsidR="001A0629">
        <w:t xml:space="preserve">reflective of Australia’s heterogeneous religious landscape). We would </w:t>
      </w:r>
      <w:r w:rsidR="001B28B1">
        <w:t xml:space="preserve">thus </w:t>
      </w:r>
      <w:r w:rsidR="001A0629">
        <w:t xml:space="preserve">expect adherents of these groups to have high levels of in-group trust, but </w:t>
      </w:r>
      <w:r w:rsidR="008948D7">
        <w:t xml:space="preserve">perhaps </w:t>
      </w:r>
      <w:r w:rsidR="001A0629">
        <w:t>low levels of out-group tru</w:t>
      </w:r>
      <w:r w:rsidR="00C83A8F">
        <w:t>st. Catholicism (representing 22.54</w:t>
      </w:r>
      <w:r w:rsidR="001A0629">
        <w:t>% of our respondent</w:t>
      </w:r>
      <w:r w:rsidR="00BA1685">
        <w:t>s</w:t>
      </w:r>
      <w:r w:rsidR="001A0629">
        <w:t xml:space="preserve">) is </w:t>
      </w:r>
      <w:r w:rsidR="001B28B1">
        <w:t>a mixed case</w:t>
      </w:r>
      <w:r w:rsidR="001B28B1">
        <w:rPr>
          <w:rStyle w:val="FootnoteReference"/>
        </w:rPr>
        <w:footnoteReference w:id="4"/>
      </w:r>
      <w:r w:rsidR="001A0629">
        <w:t xml:space="preserve"> – pre-Vatican II it was regarded as a strict religion, however, younger generations are likely to have experience</w:t>
      </w:r>
      <w:r w:rsidR="00FE4E7E">
        <w:t>d</w:t>
      </w:r>
      <w:r w:rsidR="001A0629">
        <w:t xml:space="preserve"> a far less strict religious practise (which is </w:t>
      </w:r>
      <w:r w:rsidR="001549A8">
        <w:t xml:space="preserve">another reason </w:t>
      </w:r>
      <w:r w:rsidR="00F273F9">
        <w:t xml:space="preserve">why it is </w:t>
      </w:r>
      <w:r w:rsidR="001A0629">
        <w:t>important to control for age cohorts in our a</w:t>
      </w:r>
      <w:r w:rsidR="00BE4CA4">
        <w:t>nalysis). By way of contrast</w:t>
      </w:r>
      <w:r w:rsidR="00793296">
        <w:t>,</w:t>
      </w:r>
      <w:r w:rsidR="00BE4CA4">
        <w:t xml:space="preserve"> the Anglican community (referred to as Episcopalian in America and 17.</w:t>
      </w:r>
      <w:r w:rsidR="00C83A8F">
        <w:t>50</w:t>
      </w:r>
      <w:r w:rsidR="00BE4CA4">
        <w:t>% of our respondent</w:t>
      </w:r>
      <w:r w:rsidR="00BA1685">
        <w:t>s</w:t>
      </w:r>
      <w:r w:rsidR="00BE4CA4">
        <w:t>) is re</w:t>
      </w:r>
      <w:r w:rsidR="00FE4E7E">
        <w:t>l</w:t>
      </w:r>
      <w:r w:rsidR="003B4095">
        <w:t>atively liberal in Australia as</w:t>
      </w:r>
      <w:r w:rsidR="00BE4CA4">
        <w:t xml:space="preserve"> are the remnant of the Council of Churches</w:t>
      </w:r>
      <w:r w:rsidR="00C81FC3">
        <w:t>.</w:t>
      </w:r>
      <w:r w:rsidR="00BE4CA4">
        <w:t xml:space="preserve"> Catholic and Anglican churches are members of the CoC, but we treat them separately in our analysis owing to the high proportion of adherents and divergent levels of strictness </w:t>
      </w:r>
      <w:r w:rsidR="001B28B1">
        <w:t>with respect to the broader</w:t>
      </w:r>
      <w:r w:rsidR="00BE4CA4">
        <w:t xml:space="preserve"> group. The outreach activities of these </w:t>
      </w:r>
      <w:r w:rsidR="003B4095">
        <w:t>latter groups</w:t>
      </w:r>
      <w:r w:rsidR="00BE4CA4">
        <w:t xml:space="preserve">, combined with relatively low demands for group membership </w:t>
      </w:r>
      <w:r w:rsidR="003B4095">
        <w:t>might</w:t>
      </w:r>
      <w:r w:rsidR="00BE4CA4">
        <w:t xml:space="preserve"> suggest relatively high out-group trust in these cohorts.</w:t>
      </w:r>
    </w:p>
    <w:p w14:paraId="5F250D48" w14:textId="6419331D" w:rsidR="00452B84" w:rsidRDefault="00452B84">
      <w:r>
        <w:br w:type="page"/>
      </w:r>
    </w:p>
    <w:p w14:paraId="4190EAEC" w14:textId="77777777" w:rsidR="007E5A43" w:rsidRDefault="007E5A43" w:rsidP="00E152A1">
      <w:pPr>
        <w:spacing w:after="0" w:line="480" w:lineRule="auto"/>
      </w:pPr>
    </w:p>
    <w:p w14:paraId="6D2EC188" w14:textId="1A8871BB" w:rsidR="007B1126" w:rsidRDefault="003346FE" w:rsidP="00E152A1">
      <w:pPr>
        <w:spacing w:after="0" w:line="480" w:lineRule="auto"/>
      </w:pPr>
      <w:r>
        <w:t xml:space="preserve">Notably, the religious and cultural tapestry of Australia is </w:t>
      </w:r>
      <w:r w:rsidR="007E5A43">
        <w:t>distinctly heterogeneous when compared to other countries and this paper therefore address</w:t>
      </w:r>
      <w:r w:rsidR="00A23208">
        <w:t>es</w:t>
      </w:r>
      <w:r w:rsidR="007E5A43">
        <w:t xml:space="preserve"> an important gap in the litera</w:t>
      </w:r>
      <w:r w:rsidR="00F273F9">
        <w:t>ture given that there is no existing</w:t>
      </w:r>
      <w:r w:rsidR="007E5A43">
        <w:t xml:space="preserve"> work on religion and trust in </w:t>
      </w:r>
      <w:r w:rsidR="0019503B">
        <w:t>Australia</w:t>
      </w:r>
      <w:r w:rsidR="007E5A43">
        <w:t xml:space="preserve">. </w:t>
      </w:r>
      <w:r w:rsidR="00BE4CA4">
        <w:t xml:space="preserve">With our model of trust and brief account of how religion interacts with the model in </w:t>
      </w:r>
      <w:r w:rsidR="009A1364">
        <w:t>hand,</w:t>
      </w:r>
      <w:r w:rsidR="00BE4CA4">
        <w:t xml:space="preserve"> we now detail the </w:t>
      </w:r>
      <w:r w:rsidR="00FE4E7E">
        <w:t xml:space="preserve">data source and </w:t>
      </w:r>
      <w:r w:rsidR="00BE4CA4">
        <w:t xml:space="preserve">empirical strategy employed to </w:t>
      </w:r>
      <w:r w:rsidR="00FE4E7E">
        <w:t>the</w:t>
      </w:r>
      <w:r w:rsidR="006E0DA6">
        <w:t xml:space="preserve"> </w:t>
      </w:r>
      <w:r w:rsidR="00FE4E7E">
        <w:t>sequent analysis.</w:t>
      </w:r>
    </w:p>
    <w:p w14:paraId="52DEDC1D" w14:textId="5EC9926D" w:rsidR="000F54D5" w:rsidRPr="009A1364" w:rsidRDefault="000F54D5"/>
    <w:p w14:paraId="35C36535" w14:textId="75AB9778" w:rsidR="00B20C8B" w:rsidRPr="00EB5AA8" w:rsidRDefault="00EB5AA8" w:rsidP="007239B9">
      <w:pPr>
        <w:spacing w:after="0" w:line="480" w:lineRule="auto"/>
        <w:rPr>
          <w:b/>
        </w:rPr>
      </w:pPr>
      <w:r w:rsidRPr="00EB5AA8">
        <w:rPr>
          <w:b/>
        </w:rPr>
        <w:t>DATA AND EMPIRICAL STRATEGY</w:t>
      </w:r>
    </w:p>
    <w:p w14:paraId="7BA97426" w14:textId="6220F0AE" w:rsidR="00E85DFF" w:rsidRDefault="00E85DFF" w:rsidP="00E152A1">
      <w:pPr>
        <w:spacing w:after="0" w:line="480" w:lineRule="auto"/>
      </w:pPr>
      <w:r w:rsidRPr="0033292C">
        <w:t xml:space="preserve">The data used in this study were </w:t>
      </w:r>
      <w:r>
        <w:t>sourced</w:t>
      </w:r>
      <w:r w:rsidRPr="0033292C">
        <w:t xml:space="preserve"> from the HILDA Survey, which is Australia’s first nationally representative household panel (Wooden and Watson</w:t>
      </w:r>
      <w:r w:rsidR="006A3BE5">
        <w:t>,</w:t>
      </w:r>
      <w:r w:rsidRPr="0033292C">
        <w:t xml:space="preserve"> 2007). HILDA commenced in 2001 (Wave 1) and was based on a large national probability sample of Australian households with a major emphasis on families, income, employment, and subjective well-being. Wave 1 consisted of 7,696 households and 13,696 individuals. Households were selected using a multi-stage sampling strategy and a 66 per cent response rate was obtained. Within each household, information was collected from each household member aged 15 and over, using face-to-face and self-assessed questionnaires. In Wave 1, 92 per cent of adults provided an interview and, in each subsequent wave, the previous wave on wave response rates were between 87 and 95 per cent.</w:t>
      </w:r>
    </w:p>
    <w:p w14:paraId="3165C8E9" w14:textId="77777777" w:rsidR="00E152A1" w:rsidRDefault="00E152A1" w:rsidP="00E152A1">
      <w:pPr>
        <w:spacing w:after="0" w:line="480" w:lineRule="auto"/>
      </w:pPr>
    </w:p>
    <w:p w14:paraId="76AEB3FD" w14:textId="6B196B9F" w:rsidR="00E85DFF" w:rsidRDefault="00E85DFF" w:rsidP="00E152A1">
      <w:pPr>
        <w:spacing w:after="0" w:line="480" w:lineRule="auto"/>
        <w:rPr>
          <w:highlight w:val="yellow"/>
        </w:rPr>
      </w:pPr>
      <w:r w:rsidRPr="008D3FF1">
        <w:t xml:space="preserve">In this study, we focus on participants </w:t>
      </w:r>
      <w:r>
        <w:t>1</w:t>
      </w:r>
      <w:r w:rsidRPr="008D3FF1">
        <w:t xml:space="preserve">6 and </w:t>
      </w:r>
      <w:r w:rsidR="002016E8">
        <w:t xml:space="preserve">over from the </w:t>
      </w:r>
      <w:r w:rsidRPr="008D3FF1">
        <w:t xml:space="preserve">2010 </w:t>
      </w:r>
      <w:r>
        <w:t xml:space="preserve">and 2014 </w:t>
      </w:r>
      <w:r w:rsidRPr="008D3FF1">
        <w:t xml:space="preserve">waves of the HILDA Survey, </w:t>
      </w:r>
      <w:r>
        <w:t xml:space="preserve">which has information on </w:t>
      </w:r>
      <w:r w:rsidR="002016E8">
        <w:t xml:space="preserve">trust and </w:t>
      </w:r>
      <w:r>
        <w:t xml:space="preserve">religious </w:t>
      </w:r>
      <w:r w:rsidRPr="008D3FF1">
        <w:t>affiliat</w:t>
      </w:r>
      <w:r>
        <w:t>ion</w:t>
      </w:r>
      <w:r w:rsidRPr="008D3FF1">
        <w:t>. The major advantage of using the HILDA Survey is that it is one of the largest surveys in Australi</w:t>
      </w:r>
      <w:r w:rsidR="002016E8">
        <w:t>a to collect data on religious affiliation</w:t>
      </w:r>
      <w:r w:rsidRPr="008D3FF1">
        <w:t xml:space="preserve"> </w:t>
      </w:r>
      <w:r>
        <w:t xml:space="preserve">and </w:t>
      </w:r>
      <w:r w:rsidR="002016E8">
        <w:t xml:space="preserve">trust </w:t>
      </w:r>
      <w:r w:rsidRPr="008D3FF1">
        <w:t>as well as detailed socio-demographic and economic inf</w:t>
      </w:r>
      <w:r>
        <w:t>ormation on its participants. O</w:t>
      </w:r>
      <w:r w:rsidRPr="008D3FF1">
        <w:t xml:space="preserve">ur </w:t>
      </w:r>
      <w:r>
        <w:t xml:space="preserve">subsequent </w:t>
      </w:r>
      <w:r w:rsidRPr="008D3FF1">
        <w:t xml:space="preserve">regression analysis is based on a final </w:t>
      </w:r>
      <w:r>
        <w:t xml:space="preserve">analytical </w:t>
      </w:r>
      <w:r w:rsidRPr="008D3FF1">
        <w:t xml:space="preserve">sample </w:t>
      </w:r>
      <w:r w:rsidR="002016E8" w:rsidRPr="002016E8">
        <w:t>24,984</w:t>
      </w:r>
      <w:r w:rsidR="002016E8">
        <w:t xml:space="preserve"> </w:t>
      </w:r>
      <w:r w:rsidRPr="008D3FF1">
        <w:t xml:space="preserve">of </w:t>
      </w:r>
      <w:r w:rsidR="002016E8">
        <w:t>respondents</w:t>
      </w:r>
      <w:r w:rsidRPr="008D3FF1">
        <w:rPr>
          <w:lang w:val="en-US"/>
        </w:rPr>
        <w:t>.</w:t>
      </w:r>
    </w:p>
    <w:p w14:paraId="2BA91911" w14:textId="77777777" w:rsidR="00E152A1" w:rsidRDefault="00E152A1" w:rsidP="00E152A1">
      <w:pPr>
        <w:spacing w:after="0" w:line="480" w:lineRule="auto"/>
      </w:pPr>
    </w:p>
    <w:p w14:paraId="1D0074FD" w14:textId="5F8C9938" w:rsidR="00025921" w:rsidRDefault="00E85DFF" w:rsidP="00E152A1">
      <w:pPr>
        <w:spacing w:after="0" w:line="480" w:lineRule="auto"/>
      </w:pPr>
      <w:r>
        <w:t>The dependent variable</w:t>
      </w:r>
      <w:r w:rsidR="002016E8">
        <w:t>s</w:t>
      </w:r>
      <w:r>
        <w:t xml:space="preserve"> in our regression </w:t>
      </w:r>
      <w:r w:rsidR="002016E8">
        <w:t>analysis were classified as measuring either: (i) general trust (‘</w:t>
      </w:r>
      <w:r w:rsidR="002016E8" w:rsidRPr="008166DB">
        <w:rPr>
          <w:lang w:val="en-AU"/>
        </w:rPr>
        <w:t>Generally speaking, most people can be trusted</w:t>
      </w:r>
      <w:r w:rsidR="00954E9E">
        <w:rPr>
          <w:lang w:val="en-AU"/>
        </w:rPr>
        <w:t>?</w:t>
      </w:r>
      <w:r w:rsidR="002016E8">
        <w:t>’) or (ii) localised trust (‘</w:t>
      </w:r>
      <w:r w:rsidR="002016E8" w:rsidRPr="008166DB">
        <w:rPr>
          <w:lang w:val="en-US"/>
        </w:rPr>
        <w:t>People in this neighbourhood can be trusted</w:t>
      </w:r>
      <w:r w:rsidR="00954E9E">
        <w:rPr>
          <w:lang w:val="en-US"/>
        </w:rPr>
        <w:t>?</w:t>
      </w:r>
      <w:r w:rsidR="002016E8">
        <w:rPr>
          <w:lang w:val="en-US"/>
        </w:rPr>
        <w:t>’). Respondents were asked the extent to which they agree</w:t>
      </w:r>
      <w:r w:rsidR="00025921">
        <w:rPr>
          <w:lang w:val="en-US"/>
        </w:rPr>
        <w:t>d</w:t>
      </w:r>
      <w:r w:rsidR="002016E8">
        <w:rPr>
          <w:lang w:val="en-US"/>
        </w:rPr>
        <w:t xml:space="preserve"> or disagree</w:t>
      </w:r>
      <w:r w:rsidR="00025921">
        <w:rPr>
          <w:lang w:val="en-US"/>
        </w:rPr>
        <w:t>d</w:t>
      </w:r>
      <w:r w:rsidR="002016E8">
        <w:rPr>
          <w:lang w:val="en-US"/>
        </w:rPr>
        <w:t xml:space="preserve"> with these statements </w:t>
      </w:r>
      <w:r w:rsidR="00025921">
        <w:rPr>
          <w:lang w:val="en-US"/>
        </w:rPr>
        <w:t xml:space="preserve">using </w:t>
      </w:r>
      <w:r w:rsidR="002016E8">
        <w:rPr>
          <w:lang w:val="en-US"/>
        </w:rPr>
        <w:t>a seven point Likert sca</w:t>
      </w:r>
      <w:r w:rsidR="00025921">
        <w:rPr>
          <w:lang w:val="en-US"/>
        </w:rPr>
        <w:t>le ranging</w:t>
      </w:r>
      <w:r w:rsidR="002016E8">
        <w:rPr>
          <w:lang w:val="en-US"/>
        </w:rPr>
        <w:t xml:space="preserve"> from 1 (strongly </w:t>
      </w:r>
      <w:r w:rsidR="00846809">
        <w:rPr>
          <w:lang w:val="en-US"/>
        </w:rPr>
        <w:t>dis</w:t>
      </w:r>
      <w:r w:rsidR="002016E8">
        <w:rPr>
          <w:lang w:val="en-US"/>
        </w:rPr>
        <w:t>agree) to 7 (strongly agree).</w:t>
      </w:r>
      <w:r w:rsidR="009F4EA0">
        <w:rPr>
          <w:lang w:val="en-US"/>
        </w:rPr>
        <w:t xml:space="preserve"> </w:t>
      </w:r>
      <w:r w:rsidR="00025921">
        <w:t xml:space="preserve">We also controlled for the respondent’s reported life </w:t>
      </w:r>
      <w:r w:rsidR="003B4095">
        <w:t xml:space="preserve">satisfaction, </w:t>
      </w:r>
      <w:r w:rsidR="007C0637">
        <w:t xml:space="preserve">generational </w:t>
      </w:r>
      <w:r w:rsidR="003B4095">
        <w:t>cohort, gender</w:t>
      </w:r>
      <w:r w:rsidR="00025921">
        <w:t xml:space="preserve">, </w:t>
      </w:r>
      <w:r w:rsidR="00674B24">
        <w:t xml:space="preserve">whether the respondent was married, divorced or unemployed, how many minutes per week the respondent spent traveling to and from work, the </w:t>
      </w:r>
      <w:r w:rsidR="00F32A04">
        <w:t>highest level of education</w:t>
      </w:r>
      <w:r w:rsidR="000734D2">
        <w:t xml:space="preserve"> </w:t>
      </w:r>
      <w:r w:rsidR="00674B24">
        <w:t>obtained by the respondent, whether the respondent</w:t>
      </w:r>
      <w:r w:rsidR="0035277E">
        <w:t xml:space="preserve"> </w:t>
      </w:r>
      <w:r w:rsidR="003B4095">
        <w:t>entered Australia</w:t>
      </w:r>
      <w:r w:rsidR="0035277E">
        <w:t xml:space="preserve"> as a </w:t>
      </w:r>
      <w:r w:rsidR="00674B24">
        <w:t>refugee</w:t>
      </w:r>
      <w:r w:rsidR="00FF73D5">
        <w:t xml:space="preserve"> or was born overseas</w:t>
      </w:r>
      <w:r w:rsidR="00674B24">
        <w:t>, the number of year</w:t>
      </w:r>
      <w:r w:rsidR="0035277E">
        <w:t>s</w:t>
      </w:r>
      <w:r w:rsidR="00674B24">
        <w:t xml:space="preserve"> the respondent has resided at their current address, the respondent’s index of relative socio-economic advantage/disadvantage, </w:t>
      </w:r>
      <w:r w:rsidR="0035277E">
        <w:t xml:space="preserve">the respondent’s </w:t>
      </w:r>
      <w:r w:rsidR="00674B24">
        <w:t>level of household disposable income, plus an indicator for year.</w:t>
      </w:r>
    </w:p>
    <w:p w14:paraId="5D782A71" w14:textId="77777777" w:rsidR="00E152A1" w:rsidRDefault="00E152A1" w:rsidP="00E152A1">
      <w:pPr>
        <w:spacing w:after="0" w:line="480" w:lineRule="auto"/>
      </w:pPr>
    </w:p>
    <w:p w14:paraId="6C105D8E" w14:textId="45762A6E" w:rsidR="00E85DFF" w:rsidRDefault="00E85DFF" w:rsidP="00E152A1">
      <w:pPr>
        <w:spacing w:after="0" w:line="480" w:lineRule="auto"/>
      </w:pPr>
      <w:r w:rsidRPr="009142F1">
        <w:t>Religious affiliation was cl</w:t>
      </w:r>
      <w:r>
        <w:t xml:space="preserve">assified into the following seven </w:t>
      </w:r>
      <w:r w:rsidRPr="009142F1">
        <w:t xml:space="preserve">categories: </w:t>
      </w:r>
      <w:r>
        <w:t xml:space="preserve">(i) no religion, (ii) Catholic, (iii) Anglican, (iv) Judaism, (v) Council of Churches (comprising of Greek Orthodox, Orthodox, Churches of Christ, Lutheran, Uniting Church, and Salvation Army), (vi) non-Council of Churches (comprising of </w:t>
      </w:r>
      <w:r w:rsidRPr="009142F1">
        <w:t>Jehovah’s Witnesses</w:t>
      </w:r>
      <w:r>
        <w:t xml:space="preserve">, Brethren, Seventh-day Adventist, Pentecostal, Mormons, Other Christian, </w:t>
      </w:r>
      <w:r w:rsidRPr="009142F1">
        <w:t>Presbyterian/Reformed</w:t>
      </w:r>
      <w:r>
        <w:t xml:space="preserve">, </w:t>
      </w:r>
      <w:r w:rsidRPr="009142F1">
        <w:t>Oriental Christian</w:t>
      </w:r>
      <w:r>
        <w:t xml:space="preserve">, </w:t>
      </w:r>
      <w:r w:rsidRPr="009142F1">
        <w:t>Other Protestant</w:t>
      </w:r>
      <w:r>
        <w:t xml:space="preserve">, and </w:t>
      </w:r>
      <w:r w:rsidRPr="009142F1">
        <w:t>Baptist</w:t>
      </w:r>
      <w:r>
        <w:t xml:space="preserve">), and (vi) non-Christian (comprising of </w:t>
      </w:r>
      <w:r w:rsidRPr="009142F1">
        <w:t>Buddhism</w:t>
      </w:r>
      <w:r>
        <w:t xml:space="preserve">, </w:t>
      </w:r>
      <w:r w:rsidRPr="009142F1">
        <w:t>Islam</w:t>
      </w:r>
      <w:r>
        <w:t xml:space="preserve">, and </w:t>
      </w:r>
      <w:r w:rsidRPr="009142F1">
        <w:t>Hinduism</w:t>
      </w:r>
      <w:r>
        <w:t xml:space="preserve">). </w:t>
      </w:r>
      <w:r w:rsidRPr="009142F1">
        <w:t>In the subsequent r</w:t>
      </w:r>
      <w:r>
        <w:t>egression analysis, ‘no religion</w:t>
      </w:r>
      <w:r w:rsidRPr="009142F1">
        <w:t xml:space="preserve">’ </w:t>
      </w:r>
      <w:r>
        <w:t>was</w:t>
      </w:r>
      <w:r w:rsidRPr="009142F1">
        <w:t xml:space="preserve"> selected as the excluded reference group.</w:t>
      </w:r>
      <w:r w:rsidR="00DB5914">
        <w:t xml:space="preserve"> The names, definitions, </w:t>
      </w:r>
      <w:r w:rsidR="0035277E">
        <w:t>means</w:t>
      </w:r>
      <w:r w:rsidR="00DB5914">
        <w:t>, and standard deviations</w:t>
      </w:r>
      <w:r w:rsidR="0035277E">
        <w:t xml:space="preserve"> of the variables used in o</w:t>
      </w:r>
      <w:r w:rsidR="008C3A9E">
        <w:t xml:space="preserve">ur study are reported in </w:t>
      </w:r>
      <w:r w:rsidR="008C3A9E" w:rsidRPr="008C3A9E">
        <w:rPr>
          <w:highlight w:val="yellow"/>
        </w:rPr>
        <w:t>Table 1</w:t>
      </w:r>
      <w:r w:rsidR="0035277E">
        <w:t>.</w:t>
      </w:r>
    </w:p>
    <w:p w14:paraId="718CA532" w14:textId="16CC80F0" w:rsidR="00F40D2B" w:rsidRDefault="00F40D2B">
      <w:r>
        <w:br w:type="page"/>
      </w:r>
    </w:p>
    <w:p w14:paraId="3E7B3D9F" w14:textId="77777777" w:rsidR="00E152A1" w:rsidRDefault="00E152A1" w:rsidP="00E152A1">
      <w:pPr>
        <w:spacing w:after="0" w:line="480" w:lineRule="auto"/>
      </w:pPr>
    </w:p>
    <w:p w14:paraId="5A15F04F" w14:textId="5111917B" w:rsidR="00E85DFF" w:rsidRDefault="0035277E" w:rsidP="00E152A1">
      <w:pPr>
        <w:spacing w:after="0" w:line="480" w:lineRule="auto"/>
      </w:pPr>
      <w:r>
        <w:t>S</w:t>
      </w:r>
      <w:r w:rsidR="003B4095">
        <w:t>eparate regression analyses</w:t>
      </w:r>
      <w:r w:rsidR="00E85DFF">
        <w:t xml:space="preserve"> examine</w:t>
      </w:r>
      <w:r w:rsidR="00E73642">
        <w:t>d</w:t>
      </w:r>
      <w:r w:rsidR="00E85DFF">
        <w:t xml:space="preserve"> the association between religious affili</w:t>
      </w:r>
      <w:r>
        <w:t xml:space="preserve">ation and trust </w:t>
      </w:r>
      <w:r w:rsidR="00E85DFF">
        <w:t>using the following model:</w:t>
      </w:r>
    </w:p>
    <w:p w14:paraId="16B0EA5B" w14:textId="77777777" w:rsidR="00E85DFF" w:rsidRDefault="00E85DFF" w:rsidP="007239B9">
      <w:pPr>
        <w:spacing w:after="0" w:line="480" w:lineRule="auto"/>
      </w:pPr>
    </w:p>
    <w:p w14:paraId="1C1B6EDE" w14:textId="562FAB1E" w:rsidR="00E85DFF" w:rsidRPr="00FA20FD" w:rsidRDefault="0035277E" w:rsidP="007239B9">
      <w:pPr>
        <w:spacing w:after="0" w:line="480" w:lineRule="auto"/>
      </w:pPr>
      <w:r>
        <w:rPr>
          <w:i/>
        </w:rPr>
        <w:t>T</w:t>
      </w:r>
      <w:r w:rsidR="00E85DFF" w:rsidRPr="00AC4568">
        <w:rPr>
          <w:i/>
        </w:rPr>
        <w:t xml:space="preserve"> = α</w:t>
      </w:r>
      <w:r w:rsidR="00E85DFF" w:rsidRPr="00AC4568">
        <w:rPr>
          <w:i/>
          <w:vertAlign w:val="subscript"/>
        </w:rPr>
        <w:t>0</w:t>
      </w:r>
      <w:r w:rsidR="00E85DFF" w:rsidRPr="00AC4568">
        <w:rPr>
          <w:i/>
        </w:rPr>
        <w:t xml:space="preserve"> + β</w:t>
      </w:r>
      <w:r w:rsidR="00E85DFF" w:rsidRPr="00AC4568">
        <w:rPr>
          <w:i/>
          <w:vertAlign w:val="subscript"/>
        </w:rPr>
        <w:t>1</w:t>
      </w:r>
      <w:r w:rsidR="00E85DFF" w:rsidRPr="00AC4568">
        <w:rPr>
          <w:i/>
        </w:rPr>
        <w:t>R + β</w:t>
      </w:r>
      <w:r w:rsidR="00E85DFF" w:rsidRPr="00AC4568">
        <w:rPr>
          <w:i/>
          <w:vertAlign w:val="subscript"/>
        </w:rPr>
        <w:t>2</w:t>
      </w:r>
      <w:r w:rsidR="00E85DFF" w:rsidRPr="00AC4568">
        <w:rPr>
          <w:i/>
        </w:rPr>
        <w:t>X + µ</w:t>
      </w:r>
      <w:r w:rsidR="00E85DFF" w:rsidRPr="00FA20FD">
        <w:t xml:space="preserve"> </w:t>
      </w:r>
      <w:r w:rsidR="00E85DFF" w:rsidRPr="00FA20FD">
        <w:tab/>
      </w:r>
      <w:r w:rsidR="00E85DFF" w:rsidRPr="00FA20FD">
        <w:tab/>
      </w:r>
      <w:r w:rsidR="00E85DFF" w:rsidRPr="00FA20FD">
        <w:tab/>
      </w:r>
      <w:r w:rsidR="00E85DFF" w:rsidRPr="00FA20FD">
        <w:tab/>
      </w:r>
      <w:r w:rsidR="00E85DFF" w:rsidRPr="00FA20FD">
        <w:tab/>
        <w:t>(1)</w:t>
      </w:r>
    </w:p>
    <w:p w14:paraId="7BA15AB2" w14:textId="77777777" w:rsidR="00E85DFF" w:rsidRDefault="00E85DFF" w:rsidP="007239B9">
      <w:pPr>
        <w:spacing w:after="0" w:line="480" w:lineRule="auto"/>
      </w:pPr>
    </w:p>
    <w:p w14:paraId="3382E1D5" w14:textId="6A9D0AC2" w:rsidR="00DE67C9" w:rsidRDefault="00E85DFF" w:rsidP="00E152A1">
      <w:pPr>
        <w:spacing w:after="0" w:line="480" w:lineRule="auto"/>
      </w:pPr>
      <w:r>
        <w:t xml:space="preserve">In Equation 1, </w:t>
      </w:r>
      <w:r w:rsidR="0035277E">
        <w:t>T</w:t>
      </w:r>
      <w:r>
        <w:t xml:space="preserve"> is the respondent’s </w:t>
      </w:r>
      <w:r w:rsidR="0035277E">
        <w:t xml:space="preserve">reported level </w:t>
      </w:r>
      <w:r w:rsidR="003B4095">
        <w:t xml:space="preserve">of </w:t>
      </w:r>
      <w:r w:rsidR="0035277E">
        <w:t>tr</w:t>
      </w:r>
      <w:r w:rsidR="00AA7C51">
        <w:t>ust (either general or local</w:t>
      </w:r>
      <w:r w:rsidR="0035277E">
        <w:t xml:space="preserve">), </w:t>
      </w:r>
      <w:r w:rsidRPr="0035277E">
        <w:t>R</w:t>
      </w:r>
      <w:r>
        <w:t xml:space="preserve"> is the respondent’s religious affiliation, </w:t>
      </w:r>
      <w:r w:rsidRPr="0035277E">
        <w:t>X</w:t>
      </w:r>
      <w:r>
        <w:t xml:space="preserve"> is a vector of control variables (i.e., </w:t>
      </w:r>
      <w:r w:rsidR="0035277E">
        <w:t>life satisfaction, cohort</w:t>
      </w:r>
      <w:r w:rsidR="003B4095">
        <w:t>, gender</w:t>
      </w:r>
      <w:r>
        <w:t xml:space="preserve">, </w:t>
      </w:r>
      <w:r w:rsidR="0035277E">
        <w:t>and so on</w:t>
      </w:r>
      <w:r>
        <w:t xml:space="preserve">), and </w:t>
      </w:r>
      <w:r w:rsidRPr="0035277E">
        <w:t>µ</w:t>
      </w:r>
      <w:r w:rsidRPr="00AC4568">
        <w:t xml:space="preserve"> </w:t>
      </w:r>
      <w:r>
        <w:t>is an independently identically distributed</w:t>
      </w:r>
      <w:r w:rsidRPr="00AC4568">
        <w:t xml:space="preserve"> error term</w:t>
      </w:r>
      <w:r>
        <w:t xml:space="preserve">. </w:t>
      </w:r>
      <w:r w:rsidRPr="00CE5965">
        <w:rPr>
          <w:highlight w:val="yellow"/>
        </w:rPr>
        <w:t xml:space="preserve">All results are estimated with </w:t>
      </w:r>
      <w:r w:rsidR="00DE67C9" w:rsidRPr="00CE5965">
        <w:rPr>
          <w:highlight w:val="yellow"/>
        </w:rPr>
        <w:t xml:space="preserve">ordered logistic regression (OLOGIT). </w:t>
      </w:r>
      <w:r w:rsidR="003658A8" w:rsidRPr="003658A8">
        <w:rPr>
          <w:highlight w:val="yellow"/>
        </w:rPr>
        <w:t>Since we observe the same individuals o</w:t>
      </w:r>
      <w:r w:rsidR="00E7439C">
        <w:rPr>
          <w:highlight w:val="yellow"/>
        </w:rPr>
        <w:t>ver</w:t>
      </w:r>
      <w:r w:rsidR="003658A8" w:rsidRPr="003658A8">
        <w:rPr>
          <w:highlight w:val="yellow"/>
        </w:rPr>
        <w:t xml:space="preserve"> </w:t>
      </w:r>
      <w:r w:rsidR="00E7439C">
        <w:rPr>
          <w:highlight w:val="yellow"/>
        </w:rPr>
        <w:t>two</w:t>
      </w:r>
      <w:r w:rsidR="003658A8" w:rsidRPr="003658A8">
        <w:rPr>
          <w:highlight w:val="yellow"/>
        </w:rPr>
        <w:t xml:space="preserve"> waves, our standard errors are clustered at the individual-level to account for within-person serial correlation. </w:t>
      </w:r>
      <w:r w:rsidR="00DE67C9" w:rsidRPr="003658A8">
        <w:rPr>
          <w:highlight w:val="yellow"/>
        </w:rPr>
        <w:t xml:space="preserve">By way </w:t>
      </w:r>
      <w:r w:rsidR="00DE67C9" w:rsidRPr="00CE5965">
        <w:rPr>
          <w:highlight w:val="yellow"/>
        </w:rPr>
        <w:t xml:space="preserve">of robustness check, we also conducted ordinary least squares regressions (OLS) and found that this made little difference to our </w:t>
      </w:r>
      <w:r w:rsidR="00DE67C9" w:rsidRPr="00873E74">
        <w:rPr>
          <w:highlight w:val="yellow"/>
        </w:rPr>
        <w:t xml:space="preserve">results. </w:t>
      </w:r>
      <w:r w:rsidR="00036449" w:rsidRPr="00873E74">
        <w:rPr>
          <w:highlight w:val="yellow"/>
        </w:rPr>
        <w:t>We also tested for and found no evidence of multi-collinearity among our</w:t>
      </w:r>
      <w:r w:rsidR="00873E74" w:rsidRPr="00873E74">
        <w:rPr>
          <w:highlight w:val="yellow"/>
        </w:rPr>
        <w:t xml:space="preserve"> explanatory variables. O</w:t>
      </w:r>
      <w:r w:rsidR="00036449" w:rsidRPr="00873E74">
        <w:rPr>
          <w:highlight w:val="yellow"/>
        </w:rPr>
        <w:t>ur variance inflations factors</w:t>
      </w:r>
      <w:r w:rsidR="00873E74" w:rsidRPr="00873E74">
        <w:rPr>
          <w:highlight w:val="yellow"/>
        </w:rPr>
        <w:t xml:space="preserve"> (VIFs)</w:t>
      </w:r>
      <w:r w:rsidR="00036449" w:rsidRPr="00873E74">
        <w:rPr>
          <w:highlight w:val="yellow"/>
        </w:rPr>
        <w:t xml:space="preserve"> </w:t>
      </w:r>
      <w:r w:rsidR="002968A1" w:rsidRPr="00873E74">
        <w:rPr>
          <w:highlight w:val="yellow"/>
        </w:rPr>
        <w:t>for each explanatory variable was</w:t>
      </w:r>
      <w:r w:rsidR="00873E74" w:rsidRPr="00873E74">
        <w:rPr>
          <w:highlight w:val="yellow"/>
        </w:rPr>
        <w:t xml:space="preserve"> well below 10 and the mean VIFs for our regression models </w:t>
      </w:r>
      <w:r w:rsidR="00873E74">
        <w:rPr>
          <w:highlight w:val="yellow"/>
        </w:rPr>
        <w:t>was</w:t>
      </w:r>
      <w:r w:rsidR="00873E74" w:rsidRPr="00873E74">
        <w:rPr>
          <w:highlight w:val="yellow"/>
        </w:rPr>
        <w:t xml:space="preserve"> 2.6.</w:t>
      </w:r>
    </w:p>
    <w:p w14:paraId="272F6722" w14:textId="77777777" w:rsidR="00DE67C9" w:rsidRDefault="00DE67C9" w:rsidP="007239B9">
      <w:pPr>
        <w:spacing w:after="0" w:line="480" w:lineRule="auto"/>
      </w:pPr>
    </w:p>
    <w:p w14:paraId="7B49B76B" w14:textId="2C158661" w:rsidR="00B20C8B" w:rsidRPr="00B20C8B" w:rsidRDefault="00EB5AA8" w:rsidP="007239B9">
      <w:pPr>
        <w:spacing w:after="0" w:line="480" w:lineRule="auto"/>
        <w:rPr>
          <w:b/>
        </w:rPr>
      </w:pPr>
      <w:r>
        <w:rPr>
          <w:b/>
        </w:rPr>
        <w:t>RESULTS</w:t>
      </w:r>
    </w:p>
    <w:p w14:paraId="560E76CF" w14:textId="6EE0C8D6" w:rsidR="003A4507" w:rsidRDefault="00CA03EB" w:rsidP="002D5741">
      <w:pPr>
        <w:spacing w:after="0" w:line="480" w:lineRule="auto"/>
      </w:pPr>
      <w:r>
        <w:t>One way of investigating trust is simply to graph the mean trust response for the various religious classifications for the two waves of surveys (2010 and 2014</w:t>
      </w:r>
      <w:r w:rsidR="00CC7FF7">
        <w:t>,</w:t>
      </w:r>
      <w:r>
        <w:t xml:space="preserve"> respectively). Figure 2 does just this </w:t>
      </w:r>
      <w:r w:rsidR="00A372FA">
        <w:t xml:space="preserve">(for general trust) </w:t>
      </w:r>
      <w:r>
        <w:t xml:space="preserve">and </w:t>
      </w:r>
      <w:r w:rsidR="003625E6">
        <w:t>we can immediately see a</w:t>
      </w:r>
      <w:r w:rsidR="00A372FA">
        <w:t xml:space="preserve"> </w:t>
      </w:r>
      <w:r w:rsidR="007F183D" w:rsidRPr="007F183D">
        <w:rPr>
          <w:i/>
        </w:rPr>
        <w:t xml:space="preserve">prima facie </w:t>
      </w:r>
      <w:r w:rsidR="00A372FA">
        <w:t>differenc</w:t>
      </w:r>
      <w:r w:rsidR="007F183D">
        <w:t xml:space="preserve">e in </w:t>
      </w:r>
      <w:r w:rsidR="003625E6">
        <w:t>responses</w:t>
      </w:r>
      <w:r w:rsidR="00A372FA">
        <w:t xml:space="preserve"> </w:t>
      </w:r>
      <w:r w:rsidR="007B74AB">
        <w:t xml:space="preserve">across both religious </w:t>
      </w:r>
      <w:r w:rsidR="007B74AB" w:rsidRPr="007B74AB">
        <w:rPr>
          <w:highlight w:val="yellow"/>
        </w:rPr>
        <w:t>affiliation</w:t>
      </w:r>
      <w:r w:rsidR="00E563A4">
        <w:t xml:space="preserve"> and time</w:t>
      </w:r>
      <w:r w:rsidR="00A372FA">
        <w:t>. For instance, Muslims appear to have lower levels of</w:t>
      </w:r>
      <w:r w:rsidR="003625E6">
        <w:t xml:space="preserve"> general</w:t>
      </w:r>
      <w:r w:rsidR="00A372FA">
        <w:t xml:space="preserve"> trust</w:t>
      </w:r>
      <w:r w:rsidR="004547B0">
        <w:t xml:space="preserve"> than their religious </w:t>
      </w:r>
      <w:r w:rsidR="008C3A9E" w:rsidRPr="008C3A9E">
        <w:rPr>
          <w:highlight w:val="yellow"/>
        </w:rPr>
        <w:t>peers do</w:t>
      </w:r>
      <w:r w:rsidR="004B692D">
        <w:t xml:space="preserve"> while</w:t>
      </w:r>
      <w:r w:rsidR="00A372FA">
        <w:t xml:space="preserve"> CoC adherents have relatively high</w:t>
      </w:r>
      <w:r w:rsidR="0001340E">
        <w:t xml:space="preserve">er </w:t>
      </w:r>
      <w:r w:rsidR="00A372FA">
        <w:t xml:space="preserve">levels of general trust. Moreover, </w:t>
      </w:r>
      <w:r w:rsidR="004547B0">
        <w:t xml:space="preserve">the graph suggests that </w:t>
      </w:r>
      <w:r w:rsidR="00A372FA">
        <w:t xml:space="preserve">general trust responses </w:t>
      </w:r>
      <w:r w:rsidR="003625E6">
        <w:t xml:space="preserve">in 2014 </w:t>
      </w:r>
      <w:r w:rsidR="0001340E">
        <w:t xml:space="preserve">may </w:t>
      </w:r>
      <w:r w:rsidR="00A372FA">
        <w:t>have det</w:t>
      </w:r>
      <w:r w:rsidR="00BF14A2">
        <w:t>eriorated for n</w:t>
      </w:r>
      <w:r w:rsidR="00A372FA">
        <w:t>on-Christians and to a l</w:t>
      </w:r>
      <w:r w:rsidR="0016130F">
        <w:t xml:space="preserve">esser extent for Catholics, No </w:t>
      </w:r>
      <w:r w:rsidR="0016130F">
        <w:lastRenderedPageBreak/>
        <w:t>R</w:t>
      </w:r>
      <w:r w:rsidR="00A372FA">
        <w:t xml:space="preserve">eligion and Muslims. </w:t>
      </w:r>
      <w:r w:rsidR="001831BF" w:rsidRPr="005448A6">
        <w:rPr>
          <w:highlight w:val="yellow"/>
        </w:rPr>
        <w:t>If this trend were to continue then it might pose problems for social cohesion</w:t>
      </w:r>
      <w:r w:rsidR="00F7614C" w:rsidRPr="005448A6">
        <w:rPr>
          <w:highlight w:val="yellow"/>
        </w:rPr>
        <w:t>, community resilience,</w:t>
      </w:r>
      <w:r w:rsidR="001831BF" w:rsidRPr="005448A6">
        <w:rPr>
          <w:highlight w:val="yellow"/>
        </w:rPr>
        <w:t xml:space="preserve"> and </w:t>
      </w:r>
      <w:r w:rsidR="009E0248" w:rsidRPr="005448A6">
        <w:rPr>
          <w:highlight w:val="yellow"/>
        </w:rPr>
        <w:t>economic performance</w:t>
      </w:r>
      <w:r w:rsidR="005448A6" w:rsidRPr="005448A6">
        <w:rPr>
          <w:highlight w:val="yellow"/>
        </w:rPr>
        <w:t>.</w:t>
      </w:r>
      <w:r w:rsidR="001831BF" w:rsidRPr="005448A6">
        <w:rPr>
          <w:highlight w:val="yellow"/>
        </w:rPr>
        <w:t xml:space="preserve"> </w:t>
      </w:r>
      <w:r w:rsidR="005448A6" w:rsidRPr="005448A6">
        <w:rPr>
          <w:highlight w:val="yellow"/>
        </w:rPr>
        <w:t xml:space="preserve">This </w:t>
      </w:r>
      <w:r w:rsidR="001831BF" w:rsidRPr="005448A6">
        <w:rPr>
          <w:highlight w:val="yellow"/>
        </w:rPr>
        <w:t>is especially concerning given the challenges facing Australia at the present</w:t>
      </w:r>
      <w:r w:rsidR="005448A6" w:rsidRPr="005448A6">
        <w:rPr>
          <w:highlight w:val="yellow"/>
        </w:rPr>
        <w:t>, which include internal and external security threats, a sluggish economy</w:t>
      </w:r>
      <w:r w:rsidR="00410B26">
        <w:rPr>
          <w:highlight w:val="yellow"/>
        </w:rPr>
        <w:t>,</w:t>
      </w:r>
      <w:r w:rsidR="005448A6" w:rsidRPr="005448A6">
        <w:rPr>
          <w:highlight w:val="yellow"/>
        </w:rPr>
        <w:t xml:space="preserve"> and the rise of right wing political activism</w:t>
      </w:r>
      <w:r w:rsidR="00365908" w:rsidRPr="005448A6">
        <w:rPr>
          <w:highlight w:val="yellow"/>
        </w:rPr>
        <w:t xml:space="preserve"> (</w:t>
      </w:r>
      <w:r w:rsidR="004D3F1A" w:rsidRPr="005448A6">
        <w:rPr>
          <w:highlight w:val="yellow"/>
        </w:rPr>
        <w:t>Ward</w:t>
      </w:r>
      <w:r w:rsidR="00365908" w:rsidRPr="005448A6">
        <w:rPr>
          <w:highlight w:val="yellow"/>
        </w:rPr>
        <w:t>,</w:t>
      </w:r>
      <w:r w:rsidR="00734E90" w:rsidRPr="005448A6">
        <w:rPr>
          <w:highlight w:val="yellow"/>
        </w:rPr>
        <w:t xml:space="preserve"> 2015</w:t>
      </w:r>
      <w:r w:rsidR="004547B0" w:rsidRPr="005448A6">
        <w:rPr>
          <w:highlight w:val="yellow"/>
        </w:rPr>
        <w:t>)</w:t>
      </w:r>
      <w:r w:rsidR="001831BF" w:rsidRPr="005448A6">
        <w:rPr>
          <w:highlight w:val="yellow"/>
        </w:rPr>
        <w:t>.</w:t>
      </w:r>
    </w:p>
    <w:p w14:paraId="3062A5D1" w14:textId="77777777" w:rsidR="0072436C" w:rsidRDefault="0072436C" w:rsidP="007239B9">
      <w:pPr>
        <w:spacing w:after="0" w:line="480" w:lineRule="auto"/>
      </w:pPr>
    </w:p>
    <w:p w14:paraId="6C0AF1F0" w14:textId="39113E1E" w:rsidR="008948D7" w:rsidRDefault="00345ED3" w:rsidP="002D5741">
      <w:pPr>
        <w:spacing w:after="0" w:line="480" w:lineRule="auto"/>
      </w:pPr>
      <w:r>
        <w:t>When it comes to local trust</w:t>
      </w:r>
      <w:r w:rsidR="00F134A5">
        <w:t xml:space="preserve"> (Figure 3)</w:t>
      </w:r>
      <w:r>
        <w:t xml:space="preserve"> the </w:t>
      </w:r>
      <w:r w:rsidR="00544349">
        <w:t xml:space="preserve">apparent </w:t>
      </w:r>
      <w:r>
        <w:t>trend</w:t>
      </w:r>
      <w:r w:rsidR="00544349">
        <w:t xml:space="preserve"> </w:t>
      </w:r>
      <w:r>
        <w:t xml:space="preserve">is largely reversed (a notable exception are </w:t>
      </w:r>
      <w:r w:rsidR="00793296">
        <w:t>Jews, which</w:t>
      </w:r>
      <w:r>
        <w:t xml:space="preserve"> had a reduction in local trust</w:t>
      </w:r>
      <w:r w:rsidR="006A16A9">
        <w:t>).</w:t>
      </w:r>
      <w:r w:rsidR="003625E6">
        <w:rPr>
          <w:rStyle w:val="FootnoteReference"/>
        </w:rPr>
        <w:footnoteReference w:id="5"/>
      </w:r>
      <w:r>
        <w:t xml:space="preserve"> </w:t>
      </w:r>
      <w:r w:rsidR="004728EC" w:rsidRPr="00650DA4">
        <w:rPr>
          <w:highlight w:val="yellow"/>
        </w:rPr>
        <w:t xml:space="preserve">Given that Australia is noted for having concentrations of particular ethnic and religious groups in certain </w:t>
      </w:r>
      <w:r w:rsidR="00650DA4" w:rsidRPr="00650DA4">
        <w:rPr>
          <w:highlight w:val="yellow"/>
        </w:rPr>
        <w:t>suburbs,</w:t>
      </w:r>
      <w:r w:rsidR="004728EC" w:rsidRPr="00650DA4">
        <w:rPr>
          <w:highlight w:val="yellow"/>
        </w:rPr>
        <w:t xml:space="preserve"> it is probably not </w:t>
      </w:r>
      <w:r w:rsidR="00D65869" w:rsidRPr="00650DA4">
        <w:rPr>
          <w:highlight w:val="yellow"/>
        </w:rPr>
        <w:t>s</w:t>
      </w:r>
      <w:r w:rsidR="00D65869">
        <w:rPr>
          <w:highlight w:val="yellow"/>
        </w:rPr>
        <w:t>u</w:t>
      </w:r>
      <w:r w:rsidR="00D65869" w:rsidRPr="00650DA4">
        <w:rPr>
          <w:highlight w:val="yellow"/>
        </w:rPr>
        <w:t>rprising</w:t>
      </w:r>
      <w:r w:rsidR="004728EC" w:rsidRPr="00650DA4">
        <w:rPr>
          <w:highlight w:val="yellow"/>
        </w:rPr>
        <w:t xml:space="preserve"> to find that </w:t>
      </w:r>
      <w:r w:rsidR="005A085C" w:rsidRPr="00650DA4">
        <w:rPr>
          <w:highlight w:val="yellow"/>
        </w:rPr>
        <w:t>local trust might increase</w:t>
      </w:r>
      <w:r w:rsidR="00650DA4" w:rsidRPr="00650DA4">
        <w:rPr>
          <w:highlight w:val="yellow"/>
        </w:rPr>
        <w:t xml:space="preserve">, particularly in response to heightened levels of immigration. For example, for the </w:t>
      </w:r>
      <w:r w:rsidR="00897400" w:rsidRPr="00650DA4">
        <w:rPr>
          <w:highlight w:val="yellow"/>
        </w:rPr>
        <w:t xml:space="preserve">six years to 30 June </w:t>
      </w:r>
      <w:r w:rsidR="00650DA4" w:rsidRPr="00650DA4">
        <w:rPr>
          <w:highlight w:val="yellow"/>
        </w:rPr>
        <w:t>2014,</w:t>
      </w:r>
      <w:r w:rsidR="00897400" w:rsidRPr="00650DA4">
        <w:rPr>
          <w:highlight w:val="yellow"/>
        </w:rPr>
        <w:t xml:space="preserve"> nett migration was 1.596 million in a nation of 23.5 million</w:t>
      </w:r>
      <w:r w:rsidR="00D3318F" w:rsidRPr="00650DA4">
        <w:rPr>
          <w:highlight w:val="yellow"/>
        </w:rPr>
        <w:t xml:space="preserve"> residents and the Australian Bureau of Statistics</w:t>
      </w:r>
      <w:r w:rsidR="00897400" w:rsidRPr="00650DA4">
        <w:rPr>
          <w:highlight w:val="yellow"/>
        </w:rPr>
        <w:t xml:space="preserve"> attributes most of the increase to the proportion of non-Christian affiliates to immigr</w:t>
      </w:r>
      <w:r w:rsidR="00650DA4" w:rsidRPr="00650DA4">
        <w:rPr>
          <w:highlight w:val="yellow"/>
        </w:rPr>
        <w:t>ation</w:t>
      </w:r>
      <w:r w:rsidR="005A085C">
        <w:t xml:space="preserve">. This is because new immigrants </w:t>
      </w:r>
      <w:r w:rsidR="004D3F1A">
        <w:t xml:space="preserve">often </w:t>
      </w:r>
      <w:r w:rsidR="005A085C">
        <w:t>increase the homogeneity of already concentrated suburbs</w:t>
      </w:r>
      <w:r w:rsidR="004D3F1A">
        <w:t xml:space="preserve"> (Osdowski</w:t>
      </w:r>
      <w:r w:rsidR="006A3BE5">
        <w:t>,</w:t>
      </w:r>
      <w:r w:rsidR="00F134A5">
        <w:t xml:space="preserve"> 2016)</w:t>
      </w:r>
      <w:r w:rsidR="005A085C">
        <w:t xml:space="preserve">. </w:t>
      </w:r>
      <w:r w:rsidR="00DA7D5B">
        <w:t>Thus, a</w:t>
      </w:r>
      <w:r w:rsidR="006469CE">
        <w:t>n</w:t>
      </w:r>
      <w:r w:rsidR="00DA7D5B">
        <w:t xml:space="preserve"> </w:t>
      </w:r>
      <w:r w:rsidR="00897400">
        <w:t xml:space="preserve">immigrant </w:t>
      </w:r>
      <w:r w:rsidR="00DA7D5B">
        <w:t>entering a suburb with a</w:t>
      </w:r>
      <w:r w:rsidR="004547B0">
        <w:t>n increased</w:t>
      </w:r>
      <w:r w:rsidR="00DA7D5B">
        <w:t xml:space="preserve"> concentration of </w:t>
      </w:r>
      <w:r w:rsidR="00897400">
        <w:t xml:space="preserve">the immigrant’s religious </w:t>
      </w:r>
      <w:r w:rsidR="006469CE">
        <w:t>brethren</w:t>
      </w:r>
      <w:r w:rsidR="00897400">
        <w:t xml:space="preserve"> </w:t>
      </w:r>
      <w:r w:rsidR="00DA7D5B">
        <w:t xml:space="preserve">may tend to trust locals </w:t>
      </w:r>
      <w:r w:rsidR="00650DA4">
        <w:t>largely</w:t>
      </w:r>
      <w:r w:rsidR="00DA7D5B">
        <w:t xml:space="preserve"> because </w:t>
      </w:r>
      <w:r w:rsidR="00793296">
        <w:t>others principally constitute locals</w:t>
      </w:r>
      <w:r w:rsidR="009646C0">
        <w:t xml:space="preserve"> with the same faith and often</w:t>
      </w:r>
      <w:r w:rsidR="00DA7D5B">
        <w:t xml:space="preserve"> language</w:t>
      </w:r>
      <w:r w:rsidR="002409BF">
        <w:t>.</w:t>
      </w:r>
      <w:r w:rsidR="006469CE">
        <w:rPr>
          <w:rStyle w:val="FootnoteReference"/>
        </w:rPr>
        <w:footnoteReference w:id="6"/>
      </w:r>
      <w:r w:rsidR="00DA7D5B">
        <w:t xml:space="preserve"> </w:t>
      </w:r>
      <w:r w:rsidR="004716BE" w:rsidRPr="00650DA4">
        <w:rPr>
          <w:highlight w:val="yellow"/>
        </w:rPr>
        <w:t>L</w:t>
      </w:r>
      <w:r w:rsidR="006B6E67">
        <w:rPr>
          <w:highlight w:val="yellow"/>
        </w:rPr>
        <w:t>ocal</w:t>
      </w:r>
      <w:r w:rsidR="00DA7D5B" w:rsidRPr="00650DA4">
        <w:rPr>
          <w:highlight w:val="yellow"/>
        </w:rPr>
        <w:t xml:space="preserve"> trust may be further enhanced if</w:t>
      </w:r>
      <w:r w:rsidR="00992E34">
        <w:rPr>
          <w:highlight w:val="yellow"/>
        </w:rPr>
        <w:t xml:space="preserve"> an</w:t>
      </w:r>
      <w:r w:rsidR="00DA7D5B" w:rsidRPr="00650DA4">
        <w:rPr>
          <w:highlight w:val="yellow"/>
        </w:rPr>
        <w:t xml:space="preserve"> </w:t>
      </w:r>
      <w:r w:rsidR="004547B0" w:rsidRPr="00650DA4">
        <w:rPr>
          <w:highlight w:val="yellow"/>
        </w:rPr>
        <w:t>increased concentration of people from</w:t>
      </w:r>
      <w:r w:rsidR="00DA7D5B" w:rsidRPr="00650DA4">
        <w:rPr>
          <w:highlight w:val="yellow"/>
        </w:rPr>
        <w:t xml:space="preserve"> a particular faith or culture </w:t>
      </w:r>
      <w:r w:rsidR="004547B0" w:rsidRPr="00650DA4">
        <w:rPr>
          <w:highlight w:val="yellow"/>
        </w:rPr>
        <w:t xml:space="preserve">also </w:t>
      </w:r>
      <w:r w:rsidR="00DA7D5B" w:rsidRPr="00650DA4">
        <w:rPr>
          <w:highlight w:val="yellow"/>
        </w:rPr>
        <w:t>perceive that they have been somehow unfairly treated or otherwise singled out</w:t>
      </w:r>
      <w:r w:rsidR="00650DA4" w:rsidRPr="00650DA4">
        <w:rPr>
          <w:highlight w:val="yellow"/>
        </w:rPr>
        <w:t>. I</w:t>
      </w:r>
      <w:r w:rsidR="00DA7D5B" w:rsidRPr="00650DA4">
        <w:rPr>
          <w:highlight w:val="yellow"/>
        </w:rPr>
        <w:t>n Australia there has been much political activism in response to Islamic inspired terrorism</w:t>
      </w:r>
      <w:r w:rsidR="00F134A5" w:rsidRPr="00650DA4">
        <w:rPr>
          <w:highlight w:val="yellow"/>
        </w:rPr>
        <w:t xml:space="preserve"> along with</w:t>
      </w:r>
      <w:r w:rsidR="007F183D" w:rsidRPr="00650DA4">
        <w:rPr>
          <w:highlight w:val="yellow"/>
        </w:rPr>
        <w:t xml:space="preserve"> calls to ban the burqa because they will tend to increase in-group activities (where they feel accepted) at the expense of bridging out-group pursuits.</w:t>
      </w:r>
    </w:p>
    <w:p w14:paraId="33AEE413" w14:textId="77777777" w:rsidR="008948D7" w:rsidRDefault="008948D7" w:rsidP="007239B9">
      <w:pPr>
        <w:spacing w:after="0" w:line="480" w:lineRule="auto"/>
      </w:pPr>
    </w:p>
    <w:p w14:paraId="493FCFE3" w14:textId="70579104" w:rsidR="00F134A5" w:rsidRDefault="008948D7" w:rsidP="002D5741">
      <w:pPr>
        <w:spacing w:after="0" w:line="480" w:lineRule="auto"/>
      </w:pPr>
      <w:r>
        <w:t>With respect to both Figure 2 and Figure 3</w:t>
      </w:r>
      <w:r w:rsidR="004547B0">
        <w:t>,</w:t>
      </w:r>
      <w:r>
        <w:t xml:space="preserve"> we are</w:t>
      </w:r>
      <w:r w:rsidR="007F183D">
        <w:t xml:space="preserve"> struck by </w:t>
      </w:r>
      <w:r w:rsidR="007F183D" w:rsidRPr="007F183D">
        <w:rPr>
          <w:i/>
        </w:rPr>
        <w:t>prima facie</w:t>
      </w:r>
      <w:r w:rsidR="007F183D">
        <w:t xml:space="preserve"> pronounced differences</w:t>
      </w:r>
      <w:r w:rsidR="00FC795C">
        <w:t xml:space="preserve"> between the mean responses</w:t>
      </w:r>
      <w:r w:rsidR="004547B0">
        <w:t xml:space="preserve"> of the various religious cohorts for local trust</w:t>
      </w:r>
      <w:r w:rsidR="007F183D">
        <w:t xml:space="preserve">. However, </w:t>
      </w:r>
      <w:r w:rsidR="00FC795C">
        <w:t xml:space="preserve">these </w:t>
      </w:r>
      <w:r w:rsidR="00FC795C" w:rsidRPr="00FC795C">
        <w:rPr>
          <w:i/>
        </w:rPr>
        <w:t>prima facie</w:t>
      </w:r>
      <w:r w:rsidR="00FC795C">
        <w:t xml:space="preserve"> differences should not be considered in isolation given that</w:t>
      </w:r>
      <w:r w:rsidR="007F183D">
        <w:t xml:space="preserve"> our </w:t>
      </w:r>
      <w:r w:rsidR="00F134A5">
        <w:t xml:space="preserve">trust </w:t>
      </w:r>
      <w:r w:rsidR="007F183D">
        <w:t xml:space="preserve">model </w:t>
      </w:r>
      <w:r w:rsidR="00897400">
        <w:t xml:space="preserve">also </w:t>
      </w:r>
      <w:r w:rsidR="007F183D">
        <w:t xml:space="preserve">predicts </w:t>
      </w:r>
      <w:r w:rsidR="00F134A5">
        <w:t xml:space="preserve">the saliency of factors </w:t>
      </w:r>
      <w:r w:rsidR="00415E73">
        <w:t>such as education, age, income</w:t>
      </w:r>
      <w:r w:rsidR="00FC795C">
        <w:t>, marital status and immigration</w:t>
      </w:r>
      <w:r w:rsidR="00415E73">
        <w:t xml:space="preserve">. We therefore conducted a multiple regression analysis </w:t>
      </w:r>
      <w:r w:rsidR="00BF14A2">
        <w:t>to control for these factors</w:t>
      </w:r>
      <w:r w:rsidR="00CE02CC">
        <w:t>.</w:t>
      </w:r>
    </w:p>
    <w:p w14:paraId="335DDEC9" w14:textId="77777777" w:rsidR="005E26F5" w:rsidRDefault="005E26F5" w:rsidP="002D5741">
      <w:pPr>
        <w:spacing w:after="0" w:line="480" w:lineRule="auto"/>
      </w:pPr>
    </w:p>
    <w:p w14:paraId="1EF8188D" w14:textId="77777777" w:rsidR="00B82B9E" w:rsidRDefault="0043031F" w:rsidP="002D5741">
      <w:pPr>
        <w:spacing w:after="0" w:line="480" w:lineRule="auto"/>
      </w:pPr>
      <w:r w:rsidRPr="0084061A">
        <w:rPr>
          <w:highlight w:val="yellow"/>
        </w:rPr>
        <w:t xml:space="preserve">Looking </w:t>
      </w:r>
      <w:r w:rsidR="00415E73" w:rsidRPr="0084061A">
        <w:rPr>
          <w:highlight w:val="yellow"/>
        </w:rPr>
        <w:t>at</w:t>
      </w:r>
      <w:r w:rsidR="0084061A" w:rsidRPr="0084061A">
        <w:rPr>
          <w:highlight w:val="yellow"/>
        </w:rPr>
        <w:t xml:space="preserve"> our general trust</w:t>
      </w:r>
      <w:r w:rsidR="00A23208" w:rsidRPr="0084061A">
        <w:rPr>
          <w:highlight w:val="yellow"/>
        </w:rPr>
        <w:t xml:space="preserve"> regression</w:t>
      </w:r>
      <w:r w:rsidR="0084061A" w:rsidRPr="0084061A">
        <w:rPr>
          <w:highlight w:val="yellow"/>
        </w:rPr>
        <w:t xml:space="preserve"> in Table 2</w:t>
      </w:r>
      <w:r w:rsidR="00793296" w:rsidRPr="0084061A">
        <w:rPr>
          <w:highlight w:val="yellow"/>
        </w:rPr>
        <w:t>,</w:t>
      </w:r>
      <w:r w:rsidR="00415E73" w:rsidRPr="0084061A">
        <w:rPr>
          <w:highlight w:val="yellow"/>
        </w:rPr>
        <w:t xml:space="preserve"> we find that most of the variables predicted by our model have the </w:t>
      </w:r>
      <w:r w:rsidR="00674DB4" w:rsidRPr="0084061A">
        <w:rPr>
          <w:highlight w:val="yellow"/>
        </w:rPr>
        <w:t xml:space="preserve">expected </w:t>
      </w:r>
      <w:r w:rsidR="00415E73" w:rsidRPr="0084061A">
        <w:rPr>
          <w:highlight w:val="yellow"/>
        </w:rPr>
        <w:t xml:space="preserve">sign. </w:t>
      </w:r>
      <w:r w:rsidR="00365B87" w:rsidRPr="0084061A">
        <w:rPr>
          <w:highlight w:val="yellow"/>
        </w:rPr>
        <w:t xml:space="preserve">For instance, there is a statistically significant </w:t>
      </w:r>
      <w:r w:rsidR="00365B87" w:rsidRPr="009D5AE4">
        <w:rPr>
          <w:highlight w:val="yellow"/>
        </w:rPr>
        <w:t xml:space="preserve">positive association between general trust and life satisfaction, generational cohort, and socio-economic status. Females, on average, report having higher levels of general trust compared to men. </w:t>
      </w:r>
      <w:r w:rsidR="00B05B84" w:rsidRPr="009D5AE4">
        <w:rPr>
          <w:highlight w:val="yellow"/>
        </w:rPr>
        <w:t xml:space="preserve">Interestingly, </w:t>
      </w:r>
      <w:r w:rsidR="00B82B9E">
        <w:rPr>
          <w:highlight w:val="yellow"/>
        </w:rPr>
        <w:t>there was no statistically significant association between general levels of trust and persons born overseas, although the estimated coefficient was negative. Similarly, ther</w:t>
      </w:r>
      <w:r w:rsidR="00B05B84" w:rsidRPr="009D5AE4">
        <w:rPr>
          <w:highlight w:val="yellow"/>
        </w:rPr>
        <w:t>e was no statistically significant association between refugee status and general trust, although</w:t>
      </w:r>
      <w:r w:rsidR="00B82B9E">
        <w:rPr>
          <w:highlight w:val="yellow"/>
        </w:rPr>
        <w:t>, once again,</w:t>
      </w:r>
      <w:r w:rsidR="00B05B84" w:rsidRPr="009D5AE4">
        <w:rPr>
          <w:highlight w:val="yellow"/>
        </w:rPr>
        <w:t xml:space="preserve"> the coefficient was negative.</w:t>
      </w:r>
      <w:r w:rsidR="00B05B84">
        <w:t xml:space="preserve"> </w:t>
      </w:r>
    </w:p>
    <w:p w14:paraId="7EE60199" w14:textId="77777777" w:rsidR="00B82B9E" w:rsidRDefault="00B82B9E" w:rsidP="002D5741">
      <w:pPr>
        <w:spacing w:after="0" w:line="480" w:lineRule="auto"/>
      </w:pPr>
    </w:p>
    <w:p w14:paraId="2EEA4E19" w14:textId="34AE8FBF" w:rsidR="00B96F8B" w:rsidRPr="00B82B9E" w:rsidRDefault="00B82B9E" w:rsidP="002D5741">
      <w:pPr>
        <w:spacing w:after="0" w:line="480" w:lineRule="auto"/>
        <w:rPr>
          <w:highlight w:val="yellow"/>
        </w:rPr>
      </w:pPr>
      <w:r>
        <w:t>With respect to refugees, t</w:t>
      </w:r>
      <w:r w:rsidR="003E7227">
        <w:t xml:space="preserve">his </w:t>
      </w:r>
      <w:r w:rsidR="00B96F8B">
        <w:t>may indicate</w:t>
      </w:r>
      <w:r w:rsidR="003E7227">
        <w:t xml:space="preserve"> that the benevolence shown to </w:t>
      </w:r>
      <w:r>
        <w:t>them</w:t>
      </w:r>
      <w:r w:rsidR="003E7227">
        <w:t xml:space="preserve"> may not </w:t>
      </w:r>
      <w:r w:rsidR="00B96F8B">
        <w:t xml:space="preserve">have </w:t>
      </w:r>
      <w:r w:rsidR="003E7227">
        <w:t xml:space="preserve">overcome </w:t>
      </w:r>
      <w:r w:rsidR="00B96F8B">
        <w:t xml:space="preserve">the </w:t>
      </w:r>
      <w:r w:rsidR="003E7227">
        <w:t xml:space="preserve">other factors in our </w:t>
      </w:r>
      <w:r w:rsidR="002C1BFF">
        <w:t xml:space="preserve">trust </w:t>
      </w:r>
      <w:r w:rsidR="003E7227">
        <w:t>model</w:t>
      </w:r>
      <w:r w:rsidR="00B96F8B">
        <w:t xml:space="preserve">. More specifically, the propensity to trust may </w:t>
      </w:r>
      <w:r w:rsidR="00F134A5">
        <w:t>well be the relevant explanation for this result</w:t>
      </w:r>
      <w:r w:rsidR="0033581D">
        <w:t xml:space="preserve"> given the harmful</w:t>
      </w:r>
      <w:r w:rsidR="003E7227">
        <w:t xml:space="preserve"> experiences that refugees are likely to have encoun</w:t>
      </w:r>
      <w:r w:rsidR="00B96F8B">
        <w:t>tered prior to gaining asylum</w:t>
      </w:r>
      <w:r w:rsidR="005E26F5">
        <w:t xml:space="preserve">. </w:t>
      </w:r>
      <w:r w:rsidR="003E7227" w:rsidRPr="005E26F5">
        <w:rPr>
          <w:highlight w:val="yellow"/>
        </w:rPr>
        <w:t xml:space="preserve">We also note that time spent commuting is not statistically significant as it was in earlier Australian studies </w:t>
      </w:r>
      <w:r w:rsidR="00B96F8B" w:rsidRPr="005E26F5">
        <w:rPr>
          <w:highlight w:val="yellow"/>
        </w:rPr>
        <w:t>(Leigh, 2006; Mendolia et al, 2016)</w:t>
      </w:r>
      <w:r w:rsidR="009D5AE4" w:rsidRPr="005E26F5">
        <w:rPr>
          <w:highlight w:val="yellow"/>
        </w:rPr>
        <w:t xml:space="preserve">, although </w:t>
      </w:r>
      <w:r w:rsidR="00E00920" w:rsidRPr="005E26F5">
        <w:rPr>
          <w:highlight w:val="yellow"/>
        </w:rPr>
        <w:t>it should be note</w:t>
      </w:r>
      <w:r w:rsidR="00887EF3">
        <w:rPr>
          <w:highlight w:val="yellow"/>
        </w:rPr>
        <w:t>d</w:t>
      </w:r>
      <w:r w:rsidR="00E00920" w:rsidRPr="005E26F5">
        <w:rPr>
          <w:highlight w:val="yellow"/>
        </w:rPr>
        <w:t xml:space="preserve"> that </w:t>
      </w:r>
      <w:r w:rsidR="00BB3B2A">
        <w:rPr>
          <w:highlight w:val="yellow"/>
        </w:rPr>
        <w:t>these studies do</w:t>
      </w:r>
      <w:r w:rsidR="009D5AE4" w:rsidRPr="005E26F5">
        <w:rPr>
          <w:highlight w:val="yellow"/>
        </w:rPr>
        <w:t xml:space="preserve"> not control for the po</w:t>
      </w:r>
      <w:r w:rsidR="0084061A">
        <w:rPr>
          <w:highlight w:val="yellow"/>
        </w:rPr>
        <w:t xml:space="preserve">ssible influence that </w:t>
      </w:r>
      <w:r w:rsidR="009D5AE4" w:rsidRPr="005E26F5">
        <w:rPr>
          <w:highlight w:val="yellow"/>
        </w:rPr>
        <w:t xml:space="preserve">religious affiliation </w:t>
      </w:r>
      <w:r w:rsidR="0084061A">
        <w:rPr>
          <w:highlight w:val="yellow"/>
        </w:rPr>
        <w:t>may have</w:t>
      </w:r>
      <w:r w:rsidR="009D5AE4" w:rsidRPr="005E26F5">
        <w:rPr>
          <w:highlight w:val="yellow"/>
        </w:rPr>
        <w:t xml:space="preserve"> on </w:t>
      </w:r>
      <w:r w:rsidR="009F6C4F">
        <w:rPr>
          <w:highlight w:val="yellow"/>
        </w:rPr>
        <w:t xml:space="preserve">general </w:t>
      </w:r>
      <w:r w:rsidR="009D5AE4" w:rsidRPr="005E26F5">
        <w:rPr>
          <w:highlight w:val="yellow"/>
        </w:rPr>
        <w:t>trust.</w:t>
      </w:r>
      <w:r w:rsidR="009D5AE4">
        <w:t xml:space="preserve"> </w:t>
      </w:r>
    </w:p>
    <w:p w14:paraId="378D586D" w14:textId="11C3A57B" w:rsidR="005E26F5" w:rsidRDefault="005E26F5">
      <w:r>
        <w:br w:type="page"/>
      </w:r>
    </w:p>
    <w:p w14:paraId="19B0199B" w14:textId="77777777" w:rsidR="00B96F8B" w:rsidRDefault="00B96F8B" w:rsidP="002D5741">
      <w:pPr>
        <w:spacing w:after="0" w:line="480" w:lineRule="auto"/>
      </w:pPr>
    </w:p>
    <w:p w14:paraId="4D6B1FAB" w14:textId="263C6786" w:rsidR="005E26F5" w:rsidRDefault="0084061A" w:rsidP="002D5741">
      <w:pPr>
        <w:spacing w:after="0" w:line="480" w:lineRule="auto"/>
      </w:pPr>
      <w:r w:rsidRPr="008266E9">
        <w:rPr>
          <w:highlight w:val="yellow"/>
        </w:rPr>
        <w:t>Turning to our local trust regression in Table 2, we observed similar associations for most of our non-religion variable</w:t>
      </w:r>
      <w:r w:rsidR="00B82B9E" w:rsidRPr="008266E9">
        <w:rPr>
          <w:highlight w:val="yellow"/>
        </w:rPr>
        <w:t>s</w:t>
      </w:r>
      <w:r w:rsidRPr="008266E9">
        <w:rPr>
          <w:highlight w:val="yellow"/>
        </w:rPr>
        <w:t xml:space="preserve">. However, there are few notable discordances. </w:t>
      </w:r>
      <w:r w:rsidR="00994072">
        <w:rPr>
          <w:highlight w:val="yellow"/>
        </w:rPr>
        <w:t>S</w:t>
      </w:r>
      <w:r w:rsidR="00B82B9E" w:rsidRPr="008266E9">
        <w:rPr>
          <w:highlight w:val="yellow"/>
        </w:rPr>
        <w:t xml:space="preserve">pecifically, </w:t>
      </w:r>
      <w:r w:rsidRPr="008266E9">
        <w:rPr>
          <w:highlight w:val="yellow"/>
        </w:rPr>
        <w:t xml:space="preserve">we </w:t>
      </w:r>
      <w:r w:rsidR="00B82B9E" w:rsidRPr="008266E9">
        <w:rPr>
          <w:highlight w:val="yellow"/>
        </w:rPr>
        <w:t xml:space="preserve">observe </w:t>
      </w:r>
      <w:r w:rsidRPr="008266E9">
        <w:rPr>
          <w:highlight w:val="yellow"/>
        </w:rPr>
        <w:t xml:space="preserve">that </w:t>
      </w:r>
      <w:r w:rsidR="00B82B9E" w:rsidRPr="008266E9">
        <w:rPr>
          <w:highlight w:val="yellow"/>
        </w:rPr>
        <w:t>gender is no longer statistically significant</w:t>
      </w:r>
      <w:r w:rsidR="008266E9" w:rsidRPr="008266E9">
        <w:rPr>
          <w:highlight w:val="yellow"/>
        </w:rPr>
        <w:t xml:space="preserve"> – the coeffici</w:t>
      </w:r>
      <w:r w:rsidR="008936E1">
        <w:rPr>
          <w:highlight w:val="yellow"/>
        </w:rPr>
        <w:t xml:space="preserve">ent is close to zero – and </w:t>
      </w:r>
      <w:r w:rsidR="008266E9" w:rsidRPr="008266E9">
        <w:rPr>
          <w:highlight w:val="yellow"/>
        </w:rPr>
        <w:t>there is a statistically significant negative association between time spent commuting and local trust, although the magnitude of the estimated coefficient is relatively small.</w:t>
      </w:r>
      <w:r w:rsidR="008266E9">
        <w:t xml:space="preserve"> </w:t>
      </w:r>
    </w:p>
    <w:p w14:paraId="0AA89CD5" w14:textId="77777777" w:rsidR="008266E9" w:rsidRDefault="008266E9" w:rsidP="002D5741">
      <w:pPr>
        <w:spacing w:after="0" w:line="480" w:lineRule="auto"/>
      </w:pPr>
    </w:p>
    <w:p w14:paraId="592F2876" w14:textId="1BE7A1BF" w:rsidR="00440C20" w:rsidRDefault="00C73B27" w:rsidP="002D5741">
      <w:pPr>
        <w:spacing w:after="0" w:line="480" w:lineRule="auto"/>
      </w:pPr>
      <w:r w:rsidRPr="00C73B27">
        <w:rPr>
          <w:highlight w:val="yellow"/>
        </w:rPr>
        <w:t>However, our main interest, relates to the association between religious affiliation and trust.</w:t>
      </w:r>
      <w:r>
        <w:t xml:space="preserve"> </w:t>
      </w:r>
      <w:r w:rsidR="00185DDB" w:rsidRPr="002D3857">
        <w:rPr>
          <w:highlight w:val="yellow"/>
        </w:rPr>
        <w:t xml:space="preserve">For general trust, there is a statistically significant positive association for CoC Christians and a statistically significant negative association for non-CoC Christians as well as Muslims compared to the no-religion reference group. For the remaining religious groups – Jews, Catholic, Anglicans, and non-Christians – we </w:t>
      </w:r>
      <w:r w:rsidR="001B1A48" w:rsidRPr="002D3857">
        <w:rPr>
          <w:highlight w:val="yellow"/>
        </w:rPr>
        <w:t xml:space="preserve">find no evidence of statistically significant associations. </w:t>
      </w:r>
      <w:r w:rsidR="00440C20" w:rsidRPr="002D3857">
        <w:rPr>
          <w:highlight w:val="yellow"/>
        </w:rPr>
        <w:t>Turning to our local trust regression in Table 2, we now observe a statistically significant positive association between Muslims and local trust. Notably, the revers</w:t>
      </w:r>
      <w:r w:rsidR="00D55B4A" w:rsidRPr="002D3857">
        <w:rPr>
          <w:highlight w:val="yellow"/>
        </w:rPr>
        <w:t>al on</w:t>
      </w:r>
      <w:r w:rsidR="00440C20" w:rsidRPr="002D3857">
        <w:rPr>
          <w:highlight w:val="yellow"/>
        </w:rPr>
        <w:t xml:space="preserve"> the sign of the coefficient for local trust –</w:t>
      </w:r>
      <w:r w:rsidR="00D55B4A" w:rsidRPr="002D3857">
        <w:rPr>
          <w:highlight w:val="yellow"/>
        </w:rPr>
        <w:t xml:space="preserve"> compar</w:t>
      </w:r>
      <w:r w:rsidR="00440C20" w:rsidRPr="002D3857">
        <w:rPr>
          <w:highlight w:val="yellow"/>
        </w:rPr>
        <w:t>ed to general trust – does not occur for non-CoC Christians</w:t>
      </w:r>
      <w:r w:rsidR="002554FD" w:rsidRPr="002D3857">
        <w:rPr>
          <w:highlight w:val="yellow"/>
        </w:rPr>
        <w:t>, and the estimated coefficient is no longer statistically significant.</w:t>
      </w:r>
      <w:r w:rsidR="00440C20" w:rsidRPr="002D3857">
        <w:rPr>
          <w:highlight w:val="yellow"/>
        </w:rPr>
        <w:t xml:space="preserve"> </w:t>
      </w:r>
      <w:r w:rsidR="002D3857" w:rsidRPr="002D3857">
        <w:rPr>
          <w:highlight w:val="yellow"/>
        </w:rPr>
        <w:t>In contrast, there is a statistically significant positive association between local trust and CoC Christian and Anglicans, which may reflect the frequent local interactions facilitated through social groups.</w:t>
      </w:r>
    </w:p>
    <w:p w14:paraId="63EC2BC1" w14:textId="40363C46" w:rsidR="002D3857" w:rsidRDefault="002D3857" w:rsidP="002D5741">
      <w:pPr>
        <w:spacing w:after="0" w:line="480" w:lineRule="auto"/>
      </w:pPr>
    </w:p>
    <w:p w14:paraId="1A73F3E1" w14:textId="0AD65A95" w:rsidR="00D36AA8" w:rsidRPr="00D36AA8" w:rsidRDefault="00D36AA8" w:rsidP="002D3857">
      <w:pPr>
        <w:spacing w:after="0" w:line="480" w:lineRule="auto"/>
        <w:rPr>
          <w:highlight w:val="yellow"/>
        </w:rPr>
      </w:pPr>
      <w:r w:rsidRPr="00D36AA8">
        <w:rPr>
          <w:highlight w:val="yellow"/>
        </w:rPr>
        <w:t xml:space="preserve">As a robustness check, we also estimated conventional OLS regressions (Table 3). The results from these models parallel our OLOGIT results. </w:t>
      </w:r>
      <w:r w:rsidR="002D3857" w:rsidRPr="00D36AA8">
        <w:rPr>
          <w:highlight w:val="yellow"/>
        </w:rPr>
        <w:t xml:space="preserve">The close concordance between </w:t>
      </w:r>
      <w:r w:rsidRPr="00D36AA8">
        <w:rPr>
          <w:highlight w:val="yellow"/>
        </w:rPr>
        <w:t>our OLOGIT and OLS estimates provides a high level of assurance for our results, which have been shown to be consistent with the underlying theory.</w:t>
      </w:r>
    </w:p>
    <w:p w14:paraId="3F91F5B0" w14:textId="67DAAF15" w:rsidR="00C03A9C" w:rsidRDefault="00C03A9C">
      <w:pPr>
        <w:rPr>
          <w:highlight w:val="cyan"/>
        </w:rPr>
      </w:pPr>
      <w:r>
        <w:rPr>
          <w:highlight w:val="cyan"/>
        </w:rPr>
        <w:br w:type="page"/>
      </w:r>
    </w:p>
    <w:p w14:paraId="403A4B85" w14:textId="77777777" w:rsidR="002D5741" w:rsidRDefault="002D5741" w:rsidP="002D5741">
      <w:pPr>
        <w:spacing w:after="0" w:line="480" w:lineRule="auto"/>
      </w:pPr>
    </w:p>
    <w:p w14:paraId="2006B4F5" w14:textId="777A0560" w:rsidR="00B20C8B" w:rsidRPr="00EB5AA8" w:rsidRDefault="00D23001" w:rsidP="007239B9">
      <w:pPr>
        <w:spacing w:after="0" w:line="480" w:lineRule="auto"/>
        <w:rPr>
          <w:b/>
        </w:rPr>
      </w:pPr>
      <w:r>
        <w:rPr>
          <w:b/>
        </w:rPr>
        <w:t>DISCUSSION and</w:t>
      </w:r>
      <w:r w:rsidR="00EB5AA8" w:rsidRPr="00EB5AA8">
        <w:rPr>
          <w:b/>
        </w:rPr>
        <w:t xml:space="preserve"> CONCLUSION</w:t>
      </w:r>
    </w:p>
    <w:p w14:paraId="70928163" w14:textId="58DE991D" w:rsidR="00FB3C10" w:rsidRPr="00642BE1" w:rsidRDefault="00FB3C10" w:rsidP="002D5741">
      <w:pPr>
        <w:spacing w:after="0" w:line="480" w:lineRule="auto"/>
        <w:rPr>
          <w:highlight w:val="yellow"/>
        </w:rPr>
      </w:pPr>
      <w:r w:rsidRPr="00642BE1">
        <w:rPr>
          <w:highlight w:val="yellow"/>
        </w:rPr>
        <w:t>In this paper, we examined whether religious affiliation influences general and local trust using data drawn from the HILDA Survey. Our statistical analysis indicates that religious affiliation may i</w:t>
      </w:r>
      <w:r w:rsidR="00BF3E68" w:rsidRPr="00642BE1">
        <w:rPr>
          <w:highlight w:val="yellow"/>
        </w:rPr>
        <w:t>nfluence levels of t</w:t>
      </w:r>
      <w:r w:rsidRPr="00642BE1">
        <w:rPr>
          <w:highlight w:val="yellow"/>
        </w:rPr>
        <w:t>rust in contemporary Australia (and thus addresses a gap in the scholarly literature). Moreover, our empirical analysis</w:t>
      </w:r>
      <w:r w:rsidR="00BF3E68" w:rsidRPr="00642BE1">
        <w:rPr>
          <w:highlight w:val="yellow"/>
        </w:rPr>
        <w:t xml:space="preserve"> also</w:t>
      </w:r>
      <w:r w:rsidRPr="00642BE1">
        <w:rPr>
          <w:highlight w:val="yellow"/>
        </w:rPr>
        <w:t xml:space="preserve"> suggests that general </w:t>
      </w:r>
      <w:r w:rsidR="00AB6B1A" w:rsidRPr="00642BE1">
        <w:rPr>
          <w:highlight w:val="yellow"/>
        </w:rPr>
        <w:t>trust may</w:t>
      </w:r>
      <w:r w:rsidRPr="00642BE1">
        <w:rPr>
          <w:highlight w:val="yellow"/>
        </w:rPr>
        <w:t xml:space="preserve"> be reducing among many religious a</w:t>
      </w:r>
      <w:r w:rsidR="00BF3E68" w:rsidRPr="00642BE1">
        <w:rPr>
          <w:highlight w:val="yellow"/>
        </w:rPr>
        <w:t>ffiliations</w:t>
      </w:r>
      <w:r w:rsidRPr="00642BE1">
        <w:rPr>
          <w:highlight w:val="yellow"/>
        </w:rPr>
        <w:t xml:space="preserve">. This finding is important for a </w:t>
      </w:r>
      <w:r w:rsidR="00F730B8" w:rsidRPr="00642BE1">
        <w:rPr>
          <w:highlight w:val="yellow"/>
        </w:rPr>
        <w:t>heterogeneous population like Australia as it seek</w:t>
      </w:r>
      <w:r w:rsidR="00BF3E68" w:rsidRPr="00642BE1">
        <w:rPr>
          <w:highlight w:val="yellow"/>
        </w:rPr>
        <w:t>s</w:t>
      </w:r>
      <w:r w:rsidR="00F730B8" w:rsidRPr="00642BE1">
        <w:rPr>
          <w:highlight w:val="yellow"/>
        </w:rPr>
        <w:t xml:space="preserve"> to traverse some serious challenges such as internal security, social cohesion, and economic transition.</w:t>
      </w:r>
    </w:p>
    <w:p w14:paraId="08EFAB3F" w14:textId="7E433AD0" w:rsidR="00FB3C10" w:rsidRPr="00642BE1" w:rsidRDefault="00FB3C10" w:rsidP="002D5741">
      <w:pPr>
        <w:spacing w:after="0" w:line="480" w:lineRule="auto"/>
        <w:rPr>
          <w:highlight w:val="yellow"/>
        </w:rPr>
      </w:pPr>
    </w:p>
    <w:p w14:paraId="5E298458" w14:textId="1A1D3891" w:rsidR="006C10CB" w:rsidRPr="00642BE1" w:rsidRDefault="00230609" w:rsidP="002D5741">
      <w:pPr>
        <w:spacing w:after="0" w:line="480" w:lineRule="auto"/>
        <w:rPr>
          <w:highlight w:val="yellow"/>
        </w:rPr>
      </w:pPr>
      <w:r w:rsidRPr="00642BE1">
        <w:rPr>
          <w:highlight w:val="yellow"/>
        </w:rPr>
        <w:t>For general trust, we observe a positive association for CoC Christians. This positive association is consistent with the observation that CoC Christian churches tend to have relative low demands for group members</w:t>
      </w:r>
      <w:r w:rsidR="00AB6B1A" w:rsidRPr="00642BE1">
        <w:rPr>
          <w:highlight w:val="yellow"/>
        </w:rPr>
        <w:t>hip</w:t>
      </w:r>
      <w:r w:rsidRPr="00642BE1">
        <w:rPr>
          <w:highlight w:val="yellow"/>
        </w:rPr>
        <w:t xml:space="preserve"> and are strongly orientated toward a range of community outreach activities. For example, both the Uniting Church and Salvation Army a</w:t>
      </w:r>
      <w:r w:rsidR="00AB6B1A" w:rsidRPr="00642BE1">
        <w:rPr>
          <w:highlight w:val="yellow"/>
        </w:rPr>
        <w:t>re</w:t>
      </w:r>
      <w:r w:rsidRPr="00642BE1">
        <w:rPr>
          <w:highlight w:val="yellow"/>
        </w:rPr>
        <w:t xml:space="preserve"> well known for their social support services for disadvantaged persons. This finding is broadly consistent with studies from the US (e.g., Daniels and von der Ruhr, 2010).</w:t>
      </w:r>
      <w:r w:rsidR="006C10CB" w:rsidRPr="00642BE1">
        <w:rPr>
          <w:highlight w:val="yellow"/>
        </w:rPr>
        <w:t xml:space="preserve"> Conversely, we observe a negative association between general trust and non-CoC Christians and Muslims. These negative associations are consistent with the observation that non-CoC Christianity and Islam impose high membership costs in form of diet, alcohol consumption, time commitment, and dress. For example, Muslims are required </w:t>
      </w:r>
      <w:r w:rsidR="00CC127A" w:rsidRPr="00642BE1">
        <w:rPr>
          <w:highlight w:val="yellow"/>
        </w:rPr>
        <w:t>to eat halal, shun alcohol, pray five times a day, and, in some cases, women are required to wear a burqa.</w:t>
      </w:r>
    </w:p>
    <w:p w14:paraId="769D2F0D" w14:textId="1FACD219" w:rsidR="00230609" w:rsidRPr="00642BE1" w:rsidRDefault="00230609" w:rsidP="002D5741">
      <w:pPr>
        <w:spacing w:after="0" w:line="480" w:lineRule="auto"/>
        <w:rPr>
          <w:highlight w:val="yellow"/>
        </w:rPr>
      </w:pPr>
    </w:p>
    <w:p w14:paraId="51D2FF6F" w14:textId="5E1DBB2C" w:rsidR="00AB6B1A" w:rsidRPr="00642BE1" w:rsidRDefault="00AB6B1A" w:rsidP="00CC127A">
      <w:pPr>
        <w:spacing w:after="0" w:line="480" w:lineRule="auto"/>
        <w:rPr>
          <w:highlight w:val="yellow"/>
        </w:rPr>
      </w:pPr>
      <w:r w:rsidRPr="00642BE1">
        <w:rPr>
          <w:highlight w:val="yellow"/>
        </w:rPr>
        <w:t>Thus, m</w:t>
      </w:r>
      <w:r w:rsidR="00600AD0" w:rsidRPr="00642BE1">
        <w:rPr>
          <w:highlight w:val="yellow"/>
        </w:rPr>
        <w:t>embership to</w:t>
      </w:r>
      <w:r w:rsidR="00F40D2B" w:rsidRPr="00642BE1">
        <w:rPr>
          <w:highlight w:val="yellow"/>
        </w:rPr>
        <w:t xml:space="preserve"> a strict religious affiliation</w:t>
      </w:r>
      <w:r w:rsidR="00CC127A" w:rsidRPr="00642BE1">
        <w:rPr>
          <w:highlight w:val="yellow"/>
        </w:rPr>
        <w:t xml:space="preserve"> </w:t>
      </w:r>
      <w:r w:rsidRPr="00642BE1">
        <w:rPr>
          <w:highlight w:val="yellow"/>
        </w:rPr>
        <w:t>like non-CoC Christianity and Islam may reduce</w:t>
      </w:r>
      <w:r w:rsidR="00CC127A" w:rsidRPr="00642BE1">
        <w:rPr>
          <w:highlight w:val="yellow"/>
        </w:rPr>
        <w:t xml:space="preserve"> the time </w:t>
      </w:r>
      <w:r w:rsidRPr="00642BE1">
        <w:rPr>
          <w:highlight w:val="yellow"/>
        </w:rPr>
        <w:t xml:space="preserve">available for out-group bonding and the building of general trust. Moreover, the distinctive behaviour of these religious affiliations may single out members for </w:t>
      </w:r>
      <w:r w:rsidRPr="00642BE1">
        <w:rPr>
          <w:highlight w:val="yellow"/>
        </w:rPr>
        <w:lastRenderedPageBreak/>
        <w:t>persecution, which, in turn, may reduce the level of general trust. In addition, where relig</w:t>
      </w:r>
      <w:r w:rsidR="000E305E" w:rsidRPr="00642BE1">
        <w:rPr>
          <w:highlight w:val="yellow"/>
        </w:rPr>
        <w:t>ious affiliation is closely associated with immigration – as is the case of Islam in Australia – then reduced level</w:t>
      </w:r>
      <w:r w:rsidR="00D435EF">
        <w:rPr>
          <w:highlight w:val="yellow"/>
        </w:rPr>
        <w:t>s</w:t>
      </w:r>
      <w:r w:rsidR="000E305E" w:rsidRPr="00642BE1">
        <w:rPr>
          <w:highlight w:val="yellow"/>
        </w:rPr>
        <w:t xml:space="preserve"> of general trust may also be a function of poor language proficiency or the settlement pattern of migrants, which tend to be concentrated in specific geographical </w:t>
      </w:r>
      <w:r w:rsidR="0091691A" w:rsidRPr="00642BE1">
        <w:rPr>
          <w:highlight w:val="yellow"/>
        </w:rPr>
        <w:t>locations</w:t>
      </w:r>
      <w:r w:rsidR="0091691A">
        <w:rPr>
          <w:highlight w:val="yellow"/>
        </w:rPr>
        <w:t>, which</w:t>
      </w:r>
      <w:r w:rsidR="000E305E" w:rsidRPr="00642BE1">
        <w:rPr>
          <w:highlight w:val="yellow"/>
        </w:rPr>
        <w:t xml:space="preserve"> does little to promote out-group interactions. Notably the size of the negative coefficient for Muslims is much larger than that of their strict non-Co</w:t>
      </w:r>
      <w:r w:rsidR="00A16D4C" w:rsidRPr="00642BE1">
        <w:rPr>
          <w:highlight w:val="yellow"/>
        </w:rPr>
        <w:t>C counterparts.</w:t>
      </w:r>
      <w:r w:rsidR="000E305E" w:rsidRPr="00642BE1">
        <w:rPr>
          <w:highlight w:val="yellow"/>
        </w:rPr>
        <w:t xml:space="preserve"> </w:t>
      </w:r>
      <w:r w:rsidR="00A16D4C" w:rsidRPr="00642BE1">
        <w:rPr>
          <w:highlight w:val="yellow"/>
        </w:rPr>
        <w:t>This suggests</w:t>
      </w:r>
      <w:r w:rsidR="000E305E" w:rsidRPr="00642BE1">
        <w:rPr>
          <w:highlight w:val="yellow"/>
        </w:rPr>
        <w:t xml:space="preserve"> that language proficiency, perceived persecution, and concentrated geographical distribution may be </w:t>
      </w:r>
      <w:r w:rsidR="00A16D4C" w:rsidRPr="00642BE1">
        <w:rPr>
          <w:highlight w:val="yellow"/>
        </w:rPr>
        <w:t xml:space="preserve">the </w:t>
      </w:r>
      <w:r w:rsidR="000E305E" w:rsidRPr="00642BE1">
        <w:rPr>
          <w:highlight w:val="yellow"/>
        </w:rPr>
        <w:t>underlying explanation</w:t>
      </w:r>
      <w:r w:rsidR="00A16D4C" w:rsidRPr="00642BE1">
        <w:rPr>
          <w:highlight w:val="yellow"/>
        </w:rPr>
        <w:t>s</w:t>
      </w:r>
      <w:r w:rsidR="000E305E" w:rsidRPr="00642BE1">
        <w:rPr>
          <w:highlight w:val="yellow"/>
        </w:rPr>
        <w:t xml:space="preserve"> for the low levels of general tru</w:t>
      </w:r>
      <w:r w:rsidR="00A16D4C" w:rsidRPr="00642BE1">
        <w:rPr>
          <w:highlight w:val="yellow"/>
        </w:rPr>
        <w:t xml:space="preserve">st </w:t>
      </w:r>
      <w:r w:rsidR="001D6F9D" w:rsidRPr="00642BE1">
        <w:rPr>
          <w:highlight w:val="yellow"/>
        </w:rPr>
        <w:t xml:space="preserve">reported </w:t>
      </w:r>
      <w:r w:rsidR="00A16D4C" w:rsidRPr="00642BE1">
        <w:rPr>
          <w:highlight w:val="yellow"/>
        </w:rPr>
        <w:t>among this group.</w:t>
      </w:r>
    </w:p>
    <w:p w14:paraId="34B67E9E" w14:textId="63778287" w:rsidR="00AB6B1A" w:rsidRPr="00642BE1" w:rsidRDefault="00AB6B1A" w:rsidP="00CC127A">
      <w:pPr>
        <w:spacing w:after="0" w:line="480" w:lineRule="auto"/>
        <w:rPr>
          <w:highlight w:val="yellow"/>
        </w:rPr>
      </w:pPr>
    </w:p>
    <w:p w14:paraId="3853BAFD" w14:textId="5BC460F5" w:rsidR="006836A6" w:rsidRPr="00642BE1" w:rsidRDefault="006836A6" w:rsidP="002D5741">
      <w:pPr>
        <w:spacing w:after="0" w:line="480" w:lineRule="auto"/>
        <w:rPr>
          <w:highlight w:val="yellow"/>
        </w:rPr>
      </w:pPr>
      <w:r w:rsidRPr="00642BE1">
        <w:rPr>
          <w:highlight w:val="yellow"/>
        </w:rPr>
        <w:t>Turning to local trust, we observe</w:t>
      </w:r>
      <w:r w:rsidR="006D5625" w:rsidRPr="00642BE1">
        <w:rPr>
          <w:highlight w:val="yellow"/>
        </w:rPr>
        <w:t xml:space="preserve"> a statistically significant positive association between Muslims and local trust. </w:t>
      </w:r>
      <w:r w:rsidR="00CA5BFD" w:rsidRPr="00642BE1">
        <w:rPr>
          <w:highlight w:val="yellow"/>
        </w:rPr>
        <w:t>It is possible that the comparatively high</w:t>
      </w:r>
      <w:r w:rsidRPr="00642BE1">
        <w:rPr>
          <w:highlight w:val="yellow"/>
        </w:rPr>
        <w:t xml:space="preserve"> membership costs of Islam coupled with potential language </w:t>
      </w:r>
      <w:r w:rsidR="00994072">
        <w:rPr>
          <w:highlight w:val="yellow"/>
        </w:rPr>
        <w:t>barriers</w:t>
      </w:r>
      <w:r w:rsidRPr="00642BE1">
        <w:rPr>
          <w:highlight w:val="yellow"/>
        </w:rPr>
        <w:t xml:space="preserve">, perceptions of persecution, and geographical concentration may lead to a higher frequency of in-group interactions at the expense of out-group interactions (and hence greater in-group trust at the expense of out-group trust). </w:t>
      </w:r>
      <w:r w:rsidR="00F45DC1" w:rsidRPr="00642BE1">
        <w:rPr>
          <w:highlight w:val="yellow"/>
        </w:rPr>
        <w:t>On this point, data from the Australian Bureau</w:t>
      </w:r>
      <w:r w:rsidR="009816F3">
        <w:rPr>
          <w:highlight w:val="yellow"/>
        </w:rPr>
        <w:t xml:space="preserve"> of Statistics (2017</w:t>
      </w:r>
      <w:r w:rsidR="00F45DC1" w:rsidRPr="00642BE1">
        <w:rPr>
          <w:highlight w:val="yellow"/>
        </w:rPr>
        <w:t>) suggests that Muslim adherents tend to dominate the demographic profile of particular suburbs, which, in turn, make</w:t>
      </w:r>
      <w:r w:rsidR="008F44F6" w:rsidRPr="00642BE1">
        <w:rPr>
          <w:highlight w:val="yellow"/>
        </w:rPr>
        <w:t>s</w:t>
      </w:r>
      <w:r w:rsidR="00F45DC1" w:rsidRPr="00642BE1">
        <w:rPr>
          <w:highlight w:val="yellow"/>
        </w:rPr>
        <w:t xml:space="preserve"> the frequency of in-group interactions more likely.</w:t>
      </w:r>
    </w:p>
    <w:p w14:paraId="5221376D" w14:textId="0AD7D0D8" w:rsidR="006836A6" w:rsidRPr="00642BE1" w:rsidRDefault="006836A6" w:rsidP="002D5741">
      <w:pPr>
        <w:spacing w:after="0" w:line="480" w:lineRule="auto"/>
        <w:rPr>
          <w:highlight w:val="yellow"/>
        </w:rPr>
      </w:pPr>
    </w:p>
    <w:p w14:paraId="3F29974A" w14:textId="2FD86054" w:rsidR="007F3A2B" w:rsidRPr="00642BE1" w:rsidRDefault="007F3A2B" w:rsidP="002D5741">
      <w:pPr>
        <w:spacing w:after="0" w:line="480" w:lineRule="auto"/>
        <w:rPr>
          <w:highlight w:val="yellow"/>
        </w:rPr>
      </w:pPr>
      <w:r w:rsidRPr="00642BE1">
        <w:rPr>
          <w:highlight w:val="yellow"/>
        </w:rPr>
        <w:t xml:space="preserve">Finally, for local trust, we also observed statistically significant positive coefficients for CoC Christians and Anglicans. These findings may be explained by the frequency of local interactions facilitated through social groups and institutions. For example, the Anglican Church is a prominent provider of primary and secondary school education in Australia and CoC churches run a range of social outreach programs that may have a positive spill-over effect on local trust. Moreover, the fact the CoC Christians have statistically significant </w:t>
      </w:r>
      <w:r w:rsidRPr="00642BE1">
        <w:rPr>
          <w:highlight w:val="yellow"/>
        </w:rPr>
        <w:lastRenderedPageBreak/>
        <w:t>positive associations for both general and local trust suggest that this group may have a particularly high propensity to trust, although additional research would be required to unravel the factors underscoring this empirical observation.</w:t>
      </w:r>
    </w:p>
    <w:p w14:paraId="2B0322FF" w14:textId="77777777" w:rsidR="009C6025" w:rsidRPr="00642BE1" w:rsidRDefault="009C6025" w:rsidP="002D5741">
      <w:pPr>
        <w:spacing w:after="0" w:line="480" w:lineRule="auto"/>
        <w:rPr>
          <w:highlight w:val="yellow"/>
        </w:rPr>
      </w:pPr>
    </w:p>
    <w:p w14:paraId="534D332C" w14:textId="4772C8F4" w:rsidR="00FE472B" w:rsidRDefault="00FE472B" w:rsidP="002D5741">
      <w:pPr>
        <w:spacing w:after="0" w:line="480" w:lineRule="auto"/>
      </w:pPr>
      <w:r w:rsidRPr="00642BE1">
        <w:rPr>
          <w:highlight w:val="yellow"/>
        </w:rPr>
        <w:t xml:space="preserve">In conclusion, </w:t>
      </w:r>
      <w:r w:rsidR="006E7E6C" w:rsidRPr="00642BE1">
        <w:rPr>
          <w:highlight w:val="yellow"/>
        </w:rPr>
        <w:t>trust is important for a wide range of social and economic functions</w:t>
      </w:r>
      <w:r w:rsidRPr="00642BE1">
        <w:rPr>
          <w:highlight w:val="yellow"/>
        </w:rPr>
        <w:t xml:space="preserve">. As such, further research is required to unravel what general trust means </w:t>
      </w:r>
      <w:r w:rsidR="000A7256">
        <w:rPr>
          <w:highlight w:val="yellow"/>
        </w:rPr>
        <w:t xml:space="preserve">and </w:t>
      </w:r>
      <w:r w:rsidRPr="00642BE1">
        <w:rPr>
          <w:highlight w:val="yellow"/>
        </w:rPr>
        <w:t xml:space="preserve">where trust deficiencies may lie. With </w:t>
      </w:r>
      <w:r w:rsidR="00721550" w:rsidRPr="00642BE1">
        <w:rPr>
          <w:highlight w:val="yellow"/>
        </w:rPr>
        <w:t>regard to the former</w:t>
      </w:r>
      <w:r w:rsidRPr="00642BE1">
        <w:rPr>
          <w:highlight w:val="yellow"/>
        </w:rPr>
        <w:t xml:space="preserve">, there would appear to be a need for faith-based trust experiments to test </w:t>
      </w:r>
      <w:r w:rsidR="000A7256">
        <w:rPr>
          <w:highlight w:val="yellow"/>
        </w:rPr>
        <w:t xml:space="preserve">whether </w:t>
      </w:r>
      <w:r w:rsidRPr="00642BE1">
        <w:rPr>
          <w:highlight w:val="yellow"/>
        </w:rPr>
        <w:t xml:space="preserve">general trust reflects </w:t>
      </w:r>
      <w:r w:rsidR="000A7256">
        <w:rPr>
          <w:highlight w:val="yellow"/>
        </w:rPr>
        <w:t xml:space="preserve">either (i) </w:t>
      </w:r>
      <w:r w:rsidRPr="00642BE1">
        <w:rPr>
          <w:highlight w:val="yellow"/>
        </w:rPr>
        <w:t>a person’s trustworthiness</w:t>
      </w:r>
      <w:r w:rsidR="000A7256">
        <w:rPr>
          <w:highlight w:val="yellow"/>
        </w:rPr>
        <w:t>;</w:t>
      </w:r>
      <w:r w:rsidRPr="00642BE1">
        <w:rPr>
          <w:highlight w:val="yellow"/>
        </w:rPr>
        <w:t xml:space="preserve"> </w:t>
      </w:r>
      <w:r w:rsidR="00E14EFB" w:rsidRPr="00642BE1">
        <w:rPr>
          <w:highlight w:val="yellow"/>
        </w:rPr>
        <w:t xml:space="preserve">or </w:t>
      </w:r>
      <w:r w:rsidR="000A7256">
        <w:rPr>
          <w:highlight w:val="yellow"/>
        </w:rPr>
        <w:t xml:space="preserve">(ii) </w:t>
      </w:r>
      <w:r w:rsidRPr="00642BE1">
        <w:rPr>
          <w:highlight w:val="yellow"/>
        </w:rPr>
        <w:t>low trust in the out-grou</w:t>
      </w:r>
      <w:r w:rsidR="00721550" w:rsidRPr="00642BE1">
        <w:rPr>
          <w:highlight w:val="yellow"/>
        </w:rPr>
        <w:t>p (</w:t>
      </w:r>
      <w:r w:rsidR="00E14EFB" w:rsidRPr="00642BE1">
        <w:rPr>
          <w:highlight w:val="yellow"/>
        </w:rPr>
        <w:t xml:space="preserve">e.g., </w:t>
      </w:r>
      <w:r w:rsidR="00721550" w:rsidRPr="00642BE1">
        <w:rPr>
          <w:highlight w:val="yellow"/>
        </w:rPr>
        <w:t>Johansson-Stenman et al., 2009). With respect to the latter, more survey data is needed to disentangle what religious adherent</w:t>
      </w:r>
      <w:r w:rsidR="000A7256">
        <w:rPr>
          <w:highlight w:val="yellow"/>
        </w:rPr>
        <w:t>s</w:t>
      </w:r>
      <w:r w:rsidR="00721550" w:rsidRPr="00642BE1">
        <w:rPr>
          <w:highlight w:val="yellow"/>
        </w:rPr>
        <w:t xml:space="preserve"> do or do not trust. It is government, fellow citizens, specific community services like law enforcement, or certain businesses such as banks? Given the inherent importance of trust for any nation, and </w:t>
      </w:r>
      <w:r w:rsidR="000A7256">
        <w:rPr>
          <w:highlight w:val="yellow"/>
        </w:rPr>
        <w:t xml:space="preserve">the apparent </w:t>
      </w:r>
      <w:r w:rsidR="00721550" w:rsidRPr="00642BE1">
        <w:rPr>
          <w:highlight w:val="yellow"/>
        </w:rPr>
        <w:t xml:space="preserve">declining levels of trust </w:t>
      </w:r>
      <w:r w:rsidR="000A7256">
        <w:rPr>
          <w:highlight w:val="yellow"/>
        </w:rPr>
        <w:t>in Australia</w:t>
      </w:r>
      <w:r w:rsidR="00721550" w:rsidRPr="00642BE1">
        <w:rPr>
          <w:highlight w:val="yellow"/>
        </w:rPr>
        <w:t xml:space="preserve"> that have religion as a possible determinant, these research questions appear to be important and we commend same to our peers.</w:t>
      </w:r>
    </w:p>
    <w:p w14:paraId="213765BF" w14:textId="2A7C3F0D" w:rsidR="00C61C93" w:rsidRDefault="00C61C93" w:rsidP="007239B9">
      <w:pPr>
        <w:spacing w:after="0" w:line="480" w:lineRule="auto"/>
      </w:pPr>
    </w:p>
    <w:p w14:paraId="212DFB53" w14:textId="77777777" w:rsidR="005D5B3C" w:rsidRPr="005D5B3C" w:rsidRDefault="005D5B3C" w:rsidP="007239B9">
      <w:pPr>
        <w:spacing w:after="0" w:line="480" w:lineRule="auto"/>
        <w:rPr>
          <w:b/>
        </w:rPr>
      </w:pPr>
      <w:r w:rsidRPr="005D5B3C">
        <w:rPr>
          <w:b/>
        </w:rPr>
        <w:t>ACKNOWLEDGMENTS</w:t>
      </w:r>
    </w:p>
    <w:p w14:paraId="7C0F55EC" w14:textId="6CAE3792" w:rsidR="005D5B3C" w:rsidRDefault="005D5B3C" w:rsidP="002D5741">
      <w:pPr>
        <w:spacing w:after="0" w:line="480" w:lineRule="auto"/>
      </w:pPr>
      <w:r w:rsidRPr="008D3FF1">
        <w:t>This paper uses unit record data from the Household, Income and Labour Dynamics in Australia (HILDA) Survey. The HILDA Project was initiated and is funded by the Australian Government Department of Social Services (DSS) and is managed by the Melbourne Institute of Applied Economic and Social Research (Melbourne Institute). The findings and views reported in this paper, however, are those of the authors and should not be attributed to either DSS or the Melbourne Institute.</w:t>
      </w:r>
    </w:p>
    <w:p w14:paraId="0F37B3CC" w14:textId="59CD46B7" w:rsidR="005E032C" w:rsidRDefault="005E032C">
      <w:r>
        <w:br w:type="page"/>
      </w:r>
    </w:p>
    <w:p w14:paraId="331ECAE0" w14:textId="77777777" w:rsidR="00C61C93" w:rsidRPr="0014329F" w:rsidRDefault="00C61C93" w:rsidP="00C61C93">
      <w:pPr>
        <w:spacing w:after="0" w:line="240" w:lineRule="auto"/>
      </w:pPr>
    </w:p>
    <w:p w14:paraId="26726544" w14:textId="458B1C69" w:rsidR="00B20C8B" w:rsidRPr="004A5BAA" w:rsidRDefault="00DD58BD" w:rsidP="00C61C93">
      <w:pPr>
        <w:spacing w:after="0" w:line="240" w:lineRule="auto"/>
        <w:rPr>
          <w:b/>
        </w:rPr>
      </w:pPr>
      <w:r w:rsidRPr="004A5BAA">
        <w:rPr>
          <w:b/>
        </w:rPr>
        <w:t>REFERENCES</w:t>
      </w:r>
    </w:p>
    <w:p w14:paraId="0C86D117" w14:textId="77777777" w:rsidR="006C3EF8" w:rsidRPr="004A5BAA" w:rsidRDefault="006C3EF8" w:rsidP="00C61C93">
      <w:pPr>
        <w:spacing w:after="0" w:line="240" w:lineRule="auto"/>
      </w:pPr>
    </w:p>
    <w:p w14:paraId="42061CA8" w14:textId="6A77B080" w:rsidR="00BB57DD" w:rsidRPr="004A5BAA" w:rsidRDefault="00BB57DD" w:rsidP="00C61C93">
      <w:pPr>
        <w:spacing w:after="0" w:line="240" w:lineRule="auto"/>
      </w:pPr>
      <w:r w:rsidRPr="004A5BAA">
        <w:t>Addai, I., Opoku-Ag</w:t>
      </w:r>
      <w:r w:rsidR="002B4162" w:rsidRPr="004A5BAA">
        <w:t>yeman, C. and Ghartey, H.</w:t>
      </w:r>
      <w:r w:rsidR="00D72F00" w:rsidRPr="004A5BAA">
        <w:t xml:space="preserve"> </w:t>
      </w:r>
      <w:r w:rsidR="002B4162" w:rsidRPr="004A5BAA">
        <w:t>(</w:t>
      </w:r>
      <w:r w:rsidR="00D72F00" w:rsidRPr="004A5BAA">
        <w:t>2013</w:t>
      </w:r>
      <w:r w:rsidR="002B4162" w:rsidRPr="004A5BAA">
        <w:t>),</w:t>
      </w:r>
      <w:r w:rsidRPr="004A5BAA">
        <w:t xml:space="preserve"> </w:t>
      </w:r>
      <w:r w:rsidR="002B4162" w:rsidRPr="004A5BAA">
        <w:t>“An exploratory study of r</w:t>
      </w:r>
      <w:r w:rsidRPr="004A5BAA">
        <w:t xml:space="preserve">eligion and </w:t>
      </w:r>
      <w:r w:rsidR="002B4162" w:rsidRPr="004A5BAA">
        <w:t>t</w:t>
      </w:r>
      <w:r w:rsidRPr="004A5BAA">
        <w:t>rust in Ghana</w:t>
      </w:r>
      <w:r w:rsidR="002B4162" w:rsidRPr="004A5BAA">
        <w:t>,</w:t>
      </w:r>
      <w:r w:rsidRPr="004A5BAA">
        <w:t xml:space="preserve"> </w:t>
      </w:r>
      <w:r w:rsidRPr="004A5BAA">
        <w:rPr>
          <w:i/>
        </w:rPr>
        <w:t>Social Indicators Research</w:t>
      </w:r>
      <w:r w:rsidR="002B4162" w:rsidRPr="004A5BAA">
        <w:t>,</w:t>
      </w:r>
      <w:r w:rsidR="00D4305B" w:rsidRPr="004A5BAA">
        <w:t xml:space="preserve"> </w:t>
      </w:r>
      <w:r w:rsidR="002B4162" w:rsidRPr="004A5BAA">
        <w:t xml:space="preserve">Vol. 110 No. 3, pp. </w:t>
      </w:r>
      <w:r w:rsidRPr="004A5BAA">
        <w:t>993-1012.</w:t>
      </w:r>
    </w:p>
    <w:p w14:paraId="7F863E2E" w14:textId="77777777" w:rsidR="00BB57DD" w:rsidRPr="004A5BAA" w:rsidRDefault="00BB57DD" w:rsidP="00C61C93">
      <w:pPr>
        <w:spacing w:after="0" w:line="240" w:lineRule="auto"/>
      </w:pPr>
    </w:p>
    <w:p w14:paraId="0DA39BB3" w14:textId="34176C57" w:rsidR="00B20C8B" w:rsidRPr="004A5BAA" w:rsidRDefault="00876BBA" w:rsidP="00C61C93">
      <w:pPr>
        <w:spacing w:after="0" w:line="240" w:lineRule="auto"/>
      </w:pPr>
      <w:r w:rsidRPr="004A5BAA">
        <w:t>Alesina, A</w:t>
      </w:r>
      <w:r w:rsidR="00A57112" w:rsidRPr="004A5BAA">
        <w:t>.</w:t>
      </w:r>
      <w:r w:rsidRPr="004A5BAA">
        <w:t xml:space="preserve"> </w:t>
      </w:r>
      <w:r w:rsidR="002B4162" w:rsidRPr="004A5BAA">
        <w:t>and</w:t>
      </w:r>
      <w:r w:rsidRPr="004A5BAA">
        <w:t xml:space="preserve"> </w:t>
      </w:r>
      <w:r w:rsidR="005234E3" w:rsidRPr="004A5BAA">
        <w:t>La Ferrara</w:t>
      </w:r>
      <w:r w:rsidR="00A57112" w:rsidRPr="004A5BAA">
        <w:t>, E</w:t>
      </w:r>
      <w:r w:rsidR="006163FF" w:rsidRPr="004A5BAA">
        <w:t>.</w:t>
      </w:r>
      <w:r w:rsidR="002B4162" w:rsidRPr="004A5BAA">
        <w:t xml:space="preserve"> (</w:t>
      </w:r>
      <w:r w:rsidR="006163FF" w:rsidRPr="004A5BAA">
        <w:t>2002</w:t>
      </w:r>
      <w:r w:rsidR="002B4162" w:rsidRPr="004A5BAA">
        <w:t>), “Who trusts o</w:t>
      </w:r>
      <w:r w:rsidRPr="004A5BAA">
        <w:t>thers?</w:t>
      </w:r>
      <w:r w:rsidR="002B4162" w:rsidRPr="004A5BAA">
        <w:t>”,</w:t>
      </w:r>
      <w:r w:rsidRPr="004A5BAA">
        <w:t xml:space="preserve"> </w:t>
      </w:r>
      <w:r w:rsidRPr="004A5BAA">
        <w:rPr>
          <w:i/>
        </w:rPr>
        <w:t>Journal of Public Economics</w:t>
      </w:r>
      <w:r w:rsidR="002B4162" w:rsidRPr="004A5BAA">
        <w:t>,</w:t>
      </w:r>
      <w:r w:rsidRPr="004A5BAA">
        <w:t xml:space="preserve"> </w:t>
      </w:r>
      <w:r w:rsidR="002B4162" w:rsidRPr="004A5BAA">
        <w:t xml:space="preserve">Vol. </w:t>
      </w:r>
      <w:r w:rsidRPr="004A5BAA">
        <w:t>85</w:t>
      </w:r>
      <w:r w:rsidR="002B4162" w:rsidRPr="004A5BAA">
        <w:t xml:space="preserve"> No. </w:t>
      </w:r>
      <w:r w:rsidR="00A57112" w:rsidRPr="004A5BAA">
        <w:t>2</w:t>
      </w:r>
      <w:r w:rsidR="00D4305B" w:rsidRPr="004A5BAA">
        <w:t>,</w:t>
      </w:r>
      <w:r w:rsidRPr="004A5BAA">
        <w:t xml:space="preserve"> </w:t>
      </w:r>
      <w:r w:rsidR="002B4162" w:rsidRPr="004A5BAA">
        <w:t xml:space="preserve">pp. </w:t>
      </w:r>
      <w:r w:rsidRPr="004A5BAA">
        <w:t>207-234.</w:t>
      </w:r>
    </w:p>
    <w:p w14:paraId="53077306" w14:textId="4D6583A3" w:rsidR="00C61C93" w:rsidRPr="004A5BAA" w:rsidRDefault="00C61C93" w:rsidP="00C61C93">
      <w:pPr>
        <w:spacing w:after="0" w:line="240" w:lineRule="auto"/>
      </w:pPr>
    </w:p>
    <w:p w14:paraId="5796AFAC" w14:textId="77777777" w:rsidR="000B1118" w:rsidRPr="004A5BAA" w:rsidRDefault="000B1118" w:rsidP="000B1118">
      <w:pPr>
        <w:spacing w:after="0" w:line="240" w:lineRule="auto"/>
      </w:pPr>
      <w:r w:rsidRPr="004A5BAA">
        <w:t xml:space="preserve">Arai, K. (2009), “Defining trust and using expected utility theory”, </w:t>
      </w:r>
      <w:r w:rsidRPr="004A5BAA">
        <w:rPr>
          <w:i/>
        </w:rPr>
        <w:t>Hitotsubashi Journal of Economics</w:t>
      </w:r>
      <w:r w:rsidRPr="004A5BAA">
        <w:t>, Vol. 50 No. 2, pp.99-118.</w:t>
      </w:r>
    </w:p>
    <w:p w14:paraId="129C585A" w14:textId="77777777" w:rsidR="000B1118" w:rsidRPr="004A5BAA" w:rsidRDefault="000B1118" w:rsidP="00C61C93">
      <w:pPr>
        <w:spacing w:after="0" w:line="240" w:lineRule="auto"/>
      </w:pPr>
    </w:p>
    <w:p w14:paraId="5898EC21" w14:textId="56FD3EE5" w:rsidR="00345ED3" w:rsidRPr="004A5BAA" w:rsidRDefault="00345ED3" w:rsidP="00C61C93">
      <w:pPr>
        <w:spacing w:after="0" w:line="240" w:lineRule="auto"/>
      </w:pPr>
      <w:r w:rsidRPr="004A5BAA">
        <w:t>Australian B</w:t>
      </w:r>
      <w:r w:rsidR="002D6CB5" w:rsidRPr="004A5BAA">
        <w:t>ureau of Statistics (</w:t>
      </w:r>
      <w:r w:rsidR="006163FF" w:rsidRPr="004A5BAA">
        <w:t>2016</w:t>
      </w:r>
      <w:r w:rsidR="002D6CB5" w:rsidRPr="004A5BAA">
        <w:t>),</w:t>
      </w:r>
      <w:r w:rsidRPr="004A5BAA">
        <w:t xml:space="preserve"> </w:t>
      </w:r>
      <w:r w:rsidR="002D6CB5" w:rsidRPr="004A5BAA">
        <w:t>“Nett overseas migration by major groupings and v</w:t>
      </w:r>
      <w:r w:rsidRPr="004A5BAA">
        <w:t>isa</w:t>
      </w:r>
      <w:r w:rsidR="002D6CB5" w:rsidRPr="004A5BAA">
        <w:t>s</w:t>
      </w:r>
      <w:r w:rsidRPr="004A5BAA">
        <w:t xml:space="preserve"> – States and Territories</w:t>
      </w:r>
      <w:r w:rsidR="002D6CB5" w:rsidRPr="004A5BAA">
        <w:t>”</w:t>
      </w:r>
      <w:r w:rsidR="009235BA" w:rsidRPr="004A5BAA">
        <w:t>,</w:t>
      </w:r>
      <w:r w:rsidR="002D6CB5" w:rsidRPr="004A5BAA">
        <w:t xml:space="preserve"> available at: </w:t>
      </w:r>
      <w:hyperlink r:id="rId8" w:history="1">
        <w:r w:rsidR="00627A82" w:rsidRPr="004A5BAA">
          <w:rPr>
            <w:rStyle w:val="Hyperlink"/>
          </w:rPr>
          <w:t>http://www.abs.gov.au/AUSSTATS/abs@.nsf/DetailsPage/3412.02014-15?OpenDocument</w:t>
        </w:r>
      </w:hyperlink>
      <w:r w:rsidRPr="004A5BAA">
        <w:t>.</w:t>
      </w:r>
      <w:r w:rsidR="00F27D34" w:rsidRPr="004A5BAA">
        <w:t xml:space="preserve"> </w:t>
      </w:r>
      <w:r w:rsidR="002D6CB5" w:rsidRPr="004A5BAA">
        <w:t>(accessed 3 October 2017).</w:t>
      </w:r>
    </w:p>
    <w:p w14:paraId="3604BAF1" w14:textId="4051E320" w:rsidR="00C61C93" w:rsidRDefault="00C61C93" w:rsidP="00C61C93">
      <w:pPr>
        <w:spacing w:after="0" w:line="240" w:lineRule="auto"/>
      </w:pPr>
    </w:p>
    <w:p w14:paraId="208321F0" w14:textId="4C97707A" w:rsidR="009816F3" w:rsidRDefault="009816F3" w:rsidP="009816F3">
      <w:pPr>
        <w:spacing w:after="0" w:line="240" w:lineRule="auto"/>
      </w:pPr>
      <w:r w:rsidRPr="004A5BAA">
        <w:t>Australian Bureau of Statistics (</w:t>
      </w:r>
      <w:r>
        <w:t>2017</w:t>
      </w:r>
      <w:r w:rsidRPr="004A5BAA">
        <w:t>), “</w:t>
      </w:r>
      <w:r>
        <w:t xml:space="preserve">Religion in Australia”, </w:t>
      </w:r>
      <w:r w:rsidRPr="004A5BAA">
        <w:t>available at:</w:t>
      </w:r>
      <w:r>
        <w:t xml:space="preserve"> </w:t>
      </w:r>
      <w:hyperlink r:id="rId9" w:history="1">
        <w:r w:rsidRPr="00F14061">
          <w:rPr>
            <w:rStyle w:val="Hyperlink"/>
          </w:rPr>
          <w:t>http://www.abs.gov.au/ausstats/abs@.nsf/Lookup/by%20Subject/2071.0~2016~Main%20Features~Religion%20Data%20Summary~70</w:t>
        </w:r>
      </w:hyperlink>
      <w:r>
        <w:t xml:space="preserve"> (accessed 3 October 2017).</w:t>
      </w:r>
    </w:p>
    <w:p w14:paraId="42F3BF82" w14:textId="77777777" w:rsidR="009816F3" w:rsidRPr="004A5BAA" w:rsidRDefault="009816F3" w:rsidP="00C61C93">
      <w:pPr>
        <w:spacing w:after="0" w:line="240" w:lineRule="auto"/>
      </w:pPr>
    </w:p>
    <w:p w14:paraId="614FCC6E" w14:textId="28B67654" w:rsidR="001B28B1" w:rsidRPr="004A5BAA" w:rsidRDefault="001B28B1" w:rsidP="00C61C93">
      <w:pPr>
        <w:spacing w:after="0" w:line="240" w:lineRule="auto"/>
      </w:pPr>
      <w:r w:rsidRPr="004A5BAA">
        <w:t>Azzi, C</w:t>
      </w:r>
      <w:r w:rsidR="003A2101" w:rsidRPr="004A5BAA">
        <w:t>.</w:t>
      </w:r>
      <w:r w:rsidRPr="004A5BAA">
        <w:t xml:space="preserve"> </w:t>
      </w:r>
      <w:r w:rsidR="002B4162" w:rsidRPr="004A5BAA">
        <w:t>and</w:t>
      </w:r>
      <w:r w:rsidR="003A2101" w:rsidRPr="004A5BAA">
        <w:t xml:space="preserve"> </w:t>
      </w:r>
      <w:r w:rsidR="005234E3" w:rsidRPr="004A5BAA">
        <w:t>Ehrenberg</w:t>
      </w:r>
      <w:r w:rsidR="003A2101" w:rsidRPr="004A5BAA">
        <w:t>, R</w:t>
      </w:r>
      <w:r w:rsidR="005234E3" w:rsidRPr="004A5BAA">
        <w:t>.</w:t>
      </w:r>
      <w:r w:rsidR="006163FF" w:rsidRPr="004A5BAA">
        <w:t xml:space="preserve"> </w:t>
      </w:r>
      <w:r w:rsidR="002B4162" w:rsidRPr="004A5BAA">
        <w:t>(</w:t>
      </w:r>
      <w:r w:rsidR="006163FF" w:rsidRPr="004A5BAA">
        <w:t>1975</w:t>
      </w:r>
      <w:r w:rsidR="002B4162" w:rsidRPr="004A5BAA">
        <w:t>),</w:t>
      </w:r>
      <w:r w:rsidRPr="004A5BAA">
        <w:t xml:space="preserve"> </w:t>
      </w:r>
      <w:r w:rsidR="002B4162" w:rsidRPr="004A5BAA">
        <w:t>“</w:t>
      </w:r>
      <w:r w:rsidRPr="004A5BAA">
        <w:t xml:space="preserve">Household </w:t>
      </w:r>
      <w:r w:rsidR="002B4162" w:rsidRPr="004A5BAA">
        <w:t>a</w:t>
      </w:r>
      <w:r w:rsidRPr="004A5BAA">
        <w:t xml:space="preserve">llocation of </w:t>
      </w:r>
      <w:r w:rsidR="002B4162" w:rsidRPr="004A5BAA">
        <w:t>t</w:t>
      </w:r>
      <w:r w:rsidRPr="004A5BAA">
        <w:t xml:space="preserve">ime and </w:t>
      </w:r>
      <w:r w:rsidR="002B4162" w:rsidRPr="004A5BAA">
        <w:t>c</w:t>
      </w:r>
      <w:r w:rsidRPr="004A5BAA">
        <w:t xml:space="preserve">hurch </w:t>
      </w:r>
      <w:r w:rsidR="002B4162" w:rsidRPr="004A5BAA">
        <w:t>a</w:t>
      </w:r>
      <w:r w:rsidRPr="004A5BAA">
        <w:t>ttendance</w:t>
      </w:r>
      <w:r w:rsidR="002B4162" w:rsidRPr="004A5BAA">
        <w:t>”</w:t>
      </w:r>
      <w:r w:rsidR="003A2101" w:rsidRPr="004A5BAA">
        <w:t>,</w:t>
      </w:r>
      <w:r w:rsidRPr="004A5BAA">
        <w:t xml:space="preserve"> </w:t>
      </w:r>
      <w:r w:rsidR="00FB172A" w:rsidRPr="004A5BAA">
        <w:rPr>
          <w:i/>
        </w:rPr>
        <w:t>Journal of Political Economy</w:t>
      </w:r>
      <w:r w:rsidR="002B4162" w:rsidRPr="004A5BAA">
        <w:t>,</w:t>
      </w:r>
      <w:r w:rsidR="003F6F0D" w:rsidRPr="004A5BAA">
        <w:t xml:space="preserve"> </w:t>
      </w:r>
      <w:r w:rsidR="002B4162" w:rsidRPr="004A5BAA">
        <w:t xml:space="preserve">Vol. </w:t>
      </w:r>
      <w:r w:rsidR="003F6F0D" w:rsidRPr="004A5BAA">
        <w:t>83</w:t>
      </w:r>
      <w:r w:rsidR="002B4162" w:rsidRPr="004A5BAA">
        <w:t xml:space="preserve"> No. </w:t>
      </w:r>
      <w:r w:rsidR="003F6F0D" w:rsidRPr="004A5BAA">
        <w:t>1</w:t>
      </w:r>
      <w:r w:rsidR="00D4305B" w:rsidRPr="004A5BAA">
        <w:t>,</w:t>
      </w:r>
      <w:r w:rsidR="003F6F0D" w:rsidRPr="004A5BAA">
        <w:t xml:space="preserve"> </w:t>
      </w:r>
      <w:r w:rsidR="002B4162" w:rsidRPr="004A5BAA">
        <w:t xml:space="preserve">pp. </w:t>
      </w:r>
      <w:r w:rsidR="003F6F0D" w:rsidRPr="004A5BAA">
        <w:t>27</w:t>
      </w:r>
      <w:r w:rsidR="003A2101" w:rsidRPr="004A5BAA">
        <w:t>-</w:t>
      </w:r>
      <w:r w:rsidR="003F6F0D" w:rsidRPr="004A5BAA">
        <w:t>56.</w:t>
      </w:r>
    </w:p>
    <w:p w14:paraId="49BF1F8C" w14:textId="77777777" w:rsidR="00C61C93" w:rsidRPr="004A5BAA" w:rsidRDefault="00C61C93" w:rsidP="00C61C93">
      <w:pPr>
        <w:spacing w:after="0" w:line="240" w:lineRule="auto"/>
      </w:pPr>
    </w:p>
    <w:p w14:paraId="553BB111" w14:textId="3B51AC8A" w:rsidR="00B20C8B" w:rsidRPr="004A5BAA" w:rsidRDefault="009B4A2B" w:rsidP="00C61C93">
      <w:pPr>
        <w:spacing w:after="0" w:line="240" w:lineRule="auto"/>
      </w:pPr>
      <w:r w:rsidRPr="004A5BAA">
        <w:t>Daniels, J</w:t>
      </w:r>
      <w:r w:rsidR="00E61430" w:rsidRPr="004A5BAA">
        <w:t>.</w:t>
      </w:r>
      <w:r w:rsidR="002B4162" w:rsidRPr="004A5BAA">
        <w:t xml:space="preserve"> and</w:t>
      </w:r>
      <w:r w:rsidRPr="004A5BAA">
        <w:t xml:space="preserve"> </w:t>
      </w:r>
      <w:r w:rsidR="005234E3" w:rsidRPr="004A5BAA">
        <w:t>von der Ruhr</w:t>
      </w:r>
      <w:r w:rsidR="00E61430" w:rsidRPr="004A5BAA">
        <w:t>, M</w:t>
      </w:r>
      <w:r w:rsidR="006163FF" w:rsidRPr="004A5BAA">
        <w:t xml:space="preserve">. </w:t>
      </w:r>
      <w:r w:rsidR="002B4162" w:rsidRPr="004A5BAA">
        <w:t>(</w:t>
      </w:r>
      <w:r w:rsidR="006163FF" w:rsidRPr="004A5BAA">
        <w:t>2010</w:t>
      </w:r>
      <w:r w:rsidR="002B4162" w:rsidRPr="004A5BAA">
        <w:t>),</w:t>
      </w:r>
      <w:r w:rsidRPr="004A5BAA">
        <w:t xml:space="preserve"> </w:t>
      </w:r>
      <w:r w:rsidR="002B4162" w:rsidRPr="004A5BAA">
        <w:t>“Trust in o</w:t>
      </w:r>
      <w:r w:rsidRPr="004A5BAA">
        <w:t xml:space="preserve">thers: </w:t>
      </w:r>
      <w:r w:rsidR="002B4162" w:rsidRPr="004A5BAA">
        <w:t>d</w:t>
      </w:r>
      <w:r w:rsidRPr="004A5BAA">
        <w:t xml:space="preserve">oes </w:t>
      </w:r>
      <w:r w:rsidR="002B4162" w:rsidRPr="004A5BAA">
        <w:t>r</w:t>
      </w:r>
      <w:r w:rsidRPr="004A5BAA">
        <w:t xml:space="preserve">eligion </w:t>
      </w:r>
      <w:r w:rsidR="002B4162" w:rsidRPr="004A5BAA">
        <w:t>m</w:t>
      </w:r>
      <w:r w:rsidRPr="004A5BAA">
        <w:t>atter?</w:t>
      </w:r>
      <w:r w:rsidR="002B4162" w:rsidRPr="004A5BAA">
        <w:t>”,</w:t>
      </w:r>
      <w:r w:rsidRPr="004A5BAA">
        <w:t xml:space="preserve"> </w:t>
      </w:r>
      <w:r w:rsidRPr="004A5BAA">
        <w:rPr>
          <w:i/>
        </w:rPr>
        <w:t>Review of Social Economy</w:t>
      </w:r>
      <w:r w:rsidR="002B4162" w:rsidRPr="004A5BAA">
        <w:t>,</w:t>
      </w:r>
      <w:r w:rsidRPr="004A5BAA">
        <w:t xml:space="preserve"> </w:t>
      </w:r>
      <w:r w:rsidR="002B4162" w:rsidRPr="004A5BAA">
        <w:t xml:space="preserve">Vol. </w:t>
      </w:r>
      <w:r w:rsidRPr="004A5BAA">
        <w:t>68</w:t>
      </w:r>
      <w:r w:rsidR="002B4162" w:rsidRPr="004A5BAA">
        <w:t xml:space="preserve"> No. </w:t>
      </w:r>
      <w:r w:rsidRPr="004A5BAA">
        <w:t>2</w:t>
      </w:r>
      <w:r w:rsidR="00D4305B" w:rsidRPr="004A5BAA">
        <w:t>,</w:t>
      </w:r>
      <w:r w:rsidR="00E61430" w:rsidRPr="004A5BAA">
        <w:t xml:space="preserve"> </w:t>
      </w:r>
      <w:r w:rsidR="002B4162" w:rsidRPr="004A5BAA">
        <w:t xml:space="preserve">pp. </w:t>
      </w:r>
      <w:r w:rsidRPr="004A5BAA">
        <w:t>163-186.</w:t>
      </w:r>
    </w:p>
    <w:p w14:paraId="09D2C77B" w14:textId="77777777" w:rsidR="00C61C93" w:rsidRPr="004A5BAA" w:rsidRDefault="00C61C93" w:rsidP="00C61C93">
      <w:pPr>
        <w:spacing w:after="0" w:line="240" w:lineRule="auto"/>
      </w:pPr>
    </w:p>
    <w:p w14:paraId="6E04B0B1" w14:textId="7640049E" w:rsidR="00A65B30" w:rsidRPr="004A5BAA" w:rsidRDefault="00A65B30" w:rsidP="00C61C93">
      <w:pPr>
        <w:spacing w:after="0" w:line="240" w:lineRule="auto"/>
      </w:pPr>
      <w:r w:rsidRPr="004A5BAA">
        <w:t>D’Hernoncourt, J</w:t>
      </w:r>
      <w:r w:rsidR="00E61430" w:rsidRPr="004A5BAA">
        <w:t>.</w:t>
      </w:r>
      <w:r w:rsidRPr="004A5BAA">
        <w:t xml:space="preserve"> </w:t>
      </w:r>
      <w:r w:rsidR="002B4162" w:rsidRPr="004A5BAA">
        <w:t>and</w:t>
      </w:r>
      <w:r w:rsidRPr="004A5BAA">
        <w:t xml:space="preserve"> </w:t>
      </w:r>
      <w:r w:rsidR="005234E3" w:rsidRPr="004A5BAA">
        <w:t>Meon</w:t>
      </w:r>
      <w:r w:rsidR="00E61430" w:rsidRPr="004A5BAA">
        <w:t xml:space="preserve"> P-G</w:t>
      </w:r>
      <w:r w:rsidR="006163FF" w:rsidRPr="004A5BAA">
        <w:t xml:space="preserve">. </w:t>
      </w:r>
      <w:r w:rsidR="002B4162" w:rsidRPr="004A5BAA">
        <w:t>(</w:t>
      </w:r>
      <w:r w:rsidR="006163FF" w:rsidRPr="004A5BAA">
        <w:t>2012</w:t>
      </w:r>
      <w:r w:rsidR="002B4162" w:rsidRPr="004A5BAA">
        <w:t>),</w:t>
      </w:r>
      <w:r w:rsidRPr="004A5BAA">
        <w:t xml:space="preserve"> </w:t>
      </w:r>
      <w:r w:rsidR="002B4162" w:rsidRPr="004A5BAA">
        <w:t>“The not so dark side of trust: Does trust increase the size of the shadow e</w:t>
      </w:r>
      <w:r w:rsidRPr="004A5BAA">
        <w:t>conomy?</w:t>
      </w:r>
      <w:r w:rsidR="002B4162" w:rsidRPr="004A5BAA">
        <w:t>”,</w:t>
      </w:r>
      <w:r w:rsidRPr="004A5BAA">
        <w:t xml:space="preserve"> </w:t>
      </w:r>
      <w:r w:rsidRPr="004A5BAA">
        <w:rPr>
          <w:i/>
        </w:rPr>
        <w:t>Journal of Economic Behaviour &amp; Organization</w:t>
      </w:r>
      <w:r w:rsidR="002B4162" w:rsidRPr="004A5BAA">
        <w:t>,</w:t>
      </w:r>
      <w:r w:rsidRPr="004A5BAA">
        <w:t xml:space="preserve"> </w:t>
      </w:r>
      <w:r w:rsidR="002B4162" w:rsidRPr="004A5BAA">
        <w:t xml:space="preserve">Vol. </w:t>
      </w:r>
      <w:r w:rsidRPr="004A5BAA">
        <w:t>81</w:t>
      </w:r>
      <w:r w:rsidR="002B4162" w:rsidRPr="004A5BAA">
        <w:t xml:space="preserve"> No. </w:t>
      </w:r>
      <w:r w:rsidR="00E61430" w:rsidRPr="004A5BAA">
        <w:t>1</w:t>
      </w:r>
      <w:r w:rsidR="00D4305B" w:rsidRPr="004A5BAA">
        <w:t>,</w:t>
      </w:r>
      <w:r w:rsidRPr="004A5BAA">
        <w:t xml:space="preserve"> </w:t>
      </w:r>
      <w:r w:rsidR="002B4162" w:rsidRPr="004A5BAA">
        <w:t xml:space="preserve">pp. </w:t>
      </w:r>
      <w:r w:rsidRPr="004A5BAA">
        <w:t>97-121.</w:t>
      </w:r>
    </w:p>
    <w:p w14:paraId="4EEF66D7" w14:textId="77777777" w:rsidR="00C61C93" w:rsidRPr="004A5BAA" w:rsidRDefault="00C61C93" w:rsidP="00C61C93">
      <w:pPr>
        <w:spacing w:after="0" w:line="240" w:lineRule="auto"/>
      </w:pPr>
    </w:p>
    <w:p w14:paraId="79243C7A" w14:textId="331A66FD" w:rsidR="004127B2" w:rsidRPr="004A5BAA" w:rsidRDefault="004127B2" w:rsidP="00C61C93">
      <w:pPr>
        <w:spacing w:after="0" w:line="240" w:lineRule="auto"/>
        <w:rPr>
          <w:lang w:val="en-AU"/>
        </w:rPr>
      </w:pPr>
      <w:r w:rsidRPr="004A5BAA">
        <w:rPr>
          <w:lang w:val="en-AU"/>
        </w:rPr>
        <w:t xml:space="preserve">Fergusson, N. </w:t>
      </w:r>
      <w:r w:rsidR="002F419A" w:rsidRPr="004A5BAA">
        <w:rPr>
          <w:lang w:val="en-AU"/>
        </w:rPr>
        <w:t>(</w:t>
      </w:r>
      <w:r w:rsidRPr="004A5BAA">
        <w:rPr>
          <w:lang w:val="en-AU"/>
        </w:rPr>
        <w:t>2013</w:t>
      </w:r>
      <w:r w:rsidR="002F419A" w:rsidRPr="004A5BAA">
        <w:rPr>
          <w:lang w:val="en-AU"/>
        </w:rPr>
        <w:t>),</w:t>
      </w:r>
      <w:r w:rsidRPr="004A5BAA">
        <w:rPr>
          <w:lang w:val="en-AU"/>
        </w:rPr>
        <w:t xml:space="preserve"> </w:t>
      </w:r>
      <w:r w:rsidRPr="004A5BAA">
        <w:rPr>
          <w:i/>
          <w:lang w:val="en-AU"/>
        </w:rPr>
        <w:t>The great degeneration: How institutions decay and economies die</w:t>
      </w:r>
      <w:r w:rsidR="002F419A" w:rsidRPr="004A5BAA">
        <w:rPr>
          <w:lang w:val="en-AU"/>
        </w:rPr>
        <w:t>,</w:t>
      </w:r>
      <w:r w:rsidRPr="004A5BAA">
        <w:rPr>
          <w:lang w:val="en-AU"/>
        </w:rPr>
        <w:t xml:space="preserve"> Penguin</w:t>
      </w:r>
      <w:r w:rsidR="000E1EAE" w:rsidRPr="004A5BAA">
        <w:rPr>
          <w:lang w:val="en-AU"/>
        </w:rPr>
        <w:t>, New York</w:t>
      </w:r>
      <w:r w:rsidRPr="004A5BAA">
        <w:rPr>
          <w:lang w:val="en-AU"/>
        </w:rPr>
        <w:t>.</w:t>
      </w:r>
    </w:p>
    <w:p w14:paraId="6120D430" w14:textId="77777777" w:rsidR="00C61C93" w:rsidRPr="004A5BAA" w:rsidRDefault="00C61C93" w:rsidP="00C61C93">
      <w:pPr>
        <w:spacing w:after="0" w:line="240" w:lineRule="auto"/>
        <w:rPr>
          <w:lang w:val="en-AU"/>
        </w:rPr>
      </w:pPr>
    </w:p>
    <w:p w14:paraId="7E310442" w14:textId="6F9B9DAD" w:rsidR="004127B2" w:rsidRPr="004A5BAA" w:rsidRDefault="001D5278" w:rsidP="00C61C93">
      <w:pPr>
        <w:spacing w:after="0" w:line="240" w:lineRule="auto"/>
        <w:rPr>
          <w:lang w:val="en-US"/>
        </w:rPr>
      </w:pPr>
      <w:r w:rsidRPr="004A5BAA">
        <w:rPr>
          <w:lang w:val="en-US"/>
        </w:rPr>
        <w:t>Finnis, J</w:t>
      </w:r>
      <w:r w:rsidR="006163FF" w:rsidRPr="004A5BAA">
        <w:rPr>
          <w:lang w:val="en-US"/>
        </w:rPr>
        <w:t xml:space="preserve">. </w:t>
      </w:r>
      <w:r w:rsidR="002F419A" w:rsidRPr="004A5BAA">
        <w:rPr>
          <w:lang w:val="en-US"/>
        </w:rPr>
        <w:t>(</w:t>
      </w:r>
      <w:r w:rsidR="006163FF" w:rsidRPr="004A5BAA">
        <w:rPr>
          <w:lang w:val="en-US"/>
        </w:rPr>
        <w:t>2013</w:t>
      </w:r>
      <w:r w:rsidR="002F419A" w:rsidRPr="004A5BAA">
        <w:rPr>
          <w:lang w:val="en-US"/>
        </w:rPr>
        <w:t>),</w:t>
      </w:r>
      <w:r w:rsidR="004127B2" w:rsidRPr="004A5BAA">
        <w:rPr>
          <w:lang w:val="en-US"/>
        </w:rPr>
        <w:t xml:space="preserve"> </w:t>
      </w:r>
      <w:r w:rsidR="002F419A" w:rsidRPr="004A5BAA">
        <w:rPr>
          <w:i/>
          <w:lang w:val="en-US"/>
        </w:rPr>
        <w:t>Human rights and common g</w:t>
      </w:r>
      <w:r w:rsidR="004127B2" w:rsidRPr="004A5BAA">
        <w:rPr>
          <w:i/>
          <w:lang w:val="en-US"/>
        </w:rPr>
        <w:t>ood</w:t>
      </w:r>
      <w:r w:rsidR="002F419A" w:rsidRPr="004A5BAA">
        <w:rPr>
          <w:lang w:val="en-US"/>
        </w:rPr>
        <w:t>,</w:t>
      </w:r>
      <w:r w:rsidR="004127B2" w:rsidRPr="004A5BAA">
        <w:rPr>
          <w:lang w:val="en-US"/>
        </w:rPr>
        <w:t xml:space="preserve"> </w:t>
      </w:r>
      <w:r w:rsidR="00FB172A" w:rsidRPr="004A5BAA">
        <w:rPr>
          <w:lang w:val="en-US"/>
        </w:rPr>
        <w:t>Oxford University Press</w:t>
      </w:r>
      <w:r w:rsidR="000E1EAE" w:rsidRPr="004A5BAA">
        <w:rPr>
          <w:lang w:val="en-US"/>
        </w:rPr>
        <w:t>, Oxford</w:t>
      </w:r>
      <w:r w:rsidR="004127B2" w:rsidRPr="004A5BAA">
        <w:rPr>
          <w:lang w:val="en-US"/>
        </w:rPr>
        <w:t>.</w:t>
      </w:r>
    </w:p>
    <w:p w14:paraId="6CF466ED" w14:textId="77777777" w:rsidR="00C61C93" w:rsidRPr="004A5BAA" w:rsidRDefault="00C61C93" w:rsidP="00C61C93">
      <w:pPr>
        <w:spacing w:after="0" w:line="240" w:lineRule="auto"/>
        <w:rPr>
          <w:lang w:val="en-US"/>
        </w:rPr>
      </w:pPr>
    </w:p>
    <w:p w14:paraId="397D6691" w14:textId="2E061D90" w:rsidR="0059439D" w:rsidRPr="004A5BAA" w:rsidRDefault="0059439D" w:rsidP="00C61C93">
      <w:pPr>
        <w:spacing w:after="0" w:line="240" w:lineRule="auto"/>
      </w:pPr>
      <w:r w:rsidRPr="004A5BAA">
        <w:t>Glaeser, E</w:t>
      </w:r>
      <w:r w:rsidR="00E61430" w:rsidRPr="004A5BAA">
        <w:t>.</w:t>
      </w:r>
      <w:r w:rsidRPr="004A5BAA">
        <w:t xml:space="preserve">, </w:t>
      </w:r>
      <w:r w:rsidR="006163FF" w:rsidRPr="004A5BAA">
        <w:t>Laibson</w:t>
      </w:r>
      <w:r w:rsidRPr="004A5BAA">
        <w:t>,</w:t>
      </w:r>
      <w:r w:rsidR="00E61430" w:rsidRPr="004A5BAA">
        <w:t xml:space="preserve"> D.,</w:t>
      </w:r>
      <w:r w:rsidRPr="004A5BAA">
        <w:t xml:space="preserve"> </w:t>
      </w:r>
      <w:r w:rsidR="006163FF" w:rsidRPr="004A5BAA">
        <w:t>Scheinkman,</w:t>
      </w:r>
      <w:r w:rsidR="002F419A" w:rsidRPr="004A5BAA">
        <w:t xml:space="preserve"> J.</w:t>
      </w:r>
      <w:r w:rsidRPr="004A5BAA">
        <w:t xml:space="preserve"> </w:t>
      </w:r>
      <w:r w:rsidR="002F419A" w:rsidRPr="004A5BAA">
        <w:t>and</w:t>
      </w:r>
      <w:r w:rsidRPr="004A5BAA">
        <w:t xml:space="preserve"> </w:t>
      </w:r>
      <w:r w:rsidR="006163FF" w:rsidRPr="004A5BAA">
        <w:t>Soutter</w:t>
      </w:r>
      <w:r w:rsidR="00E61430" w:rsidRPr="004A5BAA">
        <w:t>, C</w:t>
      </w:r>
      <w:r w:rsidR="006163FF" w:rsidRPr="004A5BAA">
        <w:t xml:space="preserve">. </w:t>
      </w:r>
      <w:r w:rsidR="002F419A" w:rsidRPr="004A5BAA">
        <w:t>(</w:t>
      </w:r>
      <w:r w:rsidR="006163FF" w:rsidRPr="004A5BAA">
        <w:t>2000</w:t>
      </w:r>
      <w:r w:rsidR="002F419A" w:rsidRPr="004A5BAA">
        <w:t>),</w:t>
      </w:r>
      <w:r w:rsidRPr="004A5BAA">
        <w:t xml:space="preserve"> </w:t>
      </w:r>
      <w:r w:rsidR="002F419A" w:rsidRPr="004A5BAA">
        <w:t>“</w:t>
      </w:r>
      <w:r w:rsidR="00FB172A" w:rsidRPr="004A5BAA">
        <w:t xml:space="preserve">Measuring </w:t>
      </w:r>
      <w:r w:rsidR="002F419A" w:rsidRPr="004A5BAA">
        <w:t>trust”,</w:t>
      </w:r>
      <w:r w:rsidR="00FB172A" w:rsidRPr="004A5BAA">
        <w:t xml:space="preserve"> </w:t>
      </w:r>
      <w:r w:rsidRPr="004A5BAA">
        <w:rPr>
          <w:i/>
        </w:rPr>
        <w:t>Quarterly Journal of Economics</w:t>
      </w:r>
      <w:r w:rsidR="002F419A" w:rsidRPr="004A5BAA">
        <w:t>,</w:t>
      </w:r>
      <w:r w:rsidR="00E61430" w:rsidRPr="004A5BAA">
        <w:t xml:space="preserve"> </w:t>
      </w:r>
      <w:r w:rsidR="002F419A" w:rsidRPr="004A5BAA">
        <w:t xml:space="preserve">Vol. </w:t>
      </w:r>
      <w:r w:rsidR="00E61430" w:rsidRPr="004A5BAA">
        <w:t>115</w:t>
      </w:r>
      <w:r w:rsidR="002F419A" w:rsidRPr="004A5BAA">
        <w:t xml:space="preserve"> No. </w:t>
      </w:r>
      <w:r w:rsidR="00E61430" w:rsidRPr="004A5BAA">
        <w:t>3</w:t>
      </w:r>
      <w:r w:rsidR="00D4305B" w:rsidRPr="004A5BAA">
        <w:t>,</w:t>
      </w:r>
      <w:r w:rsidRPr="004A5BAA">
        <w:t xml:space="preserve"> </w:t>
      </w:r>
      <w:r w:rsidR="002F419A" w:rsidRPr="004A5BAA">
        <w:t xml:space="preserve">pp. </w:t>
      </w:r>
      <w:r w:rsidRPr="004A5BAA">
        <w:t>811-846.</w:t>
      </w:r>
    </w:p>
    <w:p w14:paraId="14190D2E" w14:textId="77777777" w:rsidR="00C61C93" w:rsidRPr="004A5BAA" w:rsidRDefault="00C61C93" w:rsidP="00C61C93">
      <w:pPr>
        <w:spacing w:after="0" w:line="240" w:lineRule="auto"/>
      </w:pPr>
    </w:p>
    <w:p w14:paraId="1AD495A1" w14:textId="4E6A3D6F" w:rsidR="004D6012" w:rsidRPr="004A5BAA" w:rsidRDefault="004D6012" w:rsidP="00C61C93">
      <w:pPr>
        <w:spacing w:after="0" w:line="240" w:lineRule="auto"/>
      </w:pPr>
      <w:r w:rsidRPr="004A5BAA">
        <w:t>Iannaccone, L</w:t>
      </w:r>
      <w:r w:rsidR="006163FF" w:rsidRPr="004A5BAA">
        <w:t xml:space="preserve">. </w:t>
      </w:r>
      <w:r w:rsidR="002F419A" w:rsidRPr="004A5BAA">
        <w:t>(</w:t>
      </w:r>
      <w:r w:rsidR="006163FF" w:rsidRPr="004A5BAA">
        <w:t>1994</w:t>
      </w:r>
      <w:r w:rsidR="002F419A" w:rsidRPr="004A5BAA">
        <w:t>),</w:t>
      </w:r>
      <w:r w:rsidRPr="004A5BAA">
        <w:t xml:space="preserve"> </w:t>
      </w:r>
      <w:r w:rsidR="002F419A" w:rsidRPr="004A5BAA">
        <w:t>“Why strict churches a</w:t>
      </w:r>
      <w:r w:rsidRPr="004A5BAA">
        <w:t xml:space="preserve">re </w:t>
      </w:r>
      <w:r w:rsidR="002F419A" w:rsidRPr="004A5BAA">
        <w:t>strong”,</w:t>
      </w:r>
      <w:r w:rsidRPr="004A5BAA">
        <w:t xml:space="preserve"> </w:t>
      </w:r>
      <w:r w:rsidRPr="004A5BAA">
        <w:rPr>
          <w:i/>
        </w:rPr>
        <w:t>American Journal of Sociology</w:t>
      </w:r>
      <w:r w:rsidR="002F419A" w:rsidRPr="004A5BAA">
        <w:t>,</w:t>
      </w:r>
      <w:r w:rsidRPr="004A5BAA">
        <w:t xml:space="preserve"> </w:t>
      </w:r>
      <w:r w:rsidR="002F419A" w:rsidRPr="004A5BAA">
        <w:t xml:space="preserve">Vol. </w:t>
      </w:r>
      <w:r w:rsidRPr="004A5BAA">
        <w:t>99</w:t>
      </w:r>
      <w:r w:rsidR="002F419A" w:rsidRPr="004A5BAA">
        <w:t xml:space="preserve"> No. </w:t>
      </w:r>
      <w:r w:rsidRPr="004A5BAA">
        <w:t>5</w:t>
      </w:r>
      <w:r w:rsidR="00D4305B" w:rsidRPr="004A5BAA">
        <w:t>,</w:t>
      </w:r>
      <w:r w:rsidRPr="004A5BAA">
        <w:t xml:space="preserve"> </w:t>
      </w:r>
      <w:r w:rsidR="002F419A" w:rsidRPr="004A5BAA">
        <w:t xml:space="preserve">pp. </w:t>
      </w:r>
      <w:r w:rsidRPr="004A5BAA">
        <w:t>1180-1211.</w:t>
      </w:r>
    </w:p>
    <w:p w14:paraId="1B92516C" w14:textId="77777777" w:rsidR="00C61C93" w:rsidRPr="004A5BAA" w:rsidRDefault="00C61C93" w:rsidP="00C61C93">
      <w:pPr>
        <w:spacing w:after="0" w:line="240" w:lineRule="auto"/>
      </w:pPr>
    </w:p>
    <w:p w14:paraId="1FF07553" w14:textId="006BF0A1" w:rsidR="00DE7542" w:rsidRPr="004A5BAA" w:rsidRDefault="00DE7542" w:rsidP="00C61C93">
      <w:pPr>
        <w:spacing w:after="0" w:line="240" w:lineRule="auto"/>
      </w:pPr>
      <w:r w:rsidRPr="004A5BAA">
        <w:t xml:space="preserve">Johansson-Stenman, O, </w:t>
      </w:r>
      <w:r w:rsidR="006163FF" w:rsidRPr="004A5BAA">
        <w:t>Mahmud,</w:t>
      </w:r>
      <w:r w:rsidR="00E61430" w:rsidRPr="004A5BAA">
        <w:t xml:space="preserve"> M.</w:t>
      </w:r>
      <w:r w:rsidRPr="004A5BAA">
        <w:t xml:space="preserve"> </w:t>
      </w:r>
      <w:r w:rsidR="002F419A" w:rsidRPr="004A5BAA">
        <w:t>and</w:t>
      </w:r>
      <w:r w:rsidR="00E61430" w:rsidRPr="004A5BAA">
        <w:t xml:space="preserve"> </w:t>
      </w:r>
      <w:r w:rsidR="006163FF" w:rsidRPr="004A5BAA">
        <w:t>Martinsson</w:t>
      </w:r>
      <w:r w:rsidR="00E61430" w:rsidRPr="004A5BAA">
        <w:t>, P.</w:t>
      </w:r>
      <w:r w:rsidR="006163FF" w:rsidRPr="004A5BAA">
        <w:t xml:space="preserve"> </w:t>
      </w:r>
      <w:r w:rsidR="002F419A" w:rsidRPr="004A5BAA">
        <w:t>(</w:t>
      </w:r>
      <w:r w:rsidR="006163FF" w:rsidRPr="004A5BAA">
        <w:t>2009</w:t>
      </w:r>
      <w:r w:rsidR="002F419A" w:rsidRPr="004A5BAA">
        <w:t>),</w:t>
      </w:r>
      <w:r w:rsidRPr="004A5BAA">
        <w:t xml:space="preserve"> </w:t>
      </w:r>
      <w:r w:rsidR="00796D3C" w:rsidRPr="004A5BAA">
        <w:t>“</w:t>
      </w:r>
      <w:r w:rsidRPr="004A5BAA">
        <w:t>Tr</w:t>
      </w:r>
      <w:r w:rsidR="002F419A" w:rsidRPr="004A5BAA">
        <w:t>ust and religion: Experimental evidence from r</w:t>
      </w:r>
      <w:r w:rsidRPr="004A5BAA">
        <w:t>ural Bangladesh</w:t>
      </w:r>
      <w:r w:rsidR="00796D3C" w:rsidRPr="004A5BAA">
        <w:t>”</w:t>
      </w:r>
      <w:r w:rsidR="002F419A" w:rsidRPr="004A5BAA">
        <w:t>,</w:t>
      </w:r>
      <w:r w:rsidRPr="004A5BAA">
        <w:t xml:space="preserve"> </w:t>
      </w:r>
      <w:r w:rsidRPr="004A5BAA">
        <w:rPr>
          <w:i/>
        </w:rPr>
        <w:t>Economica</w:t>
      </w:r>
      <w:r w:rsidR="002F419A" w:rsidRPr="004A5BAA">
        <w:t>,</w:t>
      </w:r>
      <w:r w:rsidRPr="004A5BAA">
        <w:t xml:space="preserve"> </w:t>
      </w:r>
      <w:r w:rsidR="002F419A" w:rsidRPr="004A5BAA">
        <w:t xml:space="preserve">Vol. </w:t>
      </w:r>
      <w:r w:rsidRPr="004A5BAA">
        <w:t>76</w:t>
      </w:r>
      <w:r w:rsidR="002F419A" w:rsidRPr="004A5BAA">
        <w:t xml:space="preserve"> No. </w:t>
      </w:r>
      <w:r w:rsidR="00E61430" w:rsidRPr="004A5BAA">
        <w:t>303</w:t>
      </w:r>
      <w:r w:rsidR="00D4305B" w:rsidRPr="004A5BAA">
        <w:t>,</w:t>
      </w:r>
      <w:r w:rsidRPr="004A5BAA">
        <w:t xml:space="preserve"> </w:t>
      </w:r>
      <w:r w:rsidR="002F419A" w:rsidRPr="004A5BAA">
        <w:t xml:space="preserve">pp. </w:t>
      </w:r>
      <w:r w:rsidRPr="004A5BAA">
        <w:t>462-485.</w:t>
      </w:r>
    </w:p>
    <w:p w14:paraId="7C8352FE" w14:textId="77777777" w:rsidR="00C61C93" w:rsidRPr="004A5BAA" w:rsidRDefault="00C61C93" w:rsidP="00C61C93">
      <w:pPr>
        <w:spacing w:after="0" w:line="240" w:lineRule="auto"/>
      </w:pPr>
    </w:p>
    <w:p w14:paraId="13BF6500" w14:textId="0557C1F9" w:rsidR="009B4A2B" w:rsidRPr="004A5BAA" w:rsidRDefault="009B4A2B" w:rsidP="00C61C93">
      <w:pPr>
        <w:spacing w:after="0" w:line="240" w:lineRule="auto"/>
      </w:pPr>
      <w:r w:rsidRPr="004A5BAA">
        <w:t>Leigh, A</w:t>
      </w:r>
      <w:r w:rsidR="006163FF" w:rsidRPr="004A5BAA">
        <w:t xml:space="preserve">. </w:t>
      </w:r>
      <w:r w:rsidR="00796D3C" w:rsidRPr="004A5BAA">
        <w:t>(</w:t>
      </w:r>
      <w:r w:rsidR="006163FF" w:rsidRPr="004A5BAA">
        <w:t>2006</w:t>
      </w:r>
      <w:r w:rsidR="00796D3C" w:rsidRPr="004A5BAA">
        <w:t>),</w:t>
      </w:r>
      <w:r w:rsidRPr="004A5BAA">
        <w:t xml:space="preserve"> </w:t>
      </w:r>
      <w:r w:rsidR="00796D3C" w:rsidRPr="004A5BAA">
        <w:t>“</w:t>
      </w:r>
      <w:r w:rsidRPr="004A5BAA">
        <w:t xml:space="preserve">Trust, </w:t>
      </w:r>
      <w:r w:rsidR="00796D3C" w:rsidRPr="004A5BAA">
        <w:t>i</w:t>
      </w:r>
      <w:r w:rsidRPr="004A5BAA">
        <w:t xml:space="preserve">nequality and </w:t>
      </w:r>
      <w:r w:rsidR="00796D3C" w:rsidRPr="004A5BAA">
        <w:t>e</w:t>
      </w:r>
      <w:r w:rsidRPr="004A5BAA">
        <w:t xml:space="preserve">thnic </w:t>
      </w:r>
      <w:r w:rsidR="00796D3C" w:rsidRPr="004A5BAA">
        <w:t>heterogeneity,”</w:t>
      </w:r>
      <w:r w:rsidRPr="004A5BAA">
        <w:t xml:space="preserve"> </w:t>
      </w:r>
      <w:r w:rsidRPr="004A5BAA">
        <w:rPr>
          <w:i/>
        </w:rPr>
        <w:t>Economic Record</w:t>
      </w:r>
      <w:r w:rsidR="00796D3C" w:rsidRPr="004A5BAA">
        <w:t>,</w:t>
      </w:r>
      <w:r w:rsidRPr="004A5BAA">
        <w:t xml:space="preserve"> </w:t>
      </w:r>
      <w:r w:rsidR="00796D3C" w:rsidRPr="004A5BAA">
        <w:t xml:space="preserve">Vol. </w:t>
      </w:r>
      <w:r w:rsidRPr="004A5BAA">
        <w:t>82</w:t>
      </w:r>
      <w:r w:rsidR="00796D3C" w:rsidRPr="004A5BAA">
        <w:t xml:space="preserve"> No. </w:t>
      </w:r>
      <w:r w:rsidRPr="004A5BAA">
        <w:t>258</w:t>
      </w:r>
      <w:r w:rsidR="000E1EAE" w:rsidRPr="004A5BAA">
        <w:t>,</w:t>
      </w:r>
      <w:r w:rsidRPr="004A5BAA">
        <w:t xml:space="preserve"> </w:t>
      </w:r>
      <w:r w:rsidR="00796D3C" w:rsidRPr="004A5BAA">
        <w:t xml:space="preserve">pp. </w:t>
      </w:r>
      <w:r w:rsidRPr="004A5BAA">
        <w:t>268-280.</w:t>
      </w:r>
    </w:p>
    <w:p w14:paraId="5D4B1623" w14:textId="6A8EEBBB" w:rsidR="009816F3" w:rsidRDefault="009816F3">
      <w:r>
        <w:br w:type="page"/>
      </w:r>
    </w:p>
    <w:p w14:paraId="07F64884" w14:textId="77777777" w:rsidR="00C61C93" w:rsidRPr="004A5BAA" w:rsidRDefault="00C61C93" w:rsidP="00C61C93">
      <w:pPr>
        <w:spacing w:after="0" w:line="240" w:lineRule="auto"/>
      </w:pPr>
    </w:p>
    <w:p w14:paraId="3092654D" w14:textId="7F6251CE" w:rsidR="00A02F58" w:rsidRPr="004A5BAA" w:rsidRDefault="00A02F58" w:rsidP="00C61C93">
      <w:pPr>
        <w:spacing w:after="0" w:line="240" w:lineRule="auto"/>
      </w:pPr>
      <w:r w:rsidRPr="004A5BAA">
        <w:t>McCleary, R</w:t>
      </w:r>
      <w:r w:rsidR="0050407A" w:rsidRPr="004A5BAA">
        <w:t>.</w:t>
      </w:r>
      <w:r w:rsidRPr="004A5BAA">
        <w:t xml:space="preserve"> </w:t>
      </w:r>
      <w:r w:rsidR="00102B23" w:rsidRPr="004A5BAA">
        <w:t>and</w:t>
      </w:r>
      <w:r w:rsidRPr="004A5BAA">
        <w:t xml:space="preserve"> </w:t>
      </w:r>
      <w:r w:rsidR="006163FF" w:rsidRPr="004A5BAA">
        <w:t>Barro</w:t>
      </w:r>
      <w:r w:rsidR="0050407A" w:rsidRPr="004A5BAA">
        <w:t>, R</w:t>
      </w:r>
      <w:r w:rsidR="006163FF" w:rsidRPr="004A5BAA">
        <w:t xml:space="preserve">. </w:t>
      </w:r>
      <w:r w:rsidR="00102B23" w:rsidRPr="004A5BAA">
        <w:t>(</w:t>
      </w:r>
      <w:r w:rsidR="006163FF" w:rsidRPr="004A5BAA">
        <w:t>2006</w:t>
      </w:r>
      <w:r w:rsidR="00102B23" w:rsidRPr="004A5BAA">
        <w:t>),</w:t>
      </w:r>
      <w:r w:rsidRPr="004A5BAA">
        <w:t xml:space="preserve"> </w:t>
      </w:r>
      <w:r w:rsidR="00102B23" w:rsidRPr="004A5BAA">
        <w:t>“</w:t>
      </w:r>
      <w:r w:rsidRPr="004A5BAA">
        <w:t xml:space="preserve">Religion and </w:t>
      </w:r>
      <w:r w:rsidR="00102B23" w:rsidRPr="004A5BAA">
        <w:t>economy”,</w:t>
      </w:r>
      <w:r w:rsidRPr="004A5BAA">
        <w:t xml:space="preserve"> </w:t>
      </w:r>
      <w:r w:rsidRPr="004A5BAA">
        <w:rPr>
          <w:i/>
        </w:rPr>
        <w:t>Journal of Economic Perspectives</w:t>
      </w:r>
      <w:r w:rsidR="00102B23" w:rsidRPr="004A5BAA">
        <w:t>,</w:t>
      </w:r>
      <w:r w:rsidRPr="004A5BAA">
        <w:t xml:space="preserve"> </w:t>
      </w:r>
      <w:r w:rsidR="00102B23" w:rsidRPr="004A5BAA">
        <w:t xml:space="preserve">Vol. </w:t>
      </w:r>
      <w:r w:rsidRPr="004A5BAA">
        <w:t>20</w:t>
      </w:r>
      <w:r w:rsidR="00102B23" w:rsidRPr="004A5BAA">
        <w:t xml:space="preserve"> No. </w:t>
      </w:r>
      <w:r w:rsidRPr="004A5BAA">
        <w:t>2</w:t>
      </w:r>
      <w:r w:rsidR="000E1EAE" w:rsidRPr="004A5BAA">
        <w:t>,</w:t>
      </w:r>
      <w:r w:rsidRPr="004A5BAA">
        <w:t xml:space="preserve"> </w:t>
      </w:r>
      <w:r w:rsidR="00102B23" w:rsidRPr="004A5BAA">
        <w:t xml:space="preserve">pp. </w:t>
      </w:r>
      <w:r w:rsidRPr="004A5BAA">
        <w:t>49-72.</w:t>
      </w:r>
    </w:p>
    <w:p w14:paraId="1DCD5428" w14:textId="77777777" w:rsidR="008C7110" w:rsidRDefault="008C7110" w:rsidP="008C7110">
      <w:pPr>
        <w:spacing w:after="0" w:line="240" w:lineRule="auto"/>
      </w:pPr>
    </w:p>
    <w:p w14:paraId="6BEAFC13" w14:textId="23FA79E8" w:rsidR="008C7110" w:rsidRDefault="008C7110" w:rsidP="008C7110">
      <w:pPr>
        <w:spacing w:after="0" w:line="240" w:lineRule="auto"/>
      </w:pPr>
      <w:r w:rsidRPr="008C7110">
        <w:rPr>
          <w:highlight w:val="yellow"/>
        </w:rPr>
        <w:t xml:space="preserve">Mattisson, K., Håkansson, C. and Jakobsson K. (2015), “Relationships between commuting and social capital among men and women in Southern Sweden”, </w:t>
      </w:r>
      <w:r w:rsidRPr="008C7110">
        <w:rPr>
          <w:i/>
          <w:highlight w:val="yellow"/>
        </w:rPr>
        <w:t>Environment and Behavior</w:t>
      </w:r>
      <w:r w:rsidRPr="008C7110">
        <w:rPr>
          <w:highlight w:val="yellow"/>
        </w:rPr>
        <w:t>, Vol. 47 No. &amp;, pp.734-753.</w:t>
      </w:r>
    </w:p>
    <w:p w14:paraId="76D048C6" w14:textId="77777777" w:rsidR="008C7110" w:rsidRPr="004A5BAA" w:rsidRDefault="008C7110" w:rsidP="00C61C93">
      <w:pPr>
        <w:spacing w:after="0" w:line="240" w:lineRule="auto"/>
      </w:pPr>
    </w:p>
    <w:p w14:paraId="7B450C91" w14:textId="1DDFF6D6" w:rsidR="00B20C8B" w:rsidRPr="004A5BAA" w:rsidRDefault="00B20C8B" w:rsidP="00C61C93">
      <w:pPr>
        <w:spacing w:after="0" w:line="240" w:lineRule="auto"/>
      </w:pPr>
      <w:r w:rsidRPr="004A5BAA">
        <w:t>Mayer, R</w:t>
      </w:r>
      <w:r w:rsidR="0050407A" w:rsidRPr="004A5BAA">
        <w:t>.</w:t>
      </w:r>
      <w:r w:rsidRPr="004A5BAA">
        <w:t>, Davis, J</w:t>
      </w:r>
      <w:r w:rsidR="0050407A" w:rsidRPr="004A5BAA">
        <w:t>.</w:t>
      </w:r>
      <w:r w:rsidRPr="004A5BAA">
        <w:t xml:space="preserve"> </w:t>
      </w:r>
      <w:r w:rsidR="00102B23" w:rsidRPr="004A5BAA">
        <w:t>and</w:t>
      </w:r>
      <w:r w:rsidR="0050407A" w:rsidRPr="004A5BAA">
        <w:t xml:space="preserve"> </w:t>
      </w:r>
      <w:r w:rsidR="006163FF" w:rsidRPr="004A5BAA">
        <w:t>Schoorman</w:t>
      </w:r>
      <w:r w:rsidR="008C7110">
        <w:t>,</w:t>
      </w:r>
      <w:r w:rsidR="0050407A" w:rsidRPr="004A5BAA">
        <w:t xml:space="preserve"> F</w:t>
      </w:r>
      <w:r w:rsidR="006163FF" w:rsidRPr="004A5BAA">
        <w:t xml:space="preserve">. </w:t>
      </w:r>
      <w:r w:rsidR="00102B23" w:rsidRPr="004A5BAA">
        <w:t>(</w:t>
      </w:r>
      <w:r w:rsidR="006163FF" w:rsidRPr="004A5BAA">
        <w:t>1995</w:t>
      </w:r>
      <w:r w:rsidR="00102B23" w:rsidRPr="004A5BAA">
        <w:t>),</w:t>
      </w:r>
      <w:r w:rsidRPr="004A5BAA">
        <w:t xml:space="preserve"> </w:t>
      </w:r>
      <w:r w:rsidR="00102B23" w:rsidRPr="004A5BAA">
        <w:t>“</w:t>
      </w:r>
      <w:r w:rsidRPr="004A5BAA">
        <w:t xml:space="preserve">An </w:t>
      </w:r>
      <w:r w:rsidR="00102B23" w:rsidRPr="004A5BAA">
        <w:t>i</w:t>
      </w:r>
      <w:r w:rsidRPr="004A5BAA">
        <w:t xml:space="preserve">ntegrative </w:t>
      </w:r>
      <w:r w:rsidR="00102B23" w:rsidRPr="004A5BAA">
        <w:t>m</w:t>
      </w:r>
      <w:r w:rsidRPr="004A5BAA">
        <w:t xml:space="preserve">odel of </w:t>
      </w:r>
      <w:r w:rsidR="00102B23" w:rsidRPr="004A5BAA">
        <w:t>o</w:t>
      </w:r>
      <w:r w:rsidRPr="004A5BAA">
        <w:t xml:space="preserve">rganisational </w:t>
      </w:r>
      <w:r w:rsidR="00102B23" w:rsidRPr="004A5BAA">
        <w:t>trust”,</w:t>
      </w:r>
      <w:r w:rsidRPr="004A5BAA">
        <w:t xml:space="preserve"> </w:t>
      </w:r>
      <w:r w:rsidRPr="004A5BAA">
        <w:rPr>
          <w:i/>
        </w:rPr>
        <w:t>Academy of Management Review</w:t>
      </w:r>
      <w:r w:rsidR="00102B23" w:rsidRPr="004A5BAA">
        <w:t>,</w:t>
      </w:r>
      <w:r w:rsidRPr="004A5BAA">
        <w:t xml:space="preserve"> </w:t>
      </w:r>
      <w:r w:rsidR="00102B23" w:rsidRPr="004A5BAA">
        <w:t xml:space="preserve">Vol. </w:t>
      </w:r>
      <w:r w:rsidRPr="004A5BAA">
        <w:t>20</w:t>
      </w:r>
      <w:r w:rsidR="00102B23" w:rsidRPr="004A5BAA">
        <w:t xml:space="preserve"> No. </w:t>
      </w:r>
      <w:r w:rsidRPr="004A5BAA">
        <w:t>3</w:t>
      </w:r>
      <w:r w:rsidR="000E1EAE" w:rsidRPr="004A5BAA">
        <w:t>,</w:t>
      </w:r>
      <w:r w:rsidRPr="004A5BAA">
        <w:t xml:space="preserve"> </w:t>
      </w:r>
      <w:r w:rsidR="00102B23" w:rsidRPr="004A5BAA">
        <w:t xml:space="preserve">pp. </w:t>
      </w:r>
      <w:r w:rsidRPr="004A5BAA">
        <w:t>709-734.</w:t>
      </w:r>
    </w:p>
    <w:p w14:paraId="6E828459" w14:textId="77777777" w:rsidR="00C61C93" w:rsidRPr="004A5BAA" w:rsidRDefault="00C61C93" w:rsidP="00C61C93">
      <w:pPr>
        <w:spacing w:after="0" w:line="240" w:lineRule="auto"/>
      </w:pPr>
    </w:p>
    <w:p w14:paraId="23000F76" w14:textId="50C65D47" w:rsidR="00DE7542" w:rsidRPr="004A5BAA" w:rsidRDefault="00933A2F" w:rsidP="00C61C93">
      <w:pPr>
        <w:spacing w:after="0" w:line="240" w:lineRule="auto"/>
      </w:pPr>
      <w:r w:rsidRPr="004A5BAA">
        <w:t>Mendolia, S</w:t>
      </w:r>
      <w:r w:rsidR="0050407A" w:rsidRPr="004A5BAA">
        <w:t>.</w:t>
      </w:r>
      <w:r w:rsidRPr="004A5BAA">
        <w:t>, Tosh, A</w:t>
      </w:r>
      <w:r w:rsidR="0050407A" w:rsidRPr="004A5BAA">
        <w:t>.</w:t>
      </w:r>
      <w:r w:rsidRPr="004A5BAA">
        <w:t xml:space="preserve"> </w:t>
      </w:r>
      <w:r w:rsidR="00102B23" w:rsidRPr="004A5BAA">
        <w:t>and</w:t>
      </w:r>
      <w:r w:rsidRPr="004A5BAA">
        <w:t xml:space="preserve"> </w:t>
      </w:r>
      <w:r w:rsidR="006163FF" w:rsidRPr="004A5BAA">
        <w:t>Yerokhin</w:t>
      </w:r>
      <w:r w:rsidR="0050407A" w:rsidRPr="004A5BAA">
        <w:t>, O</w:t>
      </w:r>
      <w:r w:rsidR="006163FF" w:rsidRPr="004A5BAA">
        <w:t xml:space="preserve">. </w:t>
      </w:r>
      <w:r w:rsidR="00102B23" w:rsidRPr="004A5BAA">
        <w:t>(</w:t>
      </w:r>
      <w:r w:rsidR="006163FF" w:rsidRPr="004A5BAA">
        <w:t>2016</w:t>
      </w:r>
      <w:r w:rsidR="00102B23" w:rsidRPr="004A5BAA">
        <w:t>),</w:t>
      </w:r>
      <w:r w:rsidRPr="004A5BAA">
        <w:t xml:space="preserve"> </w:t>
      </w:r>
      <w:r w:rsidR="00102B23" w:rsidRPr="004A5BAA">
        <w:t>“</w:t>
      </w:r>
      <w:r w:rsidRPr="004A5BAA">
        <w:t xml:space="preserve">Ethnic </w:t>
      </w:r>
      <w:r w:rsidR="00102B23" w:rsidRPr="004A5BAA">
        <w:t>d</w:t>
      </w:r>
      <w:r w:rsidRPr="004A5BAA">
        <w:t>iv</w:t>
      </w:r>
      <w:r w:rsidR="00BF5BC3" w:rsidRPr="004A5BAA">
        <w:t xml:space="preserve">ersity and </w:t>
      </w:r>
      <w:r w:rsidR="00102B23" w:rsidRPr="004A5BAA">
        <w:t>t</w:t>
      </w:r>
      <w:r w:rsidR="00BF5BC3" w:rsidRPr="004A5BAA">
        <w:t xml:space="preserve">rust: New </w:t>
      </w:r>
      <w:r w:rsidR="00102B23" w:rsidRPr="004A5BAA">
        <w:t>e</w:t>
      </w:r>
      <w:r w:rsidR="00BF5BC3" w:rsidRPr="004A5BAA">
        <w:t>vidence f</w:t>
      </w:r>
      <w:r w:rsidRPr="004A5BAA">
        <w:t xml:space="preserve">rom Australian </w:t>
      </w:r>
      <w:r w:rsidR="00102B23" w:rsidRPr="004A5BAA">
        <w:t>d</w:t>
      </w:r>
      <w:r w:rsidRPr="004A5BAA">
        <w:t>ata</w:t>
      </w:r>
      <w:r w:rsidR="00102B23" w:rsidRPr="004A5BAA">
        <w:t>”,</w:t>
      </w:r>
      <w:r w:rsidRPr="004A5BAA">
        <w:t xml:space="preserve"> </w:t>
      </w:r>
      <w:r w:rsidRPr="004A5BAA">
        <w:rPr>
          <w:i/>
        </w:rPr>
        <w:t>Economic Record</w:t>
      </w:r>
      <w:r w:rsidR="00102B23" w:rsidRPr="004A5BAA">
        <w:t>,</w:t>
      </w:r>
      <w:r w:rsidRPr="004A5BAA">
        <w:t xml:space="preserve"> </w:t>
      </w:r>
      <w:r w:rsidR="00102B23" w:rsidRPr="004A5BAA">
        <w:t xml:space="preserve">Vol. </w:t>
      </w:r>
      <w:r w:rsidRPr="004A5BAA">
        <w:t>92</w:t>
      </w:r>
      <w:r w:rsidR="00102B23" w:rsidRPr="004A5BAA">
        <w:t xml:space="preserve"> No. </w:t>
      </w:r>
      <w:r w:rsidRPr="004A5BAA">
        <w:t>299</w:t>
      </w:r>
      <w:r w:rsidR="000E1EAE" w:rsidRPr="004A5BAA">
        <w:t>,</w:t>
      </w:r>
      <w:r w:rsidRPr="004A5BAA">
        <w:t xml:space="preserve"> </w:t>
      </w:r>
      <w:r w:rsidR="00102B23" w:rsidRPr="004A5BAA">
        <w:t xml:space="preserve">pp. </w:t>
      </w:r>
      <w:r w:rsidRPr="004A5BAA">
        <w:t>648-665.</w:t>
      </w:r>
    </w:p>
    <w:p w14:paraId="64AA9687" w14:textId="77777777" w:rsidR="00BB57DD" w:rsidRPr="004A5BAA" w:rsidRDefault="00BB57DD" w:rsidP="00C61C93">
      <w:pPr>
        <w:spacing w:after="0" w:line="240" w:lineRule="auto"/>
      </w:pPr>
    </w:p>
    <w:p w14:paraId="7F5DA071" w14:textId="5DE6E2E0" w:rsidR="00BB57DD" w:rsidRPr="004A5BAA" w:rsidRDefault="00BB57DD" w:rsidP="00C61C93">
      <w:pPr>
        <w:spacing w:after="0" w:line="240" w:lineRule="auto"/>
      </w:pPr>
      <w:r w:rsidRPr="004A5BAA">
        <w:t>Navarro</w:t>
      </w:r>
      <w:r w:rsidR="00102B23" w:rsidRPr="004A5BAA">
        <w:t>-Carrillo, G., Valor-Segura, I.</w:t>
      </w:r>
      <w:r w:rsidRPr="004A5BAA">
        <w:t xml:space="preserve"> </w:t>
      </w:r>
      <w:r w:rsidR="00102B23" w:rsidRPr="004A5BAA">
        <w:t>and</w:t>
      </w:r>
      <w:r w:rsidRPr="004A5BAA">
        <w:t xml:space="preserve"> Moya, M. </w:t>
      </w:r>
      <w:r w:rsidR="00102B23" w:rsidRPr="004A5BAA">
        <w:t>(</w:t>
      </w:r>
      <w:r w:rsidR="00D4305B" w:rsidRPr="004A5BAA">
        <w:t>2018</w:t>
      </w:r>
      <w:r w:rsidR="00102B23" w:rsidRPr="004A5BAA">
        <w:t>),</w:t>
      </w:r>
      <w:r w:rsidRPr="004A5BAA">
        <w:t xml:space="preserve"> </w:t>
      </w:r>
      <w:r w:rsidR="00102B23" w:rsidRPr="004A5BAA">
        <w:t>“</w:t>
      </w:r>
      <w:r w:rsidRPr="004A5BAA">
        <w:t xml:space="preserve">Do </w:t>
      </w:r>
      <w:r w:rsidR="00102B23" w:rsidRPr="004A5BAA">
        <w:t>y</w:t>
      </w:r>
      <w:r w:rsidRPr="004A5BAA">
        <w:t xml:space="preserve">ou </w:t>
      </w:r>
      <w:r w:rsidR="00102B23" w:rsidRPr="004A5BAA">
        <w:t>t</w:t>
      </w:r>
      <w:r w:rsidRPr="004A5BAA">
        <w:t xml:space="preserve">rust </w:t>
      </w:r>
      <w:r w:rsidR="00102B23" w:rsidRPr="004A5BAA">
        <w:t>s</w:t>
      </w:r>
      <w:r w:rsidRPr="004A5BAA">
        <w:t xml:space="preserve">trangers, </w:t>
      </w:r>
      <w:r w:rsidR="00102B23" w:rsidRPr="004A5BAA">
        <w:t>c</w:t>
      </w:r>
      <w:r w:rsidRPr="004A5BAA">
        <w:t xml:space="preserve">lose </w:t>
      </w:r>
      <w:r w:rsidR="00102B23" w:rsidRPr="004A5BAA">
        <w:t>a</w:t>
      </w:r>
      <w:r w:rsidRPr="004A5BAA">
        <w:t xml:space="preserve">cquaintances, and </w:t>
      </w:r>
      <w:r w:rsidR="00102B23" w:rsidRPr="004A5BAA">
        <w:t>m</w:t>
      </w:r>
      <w:r w:rsidRPr="004A5BAA">
        <w:t>embers of</w:t>
      </w:r>
      <w:r w:rsidR="00102B23" w:rsidRPr="004A5BAA">
        <w:t xml:space="preserve"> y</w:t>
      </w:r>
      <w:r w:rsidRPr="004A5BAA">
        <w:t xml:space="preserve">our </w:t>
      </w:r>
      <w:r w:rsidR="00102B23" w:rsidRPr="004A5BAA">
        <w:t>i</w:t>
      </w:r>
      <w:r w:rsidRPr="004A5BAA">
        <w:t xml:space="preserve">ngroup? Differences in </w:t>
      </w:r>
      <w:r w:rsidR="00102B23" w:rsidRPr="004A5BAA">
        <w:t>t</w:t>
      </w:r>
      <w:r w:rsidRPr="004A5BAA">
        <w:t xml:space="preserve">rust </w:t>
      </w:r>
      <w:r w:rsidR="00102B23" w:rsidRPr="004A5BAA">
        <w:t>b</w:t>
      </w:r>
      <w:r w:rsidRPr="004A5BAA">
        <w:t xml:space="preserve">ased on </w:t>
      </w:r>
      <w:r w:rsidR="00102B23" w:rsidRPr="004A5BAA">
        <w:t>s</w:t>
      </w:r>
      <w:r w:rsidRPr="004A5BAA">
        <w:t xml:space="preserve">ocial </w:t>
      </w:r>
      <w:r w:rsidR="00102B23" w:rsidRPr="004A5BAA">
        <w:t>c</w:t>
      </w:r>
      <w:r w:rsidRPr="004A5BAA">
        <w:t>lass in S</w:t>
      </w:r>
      <w:r w:rsidR="00102B23" w:rsidRPr="004A5BAA">
        <w:t>pain”,</w:t>
      </w:r>
      <w:r w:rsidRPr="004A5BAA">
        <w:t xml:space="preserve"> </w:t>
      </w:r>
      <w:r w:rsidRPr="004A5BAA">
        <w:rPr>
          <w:i/>
        </w:rPr>
        <w:t>Social Indicators Research</w:t>
      </w:r>
      <w:r w:rsidR="00102B23" w:rsidRPr="004A5BAA">
        <w:t>,</w:t>
      </w:r>
      <w:r w:rsidR="000E1EAE" w:rsidRPr="004A5BAA">
        <w:t xml:space="preserve"> </w:t>
      </w:r>
      <w:r w:rsidR="00102B23" w:rsidRPr="004A5BAA">
        <w:t xml:space="preserve">Vol. 135 No. 2, pp. </w:t>
      </w:r>
      <w:r w:rsidRPr="004A5BAA">
        <w:t>585-597.</w:t>
      </w:r>
    </w:p>
    <w:p w14:paraId="06ED3A70" w14:textId="77777777" w:rsidR="00C61C93" w:rsidRPr="004A5BAA" w:rsidRDefault="00C61C93" w:rsidP="00C61C93">
      <w:pPr>
        <w:spacing w:after="0" w:line="240" w:lineRule="auto"/>
      </w:pPr>
    </w:p>
    <w:p w14:paraId="587C7838" w14:textId="31EAB9ED" w:rsidR="00C61C93" w:rsidRPr="004A5BAA" w:rsidRDefault="003625E6" w:rsidP="00C61C93">
      <w:pPr>
        <w:spacing w:after="0" w:line="240" w:lineRule="auto"/>
      </w:pPr>
      <w:r w:rsidRPr="004A5BAA">
        <w:t xml:space="preserve">Percy, K. </w:t>
      </w:r>
      <w:r w:rsidR="00401E9E" w:rsidRPr="004A5BAA">
        <w:t>and</w:t>
      </w:r>
      <w:r w:rsidRPr="004A5BAA">
        <w:t xml:space="preserve"> Ma</w:t>
      </w:r>
      <w:r w:rsidR="006163FF" w:rsidRPr="004A5BAA">
        <w:t>cMillan</w:t>
      </w:r>
      <w:r w:rsidR="0050407A" w:rsidRPr="004A5BAA">
        <w:t>, J</w:t>
      </w:r>
      <w:r w:rsidR="006163FF" w:rsidRPr="004A5BAA">
        <w:t xml:space="preserve">. </w:t>
      </w:r>
      <w:r w:rsidR="00401E9E" w:rsidRPr="004A5BAA">
        <w:t>(</w:t>
      </w:r>
      <w:r w:rsidR="006163FF" w:rsidRPr="004A5BAA">
        <w:t>2017</w:t>
      </w:r>
      <w:r w:rsidR="00401E9E" w:rsidRPr="004A5BAA">
        <w:t>),</w:t>
      </w:r>
      <w:r w:rsidRPr="004A5BAA">
        <w:t xml:space="preserve"> </w:t>
      </w:r>
      <w:r w:rsidR="009235BA" w:rsidRPr="004A5BAA">
        <w:t>“</w:t>
      </w:r>
      <w:r w:rsidRPr="004A5BAA">
        <w:t xml:space="preserve">Child sex </w:t>
      </w:r>
      <w:r w:rsidR="009235BA" w:rsidRPr="004A5BAA">
        <w:t>a</w:t>
      </w:r>
      <w:r w:rsidRPr="004A5BAA">
        <w:t xml:space="preserve">buse Royal Commission: Jewish </w:t>
      </w:r>
      <w:r w:rsidR="009235BA" w:rsidRPr="004A5BAA">
        <w:t>v</w:t>
      </w:r>
      <w:r w:rsidRPr="004A5BAA">
        <w:t xml:space="preserve">ictims ‘Shunned </w:t>
      </w:r>
      <w:r w:rsidR="006A0515" w:rsidRPr="004A5BAA">
        <w:t>after</w:t>
      </w:r>
      <w:r w:rsidRPr="004A5BAA">
        <w:t xml:space="preserve"> Making Allegations’</w:t>
      </w:r>
      <w:r w:rsidR="009235BA" w:rsidRPr="004A5BAA">
        <w:t>”, available at:</w:t>
      </w:r>
      <w:r w:rsidRPr="004A5BAA">
        <w:t xml:space="preserve"> </w:t>
      </w:r>
      <w:hyperlink r:id="rId10" w:history="1">
        <w:r w:rsidR="00C61C93" w:rsidRPr="004A5BAA">
          <w:rPr>
            <w:rStyle w:val="Hyperlink"/>
          </w:rPr>
          <w:t>http://www.abc.net.au/news/2017-03-23/jewish-leaders-thought-it-was-a-sin-to-report-child-abuse/8380574</w:t>
        </w:r>
      </w:hyperlink>
      <w:r w:rsidR="004108EA" w:rsidRPr="004A5BAA">
        <w:t xml:space="preserve"> </w:t>
      </w:r>
      <w:r w:rsidR="009235BA" w:rsidRPr="004A5BAA">
        <w:t>(a</w:t>
      </w:r>
      <w:r w:rsidR="004108EA" w:rsidRPr="004A5BAA">
        <w:t>ccessed April 23 2017</w:t>
      </w:r>
      <w:r w:rsidR="009235BA" w:rsidRPr="004A5BAA">
        <w:t>).</w:t>
      </w:r>
    </w:p>
    <w:p w14:paraId="266D9AA2" w14:textId="77777777" w:rsidR="004108EA" w:rsidRPr="004A5BAA" w:rsidRDefault="004108EA" w:rsidP="00C61C93">
      <w:pPr>
        <w:spacing w:after="0" w:line="240" w:lineRule="auto"/>
        <w:rPr>
          <w:rFonts w:eastAsia="SimSun"/>
          <w:lang w:val="en-AU" w:eastAsia="en-AU"/>
        </w:rPr>
      </w:pPr>
    </w:p>
    <w:p w14:paraId="21FA331E" w14:textId="77C08B02" w:rsidR="00726287" w:rsidRPr="004A5BAA" w:rsidRDefault="00726287" w:rsidP="00C61C93">
      <w:pPr>
        <w:spacing w:after="0" w:line="240" w:lineRule="auto"/>
        <w:rPr>
          <w:rFonts w:eastAsia="SimSun"/>
          <w:lang w:val="en-AU" w:eastAsia="en-AU"/>
        </w:rPr>
      </w:pPr>
      <w:r w:rsidRPr="004A5BAA">
        <w:rPr>
          <w:rFonts w:eastAsia="SimSun"/>
          <w:lang w:val="en-AU" w:eastAsia="en-AU"/>
        </w:rPr>
        <w:t xml:space="preserve">Putnam, R. </w:t>
      </w:r>
      <w:r w:rsidR="009235BA" w:rsidRPr="004A5BAA">
        <w:rPr>
          <w:rFonts w:eastAsia="SimSun"/>
          <w:lang w:val="en-AU" w:eastAsia="en-AU"/>
        </w:rPr>
        <w:t>(</w:t>
      </w:r>
      <w:r w:rsidRPr="004A5BAA">
        <w:rPr>
          <w:rFonts w:eastAsia="SimSun"/>
          <w:lang w:val="en-AU" w:eastAsia="en-AU"/>
        </w:rPr>
        <w:t>2000</w:t>
      </w:r>
      <w:r w:rsidR="009235BA" w:rsidRPr="004A5BAA">
        <w:rPr>
          <w:rFonts w:eastAsia="SimSun"/>
          <w:lang w:val="en-AU" w:eastAsia="en-AU"/>
        </w:rPr>
        <w:t xml:space="preserve">), </w:t>
      </w:r>
      <w:r w:rsidR="009235BA" w:rsidRPr="004A5BAA">
        <w:rPr>
          <w:rFonts w:eastAsia="SimSun"/>
          <w:i/>
          <w:lang w:val="en-AU" w:eastAsia="en-AU"/>
        </w:rPr>
        <w:t>Bowling a</w:t>
      </w:r>
      <w:r w:rsidRPr="004A5BAA">
        <w:rPr>
          <w:rFonts w:eastAsia="SimSun"/>
          <w:i/>
          <w:lang w:val="en-AU" w:eastAsia="en-AU"/>
        </w:rPr>
        <w:t xml:space="preserve">lone: The </w:t>
      </w:r>
      <w:r w:rsidR="009235BA" w:rsidRPr="004A5BAA">
        <w:rPr>
          <w:rFonts w:eastAsia="SimSun"/>
          <w:i/>
          <w:lang w:val="en-AU" w:eastAsia="en-AU"/>
        </w:rPr>
        <w:t>c</w:t>
      </w:r>
      <w:r w:rsidRPr="004A5BAA">
        <w:rPr>
          <w:rFonts w:eastAsia="SimSun"/>
          <w:i/>
          <w:lang w:val="en-AU" w:eastAsia="en-AU"/>
        </w:rPr>
        <w:t xml:space="preserve">ollapse and </w:t>
      </w:r>
      <w:r w:rsidR="009235BA" w:rsidRPr="004A5BAA">
        <w:rPr>
          <w:rFonts w:eastAsia="SimSun"/>
          <w:i/>
          <w:lang w:val="en-AU" w:eastAsia="en-AU"/>
        </w:rPr>
        <w:t>r</w:t>
      </w:r>
      <w:r w:rsidRPr="004A5BAA">
        <w:rPr>
          <w:rFonts w:eastAsia="SimSun"/>
          <w:i/>
          <w:lang w:val="en-AU" w:eastAsia="en-AU"/>
        </w:rPr>
        <w:t xml:space="preserve">evival of American </w:t>
      </w:r>
      <w:r w:rsidR="009235BA" w:rsidRPr="004A5BAA">
        <w:rPr>
          <w:rFonts w:eastAsia="SimSun"/>
          <w:i/>
          <w:lang w:val="en-AU" w:eastAsia="en-AU"/>
        </w:rPr>
        <w:t>c</w:t>
      </w:r>
      <w:r w:rsidRPr="004A5BAA">
        <w:rPr>
          <w:rFonts w:eastAsia="SimSun"/>
          <w:i/>
          <w:lang w:val="en-AU" w:eastAsia="en-AU"/>
        </w:rPr>
        <w:t>ommunity</w:t>
      </w:r>
      <w:r w:rsidR="009235BA" w:rsidRPr="004A5BAA">
        <w:rPr>
          <w:rFonts w:eastAsia="SimSun"/>
          <w:lang w:val="en-AU" w:eastAsia="en-AU"/>
        </w:rPr>
        <w:t>,</w:t>
      </w:r>
      <w:r w:rsidR="000E1EAE" w:rsidRPr="004A5BAA">
        <w:rPr>
          <w:rFonts w:eastAsia="SimSun"/>
          <w:lang w:val="en-AU" w:eastAsia="en-AU"/>
        </w:rPr>
        <w:t xml:space="preserve"> Simon &amp; Schulster,</w:t>
      </w:r>
      <w:r w:rsidRPr="004A5BAA">
        <w:rPr>
          <w:rFonts w:eastAsia="SimSun"/>
          <w:lang w:val="en-AU" w:eastAsia="en-AU"/>
        </w:rPr>
        <w:t xml:space="preserve"> New York.</w:t>
      </w:r>
    </w:p>
    <w:p w14:paraId="1687BB1A" w14:textId="77777777" w:rsidR="00726287" w:rsidRPr="004A5BAA" w:rsidRDefault="00726287" w:rsidP="00C61C93">
      <w:pPr>
        <w:spacing w:after="0" w:line="240" w:lineRule="auto"/>
        <w:rPr>
          <w:rFonts w:eastAsia="SimSun"/>
          <w:lang w:val="en-AU" w:eastAsia="en-AU"/>
        </w:rPr>
      </w:pPr>
    </w:p>
    <w:p w14:paraId="37FD71EC" w14:textId="45E763BC" w:rsidR="001A6554" w:rsidRPr="004A5BAA" w:rsidRDefault="006163FF" w:rsidP="00C61C93">
      <w:pPr>
        <w:spacing w:after="0" w:line="240" w:lineRule="auto"/>
        <w:rPr>
          <w:rFonts w:eastAsia="SimSun"/>
          <w:lang w:val="en-AU" w:eastAsia="en-AU"/>
        </w:rPr>
      </w:pPr>
      <w:r w:rsidRPr="004A5BAA">
        <w:rPr>
          <w:rFonts w:eastAsia="SimSun"/>
          <w:lang w:val="en-AU" w:eastAsia="en-AU"/>
        </w:rPr>
        <w:t xml:space="preserve">Rodden, J. </w:t>
      </w:r>
      <w:r w:rsidR="009235BA" w:rsidRPr="004A5BAA">
        <w:rPr>
          <w:rFonts w:eastAsia="SimSun"/>
          <w:lang w:val="en-AU" w:eastAsia="en-AU"/>
        </w:rPr>
        <w:t>(</w:t>
      </w:r>
      <w:r w:rsidRPr="004A5BAA">
        <w:rPr>
          <w:rFonts w:eastAsia="SimSun"/>
          <w:lang w:val="en-AU" w:eastAsia="en-AU"/>
        </w:rPr>
        <w:t>2013</w:t>
      </w:r>
      <w:r w:rsidR="009235BA" w:rsidRPr="004A5BAA">
        <w:rPr>
          <w:rFonts w:eastAsia="SimSun"/>
          <w:lang w:val="en-AU" w:eastAsia="en-AU"/>
        </w:rPr>
        <w:t>),</w:t>
      </w:r>
      <w:r w:rsidR="001A6554" w:rsidRPr="004A5BAA">
        <w:rPr>
          <w:rFonts w:eastAsia="SimSun"/>
          <w:lang w:val="en-AU" w:eastAsia="en-AU"/>
        </w:rPr>
        <w:t xml:space="preserve"> </w:t>
      </w:r>
      <w:r w:rsidR="00FB172A" w:rsidRPr="004A5BAA">
        <w:rPr>
          <w:rFonts w:eastAsia="SimSun"/>
          <w:lang w:val="en-AU" w:eastAsia="en-AU"/>
        </w:rPr>
        <w:t>“</w:t>
      </w:r>
      <w:r w:rsidR="001A6554" w:rsidRPr="004A5BAA">
        <w:rPr>
          <w:rFonts w:eastAsia="SimSun"/>
          <w:lang w:val="en-AU" w:eastAsia="en-AU"/>
        </w:rPr>
        <w:t xml:space="preserve">Less </w:t>
      </w:r>
      <w:r w:rsidR="009235BA" w:rsidRPr="004A5BAA">
        <w:rPr>
          <w:rFonts w:eastAsia="SimSun"/>
          <w:lang w:val="en-AU" w:eastAsia="en-AU"/>
        </w:rPr>
        <w:t>‘</w:t>
      </w:r>
      <w:r w:rsidR="001A6554" w:rsidRPr="004A5BAA">
        <w:rPr>
          <w:rFonts w:eastAsia="SimSun"/>
          <w:lang w:val="en-AU" w:eastAsia="en-AU"/>
        </w:rPr>
        <w:t>Catholic</w:t>
      </w:r>
      <w:r w:rsidR="009235BA" w:rsidRPr="004A5BAA">
        <w:rPr>
          <w:rFonts w:eastAsia="SimSun"/>
          <w:lang w:val="en-AU" w:eastAsia="en-AU"/>
        </w:rPr>
        <w:t>’, m</w:t>
      </w:r>
      <w:r w:rsidR="001A6554" w:rsidRPr="004A5BAA">
        <w:rPr>
          <w:rFonts w:eastAsia="SimSun"/>
          <w:lang w:val="en-AU" w:eastAsia="en-AU"/>
        </w:rPr>
        <w:t xml:space="preserve">ore </w:t>
      </w:r>
      <w:r w:rsidR="009235BA" w:rsidRPr="004A5BAA">
        <w:rPr>
          <w:rFonts w:eastAsia="SimSun"/>
          <w:lang w:val="en-AU" w:eastAsia="en-AU"/>
        </w:rPr>
        <w:t>‘</w:t>
      </w:r>
      <w:r w:rsidR="001A6554" w:rsidRPr="004A5BAA">
        <w:rPr>
          <w:rFonts w:eastAsia="SimSun"/>
          <w:lang w:val="en-AU" w:eastAsia="en-AU"/>
        </w:rPr>
        <w:t>catholic</w:t>
      </w:r>
      <w:r w:rsidR="009235BA" w:rsidRPr="004A5BAA">
        <w:rPr>
          <w:rFonts w:eastAsia="SimSun"/>
          <w:lang w:val="en-AU" w:eastAsia="en-AU"/>
        </w:rPr>
        <w:t>’</w:t>
      </w:r>
      <w:r w:rsidR="001A6554" w:rsidRPr="004A5BAA">
        <w:rPr>
          <w:rFonts w:eastAsia="SimSun"/>
          <w:lang w:val="en-AU" w:eastAsia="en-AU"/>
        </w:rPr>
        <w:t xml:space="preserve">? American Catholic </w:t>
      </w:r>
      <w:r w:rsidR="009235BA" w:rsidRPr="004A5BAA">
        <w:rPr>
          <w:rFonts w:eastAsia="SimSun"/>
          <w:lang w:val="en-AU" w:eastAsia="en-AU"/>
        </w:rPr>
        <w:t>universities since Vatican II”,</w:t>
      </w:r>
      <w:r w:rsidR="001A6554" w:rsidRPr="004A5BAA">
        <w:rPr>
          <w:rFonts w:eastAsia="SimSun"/>
          <w:lang w:val="en-AU" w:eastAsia="en-AU"/>
        </w:rPr>
        <w:t xml:space="preserve"> </w:t>
      </w:r>
      <w:r w:rsidR="001A6554" w:rsidRPr="004A5BAA">
        <w:rPr>
          <w:rFonts w:eastAsia="SimSun"/>
          <w:i/>
          <w:lang w:val="en-AU" w:eastAsia="en-AU"/>
        </w:rPr>
        <w:t>Society</w:t>
      </w:r>
      <w:r w:rsidR="009235BA" w:rsidRPr="004A5BAA">
        <w:rPr>
          <w:rFonts w:eastAsia="SimSun"/>
          <w:lang w:val="en-AU" w:eastAsia="en-AU"/>
        </w:rPr>
        <w:t>,</w:t>
      </w:r>
      <w:r w:rsidR="001A6554" w:rsidRPr="004A5BAA">
        <w:rPr>
          <w:rFonts w:eastAsia="SimSun"/>
          <w:lang w:val="en-AU" w:eastAsia="en-AU"/>
        </w:rPr>
        <w:t xml:space="preserve"> </w:t>
      </w:r>
      <w:r w:rsidR="009235BA" w:rsidRPr="004A5BAA">
        <w:rPr>
          <w:rFonts w:eastAsia="SimSun"/>
          <w:lang w:val="en-AU" w:eastAsia="en-AU"/>
        </w:rPr>
        <w:t xml:space="preserve">Vol. </w:t>
      </w:r>
      <w:r w:rsidR="001A6554" w:rsidRPr="004A5BAA">
        <w:rPr>
          <w:rFonts w:eastAsia="SimSun"/>
          <w:lang w:val="en-AU" w:eastAsia="en-AU"/>
        </w:rPr>
        <w:t>50</w:t>
      </w:r>
      <w:r w:rsidR="009235BA" w:rsidRPr="004A5BAA">
        <w:rPr>
          <w:rFonts w:eastAsia="SimSun"/>
          <w:lang w:val="en-AU" w:eastAsia="en-AU"/>
        </w:rPr>
        <w:t xml:space="preserve"> No. </w:t>
      </w:r>
      <w:r w:rsidR="001A6554" w:rsidRPr="004A5BAA">
        <w:rPr>
          <w:rFonts w:eastAsia="SimSun"/>
          <w:lang w:val="en-AU" w:eastAsia="en-AU"/>
        </w:rPr>
        <w:t>(1)</w:t>
      </w:r>
      <w:r w:rsidR="000E1EAE" w:rsidRPr="004A5BAA">
        <w:rPr>
          <w:rFonts w:eastAsia="SimSun"/>
          <w:lang w:val="en-AU" w:eastAsia="en-AU"/>
        </w:rPr>
        <w:t>,</w:t>
      </w:r>
      <w:r w:rsidR="001A6554" w:rsidRPr="004A5BAA">
        <w:rPr>
          <w:rFonts w:eastAsia="SimSun"/>
          <w:lang w:val="en-AU" w:eastAsia="en-AU"/>
        </w:rPr>
        <w:t xml:space="preserve"> </w:t>
      </w:r>
      <w:r w:rsidR="009235BA" w:rsidRPr="004A5BAA">
        <w:rPr>
          <w:rFonts w:eastAsia="SimSun"/>
          <w:lang w:val="en-AU" w:eastAsia="en-AU"/>
        </w:rPr>
        <w:t xml:space="preserve">pp. </w:t>
      </w:r>
      <w:r w:rsidR="001A6554" w:rsidRPr="004A5BAA">
        <w:rPr>
          <w:rFonts w:eastAsia="SimSun"/>
          <w:lang w:val="en-AU" w:eastAsia="en-AU"/>
        </w:rPr>
        <w:t>21-27.</w:t>
      </w:r>
    </w:p>
    <w:p w14:paraId="684EF302" w14:textId="77777777" w:rsidR="00C61C93" w:rsidRPr="004A5BAA" w:rsidRDefault="00C61C93" w:rsidP="00C61C93">
      <w:pPr>
        <w:spacing w:after="0" w:line="240" w:lineRule="auto"/>
        <w:rPr>
          <w:rFonts w:eastAsia="SimSun"/>
          <w:lang w:val="en-AU" w:eastAsia="en-AU"/>
        </w:rPr>
      </w:pPr>
    </w:p>
    <w:p w14:paraId="110839DD" w14:textId="2A72BC19" w:rsidR="00B20C8B" w:rsidRPr="004A5BAA" w:rsidRDefault="00B20C8B" w:rsidP="00C61C93">
      <w:pPr>
        <w:spacing w:after="0" w:line="240" w:lineRule="auto"/>
      </w:pPr>
      <w:r w:rsidRPr="004A5BAA">
        <w:t>Rousseau, D</w:t>
      </w:r>
      <w:r w:rsidR="0050407A" w:rsidRPr="004A5BAA">
        <w:t>.</w:t>
      </w:r>
      <w:r w:rsidRPr="004A5BAA">
        <w:t xml:space="preserve">, </w:t>
      </w:r>
      <w:r w:rsidR="006163FF" w:rsidRPr="004A5BAA">
        <w:t>Sitkin</w:t>
      </w:r>
      <w:r w:rsidRPr="004A5BAA">
        <w:t>,</w:t>
      </w:r>
      <w:r w:rsidR="0050407A" w:rsidRPr="004A5BAA">
        <w:t xml:space="preserve"> S.,</w:t>
      </w:r>
      <w:r w:rsidRPr="004A5BAA">
        <w:t xml:space="preserve"> </w:t>
      </w:r>
      <w:r w:rsidR="006163FF" w:rsidRPr="004A5BAA">
        <w:t>Burt,</w:t>
      </w:r>
      <w:r w:rsidR="0050407A" w:rsidRPr="004A5BAA">
        <w:t xml:space="preserve"> R.</w:t>
      </w:r>
      <w:r w:rsidRPr="004A5BAA">
        <w:t xml:space="preserve"> </w:t>
      </w:r>
      <w:r w:rsidR="009235BA" w:rsidRPr="004A5BAA">
        <w:t>and</w:t>
      </w:r>
      <w:r w:rsidRPr="004A5BAA">
        <w:t xml:space="preserve"> </w:t>
      </w:r>
      <w:r w:rsidR="006163FF" w:rsidRPr="004A5BAA">
        <w:t>Camerer</w:t>
      </w:r>
      <w:r w:rsidR="0050407A" w:rsidRPr="004A5BAA">
        <w:t>, C</w:t>
      </w:r>
      <w:r w:rsidR="006163FF" w:rsidRPr="004A5BAA">
        <w:t xml:space="preserve">. </w:t>
      </w:r>
      <w:r w:rsidR="009235BA" w:rsidRPr="004A5BAA">
        <w:t>(</w:t>
      </w:r>
      <w:r w:rsidR="006163FF" w:rsidRPr="004A5BAA">
        <w:t>1998</w:t>
      </w:r>
      <w:r w:rsidR="009235BA" w:rsidRPr="004A5BAA">
        <w:t>),</w:t>
      </w:r>
      <w:r w:rsidRPr="004A5BAA">
        <w:t xml:space="preserve"> </w:t>
      </w:r>
      <w:r w:rsidR="009235BA" w:rsidRPr="004A5BAA">
        <w:t>“</w:t>
      </w:r>
      <w:r w:rsidRPr="004A5BAA">
        <w:t xml:space="preserve">Not </w:t>
      </w:r>
      <w:r w:rsidR="009235BA" w:rsidRPr="004A5BAA">
        <w:t>s</w:t>
      </w:r>
      <w:r w:rsidRPr="004A5BAA">
        <w:t xml:space="preserve">o </w:t>
      </w:r>
      <w:r w:rsidR="009235BA" w:rsidRPr="004A5BAA">
        <w:t>d</w:t>
      </w:r>
      <w:r w:rsidRPr="004A5BAA">
        <w:t xml:space="preserve">ifferent </w:t>
      </w:r>
      <w:r w:rsidR="009235BA" w:rsidRPr="004A5BAA">
        <w:t>a</w:t>
      </w:r>
      <w:r w:rsidRPr="004A5BAA">
        <w:t xml:space="preserve">fter </w:t>
      </w:r>
      <w:r w:rsidR="009235BA" w:rsidRPr="004A5BAA">
        <w:t>a</w:t>
      </w:r>
      <w:r w:rsidRPr="004A5BAA">
        <w:t xml:space="preserve">ll: A </w:t>
      </w:r>
      <w:r w:rsidR="009235BA" w:rsidRPr="004A5BAA">
        <w:t>c</w:t>
      </w:r>
      <w:r w:rsidRPr="004A5BAA">
        <w:t>ross-</w:t>
      </w:r>
      <w:r w:rsidR="009235BA" w:rsidRPr="004A5BAA">
        <w:t>d</w:t>
      </w:r>
      <w:r w:rsidRPr="004A5BAA">
        <w:t xml:space="preserve">iscipline </w:t>
      </w:r>
      <w:r w:rsidR="009235BA" w:rsidRPr="004A5BAA">
        <w:t>v</w:t>
      </w:r>
      <w:r w:rsidRPr="004A5BAA">
        <w:t xml:space="preserve">iew of </w:t>
      </w:r>
      <w:r w:rsidR="009235BA" w:rsidRPr="004A5BAA">
        <w:t>trust”,</w:t>
      </w:r>
      <w:r w:rsidRPr="004A5BAA">
        <w:t xml:space="preserve"> </w:t>
      </w:r>
      <w:r w:rsidRPr="004A5BAA">
        <w:rPr>
          <w:i/>
        </w:rPr>
        <w:t>Academy of Management Review</w:t>
      </w:r>
      <w:r w:rsidR="009235BA" w:rsidRPr="004A5BAA">
        <w:t>,</w:t>
      </w:r>
      <w:r w:rsidRPr="004A5BAA">
        <w:t xml:space="preserve"> </w:t>
      </w:r>
      <w:r w:rsidR="009235BA" w:rsidRPr="004A5BAA">
        <w:t xml:space="preserve">Vol. </w:t>
      </w:r>
      <w:r w:rsidRPr="004A5BAA">
        <w:t>23</w:t>
      </w:r>
      <w:r w:rsidR="009235BA" w:rsidRPr="004A5BAA">
        <w:t xml:space="preserve"> No. </w:t>
      </w:r>
      <w:r w:rsidRPr="004A5BAA">
        <w:t>3</w:t>
      </w:r>
      <w:r w:rsidR="000E1EAE" w:rsidRPr="004A5BAA">
        <w:t>,</w:t>
      </w:r>
      <w:r w:rsidRPr="004A5BAA">
        <w:t xml:space="preserve"> </w:t>
      </w:r>
      <w:r w:rsidR="009235BA" w:rsidRPr="004A5BAA">
        <w:t xml:space="preserve">pp. </w:t>
      </w:r>
      <w:r w:rsidRPr="004A5BAA">
        <w:t>393-404.</w:t>
      </w:r>
    </w:p>
    <w:p w14:paraId="4C9A3B0A" w14:textId="77777777" w:rsidR="00C61C93" w:rsidRPr="004A5BAA" w:rsidRDefault="00C61C93" w:rsidP="00C61C93">
      <w:pPr>
        <w:spacing w:after="0" w:line="240" w:lineRule="auto"/>
      </w:pPr>
    </w:p>
    <w:p w14:paraId="03A07F92" w14:textId="2C744222" w:rsidR="009B4A2B" w:rsidRPr="004A5BAA" w:rsidRDefault="009B4A2B" w:rsidP="00C61C93">
      <w:pPr>
        <w:spacing w:after="0" w:line="240" w:lineRule="auto"/>
      </w:pPr>
      <w:r w:rsidRPr="004A5BAA">
        <w:t>Sarkissian, A</w:t>
      </w:r>
      <w:r w:rsidR="006163FF" w:rsidRPr="004A5BAA">
        <w:t xml:space="preserve">. </w:t>
      </w:r>
      <w:r w:rsidR="009235BA" w:rsidRPr="004A5BAA">
        <w:t>(</w:t>
      </w:r>
      <w:r w:rsidR="006163FF" w:rsidRPr="004A5BAA">
        <w:t>2012</w:t>
      </w:r>
      <w:r w:rsidR="009235BA" w:rsidRPr="004A5BAA">
        <w:t>),</w:t>
      </w:r>
      <w:r w:rsidRPr="004A5BAA">
        <w:t xml:space="preserve"> </w:t>
      </w:r>
      <w:r w:rsidR="009235BA" w:rsidRPr="004A5BAA">
        <w:t>“Religion and c</w:t>
      </w:r>
      <w:r w:rsidRPr="004A5BAA">
        <w:t xml:space="preserve">ivic </w:t>
      </w:r>
      <w:r w:rsidR="009235BA" w:rsidRPr="004A5BAA">
        <w:t>e</w:t>
      </w:r>
      <w:r w:rsidRPr="004A5BAA">
        <w:t xml:space="preserve">ngagement in Muslim </w:t>
      </w:r>
      <w:r w:rsidR="009235BA" w:rsidRPr="004A5BAA">
        <w:t>countries”,</w:t>
      </w:r>
      <w:r w:rsidRPr="004A5BAA">
        <w:t xml:space="preserve"> </w:t>
      </w:r>
      <w:r w:rsidRPr="004A5BAA">
        <w:rPr>
          <w:i/>
        </w:rPr>
        <w:t>Journal for the Scien</w:t>
      </w:r>
      <w:r w:rsidR="00FB172A" w:rsidRPr="004A5BAA">
        <w:rPr>
          <w:i/>
        </w:rPr>
        <w:t>tific Study of Religion</w:t>
      </w:r>
      <w:r w:rsidR="009235BA" w:rsidRPr="004A5BAA">
        <w:t>,</w:t>
      </w:r>
      <w:r w:rsidRPr="004A5BAA">
        <w:t xml:space="preserve"> </w:t>
      </w:r>
      <w:r w:rsidR="009235BA" w:rsidRPr="004A5BAA">
        <w:t xml:space="preserve">Vol. </w:t>
      </w:r>
      <w:r w:rsidRPr="004A5BAA">
        <w:t>51</w:t>
      </w:r>
      <w:r w:rsidR="009235BA" w:rsidRPr="004A5BAA">
        <w:t xml:space="preserve"> No. </w:t>
      </w:r>
      <w:r w:rsidRPr="004A5BAA">
        <w:t>(4)</w:t>
      </w:r>
      <w:r w:rsidR="000E1EAE" w:rsidRPr="004A5BAA">
        <w:t>,</w:t>
      </w:r>
      <w:r w:rsidRPr="004A5BAA">
        <w:t xml:space="preserve"> </w:t>
      </w:r>
      <w:r w:rsidR="009235BA" w:rsidRPr="004A5BAA">
        <w:t xml:space="preserve">pp. </w:t>
      </w:r>
      <w:r w:rsidRPr="004A5BAA">
        <w:t>607-622.</w:t>
      </w:r>
    </w:p>
    <w:p w14:paraId="5A753DB4" w14:textId="77777777" w:rsidR="00C61C93" w:rsidRPr="004A5BAA" w:rsidRDefault="00C61C93" w:rsidP="00C61C93">
      <w:pPr>
        <w:spacing w:after="0" w:line="240" w:lineRule="auto"/>
      </w:pPr>
    </w:p>
    <w:p w14:paraId="3F4AC4ED" w14:textId="59A1B442" w:rsidR="00085C40" w:rsidRPr="004A5BAA" w:rsidRDefault="00085C40" w:rsidP="00C61C93">
      <w:pPr>
        <w:spacing w:after="0" w:line="240" w:lineRule="auto"/>
      </w:pPr>
      <w:r w:rsidRPr="004A5BAA">
        <w:t>Stark, R</w:t>
      </w:r>
      <w:r w:rsidR="0050407A" w:rsidRPr="004A5BAA">
        <w:t>.</w:t>
      </w:r>
      <w:r w:rsidRPr="004A5BAA">
        <w:t xml:space="preserve"> </w:t>
      </w:r>
      <w:r w:rsidR="009235BA" w:rsidRPr="004A5BAA">
        <w:t>and</w:t>
      </w:r>
      <w:r w:rsidRPr="004A5BAA">
        <w:t xml:space="preserve"> </w:t>
      </w:r>
      <w:r w:rsidR="004108EA" w:rsidRPr="004A5BAA">
        <w:t>Finke</w:t>
      </w:r>
      <w:r w:rsidR="006163FF" w:rsidRPr="004A5BAA">
        <w:t xml:space="preserve"> </w:t>
      </w:r>
      <w:r w:rsidR="004108EA" w:rsidRPr="004A5BAA">
        <w:t>R</w:t>
      </w:r>
      <w:r w:rsidR="006163FF" w:rsidRPr="004A5BAA">
        <w:t xml:space="preserve">. </w:t>
      </w:r>
      <w:r w:rsidR="009235BA" w:rsidRPr="004A5BAA">
        <w:t>(</w:t>
      </w:r>
      <w:r w:rsidR="006163FF" w:rsidRPr="004A5BAA">
        <w:t>2000</w:t>
      </w:r>
      <w:r w:rsidR="009235BA" w:rsidRPr="004A5BAA">
        <w:t>),</w:t>
      </w:r>
      <w:r w:rsidRPr="004A5BAA">
        <w:t xml:space="preserve"> </w:t>
      </w:r>
      <w:r w:rsidRPr="004A5BAA">
        <w:rPr>
          <w:i/>
        </w:rPr>
        <w:t xml:space="preserve">Acts of </w:t>
      </w:r>
      <w:r w:rsidR="009235BA" w:rsidRPr="004A5BAA">
        <w:rPr>
          <w:i/>
        </w:rPr>
        <w:t>f</w:t>
      </w:r>
      <w:r w:rsidRPr="004A5BAA">
        <w:rPr>
          <w:i/>
        </w:rPr>
        <w:t xml:space="preserve">aith: </w:t>
      </w:r>
      <w:r w:rsidR="009235BA" w:rsidRPr="004A5BAA">
        <w:rPr>
          <w:i/>
        </w:rPr>
        <w:t>E</w:t>
      </w:r>
      <w:r w:rsidRPr="004A5BAA">
        <w:rPr>
          <w:i/>
        </w:rPr>
        <w:t xml:space="preserve">xplaining the </w:t>
      </w:r>
      <w:r w:rsidR="009235BA" w:rsidRPr="004A5BAA">
        <w:rPr>
          <w:i/>
        </w:rPr>
        <w:t>human si</w:t>
      </w:r>
      <w:r w:rsidRPr="004A5BAA">
        <w:rPr>
          <w:i/>
        </w:rPr>
        <w:t xml:space="preserve">de of </w:t>
      </w:r>
      <w:r w:rsidR="009235BA" w:rsidRPr="004A5BAA">
        <w:rPr>
          <w:i/>
        </w:rPr>
        <w:t>r</w:t>
      </w:r>
      <w:r w:rsidRPr="004A5BAA">
        <w:rPr>
          <w:i/>
        </w:rPr>
        <w:t>eligion</w:t>
      </w:r>
      <w:r w:rsidR="009235BA" w:rsidRPr="004A5BAA">
        <w:t xml:space="preserve">, </w:t>
      </w:r>
      <w:r w:rsidRPr="004A5BAA">
        <w:t>University</w:t>
      </w:r>
      <w:r w:rsidR="00FB172A" w:rsidRPr="004A5BAA">
        <w:t xml:space="preserve"> of California Press</w:t>
      </w:r>
      <w:r w:rsidR="000E1EAE" w:rsidRPr="004A5BAA">
        <w:t>, California</w:t>
      </w:r>
      <w:r w:rsidRPr="004A5BAA">
        <w:t>.</w:t>
      </w:r>
    </w:p>
    <w:p w14:paraId="2C425F58" w14:textId="4C67FC2D" w:rsidR="00C61C93" w:rsidRPr="004A5BAA" w:rsidRDefault="00C61C93" w:rsidP="00C61C93">
      <w:pPr>
        <w:spacing w:after="0" w:line="240" w:lineRule="auto"/>
      </w:pPr>
    </w:p>
    <w:p w14:paraId="1960040F" w14:textId="1D57CD21" w:rsidR="00734E90" w:rsidRPr="004A5BAA" w:rsidRDefault="006163FF" w:rsidP="00C61C93">
      <w:pPr>
        <w:spacing w:after="0" w:line="240" w:lineRule="auto"/>
      </w:pPr>
      <w:r w:rsidRPr="004A5BAA">
        <w:t xml:space="preserve">Ward, I. </w:t>
      </w:r>
      <w:r w:rsidR="009235BA" w:rsidRPr="004A5BAA">
        <w:t>(</w:t>
      </w:r>
      <w:r w:rsidRPr="004A5BAA">
        <w:t>2015</w:t>
      </w:r>
      <w:r w:rsidR="009235BA" w:rsidRPr="004A5BAA">
        <w:t>),</w:t>
      </w:r>
      <w:r w:rsidR="00734E90" w:rsidRPr="004A5BAA">
        <w:t xml:space="preserve"> </w:t>
      </w:r>
      <w:r w:rsidR="009235BA" w:rsidRPr="004A5BAA">
        <w:t>“</w:t>
      </w:r>
      <w:r w:rsidR="00734E90" w:rsidRPr="004A5BAA">
        <w:t xml:space="preserve">Tea </w:t>
      </w:r>
      <w:r w:rsidR="009235BA" w:rsidRPr="004A5BAA">
        <w:t>P</w:t>
      </w:r>
      <w:r w:rsidR="00734E90" w:rsidRPr="004A5BAA">
        <w:t xml:space="preserve">arty </w:t>
      </w:r>
      <w:r w:rsidR="009235BA" w:rsidRPr="004A5BAA">
        <w:t>i</w:t>
      </w:r>
      <w:r w:rsidR="00734E90" w:rsidRPr="004A5BAA">
        <w:t xml:space="preserve">mitators? The </w:t>
      </w:r>
      <w:r w:rsidR="009235BA" w:rsidRPr="004A5BAA">
        <w:t>c</w:t>
      </w:r>
      <w:r w:rsidR="00734E90" w:rsidRPr="004A5BAA">
        <w:t xml:space="preserve">ampaign </w:t>
      </w:r>
      <w:r w:rsidR="006306B5" w:rsidRPr="004A5BAA">
        <w:t>a</w:t>
      </w:r>
      <w:r w:rsidR="00734E90" w:rsidRPr="004A5BAA">
        <w:t xml:space="preserve">gainst the </w:t>
      </w:r>
      <w:r w:rsidR="009235BA" w:rsidRPr="004A5BAA">
        <w:t>c</w:t>
      </w:r>
      <w:r w:rsidR="00734E90" w:rsidRPr="004A5BAA">
        <w:t xml:space="preserve">arbon </w:t>
      </w:r>
      <w:r w:rsidR="009235BA" w:rsidRPr="004A5BAA">
        <w:t>t</w:t>
      </w:r>
      <w:r w:rsidR="00734E90" w:rsidRPr="004A5BAA">
        <w:t xml:space="preserve">ax, the </w:t>
      </w:r>
      <w:r w:rsidR="009235BA" w:rsidRPr="004A5BAA">
        <w:t>m</w:t>
      </w:r>
      <w:r w:rsidR="00734E90" w:rsidRPr="004A5BAA">
        <w:t xml:space="preserve">edia and a </w:t>
      </w:r>
      <w:r w:rsidR="009235BA" w:rsidRPr="004A5BAA">
        <w:t>n</w:t>
      </w:r>
      <w:r w:rsidR="00734E90" w:rsidRPr="004A5BAA">
        <w:t xml:space="preserve">ew </w:t>
      </w:r>
      <w:r w:rsidR="009235BA" w:rsidRPr="004A5BAA">
        <w:t>u</w:t>
      </w:r>
      <w:r w:rsidR="00734E90" w:rsidRPr="004A5BAA">
        <w:t xml:space="preserve">ncivil </w:t>
      </w:r>
      <w:r w:rsidR="009235BA" w:rsidRPr="004A5BAA">
        <w:t>p</w:t>
      </w:r>
      <w:r w:rsidR="00734E90" w:rsidRPr="004A5BAA">
        <w:t>olitics</w:t>
      </w:r>
      <w:r w:rsidR="00FB172A" w:rsidRPr="004A5BAA">
        <w:t>”</w:t>
      </w:r>
      <w:r w:rsidR="009235BA" w:rsidRPr="004A5BAA">
        <w:t>,</w:t>
      </w:r>
      <w:r w:rsidR="00734E90" w:rsidRPr="004A5BAA">
        <w:t xml:space="preserve"> </w:t>
      </w:r>
      <w:r w:rsidR="00734E90" w:rsidRPr="004A5BAA">
        <w:rPr>
          <w:i/>
        </w:rPr>
        <w:t>Australian Journal of Political Science</w:t>
      </w:r>
      <w:r w:rsidR="009235BA" w:rsidRPr="004A5BAA">
        <w:t>, Vol. 50 No. 2, pp. 225-240.</w:t>
      </w:r>
    </w:p>
    <w:p w14:paraId="1612DAF1" w14:textId="77777777" w:rsidR="00724B55" w:rsidRPr="004A5BAA" w:rsidRDefault="00724B55" w:rsidP="00C61C93">
      <w:pPr>
        <w:spacing w:after="0" w:line="240" w:lineRule="auto"/>
      </w:pPr>
    </w:p>
    <w:p w14:paraId="32719D7A" w14:textId="2746C7FD" w:rsidR="00B20C8B" w:rsidRPr="004A5BAA" w:rsidRDefault="00B20C8B" w:rsidP="00C61C93">
      <w:pPr>
        <w:spacing w:after="0" w:line="240" w:lineRule="auto"/>
      </w:pPr>
      <w:r w:rsidRPr="004A5BAA">
        <w:t xml:space="preserve">Welch, M., </w:t>
      </w:r>
      <w:r w:rsidR="006163FF" w:rsidRPr="004A5BAA">
        <w:t>Sikkink,</w:t>
      </w:r>
      <w:r w:rsidR="00724B55" w:rsidRPr="004A5BAA">
        <w:t xml:space="preserve"> D.,</w:t>
      </w:r>
      <w:r w:rsidRPr="004A5BAA">
        <w:t xml:space="preserve"> </w:t>
      </w:r>
      <w:r w:rsidR="006163FF" w:rsidRPr="004A5BAA">
        <w:t>Sartain</w:t>
      </w:r>
      <w:r w:rsidRPr="004A5BAA">
        <w:t>,</w:t>
      </w:r>
      <w:r w:rsidR="00724B55" w:rsidRPr="004A5BAA">
        <w:t xml:space="preserve"> E.</w:t>
      </w:r>
      <w:r w:rsidR="006163FF" w:rsidRPr="004A5BAA">
        <w:t xml:space="preserve"> </w:t>
      </w:r>
      <w:r w:rsidR="00476DA8" w:rsidRPr="004A5BAA">
        <w:t>and</w:t>
      </w:r>
      <w:r w:rsidRPr="004A5BAA">
        <w:t xml:space="preserve"> </w:t>
      </w:r>
      <w:r w:rsidR="006163FF" w:rsidRPr="004A5BAA">
        <w:t>Bond</w:t>
      </w:r>
      <w:r w:rsidR="00724B55" w:rsidRPr="004A5BAA">
        <w:t>, C</w:t>
      </w:r>
      <w:r w:rsidR="006163FF" w:rsidRPr="004A5BAA">
        <w:t xml:space="preserve">. </w:t>
      </w:r>
      <w:r w:rsidR="00476DA8" w:rsidRPr="004A5BAA">
        <w:t>(</w:t>
      </w:r>
      <w:r w:rsidR="006163FF" w:rsidRPr="004A5BAA">
        <w:t>2004</w:t>
      </w:r>
      <w:r w:rsidR="00476DA8" w:rsidRPr="004A5BAA">
        <w:t>),</w:t>
      </w:r>
      <w:r w:rsidRPr="004A5BAA">
        <w:t xml:space="preserve"> </w:t>
      </w:r>
      <w:r w:rsidR="00476DA8" w:rsidRPr="004A5BAA">
        <w:t>“</w:t>
      </w:r>
      <w:r w:rsidRPr="004A5BAA">
        <w:t xml:space="preserve">Trust in </w:t>
      </w:r>
      <w:r w:rsidR="00476DA8" w:rsidRPr="004A5BAA">
        <w:t>g</w:t>
      </w:r>
      <w:r w:rsidRPr="004A5BAA">
        <w:t xml:space="preserve">od and </w:t>
      </w:r>
      <w:r w:rsidR="00476DA8" w:rsidRPr="004A5BAA">
        <w:t>t</w:t>
      </w:r>
      <w:r w:rsidRPr="004A5BAA">
        <w:t xml:space="preserve">rust in </w:t>
      </w:r>
      <w:r w:rsidR="00476DA8" w:rsidRPr="004A5BAA">
        <w:t>m</w:t>
      </w:r>
      <w:r w:rsidRPr="004A5BAA">
        <w:t xml:space="preserve">an: The </w:t>
      </w:r>
      <w:r w:rsidR="00476DA8" w:rsidRPr="004A5BAA">
        <w:t>a</w:t>
      </w:r>
      <w:r w:rsidRPr="004A5BAA">
        <w:t xml:space="preserve">mbivalent </w:t>
      </w:r>
      <w:r w:rsidR="00476DA8" w:rsidRPr="004A5BAA">
        <w:t>r</w:t>
      </w:r>
      <w:r w:rsidRPr="004A5BAA">
        <w:t xml:space="preserve">ole of </w:t>
      </w:r>
      <w:r w:rsidR="00476DA8" w:rsidRPr="004A5BAA">
        <w:t>r</w:t>
      </w:r>
      <w:r w:rsidRPr="004A5BAA">
        <w:t xml:space="preserve">eligion in </w:t>
      </w:r>
      <w:r w:rsidR="00476DA8" w:rsidRPr="004A5BAA">
        <w:t>s</w:t>
      </w:r>
      <w:r w:rsidRPr="004A5BAA">
        <w:t xml:space="preserve">haping </w:t>
      </w:r>
      <w:r w:rsidR="00476DA8" w:rsidRPr="004A5BAA">
        <w:t>d</w:t>
      </w:r>
      <w:r w:rsidRPr="004A5BAA">
        <w:t xml:space="preserve">imensions of </w:t>
      </w:r>
      <w:r w:rsidR="00476DA8" w:rsidRPr="004A5BAA">
        <w:t>s</w:t>
      </w:r>
      <w:r w:rsidRPr="004A5BAA">
        <w:t xml:space="preserve">ocial </w:t>
      </w:r>
      <w:r w:rsidR="00476DA8" w:rsidRPr="004A5BAA">
        <w:t>t</w:t>
      </w:r>
      <w:r w:rsidRPr="004A5BAA">
        <w:t>rust</w:t>
      </w:r>
      <w:r w:rsidR="00476DA8" w:rsidRPr="004A5BAA">
        <w:t>”,</w:t>
      </w:r>
      <w:r w:rsidR="009B4A2B" w:rsidRPr="004A5BAA">
        <w:t xml:space="preserve"> </w:t>
      </w:r>
      <w:r w:rsidR="009B4A2B" w:rsidRPr="004A5BAA">
        <w:rPr>
          <w:i/>
        </w:rPr>
        <w:t>Journal for t</w:t>
      </w:r>
      <w:r w:rsidR="00FB172A" w:rsidRPr="004A5BAA">
        <w:rPr>
          <w:i/>
        </w:rPr>
        <w:t>he Scientific Study of Religion</w:t>
      </w:r>
      <w:r w:rsidR="00476DA8" w:rsidRPr="004A5BAA">
        <w:t>,</w:t>
      </w:r>
      <w:r w:rsidR="009B4A2B" w:rsidRPr="004A5BAA">
        <w:t xml:space="preserve"> </w:t>
      </w:r>
      <w:r w:rsidR="00476DA8" w:rsidRPr="004A5BAA">
        <w:t xml:space="preserve">Vol. </w:t>
      </w:r>
      <w:r w:rsidR="009B4A2B" w:rsidRPr="004A5BAA">
        <w:t>43</w:t>
      </w:r>
      <w:r w:rsidR="00476DA8" w:rsidRPr="004A5BAA">
        <w:t xml:space="preserve"> No. </w:t>
      </w:r>
      <w:r w:rsidR="009B4A2B" w:rsidRPr="004A5BAA">
        <w:t>3</w:t>
      </w:r>
      <w:r w:rsidR="000E1EAE" w:rsidRPr="004A5BAA">
        <w:t>,</w:t>
      </w:r>
      <w:r w:rsidR="009B4A2B" w:rsidRPr="004A5BAA">
        <w:t xml:space="preserve"> </w:t>
      </w:r>
      <w:r w:rsidR="00476DA8" w:rsidRPr="004A5BAA">
        <w:t xml:space="preserve">pp. </w:t>
      </w:r>
      <w:r w:rsidR="009B4A2B" w:rsidRPr="004A5BAA">
        <w:t>317-343.</w:t>
      </w:r>
    </w:p>
    <w:p w14:paraId="091B225A" w14:textId="4F87DBE6" w:rsidR="00C61C93" w:rsidRPr="004A5BAA" w:rsidRDefault="00C61C93" w:rsidP="00C61C93">
      <w:pPr>
        <w:spacing w:after="0" w:line="240" w:lineRule="auto"/>
      </w:pPr>
    </w:p>
    <w:p w14:paraId="430193FA" w14:textId="2EECCA6C" w:rsidR="00E85DFF" w:rsidRPr="004A5BAA" w:rsidRDefault="00E85DFF" w:rsidP="00E85DFF">
      <w:pPr>
        <w:spacing w:after="0" w:line="240" w:lineRule="auto"/>
      </w:pPr>
      <w:r w:rsidRPr="004A5BAA">
        <w:t>Wooden M</w:t>
      </w:r>
      <w:r w:rsidR="00724B55" w:rsidRPr="004A5BAA">
        <w:t>.</w:t>
      </w:r>
      <w:r w:rsidRPr="004A5BAA">
        <w:t xml:space="preserve"> </w:t>
      </w:r>
      <w:r w:rsidR="00ED1416" w:rsidRPr="004A5BAA">
        <w:t>and</w:t>
      </w:r>
      <w:r w:rsidR="006163FF" w:rsidRPr="004A5BAA">
        <w:t xml:space="preserve"> </w:t>
      </w:r>
      <w:r w:rsidRPr="004A5BAA">
        <w:t>Watson</w:t>
      </w:r>
      <w:r w:rsidR="00724B55" w:rsidRPr="004A5BAA">
        <w:t>, N</w:t>
      </w:r>
      <w:r w:rsidR="006163FF" w:rsidRPr="004A5BAA">
        <w:t xml:space="preserve">. </w:t>
      </w:r>
      <w:r w:rsidR="00ED1416" w:rsidRPr="004A5BAA">
        <w:t>(</w:t>
      </w:r>
      <w:r w:rsidRPr="004A5BAA">
        <w:t>2007</w:t>
      </w:r>
      <w:r w:rsidR="00ED1416" w:rsidRPr="004A5BAA">
        <w:t>),</w:t>
      </w:r>
      <w:r w:rsidRPr="004A5BAA">
        <w:t xml:space="preserve"> </w:t>
      </w:r>
      <w:r w:rsidR="00ED1416" w:rsidRPr="004A5BAA">
        <w:t>“</w:t>
      </w:r>
      <w:r w:rsidRPr="004A5BAA">
        <w:t>The HILDA Survey and its contribution to economic and social researc</w:t>
      </w:r>
      <w:r w:rsidR="00ED1416" w:rsidRPr="004A5BAA">
        <w:t>h (so far)”,</w:t>
      </w:r>
      <w:r w:rsidRPr="004A5BAA">
        <w:t xml:space="preserve"> </w:t>
      </w:r>
      <w:r w:rsidRPr="004A5BAA">
        <w:rPr>
          <w:i/>
        </w:rPr>
        <w:t>Economic Record</w:t>
      </w:r>
      <w:r w:rsidR="00ED1416" w:rsidRPr="004A5BAA">
        <w:t>,</w:t>
      </w:r>
      <w:r w:rsidRPr="004A5BAA">
        <w:t xml:space="preserve"> </w:t>
      </w:r>
      <w:r w:rsidR="00ED1416" w:rsidRPr="004A5BAA">
        <w:t xml:space="preserve">Vol. </w:t>
      </w:r>
      <w:r w:rsidRPr="004A5BAA">
        <w:t>83</w:t>
      </w:r>
      <w:r w:rsidR="00ED1416" w:rsidRPr="004A5BAA">
        <w:t xml:space="preserve"> No. </w:t>
      </w:r>
      <w:r w:rsidRPr="004A5BAA">
        <w:t>261</w:t>
      </w:r>
      <w:r w:rsidR="000E1EAE" w:rsidRPr="004A5BAA">
        <w:t>,</w:t>
      </w:r>
      <w:r w:rsidRPr="004A5BAA">
        <w:t xml:space="preserve"> </w:t>
      </w:r>
      <w:r w:rsidR="00ED1416" w:rsidRPr="004A5BAA">
        <w:t xml:space="preserve">pp. </w:t>
      </w:r>
      <w:r w:rsidRPr="004A5BAA">
        <w:t>208-231.</w:t>
      </w:r>
    </w:p>
    <w:p w14:paraId="3D9DBC29" w14:textId="77777777" w:rsidR="00E85DFF" w:rsidRPr="004A5BAA" w:rsidRDefault="00E85DFF" w:rsidP="00C61C93">
      <w:pPr>
        <w:spacing w:after="0" w:line="240" w:lineRule="auto"/>
      </w:pPr>
    </w:p>
    <w:p w14:paraId="4BB321F1" w14:textId="634FE74D" w:rsidR="00B20C8B" w:rsidRDefault="00015880" w:rsidP="00C61C93">
      <w:pPr>
        <w:spacing w:after="0" w:line="240" w:lineRule="auto"/>
      </w:pPr>
      <w:r w:rsidRPr="004A5BAA">
        <w:t>Wuthnow, R</w:t>
      </w:r>
      <w:r w:rsidR="006163FF" w:rsidRPr="004A5BAA">
        <w:t xml:space="preserve">. </w:t>
      </w:r>
      <w:r w:rsidR="00ED1416" w:rsidRPr="004A5BAA">
        <w:t>(</w:t>
      </w:r>
      <w:r w:rsidR="006163FF" w:rsidRPr="004A5BAA">
        <w:t>2002</w:t>
      </w:r>
      <w:r w:rsidR="00ED1416" w:rsidRPr="004A5BAA">
        <w:t>),</w:t>
      </w:r>
      <w:r w:rsidRPr="004A5BAA">
        <w:t xml:space="preserve"> </w:t>
      </w:r>
      <w:r w:rsidR="00ED1416" w:rsidRPr="004A5BAA">
        <w:t>“</w:t>
      </w:r>
      <w:r w:rsidRPr="004A5BAA">
        <w:t xml:space="preserve">Religious </w:t>
      </w:r>
      <w:r w:rsidR="00ED1416" w:rsidRPr="004A5BAA">
        <w:t>i</w:t>
      </w:r>
      <w:r w:rsidRPr="004A5BAA">
        <w:t xml:space="preserve">nvolvement and </w:t>
      </w:r>
      <w:r w:rsidR="00ED1416" w:rsidRPr="004A5BAA">
        <w:t>s</w:t>
      </w:r>
      <w:r w:rsidRPr="004A5BAA">
        <w:t>tatus-</w:t>
      </w:r>
      <w:r w:rsidR="00ED1416" w:rsidRPr="004A5BAA">
        <w:t>b</w:t>
      </w:r>
      <w:r w:rsidRPr="004A5BAA">
        <w:t xml:space="preserve">ridging </w:t>
      </w:r>
      <w:r w:rsidR="00ED1416" w:rsidRPr="004A5BAA">
        <w:t>s</w:t>
      </w:r>
      <w:r w:rsidRPr="004A5BAA">
        <w:t xml:space="preserve">ocial </w:t>
      </w:r>
      <w:r w:rsidR="00ED1416" w:rsidRPr="004A5BAA">
        <w:t>capital”,</w:t>
      </w:r>
      <w:r w:rsidRPr="004A5BAA">
        <w:t xml:space="preserve"> </w:t>
      </w:r>
      <w:r w:rsidRPr="004A5BAA">
        <w:rPr>
          <w:i/>
        </w:rPr>
        <w:t>Journal for the Scientific Study of Religion</w:t>
      </w:r>
      <w:r w:rsidR="00ED1416" w:rsidRPr="004A5BAA">
        <w:t>,</w:t>
      </w:r>
      <w:r w:rsidRPr="004A5BAA">
        <w:t xml:space="preserve"> </w:t>
      </w:r>
      <w:r w:rsidR="00ED1416" w:rsidRPr="004A5BAA">
        <w:t xml:space="preserve">Vol. </w:t>
      </w:r>
      <w:r w:rsidRPr="004A5BAA">
        <w:t>41</w:t>
      </w:r>
      <w:r w:rsidR="00ED1416" w:rsidRPr="004A5BAA">
        <w:t xml:space="preserve"> No.</w:t>
      </w:r>
      <w:r w:rsidRPr="004A5BAA">
        <w:t>4</w:t>
      </w:r>
      <w:r w:rsidR="000E1EAE" w:rsidRPr="004A5BAA">
        <w:t>,</w:t>
      </w:r>
      <w:r w:rsidRPr="004A5BAA">
        <w:t xml:space="preserve"> </w:t>
      </w:r>
      <w:r w:rsidR="00ED1416" w:rsidRPr="004A5BAA">
        <w:t xml:space="preserve">pp. </w:t>
      </w:r>
      <w:r w:rsidRPr="004A5BAA">
        <w:t>669-684.</w:t>
      </w:r>
    </w:p>
    <w:p w14:paraId="4AA6D635" w14:textId="77777777" w:rsidR="00F438C8" w:rsidRPr="00F438C8" w:rsidRDefault="00F438C8" w:rsidP="002B312C">
      <w:pPr>
        <w:spacing w:after="0" w:line="240" w:lineRule="auto"/>
        <w:rPr>
          <w:sz w:val="20"/>
          <w:lang w:val="en-US"/>
        </w:rPr>
      </w:pPr>
    </w:p>
    <w:p w14:paraId="4A665F03" w14:textId="293530C4" w:rsidR="002B312C" w:rsidRPr="00567CDA" w:rsidRDefault="00740975" w:rsidP="002B312C">
      <w:pPr>
        <w:spacing w:after="0" w:line="240" w:lineRule="auto"/>
        <w:rPr>
          <w:b/>
          <w:sz w:val="20"/>
          <w:lang w:val="en-US"/>
        </w:rPr>
      </w:pPr>
      <w:r w:rsidRPr="007B74AB">
        <w:rPr>
          <w:b/>
          <w:sz w:val="20"/>
          <w:highlight w:val="yellow"/>
          <w:lang w:val="en-US"/>
        </w:rPr>
        <w:t>TABLE</w:t>
      </w:r>
      <w:r w:rsidR="00A86E0D" w:rsidRPr="007B74AB">
        <w:rPr>
          <w:b/>
          <w:sz w:val="20"/>
          <w:highlight w:val="yellow"/>
          <w:lang w:val="en-US"/>
        </w:rPr>
        <w:t xml:space="preserve"> 1</w:t>
      </w:r>
      <w:r w:rsidR="002B312C" w:rsidRPr="007B74AB">
        <w:rPr>
          <w:b/>
          <w:sz w:val="20"/>
          <w:highlight w:val="yellow"/>
          <w:lang w:val="en-US"/>
        </w:rPr>
        <w:t>: Variable definitions and means (n=</w:t>
      </w:r>
      <w:r w:rsidR="002B312C" w:rsidRPr="007B74AB">
        <w:rPr>
          <w:highlight w:val="yellow"/>
        </w:rPr>
        <w:t xml:space="preserve"> </w:t>
      </w:r>
      <w:r w:rsidR="002B312C" w:rsidRPr="007B74AB">
        <w:rPr>
          <w:b/>
          <w:sz w:val="20"/>
          <w:highlight w:val="yellow"/>
          <w:lang w:val="en-US"/>
        </w:rPr>
        <w:t>24,984)</w:t>
      </w:r>
    </w:p>
    <w:tbl>
      <w:tblPr>
        <w:tblStyle w:val="TableSimple1"/>
        <w:tblW w:w="9889" w:type="dxa"/>
        <w:tblLook w:val="04A0" w:firstRow="1" w:lastRow="0" w:firstColumn="1" w:lastColumn="0" w:noHBand="0" w:noVBand="1"/>
      </w:tblPr>
      <w:tblGrid>
        <w:gridCol w:w="2376"/>
        <w:gridCol w:w="6096"/>
        <w:gridCol w:w="1417"/>
      </w:tblGrid>
      <w:tr w:rsidR="002B312C" w:rsidRPr="00567CDA" w14:paraId="3A414380" w14:textId="77777777" w:rsidTr="002071D0">
        <w:trPr>
          <w:cnfStyle w:val="100000000000" w:firstRow="1" w:lastRow="0" w:firstColumn="0" w:lastColumn="0" w:oddVBand="0" w:evenVBand="0" w:oddHBand="0" w:evenHBand="0" w:firstRowFirstColumn="0" w:firstRowLastColumn="0" w:lastRowFirstColumn="0" w:lastRowLastColumn="0"/>
        </w:trPr>
        <w:tc>
          <w:tcPr>
            <w:tcW w:w="2376" w:type="dxa"/>
          </w:tcPr>
          <w:p w14:paraId="5457C91C" w14:textId="77777777" w:rsidR="002B312C" w:rsidRPr="008166DB" w:rsidRDefault="002B312C" w:rsidP="006D2577">
            <w:pPr>
              <w:rPr>
                <w:b/>
                <w:lang w:val="en-US"/>
              </w:rPr>
            </w:pPr>
            <w:r w:rsidRPr="008166DB">
              <w:rPr>
                <w:b/>
                <w:lang w:val="en-US"/>
              </w:rPr>
              <w:t>Variable</w:t>
            </w:r>
          </w:p>
        </w:tc>
        <w:tc>
          <w:tcPr>
            <w:tcW w:w="6096" w:type="dxa"/>
          </w:tcPr>
          <w:p w14:paraId="46CB1AE7" w14:textId="77777777" w:rsidR="002B312C" w:rsidRPr="008166DB" w:rsidRDefault="002B312C" w:rsidP="006D2577">
            <w:pPr>
              <w:rPr>
                <w:b/>
                <w:lang w:val="en-US"/>
              </w:rPr>
            </w:pPr>
            <w:r w:rsidRPr="008166DB">
              <w:rPr>
                <w:b/>
                <w:lang w:val="en-US"/>
              </w:rPr>
              <w:t>Definition</w:t>
            </w:r>
          </w:p>
        </w:tc>
        <w:tc>
          <w:tcPr>
            <w:tcW w:w="1417" w:type="dxa"/>
          </w:tcPr>
          <w:p w14:paraId="78D3E0B0" w14:textId="686DF76C" w:rsidR="002B312C" w:rsidRPr="008166DB" w:rsidRDefault="002B312C" w:rsidP="006D2577">
            <w:pPr>
              <w:rPr>
                <w:b/>
                <w:lang w:val="en-US"/>
              </w:rPr>
            </w:pPr>
            <w:r w:rsidRPr="008166DB">
              <w:rPr>
                <w:b/>
                <w:lang w:val="en-US"/>
              </w:rPr>
              <w:t>Mean (SD)</w:t>
            </w:r>
          </w:p>
        </w:tc>
      </w:tr>
      <w:tr w:rsidR="002B312C" w:rsidRPr="00567CDA" w14:paraId="7AB70F74" w14:textId="77777777" w:rsidTr="002071D0">
        <w:tc>
          <w:tcPr>
            <w:tcW w:w="2376" w:type="dxa"/>
          </w:tcPr>
          <w:p w14:paraId="7B8E8F87" w14:textId="66E7443C" w:rsidR="002B312C" w:rsidRPr="008166DB" w:rsidRDefault="002B312C" w:rsidP="006D2577">
            <w:pPr>
              <w:rPr>
                <w:b/>
                <w:lang w:val="en-US"/>
              </w:rPr>
            </w:pPr>
            <w:r w:rsidRPr="008166DB">
              <w:rPr>
                <w:b/>
                <w:lang w:val="en-US"/>
              </w:rPr>
              <w:t>Dependent variables</w:t>
            </w:r>
          </w:p>
        </w:tc>
        <w:tc>
          <w:tcPr>
            <w:tcW w:w="6096" w:type="dxa"/>
          </w:tcPr>
          <w:p w14:paraId="27252422" w14:textId="77777777" w:rsidR="002B312C" w:rsidRPr="008166DB" w:rsidRDefault="002B312C" w:rsidP="006D2577">
            <w:pPr>
              <w:rPr>
                <w:lang w:val="en-US"/>
              </w:rPr>
            </w:pPr>
          </w:p>
        </w:tc>
        <w:tc>
          <w:tcPr>
            <w:tcW w:w="1417" w:type="dxa"/>
          </w:tcPr>
          <w:p w14:paraId="56E7EA04" w14:textId="77777777" w:rsidR="002B312C" w:rsidRPr="008166DB" w:rsidRDefault="002B312C" w:rsidP="006D2577">
            <w:pPr>
              <w:rPr>
                <w:lang w:val="en-US"/>
              </w:rPr>
            </w:pPr>
          </w:p>
        </w:tc>
      </w:tr>
      <w:tr w:rsidR="002B312C" w:rsidRPr="00567CDA" w14:paraId="701396E6" w14:textId="77777777" w:rsidTr="002071D0">
        <w:tc>
          <w:tcPr>
            <w:tcW w:w="2376" w:type="dxa"/>
          </w:tcPr>
          <w:p w14:paraId="74C753CC" w14:textId="6AE1E7A4" w:rsidR="002B312C" w:rsidRPr="008166DB" w:rsidRDefault="002B312C" w:rsidP="006D2577">
            <w:pPr>
              <w:rPr>
                <w:lang w:val="en-US"/>
              </w:rPr>
            </w:pPr>
            <w:r w:rsidRPr="008166DB">
              <w:rPr>
                <w:lang w:val="en-US"/>
              </w:rPr>
              <w:t>General trust</w:t>
            </w:r>
          </w:p>
        </w:tc>
        <w:tc>
          <w:tcPr>
            <w:tcW w:w="6096" w:type="dxa"/>
          </w:tcPr>
          <w:p w14:paraId="1DE6B232" w14:textId="5EB35FE0" w:rsidR="002B312C" w:rsidRPr="008166DB" w:rsidRDefault="00027A3F" w:rsidP="00027A3F">
            <w:pPr>
              <w:rPr>
                <w:lang w:val="en-US"/>
              </w:rPr>
            </w:pPr>
            <w:r w:rsidRPr="008166DB">
              <w:rPr>
                <w:lang w:val="en-US"/>
              </w:rPr>
              <w:t xml:space="preserve">To what extent do you agree or disagree with the following statements? </w:t>
            </w:r>
            <w:r w:rsidRPr="008166DB">
              <w:rPr>
                <w:lang w:val="en-AU"/>
              </w:rPr>
              <w:t>Generally speaking, most people can be trusted (the scale range</w:t>
            </w:r>
            <w:r w:rsidR="00BF6A8D" w:rsidRPr="008166DB">
              <w:rPr>
                <w:lang w:val="en-AU"/>
              </w:rPr>
              <w:t>s</w:t>
            </w:r>
            <w:r w:rsidRPr="008166DB">
              <w:rPr>
                <w:lang w:val="en-AU"/>
              </w:rPr>
              <w:t xml:space="preserve"> from 1 (strongly disagree) to 7 (strongly agree).</w:t>
            </w:r>
          </w:p>
        </w:tc>
        <w:tc>
          <w:tcPr>
            <w:tcW w:w="1417" w:type="dxa"/>
          </w:tcPr>
          <w:p w14:paraId="364EF005" w14:textId="3EC825CD" w:rsidR="002B312C" w:rsidRPr="008166DB" w:rsidRDefault="00027A3F" w:rsidP="006D2577">
            <w:pPr>
              <w:rPr>
                <w:lang w:val="en-US"/>
              </w:rPr>
            </w:pPr>
            <w:r w:rsidRPr="008166DB">
              <w:rPr>
                <w:lang w:val="en-US"/>
              </w:rPr>
              <w:t>4.90 (1.28)</w:t>
            </w:r>
          </w:p>
        </w:tc>
      </w:tr>
      <w:tr w:rsidR="002B312C" w:rsidRPr="00567CDA" w14:paraId="7AD788F1" w14:textId="77777777" w:rsidTr="002071D0">
        <w:tc>
          <w:tcPr>
            <w:tcW w:w="2376" w:type="dxa"/>
          </w:tcPr>
          <w:p w14:paraId="3A90DCF5" w14:textId="35397FA9" w:rsidR="002B312C" w:rsidRPr="008166DB" w:rsidRDefault="002B312C" w:rsidP="006D2577">
            <w:pPr>
              <w:rPr>
                <w:lang w:val="en-US"/>
              </w:rPr>
            </w:pPr>
            <w:r w:rsidRPr="008166DB">
              <w:rPr>
                <w:lang w:val="en-US"/>
              </w:rPr>
              <w:t>Local trust</w:t>
            </w:r>
          </w:p>
        </w:tc>
        <w:tc>
          <w:tcPr>
            <w:tcW w:w="6096" w:type="dxa"/>
          </w:tcPr>
          <w:p w14:paraId="62796FF4" w14:textId="453A5118" w:rsidR="002B312C" w:rsidRPr="008166DB" w:rsidRDefault="00BF6A8D" w:rsidP="006D2577">
            <w:pPr>
              <w:rPr>
                <w:lang w:val="en-US"/>
              </w:rPr>
            </w:pPr>
            <w:r w:rsidRPr="008166DB">
              <w:rPr>
                <w:lang w:val="en-US"/>
              </w:rPr>
              <w:t xml:space="preserve">To what extent do you agree or disagree with the following statements about your neighbourhood? People in this neighbourhood can be trusted </w:t>
            </w:r>
            <w:r w:rsidRPr="008166DB">
              <w:rPr>
                <w:lang w:val="en-AU"/>
              </w:rPr>
              <w:t>(the scale ranges from 1 (strongly disagree) to 7 (strongly agree).</w:t>
            </w:r>
          </w:p>
        </w:tc>
        <w:tc>
          <w:tcPr>
            <w:tcW w:w="1417" w:type="dxa"/>
          </w:tcPr>
          <w:p w14:paraId="67C8D262" w14:textId="37975476" w:rsidR="002B312C" w:rsidRPr="008166DB" w:rsidRDefault="00BF6A8D" w:rsidP="006D2577">
            <w:pPr>
              <w:rPr>
                <w:lang w:val="en-US"/>
              </w:rPr>
            </w:pPr>
            <w:r w:rsidRPr="008166DB">
              <w:rPr>
                <w:lang w:val="en-US"/>
              </w:rPr>
              <w:t>4.72 (1.38)</w:t>
            </w:r>
          </w:p>
        </w:tc>
      </w:tr>
      <w:tr w:rsidR="002B312C" w:rsidRPr="00567CDA" w14:paraId="671388C5" w14:textId="77777777" w:rsidTr="002071D0">
        <w:tc>
          <w:tcPr>
            <w:tcW w:w="2376" w:type="dxa"/>
          </w:tcPr>
          <w:p w14:paraId="6BCBFFBE" w14:textId="65FCAFB2" w:rsidR="002B312C" w:rsidRPr="008166DB" w:rsidRDefault="002B312C" w:rsidP="006D2577">
            <w:pPr>
              <w:rPr>
                <w:b/>
                <w:lang w:val="en-US"/>
              </w:rPr>
            </w:pPr>
            <w:r w:rsidRPr="008166DB">
              <w:rPr>
                <w:b/>
                <w:lang w:val="en-US"/>
              </w:rPr>
              <w:t>Independent variables</w:t>
            </w:r>
          </w:p>
        </w:tc>
        <w:tc>
          <w:tcPr>
            <w:tcW w:w="6096" w:type="dxa"/>
          </w:tcPr>
          <w:p w14:paraId="0C1EFD49" w14:textId="77777777" w:rsidR="002B312C" w:rsidRPr="008166DB" w:rsidRDefault="002B312C" w:rsidP="006D2577">
            <w:pPr>
              <w:rPr>
                <w:lang w:val="en-US"/>
              </w:rPr>
            </w:pPr>
          </w:p>
        </w:tc>
        <w:tc>
          <w:tcPr>
            <w:tcW w:w="1417" w:type="dxa"/>
          </w:tcPr>
          <w:p w14:paraId="1BE7844E" w14:textId="77777777" w:rsidR="002B312C" w:rsidRPr="008166DB" w:rsidRDefault="002B312C" w:rsidP="006D2577">
            <w:pPr>
              <w:rPr>
                <w:lang w:val="en-US"/>
              </w:rPr>
            </w:pPr>
          </w:p>
        </w:tc>
      </w:tr>
      <w:tr w:rsidR="002B312C" w:rsidRPr="00567CDA" w14:paraId="5A1D7E22" w14:textId="77777777" w:rsidTr="002071D0">
        <w:tc>
          <w:tcPr>
            <w:tcW w:w="2376" w:type="dxa"/>
          </w:tcPr>
          <w:p w14:paraId="7372DD0F" w14:textId="4519A472" w:rsidR="002B312C" w:rsidRPr="00E95A5E" w:rsidRDefault="00E95A5E" w:rsidP="006D2577">
            <w:pPr>
              <w:rPr>
                <w:b/>
                <w:i/>
                <w:lang w:val="en-US"/>
              </w:rPr>
            </w:pPr>
            <w:r w:rsidRPr="00E95A5E">
              <w:rPr>
                <w:b/>
                <w:i/>
                <w:lang w:val="en-US"/>
              </w:rPr>
              <w:t>Religion</w:t>
            </w:r>
          </w:p>
        </w:tc>
        <w:tc>
          <w:tcPr>
            <w:tcW w:w="6096" w:type="dxa"/>
          </w:tcPr>
          <w:p w14:paraId="18976D15" w14:textId="77777777" w:rsidR="002B312C" w:rsidRPr="008166DB" w:rsidRDefault="002B312C" w:rsidP="006D2577">
            <w:pPr>
              <w:rPr>
                <w:lang w:val="en-US"/>
              </w:rPr>
            </w:pPr>
          </w:p>
        </w:tc>
        <w:tc>
          <w:tcPr>
            <w:tcW w:w="1417" w:type="dxa"/>
          </w:tcPr>
          <w:p w14:paraId="04407003" w14:textId="77777777" w:rsidR="002B312C" w:rsidRPr="008166DB" w:rsidRDefault="002B312C" w:rsidP="006D2577">
            <w:pPr>
              <w:rPr>
                <w:lang w:val="en-US"/>
              </w:rPr>
            </w:pPr>
          </w:p>
        </w:tc>
      </w:tr>
      <w:tr w:rsidR="00E95A5E" w:rsidRPr="00567CDA" w14:paraId="21752D05" w14:textId="77777777" w:rsidTr="002071D0">
        <w:tc>
          <w:tcPr>
            <w:tcW w:w="2376" w:type="dxa"/>
          </w:tcPr>
          <w:p w14:paraId="2E8040C7" w14:textId="6597C810" w:rsidR="00E95A5E" w:rsidRPr="00E95A5E" w:rsidRDefault="005A69E5" w:rsidP="00E95A5E">
            <w:pPr>
              <w:rPr>
                <w:lang w:val="en-US"/>
              </w:rPr>
            </w:pPr>
            <w:r>
              <w:rPr>
                <w:color w:val="000000"/>
              </w:rPr>
              <w:t xml:space="preserve">  </w:t>
            </w:r>
            <w:r w:rsidR="00E95A5E" w:rsidRPr="00E95A5E">
              <w:rPr>
                <w:color w:val="000000"/>
              </w:rPr>
              <w:t>No religion</w:t>
            </w:r>
            <w:r w:rsidR="002071D0">
              <w:rPr>
                <w:color w:val="000000"/>
              </w:rPr>
              <w:t xml:space="preserve"> (ref.)</w:t>
            </w:r>
          </w:p>
        </w:tc>
        <w:tc>
          <w:tcPr>
            <w:tcW w:w="6096" w:type="dxa"/>
          </w:tcPr>
          <w:p w14:paraId="0941E2EB" w14:textId="5FF711AE" w:rsidR="00E95A5E" w:rsidRPr="008166DB" w:rsidRDefault="00E95A5E" w:rsidP="00E95A5E">
            <w:pPr>
              <w:rPr>
                <w:lang w:val="en-US"/>
              </w:rPr>
            </w:pPr>
            <w:r>
              <w:rPr>
                <w:lang w:val="en-US"/>
              </w:rPr>
              <w:t>No</w:t>
            </w:r>
            <w:r w:rsidR="006512CC">
              <w:rPr>
                <w:lang w:val="en-US"/>
              </w:rPr>
              <w:t xml:space="preserve"> religion.</w:t>
            </w:r>
          </w:p>
        </w:tc>
        <w:tc>
          <w:tcPr>
            <w:tcW w:w="1417" w:type="dxa"/>
          </w:tcPr>
          <w:p w14:paraId="3FAB15EE" w14:textId="3536FA7D" w:rsidR="00E95A5E" w:rsidRPr="008166DB" w:rsidRDefault="00E95A5E" w:rsidP="00E95A5E">
            <w:pPr>
              <w:rPr>
                <w:lang w:val="en-US"/>
              </w:rPr>
            </w:pPr>
            <w:r>
              <w:rPr>
                <w:lang w:val="en-US"/>
              </w:rPr>
              <w:t>0.38</w:t>
            </w:r>
          </w:p>
        </w:tc>
      </w:tr>
      <w:tr w:rsidR="00E95A5E" w:rsidRPr="00567CDA" w14:paraId="45D06491" w14:textId="77777777" w:rsidTr="002071D0">
        <w:tc>
          <w:tcPr>
            <w:tcW w:w="2376" w:type="dxa"/>
          </w:tcPr>
          <w:p w14:paraId="274CDF53" w14:textId="1E6A2588" w:rsidR="00E95A5E" w:rsidRPr="00E95A5E" w:rsidRDefault="005A69E5" w:rsidP="00E95A5E">
            <w:pPr>
              <w:rPr>
                <w:lang w:val="en-US"/>
              </w:rPr>
            </w:pPr>
            <w:r>
              <w:rPr>
                <w:color w:val="000000"/>
              </w:rPr>
              <w:t xml:space="preserve">  </w:t>
            </w:r>
            <w:r w:rsidR="00E95A5E" w:rsidRPr="00E95A5E">
              <w:rPr>
                <w:color w:val="000000"/>
              </w:rPr>
              <w:t>Jews</w:t>
            </w:r>
          </w:p>
        </w:tc>
        <w:tc>
          <w:tcPr>
            <w:tcW w:w="6096" w:type="dxa"/>
          </w:tcPr>
          <w:p w14:paraId="4B204A12" w14:textId="3D4E85D6" w:rsidR="00E95A5E" w:rsidRPr="008166DB" w:rsidRDefault="00E95A5E" w:rsidP="00E95A5E">
            <w:pPr>
              <w:rPr>
                <w:lang w:val="en-US"/>
              </w:rPr>
            </w:pPr>
            <w:r>
              <w:rPr>
                <w:lang w:val="en-US"/>
              </w:rPr>
              <w:t>Jews</w:t>
            </w:r>
            <w:r w:rsidR="006512CC">
              <w:rPr>
                <w:lang w:val="en-US"/>
              </w:rPr>
              <w:t>.</w:t>
            </w:r>
          </w:p>
        </w:tc>
        <w:tc>
          <w:tcPr>
            <w:tcW w:w="1417" w:type="dxa"/>
          </w:tcPr>
          <w:p w14:paraId="30C662FE" w14:textId="52B38468" w:rsidR="00E95A5E" w:rsidRPr="008166DB" w:rsidRDefault="00E95A5E" w:rsidP="00E95A5E">
            <w:pPr>
              <w:rPr>
                <w:lang w:val="en-US"/>
              </w:rPr>
            </w:pPr>
            <w:r w:rsidRPr="00E95A5E">
              <w:rPr>
                <w:lang w:val="en-US"/>
              </w:rPr>
              <w:t>0.004</w:t>
            </w:r>
          </w:p>
        </w:tc>
      </w:tr>
      <w:tr w:rsidR="00E95A5E" w:rsidRPr="00567CDA" w14:paraId="6855A706" w14:textId="77777777" w:rsidTr="002071D0">
        <w:tc>
          <w:tcPr>
            <w:tcW w:w="2376" w:type="dxa"/>
          </w:tcPr>
          <w:p w14:paraId="66AEF4A7" w14:textId="40F1D5FB" w:rsidR="00E95A5E" w:rsidRPr="00E95A5E" w:rsidRDefault="005A69E5" w:rsidP="00E95A5E">
            <w:pPr>
              <w:rPr>
                <w:lang w:val="en-US"/>
              </w:rPr>
            </w:pPr>
            <w:r>
              <w:rPr>
                <w:color w:val="000000"/>
              </w:rPr>
              <w:t xml:space="preserve">  </w:t>
            </w:r>
            <w:r w:rsidR="00E95A5E" w:rsidRPr="00E95A5E">
              <w:rPr>
                <w:color w:val="000000"/>
              </w:rPr>
              <w:t>Catholics</w:t>
            </w:r>
          </w:p>
        </w:tc>
        <w:tc>
          <w:tcPr>
            <w:tcW w:w="6096" w:type="dxa"/>
          </w:tcPr>
          <w:p w14:paraId="60EC8CAC" w14:textId="4455D5A5" w:rsidR="00E95A5E" w:rsidRPr="008166DB" w:rsidRDefault="00E95A5E" w:rsidP="00E95A5E">
            <w:pPr>
              <w:rPr>
                <w:lang w:val="en-US"/>
              </w:rPr>
            </w:pPr>
            <w:r>
              <w:rPr>
                <w:lang w:val="en-US"/>
              </w:rPr>
              <w:t>Catholics</w:t>
            </w:r>
            <w:r w:rsidR="006512CC">
              <w:rPr>
                <w:lang w:val="en-US"/>
              </w:rPr>
              <w:t>.</w:t>
            </w:r>
          </w:p>
        </w:tc>
        <w:tc>
          <w:tcPr>
            <w:tcW w:w="1417" w:type="dxa"/>
          </w:tcPr>
          <w:p w14:paraId="6DDD92CD" w14:textId="6A012F8B" w:rsidR="00E95A5E" w:rsidRPr="008166DB" w:rsidRDefault="00E95A5E" w:rsidP="00E95A5E">
            <w:pPr>
              <w:rPr>
                <w:lang w:val="en-US"/>
              </w:rPr>
            </w:pPr>
            <w:r>
              <w:rPr>
                <w:lang w:val="en-US"/>
              </w:rPr>
              <w:t>0.23</w:t>
            </w:r>
          </w:p>
        </w:tc>
      </w:tr>
      <w:tr w:rsidR="00E95A5E" w:rsidRPr="00567CDA" w14:paraId="2C8E0A2F" w14:textId="77777777" w:rsidTr="002071D0">
        <w:tc>
          <w:tcPr>
            <w:tcW w:w="2376" w:type="dxa"/>
          </w:tcPr>
          <w:p w14:paraId="38F58864" w14:textId="563A9C5C" w:rsidR="00E95A5E" w:rsidRPr="00E95A5E" w:rsidRDefault="005A69E5" w:rsidP="00E95A5E">
            <w:pPr>
              <w:rPr>
                <w:lang w:val="en-US"/>
              </w:rPr>
            </w:pPr>
            <w:r>
              <w:rPr>
                <w:color w:val="000000"/>
              </w:rPr>
              <w:t xml:space="preserve">  </w:t>
            </w:r>
            <w:r w:rsidR="00E95A5E" w:rsidRPr="00E95A5E">
              <w:rPr>
                <w:color w:val="000000"/>
              </w:rPr>
              <w:t>Anglican</w:t>
            </w:r>
          </w:p>
        </w:tc>
        <w:tc>
          <w:tcPr>
            <w:tcW w:w="6096" w:type="dxa"/>
          </w:tcPr>
          <w:p w14:paraId="3E7E3DCB" w14:textId="1F5CC8D4" w:rsidR="00E95A5E" w:rsidRPr="008166DB" w:rsidRDefault="006512CC" w:rsidP="00E95A5E">
            <w:pPr>
              <w:rPr>
                <w:lang w:val="en-US"/>
              </w:rPr>
            </w:pPr>
            <w:r>
              <w:rPr>
                <w:lang w:val="en-US"/>
              </w:rPr>
              <w:t>Anglican.</w:t>
            </w:r>
          </w:p>
        </w:tc>
        <w:tc>
          <w:tcPr>
            <w:tcW w:w="1417" w:type="dxa"/>
          </w:tcPr>
          <w:p w14:paraId="0C1569F1" w14:textId="0666A52E" w:rsidR="00E95A5E" w:rsidRPr="008166DB" w:rsidRDefault="00E95A5E" w:rsidP="00E95A5E">
            <w:pPr>
              <w:rPr>
                <w:lang w:val="en-US"/>
              </w:rPr>
            </w:pPr>
            <w:r>
              <w:rPr>
                <w:lang w:val="en-US"/>
              </w:rPr>
              <w:t>0.18</w:t>
            </w:r>
          </w:p>
        </w:tc>
      </w:tr>
      <w:tr w:rsidR="00E95A5E" w:rsidRPr="00567CDA" w14:paraId="7E52CA80" w14:textId="77777777" w:rsidTr="002071D0">
        <w:tc>
          <w:tcPr>
            <w:tcW w:w="2376" w:type="dxa"/>
          </w:tcPr>
          <w:p w14:paraId="7D624687" w14:textId="5DAEFFFF" w:rsidR="00E95A5E" w:rsidRPr="00E95A5E" w:rsidRDefault="005A69E5" w:rsidP="00E95A5E">
            <w:pPr>
              <w:rPr>
                <w:lang w:val="en-US"/>
              </w:rPr>
            </w:pPr>
            <w:r>
              <w:rPr>
                <w:lang w:val="en-US"/>
              </w:rPr>
              <w:t xml:space="preserve">  </w:t>
            </w:r>
            <w:r w:rsidR="00E95A5E" w:rsidRPr="00E95A5E">
              <w:rPr>
                <w:lang w:val="en-US"/>
              </w:rPr>
              <w:t>Council of Churches</w:t>
            </w:r>
          </w:p>
        </w:tc>
        <w:tc>
          <w:tcPr>
            <w:tcW w:w="6096" w:type="dxa"/>
          </w:tcPr>
          <w:p w14:paraId="3E38AD11" w14:textId="07D543E4" w:rsidR="00E95A5E" w:rsidRPr="008166DB" w:rsidRDefault="00E95A5E" w:rsidP="00E95A5E">
            <w:pPr>
              <w:rPr>
                <w:lang w:val="en-US"/>
              </w:rPr>
            </w:pPr>
            <w:r w:rsidRPr="00E95A5E">
              <w:rPr>
                <w:lang w:val="en-US"/>
              </w:rPr>
              <w:t>Greek Orthodox, Orthodox, Churches of Christ, Lutheran, Uniting Church, Salvation Army</w:t>
            </w:r>
            <w:r w:rsidR="006512CC">
              <w:rPr>
                <w:lang w:val="en-US"/>
              </w:rPr>
              <w:t>.</w:t>
            </w:r>
          </w:p>
        </w:tc>
        <w:tc>
          <w:tcPr>
            <w:tcW w:w="1417" w:type="dxa"/>
          </w:tcPr>
          <w:p w14:paraId="1F54411D" w14:textId="0029B626" w:rsidR="00E95A5E" w:rsidRPr="008166DB" w:rsidRDefault="00F90EFB" w:rsidP="00E95A5E">
            <w:pPr>
              <w:rPr>
                <w:lang w:val="en-US"/>
              </w:rPr>
            </w:pPr>
            <w:r>
              <w:rPr>
                <w:lang w:val="en-US"/>
              </w:rPr>
              <w:t>0.09</w:t>
            </w:r>
          </w:p>
        </w:tc>
      </w:tr>
      <w:tr w:rsidR="00E95A5E" w:rsidRPr="00567CDA" w14:paraId="6ECEF6FA" w14:textId="77777777" w:rsidTr="002071D0">
        <w:tc>
          <w:tcPr>
            <w:tcW w:w="2376" w:type="dxa"/>
          </w:tcPr>
          <w:p w14:paraId="492F8FF4" w14:textId="1FC35768" w:rsidR="00E95A5E" w:rsidRPr="00E95A5E" w:rsidRDefault="005A69E5" w:rsidP="00E95A5E">
            <w:pPr>
              <w:rPr>
                <w:lang w:val="en-US"/>
              </w:rPr>
            </w:pPr>
            <w:r>
              <w:rPr>
                <w:color w:val="000000"/>
              </w:rPr>
              <w:t xml:space="preserve">  </w:t>
            </w:r>
            <w:r w:rsidR="00E95A5E" w:rsidRPr="00E95A5E">
              <w:rPr>
                <w:color w:val="000000"/>
              </w:rPr>
              <w:t>Non-Council of Churches</w:t>
            </w:r>
          </w:p>
        </w:tc>
        <w:tc>
          <w:tcPr>
            <w:tcW w:w="6096" w:type="dxa"/>
          </w:tcPr>
          <w:p w14:paraId="40B25C6E" w14:textId="67FA30CE" w:rsidR="00E95A5E" w:rsidRPr="008166DB" w:rsidRDefault="00F90EFB" w:rsidP="00E95A5E">
            <w:pPr>
              <w:rPr>
                <w:lang w:val="en-US"/>
              </w:rPr>
            </w:pPr>
            <w:r w:rsidRPr="00F90EFB">
              <w:rPr>
                <w:lang w:val="en-US"/>
              </w:rPr>
              <w:t>Jehovah’s Witnesses; Brethren; Seventh-day Adventist; Pentecostal; Latter Day Saints (Mormons); Other Christian; Presbyterian/Reformed; Oriental Christian; Other Protestant; Baptist</w:t>
            </w:r>
            <w:r w:rsidR="006512CC">
              <w:rPr>
                <w:lang w:val="en-US"/>
              </w:rPr>
              <w:t>.</w:t>
            </w:r>
          </w:p>
        </w:tc>
        <w:tc>
          <w:tcPr>
            <w:tcW w:w="1417" w:type="dxa"/>
          </w:tcPr>
          <w:p w14:paraId="1590CB2B" w14:textId="62181E6C" w:rsidR="00E95A5E" w:rsidRPr="008166DB" w:rsidRDefault="00F90EFB" w:rsidP="00E95A5E">
            <w:pPr>
              <w:rPr>
                <w:lang w:val="en-US"/>
              </w:rPr>
            </w:pPr>
            <w:r>
              <w:rPr>
                <w:lang w:val="en-US"/>
              </w:rPr>
              <w:t>0.09</w:t>
            </w:r>
          </w:p>
        </w:tc>
      </w:tr>
      <w:tr w:rsidR="00E95A5E" w:rsidRPr="00567CDA" w14:paraId="1F836AE1" w14:textId="77777777" w:rsidTr="002071D0">
        <w:tc>
          <w:tcPr>
            <w:tcW w:w="2376" w:type="dxa"/>
          </w:tcPr>
          <w:p w14:paraId="14E5C42B" w14:textId="0E2D275E" w:rsidR="00E95A5E" w:rsidRPr="00E95A5E" w:rsidRDefault="005A69E5" w:rsidP="00E95A5E">
            <w:pPr>
              <w:rPr>
                <w:lang w:val="en-US"/>
              </w:rPr>
            </w:pPr>
            <w:r>
              <w:rPr>
                <w:color w:val="000000"/>
              </w:rPr>
              <w:t xml:space="preserve">  </w:t>
            </w:r>
            <w:r w:rsidR="00E95A5E">
              <w:rPr>
                <w:color w:val="000000"/>
              </w:rPr>
              <w:t>N</w:t>
            </w:r>
            <w:r w:rsidR="00E95A5E" w:rsidRPr="00E95A5E">
              <w:rPr>
                <w:color w:val="000000"/>
              </w:rPr>
              <w:t>on-Christians</w:t>
            </w:r>
          </w:p>
        </w:tc>
        <w:tc>
          <w:tcPr>
            <w:tcW w:w="6096" w:type="dxa"/>
          </w:tcPr>
          <w:p w14:paraId="4DA35619" w14:textId="54271BE0" w:rsidR="00E95A5E" w:rsidRPr="008166DB" w:rsidRDefault="00F90EFB" w:rsidP="00E95A5E">
            <w:pPr>
              <w:rPr>
                <w:lang w:val="en-US"/>
              </w:rPr>
            </w:pPr>
            <w:r>
              <w:rPr>
                <w:lang w:val="en-US"/>
              </w:rPr>
              <w:t>Buddhists; Hindus.</w:t>
            </w:r>
          </w:p>
        </w:tc>
        <w:tc>
          <w:tcPr>
            <w:tcW w:w="1417" w:type="dxa"/>
          </w:tcPr>
          <w:p w14:paraId="0E2AEAEE" w14:textId="6224FF16" w:rsidR="00E95A5E" w:rsidRPr="008166DB" w:rsidRDefault="00F90EFB" w:rsidP="00E95A5E">
            <w:pPr>
              <w:rPr>
                <w:lang w:val="en-US"/>
              </w:rPr>
            </w:pPr>
            <w:r>
              <w:rPr>
                <w:lang w:val="en-US"/>
              </w:rPr>
              <w:t>0.03</w:t>
            </w:r>
          </w:p>
        </w:tc>
      </w:tr>
      <w:tr w:rsidR="00E95A5E" w:rsidRPr="00567CDA" w14:paraId="73EA0581" w14:textId="77777777" w:rsidTr="002071D0">
        <w:tc>
          <w:tcPr>
            <w:tcW w:w="2376" w:type="dxa"/>
          </w:tcPr>
          <w:p w14:paraId="0FA7F8FB" w14:textId="48E63167" w:rsidR="00E95A5E" w:rsidRPr="00E95A5E" w:rsidRDefault="005A69E5" w:rsidP="00E95A5E">
            <w:pPr>
              <w:rPr>
                <w:lang w:val="en-US"/>
              </w:rPr>
            </w:pPr>
            <w:r>
              <w:rPr>
                <w:color w:val="000000"/>
              </w:rPr>
              <w:t xml:space="preserve">  </w:t>
            </w:r>
            <w:r w:rsidR="00E95A5E" w:rsidRPr="00E95A5E">
              <w:rPr>
                <w:color w:val="000000"/>
              </w:rPr>
              <w:t>Muslim</w:t>
            </w:r>
          </w:p>
        </w:tc>
        <w:tc>
          <w:tcPr>
            <w:tcW w:w="6096" w:type="dxa"/>
          </w:tcPr>
          <w:p w14:paraId="3A077459" w14:textId="5238F05B" w:rsidR="00E95A5E" w:rsidRPr="008166DB" w:rsidRDefault="00F90EFB" w:rsidP="00E95A5E">
            <w:pPr>
              <w:rPr>
                <w:lang w:val="en-US"/>
              </w:rPr>
            </w:pPr>
            <w:r>
              <w:rPr>
                <w:lang w:val="en-US"/>
              </w:rPr>
              <w:t>Islam.</w:t>
            </w:r>
          </w:p>
        </w:tc>
        <w:tc>
          <w:tcPr>
            <w:tcW w:w="1417" w:type="dxa"/>
          </w:tcPr>
          <w:p w14:paraId="4B0758E4" w14:textId="08F0EB2A" w:rsidR="00E95A5E" w:rsidRPr="008166DB" w:rsidRDefault="00F90EFB" w:rsidP="00E95A5E">
            <w:pPr>
              <w:rPr>
                <w:lang w:val="en-US"/>
              </w:rPr>
            </w:pPr>
            <w:r>
              <w:rPr>
                <w:lang w:val="en-US"/>
              </w:rPr>
              <w:t>0.01</w:t>
            </w:r>
          </w:p>
        </w:tc>
      </w:tr>
      <w:tr w:rsidR="00E95A5E" w:rsidRPr="00567CDA" w14:paraId="437FF0B5" w14:textId="77777777" w:rsidTr="002071D0">
        <w:tc>
          <w:tcPr>
            <w:tcW w:w="2376" w:type="dxa"/>
          </w:tcPr>
          <w:p w14:paraId="49BAF3FE" w14:textId="529E5790" w:rsidR="00E95A5E" w:rsidRPr="008166DB" w:rsidRDefault="00E5393B" w:rsidP="00E95A5E">
            <w:pPr>
              <w:rPr>
                <w:lang w:val="en-US"/>
              </w:rPr>
            </w:pPr>
            <w:r>
              <w:rPr>
                <w:lang w:val="en-US"/>
              </w:rPr>
              <w:t>Life satisfaction</w:t>
            </w:r>
          </w:p>
        </w:tc>
        <w:tc>
          <w:tcPr>
            <w:tcW w:w="6096" w:type="dxa"/>
          </w:tcPr>
          <w:p w14:paraId="242F3FBA" w14:textId="34A85DF7" w:rsidR="00E95A5E" w:rsidRPr="008166DB" w:rsidRDefault="007E33A2" w:rsidP="007E33A2">
            <w:pPr>
              <w:rPr>
                <w:lang w:val="en-US"/>
              </w:rPr>
            </w:pPr>
            <w:r w:rsidRPr="007E33A2">
              <w:rPr>
                <w:lang w:val="en-US"/>
              </w:rPr>
              <w:t>All things considered, how satisfied are you</w:t>
            </w:r>
            <w:r>
              <w:rPr>
                <w:lang w:val="en-US"/>
              </w:rPr>
              <w:t xml:space="preserve"> </w:t>
            </w:r>
            <w:r w:rsidRPr="007E33A2">
              <w:rPr>
                <w:lang w:val="en-US"/>
              </w:rPr>
              <w:t>with your life? Again, pick a number between</w:t>
            </w:r>
            <w:r>
              <w:rPr>
                <w:lang w:val="en-US"/>
              </w:rPr>
              <w:t xml:space="preserve"> </w:t>
            </w:r>
            <w:r w:rsidRPr="007E33A2">
              <w:rPr>
                <w:lang w:val="en-US"/>
              </w:rPr>
              <w:t>0 and 10 to indicate how satisfied you are.</w:t>
            </w:r>
          </w:p>
        </w:tc>
        <w:tc>
          <w:tcPr>
            <w:tcW w:w="1417" w:type="dxa"/>
          </w:tcPr>
          <w:p w14:paraId="43AC7DFD" w14:textId="020F3AB8" w:rsidR="00E95A5E" w:rsidRPr="008166DB" w:rsidRDefault="00E5393B" w:rsidP="00E95A5E">
            <w:pPr>
              <w:rPr>
                <w:lang w:val="en-US"/>
              </w:rPr>
            </w:pPr>
            <w:r>
              <w:rPr>
                <w:lang w:val="en-US"/>
              </w:rPr>
              <w:t>7.92 (1.41)</w:t>
            </w:r>
          </w:p>
        </w:tc>
      </w:tr>
      <w:tr w:rsidR="007E33A2" w:rsidRPr="00567CDA" w14:paraId="7CA4F63F" w14:textId="77777777" w:rsidTr="002071D0">
        <w:tc>
          <w:tcPr>
            <w:tcW w:w="2376" w:type="dxa"/>
          </w:tcPr>
          <w:p w14:paraId="13BEB1E9" w14:textId="57BBEA20" w:rsidR="007E33A2" w:rsidRPr="008166DB" w:rsidRDefault="00BE764D" w:rsidP="00E95A5E">
            <w:pPr>
              <w:rPr>
                <w:lang w:val="en-US"/>
              </w:rPr>
            </w:pPr>
            <w:r>
              <w:rPr>
                <w:lang w:val="en-US"/>
              </w:rPr>
              <w:t>Metropolitan</w:t>
            </w:r>
          </w:p>
        </w:tc>
        <w:tc>
          <w:tcPr>
            <w:tcW w:w="6096" w:type="dxa"/>
          </w:tcPr>
          <w:p w14:paraId="15BBF144" w14:textId="60D0F7C7" w:rsidR="007E33A2" w:rsidRPr="008166DB" w:rsidRDefault="00BE764D" w:rsidP="00E95A5E">
            <w:pPr>
              <w:rPr>
                <w:lang w:val="en-US"/>
              </w:rPr>
            </w:pPr>
            <w:r>
              <w:rPr>
                <w:lang w:val="en-US"/>
              </w:rPr>
              <w:t>1 = residing in a metropoli</w:t>
            </w:r>
            <w:r w:rsidR="009D3237">
              <w:rPr>
                <w:lang w:val="en-US"/>
              </w:rPr>
              <w:t>tan area; 0 = otherwise.</w:t>
            </w:r>
          </w:p>
        </w:tc>
        <w:tc>
          <w:tcPr>
            <w:tcW w:w="1417" w:type="dxa"/>
          </w:tcPr>
          <w:p w14:paraId="66238B54" w14:textId="0F0AC572" w:rsidR="007E33A2" w:rsidRPr="009D3237" w:rsidRDefault="009D3237" w:rsidP="00E95A5E">
            <w:pPr>
              <w:rPr>
                <w:color w:val="000000"/>
                <w:lang w:val="en-AU"/>
              </w:rPr>
            </w:pPr>
            <w:r w:rsidRPr="009D3237">
              <w:rPr>
                <w:color w:val="000000"/>
              </w:rPr>
              <w:t>0.67</w:t>
            </w:r>
          </w:p>
        </w:tc>
      </w:tr>
      <w:tr w:rsidR="00E95A5E" w:rsidRPr="00567CDA" w14:paraId="65BA13B1" w14:textId="77777777" w:rsidTr="002071D0">
        <w:tc>
          <w:tcPr>
            <w:tcW w:w="2376" w:type="dxa"/>
          </w:tcPr>
          <w:p w14:paraId="6341C0FA" w14:textId="77777777" w:rsidR="00E95A5E" w:rsidRPr="008166DB" w:rsidRDefault="00E95A5E" w:rsidP="00E95A5E">
            <w:pPr>
              <w:rPr>
                <w:b/>
                <w:i/>
                <w:lang w:val="en-US"/>
              </w:rPr>
            </w:pPr>
            <w:r w:rsidRPr="008166DB">
              <w:rPr>
                <w:b/>
                <w:i/>
                <w:lang w:val="en-US"/>
              </w:rPr>
              <w:t>Cohort</w:t>
            </w:r>
          </w:p>
        </w:tc>
        <w:tc>
          <w:tcPr>
            <w:tcW w:w="6096" w:type="dxa"/>
          </w:tcPr>
          <w:p w14:paraId="6C951B4C" w14:textId="77777777" w:rsidR="00E95A5E" w:rsidRPr="008166DB" w:rsidRDefault="00E95A5E" w:rsidP="00E95A5E">
            <w:pPr>
              <w:rPr>
                <w:lang w:val="en-US"/>
              </w:rPr>
            </w:pPr>
          </w:p>
        </w:tc>
        <w:tc>
          <w:tcPr>
            <w:tcW w:w="1417" w:type="dxa"/>
          </w:tcPr>
          <w:p w14:paraId="2F4522B4" w14:textId="77777777" w:rsidR="00E95A5E" w:rsidRPr="008166DB" w:rsidRDefault="00E95A5E" w:rsidP="00E95A5E">
            <w:pPr>
              <w:rPr>
                <w:lang w:val="en-US"/>
              </w:rPr>
            </w:pPr>
          </w:p>
        </w:tc>
      </w:tr>
      <w:tr w:rsidR="009D3237" w:rsidRPr="00567CDA" w14:paraId="43214E27" w14:textId="77777777" w:rsidTr="002071D0">
        <w:tc>
          <w:tcPr>
            <w:tcW w:w="2376" w:type="dxa"/>
          </w:tcPr>
          <w:p w14:paraId="2E925E12" w14:textId="39BAEBC1" w:rsidR="009D3237" w:rsidRPr="008166DB" w:rsidRDefault="005A69E5" w:rsidP="009D3237">
            <w:pPr>
              <w:rPr>
                <w:lang w:val="en-US"/>
              </w:rPr>
            </w:pPr>
            <w:r>
              <w:rPr>
                <w:lang w:val="en-US"/>
              </w:rPr>
              <w:t xml:space="preserve">  </w:t>
            </w:r>
            <w:r w:rsidR="009D3237" w:rsidRPr="008166DB">
              <w:rPr>
                <w:lang w:val="en-US"/>
              </w:rPr>
              <w:t>Gen Z</w:t>
            </w:r>
            <w:r w:rsidR="002071D0">
              <w:rPr>
                <w:lang w:val="en-US"/>
              </w:rPr>
              <w:t xml:space="preserve"> (ref.)</w:t>
            </w:r>
          </w:p>
        </w:tc>
        <w:tc>
          <w:tcPr>
            <w:tcW w:w="6096" w:type="dxa"/>
          </w:tcPr>
          <w:p w14:paraId="402F9A2D" w14:textId="681F46A3" w:rsidR="009D3237" w:rsidRPr="008166DB" w:rsidRDefault="009D3237" w:rsidP="009D3237">
            <w:pPr>
              <w:rPr>
                <w:lang w:val="en-US"/>
              </w:rPr>
            </w:pPr>
            <w:r w:rsidRPr="008166DB">
              <w:rPr>
                <w:lang w:val="en-US"/>
              </w:rPr>
              <w:t>Respondent was born in 1996 and after</w:t>
            </w:r>
            <w:r w:rsidR="006512CC">
              <w:rPr>
                <w:lang w:val="en-US"/>
              </w:rPr>
              <w:t>.</w:t>
            </w:r>
          </w:p>
        </w:tc>
        <w:tc>
          <w:tcPr>
            <w:tcW w:w="1417" w:type="dxa"/>
          </w:tcPr>
          <w:p w14:paraId="7D3A8EAE" w14:textId="070EE5F6" w:rsidR="009D3237" w:rsidRPr="009D3237" w:rsidRDefault="009D3237" w:rsidP="009D3237">
            <w:pPr>
              <w:rPr>
                <w:color w:val="000000"/>
              </w:rPr>
            </w:pPr>
            <w:r w:rsidRPr="009D3237">
              <w:rPr>
                <w:color w:val="000000"/>
              </w:rPr>
              <w:t>0.03</w:t>
            </w:r>
          </w:p>
        </w:tc>
      </w:tr>
      <w:tr w:rsidR="009D3237" w:rsidRPr="00567CDA" w14:paraId="0F21CA70" w14:textId="77777777" w:rsidTr="002071D0">
        <w:tc>
          <w:tcPr>
            <w:tcW w:w="2376" w:type="dxa"/>
          </w:tcPr>
          <w:p w14:paraId="6FBFFA71" w14:textId="4DB3D85E" w:rsidR="009D3237" w:rsidRPr="008166DB" w:rsidRDefault="005A69E5" w:rsidP="009D3237">
            <w:pPr>
              <w:rPr>
                <w:lang w:val="en-US"/>
              </w:rPr>
            </w:pPr>
            <w:r>
              <w:rPr>
                <w:lang w:val="en-US"/>
              </w:rPr>
              <w:t xml:space="preserve">  </w:t>
            </w:r>
            <w:r w:rsidR="009D3237" w:rsidRPr="008166DB">
              <w:rPr>
                <w:lang w:val="en-US"/>
              </w:rPr>
              <w:t>Gen Y</w:t>
            </w:r>
          </w:p>
        </w:tc>
        <w:tc>
          <w:tcPr>
            <w:tcW w:w="6096" w:type="dxa"/>
          </w:tcPr>
          <w:p w14:paraId="32F7BDCF" w14:textId="2D42987E" w:rsidR="009D3237" w:rsidRPr="008166DB" w:rsidRDefault="009D3237" w:rsidP="009D3237">
            <w:pPr>
              <w:rPr>
                <w:lang w:val="en-US"/>
              </w:rPr>
            </w:pPr>
            <w:r w:rsidRPr="008166DB">
              <w:rPr>
                <w:lang w:val="en-US"/>
              </w:rPr>
              <w:t>Respondent was born between 1977 and 1995</w:t>
            </w:r>
            <w:r w:rsidR="006512CC">
              <w:rPr>
                <w:lang w:val="en-US"/>
              </w:rPr>
              <w:t>.</w:t>
            </w:r>
          </w:p>
        </w:tc>
        <w:tc>
          <w:tcPr>
            <w:tcW w:w="1417" w:type="dxa"/>
          </w:tcPr>
          <w:p w14:paraId="6539724F" w14:textId="6198B0D5" w:rsidR="009D3237" w:rsidRPr="009D3237" w:rsidRDefault="009D3237" w:rsidP="009D3237">
            <w:pPr>
              <w:rPr>
                <w:color w:val="000000"/>
              </w:rPr>
            </w:pPr>
            <w:r w:rsidRPr="009D3237">
              <w:rPr>
                <w:color w:val="000000"/>
              </w:rPr>
              <w:t>0.32</w:t>
            </w:r>
          </w:p>
        </w:tc>
      </w:tr>
      <w:tr w:rsidR="009D3237" w:rsidRPr="00567CDA" w14:paraId="7FE18886" w14:textId="77777777" w:rsidTr="002071D0">
        <w:tc>
          <w:tcPr>
            <w:tcW w:w="2376" w:type="dxa"/>
          </w:tcPr>
          <w:p w14:paraId="1E5FD8FF" w14:textId="6B1AE122" w:rsidR="009D3237" w:rsidRPr="008166DB" w:rsidRDefault="005A69E5" w:rsidP="009D3237">
            <w:pPr>
              <w:rPr>
                <w:lang w:val="en-US"/>
              </w:rPr>
            </w:pPr>
            <w:r>
              <w:rPr>
                <w:lang w:val="en-US"/>
              </w:rPr>
              <w:t xml:space="preserve">  </w:t>
            </w:r>
            <w:r w:rsidR="009D3237" w:rsidRPr="008166DB">
              <w:rPr>
                <w:lang w:val="en-US"/>
              </w:rPr>
              <w:t>Gen X</w:t>
            </w:r>
          </w:p>
        </w:tc>
        <w:tc>
          <w:tcPr>
            <w:tcW w:w="6096" w:type="dxa"/>
          </w:tcPr>
          <w:p w14:paraId="5E146BDA" w14:textId="66BC7ABE" w:rsidR="009D3237" w:rsidRPr="008166DB" w:rsidRDefault="009D3237" w:rsidP="009D3237">
            <w:pPr>
              <w:rPr>
                <w:lang w:val="en-US"/>
              </w:rPr>
            </w:pPr>
            <w:r w:rsidRPr="008166DB">
              <w:rPr>
                <w:lang w:val="en-US"/>
              </w:rPr>
              <w:t>Respondent was born between 1965 and 1976</w:t>
            </w:r>
            <w:r w:rsidR="006512CC">
              <w:rPr>
                <w:lang w:val="en-US"/>
              </w:rPr>
              <w:t>.</w:t>
            </w:r>
          </w:p>
        </w:tc>
        <w:tc>
          <w:tcPr>
            <w:tcW w:w="1417" w:type="dxa"/>
          </w:tcPr>
          <w:p w14:paraId="507A7365" w14:textId="39C4CA80" w:rsidR="009D3237" w:rsidRPr="009D3237" w:rsidRDefault="009D3237" w:rsidP="009D3237">
            <w:pPr>
              <w:rPr>
                <w:color w:val="000000"/>
              </w:rPr>
            </w:pPr>
            <w:r w:rsidRPr="009D3237">
              <w:rPr>
                <w:color w:val="000000"/>
              </w:rPr>
              <w:t>0.20</w:t>
            </w:r>
          </w:p>
        </w:tc>
      </w:tr>
      <w:tr w:rsidR="009D3237" w:rsidRPr="00567CDA" w14:paraId="4D32F295" w14:textId="77777777" w:rsidTr="002071D0">
        <w:tc>
          <w:tcPr>
            <w:tcW w:w="2376" w:type="dxa"/>
          </w:tcPr>
          <w:p w14:paraId="0A3F7159" w14:textId="437A5870" w:rsidR="009D3237" w:rsidRPr="008166DB" w:rsidRDefault="005A69E5" w:rsidP="009D3237">
            <w:pPr>
              <w:rPr>
                <w:lang w:val="en-US"/>
              </w:rPr>
            </w:pPr>
            <w:r>
              <w:rPr>
                <w:lang w:val="en-US"/>
              </w:rPr>
              <w:t xml:space="preserve">  </w:t>
            </w:r>
            <w:r w:rsidR="009D3237" w:rsidRPr="008166DB">
              <w:rPr>
                <w:lang w:val="en-US"/>
              </w:rPr>
              <w:t>Baby Boomers</w:t>
            </w:r>
          </w:p>
        </w:tc>
        <w:tc>
          <w:tcPr>
            <w:tcW w:w="6096" w:type="dxa"/>
          </w:tcPr>
          <w:p w14:paraId="3EEC0FC4" w14:textId="036438D9" w:rsidR="009D3237" w:rsidRPr="008166DB" w:rsidRDefault="009D3237" w:rsidP="009D3237">
            <w:pPr>
              <w:rPr>
                <w:lang w:val="en-US"/>
              </w:rPr>
            </w:pPr>
            <w:r w:rsidRPr="008166DB">
              <w:rPr>
                <w:lang w:val="en-US"/>
              </w:rPr>
              <w:t>Respondent was born between 1946 and 1964</w:t>
            </w:r>
            <w:r w:rsidR="006512CC">
              <w:rPr>
                <w:lang w:val="en-US"/>
              </w:rPr>
              <w:t>.</w:t>
            </w:r>
          </w:p>
        </w:tc>
        <w:tc>
          <w:tcPr>
            <w:tcW w:w="1417" w:type="dxa"/>
          </w:tcPr>
          <w:p w14:paraId="0125A108" w14:textId="4D995249" w:rsidR="009D3237" w:rsidRPr="009D3237" w:rsidRDefault="009D3237" w:rsidP="009D3237">
            <w:pPr>
              <w:rPr>
                <w:color w:val="000000"/>
              </w:rPr>
            </w:pPr>
            <w:r w:rsidRPr="009D3237">
              <w:rPr>
                <w:color w:val="000000"/>
              </w:rPr>
              <w:t>0.30</w:t>
            </w:r>
          </w:p>
        </w:tc>
      </w:tr>
      <w:tr w:rsidR="009D3237" w:rsidRPr="00567CDA" w14:paraId="7BB88EB9" w14:textId="77777777" w:rsidTr="002071D0">
        <w:tc>
          <w:tcPr>
            <w:tcW w:w="2376" w:type="dxa"/>
          </w:tcPr>
          <w:p w14:paraId="36912D83" w14:textId="2F969080" w:rsidR="009D3237" w:rsidRPr="008166DB" w:rsidRDefault="005A69E5" w:rsidP="009D3237">
            <w:pPr>
              <w:rPr>
                <w:lang w:val="en-US"/>
              </w:rPr>
            </w:pPr>
            <w:r>
              <w:rPr>
                <w:lang w:val="en-US"/>
              </w:rPr>
              <w:t xml:space="preserve">  </w:t>
            </w:r>
            <w:r w:rsidR="009D3237" w:rsidRPr="008166DB">
              <w:rPr>
                <w:lang w:val="en-US"/>
              </w:rPr>
              <w:t>Silent Generation</w:t>
            </w:r>
          </w:p>
        </w:tc>
        <w:tc>
          <w:tcPr>
            <w:tcW w:w="6096" w:type="dxa"/>
          </w:tcPr>
          <w:p w14:paraId="7A8BC19E" w14:textId="414BBE40" w:rsidR="009D3237" w:rsidRPr="008166DB" w:rsidRDefault="009D3237" w:rsidP="009D3237">
            <w:pPr>
              <w:rPr>
                <w:lang w:val="en-US"/>
              </w:rPr>
            </w:pPr>
            <w:r w:rsidRPr="008166DB">
              <w:rPr>
                <w:lang w:val="en-US"/>
              </w:rPr>
              <w:t>Respondent was born in 1945 and before</w:t>
            </w:r>
            <w:r w:rsidR="006512CC">
              <w:rPr>
                <w:lang w:val="en-US"/>
              </w:rPr>
              <w:t>.</w:t>
            </w:r>
          </w:p>
        </w:tc>
        <w:tc>
          <w:tcPr>
            <w:tcW w:w="1417" w:type="dxa"/>
          </w:tcPr>
          <w:p w14:paraId="5E8FD218" w14:textId="0DF6A6CB" w:rsidR="009D3237" w:rsidRPr="009D3237" w:rsidRDefault="009D3237" w:rsidP="009D3237">
            <w:pPr>
              <w:rPr>
                <w:color w:val="000000"/>
              </w:rPr>
            </w:pPr>
            <w:r w:rsidRPr="009D3237">
              <w:rPr>
                <w:color w:val="000000"/>
              </w:rPr>
              <w:t>0.15</w:t>
            </w:r>
          </w:p>
        </w:tc>
      </w:tr>
      <w:tr w:rsidR="00E95A5E" w:rsidRPr="00567CDA" w14:paraId="16428404" w14:textId="77777777" w:rsidTr="002071D0">
        <w:tc>
          <w:tcPr>
            <w:tcW w:w="2376" w:type="dxa"/>
          </w:tcPr>
          <w:p w14:paraId="5934574F" w14:textId="41949348" w:rsidR="00E95A5E" w:rsidRPr="008166DB" w:rsidRDefault="009D3237" w:rsidP="00E95A5E">
            <w:pPr>
              <w:rPr>
                <w:lang w:val="en-US"/>
              </w:rPr>
            </w:pPr>
            <w:r>
              <w:rPr>
                <w:lang w:val="en-US"/>
              </w:rPr>
              <w:t>Female</w:t>
            </w:r>
          </w:p>
        </w:tc>
        <w:tc>
          <w:tcPr>
            <w:tcW w:w="6096" w:type="dxa"/>
          </w:tcPr>
          <w:p w14:paraId="48065547" w14:textId="1B25C60C" w:rsidR="00E95A5E" w:rsidRPr="008166DB" w:rsidRDefault="009D3237" w:rsidP="009D3237">
            <w:pPr>
              <w:rPr>
                <w:lang w:val="en-US"/>
              </w:rPr>
            </w:pPr>
            <w:r>
              <w:rPr>
                <w:lang w:val="en-US"/>
              </w:rPr>
              <w:t>1 = female; 0 = male.</w:t>
            </w:r>
          </w:p>
        </w:tc>
        <w:tc>
          <w:tcPr>
            <w:tcW w:w="1417" w:type="dxa"/>
          </w:tcPr>
          <w:p w14:paraId="36026DFE" w14:textId="7B108C85" w:rsidR="00E95A5E" w:rsidRPr="008166DB" w:rsidRDefault="009D3237" w:rsidP="009D3237">
            <w:r w:rsidRPr="009D3237">
              <w:t>0.52</w:t>
            </w:r>
          </w:p>
        </w:tc>
      </w:tr>
      <w:tr w:rsidR="00E95A5E" w:rsidRPr="00567CDA" w14:paraId="090C1CCE" w14:textId="77777777" w:rsidTr="002071D0">
        <w:tc>
          <w:tcPr>
            <w:tcW w:w="2376" w:type="dxa"/>
          </w:tcPr>
          <w:p w14:paraId="10CF3FA9" w14:textId="2DC6A623" w:rsidR="00E95A5E" w:rsidRPr="008166DB" w:rsidRDefault="009D3237" w:rsidP="00E95A5E">
            <w:pPr>
              <w:rPr>
                <w:lang w:val="en-US"/>
              </w:rPr>
            </w:pPr>
            <w:r>
              <w:rPr>
                <w:lang w:val="en-US"/>
              </w:rPr>
              <w:t>Married</w:t>
            </w:r>
          </w:p>
        </w:tc>
        <w:tc>
          <w:tcPr>
            <w:tcW w:w="6096" w:type="dxa"/>
          </w:tcPr>
          <w:p w14:paraId="79C9DE54" w14:textId="71163533" w:rsidR="00E95A5E" w:rsidRPr="008166DB" w:rsidRDefault="009D3237" w:rsidP="00E95A5E">
            <w:pPr>
              <w:rPr>
                <w:lang w:val="en-US"/>
              </w:rPr>
            </w:pPr>
            <w:r>
              <w:rPr>
                <w:lang w:val="en-US"/>
              </w:rPr>
              <w:t>1 = married; 0 = otherwise.</w:t>
            </w:r>
          </w:p>
        </w:tc>
        <w:tc>
          <w:tcPr>
            <w:tcW w:w="1417" w:type="dxa"/>
          </w:tcPr>
          <w:p w14:paraId="50633599" w14:textId="04EEB9E5" w:rsidR="00E95A5E" w:rsidRPr="008166DB" w:rsidRDefault="009D3237" w:rsidP="00E95A5E">
            <w:r>
              <w:t>0.49</w:t>
            </w:r>
          </w:p>
        </w:tc>
      </w:tr>
      <w:tr w:rsidR="00E95A5E" w:rsidRPr="00567CDA" w14:paraId="48EF773C" w14:textId="77777777" w:rsidTr="002071D0">
        <w:tc>
          <w:tcPr>
            <w:tcW w:w="2376" w:type="dxa"/>
          </w:tcPr>
          <w:p w14:paraId="30B9C5BB" w14:textId="10386A94" w:rsidR="00E95A5E" w:rsidRPr="008166DB" w:rsidRDefault="009D3237" w:rsidP="00E95A5E">
            <w:pPr>
              <w:rPr>
                <w:lang w:val="en-US"/>
              </w:rPr>
            </w:pPr>
            <w:r>
              <w:rPr>
                <w:lang w:val="en-US"/>
              </w:rPr>
              <w:t>Divorced</w:t>
            </w:r>
          </w:p>
        </w:tc>
        <w:tc>
          <w:tcPr>
            <w:tcW w:w="6096" w:type="dxa"/>
          </w:tcPr>
          <w:p w14:paraId="61E367EE" w14:textId="0F5E6703" w:rsidR="00E95A5E" w:rsidRPr="008166DB" w:rsidRDefault="009D3237" w:rsidP="00E95A5E">
            <w:pPr>
              <w:rPr>
                <w:lang w:val="en-US"/>
              </w:rPr>
            </w:pPr>
            <w:r>
              <w:rPr>
                <w:lang w:val="en-US"/>
              </w:rPr>
              <w:t>1 = divorced; 0 = otherwise.</w:t>
            </w:r>
          </w:p>
        </w:tc>
        <w:tc>
          <w:tcPr>
            <w:tcW w:w="1417" w:type="dxa"/>
          </w:tcPr>
          <w:p w14:paraId="6C16FCDC" w14:textId="73793248" w:rsidR="00E95A5E" w:rsidRPr="008166DB" w:rsidRDefault="009D3237" w:rsidP="00E95A5E">
            <w:r>
              <w:t>0.06</w:t>
            </w:r>
          </w:p>
        </w:tc>
      </w:tr>
      <w:tr w:rsidR="00E95A5E" w:rsidRPr="00567CDA" w14:paraId="4CC9904D" w14:textId="77777777" w:rsidTr="002071D0">
        <w:tc>
          <w:tcPr>
            <w:tcW w:w="2376" w:type="dxa"/>
          </w:tcPr>
          <w:p w14:paraId="235B8BA2" w14:textId="3F0D6E27" w:rsidR="00E95A5E" w:rsidRPr="008166DB" w:rsidRDefault="009D3237" w:rsidP="00E95A5E">
            <w:pPr>
              <w:rPr>
                <w:lang w:val="en-US"/>
              </w:rPr>
            </w:pPr>
            <w:r>
              <w:rPr>
                <w:lang w:val="en-US"/>
              </w:rPr>
              <w:t>Unemployed</w:t>
            </w:r>
          </w:p>
        </w:tc>
        <w:tc>
          <w:tcPr>
            <w:tcW w:w="6096" w:type="dxa"/>
          </w:tcPr>
          <w:p w14:paraId="0A0883F9" w14:textId="6CEDC21D" w:rsidR="00E95A5E" w:rsidRPr="008166DB" w:rsidRDefault="009D3237" w:rsidP="00E95A5E">
            <w:pPr>
              <w:rPr>
                <w:lang w:val="en-US"/>
              </w:rPr>
            </w:pPr>
            <w:r>
              <w:rPr>
                <w:lang w:val="en-US"/>
              </w:rPr>
              <w:t xml:space="preserve">1 = unemployed; 0 = </w:t>
            </w:r>
            <w:r w:rsidR="006512CC">
              <w:rPr>
                <w:lang w:val="en-US"/>
              </w:rPr>
              <w:t>otherwise.</w:t>
            </w:r>
          </w:p>
        </w:tc>
        <w:tc>
          <w:tcPr>
            <w:tcW w:w="1417" w:type="dxa"/>
          </w:tcPr>
          <w:p w14:paraId="03BB8AD4" w14:textId="6D9A5607" w:rsidR="00E95A5E" w:rsidRPr="008166DB" w:rsidRDefault="009D3237" w:rsidP="00E95A5E">
            <w:r>
              <w:t>0.04</w:t>
            </w:r>
          </w:p>
        </w:tc>
      </w:tr>
      <w:tr w:rsidR="00E95A5E" w:rsidRPr="00567CDA" w14:paraId="135A5257" w14:textId="77777777" w:rsidTr="002071D0">
        <w:tc>
          <w:tcPr>
            <w:tcW w:w="2376" w:type="dxa"/>
          </w:tcPr>
          <w:p w14:paraId="0E7D7ED4" w14:textId="6C3957AD" w:rsidR="00E95A5E" w:rsidRPr="008166DB" w:rsidRDefault="009D3237" w:rsidP="00E95A5E">
            <w:pPr>
              <w:rPr>
                <w:lang w:val="en-US"/>
              </w:rPr>
            </w:pPr>
            <w:r>
              <w:rPr>
                <w:lang w:val="en-US"/>
              </w:rPr>
              <w:t>Commute</w:t>
            </w:r>
          </w:p>
        </w:tc>
        <w:tc>
          <w:tcPr>
            <w:tcW w:w="6096" w:type="dxa"/>
          </w:tcPr>
          <w:p w14:paraId="7F77423C" w14:textId="536BF3C7" w:rsidR="00E95A5E" w:rsidRPr="008166DB" w:rsidRDefault="009D3237" w:rsidP="00E95A5E">
            <w:pPr>
              <w:rPr>
                <w:lang w:val="en-US"/>
              </w:rPr>
            </w:pPr>
            <w:r w:rsidRPr="009D3237">
              <w:rPr>
                <w:lang w:val="en-US"/>
              </w:rPr>
              <w:t>Travelling to and from a place of paid employment</w:t>
            </w:r>
            <w:r>
              <w:rPr>
                <w:lang w:val="en-US"/>
              </w:rPr>
              <w:t xml:space="preserve"> (minutes per week).</w:t>
            </w:r>
          </w:p>
        </w:tc>
        <w:tc>
          <w:tcPr>
            <w:tcW w:w="1417" w:type="dxa"/>
          </w:tcPr>
          <w:p w14:paraId="1D34F2FB" w14:textId="5A94B2B3" w:rsidR="00E95A5E" w:rsidRPr="008166DB" w:rsidRDefault="009D3237" w:rsidP="00E95A5E">
            <w:r>
              <w:t>5.85 (13.20)</w:t>
            </w:r>
          </w:p>
        </w:tc>
      </w:tr>
      <w:tr w:rsidR="00E95A5E" w:rsidRPr="00567CDA" w14:paraId="220C21D2" w14:textId="77777777" w:rsidTr="002071D0">
        <w:tc>
          <w:tcPr>
            <w:tcW w:w="2376" w:type="dxa"/>
          </w:tcPr>
          <w:p w14:paraId="24A4B7B4" w14:textId="6692BC81" w:rsidR="00E95A5E" w:rsidRPr="0084126C" w:rsidRDefault="009D3237" w:rsidP="00E95A5E">
            <w:pPr>
              <w:rPr>
                <w:b/>
                <w:i/>
                <w:lang w:val="en-US"/>
              </w:rPr>
            </w:pPr>
            <w:r w:rsidRPr="0084126C">
              <w:rPr>
                <w:b/>
                <w:i/>
                <w:lang w:val="en-US"/>
              </w:rPr>
              <w:t>Highest education</w:t>
            </w:r>
          </w:p>
        </w:tc>
        <w:tc>
          <w:tcPr>
            <w:tcW w:w="6096" w:type="dxa"/>
          </w:tcPr>
          <w:p w14:paraId="5E2847A2" w14:textId="77777777" w:rsidR="00E95A5E" w:rsidRPr="0084126C" w:rsidRDefault="00E95A5E" w:rsidP="00E95A5E">
            <w:pPr>
              <w:rPr>
                <w:lang w:val="en-US"/>
              </w:rPr>
            </w:pPr>
          </w:p>
        </w:tc>
        <w:tc>
          <w:tcPr>
            <w:tcW w:w="1417" w:type="dxa"/>
          </w:tcPr>
          <w:p w14:paraId="4A510A7C" w14:textId="77777777" w:rsidR="00E95A5E" w:rsidRPr="0084126C" w:rsidRDefault="00E95A5E" w:rsidP="00E95A5E"/>
        </w:tc>
      </w:tr>
      <w:tr w:rsidR="006512CC" w:rsidRPr="00567CDA" w14:paraId="6C8E9605" w14:textId="77777777" w:rsidTr="002071D0">
        <w:tc>
          <w:tcPr>
            <w:tcW w:w="2376" w:type="dxa"/>
          </w:tcPr>
          <w:p w14:paraId="475B5C59" w14:textId="3A6BFF09" w:rsidR="006512CC" w:rsidRPr="0084126C" w:rsidRDefault="005A69E5" w:rsidP="006512CC">
            <w:pPr>
              <w:rPr>
                <w:lang w:val="en-US"/>
              </w:rPr>
            </w:pPr>
            <w:r w:rsidRPr="0084126C">
              <w:rPr>
                <w:lang w:val="en-US"/>
              </w:rPr>
              <w:t xml:space="preserve">  </w:t>
            </w:r>
            <w:r w:rsidR="006512CC" w:rsidRPr="0084126C">
              <w:rPr>
                <w:lang w:val="en-US"/>
              </w:rPr>
              <w:t>Postgraduate</w:t>
            </w:r>
          </w:p>
        </w:tc>
        <w:tc>
          <w:tcPr>
            <w:tcW w:w="6096" w:type="dxa"/>
          </w:tcPr>
          <w:p w14:paraId="16F28B51" w14:textId="3FCDF32A" w:rsidR="006512CC" w:rsidRPr="0084126C" w:rsidRDefault="006512CC" w:rsidP="006512CC">
            <w:pPr>
              <w:rPr>
                <w:lang w:val="en-US"/>
              </w:rPr>
            </w:pPr>
            <w:r w:rsidRPr="0084126C">
              <w:rPr>
                <w:lang w:val="en-US"/>
              </w:rPr>
              <w:t>Masters or doctorate.</w:t>
            </w:r>
          </w:p>
        </w:tc>
        <w:tc>
          <w:tcPr>
            <w:tcW w:w="1417" w:type="dxa"/>
          </w:tcPr>
          <w:p w14:paraId="71D752C0" w14:textId="3100B9EF" w:rsidR="006512CC" w:rsidRPr="0084126C" w:rsidRDefault="006512CC" w:rsidP="006512CC">
            <w:r w:rsidRPr="0084126C">
              <w:t>0.05</w:t>
            </w:r>
          </w:p>
        </w:tc>
      </w:tr>
      <w:tr w:rsidR="006512CC" w:rsidRPr="00567CDA" w14:paraId="7C4D8FAD" w14:textId="77777777" w:rsidTr="002071D0">
        <w:tc>
          <w:tcPr>
            <w:tcW w:w="2376" w:type="dxa"/>
          </w:tcPr>
          <w:p w14:paraId="351E2AD7" w14:textId="32C7F1AE" w:rsidR="006512CC" w:rsidRPr="0084126C" w:rsidRDefault="005A69E5" w:rsidP="006512CC">
            <w:pPr>
              <w:rPr>
                <w:lang w:val="en-US"/>
              </w:rPr>
            </w:pPr>
            <w:r w:rsidRPr="0084126C">
              <w:rPr>
                <w:lang w:val="en-US"/>
              </w:rPr>
              <w:t xml:space="preserve">  </w:t>
            </w:r>
            <w:r w:rsidR="006512CC" w:rsidRPr="0084126C">
              <w:rPr>
                <w:lang w:val="en-US"/>
              </w:rPr>
              <w:t>Graduate diploma</w:t>
            </w:r>
          </w:p>
        </w:tc>
        <w:tc>
          <w:tcPr>
            <w:tcW w:w="6096" w:type="dxa"/>
          </w:tcPr>
          <w:p w14:paraId="615E38AB" w14:textId="20F3A965" w:rsidR="006512CC" w:rsidRPr="0084126C" w:rsidRDefault="006512CC" w:rsidP="006512CC">
            <w:pPr>
              <w:rPr>
                <w:lang w:val="en-US"/>
              </w:rPr>
            </w:pPr>
            <w:r w:rsidRPr="0084126C">
              <w:rPr>
                <w:lang w:val="en-US"/>
              </w:rPr>
              <w:t>Graduate diploma or graduate certificate.</w:t>
            </w:r>
          </w:p>
        </w:tc>
        <w:tc>
          <w:tcPr>
            <w:tcW w:w="1417" w:type="dxa"/>
          </w:tcPr>
          <w:p w14:paraId="76B0EBA8" w14:textId="03E9C871" w:rsidR="006512CC" w:rsidRPr="0084126C" w:rsidRDefault="006512CC" w:rsidP="006512CC">
            <w:r w:rsidRPr="0084126C">
              <w:t>0.06</w:t>
            </w:r>
          </w:p>
        </w:tc>
      </w:tr>
      <w:tr w:rsidR="006512CC" w:rsidRPr="00567CDA" w14:paraId="37095CC0" w14:textId="77777777" w:rsidTr="002071D0">
        <w:tc>
          <w:tcPr>
            <w:tcW w:w="2376" w:type="dxa"/>
          </w:tcPr>
          <w:p w14:paraId="468DE598" w14:textId="7D691278" w:rsidR="006512CC" w:rsidRPr="0084126C" w:rsidRDefault="005A69E5" w:rsidP="006512CC">
            <w:pPr>
              <w:rPr>
                <w:lang w:val="en-US"/>
              </w:rPr>
            </w:pPr>
            <w:r w:rsidRPr="0084126C">
              <w:rPr>
                <w:lang w:val="en-US"/>
              </w:rPr>
              <w:t xml:space="preserve">  </w:t>
            </w:r>
            <w:r w:rsidR="006512CC" w:rsidRPr="0084126C">
              <w:rPr>
                <w:lang w:val="en-US"/>
              </w:rPr>
              <w:t>Bachelor</w:t>
            </w:r>
          </w:p>
        </w:tc>
        <w:tc>
          <w:tcPr>
            <w:tcW w:w="6096" w:type="dxa"/>
          </w:tcPr>
          <w:p w14:paraId="4CADDAE6" w14:textId="75A296FB" w:rsidR="006512CC" w:rsidRPr="0084126C" w:rsidRDefault="006512CC" w:rsidP="006512CC">
            <w:pPr>
              <w:rPr>
                <w:lang w:val="en-US"/>
              </w:rPr>
            </w:pPr>
            <w:r w:rsidRPr="0084126C">
              <w:rPr>
                <w:lang w:val="en-US"/>
              </w:rPr>
              <w:t>Bachelor or honours degree.</w:t>
            </w:r>
          </w:p>
        </w:tc>
        <w:tc>
          <w:tcPr>
            <w:tcW w:w="1417" w:type="dxa"/>
          </w:tcPr>
          <w:p w14:paraId="44B38BDC" w14:textId="3ABB3685" w:rsidR="006512CC" w:rsidRPr="0084126C" w:rsidRDefault="006512CC" w:rsidP="006512CC">
            <w:r w:rsidRPr="0084126C">
              <w:t>0.14</w:t>
            </w:r>
          </w:p>
        </w:tc>
      </w:tr>
      <w:tr w:rsidR="006512CC" w:rsidRPr="00567CDA" w14:paraId="34D72DCF" w14:textId="77777777" w:rsidTr="002071D0">
        <w:tc>
          <w:tcPr>
            <w:tcW w:w="2376" w:type="dxa"/>
          </w:tcPr>
          <w:p w14:paraId="7D3805D1" w14:textId="57A4EA92" w:rsidR="006512CC" w:rsidRPr="0084126C" w:rsidRDefault="005A69E5" w:rsidP="006512CC">
            <w:pPr>
              <w:rPr>
                <w:lang w:val="en-US"/>
              </w:rPr>
            </w:pPr>
            <w:r w:rsidRPr="0084126C">
              <w:rPr>
                <w:lang w:val="en-US"/>
              </w:rPr>
              <w:t xml:space="preserve">  </w:t>
            </w:r>
            <w:r w:rsidR="006512CC" w:rsidRPr="0084126C">
              <w:rPr>
                <w:lang w:val="en-US"/>
              </w:rPr>
              <w:t>Diploma</w:t>
            </w:r>
          </w:p>
        </w:tc>
        <w:tc>
          <w:tcPr>
            <w:tcW w:w="6096" w:type="dxa"/>
          </w:tcPr>
          <w:p w14:paraId="69441B7C" w14:textId="0FE7DCE4" w:rsidR="006512CC" w:rsidRPr="0084126C" w:rsidRDefault="006512CC" w:rsidP="006512CC">
            <w:pPr>
              <w:rPr>
                <w:lang w:val="en-US"/>
              </w:rPr>
            </w:pPr>
            <w:r w:rsidRPr="0084126C">
              <w:rPr>
                <w:lang w:val="en-US"/>
              </w:rPr>
              <w:t>Diploma or advanced diploma.</w:t>
            </w:r>
          </w:p>
        </w:tc>
        <w:tc>
          <w:tcPr>
            <w:tcW w:w="1417" w:type="dxa"/>
          </w:tcPr>
          <w:p w14:paraId="74DF47EC" w14:textId="3B27713F" w:rsidR="006512CC" w:rsidRPr="0084126C" w:rsidRDefault="006512CC" w:rsidP="006512CC">
            <w:r w:rsidRPr="0084126C">
              <w:t>0.09</w:t>
            </w:r>
          </w:p>
        </w:tc>
      </w:tr>
      <w:tr w:rsidR="006512CC" w:rsidRPr="00567CDA" w14:paraId="1A4BF99F" w14:textId="77777777" w:rsidTr="002071D0">
        <w:tc>
          <w:tcPr>
            <w:tcW w:w="2376" w:type="dxa"/>
          </w:tcPr>
          <w:p w14:paraId="3E052874" w14:textId="59A9AB57" w:rsidR="006512CC" w:rsidRPr="0084126C" w:rsidRDefault="005A69E5" w:rsidP="006512CC">
            <w:pPr>
              <w:rPr>
                <w:lang w:val="en-US"/>
              </w:rPr>
            </w:pPr>
            <w:r w:rsidRPr="0084126C">
              <w:rPr>
                <w:lang w:val="en-US"/>
              </w:rPr>
              <w:t xml:space="preserve">  </w:t>
            </w:r>
            <w:r w:rsidR="006512CC" w:rsidRPr="0084126C">
              <w:rPr>
                <w:lang w:val="en-US"/>
              </w:rPr>
              <w:t>Certificate</w:t>
            </w:r>
          </w:p>
        </w:tc>
        <w:tc>
          <w:tcPr>
            <w:tcW w:w="6096" w:type="dxa"/>
          </w:tcPr>
          <w:p w14:paraId="66EDC434" w14:textId="4CBAC3F7" w:rsidR="006512CC" w:rsidRPr="0084126C" w:rsidRDefault="006512CC" w:rsidP="006512CC">
            <w:pPr>
              <w:rPr>
                <w:lang w:val="en-US"/>
              </w:rPr>
            </w:pPr>
            <w:r w:rsidRPr="0084126C">
              <w:rPr>
                <w:lang w:val="en-US"/>
              </w:rPr>
              <w:t>Certificate III or IV.</w:t>
            </w:r>
          </w:p>
        </w:tc>
        <w:tc>
          <w:tcPr>
            <w:tcW w:w="1417" w:type="dxa"/>
          </w:tcPr>
          <w:p w14:paraId="4A8CE578" w14:textId="73304B0F" w:rsidR="006512CC" w:rsidRPr="0084126C" w:rsidRDefault="006512CC" w:rsidP="006512CC">
            <w:r w:rsidRPr="0084126C">
              <w:t>0.22</w:t>
            </w:r>
          </w:p>
        </w:tc>
      </w:tr>
      <w:tr w:rsidR="006512CC" w:rsidRPr="00567CDA" w14:paraId="0638DB4D" w14:textId="77777777" w:rsidTr="002071D0">
        <w:tc>
          <w:tcPr>
            <w:tcW w:w="2376" w:type="dxa"/>
          </w:tcPr>
          <w:p w14:paraId="5BD1B63E" w14:textId="42AF41B1" w:rsidR="006512CC" w:rsidRPr="0084126C" w:rsidRDefault="005A69E5" w:rsidP="006512CC">
            <w:pPr>
              <w:rPr>
                <w:lang w:val="en-US"/>
              </w:rPr>
            </w:pPr>
            <w:r w:rsidRPr="0084126C">
              <w:rPr>
                <w:lang w:val="en-US"/>
              </w:rPr>
              <w:t xml:space="preserve">  </w:t>
            </w:r>
            <w:r w:rsidR="006512CC" w:rsidRPr="0084126C">
              <w:rPr>
                <w:lang w:val="en-US"/>
              </w:rPr>
              <w:t>Year 12</w:t>
            </w:r>
          </w:p>
        </w:tc>
        <w:tc>
          <w:tcPr>
            <w:tcW w:w="6096" w:type="dxa"/>
          </w:tcPr>
          <w:p w14:paraId="17495805" w14:textId="27EA5C93" w:rsidR="006512CC" w:rsidRPr="0084126C" w:rsidRDefault="006512CC" w:rsidP="006512CC">
            <w:pPr>
              <w:rPr>
                <w:lang w:val="en-US"/>
              </w:rPr>
            </w:pPr>
            <w:r w:rsidRPr="0084126C">
              <w:rPr>
                <w:lang w:val="en-US"/>
              </w:rPr>
              <w:t>High school graduate.</w:t>
            </w:r>
          </w:p>
        </w:tc>
        <w:tc>
          <w:tcPr>
            <w:tcW w:w="1417" w:type="dxa"/>
          </w:tcPr>
          <w:p w14:paraId="73C27614" w14:textId="1EBC821A" w:rsidR="006512CC" w:rsidRPr="0084126C" w:rsidRDefault="006512CC" w:rsidP="006512CC">
            <w:r w:rsidRPr="0084126C">
              <w:t>0.16</w:t>
            </w:r>
          </w:p>
        </w:tc>
      </w:tr>
      <w:tr w:rsidR="002418DD" w:rsidRPr="00567CDA" w14:paraId="5A410119" w14:textId="77777777" w:rsidTr="002071D0">
        <w:tc>
          <w:tcPr>
            <w:tcW w:w="2376" w:type="dxa"/>
          </w:tcPr>
          <w:p w14:paraId="1156F812" w14:textId="507C2483" w:rsidR="002418DD" w:rsidRPr="0084126C" w:rsidRDefault="002418DD" w:rsidP="00E95A5E">
            <w:pPr>
              <w:rPr>
                <w:lang w:val="en-US"/>
              </w:rPr>
            </w:pPr>
            <w:r w:rsidRPr="0084126C">
              <w:rPr>
                <w:lang w:val="en-US"/>
              </w:rPr>
              <w:t xml:space="preserve">  Year 11 and below</w:t>
            </w:r>
            <w:r w:rsidR="002071D0">
              <w:rPr>
                <w:lang w:val="en-US"/>
              </w:rPr>
              <w:t xml:space="preserve"> (ref.)</w:t>
            </w:r>
          </w:p>
        </w:tc>
        <w:tc>
          <w:tcPr>
            <w:tcW w:w="6096" w:type="dxa"/>
          </w:tcPr>
          <w:p w14:paraId="50778AFA" w14:textId="7668ADB0" w:rsidR="002418DD" w:rsidRPr="0084126C" w:rsidRDefault="002418DD" w:rsidP="00E95A5E">
            <w:pPr>
              <w:rPr>
                <w:lang w:val="en-US"/>
              </w:rPr>
            </w:pPr>
            <w:r w:rsidRPr="0084126C">
              <w:rPr>
                <w:lang w:val="en-US"/>
              </w:rPr>
              <w:t>Year 11 and below</w:t>
            </w:r>
          </w:p>
        </w:tc>
        <w:tc>
          <w:tcPr>
            <w:tcW w:w="1417" w:type="dxa"/>
          </w:tcPr>
          <w:p w14:paraId="151B7AC1" w14:textId="57095F6E" w:rsidR="002418DD" w:rsidRPr="0084126C" w:rsidRDefault="002418DD" w:rsidP="00E95A5E">
            <w:r w:rsidRPr="0084126C">
              <w:t>0.29</w:t>
            </w:r>
          </w:p>
        </w:tc>
      </w:tr>
      <w:tr w:rsidR="00E95A5E" w:rsidRPr="00567CDA" w14:paraId="2CFC9E9B" w14:textId="77777777" w:rsidTr="002071D0">
        <w:tc>
          <w:tcPr>
            <w:tcW w:w="2376" w:type="dxa"/>
          </w:tcPr>
          <w:p w14:paraId="3BE1378D" w14:textId="32B4ADAF" w:rsidR="00E95A5E" w:rsidRPr="008166DB" w:rsidRDefault="006512CC" w:rsidP="00E95A5E">
            <w:pPr>
              <w:rPr>
                <w:lang w:val="en-US"/>
              </w:rPr>
            </w:pPr>
            <w:r>
              <w:rPr>
                <w:lang w:val="en-US"/>
              </w:rPr>
              <w:t>Osborn</w:t>
            </w:r>
          </w:p>
        </w:tc>
        <w:tc>
          <w:tcPr>
            <w:tcW w:w="6096" w:type="dxa"/>
          </w:tcPr>
          <w:p w14:paraId="4A1CEA4C" w14:textId="415FC177" w:rsidR="00E95A5E" w:rsidRPr="008166DB" w:rsidRDefault="006512CC" w:rsidP="00E95A5E">
            <w:pPr>
              <w:rPr>
                <w:lang w:val="en-US"/>
              </w:rPr>
            </w:pPr>
            <w:r>
              <w:rPr>
                <w:lang w:val="en-US"/>
              </w:rPr>
              <w:t>1 = born overseas; 0 = otherwise.</w:t>
            </w:r>
          </w:p>
        </w:tc>
        <w:tc>
          <w:tcPr>
            <w:tcW w:w="1417" w:type="dxa"/>
          </w:tcPr>
          <w:p w14:paraId="525549CA" w14:textId="77F532C6" w:rsidR="00E95A5E" w:rsidRPr="008166DB" w:rsidRDefault="006512CC" w:rsidP="00E95A5E">
            <w:r>
              <w:t>0.20</w:t>
            </w:r>
          </w:p>
        </w:tc>
      </w:tr>
      <w:tr w:rsidR="00E95A5E" w:rsidRPr="00567CDA" w14:paraId="0B2FF74E" w14:textId="77777777" w:rsidTr="002071D0">
        <w:tc>
          <w:tcPr>
            <w:tcW w:w="2376" w:type="dxa"/>
          </w:tcPr>
          <w:p w14:paraId="725D5A13" w14:textId="7D8DABE0" w:rsidR="00E95A5E" w:rsidRPr="005A69E5" w:rsidRDefault="006512CC" w:rsidP="00E95A5E">
            <w:pPr>
              <w:rPr>
                <w:b/>
                <w:i/>
                <w:lang w:val="en-US"/>
              </w:rPr>
            </w:pPr>
            <w:r w:rsidRPr="005A69E5">
              <w:rPr>
                <w:b/>
                <w:i/>
                <w:lang w:val="en-US"/>
              </w:rPr>
              <w:t>Refuge</w:t>
            </w:r>
            <w:r w:rsidR="00E05788" w:rsidRPr="005A69E5">
              <w:rPr>
                <w:b/>
                <w:i/>
                <w:lang w:val="en-US"/>
              </w:rPr>
              <w:t>e</w:t>
            </w:r>
          </w:p>
        </w:tc>
        <w:tc>
          <w:tcPr>
            <w:tcW w:w="6096" w:type="dxa"/>
          </w:tcPr>
          <w:p w14:paraId="02558CD5" w14:textId="77777777" w:rsidR="00E95A5E" w:rsidRPr="008166DB" w:rsidRDefault="00E95A5E" w:rsidP="00E95A5E">
            <w:pPr>
              <w:rPr>
                <w:lang w:val="en-US"/>
              </w:rPr>
            </w:pPr>
          </w:p>
        </w:tc>
        <w:tc>
          <w:tcPr>
            <w:tcW w:w="1417" w:type="dxa"/>
          </w:tcPr>
          <w:p w14:paraId="270879A8" w14:textId="77777777" w:rsidR="00E95A5E" w:rsidRPr="008166DB" w:rsidRDefault="00E95A5E" w:rsidP="00E95A5E"/>
        </w:tc>
      </w:tr>
      <w:tr w:rsidR="005A69E5" w:rsidRPr="00567CDA" w14:paraId="45C0269B" w14:textId="77777777" w:rsidTr="002071D0">
        <w:tc>
          <w:tcPr>
            <w:tcW w:w="2376" w:type="dxa"/>
          </w:tcPr>
          <w:p w14:paraId="2EB87888" w14:textId="0E5D03B5" w:rsidR="005A69E5" w:rsidRDefault="005A69E5" w:rsidP="005A69E5">
            <w:pPr>
              <w:rPr>
                <w:lang w:val="en-US"/>
              </w:rPr>
            </w:pPr>
            <w:r>
              <w:rPr>
                <w:lang w:val="en-US"/>
              </w:rPr>
              <w:t xml:space="preserve">  No</w:t>
            </w:r>
            <w:r w:rsidR="002071D0">
              <w:rPr>
                <w:lang w:val="en-US"/>
              </w:rPr>
              <w:t xml:space="preserve"> (ref.)</w:t>
            </w:r>
          </w:p>
        </w:tc>
        <w:tc>
          <w:tcPr>
            <w:tcW w:w="6096" w:type="dxa"/>
          </w:tcPr>
          <w:p w14:paraId="75F4B904" w14:textId="12479C01" w:rsidR="005A69E5" w:rsidRPr="008166DB" w:rsidRDefault="005A69E5" w:rsidP="005A69E5">
            <w:pPr>
              <w:rPr>
                <w:lang w:val="en-US"/>
              </w:rPr>
            </w:pPr>
            <w:r>
              <w:rPr>
                <w:lang w:val="en-US"/>
              </w:rPr>
              <w:t>Not a refugee</w:t>
            </w:r>
            <w:r w:rsidR="003F26A0">
              <w:rPr>
                <w:lang w:val="en-US"/>
              </w:rPr>
              <w:t>.</w:t>
            </w:r>
          </w:p>
        </w:tc>
        <w:tc>
          <w:tcPr>
            <w:tcW w:w="1417" w:type="dxa"/>
          </w:tcPr>
          <w:p w14:paraId="486AD6D3" w14:textId="1B3BF232" w:rsidR="005A69E5" w:rsidRPr="008166DB" w:rsidRDefault="005A69E5" w:rsidP="005A69E5">
            <w:r w:rsidRPr="005A69E5">
              <w:t>0.13</w:t>
            </w:r>
          </w:p>
        </w:tc>
      </w:tr>
      <w:tr w:rsidR="005A69E5" w:rsidRPr="00567CDA" w14:paraId="3D5D994A" w14:textId="77777777" w:rsidTr="002071D0">
        <w:tc>
          <w:tcPr>
            <w:tcW w:w="2376" w:type="dxa"/>
          </w:tcPr>
          <w:p w14:paraId="014239E1" w14:textId="71AF4704" w:rsidR="005A69E5" w:rsidRDefault="005A69E5" w:rsidP="005A69E5">
            <w:pPr>
              <w:rPr>
                <w:lang w:val="en-US"/>
              </w:rPr>
            </w:pPr>
            <w:r>
              <w:rPr>
                <w:lang w:val="en-US"/>
              </w:rPr>
              <w:t xml:space="preserve">  Yes</w:t>
            </w:r>
          </w:p>
        </w:tc>
        <w:tc>
          <w:tcPr>
            <w:tcW w:w="6096" w:type="dxa"/>
          </w:tcPr>
          <w:p w14:paraId="64B31FB0" w14:textId="10DF36B8" w:rsidR="005A69E5" w:rsidRPr="008166DB" w:rsidRDefault="005A69E5" w:rsidP="005A69E5">
            <w:pPr>
              <w:rPr>
                <w:lang w:val="en-US"/>
              </w:rPr>
            </w:pPr>
            <w:r>
              <w:rPr>
                <w:lang w:val="en-US"/>
              </w:rPr>
              <w:t>Is a refugee</w:t>
            </w:r>
            <w:r w:rsidR="003F26A0">
              <w:rPr>
                <w:lang w:val="en-US"/>
              </w:rPr>
              <w:t>.</w:t>
            </w:r>
          </w:p>
        </w:tc>
        <w:tc>
          <w:tcPr>
            <w:tcW w:w="1417" w:type="dxa"/>
          </w:tcPr>
          <w:p w14:paraId="46D3908F" w14:textId="65C71DBC" w:rsidR="005A69E5" w:rsidRPr="008166DB" w:rsidRDefault="005A69E5" w:rsidP="005A69E5">
            <w:r w:rsidRPr="005A69E5">
              <w:t>0.02</w:t>
            </w:r>
          </w:p>
        </w:tc>
      </w:tr>
      <w:tr w:rsidR="005A69E5" w:rsidRPr="00567CDA" w14:paraId="0A6CA740" w14:textId="77777777" w:rsidTr="002071D0">
        <w:tc>
          <w:tcPr>
            <w:tcW w:w="2376" w:type="dxa"/>
          </w:tcPr>
          <w:p w14:paraId="17693A7F" w14:textId="6B46ACFB" w:rsidR="005A69E5" w:rsidRDefault="005A69E5" w:rsidP="005A69E5">
            <w:pPr>
              <w:rPr>
                <w:lang w:val="en-US"/>
              </w:rPr>
            </w:pPr>
            <w:r>
              <w:rPr>
                <w:lang w:val="en-US"/>
              </w:rPr>
              <w:t xml:space="preserve">  Not asked</w:t>
            </w:r>
          </w:p>
        </w:tc>
        <w:tc>
          <w:tcPr>
            <w:tcW w:w="6096" w:type="dxa"/>
          </w:tcPr>
          <w:p w14:paraId="3AF5E00C" w14:textId="0DD894E5" w:rsidR="005A69E5" w:rsidRPr="008166DB" w:rsidRDefault="005A69E5" w:rsidP="005A69E5">
            <w:pPr>
              <w:rPr>
                <w:lang w:val="en-US"/>
              </w:rPr>
            </w:pPr>
            <w:r>
              <w:rPr>
                <w:lang w:val="en-US"/>
              </w:rPr>
              <w:t>Respondent not asked</w:t>
            </w:r>
            <w:r w:rsidR="003F26A0">
              <w:rPr>
                <w:lang w:val="en-US"/>
              </w:rPr>
              <w:t>.</w:t>
            </w:r>
          </w:p>
        </w:tc>
        <w:tc>
          <w:tcPr>
            <w:tcW w:w="1417" w:type="dxa"/>
          </w:tcPr>
          <w:p w14:paraId="05A0F1E6" w14:textId="22CCB0A2" w:rsidR="005A69E5" w:rsidRPr="008166DB" w:rsidRDefault="005A69E5" w:rsidP="005A69E5">
            <w:r w:rsidRPr="005A69E5">
              <w:t>0.86</w:t>
            </w:r>
          </w:p>
        </w:tc>
      </w:tr>
      <w:tr w:rsidR="00E95A5E" w:rsidRPr="00567CDA" w14:paraId="3AEFD144" w14:textId="77777777" w:rsidTr="002071D0">
        <w:tc>
          <w:tcPr>
            <w:tcW w:w="2376" w:type="dxa"/>
          </w:tcPr>
          <w:p w14:paraId="78D63B71" w14:textId="17AAE1C5" w:rsidR="00E95A5E" w:rsidRPr="008166DB" w:rsidRDefault="006512CC" w:rsidP="00E95A5E">
            <w:pPr>
              <w:rPr>
                <w:lang w:val="en-US"/>
              </w:rPr>
            </w:pPr>
            <w:r>
              <w:rPr>
                <w:lang w:val="en-US"/>
              </w:rPr>
              <w:t>Years at address</w:t>
            </w:r>
          </w:p>
        </w:tc>
        <w:tc>
          <w:tcPr>
            <w:tcW w:w="6096" w:type="dxa"/>
          </w:tcPr>
          <w:p w14:paraId="4DB343E1" w14:textId="71A14D4F" w:rsidR="00E95A5E" w:rsidRPr="008166DB" w:rsidRDefault="006512CC" w:rsidP="00E95A5E">
            <w:pPr>
              <w:rPr>
                <w:lang w:val="en-US"/>
              </w:rPr>
            </w:pPr>
            <w:r>
              <w:rPr>
                <w:lang w:val="en-US"/>
              </w:rPr>
              <w:t>Number of years at current address</w:t>
            </w:r>
            <w:r w:rsidR="003F26A0">
              <w:rPr>
                <w:lang w:val="en-US"/>
              </w:rPr>
              <w:t>.</w:t>
            </w:r>
          </w:p>
        </w:tc>
        <w:tc>
          <w:tcPr>
            <w:tcW w:w="1417" w:type="dxa"/>
          </w:tcPr>
          <w:p w14:paraId="713FE2E1" w14:textId="1024B3A0" w:rsidR="00E95A5E" w:rsidRPr="006512CC" w:rsidRDefault="006512CC" w:rsidP="00E95A5E">
            <w:r w:rsidRPr="006512CC">
              <w:t>10.17</w:t>
            </w:r>
            <w:r>
              <w:t xml:space="preserve"> (11.35)</w:t>
            </w:r>
          </w:p>
        </w:tc>
      </w:tr>
      <w:tr w:rsidR="00E95A5E" w:rsidRPr="00567CDA" w14:paraId="5527B989" w14:textId="77777777" w:rsidTr="002071D0">
        <w:tc>
          <w:tcPr>
            <w:tcW w:w="2376" w:type="dxa"/>
          </w:tcPr>
          <w:p w14:paraId="1D3BFD8A" w14:textId="597BFDBE" w:rsidR="00E95A5E" w:rsidRPr="008166DB" w:rsidRDefault="006512CC" w:rsidP="00E95A5E">
            <w:pPr>
              <w:rPr>
                <w:lang w:val="en-US"/>
              </w:rPr>
            </w:pPr>
            <w:r>
              <w:rPr>
                <w:lang w:val="en-US"/>
              </w:rPr>
              <w:t>SES index</w:t>
            </w:r>
          </w:p>
        </w:tc>
        <w:tc>
          <w:tcPr>
            <w:tcW w:w="6096" w:type="dxa"/>
          </w:tcPr>
          <w:p w14:paraId="217A56D3" w14:textId="2F22ED28" w:rsidR="00E95A5E" w:rsidRPr="008166DB" w:rsidRDefault="005A69E5" w:rsidP="00E95A5E">
            <w:pPr>
              <w:rPr>
                <w:lang w:val="en-US"/>
              </w:rPr>
            </w:pPr>
            <w:r>
              <w:rPr>
                <w:lang w:val="en-US"/>
              </w:rPr>
              <w:t>Decile of i</w:t>
            </w:r>
            <w:r w:rsidR="00E05788" w:rsidRPr="00E05788">
              <w:rPr>
                <w:lang w:val="en-US"/>
              </w:rPr>
              <w:t>ndex of relative socio-economic advantage/disadvantage</w:t>
            </w:r>
            <w:r w:rsidR="00E05788">
              <w:rPr>
                <w:lang w:val="en-US"/>
              </w:rPr>
              <w:t>.</w:t>
            </w:r>
          </w:p>
        </w:tc>
        <w:tc>
          <w:tcPr>
            <w:tcW w:w="1417" w:type="dxa"/>
          </w:tcPr>
          <w:p w14:paraId="6D619F43" w14:textId="3A523672" w:rsidR="00E95A5E" w:rsidRPr="006512CC" w:rsidRDefault="006512CC" w:rsidP="006512CC">
            <w:r w:rsidRPr="006512CC">
              <w:t>5.66 (2.85)</w:t>
            </w:r>
          </w:p>
        </w:tc>
      </w:tr>
      <w:tr w:rsidR="006512CC" w:rsidRPr="00567CDA" w14:paraId="5EC544EA" w14:textId="77777777" w:rsidTr="002071D0">
        <w:tc>
          <w:tcPr>
            <w:tcW w:w="2376" w:type="dxa"/>
          </w:tcPr>
          <w:p w14:paraId="1215B3C4" w14:textId="48B557C0" w:rsidR="006512CC" w:rsidRPr="008166DB" w:rsidRDefault="006512CC" w:rsidP="00E95A5E">
            <w:pPr>
              <w:rPr>
                <w:lang w:val="en-US"/>
              </w:rPr>
            </w:pPr>
            <w:r>
              <w:rPr>
                <w:lang w:val="en-US"/>
              </w:rPr>
              <w:t>Household income</w:t>
            </w:r>
          </w:p>
        </w:tc>
        <w:tc>
          <w:tcPr>
            <w:tcW w:w="6096" w:type="dxa"/>
          </w:tcPr>
          <w:p w14:paraId="659E1D80" w14:textId="7B66198C" w:rsidR="006512CC" w:rsidRPr="008166DB" w:rsidRDefault="00E05788" w:rsidP="00E95A5E">
            <w:pPr>
              <w:rPr>
                <w:lang w:val="en-US"/>
              </w:rPr>
            </w:pPr>
            <w:r>
              <w:rPr>
                <w:lang w:val="en-US"/>
              </w:rPr>
              <w:t>Household disposable income.</w:t>
            </w:r>
          </w:p>
        </w:tc>
        <w:tc>
          <w:tcPr>
            <w:tcW w:w="1417" w:type="dxa"/>
          </w:tcPr>
          <w:p w14:paraId="7DDE9349" w14:textId="0F34B3AC" w:rsidR="006512CC" w:rsidRPr="008166DB" w:rsidRDefault="006512CC" w:rsidP="00E95A5E">
            <w:r>
              <w:t>$</w:t>
            </w:r>
            <w:r w:rsidRPr="006512CC">
              <w:t>97729.24</w:t>
            </w:r>
            <w:r>
              <w:t xml:space="preserve"> ($</w:t>
            </w:r>
            <w:r w:rsidRPr="006512CC">
              <w:t>79599.93</w:t>
            </w:r>
            <w:r>
              <w:t>)</w:t>
            </w:r>
          </w:p>
        </w:tc>
      </w:tr>
      <w:tr w:rsidR="006512CC" w:rsidRPr="00567CDA" w14:paraId="11A9321E" w14:textId="77777777" w:rsidTr="002071D0">
        <w:tc>
          <w:tcPr>
            <w:tcW w:w="2376" w:type="dxa"/>
          </w:tcPr>
          <w:p w14:paraId="50F1A657" w14:textId="13407AE2" w:rsidR="006512CC" w:rsidRPr="008166DB" w:rsidRDefault="006512CC" w:rsidP="00E95A5E">
            <w:pPr>
              <w:rPr>
                <w:lang w:val="en-US"/>
              </w:rPr>
            </w:pPr>
            <w:r>
              <w:rPr>
                <w:lang w:val="en-US"/>
              </w:rPr>
              <w:t>Wave</w:t>
            </w:r>
          </w:p>
        </w:tc>
        <w:tc>
          <w:tcPr>
            <w:tcW w:w="6096" w:type="dxa"/>
          </w:tcPr>
          <w:p w14:paraId="61872F92" w14:textId="598093D8" w:rsidR="006512CC" w:rsidRPr="008166DB" w:rsidRDefault="006512CC" w:rsidP="00E95A5E">
            <w:pPr>
              <w:rPr>
                <w:lang w:val="en-US"/>
              </w:rPr>
            </w:pPr>
            <w:r>
              <w:rPr>
                <w:lang w:val="en-US"/>
              </w:rPr>
              <w:t>1 = 2014; 0 = 2010.</w:t>
            </w:r>
          </w:p>
        </w:tc>
        <w:tc>
          <w:tcPr>
            <w:tcW w:w="1417" w:type="dxa"/>
          </w:tcPr>
          <w:p w14:paraId="1A38D752" w14:textId="54D4A9A7" w:rsidR="006512CC" w:rsidRPr="008166DB" w:rsidRDefault="006512CC" w:rsidP="00E95A5E">
            <w:r>
              <w:t>0.56</w:t>
            </w:r>
          </w:p>
        </w:tc>
      </w:tr>
    </w:tbl>
    <w:p w14:paraId="71C3CE16" w14:textId="429A22CF" w:rsidR="005B4B4F" w:rsidRDefault="00A86E0D" w:rsidP="005B4B4F">
      <w:pPr>
        <w:spacing w:after="0" w:line="240" w:lineRule="auto"/>
        <w:rPr>
          <w:sz w:val="20"/>
          <w:lang w:val="en-US"/>
        </w:rPr>
      </w:pPr>
      <w:r w:rsidRPr="00873E74">
        <w:rPr>
          <w:sz w:val="20"/>
          <w:highlight w:val="yellow"/>
          <w:lang w:val="en-US"/>
        </w:rPr>
        <w:t>Source: HILDA</w:t>
      </w:r>
      <w:r w:rsidR="005B4B4F" w:rsidRPr="00873E74">
        <w:rPr>
          <w:sz w:val="20"/>
          <w:highlight w:val="yellow"/>
          <w:lang w:val="en-US"/>
        </w:rPr>
        <w:t xml:space="preserve">. Note: The SES index used in this study is the Socio-Economic Indexes for Areas (SEIFA). It is comprised of four indices that have been created from the economic and social information </w:t>
      </w:r>
      <w:r w:rsidR="00A03622" w:rsidRPr="00873E74">
        <w:rPr>
          <w:sz w:val="20"/>
          <w:highlight w:val="yellow"/>
          <w:lang w:val="en-US"/>
        </w:rPr>
        <w:t xml:space="preserve">contain in </w:t>
      </w:r>
      <w:r w:rsidR="005B4B4F" w:rsidRPr="00873E74">
        <w:rPr>
          <w:sz w:val="20"/>
          <w:highlight w:val="yellow"/>
          <w:lang w:val="en-US"/>
        </w:rPr>
        <w:t>the Census. In essence, each index ranks geographic areas across Australia based on their relative socio-</w:t>
      </w:r>
      <w:r w:rsidR="00A03622" w:rsidRPr="00873E74">
        <w:rPr>
          <w:sz w:val="20"/>
          <w:highlight w:val="yellow"/>
          <w:lang w:val="en-US"/>
        </w:rPr>
        <w:t>economic</w:t>
      </w:r>
      <w:r w:rsidR="005B4B4F" w:rsidRPr="00873E74">
        <w:rPr>
          <w:sz w:val="20"/>
          <w:highlight w:val="yellow"/>
          <w:lang w:val="en-US"/>
        </w:rPr>
        <w:t xml:space="preserve"> advantage and disadvantage.</w:t>
      </w:r>
    </w:p>
    <w:p w14:paraId="20F315B0" w14:textId="17B59C4F" w:rsidR="00F438C8" w:rsidRDefault="00F438C8">
      <w:pPr>
        <w:rPr>
          <w:sz w:val="20"/>
          <w:lang w:val="en-US"/>
        </w:rPr>
      </w:pPr>
      <w:r>
        <w:rPr>
          <w:sz w:val="20"/>
          <w:lang w:val="en-US"/>
        </w:rPr>
        <w:br w:type="page"/>
      </w:r>
    </w:p>
    <w:p w14:paraId="46D023C3" w14:textId="77777777" w:rsidR="00376623" w:rsidRDefault="00376623" w:rsidP="00376623">
      <w:pPr>
        <w:spacing w:after="0" w:line="240" w:lineRule="auto"/>
        <w:rPr>
          <w:sz w:val="20"/>
          <w:lang w:val="en-US"/>
        </w:rPr>
      </w:pPr>
    </w:p>
    <w:p w14:paraId="39F8BDB1" w14:textId="77777777" w:rsidR="00376623" w:rsidRPr="003F26A0" w:rsidRDefault="00376623" w:rsidP="00376623">
      <w:pPr>
        <w:spacing w:after="0" w:line="240" w:lineRule="auto"/>
        <w:rPr>
          <w:b/>
          <w:sz w:val="20"/>
          <w:lang w:val="en-US"/>
        </w:rPr>
      </w:pPr>
      <w:r w:rsidRPr="00376623">
        <w:rPr>
          <w:b/>
          <w:sz w:val="20"/>
          <w:highlight w:val="yellow"/>
          <w:lang w:val="en-US"/>
        </w:rPr>
        <w:t>TABLE 2:</w:t>
      </w:r>
      <w:r w:rsidRPr="00376623">
        <w:rPr>
          <w:b/>
          <w:sz w:val="20"/>
          <w:highlight w:val="yellow"/>
        </w:rPr>
        <w:t xml:space="preserve"> The effects of religious affiliation on trust, OLOGIT (n = 24,984)</w:t>
      </w:r>
    </w:p>
    <w:tbl>
      <w:tblPr>
        <w:tblStyle w:val="TableSimple1"/>
        <w:tblW w:w="8500" w:type="dxa"/>
        <w:tblLayout w:type="fixed"/>
        <w:tblLook w:val="0000" w:firstRow="0" w:lastRow="0" w:firstColumn="0" w:lastColumn="0" w:noHBand="0" w:noVBand="0"/>
      </w:tblPr>
      <w:tblGrid>
        <w:gridCol w:w="3227"/>
        <w:gridCol w:w="1021"/>
        <w:gridCol w:w="567"/>
        <w:gridCol w:w="850"/>
        <w:gridCol w:w="1134"/>
        <w:gridCol w:w="709"/>
        <w:gridCol w:w="992"/>
      </w:tblGrid>
      <w:tr w:rsidR="00376623" w:rsidRPr="00B03B04" w14:paraId="45CF5CB7" w14:textId="77777777" w:rsidTr="00DC55BD">
        <w:tc>
          <w:tcPr>
            <w:tcW w:w="3227" w:type="dxa"/>
          </w:tcPr>
          <w:p w14:paraId="1691FE94" w14:textId="77777777" w:rsidR="00376623" w:rsidRPr="00D7403C" w:rsidRDefault="00376623" w:rsidP="00DC55BD">
            <w:pPr>
              <w:widowControl w:val="0"/>
              <w:autoSpaceDE w:val="0"/>
              <w:autoSpaceDN w:val="0"/>
              <w:adjustRightInd w:val="0"/>
            </w:pPr>
          </w:p>
        </w:tc>
        <w:tc>
          <w:tcPr>
            <w:tcW w:w="2438" w:type="dxa"/>
            <w:gridSpan w:val="3"/>
          </w:tcPr>
          <w:p w14:paraId="79E02DFB" w14:textId="77777777" w:rsidR="00376623" w:rsidRPr="00D7403C" w:rsidRDefault="00376623" w:rsidP="00DC55BD">
            <w:pPr>
              <w:widowControl w:val="0"/>
              <w:autoSpaceDE w:val="0"/>
              <w:autoSpaceDN w:val="0"/>
              <w:adjustRightInd w:val="0"/>
              <w:jc w:val="center"/>
              <w:rPr>
                <w:b/>
                <w:u w:val="single"/>
              </w:rPr>
            </w:pPr>
            <w:r w:rsidRPr="00D7403C">
              <w:rPr>
                <w:b/>
                <w:u w:val="single"/>
              </w:rPr>
              <w:t>General Trust</w:t>
            </w:r>
          </w:p>
        </w:tc>
        <w:tc>
          <w:tcPr>
            <w:tcW w:w="2835" w:type="dxa"/>
            <w:gridSpan w:val="3"/>
          </w:tcPr>
          <w:p w14:paraId="2850FB8F" w14:textId="77777777" w:rsidR="00376623" w:rsidRPr="00D7403C" w:rsidRDefault="00376623" w:rsidP="00DC55BD">
            <w:pPr>
              <w:widowControl w:val="0"/>
              <w:autoSpaceDE w:val="0"/>
              <w:autoSpaceDN w:val="0"/>
              <w:adjustRightInd w:val="0"/>
              <w:jc w:val="center"/>
              <w:rPr>
                <w:b/>
                <w:u w:val="single"/>
              </w:rPr>
            </w:pPr>
            <w:r w:rsidRPr="00D7403C">
              <w:rPr>
                <w:b/>
                <w:u w:val="single"/>
              </w:rPr>
              <w:t>Local Trust</w:t>
            </w:r>
          </w:p>
        </w:tc>
      </w:tr>
      <w:tr w:rsidR="00376623" w:rsidRPr="00B03B04" w14:paraId="05B367C5" w14:textId="77777777" w:rsidTr="00DC55BD">
        <w:tc>
          <w:tcPr>
            <w:tcW w:w="3227" w:type="dxa"/>
          </w:tcPr>
          <w:p w14:paraId="3F24A20F" w14:textId="77777777" w:rsidR="00376623" w:rsidRPr="00D7403C" w:rsidRDefault="00376623" w:rsidP="00DC55BD">
            <w:pPr>
              <w:widowControl w:val="0"/>
              <w:autoSpaceDE w:val="0"/>
              <w:autoSpaceDN w:val="0"/>
              <w:adjustRightInd w:val="0"/>
              <w:rPr>
                <w:b/>
                <w:i/>
              </w:rPr>
            </w:pPr>
            <w:r w:rsidRPr="00D7403C">
              <w:rPr>
                <w:b/>
                <w:i/>
              </w:rPr>
              <w:t>Religious affiliation</w:t>
            </w:r>
          </w:p>
        </w:tc>
        <w:tc>
          <w:tcPr>
            <w:tcW w:w="1021" w:type="dxa"/>
          </w:tcPr>
          <w:p w14:paraId="7B6A0185" w14:textId="77777777" w:rsidR="00376623" w:rsidRPr="00D7403C" w:rsidRDefault="00376623" w:rsidP="00DC55BD">
            <w:pPr>
              <w:widowControl w:val="0"/>
              <w:autoSpaceDE w:val="0"/>
              <w:autoSpaceDN w:val="0"/>
              <w:adjustRightInd w:val="0"/>
              <w:jc w:val="center"/>
              <w:rPr>
                <w:b/>
              </w:rPr>
            </w:pPr>
            <w:r w:rsidRPr="00D7403C">
              <w:rPr>
                <w:b/>
              </w:rPr>
              <w:t>β</w:t>
            </w:r>
          </w:p>
        </w:tc>
        <w:tc>
          <w:tcPr>
            <w:tcW w:w="567" w:type="dxa"/>
          </w:tcPr>
          <w:p w14:paraId="2CC956FC" w14:textId="77777777" w:rsidR="00376623" w:rsidRPr="00D7403C" w:rsidRDefault="00376623" w:rsidP="00DC55BD">
            <w:pPr>
              <w:widowControl w:val="0"/>
              <w:autoSpaceDE w:val="0"/>
              <w:autoSpaceDN w:val="0"/>
              <w:adjustRightInd w:val="0"/>
              <w:jc w:val="center"/>
              <w:rPr>
                <w:b/>
              </w:rPr>
            </w:pPr>
          </w:p>
        </w:tc>
        <w:tc>
          <w:tcPr>
            <w:tcW w:w="850" w:type="dxa"/>
          </w:tcPr>
          <w:p w14:paraId="431ACB34" w14:textId="77777777" w:rsidR="00376623" w:rsidRPr="00D7403C" w:rsidRDefault="00376623" w:rsidP="00DC55BD">
            <w:pPr>
              <w:widowControl w:val="0"/>
              <w:autoSpaceDE w:val="0"/>
              <w:autoSpaceDN w:val="0"/>
              <w:adjustRightInd w:val="0"/>
              <w:jc w:val="center"/>
              <w:rPr>
                <w:b/>
              </w:rPr>
            </w:pPr>
            <w:r w:rsidRPr="00D7403C">
              <w:rPr>
                <w:b/>
              </w:rPr>
              <w:t>SE</w:t>
            </w:r>
          </w:p>
        </w:tc>
        <w:tc>
          <w:tcPr>
            <w:tcW w:w="1134" w:type="dxa"/>
          </w:tcPr>
          <w:p w14:paraId="75F25291" w14:textId="77777777" w:rsidR="00376623" w:rsidRPr="00D7403C" w:rsidRDefault="00376623" w:rsidP="00DC55BD">
            <w:pPr>
              <w:widowControl w:val="0"/>
              <w:autoSpaceDE w:val="0"/>
              <w:autoSpaceDN w:val="0"/>
              <w:adjustRightInd w:val="0"/>
              <w:jc w:val="center"/>
              <w:rPr>
                <w:b/>
              </w:rPr>
            </w:pPr>
            <w:r w:rsidRPr="00D7403C">
              <w:rPr>
                <w:b/>
              </w:rPr>
              <w:t>β</w:t>
            </w:r>
          </w:p>
        </w:tc>
        <w:tc>
          <w:tcPr>
            <w:tcW w:w="709" w:type="dxa"/>
          </w:tcPr>
          <w:p w14:paraId="6C568C38" w14:textId="77777777" w:rsidR="00376623" w:rsidRPr="00D7403C" w:rsidRDefault="00376623" w:rsidP="00DC55BD">
            <w:pPr>
              <w:widowControl w:val="0"/>
              <w:autoSpaceDE w:val="0"/>
              <w:autoSpaceDN w:val="0"/>
              <w:adjustRightInd w:val="0"/>
              <w:jc w:val="center"/>
              <w:rPr>
                <w:b/>
              </w:rPr>
            </w:pPr>
          </w:p>
        </w:tc>
        <w:tc>
          <w:tcPr>
            <w:tcW w:w="992" w:type="dxa"/>
          </w:tcPr>
          <w:p w14:paraId="4F4E30CF" w14:textId="77777777" w:rsidR="00376623" w:rsidRPr="00D7403C" w:rsidRDefault="00376623" w:rsidP="00DC55BD">
            <w:pPr>
              <w:widowControl w:val="0"/>
              <w:autoSpaceDE w:val="0"/>
              <w:autoSpaceDN w:val="0"/>
              <w:adjustRightInd w:val="0"/>
              <w:jc w:val="center"/>
              <w:rPr>
                <w:b/>
              </w:rPr>
            </w:pPr>
            <w:r w:rsidRPr="00D7403C">
              <w:rPr>
                <w:b/>
              </w:rPr>
              <w:t>SE</w:t>
            </w:r>
          </w:p>
        </w:tc>
      </w:tr>
      <w:tr w:rsidR="00376623" w:rsidRPr="00B03B04" w14:paraId="5B3E513F" w14:textId="77777777" w:rsidTr="00DC55BD">
        <w:tc>
          <w:tcPr>
            <w:tcW w:w="3227" w:type="dxa"/>
          </w:tcPr>
          <w:p w14:paraId="4EA099A0" w14:textId="77777777" w:rsidR="00376623" w:rsidRPr="00D7403C" w:rsidRDefault="00376623" w:rsidP="00DC55BD">
            <w:pPr>
              <w:widowControl w:val="0"/>
              <w:autoSpaceDE w:val="0"/>
              <w:autoSpaceDN w:val="0"/>
              <w:adjustRightInd w:val="0"/>
            </w:pPr>
            <w:r w:rsidRPr="00D7403C">
              <w:rPr>
                <w:color w:val="000000"/>
              </w:rPr>
              <w:t>Jews</w:t>
            </w:r>
          </w:p>
        </w:tc>
        <w:tc>
          <w:tcPr>
            <w:tcW w:w="1021" w:type="dxa"/>
          </w:tcPr>
          <w:p w14:paraId="02327DA6" w14:textId="77777777" w:rsidR="00376623" w:rsidRPr="00D7403C" w:rsidRDefault="00376623" w:rsidP="00DC55BD">
            <w:pPr>
              <w:widowControl w:val="0"/>
              <w:autoSpaceDE w:val="0"/>
              <w:autoSpaceDN w:val="0"/>
              <w:adjustRightInd w:val="0"/>
              <w:jc w:val="center"/>
            </w:pPr>
            <w:r w:rsidRPr="00D7403C">
              <w:rPr>
                <w:lang w:val="en-AU"/>
              </w:rPr>
              <w:t>-0.168</w:t>
            </w:r>
          </w:p>
        </w:tc>
        <w:tc>
          <w:tcPr>
            <w:tcW w:w="567" w:type="dxa"/>
          </w:tcPr>
          <w:p w14:paraId="660AF9B5" w14:textId="77777777" w:rsidR="00376623" w:rsidRPr="00D7403C" w:rsidRDefault="00376623" w:rsidP="00DC55BD">
            <w:pPr>
              <w:widowControl w:val="0"/>
              <w:autoSpaceDE w:val="0"/>
              <w:autoSpaceDN w:val="0"/>
              <w:adjustRightInd w:val="0"/>
              <w:jc w:val="center"/>
            </w:pPr>
          </w:p>
        </w:tc>
        <w:tc>
          <w:tcPr>
            <w:tcW w:w="850" w:type="dxa"/>
          </w:tcPr>
          <w:p w14:paraId="4E1A7BA2" w14:textId="77777777" w:rsidR="00376623" w:rsidRPr="00D7403C" w:rsidRDefault="00376623" w:rsidP="00DC55BD">
            <w:pPr>
              <w:widowControl w:val="0"/>
              <w:autoSpaceDE w:val="0"/>
              <w:autoSpaceDN w:val="0"/>
              <w:adjustRightInd w:val="0"/>
              <w:jc w:val="center"/>
            </w:pPr>
            <w:r w:rsidRPr="00D7403C">
              <w:rPr>
                <w:lang w:val="en-AU"/>
              </w:rPr>
              <w:t>0.188</w:t>
            </w:r>
          </w:p>
        </w:tc>
        <w:tc>
          <w:tcPr>
            <w:tcW w:w="1134" w:type="dxa"/>
          </w:tcPr>
          <w:p w14:paraId="6905CF64" w14:textId="77777777" w:rsidR="00376623" w:rsidRPr="00D7403C" w:rsidRDefault="00376623" w:rsidP="00DC55BD">
            <w:pPr>
              <w:widowControl w:val="0"/>
              <w:autoSpaceDE w:val="0"/>
              <w:autoSpaceDN w:val="0"/>
              <w:adjustRightInd w:val="0"/>
              <w:jc w:val="center"/>
            </w:pPr>
            <w:r w:rsidRPr="00D7403C">
              <w:rPr>
                <w:lang w:val="en-AU"/>
              </w:rPr>
              <w:t>-0.099</w:t>
            </w:r>
          </w:p>
        </w:tc>
        <w:tc>
          <w:tcPr>
            <w:tcW w:w="709" w:type="dxa"/>
          </w:tcPr>
          <w:p w14:paraId="1EF20B7E" w14:textId="77777777" w:rsidR="00376623" w:rsidRPr="00D7403C" w:rsidRDefault="00376623" w:rsidP="00DC55BD">
            <w:pPr>
              <w:widowControl w:val="0"/>
              <w:autoSpaceDE w:val="0"/>
              <w:autoSpaceDN w:val="0"/>
              <w:adjustRightInd w:val="0"/>
              <w:jc w:val="center"/>
            </w:pPr>
          </w:p>
        </w:tc>
        <w:tc>
          <w:tcPr>
            <w:tcW w:w="992" w:type="dxa"/>
          </w:tcPr>
          <w:p w14:paraId="46AFA449" w14:textId="77777777" w:rsidR="00376623" w:rsidRPr="00D7403C" w:rsidRDefault="00376623" w:rsidP="00DC55BD">
            <w:pPr>
              <w:widowControl w:val="0"/>
              <w:autoSpaceDE w:val="0"/>
              <w:autoSpaceDN w:val="0"/>
              <w:adjustRightInd w:val="0"/>
              <w:jc w:val="center"/>
            </w:pPr>
            <w:r w:rsidRPr="00D7403C">
              <w:rPr>
                <w:lang w:val="en-AU"/>
              </w:rPr>
              <w:t>0.195</w:t>
            </w:r>
          </w:p>
        </w:tc>
      </w:tr>
      <w:tr w:rsidR="00376623" w:rsidRPr="00B03B04" w14:paraId="307D5D1F" w14:textId="77777777" w:rsidTr="00DC55BD">
        <w:tc>
          <w:tcPr>
            <w:tcW w:w="3227" w:type="dxa"/>
          </w:tcPr>
          <w:p w14:paraId="00BFB7BB" w14:textId="77777777" w:rsidR="00376623" w:rsidRPr="00D7403C" w:rsidRDefault="00376623" w:rsidP="00DC55BD">
            <w:pPr>
              <w:widowControl w:val="0"/>
              <w:autoSpaceDE w:val="0"/>
              <w:autoSpaceDN w:val="0"/>
              <w:adjustRightInd w:val="0"/>
            </w:pPr>
            <w:r w:rsidRPr="00D7403C">
              <w:rPr>
                <w:color w:val="000000"/>
              </w:rPr>
              <w:t>Catholics</w:t>
            </w:r>
          </w:p>
        </w:tc>
        <w:tc>
          <w:tcPr>
            <w:tcW w:w="1021" w:type="dxa"/>
          </w:tcPr>
          <w:p w14:paraId="55F82C3E" w14:textId="77777777" w:rsidR="00376623" w:rsidRPr="00D7403C" w:rsidRDefault="00376623" w:rsidP="00DC55BD">
            <w:pPr>
              <w:widowControl w:val="0"/>
              <w:autoSpaceDE w:val="0"/>
              <w:autoSpaceDN w:val="0"/>
              <w:adjustRightInd w:val="0"/>
              <w:jc w:val="center"/>
            </w:pPr>
            <w:r w:rsidRPr="00D7403C">
              <w:rPr>
                <w:lang w:val="en-AU"/>
              </w:rPr>
              <w:t>-0.005</w:t>
            </w:r>
          </w:p>
        </w:tc>
        <w:tc>
          <w:tcPr>
            <w:tcW w:w="567" w:type="dxa"/>
          </w:tcPr>
          <w:p w14:paraId="2CC61FEA" w14:textId="77777777" w:rsidR="00376623" w:rsidRPr="00D7403C" w:rsidRDefault="00376623" w:rsidP="00DC55BD">
            <w:pPr>
              <w:widowControl w:val="0"/>
              <w:autoSpaceDE w:val="0"/>
              <w:autoSpaceDN w:val="0"/>
              <w:adjustRightInd w:val="0"/>
              <w:jc w:val="center"/>
            </w:pPr>
          </w:p>
        </w:tc>
        <w:tc>
          <w:tcPr>
            <w:tcW w:w="850" w:type="dxa"/>
          </w:tcPr>
          <w:p w14:paraId="47C32DB2" w14:textId="77777777" w:rsidR="00376623" w:rsidRPr="00D7403C" w:rsidRDefault="00376623" w:rsidP="00DC55BD">
            <w:pPr>
              <w:widowControl w:val="0"/>
              <w:autoSpaceDE w:val="0"/>
              <w:autoSpaceDN w:val="0"/>
              <w:adjustRightInd w:val="0"/>
              <w:jc w:val="center"/>
            </w:pPr>
            <w:r w:rsidRPr="00D7403C">
              <w:rPr>
                <w:lang w:val="en-AU"/>
              </w:rPr>
              <w:t>0.034</w:t>
            </w:r>
          </w:p>
        </w:tc>
        <w:tc>
          <w:tcPr>
            <w:tcW w:w="1134" w:type="dxa"/>
          </w:tcPr>
          <w:p w14:paraId="25BCEFC4" w14:textId="77777777" w:rsidR="00376623" w:rsidRPr="00D7403C" w:rsidRDefault="00376623" w:rsidP="00DC55BD">
            <w:pPr>
              <w:widowControl w:val="0"/>
              <w:autoSpaceDE w:val="0"/>
              <w:autoSpaceDN w:val="0"/>
              <w:adjustRightInd w:val="0"/>
              <w:jc w:val="center"/>
            </w:pPr>
            <w:r w:rsidRPr="00D7403C">
              <w:rPr>
                <w:lang w:val="en-AU"/>
              </w:rPr>
              <w:t>0.045</w:t>
            </w:r>
          </w:p>
        </w:tc>
        <w:tc>
          <w:tcPr>
            <w:tcW w:w="709" w:type="dxa"/>
          </w:tcPr>
          <w:p w14:paraId="5C46ED78" w14:textId="77777777" w:rsidR="00376623" w:rsidRPr="00D7403C" w:rsidRDefault="00376623" w:rsidP="00DC55BD">
            <w:pPr>
              <w:widowControl w:val="0"/>
              <w:autoSpaceDE w:val="0"/>
              <w:autoSpaceDN w:val="0"/>
              <w:adjustRightInd w:val="0"/>
              <w:jc w:val="center"/>
            </w:pPr>
          </w:p>
        </w:tc>
        <w:tc>
          <w:tcPr>
            <w:tcW w:w="992" w:type="dxa"/>
          </w:tcPr>
          <w:p w14:paraId="2811086F" w14:textId="77777777" w:rsidR="00376623" w:rsidRPr="00D7403C" w:rsidRDefault="00376623" w:rsidP="00DC55BD">
            <w:pPr>
              <w:widowControl w:val="0"/>
              <w:autoSpaceDE w:val="0"/>
              <w:autoSpaceDN w:val="0"/>
              <w:adjustRightInd w:val="0"/>
              <w:jc w:val="center"/>
            </w:pPr>
            <w:r w:rsidRPr="00D7403C">
              <w:rPr>
                <w:lang w:val="en-AU"/>
              </w:rPr>
              <w:t>0.034</w:t>
            </w:r>
          </w:p>
        </w:tc>
      </w:tr>
      <w:tr w:rsidR="00376623" w:rsidRPr="00B03B04" w14:paraId="2FEAB1B7" w14:textId="77777777" w:rsidTr="00DC55BD">
        <w:tc>
          <w:tcPr>
            <w:tcW w:w="3227" w:type="dxa"/>
          </w:tcPr>
          <w:p w14:paraId="546A3D16" w14:textId="77777777" w:rsidR="00376623" w:rsidRPr="00D7403C" w:rsidRDefault="00376623" w:rsidP="00DC55BD">
            <w:pPr>
              <w:widowControl w:val="0"/>
              <w:autoSpaceDE w:val="0"/>
              <w:autoSpaceDN w:val="0"/>
              <w:adjustRightInd w:val="0"/>
            </w:pPr>
            <w:r w:rsidRPr="00D7403C">
              <w:rPr>
                <w:color w:val="000000"/>
              </w:rPr>
              <w:t>Anglican</w:t>
            </w:r>
          </w:p>
        </w:tc>
        <w:tc>
          <w:tcPr>
            <w:tcW w:w="1021" w:type="dxa"/>
          </w:tcPr>
          <w:p w14:paraId="0AB65222" w14:textId="77777777" w:rsidR="00376623" w:rsidRPr="00D7403C" w:rsidRDefault="00376623" w:rsidP="00DC55BD">
            <w:pPr>
              <w:widowControl w:val="0"/>
              <w:autoSpaceDE w:val="0"/>
              <w:autoSpaceDN w:val="0"/>
              <w:adjustRightInd w:val="0"/>
              <w:jc w:val="center"/>
            </w:pPr>
            <w:r w:rsidRPr="00D7403C">
              <w:rPr>
                <w:lang w:val="en-AU"/>
              </w:rPr>
              <w:t>-0.005</w:t>
            </w:r>
          </w:p>
        </w:tc>
        <w:tc>
          <w:tcPr>
            <w:tcW w:w="567" w:type="dxa"/>
          </w:tcPr>
          <w:p w14:paraId="0F798D5D" w14:textId="77777777" w:rsidR="00376623" w:rsidRPr="00D7403C" w:rsidRDefault="00376623" w:rsidP="00DC55BD">
            <w:pPr>
              <w:widowControl w:val="0"/>
              <w:autoSpaceDE w:val="0"/>
              <w:autoSpaceDN w:val="0"/>
              <w:adjustRightInd w:val="0"/>
              <w:jc w:val="center"/>
            </w:pPr>
          </w:p>
        </w:tc>
        <w:tc>
          <w:tcPr>
            <w:tcW w:w="850" w:type="dxa"/>
          </w:tcPr>
          <w:p w14:paraId="4530E64D" w14:textId="77777777" w:rsidR="00376623" w:rsidRPr="00D7403C" w:rsidRDefault="00376623" w:rsidP="00DC55BD">
            <w:pPr>
              <w:widowControl w:val="0"/>
              <w:autoSpaceDE w:val="0"/>
              <w:autoSpaceDN w:val="0"/>
              <w:adjustRightInd w:val="0"/>
              <w:jc w:val="center"/>
            </w:pPr>
            <w:r w:rsidRPr="00D7403C">
              <w:rPr>
                <w:lang w:val="en-AU"/>
              </w:rPr>
              <w:t>0.038</w:t>
            </w:r>
          </w:p>
        </w:tc>
        <w:tc>
          <w:tcPr>
            <w:tcW w:w="1134" w:type="dxa"/>
          </w:tcPr>
          <w:p w14:paraId="7FFFF6AE" w14:textId="77777777" w:rsidR="00376623" w:rsidRPr="00D7403C" w:rsidRDefault="00376623" w:rsidP="00DC55BD">
            <w:pPr>
              <w:widowControl w:val="0"/>
              <w:autoSpaceDE w:val="0"/>
              <w:autoSpaceDN w:val="0"/>
              <w:adjustRightInd w:val="0"/>
              <w:jc w:val="center"/>
            </w:pPr>
            <w:r w:rsidRPr="00D7403C">
              <w:rPr>
                <w:lang w:val="en-AU"/>
              </w:rPr>
              <w:t>0.094</w:t>
            </w:r>
          </w:p>
        </w:tc>
        <w:tc>
          <w:tcPr>
            <w:tcW w:w="709" w:type="dxa"/>
          </w:tcPr>
          <w:p w14:paraId="19A761D5" w14:textId="77777777" w:rsidR="00376623" w:rsidRPr="00D7403C" w:rsidRDefault="00376623" w:rsidP="00DC55BD">
            <w:pPr>
              <w:widowControl w:val="0"/>
              <w:autoSpaceDE w:val="0"/>
              <w:autoSpaceDN w:val="0"/>
              <w:adjustRightInd w:val="0"/>
              <w:jc w:val="center"/>
            </w:pPr>
            <w:r w:rsidRPr="00D7403C">
              <w:rPr>
                <w:lang w:val="en-AU"/>
              </w:rPr>
              <w:t>**</w:t>
            </w:r>
          </w:p>
        </w:tc>
        <w:tc>
          <w:tcPr>
            <w:tcW w:w="992" w:type="dxa"/>
          </w:tcPr>
          <w:p w14:paraId="4560DC28" w14:textId="77777777" w:rsidR="00376623" w:rsidRPr="00D7403C" w:rsidRDefault="00376623" w:rsidP="00DC55BD">
            <w:pPr>
              <w:widowControl w:val="0"/>
              <w:autoSpaceDE w:val="0"/>
              <w:autoSpaceDN w:val="0"/>
              <w:adjustRightInd w:val="0"/>
              <w:jc w:val="center"/>
            </w:pPr>
            <w:r w:rsidRPr="00D7403C">
              <w:rPr>
                <w:lang w:val="en-AU"/>
              </w:rPr>
              <w:t>0.038</w:t>
            </w:r>
          </w:p>
        </w:tc>
      </w:tr>
      <w:tr w:rsidR="00376623" w:rsidRPr="00B03B04" w14:paraId="3A0BE883" w14:textId="77777777" w:rsidTr="00DC55BD">
        <w:tc>
          <w:tcPr>
            <w:tcW w:w="3227" w:type="dxa"/>
          </w:tcPr>
          <w:p w14:paraId="59B08262" w14:textId="77777777" w:rsidR="00376623" w:rsidRPr="00D7403C" w:rsidRDefault="00376623" w:rsidP="00DC55BD">
            <w:pPr>
              <w:widowControl w:val="0"/>
              <w:autoSpaceDE w:val="0"/>
              <w:autoSpaceDN w:val="0"/>
              <w:adjustRightInd w:val="0"/>
            </w:pPr>
            <w:r w:rsidRPr="00D7403C">
              <w:rPr>
                <w:lang w:val="en-US"/>
              </w:rPr>
              <w:t>Council of Churches</w:t>
            </w:r>
          </w:p>
        </w:tc>
        <w:tc>
          <w:tcPr>
            <w:tcW w:w="1021" w:type="dxa"/>
          </w:tcPr>
          <w:p w14:paraId="6386DFB0" w14:textId="77777777" w:rsidR="00376623" w:rsidRPr="00D7403C" w:rsidRDefault="00376623" w:rsidP="00DC55BD">
            <w:pPr>
              <w:widowControl w:val="0"/>
              <w:autoSpaceDE w:val="0"/>
              <w:autoSpaceDN w:val="0"/>
              <w:adjustRightInd w:val="0"/>
              <w:jc w:val="center"/>
            </w:pPr>
            <w:r w:rsidRPr="00D7403C">
              <w:rPr>
                <w:lang w:val="en-AU"/>
              </w:rPr>
              <w:t>0.096</w:t>
            </w:r>
          </w:p>
        </w:tc>
        <w:tc>
          <w:tcPr>
            <w:tcW w:w="567" w:type="dxa"/>
          </w:tcPr>
          <w:p w14:paraId="484046F7" w14:textId="77777777" w:rsidR="00376623" w:rsidRPr="00D7403C" w:rsidRDefault="00376623" w:rsidP="00DC55BD">
            <w:pPr>
              <w:widowControl w:val="0"/>
              <w:autoSpaceDE w:val="0"/>
              <w:autoSpaceDN w:val="0"/>
              <w:adjustRightInd w:val="0"/>
              <w:jc w:val="center"/>
            </w:pPr>
            <w:r w:rsidRPr="00D7403C">
              <w:rPr>
                <w:lang w:val="en-AU"/>
              </w:rPr>
              <w:t>**</w:t>
            </w:r>
          </w:p>
        </w:tc>
        <w:tc>
          <w:tcPr>
            <w:tcW w:w="850" w:type="dxa"/>
          </w:tcPr>
          <w:p w14:paraId="64EF5E60" w14:textId="77777777" w:rsidR="00376623" w:rsidRPr="00D7403C" w:rsidRDefault="00376623" w:rsidP="00DC55BD">
            <w:pPr>
              <w:widowControl w:val="0"/>
              <w:autoSpaceDE w:val="0"/>
              <w:autoSpaceDN w:val="0"/>
              <w:adjustRightInd w:val="0"/>
              <w:jc w:val="center"/>
            </w:pPr>
            <w:r w:rsidRPr="00D7403C">
              <w:rPr>
                <w:lang w:val="en-AU"/>
              </w:rPr>
              <w:t>0.046</w:t>
            </w:r>
          </w:p>
        </w:tc>
        <w:tc>
          <w:tcPr>
            <w:tcW w:w="1134" w:type="dxa"/>
          </w:tcPr>
          <w:p w14:paraId="4E047140" w14:textId="77777777" w:rsidR="00376623" w:rsidRPr="00D7403C" w:rsidRDefault="00376623" w:rsidP="00DC55BD">
            <w:pPr>
              <w:widowControl w:val="0"/>
              <w:autoSpaceDE w:val="0"/>
              <w:autoSpaceDN w:val="0"/>
              <w:adjustRightInd w:val="0"/>
              <w:jc w:val="center"/>
            </w:pPr>
            <w:r w:rsidRPr="00D7403C">
              <w:rPr>
                <w:lang w:val="en-AU"/>
              </w:rPr>
              <w:t>0.247</w:t>
            </w:r>
          </w:p>
        </w:tc>
        <w:tc>
          <w:tcPr>
            <w:tcW w:w="709" w:type="dxa"/>
          </w:tcPr>
          <w:p w14:paraId="1B797F11"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1F0C6859" w14:textId="77777777" w:rsidR="00376623" w:rsidRPr="00D7403C" w:rsidRDefault="00376623" w:rsidP="00DC55BD">
            <w:pPr>
              <w:widowControl w:val="0"/>
              <w:autoSpaceDE w:val="0"/>
              <w:autoSpaceDN w:val="0"/>
              <w:adjustRightInd w:val="0"/>
              <w:jc w:val="center"/>
            </w:pPr>
            <w:r w:rsidRPr="00D7403C">
              <w:rPr>
                <w:lang w:val="en-AU"/>
              </w:rPr>
              <w:t>0.046</w:t>
            </w:r>
          </w:p>
        </w:tc>
      </w:tr>
      <w:tr w:rsidR="00376623" w:rsidRPr="00B03B04" w14:paraId="406B5C5A" w14:textId="77777777" w:rsidTr="00DC55BD">
        <w:tc>
          <w:tcPr>
            <w:tcW w:w="3227" w:type="dxa"/>
          </w:tcPr>
          <w:p w14:paraId="75E3BCAF" w14:textId="77777777" w:rsidR="00376623" w:rsidRPr="00D7403C" w:rsidRDefault="00376623" w:rsidP="00DC55BD">
            <w:pPr>
              <w:widowControl w:val="0"/>
              <w:autoSpaceDE w:val="0"/>
              <w:autoSpaceDN w:val="0"/>
              <w:adjustRightInd w:val="0"/>
              <w:rPr>
                <w:b/>
                <w:i/>
              </w:rPr>
            </w:pPr>
            <w:r w:rsidRPr="00D7403C">
              <w:rPr>
                <w:color w:val="000000"/>
              </w:rPr>
              <w:t>Non-Council of Churches</w:t>
            </w:r>
          </w:p>
        </w:tc>
        <w:tc>
          <w:tcPr>
            <w:tcW w:w="1021" w:type="dxa"/>
          </w:tcPr>
          <w:p w14:paraId="3CCA7046" w14:textId="77777777" w:rsidR="00376623" w:rsidRPr="00D7403C" w:rsidRDefault="00376623" w:rsidP="00DC55BD">
            <w:pPr>
              <w:widowControl w:val="0"/>
              <w:autoSpaceDE w:val="0"/>
              <w:autoSpaceDN w:val="0"/>
              <w:adjustRightInd w:val="0"/>
              <w:jc w:val="center"/>
            </w:pPr>
            <w:r w:rsidRPr="00D7403C">
              <w:rPr>
                <w:lang w:val="en-AU"/>
              </w:rPr>
              <w:t>-0.138</w:t>
            </w:r>
          </w:p>
        </w:tc>
        <w:tc>
          <w:tcPr>
            <w:tcW w:w="567" w:type="dxa"/>
          </w:tcPr>
          <w:p w14:paraId="3D41FA15"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2723CA80" w14:textId="77777777" w:rsidR="00376623" w:rsidRPr="00D7403C" w:rsidRDefault="00376623" w:rsidP="00DC55BD">
            <w:pPr>
              <w:widowControl w:val="0"/>
              <w:autoSpaceDE w:val="0"/>
              <w:autoSpaceDN w:val="0"/>
              <w:adjustRightInd w:val="0"/>
              <w:jc w:val="center"/>
            </w:pPr>
            <w:r w:rsidRPr="00D7403C">
              <w:rPr>
                <w:lang w:val="en-AU"/>
              </w:rPr>
              <w:t>0.049</w:t>
            </w:r>
          </w:p>
        </w:tc>
        <w:tc>
          <w:tcPr>
            <w:tcW w:w="1134" w:type="dxa"/>
          </w:tcPr>
          <w:p w14:paraId="231C664C" w14:textId="77777777" w:rsidR="00376623" w:rsidRPr="00D7403C" w:rsidRDefault="00376623" w:rsidP="00DC55BD">
            <w:pPr>
              <w:widowControl w:val="0"/>
              <w:autoSpaceDE w:val="0"/>
              <w:autoSpaceDN w:val="0"/>
              <w:adjustRightInd w:val="0"/>
              <w:jc w:val="center"/>
            </w:pPr>
            <w:r w:rsidRPr="00D7403C">
              <w:rPr>
                <w:lang w:val="en-AU"/>
              </w:rPr>
              <w:t>-0.079</w:t>
            </w:r>
          </w:p>
        </w:tc>
        <w:tc>
          <w:tcPr>
            <w:tcW w:w="709" w:type="dxa"/>
          </w:tcPr>
          <w:p w14:paraId="138D2444" w14:textId="77777777" w:rsidR="00376623" w:rsidRPr="00D7403C" w:rsidRDefault="00376623" w:rsidP="00DC55BD">
            <w:pPr>
              <w:widowControl w:val="0"/>
              <w:autoSpaceDE w:val="0"/>
              <w:autoSpaceDN w:val="0"/>
              <w:adjustRightInd w:val="0"/>
              <w:jc w:val="center"/>
            </w:pPr>
          </w:p>
        </w:tc>
        <w:tc>
          <w:tcPr>
            <w:tcW w:w="992" w:type="dxa"/>
          </w:tcPr>
          <w:p w14:paraId="28B4F017" w14:textId="77777777" w:rsidR="00376623" w:rsidRPr="00D7403C" w:rsidRDefault="00376623" w:rsidP="00DC55BD">
            <w:pPr>
              <w:widowControl w:val="0"/>
              <w:autoSpaceDE w:val="0"/>
              <w:autoSpaceDN w:val="0"/>
              <w:adjustRightInd w:val="0"/>
              <w:jc w:val="center"/>
            </w:pPr>
            <w:r w:rsidRPr="00D7403C">
              <w:rPr>
                <w:lang w:val="en-AU"/>
              </w:rPr>
              <w:t>0.047</w:t>
            </w:r>
          </w:p>
        </w:tc>
      </w:tr>
      <w:tr w:rsidR="00376623" w:rsidRPr="00B03B04" w14:paraId="6B968FCA" w14:textId="77777777" w:rsidTr="00DC55BD">
        <w:tc>
          <w:tcPr>
            <w:tcW w:w="3227" w:type="dxa"/>
          </w:tcPr>
          <w:p w14:paraId="71C2B2CC" w14:textId="77777777" w:rsidR="00376623" w:rsidRPr="00D7403C" w:rsidRDefault="00376623" w:rsidP="00DC55BD">
            <w:pPr>
              <w:widowControl w:val="0"/>
              <w:autoSpaceDE w:val="0"/>
              <w:autoSpaceDN w:val="0"/>
              <w:adjustRightInd w:val="0"/>
            </w:pPr>
            <w:r w:rsidRPr="00D7403C">
              <w:rPr>
                <w:color w:val="000000"/>
              </w:rPr>
              <w:t>Non-Christians</w:t>
            </w:r>
          </w:p>
        </w:tc>
        <w:tc>
          <w:tcPr>
            <w:tcW w:w="1021" w:type="dxa"/>
          </w:tcPr>
          <w:p w14:paraId="55522E99" w14:textId="77777777" w:rsidR="00376623" w:rsidRPr="00D7403C" w:rsidRDefault="00376623" w:rsidP="00DC55BD">
            <w:pPr>
              <w:widowControl w:val="0"/>
              <w:autoSpaceDE w:val="0"/>
              <w:autoSpaceDN w:val="0"/>
              <w:adjustRightInd w:val="0"/>
              <w:jc w:val="center"/>
            </w:pPr>
            <w:r w:rsidRPr="00D7403C">
              <w:rPr>
                <w:lang w:val="en-AU"/>
              </w:rPr>
              <w:t>-0.139</w:t>
            </w:r>
          </w:p>
        </w:tc>
        <w:tc>
          <w:tcPr>
            <w:tcW w:w="567" w:type="dxa"/>
          </w:tcPr>
          <w:p w14:paraId="4CD29267" w14:textId="77777777" w:rsidR="00376623" w:rsidRPr="00D7403C" w:rsidRDefault="00376623" w:rsidP="00DC55BD">
            <w:pPr>
              <w:widowControl w:val="0"/>
              <w:autoSpaceDE w:val="0"/>
              <w:autoSpaceDN w:val="0"/>
              <w:adjustRightInd w:val="0"/>
              <w:jc w:val="center"/>
            </w:pPr>
          </w:p>
        </w:tc>
        <w:tc>
          <w:tcPr>
            <w:tcW w:w="850" w:type="dxa"/>
          </w:tcPr>
          <w:p w14:paraId="454745B2" w14:textId="77777777" w:rsidR="00376623" w:rsidRPr="00D7403C" w:rsidRDefault="00376623" w:rsidP="00DC55BD">
            <w:pPr>
              <w:widowControl w:val="0"/>
              <w:autoSpaceDE w:val="0"/>
              <w:autoSpaceDN w:val="0"/>
              <w:adjustRightInd w:val="0"/>
              <w:jc w:val="center"/>
            </w:pPr>
            <w:r w:rsidRPr="00D7403C">
              <w:rPr>
                <w:lang w:val="en-AU"/>
              </w:rPr>
              <w:t>0.083</w:t>
            </w:r>
          </w:p>
        </w:tc>
        <w:tc>
          <w:tcPr>
            <w:tcW w:w="1134" w:type="dxa"/>
          </w:tcPr>
          <w:p w14:paraId="5A49940E" w14:textId="77777777" w:rsidR="00376623" w:rsidRPr="00D7403C" w:rsidRDefault="00376623" w:rsidP="00DC55BD">
            <w:pPr>
              <w:widowControl w:val="0"/>
              <w:autoSpaceDE w:val="0"/>
              <w:autoSpaceDN w:val="0"/>
              <w:adjustRightInd w:val="0"/>
              <w:jc w:val="center"/>
            </w:pPr>
            <w:r w:rsidRPr="00D7403C">
              <w:rPr>
                <w:lang w:val="en-AU"/>
              </w:rPr>
              <w:t>0.104</w:t>
            </w:r>
          </w:p>
        </w:tc>
        <w:tc>
          <w:tcPr>
            <w:tcW w:w="709" w:type="dxa"/>
          </w:tcPr>
          <w:p w14:paraId="53C1C77C" w14:textId="77777777" w:rsidR="00376623" w:rsidRPr="00D7403C" w:rsidRDefault="00376623" w:rsidP="00DC55BD">
            <w:pPr>
              <w:widowControl w:val="0"/>
              <w:autoSpaceDE w:val="0"/>
              <w:autoSpaceDN w:val="0"/>
              <w:adjustRightInd w:val="0"/>
              <w:jc w:val="center"/>
            </w:pPr>
          </w:p>
        </w:tc>
        <w:tc>
          <w:tcPr>
            <w:tcW w:w="992" w:type="dxa"/>
          </w:tcPr>
          <w:p w14:paraId="4C0EB730" w14:textId="77777777" w:rsidR="00376623" w:rsidRPr="00D7403C" w:rsidRDefault="00376623" w:rsidP="00DC55BD">
            <w:pPr>
              <w:widowControl w:val="0"/>
              <w:autoSpaceDE w:val="0"/>
              <w:autoSpaceDN w:val="0"/>
              <w:adjustRightInd w:val="0"/>
              <w:jc w:val="center"/>
            </w:pPr>
            <w:r w:rsidRPr="00D7403C">
              <w:rPr>
                <w:lang w:val="en-AU"/>
              </w:rPr>
              <w:t>0.079</w:t>
            </w:r>
          </w:p>
        </w:tc>
      </w:tr>
      <w:tr w:rsidR="00376623" w:rsidRPr="00B03B04" w14:paraId="71DADF8D" w14:textId="77777777" w:rsidTr="00DC55BD">
        <w:tc>
          <w:tcPr>
            <w:tcW w:w="3227" w:type="dxa"/>
          </w:tcPr>
          <w:p w14:paraId="0A17330B" w14:textId="77777777" w:rsidR="00376623" w:rsidRPr="00D7403C" w:rsidRDefault="00376623" w:rsidP="00DC55BD">
            <w:pPr>
              <w:widowControl w:val="0"/>
              <w:autoSpaceDE w:val="0"/>
              <w:autoSpaceDN w:val="0"/>
              <w:adjustRightInd w:val="0"/>
            </w:pPr>
            <w:r w:rsidRPr="00D7403C">
              <w:rPr>
                <w:color w:val="000000"/>
              </w:rPr>
              <w:t>Muslim</w:t>
            </w:r>
          </w:p>
        </w:tc>
        <w:tc>
          <w:tcPr>
            <w:tcW w:w="1021" w:type="dxa"/>
          </w:tcPr>
          <w:p w14:paraId="370DEDCF" w14:textId="77777777" w:rsidR="00376623" w:rsidRPr="00D7403C" w:rsidRDefault="00376623" w:rsidP="00DC55BD">
            <w:pPr>
              <w:widowControl w:val="0"/>
              <w:autoSpaceDE w:val="0"/>
              <w:autoSpaceDN w:val="0"/>
              <w:adjustRightInd w:val="0"/>
              <w:jc w:val="center"/>
            </w:pPr>
            <w:r w:rsidRPr="00D7403C">
              <w:rPr>
                <w:lang w:val="en-AU"/>
              </w:rPr>
              <w:t>-0.367</w:t>
            </w:r>
          </w:p>
        </w:tc>
        <w:tc>
          <w:tcPr>
            <w:tcW w:w="567" w:type="dxa"/>
          </w:tcPr>
          <w:p w14:paraId="2C68FC9C"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52AFC16A" w14:textId="77777777" w:rsidR="00376623" w:rsidRPr="00D7403C" w:rsidRDefault="00376623" w:rsidP="00DC55BD">
            <w:pPr>
              <w:widowControl w:val="0"/>
              <w:autoSpaceDE w:val="0"/>
              <w:autoSpaceDN w:val="0"/>
              <w:adjustRightInd w:val="0"/>
              <w:jc w:val="center"/>
            </w:pPr>
            <w:r w:rsidRPr="00D7403C">
              <w:rPr>
                <w:lang w:val="en-AU"/>
              </w:rPr>
              <w:t>0.150</w:t>
            </w:r>
          </w:p>
        </w:tc>
        <w:tc>
          <w:tcPr>
            <w:tcW w:w="1134" w:type="dxa"/>
          </w:tcPr>
          <w:p w14:paraId="3B9BEA0E" w14:textId="77777777" w:rsidR="00376623" w:rsidRPr="00D7403C" w:rsidRDefault="00376623" w:rsidP="00DC55BD">
            <w:pPr>
              <w:widowControl w:val="0"/>
              <w:autoSpaceDE w:val="0"/>
              <w:autoSpaceDN w:val="0"/>
              <w:adjustRightInd w:val="0"/>
              <w:jc w:val="center"/>
            </w:pPr>
            <w:r w:rsidRPr="00D7403C">
              <w:rPr>
                <w:lang w:val="en-AU"/>
              </w:rPr>
              <w:t>0.393</w:t>
            </w:r>
          </w:p>
        </w:tc>
        <w:tc>
          <w:tcPr>
            <w:tcW w:w="709" w:type="dxa"/>
          </w:tcPr>
          <w:p w14:paraId="676F002A"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2866265F" w14:textId="77777777" w:rsidR="00376623" w:rsidRPr="00D7403C" w:rsidRDefault="00376623" w:rsidP="00DC55BD">
            <w:pPr>
              <w:widowControl w:val="0"/>
              <w:autoSpaceDE w:val="0"/>
              <w:autoSpaceDN w:val="0"/>
              <w:adjustRightInd w:val="0"/>
              <w:jc w:val="center"/>
            </w:pPr>
            <w:r w:rsidRPr="00D7403C">
              <w:rPr>
                <w:lang w:val="en-AU"/>
              </w:rPr>
              <w:t>0.142</w:t>
            </w:r>
          </w:p>
        </w:tc>
      </w:tr>
      <w:tr w:rsidR="00376623" w:rsidRPr="00B03B04" w14:paraId="2D75F959" w14:textId="77777777" w:rsidTr="00DC55BD">
        <w:tc>
          <w:tcPr>
            <w:tcW w:w="3227" w:type="dxa"/>
          </w:tcPr>
          <w:p w14:paraId="74BF2AA4" w14:textId="77777777" w:rsidR="00376623" w:rsidRPr="00D7403C" w:rsidRDefault="00376623" w:rsidP="00DC55BD">
            <w:pPr>
              <w:widowControl w:val="0"/>
              <w:autoSpaceDE w:val="0"/>
              <w:autoSpaceDN w:val="0"/>
              <w:adjustRightInd w:val="0"/>
            </w:pPr>
          </w:p>
        </w:tc>
        <w:tc>
          <w:tcPr>
            <w:tcW w:w="1021" w:type="dxa"/>
          </w:tcPr>
          <w:p w14:paraId="64D3D0AF" w14:textId="77777777" w:rsidR="00376623" w:rsidRPr="00D7403C" w:rsidRDefault="00376623" w:rsidP="00DC55BD">
            <w:pPr>
              <w:widowControl w:val="0"/>
              <w:autoSpaceDE w:val="0"/>
              <w:autoSpaceDN w:val="0"/>
              <w:adjustRightInd w:val="0"/>
              <w:jc w:val="center"/>
            </w:pPr>
          </w:p>
        </w:tc>
        <w:tc>
          <w:tcPr>
            <w:tcW w:w="567" w:type="dxa"/>
          </w:tcPr>
          <w:p w14:paraId="2CF9B433" w14:textId="77777777" w:rsidR="00376623" w:rsidRPr="00D7403C" w:rsidRDefault="00376623" w:rsidP="00DC55BD">
            <w:pPr>
              <w:widowControl w:val="0"/>
              <w:autoSpaceDE w:val="0"/>
              <w:autoSpaceDN w:val="0"/>
              <w:adjustRightInd w:val="0"/>
              <w:jc w:val="center"/>
            </w:pPr>
          </w:p>
        </w:tc>
        <w:tc>
          <w:tcPr>
            <w:tcW w:w="850" w:type="dxa"/>
          </w:tcPr>
          <w:p w14:paraId="0282CE37" w14:textId="77777777" w:rsidR="00376623" w:rsidRPr="00D7403C" w:rsidRDefault="00376623" w:rsidP="00DC55BD">
            <w:pPr>
              <w:widowControl w:val="0"/>
              <w:autoSpaceDE w:val="0"/>
              <w:autoSpaceDN w:val="0"/>
              <w:adjustRightInd w:val="0"/>
              <w:jc w:val="center"/>
            </w:pPr>
          </w:p>
        </w:tc>
        <w:tc>
          <w:tcPr>
            <w:tcW w:w="1134" w:type="dxa"/>
          </w:tcPr>
          <w:p w14:paraId="6F2DC49B" w14:textId="77777777" w:rsidR="00376623" w:rsidRPr="00D7403C" w:rsidRDefault="00376623" w:rsidP="00DC55BD">
            <w:pPr>
              <w:widowControl w:val="0"/>
              <w:autoSpaceDE w:val="0"/>
              <w:autoSpaceDN w:val="0"/>
              <w:adjustRightInd w:val="0"/>
              <w:jc w:val="center"/>
            </w:pPr>
          </w:p>
        </w:tc>
        <w:tc>
          <w:tcPr>
            <w:tcW w:w="709" w:type="dxa"/>
          </w:tcPr>
          <w:p w14:paraId="49DC6A18" w14:textId="77777777" w:rsidR="00376623" w:rsidRPr="00D7403C" w:rsidRDefault="00376623" w:rsidP="00DC55BD">
            <w:pPr>
              <w:widowControl w:val="0"/>
              <w:autoSpaceDE w:val="0"/>
              <w:autoSpaceDN w:val="0"/>
              <w:adjustRightInd w:val="0"/>
              <w:jc w:val="center"/>
            </w:pPr>
          </w:p>
        </w:tc>
        <w:tc>
          <w:tcPr>
            <w:tcW w:w="992" w:type="dxa"/>
          </w:tcPr>
          <w:p w14:paraId="27DEE7F9" w14:textId="77777777" w:rsidR="00376623" w:rsidRPr="00D7403C" w:rsidRDefault="00376623" w:rsidP="00DC55BD">
            <w:pPr>
              <w:widowControl w:val="0"/>
              <w:autoSpaceDE w:val="0"/>
              <w:autoSpaceDN w:val="0"/>
              <w:adjustRightInd w:val="0"/>
              <w:jc w:val="center"/>
            </w:pPr>
          </w:p>
        </w:tc>
      </w:tr>
      <w:tr w:rsidR="00376623" w:rsidRPr="00B03B04" w14:paraId="435776A2" w14:textId="77777777" w:rsidTr="00DC55BD">
        <w:tc>
          <w:tcPr>
            <w:tcW w:w="3227" w:type="dxa"/>
          </w:tcPr>
          <w:p w14:paraId="21EBA686" w14:textId="77777777" w:rsidR="00376623" w:rsidRPr="00D7403C" w:rsidRDefault="00376623" w:rsidP="00DC55BD">
            <w:pPr>
              <w:widowControl w:val="0"/>
              <w:autoSpaceDE w:val="0"/>
              <w:autoSpaceDN w:val="0"/>
              <w:adjustRightInd w:val="0"/>
            </w:pPr>
            <w:r w:rsidRPr="00D7403C">
              <w:rPr>
                <w:lang w:val="en-US"/>
              </w:rPr>
              <w:t>Life satisfaction</w:t>
            </w:r>
          </w:p>
        </w:tc>
        <w:tc>
          <w:tcPr>
            <w:tcW w:w="1021" w:type="dxa"/>
          </w:tcPr>
          <w:p w14:paraId="68601854" w14:textId="77777777" w:rsidR="00376623" w:rsidRPr="00D7403C" w:rsidRDefault="00376623" w:rsidP="00DC55BD">
            <w:pPr>
              <w:widowControl w:val="0"/>
              <w:autoSpaceDE w:val="0"/>
              <w:autoSpaceDN w:val="0"/>
              <w:adjustRightInd w:val="0"/>
              <w:jc w:val="center"/>
            </w:pPr>
            <w:r w:rsidRPr="00D7403C">
              <w:rPr>
                <w:lang w:val="en-AU"/>
              </w:rPr>
              <w:t>0.338</w:t>
            </w:r>
          </w:p>
        </w:tc>
        <w:tc>
          <w:tcPr>
            <w:tcW w:w="567" w:type="dxa"/>
          </w:tcPr>
          <w:p w14:paraId="49922A74"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0773791D" w14:textId="77777777" w:rsidR="00376623" w:rsidRPr="00D7403C" w:rsidRDefault="00376623" w:rsidP="00DC55BD">
            <w:pPr>
              <w:widowControl w:val="0"/>
              <w:autoSpaceDE w:val="0"/>
              <w:autoSpaceDN w:val="0"/>
              <w:adjustRightInd w:val="0"/>
              <w:jc w:val="center"/>
            </w:pPr>
            <w:r w:rsidRPr="00D7403C">
              <w:rPr>
                <w:lang w:val="en-AU"/>
              </w:rPr>
              <w:t>0.010</w:t>
            </w:r>
          </w:p>
        </w:tc>
        <w:tc>
          <w:tcPr>
            <w:tcW w:w="1134" w:type="dxa"/>
          </w:tcPr>
          <w:p w14:paraId="73FA0042" w14:textId="77777777" w:rsidR="00376623" w:rsidRPr="00D7403C" w:rsidRDefault="00376623" w:rsidP="00DC55BD">
            <w:pPr>
              <w:widowControl w:val="0"/>
              <w:autoSpaceDE w:val="0"/>
              <w:autoSpaceDN w:val="0"/>
              <w:adjustRightInd w:val="0"/>
              <w:jc w:val="center"/>
            </w:pPr>
            <w:r w:rsidRPr="00D7403C">
              <w:rPr>
                <w:lang w:val="en-AU"/>
              </w:rPr>
              <w:t>0.253</w:t>
            </w:r>
          </w:p>
        </w:tc>
        <w:tc>
          <w:tcPr>
            <w:tcW w:w="709" w:type="dxa"/>
          </w:tcPr>
          <w:p w14:paraId="58E8E30E"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795B6C52" w14:textId="77777777" w:rsidR="00376623" w:rsidRPr="00D7403C" w:rsidRDefault="00376623" w:rsidP="00DC55BD">
            <w:pPr>
              <w:widowControl w:val="0"/>
              <w:autoSpaceDE w:val="0"/>
              <w:autoSpaceDN w:val="0"/>
              <w:adjustRightInd w:val="0"/>
              <w:jc w:val="center"/>
            </w:pPr>
            <w:r w:rsidRPr="00D7403C">
              <w:rPr>
                <w:lang w:val="en-AU"/>
              </w:rPr>
              <w:t>0.010</w:t>
            </w:r>
          </w:p>
        </w:tc>
      </w:tr>
      <w:tr w:rsidR="00376623" w:rsidRPr="00B03B04" w14:paraId="12CE85D4" w14:textId="77777777" w:rsidTr="00DC55BD">
        <w:tc>
          <w:tcPr>
            <w:tcW w:w="3227" w:type="dxa"/>
          </w:tcPr>
          <w:p w14:paraId="0D6EED9C" w14:textId="77777777" w:rsidR="00376623" w:rsidRPr="00D7403C" w:rsidRDefault="00376623" w:rsidP="00DC55BD">
            <w:pPr>
              <w:widowControl w:val="0"/>
              <w:autoSpaceDE w:val="0"/>
              <w:autoSpaceDN w:val="0"/>
              <w:adjustRightInd w:val="0"/>
              <w:rPr>
                <w:b/>
                <w:i/>
              </w:rPr>
            </w:pPr>
            <w:r w:rsidRPr="00D7403C">
              <w:rPr>
                <w:lang w:val="en-US"/>
              </w:rPr>
              <w:t>Metropolitan</w:t>
            </w:r>
          </w:p>
        </w:tc>
        <w:tc>
          <w:tcPr>
            <w:tcW w:w="1021" w:type="dxa"/>
          </w:tcPr>
          <w:p w14:paraId="739E3B75" w14:textId="77777777" w:rsidR="00376623" w:rsidRPr="00D7403C" w:rsidRDefault="00376623" w:rsidP="00DC55BD">
            <w:pPr>
              <w:widowControl w:val="0"/>
              <w:autoSpaceDE w:val="0"/>
              <w:autoSpaceDN w:val="0"/>
              <w:adjustRightInd w:val="0"/>
              <w:jc w:val="center"/>
            </w:pPr>
            <w:r w:rsidRPr="00D7403C">
              <w:rPr>
                <w:lang w:val="en-AU"/>
              </w:rPr>
              <w:t>-0.145</w:t>
            </w:r>
          </w:p>
        </w:tc>
        <w:tc>
          <w:tcPr>
            <w:tcW w:w="567" w:type="dxa"/>
          </w:tcPr>
          <w:p w14:paraId="185BE3C7"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183E0EE7" w14:textId="77777777" w:rsidR="00376623" w:rsidRPr="00D7403C" w:rsidRDefault="00376623" w:rsidP="00DC55BD">
            <w:pPr>
              <w:widowControl w:val="0"/>
              <w:autoSpaceDE w:val="0"/>
              <w:autoSpaceDN w:val="0"/>
              <w:adjustRightInd w:val="0"/>
              <w:jc w:val="center"/>
            </w:pPr>
            <w:r w:rsidRPr="00D7403C">
              <w:rPr>
                <w:lang w:val="en-AU"/>
              </w:rPr>
              <w:t>0.030</w:t>
            </w:r>
          </w:p>
        </w:tc>
        <w:tc>
          <w:tcPr>
            <w:tcW w:w="1134" w:type="dxa"/>
          </w:tcPr>
          <w:p w14:paraId="1FCE83F2" w14:textId="77777777" w:rsidR="00376623" w:rsidRPr="00D7403C" w:rsidRDefault="00376623" w:rsidP="00DC55BD">
            <w:pPr>
              <w:widowControl w:val="0"/>
              <w:autoSpaceDE w:val="0"/>
              <w:autoSpaceDN w:val="0"/>
              <w:adjustRightInd w:val="0"/>
              <w:jc w:val="center"/>
            </w:pPr>
            <w:r w:rsidRPr="00D7403C">
              <w:rPr>
                <w:lang w:val="en-AU"/>
              </w:rPr>
              <w:t>-0.651</w:t>
            </w:r>
          </w:p>
        </w:tc>
        <w:tc>
          <w:tcPr>
            <w:tcW w:w="709" w:type="dxa"/>
          </w:tcPr>
          <w:p w14:paraId="50A88E17"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6D5FE484" w14:textId="77777777" w:rsidR="00376623" w:rsidRPr="00D7403C" w:rsidRDefault="00376623" w:rsidP="00DC55BD">
            <w:pPr>
              <w:widowControl w:val="0"/>
              <w:autoSpaceDE w:val="0"/>
              <w:autoSpaceDN w:val="0"/>
              <w:adjustRightInd w:val="0"/>
              <w:jc w:val="center"/>
            </w:pPr>
            <w:r w:rsidRPr="00D7403C">
              <w:rPr>
                <w:lang w:val="en-AU"/>
              </w:rPr>
              <w:t>0.030</w:t>
            </w:r>
          </w:p>
        </w:tc>
      </w:tr>
      <w:tr w:rsidR="00376623" w:rsidRPr="00B03B04" w14:paraId="2690E6C1" w14:textId="77777777" w:rsidTr="00DC55BD">
        <w:tc>
          <w:tcPr>
            <w:tcW w:w="3227" w:type="dxa"/>
          </w:tcPr>
          <w:p w14:paraId="17F0E2D2" w14:textId="77777777" w:rsidR="00376623" w:rsidRPr="00D7403C" w:rsidRDefault="00376623" w:rsidP="00DC55BD">
            <w:pPr>
              <w:widowControl w:val="0"/>
              <w:autoSpaceDE w:val="0"/>
              <w:autoSpaceDN w:val="0"/>
              <w:adjustRightInd w:val="0"/>
              <w:rPr>
                <w:b/>
                <w:i/>
                <w:lang w:val="en-US"/>
              </w:rPr>
            </w:pPr>
          </w:p>
        </w:tc>
        <w:tc>
          <w:tcPr>
            <w:tcW w:w="1021" w:type="dxa"/>
          </w:tcPr>
          <w:p w14:paraId="0F3A4CBD" w14:textId="77777777" w:rsidR="00376623" w:rsidRPr="00D7403C" w:rsidRDefault="00376623" w:rsidP="00DC55BD">
            <w:pPr>
              <w:widowControl w:val="0"/>
              <w:autoSpaceDE w:val="0"/>
              <w:autoSpaceDN w:val="0"/>
              <w:adjustRightInd w:val="0"/>
              <w:jc w:val="center"/>
            </w:pPr>
          </w:p>
        </w:tc>
        <w:tc>
          <w:tcPr>
            <w:tcW w:w="567" w:type="dxa"/>
          </w:tcPr>
          <w:p w14:paraId="4A9E95D9" w14:textId="77777777" w:rsidR="00376623" w:rsidRPr="00D7403C" w:rsidRDefault="00376623" w:rsidP="00DC55BD">
            <w:pPr>
              <w:widowControl w:val="0"/>
              <w:autoSpaceDE w:val="0"/>
              <w:autoSpaceDN w:val="0"/>
              <w:adjustRightInd w:val="0"/>
              <w:jc w:val="center"/>
            </w:pPr>
          </w:p>
        </w:tc>
        <w:tc>
          <w:tcPr>
            <w:tcW w:w="850" w:type="dxa"/>
          </w:tcPr>
          <w:p w14:paraId="40E77F99" w14:textId="77777777" w:rsidR="00376623" w:rsidRPr="00D7403C" w:rsidRDefault="00376623" w:rsidP="00DC55BD">
            <w:pPr>
              <w:widowControl w:val="0"/>
              <w:autoSpaceDE w:val="0"/>
              <w:autoSpaceDN w:val="0"/>
              <w:adjustRightInd w:val="0"/>
              <w:jc w:val="center"/>
            </w:pPr>
          </w:p>
        </w:tc>
        <w:tc>
          <w:tcPr>
            <w:tcW w:w="1134" w:type="dxa"/>
          </w:tcPr>
          <w:p w14:paraId="0C16DB4A" w14:textId="77777777" w:rsidR="00376623" w:rsidRPr="00D7403C" w:rsidRDefault="00376623" w:rsidP="00DC55BD">
            <w:pPr>
              <w:widowControl w:val="0"/>
              <w:autoSpaceDE w:val="0"/>
              <w:autoSpaceDN w:val="0"/>
              <w:adjustRightInd w:val="0"/>
              <w:jc w:val="center"/>
            </w:pPr>
          </w:p>
        </w:tc>
        <w:tc>
          <w:tcPr>
            <w:tcW w:w="709" w:type="dxa"/>
          </w:tcPr>
          <w:p w14:paraId="63E75D07" w14:textId="77777777" w:rsidR="00376623" w:rsidRPr="00D7403C" w:rsidRDefault="00376623" w:rsidP="00DC55BD">
            <w:pPr>
              <w:widowControl w:val="0"/>
              <w:autoSpaceDE w:val="0"/>
              <w:autoSpaceDN w:val="0"/>
              <w:adjustRightInd w:val="0"/>
              <w:jc w:val="center"/>
            </w:pPr>
          </w:p>
        </w:tc>
        <w:tc>
          <w:tcPr>
            <w:tcW w:w="992" w:type="dxa"/>
          </w:tcPr>
          <w:p w14:paraId="3DE8C9C2" w14:textId="77777777" w:rsidR="00376623" w:rsidRPr="00D7403C" w:rsidRDefault="00376623" w:rsidP="00DC55BD">
            <w:pPr>
              <w:widowControl w:val="0"/>
              <w:autoSpaceDE w:val="0"/>
              <w:autoSpaceDN w:val="0"/>
              <w:adjustRightInd w:val="0"/>
              <w:jc w:val="center"/>
            </w:pPr>
          </w:p>
        </w:tc>
      </w:tr>
      <w:tr w:rsidR="00376623" w:rsidRPr="00B03B04" w14:paraId="43CD4EDF" w14:textId="77777777" w:rsidTr="00DC55BD">
        <w:tc>
          <w:tcPr>
            <w:tcW w:w="3227" w:type="dxa"/>
          </w:tcPr>
          <w:p w14:paraId="1FF13456" w14:textId="77777777" w:rsidR="00376623" w:rsidRPr="00D7403C" w:rsidRDefault="00376623" w:rsidP="00DC55BD">
            <w:pPr>
              <w:widowControl w:val="0"/>
              <w:autoSpaceDE w:val="0"/>
              <w:autoSpaceDN w:val="0"/>
              <w:adjustRightInd w:val="0"/>
            </w:pPr>
            <w:r w:rsidRPr="00D7403C">
              <w:rPr>
                <w:b/>
                <w:i/>
                <w:lang w:val="en-US"/>
              </w:rPr>
              <w:t>Cohort</w:t>
            </w:r>
          </w:p>
        </w:tc>
        <w:tc>
          <w:tcPr>
            <w:tcW w:w="1021" w:type="dxa"/>
          </w:tcPr>
          <w:p w14:paraId="03717FE4" w14:textId="77777777" w:rsidR="00376623" w:rsidRPr="00D7403C" w:rsidRDefault="00376623" w:rsidP="00DC55BD">
            <w:pPr>
              <w:widowControl w:val="0"/>
              <w:autoSpaceDE w:val="0"/>
              <w:autoSpaceDN w:val="0"/>
              <w:adjustRightInd w:val="0"/>
              <w:jc w:val="center"/>
            </w:pPr>
          </w:p>
        </w:tc>
        <w:tc>
          <w:tcPr>
            <w:tcW w:w="567" w:type="dxa"/>
          </w:tcPr>
          <w:p w14:paraId="34440D98" w14:textId="77777777" w:rsidR="00376623" w:rsidRPr="00D7403C" w:rsidRDefault="00376623" w:rsidP="00DC55BD">
            <w:pPr>
              <w:widowControl w:val="0"/>
              <w:autoSpaceDE w:val="0"/>
              <w:autoSpaceDN w:val="0"/>
              <w:adjustRightInd w:val="0"/>
              <w:jc w:val="center"/>
            </w:pPr>
          </w:p>
        </w:tc>
        <w:tc>
          <w:tcPr>
            <w:tcW w:w="850" w:type="dxa"/>
          </w:tcPr>
          <w:p w14:paraId="31CA49CD" w14:textId="77777777" w:rsidR="00376623" w:rsidRPr="00D7403C" w:rsidRDefault="00376623" w:rsidP="00DC55BD">
            <w:pPr>
              <w:widowControl w:val="0"/>
              <w:autoSpaceDE w:val="0"/>
              <w:autoSpaceDN w:val="0"/>
              <w:adjustRightInd w:val="0"/>
              <w:jc w:val="center"/>
            </w:pPr>
          </w:p>
        </w:tc>
        <w:tc>
          <w:tcPr>
            <w:tcW w:w="1134" w:type="dxa"/>
          </w:tcPr>
          <w:p w14:paraId="387DFF30" w14:textId="77777777" w:rsidR="00376623" w:rsidRPr="00D7403C" w:rsidRDefault="00376623" w:rsidP="00DC55BD">
            <w:pPr>
              <w:widowControl w:val="0"/>
              <w:autoSpaceDE w:val="0"/>
              <w:autoSpaceDN w:val="0"/>
              <w:adjustRightInd w:val="0"/>
              <w:jc w:val="center"/>
            </w:pPr>
          </w:p>
        </w:tc>
        <w:tc>
          <w:tcPr>
            <w:tcW w:w="709" w:type="dxa"/>
          </w:tcPr>
          <w:p w14:paraId="54B39360" w14:textId="77777777" w:rsidR="00376623" w:rsidRPr="00D7403C" w:rsidRDefault="00376623" w:rsidP="00DC55BD">
            <w:pPr>
              <w:widowControl w:val="0"/>
              <w:autoSpaceDE w:val="0"/>
              <w:autoSpaceDN w:val="0"/>
              <w:adjustRightInd w:val="0"/>
              <w:jc w:val="center"/>
            </w:pPr>
          </w:p>
        </w:tc>
        <w:tc>
          <w:tcPr>
            <w:tcW w:w="992" w:type="dxa"/>
          </w:tcPr>
          <w:p w14:paraId="0829B9E6" w14:textId="77777777" w:rsidR="00376623" w:rsidRPr="00D7403C" w:rsidRDefault="00376623" w:rsidP="00DC55BD">
            <w:pPr>
              <w:widowControl w:val="0"/>
              <w:autoSpaceDE w:val="0"/>
              <w:autoSpaceDN w:val="0"/>
              <w:adjustRightInd w:val="0"/>
              <w:jc w:val="center"/>
            </w:pPr>
          </w:p>
        </w:tc>
      </w:tr>
      <w:tr w:rsidR="00376623" w:rsidRPr="00B03B04" w14:paraId="5932A383" w14:textId="77777777" w:rsidTr="00DC55BD">
        <w:tc>
          <w:tcPr>
            <w:tcW w:w="3227" w:type="dxa"/>
          </w:tcPr>
          <w:p w14:paraId="3657A232" w14:textId="77777777" w:rsidR="00376623" w:rsidRPr="00D7403C" w:rsidRDefault="00376623" w:rsidP="00DC55BD">
            <w:pPr>
              <w:widowControl w:val="0"/>
              <w:autoSpaceDE w:val="0"/>
              <w:autoSpaceDN w:val="0"/>
              <w:adjustRightInd w:val="0"/>
            </w:pPr>
            <w:r w:rsidRPr="00D7403C">
              <w:rPr>
                <w:lang w:val="en-US"/>
              </w:rPr>
              <w:t>Gen Y</w:t>
            </w:r>
          </w:p>
        </w:tc>
        <w:tc>
          <w:tcPr>
            <w:tcW w:w="1021" w:type="dxa"/>
          </w:tcPr>
          <w:p w14:paraId="5AF62231" w14:textId="77777777" w:rsidR="00376623" w:rsidRPr="00D7403C" w:rsidRDefault="00376623" w:rsidP="00DC55BD">
            <w:pPr>
              <w:widowControl w:val="0"/>
              <w:autoSpaceDE w:val="0"/>
              <w:autoSpaceDN w:val="0"/>
              <w:adjustRightInd w:val="0"/>
              <w:jc w:val="center"/>
            </w:pPr>
            <w:r w:rsidRPr="00D7403C">
              <w:rPr>
                <w:lang w:val="en-AU"/>
              </w:rPr>
              <w:t>0.008</w:t>
            </w:r>
          </w:p>
        </w:tc>
        <w:tc>
          <w:tcPr>
            <w:tcW w:w="567" w:type="dxa"/>
          </w:tcPr>
          <w:p w14:paraId="2F8A9D53" w14:textId="77777777" w:rsidR="00376623" w:rsidRPr="00D7403C" w:rsidRDefault="00376623" w:rsidP="00DC55BD">
            <w:pPr>
              <w:widowControl w:val="0"/>
              <w:autoSpaceDE w:val="0"/>
              <w:autoSpaceDN w:val="0"/>
              <w:adjustRightInd w:val="0"/>
              <w:jc w:val="center"/>
            </w:pPr>
          </w:p>
        </w:tc>
        <w:tc>
          <w:tcPr>
            <w:tcW w:w="850" w:type="dxa"/>
          </w:tcPr>
          <w:p w14:paraId="73C245BA" w14:textId="77777777" w:rsidR="00376623" w:rsidRPr="00D7403C" w:rsidRDefault="00376623" w:rsidP="00DC55BD">
            <w:pPr>
              <w:widowControl w:val="0"/>
              <w:autoSpaceDE w:val="0"/>
              <w:autoSpaceDN w:val="0"/>
              <w:adjustRightInd w:val="0"/>
              <w:jc w:val="center"/>
            </w:pPr>
            <w:r w:rsidRPr="00D7403C">
              <w:rPr>
                <w:lang w:val="en-AU"/>
              </w:rPr>
              <w:t>0.079</w:t>
            </w:r>
          </w:p>
        </w:tc>
        <w:tc>
          <w:tcPr>
            <w:tcW w:w="1134" w:type="dxa"/>
          </w:tcPr>
          <w:p w14:paraId="7EF9E2D5" w14:textId="77777777" w:rsidR="00376623" w:rsidRPr="00D7403C" w:rsidRDefault="00376623" w:rsidP="00DC55BD">
            <w:pPr>
              <w:widowControl w:val="0"/>
              <w:autoSpaceDE w:val="0"/>
              <w:autoSpaceDN w:val="0"/>
              <w:adjustRightInd w:val="0"/>
              <w:jc w:val="center"/>
            </w:pPr>
            <w:r w:rsidRPr="00D7403C">
              <w:rPr>
                <w:lang w:val="en-AU"/>
              </w:rPr>
              <w:t>0.029</w:t>
            </w:r>
          </w:p>
        </w:tc>
        <w:tc>
          <w:tcPr>
            <w:tcW w:w="709" w:type="dxa"/>
          </w:tcPr>
          <w:p w14:paraId="538005BB" w14:textId="77777777" w:rsidR="00376623" w:rsidRPr="00D7403C" w:rsidRDefault="00376623" w:rsidP="00DC55BD">
            <w:pPr>
              <w:widowControl w:val="0"/>
              <w:autoSpaceDE w:val="0"/>
              <w:autoSpaceDN w:val="0"/>
              <w:adjustRightInd w:val="0"/>
              <w:jc w:val="center"/>
            </w:pPr>
          </w:p>
        </w:tc>
        <w:tc>
          <w:tcPr>
            <w:tcW w:w="992" w:type="dxa"/>
          </w:tcPr>
          <w:p w14:paraId="7168B69D" w14:textId="77777777" w:rsidR="00376623" w:rsidRPr="00D7403C" w:rsidRDefault="00376623" w:rsidP="00DC55BD">
            <w:pPr>
              <w:widowControl w:val="0"/>
              <w:autoSpaceDE w:val="0"/>
              <w:autoSpaceDN w:val="0"/>
              <w:adjustRightInd w:val="0"/>
              <w:jc w:val="center"/>
            </w:pPr>
            <w:r w:rsidRPr="00D7403C">
              <w:rPr>
                <w:lang w:val="en-AU"/>
              </w:rPr>
              <w:t>0.077</w:t>
            </w:r>
          </w:p>
        </w:tc>
      </w:tr>
      <w:tr w:rsidR="00376623" w:rsidRPr="00B03B04" w14:paraId="67324240" w14:textId="77777777" w:rsidTr="00DC55BD">
        <w:tc>
          <w:tcPr>
            <w:tcW w:w="3227" w:type="dxa"/>
          </w:tcPr>
          <w:p w14:paraId="06B7C9CF" w14:textId="77777777" w:rsidR="00376623" w:rsidRPr="00D7403C" w:rsidRDefault="00376623" w:rsidP="00DC55BD">
            <w:pPr>
              <w:widowControl w:val="0"/>
              <w:autoSpaceDE w:val="0"/>
              <w:autoSpaceDN w:val="0"/>
              <w:adjustRightInd w:val="0"/>
            </w:pPr>
            <w:r w:rsidRPr="00D7403C">
              <w:rPr>
                <w:lang w:val="en-US"/>
              </w:rPr>
              <w:t>Gen X</w:t>
            </w:r>
          </w:p>
        </w:tc>
        <w:tc>
          <w:tcPr>
            <w:tcW w:w="1021" w:type="dxa"/>
          </w:tcPr>
          <w:p w14:paraId="53C5CF48" w14:textId="77777777" w:rsidR="00376623" w:rsidRPr="00D7403C" w:rsidRDefault="00376623" w:rsidP="00DC55BD">
            <w:pPr>
              <w:widowControl w:val="0"/>
              <w:autoSpaceDE w:val="0"/>
              <w:autoSpaceDN w:val="0"/>
              <w:adjustRightInd w:val="0"/>
              <w:jc w:val="center"/>
            </w:pPr>
            <w:r w:rsidRPr="00D7403C">
              <w:rPr>
                <w:lang w:val="en-AU"/>
              </w:rPr>
              <w:t>0.279</w:t>
            </w:r>
          </w:p>
        </w:tc>
        <w:tc>
          <w:tcPr>
            <w:tcW w:w="567" w:type="dxa"/>
          </w:tcPr>
          <w:p w14:paraId="66ADE920"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38D56703" w14:textId="77777777" w:rsidR="00376623" w:rsidRPr="00D7403C" w:rsidRDefault="00376623" w:rsidP="00DC55BD">
            <w:pPr>
              <w:widowControl w:val="0"/>
              <w:autoSpaceDE w:val="0"/>
              <w:autoSpaceDN w:val="0"/>
              <w:adjustRightInd w:val="0"/>
              <w:jc w:val="center"/>
            </w:pPr>
            <w:r w:rsidRPr="00D7403C">
              <w:rPr>
                <w:lang w:val="en-AU"/>
              </w:rPr>
              <w:t>0.083</w:t>
            </w:r>
          </w:p>
        </w:tc>
        <w:tc>
          <w:tcPr>
            <w:tcW w:w="1134" w:type="dxa"/>
          </w:tcPr>
          <w:p w14:paraId="6DDDB7A0" w14:textId="77777777" w:rsidR="00376623" w:rsidRPr="00D7403C" w:rsidRDefault="00376623" w:rsidP="00DC55BD">
            <w:pPr>
              <w:widowControl w:val="0"/>
              <w:autoSpaceDE w:val="0"/>
              <w:autoSpaceDN w:val="0"/>
              <w:adjustRightInd w:val="0"/>
              <w:jc w:val="center"/>
            </w:pPr>
            <w:r w:rsidRPr="00D7403C">
              <w:rPr>
                <w:lang w:val="en-AU"/>
              </w:rPr>
              <w:t>0.298</w:t>
            </w:r>
          </w:p>
        </w:tc>
        <w:tc>
          <w:tcPr>
            <w:tcW w:w="709" w:type="dxa"/>
          </w:tcPr>
          <w:p w14:paraId="6DDA77A6"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712D0553" w14:textId="77777777" w:rsidR="00376623" w:rsidRPr="00D7403C" w:rsidRDefault="00376623" w:rsidP="00DC55BD">
            <w:pPr>
              <w:widowControl w:val="0"/>
              <w:autoSpaceDE w:val="0"/>
              <w:autoSpaceDN w:val="0"/>
              <w:adjustRightInd w:val="0"/>
              <w:jc w:val="center"/>
            </w:pPr>
            <w:r w:rsidRPr="00D7403C">
              <w:rPr>
                <w:lang w:val="en-AU"/>
              </w:rPr>
              <w:t>0.081</w:t>
            </w:r>
          </w:p>
        </w:tc>
      </w:tr>
      <w:tr w:rsidR="00376623" w:rsidRPr="00B03B04" w14:paraId="68D81926" w14:textId="77777777" w:rsidTr="00DC55BD">
        <w:tc>
          <w:tcPr>
            <w:tcW w:w="3227" w:type="dxa"/>
          </w:tcPr>
          <w:p w14:paraId="0E249042" w14:textId="77777777" w:rsidR="00376623" w:rsidRPr="00D7403C" w:rsidRDefault="00376623" w:rsidP="00DC55BD">
            <w:pPr>
              <w:widowControl w:val="0"/>
              <w:autoSpaceDE w:val="0"/>
              <w:autoSpaceDN w:val="0"/>
              <w:adjustRightInd w:val="0"/>
            </w:pPr>
            <w:r w:rsidRPr="00D7403C">
              <w:rPr>
                <w:lang w:val="en-US"/>
              </w:rPr>
              <w:t>Baby Boomers</w:t>
            </w:r>
          </w:p>
        </w:tc>
        <w:tc>
          <w:tcPr>
            <w:tcW w:w="1021" w:type="dxa"/>
          </w:tcPr>
          <w:p w14:paraId="2BBEE2E2" w14:textId="77777777" w:rsidR="00376623" w:rsidRPr="00D7403C" w:rsidRDefault="00376623" w:rsidP="00DC55BD">
            <w:pPr>
              <w:widowControl w:val="0"/>
              <w:autoSpaceDE w:val="0"/>
              <w:autoSpaceDN w:val="0"/>
              <w:adjustRightInd w:val="0"/>
              <w:jc w:val="center"/>
            </w:pPr>
            <w:r w:rsidRPr="00D7403C">
              <w:rPr>
                <w:lang w:val="en-AU"/>
              </w:rPr>
              <w:t>0.639</w:t>
            </w:r>
          </w:p>
        </w:tc>
        <w:tc>
          <w:tcPr>
            <w:tcW w:w="567" w:type="dxa"/>
          </w:tcPr>
          <w:p w14:paraId="5512C6B3"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4C5DAF9F" w14:textId="77777777" w:rsidR="00376623" w:rsidRPr="00D7403C" w:rsidRDefault="00376623" w:rsidP="00DC55BD">
            <w:pPr>
              <w:widowControl w:val="0"/>
              <w:autoSpaceDE w:val="0"/>
              <w:autoSpaceDN w:val="0"/>
              <w:adjustRightInd w:val="0"/>
              <w:jc w:val="center"/>
            </w:pPr>
            <w:r w:rsidRPr="00D7403C">
              <w:rPr>
                <w:lang w:val="en-AU"/>
              </w:rPr>
              <w:t>0.082</w:t>
            </w:r>
          </w:p>
        </w:tc>
        <w:tc>
          <w:tcPr>
            <w:tcW w:w="1134" w:type="dxa"/>
          </w:tcPr>
          <w:p w14:paraId="4127447F" w14:textId="77777777" w:rsidR="00376623" w:rsidRPr="00D7403C" w:rsidRDefault="00376623" w:rsidP="00DC55BD">
            <w:pPr>
              <w:widowControl w:val="0"/>
              <w:autoSpaceDE w:val="0"/>
              <w:autoSpaceDN w:val="0"/>
              <w:adjustRightInd w:val="0"/>
              <w:jc w:val="center"/>
            </w:pPr>
            <w:r w:rsidRPr="00D7403C">
              <w:rPr>
                <w:lang w:val="en-AU"/>
              </w:rPr>
              <w:t>0.527</w:t>
            </w:r>
          </w:p>
        </w:tc>
        <w:tc>
          <w:tcPr>
            <w:tcW w:w="709" w:type="dxa"/>
          </w:tcPr>
          <w:p w14:paraId="1A7B9EE5"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138B7A1B" w14:textId="77777777" w:rsidR="00376623" w:rsidRPr="00D7403C" w:rsidRDefault="00376623" w:rsidP="00DC55BD">
            <w:pPr>
              <w:widowControl w:val="0"/>
              <w:autoSpaceDE w:val="0"/>
              <w:autoSpaceDN w:val="0"/>
              <w:adjustRightInd w:val="0"/>
              <w:jc w:val="center"/>
            </w:pPr>
            <w:r w:rsidRPr="00D7403C">
              <w:rPr>
                <w:lang w:val="en-AU"/>
              </w:rPr>
              <w:t>0.081</w:t>
            </w:r>
          </w:p>
        </w:tc>
      </w:tr>
      <w:tr w:rsidR="00376623" w:rsidRPr="00B03B04" w14:paraId="03FE7C1C" w14:textId="77777777" w:rsidTr="00DC55BD">
        <w:tc>
          <w:tcPr>
            <w:tcW w:w="3227" w:type="dxa"/>
          </w:tcPr>
          <w:p w14:paraId="4549C19D" w14:textId="77777777" w:rsidR="00376623" w:rsidRPr="00D7403C" w:rsidRDefault="00376623" w:rsidP="00DC55BD">
            <w:pPr>
              <w:widowControl w:val="0"/>
              <w:autoSpaceDE w:val="0"/>
              <w:autoSpaceDN w:val="0"/>
              <w:adjustRightInd w:val="0"/>
            </w:pPr>
            <w:r w:rsidRPr="00D7403C">
              <w:rPr>
                <w:lang w:val="en-US"/>
              </w:rPr>
              <w:t>Silent Generation</w:t>
            </w:r>
          </w:p>
        </w:tc>
        <w:tc>
          <w:tcPr>
            <w:tcW w:w="1021" w:type="dxa"/>
          </w:tcPr>
          <w:p w14:paraId="399572B6" w14:textId="77777777" w:rsidR="00376623" w:rsidRPr="00D7403C" w:rsidRDefault="00376623" w:rsidP="00DC55BD">
            <w:pPr>
              <w:widowControl w:val="0"/>
              <w:autoSpaceDE w:val="0"/>
              <w:autoSpaceDN w:val="0"/>
              <w:adjustRightInd w:val="0"/>
              <w:jc w:val="center"/>
            </w:pPr>
            <w:r w:rsidRPr="00D7403C">
              <w:rPr>
                <w:lang w:val="en-AU"/>
              </w:rPr>
              <w:t>1.244</w:t>
            </w:r>
          </w:p>
        </w:tc>
        <w:tc>
          <w:tcPr>
            <w:tcW w:w="567" w:type="dxa"/>
          </w:tcPr>
          <w:p w14:paraId="355E7F51"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0547200B" w14:textId="77777777" w:rsidR="00376623" w:rsidRPr="00D7403C" w:rsidRDefault="00376623" w:rsidP="00DC55BD">
            <w:pPr>
              <w:widowControl w:val="0"/>
              <w:autoSpaceDE w:val="0"/>
              <w:autoSpaceDN w:val="0"/>
              <w:adjustRightInd w:val="0"/>
              <w:jc w:val="center"/>
            </w:pPr>
            <w:r w:rsidRPr="00D7403C">
              <w:rPr>
                <w:lang w:val="en-AU"/>
              </w:rPr>
              <w:t>0.089</w:t>
            </w:r>
          </w:p>
        </w:tc>
        <w:tc>
          <w:tcPr>
            <w:tcW w:w="1134" w:type="dxa"/>
          </w:tcPr>
          <w:p w14:paraId="14A502C4" w14:textId="77777777" w:rsidR="00376623" w:rsidRPr="00D7403C" w:rsidRDefault="00376623" w:rsidP="00DC55BD">
            <w:pPr>
              <w:widowControl w:val="0"/>
              <w:autoSpaceDE w:val="0"/>
              <w:autoSpaceDN w:val="0"/>
              <w:adjustRightInd w:val="0"/>
              <w:jc w:val="center"/>
            </w:pPr>
            <w:r w:rsidRPr="00D7403C">
              <w:rPr>
                <w:lang w:val="en-AU"/>
              </w:rPr>
              <w:t>0.968</w:t>
            </w:r>
          </w:p>
        </w:tc>
        <w:tc>
          <w:tcPr>
            <w:tcW w:w="709" w:type="dxa"/>
          </w:tcPr>
          <w:p w14:paraId="1967D898"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3FED0C52" w14:textId="77777777" w:rsidR="00376623" w:rsidRPr="00D7403C" w:rsidRDefault="00376623" w:rsidP="00DC55BD">
            <w:pPr>
              <w:widowControl w:val="0"/>
              <w:autoSpaceDE w:val="0"/>
              <w:autoSpaceDN w:val="0"/>
              <w:adjustRightInd w:val="0"/>
              <w:jc w:val="center"/>
            </w:pPr>
            <w:r w:rsidRPr="00D7403C">
              <w:rPr>
                <w:lang w:val="en-AU"/>
              </w:rPr>
              <w:t>0.087</w:t>
            </w:r>
          </w:p>
        </w:tc>
      </w:tr>
      <w:tr w:rsidR="00376623" w:rsidRPr="00B03B04" w14:paraId="1854878D" w14:textId="77777777" w:rsidTr="00DC55BD">
        <w:tc>
          <w:tcPr>
            <w:tcW w:w="3227" w:type="dxa"/>
          </w:tcPr>
          <w:p w14:paraId="54EBFB3D" w14:textId="77777777" w:rsidR="00376623" w:rsidRPr="00D7403C" w:rsidRDefault="00376623" w:rsidP="00DC55BD">
            <w:pPr>
              <w:widowControl w:val="0"/>
              <w:autoSpaceDE w:val="0"/>
              <w:autoSpaceDN w:val="0"/>
              <w:adjustRightInd w:val="0"/>
              <w:rPr>
                <w:lang w:val="en-US"/>
              </w:rPr>
            </w:pPr>
          </w:p>
        </w:tc>
        <w:tc>
          <w:tcPr>
            <w:tcW w:w="1021" w:type="dxa"/>
          </w:tcPr>
          <w:p w14:paraId="7C122E6B" w14:textId="77777777" w:rsidR="00376623" w:rsidRPr="00D7403C" w:rsidRDefault="00376623" w:rsidP="00DC55BD">
            <w:pPr>
              <w:widowControl w:val="0"/>
              <w:autoSpaceDE w:val="0"/>
              <w:autoSpaceDN w:val="0"/>
              <w:adjustRightInd w:val="0"/>
              <w:jc w:val="center"/>
            </w:pPr>
          </w:p>
        </w:tc>
        <w:tc>
          <w:tcPr>
            <w:tcW w:w="567" w:type="dxa"/>
          </w:tcPr>
          <w:p w14:paraId="608BC837" w14:textId="77777777" w:rsidR="00376623" w:rsidRPr="00D7403C" w:rsidRDefault="00376623" w:rsidP="00DC55BD">
            <w:pPr>
              <w:widowControl w:val="0"/>
              <w:autoSpaceDE w:val="0"/>
              <w:autoSpaceDN w:val="0"/>
              <w:adjustRightInd w:val="0"/>
              <w:jc w:val="center"/>
            </w:pPr>
          </w:p>
        </w:tc>
        <w:tc>
          <w:tcPr>
            <w:tcW w:w="850" w:type="dxa"/>
          </w:tcPr>
          <w:p w14:paraId="6D8CBDDE" w14:textId="77777777" w:rsidR="00376623" w:rsidRPr="00D7403C" w:rsidRDefault="00376623" w:rsidP="00DC55BD">
            <w:pPr>
              <w:widowControl w:val="0"/>
              <w:autoSpaceDE w:val="0"/>
              <w:autoSpaceDN w:val="0"/>
              <w:adjustRightInd w:val="0"/>
              <w:jc w:val="center"/>
            </w:pPr>
          </w:p>
        </w:tc>
        <w:tc>
          <w:tcPr>
            <w:tcW w:w="1134" w:type="dxa"/>
          </w:tcPr>
          <w:p w14:paraId="4B5CF053" w14:textId="77777777" w:rsidR="00376623" w:rsidRPr="00D7403C" w:rsidRDefault="00376623" w:rsidP="00DC55BD">
            <w:pPr>
              <w:widowControl w:val="0"/>
              <w:autoSpaceDE w:val="0"/>
              <w:autoSpaceDN w:val="0"/>
              <w:adjustRightInd w:val="0"/>
              <w:jc w:val="center"/>
            </w:pPr>
          </w:p>
        </w:tc>
        <w:tc>
          <w:tcPr>
            <w:tcW w:w="709" w:type="dxa"/>
          </w:tcPr>
          <w:p w14:paraId="477C7199" w14:textId="77777777" w:rsidR="00376623" w:rsidRPr="00D7403C" w:rsidRDefault="00376623" w:rsidP="00DC55BD">
            <w:pPr>
              <w:widowControl w:val="0"/>
              <w:autoSpaceDE w:val="0"/>
              <w:autoSpaceDN w:val="0"/>
              <w:adjustRightInd w:val="0"/>
              <w:jc w:val="center"/>
            </w:pPr>
          </w:p>
        </w:tc>
        <w:tc>
          <w:tcPr>
            <w:tcW w:w="992" w:type="dxa"/>
          </w:tcPr>
          <w:p w14:paraId="0C1EE56F" w14:textId="77777777" w:rsidR="00376623" w:rsidRPr="00D7403C" w:rsidRDefault="00376623" w:rsidP="00DC55BD">
            <w:pPr>
              <w:widowControl w:val="0"/>
              <w:autoSpaceDE w:val="0"/>
              <w:autoSpaceDN w:val="0"/>
              <w:adjustRightInd w:val="0"/>
              <w:jc w:val="center"/>
            </w:pPr>
          </w:p>
        </w:tc>
      </w:tr>
      <w:tr w:rsidR="00376623" w:rsidRPr="00B03B04" w14:paraId="793CC04E" w14:textId="77777777" w:rsidTr="00DC55BD">
        <w:tc>
          <w:tcPr>
            <w:tcW w:w="3227" w:type="dxa"/>
          </w:tcPr>
          <w:p w14:paraId="7DE0F6D9" w14:textId="77777777" w:rsidR="00376623" w:rsidRPr="00D7403C" w:rsidRDefault="00376623" w:rsidP="00DC55BD">
            <w:pPr>
              <w:widowControl w:val="0"/>
              <w:autoSpaceDE w:val="0"/>
              <w:autoSpaceDN w:val="0"/>
              <w:adjustRightInd w:val="0"/>
            </w:pPr>
            <w:r w:rsidRPr="00D7403C">
              <w:rPr>
                <w:lang w:val="en-US"/>
              </w:rPr>
              <w:t>Female</w:t>
            </w:r>
          </w:p>
        </w:tc>
        <w:tc>
          <w:tcPr>
            <w:tcW w:w="1021" w:type="dxa"/>
          </w:tcPr>
          <w:p w14:paraId="3A6ADFBD" w14:textId="77777777" w:rsidR="00376623" w:rsidRPr="00D7403C" w:rsidRDefault="00376623" w:rsidP="00DC55BD">
            <w:pPr>
              <w:widowControl w:val="0"/>
              <w:autoSpaceDE w:val="0"/>
              <w:autoSpaceDN w:val="0"/>
              <w:adjustRightInd w:val="0"/>
              <w:jc w:val="center"/>
            </w:pPr>
            <w:r w:rsidRPr="00D7403C">
              <w:rPr>
                <w:lang w:val="en-AU"/>
              </w:rPr>
              <w:t>0.106</w:t>
            </w:r>
          </w:p>
        </w:tc>
        <w:tc>
          <w:tcPr>
            <w:tcW w:w="567" w:type="dxa"/>
          </w:tcPr>
          <w:p w14:paraId="311627B5"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39FE209F" w14:textId="77777777" w:rsidR="00376623" w:rsidRPr="00D7403C" w:rsidRDefault="00376623" w:rsidP="00DC55BD">
            <w:pPr>
              <w:widowControl w:val="0"/>
              <w:autoSpaceDE w:val="0"/>
              <w:autoSpaceDN w:val="0"/>
              <w:adjustRightInd w:val="0"/>
              <w:jc w:val="center"/>
            </w:pPr>
            <w:r w:rsidRPr="00D7403C">
              <w:rPr>
                <w:lang w:val="en-AU"/>
              </w:rPr>
              <w:t>0.026</w:t>
            </w:r>
          </w:p>
        </w:tc>
        <w:tc>
          <w:tcPr>
            <w:tcW w:w="1134" w:type="dxa"/>
          </w:tcPr>
          <w:p w14:paraId="653653BE" w14:textId="77777777" w:rsidR="00376623" w:rsidRPr="00D7403C" w:rsidRDefault="00376623" w:rsidP="00DC55BD">
            <w:pPr>
              <w:widowControl w:val="0"/>
              <w:autoSpaceDE w:val="0"/>
              <w:autoSpaceDN w:val="0"/>
              <w:adjustRightInd w:val="0"/>
              <w:jc w:val="center"/>
            </w:pPr>
            <w:r w:rsidRPr="00D7403C">
              <w:rPr>
                <w:lang w:val="en-AU"/>
              </w:rPr>
              <w:t>0.004</w:t>
            </w:r>
          </w:p>
        </w:tc>
        <w:tc>
          <w:tcPr>
            <w:tcW w:w="709" w:type="dxa"/>
          </w:tcPr>
          <w:p w14:paraId="70379403" w14:textId="77777777" w:rsidR="00376623" w:rsidRPr="00D7403C" w:rsidRDefault="00376623" w:rsidP="00DC55BD">
            <w:pPr>
              <w:widowControl w:val="0"/>
              <w:autoSpaceDE w:val="0"/>
              <w:autoSpaceDN w:val="0"/>
              <w:adjustRightInd w:val="0"/>
              <w:jc w:val="center"/>
            </w:pPr>
          </w:p>
        </w:tc>
        <w:tc>
          <w:tcPr>
            <w:tcW w:w="992" w:type="dxa"/>
          </w:tcPr>
          <w:p w14:paraId="1F3617D3" w14:textId="77777777" w:rsidR="00376623" w:rsidRPr="00D7403C" w:rsidRDefault="00376623" w:rsidP="00DC55BD">
            <w:pPr>
              <w:widowControl w:val="0"/>
              <w:autoSpaceDE w:val="0"/>
              <w:autoSpaceDN w:val="0"/>
              <w:adjustRightInd w:val="0"/>
              <w:jc w:val="center"/>
            </w:pPr>
            <w:r w:rsidRPr="00D7403C">
              <w:rPr>
                <w:lang w:val="en-AU"/>
              </w:rPr>
              <w:t>0.026</w:t>
            </w:r>
          </w:p>
        </w:tc>
      </w:tr>
      <w:tr w:rsidR="00376623" w:rsidRPr="00B03B04" w14:paraId="61CFCABB" w14:textId="77777777" w:rsidTr="00DC55BD">
        <w:tc>
          <w:tcPr>
            <w:tcW w:w="3227" w:type="dxa"/>
          </w:tcPr>
          <w:p w14:paraId="2AAA7B8E" w14:textId="77777777" w:rsidR="00376623" w:rsidRPr="00D7403C" w:rsidRDefault="00376623" w:rsidP="00DC55BD">
            <w:pPr>
              <w:widowControl w:val="0"/>
              <w:autoSpaceDE w:val="0"/>
              <w:autoSpaceDN w:val="0"/>
              <w:adjustRightInd w:val="0"/>
            </w:pPr>
            <w:r w:rsidRPr="00D7403C">
              <w:rPr>
                <w:lang w:val="en-US"/>
              </w:rPr>
              <w:t>Married</w:t>
            </w:r>
          </w:p>
        </w:tc>
        <w:tc>
          <w:tcPr>
            <w:tcW w:w="1021" w:type="dxa"/>
          </w:tcPr>
          <w:p w14:paraId="6952BCF1" w14:textId="77777777" w:rsidR="00376623" w:rsidRPr="00D7403C" w:rsidRDefault="00376623" w:rsidP="00DC55BD">
            <w:pPr>
              <w:widowControl w:val="0"/>
              <w:autoSpaceDE w:val="0"/>
              <w:autoSpaceDN w:val="0"/>
              <w:adjustRightInd w:val="0"/>
              <w:jc w:val="center"/>
            </w:pPr>
            <w:r w:rsidRPr="00D7403C">
              <w:rPr>
                <w:lang w:val="en-AU"/>
              </w:rPr>
              <w:t>0.067</w:t>
            </w:r>
          </w:p>
        </w:tc>
        <w:tc>
          <w:tcPr>
            <w:tcW w:w="567" w:type="dxa"/>
          </w:tcPr>
          <w:p w14:paraId="262758E5" w14:textId="77777777" w:rsidR="00376623" w:rsidRPr="00D7403C" w:rsidRDefault="00376623" w:rsidP="00DC55BD">
            <w:pPr>
              <w:widowControl w:val="0"/>
              <w:autoSpaceDE w:val="0"/>
              <w:autoSpaceDN w:val="0"/>
              <w:adjustRightInd w:val="0"/>
              <w:jc w:val="center"/>
            </w:pPr>
            <w:r w:rsidRPr="00D7403C">
              <w:rPr>
                <w:lang w:val="en-AU"/>
              </w:rPr>
              <w:t>**</w:t>
            </w:r>
          </w:p>
        </w:tc>
        <w:tc>
          <w:tcPr>
            <w:tcW w:w="850" w:type="dxa"/>
          </w:tcPr>
          <w:p w14:paraId="4E8A1FE2" w14:textId="77777777" w:rsidR="00376623" w:rsidRPr="00D7403C" w:rsidRDefault="00376623" w:rsidP="00DC55BD">
            <w:pPr>
              <w:widowControl w:val="0"/>
              <w:autoSpaceDE w:val="0"/>
              <w:autoSpaceDN w:val="0"/>
              <w:adjustRightInd w:val="0"/>
              <w:jc w:val="center"/>
            </w:pPr>
            <w:r w:rsidRPr="00D7403C">
              <w:rPr>
                <w:lang w:val="en-AU"/>
              </w:rPr>
              <w:t>0.030</w:t>
            </w:r>
          </w:p>
        </w:tc>
        <w:tc>
          <w:tcPr>
            <w:tcW w:w="1134" w:type="dxa"/>
          </w:tcPr>
          <w:p w14:paraId="23F60103" w14:textId="77777777" w:rsidR="00376623" w:rsidRPr="00D7403C" w:rsidRDefault="00376623" w:rsidP="00DC55BD">
            <w:pPr>
              <w:widowControl w:val="0"/>
              <w:autoSpaceDE w:val="0"/>
              <w:autoSpaceDN w:val="0"/>
              <w:adjustRightInd w:val="0"/>
              <w:jc w:val="center"/>
            </w:pPr>
            <w:r w:rsidRPr="00D7403C">
              <w:rPr>
                <w:lang w:val="en-AU"/>
              </w:rPr>
              <w:t>0.192</w:t>
            </w:r>
          </w:p>
        </w:tc>
        <w:tc>
          <w:tcPr>
            <w:tcW w:w="709" w:type="dxa"/>
          </w:tcPr>
          <w:p w14:paraId="2F9196C0"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7F51023D" w14:textId="77777777" w:rsidR="00376623" w:rsidRPr="00D7403C" w:rsidRDefault="00376623" w:rsidP="00DC55BD">
            <w:pPr>
              <w:widowControl w:val="0"/>
              <w:autoSpaceDE w:val="0"/>
              <w:autoSpaceDN w:val="0"/>
              <w:adjustRightInd w:val="0"/>
              <w:jc w:val="center"/>
            </w:pPr>
            <w:r w:rsidRPr="00D7403C">
              <w:rPr>
                <w:lang w:val="en-AU"/>
              </w:rPr>
              <w:t>0.030</w:t>
            </w:r>
          </w:p>
        </w:tc>
      </w:tr>
      <w:tr w:rsidR="00376623" w:rsidRPr="00B03B04" w14:paraId="49566A2C" w14:textId="77777777" w:rsidTr="00DC55BD">
        <w:tc>
          <w:tcPr>
            <w:tcW w:w="3227" w:type="dxa"/>
          </w:tcPr>
          <w:p w14:paraId="7BA14969" w14:textId="77777777" w:rsidR="00376623" w:rsidRPr="00D7403C" w:rsidRDefault="00376623" w:rsidP="00DC55BD">
            <w:pPr>
              <w:widowControl w:val="0"/>
              <w:autoSpaceDE w:val="0"/>
              <w:autoSpaceDN w:val="0"/>
              <w:adjustRightInd w:val="0"/>
            </w:pPr>
            <w:r w:rsidRPr="00D7403C">
              <w:rPr>
                <w:lang w:val="en-US"/>
              </w:rPr>
              <w:t>Divorced</w:t>
            </w:r>
          </w:p>
        </w:tc>
        <w:tc>
          <w:tcPr>
            <w:tcW w:w="1021" w:type="dxa"/>
          </w:tcPr>
          <w:p w14:paraId="758A4D68" w14:textId="77777777" w:rsidR="00376623" w:rsidRPr="00D7403C" w:rsidRDefault="00376623" w:rsidP="00DC55BD">
            <w:pPr>
              <w:widowControl w:val="0"/>
              <w:autoSpaceDE w:val="0"/>
              <w:autoSpaceDN w:val="0"/>
              <w:adjustRightInd w:val="0"/>
              <w:jc w:val="center"/>
            </w:pPr>
            <w:r w:rsidRPr="00D7403C">
              <w:rPr>
                <w:lang w:val="en-AU"/>
              </w:rPr>
              <w:t>-0.125</w:t>
            </w:r>
          </w:p>
        </w:tc>
        <w:tc>
          <w:tcPr>
            <w:tcW w:w="567" w:type="dxa"/>
          </w:tcPr>
          <w:p w14:paraId="55C8902E" w14:textId="77777777" w:rsidR="00376623" w:rsidRPr="00D7403C" w:rsidRDefault="00376623" w:rsidP="00DC55BD">
            <w:pPr>
              <w:widowControl w:val="0"/>
              <w:autoSpaceDE w:val="0"/>
              <w:autoSpaceDN w:val="0"/>
              <w:adjustRightInd w:val="0"/>
              <w:jc w:val="center"/>
            </w:pPr>
          </w:p>
        </w:tc>
        <w:tc>
          <w:tcPr>
            <w:tcW w:w="850" w:type="dxa"/>
          </w:tcPr>
          <w:p w14:paraId="0A50293A" w14:textId="77777777" w:rsidR="00376623" w:rsidRPr="00D7403C" w:rsidRDefault="00376623" w:rsidP="00DC55BD">
            <w:pPr>
              <w:widowControl w:val="0"/>
              <w:autoSpaceDE w:val="0"/>
              <w:autoSpaceDN w:val="0"/>
              <w:adjustRightInd w:val="0"/>
              <w:jc w:val="center"/>
            </w:pPr>
            <w:r w:rsidRPr="00D7403C">
              <w:rPr>
                <w:lang w:val="en-AU"/>
              </w:rPr>
              <w:t>0.065</w:t>
            </w:r>
          </w:p>
        </w:tc>
        <w:tc>
          <w:tcPr>
            <w:tcW w:w="1134" w:type="dxa"/>
          </w:tcPr>
          <w:p w14:paraId="404A5ADB" w14:textId="77777777" w:rsidR="00376623" w:rsidRPr="00D7403C" w:rsidRDefault="00376623" w:rsidP="00DC55BD">
            <w:pPr>
              <w:widowControl w:val="0"/>
              <w:autoSpaceDE w:val="0"/>
              <w:autoSpaceDN w:val="0"/>
              <w:adjustRightInd w:val="0"/>
              <w:jc w:val="center"/>
            </w:pPr>
            <w:r w:rsidRPr="00D7403C">
              <w:rPr>
                <w:lang w:val="en-AU"/>
              </w:rPr>
              <w:t>0.012</w:t>
            </w:r>
          </w:p>
        </w:tc>
        <w:tc>
          <w:tcPr>
            <w:tcW w:w="709" w:type="dxa"/>
          </w:tcPr>
          <w:p w14:paraId="7F8C53A7" w14:textId="77777777" w:rsidR="00376623" w:rsidRPr="00D7403C" w:rsidRDefault="00376623" w:rsidP="00DC55BD">
            <w:pPr>
              <w:widowControl w:val="0"/>
              <w:autoSpaceDE w:val="0"/>
              <w:autoSpaceDN w:val="0"/>
              <w:adjustRightInd w:val="0"/>
              <w:jc w:val="center"/>
            </w:pPr>
          </w:p>
        </w:tc>
        <w:tc>
          <w:tcPr>
            <w:tcW w:w="992" w:type="dxa"/>
          </w:tcPr>
          <w:p w14:paraId="4572348A" w14:textId="77777777" w:rsidR="00376623" w:rsidRPr="00D7403C" w:rsidRDefault="00376623" w:rsidP="00DC55BD">
            <w:pPr>
              <w:widowControl w:val="0"/>
              <w:autoSpaceDE w:val="0"/>
              <w:autoSpaceDN w:val="0"/>
              <w:adjustRightInd w:val="0"/>
              <w:jc w:val="center"/>
            </w:pPr>
            <w:r w:rsidRPr="00D7403C">
              <w:rPr>
                <w:lang w:val="en-AU"/>
              </w:rPr>
              <w:t>0.059</w:t>
            </w:r>
          </w:p>
        </w:tc>
      </w:tr>
      <w:tr w:rsidR="00376623" w:rsidRPr="00B03B04" w14:paraId="3CE70CA8" w14:textId="77777777" w:rsidTr="00DC55BD">
        <w:tc>
          <w:tcPr>
            <w:tcW w:w="3227" w:type="dxa"/>
          </w:tcPr>
          <w:p w14:paraId="1334043C" w14:textId="77777777" w:rsidR="00376623" w:rsidRPr="00D7403C" w:rsidRDefault="00376623" w:rsidP="00DC55BD">
            <w:pPr>
              <w:widowControl w:val="0"/>
              <w:autoSpaceDE w:val="0"/>
              <w:autoSpaceDN w:val="0"/>
              <w:adjustRightInd w:val="0"/>
            </w:pPr>
            <w:r w:rsidRPr="00D7403C">
              <w:rPr>
                <w:lang w:val="en-US"/>
              </w:rPr>
              <w:t>Unemployed</w:t>
            </w:r>
          </w:p>
        </w:tc>
        <w:tc>
          <w:tcPr>
            <w:tcW w:w="1021" w:type="dxa"/>
          </w:tcPr>
          <w:p w14:paraId="4D933B00" w14:textId="77777777" w:rsidR="00376623" w:rsidRPr="00D7403C" w:rsidRDefault="00376623" w:rsidP="00DC55BD">
            <w:pPr>
              <w:widowControl w:val="0"/>
              <w:autoSpaceDE w:val="0"/>
              <w:autoSpaceDN w:val="0"/>
              <w:adjustRightInd w:val="0"/>
              <w:jc w:val="center"/>
            </w:pPr>
            <w:r w:rsidRPr="00D7403C">
              <w:rPr>
                <w:lang w:val="en-AU"/>
              </w:rPr>
              <w:t>-0.313</w:t>
            </w:r>
          </w:p>
        </w:tc>
        <w:tc>
          <w:tcPr>
            <w:tcW w:w="567" w:type="dxa"/>
          </w:tcPr>
          <w:p w14:paraId="244B5A99"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79DF7320" w14:textId="77777777" w:rsidR="00376623" w:rsidRPr="00D7403C" w:rsidRDefault="00376623" w:rsidP="00DC55BD">
            <w:pPr>
              <w:widowControl w:val="0"/>
              <w:autoSpaceDE w:val="0"/>
              <w:autoSpaceDN w:val="0"/>
              <w:adjustRightInd w:val="0"/>
              <w:jc w:val="center"/>
            </w:pPr>
            <w:r w:rsidRPr="00D7403C">
              <w:rPr>
                <w:lang w:val="en-AU"/>
              </w:rPr>
              <w:t>0.066</w:t>
            </w:r>
          </w:p>
        </w:tc>
        <w:tc>
          <w:tcPr>
            <w:tcW w:w="1134" w:type="dxa"/>
          </w:tcPr>
          <w:p w14:paraId="0C5080C6" w14:textId="77777777" w:rsidR="00376623" w:rsidRPr="00D7403C" w:rsidRDefault="00376623" w:rsidP="00DC55BD">
            <w:pPr>
              <w:widowControl w:val="0"/>
              <w:autoSpaceDE w:val="0"/>
              <w:autoSpaceDN w:val="0"/>
              <w:adjustRightInd w:val="0"/>
              <w:jc w:val="center"/>
            </w:pPr>
            <w:r w:rsidRPr="00D7403C">
              <w:rPr>
                <w:lang w:val="en-AU"/>
              </w:rPr>
              <w:t>-0.006</w:t>
            </w:r>
          </w:p>
        </w:tc>
        <w:tc>
          <w:tcPr>
            <w:tcW w:w="709" w:type="dxa"/>
          </w:tcPr>
          <w:p w14:paraId="0768E002" w14:textId="77777777" w:rsidR="00376623" w:rsidRPr="00D7403C" w:rsidRDefault="00376623" w:rsidP="00DC55BD">
            <w:pPr>
              <w:widowControl w:val="0"/>
              <w:autoSpaceDE w:val="0"/>
              <w:autoSpaceDN w:val="0"/>
              <w:adjustRightInd w:val="0"/>
              <w:jc w:val="center"/>
            </w:pPr>
          </w:p>
        </w:tc>
        <w:tc>
          <w:tcPr>
            <w:tcW w:w="992" w:type="dxa"/>
          </w:tcPr>
          <w:p w14:paraId="5D66696B" w14:textId="77777777" w:rsidR="00376623" w:rsidRPr="00D7403C" w:rsidRDefault="00376623" w:rsidP="00DC55BD">
            <w:pPr>
              <w:widowControl w:val="0"/>
              <w:autoSpaceDE w:val="0"/>
              <w:autoSpaceDN w:val="0"/>
              <w:adjustRightInd w:val="0"/>
              <w:jc w:val="center"/>
            </w:pPr>
            <w:r w:rsidRPr="00D7403C">
              <w:rPr>
                <w:lang w:val="en-AU"/>
              </w:rPr>
              <w:t>0.070</w:t>
            </w:r>
          </w:p>
        </w:tc>
      </w:tr>
      <w:tr w:rsidR="00376623" w:rsidRPr="00B03B04" w14:paraId="37531B48" w14:textId="77777777" w:rsidTr="00DC55BD">
        <w:tc>
          <w:tcPr>
            <w:tcW w:w="3227" w:type="dxa"/>
          </w:tcPr>
          <w:p w14:paraId="06DD5A42" w14:textId="77777777" w:rsidR="00376623" w:rsidRPr="00D7403C" w:rsidRDefault="00376623" w:rsidP="00DC55BD">
            <w:pPr>
              <w:widowControl w:val="0"/>
              <w:autoSpaceDE w:val="0"/>
              <w:autoSpaceDN w:val="0"/>
              <w:adjustRightInd w:val="0"/>
            </w:pPr>
            <w:r w:rsidRPr="00D7403C">
              <w:rPr>
                <w:lang w:val="en-US"/>
              </w:rPr>
              <w:t>Commute</w:t>
            </w:r>
          </w:p>
        </w:tc>
        <w:tc>
          <w:tcPr>
            <w:tcW w:w="1021" w:type="dxa"/>
          </w:tcPr>
          <w:p w14:paraId="74DC458E" w14:textId="77777777" w:rsidR="00376623" w:rsidRPr="00D7403C" w:rsidRDefault="00376623" w:rsidP="00DC55BD">
            <w:pPr>
              <w:widowControl w:val="0"/>
              <w:autoSpaceDE w:val="0"/>
              <w:autoSpaceDN w:val="0"/>
              <w:adjustRightInd w:val="0"/>
              <w:jc w:val="center"/>
            </w:pPr>
            <w:r w:rsidRPr="00D7403C">
              <w:rPr>
                <w:lang w:val="en-AU"/>
              </w:rPr>
              <w:t>0.000</w:t>
            </w:r>
          </w:p>
        </w:tc>
        <w:tc>
          <w:tcPr>
            <w:tcW w:w="567" w:type="dxa"/>
          </w:tcPr>
          <w:p w14:paraId="41653F8A" w14:textId="77777777" w:rsidR="00376623" w:rsidRPr="00D7403C" w:rsidRDefault="00376623" w:rsidP="00DC55BD">
            <w:pPr>
              <w:widowControl w:val="0"/>
              <w:autoSpaceDE w:val="0"/>
              <w:autoSpaceDN w:val="0"/>
              <w:adjustRightInd w:val="0"/>
              <w:jc w:val="center"/>
            </w:pPr>
          </w:p>
        </w:tc>
        <w:tc>
          <w:tcPr>
            <w:tcW w:w="850" w:type="dxa"/>
          </w:tcPr>
          <w:p w14:paraId="64435AC9" w14:textId="77777777" w:rsidR="00376623" w:rsidRPr="00D7403C" w:rsidRDefault="00376623" w:rsidP="00DC55BD">
            <w:pPr>
              <w:widowControl w:val="0"/>
              <w:autoSpaceDE w:val="0"/>
              <w:autoSpaceDN w:val="0"/>
              <w:adjustRightInd w:val="0"/>
              <w:jc w:val="center"/>
            </w:pPr>
            <w:r w:rsidRPr="00D7403C">
              <w:rPr>
                <w:lang w:val="en-AU"/>
              </w:rPr>
              <w:t>0.001</w:t>
            </w:r>
          </w:p>
        </w:tc>
        <w:tc>
          <w:tcPr>
            <w:tcW w:w="1134" w:type="dxa"/>
          </w:tcPr>
          <w:p w14:paraId="06FEC011" w14:textId="77777777" w:rsidR="00376623" w:rsidRPr="00D7403C" w:rsidRDefault="00376623" w:rsidP="00DC55BD">
            <w:pPr>
              <w:widowControl w:val="0"/>
              <w:autoSpaceDE w:val="0"/>
              <w:autoSpaceDN w:val="0"/>
              <w:adjustRightInd w:val="0"/>
              <w:jc w:val="center"/>
            </w:pPr>
            <w:r w:rsidRPr="00D7403C">
              <w:rPr>
                <w:lang w:val="en-AU"/>
              </w:rPr>
              <w:t>-0.002</w:t>
            </w:r>
          </w:p>
        </w:tc>
        <w:tc>
          <w:tcPr>
            <w:tcW w:w="709" w:type="dxa"/>
          </w:tcPr>
          <w:p w14:paraId="761B06FE" w14:textId="77777777" w:rsidR="00376623" w:rsidRPr="00D7403C" w:rsidRDefault="00376623" w:rsidP="00DC55BD">
            <w:pPr>
              <w:widowControl w:val="0"/>
              <w:autoSpaceDE w:val="0"/>
              <w:autoSpaceDN w:val="0"/>
              <w:adjustRightInd w:val="0"/>
              <w:jc w:val="center"/>
            </w:pPr>
            <w:r w:rsidRPr="00D7403C">
              <w:rPr>
                <w:lang w:val="en-AU"/>
              </w:rPr>
              <w:t>**</w:t>
            </w:r>
          </w:p>
        </w:tc>
        <w:tc>
          <w:tcPr>
            <w:tcW w:w="992" w:type="dxa"/>
          </w:tcPr>
          <w:p w14:paraId="05E82EAB" w14:textId="77777777" w:rsidR="00376623" w:rsidRPr="00D7403C" w:rsidRDefault="00376623" w:rsidP="00DC55BD">
            <w:pPr>
              <w:widowControl w:val="0"/>
              <w:autoSpaceDE w:val="0"/>
              <w:autoSpaceDN w:val="0"/>
              <w:adjustRightInd w:val="0"/>
              <w:jc w:val="center"/>
            </w:pPr>
            <w:r w:rsidRPr="00D7403C">
              <w:rPr>
                <w:lang w:val="en-AU"/>
              </w:rPr>
              <w:t>0.001</w:t>
            </w:r>
          </w:p>
        </w:tc>
      </w:tr>
      <w:tr w:rsidR="00376623" w:rsidRPr="00B03B04" w14:paraId="1C31BDF0" w14:textId="77777777" w:rsidTr="00DC55BD">
        <w:tc>
          <w:tcPr>
            <w:tcW w:w="3227" w:type="dxa"/>
          </w:tcPr>
          <w:p w14:paraId="0A4A65BD" w14:textId="77777777" w:rsidR="00376623" w:rsidRPr="00D7403C" w:rsidRDefault="00376623" w:rsidP="00DC55BD">
            <w:pPr>
              <w:widowControl w:val="0"/>
              <w:autoSpaceDE w:val="0"/>
              <w:autoSpaceDN w:val="0"/>
              <w:adjustRightInd w:val="0"/>
              <w:rPr>
                <w:lang w:val="en-US"/>
              </w:rPr>
            </w:pPr>
          </w:p>
        </w:tc>
        <w:tc>
          <w:tcPr>
            <w:tcW w:w="1021" w:type="dxa"/>
          </w:tcPr>
          <w:p w14:paraId="632DA933" w14:textId="77777777" w:rsidR="00376623" w:rsidRPr="00D7403C" w:rsidRDefault="00376623" w:rsidP="00DC55BD">
            <w:pPr>
              <w:widowControl w:val="0"/>
              <w:autoSpaceDE w:val="0"/>
              <w:autoSpaceDN w:val="0"/>
              <w:adjustRightInd w:val="0"/>
              <w:jc w:val="center"/>
            </w:pPr>
          </w:p>
        </w:tc>
        <w:tc>
          <w:tcPr>
            <w:tcW w:w="567" w:type="dxa"/>
          </w:tcPr>
          <w:p w14:paraId="69C0E370" w14:textId="77777777" w:rsidR="00376623" w:rsidRPr="00D7403C" w:rsidRDefault="00376623" w:rsidP="00DC55BD">
            <w:pPr>
              <w:widowControl w:val="0"/>
              <w:autoSpaceDE w:val="0"/>
              <w:autoSpaceDN w:val="0"/>
              <w:adjustRightInd w:val="0"/>
              <w:jc w:val="center"/>
            </w:pPr>
          </w:p>
        </w:tc>
        <w:tc>
          <w:tcPr>
            <w:tcW w:w="850" w:type="dxa"/>
          </w:tcPr>
          <w:p w14:paraId="27E23EB1" w14:textId="77777777" w:rsidR="00376623" w:rsidRPr="00D7403C" w:rsidRDefault="00376623" w:rsidP="00DC55BD">
            <w:pPr>
              <w:widowControl w:val="0"/>
              <w:autoSpaceDE w:val="0"/>
              <w:autoSpaceDN w:val="0"/>
              <w:adjustRightInd w:val="0"/>
              <w:jc w:val="center"/>
            </w:pPr>
          </w:p>
        </w:tc>
        <w:tc>
          <w:tcPr>
            <w:tcW w:w="1134" w:type="dxa"/>
          </w:tcPr>
          <w:p w14:paraId="2D8BE192" w14:textId="77777777" w:rsidR="00376623" w:rsidRPr="00D7403C" w:rsidRDefault="00376623" w:rsidP="00DC55BD">
            <w:pPr>
              <w:widowControl w:val="0"/>
              <w:autoSpaceDE w:val="0"/>
              <w:autoSpaceDN w:val="0"/>
              <w:adjustRightInd w:val="0"/>
              <w:jc w:val="center"/>
            </w:pPr>
          </w:p>
        </w:tc>
        <w:tc>
          <w:tcPr>
            <w:tcW w:w="709" w:type="dxa"/>
          </w:tcPr>
          <w:p w14:paraId="6A596CA3" w14:textId="77777777" w:rsidR="00376623" w:rsidRPr="00D7403C" w:rsidRDefault="00376623" w:rsidP="00DC55BD">
            <w:pPr>
              <w:widowControl w:val="0"/>
              <w:autoSpaceDE w:val="0"/>
              <w:autoSpaceDN w:val="0"/>
              <w:adjustRightInd w:val="0"/>
              <w:jc w:val="center"/>
            </w:pPr>
          </w:p>
        </w:tc>
        <w:tc>
          <w:tcPr>
            <w:tcW w:w="992" w:type="dxa"/>
          </w:tcPr>
          <w:p w14:paraId="03A997D0" w14:textId="77777777" w:rsidR="00376623" w:rsidRPr="00D7403C" w:rsidRDefault="00376623" w:rsidP="00DC55BD">
            <w:pPr>
              <w:widowControl w:val="0"/>
              <w:autoSpaceDE w:val="0"/>
              <w:autoSpaceDN w:val="0"/>
              <w:adjustRightInd w:val="0"/>
              <w:jc w:val="center"/>
            </w:pPr>
          </w:p>
        </w:tc>
      </w:tr>
      <w:tr w:rsidR="00376623" w:rsidRPr="00B03B04" w14:paraId="74A1E233" w14:textId="77777777" w:rsidTr="00DC55BD">
        <w:tc>
          <w:tcPr>
            <w:tcW w:w="3227" w:type="dxa"/>
          </w:tcPr>
          <w:p w14:paraId="3B505C95" w14:textId="77777777" w:rsidR="00376623" w:rsidRPr="00D7403C" w:rsidRDefault="00376623" w:rsidP="00DC55BD">
            <w:pPr>
              <w:widowControl w:val="0"/>
              <w:autoSpaceDE w:val="0"/>
              <w:autoSpaceDN w:val="0"/>
              <w:adjustRightInd w:val="0"/>
            </w:pPr>
            <w:r w:rsidRPr="00D7403C">
              <w:rPr>
                <w:b/>
                <w:i/>
                <w:lang w:val="en-US"/>
              </w:rPr>
              <w:t>Highest education</w:t>
            </w:r>
          </w:p>
        </w:tc>
        <w:tc>
          <w:tcPr>
            <w:tcW w:w="1021" w:type="dxa"/>
          </w:tcPr>
          <w:p w14:paraId="14FC830B" w14:textId="77777777" w:rsidR="00376623" w:rsidRPr="00D7403C" w:rsidRDefault="00376623" w:rsidP="00DC55BD">
            <w:pPr>
              <w:widowControl w:val="0"/>
              <w:autoSpaceDE w:val="0"/>
              <w:autoSpaceDN w:val="0"/>
              <w:adjustRightInd w:val="0"/>
              <w:jc w:val="center"/>
            </w:pPr>
          </w:p>
        </w:tc>
        <w:tc>
          <w:tcPr>
            <w:tcW w:w="567" w:type="dxa"/>
          </w:tcPr>
          <w:p w14:paraId="363BF857" w14:textId="77777777" w:rsidR="00376623" w:rsidRPr="00D7403C" w:rsidRDefault="00376623" w:rsidP="00DC55BD">
            <w:pPr>
              <w:widowControl w:val="0"/>
              <w:autoSpaceDE w:val="0"/>
              <w:autoSpaceDN w:val="0"/>
              <w:adjustRightInd w:val="0"/>
              <w:jc w:val="center"/>
            </w:pPr>
          </w:p>
        </w:tc>
        <w:tc>
          <w:tcPr>
            <w:tcW w:w="850" w:type="dxa"/>
          </w:tcPr>
          <w:p w14:paraId="35B2F60D" w14:textId="77777777" w:rsidR="00376623" w:rsidRPr="00D7403C" w:rsidRDefault="00376623" w:rsidP="00DC55BD">
            <w:pPr>
              <w:widowControl w:val="0"/>
              <w:autoSpaceDE w:val="0"/>
              <w:autoSpaceDN w:val="0"/>
              <w:adjustRightInd w:val="0"/>
              <w:jc w:val="center"/>
            </w:pPr>
          </w:p>
        </w:tc>
        <w:tc>
          <w:tcPr>
            <w:tcW w:w="1134" w:type="dxa"/>
          </w:tcPr>
          <w:p w14:paraId="2D961F66" w14:textId="77777777" w:rsidR="00376623" w:rsidRPr="00D7403C" w:rsidRDefault="00376623" w:rsidP="00DC55BD">
            <w:pPr>
              <w:widowControl w:val="0"/>
              <w:autoSpaceDE w:val="0"/>
              <w:autoSpaceDN w:val="0"/>
              <w:adjustRightInd w:val="0"/>
              <w:jc w:val="center"/>
            </w:pPr>
          </w:p>
        </w:tc>
        <w:tc>
          <w:tcPr>
            <w:tcW w:w="709" w:type="dxa"/>
          </w:tcPr>
          <w:p w14:paraId="733F5B40" w14:textId="77777777" w:rsidR="00376623" w:rsidRPr="00D7403C" w:rsidRDefault="00376623" w:rsidP="00DC55BD">
            <w:pPr>
              <w:widowControl w:val="0"/>
              <w:autoSpaceDE w:val="0"/>
              <w:autoSpaceDN w:val="0"/>
              <w:adjustRightInd w:val="0"/>
              <w:jc w:val="center"/>
            </w:pPr>
          </w:p>
        </w:tc>
        <w:tc>
          <w:tcPr>
            <w:tcW w:w="992" w:type="dxa"/>
          </w:tcPr>
          <w:p w14:paraId="609CA63A" w14:textId="77777777" w:rsidR="00376623" w:rsidRPr="00D7403C" w:rsidRDefault="00376623" w:rsidP="00DC55BD">
            <w:pPr>
              <w:widowControl w:val="0"/>
              <w:autoSpaceDE w:val="0"/>
              <w:autoSpaceDN w:val="0"/>
              <w:adjustRightInd w:val="0"/>
              <w:jc w:val="center"/>
            </w:pPr>
          </w:p>
        </w:tc>
      </w:tr>
      <w:tr w:rsidR="00376623" w:rsidRPr="00B03B04" w14:paraId="7519E170" w14:textId="77777777" w:rsidTr="00DC55BD">
        <w:tc>
          <w:tcPr>
            <w:tcW w:w="3227" w:type="dxa"/>
          </w:tcPr>
          <w:p w14:paraId="016FA449" w14:textId="77777777" w:rsidR="00376623" w:rsidRPr="00D7403C" w:rsidRDefault="00376623" w:rsidP="00DC55BD">
            <w:pPr>
              <w:widowControl w:val="0"/>
              <w:autoSpaceDE w:val="0"/>
              <w:autoSpaceDN w:val="0"/>
              <w:adjustRightInd w:val="0"/>
            </w:pPr>
            <w:r w:rsidRPr="00D7403C">
              <w:rPr>
                <w:lang w:val="en-US"/>
              </w:rPr>
              <w:t>Graduate diploma</w:t>
            </w:r>
          </w:p>
        </w:tc>
        <w:tc>
          <w:tcPr>
            <w:tcW w:w="1021" w:type="dxa"/>
          </w:tcPr>
          <w:p w14:paraId="32FE2B69" w14:textId="77777777" w:rsidR="00376623" w:rsidRPr="00D7403C" w:rsidRDefault="00376623" w:rsidP="00DC55BD">
            <w:pPr>
              <w:widowControl w:val="0"/>
              <w:autoSpaceDE w:val="0"/>
              <w:autoSpaceDN w:val="0"/>
              <w:adjustRightInd w:val="0"/>
              <w:jc w:val="center"/>
            </w:pPr>
            <w:r w:rsidRPr="00D7403C">
              <w:rPr>
                <w:lang w:val="en-AU"/>
              </w:rPr>
              <w:t>-0.048</w:t>
            </w:r>
          </w:p>
        </w:tc>
        <w:tc>
          <w:tcPr>
            <w:tcW w:w="567" w:type="dxa"/>
          </w:tcPr>
          <w:p w14:paraId="5BD41909" w14:textId="77777777" w:rsidR="00376623" w:rsidRPr="00D7403C" w:rsidRDefault="00376623" w:rsidP="00DC55BD">
            <w:pPr>
              <w:widowControl w:val="0"/>
              <w:autoSpaceDE w:val="0"/>
              <w:autoSpaceDN w:val="0"/>
              <w:adjustRightInd w:val="0"/>
              <w:jc w:val="center"/>
            </w:pPr>
          </w:p>
        </w:tc>
        <w:tc>
          <w:tcPr>
            <w:tcW w:w="850" w:type="dxa"/>
          </w:tcPr>
          <w:p w14:paraId="72D154F5" w14:textId="77777777" w:rsidR="00376623" w:rsidRPr="00D7403C" w:rsidRDefault="00376623" w:rsidP="00DC55BD">
            <w:pPr>
              <w:widowControl w:val="0"/>
              <w:autoSpaceDE w:val="0"/>
              <w:autoSpaceDN w:val="0"/>
              <w:adjustRightInd w:val="0"/>
              <w:jc w:val="center"/>
            </w:pPr>
            <w:r w:rsidRPr="00D7403C">
              <w:rPr>
                <w:lang w:val="en-AU"/>
              </w:rPr>
              <w:t>0.076</w:t>
            </w:r>
          </w:p>
        </w:tc>
        <w:tc>
          <w:tcPr>
            <w:tcW w:w="1134" w:type="dxa"/>
          </w:tcPr>
          <w:p w14:paraId="63B525B3" w14:textId="77777777" w:rsidR="00376623" w:rsidRPr="00D7403C" w:rsidRDefault="00376623" w:rsidP="00DC55BD">
            <w:pPr>
              <w:widowControl w:val="0"/>
              <w:autoSpaceDE w:val="0"/>
              <w:autoSpaceDN w:val="0"/>
              <w:adjustRightInd w:val="0"/>
              <w:jc w:val="center"/>
            </w:pPr>
            <w:r w:rsidRPr="00D7403C">
              <w:rPr>
                <w:lang w:val="en-AU"/>
              </w:rPr>
              <w:t>0.125</w:t>
            </w:r>
          </w:p>
        </w:tc>
        <w:tc>
          <w:tcPr>
            <w:tcW w:w="709" w:type="dxa"/>
          </w:tcPr>
          <w:p w14:paraId="3774370B" w14:textId="77777777" w:rsidR="00376623" w:rsidRPr="00D7403C" w:rsidRDefault="00376623" w:rsidP="00DC55BD">
            <w:pPr>
              <w:widowControl w:val="0"/>
              <w:autoSpaceDE w:val="0"/>
              <w:autoSpaceDN w:val="0"/>
              <w:adjustRightInd w:val="0"/>
              <w:jc w:val="center"/>
            </w:pPr>
          </w:p>
        </w:tc>
        <w:tc>
          <w:tcPr>
            <w:tcW w:w="992" w:type="dxa"/>
          </w:tcPr>
          <w:p w14:paraId="007073DF" w14:textId="77777777" w:rsidR="00376623" w:rsidRPr="00D7403C" w:rsidRDefault="00376623" w:rsidP="00DC55BD">
            <w:pPr>
              <w:widowControl w:val="0"/>
              <w:autoSpaceDE w:val="0"/>
              <w:autoSpaceDN w:val="0"/>
              <w:adjustRightInd w:val="0"/>
              <w:jc w:val="center"/>
            </w:pPr>
            <w:r w:rsidRPr="00D7403C">
              <w:rPr>
                <w:lang w:val="en-AU"/>
              </w:rPr>
              <w:t>0.070</w:t>
            </w:r>
          </w:p>
        </w:tc>
      </w:tr>
      <w:tr w:rsidR="00376623" w:rsidRPr="00B03B04" w14:paraId="07B3F1A7" w14:textId="77777777" w:rsidTr="00DC55BD">
        <w:tc>
          <w:tcPr>
            <w:tcW w:w="3227" w:type="dxa"/>
          </w:tcPr>
          <w:p w14:paraId="7CEA8510" w14:textId="77777777" w:rsidR="00376623" w:rsidRPr="00D7403C" w:rsidRDefault="00376623" w:rsidP="00DC55BD">
            <w:pPr>
              <w:widowControl w:val="0"/>
              <w:autoSpaceDE w:val="0"/>
              <w:autoSpaceDN w:val="0"/>
              <w:adjustRightInd w:val="0"/>
            </w:pPr>
            <w:r w:rsidRPr="00D7403C">
              <w:rPr>
                <w:lang w:val="en-US"/>
              </w:rPr>
              <w:t>Bachelor</w:t>
            </w:r>
          </w:p>
        </w:tc>
        <w:tc>
          <w:tcPr>
            <w:tcW w:w="1021" w:type="dxa"/>
          </w:tcPr>
          <w:p w14:paraId="4BFFBA76" w14:textId="77777777" w:rsidR="00376623" w:rsidRPr="00D7403C" w:rsidRDefault="00376623" w:rsidP="00DC55BD">
            <w:pPr>
              <w:widowControl w:val="0"/>
              <w:autoSpaceDE w:val="0"/>
              <w:autoSpaceDN w:val="0"/>
              <w:adjustRightInd w:val="0"/>
              <w:jc w:val="center"/>
            </w:pPr>
            <w:r w:rsidRPr="00D7403C">
              <w:rPr>
                <w:lang w:val="en-AU"/>
              </w:rPr>
              <w:t>-0.034</w:t>
            </w:r>
          </w:p>
        </w:tc>
        <w:tc>
          <w:tcPr>
            <w:tcW w:w="567" w:type="dxa"/>
          </w:tcPr>
          <w:p w14:paraId="2CA12041" w14:textId="77777777" w:rsidR="00376623" w:rsidRPr="00D7403C" w:rsidRDefault="00376623" w:rsidP="00DC55BD">
            <w:pPr>
              <w:widowControl w:val="0"/>
              <w:autoSpaceDE w:val="0"/>
              <w:autoSpaceDN w:val="0"/>
              <w:adjustRightInd w:val="0"/>
              <w:jc w:val="center"/>
            </w:pPr>
          </w:p>
        </w:tc>
        <w:tc>
          <w:tcPr>
            <w:tcW w:w="850" w:type="dxa"/>
          </w:tcPr>
          <w:p w14:paraId="3C5F19DB" w14:textId="77777777" w:rsidR="00376623" w:rsidRPr="00D7403C" w:rsidRDefault="00376623" w:rsidP="00DC55BD">
            <w:pPr>
              <w:widowControl w:val="0"/>
              <w:autoSpaceDE w:val="0"/>
              <w:autoSpaceDN w:val="0"/>
              <w:adjustRightInd w:val="0"/>
              <w:jc w:val="center"/>
            </w:pPr>
            <w:r w:rsidRPr="00D7403C">
              <w:rPr>
                <w:lang w:val="en-AU"/>
              </w:rPr>
              <w:t>0.063</w:t>
            </w:r>
          </w:p>
        </w:tc>
        <w:tc>
          <w:tcPr>
            <w:tcW w:w="1134" w:type="dxa"/>
          </w:tcPr>
          <w:p w14:paraId="276FC1E6" w14:textId="77777777" w:rsidR="00376623" w:rsidRPr="00D7403C" w:rsidRDefault="00376623" w:rsidP="00DC55BD">
            <w:pPr>
              <w:widowControl w:val="0"/>
              <w:autoSpaceDE w:val="0"/>
              <w:autoSpaceDN w:val="0"/>
              <w:adjustRightInd w:val="0"/>
              <w:jc w:val="center"/>
            </w:pPr>
            <w:r w:rsidRPr="00D7403C">
              <w:rPr>
                <w:lang w:val="en-AU"/>
              </w:rPr>
              <w:t>0.039</w:t>
            </w:r>
          </w:p>
        </w:tc>
        <w:tc>
          <w:tcPr>
            <w:tcW w:w="709" w:type="dxa"/>
          </w:tcPr>
          <w:p w14:paraId="056E5825" w14:textId="77777777" w:rsidR="00376623" w:rsidRPr="00D7403C" w:rsidRDefault="00376623" w:rsidP="00DC55BD">
            <w:pPr>
              <w:widowControl w:val="0"/>
              <w:autoSpaceDE w:val="0"/>
              <w:autoSpaceDN w:val="0"/>
              <w:adjustRightInd w:val="0"/>
              <w:jc w:val="center"/>
            </w:pPr>
          </w:p>
        </w:tc>
        <w:tc>
          <w:tcPr>
            <w:tcW w:w="992" w:type="dxa"/>
          </w:tcPr>
          <w:p w14:paraId="753830C5" w14:textId="77777777" w:rsidR="00376623" w:rsidRPr="00D7403C" w:rsidRDefault="00376623" w:rsidP="00DC55BD">
            <w:pPr>
              <w:widowControl w:val="0"/>
              <w:autoSpaceDE w:val="0"/>
              <w:autoSpaceDN w:val="0"/>
              <w:adjustRightInd w:val="0"/>
              <w:jc w:val="center"/>
            </w:pPr>
            <w:r w:rsidRPr="00D7403C">
              <w:rPr>
                <w:lang w:val="en-AU"/>
              </w:rPr>
              <w:t>0.060</w:t>
            </w:r>
          </w:p>
        </w:tc>
      </w:tr>
      <w:tr w:rsidR="00376623" w:rsidRPr="00B03B04" w14:paraId="1C649855" w14:textId="77777777" w:rsidTr="00DC55BD">
        <w:tc>
          <w:tcPr>
            <w:tcW w:w="3227" w:type="dxa"/>
          </w:tcPr>
          <w:p w14:paraId="1D4A3F5B" w14:textId="77777777" w:rsidR="00376623" w:rsidRPr="00D7403C" w:rsidRDefault="00376623" w:rsidP="00DC55BD">
            <w:pPr>
              <w:widowControl w:val="0"/>
              <w:autoSpaceDE w:val="0"/>
              <w:autoSpaceDN w:val="0"/>
              <w:adjustRightInd w:val="0"/>
            </w:pPr>
            <w:r w:rsidRPr="00D7403C">
              <w:rPr>
                <w:lang w:val="en-US"/>
              </w:rPr>
              <w:t>Diploma</w:t>
            </w:r>
          </w:p>
        </w:tc>
        <w:tc>
          <w:tcPr>
            <w:tcW w:w="1021" w:type="dxa"/>
          </w:tcPr>
          <w:p w14:paraId="446D3590" w14:textId="77777777" w:rsidR="00376623" w:rsidRPr="00D7403C" w:rsidRDefault="00376623" w:rsidP="00DC55BD">
            <w:pPr>
              <w:widowControl w:val="0"/>
              <w:autoSpaceDE w:val="0"/>
              <w:autoSpaceDN w:val="0"/>
              <w:adjustRightInd w:val="0"/>
              <w:jc w:val="center"/>
            </w:pPr>
            <w:r w:rsidRPr="00D7403C">
              <w:rPr>
                <w:lang w:val="en-AU"/>
              </w:rPr>
              <w:t>-0.402</w:t>
            </w:r>
          </w:p>
        </w:tc>
        <w:tc>
          <w:tcPr>
            <w:tcW w:w="567" w:type="dxa"/>
          </w:tcPr>
          <w:p w14:paraId="2CACB54C"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78B3F23B" w14:textId="77777777" w:rsidR="00376623" w:rsidRPr="00D7403C" w:rsidRDefault="00376623" w:rsidP="00DC55BD">
            <w:pPr>
              <w:widowControl w:val="0"/>
              <w:autoSpaceDE w:val="0"/>
              <w:autoSpaceDN w:val="0"/>
              <w:adjustRightInd w:val="0"/>
              <w:jc w:val="center"/>
            </w:pPr>
            <w:r w:rsidRPr="00D7403C">
              <w:rPr>
                <w:lang w:val="en-AU"/>
              </w:rPr>
              <w:t>0.068</w:t>
            </w:r>
          </w:p>
        </w:tc>
        <w:tc>
          <w:tcPr>
            <w:tcW w:w="1134" w:type="dxa"/>
          </w:tcPr>
          <w:p w14:paraId="2A60C888" w14:textId="77777777" w:rsidR="00376623" w:rsidRPr="00D7403C" w:rsidRDefault="00376623" w:rsidP="00DC55BD">
            <w:pPr>
              <w:widowControl w:val="0"/>
              <w:autoSpaceDE w:val="0"/>
              <w:autoSpaceDN w:val="0"/>
              <w:adjustRightInd w:val="0"/>
              <w:jc w:val="center"/>
            </w:pPr>
            <w:r w:rsidRPr="00D7403C">
              <w:rPr>
                <w:lang w:val="en-AU"/>
              </w:rPr>
              <w:t>-0.002</w:t>
            </w:r>
          </w:p>
        </w:tc>
        <w:tc>
          <w:tcPr>
            <w:tcW w:w="709" w:type="dxa"/>
          </w:tcPr>
          <w:p w14:paraId="5DF9D010" w14:textId="77777777" w:rsidR="00376623" w:rsidRPr="00D7403C" w:rsidRDefault="00376623" w:rsidP="00DC55BD">
            <w:pPr>
              <w:widowControl w:val="0"/>
              <w:autoSpaceDE w:val="0"/>
              <w:autoSpaceDN w:val="0"/>
              <w:adjustRightInd w:val="0"/>
              <w:jc w:val="center"/>
            </w:pPr>
          </w:p>
        </w:tc>
        <w:tc>
          <w:tcPr>
            <w:tcW w:w="992" w:type="dxa"/>
          </w:tcPr>
          <w:p w14:paraId="53AFDAAA" w14:textId="77777777" w:rsidR="00376623" w:rsidRPr="00D7403C" w:rsidRDefault="00376623" w:rsidP="00DC55BD">
            <w:pPr>
              <w:widowControl w:val="0"/>
              <w:autoSpaceDE w:val="0"/>
              <w:autoSpaceDN w:val="0"/>
              <w:adjustRightInd w:val="0"/>
              <w:jc w:val="center"/>
            </w:pPr>
            <w:r w:rsidRPr="00D7403C">
              <w:rPr>
                <w:lang w:val="en-AU"/>
              </w:rPr>
              <w:t>0.066</w:t>
            </w:r>
          </w:p>
        </w:tc>
      </w:tr>
      <w:tr w:rsidR="00376623" w:rsidRPr="00B03B04" w14:paraId="61319B4E" w14:textId="77777777" w:rsidTr="00DC55BD">
        <w:tc>
          <w:tcPr>
            <w:tcW w:w="3227" w:type="dxa"/>
          </w:tcPr>
          <w:p w14:paraId="5A34AFEC" w14:textId="77777777" w:rsidR="00376623" w:rsidRPr="00D7403C" w:rsidRDefault="00376623" w:rsidP="00DC55BD">
            <w:pPr>
              <w:widowControl w:val="0"/>
              <w:autoSpaceDE w:val="0"/>
              <w:autoSpaceDN w:val="0"/>
              <w:adjustRightInd w:val="0"/>
            </w:pPr>
            <w:r w:rsidRPr="00D7403C">
              <w:rPr>
                <w:lang w:val="en-US"/>
              </w:rPr>
              <w:t>Certificate</w:t>
            </w:r>
          </w:p>
        </w:tc>
        <w:tc>
          <w:tcPr>
            <w:tcW w:w="1021" w:type="dxa"/>
          </w:tcPr>
          <w:p w14:paraId="324DCFAB" w14:textId="77777777" w:rsidR="00376623" w:rsidRPr="00D7403C" w:rsidRDefault="00376623" w:rsidP="00DC55BD">
            <w:pPr>
              <w:widowControl w:val="0"/>
              <w:autoSpaceDE w:val="0"/>
              <w:autoSpaceDN w:val="0"/>
              <w:adjustRightInd w:val="0"/>
              <w:jc w:val="center"/>
            </w:pPr>
            <w:r w:rsidRPr="00D7403C">
              <w:rPr>
                <w:lang w:val="en-AU"/>
              </w:rPr>
              <w:t>-0.508</w:t>
            </w:r>
          </w:p>
        </w:tc>
        <w:tc>
          <w:tcPr>
            <w:tcW w:w="567" w:type="dxa"/>
          </w:tcPr>
          <w:p w14:paraId="6E24B247"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10D841DC" w14:textId="77777777" w:rsidR="00376623" w:rsidRPr="00D7403C" w:rsidRDefault="00376623" w:rsidP="00DC55BD">
            <w:pPr>
              <w:widowControl w:val="0"/>
              <w:autoSpaceDE w:val="0"/>
              <w:autoSpaceDN w:val="0"/>
              <w:adjustRightInd w:val="0"/>
              <w:jc w:val="center"/>
            </w:pPr>
            <w:r w:rsidRPr="00D7403C">
              <w:rPr>
                <w:lang w:val="en-AU"/>
              </w:rPr>
              <w:t>0.063</w:t>
            </w:r>
          </w:p>
        </w:tc>
        <w:tc>
          <w:tcPr>
            <w:tcW w:w="1134" w:type="dxa"/>
          </w:tcPr>
          <w:p w14:paraId="53635655" w14:textId="77777777" w:rsidR="00376623" w:rsidRPr="00D7403C" w:rsidRDefault="00376623" w:rsidP="00DC55BD">
            <w:pPr>
              <w:widowControl w:val="0"/>
              <w:autoSpaceDE w:val="0"/>
              <w:autoSpaceDN w:val="0"/>
              <w:adjustRightInd w:val="0"/>
              <w:jc w:val="center"/>
            </w:pPr>
            <w:r w:rsidRPr="00D7403C">
              <w:rPr>
                <w:lang w:val="en-AU"/>
              </w:rPr>
              <w:t>-0.150</w:t>
            </w:r>
          </w:p>
        </w:tc>
        <w:tc>
          <w:tcPr>
            <w:tcW w:w="709" w:type="dxa"/>
          </w:tcPr>
          <w:p w14:paraId="24F3EAAD" w14:textId="77777777" w:rsidR="00376623" w:rsidRPr="00D7403C" w:rsidRDefault="00376623" w:rsidP="00DC55BD">
            <w:pPr>
              <w:widowControl w:val="0"/>
              <w:autoSpaceDE w:val="0"/>
              <w:autoSpaceDN w:val="0"/>
              <w:adjustRightInd w:val="0"/>
              <w:jc w:val="center"/>
            </w:pPr>
            <w:r w:rsidRPr="00D7403C">
              <w:rPr>
                <w:lang w:val="en-AU"/>
              </w:rPr>
              <w:t>**</w:t>
            </w:r>
          </w:p>
        </w:tc>
        <w:tc>
          <w:tcPr>
            <w:tcW w:w="992" w:type="dxa"/>
          </w:tcPr>
          <w:p w14:paraId="3C7EA2A0" w14:textId="77777777" w:rsidR="00376623" w:rsidRPr="00D7403C" w:rsidRDefault="00376623" w:rsidP="00DC55BD">
            <w:pPr>
              <w:widowControl w:val="0"/>
              <w:autoSpaceDE w:val="0"/>
              <w:autoSpaceDN w:val="0"/>
              <w:adjustRightInd w:val="0"/>
              <w:jc w:val="center"/>
            </w:pPr>
            <w:r w:rsidRPr="00D7403C">
              <w:rPr>
                <w:lang w:val="en-AU"/>
              </w:rPr>
              <w:t>0.060</w:t>
            </w:r>
          </w:p>
        </w:tc>
      </w:tr>
      <w:tr w:rsidR="00376623" w:rsidRPr="00B03B04" w14:paraId="2A95111B" w14:textId="77777777" w:rsidTr="00DC55BD">
        <w:tc>
          <w:tcPr>
            <w:tcW w:w="3227" w:type="dxa"/>
          </w:tcPr>
          <w:p w14:paraId="471FEE9B" w14:textId="77777777" w:rsidR="00376623" w:rsidRPr="00D7403C" w:rsidRDefault="00376623" w:rsidP="00DC55BD">
            <w:pPr>
              <w:widowControl w:val="0"/>
              <w:autoSpaceDE w:val="0"/>
              <w:autoSpaceDN w:val="0"/>
              <w:adjustRightInd w:val="0"/>
            </w:pPr>
            <w:r w:rsidRPr="00D7403C">
              <w:rPr>
                <w:lang w:val="en-US"/>
              </w:rPr>
              <w:t>Year 12</w:t>
            </w:r>
          </w:p>
        </w:tc>
        <w:tc>
          <w:tcPr>
            <w:tcW w:w="1021" w:type="dxa"/>
          </w:tcPr>
          <w:p w14:paraId="2F118009" w14:textId="77777777" w:rsidR="00376623" w:rsidRPr="00D7403C" w:rsidRDefault="00376623" w:rsidP="00DC55BD">
            <w:pPr>
              <w:widowControl w:val="0"/>
              <w:autoSpaceDE w:val="0"/>
              <w:autoSpaceDN w:val="0"/>
              <w:adjustRightInd w:val="0"/>
              <w:jc w:val="center"/>
            </w:pPr>
            <w:r w:rsidRPr="00D7403C">
              <w:rPr>
                <w:lang w:val="en-AU"/>
              </w:rPr>
              <w:t>-0.354</w:t>
            </w:r>
          </w:p>
        </w:tc>
        <w:tc>
          <w:tcPr>
            <w:tcW w:w="567" w:type="dxa"/>
          </w:tcPr>
          <w:p w14:paraId="4D6996EF"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66D03B78" w14:textId="77777777" w:rsidR="00376623" w:rsidRPr="00D7403C" w:rsidRDefault="00376623" w:rsidP="00DC55BD">
            <w:pPr>
              <w:widowControl w:val="0"/>
              <w:autoSpaceDE w:val="0"/>
              <w:autoSpaceDN w:val="0"/>
              <w:adjustRightInd w:val="0"/>
              <w:jc w:val="center"/>
            </w:pPr>
            <w:r w:rsidRPr="00D7403C">
              <w:rPr>
                <w:lang w:val="en-AU"/>
              </w:rPr>
              <w:t>0.064</w:t>
            </w:r>
          </w:p>
        </w:tc>
        <w:tc>
          <w:tcPr>
            <w:tcW w:w="1134" w:type="dxa"/>
          </w:tcPr>
          <w:p w14:paraId="5D8652F8" w14:textId="77777777" w:rsidR="00376623" w:rsidRPr="00D7403C" w:rsidRDefault="00376623" w:rsidP="00DC55BD">
            <w:pPr>
              <w:widowControl w:val="0"/>
              <w:autoSpaceDE w:val="0"/>
              <w:autoSpaceDN w:val="0"/>
              <w:adjustRightInd w:val="0"/>
              <w:jc w:val="center"/>
            </w:pPr>
            <w:r w:rsidRPr="00D7403C">
              <w:rPr>
                <w:lang w:val="en-AU"/>
              </w:rPr>
              <w:t>-0.082</w:t>
            </w:r>
          </w:p>
        </w:tc>
        <w:tc>
          <w:tcPr>
            <w:tcW w:w="709" w:type="dxa"/>
          </w:tcPr>
          <w:p w14:paraId="0529CEE9" w14:textId="77777777" w:rsidR="00376623" w:rsidRPr="00D7403C" w:rsidRDefault="00376623" w:rsidP="00DC55BD">
            <w:pPr>
              <w:widowControl w:val="0"/>
              <w:autoSpaceDE w:val="0"/>
              <w:autoSpaceDN w:val="0"/>
              <w:adjustRightInd w:val="0"/>
              <w:jc w:val="center"/>
            </w:pPr>
          </w:p>
        </w:tc>
        <w:tc>
          <w:tcPr>
            <w:tcW w:w="992" w:type="dxa"/>
          </w:tcPr>
          <w:p w14:paraId="2FF379D1" w14:textId="77777777" w:rsidR="00376623" w:rsidRPr="00D7403C" w:rsidRDefault="00376623" w:rsidP="00DC55BD">
            <w:pPr>
              <w:widowControl w:val="0"/>
              <w:autoSpaceDE w:val="0"/>
              <w:autoSpaceDN w:val="0"/>
              <w:adjustRightInd w:val="0"/>
              <w:jc w:val="center"/>
            </w:pPr>
            <w:r w:rsidRPr="00D7403C">
              <w:rPr>
                <w:lang w:val="en-AU"/>
              </w:rPr>
              <w:t>0.062</w:t>
            </w:r>
          </w:p>
        </w:tc>
      </w:tr>
      <w:tr w:rsidR="00376623" w:rsidRPr="00B03B04" w14:paraId="45C623F2" w14:textId="77777777" w:rsidTr="00DC55BD">
        <w:tc>
          <w:tcPr>
            <w:tcW w:w="3227" w:type="dxa"/>
          </w:tcPr>
          <w:p w14:paraId="33BE0BE8" w14:textId="77777777" w:rsidR="00376623" w:rsidRPr="00D7403C" w:rsidRDefault="00376623" w:rsidP="00DC55BD">
            <w:pPr>
              <w:widowControl w:val="0"/>
              <w:autoSpaceDE w:val="0"/>
              <w:autoSpaceDN w:val="0"/>
              <w:adjustRightInd w:val="0"/>
              <w:rPr>
                <w:lang w:val="en-US"/>
              </w:rPr>
            </w:pPr>
            <w:r w:rsidRPr="00D7403C">
              <w:rPr>
                <w:lang w:val="en-US"/>
              </w:rPr>
              <w:t>Year 11 and below</w:t>
            </w:r>
          </w:p>
        </w:tc>
        <w:tc>
          <w:tcPr>
            <w:tcW w:w="1021" w:type="dxa"/>
          </w:tcPr>
          <w:p w14:paraId="1CDB879E" w14:textId="77777777" w:rsidR="00376623" w:rsidRPr="00D7403C" w:rsidRDefault="00376623" w:rsidP="00DC55BD">
            <w:pPr>
              <w:widowControl w:val="0"/>
              <w:autoSpaceDE w:val="0"/>
              <w:autoSpaceDN w:val="0"/>
              <w:adjustRightInd w:val="0"/>
              <w:jc w:val="center"/>
            </w:pPr>
            <w:r w:rsidRPr="00D7403C">
              <w:rPr>
                <w:lang w:val="en-AU"/>
              </w:rPr>
              <w:t>-0.567</w:t>
            </w:r>
          </w:p>
        </w:tc>
        <w:tc>
          <w:tcPr>
            <w:tcW w:w="567" w:type="dxa"/>
          </w:tcPr>
          <w:p w14:paraId="2CEE850D"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55731698" w14:textId="77777777" w:rsidR="00376623" w:rsidRPr="00D7403C" w:rsidRDefault="00376623" w:rsidP="00DC55BD">
            <w:pPr>
              <w:widowControl w:val="0"/>
              <w:autoSpaceDE w:val="0"/>
              <w:autoSpaceDN w:val="0"/>
              <w:adjustRightInd w:val="0"/>
              <w:jc w:val="center"/>
            </w:pPr>
            <w:r w:rsidRPr="00D7403C">
              <w:rPr>
                <w:lang w:val="en-AU"/>
              </w:rPr>
              <w:t>0.064</w:t>
            </w:r>
          </w:p>
        </w:tc>
        <w:tc>
          <w:tcPr>
            <w:tcW w:w="1134" w:type="dxa"/>
          </w:tcPr>
          <w:p w14:paraId="3B369B03" w14:textId="77777777" w:rsidR="00376623" w:rsidRPr="00D7403C" w:rsidRDefault="00376623" w:rsidP="00DC55BD">
            <w:pPr>
              <w:widowControl w:val="0"/>
              <w:autoSpaceDE w:val="0"/>
              <w:autoSpaceDN w:val="0"/>
              <w:adjustRightInd w:val="0"/>
              <w:jc w:val="center"/>
            </w:pPr>
            <w:r w:rsidRPr="00D7403C">
              <w:rPr>
                <w:lang w:val="en-AU"/>
              </w:rPr>
              <w:t>-0.092</w:t>
            </w:r>
          </w:p>
        </w:tc>
        <w:tc>
          <w:tcPr>
            <w:tcW w:w="709" w:type="dxa"/>
          </w:tcPr>
          <w:p w14:paraId="38E59B1B" w14:textId="77777777" w:rsidR="00376623" w:rsidRPr="00D7403C" w:rsidRDefault="00376623" w:rsidP="00DC55BD">
            <w:pPr>
              <w:widowControl w:val="0"/>
              <w:autoSpaceDE w:val="0"/>
              <w:autoSpaceDN w:val="0"/>
              <w:adjustRightInd w:val="0"/>
              <w:jc w:val="center"/>
            </w:pPr>
          </w:p>
        </w:tc>
        <w:tc>
          <w:tcPr>
            <w:tcW w:w="992" w:type="dxa"/>
          </w:tcPr>
          <w:p w14:paraId="5B7C2C8E" w14:textId="77777777" w:rsidR="00376623" w:rsidRPr="00D7403C" w:rsidRDefault="00376623" w:rsidP="00DC55BD">
            <w:pPr>
              <w:widowControl w:val="0"/>
              <w:autoSpaceDE w:val="0"/>
              <w:autoSpaceDN w:val="0"/>
              <w:adjustRightInd w:val="0"/>
              <w:jc w:val="center"/>
            </w:pPr>
            <w:r w:rsidRPr="00D7403C">
              <w:rPr>
                <w:lang w:val="en-AU"/>
              </w:rPr>
              <w:t>0.061</w:t>
            </w:r>
          </w:p>
        </w:tc>
      </w:tr>
      <w:tr w:rsidR="00376623" w:rsidRPr="00B03B04" w14:paraId="37DB7DF5" w14:textId="77777777" w:rsidTr="00DC55BD">
        <w:tc>
          <w:tcPr>
            <w:tcW w:w="3227" w:type="dxa"/>
          </w:tcPr>
          <w:p w14:paraId="5D5DC504" w14:textId="77777777" w:rsidR="00376623" w:rsidRPr="00D7403C" w:rsidRDefault="00376623" w:rsidP="00DC55BD">
            <w:pPr>
              <w:widowControl w:val="0"/>
              <w:autoSpaceDE w:val="0"/>
              <w:autoSpaceDN w:val="0"/>
              <w:adjustRightInd w:val="0"/>
              <w:rPr>
                <w:lang w:val="en-US"/>
              </w:rPr>
            </w:pPr>
          </w:p>
        </w:tc>
        <w:tc>
          <w:tcPr>
            <w:tcW w:w="1021" w:type="dxa"/>
          </w:tcPr>
          <w:p w14:paraId="715C1CF1" w14:textId="77777777" w:rsidR="00376623" w:rsidRPr="00D7403C" w:rsidRDefault="00376623" w:rsidP="00DC55BD">
            <w:pPr>
              <w:widowControl w:val="0"/>
              <w:autoSpaceDE w:val="0"/>
              <w:autoSpaceDN w:val="0"/>
              <w:adjustRightInd w:val="0"/>
              <w:jc w:val="center"/>
            </w:pPr>
          </w:p>
        </w:tc>
        <w:tc>
          <w:tcPr>
            <w:tcW w:w="567" w:type="dxa"/>
          </w:tcPr>
          <w:p w14:paraId="75CF385E" w14:textId="77777777" w:rsidR="00376623" w:rsidRPr="00D7403C" w:rsidRDefault="00376623" w:rsidP="00DC55BD">
            <w:pPr>
              <w:widowControl w:val="0"/>
              <w:autoSpaceDE w:val="0"/>
              <w:autoSpaceDN w:val="0"/>
              <w:adjustRightInd w:val="0"/>
              <w:jc w:val="center"/>
            </w:pPr>
          </w:p>
        </w:tc>
        <w:tc>
          <w:tcPr>
            <w:tcW w:w="850" w:type="dxa"/>
          </w:tcPr>
          <w:p w14:paraId="29B260DE" w14:textId="77777777" w:rsidR="00376623" w:rsidRPr="00D7403C" w:rsidRDefault="00376623" w:rsidP="00DC55BD">
            <w:pPr>
              <w:widowControl w:val="0"/>
              <w:autoSpaceDE w:val="0"/>
              <w:autoSpaceDN w:val="0"/>
              <w:adjustRightInd w:val="0"/>
              <w:jc w:val="center"/>
            </w:pPr>
          </w:p>
        </w:tc>
        <w:tc>
          <w:tcPr>
            <w:tcW w:w="1134" w:type="dxa"/>
          </w:tcPr>
          <w:p w14:paraId="3B3ADBB9" w14:textId="77777777" w:rsidR="00376623" w:rsidRPr="00D7403C" w:rsidRDefault="00376623" w:rsidP="00DC55BD">
            <w:pPr>
              <w:widowControl w:val="0"/>
              <w:autoSpaceDE w:val="0"/>
              <w:autoSpaceDN w:val="0"/>
              <w:adjustRightInd w:val="0"/>
              <w:jc w:val="center"/>
            </w:pPr>
          </w:p>
        </w:tc>
        <w:tc>
          <w:tcPr>
            <w:tcW w:w="709" w:type="dxa"/>
          </w:tcPr>
          <w:p w14:paraId="5C0C0F16" w14:textId="77777777" w:rsidR="00376623" w:rsidRPr="00D7403C" w:rsidRDefault="00376623" w:rsidP="00DC55BD">
            <w:pPr>
              <w:widowControl w:val="0"/>
              <w:autoSpaceDE w:val="0"/>
              <w:autoSpaceDN w:val="0"/>
              <w:adjustRightInd w:val="0"/>
              <w:jc w:val="center"/>
            </w:pPr>
          </w:p>
        </w:tc>
        <w:tc>
          <w:tcPr>
            <w:tcW w:w="992" w:type="dxa"/>
          </w:tcPr>
          <w:p w14:paraId="55ABB8C0" w14:textId="77777777" w:rsidR="00376623" w:rsidRPr="00D7403C" w:rsidRDefault="00376623" w:rsidP="00DC55BD">
            <w:pPr>
              <w:widowControl w:val="0"/>
              <w:autoSpaceDE w:val="0"/>
              <w:autoSpaceDN w:val="0"/>
              <w:adjustRightInd w:val="0"/>
              <w:jc w:val="center"/>
            </w:pPr>
          </w:p>
        </w:tc>
      </w:tr>
      <w:tr w:rsidR="00376623" w:rsidRPr="00B03B04" w14:paraId="34A06345" w14:textId="77777777" w:rsidTr="00DC55BD">
        <w:tc>
          <w:tcPr>
            <w:tcW w:w="3227" w:type="dxa"/>
          </w:tcPr>
          <w:p w14:paraId="7A7C0288" w14:textId="77777777" w:rsidR="00376623" w:rsidRPr="00D7403C" w:rsidRDefault="00376623" w:rsidP="00DC55BD">
            <w:pPr>
              <w:widowControl w:val="0"/>
              <w:autoSpaceDE w:val="0"/>
              <w:autoSpaceDN w:val="0"/>
              <w:adjustRightInd w:val="0"/>
              <w:rPr>
                <w:b/>
              </w:rPr>
            </w:pPr>
            <w:r w:rsidRPr="00D7403C">
              <w:rPr>
                <w:lang w:val="en-US"/>
              </w:rPr>
              <w:t>Osborn</w:t>
            </w:r>
          </w:p>
        </w:tc>
        <w:tc>
          <w:tcPr>
            <w:tcW w:w="1021" w:type="dxa"/>
          </w:tcPr>
          <w:p w14:paraId="027A1625" w14:textId="77777777" w:rsidR="00376623" w:rsidRPr="00D7403C" w:rsidRDefault="00376623" w:rsidP="00DC55BD">
            <w:pPr>
              <w:widowControl w:val="0"/>
              <w:autoSpaceDE w:val="0"/>
              <w:autoSpaceDN w:val="0"/>
              <w:adjustRightInd w:val="0"/>
              <w:jc w:val="center"/>
            </w:pPr>
            <w:r w:rsidRPr="00D7403C">
              <w:rPr>
                <w:lang w:val="en-AU"/>
              </w:rPr>
              <w:t>-0.107</w:t>
            </w:r>
          </w:p>
        </w:tc>
        <w:tc>
          <w:tcPr>
            <w:tcW w:w="567" w:type="dxa"/>
          </w:tcPr>
          <w:p w14:paraId="20B02AF0" w14:textId="77777777" w:rsidR="00376623" w:rsidRPr="00D7403C" w:rsidRDefault="00376623" w:rsidP="00DC55BD">
            <w:pPr>
              <w:widowControl w:val="0"/>
              <w:autoSpaceDE w:val="0"/>
              <w:autoSpaceDN w:val="0"/>
              <w:adjustRightInd w:val="0"/>
              <w:jc w:val="center"/>
            </w:pPr>
          </w:p>
        </w:tc>
        <w:tc>
          <w:tcPr>
            <w:tcW w:w="850" w:type="dxa"/>
          </w:tcPr>
          <w:p w14:paraId="216BF416" w14:textId="77777777" w:rsidR="00376623" w:rsidRPr="00D7403C" w:rsidRDefault="00376623" w:rsidP="00DC55BD">
            <w:pPr>
              <w:widowControl w:val="0"/>
              <w:autoSpaceDE w:val="0"/>
              <w:autoSpaceDN w:val="0"/>
              <w:adjustRightInd w:val="0"/>
              <w:jc w:val="center"/>
            </w:pPr>
            <w:r w:rsidRPr="00D7403C">
              <w:rPr>
                <w:lang w:val="en-AU"/>
              </w:rPr>
              <w:t>0.056</w:t>
            </w:r>
          </w:p>
        </w:tc>
        <w:tc>
          <w:tcPr>
            <w:tcW w:w="1134" w:type="dxa"/>
          </w:tcPr>
          <w:p w14:paraId="457FB1A1" w14:textId="77777777" w:rsidR="00376623" w:rsidRPr="00D7403C" w:rsidRDefault="00376623" w:rsidP="00DC55BD">
            <w:pPr>
              <w:widowControl w:val="0"/>
              <w:autoSpaceDE w:val="0"/>
              <w:autoSpaceDN w:val="0"/>
              <w:adjustRightInd w:val="0"/>
              <w:jc w:val="center"/>
            </w:pPr>
            <w:r w:rsidRPr="00D7403C">
              <w:rPr>
                <w:lang w:val="en-AU"/>
              </w:rPr>
              <w:t>-0.067</w:t>
            </w:r>
          </w:p>
        </w:tc>
        <w:tc>
          <w:tcPr>
            <w:tcW w:w="709" w:type="dxa"/>
          </w:tcPr>
          <w:p w14:paraId="4ECE4BD3" w14:textId="77777777" w:rsidR="00376623" w:rsidRPr="00D7403C" w:rsidRDefault="00376623" w:rsidP="00DC55BD">
            <w:pPr>
              <w:widowControl w:val="0"/>
              <w:autoSpaceDE w:val="0"/>
              <w:autoSpaceDN w:val="0"/>
              <w:adjustRightInd w:val="0"/>
              <w:jc w:val="center"/>
            </w:pPr>
          </w:p>
        </w:tc>
        <w:tc>
          <w:tcPr>
            <w:tcW w:w="992" w:type="dxa"/>
          </w:tcPr>
          <w:p w14:paraId="5B3FAB6D" w14:textId="77777777" w:rsidR="00376623" w:rsidRPr="00D7403C" w:rsidRDefault="00376623" w:rsidP="00DC55BD">
            <w:pPr>
              <w:widowControl w:val="0"/>
              <w:autoSpaceDE w:val="0"/>
              <w:autoSpaceDN w:val="0"/>
              <w:adjustRightInd w:val="0"/>
              <w:jc w:val="center"/>
            </w:pPr>
            <w:r w:rsidRPr="00D7403C">
              <w:rPr>
                <w:lang w:val="en-AU"/>
              </w:rPr>
              <w:t>0.053</w:t>
            </w:r>
          </w:p>
        </w:tc>
      </w:tr>
      <w:tr w:rsidR="00376623" w:rsidRPr="00B03B04" w14:paraId="201DD366" w14:textId="77777777" w:rsidTr="00DC55BD">
        <w:tc>
          <w:tcPr>
            <w:tcW w:w="3227" w:type="dxa"/>
          </w:tcPr>
          <w:p w14:paraId="080D0C69" w14:textId="77777777" w:rsidR="00376623" w:rsidRPr="00D7403C" w:rsidRDefault="00376623" w:rsidP="00DC55BD">
            <w:pPr>
              <w:widowControl w:val="0"/>
              <w:autoSpaceDE w:val="0"/>
              <w:autoSpaceDN w:val="0"/>
              <w:adjustRightInd w:val="0"/>
              <w:rPr>
                <w:lang w:val="en-US"/>
              </w:rPr>
            </w:pPr>
          </w:p>
        </w:tc>
        <w:tc>
          <w:tcPr>
            <w:tcW w:w="1021" w:type="dxa"/>
          </w:tcPr>
          <w:p w14:paraId="77A1D06A" w14:textId="77777777" w:rsidR="00376623" w:rsidRPr="00D7403C" w:rsidRDefault="00376623" w:rsidP="00DC55BD">
            <w:pPr>
              <w:widowControl w:val="0"/>
              <w:autoSpaceDE w:val="0"/>
              <w:autoSpaceDN w:val="0"/>
              <w:adjustRightInd w:val="0"/>
              <w:jc w:val="center"/>
            </w:pPr>
          </w:p>
        </w:tc>
        <w:tc>
          <w:tcPr>
            <w:tcW w:w="567" w:type="dxa"/>
          </w:tcPr>
          <w:p w14:paraId="15C55C29" w14:textId="77777777" w:rsidR="00376623" w:rsidRPr="00D7403C" w:rsidRDefault="00376623" w:rsidP="00DC55BD">
            <w:pPr>
              <w:widowControl w:val="0"/>
              <w:autoSpaceDE w:val="0"/>
              <w:autoSpaceDN w:val="0"/>
              <w:adjustRightInd w:val="0"/>
              <w:jc w:val="center"/>
            </w:pPr>
          </w:p>
        </w:tc>
        <w:tc>
          <w:tcPr>
            <w:tcW w:w="850" w:type="dxa"/>
          </w:tcPr>
          <w:p w14:paraId="4F6D48DE" w14:textId="77777777" w:rsidR="00376623" w:rsidRPr="00D7403C" w:rsidRDefault="00376623" w:rsidP="00DC55BD">
            <w:pPr>
              <w:widowControl w:val="0"/>
              <w:autoSpaceDE w:val="0"/>
              <w:autoSpaceDN w:val="0"/>
              <w:adjustRightInd w:val="0"/>
              <w:jc w:val="center"/>
            </w:pPr>
          </w:p>
        </w:tc>
        <w:tc>
          <w:tcPr>
            <w:tcW w:w="1134" w:type="dxa"/>
          </w:tcPr>
          <w:p w14:paraId="2E913A6D" w14:textId="77777777" w:rsidR="00376623" w:rsidRPr="00D7403C" w:rsidRDefault="00376623" w:rsidP="00DC55BD">
            <w:pPr>
              <w:widowControl w:val="0"/>
              <w:autoSpaceDE w:val="0"/>
              <w:autoSpaceDN w:val="0"/>
              <w:adjustRightInd w:val="0"/>
              <w:jc w:val="center"/>
            </w:pPr>
          </w:p>
        </w:tc>
        <w:tc>
          <w:tcPr>
            <w:tcW w:w="709" w:type="dxa"/>
          </w:tcPr>
          <w:p w14:paraId="147B2FE8" w14:textId="77777777" w:rsidR="00376623" w:rsidRPr="00D7403C" w:rsidRDefault="00376623" w:rsidP="00DC55BD">
            <w:pPr>
              <w:widowControl w:val="0"/>
              <w:autoSpaceDE w:val="0"/>
              <w:autoSpaceDN w:val="0"/>
              <w:adjustRightInd w:val="0"/>
              <w:jc w:val="center"/>
            </w:pPr>
          </w:p>
        </w:tc>
        <w:tc>
          <w:tcPr>
            <w:tcW w:w="992" w:type="dxa"/>
          </w:tcPr>
          <w:p w14:paraId="54E9959F" w14:textId="77777777" w:rsidR="00376623" w:rsidRPr="00D7403C" w:rsidRDefault="00376623" w:rsidP="00DC55BD">
            <w:pPr>
              <w:widowControl w:val="0"/>
              <w:autoSpaceDE w:val="0"/>
              <w:autoSpaceDN w:val="0"/>
              <w:adjustRightInd w:val="0"/>
              <w:jc w:val="center"/>
            </w:pPr>
          </w:p>
        </w:tc>
      </w:tr>
      <w:tr w:rsidR="00376623" w:rsidRPr="00B03B04" w14:paraId="57DF1656" w14:textId="77777777" w:rsidTr="00DC55BD">
        <w:tc>
          <w:tcPr>
            <w:tcW w:w="3227" w:type="dxa"/>
          </w:tcPr>
          <w:p w14:paraId="3343B357" w14:textId="77777777" w:rsidR="00376623" w:rsidRPr="00D7403C" w:rsidRDefault="00376623" w:rsidP="00DC55BD">
            <w:pPr>
              <w:widowControl w:val="0"/>
              <w:autoSpaceDE w:val="0"/>
              <w:autoSpaceDN w:val="0"/>
              <w:adjustRightInd w:val="0"/>
              <w:rPr>
                <w:b/>
                <w:i/>
              </w:rPr>
            </w:pPr>
            <w:r w:rsidRPr="00D7403C">
              <w:rPr>
                <w:b/>
                <w:i/>
                <w:lang w:val="en-US"/>
              </w:rPr>
              <w:t>Refugee</w:t>
            </w:r>
          </w:p>
        </w:tc>
        <w:tc>
          <w:tcPr>
            <w:tcW w:w="1021" w:type="dxa"/>
          </w:tcPr>
          <w:p w14:paraId="4743EECA" w14:textId="77777777" w:rsidR="00376623" w:rsidRPr="00D7403C" w:rsidRDefault="00376623" w:rsidP="00DC55BD">
            <w:pPr>
              <w:widowControl w:val="0"/>
              <w:autoSpaceDE w:val="0"/>
              <w:autoSpaceDN w:val="0"/>
              <w:adjustRightInd w:val="0"/>
              <w:jc w:val="center"/>
            </w:pPr>
          </w:p>
        </w:tc>
        <w:tc>
          <w:tcPr>
            <w:tcW w:w="567" w:type="dxa"/>
          </w:tcPr>
          <w:p w14:paraId="142CA197" w14:textId="77777777" w:rsidR="00376623" w:rsidRPr="00D7403C" w:rsidRDefault="00376623" w:rsidP="00DC55BD">
            <w:pPr>
              <w:widowControl w:val="0"/>
              <w:autoSpaceDE w:val="0"/>
              <w:autoSpaceDN w:val="0"/>
              <w:adjustRightInd w:val="0"/>
              <w:jc w:val="center"/>
            </w:pPr>
          </w:p>
        </w:tc>
        <w:tc>
          <w:tcPr>
            <w:tcW w:w="850" w:type="dxa"/>
          </w:tcPr>
          <w:p w14:paraId="0F3FC80B" w14:textId="77777777" w:rsidR="00376623" w:rsidRPr="00D7403C" w:rsidRDefault="00376623" w:rsidP="00DC55BD">
            <w:pPr>
              <w:widowControl w:val="0"/>
              <w:autoSpaceDE w:val="0"/>
              <w:autoSpaceDN w:val="0"/>
              <w:adjustRightInd w:val="0"/>
              <w:jc w:val="center"/>
            </w:pPr>
          </w:p>
        </w:tc>
        <w:tc>
          <w:tcPr>
            <w:tcW w:w="1134" w:type="dxa"/>
          </w:tcPr>
          <w:p w14:paraId="1CEA0B97" w14:textId="77777777" w:rsidR="00376623" w:rsidRPr="00D7403C" w:rsidRDefault="00376623" w:rsidP="00DC55BD">
            <w:pPr>
              <w:widowControl w:val="0"/>
              <w:autoSpaceDE w:val="0"/>
              <w:autoSpaceDN w:val="0"/>
              <w:adjustRightInd w:val="0"/>
              <w:jc w:val="center"/>
            </w:pPr>
          </w:p>
        </w:tc>
        <w:tc>
          <w:tcPr>
            <w:tcW w:w="709" w:type="dxa"/>
          </w:tcPr>
          <w:p w14:paraId="59CB5F2B" w14:textId="77777777" w:rsidR="00376623" w:rsidRPr="00D7403C" w:rsidRDefault="00376623" w:rsidP="00DC55BD">
            <w:pPr>
              <w:widowControl w:val="0"/>
              <w:autoSpaceDE w:val="0"/>
              <w:autoSpaceDN w:val="0"/>
              <w:adjustRightInd w:val="0"/>
              <w:jc w:val="center"/>
            </w:pPr>
          </w:p>
        </w:tc>
        <w:tc>
          <w:tcPr>
            <w:tcW w:w="992" w:type="dxa"/>
          </w:tcPr>
          <w:p w14:paraId="6A0EE11D" w14:textId="77777777" w:rsidR="00376623" w:rsidRPr="00D7403C" w:rsidRDefault="00376623" w:rsidP="00DC55BD">
            <w:pPr>
              <w:widowControl w:val="0"/>
              <w:autoSpaceDE w:val="0"/>
              <w:autoSpaceDN w:val="0"/>
              <w:adjustRightInd w:val="0"/>
              <w:jc w:val="center"/>
            </w:pPr>
          </w:p>
        </w:tc>
      </w:tr>
      <w:tr w:rsidR="00376623" w:rsidRPr="00B03B04" w14:paraId="204B16AC" w14:textId="77777777" w:rsidTr="00DC55BD">
        <w:tc>
          <w:tcPr>
            <w:tcW w:w="3227" w:type="dxa"/>
          </w:tcPr>
          <w:p w14:paraId="2468C44D" w14:textId="77777777" w:rsidR="00376623" w:rsidRPr="00D7403C" w:rsidRDefault="00376623" w:rsidP="00DC55BD">
            <w:pPr>
              <w:widowControl w:val="0"/>
              <w:autoSpaceDE w:val="0"/>
              <w:autoSpaceDN w:val="0"/>
              <w:adjustRightInd w:val="0"/>
            </w:pPr>
            <w:r w:rsidRPr="00D7403C">
              <w:rPr>
                <w:lang w:val="en-US"/>
              </w:rPr>
              <w:t xml:space="preserve">  Yes</w:t>
            </w:r>
          </w:p>
        </w:tc>
        <w:tc>
          <w:tcPr>
            <w:tcW w:w="1021" w:type="dxa"/>
          </w:tcPr>
          <w:p w14:paraId="623F7664" w14:textId="77777777" w:rsidR="00376623" w:rsidRPr="00D7403C" w:rsidRDefault="00376623" w:rsidP="00DC55BD">
            <w:pPr>
              <w:widowControl w:val="0"/>
              <w:autoSpaceDE w:val="0"/>
              <w:autoSpaceDN w:val="0"/>
              <w:adjustRightInd w:val="0"/>
              <w:jc w:val="center"/>
            </w:pPr>
            <w:r w:rsidRPr="00D7403C">
              <w:rPr>
                <w:lang w:val="en-AU"/>
              </w:rPr>
              <w:t>-0.067</w:t>
            </w:r>
          </w:p>
        </w:tc>
        <w:tc>
          <w:tcPr>
            <w:tcW w:w="567" w:type="dxa"/>
          </w:tcPr>
          <w:p w14:paraId="37ADD1EA" w14:textId="77777777" w:rsidR="00376623" w:rsidRPr="00D7403C" w:rsidRDefault="00376623" w:rsidP="00DC55BD">
            <w:pPr>
              <w:widowControl w:val="0"/>
              <w:autoSpaceDE w:val="0"/>
              <w:autoSpaceDN w:val="0"/>
              <w:adjustRightInd w:val="0"/>
              <w:jc w:val="center"/>
            </w:pPr>
          </w:p>
        </w:tc>
        <w:tc>
          <w:tcPr>
            <w:tcW w:w="850" w:type="dxa"/>
          </w:tcPr>
          <w:p w14:paraId="225AD3F4" w14:textId="77777777" w:rsidR="00376623" w:rsidRPr="00D7403C" w:rsidRDefault="00376623" w:rsidP="00DC55BD">
            <w:pPr>
              <w:widowControl w:val="0"/>
              <w:autoSpaceDE w:val="0"/>
              <w:autoSpaceDN w:val="0"/>
              <w:adjustRightInd w:val="0"/>
              <w:jc w:val="center"/>
            </w:pPr>
            <w:r w:rsidRPr="00D7403C">
              <w:rPr>
                <w:lang w:val="en-AU"/>
              </w:rPr>
              <w:t>0.109</w:t>
            </w:r>
          </w:p>
        </w:tc>
        <w:tc>
          <w:tcPr>
            <w:tcW w:w="1134" w:type="dxa"/>
          </w:tcPr>
          <w:p w14:paraId="1181F83B" w14:textId="77777777" w:rsidR="00376623" w:rsidRPr="00D7403C" w:rsidRDefault="00376623" w:rsidP="00DC55BD">
            <w:pPr>
              <w:widowControl w:val="0"/>
              <w:autoSpaceDE w:val="0"/>
              <w:autoSpaceDN w:val="0"/>
              <w:adjustRightInd w:val="0"/>
              <w:jc w:val="center"/>
            </w:pPr>
            <w:r w:rsidRPr="00D7403C">
              <w:rPr>
                <w:lang w:val="en-AU"/>
              </w:rPr>
              <w:t>0.154</w:t>
            </w:r>
          </w:p>
        </w:tc>
        <w:tc>
          <w:tcPr>
            <w:tcW w:w="709" w:type="dxa"/>
          </w:tcPr>
          <w:p w14:paraId="421CB8F0" w14:textId="77777777" w:rsidR="00376623" w:rsidRPr="00D7403C" w:rsidRDefault="00376623" w:rsidP="00DC55BD">
            <w:pPr>
              <w:widowControl w:val="0"/>
              <w:autoSpaceDE w:val="0"/>
              <w:autoSpaceDN w:val="0"/>
              <w:adjustRightInd w:val="0"/>
              <w:jc w:val="center"/>
            </w:pPr>
          </w:p>
        </w:tc>
        <w:tc>
          <w:tcPr>
            <w:tcW w:w="992" w:type="dxa"/>
          </w:tcPr>
          <w:p w14:paraId="62EFB04B" w14:textId="77777777" w:rsidR="00376623" w:rsidRPr="00D7403C" w:rsidRDefault="00376623" w:rsidP="00DC55BD">
            <w:pPr>
              <w:widowControl w:val="0"/>
              <w:autoSpaceDE w:val="0"/>
              <w:autoSpaceDN w:val="0"/>
              <w:adjustRightInd w:val="0"/>
              <w:jc w:val="center"/>
            </w:pPr>
            <w:r w:rsidRPr="00D7403C">
              <w:rPr>
                <w:lang w:val="en-AU"/>
              </w:rPr>
              <w:t>0.120</w:t>
            </w:r>
          </w:p>
        </w:tc>
      </w:tr>
      <w:tr w:rsidR="00376623" w:rsidRPr="00B03B04" w14:paraId="3FBBC21E" w14:textId="77777777" w:rsidTr="00DC55BD">
        <w:tc>
          <w:tcPr>
            <w:tcW w:w="3227" w:type="dxa"/>
          </w:tcPr>
          <w:p w14:paraId="7BB18DC3" w14:textId="77777777" w:rsidR="00376623" w:rsidRPr="00D7403C" w:rsidRDefault="00376623" w:rsidP="00DC55BD">
            <w:pPr>
              <w:widowControl w:val="0"/>
              <w:autoSpaceDE w:val="0"/>
              <w:autoSpaceDN w:val="0"/>
              <w:adjustRightInd w:val="0"/>
            </w:pPr>
            <w:r w:rsidRPr="00D7403C">
              <w:rPr>
                <w:lang w:val="en-US"/>
              </w:rPr>
              <w:t xml:space="preserve">  Not asked</w:t>
            </w:r>
          </w:p>
        </w:tc>
        <w:tc>
          <w:tcPr>
            <w:tcW w:w="1021" w:type="dxa"/>
          </w:tcPr>
          <w:p w14:paraId="65986467" w14:textId="77777777" w:rsidR="00376623" w:rsidRPr="00D7403C" w:rsidRDefault="00376623" w:rsidP="00DC55BD">
            <w:pPr>
              <w:widowControl w:val="0"/>
              <w:autoSpaceDE w:val="0"/>
              <w:autoSpaceDN w:val="0"/>
              <w:adjustRightInd w:val="0"/>
              <w:jc w:val="center"/>
            </w:pPr>
            <w:r w:rsidRPr="00D7403C">
              <w:rPr>
                <w:lang w:val="en-AU"/>
              </w:rPr>
              <w:t>0.120</w:t>
            </w:r>
          </w:p>
        </w:tc>
        <w:tc>
          <w:tcPr>
            <w:tcW w:w="567" w:type="dxa"/>
          </w:tcPr>
          <w:p w14:paraId="2250B948" w14:textId="77777777" w:rsidR="00376623" w:rsidRPr="00D7403C" w:rsidRDefault="00376623" w:rsidP="00DC55BD">
            <w:pPr>
              <w:widowControl w:val="0"/>
              <w:autoSpaceDE w:val="0"/>
              <w:autoSpaceDN w:val="0"/>
              <w:adjustRightInd w:val="0"/>
              <w:jc w:val="center"/>
            </w:pPr>
          </w:p>
        </w:tc>
        <w:tc>
          <w:tcPr>
            <w:tcW w:w="850" w:type="dxa"/>
          </w:tcPr>
          <w:p w14:paraId="0DE0CE49" w14:textId="77777777" w:rsidR="00376623" w:rsidRPr="00D7403C" w:rsidRDefault="00376623" w:rsidP="00DC55BD">
            <w:pPr>
              <w:widowControl w:val="0"/>
              <w:autoSpaceDE w:val="0"/>
              <w:autoSpaceDN w:val="0"/>
              <w:adjustRightInd w:val="0"/>
              <w:jc w:val="center"/>
            </w:pPr>
            <w:r w:rsidRPr="00D7403C">
              <w:rPr>
                <w:lang w:val="en-AU"/>
              </w:rPr>
              <w:t>0.066</w:t>
            </w:r>
          </w:p>
        </w:tc>
        <w:tc>
          <w:tcPr>
            <w:tcW w:w="1134" w:type="dxa"/>
          </w:tcPr>
          <w:p w14:paraId="045672CE" w14:textId="77777777" w:rsidR="00376623" w:rsidRPr="00D7403C" w:rsidRDefault="00376623" w:rsidP="00DC55BD">
            <w:pPr>
              <w:widowControl w:val="0"/>
              <w:autoSpaceDE w:val="0"/>
              <w:autoSpaceDN w:val="0"/>
              <w:adjustRightInd w:val="0"/>
              <w:jc w:val="center"/>
            </w:pPr>
            <w:r w:rsidRPr="00D7403C">
              <w:rPr>
                <w:lang w:val="en-AU"/>
              </w:rPr>
              <w:t>0.103</w:t>
            </w:r>
          </w:p>
        </w:tc>
        <w:tc>
          <w:tcPr>
            <w:tcW w:w="709" w:type="dxa"/>
          </w:tcPr>
          <w:p w14:paraId="037F09BA" w14:textId="77777777" w:rsidR="00376623" w:rsidRPr="00D7403C" w:rsidRDefault="00376623" w:rsidP="00DC55BD">
            <w:pPr>
              <w:widowControl w:val="0"/>
              <w:autoSpaceDE w:val="0"/>
              <w:autoSpaceDN w:val="0"/>
              <w:adjustRightInd w:val="0"/>
              <w:jc w:val="center"/>
            </w:pPr>
          </w:p>
        </w:tc>
        <w:tc>
          <w:tcPr>
            <w:tcW w:w="992" w:type="dxa"/>
          </w:tcPr>
          <w:p w14:paraId="3BA4E396" w14:textId="77777777" w:rsidR="00376623" w:rsidRPr="00D7403C" w:rsidRDefault="00376623" w:rsidP="00DC55BD">
            <w:pPr>
              <w:widowControl w:val="0"/>
              <w:autoSpaceDE w:val="0"/>
              <w:autoSpaceDN w:val="0"/>
              <w:adjustRightInd w:val="0"/>
              <w:jc w:val="center"/>
            </w:pPr>
            <w:r w:rsidRPr="00D7403C">
              <w:rPr>
                <w:lang w:val="en-AU"/>
              </w:rPr>
              <w:t>0.062</w:t>
            </w:r>
          </w:p>
        </w:tc>
      </w:tr>
      <w:tr w:rsidR="00376623" w:rsidRPr="00B03B04" w14:paraId="3D9FF3C0" w14:textId="77777777" w:rsidTr="00DC55BD">
        <w:tc>
          <w:tcPr>
            <w:tcW w:w="3227" w:type="dxa"/>
          </w:tcPr>
          <w:p w14:paraId="2112BD76" w14:textId="77777777" w:rsidR="00376623" w:rsidRPr="00D7403C" w:rsidRDefault="00376623" w:rsidP="00DC55BD">
            <w:pPr>
              <w:widowControl w:val="0"/>
              <w:autoSpaceDE w:val="0"/>
              <w:autoSpaceDN w:val="0"/>
              <w:adjustRightInd w:val="0"/>
              <w:rPr>
                <w:lang w:val="en-US"/>
              </w:rPr>
            </w:pPr>
          </w:p>
        </w:tc>
        <w:tc>
          <w:tcPr>
            <w:tcW w:w="1021" w:type="dxa"/>
          </w:tcPr>
          <w:p w14:paraId="66FB130F" w14:textId="77777777" w:rsidR="00376623" w:rsidRPr="00D7403C" w:rsidRDefault="00376623" w:rsidP="00DC55BD">
            <w:pPr>
              <w:widowControl w:val="0"/>
              <w:autoSpaceDE w:val="0"/>
              <w:autoSpaceDN w:val="0"/>
              <w:adjustRightInd w:val="0"/>
              <w:jc w:val="center"/>
            </w:pPr>
          </w:p>
        </w:tc>
        <w:tc>
          <w:tcPr>
            <w:tcW w:w="567" w:type="dxa"/>
          </w:tcPr>
          <w:p w14:paraId="49171352" w14:textId="77777777" w:rsidR="00376623" w:rsidRPr="00D7403C" w:rsidRDefault="00376623" w:rsidP="00DC55BD">
            <w:pPr>
              <w:widowControl w:val="0"/>
              <w:autoSpaceDE w:val="0"/>
              <w:autoSpaceDN w:val="0"/>
              <w:adjustRightInd w:val="0"/>
              <w:jc w:val="center"/>
            </w:pPr>
          </w:p>
        </w:tc>
        <w:tc>
          <w:tcPr>
            <w:tcW w:w="850" w:type="dxa"/>
          </w:tcPr>
          <w:p w14:paraId="154D07B5" w14:textId="77777777" w:rsidR="00376623" w:rsidRPr="00D7403C" w:rsidRDefault="00376623" w:rsidP="00DC55BD">
            <w:pPr>
              <w:widowControl w:val="0"/>
              <w:autoSpaceDE w:val="0"/>
              <w:autoSpaceDN w:val="0"/>
              <w:adjustRightInd w:val="0"/>
              <w:jc w:val="center"/>
            </w:pPr>
          </w:p>
        </w:tc>
        <w:tc>
          <w:tcPr>
            <w:tcW w:w="1134" w:type="dxa"/>
          </w:tcPr>
          <w:p w14:paraId="472D7934" w14:textId="77777777" w:rsidR="00376623" w:rsidRPr="00D7403C" w:rsidRDefault="00376623" w:rsidP="00DC55BD">
            <w:pPr>
              <w:widowControl w:val="0"/>
              <w:autoSpaceDE w:val="0"/>
              <w:autoSpaceDN w:val="0"/>
              <w:adjustRightInd w:val="0"/>
              <w:jc w:val="center"/>
            </w:pPr>
          </w:p>
        </w:tc>
        <w:tc>
          <w:tcPr>
            <w:tcW w:w="709" w:type="dxa"/>
          </w:tcPr>
          <w:p w14:paraId="368FA08D" w14:textId="77777777" w:rsidR="00376623" w:rsidRPr="00D7403C" w:rsidRDefault="00376623" w:rsidP="00DC55BD">
            <w:pPr>
              <w:widowControl w:val="0"/>
              <w:autoSpaceDE w:val="0"/>
              <w:autoSpaceDN w:val="0"/>
              <w:adjustRightInd w:val="0"/>
              <w:jc w:val="center"/>
            </w:pPr>
          </w:p>
        </w:tc>
        <w:tc>
          <w:tcPr>
            <w:tcW w:w="992" w:type="dxa"/>
          </w:tcPr>
          <w:p w14:paraId="3F0F00D6" w14:textId="77777777" w:rsidR="00376623" w:rsidRPr="00D7403C" w:rsidRDefault="00376623" w:rsidP="00DC55BD">
            <w:pPr>
              <w:widowControl w:val="0"/>
              <w:autoSpaceDE w:val="0"/>
              <w:autoSpaceDN w:val="0"/>
              <w:adjustRightInd w:val="0"/>
              <w:jc w:val="center"/>
            </w:pPr>
          </w:p>
        </w:tc>
      </w:tr>
      <w:tr w:rsidR="00376623" w:rsidRPr="00B03B04" w14:paraId="6FBE7D18" w14:textId="77777777" w:rsidTr="00DC55BD">
        <w:tc>
          <w:tcPr>
            <w:tcW w:w="3227" w:type="dxa"/>
          </w:tcPr>
          <w:p w14:paraId="3C56D6B4" w14:textId="77777777" w:rsidR="00376623" w:rsidRPr="00D7403C" w:rsidRDefault="00376623" w:rsidP="00DC55BD">
            <w:pPr>
              <w:widowControl w:val="0"/>
              <w:autoSpaceDE w:val="0"/>
              <w:autoSpaceDN w:val="0"/>
              <w:adjustRightInd w:val="0"/>
            </w:pPr>
            <w:r w:rsidRPr="00D7403C">
              <w:rPr>
                <w:lang w:val="en-US"/>
              </w:rPr>
              <w:t>Years at address</w:t>
            </w:r>
          </w:p>
        </w:tc>
        <w:tc>
          <w:tcPr>
            <w:tcW w:w="1021" w:type="dxa"/>
          </w:tcPr>
          <w:p w14:paraId="6A779BF1" w14:textId="77777777" w:rsidR="00376623" w:rsidRPr="00D7403C" w:rsidRDefault="00376623" w:rsidP="00DC55BD">
            <w:pPr>
              <w:widowControl w:val="0"/>
              <w:autoSpaceDE w:val="0"/>
              <w:autoSpaceDN w:val="0"/>
              <w:adjustRightInd w:val="0"/>
              <w:jc w:val="center"/>
            </w:pPr>
            <w:r w:rsidRPr="00D7403C">
              <w:rPr>
                <w:lang w:val="en-AU"/>
              </w:rPr>
              <w:t>0.005</w:t>
            </w:r>
          </w:p>
        </w:tc>
        <w:tc>
          <w:tcPr>
            <w:tcW w:w="567" w:type="dxa"/>
          </w:tcPr>
          <w:p w14:paraId="09A6639E"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4F484990" w14:textId="77777777" w:rsidR="00376623" w:rsidRPr="00D7403C" w:rsidRDefault="00376623" w:rsidP="00DC55BD">
            <w:pPr>
              <w:widowControl w:val="0"/>
              <w:autoSpaceDE w:val="0"/>
              <w:autoSpaceDN w:val="0"/>
              <w:adjustRightInd w:val="0"/>
              <w:jc w:val="center"/>
            </w:pPr>
            <w:r w:rsidRPr="00D7403C">
              <w:rPr>
                <w:lang w:val="en-AU"/>
              </w:rPr>
              <w:t>0.001</w:t>
            </w:r>
          </w:p>
        </w:tc>
        <w:tc>
          <w:tcPr>
            <w:tcW w:w="1134" w:type="dxa"/>
          </w:tcPr>
          <w:p w14:paraId="233AF6C0" w14:textId="77777777" w:rsidR="00376623" w:rsidRPr="00D7403C" w:rsidRDefault="00376623" w:rsidP="00DC55BD">
            <w:pPr>
              <w:widowControl w:val="0"/>
              <w:autoSpaceDE w:val="0"/>
              <w:autoSpaceDN w:val="0"/>
              <w:adjustRightInd w:val="0"/>
              <w:jc w:val="center"/>
            </w:pPr>
            <w:r w:rsidRPr="00D7403C">
              <w:rPr>
                <w:lang w:val="en-AU"/>
              </w:rPr>
              <w:t>0.011</w:t>
            </w:r>
          </w:p>
        </w:tc>
        <w:tc>
          <w:tcPr>
            <w:tcW w:w="709" w:type="dxa"/>
          </w:tcPr>
          <w:p w14:paraId="2818EAA2"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5EEE1C3F" w14:textId="77777777" w:rsidR="00376623" w:rsidRPr="00D7403C" w:rsidRDefault="00376623" w:rsidP="00DC55BD">
            <w:pPr>
              <w:widowControl w:val="0"/>
              <w:autoSpaceDE w:val="0"/>
              <w:autoSpaceDN w:val="0"/>
              <w:adjustRightInd w:val="0"/>
              <w:jc w:val="center"/>
            </w:pPr>
            <w:r w:rsidRPr="00D7403C">
              <w:rPr>
                <w:lang w:val="en-AU"/>
              </w:rPr>
              <w:t>0.001</w:t>
            </w:r>
          </w:p>
        </w:tc>
      </w:tr>
      <w:tr w:rsidR="00376623" w:rsidRPr="00B03B04" w14:paraId="16964FB0" w14:textId="77777777" w:rsidTr="00DC55BD">
        <w:tc>
          <w:tcPr>
            <w:tcW w:w="3227" w:type="dxa"/>
          </w:tcPr>
          <w:p w14:paraId="79D1E43F" w14:textId="77777777" w:rsidR="00376623" w:rsidRPr="00D7403C" w:rsidRDefault="00376623" w:rsidP="00DC55BD">
            <w:pPr>
              <w:widowControl w:val="0"/>
              <w:autoSpaceDE w:val="0"/>
              <w:autoSpaceDN w:val="0"/>
              <w:adjustRightInd w:val="0"/>
            </w:pPr>
            <w:r w:rsidRPr="00D7403C">
              <w:rPr>
                <w:lang w:val="en-US"/>
              </w:rPr>
              <w:t>SES index</w:t>
            </w:r>
          </w:p>
        </w:tc>
        <w:tc>
          <w:tcPr>
            <w:tcW w:w="1021" w:type="dxa"/>
          </w:tcPr>
          <w:p w14:paraId="042E3FB3" w14:textId="77777777" w:rsidR="00376623" w:rsidRPr="00D7403C" w:rsidRDefault="00376623" w:rsidP="00DC55BD">
            <w:pPr>
              <w:widowControl w:val="0"/>
              <w:autoSpaceDE w:val="0"/>
              <w:autoSpaceDN w:val="0"/>
              <w:adjustRightInd w:val="0"/>
              <w:jc w:val="center"/>
            </w:pPr>
            <w:r w:rsidRPr="00D7403C">
              <w:rPr>
                <w:lang w:val="en-AU"/>
              </w:rPr>
              <w:t>0.064</w:t>
            </w:r>
          </w:p>
        </w:tc>
        <w:tc>
          <w:tcPr>
            <w:tcW w:w="567" w:type="dxa"/>
          </w:tcPr>
          <w:p w14:paraId="7D4E5E69"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850" w:type="dxa"/>
          </w:tcPr>
          <w:p w14:paraId="4288DEAD" w14:textId="77777777" w:rsidR="00376623" w:rsidRPr="00D7403C" w:rsidRDefault="00376623" w:rsidP="00DC55BD">
            <w:pPr>
              <w:widowControl w:val="0"/>
              <w:autoSpaceDE w:val="0"/>
              <w:autoSpaceDN w:val="0"/>
              <w:adjustRightInd w:val="0"/>
              <w:jc w:val="center"/>
            </w:pPr>
            <w:r w:rsidRPr="00D7403C">
              <w:rPr>
                <w:lang w:val="en-AU"/>
              </w:rPr>
              <w:t>0.005</w:t>
            </w:r>
          </w:p>
        </w:tc>
        <w:tc>
          <w:tcPr>
            <w:tcW w:w="1134" w:type="dxa"/>
          </w:tcPr>
          <w:p w14:paraId="17D3687E" w14:textId="77777777" w:rsidR="00376623" w:rsidRPr="00D7403C" w:rsidRDefault="00376623" w:rsidP="00DC55BD">
            <w:pPr>
              <w:widowControl w:val="0"/>
              <w:autoSpaceDE w:val="0"/>
              <w:autoSpaceDN w:val="0"/>
              <w:adjustRightInd w:val="0"/>
              <w:jc w:val="center"/>
            </w:pPr>
            <w:r w:rsidRPr="00D7403C">
              <w:rPr>
                <w:lang w:val="en-AU"/>
              </w:rPr>
              <w:t>0.155</w:t>
            </w:r>
          </w:p>
        </w:tc>
        <w:tc>
          <w:tcPr>
            <w:tcW w:w="709" w:type="dxa"/>
          </w:tcPr>
          <w:p w14:paraId="245C74DB" w14:textId="77777777" w:rsidR="00376623" w:rsidRPr="00D7403C" w:rsidRDefault="00376623" w:rsidP="00DC55BD">
            <w:pPr>
              <w:widowControl w:val="0"/>
              <w:autoSpaceDE w:val="0"/>
              <w:autoSpaceDN w:val="0"/>
              <w:adjustRightInd w:val="0"/>
              <w:jc w:val="center"/>
            </w:pPr>
            <w:r w:rsidRPr="00D7403C">
              <w:rPr>
                <w:lang w:val="en-AU"/>
              </w:rPr>
              <w:t>**</w:t>
            </w:r>
            <w:r>
              <w:rPr>
                <w:lang w:val="en-AU"/>
              </w:rPr>
              <w:t>*</w:t>
            </w:r>
          </w:p>
        </w:tc>
        <w:tc>
          <w:tcPr>
            <w:tcW w:w="992" w:type="dxa"/>
          </w:tcPr>
          <w:p w14:paraId="09FBA930" w14:textId="77777777" w:rsidR="00376623" w:rsidRPr="00D7403C" w:rsidRDefault="00376623" w:rsidP="00DC55BD">
            <w:pPr>
              <w:widowControl w:val="0"/>
              <w:autoSpaceDE w:val="0"/>
              <w:autoSpaceDN w:val="0"/>
              <w:adjustRightInd w:val="0"/>
              <w:jc w:val="center"/>
            </w:pPr>
            <w:r w:rsidRPr="00D7403C">
              <w:rPr>
                <w:lang w:val="en-AU"/>
              </w:rPr>
              <w:t>0.005</w:t>
            </w:r>
          </w:p>
        </w:tc>
      </w:tr>
      <w:tr w:rsidR="00376623" w:rsidRPr="00B03B04" w14:paraId="4D37CF05" w14:textId="77777777" w:rsidTr="00DC55BD">
        <w:tc>
          <w:tcPr>
            <w:tcW w:w="3227" w:type="dxa"/>
          </w:tcPr>
          <w:p w14:paraId="1F7BBDB9" w14:textId="77777777" w:rsidR="00376623" w:rsidRPr="00D7403C" w:rsidRDefault="00376623" w:rsidP="00DC55BD">
            <w:pPr>
              <w:widowControl w:val="0"/>
              <w:autoSpaceDE w:val="0"/>
              <w:autoSpaceDN w:val="0"/>
              <w:adjustRightInd w:val="0"/>
            </w:pPr>
            <w:r w:rsidRPr="00D7403C">
              <w:rPr>
                <w:lang w:val="en-US"/>
              </w:rPr>
              <w:t>Household income</w:t>
            </w:r>
          </w:p>
        </w:tc>
        <w:tc>
          <w:tcPr>
            <w:tcW w:w="1021" w:type="dxa"/>
          </w:tcPr>
          <w:p w14:paraId="692A312E" w14:textId="77777777" w:rsidR="00376623" w:rsidRPr="00D7403C" w:rsidRDefault="00376623" w:rsidP="00DC55BD">
            <w:pPr>
              <w:widowControl w:val="0"/>
              <w:autoSpaceDE w:val="0"/>
              <w:autoSpaceDN w:val="0"/>
              <w:adjustRightInd w:val="0"/>
              <w:jc w:val="center"/>
            </w:pPr>
            <w:r w:rsidRPr="00D7403C">
              <w:rPr>
                <w:lang w:val="en-AU"/>
              </w:rPr>
              <w:t>0.001</w:t>
            </w:r>
          </w:p>
        </w:tc>
        <w:tc>
          <w:tcPr>
            <w:tcW w:w="567" w:type="dxa"/>
          </w:tcPr>
          <w:p w14:paraId="12AD9CC9" w14:textId="77777777" w:rsidR="00376623" w:rsidRPr="00D7403C" w:rsidRDefault="00376623" w:rsidP="00DC55BD">
            <w:pPr>
              <w:widowControl w:val="0"/>
              <w:autoSpaceDE w:val="0"/>
              <w:autoSpaceDN w:val="0"/>
              <w:adjustRightInd w:val="0"/>
              <w:jc w:val="center"/>
            </w:pPr>
          </w:p>
        </w:tc>
        <w:tc>
          <w:tcPr>
            <w:tcW w:w="850" w:type="dxa"/>
          </w:tcPr>
          <w:p w14:paraId="29649427" w14:textId="77777777" w:rsidR="00376623" w:rsidRPr="00D7403C" w:rsidRDefault="00376623" w:rsidP="00DC55BD">
            <w:pPr>
              <w:widowControl w:val="0"/>
              <w:autoSpaceDE w:val="0"/>
              <w:autoSpaceDN w:val="0"/>
              <w:adjustRightInd w:val="0"/>
              <w:jc w:val="center"/>
            </w:pPr>
            <w:r w:rsidRPr="00D7403C">
              <w:rPr>
                <w:lang w:val="en-AU"/>
              </w:rPr>
              <w:t>0.002</w:t>
            </w:r>
          </w:p>
        </w:tc>
        <w:tc>
          <w:tcPr>
            <w:tcW w:w="1134" w:type="dxa"/>
          </w:tcPr>
          <w:p w14:paraId="12945A70" w14:textId="77777777" w:rsidR="00376623" w:rsidRPr="00D7403C" w:rsidRDefault="00376623" w:rsidP="00DC55BD">
            <w:pPr>
              <w:widowControl w:val="0"/>
              <w:autoSpaceDE w:val="0"/>
              <w:autoSpaceDN w:val="0"/>
              <w:adjustRightInd w:val="0"/>
              <w:jc w:val="center"/>
            </w:pPr>
            <w:r w:rsidRPr="00D7403C">
              <w:rPr>
                <w:lang w:val="en-AU"/>
              </w:rPr>
              <w:t>0.000</w:t>
            </w:r>
          </w:p>
        </w:tc>
        <w:tc>
          <w:tcPr>
            <w:tcW w:w="709" w:type="dxa"/>
          </w:tcPr>
          <w:p w14:paraId="605E2BFD" w14:textId="77777777" w:rsidR="00376623" w:rsidRPr="00D7403C" w:rsidRDefault="00376623" w:rsidP="00DC55BD">
            <w:pPr>
              <w:widowControl w:val="0"/>
              <w:autoSpaceDE w:val="0"/>
              <w:autoSpaceDN w:val="0"/>
              <w:adjustRightInd w:val="0"/>
              <w:jc w:val="center"/>
            </w:pPr>
          </w:p>
        </w:tc>
        <w:tc>
          <w:tcPr>
            <w:tcW w:w="992" w:type="dxa"/>
          </w:tcPr>
          <w:p w14:paraId="17CA76AF" w14:textId="77777777" w:rsidR="00376623" w:rsidRPr="00D7403C" w:rsidRDefault="00376623" w:rsidP="00DC55BD">
            <w:pPr>
              <w:widowControl w:val="0"/>
              <w:autoSpaceDE w:val="0"/>
              <w:autoSpaceDN w:val="0"/>
              <w:adjustRightInd w:val="0"/>
              <w:jc w:val="center"/>
            </w:pPr>
            <w:r w:rsidRPr="00D7403C">
              <w:rPr>
                <w:lang w:val="en-AU"/>
              </w:rPr>
              <w:t>0.002</w:t>
            </w:r>
          </w:p>
        </w:tc>
      </w:tr>
      <w:tr w:rsidR="00376623" w:rsidRPr="00B03B04" w14:paraId="580188B2" w14:textId="77777777" w:rsidTr="00DC55BD">
        <w:tc>
          <w:tcPr>
            <w:tcW w:w="3227" w:type="dxa"/>
          </w:tcPr>
          <w:p w14:paraId="710DDC8A" w14:textId="77777777" w:rsidR="00376623" w:rsidRPr="00D7403C" w:rsidRDefault="00376623" w:rsidP="00DC55BD">
            <w:pPr>
              <w:widowControl w:val="0"/>
              <w:autoSpaceDE w:val="0"/>
              <w:autoSpaceDN w:val="0"/>
              <w:adjustRightInd w:val="0"/>
            </w:pPr>
            <w:r w:rsidRPr="00D7403C">
              <w:rPr>
                <w:lang w:val="en-US"/>
              </w:rPr>
              <w:t>Wave</w:t>
            </w:r>
          </w:p>
        </w:tc>
        <w:tc>
          <w:tcPr>
            <w:tcW w:w="1021" w:type="dxa"/>
          </w:tcPr>
          <w:p w14:paraId="3BD27F49" w14:textId="77777777" w:rsidR="00376623" w:rsidRPr="00D7403C" w:rsidRDefault="00376623" w:rsidP="00DC55BD">
            <w:pPr>
              <w:widowControl w:val="0"/>
              <w:autoSpaceDE w:val="0"/>
              <w:autoSpaceDN w:val="0"/>
              <w:adjustRightInd w:val="0"/>
              <w:jc w:val="center"/>
            </w:pPr>
            <w:r w:rsidRPr="00D7403C">
              <w:rPr>
                <w:lang w:val="en-AU"/>
              </w:rPr>
              <w:t>-0.038</w:t>
            </w:r>
          </w:p>
        </w:tc>
        <w:tc>
          <w:tcPr>
            <w:tcW w:w="567" w:type="dxa"/>
          </w:tcPr>
          <w:p w14:paraId="1569F5C1" w14:textId="77777777" w:rsidR="00376623" w:rsidRPr="00D7403C" w:rsidRDefault="00376623" w:rsidP="00DC55BD">
            <w:pPr>
              <w:widowControl w:val="0"/>
              <w:autoSpaceDE w:val="0"/>
              <w:autoSpaceDN w:val="0"/>
              <w:adjustRightInd w:val="0"/>
              <w:jc w:val="center"/>
            </w:pPr>
          </w:p>
        </w:tc>
        <w:tc>
          <w:tcPr>
            <w:tcW w:w="850" w:type="dxa"/>
          </w:tcPr>
          <w:p w14:paraId="1D05A59D" w14:textId="77777777" w:rsidR="00376623" w:rsidRPr="00D7403C" w:rsidRDefault="00376623" w:rsidP="00DC55BD">
            <w:pPr>
              <w:widowControl w:val="0"/>
              <w:autoSpaceDE w:val="0"/>
              <w:autoSpaceDN w:val="0"/>
              <w:adjustRightInd w:val="0"/>
              <w:jc w:val="center"/>
            </w:pPr>
            <w:r w:rsidRPr="00D7403C">
              <w:rPr>
                <w:lang w:val="en-AU"/>
              </w:rPr>
              <w:t>0.020</w:t>
            </w:r>
          </w:p>
        </w:tc>
        <w:tc>
          <w:tcPr>
            <w:tcW w:w="1134" w:type="dxa"/>
          </w:tcPr>
          <w:p w14:paraId="7CAF29DC" w14:textId="77777777" w:rsidR="00376623" w:rsidRPr="00D7403C" w:rsidRDefault="00376623" w:rsidP="00DC55BD">
            <w:pPr>
              <w:widowControl w:val="0"/>
              <w:autoSpaceDE w:val="0"/>
              <w:autoSpaceDN w:val="0"/>
              <w:adjustRightInd w:val="0"/>
              <w:jc w:val="center"/>
            </w:pPr>
            <w:r w:rsidRPr="00D7403C">
              <w:rPr>
                <w:lang w:val="en-AU"/>
              </w:rPr>
              <w:t>0.026</w:t>
            </w:r>
          </w:p>
        </w:tc>
        <w:tc>
          <w:tcPr>
            <w:tcW w:w="709" w:type="dxa"/>
          </w:tcPr>
          <w:p w14:paraId="66E5D51B" w14:textId="77777777" w:rsidR="00376623" w:rsidRPr="00D7403C" w:rsidRDefault="00376623" w:rsidP="00DC55BD">
            <w:pPr>
              <w:widowControl w:val="0"/>
              <w:autoSpaceDE w:val="0"/>
              <w:autoSpaceDN w:val="0"/>
              <w:adjustRightInd w:val="0"/>
              <w:jc w:val="center"/>
            </w:pPr>
          </w:p>
        </w:tc>
        <w:tc>
          <w:tcPr>
            <w:tcW w:w="992" w:type="dxa"/>
          </w:tcPr>
          <w:p w14:paraId="1A2D5423" w14:textId="77777777" w:rsidR="00376623" w:rsidRPr="00D7403C" w:rsidRDefault="00376623" w:rsidP="00DC55BD">
            <w:pPr>
              <w:widowControl w:val="0"/>
              <w:autoSpaceDE w:val="0"/>
              <w:autoSpaceDN w:val="0"/>
              <w:adjustRightInd w:val="0"/>
              <w:jc w:val="center"/>
            </w:pPr>
            <w:r w:rsidRPr="00D7403C">
              <w:rPr>
                <w:lang w:val="en-AU"/>
              </w:rPr>
              <w:t>0.020</w:t>
            </w:r>
          </w:p>
        </w:tc>
      </w:tr>
    </w:tbl>
    <w:p w14:paraId="4DE60787" w14:textId="77777777" w:rsidR="00376623" w:rsidRPr="00B03B04" w:rsidRDefault="00376623" w:rsidP="00376623">
      <w:pPr>
        <w:widowControl w:val="0"/>
        <w:autoSpaceDE w:val="0"/>
        <w:autoSpaceDN w:val="0"/>
        <w:adjustRightInd w:val="0"/>
        <w:spacing w:after="0" w:line="240" w:lineRule="auto"/>
        <w:rPr>
          <w:sz w:val="20"/>
        </w:rPr>
      </w:pPr>
      <w:r w:rsidRPr="00B03B04">
        <w:rPr>
          <w:sz w:val="20"/>
        </w:rPr>
        <w:t xml:space="preserve">*** </w:t>
      </w:r>
      <w:r w:rsidRPr="00997EAB">
        <w:rPr>
          <w:i/>
          <w:sz w:val="20"/>
        </w:rPr>
        <w:t>p</w:t>
      </w:r>
      <w:r>
        <w:rPr>
          <w:i/>
          <w:sz w:val="20"/>
        </w:rPr>
        <w:t xml:space="preserve"> </w:t>
      </w:r>
      <w:r w:rsidRPr="00B03B04">
        <w:rPr>
          <w:sz w:val="20"/>
        </w:rPr>
        <w:t>&lt;</w:t>
      </w:r>
      <w:r>
        <w:rPr>
          <w:sz w:val="20"/>
        </w:rPr>
        <w:t xml:space="preserve"> </w:t>
      </w:r>
      <w:r w:rsidRPr="00B03B04">
        <w:rPr>
          <w:sz w:val="20"/>
        </w:rPr>
        <w:t xml:space="preserve">0.01, ** </w:t>
      </w:r>
      <w:r w:rsidRPr="00997EAB">
        <w:rPr>
          <w:i/>
          <w:sz w:val="20"/>
        </w:rPr>
        <w:t>p</w:t>
      </w:r>
      <w:r>
        <w:rPr>
          <w:i/>
          <w:sz w:val="20"/>
        </w:rPr>
        <w:t xml:space="preserve"> </w:t>
      </w:r>
      <w:r w:rsidRPr="00B03B04">
        <w:rPr>
          <w:sz w:val="20"/>
        </w:rPr>
        <w:t>&lt;</w:t>
      </w:r>
      <w:r>
        <w:rPr>
          <w:sz w:val="20"/>
        </w:rPr>
        <w:t xml:space="preserve"> 0.05</w:t>
      </w:r>
    </w:p>
    <w:p w14:paraId="0CBBB158" w14:textId="38EB3F5E" w:rsidR="00376623" w:rsidRDefault="00843FC8" w:rsidP="00376623">
      <w:pPr>
        <w:spacing w:after="0" w:line="240" w:lineRule="auto"/>
        <w:rPr>
          <w:sz w:val="20"/>
          <w:lang w:val="en-US"/>
        </w:rPr>
      </w:pPr>
      <w:r w:rsidRPr="00843FC8">
        <w:rPr>
          <w:sz w:val="20"/>
          <w:highlight w:val="yellow"/>
          <w:lang w:val="en-US"/>
        </w:rPr>
        <w:t>Source: HILDA</w:t>
      </w:r>
    </w:p>
    <w:p w14:paraId="33EABA90" w14:textId="77777777" w:rsidR="00843FC8" w:rsidRDefault="00843FC8" w:rsidP="00376623">
      <w:pPr>
        <w:spacing w:after="0" w:line="240" w:lineRule="auto"/>
        <w:rPr>
          <w:sz w:val="20"/>
          <w:lang w:val="en-US"/>
        </w:rPr>
      </w:pPr>
    </w:p>
    <w:p w14:paraId="1C3C70BD" w14:textId="3388AE37" w:rsidR="00376623" w:rsidRDefault="00376623">
      <w:pPr>
        <w:rPr>
          <w:sz w:val="20"/>
          <w:lang w:val="en-US"/>
        </w:rPr>
      </w:pPr>
      <w:r>
        <w:rPr>
          <w:sz w:val="20"/>
          <w:lang w:val="en-US"/>
        </w:rPr>
        <w:br w:type="page"/>
      </w:r>
    </w:p>
    <w:p w14:paraId="2DE51720" w14:textId="77777777" w:rsidR="00376623" w:rsidRDefault="00376623" w:rsidP="00F438C8">
      <w:pPr>
        <w:spacing w:after="0" w:line="240" w:lineRule="auto"/>
        <w:rPr>
          <w:sz w:val="20"/>
          <w:lang w:val="en-US"/>
        </w:rPr>
      </w:pPr>
    </w:p>
    <w:p w14:paraId="0B81A236" w14:textId="3FF33CC4" w:rsidR="003F26A0" w:rsidRPr="003F26A0" w:rsidRDefault="00740975" w:rsidP="003F26A0">
      <w:pPr>
        <w:spacing w:after="0" w:line="240" w:lineRule="auto"/>
        <w:rPr>
          <w:b/>
          <w:sz w:val="20"/>
          <w:lang w:val="en-US"/>
        </w:rPr>
      </w:pPr>
      <w:r w:rsidRPr="00376623">
        <w:rPr>
          <w:b/>
          <w:sz w:val="20"/>
          <w:highlight w:val="yellow"/>
          <w:lang w:val="en-US"/>
        </w:rPr>
        <w:t>TABLE</w:t>
      </w:r>
      <w:r w:rsidR="00F438C8" w:rsidRPr="00376623">
        <w:rPr>
          <w:b/>
          <w:sz w:val="20"/>
          <w:highlight w:val="yellow"/>
          <w:lang w:val="en-US"/>
        </w:rPr>
        <w:t xml:space="preserve"> 3:</w:t>
      </w:r>
      <w:r w:rsidR="003F26A0" w:rsidRPr="00376623">
        <w:rPr>
          <w:b/>
          <w:sz w:val="20"/>
          <w:highlight w:val="yellow"/>
        </w:rPr>
        <w:t xml:space="preserve"> The effects of religious affiliation on trust</w:t>
      </w:r>
      <w:r w:rsidR="0039792A" w:rsidRPr="00376623">
        <w:rPr>
          <w:b/>
          <w:sz w:val="20"/>
          <w:highlight w:val="yellow"/>
        </w:rPr>
        <w:t>, OLS</w:t>
      </w:r>
      <w:r w:rsidR="00B85959" w:rsidRPr="00376623">
        <w:rPr>
          <w:b/>
          <w:sz w:val="20"/>
          <w:highlight w:val="yellow"/>
        </w:rPr>
        <w:t xml:space="preserve"> (n = 24,984)</w:t>
      </w:r>
    </w:p>
    <w:tbl>
      <w:tblPr>
        <w:tblStyle w:val="TableSimple1"/>
        <w:tblW w:w="8500" w:type="dxa"/>
        <w:tblLayout w:type="fixed"/>
        <w:tblLook w:val="0000" w:firstRow="0" w:lastRow="0" w:firstColumn="0" w:lastColumn="0" w:noHBand="0" w:noVBand="0"/>
      </w:tblPr>
      <w:tblGrid>
        <w:gridCol w:w="3227"/>
        <w:gridCol w:w="1021"/>
        <w:gridCol w:w="567"/>
        <w:gridCol w:w="850"/>
        <w:gridCol w:w="1134"/>
        <w:gridCol w:w="709"/>
        <w:gridCol w:w="992"/>
      </w:tblGrid>
      <w:tr w:rsidR="003F26A0" w:rsidRPr="00B03B04" w14:paraId="4496CAE9" w14:textId="77777777" w:rsidTr="00414262">
        <w:tc>
          <w:tcPr>
            <w:tcW w:w="3227" w:type="dxa"/>
          </w:tcPr>
          <w:p w14:paraId="07389B6E" w14:textId="77777777" w:rsidR="003F26A0" w:rsidRPr="003F26A0" w:rsidRDefault="003F26A0" w:rsidP="006D2577">
            <w:pPr>
              <w:widowControl w:val="0"/>
              <w:autoSpaceDE w:val="0"/>
              <w:autoSpaceDN w:val="0"/>
              <w:adjustRightInd w:val="0"/>
            </w:pPr>
          </w:p>
        </w:tc>
        <w:tc>
          <w:tcPr>
            <w:tcW w:w="2438" w:type="dxa"/>
            <w:gridSpan w:val="3"/>
          </w:tcPr>
          <w:p w14:paraId="21AF8C13" w14:textId="0352D1FD" w:rsidR="003F26A0" w:rsidRPr="003F26A0" w:rsidRDefault="003F26A0" w:rsidP="006D2577">
            <w:pPr>
              <w:widowControl w:val="0"/>
              <w:autoSpaceDE w:val="0"/>
              <w:autoSpaceDN w:val="0"/>
              <w:adjustRightInd w:val="0"/>
              <w:jc w:val="center"/>
              <w:rPr>
                <w:b/>
                <w:u w:val="single"/>
              </w:rPr>
            </w:pPr>
            <w:r w:rsidRPr="003F26A0">
              <w:rPr>
                <w:b/>
                <w:u w:val="single"/>
              </w:rPr>
              <w:t>General Trust</w:t>
            </w:r>
          </w:p>
        </w:tc>
        <w:tc>
          <w:tcPr>
            <w:tcW w:w="2835" w:type="dxa"/>
            <w:gridSpan w:val="3"/>
          </w:tcPr>
          <w:p w14:paraId="669D88D2" w14:textId="075C9B53" w:rsidR="003F26A0" w:rsidRPr="003F26A0" w:rsidRDefault="003F26A0" w:rsidP="006D2577">
            <w:pPr>
              <w:widowControl w:val="0"/>
              <w:autoSpaceDE w:val="0"/>
              <w:autoSpaceDN w:val="0"/>
              <w:adjustRightInd w:val="0"/>
              <w:jc w:val="center"/>
              <w:rPr>
                <w:b/>
                <w:u w:val="single"/>
              </w:rPr>
            </w:pPr>
            <w:r w:rsidRPr="003F26A0">
              <w:rPr>
                <w:b/>
                <w:u w:val="single"/>
              </w:rPr>
              <w:t>Local Trust</w:t>
            </w:r>
          </w:p>
        </w:tc>
      </w:tr>
      <w:tr w:rsidR="003F26A0" w:rsidRPr="00B03B04" w14:paraId="203091AD" w14:textId="77777777" w:rsidTr="00414262">
        <w:tc>
          <w:tcPr>
            <w:tcW w:w="3227" w:type="dxa"/>
          </w:tcPr>
          <w:p w14:paraId="67F338B0" w14:textId="3C91966B" w:rsidR="003F26A0" w:rsidRPr="003F26A0" w:rsidRDefault="003F26A0" w:rsidP="006D2577">
            <w:pPr>
              <w:widowControl w:val="0"/>
              <w:autoSpaceDE w:val="0"/>
              <w:autoSpaceDN w:val="0"/>
              <w:adjustRightInd w:val="0"/>
              <w:rPr>
                <w:b/>
                <w:i/>
              </w:rPr>
            </w:pPr>
            <w:r w:rsidRPr="003F26A0">
              <w:rPr>
                <w:b/>
                <w:i/>
              </w:rPr>
              <w:t>Religious affiliation</w:t>
            </w:r>
          </w:p>
        </w:tc>
        <w:tc>
          <w:tcPr>
            <w:tcW w:w="1021" w:type="dxa"/>
          </w:tcPr>
          <w:p w14:paraId="78D2B54A" w14:textId="77777777" w:rsidR="003F26A0" w:rsidRPr="003F26A0" w:rsidRDefault="003F26A0" w:rsidP="006D2577">
            <w:pPr>
              <w:widowControl w:val="0"/>
              <w:autoSpaceDE w:val="0"/>
              <w:autoSpaceDN w:val="0"/>
              <w:adjustRightInd w:val="0"/>
              <w:jc w:val="center"/>
              <w:rPr>
                <w:b/>
              </w:rPr>
            </w:pPr>
            <w:r w:rsidRPr="003F26A0">
              <w:rPr>
                <w:b/>
              </w:rPr>
              <w:t>β</w:t>
            </w:r>
          </w:p>
        </w:tc>
        <w:tc>
          <w:tcPr>
            <w:tcW w:w="567" w:type="dxa"/>
          </w:tcPr>
          <w:p w14:paraId="4681D3AA" w14:textId="77777777" w:rsidR="003F26A0" w:rsidRPr="003F26A0" w:rsidRDefault="003F26A0" w:rsidP="006D2577">
            <w:pPr>
              <w:widowControl w:val="0"/>
              <w:autoSpaceDE w:val="0"/>
              <w:autoSpaceDN w:val="0"/>
              <w:adjustRightInd w:val="0"/>
              <w:jc w:val="center"/>
              <w:rPr>
                <w:b/>
              </w:rPr>
            </w:pPr>
          </w:p>
        </w:tc>
        <w:tc>
          <w:tcPr>
            <w:tcW w:w="850" w:type="dxa"/>
          </w:tcPr>
          <w:p w14:paraId="7DA1FD4A" w14:textId="77777777" w:rsidR="003F26A0" w:rsidRPr="003F26A0" w:rsidRDefault="003F26A0" w:rsidP="006D2577">
            <w:pPr>
              <w:widowControl w:val="0"/>
              <w:autoSpaceDE w:val="0"/>
              <w:autoSpaceDN w:val="0"/>
              <w:adjustRightInd w:val="0"/>
              <w:jc w:val="center"/>
              <w:rPr>
                <w:b/>
              </w:rPr>
            </w:pPr>
            <w:r w:rsidRPr="003F26A0">
              <w:rPr>
                <w:b/>
              </w:rPr>
              <w:t>SE</w:t>
            </w:r>
          </w:p>
        </w:tc>
        <w:tc>
          <w:tcPr>
            <w:tcW w:w="1134" w:type="dxa"/>
          </w:tcPr>
          <w:p w14:paraId="4A7F0C99" w14:textId="77777777" w:rsidR="003F26A0" w:rsidRPr="003F26A0" w:rsidRDefault="003F26A0" w:rsidP="006D2577">
            <w:pPr>
              <w:widowControl w:val="0"/>
              <w:autoSpaceDE w:val="0"/>
              <w:autoSpaceDN w:val="0"/>
              <w:adjustRightInd w:val="0"/>
              <w:jc w:val="center"/>
              <w:rPr>
                <w:b/>
              </w:rPr>
            </w:pPr>
            <w:r w:rsidRPr="003F26A0">
              <w:rPr>
                <w:b/>
              </w:rPr>
              <w:t>β</w:t>
            </w:r>
          </w:p>
        </w:tc>
        <w:tc>
          <w:tcPr>
            <w:tcW w:w="709" w:type="dxa"/>
          </w:tcPr>
          <w:p w14:paraId="07132838" w14:textId="77777777" w:rsidR="003F26A0" w:rsidRPr="003F26A0" w:rsidRDefault="003F26A0" w:rsidP="006D2577">
            <w:pPr>
              <w:widowControl w:val="0"/>
              <w:autoSpaceDE w:val="0"/>
              <w:autoSpaceDN w:val="0"/>
              <w:adjustRightInd w:val="0"/>
              <w:jc w:val="center"/>
              <w:rPr>
                <w:b/>
              </w:rPr>
            </w:pPr>
          </w:p>
        </w:tc>
        <w:tc>
          <w:tcPr>
            <w:tcW w:w="992" w:type="dxa"/>
          </w:tcPr>
          <w:p w14:paraId="04FAAFA2" w14:textId="77777777" w:rsidR="003F26A0" w:rsidRPr="003F26A0" w:rsidRDefault="003F26A0" w:rsidP="006D2577">
            <w:pPr>
              <w:widowControl w:val="0"/>
              <w:autoSpaceDE w:val="0"/>
              <w:autoSpaceDN w:val="0"/>
              <w:adjustRightInd w:val="0"/>
              <w:jc w:val="center"/>
              <w:rPr>
                <w:b/>
              </w:rPr>
            </w:pPr>
            <w:r w:rsidRPr="003F26A0">
              <w:rPr>
                <w:b/>
              </w:rPr>
              <w:t>SE</w:t>
            </w:r>
          </w:p>
        </w:tc>
      </w:tr>
      <w:tr w:rsidR="00185B89" w:rsidRPr="00B03B04" w14:paraId="598A4BE9" w14:textId="77777777" w:rsidTr="00414262">
        <w:tc>
          <w:tcPr>
            <w:tcW w:w="3227" w:type="dxa"/>
          </w:tcPr>
          <w:p w14:paraId="025159B1" w14:textId="21E651C1" w:rsidR="00185B89" w:rsidRPr="003F26A0" w:rsidRDefault="00185B89" w:rsidP="00185B89">
            <w:pPr>
              <w:widowControl w:val="0"/>
              <w:autoSpaceDE w:val="0"/>
              <w:autoSpaceDN w:val="0"/>
              <w:adjustRightInd w:val="0"/>
            </w:pPr>
            <w:r w:rsidRPr="00E95A5E">
              <w:rPr>
                <w:color w:val="000000"/>
              </w:rPr>
              <w:t>Jews</w:t>
            </w:r>
          </w:p>
        </w:tc>
        <w:tc>
          <w:tcPr>
            <w:tcW w:w="1021" w:type="dxa"/>
          </w:tcPr>
          <w:p w14:paraId="05EA857D" w14:textId="393D48F3" w:rsidR="00185B89" w:rsidRPr="003F26A0" w:rsidRDefault="00185B89" w:rsidP="00185B89">
            <w:pPr>
              <w:widowControl w:val="0"/>
              <w:autoSpaceDE w:val="0"/>
              <w:autoSpaceDN w:val="0"/>
              <w:adjustRightInd w:val="0"/>
              <w:jc w:val="center"/>
            </w:pPr>
            <w:r>
              <w:t>-0.110</w:t>
            </w:r>
          </w:p>
        </w:tc>
        <w:tc>
          <w:tcPr>
            <w:tcW w:w="567" w:type="dxa"/>
          </w:tcPr>
          <w:p w14:paraId="110FCA02" w14:textId="16D773D8" w:rsidR="00185B89" w:rsidRPr="003F26A0" w:rsidRDefault="00185B89" w:rsidP="00185B89">
            <w:pPr>
              <w:widowControl w:val="0"/>
              <w:autoSpaceDE w:val="0"/>
              <w:autoSpaceDN w:val="0"/>
              <w:adjustRightInd w:val="0"/>
              <w:jc w:val="center"/>
            </w:pPr>
          </w:p>
        </w:tc>
        <w:tc>
          <w:tcPr>
            <w:tcW w:w="850" w:type="dxa"/>
          </w:tcPr>
          <w:p w14:paraId="25C55EAC" w14:textId="573241DE" w:rsidR="00185B89" w:rsidRPr="003F26A0" w:rsidRDefault="00185B89" w:rsidP="00185B89">
            <w:pPr>
              <w:widowControl w:val="0"/>
              <w:autoSpaceDE w:val="0"/>
              <w:autoSpaceDN w:val="0"/>
              <w:adjustRightInd w:val="0"/>
              <w:jc w:val="center"/>
            </w:pPr>
            <w:r>
              <w:t>0.134</w:t>
            </w:r>
          </w:p>
        </w:tc>
        <w:tc>
          <w:tcPr>
            <w:tcW w:w="1134" w:type="dxa"/>
          </w:tcPr>
          <w:p w14:paraId="1FCDC0AB" w14:textId="4EA42548" w:rsidR="00185B89" w:rsidRPr="003F26A0" w:rsidRDefault="00185B89" w:rsidP="00185B89">
            <w:pPr>
              <w:widowControl w:val="0"/>
              <w:autoSpaceDE w:val="0"/>
              <w:autoSpaceDN w:val="0"/>
              <w:adjustRightInd w:val="0"/>
              <w:jc w:val="center"/>
            </w:pPr>
            <w:r>
              <w:t>-0.089</w:t>
            </w:r>
          </w:p>
        </w:tc>
        <w:tc>
          <w:tcPr>
            <w:tcW w:w="709" w:type="dxa"/>
          </w:tcPr>
          <w:p w14:paraId="33652997" w14:textId="153DBB3B" w:rsidR="00185B89" w:rsidRPr="003F26A0" w:rsidRDefault="00185B89" w:rsidP="00185B89">
            <w:pPr>
              <w:widowControl w:val="0"/>
              <w:autoSpaceDE w:val="0"/>
              <w:autoSpaceDN w:val="0"/>
              <w:adjustRightInd w:val="0"/>
              <w:jc w:val="center"/>
            </w:pPr>
          </w:p>
        </w:tc>
        <w:tc>
          <w:tcPr>
            <w:tcW w:w="992" w:type="dxa"/>
          </w:tcPr>
          <w:p w14:paraId="4AF9504C" w14:textId="62180567" w:rsidR="00185B89" w:rsidRPr="003F26A0" w:rsidRDefault="00185B89" w:rsidP="00185B89">
            <w:pPr>
              <w:widowControl w:val="0"/>
              <w:autoSpaceDE w:val="0"/>
              <w:autoSpaceDN w:val="0"/>
              <w:adjustRightInd w:val="0"/>
              <w:jc w:val="center"/>
            </w:pPr>
            <w:r>
              <w:t>0.150</w:t>
            </w:r>
          </w:p>
        </w:tc>
      </w:tr>
      <w:tr w:rsidR="00185B89" w:rsidRPr="00B03B04" w14:paraId="48B2A018" w14:textId="77777777" w:rsidTr="00414262">
        <w:tc>
          <w:tcPr>
            <w:tcW w:w="3227" w:type="dxa"/>
          </w:tcPr>
          <w:p w14:paraId="298F1924" w14:textId="1BDB0B8B" w:rsidR="00185B89" w:rsidRPr="003F26A0" w:rsidRDefault="00185B89" w:rsidP="00185B89">
            <w:pPr>
              <w:widowControl w:val="0"/>
              <w:autoSpaceDE w:val="0"/>
              <w:autoSpaceDN w:val="0"/>
              <w:adjustRightInd w:val="0"/>
            </w:pPr>
            <w:r w:rsidRPr="00E95A5E">
              <w:rPr>
                <w:color w:val="000000"/>
              </w:rPr>
              <w:t>Catholics</w:t>
            </w:r>
          </w:p>
        </w:tc>
        <w:tc>
          <w:tcPr>
            <w:tcW w:w="1021" w:type="dxa"/>
          </w:tcPr>
          <w:p w14:paraId="71C43857" w14:textId="3126E5A9" w:rsidR="00185B89" w:rsidRPr="003F26A0" w:rsidRDefault="00185B89" w:rsidP="00185B89">
            <w:pPr>
              <w:widowControl w:val="0"/>
              <w:autoSpaceDE w:val="0"/>
              <w:autoSpaceDN w:val="0"/>
              <w:adjustRightInd w:val="0"/>
              <w:jc w:val="center"/>
            </w:pPr>
            <w:r>
              <w:t>-0.015</w:t>
            </w:r>
          </w:p>
        </w:tc>
        <w:tc>
          <w:tcPr>
            <w:tcW w:w="567" w:type="dxa"/>
          </w:tcPr>
          <w:p w14:paraId="0FB25FA3" w14:textId="3F74CD19" w:rsidR="00185B89" w:rsidRPr="003F26A0" w:rsidRDefault="00185B89" w:rsidP="00185B89">
            <w:pPr>
              <w:widowControl w:val="0"/>
              <w:autoSpaceDE w:val="0"/>
              <w:autoSpaceDN w:val="0"/>
              <w:adjustRightInd w:val="0"/>
              <w:jc w:val="center"/>
            </w:pPr>
          </w:p>
        </w:tc>
        <w:tc>
          <w:tcPr>
            <w:tcW w:w="850" w:type="dxa"/>
          </w:tcPr>
          <w:p w14:paraId="490BB7C5" w14:textId="3E15B32C" w:rsidR="00185B89" w:rsidRPr="003F26A0" w:rsidRDefault="00185B89" w:rsidP="00185B89">
            <w:pPr>
              <w:widowControl w:val="0"/>
              <w:autoSpaceDE w:val="0"/>
              <w:autoSpaceDN w:val="0"/>
              <w:adjustRightInd w:val="0"/>
              <w:jc w:val="center"/>
            </w:pPr>
            <w:r>
              <w:t>0.023</w:t>
            </w:r>
          </w:p>
        </w:tc>
        <w:tc>
          <w:tcPr>
            <w:tcW w:w="1134" w:type="dxa"/>
          </w:tcPr>
          <w:p w14:paraId="6195EC50" w14:textId="0A371214" w:rsidR="00185B89" w:rsidRPr="003F26A0" w:rsidRDefault="00185B89" w:rsidP="00185B89">
            <w:pPr>
              <w:widowControl w:val="0"/>
              <w:autoSpaceDE w:val="0"/>
              <w:autoSpaceDN w:val="0"/>
              <w:adjustRightInd w:val="0"/>
              <w:jc w:val="center"/>
            </w:pPr>
            <w:r>
              <w:t>0.036</w:t>
            </w:r>
          </w:p>
        </w:tc>
        <w:tc>
          <w:tcPr>
            <w:tcW w:w="709" w:type="dxa"/>
          </w:tcPr>
          <w:p w14:paraId="4F979A8B" w14:textId="149D30E1" w:rsidR="00185B89" w:rsidRPr="003F26A0" w:rsidRDefault="00185B89" w:rsidP="00185B89">
            <w:pPr>
              <w:widowControl w:val="0"/>
              <w:autoSpaceDE w:val="0"/>
              <w:autoSpaceDN w:val="0"/>
              <w:adjustRightInd w:val="0"/>
              <w:jc w:val="center"/>
            </w:pPr>
          </w:p>
        </w:tc>
        <w:tc>
          <w:tcPr>
            <w:tcW w:w="992" w:type="dxa"/>
          </w:tcPr>
          <w:p w14:paraId="0610AC67" w14:textId="4E94196F" w:rsidR="00185B89" w:rsidRPr="003F26A0" w:rsidRDefault="00185B89" w:rsidP="00185B89">
            <w:pPr>
              <w:widowControl w:val="0"/>
              <w:autoSpaceDE w:val="0"/>
              <w:autoSpaceDN w:val="0"/>
              <w:adjustRightInd w:val="0"/>
              <w:jc w:val="center"/>
            </w:pPr>
            <w:r>
              <w:t>0.024</w:t>
            </w:r>
          </w:p>
        </w:tc>
      </w:tr>
      <w:tr w:rsidR="00185B89" w:rsidRPr="00B03B04" w14:paraId="5ADD5E36" w14:textId="77777777" w:rsidTr="00414262">
        <w:tc>
          <w:tcPr>
            <w:tcW w:w="3227" w:type="dxa"/>
          </w:tcPr>
          <w:p w14:paraId="07B486CC" w14:textId="3D569057" w:rsidR="00185B89" w:rsidRPr="003F26A0" w:rsidRDefault="00185B89" w:rsidP="00185B89">
            <w:pPr>
              <w:widowControl w:val="0"/>
              <w:autoSpaceDE w:val="0"/>
              <w:autoSpaceDN w:val="0"/>
              <w:adjustRightInd w:val="0"/>
            </w:pPr>
            <w:r w:rsidRPr="00E95A5E">
              <w:rPr>
                <w:color w:val="000000"/>
              </w:rPr>
              <w:t>Anglican</w:t>
            </w:r>
          </w:p>
        </w:tc>
        <w:tc>
          <w:tcPr>
            <w:tcW w:w="1021" w:type="dxa"/>
          </w:tcPr>
          <w:p w14:paraId="33A3FDED" w14:textId="4B4000D9" w:rsidR="00185B89" w:rsidRPr="003F26A0" w:rsidRDefault="00185B89" w:rsidP="00185B89">
            <w:pPr>
              <w:widowControl w:val="0"/>
              <w:autoSpaceDE w:val="0"/>
              <w:autoSpaceDN w:val="0"/>
              <w:adjustRightInd w:val="0"/>
              <w:jc w:val="center"/>
            </w:pPr>
            <w:r>
              <w:t>0.005</w:t>
            </w:r>
          </w:p>
        </w:tc>
        <w:tc>
          <w:tcPr>
            <w:tcW w:w="567" w:type="dxa"/>
          </w:tcPr>
          <w:p w14:paraId="35514151" w14:textId="22ABF19F" w:rsidR="00185B89" w:rsidRPr="003F26A0" w:rsidRDefault="00185B89" w:rsidP="00185B89">
            <w:pPr>
              <w:widowControl w:val="0"/>
              <w:autoSpaceDE w:val="0"/>
              <w:autoSpaceDN w:val="0"/>
              <w:adjustRightInd w:val="0"/>
              <w:jc w:val="center"/>
            </w:pPr>
          </w:p>
        </w:tc>
        <w:tc>
          <w:tcPr>
            <w:tcW w:w="850" w:type="dxa"/>
          </w:tcPr>
          <w:p w14:paraId="0943A090" w14:textId="61876A6F" w:rsidR="00185B89" w:rsidRPr="003F26A0" w:rsidRDefault="00185B89" w:rsidP="00185B89">
            <w:pPr>
              <w:widowControl w:val="0"/>
              <w:autoSpaceDE w:val="0"/>
              <w:autoSpaceDN w:val="0"/>
              <w:adjustRightInd w:val="0"/>
              <w:jc w:val="center"/>
            </w:pPr>
            <w:r>
              <w:t>0.024</w:t>
            </w:r>
          </w:p>
        </w:tc>
        <w:tc>
          <w:tcPr>
            <w:tcW w:w="1134" w:type="dxa"/>
          </w:tcPr>
          <w:p w14:paraId="02736984" w14:textId="7DBD3159" w:rsidR="00185B89" w:rsidRPr="003F26A0" w:rsidRDefault="00185B89" w:rsidP="00185B89">
            <w:pPr>
              <w:widowControl w:val="0"/>
              <w:autoSpaceDE w:val="0"/>
              <w:autoSpaceDN w:val="0"/>
              <w:adjustRightInd w:val="0"/>
              <w:jc w:val="center"/>
            </w:pPr>
            <w:r>
              <w:t>0.076</w:t>
            </w:r>
          </w:p>
        </w:tc>
        <w:tc>
          <w:tcPr>
            <w:tcW w:w="709" w:type="dxa"/>
          </w:tcPr>
          <w:p w14:paraId="20A39F15" w14:textId="49535C29" w:rsidR="00185B89" w:rsidRPr="003F26A0" w:rsidRDefault="00185B89" w:rsidP="00185B89">
            <w:pPr>
              <w:widowControl w:val="0"/>
              <w:autoSpaceDE w:val="0"/>
              <w:autoSpaceDN w:val="0"/>
              <w:adjustRightInd w:val="0"/>
              <w:jc w:val="center"/>
            </w:pPr>
            <w:r>
              <w:t>**</w:t>
            </w:r>
            <w:r w:rsidR="00615350">
              <w:t>*</w:t>
            </w:r>
          </w:p>
        </w:tc>
        <w:tc>
          <w:tcPr>
            <w:tcW w:w="992" w:type="dxa"/>
          </w:tcPr>
          <w:p w14:paraId="401AAFF7" w14:textId="22A08913" w:rsidR="00185B89" w:rsidRPr="003F26A0" w:rsidRDefault="00185B89" w:rsidP="00185B89">
            <w:pPr>
              <w:widowControl w:val="0"/>
              <w:autoSpaceDE w:val="0"/>
              <w:autoSpaceDN w:val="0"/>
              <w:adjustRightInd w:val="0"/>
              <w:jc w:val="center"/>
            </w:pPr>
            <w:r>
              <w:t>0.026</w:t>
            </w:r>
          </w:p>
        </w:tc>
      </w:tr>
      <w:tr w:rsidR="00185B89" w:rsidRPr="00B03B04" w14:paraId="70C4AB25" w14:textId="77777777" w:rsidTr="00414262">
        <w:tc>
          <w:tcPr>
            <w:tcW w:w="3227" w:type="dxa"/>
          </w:tcPr>
          <w:p w14:paraId="79742264" w14:textId="3CEC1FF7" w:rsidR="00185B89" w:rsidRPr="003F26A0" w:rsidRDefault="00185B89" w:rsidP="00185B89">
            <w:pPr>
              <w:widowControl w:val="0"/>
              <w:autoSpaceDE w:val="0"/>
              <w:autoSpaceDN w:val="0"/>
              <w:adjustRightInd w:val="0"/>
            </w:pPr>
            <w:r w:rsidRPr="00E95A5E">
              <w:rPr>
                <w:lang w:val="en-US"/>
              </w:rPr>
              <w:t>Council of Churches</w:t>
            </w:r>
          </w:p>
        </w:tc>
        <w:tc>
          <w:tcPr>
            <w:tcW w:w="1021" w:type="dxa"/>
          </w:tcPr>
          <w:p w14:paraId="7758624B" w14:textId="0E5F60EF" w:rsidR="00185B89" w:rsidRPr="003F26A0" w:rsidRDefault="00185B89" w:rsidP="00185B89">
            <w:pPr>
              <w:widowControl w:val="0"/>
              <w:autoSpaceDE w:val="0"/>
              <w:autoSpaceDN w:val="0"/>
              <w:adjustRightInd w:val="0"/>
              <w:jc w:val="center"/>
            </w:pPr>
            <w:r>
              <w:t>0.061</w:t>
            </w:r>
          </w:p>
        </w:tc>
        <w:tc>
          <w:tcPr>
            <w:tcW w:w="567" w:type="dxa"/>
          </w:tcPr>
          <w:p w14:paraId="14BFBCC7" w14:textId="60050B84" w:rsidR="00185B89" w:rsidRPr="003F26A0" w:rsidRDefault="00185B89" w:rsidP="00185B89">
            <w:pPr>
              <w:widowControl w:val="0"/>
              <w:autoSpaceDE w:val="0"/>
              <w:autoSpaceDN w:val="0"/>
              <w:adjustRightInd w:val="0"/>
              <w:jc w:val="center"/>
            </w:pPr>
            <w:r>
              <w:t>**</w:t>
            </w:r>
          </w:p>
        </w:tc>
        <w:tc>
          <w:tcPr>
            <w:tcW w:w="850" w:type="dxa"/>
          </w:tcPr>
          <w:p w14:paraId="1AB9D691" w14:textId="230B2128" w:rsidR="00185B89" w:rsidRPr="003F26A0" w:rsidRDefault="00185B89" w:rsidP="00185B89">
            <w:pPr>
              <w:widowControl w:val="0"/>
              <w:autoSpaceDE w:val="0"/>
              <w:autoSpaceDN w:val="0"/>
              <w:adjustRightInd w:val="0"/>
              <w:jc w:val="center"/>
            </w:pPr>
            <w:r>
              <w:t>0.030</w:t>
            </w:r>
          </w:p>
        </w:tc>
        <w:tc>
          <w:tcPr>
            <w:tcW w:w="1134" w:type="dxa"/>
          </w:tcPr>
          <w:p w14:paraId="66693BF6" w14:textId="5E1B2A5A" w:rsidR="00185B89" w:rsidRPr="003F26A0" w:rsidRDefault="00185B89" w:rsidP="00185B89">
            <w:pPr>
              <w:widowControl w:val="0"/>
              <w:autoSpaceDE w:val="0"/>
              <w:autoSpaceDN w:val="0"/>
              <w:adjustRightInd w:val="0"/>
              <w:jc w:val="center"/>
            </w:pPr>
            <w:r>
              <w:t>0.173</w:t>
            </w:r>
          </w:p>
        </w:tc>
        <w:tc>
          <w:tcPr>
            <w:tcW w:w="709" w:type="dxa"/>
          </w:tcPr>
          <w:p w14:paraId="6E2E2A8D" w14:textId="081128FA" w:rsidR="00185B89" w:rsidRPr="003F26A0" w:rsidRDefault="00185B89" w:rsidP="00185B89">
            <w:pPr>
              <w:widowControl w:val="0"/>
              <w:autoSpaceDE w:val="0"/>
              <w:autoSpaceDN w:val="0"/>
              <w:adjustRightInd w:val="0"/>
              <w:jc w:val="center"/>
            </w:pPr>
            <w:r>
              <w:t>**</w:t>
            </w:r>
            <w:r w:rsidR="00615350">
              <w:t>*</w:t>
            </w:r>
          </w:p>
        </w:tc>
        <w:tc>
          <w:tcPr>
            <w:tcW w:w="992" w:type="dxa"/>
          </w:tcPr>
          <w:p w14:paraId="7C23496C" w14:textId="03B757E7" w:rsidR="00185B89" w:rsidRPr="003F26A0" w:rsidRDefault="00185B89" w:rsidP="00185B89">
            <w:pPr>
              <w:widowControl w:val="0"/>
              <w:autoSpaceDE w:val="0"/>
              <w:autoSpaceDN w:val="0"/>
              <w:adjustRightInd w:val="0"/>
              <w:jc w:val="center"/>
            </w:pPr>
            <w:r>
              <w:t>0.032</w:t>
            </w:r>
          </w:p>
        </w:tc>
      </w:tr>
      <w:tr w:rsidR="00185B89" w:rsidRPr="00B03B04" w14:paraId="23558BC0" w14:textId="77777777" w:rsidTr="00414262">
        <w:tc>
          <w:tcPr>
            <w:tcW w:w="3227" w:type="dxa"/>
          </w:tcPr>
          <w:p w14:paraId="43E68E79" w14:textId="49930FB6" w:rsidR="00185B89" w:rsidRPr="003F26A0" w:rsidRDefault="00185B89" w:rsidP="00185B89">
            <w:pPr>
              <w:widowControl w:val="0"/>
              <w:autoSpaceDE w:val="0"/>
              <w:autoSpaceDN w:val="0"/>
              <w:adjustRightInd w:val="0"/>
              <w:rPr>
                <w:b/>
                <w:i/>
              </w:rPr>
            </w:pPr>
            <w:r w:rsidRPr="00E95A5E">
              <w:rPr>
                <w:color w:val="000000"/>
              </w:rPr>
              <w:t>Non-Council of Churches</w:t>
            </w:r>
          </w:p>
        </w:tc>
        <w:tc>
          <w:tcPr>
            <w:tcW w:w="1021" w:type="dxa"/>
          </w:tcPr>
          <w:p w14:paraId="7EF47E50" w14:textId="006942CA" w:rsidR="00185B89" w:rsidRPr="003F26A0" w:rsidRDefault="00185B89" w:rsidP="00185B89">
            <w:pPr>
              <w:widowControl w:val="0"/>
              <w:autoSpaceDE w:val="0"/>
              <w:autoSpaceDN w:val="0"/>
              <w:adjustRightInd w:val="0"/>
              <w:jc w:val="center"/>
            </w:pPr>
            <w:r>
              <w:t>-0.097</w:t>
            </w:r>
          </w:p>
        </w:tc>
        <w:tc>
          <w:tcPr>
            <w:tcW w:w="567" w:type="dxa"/>
          </w:tcPr>
          <w:p w14:paraId="049EB269" w14:textId="00BFFA76" w:rsidR="00185B89" w:rsidRPr="003F26A0" w:rsidRDefault="00185B89" w:rsidP="00185B89">
            <w:pPr>
              <w:widowControl w:val="0"/>
              <w:autoSpaceDE w:val="0"/>
              <w:autoSpaceDN w:val="0"/>
              <w:adjustRightInd w:val="0"/>
              <w:jc w:val="center"/>
            </w:pPr>
            <w:r>
              <w:t>**</w:t>
            </w:r>
            <w:r w:rsidR="00615350">
              <w:t>*</w:t>
            </w:r>
          </w:p>
        </w:tc>
        <w:tc>
          <w:tcPr>
            <w:tcW w:w="850" w:type="dxa"/>
          </w:tcPr>
          <w:p w14:paraId="572F169F" w14:textId="7D03C688" w:rsidR="00185B89" w:rsidRPr="003F26A0" w:rsidRDefault="00185B89" w:rsidP="00185B89">
            <w:pPr>
              <w:widowControl w:val="0"/>
              <w:autoSpaceDE w:val="0"/>
              <w:autoSpaceDN w:val="0"/>
              <w:adjustRightInd w:val="0"/>
              <w:jc w:val="center"/>
            </w:pPr>
            <w:r>
              <w:t>0.032</w:t>
            </w:r>
          </w:p>
        </w:tc>
        <w:tc>
          <w:tcPr>
            <w:tcW w:w="1134" w:type="dxa"/>
          </w:tcPr>
          <w:p w14:paraId="4483BF9B" w14:textId="5334A4D2" w:rsidR="00185B89" w:rsidRPr="003F26A0" w:rsidRDefault="00185B89" w:rsidP="00185B89">
            <w:pPr>
              <w:widowControl w:val="0"/>
              <w:autoSpaceDE w:val="0"/>
              <w:autoSpaceDN w:val="0"/>
              <w:adjustRightInd w:val="0"/>
              <w:jc w:val="center"/>
            </w:pPr>
            <w:r>
              <w:t>-0.044</w:t>
            </w:r>
          </w:p>
        </w:tc>
        <w:tc>
          <w:tcPr>
            <w:tcW w:w="709" w:type="dxa"/>
          </w:tcPr>
          <w:p w14:paraId="0D5A8217" w14:textId="77777777" w:rsidR="00185B89" w:rsidRPr="003F26A0" w:rsidRDefault="00185B89" w:rsidP="00185B89">
            <w:pPr>
              <w:widowControl w:val="0"/>
              <w:autoSpaceDE w:val="0"/>
              <w:autoSpaceDN w:val="0"/>
              <w:adjustRightInd w:val="0"/>
              <w:jc w:val="center"/>
            </w:pPr>
          </w:p>
        </w:tc>
        <w:tc>
          <w:tcPr>
            <w:tcW w:w="992" w:type="dxa"/>
          </w:tcPr>
          <w:p w14:paraId="643D6B98" w14:textId="2BB3DCA9" w:rsidR="00185B89" w:rsidRPr="003F26A0" w:rsidRDefault="00185B89" w:rsidP="00185B89">
            <w:pPr>
              <w:widowControl w:val="0"/>
              <w:autoSpaceDE w:val="0"/>
              <w:autoSpaceDN w:val="0"/>
              <w:adjustRightInd w:val="0"/>
              <w:jc w:val="center"/>
            </w:pPr>
            <w:r>
              <w:t>0.033</w:t>
            </w:r>
          </w:p>
        </w:tc>
      </w:tr>
      <w:tr w:rsidR="00185B89" w:rsidRPr="00B03B04" w14:paraId="79AFFE51" w14:textId="77777777" w:rsidTr="00414262">
        <w:tc>
          <w:tcPr>
            <w:tcW w:w="3227" w:type="dxa"/>
          </w:tcPr>
          <w:p w14:paraId="23DEFCF3" w14:textId="29CE8FD0" w:rsidR="00185B89" w:rsidRPr="003F26A0" w:rsidRDefault="00185B89" w:rsidP="00185B89">
            <w:pPr>
              <w:widowControl w:val="0"/>
              <w:autoSpaceDE w:val="0"/>
              <w:autoSpaceDN w:val="0"/>
              <w:adjustRightInd w:val="0"/>
            </w:pPr>
            <w:r>
              <w:rPr>
                <w:color w:val="000000"/>
              </w:rPr>
              <w:t>N</w:t>
            </w:r>
            <w:r w:rsidRPr="00E95A5E">
              <w:rPr>
                <w:color w:val="000000"/>
              </w:rPr>
              <w:t>on-Christians</w:t>
            </w:r>
          </w:p>
        </w:tc>
        <w:tc>
          <w:tcPr>
            <w:tcW w:w="1021" w:type="dxa"/>
          </w:tcPr>
          <w:p w14:paraId="3C9AB298" w14:textId="2057BAD7" w:rsidR="00185B89" w:rsidRPr="003F26A0" w:rsidRDefault="00185B89" w:rsidP="00185B89">
            <w:pPr>
              <w:widowControl w:val="0"/>
              <w:autoSpaceDE w:val="0"/>
              <w:autoSpaceDN w:val="0"/>
              <w:adjustRightInd w:val="0"/>
              <w:jc w:val="center"/>
            </w:pPr>
            <w:r>
              <w:t>-0.099</w:t>
            </w:r>
          </w:p>
        </w:tc>
        <w:tc>
          <w:tcPr>
            <w:tcW w:w="567" w:type="dxa"/>
          </w:tcPr>
          <w:p w14:paraId="15C25387" w14:textId="5DC30F9B" w:rsidR="00185B89" w:rsidRPr="003F26A0" w:rsidRDefault="00185B89" w:rsidP="00185B89">
            <w:pPr>
              <w:widowControl w:val="0"/>
              <w:autoSpaceDE w:val="0"/>
              <w:autoSpaceDN w:val="0"/>
              <w:adjustRightInd w:val="0"/>
              <w:jc w:val="center"/>
            </w:pPr>
          </w:p>
        </w:tc>
        <w:tc>
          <w:tcPr>
            <w:tcW w:w="850" w:type="dxa"/>
          </w:tcPr>
          <w:p w14:paraId="5B0B2182" w14:textId="14E448CB" w:rsidR="00185B89" w:rsidRPr="003F26A0" w:rsidRDefault="00185B89" w:rsidP="00185B89">
            <w:pPr>
              <w:widowControl w:val="0"/>
              <w:autoSpaceDE w:val="0"/>
              <w:autoSpaceDN w:val="0"/>
              <w:adjustRightInd w:val="0"/>
              <w:jc w:val="center"/>
            </w:pPr>
            <w:r>
              <w:t>0.055</w:t>
            </w:r>
          </w:p>
        </w:tc>
        <w:tc>
          <w:tcPr>
            <w:tcW w:w="1134" w:type="dxa"/>
          </w:tcPr>
          <w:p w14:paraId="55114C4C" w14:textId="25A3FC3C" w:rsidR="00185B89" w:rsidRPr="003F26A0" w:rsidRDefault="00185B89" w:rsidP="00185B89">
            <w:pPr>
              <w:widowControl w:val="0"/>
              <w:autoSpaceDE w:val="0"/>
              <w:autoSpaceDN w:val="0"/>
              <w:adjustRightInd w:val="0"/>
              <w:jc w:val="center"/>
            </w:pPr>
            <w:r>
              <w:t>0.080</w:t>
            </w:r>
          </w:p>
        </w:tc>
        <w:tc>
          <w:tcPr>
            <w:tcW w:w="709" w:type="dxa"/>
          </w:tcPr>
          <w:p w14:paraId="13A8D1CF" w14:textId="5AE9F342" w:rsidR="00185B89" w:rsidRPr="003F26A0" w:rsidRDefault="00185B89" w:rsidP="00185B89">
            <w:pPr>
              <w:widowControl w:val="0"/>
              <w:autoSpaceDE w:val="0"/>
              <w:autoSpaceDN w:val="0"/>
              <w:adjustRightInd w:val="0"/>
              <w:jc w:val="center"/>
            </w:pPr>
          </w:p>
        </w:tc>
        <w:tc>
          <w:tcPr>
            <w:tcW w:w="992" w:type="dxa"/>
          </w:tcPr>
          <w:p w14:paraId="4E85AFA4" w14:textId="2E250B86" w:rsidR="00185B89" w:rsidRPr="003F26A0" w:rsidRDefault="00185B89" w:rsidP="00185B89">
            <w:pPr>
              <w:widowControl w:val="0"/>
              <w:autoSpaceDE w:val="0"/>
              <w:autoSpaceDN w:val="0"/>
              <w:adjustRightInd w:val="0"/>
              <w:jc w:val="center"/>
            </w:pPr>
            <w:r>
              <w:t>0.056</w:t>
            </w:r>
          </w:p>
        </w:tc>
      </w:tr>
      <w:tr w:rsidR="00185B89" w:rsidRPr="00B03B04" w14:paraId="24AEF098" w14:textId="77777777" w:rsidTr="00414262">
        <w:tc>
          <w:tcPr>
            <w:tcW w:w="3227" w:type="dxa"/>
          </w:tcPr>
          <w:p w14:paraId="6FBC5E29" w14:textId="746FD81B" w:rsidR="00185B89" w:rsidRPr="003F26A0" w:rsidRDefault="00185B89" w:rsidP="00185B89">
            <w:pPr>
              <w:widowControl w:val="0"/>
              <w:autoSpaceDE w:val="0"/>
              <w:autoSpaceDN w:val="0"/>
              <w:adjustRightInd w:val="0"/>
            </w:pPr>
            <w:r w:rsidRPr="00E95A5E">
              <w:rPr>
                <w:color w:val="000000"/>
              </w:rPr>
              <w:t>Muslim</w:t>
            </w:r>
          </w:p>
        </w:tc>
        <w:tc>
          <w:tcPr>
            <w:tcW w:w="1021" w:type="dxa"/>
          </w:tcPr>
          <w:p w14:paraId="28754B19" w14:textId="16B735B7" w:rsidR="00185B89" w:rsidRPr="003F26A0" w:rsidRDefault="00185B89" w:rsidP="00185B89">
            <w:pPr>
              <w:widowControl w:val="0"/>
              <w:autoSpaceDE w:val="0"/>
              <w:autoSpaceDN w:val="0"/>
              <w:adjustRightInd w:val="0"/>
              <w:jc w:val="center"/>
            </w:pPr>
            <w:r>
              <w:t>-0.249</w:t>
            </w:r>
          </w:p>
        </w:tc>
        <w:tc>
          <w:tcPr>
            <w:tcW w:w="567" w:type="dxa"/>
          </w:tcPr>
          <w:p w14:paraId="36CECFD4" w14:textId="62301B30" w:rsidR="00185B89" w:rsidRPr="003F26A0" w:rsidRDefault="00185B89" w:rsidP="00185B89">
            <w:pPr>
              <w:widowControl w:val="0"/>
              <w:autoSpaceDE w:val="0"/>
              <w:autoSpaceDN w:val="0"/>
              <w:adjustRightInd w:val="0"/>
              <w:jc w:val="center"/>
            </w:pPr>
            <w:r>
              <w:t>**</w:t>
            </w:r>
            <w:r w:rsidR="00615350">
              <w:t>*</w:t>
            </w:r>
          </w:p>
        </w:tc>
        <w:tc>
          <w:tcPr>
            <w:tcW w:w="850" w:type="dxa"/>
          </w:tcPr>
          <w:p w14:paraId="3707D860" w14:textId="14C9511E" w:rsidR="00185B89" w:rsidRPr="003F26A0" w:rsidRDefault="00185B89" w:rsidP="00185B89">
            <w:pPr>
              <w:widowControl w:val="0"/>
              <w:autoSpaceDE w:val="0"/>
              <w:autoSpaceDN w:val="0"/>
              <w:adjustRightInd w:val="0"/>
              <w:jc w:val="center"/>
            </w:pPr>
            <w:r>
              <w:t>0.097</w:t>
            </w:r>
          </w:p>
        </w:tc>
        <w:tc>
          <w:tcPr>
            <w:tcW w:w="1134" w:type="dxa"/>
          </w:tcPr>
          <w:p w14:paraId="4304A4FB" w14:textId="1F104B83" w:rsidR="00185B89" w:rsidRPr="003F26A0" w:rsidRDefault="00185B89" w:rsidP="00185B89">
            <w:pPr>
              <w:widowControl w:val="0"/>
              <w:autoSpaceDE w:val="0"/>
              <w:autoSpaceDN w:val="0"/>
              <w:adjustRightInd w:val="0"/>
              <w:jc w:val="center"/>
            </w:pPr>
            <w:r>
              <w:t>0.260</w:t>
            </w:r>
          </w:p>
        </w:tc>
        <w:tc>
          <w:tcPr>
            <w:tcW w:w="709" w:type="dxa"/>
          </w:tcPr>
          <w:p w14:paraId="2439FD50" w14:textId="63337CCF" w:rsidR="00185B89" w:rsidRPr="003F26A0" w:rsidRDefault="00185B89" w:rsidP="00185B89">
            <w:pPr>
              <w:widowControl w:val="0"/>
              <w:autoSpaceDE w:val="0"/>
              <w:autoSpaceDN w:val="0"/>
              <w:adjustRightInd w:val="0"/>
              <w:jc w:val="center"/>
            </w:pPr>
            <w:r>
              <w:t>**</w:t>
            </w:r>
          </w:p>
        </w:tc>
        <w:tc>
          <w:tcPr>
            <w:tcW w:w="992" w:type="dxa"/>
          </w:tcPr>
          <w:p w14:paraId="5FB7AE84" w14:textId="5E37DC22" w:rsidR="00185B89" w:rsidRPr="003F26A0" w:rsidRDefault="00185B89" w:rsidP="00185B89">
            <w:pPr>
              <w:widowControl w:val="0"/>
              <w:autoSpaceDE w:val="0"/>
              <w:autoSpaceDN w:val="0"/>
              <w:adjustRightInd w:val="0"/>
              <w:jc w:val="center"/>
            </w:pPr>
            <w:r>
              <w:t>0.104</w:t>
            </w:r>
          </w:p>
        </w:tc>
      </w:tr>
      <w:tr w:rsidR="00185B89" w:rsidRPr="00B03B04" w14:paraId="20C3E22D" w14:textId="77777777" w:rsidTr="00414262">
        <w:tc>
          <w:tcPr>
            <w:tcW w:w="3227" w:type="dxa"/>
          </w:tcPr>
          <w:p w14:paraId="6650CD9C" w14:textId="2CE608AB" w:rsidR="00185B89" w:rsidRPr="003F26A0" w:rsidRDefault="00185B89" w:rsidP="00185B89">
            <w:pPr>
              <w:widowControl w:val="0"/>
              <w:autoSpaceDE w:val="0"/>
              <w:autoSpaceDN w:val="0"/>
              <w:adjustRightInd w:val="0"/>
            </w:pPr>
          </w:p>
        </w:tc>
        <w:tc>
          <w:tcPr>
            <w:tcW w:w="1021" w:type="dxa"/>
          </w:tcPr>
          <w:p w14:paraId="44ECC412" w14:textId="5666F740" w:rsidR="00185B89" w:rsidRPr="003F26A0" w:rsidRDefault="00185B89" w:rsidP="00185B89">
            <w:pPr>
              <w:widowControl w:val="0"/>
              <w:autoSpaceDE w:val="0"/>
              <w:autoSpaceDN w:val="0"/>
              <w:adjustRightInd w:val="0"/>
              <w:jc w:val="center"/>
            </w:pPr>
          </w:p>
        </w:tc>
        <w:tc>
          <w:tcPr>
            <w:tcW w:w="567" w:type="dxa"/>
          </w:tcPr>
          <w:p w14:paraId="4A2ABDAE" w14:textId="06C533F5" w:rsidR="00185B89" w:rsidRPr="003F26A0" w:rsidRDefault="00185B89" w:rsidP="00185B89">
            <w:pPr>
              <w:widowControl w:val="0"/>
              <w:autoSpaceDE w:val="0"/>
              <w:autoSpaceDN w:val="0"/>
              <w:adjustRightInd w:val="0"/>
              <w:jc w:val="center"/>
            </w:pPr>
          </w:p>
        </w:tc>
        <w:tc>
          <w:tcPr>
            <w:tcW w:w="850" w:type="dxa"/>
          </w:tcPr>
          <w:p w14:paraId="64BB9F90" w14:textId="642F5463" w:rsidR="00185B89" w:rsidRPr="003F26A0" w:rsidRDefault="00185B89" w:rsidP="00185B89">
            <w:pPr>
              <w:widowControl w:val="0"/>
              <w:autoSpaceDE w:val="0"/>
              <w:autoSpaceDN w:val="0"/>
              <w:adjustRightInd w:val="0"/>
              <w:jc w:val="center"/>
            </w:pPr>
          </w:p>
        </w:tc>
        <w:tc>
          <w:tcPr>
            <w:tcW w:w="1134" w:type="dxa"/>
          </w:tcPr>
          <w:p w14:paraId="0CE551F9" w14:textId="24F381AB" w:rsidR="00185B89" w:rsidRPr="003F26A0" w:rsidRDefault="00185B89" w:rsidP="00185B89">
            <w:pPr>
              <w:widowControl w:val="0"/>
              <w:autoSpaceDE w:val="0"/>
              <w:autoSpaceDN w:val="0"/>
              <w:adjustRightInd w:val="0"/>
              <w:jc w:val="center"/>
            </w:pPr>
          </w:p>
        </w:tc>
        <w:tc>
          <w:tcPr>
            <w:tcW w:w="709" w:type="dxa"/>
          </w:tcPr>
          <w:p w14:paraId="54867E32" w14:textId="2EB9B222" w:rsidR="00185B89" w:rsidRPr="003F26A0" w:rsidRDefault="00185B89" w:rsidP="00185B89">
            <w:pPr>
              <w:widowControl w:val="0"/>
              <w:autoSpaceDE w:val="0"/>
              <w:autoSpaceDN w:val="0"/>
              <w:adjustRightInd w:val="0"/>
              <w:jc w:val="center"/>
            </w:pPr>
          </w:p>
        </w:tc>
        <w:tc>
          <w:tcPr>
            <w:tcW w:w="992" w:type="dxa"/>
          </w:tcPr>
          <w:p w14:paraId="46A41B9B" w14:textId="4EEB2A11" w:rsidR="00185B89" w:rsidRPr="003F26A0" w:rsidRDefault="00185B89" w:rsidP="00185B89">
            <w:pPr>
              <w:widowControl w:val="0"/>
              <w:autoSpaceDE w:val="0"/>
              <w:autoSpaceDN w:val="0"/>
              <w:adjustRightInd w:val="0"/>
              <w:jc w:val="center"/>
            </w:pPr>
          </w:p>
        </w:tc>
      </w:tr>
      <w:tr w:rsidR="002418DD" w:rsidRPr="00B03B04" w14:paraId="266303F4" w14:textId="77777777" w:rsidTr="00414262">
        <w:tc>
          <w:tcPr>
            <w:tcW w:w="3227" w:type="dxa"/>
          </w:tcPr>
          <w:p w14:paraId="15C89C29" w14:textId="4C6F672D" w:rsidR="002418DD" w:rsidRPr="003F26A0" w:rsidRDefault="002418DD" w:rsidP="002418DD">
            <w:pPr>
              <w:widowControl w:val="0"/>
              <w:autoSpaceDE w:val="0"/>
              <w:autoSpaceDN w:val="0"/>
              <w:adjustRightInd w:val="0"/>
            </w:pPr>
            <w:r>
              <w:rPr>
                <w:lang w:val="en-US"/>
              </w:rPr>
              <w:t>Life satisfaction</w:t>
            </w:r>
          </w:p>
        </w:tc>
        <w:tc>
          <w:tcPr>
            <w:tcW w:w="1021" w:type="dxa"/>
          </w:tcPr>
          <w:p w14:paraId="4C1B9321" w14:textId="3C394EE7" w:rsidR="002418DD" w:rsidRPr="003F26A0" w:rsidRDefault="002418DD" w:rsidP="002418DD">
            <w:pPr>
              <w:widowControl w:val="0"/>
              <w:autoSpaceDE w:val="0"/>
              <w:autoSpaceDN w:val="0"/>
              <w:adjustRightInd w:val="0"/>
              <w:jc w:val="center"/>
            </w:pPr>
            <w:r>
              <w:t>0.207</w:t>
            </w:r>
          </w:p>
        </w:tc>
        <w:tc>
          <w:tcPr>
            <w:tcW w:w="567" w:type="dxa"/>
          </w:tcPr>
          <w:p w14:paraId="58E848B5" w14:textId="2638B137" w:rsidR="002418DD" w:rsidRPr="003F26A0" w:rsidRDefault="002418DD" w:rsidP="002418DD">
            <w:pPr>
              <w:widowControl w:val="0"/>
              <w:autoSpaceDE w:val="0"/>
              <w:autoSpaceDN w:val="0"/>
              <w:adjustRightInd w:val="0"/>
              <w:jc w:val="center"/>
            </w:pPr>
            <w:r>
              <w:t>**</w:t>
            </w:r>
            <w:r w:rsidR="00615350">
              <w:t>*</w:t>
            </w:r>
          </w:p>
        </w:tc>
        <w:tc>
          <w:tcPr>
            <w:tcW w:w="850" w:type="dxa"/>
          </w:tcPr>
          <w:p w14:paraId="623A1AEC" w14:textId="4FA96887" w:rsidR="002418DD" w:rsidRPr="003F26A0" w:rsidRDefault="002418DD" w:rsidP="002418DD">
            <w:pPr>
              <w:widowControl w:val="0"/>
              <w:autoSpaceDE w:val="0"/>
              <w:autoSpaceDN w:val="0"/>
              <w:adjustRightInd w:val="0"/>
              <w:jc w:val="center"/>
            </w:pPr>
            <w:r>
              <w:t>0.007</w:t>
            </w:r>
          </w:p>
        </w:tc>
        <w:tc>
          <w:tcPr>
            <w:tcW w:w="1134" w:type="dxa"/>
          </w:tcPr>
          <w:p w14:paraId="6A27C166" w14:textId="311BEDF8" w:rsidR="002418DD" w:rsidRPr="003F26A0" w:rsidRDefault="002418DD" w:rsidP="002418DD">
            <w:pPr>
              <w:widowControl w:val="0"/>
              <w:autoSpaceDE w:val="0"/>
              <w:autoSpaceDN w:val="0"/>
              <w:adjustRightInd w:val="0"/>
              <w:jc w:val="center"/>
            </w:pPr>
            <w:r>
              <w:t>0.170</w:t>
            </w:r>
          </w:p>
        </w:tc>
        <w:tc>
          <w:tcPr>
            <w:tcW w:w="709" w:type="dxa"/>
          </w:tcPr>
          <w:p w14:paraId="123354F4" w14:textId="08F5CF87" w:rsidR="002418DD" w:rsidRPr="003F26A0" w:rsidRDefault="002418DD" w:rsidP="002418DD">
            <w:pPr>
              <w:widowControl w:val="0"/>
              <w:autoSpaceDE w:val="0"/>
              <w:autoSpaceDN w:val="0"/>
              <w:adjustRightInd w:val="0"/>
              <w:jc w:val="center"/>
            </w:pPr>
            <w:r>
              <w:t>**</w:t>
            </w:r>
            <w:r w:rsidR="00615350">
              <w:t>*</w:t>
            </w:r>
          </w:p>
        </w:tc>
        <w:tc>
          <w:tcPr>
            <w:tcW w:w="992" w:type="dxa"/>
          </w:tcPr>
          <w:p w14:paraId="564EC186" w14:textId="641C2363" w:rsidR="002418DD" w:rsidRPr="003F26A0" w:rsidRDefault="002418DD" w:rsidP="002418DD">
            <w:pPr>
              <w:widowControl w:val="0"/>
              <w:autoSpaceDE w:val="0"/>
              <w:autoSpaceDN w:val="0"/>
              <w:adjustRightInd w:val="0"/>
              <w:jc w:val="center"/>
            </w:pPr>
            <w:r>
              <w:t>0.007</w:t>
            </w:r>
          </w:p>
        </w:tc>
      </w:tr>
      <w:tr w:rsidR="002418DD" w:rsidRPr="00B03B04" w14:paraId="23A3917D" w14:textId="77777777" w:rsidTr="00414262">
        <w:tc>
          <w:tcPr>
            <w:tcW w:w="3227" w:type="dxa"/>
          </w:tcPr>
          <w:p w14:paraId="3F9B6C0D" w14:textId="68D5F985" w:rsidR="002418DD" w:rsidRPr="003F26A0" w:rsidRDefault="002418DD" w:rsidP="002418DD">
            <w:pPr>
              <w:widowControl w:val="0"/>
              <w:autoSpaceDE w:val="0"/>
              <w:autoSpaceDN w:val="0"/>
              <w:adjustRightInd w:val="0"/>
              <w:rPr>
                <w:b/>
                <w:i/>
              </w:rPr>
            </w:pPr>
            <w:r>
              <w:rPr>
                <w:lang w:val="en-US"/>
              </w:rPr>
              <w:t>Metropolitan</w:t>
            </w:r>
          </w:p>
        </w:tc>
        <w:tc>
          <w:tcPr>
            <w:tcW w:w="1021" w:type="dxa"/>
          </w:tcPr>
          <w:p w14:paraId="488D0258" w14:textId="637CEF84" w:rsidR="002418DD" w:rsidRPr="003F26A0" w:rsidRDefault="002418DD" w:rsidP="002418DD">
            <w:pPr>
              <w:widowControl w:val="0"/>
              <w:autoSpaceDE w:val="0"/>
              <w:autoSpaceDN w:val="0"/>
              <w:adjustRightInd w:val="0"/>
              <w:jc w:val="center"/>
            </w:pPr>
            <w:r>
              <w:t>-0.087</w:t>
            </w:r>
          </w:p>
        </w:tc>
        <w:tc>
          <w:tcPr>
            <w:tcW w:w="567" w:type="dxa"/>
          </w:tcPr>
          <w:p w14:paraId="649FB8B7" w14:textId="112E4E93" w:rsidR="002418DD" w:rsidRPr="003F26A0" w:rsidRDefault="002418DD" w:rsidP="002418DD">
            <w:pPr>
              <w:widowControl w:val="0"/>
              <w:autoSpaceDE w:val="0"/>
              <w:autoSpaceDN w:val="0"/>
              <w:adjustRightInd w:val="0"/>
              <w:jc w:val="center"/>
            </w:pPr>
            <w:r>
              <w:t>**</w:t>
            </w:r>
            <w:r w:rsidR="00615350">
              <w:t>*</w:t>
            </w:r>
          </w:p>
        </w:tc>
        <w:tc>
          <w:tcPr>
            <w:tcW w:w="850" w:type="dxa"/>
          </w:tcPr>
          <w:p w14:paraId="5E7E4102" w14:textId="78D53D26" w:rsidR="002418DD" w:rsidRPr="003F26A0" w:rsidRDefault="002418DD" w:rsidP="002418DD">
            <w:pPr>
              <w:widowControl w:val="0"/>
              <w:autoSpaceDE w:val="0"/>
              <w:autoSpaceDN w:val="0"/>
              <w:adjustRightInd w:val="0"/>
              <w:jc w:val="center"/>
            </w:pPr>
            <w:r>
              <w:t>0.020</w:t>
            </w:r>
          </w:p>
        </w:tc>
        <w:tc>
          <w:tcPr>
            <w:tcW w:w="1134" w:type="dxa"/>
          </w:tcPr>
          <w:p w14:paraId="2C90E596" w14:textId="2797C5A7" w:rsidR="002418DD" w:rsidRPr="003F26A0" w:rsidRDefault="002418DD" w:rsidP="002418DD">
            <w:pPr>
              <w:widowControl w:val="0"/>
              <w:autoSpaceDE w:val="0"/>
              <w:autoSpaceDN w:val="0"/>
              <w:adjustRightInd w:val="0"/>
              <w:jc w:val="center"/>
            </w:pPr>
            <w:r>
              <w:t>-0.437</w:t>
            </w:r>
          </w:p>
        </w:tc>
        <w:tc>
          <w:tcPr>
            <w:tcW w:w="709" w:type="dxa"/>
          </w:tcPr>
          <w:p w14:paraId="4DC468A2" w14:textId="489A4F87" w:rsidR="002418DD" w:rsidRPr="003F26A0" w:rsidRDefault="002418DD" w:rsidP="002418DD">
            <w:pPr>
              <w:widowControl w:val="0"/>
              <w:autoSpaceDE w:val="0"/>
              <w:autoSpaceDN w:val="0"/>
              <w:adjustRightInd w:val="0"/>
              <w:jc w:val="center"/>
            </w:pPr>
            <w:r>
              <w:t>**</w:t>
            </w:r>
            <w:r w:rsidR="00615350">
              <w:t>*</w:t>
            </w:r>
          </w:p>
        </w:tc>
        <w:tc>
          <w:tcPr>
            <w:tcW w:w="992" w:type="dxa"/>
          </w:tcPr>
          <w:p w14:paraId="02EEF116" w14:textId="34DFD859" w:rsidR="002418DD" w:rsidRPr="003F26A0" w:rsidRDefault="002418DD" w:rsidP="002418DD">
            <w:pPr>
              <w:widowControl w:val="0"/>
              <w:autoSpaceDE w:val="0"/>
              <w:autoSpaceDN w:val="0"/>
              <w:adjustRightInd w:val="0"/>
              <w:jc w:val="center"/>
            </w:pPr>
            <w:r>
              <w:t>0.021</w:t>
            </w:r>
          </w:p>
        </w:tc>
      </w:tr>
      <w:tr w:rsidR="00C442F1" w:rsidRPr="00B03B04" w14:paraId="2FDBCCEA" w14:textId="77777777" w:rsidTr="00414262">
        <w:tc>
          <w:tcPr>
            <w:tcW w:w="3227" w:type="dxa"/>
          </w:tcPr>
          <w:p w14:paraId="142760D3" w14:textId="77777777" w:rsidR="00C442F1" w:rsidRPr="008166DB" w:rsidRDefault="00C442F1" w:rsidP="00C442F1">
            <w:pPr>
              <w:widowControl w:val="0"/>
              <w:autoSpaceDE w:val="0"/>
              <w:autoSpaceDN w:val="0"/>
              <w:adjustRightInd w:val="0"/>
              <w:rPr>
                <w:b/>
                <w:i/>
                <w:lang w:val="en-US"/>
              </w:rPr>
            </w:pPr>
          </w:p>
        </w:tc>
        <w:tc>
          <w:tcPr>
            <w:tcW w:w="1021" w:type="dxa"/>
          </w:tcPr>
          <w:p w14:paraId="45BA4935" w14:textId="77777777" w:rsidR="00C442F1" w:rsidRPr="003F26A0" w:rsidRDefault="00C442F1" w:rsidP="00C442F1">
            <w:pPr>
              <w:widowControl w:val="0"/>
              <w:autoSpaceDE w:val="0"/>
              <w:autoSpaceDN w:val="0"/>
              <w:adjustRightInd w:val="0"/>
              <w:jc w:val="center"/>
            </w:pPr>
          </w:p>
        </w:tc>
        <w:tc>
          <w:tcPr>
            <w:tcW w:w="567" w:type="dxa"/>
          </w:tcPr>
          <w:p w14:paraId="169745D5" w14:textId="77777777" w:rsidR="00C442F1" w:rsidRPr="003F26A0" w:rsidRDefault="00C442F1" w:rsidP="00C442F1">
            <w:pPr>
              <w:widowControl w:val="0"/>
              <w:autoSpaceDE w:val="0"/>
              <w:autoSpaceDN w:val="0"/>
              <w:adjustRightInd w:val="0"/>
              <w:jc w:val="center"/>
            </w:pPr>
          </w:p>
        </w:tc>
        <w:tc>
          <w:tcPr>
            <w:tcW w:w="850" w:type="dxa"/>
          </w:tcPr>
          <w:p w14:paraId="445EAC1C" w14:textId="77777777" w:rsidR="00C442F1" w:rsidRPr="003F26A0" w:rsidRDefault="00C442F1" w:rsidP="00C442F1">
            <w:pPr>
              <w:widowControl w:val="0"/>
              <w:autoSpaceDE w:val="0"/>
              <w:autoSpaceDN w:val="0"/>
              <w:adjustRightInd w:val="0"/>
              <w:jc w:val="center"/>
            </w:pPr>
          </w:p>
        </w:tc>
        <w:tc>
          <w:tcPr>
            <w:tcW w:w="1134" w:type="dxa"/>
          </w:tcPr>
          <w:p w14:paraId="7EFD7CB1" w14:textId="77777777" w:rsidR="00C442F1" w:rsidRPr="003F26A0" w:rsidRDefault="00C442F1" w:rsidP="00C442F1">
            <w:pPr>
              <w:widowControl w:val="0"/>
              <w:autoSpaceDE w:val="0"/>
              <w:autoSpaceDN w:val="0"/>
              <w:adjustRightInd w:val="0"/>
              <w:jc w:val="center"/>
            </w:pPr>
          </w:p>
        </w:tc>
        <w:tc>
          <w:tcPr>
            <w:tcW w:w="709" w:type="dxa"/>
          </w:tcPr>
          <w:p w14:paraId="5DA5A04A" w14:textId="77777777" w:rsidR="00C442F1" w:rsidRPr="003F26A0" w:rsidRDefault="00C442F1" w:rsidP="00C442F1">
            <w:pPr>
              <w:widowControl w:val="0"/>
              <w:autoSpaceDE w:val="0"/>
              <w:autoSpaceDN w:val="0"/>
              <w:adjustRightInd w:val="0"/>
              <w:jc w:val="center"/>
            </w:pPr>
          </w:p>
        </w:tc>
        <w:tc>
          <w:tcPr>
            <w:tcW w:w="992" w:type="dxa"/>
          </w:tcPr>
          <w:p w14:paraId="360318D1" w14:textId="77777777" w:rsidR="00C442F1" w:rsidRPr="003F26A0" w:rsidRDefault="00C442F1" w:rsidP="00C442F1">
            <w:pPr>
              <w:widowControl w:val="0"/>
              <w:autoSpaceDE w:val="0"/>
              <w:autoSpaceDN w:val="0"/>
              <w:adjustRightInd w:val="0"/>
              <w:jc w:val="center"/>
            </w:pPr>
          </w:p>
        </w:tc>
      </w:tr>
      <w:tr w:rsidR="00C442F1" w:rsidRPr="00B03B04" w14:paraId="2E55EFC4" w14:textId="77777777" w:rsidTr="00414262">
        <w:tc>
          <w:tcPr>
            <w:tcW w:w="3227" w:type="dxa"/>
          </w:tcPr>
          <w:p w14:paraId="5511409A" w14:textId="73D24ACA" w:rsidR="00C442F1" w:rsidRPr="003F26A0" w:rsidRDefault="00C442F1" w:rsidP="00C442F1">
            <w:pPr>
              <w:widowControl w:val="0"/>
              <w:autoSpaceDE w:val="0"/>
              <w:autoSpaceDN w:val="0"/>
              <w:adjustRightInd w:val="0"/>
            </w:pPr>
            <w:r w:rsidRPr="008166DB">
              <w:rPr>
                <w:b/>
                <w:i/>
                <w:lang w:val="en-US"/>
              </w:rPr>
              <w:t>Cohort</w:t>
            </w:r>
          </w:p>
        </w:tc>
        <w:tc>
          <w:tcPr>
            <w:tcW w:w="1021" w:type="dxa"/>
          </w:tcPr>
          <w:p w14:paraId="11E83CC6" w14:textId="2C53F0F6" w:rsidR="00C442F1" w:rsidRPr="003F26A0" w:rsidRDefault="00C442F1" w:rsidP="00C442F1">
            <w:pPr>
              <w:widowControl w:val="0"/>
              <w:autoSpaceDE w:val="0"/>
              <w:autoSpaceDN w:val="0"/>
              <w:adjustRightInd w:val="0"/>
              <w:jc w:val="center"/>
            </w:pPr>
          </w:p>
        </w:tc>
        <w:tc>
          <w:tcPr>
            <w:tcW w:w="567" w:type="dxa"/>
          </w:tcPr>
          <w:p w14:paraId="15702FD4" w14:textId="1A683F5F" w:rsidR="00C442F1" w:rsidRPr="003F26A0" w:rsidRDefault="00C442F1" w:rsidP="00C442F1">
            <w:pPr>
              <w:widowControl w:val="0"/>
              <w:autoSpaceDE w:val="0"/>
              <w:autoSpaceDN w:val="0"/>
              <w:adjustRightInd w:val="0"/>
              <w:jc w:val="center"/>
            </w:pPr>
          </w:p>
        </w:tc>
        <w:tc>
          <w:tcPr>
            <w:tcW w:w="850" w:type="dxa"/>
          </w:tcPr>
          <w:p w14:paraId="0BE79ED4" w14:textId="6DD4DE7C" w:rsidR="00C442F1" w:rsidRPr="003F26A0" w:rsidRDefault="00C442F1" w:rsidP="00C442F1">
            <w:pPr>
              <w:widowControl w:val="0"/>
              <w:autoSpaceDE w:val="0"/>
              <w:autoSpaceDN w:val="0"/>
              <w:adjustRightInd w:val="0"/>
              <w:jc w:val="center"/>
            </w:pPr>
          </w:p>
        </w:tc>
        <w:tc>
          <w:tcPr>
            <w:tcW w:w="1134" w:type="dxa"/>
          </w:tcPr>
          <w:p w14:paraId="4FC4D114" w14:textId="543419F6" w:rsidR="00C442F1" w:rsidRPr="003F26A0" w:rsidRDefault="00C442F1" w:rsidP="00C442F1">
            <w:pPr>
              <w:widowControl w:val="0"/>
              <w:autoSpaceDE w:val="0"/>
              <w:autoSpaceDN w:val="0"/>
              <w:adjustRightInd w:val="0"/>
              <w:jc w:val="center"/>
            </w:pPr>
          </w:p>
        </w:tc>
        <w:tc>
          <w:tcPr>
            <w:tcW w:w="709" w:type="dxa"/>
          </w:tcPr>
          <w:p w14:paraId="4C95D098" w14:textId="79FF5A32" w:rsidR="00C442F1" w:rsidRPr="003F26A0" w:rsidRDefault="00C442F1" w:rsidP="00C442F1">
            <w:pPr>
              <w:widowControl w:val="0"/>
              <w:autoSpaceDE w:val="0"/>
              <w:autoSpaceDN w:val="0"/>
              <w:adjustRightInd w:val="0"/>
              <w:jc w:val="center"/>
            </w:pPr>
          </w:p>
        </w:tc>
        <w:tc>
          <w:tcPr>
            <w:tcW w:w="992" w:type="dxa"/>
          </w:tcPr>
          <w:p w14:paraId="2A703960" w14:textId="429F72AE" w:rsidR="00C442F1" w:rsidRPr="003F26A0" w:rsidRDefault="00C442F1" w:rsidP="00C442F1">
            <w:pPr>
              <w:widowControl w:val="0"/>
              <w:autoSpaceDE w:val="0"/>
              <w:autoSpaceDN w:val="0"/>
              <w:adjustRightInd w:val="0"/>
              <w:jc w:val="center"/>
            </w:pPr>
          </w:p>
        </w:tc>
      </w:tr>
      <w:tr w:rsidR="002418DD" w:rsidRPr="00B03B04" w14:paraId="5271E7FF" w14:textId="77777777" w:rsidTr="00414262">
        <w:tc>
          <w:tcPr>
            <w:tcW w:w="3227" w:type="dxa"/>
          </w:tcPr>
          <w:p w14:paraId="1C69FE6A" w14:textId="6B425FA2" w:rsidR="002418DD" w:rsidRPr="003F26A0" w:rsidRDefault="002418DD" w:rsidP="002418DD">
            <w:pPr>
              <w:widowControl w:val="0"/>
              <w:autoSpaceDE w:val="0"/>
              <w:autoSpaceDN w:val="0"/>
              <w:adjustRightInd w:val="0"/>
            </w:pPr>
            <w:r w:rsidRPr="008166DB">
              <w:rPr>
                <w:lang w:val="en-US"/>
              </w:rPr>
              <w:t>Gen Y</w:t>
            </w:r>
          </w:p>
        </w:tc>
        <w:tc>
          <w:tcPr>
            <w:tcW w:w="1021" w:type="dxa"/>
          </w:tcPr>
          <w:p w14:paraId="2951ED85" w14:textId="52461EFB" w:rsidR="002418DD" w:rsidRPr="003F26A0" w:rsidRDefault="002418DD" w:rsidP="002418DD">
            <w:pPr>
              <w:widowControl w:val="0"/>
              <w:autoSpaceDE w:val="0"/>
              <w:autoSpaceDN w:val="0"/>
              <w:adjustRightInd w:val="0"/>
              <w:jc w:val="center"/>
            </w:pPr>
            <w:r>
              <w:t>-0.008</w:t>
            </w:r>
          </w:p>
        </w:tc>
        <w:tc>
          <w:tcPr>
            <w:tcW w:w="567" w:type="dxa"/>
          </w:tcPr>
          <w:p w14:paraId="4711C5F5" w14:textId="7370D073" w:rsidR="002418DD" w:rsidRPr="003F26A0" w:rsidRDefault="002418DD" w:rsidP="002418DD">
            <w:pPr>
              <w:widowControl w:val="0"/>
              <w:autoSpaceDE w:val="0"/>
              <w:autoSpaceDN w:val="0"/>
              <w:adjustRightInd w:val="0"/>
              <w:jc w:val="center"/>
            </w:pPr>
          </w:p>
        </w:tc>
        <w:tc>
          <w:tcPr>
            <w:tcW w:w="850" w:type="dxa"/>
          </w:tcPr>
          <w:p w14:paraId="0FE41C27" w14:textId="671F6962" w:rsidR="002418DD" w:rsidRPr="003F26A0" w:rsidRDefault="002418DD" w:rsidP="002418DD">
            <w:pPr>
              <w:widowControl w:val="0"/>
              <w:autoSpaceDE w:val="0"/>
              <w:autoSpaceDN w:val="0"/>
              <w:adjustRightInd w:val="0"/>
              <w:jc w:val="center"/>
            </w:pPr>
            <w:r>
              <w:t>0.053</w:t>
            </w:r>
          </w:p>
        </w:tc>
        <w:tc>
          <w:tcPr>
            <w:tcW w:w="1134" w:type="dxa"/>
          </w:tcPr>
          <w:p w14:paraId="3D18B6F8" w14:textId="3B1ACB83" w:rsidR="002418DD" w:rsidRPr="003F26A0" w:rsidRDefault="002418DD" w:rsidP="002418DD">
            <w:pPr>
              <w:widowControl w:val="0"/>
              <w:autoSpaceDE w:val="0"/>
              <w:autoSpaceDN w:val="0"/>
              <w:adjustRightInd w:val="0"/>
              <w:jc w:val="center"/>
            </w:pPr>
            <w:r>
              <w:t>0.012</w:t>
            </w:r>
          </w:p>
        </w:tc>
        <w:tc>
          <w:tcPr>
            <w:tcW w:w="709" w:type="dxa"/>
          </w:tcPr>
          <w:p w14:paraId="783027C6" w14:textId="77777777" w:rsidR="002418DD" w:rsidRPr="003F26A0" w:rsidRDefault="002418DD" w:rsidP="002418DD">
            <w:pPr>
              <w:widowControl w:val="0"/>
              <w:autoSpaceDE w:val="0"/>
              <w:autoSpaceDN w:val="0"/>
              <w:adjustRightInd w:val="0"/>
              <w:jc w:val="center"/>
            </w:pPr>
          </w:p>
        </w:tc>
        <w:tc>
          <w:tcPr>
            <w:tcW w:w="992" w:type="dxa"/>
          </w:tcPr>
          <w:p w14:paraId="6A72D568" w14:textId="0DFE448C" w:rsidR="002418DD" w:rsidRPr="003F26A0" w:rsidRDefault="002418DD" w:rsidP="002418DD">
            <w:pPr>
              <w:widowControl w:val="0"/>
              <w:autoSpaceDE w:val="0"/>
              <w:autoSpaceDN w:val="0"/>
              <w:adjustRightInd w:val="0"/>
              <w:jc w:val="center"/>
            </w:pPr>
            <w:r>
              <w:t>0.055</w:t>
            </w:r>
          </w:p>
        </w:tc>
      </w:tr>
      <w:tr w:rsidR="002418DD" w:rsidRPr="00B03B04" w14:paraId="118A7441" w14:textId="77777777" w:rsidTr="00414262">
        <w:tc>
          <w:tcPr>
            <w:tcW w:w="3227" w:type="dxa"/>
          </w:tcPr>
          <w:p w14:paraId="76DE0D15" w14:textId="247B9688" w:rsidR="002418DD" w:rsidRPr="003F26A0" w:rsidRDefault="002418DD" w:rsidP="002418DD">
            <w:pPr>
              <w:widowControl w:val="0"/>
              <w:autoSpaceDE w:val="0"/>
              <w:autoSpaceDN w:val="0"/>
              <w:adjustRightInd w:val="0"/>
            </w:pPr>
            <w:r w:rsidRPr="008166DB">
              <w:rPr>
                <w:lang w:val="en-US"/>
              </w:rPr>
              <w:t>Gen X</w:t>
            </w:r>
          </w:p>
        </w:tc>
        <w:tc>
          <w:tcPr>
            <w:tcW w:w="1021" w:type="dxa"/>
          </w:tcPr>
          <w:p w14:paraId="3FA8CA9A" w14:textId="6E986E2C" w:rsidR="002418DD" w:rsidRPr="003F26A0" w:rsidRDefault="002418DD" w:rsidP="002418DD">
            <w:pPr>
              <w:widowControl w:val="0"/>
              <w:autoSpaceDE w:val="0"/>
              <w:autoSpaceDN w:val="0"/>
              <w:adjustRightInd w:val="0"/>
              <w:jc w:val="center"/>
            </w:pPr>
            <w:r>
              <w:t>0.166</w:t>
            </w:r>
          </w:p>
        </w:tc>
        <w:tc>
          <w:tcPr>
            <w:tcW w:w="567" w:type="dxa"/>
          </w:tcPr>
          <w:p w14:paraId="4971460B" w14:textId="7BBDA10D" w:rsidR="002418DD" w:rsidRPr="003F26A0" w:rsidRDefault="002418DD" w:rsidP="002418DD">
            <w:pPr>
              <w:widowControl w:val="0"/>
              <w:autoSpaceDE w:val="0"/>
              <w:autoSpaceDN w:val="0"/>
              <w:adjustRightInd w:val="0"/>
              <w:jc w:val="center"/>
            </w:pPr>
            <w:r>
              <w:t>**</w:t>
            </w:r>
            <w:r w:rsidR="00615350">
              <w:t>*</w:t>
            </w:r>
          </w:p>
        </w:tc>
        <w:tc>
          <w:tcPr>
            <w:tcW w:w="850" w:type="dxa"/>
          </w:tcPr>
          <w:p w14:paraId="1998F482" w14:textId="47B29B1F" w:rsidR="002418DD" w:rsidRPr="003F26A0" w:rsidRDefault="002418DD" w:rsidP="002418DD">
            <w:pPr>
              <w:widowControl w:val="0"/>
              <w:autoSpaceDE w:val="0"/>
              <w:autoSpaceDN w:val="0"/>
              <w:adjustRightInd w:val="0"/>
              <w:jc w:val="center"/>
            </w:pPr>
            <w:r>
              <w:t>0.055</w:t>
            </w:r>
          </w:p>
        </w:tc>
        <w:tc>
          <w:tcPr>
            <w:tcW w:w="1134" w:type="dxa"/>
          </w:tcPr>
          <w:p w14:paraId="1BE8D0E8" w14:textId="29F5D752" w:rsidR="002418DD" w:rsidRPr="003F26A0" w:rsidRDefault="002418DD" w:rsidP="002418DD">
            <w:pPr>
              <w:widowControl w:val="0"/>
              <w:autoSpaceDE w:val="0"/>
              <w:autoSpaceDN w:val="0"/>
              <w:adjustRightInd w:val="0"/>
              <w:jc w:val="center"/>
            </w:pPr>
            <w:r>
              <w:t>0.214</w:t>
            </w:r>
          </w:p>
        </w:tc>
        <w:tc>
          <w:tcPr>
            <w:tcW w:w="709" w:type="dxa"/>
          </w:tcPr>
          <w:p w14:paraId="4DA3182A" w14:textId="76F42704" w:rsidR="002418DD" w:rsidRPr="003F26A0" w:rsidRDefault="002418DD" w:rsidP="002418DD">
            <w:pPr>
              <w:widowControl w:val="0"/>
              <w:autoSpaceDE w:val="0"/>
              <w:autoSpaceDN w:val="0"/>
              <w:adjustRightInd w:val="0"/>
              <w:jc w:val="center"/>
            </w:pPr>
            <w:r>
              <w:t>**</w:t>
            </w:r>
            <w:r w:rsidR="00615350">
              <w:t>*</w:t>
            </w:r>
          </w:p>
        </w:tc>
        <w:tc>
          <w:tcPr>
            <w:tcW w:w="992" w:type="dxa"/>
          </w:tcPr>
          <w:p w14:paraId="04E2F2D4" w14:textId="043771D8" w:rsidR="002418DD" w:rsidRPr="003F26A0" w:rsidRDefault="002418DD" w:rsidP="002418DD">
            <w:pPr>
              <w:widowControl w:val="0"/>
              <w:autoSpaceDE w:val="0"/>
              <w:autoSpaceDN w:val="0"/>
              <w:adjustRightInd w:val="0"/>
              <w:jc w:val="center"/>
            </w:pPr>
            <w:r>
              <w:t>0.058</w:t>
            </w:r>
          </w:p>
        </w:tc>
      </w:tr>
      <w:tr w:rsidR="002418DD" w:rsidRPr="00B03B04" w14:paraId="46FBC3C0" w14:textId="77777777" w:rsidTr="00414262">
        <w:tc>
          <w:tcPr>
            <w:tcW w:w="3227" w:type="dxa"/>
          </w:tcPr>
          <w:p w14:paraId="079A8ECC" w14:textId="5B49F854" w:rsidR="002418DD" w:rsidRPr="003F26A0" w:rsidRDefault="002418DD" w:rsidP="002418DD">
            <w:pPr>
              <w:widowControl w:val="0"/>
              <w:autoSpaceDE w:val="0"/>
              <w:autoSpaceDN w:val="0"/>
              <w:adjustRightInd w:val="0"/>
            </w:pPr>
            <w:r w:rsidRPr="008166DB">
              <w:rPr>
                <w:lang w:val="en-US"/>
              </w:rPr>
              <w:t>Baby Boomers</w:t>
            </w:r>
          </w:p>
        </w:tc>
        <w:tc>
          <w:tcPr>
            <w:tcW w:w="1021" w:type="dxa"/>
          </w:tcPr>
          <w:p w14:paraId="4F64EFE4" w14:textId="5E171B0C" w:rsidR="002418DD" w:rsidRPr="003F26A0" w:rsidRDefault="002418DD" w:rsidP="002418DD">
            <w:pPr>
              <w:widowControl w:val="0"/>
              <w:autoSpaceDE w:val="0"/>
              <w:autoSpaceDN w:val="0"/>
              <w:adjustRightInd w:val="0"/>
              <w:jc w:val="center"/>
            </w:pPr>
            <w:r>
              <w:t>0.374</w:t>
            </w:r>
          </w:p>
        </w:tc>
        <w:tc>
          <w:tcPr>
            <w:tcW w:w="567" w:type="dxa"/>
          </w:tcPr>
          <w:p w14:paraId="6E53D81D" w14:textId="24ED8D0A" w:rsidR="002418DD" w:rsidRPr="003F26A0" w:rsidRDefault="002418DD" w:rsidP="002418DD">
            <w:pPr>
              <w:widowControl w:val="0"/>
              <w:autoSpaceDE w:val="0"/>
              <w:autoSpaceDN w:val="0"/>
              <w:adjustRightInd w:val="0"/>
              <w:jc w:val="center"/>
            </w:pPr>
            <w:r>
              <w:t>**</w:t>
            </w:r>
            <w:r w:rsidR="00615350">
              <w:t>*</w:t>
            </w:r>
          </w:p>
        </w:tc>
        <w:tc>
          <w:tcPr>
            <w:tcW w:w="850" w:type="dxa"/>
          </w:tcPr>
          <w:p w14:paraId="2196CC05" w14:textId="32150091" w:rsidR="002418DD" w:rsidRPr="003F26A0" w:rsidRDefault="002418DD" w:rsidP="002418DD">
            <w:pPr>
              <w:widowControl w:val="0"/>
              <w:autoSpaceDE w:val="0"/>
              <w:autoSpaceDN w:val="0"/>
              <w:adjustRightInd w:val="0"/>
              <w:jc w:val="center"/>
            </w:pPr>
            <w:r>
              <w:t>0.055</w:t>
            </w:r>
          </w:p>
        </w:tc>
        <w:tc>
          <w:tcPr>
            <w:tcW w:w="1134" w:type="dxa"/>
          </w:tcPr>
          <w:p w14:paraId="311D9C7B" w14:textId="6AC39BC8" w:rsidR="002418DD" w:rsidRPr="003F26A0" w:rsidRDefault="002418DD" w:rsidP="002418DD">
            <w:pPr>
              <w:widowControl w:val="0"/>
              <w:autoSpaceDE w:val="0"/>
              <w:autoSpaceDN w:val="0"/>
              <w:adjustRightInd w:val="0"/>
              <w:jc w:val="center"/>
            </w:pPr>
            <w:r>
              <w:t>0.368</w:t>
            </w:r>
          </w:p>
        </w:tc>
        <w:tc>
          <w:tcPr>
            <w:tcW w:w="709" w:type="dxa"/>
          </w:tcPr>
          <w:p w14:paraId="5808EB28" w14:textId="263628F2" w:rsidR="002418DD" w:rsidRPr="003F26A0" w:rsidRDefault="002418DD" w:rsidP="002418DD">
            <w:pPr>
              <w:widowControl w:val="0"/>
              <w:autoSpaceDE w:val="0"/>
              <w:autoSpaceDN w:val="0"/>
              <w:adjustRightInd w:val="0"/>
              <w:jc w:val="center"/>
            </w:pPr>
            <w:r>
              <w:t>**</w:t>
            </w:r>
            <w:r w:rsidR="00615350">
              <w:t>*</w:t>
            </w:r>
          </w:p>
        </w:tc>
        <w:tc>
          <w:tcPr>
            <w:tcW w:w="992" w:type="dxa"/>
          </w:tcPr>
          <w:p w14:paraId="69323A84" w14:textId="3933BBE9" w:rsidR="002418DD" w:rsidRPr="003F26A0" w:rsidRDefault="002418DD" w:rsidP="002418DD">
            <w:pPr>
              <w:widowControl w:val="0"/>
              <w:autoSpaceDE w:val="0"/>
              <w:autoSpaceDN w:val="0"/>
              <w:adjustRightInd w:val="0"/>
              <w:jc w:val="center"/>
            </w:pPr>
            <w:r>
              <w:t>0.058</w:t>
            </w:r>
          </w:p>
        </w:tc>
      </w:tr>
      <w:tr w:rsidR="002418DD" w:rsidRPr="00B03B04" w14:paraId="4DE85207" w14:textId="77777777" w:rsidTr="00414262">
        <w:tc>
          <w:tcPr>
            <w:tcW w:w="3227" w:type="dxa"/>
          </w:tcPr>
          <w:p w14:paraId="439188DF" w14:textId="03BAAE1D" w:rsidR="002418DD" w:rsidRPr="003F26A0" w:rsidRDefault="002418DD" w:rsidP="002418DD">
            <w:pPr>
              <w:widowControl w:val="0"/>
              <w:autoSpaceDE w:val="0"/>
              <w:autoSpaceDN w:val="0"/>
              <w:adjustRightInd w:val="0"/>
            </w:pPr>
            <w:r w:rsidRPr="008166DB">
              <w:rPr>
                <w:lang w:val="en-US"/>
              </w:rPr>
              <w:t>Silent Generation</w:t>
            </w:r>
          </w:p>
        </w:tc>
        <w:tc>
          <w:tcPr>
            <w:tcW w:w="1021" w:type="dxa"/>
          </w:tcPr>
          <w:p w14:paraId="413CB0F9" w14:textId="10BCA600" w:rsidR="002418DD" w:rsidRPr="003F26A0" w:rsidRDefault="002418DD" w:rsidP="002418DD">
            <w:pPr>
              <w:widowControl w:val="0"/>
              <w:autoSpaceDE w:val="0"/>
              <w:autoSpaceDN w:val="0"/>
              <w:adjustRightInd w:val="0"/>
              <w:jc w:val="center"/>
            </w:pPr>
            <w:r>
              <w:t>0.732</w:t>
            </w:r>
          </w:p>
        </w:tc>
        <w:tc>
          <w:tcPr>
            <w:tcW w:w="567" w:type="dxa"/>
          </w:tcPr>
          <w:p w14:paraId="505E11C1" w14:textId="5CCE4B38" w:rsidR="002418DD" w:rsidRPr="003F26A0" w:rsidRDefault="002418DD" w:rsidP="002418DD">
            <w:pPr>
              <w:widowControl w:val="0"/>
              <w:autoSpaceDE w:val="0"/>
              <w:autoSpaceDN w:val="0"/>
              <w:adjustRightInd w:val="0"/>
              <w:jc w:val="center"/>
            </w:pPr>
            <w:r>
              <w:t>**</w:t>
            </w:r>
            <w:r w:rsidR="00615350">
              <w:t>*</w:t>
            </w:r>
          </w:p>
        </w:tc>
        <w:tc>
          <w:tcPr>
            <w:tcW w:w="850" w:type="dxa"/>
          </w:tcPr>
          <w:p w14:paraId="43DBF606" w14:textId="168190EB" w:rsidR="002418DD" w:rsidRPr="003F26A0" w:rsidRDefault="002418DD" w:rsidP="002418DD">
            <w:pPr>
              <w:widowControl w:val="0"/>
              <w:autoSpaceDE w:val="0"/>
              <w:autoSpaceDN w:val="0"/>
              <w:adjustRightInd w:val="0"/>
              <w:jc w:val="center"/>
            </w:pPr>
            <w:r>
              <w:t>0.057</w:t>
            </w:r>
          </w:p>
        </w:tc>
        <w:tc>
          <w:tcPr>
            <w:tcW w:w="1134" w:type="dxa"/>
          </w:tcPr>
          <w:p w14:paraId="687A2702" w14:textId="03A13887" w:rsidR="002418DD" w:rsidRPr="003F26A0" w:rsidRDefault="002418DD" w:rsidP="002418DD">
            <w:pPr>
              <w:widowControl w:val="0"/>
              <w:autoSpaceDE w:val="0"/>
              <w:autoSpaceDN w:val="0"/>
              <w:adjustRightInd w:val="0"/>
              <w:jc w:val="center"/>
            </w:pPr>
            <w:r>
              <w:t>0.646</w:t>
            </w:r>
          </w:p>
        </w:tc>
        <w:tc>
          <w:tcPr>
            <w:tcW w:w="709" w:type="dxa"/>
          </w:tcPr>
          <w:p w14:paraId="313767F8" w14:textId="0A6F7D90" w:rsidR="002418DD" w:rsidRPr="003F26A0" w:rsidRDefault="002418DD" w:rsidP="002418DD">
            <w:pPr>
              <w:widowControl w:val="0"/>
              <w:autoSpaceDE w:val="0"/>
              <w:autoSpaceDN w:val="0"/>
              <w:adjustRightInd w:val="0"/>
              <w:jc w:val="center"/>
            </w:pPr>
            <w:r>
              <w:t>**</w:t>
            </w:r>
            <w:r w:rsidR="00615350">
              <w:t>*</w:t>
            </w:r>
          </w:p>
        </w:tc>
        <w:tc>
          <w:tcPr>
            <w:tcW w:w="992" w:type="dxa"/>
          </w:tcPr>
          <w:p w14:paraId="359C72AE" w14:textId="023E23A5" w:rsidR="002418DD" w:rsidRPr="003F26A0" w:rsidRDefault="002418DD" w:rsidP="002418DD">
            <w:pPr>
              <w:widowControl w:val="0"/>
              <w:autoSpaceDE w:val="0"/>
              <w:autoSpaceDN w:val="0"/>
              <w:adjustRightInd w:val="0"/>
              <w:jc w:val="center"/>
            </w:pPr>
            <w:r>
              <w:t>0.061</w:t>
            </w:r>
          </w:p>
        </w:tc>
      </w:tr>
      <w:tr w:rsidR="00C442F1" w:rsidRPr="00B03B04" w14:paraId="08CE765C" w14:textId="77777777" w:rsidTr="00414262">
        <w:tc>
          <w:tcPr>
            <w:tcW w:w="3227" w:type="dxa"/>
          </w:tcPr>
          <w:p w14:paraId="6BC1FEBD" w14:textId="77777777" w:rsidR="00C442F1" w:rsidRDefault="00C442F1" w:rsidP="00C442F1">
            <w:pPr>
              <w:widowControl w:val="0"/>
              <w:autoSpaceDE w:val="0"/>
              <w:autoSpaceDN w:val="0"/>
              <w:adjustRightInd w:val="0"/>
              <w:rPr>
                <w:lang w:val="en-US"/>
              </w:rPr>
            </w:pPr>
          </w:p>
        </w:tc>
        <w:tc>
          <w:tcPr>
            <w:tcW w:w="1021" w:type="dxa"/>
          </w:tcPr>
          <w:p w14:paraId="0C567B7E" w14:textId="77777777" w:rsidR="00C442F1" w:rsidRPr="003F26A0" w:rsidRDefault="00C442F1" w:rsidP="00C442F1">
            <w:pPr>
              <w:widowControl w:val="0"/>
              <w:autoSpaceDE w:val="0"/>
              <w:autoSpaceDN w:val="0"/>
              <w:adjustRightInd w:val="0"/>
              <w:jc w:val="center"/>
            </w:pPr>
          </w:p>
        </w:tc>
        <w:tc>
          <w:tcPr>
            <w:tcW w:w="567" w:type="dxa"/>
          </w:tcPr>
          <w:p w14:paraId="6CCC5ABA" w14:textId="77777777" w:rsidR="00C442F1" w:rsidRPr="003F26A0" w:rsidRDefault="00C442F1" w:rsidP="00C442F1">
            <w:pPr>
              <w:widowControl w:val="0"/>
              <w:autoSpaceDE w:val="0"/>
              <w:autoSpaceDN w:val="0"/>
              <w:adjustRightInd w:val="0"/>
              <w:jc w:val="center"/>
            </w:pPr>
          </w:p>
        </w:tc>
        <w:tc>
          <w:tcPr>
            <w:tcW w:w="850" w:type="dxa"/>
          </w:tcPr>
          <w:p w14:paraId="76C1761F" w14:textId="77777777" w:rsidR="00C442F1" w:rsidRPr="003F26A0" w:rsidRDefault="00C442F1" w:rsidP="00C442F1">
            <w:pPr>
              <w:widowControl w:val="0"/>
              <w:autoSpaceDE w:val="0"/>
              <w:autoSpaceDN w:val="0"/>
              <w:adjustRightInd w:val="0"/>
              <w:jc w:val="center"/>
            </w:pPr>
          </w:p>
        </w:tc>
        <w:tc>
          <w:tcPr>
            <w:tcW w:w="1134" w:type="dxa"/>
          </w:tcPr>
          <w:p w14:paraId="76DD7A78" w14:textId="77777777" w:rsidR="00C442F1" w:rsidRPr="003F26A0" w:rsidRDefault="00C442F1" w:rsidP="00C442F1">
            <w:pPr>
              <w:widowControl w:val="0"/>
              <w:autoSpaceDE w:val="0"/>
              <w:autoSpaceDN w:val="0"/>
              <w:adjustRightInd w:val="0"/>
              <w:jc w:val="center"/>
            </w:pPr>
          </w:p>
        </w:tc>
        <w:tc>
          <w:tcPr>
            <w:tcW w:w="709" w:type="dxa"/>
          </w:tcPr>
          <w:p w14:paraId="29B04D7F" w14:textId="77777777" w:rsidR="00C442F1" w:rsidRPr="003F26A0" w:rsidRDefault="00C442F1" w:rsidP="00C442F1">
            <w:pPr>
              <w:widowControl w:val="0"/>
              <w:autoSpaceDE w:val="0"/>
              <w:autoSpaceDN w:val="0"/>
              <w:adjustRightInd w:val="0"/>
              <w:jc w:val="center"/>
            </w:pPr>
          </w:p>
        </w:tc>
        <w:tc>
          <w:tcPr>
            <w:tcW w:w="992" w:type="dxa"/>
          </w:tcPr>
          <w:p w14:paraId="6B99DD5F" w14:textId="77777777" w:rsidR="00C442F1" w:rsidRPr="003F26A0" w:rsidRDefault="00C442F1" w:rsidP="00C442F1">
            <w:pPr>
              <w:widowControl w:val="0"/>
              <w:autoSpaceDE w:val="0"/>
              <w:autoSpaceDN w:val="0"/>
              <w:adjustRightInd w:val="0"/>
              <w:jc w:val="center"/>
            </w:pPr>
          </w:p>
        </w:tc>
      </w:tr>
      <w:tr w:rsidR="002418DD" w:rsidRPr="00B03B04" w14:paraId="6CD15738" w14:textId="77777777" w:rsidTr="00414262">
        <w:tc>
          <w:tcPr>
            <w:tcW w:w="3227" w:type="dxa"/>
          </w:tcPr>
          <w:p w14:paraId="649FC80F" w14:textId="7396FD35" w:rsidR="002418DD" w:rsidRPr="003F26A0" w:rsidRDefault="002418DD" w:rsidP="002418DD">
            <w:pPr>
              <w:widowControl w:val="0"/>
              <w:autoSpaceDE w:val="0"/>
              <w:autoSpaceDN w:val="0"/>
              <w:adjustRightInd w:val="0"/>
            </w:pPr>
            <w:r>
              <w:rPr>
                <w:lang w:val="en-US"/>
              </w:rPr>
              <w:t>Female</w:t>
            </w:r>
          </w:p>
        </w:tc>
        <w:tc>
          <w:tcPr>
            <w:tcW w:w="1021" w:type="dxa"/>
          </w:tcPr>
          <w:p w14:paraId="60CAC868" w14:textId="1B297D1D" w:rsidR="002418DD" w:rsidRPr="003F26A0" w:rsidRDefault="002418DD" w:rsidP="002418DD">
            <w:pPr>
              <w:widowControl w:val="0"/>
              <w:autoSpaceDE w:val="0"/>
              <w:autoSpaceDN w:val="0"/>
              <w:adjustRightInd w:val="0"/>
              <w:jc w:val="center"/>
            </w:pPr>
            <w:r>
              <w:t>0.058</w:t>
            </w:r>
          </w:p>
        </w:tc>
        <w:tc>
          <w:tcPr>
            <w:tcW w:w="567" w:type="dxa"/>
          </w:tcPr>
          <w:p w14:paraId="5E771944" w14:textId="2D3E1BE6" w:rsidR="002418DD" w:rsidRPr="003F26A0" w:rsidRDefault="002418DD" w:rsidP="002418DD">
            <w:pPr>
              <w:widowControl w:val="0"/>
              <w:autoSpaceDE w:val="0"/>
              <w:autoSpaceDN w:val="0"/>
              <w:adjustRightInd w:val="0"/>
              <w:jc w:val="center"/>
            </w:pPr>
            <w:r>
              <w:t>**</w:t>
            </w:r>
            <w:r w:rsidR="00615350">
              <w:t>*</w:t>
            </w:r>
          </w:p>
        </w:tc>
        <w:tc>
          <w:tcPr>
            <w:tcW w:w="850" w:type="dxa"/>
          </w:tcPr>
          <w:p w14:paraId="1A113D97" w14:textId="31D6EF43" w:rsidR="002418DD" w:rsidRPr="003F26A0" w:rsidRDefault="002418DD" w:rsidP="002418DD">
            <w:pPr>
              <w:widowControl w:val="0"/>
              <w:autoSpaceDE w:val="0"/>
              <w:autoSpaceDN w:val="0"/>
              <w:adjustRightInd w:val="0"/>
              <w:jc w:val="center"/>
            </w:pPr>
            <w:r>
              <w:t>0.017</w:t>
            </w:r>
          </w:p>
        </w:tc>
        <w:tc>
          <w:tcPr>
            <w:tcW w:w="1134" w:type="dxa"/>
          </w:tcPr>
          <w:p w14:paraId="2274954F" w14:textId="1DA59C35" w:rsidR="002418DD" w:rsidRPr="003F26A0" w:rsidRDefault="002418DD" w:rsidP="002418DD">
            <w:pPr>
              <w:widowControl w:val="0"/>
              <w:autoSpaceDE w:val="0"/>
              <w:autoSpaceDN w:val="0"/>
              <w:adjustRightInd w:val="0"/>
              <w:jc w:val="center"/>
            </w:pPr>
            <w:r>
              <w:t>0.008</w:t>
            </w:r>
          </w:p>
        </w:tc>
        <w:tc>
          <w:tcPr>
            <w:tcW w:w="709" w:type="dxa"/>
          </w:tcPr>
          <w:p w14:paraId="6D90CE2A" w14:textId="73C7ACC3" w:rsidR="002418DD" w:rsidRPr="003F26A0" w:rsidRDefault="002418DD" w:rsidP="002418DD">
            <w:pPr>
              <w:widowControl w:val="0"/>
              <w:autoSpaceDE w:val="0"/>
              <w:autoSpaceDN w:val="0"/>
              <w:adjustRightInd w:val="0"/>
              <w:jc w:val="center"/>
            </w:pPr>
          </w:p>
        </w:tc>
        <w:tc>
          <w:tcPr>
            <w:tcW w:w="992" w:type="dxa"/>
          </w:tcPr>
          <w:p w14:paraId="6742129F" w14:textId="75665FF0" w:rsidR="002418DD" w:rsidRPr="003F26A0" w:rsidRDefault="002418DD" w:rsidP="002418DD">
            <w:pPr>
              <w:widowControl w:val="0"/>
              <w:autoSpaceDE w:val="0"/>
              <w:autoSpaceDN w:val="0"/>
              <w:adjustRightInd w:val="0"/>
              <w:jc w:val="center"/>
            </w:pPr>
            <w:r>
              <w:t>0.018</w:t>
            </w:r>
          </w:p>
        </w:tc>
      </w:tr>
      <w:tr w:rsidR="002418DD" w:rsidRPr="00B03B04" w14:paraId="7CBF68F2" w14:textId="77777777" w:rsidTr="00414262">
        <w:tc>
          <w:tcPr>
            <w:tcW w:w="3227" w:type="dxa"/>
          </w:tcPr>
          <w:p w14:paraId="360BEA0B" w14:textId="027CC375" w:rsidR="002418DD" w:rsidRPr="003F26A0" w:rsidRDefault="002418DD" w:rsidP="002418DD">
            <w:pPr>
              <w:widowControl w:val="0"/>
              <w:autoSpaceDE w:val="0"/>
              <w:autoSpaceDN w:val="0"/>
              <w:adjustRightInd w:val="0"/>
            </w:pPr>
            <w:r>
              <w:rPr>
                <w:lang w:val="en-US"/>
              </w:rPr>
              <w:t>Married</w:t>
            </w:r>
          </w:p>
        </w:tc>
        <w:tc>
          <w:tcPr>
            <w:tcW w:w="1021" w:type="dxa"/>
          </w:tcPr>
          <w:p w14:paraId="021E74A7" w14:textId="737B6D59" w:rsidR="002418DD" w:rsidRPr="003F26A0" w:rsidRDefault="002418DD" w:rsidP="002418DD">
            <w:pPr>
              <w:widowControl w:val="0"/>
              <w:autoSpaceDE w:val="0"/>
              <w:autoSpaceDN w:val="0"/>
              <w:adjustRightInd w:val="0"/>
              <w:jc w:val="center"/>
            </w:pPr>
            <w:r>
              <w:t>0.069</w:t>
            </w:r>
          </w:p>
        </w:tc>
        <w:tc>
          <w:tcPr>
            <w:tcW w:w="567" w:type="dxa"/>
          </w:tcPr>
          <w:p w14:paraId="656DD72C" w14:textId="6192EBEE" w:rsidR="002418DD" w:rsidRPr="003F26A0" w:rsidRDefault="002418DD" w:rsidP="002418DD">
            <w:pPr>
              <w:widowControl w:val="0"/>
              <w:autoSpaceDE w:val="0"/>
              <w:autoSpaceDN w:val="0"/>
              <w:adjustRightInd w:val="0"/>
              <w:jc w:val="center"/>
            </w:pPr>
            <w:r>
              <w:t>**</w:t>
            </w:r>
            <w:r w:rsidR="00615350">
              <w:t>*</w:t>
            </w:r>
          </w:p>
        </w:tc>
        <w:tc>
          <w:tcPr>
            <w:tcW w:w="850" w:type="dxa"/>
          </w:tcPr>
          <w:p w14:paraId="41E4AF25" w14:textId="7BE6605B" w:rsidR="002418DD" w:rsidRPr="003F26A0" w:rsidRDefault="002418DD" w:rsidP="002418DD">
            <w:pPr>
              <w:widowControl w:val="0"/>
              <w:autoSpaceDE w:val="0"/>
              <w:autoSpaceDN w:val="0"/>
              <w:adjustRightInd w:val="0"/>
              <w:jc w:val="center"/>
            </w:pPr>
            <w:r>
              <w:t>0.020</w:t>
            </w:r>
          </w:p>
        </w:tc>
        <w:tc>
          <w:tcPr>
            <w:tcW w:w="1134" w:type="dxa"/>
          </w:tcPr>
          <w:p w14:paraId="7D1FE818" w14:textId="500B8608" w:rsidR="002418DD" w:rsidRPr="003F26A0" w:rsidRDefault="002418DD" w:rsidP="002418DD">
            <w:pPr>
              <w:widowControl w:val="0"/>
              <w:autoSpaceDE w:val="0"/>
              <w:autoSpaceDN w:val="0"/>
              <w:adjustRightInd w:val="0"/>
              <w:jc w:val="center"/>
            </w:pPr>
            <w:r>
              <w:t>0.147</w:t>
            </w:r>
          </w:p>
        </w:tc>
        <w:tc>
          <w:tcPr>
            <w:tcW w:w="709" w:type="dxa"/>
          </w:tcPr>
          <w:p w14:paraId="4C17CFC3" w14:textId="1503D93F" w:rsidR="002418DD" w:rsidRPr="003F26A0" w:rsidRDefault="002418DD" w:rsidP="002418DD">
            <w:pPr>
              <w:widowControl w:val="0"/>
              <w:autoSpaceDE w:val="0"/>
              <w:autoSpaceDN w:val="0"/>
              <w:adjustRightInd w:val="0"/>
              <w:jc w:val="center"/>
            </w:pPr>
            <w:r>
              <w:t>**</w:t>
            </w:r>
            <w:r w:rsidR="00615350">
              <w:t>*</w:t>
            </w:r>
          </w:p>
        </w:tc>
        <w:tc>
          <w:tcPr>
            <w:tcW w:w="992" w:type="dxa"/>
          </w:tcPr>
          <w:p w14:paraId="488A4D2C" w14:textId="5CF1616F" w:rsidR="002418DD" w:rsidRPr="003F26A0" w:rsidRDefault="002418DD" w:rsidP="002418DD">
            <w:pPr>
              <w:widowControl w:val="0"/>
              <w:autoSpaceDE w:val="0"/>
              <w:autoSpaceDN w:val="0"/>
              <w:adjustRightInd w:val="0"/>
              <w:jc w:val="center"/>
            </w:pPr>
            <w:r>
              <w:t>0.021</w:t>
            </w:r>
          </w:p>
        </w:tc>
      </w:tr>
      <w:tr w:rsidR="002418DD" w:rsidRPr="00B03B04" w14:paraId="32389A89" w14:textId="77777777" w:rsidTr="00414262">
        <w:tc>
          <w:tcPr>
            <w:tcW w:w="3227" w:type="dxa"/>
          </w:tcPr>
          <w:p w14:paraId="562A158E" w14:textId="076313E2" w:rsidR="002418DD" w:rsidRPr="003F26A0" w:rsidRDefault="002418DD" w:rsidP="002418DD">
            <w:pPr>
              <w:widowControl w:val="0"/>
              <w:autoSpaceDE w:val="0"/>
              <w:autoSpaceDN w:val="0"/>
              <w:adjustRightInd w:val="0"/>
            </w:pPr>
            <w:r>
              <w:rPr>
                <w:lang w:val="en-US"/>
              </w:rPr>
              <w:t>Divorced</w:t>
            </w:r>
          </w:p>
        </w:tc>
        <w:tc>
          <w:tcPr>
            <w:tcW w:w="1021" w:type="dxa"/>
          </w:tcPr>
          <w:p w14:paraId="2789DC5A" w14:textId="3333BB6A" w:rsidR="002418DD" w:rsidRPr="003F26A0" w:rsidRDefault="002418DD" w:rsidP="002418DD">
            <w:pPr>
              <w:widowControl w:val="0"/>
              <w:autoSpaceDE w:val="0"/>
              <w:autoSpaceDN w:val="0"/>
              <w:adjustRightInd w:val="0"/>
              <w:jc w:val="center"/>
            </w:pPr>
            <w:r>
              <w:t>-0.066</w:t>
            </w:r>
          </w:p>
        </w:tc>
        <w:tc>
          <w:tcPr>
            <w:tcW w:w="567" w:type="dxa"/>
          </w:tcPr>
          <w:p w14:paraId="6ED73485" w14:textId="77777777" w:rsidR="002418DD" w:rsidRPr="003F26A0" w:rsidRDefault="002418DD" w:rsidP="002418DD">
            <w:pPr>
              <w:widowControl w:val="0"/>
              <w:autoSpaceDE w:val="0"/>
              <w:autoSpaceDN w:val="0"/>
              <w:adjustRightInd w:val="0"/>
              <w:jc w:val="center"/>
            </w:pPr>
          </w:p>
        </w:tc>
        <w:tc>
          <w:tcPr>
            <w:tcW w:w="850" w:type="dxa"/>
          </w:tcPr>
          <w:p w14:paraId="5106CBA0" w14:textId="62A98E0C" w:rsidR="002418DD" w:rsidRPr="003F26A0" w:rsidRDefault="002418DD" w:rsidP="002418DD">
            <w:pPr>
              <w:widowControl w:val="0"/>
              <w:autoSpaceDE w:val="0"/>
              <w:autoSpaceDN w:val="0"/>
              <w:adjustRightInd w:val="0"/>
              <w:jc w:val="center"/>
            </w:pPr>
            <w:r>
              <w:t>0.041</w:t>
            </w:r>
          </w:p>
        </w:tc>
        <w:tc>
          <w:tcPr>
            <w:tcW w:w="1134" w:type="dxa"/>
          </w:tcPr>
          <w:p w14:paraId="0CBE95F7" w14:textId="1DBB5993" w:rsidR="002418DD" w:rsidRPr="003F26A0" w:rsidRDefault="002418DD" w:rsidP="002418DD">
            <w:pPr>
              <w:widowControl w:val="0"/>
              <w:autoSpaceDE w:val="0"/>
              <w:autoSpaceDN w:val="0"/>
              <w:adjustRightInd w:val="0"/>
              <w:jc w:val="center"/>
            </w:pPr>
            <w:r>
              <w:t>0.014</w:t>
            </w:r>
          </w:p>
        </w:tc>
        <w:tc>
          <w:tcPr>
            <w:tcW w:w="709" w:type="dxa"/>
          </w:tcPr>
          <w:p w14:paraId="068BDA3C" w14:textId="77777777" w:rsidR="002418DD" w:rsidRPr="003F26A0" w:rsidRDefault="002418DD" w:rsidP="002418DD">
            <w:pPr>
              <w:widowControl w:val="0"/>
              <w:autoSpaceDE w:val="0"/>
              <w:autoSpaceDN w:val="0"/>
              <w:adjustRightInd w:val="0"/>
              <w:jc w:val="center"/>
            </w:pPr>
          </w:p>
        </w:tc>
        <w:tc>
          <w:tcPr>
            <w:tcW w:w="992" w:type="dxa"/>
          </w:tcPr>
          <w:p w14:paraId="3E3FD76F" w14:textId="37680F81" w:rsidR="002418DD" w:rsidRPr="003F26A0" w:rsidRDefault="002418DD" w:rsidP="002418DD">
            <w:pPr>
              <w:widowControl w:val="0"/>
              <w:autoSpaceDE w:val="0"/>
              <w:autoSpaceDN w:val="0"/>
              <w:adjustRightInd w:val="0"/>
              <w:jc w:val="center"/>
            </w:pPr>
            <w:r>
              <w:t>0.042</w:t>
            </w:r>
          </w:p>
        </w:tc>
      </w:tr>
      <w:tr w:rsidR="002418DD" w:rsidRPr="00B03B04" w14:paraId="1D6214A2" w14:textId="77777777" w:rsidTr="00414262">
        <w:tc>
          <w:tcPr>
            <w:tcW w:w="3227" w:type="dxa"/>
          </w:tcPr>
          <w:p w14:paraId="408D521C" w14:textId="7EFE774D" w:rsidR="002418DD" w:rsidRPr="003F26A0" w:rsidRDefault="002418DD" w:rsidP="002418DD">
            <w:pPr>
              <w:widowControl w:val="0"/>
              <w:autoSpaceDE w:val="0"/>
              <w:autoSpaceDN w:val="0"/>
              <w:adjustRightInd w:val="0"/>
            </w:pPr>
            <w:r>
              <w:rPr>
                <w:lang w:val="en-US"/>
              </w:rPr>
              <w:t>Unemployed</w:t>
            </w:r>
          </w:p>
        </w:tc>
        <w:tc>
          <w:tcPr>
            <w:tcW w:w="1021" w:type="dxa"/>
          </w:tcPr>
          <w:p w14:paraId="0893DBEF" w14:textId="2E279D0F" w:rsidR="002418DD" w:rsidRPr="003F26A0" w:rsidRDefault="002418DD" w:rsidP="002418DD">
            <w:pPr>
              <w:widowControl w:val="0"/>
              <w:autoSpaceDE w:val="0"/>
              <w:autoSpaceDN w:val="0"/>
              <w:adjustRightInd w:val="0"/>
              <w:jc w:val="center"/>
            </w:pPr>
            <w:r>
              <w:t>-0.227</w:t>
            </w:r>
          </w:p>
        </w:tc>
        <w:tc>
          <w:tcPr>
            <w:tcW w:w="567" w:type="dxa"/>
          </w:tcPr>
          <w:p w14:paraId="2B69188C" w14:textId="56FA192A" w:rsidR="002418DD" w:rsidRPr="003F26A0" w:rsidRDefault="002418DD" w:rsidP="002418DD">
            <w:pPr>
              <w:widowControl w:val="0"/>
              <w:autoSpaceDE w:val="0"/>
              <w:autoSpaceDN w:val="0"/>
              <w:adjustRightInd w:val="0"/>
              <w:jc w:val="center"/>
            </w:pPr>
            <w:r>
              <w:t>**</w:t>
            </w:r>
            <w:r w:rsidR="00615350">
              <w:t>*</w:t>
            </w:r>
          </w:p>
        </w:tc>
        <w:tc>
          <w:tcPr>
            <w:tcW w:w="850" w:type="dxa"/>
          </w:tcPr>
          <w:p w14:paraId="79DF7997" w14:textId="4992C1FB" w:rsidR="002418DD" w:rsidRPr="003F26A0" w:rsidRDefault="002418DD" w:rsidP="002418DD">
            <w:pPr>
              <w:widowControl w:val="0"/>
              <w:autoSpaceDE w:val="0"/>
              <w:autoSpaceDN w:val="0"/>
              <w:adjustRightInd w:val="0"/>
              <w:jc w:val="center"/>
            </w:pPr>
            <w:r>
              <w:t>0.046</w:t>
            </w:r>
          </w:p>
        </w:tc>
        <w:tc>
          <w:tcPr>
            <w:tcW w:w="1134" w:type="dxa"/>
          </w:tcPr>
          <w:p w14:paraId="0D4881AE" w14:textId="1E28978C" w:rsidR="002418DD" w:rsidRPr="003F26A0" w:rsidRDefault="002418DD" w:rsidP="002418DD">
            <w:pPr>
              <w:widowControl w:val="0"/>
              <w:autoSpaceDE w:val="0"/>
              <w:autoSpaceDN w:val="0"/>
              <w:adjustRightInd w:val="0"/>
              <w:jc w:val="center"/>
            </w:pPr>
            <w:r>
              <w:t>-0.011</w:t>
            </w:r>
          </w:p>
        </w:tc>
        <w:tc>
          <w:tcPr>
            <w:tcW w:w="709" w:type="dxa"/>
          </w:tcPr>
          <w:p w14:paraId="31A3B260" w14:textId="77777777" w:rsidR="002418DD" w:rsidRPr="003F26A0" w:rsidRDefault="002418DD" w:rsidP="002418DD">
            <w:pPr>
              <w:widowControl w:val="0"/>
              <w:autoSpaceDE w:val="0"/>
              <w:autoSpaceDN w:val="0"/>
              <w:adjustRightInd w:val="0"/>
              <w:jc w:val="center"/>
            </w:pPr>
          </w:p>
        </w:tc>
        <w:tc>
          <w:tcPr>
            <w:tcW w:w="992" w:type="dxa"/>
          </w:tcPr>
          <w:p w14:paraId="6FFECF42" w14:textId="164A95C7" w:rsidR="002418DD" w:rsidRPr="003F26A0" w:rsidRDefault="002418DD" w:rsidP="002418DD">
            <w:pPr>
              <w:widowControl w:val="0"/>
              <w:autoSpaceDE w:val="0"/>
              <w:autoSpaceDN w:val="0"/>
              <w:adjustRightInd w:val="0"/>
              <w:jc w:val="center"/>
            </w:pPr>
            <w:r>
              <w:t>0.051</w:t>
            </w:r>
          </w:p>
        </w:tc>
      </w:tr>
      <w:tr w:rsidR="002418DD" w:rsidRPr="00B03B04" w14:paraId="5C015026" w14:textId="77777777" w:rsidTr="00414262">
        <w:tc>
          <w:tcPr>
            <w:tcW w:w="3227" w:type="dxa"/>
          </w:tcPr>
          <w:p w14:paraId="56BE55DB" w14:textId="0333D0A2" w:rsidR="002418DD" w:rsidRPr="003F26A0" w:rsidRDefault="002418DD" w:rsidP="002418DD">
            <w:pPr>
              <w:widowControl w:val="0"/>
              <w:autoSpaceDE w:val="0"/>
              <w:autoSpaceDN w:val="0"/>
              <w:adjustRightInd w:val="0"/>
            </w:pPr>
            <w:r>
              <w:rPr>
                <w:lang w:val="en-US"/>
              </w:rPr>
              <w:t>Commute</w:t>
            </w:r>
          </w:p>
        </w:tc>
        <w:tc>
          <w:tcPr>
            <w:tcW w:w="1021" w:type="dxa"/>
          </w:tcPr>
          <w:p w14:paraId="5EF08594" w14:textId="4660A472" w:rsidR="002418DD" w:rsidRPr="003F26A0" w:rsidRDefault="002418DD" w:rsidP="002418DD">
            <w:pPr>
              <w:widowControl w:val="0"/>
              <w:autoSpaceDE w:val="0"/>
              <w:autoSpaceDN w:val="0"/>
              <w:adjustRightInd w:val="0"/>
              <w:jc w:val="center"/>
            </w:pPr>
            <w:r>
              <w:t>0.000</w:t>
            </w:r>
          </w:p>
        </w:tc>
        <w:tc>
          <w:tcPr>
            <w:tcW w:w="567" w:type="dxa"/>
          </w:tcPr>
          <w:p w14:paraId="4C41627F" w14:textId="77777777" w:rsidR="002418DD" w:rsidRPr="003F26A0" w:rsidRDefault="002418DD" w:rsidP="002418DD">
            <w:pPr>
              <w:widowControl w:val="0"/>
              <w:autoSpaceDE w:val="0"/>
              <w:autoSpaceDN w:val="0"/>
              <w:adjustRightInd w:val="0"/>
              <w:jc w:val="center"/>
            </w:pPr>
          </w:p>
        </w:tc>
        <w:tc>
          <w:tcPr>
            <w:tcW w:w="850" w:type="dxa"/>
          </w:tcPr>
          <w:p w14:paraId="036C72EA" w14:textId="04918940" w:rsidR="002418DD" w:rsidRPr="003F26A0" w:rsidRDefault="002418DD" w:rsidP="002418DD">
            <w:pPr>
              <w:widowControl w:val="0"/>
              <w:autoSpaceDE w:val="0"/>
              <w:autoSpaceDN w:val="0"/>
              <w:adjustRightInd w:val="0"/>
              <w:jc w:val="center"/>
            </w:pPr>
            <w:r>
              <w:t>0.001</w:t>
            </w:r>
          </w:p>
        </w:tc>
        <w:tc>
          <w:tcPr>
            <w:tcW w:w="1134" w:type="dxa"/>
          </w:tcPr>
          <w:p w14:paraId="72812723" w14:textId="5E4B1BF0" w:rsidR="002418DD" w:rsidRPr="003F26A0" w:rsidRDefault="002418DD" w:rsidP="002418DD">
            <w:pPr>
              <w:widowControl w:val="0"/>
              <w:autoSpaceDE w:val="0"/>
              <w:autoSpaceDN w:val="0"/>
              <w:adjustRightInd w:val="0"/>
              <w:jc w:val="center"/>
            </w:pPr>
            <w:r>
              <w:t>-0.001</w:t>
            </w:r>
          </w:p>
        </w:tc>
        <w:tc>
          <w:tcPr>
            <w:tcW w:w="709" w:type="dxa"/>
          </w:tcPr>
          <w:p w14:paraId="5FC76964" w14:textId="2223BD6C" w:rsidR="002418DD" w:rsidRPr="003F26A0" w:rsidRDefault="002418DD" w:rsidP="002418DD">
            <w:pPr>
              <w:widowControl w:val="0"/>
              <w:autoSpaceDE w:val="0"/>
              <w:autoSpaceDN w:val="0"/>
              <w:adjustRightInd w:val="0"/>
              <w:jc w:val="center"/>
            </w:pPr>
          </w:p>
        </w:tc>
        <w:tc>
          <w:tcPr>
            <w:tcW w:w="992" w:type="dxa"/>
          </w:tcPr>
          <w:p w14:paraId="00230EF4" w14:textId="5DFBA417" w:rsidR="002418DD" w:rsidRPr="003F26A0" w:rsidRDefault="002418DD" w:rsidP="002418DD">
            <w:pPr>
              <w:widowControl w:val="0"/>
              <w:autoSpaceDE w:val="0"/>
              <w:autoSpaceDN w:val="0"/>
              <w:adjustRightInd w:val="0"/>
              <w:jc w:val="center"/>
            </w:pPr>
            <w:r>
              <w:t>0.001</w:t>
            </w:r>
          </w:p>
        </w:tc>
      </w:tr>
      <w:tr w:rsidR="00C442F1" w:rsidRPr="00B03B04" w14:paraId="3A57236E" w14:textId="77777777" w:rsidTr="00414262">
        <w:tc>
          <w:tcPr>
            <w:tcW w:w="3227" w:type="dxa"/>
          </w:tcPr>
          <w:p w14:paraId="31F5EE9C" w14:textId="77777777" w:rsidR="00C442F1" w:rsidRDefault="00C442F1" w:rsidP="00C442F1">
            <w:pPr>
              <w:widowControl w:val="0"/>
              <w:autoSpaceDE w:val="0"/>
              <w:autoSpaceDN w:val="0"/>
              <w:adjustRightInd w:val="0"/>
              <w:rPr>
                <w:lang w:val="en-US"/>
              </w:rPr>
            </w:pPr>
          </w:p>
        </w:tc>
        <w:tc>
          <w:tcPr>
            <w:tcW w:w="1021" w:type="dxa"/>
          </w:tcPr>
          <w:p w14:paraId="42CFA7F8" w14:textId="77777777" w:rsidR="00C442F1" w:rsidRPr="003F26A0" w:rsidRDefault="00C442F1" w:rsidP="00C442F1">
            <w:pPr>
              <w:widowControl w:val="0"/>
              <w:autoSpaceDE w:val="0"/>
              <w:autoSpaceDN w:val="0"/>
              <w:adjustRightInd w:val="0"/>
              <w:jc w:val="center"/>
            </w:pPr>
          </w:p>
        </w:tc>
        <w:tc>
          <w:tcPr>
            <w:tcW w:w="567" w:type="dxa"/>
          </w:tcPr>
          <w:p w14:paraId="336BB202" w14:textId="77777777" w:rsidR="00C442F1" w:rsidRPr="003F26A0" w:rsidRDefault="00C442F1" w:rsidP="00C442F1">
            <w:pPr>
              <w:widowControl w:val="0"/>
              <w:autoSpaceDE w:val="0"/>
              <w:autoSpaceDN w:val="0"/>
              <w:adjustRightInd w:val="0"/>
              <w:jc w:val="center"/>
            </w:pPr>
          </w:p>
        </w:tc>
        <w:tc>
          <w:tcPr>
            <w:tcW w:w="850" w:type="dxa"/>
          </w:tcPr>
          <w:p w14:paraId="4598B332" w14:textId="77777777" w:rsidR="00C442F1" w:rsidRPr="003F26A0" w:rsidRDefault="00C442F1" w:rsidP="00C442F1">
            <w:pPr>
              <w:widowControl w:val="0"/>
              <w:autoSpaceDE w:val="0"/>
              <w:autoSpaceDN w:val="0"/>
              <w:adjustRightInd w:val="0"/>
              <w:jc w:val="center"/>
            </w:pPr>
          </w:p>
        </w:tc>
        <w:tc>
          <w:tcPr>
            <w:tcW w:w="1134" w:type="dxa"/>
          </w:tcPr>
          <w:p w14:paraId="0E1F4F0C" w14:textId="77777777" w:rsidR="00C442F1" w:rsidRPr="003F26A0" w:rsidRDefault="00C442F1" w:rsidP="00C442F1">
            <w:pPr>
              <w:widowControl w:val="0"/>
              <w:autoSpaceDE w:val="0"/>
              <w:autoSpaceDN w:val="0"/>
              <w:adjustRightInd w:val="0"/>
              <w:jc w:val="center"/>
            </w:pPr>
          </w:p>
        </w:tc>
        <w:tc>
          <w:tcPr>
            <w:tcW w:w="709" w:type="dxa"/>
          </w:tcPr>
          <w:p w14:paraId="62283694" w14:textId="77777777" w:rsidR="00C442F1" w:rsidRPr="003F26A0" w:rsidRDefault="00C442F1" w:rsidP="00C442F1">
            <w:pPr>
              <w:widowControl w:val="0"/>
              <w:autoSpaceDE w:val="0"/>
              <w:autoSpaceDN w:val="0"/>
              <w:adjustRightInd w:val="0"/>
              <w:jc w:val="center"/>
            </w:pPr>
          </w:p>
        </w:tc>
        <w:tc>
          <w:tcPr>
            <w:tcW w:w="992" w:type="dxa"/>
          </w:tcPr>
          <w:p w14:paraId="3BC2C6F3" w14:textId="77777777" w:rsidR="00C442F1" w:rsidRPr="003F26A0" w:rsidRDefault="00C442F1" w:rsidP="00C442F1">
            <w:pPr>
              <w:widowControl w:val="0"/>
              <w:autoSpaceDE w:val="0"/>
              <w:autoSpaceDN w:val="0"/>
              <w:adjustRightInd w:val="0"/>
              <w:jc w:val="center"/>
            </w:pPr>
          </w:p>
        </w:tc>
      </w:tr>
      <w:tr w:rsidR="00C442F1" w:rsidRPr="00B03B04" w14:paraId="0CA87BD7" w14:textId="77777777" w:rsidTr="00414262">
        <w:tc>
          <w:tcPr>
            <w:tcW w:w="3227" w:type="dxa"/>
          </w:tcPr>
          <w:p w14:paraId="396CB3C6" w14:textId="75D7915E" w:rsidR="00C442F1" w:rsidRPr="0084126C" w:rsidRDefault="00C442F1" w:rsidP="00C442F1">
            <w:pPr>
              <w:widowControl w:val="0"/>
              <w:autoSpaceDE w:val="0"/>
              <w:autoSpaceDN w:val="0"/>
              <w:adjustRightInd w:val="0"/>
            </w:pPr>
            <w:r w:rsidRPr="0084126C">
              <w:rPr>
                <w:b/>
                <w:i/>
                <w:lang w:val="en-US"/>
              </w:rPr>
              <w:t>Highest education</w:t>
            </w:r>
          </w:p>
        </w:tc>
        <w:tc>
          <w:tcPr>
            <w:tcW w:w="1021" w:type="dxa"/>
          </w:tcPr>
          <w:p w14:paraId="1A397F5C" w14:textId="76028449" w:rsidR="00C442F1" w:rsidRPr="0084126C" w:rsidRDefault="00C442F1" w:rsidP="00C442F1">
            <w:pPr>
              <w:widowControl w:val="0"/>
              <w:autoSpaceDE w:val="0"/>
              <w:autoSpaceDN w:val="0"/>
              <w:adjustRightInd w:val="0"/>
              <w:jc w:val="center"/>
            </w:pPr>
          </w:p>
        </w:tc>
        <w:tc>
          <w:tcPr>
            <w:tcW w:w="567" w:type="dxa"/>
          </w:tcPr>
          <w:p w14:paraId="2AD7AA64" w14:textId="77777777" w:rsidR="00C442F1" w:rsidRPr="0084126C" w:rsidRDefault="00C442F1" w:rsidP="00C442F1">
            <w:pPr>
              <w:widowControl w:val="0"/>
              <w:autoSpaceDE w:val="0"/>
              <w:autoSpaceDN w:val="0"/>
              <w:adjustRightInd w:val="0"/>
              <w:jc w:val="center"/>
            </w:pPr>
          </w:p>
        </w:tc>
        <w:tc>
          <w:tcPr>
            <w:tcW w:w="850" w:type="dxa"/>
          </w:tcPr>
          <w:p w14:paraId="2EB07A1F" w14:textId="2F62A28B" w:rsidR="00C442F1" w:rsidRPr="0084126C" w:rsidRDefault="00C442F1" w:rsidP="00C442F1">
            <w:pPr>
              <w:widowControl w:val="0"/>
              <w:autoSpaceDE w:val="0"/>
              <w:autoSpaceDN w:val="0"/>
              <w:adjustRightInd w:val="0"/>
              <w:jc w:val="center"/>
            </w:pPr>
          </w:p>
        </w:tc>
        <w:tc>
          <w:tcPr>
            <w:tcW w:w="1134" w:type="dxa"/>
          </w:tcPr>
          <w:p w14:paraId="4349CF27" w14:textId="54933B9C" w:rsidR="00C442F1" w:rsidRPr="0084126C" w:rsidRDefault="00C442F1" w:rsidP="00C442F1">
            <w:pPr>
              <w:widowControl w:val="0"/>
              <w:autoSpaceDE w:val="0"/>
              <w:autoSpaceDN w:val="0"/>
              <w:adjustRightInd w:val="0"/>
              <w:jc w:val="center"/>
            </w:pPr>
          </w:p>
        </w:tc>
        <w:tc>
          <w:tcPr>
            <w:tcW w:w="709" w:type="dxa"/>
          </w:tcPr>
          <w:p w14:paraId="019CE77C" w14:textId="77777777" w:rsidR="00C442F1" w:rsidRPr="0084126C" w:rsidRDefault="00C442F1" w:rsidP="00C442F1">
            <w:pPr>
              <w:widowControl w:val="0"/>
              <w:autoSpaceDE w:val="0"/>
              <w:autoSpaceDN w:val="0"/>
              <w:adjustRightInd w:val="0"/>
              <w:jc w:val="center"/>
            </w:pPr>
          </w:p>
        </w:tc>
        <w:tc>
          <w:tcPr>
            <w:tcW w:w="992" w:type="dxa"/>
          </w:tcPr>
          <w:p w14:paraId="7B692B21" w14:textId="0FC6B179" w:rsidR="00C442F1" w:rsidRPr="0084126C" w:rsidRDefault="00C442F1" w:rsidP="00C442F1">
            <w:pPr>
              <w:widowControl w:val="0"/>
              <w:autoSpaceDE w:val="0"/>
              <w:autoSpaceDN w:val="0"/>
              <w:adjustRightInd w:val="0"/>
              <w:jc w:val="center"/>
            </w:pPr>
          </w:p>
        </w:tc>
      </w:tr>
      <w:tr w:rsidR="006D2577" w:rsidRPr="00B03B04" w14:paraId="471F8F69" w14:textId="77777777" w:rsidTr="00414262">
        <w:tc>
          <w:tcPr>
            <w:tcW w:w="3227" w:type="dxa"/>
          </w:tcPr>
          <w:p w14:paraId="39ACEAFA" w14:textId="391F5839" w:rsidR="006D2577" w:rsidRPr="0084126C" w:rsidRDefault="006D2577" w:rsidP="006D2577">
            <w:pPr>
              <w:widowControl w:val="0"/>
              <w:autoSpaceDE w:val="0"/>
              <w:autoSpaceDN w:val="0"/>
              <w:adjustRightInd w:val="0"/>
            </w:pPr>
            <w:r w:rsidRPr="0084126C">
              <w:rPr>
                <w:lang w:val="en-US"/>
              </w:rPr>
              <w:t>Graduate diploma</w:t>
            </w:r>
          </w:p>
        </w:tc>
        <w:tc>
          <w:tcPr>
            <w:tcW w:w="1021" w:type="dxa"/>
          </w:tcPr>
          <w:p w14:paraId="39BF4566" w14:textId="722CF14C" w:rsidR="006D2577" w:rsidRPr="0084126C" w:rsidRDefault="006D2577" w:rsidP="006D2577">
            <w:pPr>
              <w:widowControl w:val="0"/>
              <w:autoSpaceDE w:val="0"/>
              <w:autoSpaceDN w:val="0"/>
              <w:adjustRightInd w:val="0"/>
              <w:jc w:val="center"/>
            </w:pPr>
            <w:r w:rsidRPr="0084126C">
              <w:t>-0.038</w:t>
            </w:r>
          </w:p>
        </w:tc>
        <w:tc>
          <w:tcPr>
            <w:tcW w:w="567" w:type="dxa"/>
          </w:tcPr>
          <w:p w14:paraId="79D625F4" w14:textId="34BAF76B" w:rsidR="006D2577" w:rsidRPr="0084126C" w:rsidRDefault="006D2577" w:rsidP="006D2577">
            <w:pPr>
              <w:widowControl w:val="0"/>
              <w:autoSpaceDE w:val="0"/>
              <w:autoSpaceDN w:val="0"/>
              <w:adjustRightInd w:val="0"/>
              <w:jc w:val="center"/>
            </w:pPr>
          </w:p>
        </w:tc>
        <w:tc>
          <w:tcPr>
            <w:tcW w:w="850" w:type="dxa"/>
          </w:tcPr>
          <w:p w14:paraId="277B01EB" w14:textId="4131F5E8" w:rsidR="006D2577" w:rsidRPr="0084126C" w:rsidRDefault="006D2577" w:rsidP="006D2577">
            <w:pPr>
              <w:widowControl w:val="0"/>
              <w:autoSpaceDE w:val="0"/>
              <w:autoSpaceDN w:val="0"/>
              <w:adjustRightInd w:val="0"/>
              <w:jc w:val="center"/>
            </w:pPr>
            <w:r w:rsidRPr="0084126C">
              <w:t>0.047</w:t>
            </w:r>
          </w:p>
        </w:tc>
        <w:tc>
          <w:tcPr>
            <w:tcW w:w="1134" w:type="dxa"/>
          </w:tcPr>
          <w:p w14:paraId="35056D03" w14:textId="34B3A484" w:rsidR="006D2577" w:rsidRPr="0084126C" w:rsidRDefault="006D2577" w:rsidP="006D2577">
            <w:pPr>
              <w:widowControl w:val="0"/>
              <w:autoSpaceDE w:val="0"/>
              <w:autoSpaceDN w:val="0"/>
              <w:adjustRightInd w:val="0"/>
              <w:jc w:val="center"/>
            </w:pPr>
            <w:r w:rsidRPr="0084126C">
              <w:t>0.085</w:t>
            </w:r>
          </w:p>
        </w:tc>
        <w:tc>
          <w:tcPr>
            <w:tcW w:w="709" w:type="dxa"/>
          </w:tcPr>
          <w:p w14:paraId="2C33E15C" w14:textId="47889240" w:rsidR="006D2577" w:rsidRPr="0084126C" w:rsidRDefault="006D2577" w:rsidP="006D2577">
            <w:pPr>
              <w:widowControl w:val="0"/>
              <w:autoSpaceDE w:val="0"/>
              <w:autoSpaceDN w:val="0"/>
              <w:adjustRightInd w:val="0"/>
              <w:jc w:val="center"/>
            </w:pPr>
          </w:p>
        </w:tc>
        <w:tc>
          <w:tcPr>
            <w:tcW w:w="992" w:type="dxa"/>
          </w:tcPr>
          <w:p w14:paraId="5D595505" w14:textId="2A452758" w:rsidR="006D2577" w:rsidRPr="0084126C" w:rsidRDefault="006D2577" w:rsidP="006D2577">
            <w:pPr>
              <w:widowControl w:val="0"/>
              <w:autoSpaceDE w:val="0"/>
              <w:autoSpaceDN w:val="0"/>
              <w:adjustRightInd w:val="0"/>
              <w:jc w:val="center"/>
            </w:pPr>
            <w:r w:rsidRPr="0084126C">
              <w:t>0.049</w:t>
            </w:r>
          </w:p>
        </w:tc>
      </w:tr>
      <w:tr w:rsidR="006D2577" w:rsidRPr="00B03B04" w14:paraId="7F87B81E" w14:textId="77777777" w:rsidTr="00414262">
        <w:tc>
          <w:tcPr>
            <w:tcW w:w="3227" w:type="dxa"/>
          </w:tcPr>
          <w:p w14:paraId="20CD8CE2" w14:textId="35EF91A7" w:rsidR="006D2577" w:rsidRPr="0084126C" w:rsidRDefault="006D2577" w:rsidP="006D2577">
            <w:pPr>
              <w:widowControl w:val="0"/>
              <w:autoSpaceDE w:val="0"/>
              <w:autoSpaceDN w:val="0"/>
              <w:adjustRightInd w:val="0"/>
            </w:pPr>
            <w:r w:rsidRPr="0084126C">
              <w:rPr>
                <w:lang w:val="en-US"/>
              </w:rPr>
              <w:t>Bachelor</w:t>
            </w:r>
          </w:p>
        </w:tc>
        <w:tc>
          <w:tcPr>
            <w:tcW w:w="1021" w:type="dxa"/>
          </w:tcPr>
          <w:p w14:paraId="08A2767F" w14:textId="3A031DCE" w:rsidR="006D2577" w:rsidRPr="0084126C" w:rsidRDefault="006D2577" w:rsidP="006D2577">
            <w:pPr>
              <w:widowControl w:val="0"/>
              <w:autoSpaceDE w:val="0"/>
              <w:autoSpaceDN w:val="0"/>
              <w:adjustRightInd w:val="0"/>
              <w:jc w:val="center"/>
            </w:pPr>
            <w:r w:rsidRPr="0084126C">
              <w:t>-0.018</w:t>
            </w:r>
          </w:p>
        </w:tc>
        <w:tc>
          <w:tcPr>
            <w:tcW w:w="567" w:type="dxa"/>
          </w:tcPr>
          <w:p w14:paraId="5BA8A90C" w14:textId="12E6BD64" w:rsidR="006D2577" w:rsidRPr="0084126C" w:rsidRDefault="006D2577" w:rsidP="006D2577">
            <w:pPr>
              <w:widowControl w:val="0"/>
              <w:autoSpaceDE w:val="0"/>
              <w:autoSpaceDN w:val="0"/>
              <w:adjustRightInd w:val="0"/>
              <w:jc w:val="center"/>
            </w:pPr>
          </w:p>
        </w:tc>
        <w:tc>
          <w:tcPr>
            <w:tcW w:w="850" w:type="dxa"/>
          </w:tcPr>
          <w:p w14:paraId="706A1310" w14:textId="249B4293" w:rsidR="006D2577" w:rsidRPr="0084126C" w:rsidRDefault="006D2577" w:rsidP="006D2577">
            <w:pPr>
              <w:widowControl w:val="0"/>
              <w:autoSpaceDE w:val="0"/>
              <w:autoSpaceDN w:val="0"/>
              <w:adjustRightInd w:val="0"/>
              <w:jc w:val="center"/>
            </w:pPr>
            <w:r w:rsidRPr="0084126C">
              <w:t>0.039</w:t>
            </w:r>
          </w:p>
        </w:tc>
        <w:tc>
          <w:tcPr>
            <w:tcW w:w="1134" w:type="dxa"/>
          </w:tcPr>
          <w:p w14:paraId="306A479F" w14:textId="7355D9F7" w:rsidR="006D2577" w:rsidRPr="0084126C" w:rsidRDefault="006D2577" w:rsidP="006D2577">
            <w:pPr>
              <w:widowControl w:val="0"/>
              <w:autoSpaceDE w:val="0"/>
              <w:autoSpaceDN w:val="0"/>
              <w:adjustRightInd w:val="0"/>
              <w:jc w:val="center"/>
            </w:pPr>
            <w:r w:rsidRPr="0084126C">
              <w:t>0.010</w:t>
            </w:r>
          </w:p>
        </w:tc>
        <w:tc>
          <w:tcPr>
            <w:tcW w:w="709" w:type="dxa"/>
          </w:tcPr>
          <w:p w14:paraId="784A6D82" w14:textId="023A482B" w:rsidR="006D2577" w:rsidRPr="0084126C" w:rsidRDefault="006D2577" w:rsidP="006D2577">
            <w:pPr>
              <w:widowControl w:val="0"/>
              <w:autoSpaceDE w:val="0"/>
              <w:autoSpaceDN w:val="0"/>
              <w:adjustRightInd w:val="0"/>
              <w:jc w:val="center"/>
            </w:pPr>
          </w:p>
        </w:tc>
        <w:tc>
          <w:tcPr>
            <w:tcW w:w="992" w:type="dxa"/>
          </w:tcPr>
          <w:p w14:paraId="5A5810C2" w14:textId="3F97CD65" w:rsidR="006D2577" w:rsidRPr="0084126C" w:rsidRDefault="006D2577" w:rsidP="006D2577">
            <w:pPr>
              <w:widowControl w:val="0"/>
              <w:autoSpaceDE w:val="0"/>
              <w:autoSpaceDN w:val="0"/>
              <w:adjustRightInd w:val="0"/>
              <w:jc w:val="center"/>
            </w:pPr>
            <w:r w:rsidRPr="0084126C">
              <w:t>0.042</w:t>
            </w:r>
          </w:p>
        </w:tc>
      </w:tr>
      <w:tr w:rsidR="006D2577" w:rsidRPr="00B03B04" w14:paraId="124CC726" w14:textId="77777777" w:rsidTr="00414262">
        <w:tc>
          <w:tcPr>
            <w:tcW w:w="3227" w:type="dxa"/>
          </w:tcPr>
          <w:p w14:paraId="14AF4858" w14:textId="35669E1A" w:rsidR="006D2577" w:rsidRPr="0084126C" w:rsidRDefault="006D2577" w:rsidP="006D2577">
            <w:pPr>
              <w:widowControl w:val="0"/>
              <w:autoSpaceDE w:val="0"/>
              <w:autoSpaceDN w:val="0"/>
              <w:adjustRightInd w:val="0"/>
            </w:pPr>
            <w:r w:rsidRPr="0084126C">
              <w:rPr>
                <w:lang w:val="en-US"/>
              </w:rPr>
              <w:t>Diploma</w:t>
            </w:r>
          </w:p>
        </w:tc>
        <w:tc>
          <w:tcPr>
            <w:tcW w:w="1021" w:type="dxa"/>
          </w:tcPr>
          <w:p w14:paraId="23770BBF" w14:textId="3DAF6E7D" w:rsidR="006D2577" w:rsidRPr="0084126C" w:rsidRDefault="006D2577" w:rsidP="006D2577">
            <w:pPr>
              <w:widowControl w:val="0"/>
              <w:autoSpaceDE w:val="0"/>
              <w:autoSpaceDN w:val="0"/>
              <w:adjustRightInd w:val="0"/>
              <w:jc w:val="center"/>
            </w:pPr>
            <w:r w:rsidRPr="0084126C">
              <w:t>-0.257</w:t>
            </w:r>
          </w:p>
        </w:tc>
        <w:tc>
          <w:tcPr>
            <w:tcW w:w="567" w:type="dxa"/>
          </w:tcPr>
          <w:p w14:paraId="290A6592" w14:textId="26FE6F79" w:rsidR="006D2577" w:rsidRPr="0084126C" w:rsidRDefault="006D2577" w:rsidP="006D2577">
            <w:pPr>
              <w:widowControl w:val="0"/>
              <w:autoSpaceDE w:val="0"/>
              <w:autoSpaceDN w:val="0"/>
              <w:adjustRightInd w:val="0"/>
              <w:jc w:val="center"/>
            </w:pPr>
            <w:r w:rsidRPr="0084126C">
              <w:t>**</w:t>
            </w:r>
            <w:r w:rsidR="00615350">
              <w:t>*</w:t>
            </w:r>
          </w:p>
        </w:tc>
        <w:tc>
          <w:tcPr>
            <w:tcW w:w="850" w:type="dxa"/>
          </w:tcPr>
          <w:p w14:paraId="0EE75AF3" w14:textId="28FA5AEF" w:rsidR="006D2577" w:rsidRPr="0084126C" w:rsidRDefault="006D2577" w:rsidP="006D2577">
            <w:pPr>
              <w:widowControl w:val="0"/>
              <w:autoSpaceDE w:val="0"/>
              <w:autoSpaceDN w:val="0"/>
              <w:adjustRightInd w:val="0"/>
              <w:jc w:val="center"/>
            </w:pPr>
            <w:r w:rsidRPr="0084126C">
              <w:t>0.043</w:t>
            </w:r>
          </w:p>
        </w:tc>
        <w:tc>
          <w:tcPr>
            <w:tcW w:w="1134" w:type="dxa"/>
          </w:tcPr>
          <w:p w14:paraId="5C98C5A3" w14:textId="277F5433" w:rsidR="006D2577" w:rsidRPr="0084126C" w:rsidRDefault="006D2577" w:rsidP="006D2577">
            <w:pPr>
              <w:widowControl w:val="0"/>
              <w:autoSpaceDE w:val="0"/>
              <w:autoSpaceDN w:val="0"/>
              <w:adjustRightInd w:val="0"/>
              <w:jc w:val="center"/>
            </w:pPr>
            <w:r w:rsidRPr="0084126C">
              <w:t>-0.011</w:t>
            </w:r>
          </w:p>
        </w:tc>
        <w:tc>
          <w:tcPr>
            <w:tcW w:w="709" w:type="dxa"/>
          </w:tcPr>
          <w:p w14:paraId="6BE2E23E" w14:textId="0586F630" w:rsidR="006D2577" w:rsidRPr="0084126C" w:rsidRDefault="006D2577" w:rsidP="006D2577">
            <w:pPr>
              <w:widowControl w:val="0"/>
              <w:autoSpaceDE w:val="0"/>
              <w:autoSpaceDN w:val="0"/>
              <w:adjustRightInd w:val="0"/>
              <w:jc w:val="center"/>
            </w:pPr>
          </w:p>
        </w:tc>
        <w:tc>
          <w:tcPr>
            <w:tcW w:w="992" w:type="dxa"/>
          </w:tcPr>
          <w:p w14:paraId="7A0E512B" w14:textId="5ACDE60B" w:rsidR="006D2577" w:rsidRPr="0084126C" w:rsidRDefault="006D2577" w:rsidP="006D2577">
            <w:pPr>
              <w:widowControl w:val="0"/>
              <w:autoSpaceDE w:val="0"/>
              <w:autoSpaceDN w:val="0"/>
              <w:adjustRightInd w:val="0"/>
              <w:jc w:val="center"/>
            </w:pPr>
            <w:r w:rsidRPr="0084126C">
              <w:t>0.046</w:t>
            </w:r>
          </w:p>
        </w:tc>
      </w:tr>
      <w:tr w:rsidR="006D2577" w:rsidRPr="00B03B04" w14:paraId="0929B3AE" w14:textId="77777777" w:rsidTr="00414262">
        <w:tc>
          <w:tcPr>
            <w:tcW w:w="3227" w:type="dxa"/>
          </w:tcPr>
          <w:p w14:paraId="2680BF45" w14:textId="3454F2A7" w:rsidR="006D2577" w:rsidRPr="0084126C" w:rsidRDefault="006D2577" w:rsidP="006D2577">
            <w:pPr>
              <w:widowControl w:val="0"/>
              <w:autoSpaceDE w:val="0"/>
              <w:autoSpaceDN w:val="0"/>
              <w:adjustRightInd w:val="0"/>
            </w:pPr>
            <w:r w:rsidRPr="0084126C">
              <w:rPr>
                <w:lang w:val="en-US"/>
              </w:rPr>
              <w:t>Certificate</w:t>
            </w:r>
          </w:p>
        </w:tc>
        <w:tc>
          <w:tcPr>
            <w:tcW w:w="1021" w:type="dxa"/>
          </w:tcPr>
          <w:p w14:paraId="343671F7" w14:textId="27FF12B5" w:rsidR="006D2577" w:rsidRPr="0084126C" w:rsidRDefault="006D2577" w:rsidP="006D2577">
            <w:pPr>
              <w:widowControl w:val="0"/>
              <w:autoSpaceDE w:val="0"/>
              <w:autoSpaceDN w:val="0"/>
              <w:adjustRightInd w:val="0"/>
              <w:jc w:val="center"/>
            </w:pPr>
            <w:r w:rsidRPr="0084126C">
              <w:t>-0.340</w:t>
            </w:r>
          </w:p>
        </w:tc>
        <w:tc>
          <w:tcPr>
            <w:tcW w:w="567" w:type="dxa"/>
          </w:tcPr>
          <w:p w14:paraId="27BED78A" w14:textId="10B52437" w:rsidR="006D2577" w:rsidRPr="0084126C" w:rsidRDefault="006D2577" w:rsidP="006D2577">
            <w:pPr>
              <w:widowControl w:val="0"/>
              <w:autoSpaceDE w:val="0"/>
              <w:autoSpaceDN w:val="0"/>
              <w:adjustRightInd w:val="0"/>
              <w:jc w:val="center"/>
            </w:pPr>
            <w:r w:rsidRPr="0084126C">
              <w:t>**</w:t>
            </w:r>
            <w:r w:rsidR="00615350">
              <w:t>*</w:t>
            </w:r>
          </w:p>
        </w:tc>
        <w:tc>
          <w:tcPr>
            <w:tcW w:w="850" w:type="dxa"/>
          </w:tcPr>
          <w:p w14:paraId="5F5F958F" w14:textId="0AD84ACB" w:rsidR="006D2577" w:rsidRPr="0084126C" w:rsidRDefault="006D2577" w:rsidP="006D2577">
            <w:pPr>
              <w:widowControl w:val="0"/>
              <w:autoSpaceDE w:val="0"/>
              <w:autoSpaceDN w:val="0"/>
              <w:adjustRightInd w:val="0"/>
              <w:jc w:val="center"/>
            </w:pPr>
            <w:r w:rsidRPr="0084126C">
              <w:t>0.040</w:t>
            </w:r>
          </w:p>
        </w:tc>
        <w:tc>
          <w:tcPr>
            <w:tcW w:w="1134" w:type="dxa"/>
          </w:tcPr>
          <w:p w14:paraId="70F97347" w14:textId="26BA0E1D" w:rsidR="006D2577" w:rsidRPr="0084126C" w:rsidRDefault="006D2577" w:rsidP="006D2577">
            <w:pPr>
              <w:widowControl w:val="0"/>
              <w:autoSpaceDE w:val="0"/>
              <w:autoSpaceDN w:val="0"/>
              <w:adjustRightInd w:val="0"/>
              <w:jc w:val="center"/>
            </w:pPr>
            <w:r w:rsidRPr="0084126C">
              <w:t>-0.123</w:t>
            </w:r>
          </w:p>
        </w:tc>
        <w:tc>
          <w:tcPr>
            <w:tcW w:w="709" w:type="dxa"/>
          </w:tcPr>
          <w:p w14:paraId="2CC84CF3" w14:textId="5B71CFBC" w:rsidR="006D2577" w:rsidRPr="0084126C" w:rsidRDefault="006D2577" w:rsidP="006D2577">
            <w:pPr>
              <w:widowControl w:val="0"/>
              <w:autoSpaceDE w:val="0"/>
              <w:autoSpaceDN w:val="0"/>
              <w:adjustRightInd w:val="0"/>
              <w:jc w:val="center"/>
            </w:pPr>
            <w:r w:rsidRPr="0084126C">
              <w:t>**</w:t>
            </w:r>
            <w:r w:rsidR="00615350">
              <w:t>*</w:t>
            </w:r>
          </w:p>
        </w:tc>
        <w:tc>
          <w:tcPr>
            <w:tcW w:w="992" w:type="dxa"/>
          </w:tcPr>
          <w:p w14:paraId="1B3CDE52" w14:textId="2E9CBCD3" w:rsidR="006D2577" w:rsidRPr="0084126C" w:rsidRDefault="006D2577" w:rsidP="006D2577">
            <w:pPr>
              <w:widowControl w:val="0"/>
              <w:autoSpaceDE w:val="0"/>
              <w:autoSpaceDN w:val="0"/>
              <w:adjustRightInd w:val="0"/>
              <w:jc w:val="center"/>
            </w:pPr>
            <w:r w:rsidRPr="0084126C">
              <w:t>0.042</w:t>
            </w:r>
          </w:p>
        </w:tc>
      </w:tr>
      <w:tr w:rsidR="006D2577" w:rsidRPr="00B03B04" w14:paraId="175ED1CF" w14:textId="77777777" w:rsidTr="00414262">
        <w:tc>
          <w:tcPr>
            <w:tcW w:w="3227" w:type="dxa"/>
          </w:tcPr>
          <w:p w14:paraId="1FDEBD0E" w14:textId="21AFBA21" w:rsidR="006D2577" w:rsidRPr="0084126C" w:rsidRDefault="006D2577" w:rsidP="006D2577">
            <w:pPr>
              <w:widowControl w:val="0"/>
              <w:autoSpaceDE w:val="0"/>
              <w:autoSpaceDN w:val="0"/>
              <w:adjustRightInd w:val="0"/>
            </w:pPr>
            <w:r w:rsidRPr="0084126C">
              <w:rPr>
                <w:lang w:val="en-US"/>
              </w:rPr>
              <w:t>Year 12</w:t>
            </w:r>
          </w:p>
        </w:tc>
        <w:tc>
          <w:tcPr>
            <w:tcW w:w="1021" w:type="dxa"/>
          </w:tcPr>
          <w:p w14:paraId="3F078752" w14:textId="4E04AC97" w:rsidR="006D2577" w:rsidRPr="0084126C" w:rsidRDefault="006D2577" w:rsidP="006D2577">
            <w:pPr>
              <w:widowControl w:val="0"/>
              <w:autoSpaceDE w:val="0"/>
              <w:autoSpaceDN w:val="0"/>
              <w:adjustRightInd w:val="0"/>
              <w:jc w:val="center"/>
            </w:pPr>
            <w:r w:rsidRPr="0084126C">
              <w:t>-0.217</w:t>
            </w:r>
          </w:p>
        </w:tc>
        <w:tc>
          <w:tcPr>
            <w:tcW w:w="567" w:type="dxa"/>
          </w:tcPr>
          <w:p w14:paraId="1EDF2856" w14:textId="3A5BA558" w:rsidR="006D2577" w:rsidRPr="0084126C" w:rsidRDefault="006D2577" w:rsidP="006D2577">
            <w:pPr>
              <w:widowControl w:val="0"/>
              <w:autoSpaceDE w:val="0"/>
              <w:autoSpaceDN w:val="0"/>
              <w:adjustRightInd w:val="0"/>
              <w:jc w:val="center"/>
            </w:pPr>
            <w:r w:rsidRPr="0084126C">
              <w:t>**</w:t>
            </w:r>
            <w:r w:rsidR="00615350">
              <w:t>*</w:t>
            </w:r>
          </w:p>
        </w:tc>
        <w:tc>
          <w:tcPr>
            <w:tcW w:w="850" w:type="dxa"/>
          </w:tcPr>
          <w:p w14:paraId="721B3305" w14:textId="42E7E6AF" w:rsidR="006D2577" w:rsidRPr="0084126C" w:rsidRDefault="006D2577" w:rsidP="006D2577">
            <w:pPr>
              <w:widowControl w:val="0"/>
              <w:autoSpaceDE w:val="0"/>
              <w:autoSpaceDN w:val="0"/>
              <w:adjustRightInd w:val="0"/>
              <w:jc w:val="center"/>
            </w:pPr>
            <w:r w:rsidRPr="0084126C">
              <w:t>0.041</w:t>
            </w:r>
          </w:p>
        </w:tc>
        <w:tc>
          <w:tcPr>
            <w:tcW w:w="1134" w:type="dxa"/>
          </w:tcPr>
          <w:p w14:paraId="18814779" w14:textId="55899161" w:rsidR="006D2577" w:rsidRPr="0084126C" w:rsidRDefault="006D2577" w:rsidP="006D2577">
            <w:pPr>
              <w:widowControl w:val="0"/>
              <w:autoSpaceDE w:val="0"/>
              <w:autoSpaceDN w:val="0"/>
              <w:adjustRightInd w:val="0"/>
              <w:jc w:val="center"/>
            </w:pPr>
            <w:r w:rsidRPr="0084126C">
              <w:t>-0.067</w:t>
            </w:r>
          </w:p>
        </w:tc>
        <w:tc>
          <w:tcPr>
            <w:tcW w:w="709" w:type="dxa"/>
          </w:tcPr>
          <w:p w14:paraId="329F9BCA" w14:textId="3F463AA3" w:rsidR="006D2577" w:rsidRPr="0084126C" w:rsidRDefault="006D2577" w:rsidP="006D2577">
            <w:pPr>
              <w:widowControl w:val="0"/>
              <w:autoSpaceDE w:val="0"/>
              <w:autoSpaceDN w:val="0"/>
              <w:adjustRightInd w:val="0"/>
              <w:jc w:val="center"/>
            </w:pPr>
          </w:p>
        </w:tc>
        <w:tc>
          <w:tcPr>
            <w:tcW w:w="992" w:type="dxa"/>
          </w:tcPr>
          <w:p w14:paraId="30285C04" w14:textId="199B0CDC" w:rsidR="006D2577" w:rsidRPr="0084126C" w:rsidRDefault="006D2577" w:rsidP="006D2577">
            <w:pPr>
              <w:widowControl w:val="0"/>
              <w:autoSpaceDE w:val="0"/>
              <w:autoSpaceDN w:val="0"/>
              <w:adjustRightInd w:val="0"/>
              <w:jc w:val="center"/>
            </w:pPr>
            <w:r w:rsidRPr="0084126C">
              <w:t>0.043</w:t>
            </w:r>
          </w:p>
        </w:tc>
      </w:tr>
      <w:tr w:rsidR="006D2577" w:rsidRPr="00B03B04" w14:paraId="0865A46F" w14:textId="77777777" w:rsidTr="00414262">
        <w:tc>
          <w:tcPr>
            <w:tcW w:w="3227" w:type="dxa"/>
          </w:tcPr>
          <w:p w14:paraId="49F895F6" w14:textId="38DDE46A" w:rsidR="006D2577" w:rsidRPr="0084126C" w:rsidRDefault="006D2577" w:rsidP="006D2577">
            <w:pPr>
              <w:widowControl w:val="0"/>
              <w:autoSpaceDE w:val="0"/>
              <w:autoSpaceDN w:val="0"/>
              <w:adjustRightInd w:val="0"/>
              <w:rPr>
                <w:lang w:val="en-US"/>
              </w:rPr>
            </w:pPr>
            <w:r w:rsidRPr="0084126C">
              <w:rPr>
                <w:lang w:val="en-US"/>
              </w:rPr>
              <w:t>Year 11 and below</w:t>
            </w:r>
          </w:p>
        </w:tc>
        <w:tc>
          <w:tcPr>
            <w:tcW w:w="1021" w:type="dxa"/>
          </w:tcPr>
          <w:p w14:paraId="609DDF8C" w14:textId="6C49067F" w:rsidR="006D2577" w:rsidRPr="0084126C" w:rsidRDefault="006D2577" w:rsidP="006D2577">
            <w:pPr>
              <w:widowControl w:val="0"/>
              <w:autoSpaceDE w:val="0"/>
              <w:autoSpaceDN w:val="0"/>
              <w:adjustRightInd w:val="0"/>
              <w:jc w:val="center"/>
            </w:pPr>
            <w:r w:rsidRPr="0084126C">
              <w:t>-0.382</w:t>
            </w:r>
          </w:p>
        </w:tc>
        <w:tc>
          <w:tcPr>
            <w:tcW w:w="567" w:type="dxa"/>
          </w:tcPr>
          <w:p w14:paraId="2395EE41" w14:textId="778A435F" w:rsidR="006D2577" w:rsidRPr="0084126C" w:rsidRDefault="006D2577" w:rsidP="006D2577">
            <w:pPr>
              <w:widowControl w:val="0"/>
              <w:autoSpaceDE w:val="0"/>
              <w:autoSpaceDN w:val="0"/>
              <w:adjustRightInd w:val="0"/>
              <w:jc w:val="center"/>
            </w:pPr>
            <w:r w:rsidRPr="0084126C">
              <w:t>**</w:t>
            </w:r>
            <w:r w:rsidR="00615350">
              <w:t>*</w:t>
            </w:r>
          </w:p>
        </w:tc>
        <w:tc>
          <w:tcPr>
            <w:tcW w:w="850" w:type="dxa"/>
          </w:tcPr>
          <w:p w14:paraId="49E1F8C6" w14:textId="1D6EB36D" w:rsidR="006D2577" w:rsidRPr="0084126C" w:rsidRDefault="006D2577" w:rsidP="006D2577">
            <w:pPr>
              <w:widowControl w:val="0"/>
              <w:autoSpaceDE w:val="0"/>
              <w:autoSpaceDN w:val="0"/>
              <w:adjustRightInd w:val="0"/>
              <w:jc w:val="center"/>
            </w:pPr>
            <w:r w:rsidRPr="0084126C">
              <w:t>0.040</w:t>
            </w:r>
          </w:p>
        </w:tc>
        <w:tc>
          <w:tcPr>
            <w:tcW w:w="1134" w:type="dxa"/>
          </w:tcPr>
          <w:p w14:paraId="7D119081" w14:textId="3AE60DE7" w:rsidR="006D2577" w:rsidRPr="0084126C" w:rsidRDefault="006D2577" w:rsidP="006D2577">
            <w:pPr>
              <w:widowControl w:val="0"/>
              <w:autoSpaceDE w:val="0"/>
              <w:autoSpaceDN w:val="0"/>
              <w:adjustRightInd w:val="0"/>
              <w:jc w:val="center"/>
            </w:pPr>
            <w:r w:rsidRPr="0084126C">
              <w:t>-0.090</w:t>
            </w:r>
          </w:p>
        </w:tc>
        <w:tc>
          <w:tcPr>
            <w:tcW w:w="709" w:type="dxa"/>
          </w:tcPr>
          <w:p w14:paraId="25E19721" w14:textId="26B01E54" w:rsidR="006D2577" w:rsidRPr="0084126C" w:rsidRDefault="006D2577" w:rsidP="006D2577">
            <w:pPr>
              <w:widowControl w:val="0"/>
              <w:autoSpaceDE w:val="0"/>
              <w:autoSpaceDN w:val="0"/>
              <w:adjustRightInd w:val="0"/>
              <w:jc w:val="center"/>
            </w:pPr>
            <w:r w:rsidRPr="0084126C">
              <w:t>**</w:t>
            </w:r>
          </w:p>
        </w:tc>
        <w:tc>
          <w:tcPr>
            <w:tcW w:w="992" w:type="dxa"/>
          </w:tcPr>
          <w:p w14:paraId="5A6FA6FA" w14:textId="4D8833F6" w:rsidR="006D2577" w:rsidRPr="0084126C" w:rsidRDefault="006D2577" w:rsidP="006D2577">
            <w:pPr>
              <w:widowControl w:val="0"/>
              <w:autoSpaceDE w:val="0"/>
              <w:autoSpaceDN w:val="0"/>
              <w:adjustRightInd w:val="0"/>
              <w:jc w:val="center"/>
            </w:pPr>
            <w:r w:rsidRPr="0084126C">
              <w:t>0.042</w:t>
            </w:r>
          </w:p>
        </w:tc>
      </w:tr>
      <w:tr w:rsidR="006D2577" w:rsidRPr="00B03B04" w14:paraId="55FA1A5E" w14:textId="77777777" w:rsidTr="00414262">
        <w:tc>
          <w:tcPr>
            <w:tcW w:w="3227" w:type="dxa"/>
          </w:tcPr>
          <w:p w14:paraId="62941982" w14:textId="77777777" w:rsidR="006D2577" w:rsidRDefault="006D2577" w:rsidP="00C442F1">
            <w:pPr>
              <w:widowControl w:val="0"/>
              <w:autoSpaceDE w:val="0"/>
              <w:autoSpaceDN w:val="0"/>
              <w:adjustRightInd w:val="0"/>
              <w:rPr>
                <w:lang w:val="en-US"/>
              </w:rPr>
            </w:pPr>
          </w:p>
        </w:tc>
        <w:tc>
          <w:tcPr>
            <w:tcW w:w="1021" w:type="dxa"/>
          </w:tcPr>
          <w:p w14:paraId="66A37CB8" w14:textId="77777777" w:rsidR="006D2577" w:rsidRPr="003F26A0" w:rsidRDefault="006D2577" w:rsidP="00C442F1">
            <w:pPr>
              <w:widowControl w:val="0"/>
              <w:autoSpaceDE w:val="0"/>
              <w:autoSpaceDN w:val="0"/>
              <w:adjustRightInd w:val="0"/>
              <w:jc w:val="center"/>
            </w:pPr>
          </w:p>
        </w:tc>
        <w:tc>
          <w:tcPr>
            <w:tcW w:w="567" w:type="dxa"/>
          </w:tcPr>
          <w:p w14:paraId="28F49FA6" w14:textId="77777777" w:rsidR="006D2577" w:rsidRPr="003F26A0" w:rsidRDefault="006D2577" w:rsidP="00C442F1">
            <w:pPr>
              <w:widowControl w:val="0"/>
              <w:autoSpaceDE w:val="0"/>
              <w:autoSpaceDN w:val="0"/>
              <w:adjustRightInd w:val="0"/>
              <w:jc w:val="center"/>
            </w:pPr>
          </w:p>
        </w:tc>
        <w:tc>
          <w:tcPr>
            <w:tcW w:w="850" w:type="dxa"/>
          </w:tcPr>
          <w:p w14:paraId="4B9D5FFF" w14:textId="77777777" w:rsidR="006D2577" w:rsidRPr="003F26A0" w:rsidRDefault="006D2577" w:rsidP="00C442F1">
            <w:pPr>
              <w:widowControl w:val="0"/>
              <w:autoSpaceDE w:val="0"/>
              <w:autoSpaceDN w:val="0"/>
              <w:adjustRightInd w:val="0"/>
              <w:jc w:val="center"/>
            </w:pPr>
          </w:p>
        </w:tc>
        <w:tc>
          <w:tcPr>
            <w:tcW w:w="1134" w:type="dxa"/>
          </w:tcPr>
          <w:p w14:paraId="6F78986B" w14:textId="77777777" w:rsidR="006D2577" w:rsidRPr="003F26A0" w:rsidRDefault="006D2577" w:rsidP="00C442F1">
            <w:pPr>
              <w:widowControl w:val="0"/>
              <w:autoSpaceDE w:val="0"/>
              <w:autoSpaceDN w:val="0"/>
              <w:adjustRightInd w:val="0"/>
              <w:jc w:val="center"/>
            </w:pPr>
          </w:p>
        </w:tc>
        <w:tc>
          <w:tcPr>
            <w:tcW w:w="709" w:type="dxa"/>
          </w:tcPr>
          <w:p w14:paraId="007C3876" w14:textId="77777777" w:rsidR="006D2577" w:rsidRPr="003F26A0" w:rsidRDefault="006D2577" w:rsidP="00C442F1">
            <w:pPr>
              <w:widowControl w:val="0"/>
              <w:autoSpaceDE w:val="0"/>
              <w:autoSpaceDN w:val="0"/>
              <w:adjustRightInd w:val="0"/>
              <w:jc w:val="center"/>
            </w:pPr>
          </w:p>
        </w:tc>
        <w:tc>
          <w:tcPr>
            <w:tcW w:w="992" w:type="dxa"/>
          </w:tcPr>
          <w:p w14:paraId="388EB673" w14:textId="77777777" w:rsidR="006D2577" w:rsidRPr="003F26A0" w:rsidRDefault="006D2577" w:rsidP="00C442F1">
            <w:pPr>
              <w:widowControl w:val="0"/>
              <w:autoSpaceDE w:val="0"/>
              <w:autoSpaceDN w:val="0"/>
              <w:adjustRightInd w:val="0"/>
              <w:jc w:val="center"/>
            </w:pPr>
          </w:p>
        </w:tc>
      </w:tr>
      <w:tr w:rsidR="00414262" w:rsidRPr="00B03B04" w14:paraId="41DDE6FC" w14:textId="77777777" w:rsidTr="00414262">
        <w:tc>
          <w:tcPr>
            <w:tcW w:w="3227" w:type="dxa"/>
          </w:tcPr>
          <w:p w14:paraId="2BA3A933" w14:textId="51187040" w:rsidR="00414262" w:rsidRPr="003F26A0" w:rsidRDefault="00414262" w:rsidP="00414262">
            <w:pPr>
              <w:widowControl w:val="0"/>
              <w:autoSpaceDE w:val="0"/>
              <w:autoSpaceDN w:val="0"/>
              <w:adjustRightInd w:val="0"/>
              <w:rPr>
                <w:b/>
              </w:rPr>
            </w:pPr>
            <w:r>
              <w:rPr>
                <w:lang w:val="en-US"/>
              </w:rPr>
              <w:t>Osborn</w:t>
            </w:r>
          </w:p>
        </w:tc>
        <w:tc>
          <w:tcPr>
            <w:tcW w:w="1021" w:type="dxa"/>
          </w:tcPr>
          <w:p w14:paraId="409EC971" w14:textId="07518CF7" w:rsidR="00414262" w:rsidRPr="003F26A0" w:rsidRDefault="00414262" w:rsidP="00414262">
            <w:pPr>
              <w:widowControl w:val="0"/>
              <w:autoSpaceDE w:val="0"/>
              <w:autoSpaceDN w:val="0"/>
              <w:adjustRightInd w:val="0"/>
              <w:jc w:val="center"/>
            </w:pPr>
            <w:r>
              <w:t>-0.076</w:t>
            </w:r>
          </w:p>
        </w:tc>
        <w:tc>
          <w:tcPr>
            <w:tcW w:w="567" w:type="dxa"/>
          </w:tcPr>
          <w:p w14:paraId="26A2CB92" w14:textId="5E9982F2" w:rsidR="00414262" w:rsidRPr="003F26A0" w:rsidRDefault="00414262" w:rsidP="00414262">
            <w:pPr>
              <w:widowControl w:val="0"/>
              <w:autoSpaceDE w:val="0"/>
              <w:autoSpaceDN w:val="0"/>
              <w:adjustRightInd w:val="0"/>
              <w:jc w:val="center"/>
            </w:pPr>
            <w:r>
              <w:t>**</w:t>
            </w:r>
          </w:p>
        </w:tc>
        <w:tc>
          <w:tcPr>
            <w:tcW w:w="850" w:type="dxa"/>
          </w:tcPr>
          <w:p w14:paraId="4E685982" w14:textId="424165FD" w:rsidR="00414262" w:rsidRPr="003F26A0" w:rsidRDefault="00414262" w:rsidP="00414262">
            <w:pPr>
              <w:widowControl w:val="0"/>
              <w:autoSpaceDE w:val="0"/>
              <w:autoSpaceDN w:val="0"/>
              <w:adjustRightInd w:val="0"/>
              <w:jc w:val="center"/>
            </w:pPr>
            <w:r>
              <w:t>0.037</w:t>
            </w:r>
          </w:p>
        </w:tc>
        <w:tc>
          <w:tcPr>
            <w:tcW w:w="1134" w:type="dxa"/>
          </w:tcPr>
          <w:p w14:paraId="143EB648" w14:textId="61F28036" w:rsidR="00414262" w:rsidRPr="003F26A0" w:rsidRDefault="00414262" w:rsidP="00414262">
            <w:pPr>
              <w:widowControl w:val="0"/>
              <w:autoSpaceDE w:val="0"/>
              <w:autoSpaceDN w:val="0"/>
              <w:adjustRightInd w:val="0"/>
              <w:jc w:val="center"/>
            </w:pPr>
            <w:r>
              <w:t>-0.042</w:t>
            </w:r>
          </w:p>
        </w:tc>
        <w:tc>
          <w:tcPr>
            <w:tcW w:w="709" w:type="dxa"/>
          </w:tcPr>
          <w:p w14:paraId="44E3AAC4" w14:textId="77777777" w:rsidR="00414262" w:rsidRPr="003F26A0" w:rsidRDefault="00414262" w:rsidP="00414262">
            <w:pPr>
              <w:widowControl w:val="0"/>
              <w:autoSpaceDE w:val="0"/>
              <w:autoSpaceDN w:val="0"/>
              <w:adjustRightInd w:val="0"/>
              <w:jc w:val="center"/>
            </w:pPr>
          </w:p>
        </w:tc>
        <w:tc>
          <w:tcPr>
            <w:tcW w:w="992" w:type="dxa"/>
          </w:tcPr>
          <w:p w14:paraId="6D1B0D66" w14:textId="2F2D87A3" w:rsidR="00414262" w:rsidRPr="003F26A0" w:rsidRDefault="00414262" w:rsidP="00414262">
            <w:pPr>
              <w:widowControl w:val="0"/>
              <w:autoSpaceDE w:val="0"/>
              <w:autoSpaceDN w:val="0"/>
              <w:adjustRightInd w:val="0"/>
              <w:jc w:val="center"/>
            </w:pPr>
            <w:r>
              <w:t>0.038</w:t>
            </w:r>
          </w:p>
        </w:tc>
      </w:tr>
      <w:tr w:rsidR="00C442F1" w:rsidRPr="00B03B04" w14:paraId="3E8ECD30" w14:textId="77777777" w:rsidTr="00414262">
        <w:tc>
          <w:tcPr>
            <w:tcW w:w="3227" w:type="dxa"/>
          </w:tcPr>
          <w:p w14:paraId="61650C28" w14:textId="77777777" w:rsidR="00C442F1" w:rsidRDefault="00C442F1" w:rsidP="00C442F1">
            <w:pPr>
              <w:widowControl w:val="0"/>
              <w:autoSpaceDE w:val="0"/>
              <w:autoSpaceDN w:val="0"/>
              <w:adjustRightInd w:val="0"/>
              <w:rPr>
                <w:lang w:val="en-US"/>
              </w:rPr>
            </w:pPr>
          </w:p>
        </w:tc>
        <w:tc>
          <w:tcPr>
            <w:tcW w:w="1021" w:type="dxa"/>
          </w:tcPr>
          <w:p w14:paraId="7C903A70" w14:textId="77777777" w:rsidR="00C442F1" w:rsidRPr="003F26A0" w:rsidRDefault="00C442F1" w:rsidP="00C442F1">
            <w:pPr>
              <w:widowControl w:val="0"/>
              <w:autoSpaceDE w:val="0"/>
              <w:autoSpaceDN w:val="0"/>
              <w:adjustRightInd w:val="0"/>
              <w:jc w:val="center"/>
            </w:pPr>
          </w:p>
        </w:tc>
        <w:tc>
          <w:tcPr>
            <w:tcW w:w="567" w:type="dxa"/>
          </w:tcPr>
          <w:p w14:paraId="441EC7B5" w14:textId="77777777" w:rsidR="00C442F1" w:rsidRPr="003F26A0" w:rsidRDefault="00C442F1" w:rsidP="00C442F1">
            <w:pPr>
              <w:widowControl w:val="0"/>
              <w:autoSpaceDE w:val="0"/>
              <w:autoSpaceDN w:val="0"/>
              <w:adjustRightInd w:val="0"/>
              <w:jc w:val="center"/>
            </w:pPr>
          </w:p>
        </w:tc>
        <w:tc>
          <w:tcPr>
            <w:tcW w:w="850" w:type="dxa"/>
          </w:tcPr>
          <w:p w14:paraId="6BE04FAE" w14:textId="77777777" w:rsidR="00C442F1" w:rsidRPr="003F26A0" w:rsidRDefault="00C442F1" w:rsidP="00C442F1">
            <w:pPr>
              <w:widowControl w:val="0"/>
              <w:autoSpaceDE w:val="0"/>
              <w:autoSpaceDN w:val="0"/>
              <w:adjustRightInd w:val="0"/>
              <w:jc w:val="center"/>
            </w:pPr>
          </w:p>
        </w:tc>
        <w:tc>
          <w:tcPr>
            <w:tcW w:w="1134" w:type="dxa"/>
          </w:tcPr>
          <w:p w14:paraId="175DB9C1" w14:textId="77777777" w:rsidR="00C442F1" w:rsidRPr="003F26A0" w:rsidRDefault="00C442F1" w:rsidP="00C442F1">
            <w:pPr>
              <w:widowControl w:val="0"/>
              <w:autoSpaceDE w:val="0"/>
              <w:autoSpaceDN w:val="0"/>
              <w:adjustRightInd w:val="0"/>
              <w:jc w:val="center"/>
            </w:pPr>
          </w:p>
        </w:tc>
        <w:tc>
          <w:tcPr>
            <w:tcW w:w="709" w:type="dxa"/>
          </w:tcPr>
          <w:p w14:paraId="01ABD831" w14:textId="77777777" w:rsidR="00C442F1" w:rsidRPr="003F26A0" w:rsidRDefault="00C442F1" w:rsidP="00C442F1">
            <w:pPr>
              <w:widowControl w:val="0"/>
              <w:autoSpaceDE w:val="0"/>
              <w:autoSpaceDN w:val="0"/>
              <w:adjustRightInd w:val="0"/>
              <w:jc w:val="center"/>
            </w:pPr>
          </w:p>
        </w:tc>
        <w:tc>
          <w:tcPr>
            <w:tcW w:w="992" w:type="dxa"/>
          </w:tcPr>
          <w:p w14:paraId="38917052" w14:textId="77777777" w:rsidR="00C442F1" w:rsidRPr="003F26A0" w:rsidRDefault="00C442F1" w:rsidP="00C442F1">
            <w:pPr>
              <w:widowControl w:val="0"/>
              <w:autoSpaceDE w:val="0"/>
              <w:autoSpaceDN w:val="0"/>
              <w:adjustRightInd w:val="0"/>
              <w:jc w:val="center"/>
            </w:pPr>
          </w:p>
        </w:tc>
      </w:tr>
      <w:tr w:rsidR="00C442F1" w:rsidRPr="00B03B04" w14:paraId="2B495443" w14:textId="77777777" w:rsidTr="00414262">
        <w:tc>
          <w:tcPr>
            <w:tcW w:w="3227" w:type="dxa"/>
          </w:tcPr>
          <w:p w14:paraId="78F31ECB" w14:textId="319733D3" w:rsidR="00C442F1" w:rsidRPr="003F26A0" w:rsidRDefault="00C442F1" w:rsidP="00C442F1">
            <w:pPr>
              <w:widowControl w:val="0"/>
              <w:autoSpaceDE w:val="0"/>
              <w:autoSpaceDN w:val="0"/>
              <w:adjustRightInd w:val="0"/>
              <w:rPr>
                <w:b/>
                <w:i/>
              </w:rPr>
            </w:pPr>
            <w:r w:rsidRPr="005A69E5">
              <w:rPr>
                <w:b/>
                <w:i/>
                <w:lang w:val="en-US"/>
              </w:rPr>
              <w:t>Refugee</w:t>
            </w:r>
          </w:p>
        </w:tc>
        <w:tc>
          <w:tcPr>
            <w:tcW w:w="1021" w:type="dxa"/>
          </w:tcPr>
          <w:p w14:paraId="21F15C5E" w14:textId="77777777" w:rsidR="00C442F1" w:rsidRPr="003F26A0" w:rsidRDefault="00C442F1" w:rsidP="00C442F1">
            <w:pPr>
              <w:widowControl w:val="0"/>
              <w:autoSpaceDE w:val="0"/>
              <w:autoSpaceDN w:val="0"/>
              <w:adjustRightInd w:val="0"/>
              <w:jc w:val="center"/>
            </w:pPr>
          </w:p>
        </w:tc>
        <w:tc>
          <w:tcPr>
            <w:tcW w:w="567" w:type="dxa"/>
          </w:tcPr>
          <w:p w14:paraId="4371371F" w14:textId="77777777" w:rsidR="00C442F1" w:rsidRPr="003F26A0" w:rsidRDefault="00C442F1" w:rsidP="00C442F1">
            <w:pPr>
              <w:widowControl w:val="0"/>
              <w:autoSpaceDE w:val="0"/>
              <w:autoSpaceDN w:val="0"/>
              <w:adjustRightInd w:val="0"/>
              <w:jc w:val="center"/>
            </w:pPr>
          </w:p>
        </w:tc>
        <w:tc>
          <w:tcPr>
            <w:tcW w:w="850" w:type="dxa"/>
          </w:tcPr>
          <w:p w14:paraId="695C8A35" w14:textId="77777777" w:rsidR="00C442F1" w:rsidRPr="003F26A0" w:rsidRDefault="00C442F1" w:rsidP="00C442F1">
            <w:pPr>
              <w:widowControl w:val="0"/>
              <w:autoSpaceDE w:val="0"/>
              <w:autoSpaceDN w:val="0"/>
              <w:adjustRightInd w:val="0"/>
              <w:jc w:val="center"/>
            </w:pPr>
          </w:p>
        </w:tc>
        <w:tc>
          <w:tcPr>
            <w:tcW w:w="1134" w:type="dxa"/>
          </w:tcPr>
          <w:p w14:paraId="1E2F0D51" w14:textId="77777777" w:rsidR="00C442F1" w:rsidRPr="003F26A0" w:rsidRDefault="00C442F1" w:rsidP="00C442F1">
            <w:pPr>
              <w:widowControl w:val="0"/>
              <w:autoSpaceDE w:val="0"/>
              <w:autoSpaceDN w:val="0"/>
              <w:adjustRightInd w:val="0"/>
              <w:jc w:val="center"/>
            </w:pPr>
          </w:p>
        </w:tc>
        <w:tc>
          <w:tcPr>
            <w:tcW w:w="709" w:type="dxa"/>
          </w:tcPr>
          <w:p w14:paraId="0E1E8BC9" w14:textId="77777777" w:rsidR="00C442F1" w:rsidRPr="003F26A0" w:rsidRDefault="00C442F1" w:rsidP="00C442F1">
            <w:pPr>
              <w:widowControl w:val="0"/>
              <w:autoSpaceDE w:val="0"/>
              <w:autoSpaceDN w:val="0"/>
              <w:adjustRightInd w:val="0"/>
              <w:jc w:val="center"/>
            </w:pPr>
          </w:p>
        </w:tc>
        <w:tc>
          <w:tcPr>
            <w:tcW w:w="992" w:type="dxa"/>
          </w:tcPr>
          <w:p w14:paraId="44E549B4" w14:textId="77777777" w:rsidR="00C442F1" w:rsidRPr="003F26A0" w:rsidRDefault="00C442F1" w:rsidP="00C442F1">
            <w:pPr>
              <w:widowControl w:val="0"/>
              <w:autoSpaceDE w:val="0"/>
              <w:autoSpaceDN w:val="0"/>
              <w:adjustRightInd w:val="0"/>
              <w:jc w:val="center"/>
            </w:pPr>
          </w:p>
        </w:tc>
      </w:tr>
      <w:tr w:rsidR="00414262" w:rsidRPr="00B03B04" w14:paraId="76E7C96D" w14:textId="77777777" w:rsidTr="00414262">
        <w:tc>
          <w:tcPr>
            <w:tcW w:w="3227" w:type="dxa"/>
          </w:tcPr>
          <w:p w14:paraId="0A991C4B" w14:textId="2CD7EB9A" w:rsidR="00414262" w:rsidRPr="003F26A0" w:rsidRDefault="00414262" w:rsidP="00414262">
            <w:pPr>
              <w:widowControl w:val="0"/>
              <w:autoSpaceDE w:val="0"/>
              <w:autoSpaceDN w:val="0"/>
              <w:adjustRightInd w:val="0"/>
            </w:pPr>
            <w:r>
              <w:rPr>
                <w:lang w:val="en-US"/>
              </w:rPr>
              <w:t xml:space="preserve">  Yes</w:t>
            </w:r>
          </w:p>
        </w:tc>
        <w:tc>
          <w:tcPr>
            <w:tcW w:w="1021" w:type="dxa"/>
          </w:tcPr>
          <w:p w14:paraId="2EDF0EB6" w14:textId="08150065" w:rsidR="00414262" w:rsidRPr="003F26A0" w:rsidRDefault="00414262" w:rsidP="00414262">
            <w:pPr>
              <w:widowControl w:val="0"/>
              <w:autoSpaceDE w:val="0"/>
              <w:autoSpaceDN w:val="0"/>
              <w:adjustRightInd w:val="0"/>
              <w:jc w:val="center"/>
            </w:pPr>
            <w:r>
              <w:t>-0.052</w:t>
            </w:r>
          </w:p>
        </w:tc>
        <w:tc>
          <w:tcPr>
            <w:tcW w:w="567" w:type="dxa"/>
          </w:tcPr>
          <w:p w14:paraId="3E442F10" w14:textId="38A41D85" w:rsidR="00414262" w:rsidRPr="003F26A0" w:rsidRDefault="00414262" w:rsidP="00414262">
            <w:pPr>
              <w:widowControl w:val="0"/>
              <w:autoSpaceDE w:val="0"/>
              <w:autoSpaceDN w:val="0"/>
              <w:adjustRightInd w:val="0"/>
              <w:jc w:val="center"/>
            </w:pPr>
          </w:p>
        </w:tc>
        <w:tc>
          <w:tcPr>
            <w:tcW w:w="850" w:type="dxa"/>
          </w:tcPr>
          <w:p w14:paraId="58CE5593" w14:textId="28BCD711" w:rsidR="00414262" w:rsidRPr="003F26A0" w:rsidRDefault="00414262" w:rsidP="00414262">
            <w:pPr>
              <w:widowControl w:val="0"/>
              <w:autoSpaceDE w:val="0"/>
              <w:autoSpaceDN w:val="0"/>
              <w:adjustRightInd w:val="0"/>
              <w:jc w:val="center"/>
            </w:pPr>
            <w:r>
              <w:t>0.073</w:t>
            </w:r>
          </w:p>
        </w:tc>
        <w:tc>
          <w:tcPr>
            <w:tcW w:w="1134" w:type="dxa"/>
          </w:tcPr>
          <w:p w14:paraId="7EB5BD4B" w14:textId="6F937FBD" w:rsidR="00414262" w:rsidRPr="003F26A0" w:rsidRDefault="00414262" w:rsidP="00414262">
            <w:pPr>
              <w:widowControl w:val="0"/>
              <w:autoSpaceDE w:val="0"/>
              <w:autoSpaceDN w:val="0"/>
              <w:adjustRightInd w:val="0"/>
              <w:jc w:val="center"/>
            </w:pPr>
            <w:r>
              <w:t>0.061</w:t>
            </w:r>
          </w:p>
        </w:tc>
        <w:tc>
          <w:tcPr>
            <w:tcW w:w="709" w:type="dxa"/>
          </w:tcPr>
          <w:p w14:paraId="1D2BDEBC" w14:textId="77777777" w:rsidR="00414262" w:rsidRPr="003F26A0" w:rsidRDefault="00414262" w:rsidP="00414262">
            <w:pPr>
              <w:widowControl w:val="0"/>
              <w:autoSpaceDE w:val="0"/>
              <w:autoSpaceDN w:val="0"/>
              <w:adjustRightInd w:val="0"/>
              <w:jc w:val="center"/>
            </w:pPr>
          </w:p>
        </w:tc>
        <w:tc>
          <w:tcPr>
            <w:tcW w:w="992" w:type="dxa"/>
          </w:tcPr>
          <w:p w14:paraId="370C88C5" w14:textId="08986A54" w:rsidR="00414262" w:rsidRPr="003F26A0" w:rsidRDefault="00414262" w:rsidP="00414262">
            <w:pPr>
              <w:widowControl w:val="0"/>
              <w:autoSpaceDE w:val="0"/>
              <w:autoSpaceDN w:val="0"/>
              <w:adjustRightInd w:val="0"/>
              <w:jc w:val="center"/>
            </w:pPr>
            <w:r>
              <w:t>0.082</w:t>
            </w:r>
          </w:p>
        </w:tc>
      </w:tr>
      <w:tr w:rsidR="00414262" w:rsidRPr="00B03B04" w14:paraId="1AA4BD4F" w14:textId="77777777" w:rsidTr="00414262">
        <w:tc>
          <w:tcPr>
            <w:tcW w:w="3227" w:type="dxa"/>
          </w:tcPr>
          <w:p w14:paraId="35274EF6" w14:textId="72762BBD" w:rsidR="00414262" w:rsidRPr="003F26A0" w:rsidRDefault="00414262" w:rsidP="00414262">
            <w:pPr>
              <w:widowControl w:val="0"/>
              <w:autoSpaceDE w:val="0"/>
              <w:autoSpaceDN w:val="0"/>
              <w:adjustRightInd w:val="0"/>
            </w:pPr>
            <w:r>
              <w:rPr>
                <w:lang w:val="en-US"/>
              </w:rPr>
              <w:t xml:space="preserve">  Not asked</w:t>
            </w:r>
          </w:p>
        </w:tc>
        <w:tc>
          <w:tcPr>
            <w:tcW w:w="1021" w:type="dxa"/>
          </w:tcPr>
          <w:p w14:paraId="400D10A7" w14:textId="5A33C4F2" w:rsidR="00414262" w:rsidRPr="003F26A0" w:rsidRDefault="00414262" w:rsidP="00414262">
            <w:pPr>
              <w:widowControl w:val="0"/>
              <w:autoSpaceDE w:val="0"/>
              <w:autoSpaceDN w:val="0"/>
              <w:adjustRightInd w:val="0"/>
              <w:jc w:val="center"/>
            </w:pPr>
            <w:r>
              <w:t>0.063</w:t>
            </w:r>
          </w:p>
        </w:tc>
        <w:tc>
          <w:tcPr>
            <w:tcW w:w="567" w:type="dxa"/>
          </w:tcPr>
          <w:p w14:paraId="5044B5FA" w14:textId="663F0E2B" w:rsidR="00414262" w:rsidRPr="003F26A0" w:rsidRDefault="00414262" w:rsidP="00414262">
            <w:pPr>
              <w:widowControl w:val="0"/>
              <w:autoSpaceDE w:val="0"/>
              <w:autoSpaceDN w:val="0"/>
              <w:adjustRightInd w:val="0"/>
              <w:jc w:val="center"/>
            </w:pPr>
          </w:p>
        </w:tc>
        <w:tc>
          <w:tcPr>
            <w:tcW w:w="850" w:type="dxa"/>
          </w:tcPr>
          <w:p w14:paraId="77061374" w14:textId="0F176D1B" w:rsidR="00414262" w:rsidRPr="003F26A0" w:rsidRDefault="00414262" w:rsidP="00414262">
            <w:pPr>
              <w:widowControl w:val="0"/>
              <w:autoSpaceDE w:val="0"/>
              <w:autoSpaceDN w:val="0"/>
              <w:adjustRightInd w:val="0"/>
              <w:jc w:val="center"/>
            </w:pPr>
            <w:r>
              <w:t>0.043</w:t>
            </w:r>
          </w:p>
        </w:tc>
        <w:tc>
          <w:tcPr>
            <w:tcW w:w="1134" w:type="dxa"/>
          </w:tcPr>
          <w:p w14:paraId="3F254EF7" w14:textId="10C15B96" w:rsidR="00414262" w:rsidRPr="003F26A0" w:rsidRDefault="00414262" w:rsidP="00414262">
            <w:pPr>
              <w:widowControl w:val="0"/>
              <w:autoSpaceDE w:val="0"/>
              <w:autoSpaceDN w:val="0"/>
              <w:adjustRightInd w:val="0"/>
              <w:jc w:val="center"/>
            </w:pPr>
            <w:r>
              <w:t>0.067</w:t>
            </w:r>
          </w:p>
        </w:tc>
        <w:tc>
          <w:tcPr>
            <w:tcW w:w="709" w:type="dxa"/>
          </w:tcPr>
          <w:p w14:paraId="15531D18" w14:textId="13594F99" w:rsidR="00414262" w:rsidRPr="003F26A0" w:rsidRDefault="00414262" w:rsidP="00414262">
            <w:pPr>
              <w:widowControl w:val="0"/>
              <w:autoSpaceDE w:val="0"/>
              <w:autoSpaceDN w:val="0"/>
              <w:adjustRightInd w:val="0"/>
              <w:jc w:val="center"/>
            </w:pPr>
          </w:p>
        </w:tc>
        <w:tc>
          <w:tcPr>
            <w:tcW w:w="992" w:type="dxa"/>
          </w:tcPr>
          <w:p w14:paraId="308FE083" w14:textId="64E33480" w:rsidR="00414262" w:rsidRPr="003F26A0" w:rsidRDefault="00414262" w:rsidP="00414262">
            <w:pPr>
              <w:widowControl w:val="0"/>
              <w:autoSpaceDE w:val="0"/>
              <w:autoSpaceDN w:val="0"/>
              <w:adjustRightInd w:val="0"/>
              <w:jc w:val="center"/>
            </w:pPr>
            <w:r>
              <w:t>0.044</w:t>
            </w:r>
          </w:p>
        </w:tc>
      </w:tr>
      <w:tr w:rsidR="00C442F1" w:rsidRPr="00B03B04" w14:paraId="542360F2" w14:textId="77777777" w:rsidTr="00414262">
        <w:tc>
          <w:tcPr>
            <w:tcW w:w="3227" w:type="dxa"/>
          </w:tcPr>
          <w:p w14:paraId="6A18B44B" w14:textId="77777777" w:rsidR="00C442F1" w:rsidRDefault="00C442F1" w:rsidP="00C442F1">
            <w:pPr>
              <w:widowControl w:val="0"/>
              <w:autoSpaceDE w:val="0"/>
              <w:autoSpaceDN w:val="0"/>
              <w:adjustRightInd w:val="0"/>
              <w:rPr>
                <w:lang w:val="en-US"/>
              </w:rPr>
            </w:pPr>
          </w:p>
        </w:tc>
        <w:tc>
          <w:tcPr>
            <w:tcW w:w="1021" w:type="dxa"/>
          </w:tcPr>
          <w:p w14:paraId="50C98161" w14:textId="77777777" w:rsidR="00C442F1" w:rsidRPr="003F26A0" w:rsidRDefault="00C442F1" w:rsidP="00C442F1">
            <w:pPr>
              <w:widowControl w:val="0"/>
              <w:autoSpaceDE w:val="0"/>
              <w:autoSpaceDN w:val="0"/>
              <w:adjustRightInd w:val="0"/>
              <w:jc w:val="center"/>
            </w:pPr>
          </w:p>
        </w:tc>
        <w:tc>
          <w:tcPr>
            <w:tcW w:w="567" w:type="dxa"/>
          </w:tcPr>
          <w:p w14:paraId="5D754D43" w14:textId="77777777" w:rsidR="00C442F1" w:rsidRPr="003F26A0" w:rsidRDefault="00C442F1" w:rsidP="00C442F1">
            <w:pPr>
              <w:widowControl w:val="0"/>
              <w:autoSpaceDE w:val="0"/>
              <w:autoSpaceDN w:val="0"/>
              <w:adjustRightInd w:val="0"/>
              <w:jc w:val="center"/>
            </w:pPr>
          </w:p>
        </w:tc>
        <w:tc>
          <w:tcPr>
            <w:tcW w:w="850" w:type="dxa"/>
          </w:tcPr>
          <w:p w14:paraId="7821FA2C" w14:textId="77777777" w:rsidR="00C442F1" w:rsidRPr="003F26A0" w:rsidRDefault="00C442F1" w:rsidP="00C442F1">
            <w:pPr>
              <w:widowControl w:val="0"/>
              <w:autoSpaceDE w:val="0"/>
              <w:autoSpaceDN w:val="0"/>
              <w:adjustRightInd w:val="0"/>
              <w:jc w:val="center"/>
            </w:pPr>
          </w:p>
        </w:tc>
        <w:tc>
          <w:tcPr>
            <w:tcW w:w="1134" w:type="dxa"/>
          </w:tcPr>
          <w:p w14:paraId="4A876D55" w14:textId="77777777" w:rsidR="00C442F1" w:rsidRPr="003F26A0" w:rsidRDefault="00C442F1" w:rsidP="00C442F1">
            <w:pPr>
              <w:widowControl w:val="0"/>
              <w:autoSpaceDE w:val="0"/>
              <w:autoSpaceDN w:val="0"/>
              <w:adjustRightInd w:val="0"/>
              <w:jc w:val="center"/>
            </w:pPr>
          </w:p>
        </w:tc>
        <w:tc>
          <w:tcPr>
            <w:tcW w:w="709" w:type="dxa"/>
          </w:tcPr>
          <w:p w14:paraId="487A3FC1" w14:textId="77777777" w:rsidR="00C442F1" w:rsidRPr="003F26A0" w:rsidRDefault="00C442F1" w:rsidP="00C442F1">
            <w:pPr>
              <w:widowControl w:val="0"/>
              <w:autoSpaceDE w:val="0"/>
              <w:autoSpaceDN w:val="0"/>
              <w:adjustRightInd w:val="0"/>
              <w:jc w:val="center"/>
            </w:pPr>
          </w:p>
        </w:tc>
        <w:tc>
          <w:tcPr>
            <w:tcW w:w="992" w:type="dxa"/>
          </w:tcPr>
          <w:p w14:paraId="14EC9BD8" w14:textId="77777777" w:rsidR="00C442F1" w:rsidRPr="003F26A0" w:rsidRDefault="00C442F1" w:rsidP="00C442F1">
            <w:pPr>
              <w:widowControl w:val="0"/>
              <w:autoSpaceDE w:val="0"/>
              <w:autoSpaceDN w:val="0"/>
              <w:adjustRightInd w:val="0"/>
              <w:jc w:val="center"/>
            </w:pPr>
          </w:p>
        </w:tc>
      </w:tr>
      <w:tr w:rsidR="00414262" w:rsidRPr="00B03B04" w14:paraId="25870A15" w14:textId="77777777" w:rsidTr="00414262">
        <w:tc>
          <w:tcPr>
            <w:tcW w:w="3227" w:type="dxa"/>
          </w:tcPr>
          <w:p w14:paraId="3CFF509F" w14:textId="3A78E5BA" w:rsidR="00414262" w:rsidRPr="003F26A0" w:rsidRDefault="00414262" w:rsidP="00414262">
            <w:pPr>
              <w:widowControl w:val="0"/>
              <w:autoSpaceDE w:val="0"/>
              <w:autoSpaceDN w:val="0"/>
              <w:adjustRightInd w:val="0"/>
            </w:pPr>
            <w:r>
              <w:rPr>
                <w:lang w:val="en-US"/>
              </w:rPr>
              <w:t>Years at address</w:t>
            </w:r>
          </w:p>
        </w:tc>
        <w:tc>
          <w:tcPr>
            <w:tcW w:w="1021" w:type="dxa"/>
          </w:tcPr>
          <w:p w14:paraId="29C4C432" w14:textId="6C036ED6" w:rsidR="00414262" w:rsidRPr="003F26A0" w:rsidRDefault="00414262" w:rsidP="00414262">
            <w:pPr>
              <w:widowControl w:val="0"/>
              <w:autoSpaceDE w:val="0"/>
              <w:autoSpaceDN w:val="0"/>
              <w:adjustRightInd w:val="0"/>
              <w:jc w:val="center"/>
            </w:pPr>
            <w:r>
              <w:t>0.003</w:t>
            </w:r>
          </w:p>
        </w:tc>
        <w:tc>
          <w:tcPr>
            <w:tcW w:w="567" w:type="dxa"/>
          </w:tcPr>
          <w:p w14:paraId="7CA7833C" w14:textId="3E3A6902" w:rsidR="00414262" w:rsidRPr="003F26A0" w:rsidRDefault="00414262" w:rsidP="00414262">
            <w:pPr>
              <w:widowControl w:val="0"/>
              <w:autoSpaceDE w:val="0"/>
              <w:autoSpaceDN w:val="0"/>
              <w:adjustRightInd w:val="0"/>
              <w:jc w:val="center"/>
            </w:pPr>
            <w:r>
              <w:t>**</w:t>
            </w:r>
            <w:r w:rsidR="00615350">
              <w:t>*</w:t>
            </w:r>
          </w:p>
        </w:tc>
        <w:tc>
          <w:tcPr>
            <w:tcW w:w="850" w:type="dxa"/>
          </w:tcPr>
          <w:p w14:paraId="4162832B" w14:textId="129930B3" w:rsidR="00414262" w:rsidRPr="003F26A0" w:rsidRDefault="00414262" w:rsidP="00414262">
            <w:pPr>
              <w:widowControl w:val="0"/>
              <w:autoSpaceDE w:val="0"/>
              <w:autoSpaceDN w:val="0"/>
              <w:adjustRightInd w:val="0"/>
              <w:jc w:val="center"/>
            </w:pPr>
            <w:r>
              <w:t>0.001</w:t>
            </w:r>
          </w:p>
        </w:tc>
        <w:tc>
          <w:tcPr>
            <w:tcW w:w="1134" w:type="dxa"/>
          </w:tcPr>
          <w:p w14:paraId="7B4ED186" w14:textId="19EE0950" w:rsidR="00414262" w:rsidRPr="003F26A0" w:rsidRDefault="00414262" w:rsidP="00414262">
            <w:pPr>
              <w:widowControl w:val="0"/>
              <w:autoSpaceDE w:val="0"/>
              <w:autoSpaceDN w:val="0"/>
              <w:adjustRightInd w:val="0"/>
              <w:jc w:val="center"/>
            </w:pPr>
            <w:r>
              <w:t>0.007</w:t>
            </w:r>
          </w:p>
        </w:tc>
        <w:tc>
          <w:tcPr>
            <w:tcW w:w="709" w:type="dxa"/>
          </w:tcPr>
          <w:p w14:paraId="19C8F7C5" w14:textId="3BFA9643" w:rsidR="00414262" w:rsidRPr="003F26A0" w:rsidRDefault="00414262" w:rsidP="00414262">
            <w:pPr>
              <w:widowControl w:val="0"/>
              <w:autoSpaceDE w:val="0"/>
              <w:autoSpaceDN w:val="0"/>
              <w:adjustRightInd w:val="0"/>
              <w:jc w:val="center"/>
            </w:pPr>
            <w:r>
              <w:t>**</w:t>
            </w:r>
            <w:r w:rsidR="00615350">
              <w:t>*</w:t>
            </w:r>
          </w:p>
        </w:tc>
        <w:tc>
          <w:tcPr>
            <w:tcW w:w="992" w:type="dxa"/>
          </w:tcPr>
          <w:p w14:paraId="4DD5FE3B" w14:textId="6EF127B7" w:rsidR="00414262" w:rsidRPr="003F26A0" w:rsidRDefault="00414262" w:rsidP="00414262">
            <w:pPr>
              <w:widowControl w:val="0"/>
              <w:autoSpaceDE w:val="0"/>
              <w:autoSpaceDN w:val="0"/>
              <w:adjustRightInd w:val="0"/>
              <w:jc w:val="center"/>
            </w:pPr>
            <w:r>
              <w:t>0.001</w:t>
            </w:r>
          </w:p>
        </w:tc>
      </w:tr>
      <w:tr w:rsidR="00414262" w:rsidRPr="00B03B04" w14:paraId="439B7E12" w14:textId="77777777" w:rsidTr="00414262">
        <w:tc>
          <w:tcPr>
            <w:tcW w:w="3227" w:type="dxa"/>
          </w:tcPr>
          <w:p w14:paraId="489A89A4" w14:textId="4B11D1FB" w:rsidR="00414262" w:rsidRPr="003F26A0" w:rsidRDefault="00414262" w:rsidP="00414262">
            <w:pPr>
              <w:widowControl w:val="0"/>
              <w:autoSpaceDE w:val="0"/>
              <w:autoSpaceDN w:val="0"/>
              <w:adjustRightInd w:val="0"/>
            </w:pPr>
            <w:r>
              <w:rPr>
                <w:lang w:val="en-US"/>
              </w:rPr>
              <w:t>SES index</w:t>
            </w:r>
          </w:p>
        </w:tc>
        <w:tc>
          <w:tcPr>
            <w:tcW w:w="1021" w:type="dxa"/>
          </w:tcPr>
          <w:p w14:paraId="6B9F3364" w14:textId="348D7704" w:rsidR="00414262" w:rsidRPr="003F26A0" w:rsidRDefault="00414262" w:rsidP="00414262">
            <w:pPr>
              <w:widowControl w:val="0"/>
              <w:autoSpaceDE w:val="0"/>
              <w:autoSpaceDN w:val="0"/>
              <w:adjustRightInd w:val="0"/>
              <w:jc w:val="center"/>
            </w:pPr>
            <w:r>
              <w:t>0.042</w:t>
            </w:r>
          </w:p>
        </w:tc>
        <w:tc>
          <w:tcPr>
            <w:tcW w:w="567" w:type="dxa"/>
          </w:tcPr>
          <w:p w14:paraId="558362DC" w14:textId="43FDA626" w:rsidR="00414262" w:rsidRPr="003F26A0" w:rsidRDefault="00414262" w:rsidP="00414262">
            <w:pPr>
              <w:widowControl w:val="0"/>
              <w:autoSpaceDE w:val="0"/>
              <w:autoSpaceDN w:val="0"/>
              <w:adjustRightInd w:val="0"/>
              <w:jc w:val="center"/>
            </w:pPr>
            <w:r>
              <w:t>**</w:t>
            </w:r>
            <w:r w:rsidR="00615350">
              <w:t>*</w:t>
            </w:r>
          </w:p>
        </w:tc>
        <w:tc>
          <w:tcPr>
            <w:tcW w:w="850" w:type="dxa"/>
          </w:tcPr>
          <w:p w14:paraId="2C74828A" w14:textId="68A45FD1" w:rsidR="00414262" w:rsidRPr="003F26A0" w:rsidRDefault="00414262" w:rsidP="00414262">
            <w:pPr>
              <w:widowControl w:val="0"/>
              <w:autoSpaceDE w:val="0"/>
              <w:autoSpaceDN w:val="0"/>
              <w:adjustRightInd w:val="0"/>
              <w:jc w:val="center"/>
            </w:pPr>
            <w:r>
              <w:t>0.003</w:t>
            </w:r>
          </w:p>
        </w:tc>
        <w:tc>
          <w:tcPr>
            <w:tcW w:w="1134" w:type="dxa"/>
          </w:tcPr>
          <w:p w14:paraId="0CC0C233" w14:textId="04FCBB82" w:rsidR="00414262" w:rsidRPr="003F26A0" w:rsidRDefault="00414262" w:rsidP="00414262">
            <w:pPr>
              <w:widowControl w:val="0"/>
              <w:autoSpaceDE w:val="0"/>
              <w:autoSpaceDN w:val="0"/>
              <w:adjustRightInd w:val="0"/>
              <w:jc w:val="center"/>
            </w:pPr>
            <w:r>
              <w:t>0.112</w:t>
            </w:r>
          </w:p>
        </w:tc>
        <w:tc>
          <w:tcPr>
            <w:tcW w:w="709" w:type="dxa"/>
          </w:tcPr>
          <w:p w14:paraId="59E6DEBD" w14:textId="6222E4E0" w:rsidR="00414262" w:rsidRPr="003F26A0" w:rsidRDefault="00414262" w:rsidP="00414262">
            <w:pPr>
              <w:widowControl w:val="0"/>
              <w:autoSpaceDE w:val="0"/>
              <w:autoSpaceDN w:val="0"/>
              <w:adjustRightInd w:val="0"/>
              <w:jc w:val="center"/>
            </w:pPr>
            <w:r>
              <w:t>**</w:t>
            </w:r>
            <w:r w:rsidR="00615350">
              <w:t>*</w:t>
            </w:r>
          </w:p>
        </w:tc>
        <w:tc>
          <w:tcPr>
            <w:tcW w:w="992" w:type="dxa"/>
          </w:tcPr>
          <w:p w14:paraId="08FBEC0E" w14:textId="403ECA2D" w:rsidR="00414262" w:rsidRPr="003F26A0" w:rsidRDefault="00414262" w:rsidP="00414262">
            <w:pPr>
              <w:widowControl w:val="0"/>
              <w:autoSpaceDE w:val="0"/>
              <w:autoSpaceDN w:val="0"/>
              <w:adjustRightInd w:val="0"/>
              <w:jc w:val="center"/>
            </w:pPr>
            <w:r>
              <w:t>0.004</w:t>
            </w:r>
          </w:p>
        </w:tc>
      </w:tr>
      <w:tr w:rsidR="00414262" w:rsidRPr="00B03B04" w14:paraId="455A5B29" w14:textId="77777777" w:rsidTr="00414262">
        <w:tc>
          <w:tcPr>
            <w:tcW w:w="3227" w:type="dxa"/>
          </w:tcPr>
          <w:p w14:paraId="3F406017" w14:textId="05B179FB" w:rsidR="00414262" w:rsidRPr="003F26A0" w:rsidRDefault="00414262" w:rsidP="00414262">
            <w:pPr>
              <w:widowControl w:val="0"/>
              <w:autoSpaceDE w:val="0"/>
              <w:autoSpaceDN w:val="0"/>
              <w:adjustRightInd w:val="0"/>
            </w:pPr>
            <w:r>
              <w:rPr>
                <w:lang w:val="en-US"/>
              </w:rPr>
              <w:t>Household income</w:t>
            </w:r>
          </w:p>
        </w:tc>
        <w:tc>
          <w:tcPr>
            <w:tcW w:w="1021" w:type="dxa"/>
          </w:tcPr>
          <w:p w14:paraId="23B32D3F" w14:textId="43DF07F9" w:rsidR="00414262" w:rsidRPr="003F26A0" w:rsidRDefault="00414262" w:rsidP="00414262">
            <w:pPr>
              <w:widowControl w:val="0"/>
              <w:autoSpaceDE w:val="0"/>
              <w:autoSpaceDN w:val="0"/>
              <w:adjustRightInd w:val="0"/>
              <w:jc w:val="center"/>
            </w:pPr>
            <w:r>
              <w:t>0.002</w:t>
            </w:r>
          </w:p>
        </w:tc>
        <w:tc>
          <w:tcPr>
            <w:tcW w:w="567" w:type="dxa"/>
          </w:tcPr>
          <w:p w14:paraId="2BDB8A07" w14:textId="5E41BD50" w:rsidR="00414262" w:rsidRPr="003F26A0" w:rsidRDefault="00414262" w:rsidP="00414262">
            <w:pPr>
              <w:widowControl w:val="0"/>
              <w:autoSpaceDE w:val="0"/>
              <w:autoSpaceDN w:val="0"/>
              <w:adjustRightInd w:val="0"/>
              <w:jc w:val="center"/>
            </w:pPr>
            <w:r>
              <w:t>**</w:t>
            </w:r>
          </w:p>
        </w:tc>
        <w:tc>
          <w:tcPr>
            <w:tcW w:w="850" w:type="dxa"/>
          </w:tcPr>
          <w:p w14:paraId="204AF49A" w14:textId="1B088872" w:rsidR="00414262" w:rsidRPr="003F26A0" w:rsidRDefault="00414262" w:rsidP="00414262">
            <w:pPr>
              <w:widowControl w:val="0"/>
              <w:autoSpaceDE w:val="0"/>
              <w:autoSpaceDN w:val="0"/>
              <w:adjustRightInd w:val="0"/>
              <w:jc w:val="center"/>
            </w:pPr>
            <w:r>
              <w:t>0.001</w:t>
            </w:r>
          </w:p>
        </w:tc>
        <w:tc>
          <w:tcPr>
            <w:tcW w:w="1134" w:type="dxa"/>
          </w:tcPr>
          <w:p w14:paraId="76968B6A" w14:textId="316743D9" w:rsidR="00414262" w:rsidRPr="003F26A0" w:rsidRDefault="00414262" w:rsidP="00414262">
            <w:pPr>
              <w:widowControl w:val="0"/>
              <w:autoSpaceDE w:val="0"/>
              <w:autoSpaceDN w:val="0"/>
              <w:adjustRightInd w:val="0"/>
              <w:jc w:val="center"/>
            </w:pPr>
            <w:r>
              <w:t>0.000</w:t>
            </w:r>
          </w:p>
        </w:tc>
        <w:tc>
          <w:tcPr>
            <w:tcW w:w="709" w:type="dxa"/>
          </w:tcPr>
          <w:p w14:paraId="086F48B0" w14:textId="6AA90E46" w:rsidR="00414262" w:rsidRPr="003F26A0" w:rsidRDefault="00414262" w:rsidP="00414262">
            <w:pPr>
              <w:widowControl w:val="0"/>
              <w:autoSpaceDE w:val="0"/>
              <w:autoSpaceDN w:val="0"/>
              <w:adjustRightInd w:val="0"/>
              <w:jc w:val="center"/>
            </w:pPr>
          </w:p>
        </w:tc>
        <w:tc>
          <w:tcPr>
            <w:tcW w:w="992" w:type="dxa"/>
          </w:tcPr>
          <w:p w14:paraId="3044400F" w14:textId="61A2ABC7" w:rsidR="00414262" w:rsidRPr="003F26A0" w:rsidRDefault="00414262" w:rsidP="00414262">
            <w:pPr>
              <w:widowControl w:val="0"/>
              <w:autoSpaceDE w:val="0"/>
              <w:autoSpaceDN w:val="0"/>
              <w:adjustRightInd w:val="0"/>
              <w:jc w:val="center"/>
            </w:pPr>
            <w:r>
              <w:t>0.001</w:t>
            </w:r>
          </w:p>
        </w:tc>
      </w:tr>
      <w:tr w:rsidR="00414262" w:rsidRPr="00B03B04" w14:paraId="174916AC" w14:textId="77777777" w:rsidTr="00414262">
        <w:tc>
          <w:tcPr>
            <w:tcW w:w="3227" w:type="dxa"/>
          </w:tcPr>
          <w:p w14:paraId="36681A53" w14:textId="04A145F7" w:rsidR="00414262" w:rsidRPr="003F26A0" w:rsidRDefault="00414262" w:rsidP="00414262">
            <w:pPr>
              <w:widowControl w:val="0"/>
              <w:autoSpaceDE w:val="0"/>
              <w:autoSpaceDN w:val="0"/>
              <w:adjustRightInd w:val="0"/>
            </w:pPr>
            <w:r>
              <w:rPr>
                <w:lang w:val="en-US"/>
              </w:rPr>
              <w:t>Wave</w:t>
            </w:r>
          </w:p>
        </w:tc>
        <w:tc>
          <w:tcPr>
            <w:tcW w:w="1021" w:type="dxa"/>
          </w:tcPr>
          <w:p w14:paraId="52C6A13E" w14:textId="38A4EA3A" w:rsidR="00414262" w:rsidRPr="003F26A0" w:rsidRDefault="00414262" w:rsidP="00414262">
            <w:pPr>
              <w:widowControl w:val="0"/>
              <w:autoSpaceDE w:val="0"/>
              <w:autoSpaceDN w:val="0"/>
              <w:adjustRightInd w:val="0"/>
              <w:jc w:val="center"/>
            </w:pPr>
            <w:r>
              <w:t>-0.039</w:t>
            </w:r>
          </w:p>
        </w:tc>
        <w:tc>
          <w:tcPr>
            <w:tcW w:w="567" w:type="dxa"/>
          </w:tcPr>
          <w:p w14:paraId="29249F1E" w14:textId="5F8804A5" w:rsidR="00414262" w:rsidRPr="003F26A0" w:rsidRDefault="00414262" w:rsidP="00414262">
            <w:pPr>
              <w:widowControl w:val="0"/>
              <w:autoSpaceDE w:val="0"/>
              <w:autoSpaceDN w:val="0"/>
              <w:adjustRightInd w:val="0"/>
              <w:jc w:val="center"/>
            </w:pPr>
            <w:r>
              <w:t>**</w:t>
            </w:r>
            <w:r w:rsidR="00615350">
              <w:t>*</w:t>
            </w:r>
          </w:p>
        </w:tc>
        <w:tc>
          <w:tcPr>
            <w:tcW w:w="850" w:type="dxa"/>
          </w:tcPr>
          <w:p w14:paraId="7CF90255" w14:textId="75B3CD31" w:rsidR="00414262" w:rsidRPr="003F26A0" w:rsidRDefault="00414262" w:rsidP="00414262">
            <w:pPr>
              <w:widowControl w:val="0"/>
              <w:autoSpaceDE w:val="0"/>
              <w:autoSpaceDN w:val="0"/>
              <w:adjustRightInd w:val="0"/>
              <w:jc w:val="center"/>
            </w:pPr>
            <w:r>
              <w:t>0.013</w:t>
            </w:r>
          </w:p>
        </w:tc>
        <w:tc>
          <w:tcPr>
            <w:tcW w:w="1134" w:type="dxa"/>
          </w:tcPr>
          <w:p w14:paraId="77DB7F2C" w14:textId="0DD3C76A" w:rsidR="00414262" w:rsidRPr="003F26A0" w:rsidRDefault="00414262" w:rsidP="00414262">
            <w:pPr>
              <w:widowControl w:val="0"/>
              <w:autoSpaceDE w:val="0"/>
              <w:autoSpaceDN w:val="0"/>
              <w:adjustRightInd w:val="0"/>
              <w:jc w:val="center"/>
            </w:pPr>
            <w:r>
              <w:t>0.012</w:t>
            </w:r>
          </w:p>
        </w:tc>
        <w:tc>
          <w:tcPr>
            <w:tcW w:w="709" w:type="dxa"/>
          </w:tcPr>
          <w:p w14:paraId="3AAAA469" w14:textId="01675932" w:rsidR="00414262" w:rsidRPr="003F26A0" w:rsidRDefault="00414262" w:rsidP="00414262">
            <w:pPr>
              <w:widowControl w:val="0"/>
              <w:autoSpaceDE w:val="0"/>
              <w:autoSpaceDN w:val="0"/>
              <w:adjustRightInd w:val="0"/>
              <w:jc w:val="center"/>
            </w:pPr>
          </w:p>
        </w:tc>
        <w:tc>
          <w:tcPr>
            <w:tcW w:w="992" w:type="dxa"/>
          </w:tcPr>
          <w:p w14:paraId="3F721980" w14:textId="1095F5AB" w:rsidR="00414262" w:rsidRPr="003F26A0" w:rsidRDefault="00414262" w:rsidP="00414262">
            <w:pPr>
              <w:widowControl w:val="0"/>
              <w:autoSpaceDE w:val="0"/>
              <w:autoSpaceDN w:val="0"/>
              <w:adjustRightInd w:val="0"/>
              <w:jc w:val="center"/>
            </w:pPr>
            <w:r>
              <w:t>0.014</w:t>
            </w:r>
          </w:p>
        </w:tc>
      </w:tr>
      <w:tr w:rsidR="00C442F1" w:rsidRPr="00B03B04" w14:paraId="03BC0ABD" w14:textId="77777777" w:rsidTr="00414262">
        <w:tc>
          <w:tcPr>
            <w:tcW w:w="3227" w:type="dxa"/>
          </w:tcPr>
          <w:p w14:paraId="76E8DD14" w14:textId="77777777" w:rsidR="00C442F1" w:rsidRPr="003F26A0" w:rsidRDefault="00C442F1" w:rsidP="00C442F1">
            <w:pPr>
              <w:widowControl w:val="0"/>
              <w:autoSpaceDE w:val="0"/>
              <w:autoSpaceDN w:val="0"/>
              <w:adjustRightInd w:val="0"/>
            </w:pPr>
          </w:p>
        </w:tc>
        <w:tc>
          <w:tcPr>
            <w:tcW w:w="1021" w:type="dxa"/>
          </w:tcPr>
          <w:p w14:paraId="5E764F6F" w14:textId="77777777" w:rsidR="00C442F1" w:rsidRPr="003F26A0" w:rsidRDefault="00C442F1" w:rsidP="00C442F1">
            <w:pPr>
              <w:widowControl w:val="0"/>
              <w:autoSpaceDE w:val="0"/>
              <w:autoSpaceDN w:val="0"/>
              <w:adjustRightInd w:val="0"/>
              <w:jc w:val="center"/>
            </w:pPr>
          </w:p>
        </w:tc>
        <w:tc>
          <w:tcPr>
            <w:tcW w:w="567" w:type="dxa"/>
          </w:tcPr>
          <w:p w14:paraId="7BD2493C" w14:textId="77777777" w:rsidR="00C442F1" w:rsidRPr="003F26A0" w:rsidRDefault="00C442F1" w:rsidP="00C442F1">
            <w:pPr>
              <w:widowControl w:val="0"/>
              <w:autoSpaceDE w:val="0"/>
              <w:autoSpaceDN w:val="0"/>
              <w:adjustRightInd w:val="0"/>
              <w:jc w:val="center"/>
            </w:pPr>
          </w:p>
        </w:tc>
        <w:tc>
          <w:tcPr>
            <w:tcW w:w="850" w:type="dxa"/>
          </w:tcPr>
          <w:p w14:paraId="4D5082EC" w14:textId="77777777" w:rsidR="00C442F1" w:rsidRPr="003F26A0" w:rsidRDefault="00C442F1" w:rsidP="00C442F1">
            <w:pPr>
              <w:widowControl w:val="0"/>
              <w:autoSpaceDE w:val="0"/>
              <w:autoSpaceDN w:val="0"/>
              <w:adjustRightInd w:val="0"/>
              <w:jc w:val="center"/>
            </w:pPr>
          </w:p>
        </w:tc>
        <w:tc>
          <w:tcPr>
            <w:tcW w:w="1134" w:type="dxa"/>
          </w:tcPr>
          <w:p w14:paraId="24BB88F4" w14:textId="77777777" w:rsidR="00C442F1" w:rsidRPr="003F26A0" w:rsidRDefault="00C442F1" w:rsidP="00C442F1">
            <w:pPr>
              <w:widowControl w:val="0"/>
              <w:autoSpaceDE w:val="0"/>
              <w:autoSpaceDN w:val="0"/>
              <w:adjustRightInd w:val="0"/>
              <w:jc w:val="center"/>
            </w:pPr>
          </w:p>
        </w:tc>
        <w:tc>
          <w:tcPr>
            <w:tcW w:w="709" w:type="dxa"/>
          </w:tcPr>
          <w:p w14:paraId="4981BDB9" w14:textId="77777777" w:rsidR="00C442F1" w:rsidRPr="003F26A0" w:rsidRDefault="00C442F1" w:rsidP="00C442F1">
            <w:pPr>
              <w:widowControl w:val="0"/>
              <w:autoSpaceDE w:val="0"/>
              <w:autoSpaceDN w:val="0"/>
              <w:adjustRightInd w:val="0"/>
              <w:jc w:val="center"/>
            </w:pPr>
          </w:p>
        </w:tc>
        <w:tc>
          <w:tcPr>
            <w:tcW w:w="992" w:type="dxa"/>
          </w:tcPr>
          <w:p w14:paraId="11584E2F" w14:textId="77777777" w:rsidR="00C442F1" w:rsidRPr="003F26A0" w:rsidRDefault="00C442F1" w:rsidP="00C442F1">
            <w:pPr>
              <w:widowControl w:val="0"/>
              <w:autoSpaceDE w:val="0"/>
              <w:autoSpaceDN w:val="0"/>
              <w:adjustRightInd w:val="0"/>
              <w:jc w:val="center"/>
            </w:pPr>
          </w:p>
        </w:tc>
      </w:tr>
      <w:tr w:rsidR="00414262" w:rsidRPr="00B03B04" w14:paraId="39261196" w14:textId="77777777" w:rsidTr="00414262">
        <w:tc>
          <w:tcPr>
            <w:tcW w:w="3227" w:type="dxa"/>
          </w:tcPr>
          <w:p w14:paraId="5FF4A7D6" w14:textId="77777777" w:rsidR="00414262" w:rsidRPr="003F26A0" w:rsidRDefault="00414262" w:rsidP="00414262">
            <w:pPr>
              <w:widowControl w:val="0"/>
              <w:autoSpaceDE w:val="0"/>
              <w:autoSpaceDN w:val="0"/>
              <w:adjustRightInd w:val="0"/>
            </w:pPr>
            <w:r w:rsidRPr="003F26A0">
              <w:t>Constant</w:t>
            </w:r>
          </w:p>
        </w:tc>
        <w:tc>
          <w:tcPr>
            <w:tcW w:w="1021" w:type="dxa"/>
          </w:tcPr>
          <w:p w14:paraId="47D798E7" w14:textId="5379F2D7" w:rsidR="00414262" w:rsidRPr="003F26A0" w:rsidRDefault="00414262" w:rsidP="00414262">
            <w:pPr>
              <w:widowControl w:val="0"/>
              <w:autoSpaceDE w:val="0"/>
              <w:autoSpaceDN w:val="0"/>
              <w:adjustRightInd w:val="0"/>
              <w:jc w:val="center"/>
            </w:pPr>
            <w:r>
              <w:t>2.964</w:t>
            </w:r>
          </w:p>
        </w:tc>
        <w:tc>
          <w:tcPr>
            <w:tcW w:w="567" w:type="dxa"/>
          </w:tcPr>
          <w:p w14:paraId="3511BFCB" w14:textId="21D9C25A" w:rsidR="00414262" w:rsidRPr="003F26A0" w:rsidRDefault="00414262" w:rsidP="00414262">
            <w:pPr>
              <w:widowControl w:val="0"/>
              <w:autoSpaceDE w:val="0"/>
              <w:autoSpaceDN w:val="0"/>
              <w:adjustRightInd w:val="0"/>
              <w:jc w:val="center"/>
            </w:pPr>
            <w:r>
              <w:t>**</w:t>
            </w:r>
            <w:r w:rsidR="00615350">
              <w:t>*</w:t>
            </w:r>
          </w:p>
        </w:tc>
        <w:tc>
          <w:tcPr>
            <w:tcW w:w="850" w:type="dxa"/>
          </w:tcPr>
          <w:p w14:paraId="04F79B7A" w14:textId="4CFAB384" w:rsidR="00414262" w:rsidRPr="003F26A0" w:rsidRDefault="00414262" w:rsidP="00414262">
            <w:pPr>
              <w:widowControl w:val="0"/>
              <w:autoSpaceDE w:val="0"/>
              <w:autoSpaceDN w:val="0"/>
              <w:adjustRightInd w:val="0"/>
              <w:jc w:val="center"/>
            </w:pPr>
            <w:r>
              <w:t>0.099</w:t>
            </w:r>
          </w:p>
        </w:tc>
        <w:tc>
          <w:tcPr>
            <w:tcW w:w="1134" w:type="dxa"/>
          </w:tcPr>
          <w:p w14:paraId="2A144ACC" w14:textId="48C5A173" w:rsidR="00414262" w:rsidRPr="003F26A0" w:rsidRDefault="00414262" w:rsidP="00414262">
            <w:pPr>
              <w:widowControl w:val="0"/>
              <w:autoSpaceDE w:val="0"/>
              <w:autoSpaceDN w:val="0"/>
              <w:adjustRightInd w:val="0"/>
              <w:jc w:val="center"/>
            </w:pPr>
            <w:r>
              <w:t>2.600</w:t>
            </w:r>
          </w:p>
        </w:tc>
        <w:tc>
          <w:tcPr>
            <w:tcW w:w="709" w:type="dxa"/>
          </w:tcPr>
          <w:p w14:paraId="678645C7" w14:textId="575714F4" w:rsidR="00414262" w:rsidRPr="003F26A0" w:rsidRDefault="00414262" w:rsidP="00414262">
            <w:pPr>
              <w:widowControl w:val="0"/>
              <w:autoSpaceDE w:val="0"/>
              <w:autoSpaceDN w:val="0"/>
              <w:adjustRightInd w:val="0"/>
              <w:jc w:val="center"/>
            </w:pPr>
            <w:r>
              <w:t>**</w:t>
            </w:r>
            <w:r w:rsidR="00615350">
              <w:t>*</w:t>
            </w:r>
          </w:p>
        </w:tc>
        <w:tc>
          <w:tcPr>
            <w:tcW w:w="992" w:type="dxa"/>
          </w:tcPr>
          <w:p w14:paraId="252FE30C" w14:textId="162469FA" w:rsidR="00414262" w:rsidRPr="003F26A0" w:rsidRDefault="00414262" w:rsidP="00414262">
            <w:pPr>
              <w:widowControl w:val="0"/>
              <w:autoSpaceDE w:val="0"/>
              <w:autoSpaceDN w:val="0"/>
              <w:adjustRightInd w:val="0"/>
              <w:jc w:val="center"/>
            </w:pPr>
            <w:r>
              <w:t>0.103</w:t>
            </w:r>
          </w:p>
        </w:tc>
      </w:tr>
      <w:tr w:rsidR="00414262" w:rsidRPr="00B03B04" w14:paraId="1B2206D7" w14:textId="77777777" w:rsidTr="00414262">
        <w:tc>
          <w:tcPr>
            <w:tcW w:w="3227" w:type="dxa"/>
          </w:tcPr>
          <w:p w14:paraId="047D7340" w14:textId="725C1990" w:rsidR="00414262" w:rsidRPr="003F26A0" w:rsidRDefault="00414262" w:rsidP="00414262">
            <w:pPr>
              <w:widowControl w:val="0"/>
              <w:autoSpaceDE w:val="0"/>
              <w:autoSpaceDN w:val="0"/>
              <w:adjustRightInd w:val="0"/>
            </w:pPr>
          </w:p>
        </w:tc>
        <w:tc>
          <w:tcPr>
            <w:tcW w:w="1021" w:type="dxa"/>
          </w:tcPr>
          <w:p w14:paraId="5BBB03DD" w14:textId="530E9FC1" w:rsidR="00414262" w:rsidRPr="003F26A0" w:rsidRDefault="00414262" w:rsidP="00414262">
            <w:pPr>
              <w:widowControl w:val="0"/>
              <w:autoSpaceDE w:val="0"/>
              <w:autoSpaceDN w:val="0"/>
              <w:adjustRightInd w:val="0"/>
              <w:jc w:val="center"/>
            </w:pPr>
          </w:p>
        </w:tc>
        <w:tc>
          <w:tcPr>
            <w:tcW w:w="567" w:type="dxa"/>
          </w:tcPr>
          <w:p w14:paraId="3090162B" w14:textId="77777777" w:rsidR="00414262" w:rsidRPr="003F26A0" w:rsidRDefault="00414262" w:rsidP="00414262">
            <w:pPr>
              <w:widowControl w:val="0"/>
              <w:autoSpaceDE w:val="0"/>
              <w:autoSpaceDN w:val="0"/>
              <w:adjustRightInd w:val="0"/>
              <w:jc w:val="center"/>
            </w:pPr>
          </w:p>
        </w:tc>
        <w:tc>
          <w:tcPr>
            <w:tcW w:w="850" w:type="dxa"/>
          </w:tcPr>
          <w:p w14:paraId="22AF4424" w14:textId="77777777" w:rsidR="00414262" w:rsidRPr="003F26A0" w:rsidRDefault="00414262" w:rsidP="00414262">
            <w:pPr>
              <w:widowControl w:val="0"/>
              <w:autoSpaceDE w:val="0"/>
              <w:autoSpaceDN w:val="0"/>
              <w:adjustRightInd w:val="0"/>
              <w:jc w:val="center"/>
            </w:pPr>
          </w:p>
        </w:tc>
        <w:tc>
          <w:tcPr>
            <w:tcW w:w="1134" w:type="dxa"/>
          </w:tcPr>
          <w:p w14:paraId="38D5EEB9" w14:textId="778C0E54" w:rsidR="00414262" w:rsidRPr="003F26A0" w:rsidRDefault="00414262" w:rsidP="00414262">
            <w:pPr>
              <w:widowControl w:val="0"/>
              <w:autoSpaceDE w:val="0"/>
              <w:autoSpaceDN w:val="0"/>
              <w:adjustRightInd w:val="0"/>
              <w:jc w:val="center"/>
            </w:pPr>
          </w:p>
        </w:tc>
        <w:tc>
          <w:tcPr>
            <w:tcW w:w="709" w:type="dxa"/>
          </w:tcPr>
          <w:p w14:paraId="0233FA4A" w14:textId="77777777" w:rsidR="00414262" w:rsidRPr="003F26A0" w:rsidRDefault="00414262" w:rsidP="00414262">
            <w:pPr>
              <w:widowControl w:val="0"/>
              <w:autoSpaceDE w:val="0"/>
              <w:autoSpaceDN w:val="0"/>
              <w:adjustRightInd w:val="0"/>
              <w:jc w:val="center"/>
            </w:pPr>
          </w:p>
        </w:tc>
        <w:tc>
          <w:tcPr>
            <w:tcW w:w="992" w:type="dxa"/>
          </w:tcPr>
          <w:p w14:paraId="1F159C83" w14:textId="77777777" w:rsidR="00414262" w:rsidRPr="003F26A0" w:rsidRDefault="00414262" w:rsidP="00414262">
            <w:pPr>
              <w:widowControl w:val="0"/>
              <w:autoSpaceDE w:val="0"/>
              <w:autoSpaceDN w:val="0"/>
              <w:adjustRightInd w:val="0"/>
              <w:jc w:val="center"/>
            </w:pPr>
          </w:p>
        </w:tc>
      </w:tr>
      <w:tr w:rsidR="00414262" w:rsidRPr="00B03B04" w14:paraId="74FA45F0" w14:textId="77777777" w:rsidTr="00414262">
        <w:tc>
          <w:tcPr>
            <w:tcW w:w="3227" w:type="dxa"/>
          </w:tcPr>
          <w:p w14:paraId="036D27E6" w14:textId="77777777" w:rsidR="00414262" w:rsidRPr="003F26A0" w:rsidRDefault="00414262" w:rsidP="00414262">
            <w:pPr>
              <w:widowControl w:val="0"/>
              <w:autoSpaceDE w:val="0"/>
              <w:autoSpaceDN w:val="0"/>
              <w:adjustRightInd w:val="0"/>
            </w:pPr>
            <w:r w:rsidRPr="003F26A0">
              <w:t>R-squared</w:t>
            </w:r>
          </w:p>
        </w:tc>
        <w:tc>
          <w:tcPr>
            <w:tcW w:w="1021" w:type="dxa"/>
          </w:tcPr>
          <w:p w14:paraId="0DA0421A" w14:textId="1314F1EB" w:rsidR="00414262" w:rsidRPr="003F26A0" w:rsidRDefault="00414262" w:rsidP="00414262">
            <w:pPr>
              <w:widowControl w:val="0"/>
              <w:autoSpaceDE w:val="0"/>
              <w:autoSpaceDN w:val="0"/>
              <w:adjustRightInd w:val="0"/>
              <w:jc w:val="center"/>
            </w:pPr>
            <w:r>
              <w:t>0.138</w:t>
            </w:r>
          </w:p>
        </w:tc>
        <w:tc>
          <w:tcPr>
            <w:tcW w:w="567" w:type="dxa"/>
          </w:tcPr>
          <w:p w14:paraId="5814A4FA" w14:textId="2E5F35EF" w:rsidR="00414262" w:rsidRPr="003F26A0" w:rsidRDefault="00414262" w:rsidP="00414262">
            <w:pPr>
              <w:widowControl w:val="0"/>
              <w:autoSpaceDE w:val="0"/>
              <w:autoSpaceDN w:val="0"/>
              <w:adjustRightInd w:val="0"/>
              <w:jc w:val="center"/>
            </w:pPr>
          </w:p>
        </w:tc>
        <w:tc>
          <w:tcPr>
            <w:tcW w:w="850" w:type="dxa"/>
          </w:tcPr>
          <w:p w14:paraId="2B09FA3E" w14:textId="56FF1585" w:rsidR="00414262" w:rsidRPr="003F26A0" w:rsidRDefault="00414262" w:rsidP="00414262">
            <w:pPr>
              <w:widowControl w:val="0"/>
              <w:autoSpaceDE w:val="0"/>
              <w:autoSpaceDN w:val="0"/>
              <w:adjustRightInd w:val="0"/>
              <w:jc w:val="center"/>
            </w:pPr>
          </w:p>
        </w:tc>
        <w:tc>
          <w:tcPr>
            <w:tcW w:w="1134" w:type="dxa"/>
          </w:tcPr>
          <w:p w14:paraId="38D1D3D2" w14:textId="069970B4" w:rsidR="00414262" w:rsidRPr="003F26A0" w:rsidRDefault="00414262" w:rsidP="00414262">
            <w:pPr>
              <w:widowControl w:val="0"/>
              <w:autoSpaceDE w:val="0"/>
              <w:autoSpaceDN w:val="0"/>
              <w:adjustRightInd w:val="0"/>
              <w:jc w:val="center"/>
            </w:pPr>
            <w:r>
              <w:t>0.154</w:t>
            </w:r>
          </w:p>
        </w:tc>
        <w:tc>
          <w:tcPr>
            <w:tcW w:w="709" w:type="dxa"/>
          </w:tcPr>
          <w:p w14:paraId="64B7FB13" w14:textId="77777777" w:rsidR="00414262" w:rsidRPr="003F26A0" w:rsidRDefault="00414262" w:rsidP="00414262">
            <w:pPr>
              <w:widowControl w:val="0"/>
              <w:autoSpaceDE w:val="0"/>
              <w:autoSpaceDN w:val="0"/>
              <w:adjustRightInd w:val="0"/>
              <w:jc w:val="center"/>
            </w:pPr>
          </w:p>
        </w:tc>
        <w:tc>
          <w:tcPr>
            <w:tcW w:w="992" w:type="dxa"/>
          </w:tcPr>
          <w:p w14:paraId="0127F54D" w14:textId="77777777" w:rsidR="00414262" w:rsidRPr="003F26A0" w:rsidRDefault="00414262" w:rsidP="00414262">
            <w:pPr>
              <w:widowControl w:val="0"/>
              <w:autoSpaceDE w:val="0"/>
              <w:autoSpaceDN w:val="0"/>
              <w:adjustRightInd w:val="0"/>
              <w:jc w:val="center"/>
            </w:pPr>
          </w:p>
        </w:tc>
      </w:tr>
    </w:tbl>
    <w:p w14:paraId="405A0685" w14:textId="6E104796" w:rsidR="003F26A0" w:rsidRPr="00B03B04" w:rsidRDefault="003F26A0" w:rsidP="003F26A0">
      <w:pPr>
        <w:widowControl w:val="0"/>
        <w:autoSpaceDE w:val="0"/>
        <w:autoSpaceDN w:val="0"/>
        <w:adjustRightInd w:val="0"/>
        <w:spacing w:after="0" w:line="240" w:lineRule="auto"/>
        <w:rPr>
          <w:sz w:val="20"/>
        </w:rPr>
      </w:pPr>
      <w:r w:rsidRPr="00B03B04">
        <w:rPr>
          <w:sz w:val="20"/>
        </w:rPr>
        <w:t xml:space="preserve">*** </w:t>
      </w:r>
      <w:r w:rsidRPr="00997EAB">
        <w:rPr>
          <w:i/>
          <w:sz w:val="20"/>
        </w:rPr>
        <w:t>p</w:t>
      </w:r>
      <w:r>
        <w:rPr>
          <w:i/>
          <w:sz w:val="20"/>
        </w:rPr>
        <w:t xml:space="preserve"> </w:t>
      </w:r>
      <w:r w:rsidRPr="00B03B04">
        <w:rPr>
          <w:sz w:val="20"/>
        </w:rPr>
        <w:t>&lt;</w:t>
      </w:r>
      <w:r>
        <w:rPr>
          <w:sz w:val="20"/>
        </w:rPr>
        <w:t xml:space="preserve"> </w:t>
      </w:r>
      <w:r w:rsidRPr="00B03B04">
        <w:rPr>
          <w:sz w:val="20"/>
        </w:rPr>
        <w:t xml:space="preserve">0.01, ** </w:t>
      </w:r>
      <w:r w:rsidRPr="00997EAB">
        <w:rPr>
          <w:i/>
          <w:sz w:val="20"/>
        </w:rPr>
        <w:t>p</w:t>
      </w:r>
      <w:r>
        <w:rPr>
          <w:i/>
          <w:sz w:val="20"/>
        </w:rPr>
        <w:t xml:space="preserve"> </w:t>
      </w:r>
      <w:r w:rsidRPr="00B03B04">
        <w:rPr>
          <w:sz w:val="20"/>
        </w:rPr>
        <w:t>&lt;</w:t>
      </w:r>
      <w:r>
        <w:rPr>
          <w:sz w:val="20"/>
        </w:rPr>
        <w:t xml:space="preserve"> </w:t>
      </w:r>
      <w:r w:rsidR="0084126C">
        <w:rPr>
          <w:sz w:val="20"/>
        </w:rPr>
        <w:t>0.05</w:t>
      </w:r>
    </w:p>
    <w:p w14:paraId="0A5FC74C" w14:textId="0CA3E933" w:rsidR="00F438C8" w:rsidRDefault="00843FC8" w:rsidP="00F438C8">
      <w:pPr>
        <w:spacing w:after="0" w:line="240" w:lineRule="auto"/>
        <w:rPr>
          <w:sz w:val="20"/>
          <w:lang w:val="en-US"/>
        </w:rPr>
      </w:pPr>
      <w:r w:rsidRPr="00843FC8">
        <w:rPr>
          <w:sz w:val="20"/>
          <w:highlight w:val="yellow"/>
          <w:lang w:val="en-US"/>
        </w:rPr>
        <w:t>Source: HIDLA</w:t>
      </w:r>
    </w:p>
    <w:p w14:paraId="70DDBA84" w14:textId="77777777" w:rsidR="00843FC8" w:rsidRDefault="00843FC8" w:rsidP="00F438C8">
      <w:pPr>
        <w:spacing w:after="0" w:line="240" w:lineRule="auto"/>
        <w:rPr>
          <w:sz w:val="20"/>
          <w:lang w:val="en-US"/>
        </w:rPr>
      </w:pPr>
    </w:p>
    <w:p w14:paraId="55F2504B" w14:textId="1DDA8DE7" w:rsidR="0039792A" w:rsidRDefault="0039792A">
      <w:pPr>
        <w:rPr>
          <w:sz w:val="20"/>
          <w:lang w:val="en-US"/>
        </w:rPr>
      </w:pPr>
      <w:r>
        <w:rPr>
          <w:sz w:val="20"/>
          <w:lang w:val="en-US"/>
        </w:rPr>
        <w:br w:type="page"/>
      </w:r>
    </w:p>
    <w:p w14:paraId="0911E9FD" w14:textId="77777777" w:rsidR="00045105" w:rsidRPr="00122B82" w:rsidRDefault="00045105" w:rsidP="00C61C93">
      <w:pPr>
        <w:spacing w:after="0" w:line="240" w:lineRule="auto"/>
        <w:rPr>
          <w:sz w:val="20"/>
          <w:szCs w:val="20"/>
        </w:rPr>
      </w:pPr>
    </w:p>
    <w:p w14:paraId="7053B243" w14:textId="04BF3F58" w:rsidR="009F768B" w:rsidRPr="004C7AF2" w:rsidRDefault="00740975" w:rsidP="009F768B">
      <w:pPr>
        <w:spacing w:after="0" w:line="240" w:lineRule="auto"/>
        <w:rPr>
          <w:b/>
          <w:sz w:val="20"/>
        </w:rPr>
      </w:pPr>
      <w:r>
        <w:rPr>
          <w:b/>
          <w:sz w:val="20"/>
        </w:rPr>
        <w:t>FIGURE</w:t>
      </w:r>
      <w:r w:rsidR="009F768B" w:rsidRPr="004C7AF2">
        <w:rPr>
          <w:b/>
          <w:sz w:val="20"/>
        </w:rPr>
        <w:t xml:space="preserve"> 1. A Dyadic Model of Trust</w:t>
      </w:r>
    </w:p>
    <w:p w14:paraId="288A4555" w14:textId="3064EE4E" w:rsidR="009F768B" w:rsidRPr="004C7AF2" w:rsidRDefault="009F768B" w:rsidP="00722D32">
      <w:pPr>
        <w:spacing w:after="0" w:line="240" w:lineRule="auto"/>
        <w:rPr>
          <w:sz w:val="20"/>
        </w:rPr>
      </w:pPr>
      <w:r>
        <w:rPr>
          <w:b/>
          <w:noProof/>
          <w:lang w:val="en-AU" w:eastAsia="en-AU"/>
        </w:rPr>
        <w:drawing>
          <wp:inline distT="0" distB="0" distL="0" distR="0" wp14:anchorId="5B9284BA" wp14:editId="47B76ECE">
            <wp:extent cx="5732145" cy="2533186"/>
            <wp:effectExtent l="19050" t="19050" r="20955" b="19685"/>
            <wp:docPr id="2" name="Picture 2" descr="C:\Users\126176\AppData\Local\Microsoft\Windows\Temporary Internet Files\Content.Outlook\O41O6OUR\trus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6176\AppData\Local\Microsoft\Windows\Temporary Internet Files\Content.Outlook\O41O6OUR\trust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2533186"/>
                    </a:xfrm>
                    <a:prstGeom prst="rect">
                      <a:avLst/>
                    </a:prstGeom>
                    <a:noFill/>
                    <a:ln>
                      <a:solidFill>
                        <a:schemeClr val="tx1"/>
                      </a:solidFill>
                    </a:ln>
                  </pic:spPr>
                </pic:pic>
              </a:graphicData>
            </a:graphic>
          </wp:inline>
        </w:drawing>
      </w:r>
      <w:r w:rsidRPr="004C7AF2">
        <w:rPr>
          <w:sz w:val="20"/>
        </w:rPr>
        <w:t xml:space="preserve">Source: </w:t>
      </w:r>
      <w:r>
        <w:rPr>
          <w:sz w:val="20"/>
        </w:rPr>
        <w:t>A</w:t>
      </w:r>
      <w:r w:rsidRPr="004C7AF2">
        <w:rPr>
          <w:sz w:val="20"/>
        </w:rPr>
        <w:t>dapted from Mayer et al. (1995)</w:t>
      </w:r>
    </w:p>
    <w:p w14:paraId="01DAC5FA" w14:textId="77777777" w:rsidR="00122B82" w:rsidRPr="00122B82" w:rsidRDefault="00122B82" w:rsidP="00722D32">
      <w:pPr>
        <w:spacing w:after="0" w:line="240" w:lineRule="auto"/>
        <w:rPr>
          <w:sz w:val="20"/>
          <w:szCs w:val="20"/>
        </w:rPr>
      </w:pPr>
    </w:p>
    <w:p w14:paraId="5CC2F22D" w14:textId="0D50B03C" w:rsidR="009F768B" w:rsidRDefault="009F768B">
      <w:pPr>
        <w:rPr>
          <w:sz w:val="20"/>
          <w:szCs w:val="20"/>
        </w:rPr>
      </w:pPr>
      <w:r>
        <w:rPr>
          <w:sz w:val="20"/>
          <w:szCs w:val="20"/>
        </w:rPr>
        <w:br w:type="page"/>
      </w:r>
    </w:p>
    <w:p w14:paraId="2B239A24" w14:textId="77777777" w:rsidR="00CA2C86" w:rsidRPr="00CE02CC" w:rsidRDefault="00CA2C86" w:rsidP="00CA2C86">
      <w:pPr>
        <w:spacing w:after="0" w:line="240" w:lineRule="auto"/>
        <w:rPr>
          <w:sz w:val="20"/>
        </w:rPr>
      </w:pPr>
    </w:p>
    <w:p w14:paraId="0FDD22D5" w14:textId="2242D536" w:rsidR="00CA2C86" w:rsidRPr="00CE02CC" w:rsidRDefault="00740975" w:rsidP="00CA2C86">
      <w:pPr>
        <w:spacing w:after="0" w:line="240" w:lineRule="auto"/>
        <w:rPr>
          <w:b/>
          <w:sz w:val="20"/>
        </w:rPr>
      </w:pPr>
      <w:r>
        <w:rPr>
          <w:b/>
          <w:sz w:val="20"/>
        </w:rPr>
        <w:t>FIGURE</w:t>
      </w:r>
      <w:r w:rsidR="00CA2C86" w:rsidRPr="00CE02CC">
        <w:rPr>
          <w:b/>
          <w:sz w:val="20"/>
        </w:rPr>
        <w:t xml:space="preserve"> 2. General Trust by Religion, 2010 and 2014</w:t>
      </w:r>
    </w:p>
    <w:p w14:paraId="5DE3F6A9" w14:textId="0928FEF0" w:rsidR="00463763" w:rsidRDefault="00463763" w:rsidP="00CA2C86">
      <w:pPr>
        <w:spacing w:after="0" w:line="240" w:lineRule="auto"/>
        <w:rPr>
          <w:sz w:val="20"/>
        </w:rPr>
      </w:pPr>
      <w:r w:rsidRPr="00463763">
        <w:rPr>
          <w:noProof/>
          <w:lang w:val="en-AU" w:eastAsia="en-AU"/>
        </w:rPr>
        <w:drawing>
          <wp:inline distT="0" distB="0" distL="0" distR="0" wp14:anchorId="32BB7B0B" wp14:editId="45602669">
            <wp:extent cx="4975800" cy="298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980" cy="2986825"/>
                    </a:xfrm>
                    <a:prstGeom prst="rect">
                      <a:avLst/>
                    </a:prstGeom>
                    <a:noFill/>
                    <a:ln>
                      <a:noFill/>
                    </a:ln>
                  </pic:spPr>
                </pic:pic>
              </a:graphicData>
            </a:graphic>
          </wp:inline>
        </w:drawing>
      </w:r>
    </w:p>
    <w:p w14:paraId="574D1BC3" w14:textId="22F06C50" w:rsidR="00463763" w:rsidRDefault="00A86E0D" w:rsidP="00CA2C86">
      <w:pPr>
        <w:spacing w:after="0" w:line="240" w:lineRule="auto"/>
        <w:rPr>
          <w:sz w:val="20"/>
        </w:rPr>
      </w:pPr>
      <w:r w:rsidRPr="00A86E0D">
        <w:rPr>
          <w:sz w:val="20"/>
          <w:highlight w:val="yellow"/>
        </w:rPr>
        <w:t>Source: HILDA</w:t>
      </w:r>
    </w:p>
    <w:p w14:paraId="7C77F1A1" w14:textId="77777777" w:rsidR="00A86E0D" w:rsidRPr="00CE02CC" w:rsidRDefault="00A86E0D" w:rsidP="00CA2C86">
      <w:pPr>
        <w:spacing w:after="0" w:line="240" w:lineRule="auto"/>
        <w:rPr>
          <w:sz w:val="20"/>
        </w:rPr>
      </w:pPr>
    </w:p>
    <w:p w14:paraId="708408CD" w14:textId="73929A7F" w:rsidR="00086159" w:rsidRDefault="00086159">
      <w:pPr>
        <w:rPr>
          <w:sz w:val="20"/>
        </w:rPr>
      </w:pPr>
      <w:r>
        <w:rPr>
          <w:sz w:val="20"/>
        </w:rPr>
        <w:br w:type="page"/>
      </w:r>
    </w:p>
    <w:p w14:paraId="5A3DDED7" w14:textId="77777777" w:rsidR="00CA2C86" w:rsidRPr="00CE02CC" w:rsidRDefault="00CA2C86" w:rsidP="00CA2C86">
      <w:pPr>
        <w:spacing w:after="0" w:line="240" w:lineRule="auto"/>
        <w:rPr>
          <w:sz w:val="20"/>
        </w:rPr>
      </w:pPr>
    </w:p>
    <w:p w14:paraId="1452869A" w14:textId="2A55B763" w:rsidR="00CA2C86" w:rsidRPr="00CE02CC" w:rsidRDefault="00740975" w:rsidP="00CA2C86">
      <w:pPr>
        <w:spacing w:after="0" w:line="240" w:lineRule="auto"/>
        <w:rPr>
          <w:b/>
          <w:sz w:val="20"/>
        </w:rPr>
      </w:pPr>
      <w:r>
        <w:rPr>
          <w:b/>
          <w:sz w:val="20"/>
        </w:rPr>
        <w:t>FIGURE</w:t>
      </w:r>
      <w:r w:rsidR="00CA2C86" w:rsidRPr="00CE02CC">
        <w:rPr>
          <w:b/>
          <w:sz w:val="20"/>
        </w:rPr>
        <w:t xml:space="preserve"> 3</w:t>
      </w:r>
      <w:r w:rsidR="00287AD1">
        <w:rPr>
          <w:b/>
          <w:sz w:val="20"/>
        </w:rPr>
        <w:t>.</w:t>
      </w:r>
      <w:r w:rsidR="00CA2C86" w:rsidRPr="00CE02CC">
        <w:rPr>
          <w:b/>
          <w:sz w:val="20"/>
        </w:rPr>
        <w:t xml:space="preserve"> Local Trust by Religion, 2010 and 2014</w:t>
      </w:r>
    </w:p>
    <w:p w14:paraId="14FF38D7" w14:textId="4586B05A" w:rsidR="00086159" w:rsidRDefault="00086159" w:rsidP="00C61C93">
      <w:pPr>
        <w:spacing w:after="0" w:line="240" w:lineRule="auto"/>
        <w:rPr>
          <w:sz w:val="20"/>
          <w:szCs w:val="20"/>
        </w:rPr>
      </w:pPr>
      <w:r w:rsidRPr="00086159">
        <w:rPr>
          <w:noProof/>
          <w:lang w:val="en-AU" w:eastAsia="en-AU"/>
        </w:rPr>
        <w:drawing>
          <wp:inline distT="0" distB="0" distL="0" distR="0" wp14:anchorId="59CA3602" wp14:editId="5E9775E4">
            <wp:extent cx="4933950" cy="295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0370" cy="2966088"/>
                    </a:xfrm>
                    <a:prstGeom prst="rect">
                      <a:avLst/>
                    </a:prstGeom>
                    <a:noFill/>
                    <a:ln>
                      <a:noFill/>
                    </a:ln>
                  </pic:spPr>
                </pic:pic>
              </a:graphicData>
            </a:graphic>
          </wp:inline>
        </w:drawing>
      </w:r>
    </w:p>
    <w:p w14:paraId="1E343A38" w14:textId="7C9E2907" w:rsidR="00086159" w:rsidRPr="00122B82" w:rsidRDefault="00A86E0D" w:rsidP="00C61C93">
      <w:pPr>
        <w:spacing w:after="0" w:line="240" w:lineRule="auto"/>
        <w:rPr>
          <w:sz w:val="20"/>
          <w:szCs w:val="20"/>
        </w:rPr>
      </w:pPr>
      <w:r w:rsidRPr="00A86E0D">
        <w:rPr>
          <w:sz w:val="20"/>
          <w:szCs w:val="20"/>
          <w:highlight w:val="yellow"/>
        </w:rPr>
        <w:t>Source: HILDA</w:t>
      </w:r>
    </w:p>
    <w:sectPr w:rsidR="00086159" w:rsidRPr="00122B82" w:rsidSect="00D7403C">
      <w:footerReference w:type="defaul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C6E5" w14:textId="77777777" w:rsidR="0064263B" w:rsidRDefault="0064263B" w:rsidP="00164ABD">
      <w:pPr>
        <w:spacing w:after="0" w:line="240" w:lineRule="auto"/>
      </w:pPr>
      <w:r>
        <w:separator/>
      </w:r>
    </w:p>
  </w:endnote>
  <w:endnote w:type="continuationSeparator" w:id="0">
    <w:p w14:paraId="3AEC9F45" w14:textId="77777777" w:rsidR="0064263B" w:rsidRDefault="0064263B"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670209"/>
      <w:docPartObj>
        <w:docPartGallery w:val="Page Numbers (Bottom of Page)"/>
        <w:docPartUnique/>
      </w:docPartObj>
    </w:sdtPr>
    <w:sdtEndPr>
      <w:rPr>
        <w:noProof/>
      </w:rPr>
    </w:sdtEndPr>
    <w:sdtContent>
      <w:p w14:paraId="38960D1D" w14:textId="691ABA87" w:rsidR="00555E70" w:rsidRDefault="00555E70" w:rsidP="009006F8">
        <w:pPr>
          <w:pStyle w:val="Footer"/>
          <w:jc w:val="right"/>
        </w:pPr>
        <w:r>
          <w:fldChar w:fldCharType="begin"/>
        </w:r>
        <w:r>
          <w:instrText xml:space="preserve"> PAGE   \* MERGEFORMAT </w:instrText>
        </w:r>
        <w:r>
          <w:fldChar w:fldCharType="separate"/>
        </w:r>
        <w:r w:rsidR="00435340">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3D6D" w14:textId="77777777" w:rsidR="0064263B" w:rsidRDefault="0064263B" w:rsidP="00164ABD">
      <w:pPr>
        <w:spacing w:after="0" w:line="240" w:lineRule="auto"/>
      </w:pPr>
      <w:r>
        <w:separator/>
      </w:r>
    </w:p>
  </w:footnote>
  <w:footnote w:type="continuationSeparator" w:id="0">
    <w:p w14:paraId="53EF5EA1" w14:textId="77777777" w:rsidR="0064263B" w:rsidRDefault="0064263B" w:rsidP="00164ABD">
      <w:pPr>
        <w:spacing w:after="0" w:line="240" w:lineRule="auto"/>
      </w:pPr>
      <w:r>
        <w:continuationSeparator/>
      </w:r>
    </w:p>
  </w:footnote>
  <w:footnote w:id="1">
    <w:p w14:paraId="3E81C80E" w14:textId="7AA5C9A8" w:rsidR="00555E70" w:rsidRPr="00011125" w:rsidRDefault="00555E70">
      <w:pPr>
        <w:pStyle w:val="FootnoteText"/>
        <w:rPr>
          <w:lang w:val="en-AU"/>
        </w:rPr>
      </w:pPr>
      <w:r>
        <w:rPr>
          <w:rStyle w:val="FootnoteReference"/>
        </w:rPr>
        <w:footnoteRef/>
      </w:r>
      <w:r>
        <w:t xml:space="preserve"> </w:t>
      </w:r>
      <w:r>
        <w:rPr>
          <w:lang w:val="en-AU"/>
        </w:rPr>
        <w:t xml:space="preserve">The most likely explanation for this effect is that persons must refer to some ‘known’ when answering an attitudinal evaluation question of a vague </w:t>
      </w:r>
      <w:r w:rsidRPr="00EA6FE5">
        <w:rPr>
          <w:highlight w:val="yellow"/>
          <w:lang w:val="en-AU"/>
        </w:rPr>
        <w:t>nature. The</w:t>
      </w:r>
      <w:r>
        <w:rPr>
          <w:lang w:val="en-AU"/>
        </w:rPr>
        <w:t xml:space="preserve"> most probable ‘known’ that one might fall back on is oneself (Glaeser et al., 2000). Moreover, when referring to the ‘self’ one </w:t>
      </w:r>
      <w:r w:rsidRPr="00012380">
        <w:rPr>
          <w:i/>
          <w:lang w:val="en-AU"/>
        </w:rPr>
        <w:t>can</w:t>
      </w:r>
      <w:r>
        <w:rPr>
          <w:lang w:val="en-AU"/>
        </w:rPr>
        <w:t xml:space="preserve"> </w:t>
      </w:r>
      <w:r w:rsidRPr="00EA6FE5">
        <w:rPr>
          <w:highlight w:val="yellow"/>
          <w:lang w:val="en-AU"/>
        </w:rPr>
        <w:t>know whether</w:t>
      </w:r>
      <w:r>
        <w:rPr>
          <w:lang w:val="en-AU"/>
        </w:rPr>
        <w:t xml:space="preserve"> acts relate directly to desirable attributes of Trustees or whether said acts were merely coincidental. </w:t>
      </w:r>
      <w:r w:rsidRPr="006F27C0">
        <w:rPr>
          <w:highlight w:val="yellow"/>
          <w:lang w:val="en-AU"/>
        </w:rPr>
        <w:t xml:space="preserve">For example, did the Trustee act according to high ability or just get lucky </w:t>
      </w:r>
      <w:r w:rsidRPr="000B1D56">
        <w:rPr>
          <w:highlight w:val="yellow"/>
          <w:lang w:val="en-AU"/>
        </w:rPr>
        <w:t>on this occasion?</w:t>
      </w:r>
      <w:r w:rsidR="000B1D56" w:rsidRPr="000B1D56">
        <w:rPr>
          <w:highlight w:val="yellow"/>
          <w:lang w:val="en-AU"/>
        </w:rPr>
        <w:t xml:space="preserve"> Was the </w:t>
      </w:r>
      <w:r w:rsidR="00694950">
        <w:rPr>
          <w:highlight w:val="yellow"/>
          <w:lang w:val="en-AU"/>
        </w:rPr>
        <w:t>action motivated</w:t>
      </w:r>
      <w:r w:rsidR="000B1D56" w:rsidRPr="000B1D56">
        <w:rPr>
          <w:highlight w:val="yellow"/>
          <w:lang w:val="en-AU"/>
        </w:rPr>
        <w:t xml:space="preserve"> </w:t>
      </w:r>
      <w:r w:rsidR="00694950">
        <w:rPr>
          <w:highlight w:val="yellow"/>
          <w:lang w:val="en-AU"/>
        </w:rPr>
        <w:t xml:space="preserve">by </w:t>
      </w:r>
      <w:r w:rsidR="000B1D56" w:rsidRPr="000B1D56">
        <w:rPr>
          <w:highlight w:val="yellow"/>
          <w:lang w:val="en-AU"/>
        </w:rPr>
        <w:t xml:space="preserve">benevolence or </w:t>
      </w:r>
      <w:r w:rsidR="00694950">
        <w:rPr>
          <w:highlight w:val="yellow"/>
          <w:lang w:val="en-AU"/>
        </w:rPr>
        <w:t xml:space="preserve">understanding of </w:t>
      </w:r>
      <w:r w:rsidR="000B1D56" w:rsidRPr="000B1D56">
        <w:rPr>
          <w:highlight w:val="yellow"/>
          <w:lang w:val="en-AU"/>
        </w:rPr>
        <w:t>shared goals? Was the action carried out with integrity or undetected deceit?</w:t>
      </w:r>
    </w:p>
  </w:footnote>
  <w:footnote w:id="2">
    <w:p w14:paraId="13E498C1" w14:textId="337324CA" w:rsidR="00555E70" w:rsidRPr="001B28B1" w:rsidRDefault="00555E70">
      <w:pPr>
        <w:pStyle w:val="FootnoteText"/>
        <w:rPr>
          <w:lang w:val="en-AU"/>
        </w:rPr>
      </w:pPr>
      <w:r>
        <w:rPr>
          <w:rStyle w:val="FootnoteReference"/>
        </w:rPr>
        <w:footnoteRef/>
      </w:r>
      <w:r>
        <w:t xml:space="preserve"> </w:t>
      </w:r>
      <w:r>
        <w:rPr>
          <w:lang w:val="en-AU"/>
        </w:rPr>
        <w:t>The risk is that the more significant sacrifices of these strict religions may not be rewarded with greater outcomes in the world to come (where notably much of the pay-off from the trust must occur and where it is impossible to monitor the said act or seek remedy in event of disappointment (Azzi and Ehrenberg, 1975).</w:t>
      </w:r>
    </w:p>
  </w:footnote>
  <w:footnote w:id="3">
    <w:p w14:paraId="3A1B7D91" w14:textId="738A2C07" w:rsidR="00555E70" w:rsidRPr="00A114D7" w:rsidRDefault="00555E70">
      <w:pPr>
        <w:pStyle w:val="FootnoteText"/>
        <w:rPr>
          <w:lang w:val="en-AU"/>
        </w:rPr>
      </w:pPr>
      <w:r>
        <w:rPr>
          <w:rStyle w:val="FootnoteReference"/>
        </w:rPr>
        <w:footnoteRef/>
      </w:r>
      <w:r>
        <w:t xml:space="preserve"> </w:t>
      </w:r>
      <w:r>
        <w:rPr>
          <w:lang w:val="en-AU"/>
        </w:rPr>
        <w:t xml:space="preserve">The Australian National Council of Churches is a volunteer peak body for Christian churches that subscribe to core beliefs. Churches that do not subscribe to CoC do so because of incompatible beliefs and parochialism. </w:t>
      </w:r>
      <w:r w:rsidRPr="00452B84">
        <w:rPr>
          <w:highlight w:val="yellow"/>
          <w:lang w:val="en-AU"/>
        </w:rPr>
        <w:t>In our sample, n</w:t>
      </w:r>
      <w:r w:rsidRPr="00452B84">
        <w:rPr>
          <w:highlight w:val="yellow"/>
        </w:rPr>
        <w:t xml:space="preserve">on-CoC include Jehovah Witness, Brethren, Seventh-day Adventist, Mormons, </w:t>
      </w:r>
      <w:r w:rsidRPr="00452B84">
        <w:rPr>
          <w:highlight w:val="yellow"/>
          <w:lang w:val="en-AU"/>
        </w:rPr>
        <w:t>Other Christian, Presbyterian/Reformed, Oriental Christian, Other Protestant, and Baptist.</w:t>
      </w:r>
    </w:p>
  </w:footnote>
  <w:footnote w:id="4">
    <w:p w14:paraId="748C2B20" w14:textId="77777777" w:rsidR="00555E70" w:rsidRPr="001B28B1" w:rsidRDefault="00555E70">
      <w:pPr>
        <w:pStyle w:val="FootnoteText"/>
        <w:rPr>
          <w:lang w:val="en-AU"/>
        </w:rPr>
      </w:pPr>
      <w:r>
        <w:rPr>
          <w:rStyle w:val="FootnoteReference"/>
        </w:rPr>
        <w:footnoteRef/>
      </w:r>
      <w:r>
        <w:t xml:space="preserve"> As</w:t>
      </w:r>
      <w:r w:rsidRPr="001B28B1">
        <w:t xml:space="preserve"> is Judaism – largely owing to the fact that our data cannot discern between strict Orthodox Judaism on the one hand, and liberal Reform Judaism on the other.</w:t>
      </w:r>
    </w:p>
  </w:footnote>
  <w:footnote w:id="5">
    <w:p w14:paraId="405F5459" w14:textId="303EA16D" w:rsidR="00555E70" w:rsidRPr="003625E6" w:rsidRDefault="00555E70">
      <w:pPr>
        <w:pStyle w:val="FootnoteText"/>
        <w:rPr>
          <w:lang w:val="en-AU"/>
        </w:rPr>
      </w:pPr>
      <w:r>
        <w:rPr>
          <w:rStyle w:val="FootnoteReference"/>
        </w:rPr>
        <w:footnoteRef/>
      </w:r>
      <w:r>
        <w:t xml:space="preserve"> </w:t>
      </w:r>
      <w:r>
        <w:rPr>
          <w:lang w:val="en-AU"/>
        </w:rPr>
        <w:t>This is likely due to a combination of small sample size and historical child abuse controversies as raised in the Royal Commission on Child Sexual Abuse (Percy and MacMillan, 2017).</w:t>
      </w:r>
    </w:p>
  </w:footnote>
  <w:footnote w:id="6">
    <w:p w14:paraId="3F988A55" w14:textId="6DC397E7" w:rsidR="00555E70" w:rsidRPr="00EB7771" w:rsidRDefault="00555E70">
      <w:pPr>
        <w:pStyle w:val="FootnoteText"/>
        <w:rPr>
          <w:lang w:val="en-AU"/>
        </w:rPr>
      </w:pPr>
      <w:r>
        <w:rPr>
          <w:rStyle w:val="FootnoteReference"/>
        </w:rPr>
        <w:footnoteRef/>
      </w:r>
      <w:r>
        <w:t xml:space="preserve"> </w:t>
      </w:r>
      <w:r w:rsidRPr="006469CE">
        <w:t>Evidence of this sort of trend, for increasing concentration, can be found in the Australian Bureau of Statistics census data. For instance, in 2011 48.8% of residents in Lakemba identified as Muslim and by 2016 this figure had risen to 59.2% (in 2011 15.1% of people only spoke English at home and by 2016 this had fallen to 14.7%; ABS</w:t>
      </w:r>
      <w:r>
        <w:t>,</w:t>
      </w:r>
      <w:r w:rsidRPr="006469CE">
        <w:t xml:space="preserv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63"/>
    <w:rsid w:val="00002CBD"/>
    <w:rsid w:val="00003FD8"/>
    <w:rsid w:val="00007F98"/>
    <w:rsid w:val="00011125"/>
    <w:rsid w:val="00012380"/>
    <w:rsid w:val="00012AD5"/>
    <w:rsid w:val="0001340E"/>
    <w:rsid w:val="00015880"/>
    <w:rsid w:val="000166E5"/>
    <w:rsid w:val="00016CB1"/>
    <w:rsid w:val="00022B46"/>
    <w:rsid w:val="0002513A"/>
    <w:rsid w:val="00025921"/>
    <w:rsid w:val="00027A3F"/>
    <w:rsid w:val="0003067C"/>
    <w:rsid w:val="00032091"/>
    <w:rsid w:val="0003461D"/>
    <w:rsid w:val="00036449"/>
    <w:rsid w:val="000368AA"/>
    <w:rsid w:val="00041831"/>
    <w:rsid w:val="00044389"/>
    <w:rsid w:val="000444D2"/>
    <w:rsid w:val="00045105"/>
    <w:rsid w:val="00047120"/>
    <w:rsid w:val="00047B2E"/>
    <w:rsid w:val="0005258F"/>
    <w:rsid w:val="0005534B"/>
    <w:rsid w:val="0005767A"/>
    <w:rsid w:val="000579C0"/>
    <w:rsid w:val="00061732"/>
    <w:rsid w:val="00061E17"/>
    <w:rsid w:val="00063E6B"/>
    <w:rsid w:val="0006616E"/>
    <w:rsid w:val="000734D2"/>
    <w:rsid w:val="00075253"/>
    <w:rsid w:val="00080D08"/>
    <w:rsid w:val="000815A9"/>
    <w:rsid w:val="00081654"/>
    <w:rsid w:val="00085C40"/>
    <w:rsid w:val="00086159"/>
    <w:rsid w:val="0009381A"/>
    <w:rsid w:val="000962A2"/>
    <w:rsid w:val="000A1780"/>
    <w:rsid w:val="000A1835"/>
    <w:rsid w:val="000A1F35"/>
    <w:rsid w:val="000A4B9E"/>
    <w:rsid w:val="000A7256"/>
    <w:rsid w:val="000A72F1"/>
    <w:rsid w:val="000B1118"/>
    <w:rsid w:val="000B17C6"/>
    <w:rsid w:val="000B1D56"/>
    <w:rsid w:val="000C4FF9"/>
    <w:rsid w:val="000D35F7"/>
    <w:rsid w:val="000D7BFF"/>
    <w:rsid w:val="000E0EE1"/>
    <w:rsid w:val="000E1EAE"/>
    <w:rsid w:val="000E305E"/>
    <w:rsid w:val="000E47E1"/>
    <w:rsid w:val="000E6374"/>
    <w:rsid w:val="000E7C98"/>
    <w:rsid w:val="000F2977"/>
    <w:rsid w:val="000F3C5A"/>
    <w:rsid w:val="000F448D"/>
    <w:rsid w:val="000F4605"/>
    <w:rsid w:val="000F54D5"/>
    <w:rsid w:val="000F5A38"/>
    <w:rsid w:val="000F6C51"/>
    <w:rsid w:val="000F6CEE"/>
    <w:rsid w:val="00102B23"/>
    <w:rsid w:val="00102E55"/>
    <w:rsid w:val="001061BF"/>
    <w:rsid w:val="001074C3"/>
    <w:rsid w:val="001103E0"/>
    <w:rsid w:val="00111E4A"/>
    <w:rsid w:val="001172CE"/>
    <w:rsid w:val="00117348"/>
    <w:rsid w:val="00117FC4"/>
    <w:rsid w:val="00122B82"/>
    <w:rsid w:val="001231C2"/>
    <w:rsid w:val="00123646"/>
    <w:rsid w:val="001237BB"/>
    <w:rsid w:val="0013054F"/>
    <w:rsid w:val="00130ECB"/>
    <w:rsid w:val="00131BB3"/>
    <w:rsid w:val="0013377A"/>
    <w:rsid w:val="00134D1C"/>
    <w:rsid w:val="00135538"/>
    <w:rsid w:val="00136E4B"/>
    <w:rsid w:val="0014329F"/>
    <w:rsid w:val="00144610"/>
    <w:rsid w:val="00144D1D"/>
    <w:rsid w:val="001455B7"/>
    <w:rsid w:val="00145BE2"/>
    <w:rsid w:val="00153C62"/>
    <w:rsid w:val="00153CBE"/>
    <w:rsid w:val="001549A8"/>
    <w:rsid w:val="00156D45"/>
    <w:rsid w:val="00157C5B"/>
    <w:rsid w:val="0016130F"/>
    <w:rsid w:val="00164ABD"/>
    <w:rsid w:val="00165FFD"/>
    <w:rsid w:val="00174DC1"/>
    <w:rsid w:val="00181C5F"/>
    <w:rsid w:val="00182E47"/>
    <w:rsid w:val="001831BF"/>
    <w:rsid w:val="00183E40"/>
    <w:rsid w:val="00185B89"/>
    <w:rsid w:val="00185DDB"/>
    <w:rsid w:val="0019503B"/>
    <w:rsid w:val="0019509F"/>
    <w:rsid w:val="001952E6"/>
    <w:rsid w:val="0019722C"/>
    <w:rsid w:val="001A0629"/>
    <w:rsid w:val="001A1025"/>
    <w:rsid w:val="001A35E6"/>
    <w:rsid w:val="001A6554"/>
    <w:rsid w:val="001A7CAC"/>
    <w:rsid w:val="001B1A48"/>
    <w:rsid w:val="001B28B1"/>
    <w:rsid w:val="001B47BA"/>
    <w:rsid w:val="001B4E19"/>
    <w:rsid w:val="001C0756"/>
    <w:rsid w:val="001C3D82"/>
    <w:rsid w:val="001C4F0E"/>
    <w:rsid w:val="001C5581"/>
    <w:rsid w:val="001C653F"/>
    <w:rsid w:val="001D13FF"/>
    <w:rsid w:val="001D148B"/>
    <w:rsid w:val="001D245D"/>
    <w:rsid w:val="001D24E3"/>
    <w:rsid w:val="001D4A04"/>
    <w:rsid w:val="001D5278"/>
    <w:rsid w:val="001D6F9D"/>
    <w:rsid w:val="001E1544"/>
    <w:rsid w:val="001E3BF0"/>
    <w:rsid w:val="001E46CD"/>
    <w:rsid w:val="001E54F3"/>
    <w:rsid w:val="001F4DA9"/>
    <w:rsid w:val="001F67F8"/>
    <w:rsid w:val="002010D8"/>
    <w:rsid w:val="002016E8"/>
    <w:rsid w:val="00206FF8"/>
    <w:rsid w:val="002071D0"/>
    <w:rsid w:val="00210037"/>
    <w:rsid w:val="00212F26"/>
    <w:rsid w:val="0021312E"/>
    <w:rsid w:val="0021350A"/>
    <w:rsid w:val="0021544C"/>
    <w:rsid w:val="00215D99"/>
    <w:rsid w:val="00216801"/>
    <w:rsid w:val="00221959"/>
    <w:rsid w:val="00230609"/>
    <w:rsid w:val="00231DCB"/>
    <w:rsid w:val="0023396F"/>
    <w:rsid w:val="00234F7C"/>
    <w:rsid w:val="002409BF"/>
    <w:rsid w:val="00240A7F"/>
    <w:rsid w:val="00240A8F"/>
    <w:rsid w:val="002418DD"/>
    <w:rsid w:val="00245F12"/>
    <w:rsid w:val="002461CC"/>
    <w:rsid w:val="002515C0"/>
    <w:rsid w:val="00253949"/>
    <w:rsid w:val="002554FD"/>
    <w:rsid w:val="00266EBB"/>
    <w:rsid w:val="002707E6"/>
    <w:rsid w:val="00272842"/>
    <w:rsid w:val="00273BE7"/>
    <w:rsid w:val="002774BD"/>
    <w:rsid w:val="002824E8"/>
    <w:rsid w:val="00287AD1"/>
    <w:rsid w:val="002907F3"/>
    <w:rsid w:val="002968A1"/>
    <w:rsid w:val="002A5600"/>
    <w:rsid w:val="002A7BC2"/>
    <w:rsid w:val="002B0CB7"/>
    <w:rsid w:val="002B2757"/>
    <w:rsid w:val="002B312C"/>
    <w:rsid w:val="002B4162"/>
    <w:rsid w:val="002C1BFF"/>
    <w:rsid w:val="002D0A8F"/>
    <w:rsid w:val="002D0DE1"/>
    <w:rsid w:val="002D3857"/>
    <w:rsid w:val="002D5741"/>
    <w:rsid w:val="002D6CB5"/>
    <w:rsid w:val="002E1C83"/>
    <w:rsid w:val="002E54C7"/>
    <w:rsid w:val="002E5571"/>
    <w:rsid w:val="002F096C"/>
    <w:rsid w:val="002F419A"/>
    <w:rsid w:val="002F4659"/>
    <w:rsid w:val="002F57AD"/>
    <w:rsid w:val="0030229C"/>
    <w:rsid w:val="00302315"/>
    <w:rsid w:val="00303A3F"/>
    <w:rsid w:val="00312F47"/>
    <w:rsid w:val="003148BA"/>
    <w:rsid w:val="00315345"/>
    <w:rsid w:val="003238CB"/>
    <w:rsid w:val="00324970"/>
    <w:rsid w:val="00334376"/>
    <w:rsid w:val="003346FE"/>
    <w:rsid w:val="0033581D"/>
    <w:rsid w:val="00340FD6"/>
    <w:rsid w:val="00345ED3"/>
    <w:rsid w:val="00346C2C"/>
    <w:rsid w:val="0035277E"/>
    <w:rsid w:val="00353048"/>
    <w:rsid w:val="0035753F"/>
    <w:rsid w:val="003625E6"/>
    <w:rsid w:val="003635F6"/>
    <w:rsid w:val="003658A8"/>
    <w:rsid w:val="00365908"/>
    <w:rsid w:val="00365B87"/>
    <w:rsid w:val="00371F98"/>
    <w:rsid w:val="0037396B"/>
    <w:rsid w:val="00374807"/>
    <w:rsid w:val="00376623"/>
    <w:rsid w:val="00382582"/>
    <w:rsid w:val="00384049"/>
    <w:rsid w:val="00386B66"/>
    <w:rsid w:val="00391623"/>
    <w:rsid w:val="00391F76"/>
    <w:rsid w:val="00392178"/>
    <w:rsid w:val="00395CA3"/>
    <w:rsid w:val="0039792A"/>
    <w:rsid w:val="003A0571"/>
    <w:rsid w:val="003A13A2"/>
    <w:rsid w:val="003A2101"/>
    <w:rsid w:val="003A4507"/>
    <w:rsid w:val="003B1127"/>
    <w:rsid w:val="003B348C"/>
    <w:rsid w:val="003B4095"/>
    <w:rsid w:val="003B5B6C"/>
    <w:rsid w:val="003C0A62"/>
    <w:rsid w:val="003C26AC"/>
    <w:rsid w:val="003C2793"/>
    <w:rsid w:val="003C6416"/>
    <w:rsid w:val="003C66C2"/>
    <w:rsid w:val="003C6B60"/>
    <w:rsid w:val="003D2E65"/>
    <w:rsid w:val="003D72E9"/>
    <w:rsid w:val="003E2B26"/>
    <w:rsid w:val="003E4E84"/>
    <w:rsid w:val="003E6F80"/>
    <w:rsid w:val="003E7227"/>
    <w:rsid w:val="003F0B95"/>
    <w:rsid w:val="003F26A0"/>
    <w:rsid w:val="003F26B4"/>
    <w:rsid w:val="003F37EE"/>
    <w:rsid w:val="003F3DAC"/>
    <w:rsid w:val="003F412B"/>
    <w:rsid w:val="003F5ED3"/>
    <w:rsid w:val="003F6F0D"/>
    <w:rsid w:val="00401E9E"/>
    <w:rsid w:val="0040385E"/>
    <w:rsid w:val="004108EA"/>
    <w:rsid w:val="004109B1"/>
    <w:rsid w:val="00410B26"/>
    <w:rsid w:val="004127B2"/>
    <w:rsid w:val="00412DED"/>
    <w:rsid w:val="004138E4"/>
    <w:rsid w:val="00414262"/>
    <w:rsid w:val="00415110"/>
    <w:rsid w:val="00415E73"/>
    <w:rsid w:val="00422D7F"/>
    <w:rsid w:val="00424712"/>
    <w:rsid w:val="004249AD"/>
    <w:rsid w:val="004260CE"/>
    <w:rsid w:val="00427D99"/>
    <w:rsid w:val="0043031F"/>
    <w:rsid w:val="00433237"/>
    <w:rsid w:val="00435340"/>
    <w:rsid w:val="00440C20"/>
    <w:rsid w:val="0044271C"/>
    <w:rsid w:val="0045197D"/>
    <w:rsid w:val="00452B84"/>
    <w:rsid w:val="004547B0"/>
    <w:rsid w:val="00456F03"/>
    <w:rsid w:val="00457403"/>
    <w:rsid w:val="00462A69"/>
    <w:rsid w:val="00463763"/>
    <w:rsid w:val="00466C6E"/>
    <w:rsid w:val="004716BE"/>
    <w:rsid w:val="00471B67"/>
    <w:rsid w:val="00472725"/>
    <w:rsid w:val="004728EC"/>
    <w:rsid w:val="00474BF6"/>
    <w:rsid w:val="00476DA8"/>
    <w:rsid w:val="00477BC5"/>
    <w:rsid w:val="00481767"/>
    <w:rsid w:val="00485EFA"/>
    <w:rsid w:val="004A2202"/>
    <w:rsid w:val="004A2203"/>
    <w:rsid w:val="004A4F2A"/>
    <w:rsid w:val="004A5BAA"/>
    <w:rsid w:val="004A7777"/>
    <w:rsid w:val="004B3566"/>
    <w:rsid w:val="004B357D"/>
    <w:rsid w:val="004B5885"/>
    <w:rsid w:val="004B692D"/>
    <w:rsid w:val="004C19F6"/>
    <w:rsid w:val="004C6D21"/>
    <w:rsid w:val="004C78CB"/>
    <w:rsid w:val="004C7AF2"/>
    <w:rsid w:val="004C7DD3"/>
    <w:rsid w:val="004D0CB3"/>
    <w:rsid w:val="004D3F1A"/>
    <w:rsid w:val="004D420F"/>
    <w:rsid w:val="004D6012"/>
    <w:rsid w:val="004E1A4E"/>
    <w:rsid w:val="004E3C88"/>
    <w:rsid w:val="004F2124"/>
    <w:rsid w:val="004F2A03"/>
    <w:rsid w:val="00502F38"/>
    <w:rsid w:val="0050407A"/>
    <w:rsid w:val="005234E3"/>
    <w:rsid w:val="00523B1B"/>
    <w:rsid w:val="00525D53"/>
    <w:rsid w:val="005301FA"/>
    <w:rsid w:val="00533010"/>
    <w:rsid w:val="00537ED6"/>
    <w:rsid w:val="0054289F"/>
    <w:rsid w:val="00544349"/>
    <w:rsid w:val="005448A6"/>
    <w:rsid w:val="005525FF"/>
    <w:rsid w:val="005529FE"/>
    <w:rsid w:val="00553BEB"/>
    <w:rsid w:val="00555E70"/>
    <w:rsid w:val="00555F3D"/>
    <w:rsid w:val="00567E18"/>
    <w:rsid w:val="00572A0C"/>
    <w:rsid w:val="00585521"/>
    <w:rsid w:val="005928CF"/>
    <w:rsid w:val="0059439D"/>
    <w:rsid w:val="00596563"/>
    <w:rsid w:val="005965DF"/>
    <w:rsid w:val="005A05E6"/>
    <w:rsid w:val="005A085C"/>
    <w:rsid w:val="005A69E5"/>
    <w:rsid w:val="005B15EB"/>
    <w:rsid w:val="005B4B4F"/>
    <w:rsid w:val="005B52FD"/>
    <w:rsid w:val="005C4136"/>
    <w:rsid w:val="005C494A"/>
    <w:rsid w:val="005D5B3C"/>
    <w:rsid w:val="005D5B53"/>
    <w:rsid w:val="005D6991"/>
    <w:rsid w:val="005E032C"/>
    <w:rsid w:val="005E26F5"/>
    <w:rsid w:val="005E4E92"/>
    <w:rsid w:val="005E74DF"/>
    <w:rsid w:val="005F5DF0"/>
    <w:rsid w:val="00600AD0"/>
    <w:rsid w:val="006036AD"/>
    <w:rsid w:val="00603F02"/>
    <w:rsid w:val="00612E79"/>
    <w:rsid w:val="00613365"/>
    <w:rsid w:val="00613BE8"/>
    <w:rsid w:val="00615350"/>
    <w:rsid w:val="006163FF"/>
    <w:rsid w:val="006236DC"/>
    <w:rsid w:val="0062411B"/>
    <w:rsid w:val="00627A82"/>
    <w:rsid w:val="00627F92"/>
    <w:rsid w:val="006306B5"/>
    <w:rsid w:val="00631EB7"/>
    <w:rsid w:val="006330A4"/>
    <w:rsid w:val="0064263B"/>
    <w:rsid w:val="00642BE1"/>
    <w:rsid w:val="00645BB3"/>
    <w:rsid w:val="006469CE"/>
    <w:rsid w:val="00650DA4"/>
    <w:rsid w:val="006512CC"/>
    <w:rsid w:val="00652798"/>
    <w:rsid w:val="006552B6"/>
    <w:rsid w:val="00655742"/>
    <w:rsid w:val="0065685B"/>
    <w:rsid w:val="006627EB"/>
    <w:rsid w:val="00665E2B"/>
    <w:rsid w:val="00674B24"/>
    <w:rsid w:val="00674DB4"/>
    <w:rsid w:val="0067540F"/>
    <w:rsid w:val="0068066C"/>
    <w:rsid w:val="00681A6F"/>
    <w:rsid w:val="00681CFC"/>
    <w:rsid w:val="006836A6"/>
    <w:rsid w:val="00683E4E"/>
    <w:rsid w:val="00694950"/>
    <w:rsid w:val="006A0515"/>
    <w:rsid w:val="006A16A9"/>
    <w:rsid w:val="006A3BE5"/>
    <w:rsid w:val="006A5E2A"/>
    <w:rsid w:val="006B3C7A"/>
    <w:rsid w:val="006B6E67"/>
    <w:rsid w:val="006C10CB"/>
    <w:rsid w:val="006C21AB"/>
    <w:rsid w:val="006C3329"/>
    <w:rsid w:val="006C3EF8"/>
    <w:rsid w:val="006D2577"/>
    <w:rsid w:val="006D5625"/>
    <w:rsid w:val="006D7A9F"/>
    <w:rsid w:val="006E0DA6"/>
    <w:rsid w:val="006E62FC"/>
    <w:rsid w:val="006E6DE8"/>
    <w:rsid w:val="006E7E6C"/>
    <w:rsid w:val="006E7EBB"/>
    <w:rsid w:val="006F27C0"/>
    <w:rsid w:val="006F287F"/>
    <w:rsid w:val="006F342C"/>
    <w:rsid w:val="00705286"/>
    <w:rsid w:val="00705376"/>
    <w:rsid w:val="007053C1"/>
    <w:rsid w:val="00716B62"/>
    <w:rsid w:val="00716C6E"/>
    <w:rsid w:val="00717F3F"/>
    <w:rsid w:val="00721550"/>
    <w:rsid w:val="00722D32"/>
    <w:rsid w:val="007239B9"/>
    <w:rsid w:val="0072436C"/>
    <w:rsid w:val="00724B55"/>
    <w:rsid w:val="00726287"/>
    <w:rsid w:val="0072789D"/>
    <w:rsid w:val="00734B6B"/>
    <w:rsid w:val="00734E90"/>
    <w:rsid w:val="00737064"/>
    <w:rsid w:val="00740975"/>
    <w:rsid w:val="007417ED"/>
    <w:rsid w:val="007441B6"/>
    <w:rsid w:val="00746FE2"/>
    <w:rsid w:val="0075327B"/>
    <w:rsid w:val="00762014"/>
    <w:rsid w:val="007639AF"/>
    <w:rsid w:val="00763D34"/>
    <w:rsid w:val="00766308"/>
    <w:rsid w:val="00771538"/>
    <w:rsid w:val="007756B4"/>
    <w:rsid w:val="0078172B"/>
    <w:rsid w:val="00786A6F"/>
    <w:rsid w:val="00793296"/>
    <w:rsid w:val="00794B0D"/>
    <w:rsid w:val="00796D3C"/>
    <w:rsid w:val="007A3701"/>
    <w:rsid w:val="007A39B8"/>
    <w:rsid w:val="007A7904"/>
    <w:rsid w:val="007B1126"/>
    <w:rsid w:val="007B2379"/>
    <w:rsid w:val="007B289A"/>
    <w:rsid w:val="007B2F78"/>
    <w:rsid w:val="007B608C"/>
    <w:rsid w:val="007B66E5"/>
    <w:rsid w:val="007B6730"/>
    <w:rsid w:val="007B74AB"/>
    <w:rsid w:val="007C0637"/>
    <w:rsid w:val="007C432D"/>
    <w:rsid w:val="007C60BB"/>
    <w:rsid w:val="007D2F93"/>
    <w:rsid w:val="007D407A"/>
    <w:rsid w:val="007E1E46"/>
    <w:rsid w:val="007E2163"/>
    <w:rsid w:val="007E33A2"/>
    <w:rsid w:val="007E45AC"/>
    <w:rsid w:val="007E5151"/>
    <w:rsid w:val="007E5A43"/>
    <w:rsid w:val="007E60D7"/>
    <w:rsid w:val="007E6C31"/>
    <w:rsid w:val="007E6C88"/>
    <w:rsid w:val="007F183D"/>
    <w:rsid w:val="007F339C"/>
    <w:rsid w:val="007F3A2B"/>
    <w:rsid w:val="007F6145"/>
    <w:rsid w:val="00802C02"/>
    <w:rsid w:val="00806013"/>
    <w:rsid w:val="0080624E"/>
    <w:rsid w:val="00807448"/>
    <w:rsid w:val="008114F1"/>
    <w:rsid w:val="0081438E"/>
    <w:rsid w:val="00814D91"/>
    <w:rsid w:val="008166DB"/>
    <w:rsid w:val="00817E0C"/>
    <w:rsid w:val="00825E0D"/>
    <w:rsid w:val="008266E9"/>
    <w:rsid w:val="00827846"/>
    <w:rsid w:val="00827D5A"/>
    <w:rsid w:val="008314EC"/>
    <w:rsid w:val="00833CDC"/>
    <w:rsid w:val="0084061A"/>
    <w:rsid w:val="0084082C"/>
    <w:rsid w:val="0084126C"/>
    <w:rsid w:val="00841C41"/>
    <w:rsid w:val="00843FC8"/>
    <w:rsid w:val="00845FD0"/>
    <w:rsid w:val="00846809"/>
    <w:rsid w:val="00847C8E"/>
    <w:rsid w:val="00853DF6"/>
    <w:rsid w:val="00856077"/>
    <w:rsid w:val="00856EC5"/>
    <w:rsid w:val="008576A4"/>
    <w:rsid w:val="00857D1A"/>
    <w:rsid w:val="00865A0A"/>
    <w:rsid w:val="00872B85"/>
    <w:rsid w:val="00873E74"/>
    <w:rsid w:val="008741BC"/>
    <w:rsid w:val="00876804"/>
    <w:rsid w:val="00876BBA"/>
    <w:rsid w:val="008839CD"/>
    <w:rsid w:val="00886C9B"/>
    <w:rsid w:val="00887EF3"/>
    <w:rsid w:val="008936E1"/>
    <w:rsid w:val="008938F4"/>
    <w:rsid w:val="008948D7"/>
    <w:rsid w:val="00897400"/>
    <w:rsid w:val="008A14CD"/>
    <w:rsid w:val="008A5ED2"/>
    <w:rsid w:val="008A710C"/>
    <w:rsid w:val="008A73C0"/>
    <w:rsid w:val="008C3966"/>
    <w:rsid w:val="008C3A9E"/>
    <w:rsid w:val="008C5FD4"/>
    <w:rsid w:val="008C7110"/>
    <w:rsid w:val="008D08CF"/>
    <w:rsid w:val="008D0CA3"/>
    <w:rsid w:val="008E1BC4"/>
    <w:rsid w:val="008E234C"/>
    <w:rsid w:val="008E4E39"/>
    <w:rsid w:val="008E7C4E"/>
    <w:rsid w:val="008F260D"/>
    <w:rsid w:val="008F44F6"/>
    <w:rsid w:val="008F47F4"/>
    <w:rsid w:val="008F7DEA"/>
    <w:rsid w:val="008F7FB3"/>
    <w:rsid w:val="009006F8"/>
    <w:rsid w:val="0090133C"/>
    <w:rsid w:val="00901C13"/>
    <w:rsid w:val="009053C6"/>
    <w:rsid w:val="009104DB"/>
    <w:rsid w:val="00910F56"/>
    <w:rsid w:val="009113BC"/>
    <w:rsid w:val="00914082"/>
    <w:rsid w:val="00914956"/>
    <w:rsid w:val="0091691A"/>
    <w:rsid w:val="00922228"/>
    <w:rsid w:val="009235BA"/>
    <w:rsid w:val="0093048B"/>
    <w:rsid w:val="009331CD"/>
    <w:rsid w:val="00933A2F"/>
    <w:rsid w:val="009341B2"/>
    <w:rsid w:val="00934943"/>
    <w:rsid w:val="00940955"/>
    <w:rsid w:val="009463F0"/>
    <w:rsid w:val="00954E9E"/>
    <w:rsid w:val="00956798"/>
    <w:rsid w:val="009577A7"/>
    <w:rsid w:val="009646C0"/>
    <w:rsid w:val="00966EC0"/>
    <w:rsid w:val="00973FD0"/>
    <w:rsid w:val="009816F3"/>
    <w:rsid w:val="009870DB"/>
    <w:rsid w:val="00992145"/>
    <w:rsid w:val="00992E34"/>
    <w:rsid w:val="00994072"/>
    <w:rsid w:val="009A1364"/>
    <w:rsid w:val="009A3CF9"/>
    <w:rsid w:val="009A4F9A"/>
    <w:rsid w:val="009A74DA"/>
    <w:rsid w:val="009B3C19"/>
    <w:rsid w:val="009B4A2B"/>
    <w:rsid w:val="009B5DE5"/>
    <w:rsid w:val="009B7F36"/>
    <w:rsid w:val="009C26B5"/>
    <w:rsid w:val="009C4984"/>
    <w:rsid w:val="009C6025"/>
    <w:rsid w:val="009C76BB"/>
    <w:rsid w:val="009D1587"/>
    <w:rsid w:val="009D3237"/>
    <w:rsid w:val="009D5AE4"/>
    <w:rsid w:val="009D6275"/>
    <w:rsid w:val="009E0248"/>
    <w:rsid w:val="009E1289"/>
    <w:rsid w:val="009E1D9C"/>
    <w:rsid w:val="009E334D"/>
    <w:rsid w:val="009E54C6"/>
    <w:rsid w:val="009E730A"/>
    <w:rsid w:val="009F0AB9"/>
    <w:rsid w:val="009F2B41"/>
    <w:rsid w:val="009F3AAA"/>
    <w:rsid w:val="009F4EA0"/>
    <w:rsid w:val="009F5BB5"/>
    <w:rsid w:val="009F6C4F"/>
    <w:rsid w:val="009F768B"/>
    <w:rsid w:val="00A0052D"/>
    <w:rsid w:val="00A00F5A"/>
    <w:rsid w:val="00A02F58"/>
    <w:rsid w:val="00A03622"/>
    <w:rsid w:val="00A03C01"/>
    <w:rsid w:val="00A040C2"/>
    <w:rsid w:val="00A04318"/>
    <w:rsid w:val="00A114D7"/>
    <w:rsid w:val="00A128DA"/>
    <w:rsid w:val="00A134F8"/>
    <w:rsid w:val="00A16065"/>
    <w:rsid w:val="00A16D4C"/>
    <w:rsid w:val="00A23208"/>
    <w:rsid w:val="00A247E7"/>
    <w:rsid w:val="00A32F9A"/>
    <w:rsid w:val="00A372FA"/>
    <w:rsid w:val="00A37B67"/>
    <w:rsid w:val="00A37EA9"/>
    <w:rsid w:val="00A42A12"/>
    <w:rsid w:val="00A47612"/>
    <w:rsid w:val="00A57112"/>
    <w:rsid w:val="00A613AD"/>
    <w:rsid w:val="00A62E8D"/>
    <w:rsid w:val="00A65B30"/>
    <w:rsid w:val="00A65E5D"/>
    <w:rsid w:val="00A66D0E"/>
    <w:rsid w:val="00A66E0D"/>
    <w:rsid w:val="00A707BF"/>
    <w:rsid w:val="00A76A1A"/>
    <w:rsid w:val="00A82C01"/>
    <w:rsid w:val="00A835EA"/>
    <w:rsid w:val="00A86D4A"/>
    <w:rsid w:val="00A86E0D"/>
    <w:rsid w:val="00A91D1A"/>
    <w:rsid w:val="00A9217E"/>
    <w:rsid w:val="00A92880"/>
    <w:rsid w:val="00A936B1"/>
    <w:rsid w:val="00A95D12"/>
    <w:rsid w:val="00AA4E6C"/>
    <w:rsid w:val="00AA7C51"/>
    <w:rsid w:val="00AB4642"/>
    <w:rsid w:val="00AB6B1A"/>
    <w:rsid w:val="00AC2DDF"/>
    <w:rsid w:val="00AD2E87"/>
    <w:rsid w:val="00AD3BBB"/>
    <w:rsid w:val="00AD439C"/>
    <w:rsid w:val="00AD5116"/>
    <w:rsid w:val="00AD7132"/>
    <w:rsid w:val="00AD72BD"/>
    <w:rsid w:val="00AD7FAA"/>
    <w:rsid w:val="00AE10AB"/>
    <w:rsid w:val="00AF230B"/>
    <w:rsid w:val="00AF4071"/>
    <w:rsid w:val="00AF57CB"/>
    <w:rsid w:val="00B00499"/>
    <w:rsid w:val="00B02462"/>
    <w:rsid w:val="00B05B84"/>
    <w:rsid w:val="00B05BD4"/>
    <w:rsid w:val="00B05CD7"/>
    <w:rsid w:val="00B10907"/>
    <w:rsid w:val="00B12084"/>
    <w:rsid w:val="00B13646"/>
    <w:rsid w:val="00B1390B"/>
    <w:rsid w:val="00B13A92"/>
    <w:rsid w:val="00B15644"/>
    <w:rsid w:val="00B20C8B"/>
    <w:rsid w:val="00B23817"/>
    <w:rsid w:val="00B25616"/>
    <w:rsid w:val="00B26B68"/>
    <w:rsid w:val="00B3209E"/>
    <w:rsid w:val="00B338E3"/>
    <w:rsid w:val="00B356D8"/>
    <w:rsid w:val="00B36E20"/>
    <w:rsid w:val="00B444D7"/>
    <w:rsid w:val="00B61463"/>
    <w:rsid w:val="00B7123F"/>
    <w:rsid w:val="00B72FCF"/>
    <w:rsid w:val="00B80462"/>
    <w:rsid w:val="00B8059A"/>
    <w:rsid w:val="00B80842"/>
    <w:rsid w:val="00B81D06"/>
    <w:rsid w:val="00B82B9E"/>
    <w:rsid w:val="00B83D57"/>
    <w:rsid w:val="00B85959"/>
    <w:rsid w:val="00B8695E"/>
    <w:rsid w:val="00B87516"/>
    <w:rsid w:val="00B92906"/>
    <w:rsid w:val="00B94189"/>
    <w:rsid w:val="00B95405"/>
    <w:rsid w:val="00B96F8B"/>
    <w:rsid w:val="00BA1685"/>
    <w:rsid w:val="00BA6B32"/>
    <w:rsid w:val="00BB0198"/>
    <w:rsid w:val="00BB3B2A"/>
    <w:rsid w:val="00BB57DD"/>
    <w:rsid w:val="00BB6D02"/>
    <w:rsid w:val="00BC1194"/>
    <w:rsid w:val="00BC15BA"/>
    <w:rsid w:val="00BC200C"/>
    <w:rsid w:val="00BC2F71"/>
    <w:rsid w:val="00BC35A6"/>
    <w:rsid w:val="00BD1A26"/>
    <w:rsid w:val="00BD2D37"/>
    <w:rsid w:val="00BD4C5F"/>
    <w:rsid w:val="00BD654D"/>
    <w:rsid w:val="00BD66EF"/>
    <w:rsid w:val="00BD7407"/>
    <w:rsid w:val="00BE0966"/>
    <w:rsid w:val="00BE4A29"/>
    <w:rsid w:val="00BE4CA4"/>
    <w:rsid w:val="00BE764D"/>
    <w:rsid w:val="00BF14A2"/>
    <w:rsid w:val="00BF21E5"/>
    <w:rsid w:val="00BF3E68"/>
    <w:rsid w:val="00BF5BC3"/>
    <w:rsid w:val="00BF6A8D"/>
    <w:rsid w:val="00C01843"/>
    <w:rsid w:val="00C01B34"/>
    <w:rsid w:val="00C02E97"/>
    <w:rsid w:val="00C03A9C"/>
    <w:rsid w:val="00C04F37"/>
    <w:rsid w:val="00C11F75"/>
    <w:rsid w:val="00C152CB"/>
    <w:rsid w:val="00C2713D"/>
    <w:rsid w:val="00C347DD"/>
    <w:rsid w:val="00C3680B"/>
    <w:rsid w:val="00C36D67"/>
    <w:rsid w:val="00C442F1"/>
    <w:rsid w:val="00C46935"/>
    <w:rsid w:val="00C47858"/>
    <w:rsid w:val="00C51ACE"/>
    <w:rsid w:val="00C60BA9"/>
    <w:rsid w:val="00C611FB"/>
    <w:rsid w:val="00C61C93"/>
    <w:rsid w:val="00C67ADD"/>
    <w:rsid w:val="00C73B27"/>
    <w:rsid w:val="00C81FC3"/>
    <w:rsid w:val="00C8240F"/>
    <w:rsid w:val="00C83A8F"/>
    <w:rsid w:val="00C866F2"/>
    <w:rsid w:val="00C906B7"/>
    <w:rsid w:val="00C91103"/>
    <w:rsid w:val="00C93190"/>
    <w:rsid w:val="00CA03EB"/>
    <w:rsid w:val="00CA2C86"/>
    <w:rsid w:val="00CA593E"/>
    <w:rsid w:val="00CA5BFD"/>
    <w:rsid w:val="00CB10A5"/>
    <w:rsid w:val="00CB59AE"/>
    <w:rsid w:val="00CC0D40"/>
    <w:rsid w:val="00CC127A"/>
    <w:rsid w:val="00CC2628"/>
    <w:rsid w:val="00CC5065"/>
    <w:rsid w:val="00CC5EF3"/>
    <w:rsid w:val="00CC7FF7"/>
    <w:rsid w:val="00CD40DB"/>
    <w:rsid w:val="00CE02CC"/>
    <w:rsid w:val="00CE1400"/>
    <w:rsid w:val="00CE5965"/>
    <w:rsid w:val="00CF0670"/>
    <w:rsid w:val="00CF1882"/>
    <w:rsid w:val="00CF2D62"/>
    <w:rsid w:val="00D00974"/>
    <w:rsid w:val="00D106C5"/>
    <w:rsid w:val="00D133AF"/>
    <w:rsid w:val="00D153E8"/>
    <w:rsid w:val="00D15FAC"/>
    <w:rsid w:val="00D202EE"/>
    <w:rsid w:val="00D23001"/>
    <w:rsid w:val="00D25F64"/>
    <w:rsid w:val="00D327F6"/>
    <w:rsid w:val="00D3318F"/>
    <w:rsid w:val="00D36AA8"/>
    <w:rsid w:val="00D37906"/>
    <w:rsid w:val="00D406B1"/>
    <w:rsid w:val="00D426EF"/>
    <w:rsid w:val="00D4305B"/>
    <w:rsid w:val="00D435EF"/>
    <w:rsid w:val="00D54534"/>
    <w:rsid w:val="00D548A0"/>
    <w:rsid w:val="00D55ACD"/>
    <w:rsid w:val="00D55B4A"/>
    <w:rsid w:val="00D55DE5"/>
    <w:rsid w:val="00D57863"/>
    <w:rsid w:val="00D652F4"/>
    <w:rsid w:val="00D65869"/>
    <w:rsid w:val="00D72F00"/>
    <w:rsid w:val="00D7403C"/>
    <w:rsid w:val="00D90AFF"/>
    <w:rsid w:val="00D949F9"/>
    <w:rsid w:val="00D97099"/>
    <w:rsid w:val="00D9782B"/>
    <w:rsid w:val="00DA29EB"/>
    <w:rsid w:val="00DA5111"/>
    <w:rsid w:val="00DA7D5B"/>
    <w:rsid w:val="00DB3BCF"/>
    <w:rsid w:val="00DB5914"/>
    <w:rsid w:val="00DB7ED5"/>
    <w:rsid w:val="00DC530E"/>
    <w:rsid w:val="00DC55BD"/>
    <w:rsid w:val="00DC60B7"/>
    <w:rsid w:val="00DC7529"/>
    <w:rsid w:val="00DC7ED4"/>
    <w:rsid w:val="00DD58BD"/>
    <w:rsid w:val="00DD70FF"/>
    <w:rsid w:val="00DD7D8E"/>
    <w:rsid w:val="00DE02B3"/>
    <w:rsid w:val="00DE0351"/>
    <w:rsid w:val="00DE67C9"/>
    <w:rsid w:val="00DE7542"/>
    <w:rsid w:val="00DF2673"/>
    <w:rsid w:val="00E00920"/>
    <w:rsid w:val="00E01B0C"/>
    <w:rsid w:val="00E04B92"/>
    <w:rsid w:val="00E05788"/>
    <w:rsid w:val="00E0603F"/>
    <w:rsid w:val="00E069E3"/>
    <w:rsid w:val="00E078A3"/>
    <w:rsid w:val="00E10277"/>
    <w:rsid w:val="00E14EFB"/>
    <w:rsid w:val="00E152A1"/>
    <w:rsid w:val="00E1612B"/>
    <w:rsid w:val="00E2049F"/>
    <w:rsid w:val="00E20745"/>
    <w:rsid w:val="00E2281B"/>
    <w:rsid w:val="00E23A7B"/>
    <w:rsid w:val="00E266DA"/>
    <w:rsid w:val="00E26906"/>
    <w:rsid w:val="00E2690D"/>
    <w:rsid w:val="00E30682"/>
    <w:rsid w:val="00E32A4E"/>
    <w:rsid w:val="00E33183"/>
    <w:rsid w:val="00E358BD"/>
    <w:rsid w:val="00E3638B"/>
    <w:rsid w:val="00E402F6"/>
    <w:rsid w:val="00E41366"/>
    <w:rsid w:val="00E42C68"/>
    <w:rsid w:val="00E436F5"/>
    <w:rsid w:val="00E43EE5"/>
    <w:rsid w:val="00E50CF8"/>
    <w:rsid w:val="00E5393B"/>
    <w:rsid w:val="00E56370"/>
    <w:rsid w:val="00E563A4"/>
    <w:rsid w:val="00E60E1D"/>
    <w:rsid w:val="00E61430"/>
    <w:rsid w:val="00E71797"/>
    <w:rsid w:val="00E73642"/>
    <w:rsid w:val="00E7439C"/>
    <w:rsid w:val="00E77745"/>
    <w:rsid w:val="00E77A02"/>
    <w:rsid w:val="00E85DFF"/>
    <w:rsid w:val="00E90CA4"/>
    <w:rsid w:val="00E941E8"/>
    <w:rsid w:val="00E95A5E"/>
    <w:rsid w:val="00EA2466"/>
    <w:rsid w:val="00EA477A"/>
    <w:rsid w:val="00EA6FE5"/>
    <w:rsid w:val="00EB4131"/>
    <w:rsid w:val="00EB5AA8"/>
    <w:rsid w:val="00EB7771"/>
    <w:rsid w:val="00EC08C3"/>
    <w:rsid w:val="00EC3DA0"/>
    <w:rsid w:val="00ED1416"/>
    <w:rsid w:val="00ED7911"/>
    <w:rsid w:val="00EE26DE"/>
    <w:rsid w:val="00EF0494"/>
    <w:rsid w:val="00EF0CFF"/>
    <w:rsid w:val="00EF6EB5"/>
    <w:rsid w:val="00F01D7F"/>
    <w:rsid w:val="00F02BCF"/>
    <w:rsid w:val="00F109B4"/>
    <w:rsid w:val="00F12A13"/>
    <w:rsid w:val="00F134A5"/>
    <w:rsid w:val="00F2275F"/>
    <w:rsid w:val="00F273F9"/>
    <w:rsid w:val="00F27D34"/>
    <w:rsid w:val="00F306A1"/>
    <w:rsid w:val="00F3253D"/>
    <w:rsid w:val="00F32A04"/>
    <w:rsid w:val="00F34E96"/>
    <w:rsid w:val="00F40D2B"/>
    <w:rsid w:val="00F418D1"/>
    <w:rsid w:val="00F438C8"/>
    <w:rsid w:val="00F45DC1"/>
    <w:rsid w:val="00F515BD"/>
    <w:rsid w:val="00F54A77"/>
    <w:rsid w:val="00F60854"/>
    <w:rsid w:val="00F612D0"/>
    <w:rsid w:val="00F62947"/>
    <w:rsid w:val="00F63EF0"/>
    <w:rsid w:val="00F729B3"/>
    <w:rsid w:val="00F730B8"/>
    <w:rsid w:val="00F747AC"/>
    <w:rsid w:val="00F74D77"/>
    <w:rsid w:val="00F7535F"/>
    <w:rsid w:val="00F7614C"/>
    <w:rsid w:val="00F7636C"/>
    <w:rsid w:val="00F76A20"/>
    <w:rsid w:val="00F76DB5"/>
    <w:rsid w:val="00F77614"/>
    <w:rsid w:val="00F80691"/>
    <w:rsid w:val="00F81C99"/>
    <w:rsid w:val="00F8237D"/>
    <w:rsid w:val="00F82D8D"/>
    <w:rsid w:val="00F8393F"/>
    <w:rsid w:val="00F846DD"/>
    <w:rsid w:val="00F900EC"/>
    <w:rsid w:val="00F90EFB"/>
    <w:rsid w:val="00F9504A"/>
    <w:rsid w:val="00F95B0F"/>
    <w:rsid w:val="00F96675"/>
    <w:rsid w:val="00F96AC5"/>
    <w:rsid w:val="00FA1115"/>
    <w:rsid w:val="00FA2EBD"/>
    <w:rsid w:val="00FA48A8"/>
    <w:rsid w:val="00FB102E"/>
    <w:rsid w:val="00FB172A"/>
    <w:rsid w:val="00FB3B31"/>
    <w:rsid w:val="00FB3C10"/>
    <w:rsid w:val="00FB4215"/>
    <w:rsid w:val="00FB541B"/>
    <w:rsid w:val="00FB6DB6"/>
    <w:rsid w:val="00FC1E78"/>
    <w:rsid w:val="00FC2ED6"/>
    <w:rsid w:val="00FC747E"/>
    <w:rsid w:val="00FC771C"/>
    <w:rsid w:val="00FC795C"/>
    <w:rsid w:val="00FD29E6"/>
    <w:rsid w:val="00FD5660"/>
    <w:rsid w:val="00FD594D"/>
    <w:rsid w:val="00FD7366"/>
    <w:rsid w:val="00FE0605"/>
    <w:rsid w:val="00FE2D1E"/>
    <w:rsid w:val="00FE472B"/>
    <w:rsid w:val="00FE4E7E"/>
    <w:rsid w:val="00FF15BC"/>
    <w:rsid w:val="00FF3CB2"/>
    <w:rsid w:val="00FF5693"/>
    <w:rsid w:val="00FF5BBD"/>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C838"/>
  <w15:docId w15:val="{AB30A050-813B-4C25-BEDF-EBC72D02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NormalWeb">
    <w:name w:val="Normal (Web)"/>
    <w:basedOn w:val="Normal"/>
    <w:uiPriority w:val="99"/>
    <w:semiHidden/>
    <w:unhideWhenUsed/>
    <w:rsid w:val="00412DED"/>
    <w:pPr>
      <w:spacing w:before="100" w:beforeAutospacing="1" w:after="100" w:afterAutospacing="1" w:line="240" w:lineRule="auto"/>
    </w:pPr>
    <w:rPr>
      <w:rFonts w:eastAsia="Times New Roman"/>
      <w:lang w:val="en-AU" w:eastAsia="en-AU"/>
    </w:rPr>
  </w:style>
  <w:style w:type="character" w:styleId="Strong">
    <w:name w:val="Strong"/>
    <w:basedOn w:val="DefaultParagraphFont"/>
    <w:uiPriority w:val="22"/>
    <w:qFormat/>
    <w:rsid w:val="00412DED"/>
    <w:rPr>
      <w:b/>
      <w:bCs/>
    </w:rPr>
  </w:style>
  <w:style w:type="paragraph" w:styleId="FootnoteText">
    <w:name w:val="footnote text"/>
    <w:basedOn w:val="Normal"/>
    <w:link w:val="FootnoteTextChar"/>
    <w:uiPriority w:val="99"/>
    <w:semiHidden/>
    <w:unhideWhenUsed/>
    <w:rsid w:val="00B86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95E"/>
    <w:rPr>
      <w:sz w:val="20"/>
      <w:szCs w:val="20"/>
      <w:lang w:val="en-GB"/>
    </w:rPr>
  </w:style>
  <w:style w:type="character" w:styleId="FootnoteReference">
    <w:name w:val="footnote reference"/>
    <w:basedOn w:val="DefaultParagraphFont"/>
    <w:uiPriority w:val="99"/>
    <w:semiHidden/>
    <w:unhideWhenUsed/>
    <w:rsid w:val="00B8695E"/>
    <w:rPr>
      <w:vertAlign w:val="superscript"/>
    </w:rPr>
  </w:style>
  <w:style w:type="character" w:styleId="CommentReference">
    <w:name w:val="annotation reference"/>
    <w:basedOn w:val="DefaultParagraphFont"/>
    <w:uiPriority w:val="99"/>
    <w:semiHidden/>
    <w:unhideWhenUsed/>
    <w:rsid w:val="00415E73"/>
    <w:rPr>
      <w:sz w:val="16"/>
      <w:szCs w:val="16"/>
    </w:rPr>
  </w:style>
  <w:style w:type="paragraph" w:styleId="CommentText">
    <w:name w:val="annotation text"/>
    <w:basedOn w:val="Normal"/>
    <w:link w:val="CommentTextChar"/>
    <w:uiPriority w:val="99"/>
    <w:semiHidden/>
    <w:unhideWhenUsed/>
    <w:rsid w:val="00415E73"/>
    <w:pPr>
      <w:spacing w:line="240" w:lineRule="auto"/>
    </w:pPr>
    <w:rPr>
      <w:sz w:val="20"/>
      <w:szCs w:val="20"/>
    </w:rPr>
  </w:style>
  <w:style w:type="character" w:customStyle="1" w:styleId="CommentTextChar">
    <w:name w:val="Comment Text Char"/>
    <w:basedOn w:val="DefaultParagraphFont"/>
    <w:link w:val="CommentText"/>
    <w:uiPriority w:val="99"/>
    <w:semiHidden/>
    <w:rsid w:val="00415E73"/>
    <w:rPr>
      <w:sz w:val="20"/>
      <w:szCs w:val="20"/>
      <w:lang w:val="en-GB"/>
    </w:rPr>
  </w:style>
  <w:style w:type="paragraph" w:styleId="CommentSubject">
    <w:name w:val="annotation subject"/>
    <w:basedOn w:val="CommentText"/>
    <w:next w:val="CommentText"/>
    <w:link w:val="CommentSubjectChar"/>
    <w:uiPriority w:val="99"/>
    <w:semiHidden/>
    <w:unhideWhenUsed/>
    <w:rsid w:val="00415E73"/>
    <w:rPr>
      <w:b/>
      <w:bCs/>
    </w:rPr>
  </w:style>
  <w:style w:type="character" w:customStyle="1" w:styleId="CommentSubjectChar">
    <w:name w:val="Comment Subject Char"/>
    <w:basedOn w:val="CommentTextChar"/>
    <w:link w:val="CommentSubject"/>
    <w:uiPriority w:val="99"/>
    <w:semiHidden/>
    <w:rsid w:val="00415E73"/>
    <w:rPr>
      <w:b/>
      <w:bCs/>
      <w:sz w:val="20"/>
      <w:szCs w:val="20"/>
      <w:lang w:val="en-GB"/>
    </w:rPr>
  </w:style>
  <w:style w:type="character" w:styleId="Hyperlink">
    <w:name w:val="Hyperlink"/>
    <w:basedOn w:val="DefaultParagraphFont"/>
    <w:uiPriority w:val="99"/>
    <w:unhideWhenUsed/>
    <w:rsid w:val="00627A82"/>
    <w:rPr>
      <w:color w:val="0000FF" w:themeColor="hyperlink"/>
      <w:u w:val="single"/>
    </w:rPr>
  </w:style>
  <w:style w:type="character" w:styleId="Emphasis">
    <w:name w:val="Emphasis"/>
    <w:basedOn w:val="DefaultParagraphFont"/>
    <w:uiPriority w:val="20"/>
    <w:qFormat/>
    <w:rsid w:val="006E7EBB"/>
    <w:rPr>
      <w:i/>
      <w:iCs/>
    </w:rPr>
  </w:style>
  <w:style w:type="table" w:styleId="TableSimple1">
    <w:name w:val="Table Simple 1"/>
    <w:basedOn w:val="TableNormal"/>
    <w:uiPriority w:val="99"/>
    <w:rsid w:val="0044271C"/>
    <w:pPr>
      <w:spacing w:after="0" w:line="240" w:lineRule="auto"/>
    </w:pPr>
    <w:rPr>
      <w:rFonts w:eastAsia="Times New Roman"/>
      <w:sz w:val="20"/>
      <w:szCs w:val="20"/>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AC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F26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4108EA"/>
    <w:rPr>
      <w:color w:val="800080" w:themeColor="followedHyperlink"/>
      <w:u w:val="single"/>
    </w:rPr>
  </w:style>
  <w:style w:type="paragraph" w:styleId="Revision">
    <w:name w:val="Revision"/>
    <w:hidden/>
    <w:uiPriority w:val="99"/>
    <w:semiHidden/>
    <w:rsid w:val="00EB7771"/>
    <w:pPr>
      <w:spacing w:after="0" w:line="240" w:lineRule="auto"/>
    </w:pPr>
    <w:rPr>
      <w:lang w:val="en-GB"/>
    </w:rPr>
  </w:style>
  <w:style w:type="paragraph" w:styleId="EndnoteText">
    <w:name w:val="endnote text"/>
    <w:basedOn w:val="Normal"/>
    <w:link w:val="EndnoteTextChar"/>
    <w:uiPriority w:val="99"/>
    <w:semiHidden/>
    <w:unhideWhenUsed/>
    <w:rsid w:val="00EF04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0494"/>
    <w:rPr>
      <w:sz w:val="20"/>
      <w:szCs w:val="20"/>
      <w:lang w:val="en-GB"/>
    </w:rPr>
  </w:style>
  <w:style w:type="character" w:styleId="EndnoteReference">
    <w:name w:val="endnote reference"/>
    <w:basedOn w:val="DefaultParagraphFont"/>
    <w:uiPriority w:val="99"/>
    <w:semiHidden/>
    <w:unhideWhenUsed/>
    <w:rsid w:val="00EF0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7777">
      <w:bodyDiv w:val="1"/>
      <w:marLeft w:val="0"/>
      <w:marRight w:val="0"/>
      <w:marTop w:val="0"/>
      <w:marBottom w:val="0"/>
      <w:divBdr>
        <w:top w:val="none" w:sz="0" w:space="0" w:color="auto"/>
        <w:left w:val="none" w:sz="0" w:space="0" w:color="auto"/>
        <w:bottom w:val="none" w:sz="0" w:space="0" w:color="auto"/>
        <w:right w:val="none" w:sz="0" w:space="0" w:color="auto"/>
      </w:divBdr>
    </w:div>
    <w:div w:id="162354625">
      <w:bodyDiv w:val="1"/>
      <w:marLeft w:val="0"/>
      <w:marRight w:val="0"/>
      <w:marTop w:val="0"/>
      <w:marBottom w:val="0"/>
      <w:divBdr>
        <w:top w:val="none" w:sz="0" w:space="0" w:color="auto"/>
        <w:left w:val="none" w:sz="0" w:space="0" w:color="auto"/>
        <w:bottom w:val="none" w:sz="0" w:space="0" w:color="auto"/>
        <w:right w:val="none" w:sz="0" w:space="0" w:color="auto"/>
      </w:divBdr>
    </w:div>
    <w:div w:id="206259026">
      <w:bodyDiv w:val="1"/>
      <w:marLeft w:val="0"/>
      <w:marRight w:val="0"/>
      <w:marTop w:val="0"/>
      <w:marBottom w:val="0"/>
      <w:divBdr>
        <w:top w:val="none" w:sz="0" w:space="0" w:color="auto"/>
        <w:left w:val="none" w:sz="0" w:space="0" w:color="auto"/>
        <w:bottom w:val="none" w:sz="0" w:space="0" w:color="auto"/>
        <w:right w:val="none" w:sz="0" w:space="0" w:color="auto"/>
      </w:divBdr>
      <w:divsChild>
        <w:div w:id="1894272313">
          <w:marLeft w:val="0"/>
          <w:marRight w:val="0"/>
          <w:marTop w:val="0"/>
          <w:marBottom w:val="0"/>
          <w:divBdr>
            <w:top w:val="none" w:sz="0" w:space="0" w:color="auto"/>
            <w:left w:val="none" w:sz="0" w:space="0" w:color="auto"/>
            <w:bottom w:val="none" w:sz="0" w:space="0" w:color="auto"/>
            <w:right w:val="none" w:sz="0" w:space="0" w:color="auto"/>
          </w:divBdr>
        </w:div>
        <w:div w:id="263920992">
          <w:marLeft w:val="0"/>
          <w:marRight w:val="0"/>
          <w:marTop w:val="0"/>
          <w:marBottom w:val="0"/>
          <w:divBdr>
            <w:top w:val="none" w:sz="0" w:space="0" w:color="auto"/>
            <w:left w:val="none" w:sz="0" w:space="0" w:color="auto"/>
            <w:bottom w:val="none" w:sz="0" w:space="0" w:color="auto"/>
            <w:right w:val="none" w:sz="0" w:space="0" w:color="auto"/>
          </w:divBdr>
        </w:div>
        <w:div w:id="2002612676">
          <w:marLeft w:val="0"/>
          <w:marRight w:val="0"/>
          <w:marTop w:val="0"/>
          <w:marBottom w:val="0"/>
          <w:divBdr>
            <w:top w:val="none" w:sz="0" w:space="0" w:color="auto"/>
            <w:left w:val="none" w:sz="0" w:space="0" w:color="auto"/>
            <w:bottom w:val="none" w:sz="0" w:space="0" w:color="auto"/>
            <w:right w:val="none" w:sz="0" w:space="0" w:color="auto"/>
          </w:divBdr>
        </w:div>
        <w:div w:id="283732291">
          <w:marLeft w:val="0"/>
          <w:marRight w:val="0"/>
          <w:marTop w:val="0"/>
          <w:marBottom w:val="0"/>
          <w:divBdr>
            <w:top w:val="none" w:sz="0" w:space="0" w:color="auto"/>
            <w:left w:val="none" w:sz="0" w:space="0" w:color="auto"/>
            <w:bottom w:val="none" w:sz="0" w:space="0" w:color="auto"/>
            <w:right w:val="none" w:sz="0" w:space="0" w:color="auto"/>
          </w:divBdr>
        </w:div>
        <w:div w:id="1294604284">
          <w:marLeft w:val="0"/>
          <w:marRight w:val="0"/>
          <w:marTop w:val="0"/>
          <w:marBottom w:val="0"/>
          <w:divBdr>
            <w:top w:val="none" w:sz="0" w:space="0" w:color="auto"/>
            <w:left w:val="none" w:sz="0" w:space="0" w:color="auto"/>
            <w:bottom w:val="none" w:sz="0" w:space="0" w:color="auto"/>
            <w:right w:val="none" w:sz="0" w:space="0" w:color="auto"/>
          </w:divBdr>
        </w:div>
        <w:div w:id="793404914">
          <w:marLeft w:val="0"/>
          <w:marRight w:val="0"/>
          <w:marTop w:val="0"/>
          <w:marBottom w:val="0"/>
          <w:divBdr>
            <w:top w:val="none" w:sz="0" w:space="0" w:color="auto"/>
            <w:left w:val="none" w:sz="0" w:space="0" w:color="auto"/>
            <w:bottom w:val="none" w:sz="0" w:space="0" w:color="auto"/>
            <w:right w:val="none" w:sz="0" w:space="0" w:color="auto"/>
          </w:divBdr>
        </w:div>
      </w:divsChild>
    </w:div>
    <w:div w:id="292060885">
      <w:bodyDiv w:val="1"/>
      <w:marLeft w:val="0"/>
      <w:marRight w:val="0"/>
      <w:marTop w:val="0"/>
      <w:marBottom w:val="0"/>
      <w:divBdr>
        <w:top w:val="none" w:sz="0" w:space="0" w:color="auto"/>
        <w:left w:val="none" w:sz="0" w:space="0" w:color="auto"/>
        <w:bottom w:val="none" w:sz="0" w:space="0" w:color="auto"/>
        <w:right w:val="none" w:sz="0" w:space="0" w:color="auto"/>
      </w:divBdr>
    </w:div>
    <w:div w:id="346638851">
      <w:bodyDiv w:val="1"/>
      <w:marLeft w:val="0"/>
      <w:marRight w:val="0"/>
      <w:marTop w:val="0"/>
      <w:marBottom w:val="0"/>
      <w:divBdr>
        <w:top w:val="none" w:sz="0" w:space="0" w:color="auto"/>
        <w:left w:val="none" w:sz="0" w:space="0" w:color="auto"/>
        <w:bottom w:val="none" w:sz="0" w:space="0" w:color="auto"/>
        <w:right w:val="none" w:sz="0" w:space="0" w:color="auto"/>
      </w:divBdr>
    </w:div>
    <w:div w:id="781606806">
      <w:bodyDiv w:val="1"/>
      <w:marLeft w:val="0"/>
      <w:marRight w:val="0"/>
      <w:marTop w:val="0"/>
      <w:marBottom w:val="0"/>
      <w:divBdr>
        <w:top w:val="none" w:sz="0" w:space="0" w:color="auto"/>
        <w:left w:val="none" w:sz="0" w:space="0" w:color="auto"/>
        <w:bottom w:val="none" w:sz="0" w:space="0" w:color="auto"/>
        <w:right w:val="none" w:sz="0" w:space="0" w:color="auto"/>
      </w:divBdr>
    </w:div>
    <w:div w:id="825392533">
      <w:bodyDiv w:val="1"/>
      <w:marLeft w:val="0"/>
      <w:marRight w:val="0"/>
      <w:marTop w:val="0"/>
      <w:marBottom w:val="0"/>
      <w:divBdr>
        <w:top w:val="none" w:sz="0" w:space="0" w:color="auto"/>
        <w:left w:val="none" w:sz="0" w:space="0" w:color="auto"/>
        <w:bottom w:val="none" w:sz="0" w:space="0" w:color="auto"/>
        <w:right w:val="none" w:sz="0" w:space="0" w:color="auto"/>
      </w:divBdr>
      <w:divsChild>
        <w:div w:id="682249222">
          <w:marLeft w:val="0"/>
          <w:marRight w:val="0"/>
          <w:marTop w:val="0"/>
          <w:marBottom w:val="0"/>
          <w:divBdr>
            <w:top w:val="none" w:sz="0" w:space="0" w:color="auto"/>
            <w:left w:val="none" w:sz="0" w:space="0" w:color="auto"/>
            <w:bottom w:val="none" w:sz="0" w:space="0" w:color="auto"/>
            <w:right w:val="none" w:sz="0" w:space="0" w:color="auto"/>
          </w:divBdr>
          <w:divsChild>
            <w:div w:id="2086800821">
              <w:marLeft w:val="0"/>
              <w:marRight w:val="0"/>
              <w:marTop w:val="0"/>
              <w:marBottom w:val="0"/>
              <w:divBdr>
                <w:top w:val="none" w:sz="0" w:space="0" w:color="auto"/>
                <w:left w:val="none" w:sz="0" w:space="0" w:color="auto"/>
                <w:bottom w:val="none" w:sz="0" w:space="0" w:color="auto"/>
                <w:right w:val="none" w:sz="0" w:space="0" w:color="auto"/>
              </w:divBdr>
            </w:div>
            <w:div w:id="1896894067">
              <w:marLeft w:val="0"/>
              <w:marRight w:val="0"/>
              <w:marTop w:val="0"/>
              <w:marBottom w:val="0"/>
              <w:divBdr>
                <w:top w:val="none" w:sz="0" w:space="0" w:color="auto"/>
                <w:left w:val="none" w:sz="0" w:space="0" w:color="auto"/>
                <w:bottom w:val="none" w:sz="0" w:space="0" w:color="auto"/>
                <w:right w:val="none" w:sz="0" w:space="0" w:color="auto"/>
              </w:divBdr>
            </w:div>
            <w:div w:id="981038606">
              <w:marLeft w:val="0"/>
              <w:marRight w:val="0"/>
              <w:marTop w:val="0"/>
              <w:marBottom w:val="0"/>
              <w:divBdr>
                <w:top w:val="none" w:sz="0" w:space="0" w:color="auto"/>
                <w:left w:val="none" w:sz="0" w:space="0" w:color="auto"/>
                <w:bottom w:val="none" w:sz="0" w:space="0" w:color="auto"/>
                <w:right w:val="none" w:sz="0" w:space="0" w:color="auto"/>
              </w:divBdr>
            </w:div>
            <w:div w:id="596717420">
              <w:marLeft w:val="0"/>
              <w:marRight w:val="0"/>
              <w:marTop w:val="0"/>
              <w:marBottom w:val="0"/>
              <w:divBdr>
                <w:top w:val="none" w:sz="0" w:space="0" w:color="auto"/>
                <w:left w:val="none" w:sz="0" w:space="0" w:color="auto"/>
                <w:bottom w:val="none" w:sz="0" w:space="0" w:color="auto"/>
                <w:right w:val="none" w:sz="0" w:space="0" w:color="auto"/>
              </w:divBdr>
            </w:div>
            <w:div w:id="1507789336">
              <w:marLeft w:val="0"/>
              <w:marRight w:val="0"/>
              <w:marTop w:val="0"/>
              <w:marBottom w:val="0"/>
              <w:divBdr>
                <w:top w:val="none" w:sz="0" w:space="0" w:color="auto"/>
                <w:left w:val="none" w:sz="0" w:space="0" w:color="auto"/>
                <w:bottom w:val="none" w:sz="0" w:space="0" w:color="auto"/>
                <w:right w:val="none" w:sz="0" w:space="0" w:color="auto"/>
              </w:divBdr>
            </w:div>
            <w:div w:id="1047533302">
              <w:marLeft w:val="0"/>
              <w:marRight w:val="0"/>
              <w:marTop w:val="0"/>
              <w:marBottom w:val="0"/>
              <w:divBdr>
                <w:top w:val="none" w:sz="0" w:space="0" w:color="auto"/>
                <w:left w:val="none" w:sz="0" w:space="0" w:color="auto"/>
                <w:bottom w:val="none" w:sz="0" w:space="0" w:color="auto"/>
                <w:right w:val="none" w:sz="0" w:space="0" w:color="auto"/>
              </w:divBdr>
            </w:div>
            <w:div w:id="2033804086">
              <w:marLeft w:val="0"/>
              <w:marRight w:val="0"/>
              <w:marTop w:val="0"/>
              <w:marBottom w:val="0"/>
              <w:divBdr>
                <w:top w:val="none" w:sz="0" w:space="0" w:color="auto"/>
                <w:left w:val="none" w:sz="0" w:space="0" w:color="auto"/>
                <w:bottom w:val="none" w:sz="0" w:space="0" w:color="auto"/>
                <w:right w:val="none" w:sz="0" w:space="0" w:color="auto"/>
              </w:divBdr>
            </w:div>
            <w:div w:id="675575515">
              <w:marLeft w:val="0"/>
              <w:marRight w:val="0"/>
              <w:marTop w:val="0"/>
              <w:marBottom w:val="0"/>
              <w:divBdr>
                <w:top w:val="none" w:sz="0" w:space="0" w:color="auto"/>
                <w:left w:val="none" w:sz="0" w:space="0" w:color="auto"/>
                <w:bottom w:val="none" w:sz="0" w:space="0" w:color="auto"/>
                <w:right w:val="none" w:sz="0" w:space="0" w:color="auto"/>
              </w:divBdr>
            </w:div>
            <w:div w:id="1358501052">
              <w:marLeft w:val="0"/>
              <w:marRight w:val="0"/>
              <w:marTop w:val="0"/>
              <w:marBottom w:val="0"/>
              <w:divBdr>
                <w:top w:val="none" w:sz="0" w:space="0" w:color="auto"/>
                <w:left w:val="none" w:sz="0" w:space="0" w:color="auto"/>
                <w:bottom w:val="none" w:sz="0" w:space="0" w:color="auto"/>
                <w:right w:val="none" w:sz="0" w:space="0" w:color="auto"/>
              </w:divBdr>
            </w:div>
            <w:div w:id="243032738">
              <w:marLeft w:val="0"/>
              <w:marRight w:val="0"/>
              <w:marTop w:val="0"/>
              <w:marBottom w:val="0"/>
              <w:divBdr>
                <w:top w:val="none" w:sz="0" w:space="0" w:color="auto"/>
                <w:left w:val="none" w:sz="0" w:space="0" w:color="auto"/>
                <w:bottom w:val="none" w:sz="0" w:space="0" w:color="auto"/>
                <w:right w:val="none" w:sz="0" w:space="0" w:color="auto"/>
              </w:divBdr>
            </w:div>
            <w:div w:id="400906444">
              <w:marLeft w:val="0"/>
              <w:marRight w:val="0"/>
              <w:marTop w:val="0"/>
              <w:marBottom w:val="0"/>
              <w:divBdr>
                <w:top w:val="none" w:sz="0" w:space="0" w:color="auto"/>
                <w:left w:val="none" w:sz="0" w:space="0" w:color="auto"/>
                <w:bottom w:val="none" w:sz="0" w:space="0" w:color="auto"/>
                <w:right w:val="none" w:sz="0" w:space="0" w:color="auto"/>
              </w:divBdr>
            </w:div>
            <w:div w:id="923100827">
              <w:marLeft w:val="0"/>
              <w:marRight w:val="0"/>
              <w:marTop w:val="0"/>
              <w:marBottom w:val="0"/>
              <w:divBdr>
                <w:top w:val="none" w:sz="0" w:space="0" w:color="auto"/>
                <w:left w:val="none" w:sz="0" w:space="0" w:color="auto"/>
                <w:bottom w:val="none" w:sz="0" w:space="0" w:color="auto"/>
                <w:right w:val="none" w:sz="0" w:space="0" w:color="auto"/>
              </w:divBdr>
            </w:div>
            <w:div w:id="1978493069">
              <w:marLeft w:val="0"/>
              <w:marRight w:val="0"/>
              <w:marTop w:val="0"/>
              <w:marBottom w:val="0"/>
              <w:divBdr>
                <w:top w:val="none" w:sz="0" w:space="0" w:color="auto"/>
                <w:left w:val="none" w:sz="0" w:space="0" w:color="auto"/>
                <w:bottom w:val="none" w:sz="0" w:space="0" w:color="auto"/>
                <w:right w:val="none" w:sz="0" w:space="0" w:color="auto"/>
              </w:divBdr>
            </w:div>
            <w:div w:id="280648965">
              <w:marLeft w:val="0"/>
              <w:marRight w:val="0"/>
              <w:marTop w:val="0"/>
              <w:marBottom w:val="0"/>
              <w:divBdr>
                <w:top w:val="none" w:sz="0" w:space="0" w:color="auto"/>
                <w:left w:val="none" w:sz="0" w:space="0" w:color="auto"/>
                <w:bottom w:val="none" w:sz="0" w:space="0" w:color="auto"/>
                <w:right w:val="none" w:sz="0" w:space="0" w:color="auto"/>
              </w:divBdr>
            </w:div>
            <w:div w:id="963389624">
              <w:marLeft w:val="0"/>
              <w:marRight w:val="0"/>
              <w:marTop w:val="0"/>
              <w:marBottom w:val="0"/>
              <w:divBdr>
                <w:top w:val="none" w:sz="0" w:space="0" w:color="auto"/>
                <w:left w:val="none" w:sz="0" w:space="0" w:color="auto"/>
                <w:bottom w:val="none" w:sz="0" w:space="0" w:color="auto"/>
                <w:right w:val="none" w:sz="0" w:space="0" w:color="auto"/>
              </w:divBdr>
            </w:div>
            <w:div w:id="715355371">
              <w:marLeft w:val="0"/>
              <w:marRight w:val="0"/>
              <w:marTop w:val="0"/>
              <w:marBottom w:val="0"/>
              <w:divBdr>
                <w:top w:val="none" w:sz="0" w:space="0" w:color="auto"/>
                <w:left w:val="none" w:sz="0" w:space="0" w:color="auto"/>
                <w:bottom w:val="none" w:sz="0" w:space="0" w:color="auto"/>
                <w:right w:val="none" w:sz="0" w:space="0" w:color="auto"/>
              </w:divBdr>
            </w:div>
            <w:div w:id="329912350">
              <w:marLeft w:val="0"/>
              <w:marRight w:val="0"/>
              <w:marTop w:val="0"/>
              <w:marBottom w:val="0"/>
              <w:divBdr>
                <w:top w:val="none" w:sz="0" w:space="0" w:color="auto"/>
                <w:left w:val="none" w:sz="0" w:space="0" w:color="auto"/>
                <w:bottom w:val="none" w:sz="0" w:space="0" w:color="auto"/>
                <w:right w:val="none" w:sz="0" w:space="0" w:color="auto"/>
              </w:divBdr>
            </w:div>
            <w:div w:id="1390421122">
              <w:marLeft w:val="0"/>
              <w:marRight w:val="0"/>
              <w:marTop w:val="0"/>
              <w:marBottom w:val="0"/>
              <w:divBdr>
                <w:top w:val="none" w:sz="0" w:space="0" w:color="auto"/>
                <w:left w:val="none" w:sz="0" w:space="0" w:color="auto"/>
                <w:bottom w:val="none" w:sz="0" w:space="0" w:color="auto"/>
                <w:right w:val="none" w:sz="0" w:space="0" w:color="auto"/>
              </w:divBdr>
            </w:div>
            <w:div w:id="464080602">
              <w:marLeft w:val="0"/>
              <w:marRight w:val="0"/>
              <w:marTop w:val="0"/>
              <w:marBottom w:val="0"/>
              <w:divBdr>
                <w:top w:val="none" w:sz="0" w:space="0" w:color="auto"/>
                <w:left w:val="none" w:sz="0" w:space="0" w:color="auto"/>
                <w:bottom w:val="none" w:sz="0" w:space="0" w:color="auto"/>
                <w:right w:val="none" w:sz="0" w:space="0" w:color="auto"/>
              </w:divBdr>
            </w:div>
            <w:div w:id="396167185">
              <w:marLeft w:val="0"/>
              <w:marRight w:val="0"/>
              <w:marTop w:val="0"/>
              <w:marBottom w:val="0"/>
              <w:divBdr>
                <w:top w:val="none" w:sz="0" w:space="0" w:color="auto"/>
                <w:left w:val="none" w:sz="0" w:space="0" w:color="auto"/>
                <w:bottom w:val="none" w:sz="0" w:space="0" w:color="auto"/>
                <w:right w:val="none" w:sz="0" w:space="0" w:color="auto"/>
              </w:divBdr>
            </w:div>
            <w:div w:id="19358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667">
      <w:bodyDiv w:val="1"/>
      <w:marLeft w:val="0"/>
      <w:marRight w:val="0"/>
      <w:marTop w:val="0"/>
      <w:marBottom w:val="0"/>
      <w:divBdr>
        <w:top w:val="none" w:sz="0" w:space="0" w:color="auto"/>
        <w:left w:val="none" w:sz="0" w:space="0" w:color="auto"/>
        <w:bottom w:val="none" w:sz="0" w:space="0" w:color="auto"/>
        <w:right w:val="none" w:sz="0" w:space="0" w:color="auto"/>
      </w:divBdr>
    </w:div>
    <w:div w:id="984431253">
      <w:bodyDiv w:val="1"/>
      <w:marLeft w:val="0"/>
      <w:marRight w:val="0"/>
      <w:marTop w:val="0"/>
      <w:marBottom w:val="0"/>
      <w:divBdr>
        <w:top w:val="none" w:sz="0" w:space="0" w:color="auto"/>
        <w:left w:val="none" w:sz="0" w:space="0" w:color="auto"/>
        <w:bottom w:val="none" w:sz="0" w:space="0" w:color="auto"/>
        <w:right w:val="none" w:sz="0" w:space="0" w:color="auto"/>
      </w:divBdr>
    </w:div>
    <w:div w:id="996230303">
      <w:bodyDiv w:val="1"/>
      <w:marLeft w:val="0"/>
      <w:marRight w:val="0"/>
      <w:marTop w:val="0"/>
      <w:marBottom w:val="0"/>
      <w:divBdr>
        <w:top w:val="none" w:sz="0" w:space="0" w:color="auto"/>
        <w:left w:val="none" w:sz="0" w:space="0" w:color="auto"/>
        <w:bottom w:val="none" w:sz="0" w:space="0" w:color="auto"/>
        <w:right w:val="none" w:sz="0" w:space="0" w:color="auto"/>
      </w:divBdr>
    </w:div>
    <w:div w:id="1007101191">
      <w:bodyDiv w:val="1"/>
      <w:marLeft w:val="0"/>
      <w:marRight w:val="0"/>
      <w:marTop w:val="0"/>
      <w:marBottom w:val="0"/>
      <w:divBdr>
        <w:top w:val="none" w:sz="0" w:space="0" w:color="auto"/>
        <w:left w:val="none" w:sz="0" w:space="0" w:color="auto"/>
        <w:bottom w:val="none" w:sz="0" w:space="0" w:color="auto"/>
        <w:right w:val="none" w:sz="0" w:space="0" w:color="auto"/>
      </w:divBdr>
    </w:div>
    <w:div w:id="1039665819">
      <w:bodyDiv w:val="1"/>
      <w:marLeft w:val="0"/>
      <w:marRight w:val="0"/>
      <w:marTop w:val="0"/>
      <w:marBottom w:val="0"/>
      <w:divBdr>
        <w:top w:val="none" w:sz="0" w:space="0" w:color="auto"/>
        <w:left w:val="none" w:sz="0" w:space="0" w:color="auto"/>
        <w:bottom w:val="none" w:sz="0" w:space="0" w:color="auto"/>
        <w:right w:val="none" w:sz="0" w:space="0" w:color="auto"/>
      </w:divBdr>
    </w:div>
    <w:div w:id="1050347771">
      <w:bodyDiv w:val="1"/>
      <w:marLeft w:val="0"/>
      <w:marRight w:val="0"/>
      <w:marTop w:val="0"/>
      <w:marBottom w:val="0"/>
      <w:divBdr>
        <w:top w:val="none" w:sz="0" w:space="0" w:color="auto"/>
        <w:left w:val="none" w:sz="0" w:space="0" w:color="auto"/>
        <w:bottom w:val="none" w:sz="0" w:space="0" w:color="auto"/>
        <w:right w:val="none" w:sz="0" w:space="0" w:color="auto"/>
      </w:divBdr>
    </w:div>
    <w:div w:id="1067916749">
      <w:bodyDiv w:val="1"/>
      <w:marLeft w:val="0"/>
      <w:marRight w:val="0"/>
      <w:marTop w:val="0"/>
      <w:marBottom w:val="0"/>
      <w:divBdr>
        <w:top w:val="none" w:sz="0" w:space="0" w:color="auto"/>
        <w:left w:val="none" w:sz="0" w:space="0" w:color="auto"/>
        <w:bottom w:val="none" w:sz="0" w:space="0" w:color="auto"/>
        <w:right w:val="none" w:sz="0" w:space="0" w:color="auto"/>
      </w:divBdr>
    </w:div>
    <w:div w:id="1179346927">
      <w:bodyDiv w:val="1"/>
      <w:marLeft w:val="0"/>
      <w:marRight w:val="0"/>
      <w:marTop w:val="0"/>
      <w:marBottom w:val="0"/>
      <w:divBdr>
        <w:top w:val="none" w:sz="0" w:space="0" w:color="auto"/>
        <w:left w:val="none" w:sz="0" w:space="0" w:color="auto"/>
        <w:bottom w:val="none" w:sz="0" w:space="0" w:color="auto"/>
        <w:right w:val="none" w:sz="0" w:space="0" w:color="auto"/>
      </w:divBdr>
    </w:div>
    <w:div w:id="1244753990">
      <w:bodyDiv w:val="1"/>
      <w:marLeft w:val="0"/>
      <w:marRight w:val="0"/>
      <w:marTop w:val="0"/>
      <w:marBottom w:val="0"/>
      <w:divBdr>
        <w:top w:val="none" w:sz="0" w:space="0" w:color="auto"/>
        <w:left w:val="none" w:sz="0" w:space="0" w:color="auto"/>
        <w:bottom w:val="none" w:sz="0" w:space="0" w:color="auto"/>
        <w:right w:val="none" w:sz="0" w:space="0" w:color="auto"/>
      </w:divBdr>
    </w:div>
    <w:div w:id="1430463781">
      <w:bodyDiv w:val="1"/>
      <w:marLeft w:val="0"/>
      <w:marRight w:val="0"/>
      <w:marTop w:val="0"/>
      <w:marBottom w:val="0"/>
      <w:divBdr>
        <w:top w:val="none" w:sz="0" w:space="0" w:color="auto"/>
        <w:left w:val="none" w:sz="0" w:space="0" w:color="auto"/>
        <w:bottom w:val="none" w:sz="0" w:space="0" w:color="auto"/>
        <w:right w:val="none" w:sz="0" w:space="0" w:color="auto"/>
      </w:divBdr>
    </w:div>
    <w:div w:id="1509514259">
      <w:bodyDiv w:val="1"/>
      <w:marLeft w:val="0"/>
      <w:marRight w:val="0"/>
      <w:marTop w:val="0"/>
      <w:marBottom w:val="0"/>
      <w:divBdr>
        <w:top w:val="none" w:sz="0" w:space="0" w:color="auto"/>
        <w:left w:val="none" w:sz="0" w:space="0" w:color="auto"/>
        <w:bottom w:val="none" w:sz="0" w:space="0" w:color="auto"/>
        <w:right w:val="none" w:sz="0" w:space="0" w:color="auto"/>
      </w:divBdr>
    </w:div>
    <w:div w:id="1596861989">
      <w:bodyDiv w:val="1"/>
      <w:marLeft w:val="0"/>
      <w:marRight w:val="0"/>
      <w:marTop w:val="0"/>
      <w:marBottom w:val="0"/>
      <w:divBdr>
        <w:top w:val="none" w:sz="0" w:space="0" w:color="auto"/>
        <w:left w:val="none" w:sz="0" w:space="0" w:color="auto"/>
        <w:bottom w:val="none" w:sz="0" w:space="0" w:color="auto"/>
        <w:right w:val="none" w:sz="0" w:space="0" w:color="auto"/>
      </w:divBdr>
    </w:div>
    <w:div w:id="1778451713">
      <w:bodyDiv w:val="1"/>
      <w:marLeft w:val="0"/>
      <w:marRight w:val="0"/>
      <w:marTop w:val="0"/>
      <w:marBottom w:val="0"/>
      <w:divBdr>
        <w:top w:val="none" w:sz="0" w:space="0" w:color="auto"/>
        <w:left w:val="none" w:sz="0" w:space="0" w:color="auto"/>
        <w:bottom w:val="none" w:sz="0" w:space="0" w:color="auto"/>
        <w:right w:val="none" w:sz="0" w:space="0" w:color="auto"/>
      </w:divBdr>
    </w:div>
    <w:div w:id="1918973805">
      <w:bodyDiv w:val="1"/>
      <w:marLeft w:val="0"/>
      <w:marRight w:val="0"/>
      <w:marTop w:val="0"/>
      <w:marBottom w:val="0"/>
      <w:divBdr>
        <w:top w:val="none" w:sz="0" w:space="0" w:color="auto"/>
        <w:left w:val="none" w:sz="0" w:space="0" w:color="auto"/>
        <w:bottom w:val="none" w:sz="0" w:space="0" w:color="auto"/>
        <w:right w:val="none" w:sz="0" w:space="0" w:color="auto"/>
      </w:divBdr>
      <w:divsChild>
        <w:div w:id="213008218">
          <w:marLeft w:val="0"/>
          <w:marRight w:val="0"/>
          <w:marTop w:val="0"/>
          <w:marBottom w:val="0"/>
          <w:divBdr>
            <w:top w:val="none" w:sz="0" w:space="0" w:color="auto"/>
            <w:left w:val="none" w:sz="0" w:space="0" w:color="auto"/>
            <w:bottom w:val="none" w:sz="0" w:space="0" w:color="auto"/>
            <w:right w:val="none" w:sz="0" w:space="0" w:color="auto"/>
          </w:divBdr>
        </w:div>
      </w:divsChild>
    </w:div>
    <w:div w:id="1930040042">
      <w:bodyDiv w:val="1"/>
      <w:marLeft w:val="0"/>
      <w:marRight w:val="0"/>
      <w:marTop w:val="0"/>
      <w:marBottom w:val="0"/>
      <w:divBdr>
        <w:top w:val="none" w:sz="0" w:space="0" w:color="auto"/>
        <w:left w:val="none" w:sz="0" w:space="0" w:color="auto"/>
        <w:bottom w:val="none" w:sz="0" w:space="0" w:color="auto"/>
        <w:right w:val="none" w:sz="0" w:space="0" w:color="auto"/>
      </w:divBdr>
    </w:div>
    <w:div w:id="1992177279">
      <w:bodyDiv w:val="1"/>
      <w:marLeft w:val="0"/>
      <w:marRight w:val="0"/>
      <w:marTop w:val="0"/>
      <w:marBottom w:val="0"/>
      <w:divBdr>
        <w:top w:val="none" w:sz="0" w:space="0" w:color="auto"/>
        <w:left w:val="none" w:sz="0" w:space="0" w:color="auto"/>
        <w:bottom w:val="none" w:sz="0" w:space="0" w:color="auto"/>
        <w:right w:val="none" w:sz="0" w:space="0" w:color="auto"/>
      </w:divBdr>
    </w:div>
    <w:div w:id="20100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DetailsPage/3412.02014-15?OpenDocument"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michael.kortt@scu.edu.au"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c.net.au/news/2017-03-23/jewish-leaders-thought-it-was-a-sin-to-report-child-abuse/8380574" TargetMode="External"/><Relationship Id="rId4" Type="http://schemas.openxmlformats.org/officeDocument/2006/relationships/webSettings" Target="webSettings.xml"/><Relationship Id="rId9" Type="http://schemas.openxmlformats.org/officeDocument/2006/relationships/hyperlink" Target="http://www.abs.gov.au/ausstats/abs@.nsf/Lookup/by%20Subject/2071.0~2016~Main%20Features~Religion%20Data%20Summary~7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2A10-2799-4D5B-A631-41EFA8D4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6932</Words>
  <Characters>39514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Drew</dc:creator>
  <cp:lastModifiedBy>Michael Kortt</cp:lastModifiedBy>
  <cp:revision>13</cp:revision>
  <cp:lastPrinted>2018-07-01T22:04:00Z</cp:lastPrinted>
  <dcterms:created xsi:type="dcterms:W3CDTF">2018-07-01T23:53:00Z</dcterms:created>
  <dcterms:modified xsi:type="dcterms:W3CDTF">2018-07-02T07:56:00Z</dcterms:modified>
</cp:coreProperties>
</file>