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059F" w14:textId="77777777" w:rsidR="00B90D32" w:rsidRDefault="00B90D32" w:rsidP="00BE7F4F">
      <w:pPr>
        <w:spacing w:after="0" w:line="480" w:lineRule="auto"/>
        <w:jc w:val="center"/>
        <w:rPr>
          <w:rFonts w:cs="Times New Roman"/>
          <w:b/>
          <w:bCs/>
          <w:szCs w:val="24"/>
        </w:rPr>
      </w:pPr>
      <w:r w:rsidRPr="005F51AB">
        <w:rPr>
          <w:rFonts w:cs="Times New Roman"/>
          <w:b/>
          <w:bCs/>
          <w:szCs w:val="24"/>
        </w:rPr>
        <w:t>AD</w:t>
      </w:r>
      <w:bookmarkStart w:id="0" w:name="_GoBack"/>
      <w:bookmarkEnd w:id="0"/>
      <w:r w:rsidRPr="005F51AB">
        <w:rPr>
          <w:rFonts w:cs="Times New Roman"/>
          <w:b/>
          <w:bCs/>
          <w:szCs w:val="24"/>
        </w:rPr>
        <w:t>MINISTERING FAITH: DOES THE RELIGIOUS INSTITUTION ADMINISTERING A SCHOOL INFLUENCE EDUCATIONAL ACHIEVEMENT?</w:t>
      </w:r>
    </w:p>
    <w:p w14:paraId="69D86E6A" w14:textId="77777777" w:rsidR="00B90D32" w:rsidRDefault="00B90D32" w:rsidP="00BE7F4F">
      <w:pPr>
        <w:spacing w:after="0" w:line="480" w:lineRule="auto"/>
        <w:rPr>
          <w:rFonts w:cs="Times New Roman"/>
          <w:szCs w:val="24"/>
        </w:rPr>
      </w:pPr>
    </w:p>
    <w:p w14:paraId="2F10C78E" w14:textId="77777777" w:rsidR="00B90D32" w:rsidRPr="003D5351" w:rsidRDefault="00B90D32" w:rsidP="00F81102">
      <w:pPr>
        <w:spacing w:after="0" w:line="480" w:lineRule="auto"/>
        <w:rPr>
          <w:rFonts w:cs="Times New Roman"/>
          <w:b/>
          <w:szCs w:val="24"/>
        </w:rPr>
      </w:pPr>
      <w:r w:rsidRPr="003D5351">
        <w:rPr>
          <w:rFonts w:cs="Times New Roman"/>
          <w:b/>
          <w:szCs w:val="24"/>
        </w:rPr>
        <w:t>ABSTRACT</w:t>
      </w:r>
    </w:p>
    <w:p w14:paraId="52DA58CF" w14:textId="55753B06" w:rsidR="00B90D32" w:rsidRDefault="00B70C73" w:rsidP="00F81102">
      <w:pPr>
        <w:spacing w:after="0" w:line="480" w:lineRule="auto"/>
        <w:rPr>
          <w:rFonts w:cs="Times New Roman"/>
          <w:i/>
          <w:szCs w:val="24"/>
        </w:rPr>
      </w:pPr>
      <w:r w:rsidRPr="00B6286D">
        <w:rPr>
          <w:rStyle w:val="Emphasis"/>
          <w:color w:val="000000"/>
          <w:highlight w:val="yellow"/>
        </w:rPr>
        <w:t>Australia’s education landscape is rather unique among developed</w:t>
      </w:r>
      <w:r w:rsidR="00823B37" w:rsidRPr="00B6286D">
        <w:rPr>
          <w:rStyle w:val="Emphasis"/>
          <w:color w:val="000000"/>
          <w:highlight w:val="yellow"/>
        </w:rPr>
        <w:t xml:space="preserve"> nations having</w:t>
      </w:r>
      <w:r w:rsidRPr="00B6286D">
        <w:rPr>
          <w:rStyle w:val="Emphasis"/>
          <w:color w:val="000000"/>
          <w:highlight w:val="yellow"/>
        </w:rPr>
        <w:t xml:space="preserve"> a high proportion of students taught at non-government schools by a diverse range of religious providers</w:t>
      </w:r>
      <w:r w:rsidR="00C06BA6" w:rsidRPr="00B6286D">
        <w:rPr>
          <w:rStyle w:val="Emphasis"/>
          <w:color w:val="000000"/>
          <w:highlight w:val="yellow"/>
        </w:rPr>
        <w:t>,</w:t>
      </w:r>
      <w:r w:rsidRPr="00B6286D">
        <w:rPr>
          <w:rStyle w:val="Emphasis"/>
          <w:color w:val="000000"/>
          <w:highlight w:val="yellow"/>
        </w:rPr>
        <w:t xml:space="preserve"> which receive relatively high levels of government funding. It therefore offers </w:t>
      </w:r>
      <w:r w:rsidR="00AB1D01" w:rsidRPr="00B6286D">
        <w:rPr>
          <w:rStyle w:val="Emphasis"/>
          <w:color w:val="000000"/>
          <w:highlight w:val="yellow"/>
        </w:rPr>
        <w:t>the ideal setting for a study on</w:t>
      </w:r>
      <w:r w:rsidRPr="00B6286D">
        <w:rPr>
          <w:rStyle w:val="Emphasis"/>
          <w:color w:val="000000"/>
          <w:highlight w:val="yellow"/>
        </w:rPr>
        <w:t xml:space="preserve"> the outcomes achieved by students at schools administered by the major faith providers relative to their peers in government institutions. </w:t>
      </w:r>
      <w:r w:rsidR="003C7199" w:rsidRPr="00B6286D">
        <w:rPr>
          <w:rStyle w:val="Emphasis"/>
          <w:color w:val="000000"/>
          <w:highlight w:val="yellow"/>
        </w:rPr>
        <w:t>We take advantage of a six-</w:t>
      </w:r>
      <w:r w:rsidRPr="00B6286D">
        <w:rPr>
          <w:rStyle w:val="Emphasis"/>
          <w:color w:val="000000"/>
          <w:highlight w:val="yellow"/>
        </w:rPr>
        <w:t xml:space="preserve">year panel of nationwide academic test data, along with a comprehensive suite of </w:t>
      </w:r>
      <w:proofErr w:type="gramStart"/>
      <w:r w:rsidRPr="00B6286D">
        <w:rPr>
          <w:rStyle w:val="Emphasis"/>
          <w:color w:val="000000"/>
          <w:highlight w:val="yellow"/>
        </w:rPr>
        <w:t>control</w:t>
      </w:r>
      <w:proofErr w:type="gramEnd"/>
      <w:r w:rsidRPr="00B6286D">
        <w:rPr>
          <w:rStyle w:val="Emphasis"/>
          <w:color w:val="000000"/>
          <w:highlight w:val="yellow"/>
        </w:rPr>
        <w:t xml:space="preserve"> variables, to test whether there are difference</w:t>
      </w:r>
      <w:r w:rsidR="00EF4C75" w:rsidRPr="00B6286D">
        <w:rPr>
          <w:rStyle w:val="Emphasis"/>
          <w:color w:val="000000"/>
          <w:highlight w:val="yellow"/>
        </w:rPr>
        <w:t>s</w:t>
      </w:r>
      <w:r w:rsidRPr="00B6286D">
        <w:rPr>
          <w:rStyle w:val="Emphasis"/>
          <w:color w:val="000000"/>
          <w:highlight w:val="yellow"/>
        </w:rPr>
        <w:t xml:space="preserve"> in average school performance. We </w:t>
      </w:r>
      <w:r w:rsidRPr="00B6286D">
        <w:rPr>
          <w:rFonts w:cs="Times New Roman"/>
          <w:i/>
          <w:szCs w:val="24"/>
          <w:highlight w:val="yellow"/>
        </w:rPr>
        <w:t xml:space="preserve">find strong evidence to suggest that significant </w:t>
      </w:r>
      <w:r w:rsidR="00EF4C75" w:rsidRPr="00B6286D">
        <w:rPr>
          <w:rFonts w:cs="Times New Roman"/>
          <w:i/>
          <w:szCs w:val="24"/>
          <w:highlight w:val="yellow"/>
        </w:rPr>
        <w:t>differences</w:t>
      </w:r>
      <w:r w:rsidRPr="00B6286D">
        <w:rPr>
          <w:rFonts w:cs="Times New Roman"/>
          <w:i/>
          <w:szCs w:val="24"/>
          <w:highlight w:val="yellow"/>
        </w:rPr>
        <w:t xml:space="preserve"> in achievement exist between various </w:t>
      </w:r>
      <w:r w:rsidR="003C7199" w:rsidRPr="00B6286D">
        <w:rPr>
          <w:rFonts w:cs="Times New Roman"/>
          <w:i/>
          <w:szCs w:val="24"/>
          <w:highlight w:val="yellow"/>
        </w:rPr>
        <w:t>faith-</w:t>
      </w:r>
      <w:r w:rsidR="00EF4C75" w:rsidRPr="00B6286D">
        <w:rPr>
          <w:rFonts w:cs="Times New Roman"/>
          <w:i/>
          <w:szCs w:val="24"/>
          <w:highlight w:val="yellow"/>
        </w:rPr>
        <w:t xml:space="preserve">based providers that </w:t>
      </w:r>
      <w:r w:rsidR="00C06BA6" w:rsidRPr="00B6286D">
        <w:rPr>
          <w:rFonts w:cs="Times New Roman"/>
          <w:i/>
          <w:szCs w:val="24"/>
          <w:highlight w:val="yellow"/>
        </w:rPr>
        <w:t>cannot</w:t>
      </w:r>
      <w:r w:rsidR="00EF4C75" w:rsidRPr="00B6286D">
        <w:rPr>
          <w:rFonts w:cs="Times New Roman"/>
          <w:i/>
          <w:szCs w:val="24"/>
          <w:highlight w:val="yellow"/>
        </w:rPr>
        <w:t xml:space="preserve"> be explained solely with reference to educational advantage and prior performance.</w:t>
      </w:r>
    </w:p>
    <w:p w14:paraId="37E1AFF4" w14:textId="77777777" w:rsidR="00C06BA6" w:rsidRPr="00C06BA6" w:rsidRDefault="00C06BA6" w:rsidP="00F81102">
      <w:pPr>
        <w:spacing w:after="0" w:line="480" w:lineRule="auto"/>
        <w:rPr>
          <w:rFonts w:cs="Times New Roman"/>
          <w:szCs w:val="24"/>
        </w:rPr>
      </w:pPr>
    </w:p>
    <w:p w14:paraId="61026EF4" w14:textId="73122DD5" w:rsidR="00F81102" w:rsidRDefault="00F81102" w:rsidP="00F81102">
      <w:pPr>
        <w:spacing w:after="0" w:line="480" w:lineRule="auto"/>
        <w:rPr>
          <w:rFonts w:cs="Times New Roman"/>
          <w:szCs w:val="24"/>
        </w:rPr>
      </w:pPr>
      <w:r w:rsidRPr="00CB4812">
        <w:rPr>
          <w:rFonts w:cs="Times New Roman"/>
          <w:b/>
          <w:szCs w:val="24"/>
        </w:rPr>
        <w:t>Keywords</w:t>
      </w:r>
      <w:r>
        <w:rPr>
          <w:rFonts w:cs="Times New Roman"/>
          <w:szCs w:val="24"/>
        </w:rPr>
        <w:t>: education; ed</w:t>
      </w:r>
      <w:r w:rsidR="00183711">
        <w:rPr>
          <w:rFonts w:cs="Times New Roman"/>
          <w:szCs w:val="24"/>
        </w:rPr>
        <w:t>ucational achievement; religion;</w:t>
      </w:r>
      <w:r>
        <w:rPr>
          <w:rFonts w:cs="Times New Roman"/>
          <w:szCs w:val="24"/>
        </w:rPr>
        <w:t xml:space="preserve"> sc</w:t>
      </w:r>
      <w:r w:rsidR="00CA5BBF">
        <w:rPr>
          <w:rFonts w:cs="Times New Roman"/>
          <w:szCs w:val="24"/>
        </w:rPr>
        <w:t>hools</w:t>
      </w:r>
      <w:r>
        <w:rPr>
          <w:rFonts w:cs="Times New Roman"/>
          <w:szCs w:val="24"/>
        </w:rPr>
        <w:t>.</w:t>
      </w:r>
    </w:p>
    <w:p w14:paraId="51FBA06C" w14:textId="77777777" w:rsidR="00C07581" w:rsidRDefault="00C07581" w:rsidP="00F81102">
      <w:pPr>
        <w:spacing w:after="0" w:line="480" w:lineRule="auto"/>
        <w:rPr>
          <w:rFonts w:cs="Times New Roman"/>
          <w:szCs w:val="24"/>
        </w:rPr>
      </w:pPr>
    </w:p>
    <w:p w14:paraId="1D8DE8B9" w14:textId="77777777" w:rsidR="00B90D32" w:rsidRDefault="00B90D32" w:rsidP="00B90D32">
      <w:pPr>
        <w:rPr>
          <w:rFonts w:cs="Times New Roman"/>
          <w:szCs w:val="24"/>
        </w:rPr>
      </w:pPr>
      <w:r>
        <w:rPr>
          <w:rFonts w:cs="Times New Roman"/>
          <w:szCs w:val="24"/>
        </w:rPr>
        <w:br w:type="page"/>
      </w:r>
    </w:p>
    <w:p w14:paraId="0D5463ED" w14:textId="2B94CD5C" w:rsidR="00B90D32" w:rsidRPr="00CA15C0" w:rsidRDefault="00B90D32" w:rsidP="00625C9D">
      <w:pPr>
        <w:spacing w:after="0" w:line="480" w:lineRule="auto"/>
        <w:rPr>
          <w:rFonts w:cs="Times New Roman"/>
          <w:b/>
          <w:szCs w:val="24"/>
        </w:rPr>
      </w:pPr>
      <w:r w:rsidRPr="00CA15C0">
        <w:rPr>
          <w:rFonts w:cs="Times New Roman"/>
          <w:b/>
          <w:szCs w:val="24"/>
        </w:rPr>
        <w:lastRenderedPageBreak/>
        <w:t>INTRODUCTION</w:t>
      </w:r>
      <w:r w:rsidR="0060229D">
        <w:rPr>
          <w:rFonts w:cs="Times New Roman"/>
          <w:b/>
          <w:szCs w:val="24"/>
        </w:rPr>
        <w:t xml:space="preserve"> </w:t>
      </w:r>
    </w:p>
    <w:p w14:paraId="0E33B41C" w14:textId="2965C926" w:rsidR="001D5B43" w:rsidRDefault="00517454"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There is surprisingly little extant research on the effect of school choice on primary school</w:t>
      </w:r>
      <w:r w:rsidR="006D673B" w:rsidRPr="00B6286D">
        <w:rPr>
          <w:rFonts w:eastAsia="Calibri" w:cs="Times New Roman"/>
          <w:szCs w:val="24"/>
          <w:highlight w:val="yellow"/>
          <w:lang w:val="en-GB" w:eastAsia="en-US"/>
        </w:rPr>
        <w:t xml:space="preserve"> education achievement</w:t>
      </w:r>
      <w:r w:rsidRPr="00B6286D">
        <w:rPr>
          <w:rFonts w:eastAsia="Calibri" w:cs="Times New Roman"/>
          <w:szCs w:val="24"/>
          <w:highlight w:val="yellow"/>
          <w:lang w:val="en-GB" w:eastAsia="en-US"/>
        </w:rPr>
        <w:t>. What we do have are a number of studies in the context of America</w:t>
      </w:r>
      <w:r w:rsidR="00823B37" w:rsidRPr="00B6286D">
        <w:rPr>
          <w:rFonts w:eastAsia="Calibri" w:cs="Times New Roman"/>
          <w:szCs w:val="24"/>
          <w:highlight w:val="yellow"/>
          <w:lang w:val="en-GB" w:eastAsia="en-US"/>
        </w:rPr>
        <w:t>,</w:t>
      </w:r>
      <w:r w:rsidRPr="00B6286D">
        <w:rPr>
          <w:rFonts w:eastAsia="Calibri" w:cs="Times New Roman"/>
          <w:szCs w:val="24"/>
          <w:highlight w:val="yellow"/>
          <w:lang w:val="en-GB" w:eastAsia="en-US"/>
        </w:rPr>
        <w:t xml:space="preserve"> augmented by a few from the United Kingdom and Australia</w:t>
      </w:r>
      <w:r w:rsidR="00823B37" w:rsidRPr="00B6286D">
        <w:rPr>
          <w:rFonts w:eastAsia="Calibri" w:cs="Times New Roman"/>
          <w:szCs w:val="24"/>
          <w:highlight w:val="yellow"/>
          <w:lang w:val="en-GB" w:eastAsia="en-US"/>
        </w:rPr>
        <w:t>,</w:t>
      </w:r>
      <w:r w:rsidRPr="00B6286D">
        <w:rPr>
          <w:rFonts w:eastAsia="Calibri" w:cs="Times New Roman"/>
          <w:szCs w:val="24"/>
          <w:highlight w:val="yellow"/>
          <w:lang w:val="en-GB" w:eastAsia="en-US"/>
        </w:rPr>
        <w:t xml:space="preserve"> which have compared</w:t>
      </w:r>
      <w:r w:rsidR="00EF2028" w:rsidRPr="00B6286D">
        <w:rPr>
          <w:rFonts w:eastAsia="Calibri" w:cs="Times New Roman"/>
          <w:szCs w:val="24"/>
          <w:highlight w:val="yellow"/>
          <w:lang w:val="en-GB" w:eastAsia="en-US"/>
        </w:rPr>
        <w:t xml:space="preserve"> outcomes between government, C</w:t>
      </w:r>
      <w:r w:rsidRPr="00B6286D">
        <w:rPr>
          <w:rFonts w:eastAsia="Calibri" w:cs="Times New Roman"/>
          <w:szCs w:val="24"/>
          <w:highlight w:val="yellow"/>
          <w:lang w:val="en-GB" w:eastAsia="en-US"/>
        </w:rPr>
        <w:t xml:space="preserve">atholic and private schools (for a review of these studies see </w:t>
      </w:r>
      <w:proofErr w:type="spellStart"/>
      <w:r w:rsidRPr="00B6286D">
        <w:rPr>
          <w:rFonts w:eastAsia="Calibri" w:cs="Times New Roman"/>
          <w:szCs w:val="24"/>
          <w:highlight w:val="yellow"/>
          <w:lang w:val="en-GB" w:eastAsia="en-US"/>
        </w:rPr>
        <w:t>Ngheim</w:t>
      </w:r>
      <w:proofErr w:type="spellEnd"/>
      <w:r w:rsidRPr="00B6286D">
        <w:rPr>
          <w:rFonts w:eastAsia="Calibri" w:cs="Times New Roman"/>
          <w:szCs w:val="24"/>
          <w:highlight w:val="yellow"/>
          <w:lang w:val="en-GB" w:eastAsia="en-US"/>
        </w:rPr>
        <w:t xml:space="preserve"> et al.</w:t>
      </w:r>
      <w:r w:rsidR="00856B89" w:rsidRPr="00B6286D">
        <w:rPr>
          <w:rFonts w:eastAsia="Calibri" w:cs="Times New Roman"/>
          <w:szCs w:val="24"/>
          <w:highlight w:val="yellow"/>
          <w:lang w:val="en-GB" w:eastAsia="en-US"/>
        </w:rPr>
        <w:t>,</w:t>
      </w:r>
      <w:r w:rsidRPr="00B6286D">
        <w:rPr>
          <w:rFonts w:eastAsia="Calibri" w:cs="Times New Roman"/>
          <w:szCs w:val="24"/>
          <w:highlight w:val="yellow"/>
          <w:lang w:val="en-GB" w:eastAsia="en-US"/>
        </w:rPr>
        <w:t xml:space="preserve"> 2015)</w:t>
      </w:r>
      <w:r w:rsidR="00C57645" w:rsidRPr="00B6286D">
        <w:rPr>
          <w:rFonts w:eastAsia="Calibri" w:cs="Times New Roman"/>
          <w:szCs w:val="24"/>
          <w:highlight w:val="yellow"/>
          <w:lang w:val="en-GB" w:eastAsia="en-US"/>
        </w:rPr>
        <w:t xml:space="preserve">. Generally, the finding has been that </w:t>
      </w:r>
      <w:r w:rsidR="00C57645" w:rsidRPr="00B6286D">
        <w:rPr>
          <w:rFonts w:eastAsia="Calibri" w:cs="Times New Roman"/>
          <w:i/>
          <w:szCs w:val="24"/>
          <w:highlight w:val="yellow"/>
          <w:lang w:val="en-GB" w:eastAsia="en-US"/>
        </w:rPr>
        <w:t>prima facie</w:t>
      </w:r>
      <w:r w:rsidR="00C57645" w:rsidRPr="00B6286D">
        <w:rPr>
          <w:rFonts w:eastAsia="Calibri" w:cs="Times New Roman"/>
          <w:szCs w:val="24"/>
          <w:highlight w:val="yellow"/>
          <w:lang w:val="en-GB" w:eastAsia="en-US"/>
        </w:rPr>
        <w:t xml:space="preserve"> differences in performance disappear when controls are put in place for educational advantage (the occupation and education of parents in particular) and prior achieve</w:t>
      </w:r>
      <w:r w:rsidR="00EF2028" w:rsidRPr="00B6286D">
        <w:rPr>
          <w:rFonts w:eastAsia="Calibri" w:cs="Times New Roman"/>
          <w:szCs w:val="24"/>
          <w:highlight w:val="yellow"/>
          <w:lang w:val="en-GB" w:eastAsia="en-US"/>
        </w:rPr>
        <w:t>ment. However, all of the existing</w:t>
      </w:r>
      <w:r w:rsidR="00C57645" w:rsidRPr="00B6286D">
        <w:rPr>
          <w:rFonts w:eastAsia="Calibri" w:cs="Times New Roman"/>
          <w:szCs w:val="24"/>
          <w:highlight w:val="yellow"/>
          <w:lang w:val="en-GB" w:eastAsia="en-US"/>
        </w:rPr>
        <w:t xml:space="preserve"> studies have considered non-Catholic faith providers as a single category (</w:t>
      </w:r>
      <w:r w:rsidR="00625C9D" w:rsidRPr="00B6286D">
        <w:rPr>
          <w:rFonts w:eastAsia="Calibri" w:cs="Times New Roman"/>
          <w:szCs w:val="24"/>
          <w:highlight w:val="yellow"/>
          <w:lang w:val="en-GB" w:eastAsia="en-US"/>
        </w:rPr>
        <w:t xml:space="preserve">‘private schools’) which </w:t>
      </w:r>
      <w:r w:rsidR="00C57645" w:rsidRPr="00B6286D">
        <w:rPr>
          <w:rFonts w:eastAsia="Calibri" w:cs="Times New Roman"/>
          <w:szCs w:val="24"/>
          <w:highlight w:val="yellow"/>
          <w:lang w:val="en-GB" w:eastAsia="en-US"/>
        </w:rPr>
        <w:t>fails to capture the diversity of religious institutions (which include Islamic, Jewish and other Christian providers).</w:t>
      </w:r>
    </w:p>
    <w:p w14:paraId="40E28C99" w14:textId="77777777" w:rsidR="00625C9D" w:rsidRDefault="00625C9D" w:rsidP="00625C9D">
      <w:pPr>
        <w:spacing w:after="0" w:line="480" w:lineRule="auto"/>
        <w:rPr>
          <w:rFonts w:eastAsia="Calibri" w:cs="Times New Roman"/>
          <w:szCs w:val="24"/>
          <w:lang w:val="en-GB" w:eastAsia="en-US"/>
        </w:rPr>
      </w:pPr>
    </w:p>
    <w:p w14:paraId="5F0D4020" w14:textId="4B04C803" w:rsidR="004407E2" w:rsidRDefault="00C57645"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Australia’s education landscape is unique among developed nations in terms of the diversity of providers, the proportion of students enrolled with non-government providers (</w:t>
      </w:r>
      <w:r w:rsidR="007003C2" w:rsidRPr="00B6286D">
        <w:rPr>
          <w:rFonts w:eastAsia="Calibri" w:cs="Times New Roman"/>
          <w:szCs w:val="24"/>
          <w:highlight w:val="yellow"/>
          <w:lang w:val="en-GB" w:eastAsia="en-US"/>
        </w:rPr>
        <w:t xml:space="preserve">19.3% of the nation’s </w:t>
      </w:r>
      <w:r w:rsidR="006D673B" w:rsidRPr="00B6286D">
        <w:rPr>
          <w:rFonts w:eastAsia="Calibri" w:cs="Times New Roman"/>
          <w:szCs w:val="24"/>
          <w:highlight w:val="yellow"/>
          <w:lang w:val="en-GB" w:eastAsia="en-US"/>
        </w:rPr>
        <w:t xml:space="preserve">primary school </w:t>
      </w:r>
      <w:r w:rsidR="007003C2" w:rsidRPr="00B6286D">
        <w:rPr>
          <w:rFonts w:eastAsia="Calibri" w:cs="Times New Roman"/>
          <w:szCs w:val="24"/>
          <w:highlight w:val="yellow"/>
          <w:lang w:val="en-GB" w:eastAsia="en-US"/>
        </w:rPr>
        <w:t>students are educ</w:t>
      </w:r>
      <w:r w:rsidR="006D673B" w:rsidRPr="00B6286D">
        <w:rPr>
          <w:rFonts w:eastAsia="Calibri" w:cs="Times New Roman"/>
          <w:szCs w:val="24"/>
          <w:highlight w:val="yellow"/>
          <w:lang w:val="en-GB" w:eastAsia="en-US"/>
        </w:rPr>
        <w:t>ated in Catholic institutions</w:t>
      </w:r>
      <w:r w:rsidR="007003C2" w:rsidRPr="00B6286D">
        <w:rPr>
          <w:rFonts w:eastAsia="Calibri" w:cs="Times New Roman"/>
          <w:szCs w:val="24"/>
          <w:highlight w:val="yellow"/>
          <w:lang w:val="en-GB" w:eastAsia="en-US"/>
        </w:rPr>
        <w:t xml:space="preserve"> and 11.8% in other faith-based institutions</w:t>
      </w:r>
      <w:r w:rsidRPr="00B6286D">
        <w:rPr>
          <w:rFonts w:eastAsia="Calibri" w:cs="Times New Roman"/>
          <w:szCs w:val="24"/>
          <w:highlight w:val="yellow"/>
          <w:lang w:val="en-GB" w:eastAsia="en-US"/>
        </w:rPr>
        <w:t xml:space="preserve">), and the extensive government financial support for </w:t>
      </w:r>
      <w:r w:rsidR="00D10F62" w:rsidRPr="00B6286D">
        <w:rPr>
          <w:rFonts w:eastAsia="Calibri" w:cs="Times New Roman"/>
          <w:szCs w:val="24"/>
          <w:highlight w:val="yellow"/>
          <w:lang w:val="en-GB" w:eastAsia="en-US"/>
        </w:rPr>
        <w:t>faith-based</w:t>
      </w:r>
      <w:r w:rsidRPr="00B6286D">
        <w:rPr>
          <w:rFonts w:eastAsia="Calibri" w:cs="Times New Roman"/>
          <w:szCs w:val="24"/>
          <w:highlight w:val="yellow"/>
          <w:lang w:val="en-GB" w:eastAsia="en-US"/>
        </w:rPr>
        <w:t xml:space="preserve"> institutions (the Federal government provides 63% of the revenue for Catholic schools and 38.4% of the revenue for other non-government schools</w:t>
      </w:r>
      <w:r w:rsidR="00625C9D" w:rsidRPr="00B6286D">
        <w:rPr>
          <w:rFonts w:eastAsia="Calibri" w:cs="Times New Roman"/>
          <w:szCs w:val="24"/>
          <w:highlight w:val="yellow"/>
          <w:lang w:val="en-GB" w:eastAsia="en-US"/>
        </w:rPr>
        <w:t>) (</w:t>
      </w:r>
      <w:r w:rsidRPr="00B6286D">
        <w:rPr>
          <w:rFonts w:eastAsia="Calibri" w:cs="Times New Roman"/>
          <w:szCs w:val="24"/>
          <w:highlight w:val="yellow"/>
          <w:lang w:val="en-GB" w:eastAsia="en-US"/>
        </w:rPr>
        <w:t>ACARA), 2017</w:t>
      </w:r>
      <w:r w:rsidR="000416E8" w:rsidRPr="00B6286D">
        <w:rPr>
          <w:rFonts w:eastAsia="Calibri" w:cs="Times New Roman"/>
          <w:szCs w:val="24"/>
          <w:highlight w:val="yellow"/>
          <w:lang w:val="en-GB" w:eastAsia="en-US"/>
        </w:rPr>
        <w:t>; Caldwell, 2010</w:t>
      </w:r>
      <w:r w:rsidRPr="00B6286D">
        <w:rPr>
          <w:rFonts w:eastAsia="Calibri" w:cs="Times New Roman"/>
          <w:szCs w:val="24"/>
          <w:highlight w:val="yellow"/>
          <w:lang w:val="en-GB" w:eastAsia="en-US"/>
        </w:rPr>
        <w:t>).</w:t>
      </w:r>
      <w:r w:rsidR="00380D78">
        <w:rPr>
          <w:rFonts w:eastAsia="Calibri" w:cs="Times New Roman"/>
          <w:szCs w:val="24"/>
          <w:highlight w:val="yellow"/>
          <w:lang w:val="en-GB" w:eastAsia="en-US"/>
        </w:rPr>
        <w:t xml:space="preserve"> </w:t>
      </w:r>
      <w:r w:rsidR="001D5B43" w:rsidRPr="00B6286D">
        <w:rPr>
          <w:rFonts w:eastAsia="Calibri" w:cs="Times New Roman"/>
          <w:szCs w:val="24"/>
          <w:highlight w:val="yellow"/>
          <w:lang w:val="en-GB" w:eastAsia="en-US"/>
        </w:rPr>
        <w:t xml:space="preserve">Moreover in Australia </w:t>
      </w:r>
      <w:r w:rsidR="00854137" w:rsidRPr="00B6286D">
        <w:rPr>
          <w:rFonts w:eastAsia="Calibri" w:cs="Times New Roman"/>
          <w:szCs w:val="24"/>
          <w:highlight w:val="yellow"/>
          <w:lang w:val="en-GB" w:eastAsia="en-US"/>
        </w:rPr>
        <w:t xml:space="preserve">long panels of </w:t>
      </w:r>
      <w:r w:rsidR="001D5B43" w:rsidRPr="00B6286D">
        <w:rPr>
          <w:rFonts w:eastAsia="Calibri" w:cs="Times New Roman"/>
          <w:szCs w:val="24"/>
          <w:highlight w:val="yellow"/>
          <w:lang w:val="en-GB" w:eastAsia="en-US"/>
        </w:rPr>
        <w:t xml:space="preserve">national examination data for year 3 and 5 (in the domains of spelling, reading, writing, </w:t>
      </w:r>
      <w:r w:rsidR="00DE7504" w:rsidRPr="00B6286D">
        <w:rPr>
          <w:rFonts w:eastAsia="Calibri" w:cs="Times New Roman"/>
          <w:szCs w:val="24"/>
          <w:highlight w:val="yellow"/>
          <w:lang w:val="en-GB" w:eastAsia="en-US"/>
        </w:rPr>
        <w:t>grammar, and numeracy) along</w:t>
      </w:r>
      <w:r w:rsidR="001D5B43" w:rsidRPr="00B6286D">
        <w:rPr>
          <w:rFonts w:eastAsia="Calibri" w:cs="Times New Roman"/>
          <w:szCs w:val="24"/>
          <w:highlight w:val="yellow"/>
          <w:lang w:val="en-GB" w:eastAsia="en-US"/>
        </w:rPr>
        <w:t xml:space="preserve"> with data on various aspects of educational advantage (</w:t>
      </w:r>
      <w:r w:rsidR="006062C2" w:rsidRPr="00B6286D">
        <w:rPr>
          <w:rFonts w:eastAsia="Calibri" w:cs="Times New Roman"/>
          <w:szCs w:val="24"/>
          <w:highlight w:val="yellow"/>
          <w:lang w:val="en-GB" w:eastAsia="en-US"/>
        </w:rPr>
        <w:t xml:space="preserve">i.e., </w:t>
      </w:r>
      <w:r w:rsidR="001D5B43" w:rsidRPr="00B6286D">
        <w:rPr>
          <w:rFonts w:eastAsia="Calibri" w:cs="Times New Roman"/>
          <w:szCs w:val="24"/>
          <w:highlight w:val="yellow"/>
          <w:lang w:val="en-GB" w:eastAsia="en-US"/>
        </w:rPr>
        <w:t xml:space="preserve">student background) and school resourcing are available to scholars who sign a deed of </w:t>
      </w:r>
      <w:r w:rsidR="00854137" w:rsidRPr="00B6286D">
        <w:rPr>
          <w:rFonts w:eastAsia="Calibri" w:cs="Times New Roman"/>
          <w:szCs w:val="24"/>
          <w:highlight w:val="yellow"/>
          <w:lang w:val="en-GB" w:eastAsia="en-US"/>
        </w:rPr>
        <w:t>licence</w:t>
      </w:r>
      <w:r w:rsidR="001D5B43" w:rsidRPr="00B6286D">
        <w:rPr>
          <w:rFonts w:eastAsia="Calibri" w:cs="Times New Roman"/>
          <w:szCs w:val="24"/>
          <w:highlight w:val="yellow"/>
          <w:lang w:val="en-GB" w:eastAsia="en-US"/>
        </w:rPr>
        <w:t xml:space="preserve"> with </w:t>
      </w:r>
      <w:r w:rsidR="00625C9D" w:rsidRPr="00B6286D">
        <w:rPr>
          <w:rFonts w:eastAsia="Calibri" w:cs="Times New Roman"/>
          <w:szCs w:val="24"/>
          <w:highlight w:val="yellow"/>
          <w:lang w:val="en-GB" w:eastAsia="en-US"/>
        </w:rPr>
        <w:t>Australian, Curriculum, Assessment and Reporting Authority (</w:t>
      </w:r>
      <w:r w:rsidR="001D5B43" w:rsidRPr="00B6286D">
        <w:rPr>
          <w:rFonts w:eastAsia="Calibri" w:cs="Times New Roman"/>
          <w:szCs w:val="24"/>
          <w:highlight w:val="yellow"/>
          <w:lang w:val="en-GB" w:eastAsia="en-US"/>
        </w:rPr>
        <w:t>ACARA</w:t>
      </w:r>
      <w:r w:rsidR="00625C9D" w:rsidRPr="00B6286D">
        <w:rPr>
          <w:rFonts w:eastAsia="Calibri" w:cs="Times New Roman"/>
          <w:szCs w:val="24"/>
          <w:highlight w:val="yellow"/>
          <w:lang w:val="en-GB" w:eastAsia="en-US"/>
        </w:rPr>
        <w:t>)</w:t>
      </w:r>
      <w:r w:rsidR="001D5B43" w:rsidRPr="00B6286D">
        <w:rPr>
          <w:rFonts w:eastAsia="Calibri" w:cs="Times New Roman"/>
          <w:szCs w:val="24"/>
          <w:highlight w:val="yellow"/>
          <w:lang w:val="en-GB" w:eastAsia="en-US"/>
        </w:rPr>
        <w:t xml:space="preserve">. </w:t>
      </w:r>
      <w:r w:rsidR="00854137" w:rsidRPr="00B6286D">
        <w:rPr>
          <w:rFonts w:eastAsia="Calibri" w:cs="Times New Roman"/>
          <w:szCs w:val="24"/>
          <w:highlight w:val="yellow"/>
          <w:lang w:val="en-GB" w:eastAsia="en-US"/>
        </w:rPr>
        <w:t>Australia</w:t>
      </w:r>
      <w:r w:rsidR="000416E8" w:rsidRPr="00B6286D">
        <w:rPr>
          <w:rFonts w:eastAsia="Calibri" w:cs="Times New Roman"/>
          <w:szCs w:val="24"/>
          <w:highlight w:val="yellow"/>
          <w:lang w:val="en-GB" w:eastAsia="en-US"/>
        </w:rPr>
        <w:t xml:space="preserve"> thus presents the ideal context for a more nuanced study of the association between </w:t>
      </w:r>
      <w:r w:rsidR="00D10F62" w:rsidRPr="00B6286D">
        <w:rPr>
          <w:rFonts w:eastAsia="Calibri" w:cs="Times New Roman"/>
          <w:szCs w:val="24"/>
          <w:highlight w:val="yellow"/>
          <w:lang w:val="en-GB" w:eastAsia="en-US"/>
        </w:rPr>
        <w:t>faith-based</w:t>
      </w:r>
      <w:r w:rsidR="000416E8" w:rsidRPr="00B6286D">
        <w:rPr>
          <w:rFonts w:eastAsia="Calibri" w:cs="Times New Roman"/>
          <w:szCs w:val="24"/>
          <w:highlight w:val="yellow"/>
          <w:lang w:val="en-GB" w:eastAsia="en-US"/>
        </w:rPr>
        <w:t xml:space="preserve"> institutions (which disaggregates non-Catholic schools into major religious g</w:t>
      </w:r>
      <w:r w:rsidR="00DE7504" w:rsidRPr="00B6286D">
        <w:rPr>
          <w:rFonts w:eastAsia="Calibri" w:cs="Times New Roman"/>
          <w:szCs w:val="24"/>
          <w:highlight w:val="yellow"/>
          <w:lang w:val="en-GB" w:eastAsia="en-US"/>
        </w:rPr>
        <w:t>roupings) and education</w:t>
      </w:r>
      <w:r w:rsidR="006062C2" w:rsidRPr="00B6286D">
        <w:rPr>
          <w:rFonts w:eastAsia="Calibri" w:cs="Times New Roman"/>
          <w:szCs w:val="24"/>
          <w:highlight w:val="yellow"/>
          <w:lang w:val="en-GB" w:eastAsia="en-US"/>
        </w:rPr>
        <w:t>al</w:t>
      </w:r>
      <w:r w:rsidR="00DE7504" w:rsidRPr="00B6286D">
        <w:rPr>
          <w:rFonts w:eastAsia="Calibri" w:cs="Times New Roman"/>
          <w:szCs w:val="24"/>
          <w:highlight w:val="yellow"/>
          <w:lang w:val="en-GB" w:eastAsia="en-US"/>
        </w:rPr>
        <w:t xml:space="preserve"> achievement</w:t>
      </w:r>
      <w:r w:rsidR="000416E8" w:rsidRPr="00B6286D">
        <w:rPr>
          <w:rFonts w:eastAsia="Calibri" w:cs="Times New Roman"/>
          <w:szCs w:val="24"/>
          <w:highlight w:val="yellow"/>
          <w:lang w:val="en-GB" w:eastAsia="en-US"/>
        </w:rPr>
        <w:t>.</w:t>
      </w:r>
    </w:p>
    <w:p w14:paraId="7341F827" w14:textId="77777777" w:rsidR="00625C9D" w:rsidRDefault="00625C9D" w:rsidP="00625C9D">
      <w:pPr>
        <w:spacing w:after="0" w:line="480" w:lineRule="auto"/>
        <w:rPr>
          <w:rFonts w:eastAsia="Calibri" w:cs="Times New Roman"/>
          <w:szCs w:val="24"/>
          <w:lang w:val="en-GB" w:eastAsia="en-US"/>
        </w:rPr>
      </w:pPr>
    </w:p>
    <w:p w14:paraId="47593B40" w14:textId="46525AFC" w:rsidR="003C7199" w:rsidRDefault="000416E8"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 xml:space="preserve">Differences in performance between faith-based institutions </w:t>
      </w:r>
      <w:r w:rsidR="00854137" w:rsidRPr="00B6286D">
        <w:rPr>
          <w:rFonts w:eastAsia="Calibri" w:cs="Times New Roman"/>
          <w:szCs w:val="24"/>
          <w:highlight w:val="yellow"/>
          <w:lang w:val="en-GB" w:eastAsia="en-US"/>
        </w:rPr>
        <w:t>are generally ascribed</w:t>
      </w:r>
      <w:r w:rsidRPr="00B6286D">
        <w:rPr>
          <w:rFonts w:eastAsia="Calibri" w:cs="Times New Roman"/>
          <w:szCs w:val="24"/>
          <w:highlight w:val="yellow"/>
          <w:lang w:val="en-GB" w:eastAsia="en-US"/>
        </w:rPr>
        <w:t xml:space="preserve"> to screening effects – the most notable is the levying of </w:t>
      </w:r>
      <w:r w:rsidR="00380D78">
        <w:rPr>
          <w:rFonts w:eastAsia="Calibri" w:cs="Times New Roman"/>
          <w:szCs w:val="24"/>
          <w:highlight w:val="yellow"/>
          <w:lang w:val="en-GB" w:eastAsia="en-US"/>
        </w:rPr>
        <w:t xml:space="preserve">often </w:t>
      </w:r>
      <w:r w:rsidR="003735B1" w:rsidRPr="00B6286D">
        <w:rPr>
          <w:rFonts w:eastAsia="Calibri" w:cs="Times New Roman"/>
          <w:szCs w:val="24"/>
          <w:highlight w:val="yellow"/>
          <w:lang w:val="en-GB" w:eastAsia="en-US"/>
        </w:rPr>
        <w:t>substantial</w:t>
      </w:r>
      <w:r w:rsidRPr="00B6286D">
        <w:rPr>
          <w:rFonts w:eastAsia="Calibri" w:cs="Times New Roman"/>
          <w:szCs w:val="24"/>
          <w:highlight w:val="yellow"/>
          <w:lang w:val="en-GB" w:eastAsia="en-US"/>
        </w:rPr>
        <w:t xml:space="preserve"> fees – which result in concentrations of education</w:t>
      </w:r>
      <w:r w:rsidR="003735B1" w:rsidRPr="00B6286D">
        <w:rPr>
          <w:rFonts w:eastAsia="Calibri" w:cs="Times New Roman"/>
          <w:szCs w:val="24"/>
          <w:highlight w:val="yellow"/>
          <w:lang w:val="en-GB" w:eastAsia="en-US"/>
        </w:rPr>
        <w:t>al</w:t>
      </w:r>
      <w:r w:rsidRPr="00B6286D">
        <w:rPr>
          <w:rFonts w:eastAsia="Calibri" w:cs="Times New Roman"/>
          <w:szCs w:val="24"/>
          <w:highlight w:val="yellow"/>
          <w:lang w:val="en-GB" w:eastAsia="en-US"/>
        </w:rPr>
        <w:t xml:space="preserve"> advantage (</w:t>
      </w:r>
      <w:proofErr w:type="spellStart"/>
      <w:r w:rsidRPr="00B6286D">
        <w:rPr>
          <w:rFonts w:eastAsia="Calibri" w:cs="Times New Roman"/>
          <w:szCs w:val="24"/>
          <w:highlight w:val="yellow"/>
          <w:lang w:val="en-GB" w:eastAsia="en-US"/>
        </w:rPr>
        <w:t>Teese</w:t>
      </w:r>
      <w:proofErr w:type="spellEnd"/>
      <w:r w:rsidRPr="00B6286D">
        <w:rPr>
          <w:rFonts w:eastAsia="Calibri" w:cs="Times New Roman"/>
          <w:szCs w:val="24"/>
          <w:highlight w:val="yellow"/>
          <w:lang w:val="en-GB" w:eastAsia="en-US"/>
        </w:rPr>
        <w:t xml:space="preserve">, 2005). </w:t>
      </w:r>
      <w:r w:rsidR="001D5B43" w:rsidRPr="00B6286D">
        <w:rPr>
          <w:rFonts w:eastAsia="Calibri" w:cs="Times New Roman"/>
          <w:szCs w:val="24"/>
          <w:highlight w:val="yellow"/>
          <w:lang w:val="en-GB" w:eastAsia="en-US"/>
        </w:rPr>
        <w:t>This explanation has been used to exp</w:t>
      </w:r>
      <w:r w:rsidR="00DE7504" w:rsidRPr="00B6286D">
        <w:rPr>
          <w:rFonts w:eastAsia="Calibri" w:cs="Times New Roman"/>
          <w:szCs w:val="24"/>
          <w:highlight w:val="yellow"/>
          <w:lang w:val="en-GB" w:eastAsia="en-US"/>
        </w:rPr>
        <w:t>lain differences in achievement</w:t>
      </w:r>
      <w:r w:rsidR="001D5B43" w:rsidRPr="00B6286D">
        <w:rPr>
          <w:rFonts w:eastAsia="Calibri" w:cs="Times New Roman"/>
          <w:szCs w:val="24"/>
          <w:highlight w:val="yellow"/>
          <w:lang w:val="en-GB" w:eastAsia="en-US"/>
        </w:rPr>
        <w:t xml:space="preserve"> between </w:t>
      </w:r>
      <w:proofErr w:type="gramStart"/>
      <w:r w:rsidR="001D5B43" w:rsidRPr="00B6286D">
        <w:rPr>
          <w:rFonts w:eastAsia="Calibri" w:cs="Times New Roman"/>
          <w:szCs w:val="24"/>
          <w:highlight w:val="yellow"/>
          <w:lang w:val="en-GB" w:eastAsia="en-US"/>
        </w:rPr>
        <w:t>government</w:t>
      </w:r>
      <w:proofErr w:type="gramEnd"/>
      <w:r w:rsidR="001D5B43" w:rsidRPr="00B6286D">
        <w:rPr>
          <w:rFonts w:eastAsia="Calibri" w:cs="Times New Roman"/>
          <w:szCs w:val="24"/>
          <w:highlight w:val="yellow"/>
          <w:lang w:val="en-GB" w:eastAsia="en-US"/>
        </w:rPr>
        <w:t>, Catholic and ‘private’</w:t>
      </w:r>
      <w:r w:rsidR="008908D9" w:rsidRPr="00B6286D">
        <w:rPr>
          <w:rFonts w:eastAsia="Calibri" w:cs="Times New Roman"/>
          <w:szCs w:val="24"/>
          <w:highlight w:val="yellow"/>
          <w:lang w:val="en-GB" w:eastAsia="en-US"/>
        </w:rPr>
        <w:t xml:space="preserve"> institutions (e.g., </w:t>
      </w:r>
      <w:r w:rsidR="001D5B43" w:rsidRPr="00B6286D">
        <w:rPr>
          <w:rFonts w:eastAsia="Calibri" w:cs="Times New Roman"/>
          <w:szCs w:val="24"/>
          <w:highlight w:val="yellow"/>
          <w:lang w:val="en-GB" w:eastAsia="en-US"/>
        </w:rPr>
        <w:t xml:space="preserve">Marks, 2015) and </w:t>
      </w:r>
      <w:r w:rsidR="003C7199" w:rsidRPr="00B6286D">
        <w:rPr>
          <w:rFonts w:eastAsia="Calibri" w:cs="Times New Roman"/>
          <w:szCs w:val="24"/>
          <w:highlight w:val="yellow"/>
          <w:lang w:val="en-GB" w:eastAsia="en-US"/>
        </w:rPr>
        <w:t>we note that appropriate controls exist in the Australian dataset to account for this explanation in a more disaggregated study of faith-based institutions</w:t>
      </w:r>
      <w:r w:rsidR="001D5B43" w:rsidRPr="00B6286D">
        <w:rPr>
          <w:rFonts w:eastAsia="Calibri" w:cs="Times New Roman"/>
          <w:szCs w:val="24"/>
          <w:highlight w:val="yellow"/>
          <w:lang w:val="en-GB" w:eastAsia="en-US"/>
        </w:rPr>
        <w:t>. Another explanation for differences in performa</w:t>
      </w:r>
      <w:r w:rsidR="008908D9" w:rsidRPr="00B6286D">
        <w:rPr>
          <w:rFonts w:eastAsia="Calibri" w:cs="Times New Roman"/>
          <w:szCs w:val="24"/>
          <w:highlight w:val="yellow"/>
          <w:lang w:val="en-GB" w:eastAsia="en-US"/>
        </w:rPr>
        <w:t xml:space="preserve">nce looks to resourcing levels </w:t>
      </w:r>
      <w:r w:rsidR="001D5B43" w:rsidRPr="00B6286D">
        <w:rPr>
          <w:rFonts w:eastAsia="Calibri" w:cs="Times New Roman"/>
          <w:szCs w:val="24"/>
          <w:highlight w:val="yellow"/>
          <w:lang w:val="en-GB" w:eastAsia="en-US"/>
        </w:rPr>
        <w:t>both in terms of funding, and teacher and non-teacher staffing</w:t>
      </w:r>
      <w:r w:rsidR="008908D9" w:rsidRPr="00B6286D">
        <w:rPr>
          <w:rFonts w:eastAsia="Calibri" w:cs="Times New Roman"/>
          <w:szCs w:val="24"/>
          <w:highlight w:val="yellow"/>
          <w:lang w:val="en-GB" w:eastAsia="en-US"/>
        </w:rPr>
        <w:t xml:space="preserve"> (e.g., </w:t>
      </w:r>
      <w:r w:rsidR="00854137" w:rsidRPr="00B6286D">
        <w:rPr>
          <w:rFonts w:eastAsia="Calibri" w:cs="Times New Roman"/>
          <w:szCs w:val="24"/>
          <w:highlight w:val="yellow"/>
          <w:lang w:val="en-GB" w:eastAsia="en-US"/>
        </w:rPr>
        <w:t>Davies and Davies, 2013</w:t>
      </w:r>
      <w:r w:rsidR="001D5B43" w:rsidRPr="00B6286D">
        <w:rPr>
          <w:rFonts w:eastAsia="Calibri" w:cs="Times New Roman"/>
          <w:szCs w:val="24"/>
          <w:highlight w:val="yellow"/>
          <w:lang w:val="en-GB" w:eastAsia="en-US"/>
        </w:rPr>
        <w:t xml:space="preserve">) and once again controls are </w:t>
      </w:r>
      <w:r w:rsidR="00854137" w:rsidRPr="00B6286D">
        <w:rPr>
          <w:rFonts w:eastAsia="Calibri" w:cs="Times New Roman"/>
          <w:szCs w:val="24"/>
          <w:highlight w:val="yellow"/>
          <w:lang w:val="en-GB" w:eastAsia="en-US"/>
        </w:rPr>
        <w:t>available</w:t>
      </w:r>
      <w:r w:rsidR="003C7199" w:rsidRPr="00B6286D">
        <w:rPr>
          <w:rFonts w:eastAsia="Calibri" w:cs="Times New Roman"/>
          <w:szCs w:val="24"/>
          <w:highlight w:val="yellow"/>
          <w:lang w:val="en-GB" w:eastAsia="en-US"/>
        </w:rPr>
        <w:t xml:space="preserve"> </w:t>
      </w:r>
      <w:r w:rsidR="008908D9" w:rsidRPr="00B6286D">
        <w:rPr>
          <w:rFonts w:eastAsia="Calibri" w:cs="Times New Roman"/>
          <w:szCs w:val="24"/>
          <w:highlight w:val="yellow"/>
          <w:lang w:val="en-GB" w:eastAsia="en-US"/>
        </w:rPr>
        <w:t>to account</w:t>
      </w:r>
      <w:r w:rsidR="003C7199" w:rsidRPr="00B6286D">
        <w:rPr>
          <w:rFonts w:eastAsia="Calibri" w:cs="Times New Roman"/>
          <w:szCs w:val="24"/>
          <w:highlight w:val="yellow"/>
          <w:lang w:val="en-GB" w:eastAsia="en-US"/>
        </w:rPr>
        <w:t xml:space="preserve"> for this effect</w:t>
      </w:r>
      <w:r w:rsidR="00854137" w:rsidRPr="00B6286D">
        <w:rPr>
          <w:rFonts w:eastAsia="Calibri" w:cs="Times New Roman"/>
          <w:szCs w:val="24"/>
          <w:highlight w:val="yellow"/>
          <w:lang w:val="en-GB" w:eastAsia="en-US"/>
        </w:rPr>
        <w:t>.</w:t>
      </w:r>
      <w:r w:rsidR="003C7199" w:rsidRPr="00B6286D">
        <w:rPr>
          <w:rFonts w:eastAsia="Calibri" w:cs="Times New Roman"/>
          <w:szCs w:val="24"/>
          <w:highlight w:val="yellow"/>
          <w:lang w:val="en-GB" w:eastAsia="en-US"/>
        </w:rPr>
        <w:t xml:space="preserve"> In addition, past performance of students has </w:t>
      </w:r>
      <w:r w:rsidR="00BB0EA0" w:rsidRPr="00B6286D">
        <w:rPr>
          <w:rFonts w:eastAsia="Calibri" w:cs="Times New Roman"/>
          <w:szCs w:val="24"/>
          <w:highlight w:val="yellow"/>
          <w:lang w:val="en-GB" w:eastAsia="en-US"/>
        </w:rPr>
        <w:t xml:space="preserve">also </w:t>
      </w:r>
      <w:r w:rsidR="003C7199" w:rsidRPr="00B6286D">
        <w:rPr>
          <w:rFonts w:eastAsia="Calibri" w:cs="Times New Roman"/>
          <w:szCs w:val="24"/>
          <w:highlight w:val="yellow"/>
          <w:lang w:val="en-GB" w:eastAsia="en-US"/>
        </w:rPr>
        <w:t xml:space="preserve">been cited as a major determinant of non-government school outcomes – and this explanation </w:t>
      </w:r>
      <w:r w:rsidR="00BB0EA0" w:rsidRPr="00B6286D">
        <w:rPr>
          <w:rFonts w:eastAsia="Calibri" w:cs="Times New Roman"/>
          <w:szCs w:val="24"/>
          <w:highlight w:val="yellow"/>
          <w:lang w:val="en-GB" w:eastAsia="en-US"/>
        </w:rPr>
        <w:t>can</w:t>
      </w:r>
      <w:r w:rsidR="001670AD" w:rsidRPr="00B6286D">
        <w:rPr>
          <w:rFonts w:eastAsia="Calibri" w:cs="Times New Roman"/>
          <w:szCs w:val="24"/>
          <w:highlight w:val="yellow"/>
          <w:lang w:val="en-GB" w:eastAsia="en-US"/>
        </w:rPr>
        <w:t xml:space="preserve"> be controlled for (Marks, 2014</w:t>
      </w:r>
      <w:r w:rsidR="003C7199" w:rsidRPr="00B6286D">
        <w:rPr>
          <w:rFonts w:eastAsia="Calibri" w:cs="Times New Roman"/>
          <w:szCs w:val="24"/>
          <w:highlight w:val="yellow"/>
          <w:lang w:val="en-GB" w:eastAsia="en-US"/>
        </w:rPr>
        <w:t>). If differences persist despite controlling for educational advantage, resourcing differences</w:t>
      </w:r>
      <w:r w:rsidR="00BB0EA0" w:rsidRPr="00B6286D">
        <w:rPr>
          <w:rFonts w:eastAsia="Calibri" w:cs="Times New Roman"/>
          <w:szCs w:val="24"/>
          <w:highlight w:val="yellow"/>
          <w:lang w:val="en-GB" w:eastAsia="en-US"/>
        </w:rPr>
        <w:t>,</w:t>
      </w:r>
      <w:r w:rsidR="003C7199" w:rsidRPr="00B6286D">
        <w:rPr>
          <w:rFonts w:eastAsia="Calibri" w:cs="Times New Roman"/>
          <w:szCs w:val="24"/>
          <w:highlight w:val="yellow"/>
          <w:lang w:val="en-GB" w:eastAsia="en-US"/>
        </w:rPr>
        <w:t xml:space="preserve"> and prior academic performance then </w:t>
      </w:r>
      <w:r w:rsidR="001D526A" w:rsidRPr="00B6286D">
        <w:rPr>
          <w:rFonts w:eastAsia="Calibri" w:cs="Times New Roman"/>
          <w:szCs w:val="24"/>
          <w:highlight w:val="yellow"/>
          <w:lang w:val="en-GB" w:eastAsia="en-US"/>
        </w:rPr>
        <w:t xml:space="preserve">explanations based on religion </w:t>
      </w:r>
      <w:r w:rsidR="00625C9D" w:rsidRPr="00B6286D">
        <w:rPr>
          <w:rFonts w:eastAsia="Calibri" w:cs="Times New Roman"/>
          <w:szCs w:val="24"/>
          <w:highlight w:val="yellow"/>
          <w:lang w:val="en-GB" w:eastAsia="en-US"/>
        </w:rPr>
        <w:t>become important.</w:t>
      </w:r>
    </w:p>
    <w:p w14:paraId="1FB03696" w14:textId="77777777" w:rsidR="00625C9D" w:rsidRDefault="00625C9D" w:rsidP="00625C9D">
      <w:pPr>
        <w:spacing w:after="0" w:line="480" w:lineRule="auto"/>
        <w:rPr>
          <w:rFonts w:eastAsia="Calibri" w:cs="Times New Roman"/>
          <w:szCs w:val="24"/>
          <w:lang w:val="en-GB" w:eastAsia="en-US"/>
        </w:rPr>
      </w:pPr>
    </w:p>
    <w:p w14:paraId="62AA4787" w14:textId="6B616B59" w:rsidR="00626F51" w:rsidRDefault="007003C2"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There is a large literature that examines the association between religion and educational attainment (</w:t>
      </w:r>
      <w:r w:rsidR="009F0396" w:rsidRPr="00B6286D">
        <w:rPr>
          <w:rFonts w:eastAsia="Calibri" w:cs="Times New Roman"/>
          <w:szCs w:val="24"/>
          <w:highlight w:val="yellow"/>
          <w:lang w:val="en-GB" w:eastAsia="en-US"/>
        </w:rPr>
        <w:t xml:space="preserve">i.e., the </w:t>
      </w:r>
      <w:r w:rsidRPr="00B6286D">
        <w:rPr>
          <w:rFonts w:eastAsia="Calibri" w:cs="Times New Roman"/>
          <w:szCs w:val="24"/>
          <w:highlight w:val="yellow"/>
          <w:lang w:val="en-GB" w:eastAsia="en-US"/>
        </w:rPr>
        <w:t>number of years of formal study) that has thus far been neglected</w:t>
      </w:r>
      <w:r w:rsidR="009F0396" w:rsidRPr="00B6286D">
        <w:rPr>
          <w:rFonts w:eastAsia="Calibri" w:cs="Times New Roman"/>
          <w:szCs w:val="24"/>
          <w:highlight w:val="yellow"/>
          <w:lang w:val="en-GB" w:eastAsia="en-US"/>
        </w:rPr>
        <w:t xml:space="preserve"> in the academic</w:t>
      </w:r>
      <w:r w:rsidR="00DE7504" w:rsidRPr="00B6286D">
        <w:rPr>
          <w:rFonts w:eastAsia="Calibri" w:cs="Times New Roman"/>
          <w:szCs w:val="24"/>
          <w:highlight w:val="yellow"/>
          <w:lang w:val="en-GB" w:eastAsia="en-US"/>
        </w:rPr>
        <w:t xml:space="preserve"> achievement literature</w:t>
      </w:r>
      <w:r w:rsidRPr="00B6286D">
        <w:rPr>
          <w:rFonts w:eastAsia="Calibri" w:cs="Times New Roman"/>
          <w:szCs w:val="24"/>
          <w:highlight w:val="yellow"/>
          <w:lang w:val="en-GB" w:eastAsia="en-US"/>
        </w:rPr>
        <w:t xml:space="preserve">, but seems to have strong potential to explain </w:t>
      </w:r>
      <w:r w:rsidR="00DE7504" w:rsidRPr="00B6286D">
        <w:rPr>
          <w:rFonts w:eastAsia="Calibri" w:cs="Times New Roman"/>
          <w:szCs w:val="24"/>
          <w:highlight w:val="yellow"/>
          <w:lang w:val="en-GB" w:eastAsia="en-US"/>
        </w:rPr>
        <w:t xml:space="preserve">observed </w:t>
      </w:r>
      <w:r w:rsidRPr="00B6286D">
        <w:rPr>
          <w:rFonts w:eastAsia="Calibri" w:cs="Times New Roman"/>
          <w:szCs w:val="24"/>
          <w:highlight w:val="yellow"/>
          <w:lang w:val="en-GB" w:eastAsia="en-US"/>
        </w:rPr>
        <w:t>difference</w:t>
      </w:r>
      <w:r w:rsidR="00DE7504" w:rsidRPr="00B6286D">
        <w:rPr>
          <w:rFonts w:eastAsia="Calibri" w:cs="Times New Roman"/>
          <w:szCs w:val="24"/>
          <w:highlight w:val="yellow"/>
          <w:lang w:val="en-GB" w:eastAsia="en-US"/>
        </w:rPr>
        <w:t>s</w:t>
      </w:r>
      <w:r w:rsidRPr="00B6286D">
        <w:rPr>
          <w:rFonts w:eastAsia="Calibri" w:cs="Times New Roman"/>
          <w:szCs w:val="24"/>
          <w:highlight w:val="yellow"/>
          <w:lang w:val="en-GB" w:eastAsia="en-US"/>
        </w:rPr>
        <w:t xml:space="preserve"> </w:t>
      </w:r>
      <w:r w:rsidR="009F0396" w:rsidRPr="00B6286D">
        <w:rPr>
          <w:rFonts w:eastAsia="Calibri" w:cs="Times New Roman"/>
          <w:szCs w:val="24"/>
          <w:highlight w:val="yellow"/>
          <w:lang w:val="en-GB" w:eastAsia="en-US"/>
        </w:rPr>
        <w:t>(</w:t>
      </w:r>
      <w:r w:rsidR="006201AE" w:rsidRPr="00B6286D">
        <w:rPr>
          <w:rFonts w:eastAsia="Calibri" w:cs="Times New Roman"/>
          <w:szCs w:val="24"/>
          <w:highlight w:val="yellow"/>
          <w:lang w:val="en-GB" w:eastAsia="en-US"/>
        </w:rPr>
        <w:t>Lehrer, 2006; Erickson and Phillips, 2012)</w:t>
      </w:r>
      <w:r w:rsidRPr="00B6286D">
        <w:rPr>
          <w:rFonts w:eastAsia="Calibri" w:cs="Times New Roman"/>
          <w:szCs w:val="24"/>
          <w:highlight w:val="yellow"/>
          <w:lang w:val="en-GB" w:eastAsia="en-US"/>
        </w:rPr>
        <w:t>. These explanations have particular salience for institutions where students must be affiliated with the religion of the admin</w:t>
      </w:r>
      <w:r w:rsidR="009F0396" w:rsidRPr="00B6286D">
        <w:rPr>
          <w:rFonts w:eastAsia="Calibri" w:cs="Times New Roman"/>
          <w:szCs w:val="24"/>
          <w:highlight w:val="yellow"/>
          <w:lang w:val="en-GB" w:eastAsia="en-US"/>
        </w:rPr>
        <w:t>istering authority (e.g.,</w:t>
      </w:r>
      <w:r w:rsidRPr="00B6286D">
        <w:rPr>
          <w:rFonts w:eastAsia="Calibri" w:cs="Times New Roman"/>
          <w:szCs w:val="24"/>
          <w:highlight w:val="yellow"/>
          <w:lang w:val="en-GB" w:eastAsia="en-US"/>
        </w:rPr>
        <w:t xml:space="preserve"> orthodox Jewish schools) or where</w:t>
      </w:r>
      <w:r w:rsidR="003C7199" w:rsidRPr="00B6286D">
        <w:rPr>
          <w:rFonts w:eastAsia="Calibri" w:cs="Times New Roman"/>
          <w:szCs w:val="24"/>
          <w:highlight w:val="yellow"/>
          <w:lang w:val="en-GB" w:eastAsia="en-US"/>
        </w:rPr>
        <w:t>,</w:t>
      </w:r>
      <w:r w:rsidRPr="00B6286D">
        <w:rPr>
          <w:rFonts w:eastAsia="Calibri" w:cs="Times New Roman"/>
          <w:szCs w:val="24"/>
          <w:highlight w:val="yellow"/>
          <w:lang w:val="en-GB" w:eastAsia="en-US"/>
        </w:rPr>
        <w:t xml:space="preserve"> despite open enrolment practices</w:t>
      </w:r>
      <w:r w:rsidR="003C7199" w:rsidRPr="00B6286D">
        <w:rPr>
          <w:rFonts w:eastAsia="Calibri" w:cs="Times New Roman"/>
          <w:szCs w:val="24"/>
          <w:highlight w:val="yellow"/>
          <w:lang w:val="en-GB" w:eastAsia="en-US"/>
        </w:rPr>
        <w:t>,</w:t>
      </w:r>
      <w:r w:rsidRPr="00B6286D">
        <w:rPr>
          <w:rFonts w:eastAsia="Calibri" w:cs="Times New Roman"/>
          <w:szCs w:val="24"/>
          <w:highlight w:val="yellow"/>
          <w:lang w:val="en-GB" w:eastAsia="en-US"/>
        </w:rPr>
        <w:t xml:space="preserve"> all students are affiliates</w:t>
      </w:r>
      <w:r w:rsidR="009F0396" w:rsidRPr="00B6286D">
        <w:rPr>
          <w:rFonts w:eastAsia="Calibri" w:cs="Times New Roman"/>
          <w:szCs w:val="24"/>
          <w:highlight w:val="yellow"/>
          <w:lang w:val="en-GB" w:eastAsia="en-US"/>
        </w:rPr>
        <w:t xml:space="preserve"> as in the case of </w:t>
      </w:r>
      <w:r w:rsidRPr="00B6286D">
        <w:rPr>
          <w:rFonts w:eastAsia="Calibri" w:cs="Times New Roman"/>
          <w:szCs w:val="24"/>
          <w:highlight w:val="yellow"/>
          <w:lang w:val="en-GB" w:eastAsia="en-US"/>
        </w:rPr>
        <w:t>Islamic schools</w:t>
      </w:r>
      <w:r w:rsidR="009F0396" w:rsidRPr="00B6286D">
        <w:rPr>
          <w:rFonts w:eastAsia="Calibri" w:cs="Times New Roman"/>
          <w:szCs w:val="24"/>
          <w:highlight w:val="yellow"/>
          <w:lang w:val="en-GB" w:eastAsia="en-US"/>
        </w:rPr>
        <w:t xml:space="preserve"> (</w:t>
      </w:r>
      <w:r w:rsidRPr="00B6286D">
        <w:rPr>
          <w:rFonts w:eastAsia="Calibri" w:cs="Times New Roman"/>
          <w:szCs w:val="24"/>
          <w:highlight w:val="yellow"/>
          <w:lang w:val="en-GB" w:eastAsia="en-US"/>
        </w:rPr>
        <w:t xml:space="preserve">Evans </w:t>
      </w:r>
      <w:r w:rsidR="00626F51" w:rsidRPr="00B6286D">
        <w:rPr>
          <w:rFonts w:eastAsia="Calibri" w:cs="Times New Roman"/>
          <w:szCs w:val="24"/>
          <w:highlight w:val="yellow"/>
          <w:lang w:val="en-GB" w:eastAsia="en-US"/>
        </w:rPr>
        <w:t>and Gaze, 2010).</w:t>
      </w:r>
    </w:p>
    <w:p w14:paraId="13603829" w14:textId="4B4ADCF4" w:rsidR="00B6286D" w:rsidRDefault="00B6286D">
      <w:pPr>
        <w:rPr>
          <w:rFonts w:eastAsia="Calibri" w:cs="Times New Roman"/>
          <w:szCs w:val="24"/>
          <w:lang w:val="en-GB" w:eastAsia="en-US"/>
        </w:rPr>
      </w:pPr>
      <w:r>
        <w:rPr>
          <w:rFonts w:eastAsia="Calibri" w:cs="Times New Roman"/>
          <w:szCs w:val="24"/>
          <w:lang w:val="en-GB" w:eastAsia="en-US"/>
        </w:rPr>
        <w:br w:type="page"/>
      </w:r>
    </w:p>
    <w:p w14:paraId="120B60BF" w14:textId="77777777" w:rsidR="00626F51" w:rsidRDefault="00626F51" w:rsidP="00625C9D">
      <w:pPr>
        <w:spacing w:after="0" w:line="480" w:lineRule="auto"/>
        <w:rPr>
          <w:rFonts w:eastAsia="Calibri" w:cs="Times New Roman"/>
          <w:szCs w:val="24"/>
          <w:lang w:val="en-GB" w:eastAsia="en-US"/>
        </w:rPr>
      </w:pPr>
    </w:p>
    <w:p w14:paraId="262E07CE" w14:textId="4747D174" w:rsidR="001D5B43" w:rsidRDefault="007003C2"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However, even in faith-based institutions noted for having heterogeneous student populations such as Ca</w:t>
      </w:r>
      <w:r w:rsidR="0034746A" w:rsidRPr="00B6286D">
        <w:rPr>
          <w:rFonts w:eastAsia="Calibri" w:cs="Times New Roman"/>
          <w:szCs w:val="24"/>
          <w:highlight w:val="yellow"/>
          <w:lang w:val="en-GB" w:eastAsia="en-US"/>
        </w:rPr>
        <w:t>tholic schools</w:t>
      </w:r>
      <w:r w:rsidR="00823B37" w:rsidRPr="00B6286D">
        <w:rPr>
          <w:rFonts w:eastAsia="Calibri" w:cs="Times New Roman"/>
          <w:szCs w:val="24"/>
          <w:highlight w:val="yellow"/>
          <w:lang w:val="en-GB" w:eastAsia="en-US"/>
        </w:rPr>
        <w:t>,</w:t>
      </w:r>
      <w:r w:rsidR="0034746A" w:rsidRPr="00B6286D">
        <w:rPr>
          <w:rFonts w:eastAsia="Calibri" w:cs="Times New Roman"/>
          <w:szCs w:val="24"/>
          <w:highlight w:val="yellow"/>
          <w:lang w:val="en-GB" w:eastAsia="en-US"/>
        </w:rPr>
        <w:t xml:space="preserve"> there is a </w:t>
      </w:r>
      <w:r w:rsidR="00DE7504" w:rsidRPr="00B6286D">
        <w:rPr>
          <w:rFonts w:eastAsia="Calibri" w:cs="Times New Roman"/>
          <w:szCs w:val="24"/>
          <w:highlight w:val="yellow"/>
          <w:lang w:val="en-GB" w:eastAsia="en-US"/>
        </w:rPr>
        <w:t xml:space="preserve">distinct </w:t>
      </w:r>
      <w:r w:rsidR="0034746A" w:rsidRPr="00B6286D">
        <w:rPr>
          <w:rFonts w:eastAsia="Calibri" w:cs="Times New Roman"/>
          <w:szCs w:val="24"/>
          <w:highlight w:val="yellow"/>
          <w:lang w:val="en-GB" w:eastAsia="en-US"/>
        </w:rPr>
        <w:t xml:space="preserve">concentration of affiliates that is large enough to affect </w:t>
      </w:r>
      <w:r w:rsidR="00DE7504" w:rsidRPr="00B6286D">
        <w:rPr>
          <w:rFonts w:eastAsia="Calibri" w:cs="Times New Roman"/>
          <w:szCs w:val="24"/>
          <w:highlight w:val="yellow"/>
          <w:lang w:val="en-GB" w:eastAsia="en-US"/>
        </w:rPr>
        <w:t>average achievement</w:t>
      </w:r>
      <w:r w:rsidR="003C7199" w:rsidRPr="00B6286D">
        <w:rPr>
          <w:rFonts w:eastAsia="Calibri" w:cs="Times New Roman"/>
          <w:szCs w:val="24"/>
          <w:highlight w:val="yellow"/>
          <w:lang w:val="en-GB" w:eastAsia="en-US"/>
        </w:rPr>
        <w:t xml:space="preserve"> (indeed 69% of students at Catholic schools are affiliates; National Catholic Education Commission, 2014)</w:t>
      </w:r>
      <w:r w:rsidR="0034746A" w:rsidRPr="00B6286D">
        <w:rPr>
          <w:rFonts w:eastAsia="Calibri" w:cs="Times New Roman"/>
          <w:szCs w:val="24"/>
          <w:highlight w:val="yellow"/>
          <w:lang w:val="en-GB" w:eastAsia="en-US"/>
        </w:rPr>
        <w:t xml:space="preserve">. </w:t>
      </w:r>
      <w:r w:rsidR="006201AE" w:rsidRPr="00B6286D">
        <w:rPr>
          <w:rFonts w:eastAsia="Calibri" w:cs="Times New Roman"/>
          <w:szCs w:val="24"/>
          <w:highlight w:val="yellow"/>
          <w:lang w:val="en-GB" w:eastAsia="en-US"/>
        </w:rPr>
        <w:t>There is strong evidence to suggest that indirect effects (which include the quantity-quality, diaspora and immigr</w:t>
      </w:r>
      <w:r w:rsidR="00D06275" w:rsidRPr="00B6286D">
        <w:rPr>
          <w:rFonts w:eastAsia="Calibri" w:cs="Times New Roman"/>
          <w:szCs w:val="24"/>
          <w:highlight w:val="yellow"/>
          <w:lang w:val="en-GB" w:eastAsia="en-US"/>
        </w:rPr>
        <w:t>ation hypotheses</w:t>
      </w:r>
      <w:r w:rsidR="006201AE" w:rsidRPr="00B6286D">
        <w:rPr>
          <w:rFonts w:eastAsia="Calibri" w:cs="Times New Roman"/>
          <w:szCs w:val="24"/>
          <w:highlight w:val="yellow"/>
          <w:lang w:val="en-GB" w:eastAsia="en-US"/>
        </w:rPr>
        <w:t>) and direct effects (the value of introspection, transference of rote learning skills, intergenerational mentoring, and engagement with philosophically sophisticated material) of religion can affect educational attainment</w:t>
      </w:r>
      <w:r w:rsidR="00D06275" w:rsidRPr="00B6286D">
        <w:rPr>
          <w:rFonts w:eastAsia="Calibri" w:cs="Times New Roman"/>
          <w:szCs w:val="24"/>
          <w:highlight w:val="yellow"/>
          <w:lang w:val="en-GB" w:eastAsia="en-US"/>
        </w:rPr>
        <w:t>. Thus,</w:t>
      </w:r>
      <w:r w:rsidR="006201AE" w:rsidRPr="00B6286D">
        <w:rPr>
          <w:rFonts w:eastAsia="Calibri" w:cs="Times New Roman"/>
          <w:szCs w:val="24"/>
          <w:highlight w:val="yellow"/>
          <w:lang w:val="en-GB" w:eastAsia="en-US"/>
        </w:rPr>
        <w:t xml:space="preserve"> we </w:t>
      </w:r>
      <w:r w:rsidR="00D06275" w:rsidRPr="00B6286D">
        <w:rPr>
          <w:rFonts w:eastAsia="Calibri" w:cs="Times New Roman"/>
          <w:szCs w:val="24"/>
          <w:highlight w:val="yellow"/>
          <w:lang w:val="en-GB" w:eastAsia="en-US"/>
        </w:rPr>
        <w:t xml:space="preserve">need to </w:t>
      </w:r>
      <w:r w:rsidR="006201AE" w:rsidRPr="00B6286D">
        <w:rPr>
          <w:rFonts w:eastAsia="Calibri" w:cs="Times New Roman"/>
          <w:szCs w:val="24"/>
          <w:highlight w:val="yellow"/>
          <w:lang w:val="en-GB" w:eastAsia="en-US"/>
        </w:rPr>
        <w:t xml:space="preserve">carefully consider the applicability of these ideas for explaining differences between faith-based </w:t>
      </w:r>
      <w:r w:rsidR="00DE7504" w:rsidRPr="00B6286D">
        <w:rPr>
          <w:rFonts w:eastAsia="Calibri" w:cs="Times New Roman"/>
          <w:szCs w:val="24"/>
          <w:highlight w:val="yellow"/>
          <w:lang w:val="en-GB" w:eastAsia="en-US"/>
        </w:rPr>
        <w:t xml:space="preserve">education </w:t>
      </w:r>
      <w:proofErr w:type="gramStart"/>
      <w:r w:rsidR="00DE7504" w:rsidRPr="00B6286D">
        <w:rPr>
          <w:rFonts w:eastAsia="Calibri" w:cs="Times New Roman"/>
          <w:szCs w:val="24"/>
          <w:highlight w:val="yellow"/>
          <w:lang w:val="en-GB" w:eastAsia="en-US"/>
        </w:rPr>
        <w:t>achievement</w:t>
      </w:r>
      <w:proofErr w:type="gramEnd"/>
      <w:r w:rsidR="006201AE" w:rsidRPr="00B6286D">
        <w:rPr>
          <w:rFonts w:eastAsia="Calibri" w:cs="Times New Roman"/>
          <w:szCs w:val="24"/>
          <w:highlight w:val="yellow"/>
          <w:lang w:val="en-GB" w:eastAsia="en-US"/>
        </w:rPr>
        <w:t xml:space="preserve"> that persist despite controls for educ</w:t>
      </w:r>
      <w:r w:rsidR="00625C9D" w:rsidRPr="00B6286D">
        <w:rPr>
          <w:rFonts w:eastAsia="Calibri" w:cs="Times New Roman"/>
          <w:szCs w:val="24"/>
          <w:highlight w:val="yellow"/>
          <w:lang w:val="en-GB" w:eastAsia="en-US"/>
        </w:rPr>
        <w:t>ation advantage and resourcing.</w:t>
      </w:r>
    </w:p>
    <w:p w14:paraId="35291826" w14:textId="77777777" w:rsidR="00625C9D" w:rsidRDefault="00625C9D" w:rsidP="00625C9D">
      <w:pPr>
        <w:spacing w:after="0" w:line="480" w:lineRule="auto"/>
        <w:rPr>
          <w:rFonts w:eastAsia="Calibri" w:cs="Times New Roman"/>
          <w:szCs w:val="24"/>
          <w:lang w:val="en-GB" w:eastAsia="en-US"/>
        </w:rPr>
      </w:pPr>
    </w:p>
    <w:p w14:paraId="224F3681" w14:textId="77777777" w:rsidR="000350A1" w:rsidRDefault="006201AE"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 xml:space="preserve">Our study is particularly </w:t>
      </w:r>
      <w:r w:rsidR="008B307A" w:rsidRPr="00B6286D">
        <w:rPr>
          <w:rFonts w:eastAsia="Calibri" w:cs="Times New Roman"/>
          <w:szCs w:val="24"/>
          <w:highlight w:val="yellow"/>
          <w:lang w:val="en-GB" w:eastAsia="en-US"/>
        </w:rPr>
        <w:t>timely</w:t>
      </w:r>
      <w:r w:rsidRPr="00B6286D">
        <w:rPr>
          <w:rFonts w:eastAsia="Calibri" w:cs="Times New Roman"/>
          <w:szCs w:val="24"/>
          <w:highlight w:val="yellow"/>
          <w:lang w:val="en-GB" w:eastAsia="en-US"/>
        </w:rPr>
        <w:t xml:space="preserve"> given the </w:t>
      </w:r>
      <w:r w:rsidR="008B307A" w:rsidRPr="00B6286D">
        <w:rPr>
          <w:rFonts w:eastAsia="Calibri" w:cs="Times New Roman"/>
          <w:szCs w:val="24"/>
          <w:highlight w:val="yellow"/>
          <w:lang w:val="en-GB" w:eastAsia="en-US"/>
        </w:rPr>
        <w:t xml:space="preserve">current </w:t>
      </w:r>
      <w:r w:rsidRPr="00B6286D">
        <w:rPr>
          <w:rFonts w:eastAsia="Calibri" w:cs="Times New Roman"/>
          <w:szCs w:val="24"/>
          <w:highlight w:val="yellow"/>
          <w:lang w:val="en-GB" w:eastAsia="en-US"/>
        </w:rPr>
        <w:t xml:space="preserve">debate regarding the level of federal funding provided to </w:t>
      </w:r>
      <w:r w:rsidR="00D10F62" w:rsidRPr="00B6286D">
        <w:rPr>
          <w:rFonts w:eastAsia="Calibri" w:cs="Times New Roman"/>
          <w:szCs w:val="24"/>
          <w:highlight w:val="yellow"/>
          <w:lang w:val="en-GB" w:eastAsia="en-US"/>
        </w:rPr>
        <w:t>faith-based</w:t>
      </w:r>
      <w:r w:rsidRPr="00B6286D">
        <w:rPr>
          <w:rFonts w:eastAsia="Calibri" w:cs="Times New Roman"/>
          <w:szCs w:val="24"/>
          <w:highlight w:val="yellow"/>
          <w:lang w:val="en-GB" w:eastAsia="en-US"/>
        </w:rPr>
        <w:t xml:space="preserve"> schools in </w:t>
      </w:r>
      <w:r w:rsidR="008B307A" w:rsidRPr="00B6286D">
        <w:rPr>
          <w:rFonts w:eastAsia="Calibri" w:cs="Times New Roman"/>
          <w:szCs w:val="24"/>
          <w:highlight w:val="yellow"/>
          <w:lang w:val="en-GB" w:eastAsia="en-US"/>
        </w:rPr>
        <w:t>Australia</w:t>
      </w:r>
      <w:r w:rsidRPr="00B6286D">
        <w:rPr>
          <w:rFonts w:eastAsia="Calibri" w:cs="Times New Roman"/>
          <w:szCs w:val="24"/>
          <w:highlight w:val="yellow"/>
          <w:lang w:val="en-GB" w:eastAsia="en-US"/>
        </w:rPr>
        <w:t xml:space="preserve">. </w:t>
      </w:r>
      <w:r w:rsidR="00A03922" w:rsidRPr="00B6286D">
        <w:rPr>
          <w:rFonts w:eastAsia="Calibri" w:cs="Times New Roman"/>
          <w:szCs w:val="24"/>
          <w:highlight w:val="yellow"/>
          <w:lang w:val="en-GB" w:eastAsia="en-US"/>
        </w:rPr>
        <w:t xml:space="preserve">For instance, a number of Islamic schools – including </w:t>
      </w:r>
      <w:proofErr w:type="spellStart"/>
      <w:r w:rsidR="00A03922" w:rsidRPr="00B6286D">
        <w:rPr>
          <w:rFonts w:eastAsia="Calibri" w:cs="Times New Roman"/>
          <w:szCs w:val="24"/>
          <w:highlight w:val="yellow"/>
          <w:lang w:val="en-GB" w:eastAsia="en-US"/>
        </w:rPr>
        <w:t>Malek</w:t>
      </w:r>
      <w:proofErr w:type="spellEnd"/>
      <w:r w:rsidR="00A03922" w:rsidRPr="00B6286D">
        <w:rPr>
          <w:rFonts w:eastAsia="Calibri" w:cs="Times New Roman"/>
          <w:szCs w:val="24"/>
          <w:highlight w:val="yellow"/>
          <w:lang w:val="en-GB" w:eastAsia="en-US"/>
        </w:rPr>
        <w:t xml:space="preserve"> Fahd, Australia’s largest Islamic school, the Islamic School of Canberra, and the Islamic College of South Australia – have had Federal government funding discontinued as a result of failure to ‘operate on a not-for-profit basis, and to dedicate all funding received to the benefit, welfare and educational advancement o</w:t>
      </w:r>
      <w:r w:rsidR="000350A1" w:rsidRPr="00B6286D">
        <w:rPr>
          <w:rFonts w:eastAsia="Calibri" w:cs="Times New Roman"/>
          <w:szCs w:val="24"/>
          <w:highlight w:val="yellow"/>
          <w:lang w:val="en-GB" w:eastAsia="en-US"/>
        </w:rPr>
        <w:t>f students’ (Birmingham, 2016).</w:t>
      </w:r>
    </w:p>
    <w:p w14:paraId="5FCA169D" w14:textId="77777777" w:rsidR="000350A1" w:rsidRDefault="000350A1" w:rsidP="00625C9D">
      <w:pPr>
        <w:spacing w:after="0" w:line="480" w:lineRule="auto"/>
        <w:rPr>
          <w:rFonts w:eastAsia="Calibri" w:cs="Times New Roman"/>
          <w:szCs w:val="24"/>
          <w:lang w:val="en-GB" w:eastAsia="en-US"/>
        </w:rPr>
      </w:pPr>
    </w:p>
    <w:p w14:paraId="3363A4C3" w14:textId="2A8C3496" w:rsidR="006201AE" w:rsidRDefault="00A03922" w:rsidP="00625C9D">
      <w:pPr>
        <w:spacing w:after="0" w:line="480" w:lineRule="auto"/>
        <w:rPr>
          <w:rFonts w:eastAsia="Calibri" w:cs="Times New Roman"/>
          <w:szCs w:val="24"/>
          <w:lang w:val="en-GB" w:eastAsia="en-US"/>
        </w:rPr>
      </w:pPr>
      <w:r w:rsidRPr="00B6286D">
        <w:rPr>
          <w:rFonts w:eastAsia="Calibri" w:cs="Times New Roman"/>
          <w:szCs w:val="24"/>
          <w:highlight w:val="yellow"/>
          <w:lang w:val="en-GB" w:eastAsia="en-US"/>
        </w:rPr>
        <w:t>Moreover, in May 2017 the Federal government announced significant changes to its schools funding model (see, Drew and Fahey, 2018). These changes are set to hit Catholic schools particularly hard, thus prompting the National Catholic Education Commission to warn of school closures and decry that the Federal government was ‘undermining our ability to provide an equitable education for families’ (Cronin cited in Bye and McDougall, 2017).</w:t>
      </w:r>
    </w:p>
    <w:p w14:paraId="741F460F" w14:textId="77777777" w:rsidR="00625C9D" w:rsidRDefault="00625C9D" w:rsidP="00625C9D">
      <w:pPr>
        <w:spacing w:after="0" w:line="480" w:lineRule="auto"/>
        <w:rPr>
          <w:rFonts w:eastAsia="Calibri" w:cs="Times New Roman"/>
          <w:szCs w:val="24"/>
          <w:lang w:val="en-GB" w:eastAsia="en-US"/>
        </w:rPr>
      </w:pPr>
    </w:p>
    <w:p w14:paraId="59E6C320" w14:textId="471418D8" w:rsidR="00A03922" w:rsidRPr="00A03922" w:rsidRDefault="00A03922" w:rsidP="00625C9D">
      <w:pPr>
        <w:spacing w:after="0" w:line="480" w:lineRule="auto"/>
        <w:rPr>
          <w:rFonts w:eastAsia="Calibri" w:cs="Times New Roman"/>
          <w:szCs w:val="24"/>
          <w:lang w:eastAsia="en-US"/>
        </w:rPr>
      </w:pPr>
      <w:r w:rsidRPr="00B6286D">
        <w:rPr>
          <w:rFonts w:eastAsia="Calibri" w:cs="Times New Roman"/>
          <w:szCs w:val="24"/>
          <w:highlight w:val="yellow"/>
          <w:lang w:val="en-GB" w:eastAsia="en-US"/>
        </w:rPr>
        <w:t xml:space="preserve">This paper tests whether there are differences in educational achievement between government schools, various religious authority schools and other independent schools over a six-year panel of data (2010 to 2015) and analyses it in terms of both existing explanations </w:t>
      </w:r>
      <w:r w:rsidRPr="00B6286D">
        <w:rPr>
          <w:rFonts w:eastAsia="Calibri" w:cs="Times New Roman"/>
          <w:i/>
          <w:szCs w:val="24"/>
          <w:highlight w:val="yellow"/>
          <w:lang w:val="en-GB" w:eastAsia="en-US"/>
        </w:rPr>
        <w:t>and</w:t>
      </w:r>
      <w:r w:rsidRPr="00B6286D">
        <w:rPr>
          <w:rFonts w:eastAsia="Calibri" w:cs="Times New Roman"/>
          <w:szCs w:val="24"/>
          <w:highlight w:val="yellow"/>
          <w:lang w:val="en-GB" w:eastAsia="en-US"/>
        </w:rPr>
        <w:t xml:space="preserve"> theories from the religion and education literature.</w:t>
      </w:r>
      <w:r w:rsidRPr="00B6286D">
        <w:rPr>
          <w:rFonts w:eastAsia="Calibri" w:cs="Times New Roman"/>
          <w:szCs w:val="24"/>
          <w:highlight w:val="yellow"/>
          <w:lang w:eastAsia="en-US"/>
        </w:rPr>
        <w:t xml:space="preserve"> The balance of this journal article is organised as follows. First, we employ the Theory of Religious-Secular Competition to explain the choices confronting individual families regarding their children’s </w:t>
      </w:r>
      <w:r w:rsidR="00625C9D" w:rsidRPr="00B6286D">
        <w:rPr>
          <w:rFonts w:eastAsia="Calibri" w:cs="Times New Roman"/>
          <w:szCs w:val="24"/>
          <w:highlight w:val="yellow"/>
          <w:lang w:eastAsia="en-US"/>
        </w:rPr>
        <w:t>education, which</w:t>
      </w:r>
      <w:r w:rsidRPr="00B6286D">
        <w:rPr>
          <w:rFonts w:eastAsia="Calibri" w:cs="Times New Roman"/>
          <w:szCs w:val="24"/>
          <w:highlight w:val="yellow"/>
          <w:lang w:eastAsia="en-US"/>
        </w:rPr>
        <w:t xml:space="preserve"> might be expected to give rise to significant aggregate effects. Next, we outline our empirical </w:t>
      </w:r>
      <w:r w:rsidR="00625C9D" w:rsidRPr="00B6286D">
        <w:rPr>
          <w:rFonts w:eastAsia="Calibri" w:cs="Times New Roman"/>
          <w:szCs w:val="24"/>
          <w:highlight w:val="yellow"/>
          <w:lang w:eastAsia="en-US"/>
        </w:rPr>
        <w:t>strategy, which</w:t>
      </w:r>
      <w:r w:rsidRPr="00B6286D">
        <w:rPr>
          <w:rFonts w:eastAsia="Calibri" w:cs="Times New Roman"/>
          <w:szCs w:val="24"/>
          <w:highlight w:val="yellow"/>
          <w:lang w:eastAsia="en-US"/>
        </w:rPr>
        <w:t xml:space="preserve"> extends the literature by</w:t>
      </w:r>
      <w:r w:rsidR="004F07F1" w:rsidRPr="00B6286D">
        <w:rPr>
          <w:rFonts w:eastAsia="Calibri" w:cs="Times New Roman"/>
          <w:szCs w:val="24"/>
          <w:highlight w:val="yellow"/>
          <w:lang w:eastAsia="en-US"/>
        </w:rPr>
        <w:t xml:space="preserve"> significantly increasing the level of disaggregation used to examine associations between various faith-based institutions and performance on national examinations</w:t>
      </w:r>
      <w:r w:rsidRPr="00B6286D">
        <w:rPr>
          <w:rFonts w:eastAsia="Calibri" w:cs="Times New Roman"/>
          <w:szCs w:val="24"/>
          <w:highlight w:val="yellow"/>
          <w:lang w:eastAsia="en-US"/>
        </w:rPr>
        <w:t xml:space="preserve">. Thereafter, we discuss the results of our empirical analysis with respect to </w:t>
      </w:r>
      <w:r w:rsidR="004F07F1" w:rsidRPr="00B6286D">
        <w:rPr>
          <w:rFonts w:eastAsia="Calibri" w:cs="Times New Roman"/>
          <w:szCs w:val="24"/>
          <w:highlight w:val="yellow"/>
          <w:lang w:eastAsia="en-US"/>
        </w:rPr>
        <w:t>explanations based on education advantage, school resourcing and religion</w:t>
      </w:r>
      <w:r w:rsidRPr="00B6286D">
        <w:rPr>
          <w:rFonts w:eastAsia="Calibri" w:cs="Times New Roman"/>
          <w:szCs w:val="24"/>
          <w:highlight w:val="yellow"/>
          <w:lang w:eastAsia="en-US"/>
        </w:rPr>
        <w:t>. The article concludes with an enumeration of the public policy lessons, which arise from our work.</w:t>
      </w:r>
    </w:p>
    <w:p w14:paraId="380C04B1" w14:textId="77777777" w:rsidR="00B90D32" w:rsidRDefault="00B90D32" w:rsidP="00625C9D">
      <w:pPr>
        <w:spacing w:after="0" w:line="480" w:lineRule="auto"/>
        <w:rPr>
          <w:rFonts w:cs="Times New Roman"/>
          <w:szCs w:val="24"/>
        </w:rPr>
      </w:pPr>
    </w:p>
    <w:p w14:paraId="0A170D08" w14:textId="62E3B02E" w:rsidR="00B90D32" w:rsidRPr="00B9397A" w:rsidRDefault="00B90D32" w:rsidP="00625C9D">
      <w:pPr>
        <w:spacing w:after="0" w:line="480" w:lineRule="auto"/>
        <w:rPr>
          <w:rFonts w:cs="Times New Roman"/>
          <w:b/>
          <w:szCs w:val="24"/>
        </w:rPr>
      </w:pPr>
      <w:r>
        <w:rPr>
          <w:rFonts w:cs="Times New Roman"/>
          <w:b/>
          <w:szCs w:val="24"/>
        </w:rPr>
        <w:t>THEORETICAL</w:t>
      </w:r>
      <w:r w:rsidRPr="00B9397A">
        <w:rPr>
          <w:rFonts w:cs="Times New Roman"/>
          <w:b/>
          <w:szCs w:val="24"/>
        </w:rPr>
        <w:t xml:space="preserve"> AND </w:t>
      </w:r>
      <w:r>
        <w:rPr>
          <w:rFonts w:cs="Times New Roman"/>
          <w:b/>
          <w:szCs w:val="24"/>
        </w:rPr>
        <w:t>EMPIRICAL CONTEXT</w:t>
      </w:r>
    </w:p>
    <w:p w14:paraId="672A84CF" w14:textId="00C9E13C" w:rsidR="003D7E41" w:rsidRDefault="005B6D97" w:rsidP="00625C9D">
      <w:pPr>
        <w:spacing w:after="0" w:line="480" w:lineRule="auto"/>
        <w:rPr>
          <w:rFonts w:cs="Times New Roman"/>
          <w:szCs w:val="24"/>
        </w:rPr>
      </w:pPr>
      <w:r w:rsidRPr="00B6286D">
        <w:rPr>
          <w:rFonts w:cs="Times New Roman"/>
          <w:szCs w:val="24"/>
          <w:highlight w:val="yellow"/>
        </w:rPr>
        <w:t xml:space="preserve">A useful way of examining individual’s choices regarding where they might educate their children is with reference to the Theory of Religious-Secular Competition developed by Stoltz and </w:t>
      </w:r>
      <w:r w:rsidR="00BF5B6B" w:rsidRPr="00B6286D">
        <w:rPr>
          <w:rFonts w:cs="Times New Roman"/>
          <w:szCs w:val="24"/>
          <w:highlight w:val="yellow"/>
        </w:rPr>
        <w:t>colleagues</w:t>
      </w:r>
      <w:r w:rsidR="00C13737" w:rsidRPr="00B6286D">
        <w:rPr>
          <w:rFonts w:cs="Times New Roman"/>
          <w:szCs w:val="24"/>
          <w:highlight w:val="yellow"/>
        </w:rPr>
        <w:t xml:space="preserve"> (Stoltz et al., 2016</w:t>
      </w:r>
      <w:r w:rsidRPr="00B6286D">
        <w:rPr>
          <w:rFonts w:cs="Times New Roman"/>
          <w:szCs w:val="24"/>
          <w:highlight w:val="yellow"/>
        </w:rPr>
        <w:t xml:space="preserve">). The theory suggests that when individuals can choose between secular and religious providers of a good (in our case education) then this can set up the conditions for competition. The Religious-Secular Competition theory draws attention to how innovation (changes to the game), regulation (how the game is played) and resources (economic, cultural and social) affect both religious and secular suppliers </w:t>
      </w:r>
      <w:r w:rsidR="00BF5B6B" w:rsidRPr="00B6286D">
        <w:rPr>
          <w:rFonts w:cs="Times New Roman"/>
          <w:szCs w:val="24"/>
          <w:highlight w:val="yellow"/>
        </w:rPr>
        <w:t>and</w:t>
      </w:r>
      <w:r w:rsidRPr="00B6286D">
        <w:rPr>
          <w:rFonts w:cs="Times New Roman"/>
          <w:szCs w:val="24"/>
          <w:highlight w:val="yellow"/>
        </w:rPr>
        <w:t xml:space="preserve"> the consumers of the good on offer (Stoltz and Tanner, 2017). Moreover, it notes the salience of</w:t>
      </w:r>
      <w:r>
        <w:rPr>
          <w:rFonts w:cs="Times New Roman"/>
          <w:szCs w:val="24"/>
        </w:rPr>
        <w:t xml:space="preserve"> </w:t>
      </w:r>
      <w:r w:rsidRPr="00B6286D">
        <w:rPr>
          <w:rFonts w:cs="Times New Roman"/>
          <w:szCs w:val="24"/>
          <w:highlight w:val="yellow"/>
        </w:rPr>
        <w:lastRenderedPageBreak/>
        <w:t xml:space="preserve">family preferences and beliefs to the </w:t>
      </w:r>
      <w:r w:rsidR="003D7E41" w:rsidRPr="00B6286D">
        <w:rPr>
          <w:rFonts w:cs="Times New Roman"/>
          <w:szCs w:val="24"/>
          <w:highlight w:val="yellow"/>
        </w:rPr>
        <w:t>choice of individuals whose affects we can observe in the aggregate (Stoltz and Tanner, 2017).</w:t>
      </w:r>
    </w:p>
    <w:p w14:paraId="2C76665D" w14:textId="77777777" w:rsidR="00625C9D" w:rsidRDefault="00625C9D" w:rsidP="00625C9D">
      <w:pPr>
        <w:spacing w:after="0" w:line="480" w:lineRule="auto"/>
        <w:rPr>
          <w:rFonts w:cs="Times New Roman"/>
          <w:szCs w:val="24"/>
        </w:rPr>
      </w:pPr>
    </w:p>
    <w:p w14:paraId="4B26B20C" w14:textId="77777777" w:rsidR="008F0F51" w:rsidRDefault="00DE7504" w:rsidP="00625C9D">
      <w:pPr>
        <w:spacing w:after="0" w:line="480" w:lineRule="auto"/>
        <w:rPr>
          <w:rFonts w:cs="Times New Roman"/>
          <w:szCs w:val="24"/>
        </w:rPr>
      </w:pPr>
      <w:r w:rsidRPr="00B6286D">
        <w:rPr>
          <w:rFonts w:cs="Times New Roman"/>
          <w:szCs w:val="24"/>
          <w:highlight w:val="yellow"/>
        </w:rPr>
        <w:t xml:space="preserve">In </w:t>
      </w:r>
      <w:r w:rsidR="00BF5B6B" w:rsidRPr="00B6286D">
        <w:rPr>
          <w:rFonts w:cs="Times New Roman"/>
          <w:szCs w:val="24"/>
          <w:highlight w:val="yellow"/>
        </w:rPr>
        <w:t>Australia,</w:t>
      </w:r>
      <w:r w:rsidR="005C7919" w:rsidRPr="00B6286D">
        <w:rPr>
          <w:rFonts w:cs="Times New Roman"/>
          <w:szCs w:val="24"/>
          <w:highlight w:val="yellow"/>
        </w:rPr>
        <w:t xml:space="preserve"> many parents are able to choose between various secular and religious providers of education – depending on their beliefs, preferences</w:t>
      </w:r>
      <w:r w:rsidR="008F0F51" w:rsidRPr="00B6286D">
        <w:rPr>
          <w:rFonts w:cs="Times New Roman"/>
          <w:szCs w:val="24"/>
          <w:highlight w:val="yellow"/>
        </w:rPr>
        <w:t>,</w:t>
      </w:r>
      <w:r w:rsidR="005C7919" w:rsidRPr="00B6286D">
        <w:rPr>
          <w:rFonts w:cs="Times New Roman"/>
          <w:szCs w:val="24"/>
          <w:highlight w:val="yellow"/>
        </w:rPr>
        <w:t xml:space="preserve"> and resources. Competition has been heightened since the </w:t>
      </w:r>
      <w:r w:rsidR="00C13737" w:rsidRPr="00B6286D">
        <w:rPr>
          <w:rFonts w:cs="Times New Roman"/>
          <w:szCs w:val="24"/>
          <w:highlight w:val="yellow"/>
        </w:rPr>
        <w:t xml:space="preserve">innovation of </w:t>
      </w:r>
      <w:proofErr w:type="spellStart"/>
      <w:r w:rsidR="00C13737" w:rsidRPr="00B6286D">
        <w:rPr>
          <w:rFonts w:cs="Times New Roman"/>
          <w:szCs w:val="24"/>
          <w:highlight w:val="yellow"/>
        </w:rPr>
        <w:t>MySchool</w:t>
      </w:r>
      <w:proofErr w:type="spellEnd"/>
      <w:r w:rsidR="00C13737" w:rsidRPr="00B6286D">
        <w:rPr>
          <w:rFonts w:cs="Times New Roman"/>
          <w:szCs w:val="24"/>
          <w:highlight w:val="yellow"/>
        </w:rPr>
        <w:t xml:space="preserve"> in 2010</w:t>
      </w:r>
      <w:r w:rsidR="005C7919" w:rsidRPr="00B6286D">
        <w:rPr>
          <w:rFonts w:cs="Times New Roman"/>
          <w:szCs w:val="24"/>
          <w:highlight w:val="yellow"/>
        </w:rPr>
        <w:t xml:space="preserve"> </w:t>
      </w:r>
      <w:r w:rsidRPr="00B6286D">
        <w:rPr>
          <w:rFonts w:cs="Times New Roman"/>
          <w:szCs w:val="24"/>
          <w:highlight w:val="yellow"/>
        </w:rPr>
        <w:t>(</w:t>
      </w:r>
      <w:r w:rsidR="005C7919" w:rsidRPr="00B6286D">
        <w:rPr>
          <w:rFonts w:cs="Times New Roman"/>
          <w:szCs w:val="24"/>
          <w:highlight w:val="yellow"/>
        </w:rPr>
        <w:t xml:space="preserve">a website administered by ACARA which reports </w:t>
      </w:r>
      <w:r w:rsidR="00AB5162" w:rsidRPr="00B6286D">
        <w:rPr>
          <w:rFonts w:cs="Times New Roman"/>
          <w:szCs w:val="24"/>
          <w:highlight w:val="yellow"/>
        </w:rPr>
        <w:t xml:space="preserve">average </w:t>
      </w:r>
      <w:r w:rsidR="005C7919" w:rsidRPr="00B6286D">
        <w:rPr>
          <w:rFonts w:cs="Times New Roman"/>
          <w:szCs w:val="24"/>
          <w:highlight w:val="yellow"/>
        </w:rPr>
        <w:t xml:space="preserve">results of national </w:t>
      </w:r>
      <w:r w:rsidR="00AB5162" w:rsidRPr="00B6286D">
        <w:rPr>
          <w:rFonts w:cs="Times New Roman"/>
          <w:szCs w:val="24"/>
          <w:highlight w:val="yellow"/>
        </w:rPr>
        <w:t>examinations, an index of community socio-educational advantage, various statistics on the composition of the school, and details of resourcing</w:t>
      </w:r>
      <w:r w:rsidRPr="00B6286D">
        <w:rPr>
          <w:rFonts w:cs="Times New Roman"/>
          <w:szCs w:val="24"/>
          <w:highlight w:val="yellow"/>
        </w:rPr>
        <w:t>)</w:t>
      </w:r>
      <w:r w:rsidR="008F0F51" w:rsidRPr="00B6286D">
        <w:rPr>
          <w:rFonts w:cs="Times New Roman"/>
          <w:szCs w:val="24"/>
          <w:highlight w:val="yellow"/>
        </w:rPr>
        <w:t>.</w:t>
      </w:r>
    </w:p>
    <w:p w14:paraId="67987146" w14:textId="77777777" w:rsidR="008F0F51" w:rsidRDefault="008F0F51" w:rsidP="00625C9D">
      <w:pPr>
        <w:spacing w:after="0" w:line="480" w:lineRule="auto"/>
        <w:rPr>
          <w:rFonts w:cs="Times New Roman"/>
          <w:szCs w:val="24"/>
        </w:rPr>
      </w:pPr>
    </w:p>
    <w:p w14:paraId="5E5DAF07" w14:textId="0D785D0E" w:rsidR="008B23D7" w:rsidRDefault="00AB5162" w:rsidP="00625C9D">
      <w:pPr>
        <w:spacing w:after="0" w:line="480" w:lineRule="auto"/>
        <w:rPr>
          <w:rFonts w:cs="Times New Roman"/>
          <w:szCs w:val="24"/>
        </w:rPr>
      </w:pPr>
      <w:r w:rsidRPr="00B6286D">
        <w:rPr>
          <w:rFonts w:cs="Times New Roman"/>
          <w:szCs w:val="24"/>
          <w:highlight w:val="yellow"/>
        </w:rPr>
        <w:t xml:space="preserve">Regulation is generally considered to allow faith-based institutions to discriminate in employment and enrolment practices if the intent is to ‘avoid injury to the religious susceptibilities’ of the members of the religion for which the school was established </w:t>
      </w:r>
      <w:r w:rsidR="00856B89" w:rsidRPr="00B6286D">
        <w:rPr>
          <w:rFonts w:cs="Times New Roman"/>
          <w:szCs w:val="24"/>
          <w:highlight w:val="yellow"/>
        </w:rPr>
        <w:t>to propagate (</w:t>
      </w:r>
      <w:proofErr w:type="spellStart"/>
      <w:r w:rsidR="00856B89" w:rsidRPr="00B6286D">
        <w:rPr>
          <w:rFonts w:cs="Times New Roman"/>
          <w:szCs w:val="24"/>
          <w:highlight w:val="yellow"/>
        </w:rPr>
        <w:t>Seemann</w:t>
      </w:r>
      <w:proofErr w:type="spellEnd"/>
      <w:r w:rsidR="00856B89" w:rsidRPr="00B6286D">
        <w:rPr>
          <w:rFonts w:cs="Times New Roman"/>
          <w:szCs w:val="24"/>
          <w:highlight w:val="yellow"/>
        </w:rPr>
        <w:t>, 2018:</w:t>
      </w:r>
      <w:r w:rsidRPr="00B6286D">
        <w:rPr>
          <w:rFonts w:cs="Times New Roman"/>
          <w:szCs w:val="24"/>
          <w:highlight w:val="yellow"/>
        </w:rPr>
        <w:t xml:space="preserve"> 237). This allows faith-based providers to create a community that is composed of stud</w:t>
      </w:r>
      <w:r w:rsidR="008F0F51" w:rsidRPr="00B6286D">
        <w:rPr>
          <w:rFonts w:cs="Times New Roman"/>
          <w:szCs w:val="24"/>
          <w:highlight w:val="yellow"/>
        </w:rPr>
        <w:t xml:space="preserve">ents and employees that hold </w:t>
      </w:r>
      <w:r w:rsidRPr="00B6286D">
        <w:rPr>
          <w:rFonts w:cs="Times New Roman"/>
          <w:szCs w:val="24"/>
          <w:highlight w:val="yellow"/>
        </w:rPr>
        <w:t xml:space="preserve">a specific set of values. </w:t>
      </w:r>
      <w:r w:rsidR="008D2709" w:rsidRPr="00B6286D">
        <w:rPr>
          <w:rFonts w:cs="Times New Roman"/>
          <w:szCs w:val="24"/>
          <w:highlight w:val="yellow"/>
        </w:rPr>
        <w:t xml:space="preserve">Faith-based schools also draw on economic (substantial government funding and private tuition fees), social (for example, alumni), and cultural (for instance, public image) resources. </w:t>
      </w:r>
      <w:r w:rsidR="00823B37" w:rsidRPr="00B6286D">
        <w:rPr>
          <w:rFonts w:cs="Times New Roman"/>
          <w:szCs w:val="24"/>
          <w:highlight w:val="yellow"/>
        </w:rPr>
        <w:t>Supply side</w:t>
      </w:r>
      <w:r w:rsidR="008D2709" w:rsidRPr="00B6286D">
        <w:rPr>
          <w:rFonts w:cs="Times New Roman"/>
          <w:szCs w:val="24"/>
          <w:highlight w:val="yellow"/>
        </w:rPr>
        <w:t xml:space="preserve"> responses to innovations, regulation and resourcing result in faith-based schools ‘screening’ student populations</w:t>
      </w:r>
      <w:r w:rsidR="008B23D7" w:rsidRPr="00B6286D">
        <w:rPr>
          <w:rFonts w:cs="Times New Roman"/>
          <w:szCs w:val="24"/>
          <w:highlight w:val="yellow"/>
        </w:rPr>
        <w:t xml:space="preserve"> (for example, offering scholarships to high performing students or refusing enrolment to non-affiliates)</w:t>
      </w:r>
      <w:r w:rsidR="008D2709" w:rsidRPr="00B6286D">
        <w:rPr>
          <w:rFonts w:cs="Times New Roman"/>
          <w:szCs w:val="24"/>
          <w:highlight w:val="yellow"/>
        </w:rPr>
        <w:t xml:space="preserve"> to establish concentrations of socio-educational advantage</w:t>
      </w:r>
      <w:r w:rsidR="00DB185D" w:rsidRPr="00B6286D">
        <w:rPr>
          <w:rFonts w:cs="Times New Roman"/>
          <w:szCs w:val="24"/>
          <w:highlight w:val="yellow"/>
        </w:rPr>
        <w:t xml:space="preserve"> and values (</w:t>
      </w:r>
      <w:proofErr w:type="spellStart"/>
      <w:r w:rsidR="00DB185D" w:rsidRPr="00B6286D">
        <w:rPr>
          <w:rFonts w:cs="Times New Roman"/>
          <w:szCs w:val="24"/>
          <w:highlight w:val="yellow"/>
        </w:rPr>
        <w:t>Teese</w:t>
      </w:r>
      <w:proofErr w:type="spellEnd"/>
      <w:r w:rsidR="00DB185D" w:rsidRPr="00B6286D">
        <w:rPr>
          <w:rFonts w:cs="Times New Roman"/>
          <w:szCs w:val="24"/>
          <w:highlight w:val="yellow"/>
        </w:rPr>
        <w:t>, 2000</w:t>
      </w:r>
      <w:r w:rsidR="00140A3E" w:rsidRPr="00B6286D">
        <w:rPr>
          <w:rFonts w:cs="Times New Roman"/>
          <w:szCs w:val="24"/>
          <w:highlight w:val="yellow"/>
        </w:rPr>
        <w:t>; Caldwell, 2010</w:t>
      </w:r>
      <w:r w:rsidR="00C96E99" w:rsidRPr="00B6286D">
        <w:rPr>
          <w:rFonts w:cs="Times New Roman"/>
          <w:szCs w:val="24"/>
          <w:highlight w:val="yellow"/>
        </w:rPr>
        <w:t>; Nghiem et al., 2015; Marks, 2015</w:t>
      </w:r>
      <w:r w:rsidR="008F0F51" w:rsidRPr="00B6286D">
        <w:rPr>
          <w:rFonts w:cs="Times New Roman"/>
          <w:szCs w:val="24"/>
          <w:highlight w:val="yellow"/>
        </w:rPr>
        <w:t>).</w:t>
      </w:r>
    </w:p>
    <w:p w14:paraId="65238C2B" w14:textId="77777777" w:rsidR="008F0F51" w:rsidRDefault="008F0F51" w:rsidP="00625C9D">
      <w:pPr>
        <w:spacing w:after="0" w:line="480" w:lineRule="auto"/>
        <w:rPr>
          <w:rFonts w:cs="Times New Roman"/>
          <w:szCs w:val="24"/>
        </w:rPr>
      </w:pPr>
    </w:p>
    <w:p w14:paraId="7B2364FD" w14:textId="686253B2" w:rsidR="008B23D7" w:rsidRDefault="008B23D7" w:rsidP="00625C9D">
      <w:pPr>
        <w:spacing w:after="0" w:line="480" w:lineRule="auto"/>
        <w:rPr>
          <w:rFonts w:cs="Times New Roman"/>
          <w:szCs w:val="24"/>
        </w:rPr>
      </w:pPr>
      <w:r w:rsidRPr="00B6286D">
        <w:rPr>
          <w:rFonts w:cs="Times New Roman"/>
          <w:szCs w:val="24"/>
          <w:highlight w:val="yellow"/>
        </w:rPr>
        <w:t xml:space="preserve">Screening affects are also exerted from the demand side of the competitive market. The most obvious screening occurs when </w:t>
      </w:r>
      <w:r w:rsidR="008F0F51" w:rsidRPr="00B6286D">
        <w:rPr>
          <w:rFonts w:cs="Times New Roman"/>
          <w:szCs w:val="24"/>
          <w:highlight w:val="yellow"/>
        </w:rPr>
        <w:t>parent’s</w:t>
      </w:r>
      <w:r w:rsidRPr="00B6286D">
        <w:rPr>
          <w:rFonts w:cs="Times New Roman"/>
          <w:szCs w:val="24"/>
          <w:highlight w:val="yellow"/>
        </w:rPr>
        <w:t xml:space="preserve"> factor in the resources required for membership in various educational communities (how much they will have to pay, how willing they are to </w:t>
      </w:r>
      <w:r w:rsidRPr="00B6286D">
        <w:rPr>
          <w:rFonts w:cs="Times New Roman"/>
          <w:szCs w:val="24"/>
          <w:highlight w:val="yellow"/>
        </w:rPr>
        <w:lastRenderedPageBreak/>
        <w:t>participate in school community life, and how willing they are to suppor</w:t>
      </w:r>
      <w:r w:rsidR="00140A3E" w:rsidRPr="00B6286D">
        <w:rPr>
          <w:rFonts w:cs="Times New Roman"/>
          <w:szCs w:val="24"/>
          <w:highlight w:val="yellow"/>
        </w:rPr>
        <w:t>t the values that certain faith-</w:t>
      </w:r>
      <w:r w:rsidRPr="00B6286D">
        <w:rPr>
          <w:rFonts w:cs="Times New Roman"/>
          <w:szCs w:val="24"/>
          <w:highlight w:val="yellow"/>
        </w:rPr>
        <w:t>based institutions will promote</w:t>
      </w:r>
      <w:r w:rsidR="009D20CE" w:rsidRPr="00B6286D">
        <w:rPr>
          <w:rFonts w:cs="Times New Roman"/>
          <w:szCs w:val="24"/>
          <w:highlight w:val="yellow"/>
        </w:rPr>
        <w:t>) (</w:t>
      </w:r>
      <w:proofErr w:type="spellStart"/>
      <w:r w:rsidR="00324462" w:rsidRPr="00B6286D">
        <w:rPr>
          <w:rFonts w:cs="Times New Roman"/>
          <w:szCs w:val="24"/>
          <w:highlight w:val="yellow"/>
        </w:rPr>
        <w:t>Cardak</w:t>
      </w:r>
      <w:proofErr w:type="spellEnd"/>
      <w:r w:rsidR="00324462" w:rsidRPr="00B6286D">
        <w:rPr>
          <w:rFonts w:cs="Times New Roman"/>
          <w:szCs w:val="24"/>
          <w:highlight w:val="yellow"/>
        </w:rPr>
        <w:t xml:space="preserve"> and </w:t>
      </w:r>
      <w:proofErr w:type="spellStart"/>
      <w:r w:rsidR="00324462" w:rsidRPr="00B6286D">
        <w:rPr>
          <w:rFonts w:cs="Times New Roman"/>
          <w:szCs w:val="24"/>
          <w:highlight w:val="yellow"/>
        </w:rPr>
        <w:t>Vecci</w:t>
      </w:r>
      <w:proofErr w:type="spellEnd"/>
      <w:r w:rsidR="00324462" w:rsidRPr="00B6286D">
        <w:rPr>
          <w:rFonts w:cs="Times New Roman"/>
          <w:szCs w:val="24"/>
          <w:highlight w:val="yellow"/>
        </w:rPr>
        <w:t>, 2013</w:t>
      </w:r>
      <w:r w:rsidRPr="00B6286D">
        <w:rPr>
          <w:rFonts w:cs="Times New Roman"/>
          <w:szCs w:val="24"/>
          <w:highlight w:val="yellow"/>
        </w:rPr>
        <w:t xml:space="preserve">). In addition, beliefs of families clearly play a part in the decision making process (people subscribing to a certain faith would be more likely to seek a place at institutions consistent with that faith, and shun faith-based institutions that they consider inconsistent with beliefs particularly if the faith in question had distinctive dress or behaviours). Moreover, individual preferences combine with perceptions regarding resourcing, quality of teaching, peer groups and discipline to guide </w:t>
      </w:r>
      <w:r w:rsidR="009D20CE" w:rsidRPr="00B6286D">
        <w:rPr>
          <w:rFonts w:cs="Times New Roman"/>
          <w:szCs w:val="24"/>
          <w:highlight w:val="yellow"/>
        </w:rPr>
        <w:t>choice making</w:t>
      </w:r>
      <w:r w:rsidRPr="00B6286D">
        <w:rPr>
          <w:rFonts w:cs="Times New Roman"/>
          <w:szCs w:val="24"/>
          <w:highlight w:val="yellow"/>
        </w:rPr>
        <w:t xml:space="preserve"> (Caldwell, 2010; Contreras et al, 2010</w:t>
      </w:r>
      <w:r w:rsidR="00625C9D" w:rsidRPr="00B6286D">
        <w:rPr>
          <w:rFonts w:cs="Times New Roman"/>
          <w:szCs w:val="24"/>
          <w:highlight w:val="yellow"/>
        </w:rPr>
        <w:t>).</w:t>
      </w:r>
    </w:p>
    <w:p w14:paraId="2CB44B1F" w14:textId="77777777" w:rsidR="00625C9D" w:rsidRPr="008B23D7" w:rsidRDefault="00625C9D" w:rsidP="00625C9D">
      <w:pPr>
        <w:spacing w:after="0" w:line="480" w:lineRule="auto"/>
        <w:rPr>
          <w:rFonts w:cs="Times New Roman"/>
          <w:szCs w:val="24"/>
        </w:rPr>
      </w:pPr>
    </w:p>
    <w:p w14:paraId="405018A4" w14:textId="2D78EBE2" w:rsidR="00B90D32" w:rsidRDefault="005D117D" w:rsidP="00625C9D">
      <w:pPr>
        <w:spacing w:after="0" w:line="480" w:lineRule="auto"/>
        <w:rPr>
          <w:rFonts w:cs="Times New Roman"/>
          <w:szCs w:val="24"/>
        </w:rPr>
      </w:pPr>
      <w:r w:rsidRPr="00B6286D">
        <w:rPr>
          <w:rFonts w:cs="Times New Roman"/>
          <w:szCs w:val="24"/>
          <w:highlight w:val="yellow"/>
        </w:rPr>
        <w:t>As a result</w:t>
      </w:r>
      <w:r w:rsidR="008B23D7" w:rsidRPr="00B6286D">
        <w:rPr>
          <w:rFonts w:cs="Times New Roman"/>
          <w:szCs w:val="24"/>
          <w:highlight w:val="yellow"/>
        </w:rPr>
        <w:t xml:space="preserve"> of both </w:t>
      </w:r>
      <w:r w:rsidR="000A6394" w:rsidRPr="00B6286D">
        <w:rPr>
          <w:rFonts w:cs="Times New Roman"/>
          <w:szCs w:val="24"/>
          <w:highlight w:val="yellow"/>
        </w:rPr>
        <w:t>supply and demand side screen</w:t>
      </w:r>
      <w:r w:rsidR="00EB5347" w:rsidRPr="00B6286D">
        <w:rPr>
          <w:rFonts w:cs="Times New Roman"/>
          <w:szCs w:val="24"/>
          <w:highlight w:val="yellow"/>
        </w:rPr>
        <w:t>ing</w:t>
      </w:r>
      <w:r w:rsidRPr="00B6286D">
        <w:rPr>
          <w:rFonts w:cs="Times New Roman"/>
          <w:szCs w:val="24"/>
          <w:highlight w:val="yellow"/>
        </w:rPr>
        <w:t xml:space="preserve"> a ‘disproportional number of students from the most disadvantaged backgrounds attend government schools’, ‘a more even spread of socioeconomic backgrounds [occur] among students attending Catholic schools’ and </w:t>
      </w:r>
      <w:r w:rsidR="00823B37" w:rsidRPr="00B6286D">
        <w:rPr>
          <w:rFonts w:cs="Times New Roman"/>
          <w:szCs w:val="24"/>
          <w:highlight w:val="yellow"/>
        </w:rPr>
        <w:t>‘</w:t>
      </w:r>
      <w:r w:rsidRPr="00B6286D">
        <w:rPr>
          <w:rFonts w:cs="Times New Roman"/>
          <w:szCs w:val="24"/>
          <w:highlight w:val="yellow"/>
        </w:rPr>
        <w:t>almost half of all [non-Catholic] independent students fall into the top quarter of socio-educational advantage’</w:t>
      </w:r>
      <w:r w:rsidR="00856B89" w:rsidRPr="00B6286D">
        <w:rPr>
          <w:rFonts w:cs="Times New Roman"/>
          <w:szCs w:val="24"/>
          <w:highlight w:val="yellow"/>
        </w:rPr>
        <w:t xml:space="preserve"> (Gonski et al. 2011:</w:t>
      </w:r>
      <w:r w:rsidRPr="00B6286D">
        <w:rPr>
          <w:rFonts w:cs="Times New Roman"/>
          <w:szCs w:val="24"/>
          <w:highlight w:val="yellow"/>
        </w:rPr>
        <w:t xml:space="preserve"> 10-11). Moreover, as we have noted some faith-based schools insist that their communities subscribe to given </w:t>
      </w:r>
      <w:r w:rsidR="00EB5347" w:rsidRPr="00B6286D">
        <w:rPr>
          <w:rFonts w:cs="Times New Roman"/>
          <w:szCs w:val="24"/>
          <w:highlight w:val="yellow"/>
        </w:rPr>
        <w:t>religious values, while</w:t>
      </w:r>
      <w:r w:rsidRPr="00B6286D">
        <w:rPr>
          <w:rFonts w:cs="Times New Roman"/>
          <w:szCs w:val="24"/>
          <w:highlight w:val="yellow"/>
        </w:rPr>
        <w:t xml:space="preserve"> even the most liberal faith-based institutions (Anglican) require staff and students to adhere to a set of ‘core’ values (Evans and Gaze, 2010).</w:t>
      </w:r>
    </w:p>
    <w:p w14:paraId="0E6AF4B9" w14:textId="77777777" w:rsidR="00625C9D" w:rsidRDefault="00625C9D" w:rsidP="00625C9D">
      <w:pPr>
        <w:spacing w:after="0" w:line="480" w:lineRule="auto"/>
        <w:rPr>
          <w:rFonts w:cs="Times New Roman"/>
          <w:szCs w:val="24"/>
        </w:rPr>
      </w:pPr>
    </w:p>
    <w:p w14:paraId="51307E26" w14:textId="57AF9F30" w:rsidR="00C0772A" w:rsidRDefault="00C13737" w:rsidP="00625C9D">
      <w:pPr>
        <w:spacing w:after="0" w:line="480" w:lineRule="auto"/>
        <w:rPr>
          <w:rFonts w:cs="Times New Roman"/>
          <w:szCs w:val="24"/>
        </w:rPr>
      </w:pPr>
      <w:r w:rsidRPr="00B6286D">
        <w:rPr>
          <w:rFonts w:cs="Times New Roman"/>
          <w:szCs w:val="24"/>
          <w:highlight w:val="yellow"/>
        </w:rPr>
        <w:t>As we have noted</w:t>
      </w:r>
      <w:r w:rsidR="00A0417D" w:rsidRPr="00B6286D">
        <w:rPr>
          <w:rFonts w:cs="Times New Roman"/>
          <w:szCs w:val="24"/>
          <w:highlight w:val="yellow"/>
        </w:rPr>
        <w:t>,</w:t>
      </w:r>
      <w:r w:rsidRPr="00B6286D">
        <w:rPr>
          <w:rFonts w:cs="Times New Roman"/>
          <w:szCs w:val="24"/>
          <w:highlight w:val="yellow"/>
        </w:rPr>
        <w:t xml:space="preserve"> data is available to control for explanations relating to concentration of socio-educational advantage and differences in resourcing for the various faith-based institutions. This allows u</w:t>
      </w:r>
      <w:r w:rsidR="009879E2" w:rsidRPr="00B6286D">
        <w:rPr>
          <w:rFonts w:cs="Times New Roman"/>
          <w:szCs w:val="24"/>
          <w:highlight w:val="yellow"/>
        </w:rPr>
        <w:t xml:space="preserve">s to examine whether there might be education outcomes that are not explained by concentration in socio-educational advantage or resourcing arising from the religious-secular competition. Values are more difficult to control for and are likely to be associated closely with the faith of the institution given that the school communities invariably concentrate affiliates, and persons who are not opposed to the values taught by </w:t>
      </w:r>
      <w:r w:rsidR="009879E2" w:rsidRPr="00B6286D">
        <w:rPr>
          <w:rFonts w:cs="Times New Roman"/>
          <w:szCs w:val="24"/>
          <w:highlight w:val="yellow"/>
        </w:rPr>
        <w:lastRenderedPageBreak/>
        <w:t>faith-based schools whose mission is to propagate the faith (</w:t>
      </w:r>
      <w:proofErr w:type="spellStart"/>
      <w:r w:rsidR="009879E2" w:rsidRPr="00B6286D">
        <w:rPr>
          <w:rFonts w:cs="Times New Roman"/>
          <w:szCs w:val="24"/>
          <w:highlight w:val="yellow"/>
        </w:rPr>
        <w:t>Seemann</w:t>
      </w:r>
      <w:proofErr w:type="spellEnd"/>
      <w:r w:rsidR="009879E2" w:rsidRPr="00B6286D">
        <w:rPr>
          <w:rFonts w:cs="Times New Roman"/>
          <w:szCs w:val="24"/>
          <w:highlight w:val="yellow"/>
        </w:rPr>
        <w:t xml:space="preserve">, 2018). Concentration of religious affiliates </w:t>
      </w:r>
      <w:r w:rsidR="005D7960" w:rsidRPr="00B6286D">
        <w:rPr>
          <w:rFonts w:cs="Times New Roman"/>
          <w:szCs w:val="24"/>
          <w:highlight w:val="yellow"/>
        </w:rPr>
        <w:t>and persons willing to observe religious inspired values suggest that theories from the large religion education attainment literature might be profitably used to explain associations that persist even after controlling for factors associated with common explanations for differences in education achievement in government and non-government schools.</w:t>
      </w:r>
    </w:p>
    <w:p w14:paraId="15D2D88D" w14:textId="77777777" w:rsidR="00625C9D" w:rsidRDefault="00625C9D" w:rsidP="00625C9D">
      <w:pPr>
        <w:spacing w:after="0" w:line="480" w:lineRule="auto"/>
        <w:rPr>
          <w:rFonts w:cs="Times New Roman"/>
          <w:szCs w:val="24"/>
        </w:rPr>
      </w:pPr>
    </w:p>
    <w:p w14:paraId="0FCAFC8A" w14:textId="49AE7FA7" w:rsidR="005D7960" w:rsidRDefault="005D7960" w:rsidP="00625C9D">
      <w:pPr>
        <w:spacing w:after="0" w:line="480" w:lineRule="auto"/>
        <w:rPr>
          <w:rFonts w:cs="Times New Roman"/>
          <w:szCs w:val="24"/>
          <w:lang w:val="en-GB"/>
        </w:rPr>
      </w:pPr>
      <w:r w:rsidRPr="00B6286D">
        <w:rPr>
          <w:rFonts w:cs="Times New Roman"/>
          <w:szCs w:val="24"/>
          <w:highlight w:val="yellow"/>
          <w:lang w:val="en-GB"/>
        </w:rPr>
        <w:t>There are three hypotheses that are routinely used to explain differences in educational outcomes contingent upon religion</w:t>
      </w:r>
      <w:r w:rsidR="00A0417D" w:rsidRPr="00B6286D">
        <w:rPr>
          <w:rFonts w:cs="Times New Roman"/>
          <w:szCs w:val="24"/>
          <w:highlight w:val="yellow"/>
          <w:lang w:val="en-GB"/>
        </w:rPr>
        <w:t>. The first is the d</w:t>
      </w:r>
      <w:r w:rsidRPr="00B6286D">
        <w:rPr>
          <w:rFonts w:cs="Times New Roman"/>
          <w:szCs w:val="24"/>
          <w:highlight w:val="yellow"/>
          <w:lang w:val="en-GB"/>
        </w:rPr>
        <w:t>iaspora hypothesis</w:t>
      </w:r>
      <w:r w:rsidR="00A0417D" w:rsidRPr="00B6286D">
        <w:rPr>
          <w:rFonts w:cs="Times New Roman"/>
          <w:szCs w:val="24"/>
          <w:highlight w:val="yellow"/>
          <w:lang w:val="en-GB"/>
        </w:rPr>
        <w:t xml:space="preserve">, which contends that religions associated </w:t>
      </w:r>
      <w:r w:rsidRPr="00B6286D">
        <w:rPr>
          <w:rFonts w:cs="Times New Roman"/>
          <w:szCs w:val="24"/>
          <w:highlight w:val="yellow"/>
          <w:lang w:val="en-GB"/>
        </w:rPr>
        <w:t>with persecution and exile are more likely to invest in mobile human capital (Lehrer, 1999)</w:t>
      </w:r>
      <w:r w:rsidR="00A0417D" w:rsidRPr="00B6286D">
        <w:rPr>
          <w:rFonts w:cs="Times New Roman"/>
          <w:szCs w:val="24"/>
          <w:highlight w:val="yellow"/>
          <w:lang w:val="en-GB"/>
        </w:rPr>
        <w:t>.</w:t>
      </w:r>
      <w:r w:rsidRPr="00B6286D">
        <w:rPr>
          <w:rFonts w:cs="Times New Roman"/>
          <w:szCs w:val="24"/>
          <w:highlight w:val="yellow"/>
          <w:lang w:val="en-GB"/>
        </w:rPr>
        <w:t xml:space="preserve"> </w:t>
      </w:r>
      <w:r w:rsidR="00A0417D" w:rsidRPr="00B6286D">
        <w:rPr>
          <w:rFonts w:cs="Times New Roman"/>
          <w:szCs w:val="24"/>
          <w:highlight w:val="yellow"/>
          <w:lang w:val="en-GB"/>
        </w:rPr>
        <w:t xml:space="preserve">The second is </w:t>
      </w:r>
      <w:r w:rsidRPr="00B6286D">
        <w:rPr>
          <w:rFonts w:cs="Times New Roman"/>
          <w:szCs w:val="24"/>
          <w:highlight w:val="yellow"/>
          <w:lang w:val="en-GB"/>
        </w:rPr>
        <w:t xml:space="preserve">the </w:t>
      </w:r>
      <w:r w:rsidR="00A0417D" w:rsidRPr="00B6286D">
        <w:rPr>
          <w:rFonts w:cs="Times New Roman"/>
          <w:szCs w:val="24"/>
          <w:highlight w:val="yellow"/>
          <w:lang w:val="en-GB"/>
        </w:rPr>
        <w:t>i</w:t>
      </w:r>
      <w:r w:rsidRPr="00B6286D">
        <w:rPr>
          <w:rFonts w:cs="Times New Roman"/>
          <w:szCs w:val="24"/>
          <w:highlight w:val="yellow"/>
          <w:lang w:val="en-GB"/>
        </w:rPr>
        <w:t>mmigration hypothesis</w:t>
      </w:r>
      <w:r w:rsidR="00A0417D" w:rsidRPr="00B6286D">
        <w:rPr>
          <w:rFonts w:cs="Times New Roman"/>
          <w:szCs w:val="24"/>
          <w:highlight w:val="yellow"/>
          <w:lang w:val="en-GB"/>
        </w:rPr>
        <w:t xml:space="preserve">, which argues that </w:t>
      </w:r>
      <w:r w:rsidRPr="00B6286D">
        <w:rPr>
          <w:rFonts w:cs="Times New Roman"/>
          <w:szCs w:val="24"/>
          <w:highlight w:val="yellow"/>
          <w:lang w:val="en-GB"/>
        </w:rPr>
        <w:t xml:space="preserve">skilled migration policies in some countries result in </w:t>
      </w:r>
      <w:r w:rsidR="00A0417D" w:rsidRPr="00B6286D">
        <w:rPr>
          <w:rFonts w:cs="Times New Roman"/>
          <w:szCs w:val="24"/>
          <w:highlight w:val="yellow"/>
          <w:lang w:val="en-GB"/>
        </w:rPr>
        <w:t xml:space="preserve">a </w:t>
      </w:r>
      <w:r w:rsidRPr="00B6286D">
        <w:rPr>
          <w:rFonts w:cs="Times New Roman"/>
          <w:szCs w:val="24"/>
          <w:highlight w:val="yellow"/>
          <w:lang w:val="en-GB"/>
        </w:rPr>
        <w:t>selection bias</w:t>
      </w:r>
      <w:r w:rsidR="00A0417D" w:rsidRPr="00B6286D">
        <w:rPr>
          <w:rFonts w:cs="Times New Roman"/>
          <w:szCs w:val="24"/>
          <w:highlight w:val="yellow"/>
          <w:lang w:val="en-GB"/>
        </w:rPr>
        <w:t>,</w:t>
      </w:r>
      <w:r w:rsidRPr="00B6286D">
        <w:rPr>
          <w:rFonts w:cs="Times New Roman"/>
          <w:szCs w:val="24"/>
          <w:highlight w:val="yellow"/>
          <w:lang w:val="en-GB"/>
        </w:rPr>
        <w:t xml:space="preserve"> which is also incidentally related to religious affiliation (Beyer, 2005; Cobb-Clark and </w:t>
      </w:r>
      <w:proofErr w:type="spellStart"/>
      <w:r w:rsidRPr="00B6286D">
        <w:rPr>
          <w:rFonts w:cs="Times New Roman"/>
          <w:szCs w:val="24"/>
          <w:highlight w:val="yellow"/>
          <w:lang w:val="en-GB"/>
        </w:rPr>
        <w:t>Trong</w:t>
      </w:r>
      <w:proofErr w:type="spellEnd"/>
      <w:r w:rsidRPr="00B6286D">
        <w:rPr>
          <w:rFonts w:cs="Times New Roman"/>
          <w:szCs w:val="24"/>
          <w:highlight w:val="yellow"/>
          <w:lang w:val="en-GB"/>
        </w:rPr>
        <w:t>-Ha, 2012)</w:t>
      </w:r>
      <w:r w:rsidR="00A0417D" w:rsidRPr="00B6286D">
        <w:rPr>
          <w:rFonts w:cs="Times New Roman"/>
          <w:szCs w:val="24"/>
          <w:highlight w:val="yellow"/>
          <w:lang w:val="en-GB"/>
        </w:rPr>
        <w:t>.</w:t>
      </w:r>
      <w:r w:rsidRPr="00B6286D">
        <w:rPr>
          <w:rFonts w:cs="Times New Roman"/>
          <w:szCs w:val="24"/>
          <w:highlight w:val="yellow"/>
          <w:lang w:val="en-GB"/>
        </w:rPr>
        <w:t xml:space="preserve"> </w:t>
      </w:r>
      <w:r w:rsidR="00A0417D" w:rsidRPr="00B6286D">
        <w:rPr>
          <w:rFonts w:cs="Times New Roman"/>
          <w:szCs w:val="24"/>
          <w:highlight w:val="yellow"/>
          <w:lang w:val="en-GB"/>
        </w:rPr>
        <w:t xml:space="preserve">Finally, </w:t>
      </w:r>
      <w:r w:rsidRPr="00B6286D">
        <w:rPr>
          <w:rFonts w:cs="Times New Roman"/>
          <w:szCs w:val="24"/>
          <w:highlight w:val="yellow"/>
          <w:lang w:val="en-GB"/>
        </w:rPr>
        <w:t xml:space="preserve">the </w:t>
      </w:r>
      <w:r w:rsidR="00A0417D" w:rsidRPr="00B6286D">
        <w:rPr>
          <w:rFonts w:cs="Times New Roman"/>
          <w:szCs w:val="24"/>
          <w:highlight w:val="yellow"/>
          <w:lang w:val="en-GB"/>
        </w:rPr>
        <w:t>q</w:t>
      </w:r>
      <w:r w:rsidRPr="00B6286D">
        <w:rPr>
          <w:rFonts w:cs="Times New Roman"/>
          <w:szCs w:val="24"/>
          <w:highlight w:val="yellow"/>
          <w:lang w:val="en-GB"/>
        </w:rPr>
        <w:t xml:space="preserve">uantity-quality hypothesis asserts </w:t>
      </w:r>
      <w:r w:rsidR="00A0417D" w:rsidRPr="00B6286D">
        <w:rPr>
          <w:rFonts w:cs="Times New Roman"/>
          <w:szCs w:val="24"/>
          <w:highlight w:val="yellow"/>
          <w:lang w:val="en-GB"/>
        </w:rPr>
        <w:t xml:space="preserve">that </w:t>
      </w:r>
      <w:r w:rsidRPr="00B6286D">
        <w:rPr>
          <w:rFonts w:cs="Times New Roman"/>
          <w:szCs w:val="24"/>
          <w:highlight w:val="yellow"/>
          <w:lang w:val="en-GB"/>
        </w:rPr>
        <w:t>certain religions are associated with large or small family size, strong or weak patriarchal tendencies</w:t>
      </w:r>
      <w:r w:rsidR="00A0417D" w:rsidRPr="00B6286D">
        <w:rPr>
          <w:rFonts w:cs="Times New Roman"/>
          <w:szCs w:val="24"/>
          <w:highlight w:val="yellow"/>
          <w:lang w:val="en-GB"/>
        </w:rPr>
        <w:t>,</w:t>
      </w:r>
      <w:r w:rsidRPr="00B6286D">
        <w:rPr>
          <w:rFonts w:cs="Times New Roman"/>
          <w:szCs w:val="24"/>
          <w:highlight w:val="yellow"/>
          <w:lang w:val="en-GB"/>
        </w:rPr>
        <w:t xml:space="preserve"> and definite views on divorce that are likely to </w:t>
      </w:r>
      <w:proofErr w:type="gramStart"/>
      <w:r w:rsidRPr="00B6286D">
        <w:rPr>
          <w:rFonts w:cs="Times New Roman"/>
          <w:szCs w:val="24"/>
          <w:highlight w:val="yellow"/>
          <w:lang w:val="en-GB"/>
        </w:rPr>
        <w:t>effect</w:t>
      </w:r>
      <w:proofErr w:type="gramEnd"/>
      <w:r w:rsidRPr="00B6286D">
        <w:rPr>
          <w:rFonts w:cs="Times New Roman"/>
          <w:szCs w:val="24"/>
          <w:highlight w:val="yellow"/>
          <w:lang w:val="en-GB"/>
        </w:rPr>
        <w:t xml:space="preserve"> the resources available for edu</w:t>
      </w:r>
      <w:r w:rsidR="00BB3909" w:rsidRPr="00B6286D">
        <w:rPr>
          <w:rFonts w:cs="Times New Roman"/>
          <w:szCs w:val="24"/>
          <w:highlight w:val="yellow"/>
          <w:lang w:val="en-GB"/>
        </w:rPr>
        <w:t>cation (</w:t>
      </w:r>
      <w:r w:rsidR="001670AD" w:rsidRPr="00B6286D">
        <w:rPr>
          <w:rFonts w:cs="Times New Roman"/>
          <w:szCs w:val="24"/>
          <w:highlight w:val="yellow"/>
          <w:lang w:val="en-GB"/>
        </w:rPr>
        <w:t xml:space="preserve">Norton and </w:t>
      </w:r>
      <w:proofErr w:type="spellStart"/>
      <w:r w:rsidR="001670AD" w:rsidRPr="00B6286D">
        <w:rPr>
          <w:rFonts w:cs="Times New Roman"/>
          <w:szCs w:val="24"/>
          <w:highlight w:val="yellow"/>
          <w:lang w:val="en-GB"/>
        </w:rPr>
        <w:t>Tomal</w:t>
      </w:r>
      <w:proofErr w:type="spellEnd"/>
      <w:r w:rsidR="001670AD" w:rsidRPr="00B6286D">
        <w:rPr>
          <w:rFonts w:cs="Times New Roman"/>
          <w:szCs w:val="24"/>
          <w:highlight w:val="yellow"/>
          <w:lang w:val="en-GB"/>
        </w:rPr>
        <w:t xml:space="preserve">, 2009; </w:t>
      </w:r>
      <w:proofErr w:type="spellStart"/>
      <w:r w:rsidRPr="00B6286D">
        <w:rPr>
          <w:rFonts w:cs="Times New Roman"/>
          <w:szCs w:val="24"/>
          <w:highlight w:val="yellow"/>
          <w:lang w:val="en-GB"/>
        </w:rPr>
        <w:t>Keysa</w:t>
      </w:r>
      <w:proofErr w:type="spellEnd"/>
      <w:r w:rsidRPr="00B6286D">
        <w:rPr>
          <w:rFonts w:cs="Times New Roman"/>
          <w:szCs w:val="24"/>
          <w:highlight w:val="yellow"/>
          <w:lang w:val="en-GB"/>
        </w:rPr>
        <w:t xml:space="preserve"> and Kosmin, 1995). These hypotheses are considered to explain the indirect effects of religion on education, and it is the quantity-quality hypothesis that has strong empirical support and is widely accepted amongst scholars (hence our further </w:t>
      </w:r>
      <w:r w:rsidR="0015470B" w:rsidRPr="00B6286D">
        <w:rPr>
          <w:rFonts w:cs="Times New Roman"/>
          <w:szCs w:val="24"/>
          <w:highlight w:val="yellow"/>
          <w:lang w:val="en-GB"/>
        </w:rPr>
        <w:t>explic</w:t>
      </w:r>
      <w:r w:rsidRPr="00B6286D">
        <w:rPr>
          <w:rFonts w:cs="Times New Roman"/>
          <w:szCs w:val="24"/>
          <w:highlight w:val="yellow"/>
          <w:lang w:val="en-GB"/>
        </w:rPr>
        <w:t>ation below)</w:t>
      </w:r>
      <w:r w:rsidR="00625C9D" w:rsidRPr="00B6286D">
        <w:rPr>
          <w:rFonts w:cs="Times New Roman"/>
          <w:szCs w:val="24"/>
          <w:highlight w:val="yellow"/>
          <w:lang w:val="en-GB"/>
        </w:rPr>
        <w:t>.</w:t>
      </w:r>
    </w:p>
    <w:p w14:paraId="2E864884" w14:textId="77777777" w:rsidR="00625C9D" w:rsidRPr="005D7960" w:rsidRDefault="00625C9D" w:rsidP="00625C9D">
      <w:pPr>
        <w:spacing w:after="0" w:line="480" w:lineRule="auto"/>
        <w:rPr>
          <w:rFonts w:cs="Times New Roman"/>
          <w:szCs w:val="24"/>
        </w:rPr>
      </w:pPr>
    </w:p>
    <w:p w14:paraId="5825A0F3" w14:textId="6B87CC99" w:rsidR="005D7960" w:rsidRDefault="005D7960" w:rsidP="00625C9D">
      <w:pPr>
        <w:spacing w:after="0" w:line="480" w:lineRule="auto"/>
        <w:rPr>
          <w:rFonts w:cs="Times New Roman"/>
          <w:szCs w:val="24"/>
        </w:rPr>
      </w:pPr>
      <w:r w:rsidRPr="00B6286D">
        <w:rPr>
          <w:rFonts w:cs="Times New Roman"/>
          <w:szCs w:val="24"/>
          <w:highlight w:val="yellow"/>
        </w:rPr>
        <w:t>This quantity-quality hypothesis asserts that there is a close association between religion and family characteristics which are salient to education, such as attitudes to divorce (and hence divorce rates), the size of families, attitudes to female participation in the labour market, and attitudes to gender equality in education. Specifically, it is claimed that Jews tend to have small</w:t>
      </w:r>
      <w:r w:rsidR="0006088E" w:rsidRPr="00B6286D">
        <w:rPr>
          <w:rFonts w:cs="Times New Roman"/>
          <w:szCs w:val="24"/>
          <w:highlight w:val="yellow"/>
        </w:rPr>
        <w:t>er</w:t>
      </w:r>
      <w:r w:rsidRPr="00B6286D">
        <w:rPr>
          <w:rFonts w:cs="Times New Roman"/>
          <w:szCs w:val="24"/>
          <w:highlight w:val="yellow"/>
        </w:rPr>
        <w:t xml:space="preserve"> families, relative to other religions (particularly Catholics and Muslims, which tend to </w:t>
      </w:r>
      <w:r w:rsidRPr="00B6286D">
        <w:rPr>
          <w:rFonts w:cs="Times New Roman"/>
          <w:szCs w:val="24"/>
          <w:highlight w:val="yellow"/>
        </w:rPr>
        <w:lastRenderedPageBreak/>
        <w:t>have large</w:t>
      </w:r>
      <w:r w:rsidR="0006088E" w:rsidRPr="00B6286D">
        <w:rPr>
          <w:rFonts w:cs="Times New Roman"/>
          <w:szCs w:val="24"/>
          <w:highlight w:val="yellow"/>
        </w:rPr>
        <w:t>r</w:t>
      </w:r>
      <w:r w:rsidRPr="00B6286D">
        <w:rPr>
          <w:rFonts w:cs="Times New Roman"/>
          <w:szCs w:val="24"/>
          <w:highlight w:val="yellow"/>
        </w:rPr>
        <w:t xml:space="preserve"> families) and that some religions (particularly Islam) are highly patriarchal </w:t>
      </w:r>
      <w:r w:rsidR="0006088E" w:rsidRPr="00B6286D">
        <w:rPr>
          <w:rFonts w:cs="Times New Roman"/>
          <w:szCs w:val="24"/>
          <w:highlight w:val="yellow"/>
        </w:rPr>
        <w:t>and thus affect</w:t>
      </w:r>
      <w:r w:rsidRPr="00B6286D">
        <w:rPr>
          <w:rFonts w:cs="Times New Roman"/>
          <w:szCs w:val="24"/>
          <w:highlight w:val="yellow"/>
        </w:rPr>
        <w:t xml:space="preserve"> the ability of mothers to participate in market based work</w:t>
      </w:r>
      <w:r w:rsidR="0006088E" w:rsidRPr="00B6286D">
        <w:rPr>
          <w:rFonts w:cs="Times New Roman"/>
          <w:szCs w:val="24"/>
          <w:highlight w:val="yellow"/>
        </w:rPr>
        <w:t xml:space="preserve"> and pursue e</w:t>
      </w:r>
      <w:r w:rsidRPr="00B6286D">
        <w:rPr>
          <w:rFonts w:cs="Times New Roman"/>
          <w:szCs w:val="24"/>
          <w:highlight w:val="yellow"/>
        </w:rPr>
        <w:t>ducation</w:t>
      </w:r>
      <w:r w:rsidR="0006088E" w:rsidRPr="00B6286D">
        <w:rPr>
          <w:rFonts w:cs="Times New Roman"/>
          <w:szCs w:val="24"/>
          <w:highlight w:val="yellow"/>
        </w:rPr>
        <w:t>al</w:t>
      </w:r>
      <w:r w:rsidRPr="00B6286D">
        <w:rPr>
          <w:rFonts w:cs="Times New Roman"/>
          <w:szCs w:val="24"/>
          <w:highlight w:val="yellow"/>
        </w:rPr>
        <w:t xml:space="preserve"> </w:t>
      </w:r>
      <w:r w:rsidR="0006088E" w:rsidRPr="00B6286D">
        <w:rPr>
          <w:rFonts w:cs="Times New Roman"/>
          <w:szCs w:val="24"/>
          <w:highlight w:val="yellow"/>
        </w:rPr>
        <w:t>opportunities</w:t>
      </w:r>
      <w:r w:rsidRPr="00B6286D">
        <w:rPr>
          <w:rFonts w:cs="Times New Roman"/>
          <w:szCs w:val="24"/>
          <w:highlight w:val="yellow"/>
        </w:rPr>
        <w:t xml:space="preserve"> (</w:t>
      </w:r>
      <w:proofErr w:type="spellStart"/>
      <w:r w:rsidRPr="00B6286D">
        <w:rPr>
          <w:rFonts w:cs="Times New Roman"/>
          <w:szCs w:val="24"/>
          <w:highlight w:val="yellow"/>
        </w:rPr>
        <w:t>Keysa</w:t>
      </w:r>
      <w:proofErr w:type="spellEnd"/>
      <w:r w:rsidRPr="00B6286D">
        <w:rPr>
          <w:rFonts w:cs="Times New Roman"/>
          <w:szCs w:val="24"/>
          <w:highlight w:val="yellow"/>
        </w:rPr>
        <w:t xml:space="preserve"> and Kosmin, 1995</w:t>
      </w:r>
      <w:r w:rsidR="006F1207" w:rsidRPr="00B6286D">
        <w:rPr>
          <w:rFonts w:cs="Times New Roman"/>
          <w:szCs w:val="24"/>
          <w:highlight w:val="yellow"/>
        </w:rPr>
        <w:t>; Read, 2004</w:t>
      </w:r>
      <w:r w:rsidR="0006088E" w:rsidRPr="00B6286D">
        <w:rPr>
          <w:rFonts w:cs="Times New Roman"/>
          <w:szCs w:val="24"/>
          <w:highlight w:val="yellow"/>
        </w:rPr>
        <w:t>). In addition</w:t>
      </w:r>
      <w:r w:rsidR="005C7E22" w:rsidRPr="00B6286D">
        <w:rPr>
          <w:rFonts w:cs="Times New Roman"/>
          <w:szCs w:val="24"/>
          <w:highlight w:val="yellow"/>
        </w:rPr>
        <w:t xml:space="preserve">, it is contended </w:t>
      </w:r>
      <w:r w:rsidRPr="00B6286D">
        <w:rPr>
          <w:rFonts w:cs="Times New Roman"/>
          <w:szCs w:val="24"/>
          <w:highlight w:val="yellow"/>
        </w:rPr>
        <w:t xml:space="preserve">that </w:t>
      </w:r>
      <w:r w:rsidR="005C7E22" w:rsidRPr="00B6286D">
        <w:rPr>
          <w:rFonts w:cs="Times New Roman"/>
          <w:szCs w:val="24"/>
          <w:highlight w:val="yellow"/>
        </w:rPr>
        <w:t>if</w:t>
      </w:r>
      <w:r w:rsidRPr="00B6286D">
        <w:rPr>
          <w:rFonts w:cs="Times New Roman"/>
          <w:szCs w:val="24"/>
          <w:highlight w:val="yellow"/>
        </w:rPr>
        <w:t xml:space="preserve"> more resources (time and money) can be invested into individual children – due to small</w:t>
      </w:r>
      <w:r w:rsidR="005C7E22" w:rsidRPr="00B6286D">
        <w:rPr>
          <w:rFonts w:cs="Times New Roman"/>
          <w:szCs w:val="24"/>
          <w:highlight w:val="yellow"/>
        </w:rPr>
        <w:t>er</w:t>
      </w:r>
      <w:r w:rsidRPr="00B6286D">
        <w:rPr>
          <w:rFonts w:cs="Times New Roman"/>
          <w:szCs w:val="24"/>
          <w:highlight w:val="yellow"/>
        </w:rPr>
        <w:t xml:space="preserve"> number</w:t>
      </w:r>
      <w:r w:rsidR="005C7E22" w:rsidRPr="00B6286D">
        <w:rPr>
          <w:rFonts w:cs="Times New Roman"/>
          <w:szCs w:val="24"/>
          <w:highlight w:val="yellow"/>
        </w:rPr>
        <w:t>s</w:t>
      </w:r>
      <w:r w:rsidRPr="00B6286D">
        <w:rPr>
          <w:rFonts w:cs="Times New Roman"/>
          <w:szCs w:val="24"/>
          <w:highlight w:val="yellow"/>
        </w:rPr>
        <w:t xml:space="preserve"> of siblings and the presence of both parents – then better academic performance might be expected </w:t>
      </w:r>
      <w:r w:rsidRPr="00B6286D">
        <w:rPr>
          <w:rFonts w:cs="Times New Roman"/>
          <w:i/>
          <w:szCs w:val="24"/>
          <w:highlight w:val="yellow"/>
        </w:rPr>
        <w:t>ceteris paribus</w:t>
      </w:r>
      <w:r w:rsidRPr="00B6286D">
        <w:rPr>
          <w:rFonts w:cs="Times New Roman"/>
          <w:szCs w:val="24"/>
          <w:highlight w:val="yellow"/>
        </w:rPr>
        <w:t>. Table 1</w:t>
      </w:r>
      <w:r w:rsidR="005C7E22" w:rsidRPr="00B6286D">
        <w:rPr>
          <w:rFonts w:cs="Times New Roman"/>
          <w:szCs w:val="24"/>
          <w:highlight w:val="yellow"/>
        </w:rPr>
        <w:t xml:space="preserve"> includes data relevant to the q</w:t>
      </w:r>
      <w:r w:rsidRPr="00B6286D">
        <w:rPr>
          <w:rFonts w:cs="Times New Roman"/>
          <w:szCs w:val="24"/>
          <w:highlight w:val="yellow"/>
        </w:rPr>
        <w:t xml:space="preserve">uantity-quality fertility model by religious </w:t>
      </w:r>
      <w:r w:rsidR="0015470B" w:rsidRPr="00B6286D">
        <w:rPr>
          <w:rFonts w:cs="Times New Roman"/>
          <w:szCs w:val="24"/>
          <w:highlight w:val="yellow"/>
        </w:rPr>
        <w:t>affiliation. T</w:t>
      </w:r>
      <w:r w:rsidRPr="00B6286D">
        <w:rPr>
          <w:rFonts w:cs="Times New Roman"/>
          <w:szCs w:val="24"/>
          <w:highlight w:val="yellow"/>
        </w:rPr>
        <w:t>his hypothesis is most relevant to the homogenous</w:t>
      </w:r>
      <w:r w:rsidR="00F2767A" w:rsidRPr="00B6286D">
        <w:rPr>
          <w:rFonts w:cs="Times New Roman"/>
          <w:szCs w:val="24"/>
          <w:highlight w:val="yellow"/>
        </w:rPr>
        <w:t xml:space="preserve"> </w:t>
      </w:r>
      <w:r w:rsidRPr="00B6286D">
        <w:rPr>
          <w:rFonts w:cs="Times New Roman"/>
          <w:szCs w:val="24"/>
          <w:highlight w:val="yellow"/>
        </w:rPr>
        <w:t xml:space="preserve">student populations </w:t>
      </w:r>
      <w:r w:rsidR="0015470B" w:rsidRPr="00B6286D">
        <w:rPr>
          <w:rFonts w:cs="Times New Roman"/>
          <w:szCs w:val="24"/>
          <w:highlight w:val="yellow"/>
        </w:rPr>
        <w:t>such as those who attend</w:t>
      </w:r>
      <w:r w:rsidRPr="00B6286D">
        <w:rPr>
          <w:rFonts w:cs="Times New Roman"/>
          <w:szCs w:val="24"/>
          <w:highlight w:val="yellow"/>
        </w:rPr>
        <w:t xml:space="preserve"> Jewish and Islamic schools. In more heterogeneous schools</w:t>
      </w:r>
      <w:r w:rsidR="005C7E22" w:rsidRPr="00B6286D">
        <w:rPr>
          <w:rFonts w:cs="Times New Roman"/>
          <w:szCs w:val="24"/>
          <w:highlight w:val="yellow"/>
        </w:rPr>
        <w:t xml:space="preserve"> (like Anglican schools),</w:t>
      </w:r>
      <w:r w:rsidRPr="00B6286D">
        <w:rPr>
          <w:rFonts w:cs="Times New Roman"/>
          <w:szCs w:val="24"/>
          <w:highlight w:val="yellow"/>
        </w:rPr>
        <w:t xml:space="preserve"> the trend evident in the wider population may not manifest quite so strongly. It is important to note that this hypothesis relates specifically to </w:t>
      </w:r>
      <w:r w:rsidR="005C7E22" w:rsidRPr="00B6286D">
        <w:rPr>
          <w:rFonts w:cs="Times New Roman"/>
          <w:szCs w:val="24"/>
          <w:highlight w:val="yellow"/>
        </w:rPr>
        <w:t xml:space="preserve">the </w:t>
      </w:r>
      <w:r w:rsidRPr="00B6286D">
        <w:rPr>
          <w:rFonts w:cs="Times New Roman"/>
          <w:szCs w:val="24"/>
          <w:highlight w:val="yellow"/>
        </w:rPr>
        <w:t>quantity-quality attributes of religious affiliates and differs somewhat to the non-religion education literature, which focuses on the association between achievem</w:t>
      </w:r>
      <w:r w:rsidR="0015470B" w:rsidRPr="00B6286D">
        <w:rPr>
          <w:rFonts w:cs="Times New Roman"/>
          <w:szCs w:val="24"/>
          <w:highlight w:val="yellow"/>
        </w:rPr>
        <w:t>ent and socio-education</w:t>
      </w:r>
      <w:r w:rsidRPr="00B6286D">
        <w:rPr>
          <w:rFonts w:cs="Times New Roman"/>
          <w:szCs w:val="24"/>
          <w:highlight w:val="yellow"/>
        </w:rPr>
        <w:t xml:space="preserve"> </w:t>
      </w:r>
      <w:r w:rsidR="0015470B" w:rsidRPr="00B6286D">
        <w:rPr>
          <w:rFonts w:cs="Times New Roman"/>
          <w:szCs w:val="24"/>
          <w:highlight w:val="yellow"/>
        </w:rPr>
        <w:t>advantage</w:t>
      </w:r>
      <w:r w:rsidR="00625C9D" w:rsidRPr="00B6286D">
        <w:rPr>
          <w:rFonts w:cs="Times New Roman"/>
          <w:szCs w:val="24"/>
          <w:highlight w:val="yellow"/>
        </w:rPr>
        <w:t>.</w:t>
      </w:r>
    </w:p>
    <w:p w14:paraId="2DA97847" w14:textId="5294B2EF" w:rsidR="00625C9D" w:rsidRDefault="00782A6D" w:rsidP="00625C9D">
      <w:pPr>
        <w:spacing w:after="0" w:line="480" w:lineRule="auto"/>
        <w:rPr>
          <w:rFonts w:cs="Times New Roman"/>
          <w:szCs w:val="24"/>
          <w:lang w:val="en-GB"/>
        </w:rPr>
      </w:pPr>
      <w:r>
        <w:rPr>
          <w:rFonts w:cs="Times New Roman"/>
          <w:szCs w:val="24"/>
          <w:lang w:val="en-GB"/>
        </w:rPr>
        <w:t>[Please insert Table 1 here]</w:t>
      </w:r>
    </w:p>
    <w:p w14:paraId="0CDC0A16" w14:textId="0569F58F" w:rsidR="00625C9D" w:rsidRDefault="00F2767A" w:rsidP="00625C9D">
      <w:pPr>
        <w:spacing w:after="0" w:line="480" w:lineRule="auto"/>
        <w:rPr>
          <w:rFonts w:cs="Times New Roman"/>
          <w:szCs w:val="24"/>
        </w:rPr>
      </w:pPr>
      <w:r w:rsidRPr="00B6286D">
        <w:rPr>
          <w:rFonts w:cs="Times New Roman"/>
          <w:szCs w:val="24"/>
          <w:highlight w:val="yellow"/>
        </w:rPr>
        <w:t>There are also a number of more direct effects of religious practice, which may well have a bearing on the distribution of average school performance with respect to the religion of the administering authority. For instance, the need to commit to memory long and complex texts (and recite same, often in a different language, by rote) – such as occurs in Islam, Judaism and Catholicism for example – may develop skills which are readily transferable to academic endeavours like learning to spell (e.g., Moore, 2012</w:t>
      </w:r>
      <w:r w:rsidR="00B540AA" w:rsidRPr="00B6286D">
        <w:rPr>
          <w:rFonts w:cs="Times New Roman"/>
          <w:szCs w:val="24"/>
          <w:highlight w:val="yellow"/>
        </w:rPr>
        <w:t>). In a similar vein, religions</w:t>
      </w:r>
      <w:r w:rsidRPr="00B6286D">
        <w:rPr>
          <w:rFonts w:cs="Times New Roman"/>
          <w:szCs w:val="24"/>
          <w:highlight w:val="yellow"/>
        </w:rPr>
        <w:t xml:space="preserve"> </w:t>
      </w:r>
      <w:r w:rsidR="00B540AA" w:rsidRPr="00B6286D">
        <w:rPr>
          <w:rFonts w:cs="Times New Roman"/>
          <w:szCs w:val="24"/>
          <w:highlight w:val="yellow"/>
        </w:rPr>
        <w:t>that</w:t>
      </w:r>
      <w:r w:rsidRPr="00B6286D">
        <w:rPr>
          <w:rFonts w:cs="Times New Roman"/>
          <w:szCs w:val="24"/>
          <w:highlight w:val="yellow"/>
        </w:rPr>
        <w:t xml:space="preserve"> emphasise the study and engagement with philosophically sophisticated materials are likely to promote reading comprehension and persuasive writing skills. Self-discipline, introspection, and obedience to authority are also salient skills developed in many religious environme</w:t>
      </w:r>
      <w:r w:rsidR="004743DA" w:rsidRPr="00B6286D">
        <w:rPr>
          <w:rFonts w:cs="Times New Roman"/>
          <w:szCs w:val="24"/>
          <w:highlight w:val="yellow"/>
        </w:rPr>
        <w:t>nts (Sander, 1992</w:t>
      </w:r>
      <w:r w:rsidR="00625C9D" w:rsidRPr="00B6286D">
        <w:rPr>
          <w:rFonts w:cs="Times New Roman"/>
          <w:szCs w:val="24"/>
          <w:highlight w:val="yellow"/>
        </w:rPr>
        <w:t>).</w:t>
      </w:r>
    </w:p>
    <w:p w14:paraId="280A029A" w14:textId="766594D5" w:rsidR="00565B5C" w:rsidRDefault="00565B5C">
      <w:pPr>
        <w:rPr>
          <w:rFonts w:cs="Times New Roman"/>
          <w:szCs w:val="24"/>
        </w:rPr>
      </w:pPr>
      <w:r>
        <w:rPr>
          <w:rFonts w:cs="Times New Roman"/>
          <w:szCs w:val="24"/>
        </w:rPr>
        <w:br w:type="page"/>
      </w:r>
    </w:p>
    <w:p w14:paraId="320B991B" w14:textId="77777777" w:rsidR="00625C9D" w:rsidRDefault="00625C9D" w:rsidP="00625C9D">
      <w:pPr>
        <w:spacing w:after="0" w:line="480" w:lineRule="auto"/>
        <w:rPr>
          <w:rFonts w:cs="Times New Roman"/>
          <w:szCs w:val="24"/>
        </w:rPr>
      </w:pPr>
    </w:p>
    <w:p w14:paraId="57D7D545" w14:textId="4D758EEC" w:rsidR="00625C9D" w:rsidRDefault="00F2767A" w:rsidP="00625C9D">
      <w:pPr>
        <w:spacing w:after="0" w:line="480" w:lineRule="auto"/>
        <w:rPr>
          <w:rFonts w:cs="Times New Roman"/>
          <w:szCs w:val="24"/>
        </w:rPr>
      </w:pPr>
      <w:r w:rsidRPr="00B6286D">
        <w:rPr>
          <w:rFonts w:cs="Times New Roman"/>
          <w:szCs w:val="24"/>
          <w:highlight w:val="yellow"/>
        </w:rPr>
        <w:t>Moreover, intergenerational mentoring facilitated by the regular gathering of adherents has been argued to have a positive effect on attainment (Erickson and Phillips, 2012)</w:t>
      </w:r>
      <w:r w:rsidR="00B540AA" w:rsidRPr="00B6286D">
        <w:rPr>
          <w:rFonts w:cs="Times New Roman"/>
          <w:szCs w:val="24"/>
          <w:highlight w:val="yellow"/>
        </w:rPr>
        <w:t>.</w:t>
      </w:r>
      <w:r w:rsidRPr="00B6286D">
        <w:rPr>
          <w:rFonts w:cs="Times New Roman"/>
          <w:szCs w:val="24"/>
          <w:highlight w:val="yellow"/>
        </w:rPr>
        <w:t xml:space="preserve"> </w:t>
      </w:r>
      <w:r w:rsidR="00B540AA" w:rsidRPr="00B6286D">
        <w:rPr>
          <w:rFonts w:cs="Times New Roman"/>
          <w:szCs w:val="24"/>
          <w:highlight w:val="yellow"/>
        </w:rPr>
        <w:t>T</w:t>
      </w:r>
      <w:r w:rsidRPr="00B6286D">
        <w:rPr>
          <w:rFonts w:cs="Times New Roman"/>
          <w:szCs w:val="24"/>
          <w:highlight w:val="yellow"/>
        </w:rPr>
        <w:t xml:space="preserve">his is also applicable in many Catholic and Anglican school communities (despite the fact that </w:t>
      </w:r>
      <w:r w:rsidR="004743DA" w:rsidRPr="00B6286D">
        <w:rPr>
          <w:rFonts w:cs="Times New Roman"/>
          <w:szCs w:val="24"/>
          <w:highlight w:val="yellow"/>
        </w:rPr>
        <w:t>the latter are religiously heterogeneous</w:t>
      </w:r>
      <w:r w:rsidRPr="00B6286D">
        <w:rPr>
          <w:rFonts w:cs="Times New Roman"/>
          <w:szCs w:val="24"/>
          <w:highlight w:val="yellow"/>
        </w:rPr>
        <w:t>) where churches often exist on or adjacent to school grounds and the religious community is active in pastoral care. Much has also been made of fundamentalist Christian refusal to engage with science and humanism – although this is likely to be most relevant in high school and university levels of education. In a similar vein, religious attitudes to alcohol, illicit drug use</w:t>
      </w:r>
      <w:r w:rsidR="00B540AA" w:rsidRPr="00B6286D">
        <w:rPr>
          <w:rFonts w:cs="Times New Roman"/>
          <w:szCs w:val="24"/>
          <w:highlight w:val="yellow"/>
        </w:rPr>
        <w:t>,</w:t>
      </w:r>
      <w:r w:rsidRPr="00B6286D">
        <w:rPr>
          <w:rFonts w:cs="Times New Roman"/>
          <w:szCs w:val="24"/>
          <w:highlight w:val="yellow"/>
        </w:rPr>
        <w:t xml:space="preserve"> and sexual promiscuity have also been advanced to explain higher levels of educational </w:t>
      </w:r>
      <w:r w:rsidR="00B540AA" w:rsidRPr="00B6286D">
        <w:rPr>
          <w:rFonts w:cs="Times New Roman"/>
          <w:szCs w:val="24"/>
          <w:highlight w:val="yellow"/>
        </w:rPr>
        <w:t>attainment; however, these factors are relevant for only</w:t>
      </w:r>
      <w:r w:rsidRPr="00B6286D">
        <w:rPr>
          <w:rFonts w:cs="Times New Roman"/>
          <w:szCs w:val="24"/>
          <w:highlight w:val="yellow"/>
        </w:rPr>
        <w:t xml:space="preserve"> for secondary and tertiary education (Erickson and Phillips, 2012). These direct effects of religious practice are clearly pertinent in relatively homogeneous school populations </w:t>
      </w:r>
      <w:r w:rsidR="00B540AA" w:rsidRPr="00B6286D">
        <w:rPr>
          <w:rFonts w:cs="Times New Roman"/>
          <w:szCs w:val="24"/>
          <w:highlight w:val="yellow"/>
        </w:rPr>
        <w:t>like those</w:t>
      </w:r>
      <w:r w:rsidRPr="00B6286D">
        <w:rPr>
          <w:rFonts w:cs="Times New Roman"/>
          <w:szCs w:val="24"/>
          <w:highlight w:val="yellow"/>
        </w:rPr>
        <w:t xml:space="preserve"> we might expect to find</w:t>
      </w:r>
      <w:r w:rsidR="00625C9D" w:rsidRPr="00B6286D">
        <w:rPr>
          <w:rFonts w:cs="Times New Roman"/>
          <w:szCs w:val="24"/>
          <w:highlight w:val="yellow"/>
        </w:rPr>
        <w:t xml:space="preserve"> in Jewish and Islamic schools.</w:t>
      </w:r>
    </w:p>
    <w:p w14:paraId="5C548A75" w14:textId="77777777" w:rsidR="00625C9D" w:rsidRDefault="00625C9D" w:rsidP="00625C9D">
      <w:pPr>
        <w:spacing w:after="0" w:line="480" w:lineRule="auto"/>
        <w:rPr>
          <w:rFonts w:cs="Times New Roman"/>
          <w:szCs w:val="24"/>
        </w:rPr>
      </w:pPr>
    </w:p>
    <w:p w14:paraId="2251A285" w14:textId="6D1FAC9B" w:rsidR="00F2767A" w:rsidRDefault="00F2767A" w:rsidP="00625C9D">
      <w:pPr>
        <w:spacing w:after="0" w:line="480" w:lineRule="auto"/>
        <w:rPr>
          <w:rFonts w:cs="Times New Roman"/>
          <w:szCs w:val="24"/>
        </w:rPr>
      </w:pPr>
      <w:r w:rsidRPr="00B6286D">
        <w:rPr>
          <w:rFonts w:cs="Times New Roman"/>
          <w:szCs w:val="24"/>
          <w:highlight w:val="yellow"/>
        </w:rPr>
        <w:t xml:space="preserve">However, it may also be the case that many of the direct effects might be transmitted to more </w:t>
      </w:r>
      <w:r w:rsidR="004743DA" w:rsidRPr="00B6286D">
        <w:rPr>
          <w:rFonts w:cs="Times New Roman"/>
          <w:szCs w:val="24"/>
          <w:highlight w:val="yellow"/>
        </w:rPr>
        <w:t xml:space="preserve">religiously </w:t>
      </w:r>
      <w:r w:rsidRPr="00B6286D">
        <w:rPr>
          <w:rFonts w:cs="Times New Roman"/>
          <w:szCs w:val="24"/>
          <w:highlight w:val="yellow"/>
        </w:rPr>
        <w:t xml:space="preserve">heterogeneous student populations (such as those that occur in Anglican schools) through pastoral care, the attitudes and beliefs of religious adherent teaching staff </w:t>
      </w:r>
      <w:r w:rsidR="004743DA" w:rsidRPr="00B6286D">
        <w:rPr>
          <w:rFonts w:cs="Times New Roman"/>
          <w:szCs w:val="24"/>
          <w:highlight w:val="yellow"/>
        </w:rPr>
        <w:t xml:space="preserve">(who may be motivated by religion to put in efforts beyond what might be expected of occupation alone) </w:t>
      </w:r>
      <w:r w:rsidRPr="00B6286D">
        <w:rPr>
          <w:rFonts w:cs="Times New Roman"/>
          <w:szCs w:val="24"/>
          <w:highlight w:val="yellow"/>
        </w:rPr>
        <w:t>and compulsory religious education programmes</w:t>
      </w:r>
      <w:r w:rsidR="00C4319D" w:rsidRPr="00B6286D">
        <w:rPr>
          <w:rFonts w:cs="Times New Roman"/>
          <w:szCs w:val="24"/>
          <w:highlight w:val="yellow"/>
        </w:rPr>
        <w:t xml:space="preserve"> (although it might be noted from the literature abroad that </w:t>
      </w:r>
      <w:r w:rsidR="002E717C" w:rsidRPr="00B6286D">
        <w:rPr>
          <w:rFonts w:cs="Times New Roman"/>
          <w:szCs w:val="24"/>
          <w:highlight w:val="yellow"/>
        </w:rPr>
        <w:t xml:space="preserve">assessing teacher quality is </w:t>
      </w:r>
      <w:r w:rsidR="00637B32" w:rsidRPr="00B6286D">
        <w:rPr>
          <w:rFonts w:cs="Times New Roman"/>
          <w:szCs w:val="24"/>
          <w:highlight w:val="yellow"/>
        </w:rPr>
        <w:t>an</w:t>
      </w:r>
      <w:r w:rsidR="002E717C" w:rsidRPr="00B6286D">
        <w:rPr>
          <w:rFonts w:cs="Times New Roman"/>
          <w:szCs w:val="24"/>
          <w:highlight w:val="yellow"/>
        </w:rPr>
        <w:t xml:space="preserve"> imprecise science at best</w:t>
      </w:r>
      <w:r w:rsidR="00637B32" w:rsidRPr="00B6286D">
        <w:rPr>
          <w:rFonts w:cs="Times New Roman"/>
          <w:szCs w:val="24"/>
          <w:highlight w:val="yellow"/>
        </w:rPr>
        <w:t>)</w:t>
      </w:r>
      <w:r w:rsidR="002E717C" w:rsidRPr="00B6286D">
        <w:rPr>
          <w:rFonts w:cs="Times New Roman"/>
          <w:szCs w:val="24"/>
          <w:highlight w:val="yellow"/>
        </w:rPr>
        <w:t xml:space="preserve"> </w:t>
      </w:r>
      <w:r w:rsidR="00637B32" w:rsidRPr="00B6286D">
        <w:rPr>
          <w:rFonts w:cs="Times New Roman"/>
          <w:szCs w:val="24"/>
          <w:highlight w:val="yellow"/>
        </w:rPr>
        <w:t>(</w:t>
      </w:r>
      <w:r w:rsidR="002E717C" w:rsidRPr="00B6286D">
        <w:rPr>
          <w:rFonts w:cs="Times New Roman"/>
          <w:szCs w:val="24"/>
          <w:highlight w:val="yellow"/>
        </w:rPr>
        <w:t>see, Davies and Davies, 2014; Rothstein, 2010)</w:t>
      </w:r>
      <w:r w:rsidRPr="00B6286D">
        <w:rPr>
          <w:rFonts w:cs="Times New Roman"/>
          <w:szCs w:val="24"/>
          <w:highlight w:val="yellow"/>
        </w:rPr>
        <w:t>. If this is the case, then it may be that some of the more fruitful practices could be incorporated into the pedagogy and curriculum of public schools to improve educational achievement.</w:t>
      </w:r>
    </w:p>
    <w:p w14:paraId="6BFA31F1" w14:textId="5BDE4C41" w:rsidR="00637B32" w:rsidRDefault="00637B32">
      <w:pPr>
        <w:rPr>
          <w:rFonts w:cs="Times New Roman"/>
          <w:szCs w:val="24"/>
        </w:rPr>
      </w:pPr>
      <w:r>
        <w:rPr>
          <w:rFonts w:cs="Times New Roman"/>
          <w:szCs w:val="24"/>
        </w:rPr>
        <w:br w:type="page"/>
      </w:r>
    </w:p>
    <w:p w14:paraId="7A203061" w14:textId="77777777" w:rsidR="00625C9D" w:rsidRPr="00F2767A" w:rsidRDefault="00625C9D" w:rsidP="00625C9D">
      <w:pPr>
        <w:spacing w:after="0" w:line="480" w:lineRule="auto"/>
        <w:rPr>
          <w:rFonts w:cs="Times New Roman"/>
          <w:szCs w:val="24"/>
        </w:rPr>
      </w:pPr>
    </w:p>
    <w:p w14:paraId="284F495B" w14:textId="4F0C3628" w:rsidR="005D7960" w:rsidRDefault="004743DA" w:rsidP="00625C9D">
      <w:pPr>
        <w:spacing w:after="0" w:line="480" w:lineRule="auto"/>
        <w:rPr>
          <w:rFonts w:cs="Times New Roman"/>
          <w:szCs w:val="24"/>
          <w:lang w:val="en-GB"/>
        </w:rPr>
      </w:pPr>
      <w:r w:rsidRPr="00B6286D">
        <w:rPr>
          <w:rFonts w:cs="Times New Roman"/>
          <w:szCs w:val="24"/>
          <w:highlight w:val="yellow"/>
          <w:lang w:val="en-GB"/>
        </w:rPr>
        <w:t>We now describe our empirica</w:t>
      </w:r>
      <w:r w:rsidR="00823B37" w:rsidRPr="00B6286D">
        <w:rPr>
          <w:rFonts w:cs="Times New Roman"/>
          <w:szCs w:val="24"/>
          <w:highlight w:val="yellow"/>
          <w:lang w:val="en-GB"/>
        </w:rPr>
        <w:t>l approach to identify</w:t>
      </w:r>
      <w:r w:rsidRPr="00B6286D">
        <w:rPr>
          <w:rFonts w:cs="Times New Roman"/>
          <w:szCs w:val="24"/>
          <w:highlight w:val="yellow"/>
          <w:lang w:val="en-GB"/>
        </w:rPr>
        <w:t xml:space="preserve"> whether there is an association between the administering faith of institutions and the average education achievemen</w:t>
      </w:r>
      <w:r w:rsidR="00823B37" w:rsidRPr="00B6286D">
        <w:rPr>
          <w:rFonts w:cs="Times New Roman"/>
          <w:szCs w:val="24"/>
          <w:highlight w:val="yellow"/>
          <w:lang w:val="en-GB"/>
        </w:rPr>
        <w:t>t of students,</w:t>
      </w:r>
      <w:r w:rsidRPr="00B6286D">
        <w:rPr>
          <w:rFonts w:cs="Times New Roman"/>
          <w:szCs w:val="24"/>
          <w:highlight w:val="yellow"/>
          <w:lang w:val="en-GB"/>
        </w:rPr>
        <w:t xml:space="preserve"> after controlling for explanatory factors identified in previous education achievement literature.</w:t>
      </w:r>
    </w:p>
    <w:p w14:paraId="7A7B97CD" w14:textId="0A4B7B49" w:rsidR="00773DF9" w:rsidRDefault="00773DF9" w:rsidP="00625C9D">
      <w:pPr>
        <w:spacing w:after="0" w:line="480" w:lineRule="auto"/>
        <w:rPr>
          <w:rFonts w:cs="Times New Roman"/>
          <w:szCs w:val="24"/>
        </w:rPr>
      </w:pPr>
    </w:p>
    <w:p w14:paraId="725F1D5A" w14:textId="19BA8C8C" w:rsidR="00CA15C0" w:rsidRPr="00CA15C0" w:rsidRDefault="00CA15C0" w:rsidP="00625C9D">
      <w:pPr>
        <w:spacing w:after="0" w:line="480" w:lineRule="auto"/>
        <w:rPr>
          <w:rFonts w:cs="Times New Roman"/>
          <w:b/>
          <w:szCs w:val="24"/>
        </w:rPr>
      </w:pPr>
      <w:r w:rsidRPr="00CA15C0">
        <w:rPr>
          <w:rFonts w:cs="Times New Roman"/>
          <w:b/>
          <w:szCs w:val="24"/>
        </w:rPr>
        <w:t>DATA AND EMPIRICAL STRATEGY</w:t>
      </w:r>
    </w:p>
    <w:p w14:paraId="097E1042" w14:textId="19FBB258" w:rsidR="00144F07" w:rsidRDefault="004743DA" w:rsidP="00625C9D">
      <w:pPr>
        <w:spacing w:after="0" w:line="480" w:lineRule="auto"/>
        <w:rPr>
          <w:rFonts w:cs="Times New Roman"/>
          <w:szCs w:val="24"/>
        </w:rPr>
      </w:pPr>
      <w:r w:rsidRPr="00B6286D">
        <w:rPr>
          <w:rFonts w:cs="Times New Roman"/>
          <w:szCs w:val="24"/>
          <w:highlight w:val="yellow"/>
        </w:rPr>
        <w:t xml:space="preserve">This study extends the </w:t>
      </w:r>
      <w:r w:rsidR="001E0ACF" w:rsidRPr="00B6286D">
        <w:rPr>
          <w:rFonts w:cs="Times New Roman"/>
          <w:szCs w:val="24"/>
          <w:highlight w:val="yellow"/>
        </w:rPr>
        <w:t xml:space="preserve">scholarly </w:t>
      </w:r>
      <w:r w:rsidRPr="00B6286D">
        <w:rPr>
          <w:rFonts w:cs="Times New Roman"/>
          <w:szCs w:val="24"/>
          <w:highlight w:val="yellow"/>
        </w:rPr>
        <w:t>literature by being the first empirical work to disaggregate education</w:t>
      </w:r>
      <w:r w:rsidR="00DE4783" w:rsidRPr="00B6286D">
        <w:rPr>
          <w:rFonts w:cs="Times New Roman"/>
          <w:szCs w:val="24"/>
          <w:highlight w:val="yellow"/>
        </w:rPr>
        <w:t xml:space="preserve"> providers beyond the public-C</w:t>
      </w:r>
      <w:r w:rsidR="002D5EFB" w:rsidRPr="00B6286D">
        <w:rPr>
          <w:rFonts w:cs="Times New Roman"/>
          <w:szCs w:val="24"/>
          <w:highlight w:val="yellow"/>
        </w:rPr>
        <w:t xml:space="preserve">atholic-private trichotomy. </w:t>
      </w:r>
      <w:r w:rsidR="001E0ACF" w:rsidRPr="00B6286D">
        <w:rPr>
          <w:rFonts w:cs="Times New Roman"/>
          <w:szCs w:val="24"/>
          <w:highlight w:val="yellow"/>
        </w:rPr>
        <w:t>We employ the</w:t>
      </w:r>
      <w:r w:rsidR="00E90532" w:rsidRPr="00B6286D">
        <w:rPr>
          <w:rFonts w:cs="Times New Roman"/>
          <w:szCs w:val="24"/>
          <w:highlight w:val="yellow"/>
        </w:rPr>
        <w:t xml:space="preserve"> census</w:t>
      </w:r>
      <w:r w:rsidR="001E0ACF" w:rsidRPr="00B6286D">
        <w:rPr>
          <w:rFonts w:cs="Times New Roman"/>
          <w:szCs w:val="24"/>
          <w:highlight w:val="yellow"/>
        </w:rPr>
        <w:t xml:space="preserve"> dataset obtained from ACARA under licence to test whether there is an association between average scores in the national assessment program for year 3 and 5 students, and the faith-base of schools.</w:t>
      </w:r>
      <w:r w:rsidR="002C00E8" w:rsidRPr="00B6286D">
        <w:rPr>
          <w:rFonts w:cs="Times New Roman"/>
          <w:szCs w:val="24"/>
          <w:highlight w:val="yellow"/>
        </w:rPr>
        <w:t xml:space="preserve"> It is appropriate to use school level data given that our research question examines the association between educational achievement and the religion of the administering authority; not the student gain in achievement attributab</w:t>
      </w:r>
      <w:r w:rsidR="00823B37" w:rsidRPr="00B6286D">
        <w:rPr>
          <w:rFonts w:cs="Times New Roman"/>
          <w:szCs w:val="24"/>
          <w:highlight w:val="yellow"/>
        </w:rPr>
        <w:t xml:space="preserve">le to the religious authority, </w:t>
      </w:r>
      <w:r w:rsidR="002C00E8" w:rsidRPr="00B6286D">
        <w:rPr>
          <w:rFonts w:cs="Times New Roman"/>
          <w:szCs w:val="24"/>
          <w:highlight w:val="yellow"/>
        </w:rPr>
        <w:t>which is a much narrower and more nuanced question. Moreover, it should</w:t>
      </w:r>
      <w:r w:rsidR="00DE4783" w:rsidRPr="00B6286D">
        <w:rPr>
          <w:rFonts w:cs="Times New Roman"/>
          <w:szCs w:val="24"/>
          <w:highlight w:val="yellow"/>
        </w:rPr>
        <w:t xml:space="preserve"> also</w:t>
      </w:r>
      <w:r w:rsidR="002C00E8" w:rsidRPr="00B6286D">
        <w:rPr>
          <w:rFonts w:cs="Times New Roman"/>
          <w:szCs w:val="24"/>
          <w:highlight w:val="yellow"/>
        </w:rPr>
        <w:t xml:space="preserve"> be noted that </w:t>
      </w:r>
      <w:r w:rsidR="00DE4783" w:rsidRPr="00B6286D">
        <w:rPr>
          <w:rFonts w:cs="Times New Roman"/>
          <w:szCs w:val="24"/>
          <w:highlight w:val="yellow"/>
        </w:rPr>
        <w:t>ACARA does</w:t>
      </w:r>
      <w:r w:rsidR="002C00E8" w:rsidRPr="00B6286D">
        <w:rPr>
          <w:rFonts w:cs="Times New Roman"/>
          <w:szCs w:val="24"/>
          <w:highlight w:val="yellow"/>
        </w:rPr>
        <w:t xml:space="preserve"> not allow researchers to have access to both student level data and school level data under the deed of licence, due to a possible risk to anonymity of student data.</w:t>
      </w:r>
    </w:p>
    <w:p w14:paraId="63F64AD5" w14:textId="77777777" w:rsidR="00625C9D" w:rsidRDefault="00625C9D" w:rsidP="00625C9D">
      <w:pPr>
        <w:spacing w:after="0" w:line="480" w:lineRule="auto"/>
        <w:rPr>
          <w:rFonts w:cs="Times New Roman"/>
          <w:szCs w:val="24"/>
        </w:rPr>
      </w:pPr>
    </w:p>
    <w:p w14:paraId="79CFADF7" w14:textId="7BB2B442" w:rsidR="00801B2E" w:rsidRDefault="001E0ACF" w:rsidP="00625C9D">
      <w:pPr>
        <w:spacing w:after="0" w:line="480" w:lineRule="auto"/>
        <w:rPr>
          <w:rFonts w:cs="Times New Roman"/>
          <w:szCs w:val="24"/>
        </w:rPr>
      </w:pPr>
      <w:r w:rsidRPr="005D7857">
        <w:rPr>
          <w:rFonts w:cs="Times New Roman"/>
          <w:szCs w:val="24"/>
        </w:rPr>
        <w:t>T</w:t>
      </w:r>
      <w:r w:rsidR="00801B2E" w:rsidRPr="005D7857">
        <w:rPr>
          <w:rFonts w:cs="Times New Roman"/>
          <w:szCs w:val="24"/>
        </w:rPr>
        <w:t xml:space="preserve">he National Assessment Program for Literacy and </w:t>
      </w:r>
      <w:r w:rsidRPr="005D7857">
        <w:rPr>
          <w:rFonts w:cs="Times New Roman"/>
          <w:szCs w:val="24"/>
        </w:rPr>
        <w:t>Numeracy (NAPLAN</w:t>
      </w:r>
      <w:r w:rsidR="00CF2452" w:rsidRPr="005D7857">
        <w:rPr>
          <w:rFonts w:cs="Times New Roman"/>
          <w:szCs w:val="24"/>
        </w:rPr>
        <w:t>)</w:t>
      </w:r>
      <w:r w:rsidRPr="005D7857">
        <w:rPr>
          <w:rFonts w:cs="Times New Roman"/>
          <w:szCs w:val="24"/>
        </w:rPr>
        <w:t xml:space="preserve"> </w:t>
      </w:r>
      <w:r w:rsidR="00801B2E" w:rsidRPr="005D7857">
        <w:rPr>
          <w:rFonts w:cs="Times New Roman"/>
          <w:szCs w:val="24"/>
        </w:rPr>
        <w:t xml:space="preserve">is an ‘annual national assessment for all students in Years 3, 5, 7, and 9 in all Government and non-Government schools across Australia’ (Miller and </w:t>
      </w:r>
      <w:proofErr w:type="spellStart"/>
      <w:r w:rsidR="00801B2E" w:rsidRPr="005D7857">
        <w:rPr>
          <w:rFonts w:cs="Times New Roman"/>
          <w:szCs w:val="24"/>
        </w:rPr>
        <w:t>Voon</w:t>
      </w:r>
      <w:proofErr w:type="spellEnd"/>
      <w:r w:rsidR="00801B2E" w:rsidRPr="005D7857">
        <w:rPr>
          <w:rFonts w:cs="Times New Roman"/>
          <w:szCs w:val="24"/>
        </w:rPr>
        <w:t>, 2012: 152). The NAPLAN tests, which have been administered since 2008 (Marks, 2014), cover the following domains: (</w:t>
      </w:r>
      <w:proofErr w:type="spellStart"/>
      <w:r w:rsidR="00801B2E" w:rsidRPr="005D7857">
        <w:rPr>
          <w:rFonts w:cs="Times New Roman"/>
          <w:szCs w:val="24"/>
        </w:rPr>
        <w:t>i</w:t>
      </w:r>
      <w:proofErr w:type="spellEnd"/>
      <w:r w:rsidR="00801B2E" w:rsidRPr="005D7857">
        <w:rPr>
          <w:rFonts w:cs="Times New Roman"/>
          <w:szCs w:val="24"/>
        </w:rPr>
        <w:t xml:space="preserve">) grammar, (ii) reading, (iii) spelling, </w:t>
      </w:r>
      <w:proofErr w:type="gramStart"/>
      <w:r w:rsidR="00801B2E" w:rsidRPr="005D7857">
        <w:rPr>
          <w:rFonts w:cs="Times New Roman"/>
          <w:szCs w:val="24"/>
        </w:rPr>
        <w:t>(iv)</w:t>
      </w:r>
      <w:r w:rsidR="00BF5B80" w:rsidRPr="005D7857">
        <w:rPr>
          <w:rFonts w:cs="Times New Roman"/>
          <w:szCs w:val="24"/>
        </w:rPr>
        <w:t xml:space="preserve"> writing</w:t>
      </w:r>
      <w:proofErr w:type="gramEnd"/>
      <w:r w:rsidR="00BF5B80" w:rsidRPr="005D7857">
        <w:rPr>
          <w:rFonts w:cs="Times New Roman"/>
          <w:szCs w:val="24"/>
        </w:rPr>
        <w:t>, and (v) numeracy. The</w:t>
      </w:r>
      <w:r w:rsidR="00801B2E" w:rsidRPr="005D7857">
        <w:rPr>
          <w:rFonts w:cs="Times New Roman"/>
          <w:szCs w:val="24"/>
        </w:rPr>
        <w:t xml:space="preserve"> tests have been designed to be grade-based (as opposed to age-based), with national test participation rates at </w:t>
      </w:r>
      <w:r w:rsidR="00801B2E" w:rsidRPr="005D7857">
        <w:rPr>
          <w:rFonts w:cs="Times New Roman"/>
          <w:szCs w:val="24"/>
        </w:rPr>
        <w:lastRenderedPageBreak/>
        <w:t xml:space="preserve">95% or more for Years 3 and 5 (Miller and </w:t>
      </w:r>
      <w:proofErr w:type="spellStart"/>
      <w:r w:rsidR="00801B2E" w:rsidRPr="005D7857">
        <w:rPr>
          <w:rFonts w:cs="Times New Roman"/>
          <w:szCs w:val="24"/>
        </w:rPr>
        <w:t>Voon</w:t>
      </w:r>
      <w:proofErr w:type="spellEnd"/>
      <w:r w:rsidR="00801B2E" w:rsidRPr="005D7857">
        <w:rPr>
          <w:rFonts w:cs="Times New Roman"/>
          <w:szCs w:val="24"/>
        </w:rPr>
        <w:t xml:space="preserve">, 2014: 152). </w:t>
      </w:r>
      <w:r w:rsidR="00BF5B80" w:rsidRPr="005D7857">
        <w:rPr>
          <w:rFonts w:cs="Times New Roman"/>
          <w:szCs w:val="24"/>
        </w:rPr>
        <w:t>NAPLAN test</w:t>
      </w:r>
      <w:r w:rsidR="00801B2E" w:rsidRPr="005D7857">
        <w:rPr>
          <w:rFonts w:cs="Times New Roman"/>
          <w:szCs w:val="24"/>
        </w:rPr>
        <w:t xml:space="preserve"> scores range from 0 to 1,000 and were designed to permit the comparison of academic achievement from different schools and across time (Nghiem et al., 2015).</w:t>
      </w:r>
      <w:r w:rsidRPr="005D7857">
        <w:rPr>
          <w:rFonts w:cs="Times New Roman"/>
          <w:szCs w:val="24"/>
        </w:rPr>
        <w:t xml:space="preserve"> </w:t>
      </w:r>
      <w:r w:rsidRPr="00B6286D">
        <w:rPr>
          <w:rFonts w:cs="Times New Roman"/>
          <w:szCs w:val="24"/>
          <w:highlight w:val="yellow"/>
        </w:rPr>
        <w:t xml:space="preserve">The data is pre-sorted by the ACARA according to ‘Government’, ‘Catholic’ and ‘Independent’ identifiers and all previous studies have employed this categorisation without qualification. However, </w:t>
      </w:r>
      <w:proofErr w:type="gramStart"/>
      <w:r w:rsidRPr="00B6286D">
        <w:rPr>
          <w:rFonts w:cs="Times New Roman"/>
          <w:szCs w:val="24"/>
          <w:highlight w:val="yellow"/>
        </w:rPr>
        <w:t>lumping</w:t>
      </w:r>
      <w:proofErr w:type="gramEnd"/>
      <w:r w:rsidRPr="00B6286D">
        <w:rPr>
          <w:rFonts w:cs="Times New Roman"/>
          <w:szCs w:val="24"/>
          <w:highlight w:val="yellow"/>
        </w:rPr>
        <w:t xml:space="preserve"> all non-public schools together as either Catholic or non-Catholic may not be the most reasonable foundation for analysing performance</w:t>
      </w:r>
      <w:r w:rsidR="00CF2452" w:rsidRPr="00B6286D">
        <w:rPr>
          <w:rFonts w:cs="Times New Roman"/>
          <w:szCs w:val="24"/>
          <w:highlight w:val="yellow"/>
        </w:rPr>
        <w:t>,</w:t>
      </w:r>
      <w:r w:rsidRPr="00B6286D">
        <w:rPr>
          <w:rFonts w:cs="Times New Roman"/>
          <w:szCs w:val="24"/>
          <w:highlight w:val="yellow"/>
        </w:rPr>
        <w:t xml:space="preserve"> particularly where the religion of the</w:t>
      </w:r>
      <w:r w:rsidR="00FD69DE" w:rsidRPr="00B6286D">
        <w:rPr>
          <w:rFonts w:cs="Times New Roman"/>
          <w:szCs w:val="24"/>
          <w:highlight w:val="yellow"/>
        </w:rPr>
        <w:t xml:space="preserve"> school is of interest</w:t>
      </w:r>
      <w:r w:rsidRPr="00B6286D">
        <w:rPr>
          <w:rFonts w:cs="Times New Roman"/>
          <w:szCs w:val="24"/>
          <w:highlight w:val="yellow"/>
        </w:rPr>
        <w:t xml:space="preserve">. There are likely to be </w:t>
      </w:r>
      <w:r w:rsidR="00CF2452" w:rsidRPr="00B6286D">
        <w:rPr>
          <w:rFonts w:cs="Times New Roman"/>
          <w:szCs w:val="24"/>
          <w:highlight w:val="yellow"/>
        </w:rPr>
        <w:t>substantial</w:t>
      </w:r>
      <w:r w:rsidRPr="00B6286D">
        <w:rPr>
          <w:rFonts w:cs="Times New Roman"/>
          <w:szCs w:val="24"/>
          <w:highlight w:val="yellow"/>
        </w:rPr>
        <w:t xml:space="preserve"> differences in the student populations and pedagogical approaches of say Jewish and Islamic schools on the one hand, and more secular (relatively high-fee) Anglican schools. To correct for this crude categorisation, we augmented the ACARA data set, with details of the specific faith administering the school and constructed an eight-part categorisation scheme.</w:t>
      </w:r>
    </w:p>
    <w:p w14:paraId="7A95C130" w14:textId="77777777" w:rsidR="00625C9D" w:rsidRPr="00801B2E" w:rsidRDefault="00625C9D" w:rsidP="00625C9D">
      <w:pPr>
        <w:spacing w:after="0" w:line="480" w:lineRule="auto"/>
        <w:rPr>
          <w:rFonts w:cs="Times New Roman"/>
          <w:szCs w:val="24"/>
        </w:rPr>
      </w:pPr>
    </w:p>
    <w:p w14:paraId="17288E6E" w14:textId="21B1B8E6" w:rsidR="00801B2E" w:rsidRDefault="001E0ACF" w:rsidP="00625C9D">
      <w:pPr>
        <w:spacing w:after="0" w:line="480" w:lineRule="auto"/>
        <w:rPr>
          <w:rFonts w:cs="Times New Roman"/>
          <w:szCs w:val="24"/>
        </w:rPr>
      </w:pPr>
      <w:r w:rsidRPr="00B6286D">
        <w:rPr>
          <w:rFonts w:cs="Times New Roman"/>
          <w:szCs w:val="24"/>
          <w:highlight w:val="yellow"/>
        </w:rPr>
        <w:t>The categorisation augmented existing ACARA data</w:t>
      </w:r>
      <w:r w:rsidR="009673FD" w:rsidRPr="00B6286D">
        <w:rPr>
          <w:rFonts w:cs="Times New Roman"/>
          <w:szCs w:val="24"/>
          <w:highlight w:val="yellow"/>
        </w:rPr>
        <w:t xml:space="preserve"> to also identify: Anglican, Council of Churches Christian, non-Council of Churches Christian, Islamic,</w:t>
      </w:r>
      <w:r w:rsidR="00226B4E" w:rsidRPr="00B6286D">
        <w:rPr>
          <w:rFonts w:cs="Times New Roman"/>
          <w:szCs w:val="24"/>
          <w:highlight w:val="yellow"/>
        </w:rPr>
        <w:t xml:space="preserve"> </w:t>
      </w:r>
      <w:r w:rsidR="009673FD" w:rsidRPr="00B6286D">
        <w:rPr>
          <w:rFonts w:cs="Times New Roman"/>
          <w:szCs w:val="24"/>
          <w:highlight w:val="yellow"/>
        </w:rPr>
        <w:t>Jewish</w:t>
      </w:r>
      <w:r w:rsidR="00226B4E" w:rsidRPr="00B6286D">
        <w:rPr>
          <w:rFonts w:cs="Times New Roman"/>
          <w:szCs w:val="24"/>
          <w:highlight w:val="yellow"/>
        </w:rPr>
        <w:t>, and other independent</w:t>
      </w:r>
      <w:r w:rsidR="009673FD" w:rsidRPr="00B6286D">
        <w:rPr>
          <w:rFonts w:cs="Times New Roman"/>
          <w:szCs w:val="24"/>
          <w:highlight w:val="yellow"/>
        </w:rPr>
        <w:t xml:space="preserve"> schools. </w:t>
      </w:r>
      <w:r w:rsidR="00823B37" w:rsidRPr="00B6286D">
        <w:rPr>
          <w:rFonts w:cs="Times New Roman"/>
          <w:szCs w:val="24"/>
          <w:highlight w:val="yellow"/>
        </w:rPr>
        <w:t>Anglican schools were included as a separated category</w:t>
      </w:r>
      <w:r w:rsidR="009673FD" w:rsidRPr="00B6286D">
        <w:rPr>
          <w:rFonts w:cs="Times New Roman"/>
          <w:szCs w:val="24"/>
          <w:highlight w:val="yellow"/>
        </w:rPr>
        <w:t xml:space="preserve"> in view of</w:t>
      </w:r>
      <w:r w:rsidR="00782A6D">
        <w:rPr>
          <w:rFonts w:cs="Times New Roman"/>
          <w:szCs w:val="24"/>
          <w:highlight w:val="yellow"/>
        </w:rPr>
        <w:t xml:space="preserve"> the fact that they are the</w:t>
      </w:r>
      <w:r w:rsidR="009673FD" w:rsidRPr="00B6286D">
        <w:rPr>
          <w:rFonts w:cs="Times New Roman"/>
          <w:szCs w:val="24"/>
          <w:highlight w:val="yellow"/>
        </w:rPr>
        <w:t xml:space="preserve"> largest non-government provider next to Catholic. We then sorted the remaining denominational Christian schools according to membership in the Australian Council of Churches</w:t>
      </w:r>
      <w:r w:rsidR="00226B4E" w:rsidRPr="00B6286D">
        <w:rPr>
          <w:rFonts w:cs="Times New Roman"/>
          <w:szCs w:val="24"/>
          <w:highlight w:val="yellow"/>
        </w:rPr>
        <w:t xml:space="preserve"> (</w:t>
      </w:r>
      <w:proofErr w:type="spellStart"/>
      <w:r w:rsidR="00226B4E" w:rsidRPr="00B6286D">
        <w:rPr>
          <w:rFonts w:cs="Times New Roman"/>
          <w:szCs w:val="24"/>
          <w:highlight w:val="yellow"/>
        </w:rPr>
        <w:t>CoC</w:t>
      </w:r>
      <w:proofErr w:type="spellEnd"/>
      <w:r w:rsidR="00226B4E" w:rsidRPr="00B6286D">
        <w:rPr>
          <w:rFonts w:cs="Times New Roman"/>
          <w:szCs w:val="24"/>
          <w:highlight w:val="yellow"/>
        </w:rPr>
        <w:t xml:space="preserve">) (for the purposes of ensuring sufficient category size and keeping the number of categories manageable). The Australian </w:t>
      </w:r>
      <w:proofErr w:type="spellStart"/>
      <w:r w:rsidR="00226B4E" w:rsidRPr="00B6286D">
        <w:rPr>
          <w:rFonts w:cs="Times New Roman"/>
          <w:szCs w:val="24"/>
          <w:highlight w:val="yellow"/>
        </w:rPr>
        <w:t>CoC</w:t>
      </w:r>
      <w:proofErr w:type="spellEnd"/>
      <w:r w:rsidR="00226B4E" w:rsidRPr="00B6286D">
        <w:rPr>
          <w:rFonts w:cs="Times New Roman"/>
          <w:szCs w:val="24"/>
          <w:highlight w:val="yellow"/>
        </w:rPr>
        <w:t xml:space="preserve"> is a volunteer peak body that requires members to subscribe to core Christian beliefs – churches who are not members are so because of incompatible beliefs or parochialism. The two non-Christian categories are Islamic schools (which are particularly topical in the funding debate in Australia) and Jewish schools (which have been written about extensively in the American literature</w:t>
      </w:r>
      <w:r w:rsidR="00BF5B80" w:rsidRPr="00B6286D">
        <w:rPr>
          <w:rFonts w:cs="Times New Roman"/>
          <w:szCs w:val="24"/>
          <w:highlight w:val="yellow"/>
        </w:rPr>
        <w:t>)</w:t>
      </w:r>
      <w:r w:rsidR="00226B4E" w:rsidRPr="00B6286D">
        <w:rPr>
          <w:rFonts w:cs="Times New Roman"/>
          <w:szCs w:val="24"/>
          <w:highlight w:val="yellow"/>
        </w:rPr>
        <w:t xml:space="preserve">. Other-independent schools were comprised mainly of grammar schools. The categorisation </w:t>
      </w:r>
      <w:r w:rsidR="00226B4E" w:rsidRPr="00B6286D">
        <w:rPr>
          <w:rFonts w:cs="Times New Roman"/>
          <w:szCs w:val="24"/>
          <w:highlight w:val="yellow"/>
        </w:rPr>
        <w:lastRenderedPageBreak/>
        <w:t xml:space="preserve">necessarily retains some heterogeneity (as do all categorisation systems) but we note that it is a </w:t>
      </w:r>
      <w:r w:rsidR="00BF5B80" w:rsidRPr="00B6286D">
        <w:rPr>
          <w:rFonts w:cs="Times New Roman"/>
          <w:szCs w:val="24"/>
          <w:highlight w:val="yellow"/>
        </w:rPr>
        <w:t xml:space="preserve">six-fold improvement with respect to the ‘independent’ identifier used in </w:t>
      </w:r>
      <w:r w:rsidR="0001071C" w:rsidRPr="00B6286D">
        <w:rPr>
          <w:rFonts w:cs="Times New Roman"/>
          <w:szCs w:val="24"/>
          <w:highlight w:val="yellow"/>
        </w:rPr>
        <w:t>existing</w:t>
      </w:r>
      <w:r w:rsidR="00BF5B80" w:rsidRPr="00B6286D">
        <w:rPr>
          <w:rFonts w:cs="Times New Roman"/>
          <w:szCs w:val="24"/>
          <w:highlight w:val="yellow"/>
        </w:rPr>
        <w:t xml:space="preserve"> work</w:t>
      </w:r>
      <w:r w:rsidR="0022620D" w:rsidRPr="00B6286D">
        <w:rPr>
          <w:rFonts w:cs="Times New Roman"/>
          <w:szCs w:val="24"/>
          <w:highlight w:val="yellow"/>
        </w:rPr>
        <w:t>.</w:t>
      </w:r>
    </w:p>
    <w:p w14:paraId="08A2437A" w14:textId="77777777" w:rsidR="00625C9D" w:rsidRDefault="00625C9D" w:rsidP="00625C9D">
      <w:pPr>
        <w:spacing w:after="0" w:line="480" w:lineRule="auto"/>
        <w:rPr>
          <w:rFonts w:cs="Times New Roman"/>
          <w:szCs w:val="24"/>
        </w:rPr>
      </w:pPr>
    </w:p>
    <w:p w14:paraId="0E2D8D88" w14:textId="39961857" w:rsidR="00BF5B80" w:rsidRDefault="00BF5B80" w:rsidP="00625C9D">
      <w:pPr>
        <w:spacing w:after="0" w:line="480" w:lineRule="auto"/>
        <w:rPr>
          <w:rFonts w:cs="Times New Roman"/>
          <w:szCs w:val="24"/>
        </w:rPr>
      </w:pPr>
      <w:r w:rsidRPr="00B6286D">
        <w:rPr>
          <w:rFonts w:cs="Times New Roman"/>
          <w:szCs w:val="24"/>
          <w:highlight w:val="yellow"/>
        </w:rPr>
        <w:t>In order to identify residual differences in education achievement that are not closely related to concentrations of socio-educa</w:t>
      </w:r>
      <w:r w:rsidR="007B344F" w:rsidRPr="00B6286D">
        <w:rPr>
          <w:rFonts w:cs="Times New Roman"/>
          <w:szCs w:val="24"/>
          <w:highlight w:val="yellow"/>
        </w:rPr>
        <w:t>tional advantage our regression</w:t>
      </w:r>
      <w:r w:rsidRPr="00B6286D">
        <w:rPr>
          <w:rFonts w:cs="Times New Roman"/>
          <w:szCs w:val="24"/>
          <w:highlight w:val="yellow"/>
        </w:rPr>
        <w:t xml:space="preserve"> models included a number of control variables. </w:t>
      </w:r>
      <w:r w:rsidR="002C00E8" w:rsidRPr="00B6286D">
        <w:rPr>
          <w:rFonts w:cs="Times New Roman"/>
          <w:szCs w:val="24"/>
          <w:highlight w:val="yellow"/>
        </w:rPr>
        <w:t>The princ</w:t>
      </w:r>
      <w:r w:rsidR="007B344F" w:rsidRPr="00B6286D">
        <w:rPr>
          <w:rFonts w:cs="Times New Roman"/>
          <w:szCs w:val="24"/>
          <w:highlight w:val="yellow"/>
        </w:rPr>
        <w:t>ipal</w:t>
      </w:r>
      <w:r w:rsidR="002C00E8" w:rsidRPr="00B6286D">
        <w:rPr>
          <w:rFonts w:cs="Times New Roman"/>
          <w:szCs w:val="24"/>
          <w:highlight w:val="yellow"/>
        </w:rPr>
        <w:t xml:space="preserve"> control for socio-economic advantage is the Index of Community Socio-Educational Advantage (ICSEA) developed by </w:t>
      </w:r>
      <w:r w:rsidR="007B344F" w:rsidRPr="00B6286D">
        <w:rPr>
          <w:rFonts w:cs="Times New Roman"/>
          <w:szCs w:val="24"/>
          <w:highlight w:val="yellow"/>
        </w:rPr>
        <w:t>ACARA, which</w:t>
      </w:r>
      <w:r w:rsidR="002C00E8" w:rsidRPr="00B6286D">
        <w:rPr>
          <w:rFonts w:cs="Times New Roman"/>
          <w:szCs w:val="24"/>
          <w:highlight w:val="yellow"/>
        </w:rPr>
        <w:t xml:space="preserve"> combines school enrolment and census data on parent’s occupation, parent’s school and post-school education attainment,</w:t>
      </w:r>
      <w:r w:rsidR="008C7D39" w:rsidRPr="00B6286D">
        <w:rPr>
          <w:rFonts w:cs="Times New Roman"/>
          <w:szCs w:val="24"/>
          <w:highlight w:val="yellow"/>
        </w:rPr>
        <w:t xml:space="preserve"> and school remoteness index</w:t>
      </w:r>
      <w:r w:rsidR="002C00E8" w:rsidRPr="00B6286D">
        <w:rPr>
          <w:rFonts w:cs="Times New Roman"/>
          <w:szCs w:val="24"/>
          <w:highlight w:val="yellow"/>
        </w:rPr>
        <w:t>. In add</w:t>
      </w:r>
      <w:r w:rsidR="005A1D31" w:rsidRPr="00B6286D">
        <w:rPr>
          <w:rFonts w:cs="Times New Roman"/>
          <w:szCs w:val="24"/>
          <w:highlight w:val="yellow"/>
        </w:rPr>
        <w:t xml:space="preserve">ition </w:t>
      </w:r>
      <w:r w:rsidR="00823B37" w:rsidRPr="00B6286D">
        <w:rPr>
          <w:rFonts w:cs="Times New Roman"/>
          <w:szCs w:val="24"/>
          <w:highlight w:val="yellow"/>
        </w:rPr>
        <w:t xml:space="preserve">to </w:t>
      </w:r>
      <w:r w:rsidR="007B344F" w:rsidRPr="00B6286D">
        <w:rPr>
          <w:rFonts w:cs="Times New Roman"/>
          <w:szCs w:val="24"/>
          <w:highlight w:val="yellow"/>
        </w:rPr>
        <w:t>ICSEA,</w:t>
      </w:r>
      <w:r w:rsidR="005A1D31" w:rsidRPr="00B6286D">
        <w:rPr>
          <w:rFonts w:cs="Times New Roman"/>
          <w:szCs w:val="24"/>
          <w:highlight w:val="yellow"/>
        </w:rPr>
        <w:t xml:space="preserve"> we also control for concentrations of advantage by including variables for proportion of students identifying as Aboriginal or Torres Strait Islander, and students from a non-English speaking background. To control for resourcing differences we included a variable for gross income per student, and variables for student-teacher an</w:t>
      </w:r>
      <w:r w:rsidR="00625C9D" w:rsidRPr="00B6286D">
        <w:rPr>
          <w:rFonts w:cs="Times New Roman"/>
          <w:szCs w:val="24"/>
          <w:highlight w:val="yellow"/>
        </w:rPr>
        <w:t>d student-support staff ratios.</w:t>
      </w:r>
    </w:p>
    <w:p w14:paraId="0142ED56" w14:textId="77777777" w:rsidR="00625C9D" w:rsidRDefault="00625C9D" w:rsidP="00625C9D">
      <w:pPr>
        <w:spacing w:after="0" w:line="480" w:lineRule="auto"/>
        <w:rPr>
          <w:rFonts w:cs="Times New Roman"/>
          <w:szCs w:val="24"/>
        </w:rPr>
      </w:pPr>
    </w:p>
    <w:p w14:paraId="21DBB7B5" w14:textId="4B6A18C4" w:rsidR="00BF5B80" w:rsidRDefault="00BF5B80" w:rsidP="00625C9D">
      <w:pPr>
        <w:spacing w:after="0" w:line="480" w:lineRule="auto"/>
        <w:rPr>
          <w:rFonts w:cs="Times New Roman"/>
          <w:szCs w:val="24"/>
        </w:rPr>
      </w:pPr>
      <w:r w:rsidRPr="00B6286D">
        <w:rPr>
          <w:rFonts w:cs="Times New Roman"/>
          <w:szCs w:val="24"/>
          <w:highlight w:val="yellow"/>
        </w:rPr>
        <w:t>As a robustness check we also re-estimated the Year 5 regressions (for each domain), controlling for the relevant Year 3 scores (that is</w:t>
      </w:r>
      <w:r w:rsidR="00930887" w:rsidRPr="00B6286D">
        <w:rPr>
          <w:rFonts w:cs="Times New Roman"/>
          <w:szCs w:val="24"/>
          <w:highlight w:val="yellow"/>
        </w:rPr>
        <w:t>,</w:t>
      </w:r>
      <w:r w:rsidRPr="00B6286D">
        <w:rPr>
          <w:rFonts w:cs="Times New Roman"/>
          <w:szCs w:val="24"/>
          <w:highlight w:val="yellow"/>
        </w:rPr>
        <w:t xml:space="preserve"> the Year 3 score for the same domain from two years prior). This effectively controls for academic potential of the student population if we accept the assumption that the cohort of students in a given school in Year 5 are, for the most part, the same group of children who sat the Year 3 exams at the school two years earlier. This is a reasonable assumption given that ‘only about 5% of students change </w:t>
      </w:r>
      <w:r w:rsidR="00856B89" w:rsidRPr="00B6286D">
        <w:rPr>
          <w:rFonts w:cs="Times New Roman"/>
          <w:szCs w:val="24"/>
          <w:highlight w:val="yellow"/>
        </w:rPr>
        <w:t>school’ (</w:t>
      </w:r>
      <w:proofErr w:type="spellStart"/>
      <w:r w:rsidR="00856B89" w:rsidRPr="00B6286D">
        <w:rPr>
          <w:rFonts w:cs="Times New Roman"/>
          <w:szCs w:val="24"/>
          <w:highlight w:val="yellow"/>
        </w:rPr>
        <w:t>Ngheim</w:t>
      </w:r>
      <w:proofErr w:type="spellEnd"/>
      <w:r w:rsidR="00856B89" w:rsidRPr="00B6286D">
        <w:rPr>
          <w:rFonts w:cs="Times New Roman"/>
          <w:szCs w:val="24"/>
          <w:highlight w:val="yellow"/>
        </w:rPr>
        <w:t xml:space="preserve"> et al., 2015:</w:t>
      </w:r>
      <w:r w:rsidRPr="00B6286D">
        <w:rPr>
          <w:rFonts w:cs="Times New Roman"/>
          <w:szCs w:val="24"/>
          <w:highlight w:val="yellow"/>
        </w:rPr>
        <w:t xml:space="preserve"> 58).</w:t>
      </w:r>
    </w:p>
    <w:p w14:paraId="68C92293" w14:textId="4B805484" w:rsidR="00556A0F" w:rsidRDefault="00556A0F">
      <w:pPr>
        <w:rPr>
          <w:rFonts w:cs="Times New Roman"/>
          <w:szCs w:val="24"/>
        </w:rPr>
      </w:pPr>
      <w:r>
        <w:rPr>
          <w:rFonts w:cs="Times New Roman"/>
          <w:szCs w:val="24"/>
        </w:rPr>
        <w:br w:type="page"/>
      </w:r>
    </w:p>
    <w:p w14:paraId="15372798" w14:textId="77777777" w:rsidR="00625C9D" w:rsidRPr="00BF5B80" w:rsidRDefault="00625C9D" w:rsidP="00625C9D">
      <w:pPr>
        <w:spacing w:after="0" w:line="480" w:lineRule="auto"/>
        <w:rPr>
          <w:rFonts w:cs="Times New Roman"/>
          <w:szCs w:val="24"/>
        </w:rPr>
      </w:pPr>
    </w:p>
    <w:p w14:paraId="1E4C053B" w14:textId="58AE04E6" w:rsidR="00BF5B80" w:rsidRDefault="005A1D31" w:rsidP="00625C9D">
      <w:pPr>
        <w:spacing w:after="0" w:line="480" w:lineRule="auto"/>
        <w:rPr>
          <w:rFonts w:cs="Times New Roman"/>
          <w:szCs w:val="24"/>
        </w:rPr>
      </w:pPr>
      <w:r w:rsidRPr="00B6286D">
        <w:rPr>
          <w:rFonts w:cs="Times New Roman"/>
          <w:szCs w:val="24"/>
          <w:highlight w:val="yellow"/>
        </w:rPr>
        <w:t xml:space="preserve">In sum, the various control variables address most </w:t>
      </w:r>
      <w:r w:rsidR="00437FB8" w:rsidRPr="00B6286D">
        <w:rPr>
          <w:rFonts w:cs="Times New Roman"/>
          <w:szCs w:val="24"/>
          <w:highlight w:val="yellow"/>
        </w:rPr>
        <w:t>of the explanations around concentration of socio-educational advantage, but do not address religious values an</w:t>
      </w:r>
      <w:r w:rsidR="00823B37" w:rsidRPr="00B6286D">
        <w:rPr>
          <w:rFonts w:cs="Times New Roman"/>
          <w:szCs w:val="24"/>
          <w:highlight w:val="yellow"/>
        </w:rPr>
        <w:t>d religious screening effects (</w:t>
      </w:r>
      <w:r w:rsidR="00043261" w:rsidRPr="00B6286D">
        <w:rPr>
          <w:rFonts w:cs="Times New Roman"/>
          <w:szCs w:val="24"/>
          <w:highlight w:val="yellow"/>
        </w:rPr>
        <w:t>hence,</w:t>
      </w:r>
      <w:r w:rsidR="00437FB8" w:rsidRPr="00B6286D">
        <w:rPr>
          <w:rFonts w:cs="Times New Roman"/>
          <w:szCs w:val="24"/>
          <w:highlight w:val="yellow"/>
        </w:rPr>
        <w:t xml:space="preserve"> the importance of hypotheses regarding religion and education discussed earlier</w:t>
      </w:r>
      <w:r w:rsidR="00823B37" w:rsidRPr="00B6286D">
        <w:rPr>
          <w:rFonts w:cs="Times New Roman"/>
          <w:szCs w:val="24"/>
          <w:highlight w:val="yellow"/>
        </w:rPr>
        <w:t>)</w:t>
      </w:r>
      <w:r w:rsidR="00437FB8" w:rsidRPr="00B6286D">
        <w:rPr>
          <w:rFonts w:cs="Times New Roman"/>
          <w:szCs w:val="24"/>
          <w:highlight w:val="yellow"/>
        </w:rPr>
        <w:t>.</w:t>
      </w:r>
    </w:p>
    <w:p w14:paraId="33819A64" w14:textId="77777777" w:rsidR="00625C9D" w:rsidRDefault="00625C9D" w:rsidP="00625C9D">
      <w:pPr>
        <w:spacing w:after="0" w:line="480" w:lineRule="auto"/>
        <w:rPr>
          <w:rFonts w:cs="Times New Roman"/>
          <w:szCs w:val="24"/>
        </w:rPr>
      </w:pPr>
    </w:p>
    <w:p w14:paraId="566A1873" w14:textId="77777777" w:rsidR="00437FB8" w:rsidRPr="00437FB8" w:rsidRDefault="00437FB8" w:rsidP="00625C9D">
      <w:pPr>
        <w:spacing w:after="0" w:line="480" w:lineRule="auto"/>
        <w:rPr>
          <w:rFonts w:cs="Times New Roman"/>
          <w:szCs w:val="24"/>
        </w:rPr>
      </w:pPr>
      <w:r w:rsidRPr="00B6286D">
        <w:rPr>
          <w:rFonts w:cs="Times New Roman"/>
          <w:szCs w:val="24"/>
          <w:highlight w:val="yellow"/>
        </w:rPr>
        <w:t>Separate regression analyses for Year 3 and Year 5 were used to examine the association between the religious authority of the school and the academic achievement for each domain using the following model:</w:t>
      </w:r>
    </w:p>
    <w:p w14:paraId="344B3160" w14:textId="77777777" w:rsidR="0070187F" w:rsidRDefault="0070187F" w:rsidP="00625C9D">
      <w:pPr>
        <w:spacing w:after="0" w:line="480" w:lineRule="auto"/>
        <w:rPr>
          <w:rFonts w:cs="Times New Roman"/>
          <w:szCs w:val="24"/>
        </w:rPr>
      </w:pPr>
    </w:p>
    <w:p w14:paraId="3DCB9D77" w14:textId="5E66E8BE" w:rsidR="007435B6" w:rsidRDefault="007435B6" w:rsidP="00625C9D">
      <w:pPr>
        <w:spacing w:after="0" w:line="480" w:lineRule="auto"/>
        <w:rPr>
          <w:rFonts w:cs="Times New Roman"/>
          <w:szCs w:val="24"/>
        </w:rPr>
      </w:pPr>
      <w:r>
        <w:rPr>
          <w:rFonts w:cs="Times New Roman"/>
          <w:szCs w:val="24"/>
        </w:rPr>
        <w:t xml:space="preserve">Y = </w:t>
      </w:r>
      <w:r>
        <w:rPr>
          <w:rFonts w:cs="Times New Roman"/>
          <w:szCs w:val="24"/>
        </w:rPr>
        <w:sym w:font="Symbol" w:char="F061"/>
      </w:r>
      <w:r>
        <w:rPr>
          <w:rFonts w:cs="Times New Roman"/>
          <w:szCs w:val="24"/>
        </w:rPr>
        <w:t xml:space="preserve"> + </w:t>
      </w:r>
      <w:r>
        <w:rPr>
          <w:rFonts w:cs="Times New Roman"/>
          <w:szCs w:val="24"/>
        </w:rPr>
        <w:sym w:font="Symbol" w:char="F062"/>
      </w:r>
      <w:r w:rsidRPr="007435B6">
        <w:rPr>
          <w:rFonts w:cs="Times New Roman"/>
          <w:szCs w:val="24"/>
          <w:vertAlign w:val="subscript"/>
        </w:rPr>
        <w:t>1</w:t>
      </w:r>
      <w:r w:rsidRPr="00C51B77">
        <w:rPr>
          <w:rFonts w:cs="Times New Roman"/>
          <w:szCs w:val="24"/>
        </w:rPr>
        <w:t>R</w:t>
      </w:r>
      <w:r>
        <w:rPr>
          <w:rFonts w:cs="Times New Roman"/>
          <w:szCs w:val="24"/>
        </w:rPr>
        <w:t xml:space="preserve"> + </w:t>
      </w:r>
      <w:r>
        <w:rPr>
          <w:rFonts w:cs="Times New Roman"/>
          <w:szCs w:val="24"/>
        </w:rPr>
        <w:sym w:font="Symbol" w:char="F062"/>
      </w:r>
      <w:r w:rsidRPr="00C51B77">
        <w:rPr>
          <w:rFonts w:cs="Times New Roman"/>
          <w:b/>
          <w:szCs w:val="24"/>
          <w:vertAlign w:val="subscript"/>
        </w:rPr>
        <w:t>2</w:t>
      </w:r>
      <w:r w:rsidRPr="00C51B77">
        <w:rPr>
          <w:rFonts w:cs="Times New Roman"/>
          <w:szCs w:val="24"/>
        </w:rPr>
        <w:t>X</w:t>
      </w:r>
      <w:r>
        <w:rPr>
          <w:rFonts w:cs="Times New Roman"/>
          <w:szCs w:val="24"/>
        </w:rPr>
        <w:t xml:space="preserve"> + </w:t>
      </w:r>
      <w:r>
        <w:rPr>
          <w:rFonts w:cs="Times New Roman"/>
          <w:szCs w:val="24"/>
        </w:rPr>
        <w:sym w:font="Symbol" w:char="F065"/>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(1)</w:t>
      </w:r>
    </w:p>
    <w:p w14:paraId="4764C110" w14:textId="77777777" w:rsidR="007435B6" w:rsidRDefault="007435B6" w:rsidP="00625C9D">
      <w:pPr>
        <w:spacing w:after="0" w:line="480" w:lineRule="auto"/>
        <w:rPr>
          <w:rFonts w:cs="Times New Roman"/>
          <w:szCs w:val="24"/>
        </w:rPr>
      </w:pPr>
    </w:p>
    <w:p w14:paraId="6A8E3F27" w14:textId="16E7F653" w:rsidR="00327A91" w:rsidRDefault="00C51B77" w:rsidP="00625C9D">
      <w:pPr>
        <w:spacing w:after="0" w:line="480" w:lineRule="auto"/>
        <w:rPr>
          <w:rFonts w:cs="Times New Roman"/>
          <w:szCs w:val="24"/>
        </w:rPr>
      </w:pPr>
      <w:r>
        <w:rPr>
          <w:rFonts w:cs="Times New Roman"/>
          <w:szCs w:val="24"/>
        </w:rPr>
        <w:t xml:space="preserve">In Equation (1), Y is the NAPLAN test score for each domain (i.e., </w:t>
      </w:r>
      <w:r w:rsidRPr="00680217">
        <w:rPr>
          <w:rFonts w:cs="Times New Roman"/>
          <w:szCs w:val="24"/>
        </w:rPr>
        <w:t>grammar, reading, spelling, writing, and numeracy</w:t>
      </w:r>
      <w:r>
        <w:rPr>
          <w:rFonts w:cs="Times New Roman"/>
          <w:szCs w:val="24"/>
        </w:rPr>
        <w:t xml:space="preserve">), R is the religious authority of the school (i.e., Government, Catholic, Anglican, Islam, Jewish, Council of Churches, non-Council of Churches, and </w:t>
      </w:r>
      <w:r w:rsidR="00C859E4">
        <w:rPr>
          <w:rFonts w:cs="Times New Roman"/>
          <w:szCs w:val="24"/>
        </w:rPr>
        <w:t xml:space="preserve">Other </w:t>
      </w:r>
      <w:r w:rsidR="00216E11">
        <w:rPr>
          <w:rFonts w:cs="Times New Roman"/>
          <w:szCs w:val="24"/>
        </w:rPr>
        <w:t>I</w:t>
      </w:r>
      <w:r w:rsidR="00C859E4">
        <w:rPr>
          <w:rFonts w:cs="Times New Roman"/>
          <w:szCs w:val="24"/>
        </w:rPr>
        <w:t>ndependent</w:t>
      </w:r>
      <w:r>
        <w:rPr>
          <w:rFonts w:cs="Times New Roman"/>
          <w:szCs w:val="24"/>
        </w:rPr>
        <w:t xml:space="preserve">), X is a vector of control variables (i.e., school location, index of </w:t>
      </w:r>
      <w:r w:rsidRPr="00680217">
        <w:rPr>
          <w:rFonts w:cs="Times New Roman"/>
          <w:szCs w:val="24"/>
        </w:rPr>
        <w:t>community socio-educational advantage, the proportion of Indigenous enrolments</w:t>
      </w:r>
      <w:r>
        <w:rPr>
          <w:rFonts w:cs="Times New Roman"/>
          <w:szCs w:val="24"/>
        </w:rPr>
        <w:t xml:space="preserve">, </w:t>
      </w:r>
      <w:r w:rsidRPr="00680217">
        <w:rPr>
          <w:rFonts w:cs="Times New Roman"/>
          <w:szCs w:val="24"/>
        </w:rPr>
        <w:t xml:space="preserve">the amount of </w:t>
      </w:r>
      <w:r w:rsidRPr="00C51B77">
        <w:rPr>
          <w:rFonts w:cs="Times New Roman"/>
          <w:szCs w:val="24"/>
        </w:rPr>
        <w:t xml:space="preserve">recurrent income received by a school from all sources per student, </w:t>
      </w:r>
      <w:r w:rsidR="00437FB8" w:rsidRPr="00B6286D">
        <w:rPr>
          <w:rFonts w:cs="Times New Roman"/>
          <w:szCs w:val="24"/>
          <w:highlight w:val="yellow"/>
        </w:rPr>
        <w:t xml:space="preserve">the proportion of indigenous and non-English speaking students, student-teacher ratio, student-support staff ratio, proportion of female students, </w:t>
      </w:r>
      <w:r w:rsidR="00B06440" w:rsidRPr="00B6286D">
        <w:rPr>
          <w:rFonts w:cs="Times New Roman"/>
          <w:szCs w:val="24"/>
          <w:highlight w:val="yellow"/>
        </w:rPr>
        <w:t xml:space="preserve">and </w:t>
      </w:r>
      <w:r w:rsidR="00437FB8" w:rsidRPr="00B6286D">
        <w:rPr>
          <w:rFonts w:cs="Times New Roman"/>
          <w:szCs w:val="24"/>
          <w:highlight w:val="yellow"/>
        </w:rPr>
        <w:t>examination participation rate</w:t>
      </w:r>
      <w:r w:rsidRPr="00C51B77">
        <w:rPr>
          <w:rFonts w:cs="Times New Roman"/>
          <w:szCs w:val="24"/>
        </w:rPr>
        <w:t xml:space="preserve">), and </w:t>
      </w:r>
      <w:r w:rsidRPr="00C51B77">
        <w:rPr>
          <w:rFonts w:cs="Times New Roman"/>
          <w:szCs w:val="24"/>
        </w:rPr>
        <w:sym w:font="Symbol" w:char="F065"/>
      </w:r>
      <w:r w:rsidRPr="00C51B77">
        <w:rPr>
          <w:rFonts w:cs="Times New Roman"/>
          <w:szCs w:val="24"/>
        </w:rPr>
        <w:t xml:space="preserve"> is an independently identically distributed error term.</w:t>
      </w:r>
      <w:r>
        <w:rPr>
          <w:rFonts w:cs="Times New Roman"/>
          <w:szCs w:val="24"/>
        </w:rPr>
        <w:t xml:space="preserve"> </w:t>
      </w:r>
      <w:r w:rsidR="00327A91">
        <w:rPr>
          <w:rFonts w:cs="Times New Roman"/>
          <w:szCs w:val="24"/>
        </w:rPr>
        <w:t>All results are estimated using</w:t>
      </w:r>
      <w:r w:rsidR="002234C8" w:rsidRPr="002234C8">
        <w:rPr>
          <w:rFonts w:cs="Times New Roman"/>
          <w:szCs w:val="24"/>
        </w:rPr>
        <w:t xml:space="preserve"> ordinary least squares (OLS) regression</w:t>
      </w:r>
      <w:r w:rsidR="00327A91">
        <w:rPr>
          <w:rFonts w:cs="Times New Roman"/>
          <w:szCs w:val="24"/>
        </w:rPr>
        <w:t xml:space="preserve"> model, which is consistent with previous studies (e.g., </w:t>
      </w:r>
      <w:r w:rsidR="00216E11" w:rsidRPr="00216E11">
        <w:rPr>
          <w:rFonts w:cs="Times New Roman"/>
          <w:szCs w:val="24"/>
        </w:rPr>
        <w:t xml:space="preserve">Miller and </w:t>
      </w:r>
      <w:proofErr w:type="spellStart"/>
      <w:r w:rsidR="00216E11" w:rsidRPr="00216E11">
        <w:rPr>
          <w:rFonts w:cs="Times New Roman"/>
          <w:szCs w:val="24"/>
        </w:rPr>
        <w:t>Voon</w:t>
      </w:r>
      <w:proofErr w:type="spellEnd"/>
      <w:r w:rsidR="00216E11" w:rsidRPr="00216E11">
        <w:rPr>
          <w:rFonts w:cs="Times New Roman"/>
          <w:szCs w:val="24"/>
        </w:rPr>
        <w:t>, 2014; Nghiem et al., 2015)</w:t>
      </w:r>
      <w:r w:rsidR="00327A91">
        <w:rPr>
          <w:rFonts w:cs="Times New Roman"/>
          <w:szCs w:val="24"/>
        </w:rPr>
        <w:t xml:space="preserve">. </w:t>
      </w:r>
      <w:r w:rsidR="00327A91" w:rsidRPr="002234C8">
        <w:rPr>
          <w:rFonts w:cs="Times New Roman"/>
          <w:szCs w:val="24"/>
        </w:rPr>
        <w:t xml:space="preserve">Since we observe the same </w:t>
      </w:r>
      <w:r w:rsidR="00327A91">
        <w:rPr>
          <w:rFonts w:cs="Times New Roman"/>
          <w:szCs w:val="24"/>
        </w:rPr>
        <w:t>schools over</w:t>
      </w:r>
      <w:r w:rsidR="00327A91" w:rsidRPr="002234C8">
        <w:rPr>
          <w:rFonts w:cs="Times New Roman"/>
          <w:szCs w:val="24"/>
        </w:rPr>
        <w:t xml:space="preserve"> several waves, our standard errors are clustered at the </w:t>
      </w:r>
      <w:r w:rsidR="00327A91">
        <w:rPr>
          <w:rFonts w:cs="Times New Roman"/>
          <w:szCs w:val="24"/>
        </w:rPr>
        <w:t>school</w:t>
      </w:r>
      <w:r w:rsidR="00327A91" w:rsidRPr="002234C8">
        <w:rPr>
          <w:rFonts w:cs="Times New Roman"/>
          <w:szCs w:val="24"/>
        </w:rPr>
        <w:t>-level to account for within-</w:t>
      </w:r>
      <w:r w:rsidR="00327A91">
        <w:rPr>
          <w:rFonts w:cs="Times New Roman"/>
          <w:szCs w:val="24"/>
        </w:rPr>
        <w:t>school</w:t>
      </w:r>
      <w:r w:rsidR="00327A91" w:rsidRPr="002234C8">
        <w:rPr>
          <w:rFonts w:cs="Times New Roman"/>
          <w:szCs w:val="24"/>
        </w:rPr>
        <w:t xml:space="preserve"> serial </w:t>
      </w:r>
      <w:r w:rsidR="00327A91" w:rsidRPr="002234C8">
        <w:rPr>
          <w:rFonts w:cs="Times New Roman"/>
          <w:szCs w:val="24"/>
        </w:rPr>
        <w:lastRenderedPageBreak/>
        <w:t>correlation.</w:t>
      </w:r>
      <w:r w:rsidR="0083350D">
        <w:rPr>
          <w:rFonts w:cs="Times New Roman"/>
          <w:szCs w:val="24"/>
        </w:rPr>
        <w:t xml:space="preserve"> </w:t>
      </w:r>
      <w:r w:rsidR="0083350D" w:rsidRPr="008278DC">
        <w:rPr>
          <w:rFonts w:cs="Times New Roman"/>
          <w:szCs w:val="24"/>
        </w:rPr>
        <w:t xml:space="preserve">The </w:t>
      </w:r>
      <w:r w:rsidR="0083350D">
        <w:rPr>
          <w:rFonts w:cs="Times New Roman"/>
          <w:szCs w:val="24"/>
        </w:rPr>
        <w:t xml:space="preserve">definitions, </w:t>
      </w:r>
      <w:r w:rsidR="0083350D" w:rsidRPr="008278DC">
        <w:rPr>
          <w:rFonts w:cs="Times New Roman"/>
          <w:szCs w:val="24"/>
        </w:rPr>
        <w:t>means</w:t>
      </w:r>
      <w:r w:rsidR="0083350D">
        <w:rPr>
          <w:rFonts w:cs="Times New Roman"/>
          <w:szCs w:val="24"/>
        </w:rPr>
        <w:t>,</w:t>
      </w:r>
      <w:r w:rsidR="0083350D" w:rsidRPr="008278DC">
        <w:rPr>
          <w:rFonts w:cs="Times New Roman"/>
          <w:szCs w:val="24"/>
        </w:rPr>
        <w:t xml:space="preserve"> and standar</w:t>
      </w:r>
      <w:r w:rsidR="0083350D">
        <w:rPr>
          <w:rFonts w:cs="Times New Roman"/>
          <w:szCs w:val="24"/>
        </w:rPr>
        <w:t>d deviations for the control</w:t>
      </w:r>
      <w:r w:rsidR="0083350D" w:rsidRPr="008278DC">
        <w:rPr>
          <w:rFonts w:cs="Times New Roman"/>
          <w:szCs w:val="24"/>
        </w:rPr>
        <w:t xml:space="preserve"> variables used in the</w:t>
      </w:r>
      <w:r w:rsidR="0083350D">
        <w:rPr>
          <w:rFonts w:cs="Times New Roman"/>
          <w:szCs w:val="24"/>
        </w:rPr>
        <w:t xml:space="preserve"> empirical</w:t>
      </w:r>
      <w:r w:rsidR="0083350D" w:rsidRPr="008278DC">
        <w:rPr>
          <w:rFonts w:cs="Times New Roman"/>
          <w:szCs w:val="24"/>
        </w:rPr>
        <w:t xml:space="preserve"> analysis are </w:t>
      </w:r>
      <w:r w:rsidR="0083350D">
        <w:rPr>
          <w:rFonts w:cs="Times New Roman"/>
          <w:szCs w:val="24"/>
        </w:rPr>
        <w:t>reported</w:t>
      </w:r>
      <w:r w:rsidR="0083350D" w:rsidRPr="008278DC">
        <w:rPr>
          <w:rFonts w:cs="Times New Roman"/>
          <w:szCs w:val="24"/>
        </w:rPr>
        <w:t xml:space="preserve"> in Appendix A.</w:t>
      </w:r>
    </w:p>
    <w:p w14:paraId="2DC3E21F" w14:textId="1F8393BC" w:rsidR="00B06440" w:rsidRDefault="00B06440" w:rsidP="00625C9D">
      <w:pPr>
        <w:spacing w:after="0" w:line="480" w:lineRule="auto"/>
        <w:rPr>
          <w:rFonts w:cs="Times New Roman"/>
          <w:szCs w:val="24"/>
        </w:rPr>
      </w:pPr>
    </w:p>
    <w:p w14:paraId="4698E3AF" w14:textId="161FB18C" w:rsidR="002219E6" w:rsidRPr="002219E6" w:rsidRDefault="002219E6" w:rsidP="00625C9D">
      <w:pPr>
        <w:spacing w:after="0" w:line="480" w:lineRule="auto"/>
        <w:rPr>
          <w:rFonts w:cs="Times New Roman"/>
          <w:b/>
          <w:szCs w:val="24"/>
        </w:rPr>
      </w:pPr>
      <w:r w:rsidRPr="002219E6">
        <w:rPr>
          <w:rFonts w:cs="Times New Roman"/>
          <w:b/>
          <w:szCs w:val="24"/>
        </w:rPr>
        <w:t>DISCUSSION OF RESULTS</w:t>
      </w:r>
    </w:p>
    <w:p w14:paraId="1633E604" w14:textId="6D5C1FE6" w:rsidR="00B90D32" w:rsidRDefault="00B90D32" w:rsidP="00625C9D">
      <w:pPr>
        <w:spacing w:after="0" w:line="480" w:lineRule="auto"/>
        <w:rPr>
          <w:rFonts w:cs="Times New Roman"/>
          <w:szCs w:val="24"/>
        </w:rPr>
      </w:pPr>
      <w:r w:rsidRPr="00864590">
        <w:rPr>
          <w:rFonts w:cs="Times New Roman"/>
          <w:szCs w:val="24"/>
        </w:rPr>
        <w:t>Figure</w:t>
      </w:r>
      <w:r>
        <w:rPr>
          <w:rFonts w:cs="Times New Roman"/>
          <w:szCs w:val="24"/>
        </w:rPr>
        <w:t>s 1</w:t>
      </w:r>
      <w:r w:rsidR="00CC2AF3">
        <w:rPr>
          <w:rFonts w:cs="Times New Roman"/>
          <w:szCs w:val="24"/>
        </w:rPr>
        <w:t xml:space="preserve"> </w:t>
      </w:r>
      <w:r>
        <w:rPr>
          <w:rFonts w:cs="Times New Roman"/>
          <w:szCs w:val="24"/>
        </w:rPr>
        <w:t xml:space="preserve">and 2 provide an overview of NAPLAN achievement by administering faith </w:t>
      </w:r>
      <w:r w:rsidR="00CB602F">
        <w:rPr>
          <w:rFonts w:cs="Times New Roman"/>
          <w:szCs w:val="24"/>
        </w:rPr>
        <w:t xml:space="preserve">between </w:t>
      </w:r>
      <w:r>
        <w:rPr>
          <w:rFonts w:cs="Times New Roman"/>
          <w:szCs w:val="24"/>
        </w:rPr>
        <w:t>20</w:t>
      </w:r>
      <w:r w:rsidR="00E5272A">
        <w:rPr>
          <w:rFonts w:cs="Times New Roman"/>
          <w:szCs w:val="24"/>
        </w:rPr>
        <w:t>10</w:t>
      </w:r>
      <w:r>
        <w:rPr>
          <w:rFonts w:cs="Times New Roman"/>
          <w:szCs w:val="24"/>
        </w:rPr>
        <w:t xml:space="preserve"> </w:t>
      </w:r>
      <w:r w:rsidR="00CB602F">
        <w:rPr>
          <w:rFonts w:cs="Times New Roman"/>
          <w:szCs w:val="24"/>
        </w:rPr>
        <w:t>and</w:t>
      </w:r>
      <w:r>
        <w:rPr>
          <w:rFonts w:cs="Times New Roman"/>
          <w:szCs w:val="24"/>
        </w:rPr>
        <w:t xml:space="preserve"> 2015. The graphs suggest that for the five categories of tests administered to Year 3 students, Government (public) schools have underperformed non-government schools in all instances, except for the case of </w:t>
      </w:r>
      <w:r w:rsidR="00E30B51">
        <w:rPr>
          <w:rFonts w:cs="Times New Roman"/>
          <w:szCs w:val="24"/>
        </w:rPr>
        <w:t xml:space="preserve">the </w:t>
      </w:r>
      <w:r>
        <w:rPr>
          <w:rFonts w:cs="Times New Roman"/>
          <w:szCs w:val="24"/>
        </w:rPr>
        <w:t>2014 mean reading result (Islamic schools had the lowest mean score for this year). By way of contrast</w:t>
      </w:r>
      <w:r w:rsidR="00AC2D5F">
        <w:rPr>
          <w:rFonts w:cs="Times New Roman"/>
          <w:szCs w:val="24"/>
        </w:rPr>
        <w:t>,</w:t>
      </w:r>
      <w:r>
        <w:rPr>
          <w:rFonts w:cs="Times New Roman"/>
          <w:szCs w:val="24"/>
        </w:rPr>
        <w:t xml:space="preserve"> the mean NAPLAN result for Jewish schools was consistently above peers for most years and for most subjects (with the exception of spelling) followed by the Anglican schools. In all cases, the Catholic schools, which dominate the provision of non-</w:t>
      </w:r>
      <w:r w:rsidR="00761DC8">
        <w:rPr>
          <w:rFonts w:cs="Times New Roman"/>
          <w:szCs w:val="24"/>
        </w:rPr>
        <w:t>G</w:t>
      </w:r>
      <w:r>
        <w:rPr>
          <w:rFonts w:cs="Times New Roman"/>
          <w:szCs w:val="24"/>
        </w:rPr>
        <w:t>overnment schooling in Australia by volume, have outperformed Government schools but in most cases underperformed with respect to their non-</w:t>
      </w:r>
      <w:r w:rsidR="00761DC8">
        <w:rPr>
          <w:rFonts w:cs="Times New Roman"/>
          <w:szCs w:val="24"/>
        </w:rPr>
        <w:t>G</w:t>
      </w:r>
      <w:r>
        <w:rPr>
          <w:rFonts w:cs="Times New Roman"/>
          <w:szCs w:val="24"/>
        </w:rPr>
        <w:t xml:space="preserve">overnment peers (with the exception of Islamic schools </w:t>
      </w:r>
      <w:r w:rsidR="00823B37" w:rsidRPr="00B6286D">
        <w:rPr>
          <w:rFonts w:cs="Times New Roman"/>
          <w:szCs w:val="24"/>
          <w:highlight w:val="yellow"/>
        </w:rPr>
        <w:t>in some years, especially in reading</w:t>
      </w:r>
      <w:r>
        <w:rPr>
          <w:rFonts w:cs="Times New Roman"/>
          <w:szCs w:val="24"/>
        </w:rPr>
        <w:t>). The mean NAPLAN performances of the other categories of schools are relatively closely clustered between the outliers already detailed. A similar story emerges with the mean NAPLAN scores for Year 5, although there is reason to believe that the relative performance (with respect to peers) of Islamic schools has dropped somewhat, particularly in th</w:t>
      </w:r>
      <w:r w:rsidR="00203DDD">
        <w:rPr>
          <w:rFonts w:cs="Times New Roman"/>
          <w:szCs w:val="24"/>
        </w:rPr>
        <w:t xml:space="preserve">e domains of reading, </w:t>
      </w:r>
      <w:r w:rsidR="00FB1DC7">
        <w:rPr>
          <w:rFonts w:cs="Times New Roman"/>
          <w:szCs w:val="24"/>
        </w:rPr>
        <w:t xml:space="preserve">and, </w:t>
      </w:r>
      <w:r w:rsidR="00625C9D">
        <w:rPr>
          <w:rFonts w:cs="Times New Roman"/>
          <w:szCs w:val="24"/>
        </w:rPr>
        <w:t>to a lesser extent</w:t>
      </w:r>
      <w:r w:rsidR="00FB1DC7">
        <w:rPr>
          <w:rFonts w:cs="Times New Roman"/>
          <w:szCs w:val="24"/>
        </w:rPr>
        <w:t>,</w:t>
      </w:r>
      <w:r w:rsidR="00625C9D">
        <w:rPr>
          <w:rFonts w:cs="Times New Roman"/>
          <w:szCs w:val="24"/>
        </w:rPr>
        <w:t xml:space="preserve"> numeracy.</w:t>
      </w:r>
    </w:p>
    <w:p w14:paraId="1E57E70C" w14:textId="2DE6439B" w:rsidR="00625C9D" w:rsidRDefault="00782A6D" w:rsidP="00625C9D">
      <w:pPr>
        <w:spacing w:after="0" w:line="480" w:lineRule="auto"/>
        <w:rPr>
          <w:rFonts w:cs="Times New Roman"/>
          <w:szCs w:val="24"/>
        </w:rPr>
      </w:pPr>
      <w:r>
        <w:rPr>
          <w:rFonts w:cs="Times New Roman"/>
          <w:szCs w:val="24"/>
        </w:rPr>
        <w:t>[Please insert Figures 1 and 2 here]</w:t>
      </w:r>
    </w:p>
    <w:p w14:paraId="4F6083AF" w14:textId="1EE74F8E" w:rsidR="00AA7F39" w:rsidRDefault="00B90D32" w:rsidP="00625C9D">
      <w:pPr>
        <w:spacing w:after="0" w:line="480" w:lineRule="auto"/>
        <w:rPr>
          <w:rFonts w:cs="Times New Roman"/>
          <w:szCs w:val="24"/>
        </w:rPr>
      </w:pPr>
      <w:r>
        <w:rPr>
          <w:rFonts w:cs="Times New Roman"/>
          <w:szCs w:val="24"/>
        </w:rPr>
        <w:t>Howe</w:t>
      </w:r>
      <w:r w:rsidR="0054480E">
        <w:rPr>
          <w:rFonts w:cs="Times New Roman"/>
          <w:szCs w:val="24"/>
        </w:rPr>
        <w:t>ver, figures</w:t>
      </w:r>
      <w:r w:rsidR="00837BB3">
        <w:rPr>
          <w:rFonts w:cs="Times New Roman"/>
          <w:szCs w:val="24"/>
        </w:rPr>
        <w:t xml:space="preserve"> of this type, while</w:t>
      </w:r>
      <w:r>
        <w:rPr>
          <w:rFonts w:cs="Times New Roman"/>
          <w:szCs w:val="24"/>
        </w:rPr>
        <w:t xml:space="preserve"> providing a quick overview of the mean performance of different categories of schools, cannot give us a complete understanding of the </w:t>
      </w:r>
      <w:r w:rsidR="00F363D1">
        <w:rPr>
          <w:rFonts w:cs="Times New Roman"/>
          <w:szCs w:val="24"/>
        </w:rPr>
        <w:t xml:space="preserve">association between the </w:t>
      </w:r>
      <w:r w:rsidR="00F363D1" w:rsidRPr="00B6286D">
        <w:rPr>
          <w:rFonts w:cs="Times New Roman"/>
          <w:szCs w:val="24"/>
          <w:highlight w:val="yellow"/>
        </w:rPr>
        <w:t>faith</w:t>
      </w:r>
      <w:r w:rsidR="00677715" w:rsidRPr="00B6286D">
        <w:rPr>
          <w:rFonts w:cs="Times New Roman"/>
          <w:szCs w:val="24"/>
          <w:highlight w:val="yellow"/>
        </w:rPr>
        <w:t>-</w:t>
      </w:r>
      <w:r w:rsidR="00677715">
        <w:rPr>
          <w:rFonts w:cs="Times New Roman"/>
          <w:szCs w:val="24"/>
        </w:rPr>
        <w:t>based</w:t>
      </w:r>
      <w:r w:rsidR="00F363D1">
        <w:rPr>
          <w:rFonts w:cs="Times New Roman"/>
          <w:szCs w:val="24"/>
        </w:rPr>
        <w:t xml:space="preserve"> schools and the distribution of education</w:t>
      </w:r>
      <w:r w:rsidR="00151677">
        <w:rPr>
          <w:rFonts w:cs="Times New Roman"/>
          <w:szCs w:val="24"/>
        </w:rPr>
        <w:t>al</w:t>
      </w:r>
      <w:r w:rsidR="00F363D1">
        <w:rPr>
          <w:rFonts w:cs="Times New Roman"/>
          <w:szCs w:val="24"/>
        </w:rPr>
        <w:t xml:space="preserve"> achievement, </w:t>
      </w:r>
      <w:r w:rsidR="00F363D1" w:rsidRPr="00871E04">
        <w:rPr>
          <w:rFonts w:cs="Times New Roman"/>
          <w:i/>
          <w:szCs w:val="24"/>
        </w:rPr>
        <w:t>ceteris paribus</w:t>
      </w:r>
      <w:r w:rsidR="00B45392">
        <w:rPr>
          <w:rFonts w:cs="Times New Roman"/>
          <w:i/>
          <w:szCs w:val="24"/>
        </w:rPr>
        <w:t xml:space="preserve"> </w:t>
      </w:r>
      <w:r w:rsidR="00B45392" w:rsidRPr="00C439D8">
        <w:rPr>
          <w:rFonts w:cs="Times New Roman"/>
          <w:szCs w:val="24"/>
        </w:rPr>
        <w:t>(</w:t>
      </w:r>
      <w:r w:rsidR="0054480E" w:rsidRPr="00B6286D">
        <w:rPr>
          <w:rFonts w:cs="Times New Roman"/>
          <w:szCs w:val="24"/>
          <w:highlight w:val="yellow"/>
        </w:rPr>
        <w:t xml:space="preserve">i.e., </w:t>
      </w:r>
      <w:r w:rsidR="00B45392" w:rsidRPr="00B6286D">
        <w:rPr>
          <w:rFonts w:cs="Times New Roman"/>
          <w:szCs w:val="24"/>
          <w:highlight w:val="yellow"/>
        </w:rPr>
        <w:t>holding all other factors constant)</w:t>
      </w:r>
      <w:r w:rsidRPr="00B6286D">
        <w:rPr>
          <w:rFonts w:cs="Times New Roman"/>
          <w:szCs w:val="24"/>
          <w:highlight w:val="yellow"/>
        </w:rPr>
        <w:t xml:space="preserve">. </w:t>
      </w:r>
      <w:r w:rsidR="00B62F5F" w:rsidRPr="00B6286D">
        <w:rPr>
          <w:rFonts w:cs="Times New Roman"/>
          <w:szCs w:val="24"/>
          <w:highlight w:val="yellow"/>
        </w:rPr>
        <w:t xml:space="preserve">The Theory of Religious-Secular Competition draws our attention to how regulation and resourcing, in particular, can result in </w:t>
      </w:r>
      <w:r w:rsidR="00B62F5F" w:rsidRPr="00B6286D">
        <w:rPr>
          <w:rFonts w:cs="Times New Roman"/>
          <w:szCs w:val="24"/>
          <w:highlight w:val="yellow"/>
        </w:rPr>
        <w:lastRenderedPageBreak/>
        <w:t>screening effects from both the supply and demand side (Stoltz et al., 2016). Mor</w:t>
      </w:r>
      <w:r w:rsidR="0054480E" w:rsidRPr="00B6286D">
        <w:rPr>
          <w:rFonts w:cs="Times New Roman"/>
          <w:szCs w:val="24"/>
          <w:highlight w:val="yellow"/>
        </w:rPr>
        <w:t>eover, a key assumption of the t</w:t>
      </w:r>
      <w:r w:rsidR="00B62F5F" w:rsidRPr="00B6286D">
        <w:rPr>
          <w:rFonts w:cs="Times New Roman"/>
          <w:szCs w:val="24"/>
          <w:highlight w:val="yellow"/>
        </w:rPr>
        <w:t>heory is that ‘many reactions…can better be seen in the aggregate than in the individual, since individuals are often influenced by a variety of idiosyncratic caus</w:t>
      </w:r>
      <w:r w:rsidR="00856B89" w:rsidRPr="00B6286D">
        <w:rPr>
          <w:rFonts w:cs="Times New Roman"/>
          <w:szCs w:val="24"/>
          <w:highlight w:val="yellow"/>
        </w:rPr>
        <w:t>es’ (Stoltz and Tanner, 2017:</w:t>
      </w:r>
      <w:r w:rsidR="00B62F5F" w:rsidRPr="00B6286D">
        <w:rPr>
          <w:rFonts w:cs="Times New Roman"/>
          <w:szCs w:val="24"/>
          <w:highlight w:val="yellow"/>
        </w:rPr>
        <w:t xml:space="preserve"> 312). Regression</w:t>
      </w:r>
      <w:r w:rsidR="00404EB1" w:rsidRPr="00B6286D">
        <w:rPr>
          <w:rFonts w:cs="Times New Roman"/>
          <w:szCs w:val="24"/>
          <w:highlight w:val="yellow"/>
        </w:rPr>
        <w:t xml:space="preserve"> analysis</w:t>
      </w:r>
      <w:r w:rsidR="00B62F5F" w:rsidRPr="00B6286D">
        <w:rPr>
          <w:rFonts w:cs="Times New Roman"/>
          <w:szCs w:val="24"/>
          <w:highlight w:val="yellow"/>
        </w:rPr>
        <w:t xml:space="preserve"> is therefore an ideal technique because it reports on the aggregate mean </w:t>
      </w:r>
      <w:r w:rsidR="00AA7F39" w:rsidRPr="00B6286D">
        <w:rPr>
          <w:rFonts w:cs="Times New Roman"/>
          <w:szCs w:val="24"/>
          <w:highlight w:val="yellow"/>
        </w:rPr>
        <w:t>(</w:t>
      </w:r>
      <w:r w:rsidR="00B62F5F" w:rsidRPr="00B6286D">
        <w:rPr>
          <w:rFonts w:cs="Times New Roman"/>
          <w:szCs w:val="24"/>
          <w:highlight w:val="yellow"/>
        </w:rPr>
        <w:t>or typical</w:t>
      </w:r>
      <w:r w:rsidR="00AA7F39" w:rsidRPr="00B6286D">
        <w:rPr>
          <w:rFonts w:cs="Times New Roman"/>
          <w:szCs w:val="24"/>
          <w:highlight w:val="yellow"/>
        </w:rPr>
        <w:t>)</w:t>
      </w:r>
      <w:r w:rsidR="00B62F5F" w:rsidRPr="00B6286D">
        <w:rPr>
          <w:rFonts w:cs="Times New Roman"/>
          <w:szCs w:val="24"/>
          <w:highlight w:val="yellow"/>
        </w:rPr>
        <w:t xml:space="preserve"> response of NAPLAN scores to</w:t>
      </w:r>
      <w:r w:rsidR="00AA7F39" w:rsidRPr="00B6286D">
        <w:rPr>
          <w:rFonts w:cs="Times New Roman"/>
          <w:szCs w:val="24"/>
          <w:highlight w:val="yellow"/>
        </w:rPr>
        <w:t xml:space="preserve"> the various categories of institutional faith</w:t>
      </w:r>
      <w:r w:rsidR="00B62F5F" w:rsidRPr="00B6286D">
        <w:rPr>
          <w:rFonts w:cs="Times New Roman"/>
          <w:szCs w:val="24"/>
          <w:highlight w:val="yellow"/>
        </w:rPr>
        <w:t>, after controlling for important screening effects – in particular, the socio-educational advantage (ICSEA) and various measures of resourcing</w:t>
      </w:r>
      <w:r w:rsidR="00404EB1" w:rsidRPr="00B6286D">
        <w:rPr>
          <w:rFonts w:cs="Times New Roman"/>
          <w:szCs w:val="24"/>
          <w:highlight w:val="yellow"/>
        </w:rPr>
        <w:t>.</w:t>
      </w:r>
      <w:r w:rsidR="00782A6D">
        <w:rPr>
          <w:rFonts w:cs="Times New Roman"/>
          <w:szCs w:val="24"/>
          <w:highlight w:val="yellow"/>
        </w:rPr>
        <w:t xml:space="preserve"> </w:t>
      </w:r>
      <w:r w:rsidR="00404EB1" w:rsidRPr="00B6286D">
        <w:rPr>
          <w:rFonts w:cs="Times New Roman"/>
          <w:szCs w:val="24"/>
          <w:highlight w:val="yellow"/>
        </w:rPr>
        <w:t>Thus,</w:t>
      </w:r>
      <w:r w:rsidR="00AA7F39" w:rsidRPr="00B6286D">
        <w:rPr>
          <w:rFonts w:cs="Times New Roman"/>
          <w:szCs w:val="24"/>
          <w:highlight w:val="yellow"/>
        </w:rPr>
        <w:t xml:space="preserve"> our regressions yield typical responses at the </w:t>
      </w:r>
      <w:r w:rsidR="0014746E" w:rsidRPr="00B6286D">
        <w:rPr>
          <w:rFonts w:cs="Times New Roman"/>
          <w:szCs w:val="24"/>
          <w:highlight w:val="yellow"/>
        </w:rPr>
        <w:t>‘</w:t>
      </w:r>
      <w:r w:rsidR="00AA7F39" w:rsidRPr="00B6286D">
        <w:rPr>
          <w:rFonts w:cs="Times New Roman"/>
          <w:szCs w:val="24"/>
          <w:highlight w:val="yellow"/>
        </w:rPr>
        <w:t xml:space="preserve">meso-level of </w:t>
      </w:r>
      <w:r w:rsidR="00677715" w:rsidRPr="00B6286D">
        <w:rPr>
          <w:rFonts w:cs="Times New Roman"/>
          <w:szCs w:val="24"/>
          <w:highlight w:val="yellow"/>
        </w:rPr>
        <w:t xml:space="preserve">… </w:t>
      </w:r>
      <w:r w:rsidR="0014746E" w:rsidRPr="00B6286D">
        <w:rPr>
          <w:rFonts w:cs="Times New Roman"/>
          <w:szCs w:val="24"/>
          <w:highlight w:val="yellow"/>
        </w:rPr>
        <w:t>[</w:t>
      </w:r>
      <w:r w:rsidR="00AA7F39" w:rsidRPr="00B6286D">
        <w:rPr>
          <w:rFonts w:cs="Times New Roman"/>
          <w:szCs w:val="24"/>
          <w:highlight w:val="yellow"/>
        </w:rPr>
        <w:t>religious</w:t>
      </w:r>
      <w:r w:rsidR="0014746E" w:rsidRPr="00B6286D">
        <w:rPr>
          <w:rFonts w:cs="Times New Roman"/>
          <w:szCs w:val="24"/>
          <w:highlight w:val="yellow"/>
        </w:rPr>
        <w:t>]</w:t>
      </w:r>
      <w:r w:rsidR="00AA7F39" w:rsidRPr="00B6286D">
        <w:rPr>
          <w:rFonts w:cs="Times New Roman"/>
          <w:szCs w:val="24"/>
          <w:highlight w:val="yellow"/>
        </w:rPr>
        <w:t xml:space="preserve"> group competition</w:t>
      </w:r>
      <w:r w:rsidR="0014746E" w:rsidRPr="00B6286D">
        <w:rPr>
          <w:rFonts w:cs="Times New Roman"/>
          <w:szCs w:val="24"/>
          <w:highlight w:val="yellow"/>
        </w:rPr>
        <w:t>’</w:t>
      </w:r>
      <w:r w:rsidR="00AA7F39" w:rsidRPr="00B6286D">
        <w:rPr>
          <w:rFonts w:cs="Times New Roman"/>
          <w:szCs w:val="24"/>
          <w:highlight w:val="yellow"/>
        </w:rPr>
        <w:t xml:space="preserve"> consistent with theory</w:t>
      </w:r>
      <w:r w:rsidR="00856B89" w:rsidRPr="00B6286D">
        <w:rPr>
          <w:rFonts w:cs="Times New Roman"/>
          <w:szCs w:val="24"/>
          <w:highlight w:val="yellow"/>
        </w:rPr>
        <w:t xml:space="preserve"> (Stoltz and Tanner, 2017:</w:t>
      </w:r>
      <w:r w:rsidR="0014746E" w:rsidRPr="00B6286D">
        <w:rPr>
          <w:rFonts w:cs="Times New Roman"/>
          <w:szCs w:val="24"/>
          <w:highlight w:val="yellow"/>
        </w:rPr>
        <w:t xml:space="preserve"> 302)</w:t>
      </w:r>
      <w:r w:rsidR="00AA7F39" w:rsidRPr="00B6286D">
        <w:rPr>
          <w:rFonts w:cs="Times New Roman"/>
          <w:szCs w:val="24"/>
          <w:highlight w:val="yellow"/>
        </w:rPr>
        <w:t xml:space="preserve">. Moreover, it is important to emphasise that we are working here with an entire census of data (all schools in the nation), and that therefore sample size considerations are not relevant. However, it is the case that some categories have relatively small numbers of schools associated with them and this is reflected in </w:t>
      </w:r>
      <w:r w:rsidR="00677715" w:rsidRPr="00B6286D">
        <w:rPr>
          <w:rFonts w:cs="Times New Roman"/>
          <w:szCs w:val="24"/>
          <w:highlight w:val="yellow"/>
        </w:rPr>
        <w:t xml:space="preserve">relatively lower frequency of statistically significant coefficients and </w:t>
      </w:r>
      <w:r w:rsidR="00AA7F39" w:rsidRPr="00B6286D">
        <w:rPr>
          <w:rFonts w:cs="Times New Roman"/>
          <w:szCs w:val="24"/>
          <w:highlight w:val="yellow"/>
        </w:rPr>
        <w:t>relatively higher standard errors</w:t>
      </w:r>
      <w:r w:rsidR="00A42B79" w:rsidRPr="00B6286D">
        <w:rPr>
          <w:rFonts w:cs="Times New Roman"/>
          <w:szCs w:val="24"/>
          <w:highlight w:val="yellow"/>
        </w:rPr>
        <w:t>.</w:t>
      </w:r>
      <w:r w:rsidR="00AA7F39" w:rsidRPr="00B6286D">
        <w:rPr>
          <w:rFonts w:cs="Times New Roman"/>
          <w:szCs w:val="24"/>
          <w:highlight w:val="yellow"/>
        </w:rPr>
        <w:t xml:space="preserve"> </w:t>
      </w:r>
      <w:r w:rsidR="00A42B79" w:rsidRPr="00B6286D">
        <w:rPr>
          <w:rFonts w:cs="Times New Roman"/>
          <w:szCs w:val="24"/>
          <w:highlight w:val="yellow"/>
        </w:rPr>
        <w:t>T</w:t>
      </w:r>
      <w:r w:rsidR="00AA7F39" w:rsidRPr="00B6286D">
        <w:rPr>
          <w:rFonts w:cs="Times New Roman"/>
          <w:szCs w:val="24"/>
          <w:highlight w:val="yellow"/>
        </w:rPr>
        <w:t>his mainly becomes problematic when the size of the standard error is such that it might cast doubt on the sign (positive or negative) of the coefficient</w:t>
      </w:r>
      <w:r w:rsidR="00B32A42" w:rsidRPr="00B6286D">
        <w:rPr>
          <w:rFonts w:cs="Times New Roman"/>
          <w:szCs w:val="24"/>
          <w:highlight w:val="yellow"/>
        </w:rPr>
        <w:t>.</w:t>
      </w:r>
    </w:p>
    <w:p w14:paraId="19FA68CF" w14:textId="5760450E" w:rsidR="00625C9D" w:rsidRDefault="00782A6D" w:rsidP="00625C9D">
      <w:pPr>
        <w:spacing w:after="0" w:line="480" w:lineRule="auto"/>
        <w:rPr>
          <w:rFonts w:cs="Times New Roman"/>
          <w:szCs w:val="24"/>
        </w:rPr>
      </w:pPr>
      <w:r>
        <w:rPr>
          <w:rFonts w:cs="Times New Roman"/>
          <w:szCs w:val="24"/>
        </w:rPr>
        <w:t>[Please insert Tables 2 and 3 here]</w:t>
      </w:r>
    </w:p>
    <w:p w14:paraId="734555B0" w14:textId="1BFC0693" w:rsidR="00816357" w:rsidRDefault="00B32A42" w:rsidP="00625C9D">
      <w:pPr>
        <w:spacing w:after="0" w:line="480" w:lineRule="auto"/>
        <w:rPr>
          <w:rFonts w:cs="Times New Roman"/>
          <w:szCs w:val="24"/>
        </w:rPr>
      </w:pPr>
      <w:r w:rsidRPr="00B6286D">
        <w:rPr>
          <w:rFonts w:cs="Times New Roman"/>
          <w:szCs w:val="24"/>
          <w:highlight w:val="yellow"/>
        </w:rPr>
        <w:t xml:space="preserve">Table 3 reports the results for each faith and the important screening and resourcing variables. Notably ICSEA is </w:t>
      </w:r>
      <w:r w:rsidR="008237C3" w:rsidRPr="00B6286D">
        <w:rPr>
          <w:rFonts w:cs="Times New Roman"/>
          <w:szCs w:val="24"/>
          <w:highlight w:val="yellow"/>
        </w:rPr>
        <w:t xml:space="preserve">a </w:t>
      </w:r>
      <w:r w:rsidRPr="00B6286D">
        <w:rPr>
          <w:rFonts w:cs="Times New Roman"/>
          <w:szCs w:val="24"/>
          <w:highlight w:val="yellow"/>
        </w:rPr>
        <w:t>statistically significant</w:t>
      </w:r>
      <w:r w:rsidR="008B00B1" w:rsidRPr="00B6286D">
        <w:rPr>
          <w:rFonts w:cs="Times New Roman"/>
          <w:szCs w:val="24"/>
          <w:highlight w:val="yellow"/>
        </w:rPr>
        <w:t xml:space="preserve"> determinant of average NAPLAN results</w:t>
      </w:r>
      <w:r w:rsidRPr="00B6286D">
        <w:rPr>
          <w:rFonts w:cs="Times New Roman"/>
          <w:szCs w:val="24"/>
          <w:highlight w:val="yellow"/>
        </w:rPr>
        <w:t xml:space="preserve"> for each domain and year level, which is in line with theoretical expectations. Moreover, the mean response to ICSEA is relatively strong, especially when one considers the degree of variation between the various categories of schools (Table 2). IC</w:t>
      </w:r>
      <w:r w:rsidR="0014746E" w:rsidRPr="00B6286D">
        <w:rPr>
          <w:rFonts w:cs="Times New Roman"/>
          <w:szCs w:val="24"/>
          <w:highlight w:val="yellow"/>
        </w:rPr>
        <w:t>SEA is a consequence of both</w:t>
      </w:r>
      <w:r w:rsidRPr="00B6286D">
        <w:rPr>
          <w:rFonts w:cs="Times New Roman"/>
          <w:szCs w:val="24"/>
          <w:highlight w:val="yellow"/>
        </w:rPr>
        <w:t xml:space="preserve"> supply and demand side competition – for the former we have things like scholarships based on merit, for the latter we have c</w:t>
      </w:r>
      <w:r w:rsidR="0014746E" w:rsidRPr="00B6286D">
        <w:rPr>
          <w:rFonts w:cs="Times New Roman"/>
          <w:szCs w:val="24"/>
          <w:highlight w:val="yellow"/>
        </w:rPr>
        <w:t>apacity to pay</w:t>
      </w:r>
      <w:r w:rsidRPr="00B6286D">
        <w:rPr>
          <w:rFonts w:cs="Times New Roman"/>
          <w:szCs w:val="24"/>
          <w:highlight w:val="yellow"/>
        </w:rPr>
        <w:t xml:space="preserve"> tuition fees (which is likely to concentrate students </w:t>
      </w:r>
      <w:r w:rsidR="008B00B1" w:rsidRPr="00B6286D">
        <w:rPr>
          <w:rFonts w:cs="Times New Roman"/>
          <w:szCs w:val="24"/>
          <w:highlight w:val="yellow"/>
        </w:rPr>
        <w:t xml:space="preserve">from parents in high skilled occupations). </w:t>
      </w:r>
      <w:r w:rsidR="008237C3" w:rsidRPr="00B6286D">
        <w:rPr>
          <w:rFonts w:cs="Times New Roman"/>
          <w:szCs w:val="24"/>
          <w:highlight w:val="yellow"/>
        </w:rPr>
        <w:t>Similarly,</w:t>
      </w:r>
      <w:r w:rsidR="008B00B1" w:rsidRPr="00B6286D">
        <w:rPr>
          <w:rFonts w:cs="Times New Roman"/>
          <w:szCs w:val="24"/>
          <w:highlight w:val="yellow"/>
        </w:rPr>
        <w:t xml:space="preserve"> the economic resources (total income per student) available to different categories of schools </w:t>
      </w:r>
      <w:r w:rsidR="008B00B1" w:rsidRPr="00B6286D">
        <w:rPr>
          <w:rFonts w:cs="Times New Roman"/>
          <w:szCs w:val="24"/>
          <w:highlight w:val="yellow"/>
        </w:rPr>
        <w:lastRenderedPageBreak/>
        <w:t xml:space="preserve">reflect both supply (government support for </w:t>
      </w:r>
      <w:r w:rsidR="00D10F62" w:rsidRPr="00B6286D">
        <w:rPr>
          <w:rFonts w:cs="Times New Roman"/>
          <w:szCs w:val="24"/>
          <w:highlight w:val="yellow"/>
        </w:rPr>
        <w:t>faith-based</w:t>
      </w:r>
      <w:r w:rsidR="008B00B1" w:rsidRPr="00B6286D">
        <w:rPr>
          <w:rFonts w:cs="Times New Roman"/>
          <w:szCs w:val="24"/>
          <w:highlight w:val="yellow"/>
        </w:rPr>
        <w:t xml:space="preserve"> schools) and demand (parent payment of tuition fees) effects</w:t>
      </w:r>
      <w:r w:rsidR="008237C3" w:rsidRPr="00B6286D">
        <w:rPr>
          <w:rFonts w:cs="Times New Roman"/>
          <w:szCs w:val="24"/>
          <w:highlight w:val="yellow"/>
        </w:rPr>
        <w:t xml:space="preserve">. There is a </w:t>
      </w:r>
      <w:r w:rsidR="008B00B1" w:rsidRPr="00B6286D">
        <w:rPr>
          <w:rFonts w:cs="Times New Roman"/>
          <w:szCs w:val="24"/>
          <w:highlight w:val="yellow"/>
        </w:rPr>
        <w:t>statistically significant</w:t>
      </w:r>
      <w:r w:rsidR="00677715" w:rsidRPr="00B6286D">
        <w:rPr>
          <w:rFonts w:cs="Times New Roman"/>
          <w:szCs w:val="24"/>
          <w:highlight w:val="yellow"/>
        </w:rPr>
        <w:t xml:space="preserve"> but relatively weak association for</w:t>
      </w:r>
      <w:r w:rsidR="008B00B1" w:rsidRPr="00B6286D">
        <w:rPr>
          <w:rFonts w:cs="Times New Roman"/>
          <w:szCs w:val="24"/>
          <w:highlight w:val="yellow"/>
        </w:rPr>
        <w:t xml:space="preserve"> reading and numeracy NAPLAN scores </w:t>
      </w:r>
      <w:r w:rsidR="00677715" w:rsidRPr="00B6286D">
        <w:rPr>
          <w:rFonts w:cs="Times New Roman"/>
          <w:szCs w:val="24"/>
          <w:highlight w:val="yellow"/>
        </w:rPr>
        <w:t xml:space="preserve">in response </w:t>
      </w:r>
      <w:r w:rsidR="008B00B1" w:rsidRPr="00B6286D">
        <w:rPr>
          <w:rFonts w:cs="Times New Roman"/>
          <w:szCs w:val="24"/>
          <w:highlight w:val="yellow"/>
        </w:rPr>
        <w:t xml:space="preserve">to student income that seems to </w:t>
      </w:r>
      <w:r w:rsidR="0054249A" w:rsidRPr="00B6286D">
        <w:rPr>
          <w:rFonts w:cs="Times New Roman"/>
          <w:szCs w:val="24"/>
          <w:highlight w:val="yellow"/>
        </w:rPr>
        <w:t>be somewhat at odds with</w:t>
      </w:r>
      <w:r w:rsidR="008B00B1" w:rsidRPr="00B6286D">
        <w:rPr>
          <w:rFonts w:cs="Times New Roman"/>
          <w:szCs w:val="24"/>
          <w:highlight w:val="yellow"/>
        </w:rPr>
        <w:t xml:space="preserve"> government policy </w:t>
      </w:r>
      <w:r w:rsidR="0054249A" w:rsidRPr="00B6286D">
        <w:rPr>
          <w:rFonts w:cs="Times New Roman"/>
          <w:szCs w:val="24"/>
          <w:highlight w:val="yellow"/>
        </w:rPr>
        <w:t>and commonly</w:t>
      </w:r>
      <w:r w:rsidR="008B00B1" w:rsidRPr="00B6286D">
        <w:rPr>
          <w:rFonts w:cs="Times New Roman"/>
          <w:szCs w:val="24"/>
          <w:highlight w:val="yellow"/>
        </w:rPr>
        <w:t xml:space="preserve"> held perceptions about the association between f</w:t>
      </w:r>
      <w:r w:rsidR="0014746E" w:rsidRPr="00B6286D">
        <w:rPr>
          <w:rFonts w:cs="Times New Roman"/>
          <w:szCs w:val="24"/>
          <w:highlight w:val="yellow"/>
        </w:rPr>
        <w:t>unding and performance. I</w:t>
      </w:r>
      <w:r w:rsidR="008B00B1" w:rsidRPr="00B6286D">
        <w:rPr>
          <w:rFonts w:cs="Times New Roman"/>
          <w:szCs w:val="24"/>
          <w:highlight w:val="yellow"/>
        </w:rPr>
        <w:t>n most cases</w:t>
      </w:r>
      <w:r w:rsidR="008237C3" w:rsidRPr="00B6286D">
        <w:rPr>
          <w:rFonts w:cs="Times New Roman"/>
          <w:szCs w:val="24"/>
          <w:highlight w:val="yellow"/>
        </w:rPr>
        <w:t>,</w:t>
      </w:r>
      <w:r w:rsidR="008B00B1" w:rsidRPr="00B6286D">
        <w:rPr>
          <w:rFonts w:cs="Times New Roman"/>
          <w:szCs w:val="24"/>
          <w:highlight w:val="yellow"/>
        </w:rPr>
        <w:t xml:space="preserve"> even </w:t>
      </w:r>
      <w:r w:rsidR="008237C3" w:rsidRPr="00B6286D">
        <w:rPr>
          <w:rFonts w:cs="Times New Roman"/>
          <w:szCs w:val="24"/>
          <w:highlight w:val="yellow"/>
        </w:rPr>
        <w:t xml:space="preserve">a doubling of existing funding (i.e., an extra $10,000 per student) </w:t>
      </w:r>
      <w:r w:rsidR="008B00B1" w:rsidRPr="00B6286D">
        <w:rPr>
          <w:rFonts w:cs="Times New Roman"/>
          <w:szCs w:val="24"/>
          <w:highlight w:val="yellow"/>
        </w:rPr>
        <w:t xml:space="preserve">would </w:t>
      </w:r>
      <w:r w:rsidR="00782A6D">
        <w:rPr>
          <w:rFonts w:cs="Times New Roman"/>
          <w:szCs w:val="24"/>
          <w:highlight w:val="yellow"/>
        </w:rPr>
        <w:t xml:space="preserve">only result </w:t>
      </w:r>
      <w:r w:rsidR="008B00B1" w:rsidRPr="00B6286D">
        <w:rPr>
          <w:rFonts w:cs="Times New Roman"/>
          <w:szCs w:val="24"/>
          <w:highlight w:val="yellow"/>
        </w:rPr>
        <w:t xml:space="preserve">in improvements to </w:t>
      </w:r>
      <w:r w:rsidR="008237C3" w:rsidRPr="00B6286D">
        <w:rPr>
          <w:rFonts w:cs="Times New Roman"/>
          <w:szCs w:val="24"/>
          <w:highlight w:val="yellow"/>
        </w:rPr>
        <w:t xml:space="preserve">the </w:t>
      </w:r>
      <w:r w:rsidR="008B00B1" w:rsidRPr="00B6286D">
        <w:rPr>
          <w:rFonts w:cs="Times New Roman"/>
          <w:szCs w:val="24"/>
          <w:highlight w:val="yellow"/>
        </w:rPr>
        <w:t xml:space="preserve">mean </w:t>
      </w:r>
      <w:r w:rsidR="00677715" w:rsidRPr="00B6286D">
        <w:rPr>
          <w:rFonts w:cs="Times New Roman"/>
          <w:szCs w:val="24"/>
          <w:highlight w:val="yellow"/>
        </w:rPr>
        <w:t>reading and numeracy</w:t>
      </w:r>
      <w:r w:rsidR="0014746E" w:rsidRPr="00B6286D">
        <w:rPr>
          <w:rFonts w:cs="Times New Roman"/>
          <w:szCs w:val="24"/>
          <w:highlight w:val="yellow"/>
        </w:rPr>
        <w:t xml:space="preserve"> </w:t>
      </w:r>
      <w:r w:rsidR="008237C3" w:rsidRPr="00B6286D">
        <w:rPr>
          <w:rFonts w:cs="Times New Roman"/>
          <w:szCs w:val="24"/>
          <w:highlight w:val="yellow"/>
        </w:rPr>
        <w:t>scores</w:t>
      </w:r>
      <w:r w:rsidR="008B00B1" w:rsidRPr="00B6286D">
        <w:rPr>
          <w:rFonts w:cs="Times New Roman"/>
          <w:szCs w:val="24"/>
          <w:highlight w:val="yellow"/>
        </w:rPr>
        <w:t xml:space="preserve"> of just a few points. </w:t>
      </w:r>
      <w:r w:rsidR="0014746E" w:rsidRPr="00B6286D">
        <w:rPr>
          <w:rFonts w:cs="Times New Roman"/>
          <w:szCs w:val="24"/>
          <w:highlight w:val="yellow"/>
        </w:rPr>
        <w:t xml:space="preserve">Student-teacher ratios were also statistically significant but </w:t>
      </w:r>
      <w:r w:rsidR="00677715" w:rsidRPr="00B6286D">
        <w:rPr>
          <w:rFonts w:cs="Times New Roman"/>
          <w:szCs w:val="24"/>
          <w:highlight w:val="yellow"/>
        </w:rPr>
        <w:t xml:space="preserve">represent a </w:t>
      </w:r>
      <w:r w:rsidR="0014746E" w:rsidRPr="00B6286D">
        <w:rPr>
          <w:rFonts w:cs="Times New Roman"/>
          <w:szCs w:val="24"/>
          <w:highlight w:val="yellow"/>
        </w:rPr>
        <w:t xml:space="preserve">relatively weak response and the sign of the coefficient here suggests that we may be picking up the effects of scale (which allows for more specialist teachers, greater peer support and the like) rather than resourcing </w:t>
      </w:r>
      <w:r w:rsidR="0014746E" w:rsidRPr="00B6286D">
        <w:rPr>
          <w:rFonts w:cs="Times New Roman"/>
          <w:i/>
          <w:szCs w:val="24"/>
          <w:highlight w:val="yellow"/>
        </w:rPr>
        <w:t>per se</w:t>
      </w:r>
      <w:r w:rsidR="00816357" w:rsidRPr="00B6286D">
        <w:rPr>
          <w:rFonts w:cs="Times New Roman"/>
          <w:szCs w:val="24"/>
          <w:highlight w:val="yellow"/>
        </w:rPr>
        <w:t>.</w:t>
      </w:r>
    </w:p>
    <w:p w14:paraId="7937C56D" w14:textId="77777777" w:rsidR="00625C9D" w:rsidRDefault="00625C9D" w:rsidP="00625C9D">
      <w:pPr>
        <w:spacing w:after="0" w:line="480" w:lineRule="auto"/>
        <w:rPr>
          <w:rFonts w:cs="Times New Roman"/>
          <w:szCs w:val="24"/>
        </w:rPr>
      </w:pPr>
    </w:p>
    <w:p w14:paraId="15849759" w14:textId="1CABC923" w:rsidR="00AA7F39" w:rsidRDefault="008237C3" w:rsidP="00625C9D">
      <w:pPr>
        <w:spacing w:after="0" w:line="480" w:lineRule="auto"/>
        <w:rPr>
          <w:rFonts w:cs="Times New Roman"/>
          <w:szCs w:val="24"/>
        </w:rPr>
      </w:pPr>
      <w:r w:rsidRPr="00B6286D">
        <w:rPr>
          <w:rFonts w:cs="Times New Roman"/>
          <w:szCs w:val="24"/>
          <w:highlight w:val="yellow"/>
        </w:rPr>
        <w:t>However, t</w:t>
      </w:r>
      <w:r w:rsidR="00816357" w:rsidRPr="00B6286D">
        <w:rPr>
          <w:rFonts w:cs="Times New Roman"/>
          <w:szCs w:val="24"/>
          <w:highlight w:val="yellow"/>
        </w:rPr>
        <w:t xml:space="preserve">he key variables of interest </w:t>
      </w:r>
      <w:r w:rsidR="00782A6D">
        <w:rPr>
          <w:rFonts w:cs="Times New Roman"/>
          <w:szCs w:val="24"/>
          <w:highlight w:val="yellow"/>
        </w:rPr>
        <w:t xml:space="preserve">regarding the effect of administering faith on educational achievement </w:t>
      </w:r>
      <w:r w:rsidRPr="00B6286D">
        <w:rPr>
          <w:rFonts w:cs="Times New Roman"/>
          <w:szCs w:val="24"/>
          <w:highlight w:val="yellow"/>
        </w:rPr>
        <w:t xml:space="preserve">relate to the </w:t>
      </w:r>
      <w:r w:rsidR="00816357" w:rsidRPr="00B6286D">
        <w:rPr>
          <w:rFonts w:cs="Times New Roman"/>
          <w:szCs w:val="24"/>
          <w:highlight w:val="yellow"/>
        </w:rPr>
        <w:t xml:space="preserve">categories of non-government education institutions. Even after controlling for screening </w:t>
      </w:r>
      <w:r w:rsidRPr="00B6286D">
        <w:rPr>
          <w:rFonts w:cs="Times New Roman"/>
          <w:szCs w:val="24"/>
          <w:highlight w:val="yellow"/>
        </w:rPr>
        <w:t>effects,</w:t>
      </w:r>
      <w:r w:rsidR="00816357" w:rsidRPr="00B6286D">
        <w:rPr>
          <w:rFonts w:cs="Times New Roman"/>
          <w:szCs w:val="24"/>
          <w:highlight w:val="yellow"/>
        </w:rPr>
        <w:t xml:space="preserve"> statistically significant and relatively strong differences</w:t>
      </w:r>
      <w:r w:rsidR="00677715" w:rsidRPr="00B6286D">
        <w:rPr>
          <w:rFonts w:cs="Times New Roman"/>
          <w:szCs w:val="24"/>
          <w:highlight w:val="yellow"/>
        </w:rPr>
        <w:t xml:space="preserve"> in performance on standardise</w:t>
      </w:r>
      <w:r w:rsidR="00132F93" w:rsidRPr="00B6286D">
        <w:rPr>
          <w:rFonts w:cs="Times New Roman"/>
          <w:szCs w:val="24"/>
          <w:highlight w:val="yellow"/>
        </w:rPr>
        <w:t>d</w:t>
      </w:r>
      <w:r w:rsidR="00677715" w:rsidRPr="00B6286D">
        <w:rPr>
          <w:rFonts w:cs="Times New Roman"/>
          <w:szCs w:val="24"/>
          <w:highlight w:val="yellow"/>
        </w:rPr>
        <w:t xml:space="preserve"> exams</w:t>
      </w:r>
      <w:r w:rsidR="00816357" w:rsidRPr="00B6286D">
        <w:rPr>
          <w:rFonts w:cs="Times New Roman"/>
          <w:szCs w:val="24"/>
          <w:highlight w:val="yellow"/>
        </w:rPr>
        <w:t xml:space="preserve"> persist. </w:t>
      </w:r>
      <w:r w:rsidR="00E16AB3" w:rsidRPr="00B6286D">
        <w:rPr>
          <w:rFonts w:cs="Times New Roman"/>
          <w:szCs w:val="24"/>
          <w:highlight w:val="yellow"/>
        </w:rPr>
        <w:t>Indeed, t</w:t>
      </w:r>
      <w:r w:rsidR="00CE26C5" w:rsidRPr="00B6286D">
        <w:rPr>
          <w:rFonts w:cs="Times New Roman"/>
          <w:szCs w:val="24"/>
          <w:highlight w:val="yellow"/>
        </w:rPr>
        <w:t>he results in T</w:t>
      </w:r>
      <w:r w:rsidR="00E16AB3" w:rsidRPr="00B6286D">
        <w:rPr>
          <w:rFonts w:cs="Times New Roman"/>
          <w:szCs w:val="24"/>
          <w:highlight w:val="yellow"/>
        </w:rPr>
        <w:t xml:space="preserve">able 3 </w:t>
      </w:r>
      <w:r w:rsidR="0076425A" w:rsidRPr="00B6286D">
        <w:rPr>
          <w:rFonts w:cs="Times New Roman"/>
          <w:szCs w:val="24"/>
          <w:highlight w:val="yellow"/>
        </w:rPr>
        <w:t>suggest</w:t>
      </w:r>
      <w:r w:rsidR="00CE26C5" w:rsidRPr="00B6286D">
        <w:rPr>
          <w:rFonts w:cs="Times New Roman"/>
          <w:szCs w:val="24"/>
          <w:highlight w:val="yellow"/>
        </w:rPr>
        <w:t xml:space="preserve"> that the performance of Catholic schools is somewhat below that of government institutions, that Anglican schools continue to perform relatively well as do non-</w:t>
      </w:r>
      <w:proofErr w:type="spellStart"/>
      <w:r w:rsidR="00CE26C5" w:rsidRPr="00B6286D">
        <w:rPr>
          <w:rFonts w:cs="Times New Roman"/>
          <w:szCs w:val="24"/>
          <w:highlight w:val="yellow"/>
        </w:rPr>
        <w:t>CoC</w:t>
      </w:r>
      <w:proofErr w:type="spellEnd"/>
      <w:r w:rsidR="00CE26C5" w:rsidRPr="00B6286D">
        <w:rPr>
          <w:rFonts w:cs="Times New Roman"/>
          <w:szCs w:val="24"/>
          <w:highlight w:val="yellow"/>
        </w:rPr>
        <w:t xml:space="preserve"> schools, that Islamic schools outperform peers quite strongly and that other independent schools perform relatively poorly, </w:t>
      </w:r>
      <w:r w:rsidR="00201BD1" w:rsidRPr="00B6286D">
        <w:rPr>
          <w:rFonts w:cs="Times New Roman"/>
          <w:szCs w:val="24"/>
          <w:highlight w:val="yellow"/>
        </w:rPr>
        <w:t>when we hold all other factors constant</w:t>
      </w:r>
      <w:r w:rsidRPr="00B6286D">
        <w:rPr>
          <w:rFonts w:cs="Times New Roman"/>
          <w:szCs w:val="24"/>
          <w:highlight w:val="yellow"/>
        </w:rPr>
        <w:t>.</w:t>
      </w:r>
      <w:r w:rsidR="00782A6D">
        <w:rPr>
          <w:rFonts w:cs="Times New Roman"/>
          <w:szCs w:val="24"/>
        </w:rPr>
        <w:t xml:space="preserve"> </w:t>
      </w:r>
      <w:r w:rsidR="00CE26C5" w:rsidRPr="00B6286D">
        <w:rPr>
          <w:rFonts w:cs="Times New Roman"/>
          <w:szCs w:val="24"/>
          <w:highlight w:val="yellow"/>
        </w:rPr>
        <w:t>Moreover, the perf</w:t>
      </w:r>
      <w:r w:rsidRPr="00B6286D">
        <w:rPr>
          <w:rFonts w:cs="Times New Roman"/>
          <w:szCs w:val="24"/>
          <w:highlight w:val="yellow"/>
        </w:rPr>
        <w:t>ormance of Jewish schools while</w:t>
      </w:r>
      <w:r w:rsidR="00CE26C5" w:rsidRPr="00B6286D">
        <w:rPr>
          <w:rFonts w:cs="Times New Roman"/>
          <w:szCs w:val="24"/>
          <w:highlight w:val="yellow"/>
        </w:rPr>
        <w:t xml:space="preserve"> positive in most instances is not nearly as impressive as the raw data might suggest (lack of statistical significance is likely an artefact of the small cohort size). </w:t>
      </w:r>
      <w:r w:rsidR="00816357" w:rsidRPr="00B6286D">
        <w:rPr>
          <w:rFonts w:cs="Times New Roman"/>
          <w:szCs w:val="24"/>
          <w:highlight w:val="yellow"/>
        </w:rPr>
        <w:t xml:space="preserve">This </w:t>
      </w:r>
      <w:r w:rsidR="00E16AB3" w:rsidRPr="00B6286D">
        <w:rPr>
          <w:rFonts w:cs="Times New Roman"/>
          <w:szCs w:val="24"/>
          <w:highlight w:val="yellow"/>
        </w:rPr>
        <w:t xml:space="preserve">all goes to </w:t>
      </w:r>
      <w:r w:rsidR="00816357" w:rsidRPr="00B6286D">
        <w:rPr>
          <w:rFonts w:cs="Times New Roman"/>
          <w:szCs w:val="24"/>
          <w:highlight w:val="yellow"/>
        </w:rPr>
        <w:t>sugge</w:t>
      </w:r>
      <w:r w:rsidR="00E16AB3" w:rsidRPr="00B6286D">
        <w:rPr>
          <w:rFonts w:cs="Times New Roman"/>
          <w:szCs w:val="24"/>
          <w:highlight w:val="yellow"/>
        </w:rPr>
        <w:t>st</w:t>
      </w:r>
      <w:r w:rsidR="00816357" w:rsidRPr="00B6286D">
        <w:rPr>
          <w:rFonts w:cs="Times New Roman"/>
          <w:szCs w:val="24"/>
          <w:highlight w:val="yellow"/>
        </w:rPr>
        <w:t xml:space="preserve"> that the explanations commonly found in the literature regarding differences in performance between government</w:t>
      </w:r>
      <w:r w:rsidRPr="00B6286D">
        <w:rPr>
          <w:rFonts w:cs="Times New Roman"/>
          <w:szCs w:val="24"/>
          <w:highlight w:val="yellow"/>
        </w:rPr>
        <w:t>,</w:t>
      </w:r>
      <w:r w:rsidR="00816357" w:rsidRPr="00B6286D">
        <w:rPr>
          <w:rFonts w:cs="Times New Roman"/>
          <w:szCs w:val="24"/>
          <w:highlight w:val="yellow"/>
        </w:rPr>
        <w:t xml:space="preserve"> </w:t>
      </w:r>
      <w:r w:rsidRPr="00B6286D">
        <w:rPr>
          <w:rFonts w:cs="Times New Roman"/>
          <w:szCs w:val="24"/>
          <w:highlight w:val="yellow"/>
        </w:rPr>
        <w:t>C</w:t>
      </w:r>
      <w:r w:rsidR="00816357" w:rsidRPr="00B6286D">
        <w:rPr>
          <w:rFonts w:cs="Times New Roman"/>
          <w:szCs w:val="24"/>
          <w:highlight w:val="yellow"/>
        </w:rPr>
        <w:t xml:space="preserve">atholic and non-government schools may not be adequate to </w:t>
      </w:r>
      <w:r w:rsidRPr="00B6286D">
        <w:rPr>
          <w:rFonts w:cs="Times New Roman"/>
          <w:szCs w:val="24"/>
          <w:highlight w:val="yellow"/>
        </w:rPr>
        <w:t xml:space="preserve">explain </w:t>
      </w:r>
      <w:r w:rsidR="00816357" w:rsidRPr="00B6286D">
        <w:rPr>
          <w:rFonts w:cs="Times New Roman"/>
          <w:szCs w:val="24"/>
          <w:highlight w:val="yellow"/>
        </w:rPr>
        <w:t xml:space="preserve">completely the results arising from our more nuanced study of </w:t>
      </w:r>
      <w:r w:rsidR="0094222D" w:rsidRPr="00B6286D">
        <w:rPr>
          <w:rFonts w:cs="Times New Roman"/>
          <w:szCs w:val="24"/>
          <w:highlight w:val="yellow"/>
        </w:rPr>
        <w:t xml:space="preserve">the association between </w:t>
      </w:r>
      <w:r w:rsidR="00677715" w:rsidRPr="00B6286D">
        <w:rPr>
          <w:rFonts w:cs="Times New Roman"/>
          <w:szCs w:val="24"/>
          <w:highlight w:val="yellow"/>
        </w:rPr>
        <w:t>faith-</w:t>
      </w:r>
      <w:r w:rsidR="0094222D" w:rsidRPr="00B6286D">
        <w:rPr>
          <w:rFonts w:cs="Times New Roman"/>
          <w:szCs w:val="24"/>
          <w:highlight w:val="yellow"/>
        </w:rPr>
        <w:t xml:space="preserve">based institutions and educational outcomes. </w:t>
      </w:r>
      <w:r w:rsidRPr="00B6286D">
        <w:rPr>
          <w:rFonts w:cs="Times New Roman"/>
          <w:szCs w:val="24"/>
          <w:highlight w:val="yellow"/>
        </w:rPr>
        <w:t xml:space="preserve">In </w:t>
      </w:r>
      <w:r w:rsidRPr="00B6286D">
        <w:rPr>
          <w:rFonts w:cs="Times New Roman"/>
          <w:szCs w:val="24"/>
          <w:highlight w:val="yellow"/>
        </w:rPr>
        <w:lastRenderedPageBreak/>
        <w:t>addition</w:t>
      </w:r>
      <w:r w:rsidR="00677715" w:rsidRPr="00B6286D">
        <w:rPr>
          <w:rFonts w:cs="Times New Roman"/>
          <w:szCs w:val="24"/>
          <w:highlight w:val="yellow"/>
        </w:rPr>
        <w:t>, it also underlines the import</w:t>
      </w:r>
      <w:r w:rsidR="00FB2815" w:rsidRPr="00B6286D">
        <w:rPr>
          <w:rFonts w:cs="Times New Roman"/>
          <w:szCs w:val="24"/>
          <w:highlight w:val="yellow"/>
        </w:rPr>
        <w:t>ance of disaggregating the non-C</w:t>
      </w:r>
      <w:r w:rsidR="00677715" w:rsidRPr="00B6286D">
        <w:rPr>
          <w:rFonts w:cs="Times New Roman"/>
          <w:szCs w:val="24"/>
          <w:highlight w:val="yellow"/>
        </w:rPr>
        <w:t>atholic private school cohort</w:t>
      </w:r>
      <w:r w:rsidR="00E16AB3" w:rsidRPr="00B6286D">
        <w:rPr>
          <w:rFonts w:cs="Times New Roman"/>
          <w:szCs w:val="24"/>
          <w:highlight w:val="yellow"/>
        </w:rPr>
        <w:t xml:space="preserve"> which otherwise </w:t>
      </w:r>
      <w:r w:rsidR="0054249A" w:rsidRPr="00B6286D">
        <w:rPr>
          <w:rFonts w:cs="Times New Roman"/>
          <w:szCs w:val="24"/>
          <w:highlight w:val="yellow"/>
        </w:rPr>
        <w:t>would have represented a conflation of very disparate outcomes</w:t>
      </w:r>
      <w:r w:rsidR="00E16AB3" w:rsidRPr="00B6286D">
        <w:rPr>
          <w:rFonts w:cs="Times New Roman"/>
          <w:szCs w:val="24"/>
          <w:highlight w:val="yellow"/>
        </w:rPr>
        <w:t>.</w:t>
      </w:r>
      <w:r w:rsidR="00677715" w:rsidRPr="00B6286D">
        <w:rPr>
          <w:rFonts w:cs="Times New Roman"/>
          <w:szCs w:val="24"/>
          <w:highlight w:val="yellow"/>
        </w:rPr>
        <w:t xml:space="preserve"> </w:t>
      </w:r>
      <w:r w:rsidR="0094222D" w:rsidRPr="00B6286D">
        <w:rPr>
          <w:rFonts w:cs="Times New Roman"/>
          <w:szCs w:val="24"/>
          <w:highlight w:val="yellow"/>
        </w:rPr>
        <w:t xml:space="preserve">It is possible that there are some lingering screening effects </w:t>
      </w:r>
      <w:r w:rsidR="00324462" w:rsidRPr="00B6286D">
        <w:rPr>
          <w:rFonts w:cs="Times New Roman"/>
          <w:szCs w:val="24"/>
          <w:highlight w:val="yellow"/>
        </w:rPr>
        <w:t xml:space="preserve">(for instance, screening effects arising from perceptions of the quality of faith-based schools) </w:t>
      </w:r>
      <w:r w:rsidR="0094222D" w:rsidRPr="00B6286D">
        <w:rPr>
          <w:rFonts w:cs="Times New Roman"/>
          <w:szCs w:val="24"/>
          <w:highlight w:val="yellow"/>
        </w:rPr>
        <w:t>that we have not been able to completely control for owing to data limitations</w:t>
      </w:r>
      <w:r w:rsidR="00B540A2" w:rsidRPr="00B6286D">
        <w:rPr>
          <w:rFonts w:cs="Times New Roman"/>
          <w:szCs w:val="24"/>
          <w:highlight w:val="yellow"/>
        </w:rPr>
        <w:t>. H</w:t>
      </w:r>
      <w:r w:rsidR="00132F93" w:rsidRPr="00B6286D">
        <w:rPr>
          <w:rFonts w:cs="Times New Roman"/>
          <w:szCs w:val="24"/>
          <w:highlight w:val="yellow"/>
        </w:rPr>
        <w:t>owever</w:t>
      </w:r>
      <w:r w:rsidR="00B540A2" w:rsidRPr="00B6286D">
        <w:rPr>
          <w:rFonts w:cs="Times New Roman"/>
          <w:szCs w:val="24"/>
          <w:highlight w:val="yellow"/>
        </w:rPr>
        <w:t>,</w:t>
      </w:r>
      <w:r w:rsidR="0094222D" w:rsidRPr="00B6286D">
        <w:rPr>
          <w:rFonts w:cs="Times New Roman"/>
          <w:szCs w:val="24"/>
          <w:highlight w:val="yellow"/>
        </w:rPr>
        <w:t xml:space="preserve"> it is also more than likely that the large body of work on the association between religion and educational attainment also has </w:t>
      </w:r>
      <w:r w:rsidR="00132F93" w:rsidRPr="00B6286D">
        <w:rPr>
          <w:rFonts w:cs="Times New Roman"/>
          <w:szCs w:val="24"/>
          <w:highlight w:val="yellow"/>
        </w:rPr>
        <w:t xml:space="preserve">some </w:t>
      </w:r>
      <w:r w:rsidR="0094222D" w:rsidRPr="00B6286D">
        <w:rPr>
          <w:rFonts w:cs="Times New Roman"/>
          <w:szCs w:val="24"/>
          <w:highlight w:val="yellow"/>
        </w:rPr>
        <w:t>relevance to educational achievement.</w:t>
      </w:r>
    </w:p>
    <w:p w14:paraId="65425878" w14:textId="77777777" w:rsidR="00625C9D" w:rsidRDefault="00625C9D" w:rsidP="00625C9D">
      <w:pPr>
        <w:spacing w:after="0" w:line="480" w:lineRule="auto"/>
        <w:rPr>
          <w:rFonts w:cs="Times New Roman"/>
          <w:szCs w:val="24"/>
        </w:rPr>
      </w:pPr>
    </w:p>
    <w:p w14:paraId="6774A85A" w14:textId="77777777" w:rsidR="00782A6D" w:rsidRDefault="0076425A" w:rsidP="00625C9D">
      <w:pPr>
        <w:spacing w:after="0" w:line="480" w:lineRule="auto"/>
        <w:rPr>
          <w:rFonts w:cs="Times New Roman"/>
          <w:szCs w:val="24"/>
          <w:highlight w:val="yellow"/>
        </w:rPr>
      </w:pPr>
      <w:r w:rsidRPr="00B6286D">
        <w:rPr>
          <w:rFonts w:cs="Times New Roman"/>
          <w:szCs w:val="24"/>
          <w:highlight w:val="yellow"/>
        </w:rPr>
        <w:t>In terms of the indirect hypotheses from the religion attainment literature</w:t>
      </w:r>
      <w:r w:rsidR="00B540A2" w:rsidRPr="00B6286D">
        <w:rPr>
          <w:rFonts w:cs="Times New Roman"/>
          <w:szCs w:val="24"/>
          <w:highlight w:val="yellow"/>
        </w:rPr>
        <w:t>, the quantity-</w:t>
      </w:r>
      <w:r w:rsidRPr="00B6286D">
        <w:rPr>
          <w:rFonts w:cs="Times New Roman"/>
          <w:szCs w:val="24"/>
          <w:highlight w:val="yellow"/>
        </w:rPr>
        <w:t xml:space="preserve">quality model is </w:t>
      </w:r>
      <w:r w:rsidR="00782A6D">
        <w:rPr>
          <w:rFonts w:cs="Times New Roman"/>
          <w:szCs w:val="24"/>
          <w:highlight w:val="yellow"/>
        </w:rPr>
        <w:t xml:space="preserve">the </w:t>
      </w:r>
      <w:r w:rsidRPr="00B6286D">
        <w:rPr>
          <w:rFonts w:cs="Times New Roman"/>
          <w:szCs w:val="24"/>
          <w:highlight w:val="yellow"/>
        </w:rPr>
        <w:t>most like</w:t>
      </w:r>
      <w:r w:rsidR="00B94C4B" w:rsidRPr="00B6286D">
        <w:rPr>
          <w:rFonts w:cs="Times New Roman"/>
          <w:szCs w:val="24"/>
          <w:highlight w:val="yellow"/>
        </w:rPr>
        <w:t>ly candidate to explain much of the statistically significant results, and seem</w:t>
      </w:r>
      <w:r w:rsidR="00B540A2" w:rsidRPr="00B6286D">
        <w:rPr>
          <w:rFonts w:cs="Times New Roman"/>
          <w:szCs w:val="24"/>
          <w:highlight w:val="yellow"/>
        </w:rPr>
        <w:t>s</w:t>
      </w:r>
      <w:r w:rsidR="00B94C4B" w:rsidRPr="00B6286D">
        <w:rPr>
          <w:rFonts w:cs="Times New Roman"/>
          <w:szCs w:val="24"/>
          <w:highlight w:val="yellow"/>
        </w:rPr>
        <w:t xml:space="preserve"> especially relevant to Islamic</w:t>
      </w:r>
      <w:r w:rsidR="00D10F62" w:rsidRPr="00B6286D">
        <w:rPr>
          <w:rFonts w:cs="Times New Roman"/>
          <w:szCs w:val="24"/>
          <w:highlight w:val="yellow"/>
        </w:rPr>
        <w:t xml:space="preserve">, </w:t>
      </w:r>
      <w:r w:rsidR="004F2944" w:rsidRPr="00B6286D">
        <w:rPr>
          <w:rFonts w:cs="Times New Roman"/>
          <w:szCs w:val="24"/>
          <w:highlight w:val="yellow"/>
        </w:rPr>
        <w:t>non-</w:t>
      </w:r>
      <w:proofErr w:type="spellStart"/>
      <w:r w:rsidR="004F2944" w:rsidRPr="00B6286D">
        <w:rPr>
          <w:rFonts w:cs="Times New Roman"/>
          <w:szCs w:val="24"/>
          <w:highlight w:val="yellow"/>
        </w:rPr>
        <w:t>CoC</w:t>
      </w:r>
      <w:proofErr w:type="spellEnd"/>
      <w:r w:rsidR="00B540A2" w:rsidRPr="00B6286D">
        <w:rPr>
          <w:rFonts w:cs="Times New Roman"/>
          <w:szCs w:val="24"/>
          <w:highlight w:val="yellow"/>
        </w:rPr>
        <w:t>,</w:t>
      </w:r>
      <w:r w:rsidR="004F2944" w:rsidRPr="00B6286D">
        <w:rPr>
          <w:rFonts w:cs="Times New Roman"/>
          <w:szCs w:val="24"/>
          <w:highlight w:val="yellow"/>
        </w:rPr>
        <w:t xml:space="preserve"> </w:t>
      </w:r>
      <w:r w:rsidR="00D10F62" w:rsidRPr="00B6286D">
        <w:rPr>
          <w:rFonts w:cs="Times New Roman"/>
          <w:szCs w:val="24"/>
          <w:highlight w:val="yellow"/>
        </w:rPr>
        <w:t>an</w:t>
      </w:r>
      <w:r w:rsidR="00B94C4B" w:rsidRPr="00B6286D">
        <w:rPr>
          <w:rFonts w:cs="Times New Roman"/>
          <w:szCs w:val="24"/>
          <w:highlight w:val="yellow"/>
        </w:rPr>
        <w:t>d Catholic schoo</w:t>
      </w:r>
      <w:r w:rsidR="00D10F62" w:rsidRPr="00B6286D">
        <w:rPr>
          <w:rFonts w:cs="Times New Roman"/>
          <w:szCs w:val="24"/>
          <w:highlight w:val="yellow"/>
        </w:rPr>
        <w:t>ls. These types of</w:t>
      </w:r>
      <w:r w:rsidR="00B94C4B" w:rsidRPr="00B6286D">
        <w:rPr>
          <w:rFonts w:cs="Times New Roman"/>
          <w:szCs w:val="24"/>
          <w:highlight w:val="yellow"/>
        </w:rPr>
        <w:t xml:space="preserve"> schools have high levels of religiou</w:t>
      </w:r>
      <w:r w:rsidR="004F2944" w:rsidRPr="00B6286D">
        <w:rPr>
          <w:rFonts w:cs="Times New Roman"/>
          <w:szCs w:val="24"/>
          <w:highlight w:val="yellow"/>
        </w:rPr>
        <w:t xml:space="preserve">s adherents, and all three </w:t>
      </w:r>
      <w:r w:rsidR="00B94C4B" w:rsidRPr="00B6286D">
        <w:rPr>
          <w:rFonts w:cs="Times New Roman"/>
          <w:szCs w:val="24"/>
          <w:highlight w:val="yellow"/>
        </w:rPr>
        <w:t xml:space="preserve">religions have been associated with large family </w:t>
      </w:r>
      <w:r w:rsidR="00506EFE" w:rsidRPr="00B6286D">
        <w:rPr>
          <w:rFonts w:cs="Times New Roman"/>
          <w:szCs w:val="24"/>
          <w:highlight w:val="yellow"/>
        </w:rPr>
        <w:t>size, which</w:t>
      </w:r>
      <w:r w:rsidR="00D10F62" w:rsidRPr="00B6286D">
        <w:rPr>
          <w:rFonts w:cs="Times New Roman"/>
          <w:szCs w:val="24"/>
          <w:highlight w:val="yellow"/>
        </w:rPr>
        <w:t xml:space="preserve"> suggests the relevance of the hypothesis</w:t>
      </w:r>
      <w:r w:rsidR="00B94C4B" w:rsidRPr="00B6286D">
        <w:rPr>
          <w:rFonts w:cs="Times New Roman"/>
          <w:szCs w:val="24"/>
          <w:highlight w:val="yellow"/>
        </w:rPr>
        <w:t xml:space="preserve"> (</w:t>
      </w:r>
      <w:proofErr w:type="spellStart"/>
      <w:r w:rsidR="00B94C4B" w:rsidRPr="00B6286D">
        <w:rPr>
          <w:rFonts w:cs="Times New Roman"/>
          <w:szCs w:val="24"/>
          <w:highlight w:val="yellow"/>
        </w:rPr>
        <w:t>Keysa</w:t>
      </w:r>
      <w:proofErr w:type="spellEnd"/>
      <w:r w:rsidR="00B94C4B" w:rsidRPr="00B6286D">
        <w:rPr>
          <w:rFonts w:cs="Times New Roman"/>
          <w:szCs w:val="24"/>
          <w:highlight w:val="yellow"/>
        </w:rPr>
        <w:t xml:space="preserve"> and Kosmin, 1995). However, the education achievement resp</w:t>
      </w:r>
      <w:r w:rsidR="004F2944" w:rsidRPr="00B6286D">
        <w:rPr>
          <w:rFonts w:cs="Times New Roman"/>
          <w:szCs w:val="24"/>
          <w:highlight w:val="yellow"/>
        </w:rPr>
        <w:t>onse for the Catholic</w:t>
      </w:r>
      <w:r w:rsidR="00D10F62" w:rsidRPr="00B6286D">
        <w:rPr>
          <w:rFonts w:cs="Times New Roman"/>
          <w:szCs w:val="24"/>
          <w:highlight w:val="yellow"/>
        </w:rPr>
        <w:t xml:space="preserve"> faith-</w:t>
      </w:r>
      <w:r w:rsidR="00B94C4B" w:rsidRPr="00B6286D">
        <w:rPr>
          <w:rFonts w:cs="Times New Roman"/>
          <w:szCs w:val="24"/>
          <w:highlight w:val="yellow"/>
        </w:rPr>
        <w:t>based institutions</w:t>
      </w:r>
      <w:r w:rsidR="004F2944" w:rsidRPr="00B6286D">
        <w:rPr>
          <w:rFonts w:cs="Times New Roman"/>
          <w:szCs w:val="24"/>
          <w:highlight w:val="yellow"/>
        </w:rPr>
        <w:t xml:space="preserve"> relative to non-</w:t>
      </w:r>
      <w:proofErr w:type="spellStart"/>
      <w:r w:rsidR="004F2944" w:rsidRPr="00B6286D">
        <w:rPr>
          <w:rFonts w:cs="Times New Roman"/>
          <w:szCs w:val="24"/>
          <w:highlight w:val="yellow"/>
        </w:rPr>
        <w:t>CoC</w:t>
      </w:r>
      <w:proofErr w:type="spellEnd"/>
      <w:r w:rsidR="004F2944" w:rsidRPr="00B6286D">
        <w:rPr>
          <w:rFonts w:cs="Times New Roman"/>
          <w:szCs w:val="24"/>
          <w:highlight w:val="yellow"/>
        </w:rPr>
        <w:t xml:space="preserve"> and Islamic schools</w:t>
      </w:r>
      <w:r w:rsidR="00B94C4B" w:rsidRPr="00B6286D">
        <w:rPr>
          <w:rFonts w:cs="Times New Roman"/>
          <w:szCs w:val="24"/>
          <w:highlight w:val="yellow"/>
        </w:rPr>
        <w:t xml:space="preserve"> are entirely at odds with one another. One </w:t>
      </w:r>
      <w:r w:rsidR="00201BD1" w:rsidRPr="00B6286D">
        <w:rPr>
          <w:rFonts w:cs="Times New Roman"/>
          <w:szCs w:val="24"/>
          <w:highlight w:val="yellow"/>
        </w:rPr>
        <w:t>way of explaining these</w:t>
      </w:r>
      <w:r w:rsidR="00B94C4B" w:rsidRPr="00B6286D">
        <w:rPr>
          <w:rFonts w:cs="Times New Roman"/>
          <w:szCs w:val="24"/>
          <w:highlight w:val="yellow"/>
        </w:rPr>
        <w:t xml:space="preserve"> </w:t>
      </w:r>
      <w:r w:rsidR="004F2944" w:rsidRPr="00B6286D">
        <w:rPr>
          <w:rFonts w:cs="Times New Roman"/>
          <w:szCs w:val="24"/>
          <w:highlight w:val="yellow"/>
        </w:rPr>
        <w:t>disparate</w:t>
      </w:r>
      <w:r w:rsidR="00B94C4B" w:rsidRPr="00B6286D">
        <w:rPr>
          <w:rFonts w:cs="Times New Roman"/>
          <w:szCs w:val="24"/>
          <w:highlight w:val="yellow"/>
        </w:rPr>
        <w:t xml:space="preserve"> mean responses </w:t>
      </w:r>
      <w:r w:rsidR="00506EFE" w:rsidRPr="00B6286D">
        <w:rPr>
          <w:rFonts w:cs="Times New Roman"/>
          <w:szCs w:val="24"/>
          <w:highlight w:val="yellow"/>
        </w:rPr>
        <w:t>with reference to the quantity-</w:t>
      </w:r>
      <w:r w:rsidR="00201BD1" w:rsidRPr="00B6286D">
        <w:rPr>
          <w:rFonts w:cs="Times New Roman"/>
          <w:szCs w:val="24"/>
          <w:highlight w:val="yellow"/>
        </w:rPr>
        <w:t>quality argument might lie with the</w:t>
      </w:r>
      <w:r w:rsidR="00D10F62" w:rsidRPr="00B6286D">
        <w:rPr>
          <w:rFonts w:cs="Times New Roman"/>
          <w:szCs w:val="24"/>
          <w:highlight w:val="yellow"/>
        </w:rPr>
        <w:t xml:space="preserve"> </w:t>
      </w:r>
      <w:r w:rsidR="0054249A" w:rsidRPr="00B6286D">
        <w:rPr>
          <w:rFonts w:cs="Times New Roman"/>
          <w:szCs w:val="24"/>
          <w:highlight w:val="yellow"/>
        </w:rPr>
        <w:t xml:space="preserve">distinctly </w:t>
      </w:r>
      <w:r w:rsidR="00B94C4B" w:rsidRPr="00B6286D">
        <w:rPr>
          <w:rFonts w:cs="Times New Roman"/>
          <w:szCs w:val="24"/>
          <w:highlight w:val="yellow"/>
        </w:rPr>
        <w:t xml:space="preserve">low workforce participation rates associated with </w:t>
      </w:r>
      <w:r w:rsidR="00506EFE" w:rsidRPr="00B6286D">
        <w:rPr>
          <w:rFonts w:cs="Times New Roman"/>
          <w:szCs w:val="24"/>
          <w:highlight w:val="yellow"/>
        </w:rPr>
        <w:t>Muslim</w:t>
      </w:r>
      <w:r w:rsidR="00B94C4B" w:rsidRPr="00B6286D">
        <w:rPr>
          <w:rFonts w:cs="Times New Roman"/>
          <w:szCs w:val="24"/>
          <w:highlight w:val="yellow"/>
        </w:rPr>
        <w:t xml:space="preserve"> </w:t>
      </w:r>
      <w:r w:rsidR="004F2944" w:rsidRPr="00B6286D">
        <w:rPr>
          <w:rFonts w:cs="Times New Roman"/>
          <w:szCs w:val="24"/>
          <w:highlight w:val="yellow"/>
        </w:rPr>
        <w:t>and non-</w:t>
      </w:r>
      <w:proofErr w:type="spellStart"/>
      <w:r w:rsidR="004F2944" w:rsidRPr="00B6286D">
        <w:rPr>
          <w:rFonts w:cs="Times New Roman"/>
          <w:szCs w:val="24"/>
          <w:highlight w:val="yellow"/>
        </w:rPr>
        <w:t>CoC</w:t>
      </w:r>
      <w:proofErr w:type="spellEnd"/>
      <w:r w:rsidR="004F2944" w:rsidRPr="00B6286D">
        <w:rPr>
          <w:rFonts w:cs="Times New Roman"/>
          <w:szCs w:val="24"/>
          <w:highlight w:val="yellow"/>
        </w:rPr>
        <w:t xml:space="preserve"> </w:t>
      </w:r>
      <w:r w:rsidR="00B94C4B" w:rsidRPr="00B6286D">
        <w:rPr>
          <w:rFonts w:cs="Times New Roman"/>
          <w:szCs w:val="24"/>
          <w:highlight w:val="yellow"/>
        </w:rPr>
        <w:t>mothers</w:t>
      </w:r>
      <w:r w:rsidR="00D10F62" w:rsidRPr="00B6286D">
        <w:rPr>
          <w:rFonts w:cs="Times New Roman"/>
          <w:szCs w:val="24"/>
          <w:highlight w:val="yellow"/>
        </w:rPr>
        <w:t xml:space="preserve"> which </w:t>
      </w:r>
      <w:r w:rsidR="0054249A" w:rsidRPr="00B6286D">
        <w:rPr>
          <w:rFonts w:cs="Times New Roman"/>
          <w:szCs w:val="24"/>
          <w:highlight w:val="yellow"/>
        </w:rPr>
        <w:t>might allow</w:t>
      </w:r>
      <w:r w:rsidR="00D10F62" w:rsidRPr="00B6286D">
        <w:rPr>
          <w:rFonts w:cs="Times New Roman"/>
          <w:szCs w:val="24"/>
          <w:highlight w:val="yellow"/>
        </w:rPr>
        <w:t xml:space="preserve"> </w:t>
      </w:r>
      <w:r w:rsidR="0054249A" w:rsidRPr="00B6286D">
        <w:rPr>
          <w:rFonts w:cs="Times New Roman"/>
          <w:szCs w:val="24"/>
          <w:highlight w:val="yellow"/>
        </w:rPr>
        <w:t>these</w:t>
      </w:r>
      <w:r w:rsidR="00D10F62" w:rsidRPr="00B6286D">
        <w:rPr>
          <w:rFonts w:cs="Times New Roman"/>
          <w:szCs w:val="24"/>
          <w:highlight w:val="yellow"/>
        </w:rPr>
        <w:t xml:space="preserve"> group</w:t>
      </w:r>
      <w:r w:rsidR="0054249A" w:rsidRPr="00B6286D">
        <w:rPr>
          <w:rFonts w:cs="Times New Roman"/>
          <w:szCs w:val="24"/>
          <w:highlight w:val="yellow"/>
        </w:rPr>
        <w:t>s</w:t>
      </w:r>
      <w:r w:rsidR="00D10F62" w:rsidRPr="00B6286D">
        <w:rPr>
          <w:rFonts w:cs="Times New Roman"/>
          <w:szCs w:val="24"/>
          <w:highlight w:val="yellow"/>
        </w:rPr>
        <w:t xml:space="preserve"> to invest more social resources into education, both at schools and at home</w:t>
      </w:r>
      <w:r w:rsidR="004F2944" w:rsidRPr="00B6286D">
        <w:rPr>
          <w:rFonts w:cs="Times New Roman"/>
          <w:szCs w:val="24"/>
          <w:highlight w:val="yellow"/>
        </w:rPr>
        <w:t xml:space="preserve"> (Read, 2004; Vance, 1999)</w:t>
      </w:r>
      <w:r w:rsidR="00D10F62" w:rsidRPr="00B6286D">
        <w:rPr>
          <w:rFonts w:cs="Times New Roman"/>
          <w:szCs w:val="24"/>
          <w:highlight w:val="yellow"/>
        </w:rPr>
        <w:t xml:space="preserve">. </w:t>
      </w:r>
    </w:p>
    <w:p w14:paraId="104CF17A" w14:textId="77777777" w:rsidR="00782A6D" w:rsidRDefault="00782A6D" w:rsidP="00625C9D">
      <w:pPr>
        <w:spacing w:after="0" w:line="480" w:lineRule="auto"/>
        <w:rPr>
          <w:rFonts w:cs="Times New Roman"/>
          <w:szCs w:val="24"/>
          <w:highlight w:val="yellow"/>
        </w:rPr>
      </w:pPr>
    </w:p>
    <w:p w14:paraId="6643369C" w14:textId="3739B395" w:rsidR="00B37A8E" w:rsidRDefault="00D10F62" w:rsidP="00625C9D">
      <w:pPr>
        <w:spacing w:after="0" w:line="480" w:lineRule="auto"/>
        <w:rPr>
          <w:rFonts w:cs="Times New Roman"/>
          <w:szCs w:val="24"/>
        </w:rPr>
      </w:pPr>
      <w:r w:rsidRPr="00B6286D">
        <w:rPr>
          <w:rFonts w:cs="Times New Roman"/>
          <w:szCs w:val="24"/>
          <w:highlight w:val="yellow"/>
        </w:rPr>
        <w:t>It is also possible that the immi</w:t>
      </w:r>
      <w:r w:rsidR="00201BD1" w:rsidRPr="00B6286D">
        <w:rPr>
          <w:rFonts w:cs="Times New Roman"/>
          <w:szCs w:val="24"/>
          <w:highlight w:val="yellow"/>
        </w:rPr>
        <w:t>gration hypothesi</w:t>
      </w:r>
      <w:r w:rsidRPr="00B6286D">
        <w:rPr>
          <w:rFonts w:cs="Times New Roman"/>
          <w:szCs w:val="24"/>
          <w:highlight w:val="yellow"/>
        </w:rPr>
        <w:t xml:space="preserve">s </w:t>
      </w:r>
      <w:r w:rsidR="00201BD1" w:rsidRPr="00B6286D">
        <w:rPr>
          <w:rFonts w:cs="Times New Roman"/>
          <w:szCs w:val="24"/>
          <w:highlight w:val="yellow"/>
        </w:rPr>
        <w:t>is relevant to the outcomes achieved by Islamic</w:t>
      </w:r>
      <w:r w:rsidRPr="00B6286D">
        <w:rPr>
          <w:rFonts w:cs="Times New Roman"/>
          <w:szCs w:val="24"/>
          <w:highlight w:val="yellow"/>
        </w:rPr>
        <w:t xml:space="preserve"> schools, </w:t>
      </w:r>
      <w:r w:rsidR="0054249A" w:rsidRPr="00B6286D">
        <w:rPr>
          <w:rFonts w:cs="Times New Roman"/>
          <w:szCs w:val="24"/>
          <w:highlight w:val="yellow"/>
        </w:rPr>
        <w:t>in particular, in view of the fact</w:t>
      </w:r>
      <w:r w:rsidRPr="00B6286D">
        <w:rPr>
          <w:rFonts w:cs="Times New Roman"/>
          <w:szCs w:val="24"/>
          <w:highlight w:val="yellow"/>
        </w:rPr>
        <w:t xml:space="preserve"> that most growth in the religion is driven by immi</w:t>
      </w:r>
      <w:r w:rsidR="00201BD1" w:rsidRPr="00B6286D">
        <w:rPr>
          <w:rFonts w:cs="Times New Roman"/>
          <w:szCs w:val="24"/>
          <w:highlight w:val="yellow"/>
        </w:rPr>
        <w:t>gration (ABS, 2017).</w:t>
      </w:r>
      <w:r w:rsidR="00782A6D">
        <w:rPr>
          <w:rFonts w:cs="Times New Roman"/>
          <w:szCs w:val="24"/>
          <w:highlight w:val="yellow"/>
        </w:rPr>
        <w:t xml:space="preserve"> </w:t>
      </w:r>
      <w:r w:rsidR="00201BD1" w:rsidRPr="00B6286D">
        <w:rPr>
          <w:rFonts w:cs="Times New Roman"/>
          <w:szCs w:val="24"/>
          <w:highlight w:val="yellow"/>
        </w:rPr>
        <w:t>H</w:t>
      </w:r>
      <w:r w:rsidRPr="00B6286D">
        <w:rPr>
          <w:rFonts w:cs="Times New Roman"/>
          <w:szCs w:val="24"/>
          <w:highlight w:val="yellow"/>
        </w:rPr>
        <w:t>owever</w:t>
      </w:r>
      <w:r w:rsidR="00201BD1" w:rsidRPr="00B6286D">
        <w:rPr>
          <w:rFonts w:cs="Times New Roman"/>
          <w:szCs w:val="24"/>
          <w:highlight w:val="yellow"/>
        </w:rPr>
        <w:t>, given</w:t>
      </w:r>
      <w:r w:rsidRPr="00B6286D">
        <w:rPr>
          <w:rFonts w:cs="Times New Roman"/>
          <w:szCs w:val="24"/>
          <w:highlight w:val="yellow"/>
        </w:rPr>
        <w:t xml:space="preserve"> the absence of data </w:t>
      </w:r>
      <w:r w:rsidR="00201BD1" w:rsidRPr="00B6286D">
        <w:rPr>
          <w:rFonts w:cs="Times New Roman"/>
          <w:szCs w:val="24"/>
          <w:highlight w:val="yellow"/>
        </w:rPr>
        <w:t xml:space="preserve">for this variable we can only speculate regarding </w:t>
      </w:r>
      <w:r w:rsidR="0054249A" w:rsidRPr="00B6286D">
        <w:rPr>
          <w:rFonts w:cs="Times New Roman"/>
          <w:szCs w:val="24"/>
          <w:highlight w:val="yellow"/>
        </w:rPr>
        <w:t xml:space="preserve">the explanatory power of </w:t>
      </w:r>
      <w:r w:rsidR="00201BD1" w:rsidRPr="00B6286D">
        <w:rPr>
          <w:rFonts w:cs="Times New Roman"/>
          <w:szCs w:val="24"/>
          <w:highlight w:val="yellow"/>
        </w:rPr>
        <w:t>this hypothesis</w:t>
      </w:r>
      <w:r w:rsidR="0054249A" w:rsidRPr="00B6286D">
        <w:rPr>
          <w:rFonts w:cs="Times New Roman"/>
          <w:szCs w:val="24"/>
          <w:highlight w:val="yellow"/>
        </w:rPr>
        <w:t xml:space="preserve"> at present</w:t>
      </w:r>
      <w:r w:rsidR="00201BD1" w:rsidRPr="00B6286D">
        <w:rPr>
          <w:rFonts w:cs="Times New Roman"/>
          <w:szCs w:val="24"/>
          <w:highlight w:val="yellow"/>
        </w:rPr>
        <w:t xml:space="preserve">. The diaspora hypothesis has been strongly associated with performance by Jews in the literature from </w:t>
      </w:r>
      <w:r w:rsidR="00201BD1" w:rsidRPr="00B6286D">
        <w:rPr>
          <w:rFonts w:cs="Times New Roman"/>
          <w:szCs w:val="24"/>
          <w:highlight w:val="yellow"/>
        </w:rPr>
        <w:lastRenderedPageBreak/>
        <w:t xml:space="preserve">America, but finds no support in our results, although we do reiterate that the relatively small number of Jewish schools may largely be responsible for lack of statistical significance. </w:t>
      </w:r>
      <w:r w:rsidR="00506EFE" w:rsidRPr="00B6286D">
        <w:rPr>
          <w:rFonts w:cs="Times New Roman"/>
          <w:szCs w:val="24"/>
          <w:highlight w:val="yellow"/>
        </w:rPr>
        <w:t>The r</w:t>
      </w:r>
      <w:r w:rsidR="001B32BF" w:rsidRPr="00B6286D">
        <w:rPr>
          <w:rFonts w:cs="Times New Roman"/>
          <w:szCs w:val="24"/>
          <w:highlight w:val="yellow"/>
        </w:rPr>
        <w:t>elatively high performance at Anglican schools is more difficult to explain with reference to the indirect religion hypotheses given the likelihood of religiously heterogeneous student populations</w:t>
      </w:r>
      <w:r w:rsidR="00625C9D" w:rsidRPr="00B6286D">
        <w:rPr>
          <w:rFonts w:cs="Times New Roman"/>
          <w:szCs w:val="24"/>
          <w:highlight w:val="yellow"/>
        </w:rPr>
        <w:t>.</w:t>
      </w:r>
    </w:p>
    <w:p w14:paraId="6ED28430" w14:textId="77777777" w:rsidR="00625C9D" w:rsidRDefault="00625C9D" w:rsidP="00625C9D">
      <w:pPr>
        <w:spacing w:after="0" w:line="480" w:lineRule="auto"/>
        <w:rPr>
          <w:rFonts w:cs="Times New Roman"/>
          <w:szCs w:val="24"/>
        </w:rPr>
      </w:pPr>
    </w:p>
    <w:p w14:paraId="1B7A940B" w14:textId="5FCF9A1B" w:rsidR="00B62F5F" w:rsidRDefault="0054249A" w:rsidP="00625C9D">
      <w:pPr>
        <w:spacing w:after="0" w:line="480" w:lineRule="auto"/>
        <w:rPr>
          <w:rFonts w:cs="Times New Roman"/>
          <w:szCs w:val="24"/>
        </w:rPr>
      </w:pPr>
      <w:r w:rsidRPr="00B6286D">
        <w:rPr>
          <w:rFonts w:cs="Times New Roman"/>
          <w:szCs w:val="24"/>
          <w:highlight w:val="yellow"/>
        </w:rPr>
        <w:t xml:space="preserve">The extant religion and education literature also draws attention to the direct effects of religion on attainment and it appears that there may be some cause to think it applicable for explaining education performance also. The very strong results for spelling at Islamic schools </w:t>
      </w:r>
      <w:r w:rsidR="00E6488F" w:rsidRPr="00B6286D">
        <w:rPr>
          <w:rFonts w:cs="Times New Roman"/>
          <w:szCs w:val="24"/>
          <w:highlight w:val="yellow"/>
        </w:rPr>
        <w:t>appears to provide</w:t>
      </w:r>
      <w:r w:rsidRPr="00B6286D">
        <w:rPr>
          <w:rFonts w:cs="Times New Roman"/>
          <w:szCs w:val="24"/>
          <w:highlight w:val="yellow"/>
        </w:rPr>
        <w:t xml:space="preserve"> good support for the argument that exposure to rote learning practice may have positive implications for some domains of education performance (Moore, 2012). It is also noteworthy that positive coefficients occur for all faith-based schools in the domain of writing. This may </w:t>
      </w:r>
      <w:r w:rsidR="0079063E" w:rsidRPr="00B6286D">
        <w:rPr>
          <w:rFonts w:cs="Times New Roman"/>
          <w:szCs w:val="24"/>
          <w:highlight w:val="yellow"/>
        </w:rPr>
        <w:t>point to a potential link between exposure to philosophically sophisticated material and introspection on the one hand, and the ability to write persuasively on the other although further evidence would be required to adva</w:t>
      </w:r>
      <w:r w:rsidR="00625C9D" w:rsidRPr="00B6286D">
        <w:rPr>
          <w:rFonts w:cs="Times New Roman"/>
          <w:szCs w:val="24"/>
          <w:highlight w:val="yellow"/>
        </w:rPr>
        <w:t>nce this tentative observation.</w:t>
      </w:r>
    </w:p>
    <w:p w14:paraId="3A57D7CC" w14:textId="77777777" w:rsidR="00625C9D" w:rsidRPr="00C439D8" w:rsidRDefault="00625C9D" w:rsidP="00625C9D">
      <w:pPr>
        <w:spacing w:after="0" w:line="480" w:lineRule="auto"/>
        <w:rPr>
          <w:rFonts w:cs="Times New Roman"/>
          <w:szCs w:val="24"/>
        </w:rPr>
      </w:pPr>
    </w:p>
    <w:p w14:paraId="03EF54F7" w14:textId="0DFB460D" w:rsidR="0054249A" w:rsidRDefault="00E6488F" w:rsidP="00625C9D">
      <w:pPr>
        <w:spacing w:after="0" w:line="480" w:lineRule="auto"/>
        <w:rPr>
          <w:rFonts w:cs="Times New Roman"/>
          <w:szCs w:val="24"/>
        </w:rPr>
      </w:pPr>
      <w:r w:rsidRPr="00B6286D">
        <w:rPr>
          <w:rFonts w:cs="Times New Roman"/>
          <w:szCs w:val="24"/>
          <w:highlight w:val="yellow"/>
        </w:rPr>
        <w:t>Some of the literature has stressed the importance of prior achievement as a determinant of educational outcom</w:t>
      </w:r>
      <w:r w:rsidR="001670AD" w:rsidRPr="00B6286D">
        <w:rPr>
          <w:rFonts w:cs="Times New Roman"/>
          <w:szCs w:val="24"/>
          <w:highlight w:val="yellow"/>
        </w:rPr>
        <w:t>es (</w:t>
      </w:r>
      <w:r w:rsidR="00506EFE" w:rsidRPr="00B6286D">
        <w:rPr>
          <w:rFonts w:cs="Times New Roman"/>
          <w:szCs w:val="24"/>
          <w:highlight w:val="yellow"/>
        </w:rPr>
        <w:t xml:space="preserve">e.g., </w:t>
      </w:r>
      <w:r w:rsidR="001670AD" w:rsidRPr="00B6286D">
        <w:rPr>
          <w:rFonts w:cs="Times New Roman"/>
          <w:szCs w:val="24"/>
          <w:highlight w:val="yellow"/>
        </w:rPr>
        <w:t>Marks</w:t>
      </w:r>
      <w:r w:rsidR="00856B89" w:rsidRPr="00B6286D">
        <w:rPr>
          <w:rFonts w:cs="Times New Roman"/>
          <w:szCs w:val="24"/>
          <w:highlight w:val="yellow"/>
        </w:rPr>
        <w:t>,</w:t>
      </w:r>
      <w:r w:rsidR="001670AD" w:rsidRPr="00B6286D">
        <w:rPr>
          <w:rFonts w:cs="Times New Roman"/>
          <w:szCs w:val="24"/>
          <w:highlight w:val="yellow"/>
        </w:rPr>
        <w:t xml:space="preserve"> 2015</w:t>
      </w:r>
      <w:r w:rsidRPr="00B6286D">
        <w:rPr>
          <w:rFonts w:cs="Times New Roman"/>
          <w:szCs w:val="24"/>
          <w:highlight w:val="yellow"/>
        </w:rPr>
        <w:t>). We therefore ran a separate set of regressions for Year 5 NAPLAN results in which we controlled for performance in Year 3 exams</w:t>
      </w:r>
      <w:r w:rsidR="00815C64" w:rsidRPr="00B6286D">
        <w:rPr>
          <w:rFonts w:cs="Times New Roman"/>
          <w:szCs w:val="24"/>
          <w:highlight w:val="yellow"/>
        </w:rPr>
        <w:t xml:space="preserve"> by way of a robustness check for our results. Table 4 reports the results of these regressions. In general</w:t>
      </w:r>
      <w:r w:rsidR="00506EFE" w:rsidRPr="00B6286D">
        <w:rPr>
          <w:rFonts w:cs="Times New Roman"/>
          <w:szCs w:val="24"/>
          <w:highlight w:val="yellow"/>
        </w:rPr>
        <w:t>,</w:t>
      </w:r>
      <w:r w:rsidR="00815C64" w:rsidRPr="00B6286D">
        <w:rPr>
          <w:rFonts w:cs="Times New Roman"/>
          <w:szCs w:val="24"/>
          <w:highlight w:val="yellow"/>
        </w:rPr>
        <w:t xml:space="preserve"> the coefficients for the various faith-based associations have attenuated somewhat, although some are no longer statistically significant. These results confirm that associations between faith and education outcomes are robust and therefore warrant further scholarly investigations.</w:t>
      </w:r>
    </w:p>
    <w:p w14:paraId="3BAB3DF6" w14:textId="3E417B5F" w:rsidR="00782A6D" w:rsidRDefault="00782A6D" w:rsidP="00625C9D">
      <w:pPr>
        <w:spacing w:after="0" w:line="480" w:lineRule="auto"/>
        <w:rPr>
          <w:rFonts w:cs="Times New Roman"/>
          <w:szCs w:val="24"/>
        </w:rPr>
      </w:pPr>
      <w:r>
        <w:rPr>
          <w:rFonts w:cs="Times New Roman"/>
          <w:szCs w:val="24"/>
        </w:rPr>
        <w:t>[Please insert Table 4 here]</w:t>
      </w:r>
    </w:p>
    <w:p w14:paraId="33ADDC42" w14:textId="77777777" w:rsidR="00773DF9" w:rsidRPr="00625C9D" w:rsidRDefault="00773DF9" w:rsidP="00625C9D">
      <w:pPr>
        <w:spacing w:after="0" w:line="480" w:lineRule="auto"/>
        <w:rPr>
          <w:rFonts w:cs="Times New Roman"/>
          <w:szCs w:val="24"/>
        </w:rPr>
      </w:pPr>
    </w:p>
    <w:p w14:paraId="002C7364" w14:textId="5CD8EFB8" w:rsidR="00CA15C0" w:rsidRPr="00CA15C0" w:rsidRDefault="00CA15C0" w:rsidP="00625C9D">
      <w:pPr>
        <w:tabs>
          <w:tab w:val="left" w:pos="2907"/>
        </w:tabs>
        <w:spacing w:after="0" w:line="480" w:lineRule="auto"/>
        <w:rPr>
          <w:rFonts w:cs="Times New Roman"/>
          <w:b/>
          <w:szCs w:val="24"/>
        </w:rPr>
      </w:pPr>
      <w:r w:rsidRPr="00CA15C0">
        <w:rPr>
          <w:rFonts w:cs="Times New Roman"/>
          <w:b/>
          <w:szCs w:val="24"/>
        </w:rPr>
        <w:t>CONCLUSION</w:t>
      </w:r>
    </w:p>
    <w:p w14:paraId="3ACC5B47" w14:textId="0A78E64B" w:rsidR="00815C64" w:rsidRDefault="00143DD7" w:rsidP="00625C9D">
      <w:pPr>
        <w:spacing w:after="0" w:line="480" w:lineRule="auto"/>
        <w:rPr>
          <w:rFonts w:cs="Times New Roman"/>
          <w:szCs w:val="24"/>
        </w:rPr>
      </w:pPr>
      <w:r w:rsidRPr="00B6286D">
        <w:rPr>
          <w:rFonts w:cs="Times New Roman"/>
          <w:szCs w:val="24"/>
          <w:highlight w:val="yellow"/>
        </w:rPr>
        <w:t xml:space="preserve">This paper set out to add to the nascent empirical literature on primary school educational outcomes by testing whether there were statistically significant differences between the </w:t>
      </w:r>
      <w:proofErr w:type="gramStart"/>
      <w:r w:rsidRPr="00B6286D">
        <w:rPr>
          <w:rFonts w:cs="Times New Roman"/>
          <w:szCs w:val="24"/>
          <w:highlight w:val="yellow"/>
        </w:rPr>
        <w:t>performance</w:t>
      </w:r>
      <w:proofErr w:type="gramEnd"/>
      <w:r w:rsidRPr="00B6286D">
        <w:rPr>
          <w:rFonts w:cs="Times New Roman"/>
          <w:szCs w:val="24"/>
          <w:highlight w:val="yellow"/>
        </w:rPr>
        <w:t xml:space="preserve"> of various faith-based institutions. By augmenting the ACARA database with details of the faith administering non-Catholic private </w:t>
      </w:r>
      <w:r w:rsidR="00384CD2" w:rsidRPr="00B6286D">
        <w:rPr>
          <w:rFonts w:cs="Times New Roman"/>
          <w:szCs w:val="24"/>
          <w:highlight w:val="yellow"/>
        </w:rPr>
        <w:t>schools,</w:t>
      </w:r>
      <w:r w:rsidRPr="00B6286D">
        <w:rPr>
          <w:rFonts w:cs="Times New Roman"/>
          <w:szCs w:val="24"/>
          <w:highlight w:val="yellow"/>
        </w:rPr>
        <w:t xml:space="preserve"> we were able to achieve a six-fold increase in the degree of disaggregation relative to extant work. The results of our regressions demonstrate the importance of our approach to disaggregation, given that these statistically significant and disparate associations had previously been conflated under a single category.</w:t>
      </w:r>
    </w:p>
    <w:p w14:paraId="382AE6BB" w14:textId="77777777" w:rsidR="00625C9D" w:rsidRDefault="00625C9D" w:rsidP="00625C9D">
      <w:pPr>
        <w:spacing w:after="0" w:line="480" w:lineRule="auto"/>
        <w:rPr>
          <w:rFonts w:cs="Times New Roman"/>
          <w:szCs w:val="24"/>
        </w:rPr>
      </w:pPr>
    </w:p>
    <w:p w14:paraId="77D04422" w14:textId="32D304BD" w:rsidR="00143DD7" w:rsidRDefault="00143DD7" w:rsidP="00625C9D">
      <w:pPr>
        <w:spacing w:after="0" w:line="480" w:lineRule="auto"/>
        <w:rPr>
          <w:rFonts w:cs="Times New Roman"/>
          <w:szCs w:val="24"/>
        </w:rPr>
      </w:pPr>
      <w:r w:rsidRPr="00B6286D">
        <w:rPr>
          <w:rFonts w:cs="Times New Roman"/>
          <w:szCs w:val="24"/>
          <w:highlight w:val="yellow"/>
        </w:rPr>
        <w:t xml:space="preserve">Our results are consistent with </w:t>
      </w:r>
      <w:r w:rsidR="009D50D9" w:rsidRPr="00B6286D">
        <w:rPr>
          <w:rFonts w:cs="Times New Roman"/>
          <w:szCs w:val="24"/>
          <w:highlight w:val="yellow"/>
        </w:rPr>
        <w:t xml:space="preserve">some of the </w:t>
      </w:r>
      <w:r w:rsidRPr="00B6286D">
        <w:rPr>
          <w:rFonts w:cs="Times New Roman"/>
          <w:szCs w:val="24"/>
          <w:highlight w:val="yellow"/>
        </w:rPr>
        <w:t xml:space="preserve">previous theoretical and empirical </w:t>
      </w:r>
      <w:r w:rsidR="00384CD2" w:rsidRPr="00B6286D">
        <w:rPr>
          <w:rFonts w:cs="Times New Roman"/>
          <w:szCs w:val="24"/>
          <w:highlight w:val="yellow"/>
        </w:rPr>
        <w:t>literature, which</w:t>
      </w:r>
      <w:r w:rsidRPr="00B6286D">
        <w:rPr>
          <w:rFonts w:cs="Times New Roman"/>
          <w:szCs w:val="24"/>
          <w:highlight w:val="yellow"/>
        </w:rPr>
        <w:t xml:space="preserve"> point to the importance of screening effects associated with regulation and resourcing. There were relatively strong and statistically significant associations with the index of socio-educational advantage</w:t>
      </w:r>
      <w:r w:rsidR="009D50D9" w:rsidRPr="00B6286D">
        <w:rPr>
          <w:rFonts w:cs="Times New Roman"/>
          <w:szCs w:val="24"/>
          <w:highlight w:val="yellow"/>
        </w:rPr>
        <w:t>,</w:t>
      </w:r>
      <w:r w:rsidRPr="00B6286D">
        <w:rPr>
          <w:rFonts w:cs="Times New Roman"/>
          <w:szCs w:val="24"/>
          <w:highlight w:val="yellow"/>
        </w:rPr>
        <w:t xml:space="preserve"> as might be expected</w:t>
      </w:r>
      <w:r w:rsidR="009D50D9" w:rsidRPr="00B6286D">
        <w:rPr>
          <w:rFonts w:cs="Times New Roman"/>
          <w:szCs w:val="24"/>
          <w:highlight w:val="yellow"/>
        </w:rPr>
        <w:t>,</w:t>
      </w:r>
      <w:r w:rsidRPr="00B6286D">
        <w:rPr>
          <w:rFonts w:cs="Times New Roman"/>
          <w:szCs w:val="24"/>
          <w:highlight w:val="yellow"/>
        </w:rPr>
        <w:t xml:space="preserve"> for all categories of non-public schools consistent with both demand and supply side outcomes from competition between religious and secular institutions. However, statistically significant associations with resourcing were relatively weak and </w:t>
      </w:r>
      <w:r w:rsidR="001D4A43" w:rsidRPr="00B6286D">
        <w:rPr>
          <w:rFonts w:cs="Times New Roman"/>
          <w:szCs w:val="24"/>
          <w:highlight w:val="yellow"/>
        </w:rPr>
        <w:t>only applied to two domains – reading and numeracy</w:t>
      </w:r>
      <w:r w:rsidR="009D50D9" w:rsidRPr="00B6286D">
        <w:rPr>
          <w:rFonts w:cs="Times New Roman"/>
          <w:szCs w:val="24"/>
          <w:highlight w:val="yellow"/>
        </w:rPr>
        <w:t xml:space="preserve"> – somewhat against expectations.</w:t>
      </w:r>
    </w:p>
    <w:p w14:paraId="19DA8ADC" w14:textId="77777777" w:rsidR="00625C9D" w:rsidRDefault="00625C9D" w:rsidP="00625C9D">
      <w:pPr>
        <w:spacing w:after="0" w:line="480" w:lineRule="auto"/>
        <w:rPr>
          <w:rFonts w:cs="Times New Roman"/>
          <w:szCs w:val="24"/>
        </w:rPr>
      </w:pPr>
    </w:p>
    <w:p w14:paraId="62A0D162" w14:textId="7177EAF9" w:rsidR="001D4A43" w:rsidRDefault="001D4A43" w:rsidP="00625C9D">
      <w:pPr>
        <w:spacing w:after="0" w:line="480" w:lineRule="auto"/>
        <w:rPr>
          <w:rFonts w:cs="Times New Roman"/>
          <w:szCs w:val="24"/>
        </w:rPr>
      </w:pPr>
      <w:r w:rsidRPr="00B6286D">
        <w:rPr>
          <w:rFonts w:cs="Times New Roman"/>
          <w:szCs w:val="24"/>
          <w:highlight w:val="yellow"/>
        </w:rPr>
        <w:t>The most important finding of our empirical work, however, was the persistence of differences in performance even after we controlled for an extensive array of socio-educational advantage, resourcing</w:t>
      </w:r>
      <w:r w:rsidR="00384CD2" w:rsidRPr="00B6286D">
        <w:rPr>
          <w:rFonts w:cs="Times New Roman"/>
          <w:szCs w:val="24"/>
          <w:highlight w:val="yellow"/>
        </w:rPr>
        <w:t>,</w:t>
      </w:r>
      <w:r w:rsidRPr="00B6286D">
        <w:rPr>
          <w:rFonts w:cs="Times New Roman"/>
          <w:szCs w:val="24"/>
          <w:highlight w:val="yellow"/>
        </w:rPr>
        <w:t xml:space="preserve"> and demographic factors. This suggests that some of the theories and work found in the religion </w:t>
      </w:r>
      <w:r w:rsidR="00D33E71" w:rsidRPr="00B6286D">
        <w:rPr>
          <w:rFonts w:cs="Times New Roman"/>
          <w:szCs w:val="24"/>
          <w:highlight w:val="yellow"/>
        </w:rPr>
        <w:t xml:space="preserve">and </w:t>
      </w:r>
      <w:r w:rsidRPr="00B6286D">
        <w:rPr>
          <w:rFonts w:cs="Times New Roman"/>
          <w:szCs w:val="24"/>
          <w:highlight w:val="yellow"/>
        </w:rPr>
        <w:t>education attainment lit</w:t>
      </w:r>
      <w:r w:rsidR="009D50D9" w:rsidRPr="00B6286D">
        <w:rPr>
          <w:rFonts w:cs="Times New Roman"/>
          <w:szCs w:val="24"/>
          <w:highlight w:val="yellow"/>
        </w:rPr>
        <w:t xml:space="preserve">erature may well be applicable </w:t>
      </w:r>
      <w:r w:rsidRPr="00B6286D">
        <w:rPr>
          <w:rFonts w:cs="Times New Roman"/>
          <w:szCs w:val="24"/>
          <w:highlight w:val="yellow"/>
        </w:rPr>
        <w:t xml:space="preserve">to education </w:t>
      </w:r>
      <w:r w:rsidR="00D33E71" w:rsidRPr="00B6286D">
        <w:rPr>
          <w:rFonts w:cs="Times New Roman"/>
          <w:szCs w:val="24"/>
          <w:highlight w:val="yellow"/>
        </w:rPr>
        <w:t xml:space="preserve">performance. </w:t>
      </w:r>
      <w:r w:rsidRPr="00B6286D">
        <w:rPr>
          <w:rFonts w:cs="Times New Roman"/>
          <w:szCs w:val="24"/>
          <w:highlight w:val="yellow"/>
        </w:rPr>
        <w:t xml:space="preserve">Indeed, while religion is clearly not the only driver of </w:t>
      </w:r>
      <w:r w:rsidRPr="00B6286D">
        <w:rPr>
          <w:rFonts w:cs="Times New Roman"/>
          <w:szCs w:val="24"/>
          <w:highlight w:val="yellow"/>
        </w:rPr>
        <w:lastRenderedPageBreak/>
        <w:t xml:space="preserve">differences in performance it is noted that the </w:t>
      </w:r>
      <w:proofErr w:type="gramStart"/>
      <w:r w:rsidRPr="00B6286D">
        <w:rPr>
          <w:rFonts w:cs="Times New Roman"/>
          <w:szCs w:val="24"/>
          <w:highlight w:val="yellow"/>
        </w:rPr>
        <w:t>size of the coefficients were</w:t>
      </w:r>
      <w:proofErr w:type="gramEnd"/>
      <w:r w:rsidRPr="00B6286D">
        <w:rPr>
          <w:rFonts w:cs="Times New Roman"/>
          <w:szCs w:val="24"/>
          <w:highlight w:val="yellow"/>
        </w:rPr>
        <w:t xml:space="preserve"> often substantial, including in schools where all students are known to be affiliates. </w:t>
      </w:r>
      <w:r w:rsidR="006F346B" w:rsidRPr="00B6286D">
        <w:rPr>
          <w:rFonts w:cs="Times New Roman"/>
          <w:szCs w:val="24"/>
          <w:highlight w:val="yellow"/>
        </w:rPr>
        <w:t>Our results may come as a surprise to many in the scholarly and practitioner fields, which emphasises the importance of addressing this large gap in the literature.</w:t>
      </w:r>
    </w:p>
    <w:p w14:paraId="341804AC" w14:textId="77777777" w:rsidR="00625C9D" w:rsidRDefault="00625C9D" w:rsidP="00625C9D">
      <w:pPr>
        <w:spacing w:after="0" w:line="480" w:lineRule="auto"/>
        <w:rPr>
          <w:rFonts w:cs="Times New Roman"/>
          <w:szCs w:val="24"/>
        </w:rPr>
      </w:pPr>
    </w:p>
    <w:p w14:paraId="28E622D6" w14:textId="77AD1C85" w:rsidR="00B85B19" w:rsidRDefault="001D4A43" w:rsidP="00625C9D">
      <w:pPr>
        <w:spacing w:after="0" w:line="480" w:lineRule="auto"/>
        <w:rPr>
          <w:rFonts w:cs="Times New Roman"/>
          <w:szCs w:val="24"/>
        </w:rPr>
      </w:pPr>
      <w:r w:rsidRPr="00B6286D">
        <w:rPr>
          <w:rFonts w:cs="Times New Roman"/>
          <w:szCs w:val="24"/>
          <w:highlight w:val="yellow"/>
        </w:rPr>
        <w:t xml:space="preserve">However, </w:t>
      </w:r>
      <w:r w:rsidR="00384CD2" w:rsidRPr="00B6286D">
        <w:rPr>
          <w:rFonts w:cs="Times New Roman"/>
          <w:szCs w:val="24"/>
          <w:highlight w:val="yellow"/>
        </w:rPr>
        <w:t>while</w:t>
      </w:r>
      <w:r w:rsidRPr="00B6286D">
        <w:rPr>
          <w:rFonts w:cs="Times New Roman"/>
          <w:szCs w:val="24"/>
          <w:highlight w:val="yellow"/>
        </w:rPr>
        <w:t xml:space="preserve"> </w:t>
      </w:r>
      <w:r w:rsidR="00384CD2" w:rsidRPr="00B6286D">
        <w:rPr>
          <w:rFonts w:cs="Times New Roman"/>
          <w:szCs w:val="24"/>
          <w:highlight w:val="yellow"/>
        </w:rPr>
        <w:t>these</w:t>
      </w:r>
      <w:r w:rsidRPr="00B6286D">
        <w:rPr>
          <w:rFonts w:cs="Times New Roman"/>
          <w:szCs w:val="24"/>
          <w:highlight w:val="yellow"/>
        </w:rPr>
        <w:t xml:space="preserve"> finding</w:t>
      </w:r>
      <w:r w:rsidR="00384CD2" w:rsidRPr="00B6286D">
        <w:rPr>
          <w:rFonts w:cs="Times New Roman"/>
          <w:szCs w:val="24"/>
          <w:highlight w:val="yellow"/>
        </w:rPr>
        <w:t>s</w:t>
      </w:r>
      <w:r w:rsidRPr="00B6286D">
        <w:rPr>
          <w:rFonts w:cs="Times New Roman"/>
          <w:szCs w:val="24"/>
          <w:highlight w:val="yellow"/>
        </w:rPr>
        <w:t xml:space="preserve"> break new ground there is still much work to be done before scholars can fully appreciate the association between the faith-base of institutions and performance in standardised examinations. Data on the religiosity of students and their parents, along with details of the proportion of time typically spent in school on religious instruction would better clarify </w:t>
      </w:r>
      <w:r w:rsidR="00C4319D" w:rsidRPr="00B6286D">
        <w:rPr>
          <w:rFonts w:cs="Times New Roman"/>
          <w:szCs w:val="24"/>
          <w:highlight w:val="yellow"/>
        </w:rPr>
        <w:t xml:space="preserve">how much of the observed effect can be ascribed to screening and how much </w:t>
      </w:r>
      <w:proofErr w:type="gramStart"/>
      <w:r w:rsidR="00782A6D">
        <w:rPr>
          <w:rFonts w:cs="Times New Roman"/>
          <w:szCs w:val="24"/>
          <w:highlight w:val="yellow"/>
        </w:rPr>
        <w:t>to</w:t>
      </w:r>
      <w:proofErr w:type="gramEnd"/>
      <w:r w:rsidR="00C4319D" w:rsidRPr="00B6286D">
        <w:rPr>
          <w:rFonts w:cs="Times New Roman"/>
          <w:szCs w:val="24"/>
          <w:highlight w:val="yellow"/>
        </w:rPr>
        <w:t xml:space="preserve"> religious practice. In similar vein, comparative studies of the religiosity, attitudes and commitment of teaching staff at religious schools would clarify how much, if any, of the difference in performance is related to the quality of instruction and pastoral care (although studies from abroad cast doubt on teacher quality explanations</w:t>
      </w:r>
      <w:r w:rsidR="00384CD2" w:rsidRPr="00B6286D">
        <w:rPr>
          <w:rFonts w:cs="Times New Roman"/>
          <w:szCs w:val="24"/>
          <w:highlight w:val="yellow"/>
        </w:rPr>
        <w:t>) (</w:t>
      </w:r>
      <w:r w:rsidR="00C4319D" w:rsidRPr="00B6286D">
        <w:rPr>
          <w:rFonts w:cs="Times New Roman"/>
          <w:szCs w:val="24"/>
          <w:highlight w:val="yellow"/>
        </w:rPr>
        <w:t>Davies and Davies, 2014</w:t>
      </w:r>
      <w:r w:rsidR="002E717C" w:rsidRPr="00B6286D">
        <w:rPr>
          <w:rFonts w:cs="Times New Roman"/>
          <w:szCs w:val="24"/>
          <w:highlight w:val="yellow"/>
        </w:rPr>
        <w:t>; Rothstein, 2010</w:t>
      </w:r>
      <w:r w:rsidR="00C4319D" w:rsidRPr="00B6286D">
        <w:rPr>
          <w:rFonts w:cs="Times New Roman"/>
          <w:szCs w:val="24"/>
          <w:highlight w:val="yellow"/>
        </w:rPr>
        <w:t>).</w:t>
      </w:r>
      <w:r w:rsidR="002E717C" w:rsidRPr="00B6286D">
        <w:rPr>
          <w:rFonts w:cs="Times New Roman"/>
          <w:szCs w:val="24"/>
          <w:highlight w:val="yellow"/>
        </w:rPr>
        <w:t xml:space="preserve"> Qualitative work based on interviews would also allow scholars to better appreciate how values and beliefs affect demand-side religious-secular competition</w:t>
      </w:r>
      <w:r w:rsidR="00384CD2" w:rsidRPr="00B6286D">
        <w:rPr>
          <w:rFonts w:cs="Times New Roman"/>
          <w:szCs w:val="24"/>
          <w:highlight w:val="yellow"/>
        </w:rPr>
        <w:t>. T</w:t>
      </w:r>
      <w:r w:rsidR="002E717C" w:rsidRPr="00B6286D">
        <w:rPr>
          <w:rFonts w:cs="Times New Roman"/>
          <w:szCs w:val="24"/>
          <w:highlight w:val="yellow"/>
        </w:rPr>
        <w:t>his is clearly required before definitive conclusions about the association between the faith-base of schoo</w:t>
      </w:r>
      <w:r w:rsidR="00625C9D" w:rsidRPr="00B6286D">
        <w:rPr>
          <w:rFonts w:cs="Times New Roman"/>
          <w:szCs w:val="24"/>
          <w:highlight w:val="yellow"/>
        </w:rPr>
        <w:t>ls and achievement can be made.</w:t>
      </w:r>
    </w:p>
    <w:p w14:paraId="4AD3A69B" w14:textId="77777777" w:rsidR="00625C9D" w:rsidRDefault="00625C9D" w:rsidP="00625C9D">
      <w:pPr>
        <w:spacing w:after="0" w:line="480" w:lineRule="auto"/>
        <w:rPr>
          <w:rFonts w:cs="Times New Roman"/>
          <w:szCs w:val="24"/>
        </w:rPr>
      </w:pPr>
    </w:p>
    <w:p w14:paraId="7DA59D8C" w14:textId="4DA76376" w:rsidR="00AF3470" w:rsidRDefault="005B6EE2" w:rsidP="00625C9D">
      <w:pPr>
        <w:spacing w:after="0" w:line="480" w:lineRule="auto"/>
        <w:rPr>
          <w:rFonts w:cs="Times New Roman"/>
          <w:szCs w:val="24"/>
        </w:rPr>
      </w:pPr>
      <w:r w:rsidRPr="00B6286D">
        <w:rPr>
          <w:rFonts w:cs="Times New Roman"/>
          <w:szCs w:val="24"/>
          <w:highlight w:val="yellow"/>
        </w:rPr>
        <w:t>One of the major limitations of this study – and indeed most studies – is lack of sui</w:t>
      </w:r>
      <w:r w:rsidR="00384CD2" w:rsidRPr="00B6286D">
        <w:rPr>
          <w:rFonts w:cs="Times New Roman"/>
          <w:szCs w:val="24"/>
          <w:highlight w:val="yellow"/>
        </w:rPr>
        <w:t>table data. For instance, while</w:t>
      </w:r>
      <w:r w:rsidRPr="00B6286D">
        <w:rPr>
          <w:rFonts w:cs="Times New Roman"/>
          <w:szCs w:val="24"/>
          <w:highlight w:val="yellow"/>
        </w:rPr>
        <w:t xml:space="preserve"> the index of community socio-educational advantage allowed us to control for many of the variables noted in the literature it would have been much more helpful to have disaggregated data on parent</w:t>
      </w:r>
      <w:r w:rsidR="00B42456" w:rsidRPr="00B6286D">
        <w:rPr>
          <w:rFonts w:cs="Times New Roman"/>
          <w:szCs w:val="24"/>
          <w:highlight w:val="yellow"/>
        </w:rPr>
        <w:t>al</w:t>
      </w:r>
      <w:r w:rsidRPr="00B6286D">
        <w:rPr>
          <w:rFonts w:cs="Times New Roman"/>
          <w:szCs w:val="24"/>
          <w:highlight w:val="yellow"/>
        </w:rPr>
        <w:t xml:space="preserve"> income</w:t>
      </w:r>
      <w:r w:rsidR="00B42456" w:rsidRPr="00B6286D">
        <w:rPr>
          <w:rFonts w:cs="Times New Roman"/>
          <w:szCs w:val="24"/>
          <w:highlight w:val="yellow"/>
        </w:rPr>
        <w:t xml:space="preserve"> and</w:t>
      </w:r>
      <w:r w:rsidRPr="00B6286D">
        <w:rPr>
          <w:rFonts w:cs="Times New Roman"/>
          <w:szCs w:val="24"/>
          <w:highlight w:val="yellow"/>
        </w:rPr>
        <w:t xml:space="preserve"> education</w:t>
      </w:r>
      <w:r w:rsidR="009D50D9" w:rsidRPr="00B6286D">
        <w:rPr>
          <w:rFonts w:cs="Times New Roman"/>
          <w:szCs w:val="24"/>
          <w:highlight w:val="yellow"/>
        </w:rPr>
        <w:t xml:space="preserve"> so that we could more precisely identify determinants</w:t>
      </w:r>
      <w:r w:rsidRPr="00B6286D">
        <w:rPr>
          <w:rFonts w:cs="Times New Roman"/>
          <w:szCs w:val="24"/>
          <w:highlight w:val="yellow"/>
        </w:rPr>
        <w:t xml:space="preserve">. </w:t>
      </w:r>
      <w:r w:rsidR="00B000F8" w:rsidRPr="00B6286D">
        <w:rPr>
          <w:rFonts w:cs="Times New Roman"/>
          <w:szCs w:val="24"/>
          <w:highlight w:val="yellow"/>
        </w:rPr>
        <w:t xml:space="preserve">If additional and consistent data sources could be found </w:t>
      </w:r>
      <w:r w:rsidR="00B42456" w:rsidRPr="00B6286D">
        <w:rPr>
          <w:rFonts w:cs="Times New Roman"/>
          <w:szCs w:val="24"/>
          <w:highlight w:val="yellow"/>
        </w:rPr>
        <w:t xml:space="preserve">and </w:t>
      </w:r>
      <w:r w:rsidR="00B000F8" w:rsidRPr="00B6286D">
        <w:rPr>
          <w:rFonts w:cs="Times New Roman"/>
          <w:szCs w:val="24"/>
          <w:highlight w:val="yellow"/>
        </w:rPr>
        <w:t xml:space="preserve">combined with ACARA data, without breeching the strict terms of the deed of licence, then </w:t>
      </w:r>
      <w:r w:rsidR="00B000F8" w:rsidRPr="00B6286D">
        <w:rPr>
          <w:rFonts w:cs="Times New Roman"/>
          <w:szCs w:val="24"/>
          <w:highlight w:val="yellow"/>
        </w:rPr>
        <w:lastRenderedPageBreak/>
        <w:t>some of the</w:t>
      </w:r>
      <w:r w:rsidR="009D50D9" w:rsidRPr="00B6286D">
        <w:rPr>
          <w:rFonts w:cs="Times New Roman"/>
          <w:szCs w:val="24"/>
          <w:highlight w:val="yellow"/>
        </w:rPr>
        <w:t>se</w:t>
      </w:r>
      <w:r w:rsidR="00B000F8" w:rsidRPr="00B6286D">
        <w:rPr>
          <w:rFonts w:cs="Times New Roman"/>
          <w:szCs w:val="24"/>
          <w:highlight w:val="yellow"/>
        </w:rPr>
        <w:t xml:space="preserve"> limitations could be mitigated. </w:t>
      </w:r>
      <w:r w:rsidRPr="00B6286D">
        <w:rPr>
          <w:rFonts w:cs="Times New Roman"/>
          <w:szCs w:val="24"/>
          <w:highlight w:val="yellow"/>
        </w:rPr>
        <w:t xml:space="preserve">Another limitation is the amount of heterogeneity that still exists within our categories, notwithstanding the fact that our approach was a six-fold improvement on previous work. It might be that there are differences in approaches taken by different dioceses or </w:t>
      </w:r>
      <w:r w:rsidR="00B42456" w:rsidRPr="00B6286D">
        <w:rPr>
          <w:rFonts w:cs="Times New Roman"/>
          <w:szCs w:val="24"/>
          <w:highlight w:val="yellow"/>
        </w:rPr>
        <w:t>various denominations (O</w:t>
      </w:r>
      <w:r w:rsidR="00B000F8" w:rsidRPr="00B6286D">
        <w:rPr>
          <w:rFonts w:cs="Times New Roman"/>
          <w:szCs w:val="24"/>
          <w:highlight w:val="yellow"/>
        </w:rPr>
        <w:t xml:space="preserve">rthodox versus </w:t>
      </w:r>
      <w:r w:rsidR="00B42456" w:rsidRPr="00B6286D">
        <w:rPr>
          <w:rFonts w:cs="Times New Roman"/>
          <w:szCs w:val="24"/>
          <w:highlight w:val="yellow"/>
        </w:rPr>
        <w:t>R</w:t>
      </w:r>
      <w:r w:rsidR="00B000F8" w:rsidRPr="00B6286D">
        <w:rPr>
          <w:rFonts w:cs="Times New Roman"/>
          <w:szCs w:val="24"/>
          <w:highlight w:val="yellow"/>
        </w:rPr>
        <w:t xml:space="preserve">eform Judaism for instance) and future work might profitably introduce additional categories to improve heterogeneity (although this may well come at the expense of the efficiency of the </w:t>
      </w:r>
      <w:r w:rsidR="009D50D9" w:rsidRPr="00B6286D">
        <w:rPr>
          <w:rFonts w:cs="Times New Roman"/>
          <w:szCs w:val="24"/>
          <w:highlight w:val="yellow"/>
        </w:rPr>
        <w:t xml:space="preserve">regression </w:t>
      </w:r>
      <w:r w:rsidR="00B000F8" w:rsidRPr="00B6286D">
        <w:rPr>
          <w:rFonts w:cs="Times New Roman"/>
          <w:szCs w:val="24"/>
          <w:highlight w:val="yellow"/>
        </w:rPr>
        <w:t>model).</w:t>
      </w:r>
    </w:p>
    <w:p w14:paraId="18542D74" w14:textId="77777777" w:rsidR="00625C9D" w:rsidRDefault="00625C9D" w:rsidP="00625C9D">
      <w:pPr>
        <w:spacing w:after="0" w:line="480" w:lineRule="auto"/>
        <w:rPr>
          <w:rFonts w:cs="Times New Roman"/>
          <w:szCs w:val="24"/>
        </w:rPr>
      </w:pPr>
    </w:p>
    <w:p w14:paraId="68329B3F" w14:textId="5707D81C" w:rsidR="005B6EE2" w:rsidRDefault="005B6EE2" w:rsidP="00625C9D">
      <w:pPr>
        <w:spacing w:after="0" w:line="480" w:lineRule="auto"/>
        <w:rPr>
          <w:rFonts w:cs="Times New Roman"/>
          <w:szCs w:val="24"/>
        </w:rPr>
      </w:pPr>
      <w:r w:rsidRPr="00B6286D">
        <w:rPr>
          <w:rFonts w:cs="Times New Roman"/>
          <w:szCs w:val="24"/>
          <w:highlight w:val="yellow"/>
        </w:rPr>
        <w:t>It must be born in mind that regression analysis aims to identify mean, or typical, responses. This is consistent with the meso-level aggregate approach underlying the religious-secular competition theory that eschews idiosyncratic responses of individuals and</w:t>
      </w:r>
      <w:r w:rsidR="009D50D9" w:rsidRPr="00B6286D">
        <w:rPr>
          <w:rFonts w:cs="Times New Roman"/>
          <w:szCs w:val="24"/>
          <w:highlight w:val="yellow"/>
        </w:rPr>
        <w:t>,</w:t>
      </w:r>
      <w:r w:rsidRPr="00B6286D">
        <w:rPr>
          <w:rFonts w:cs="Times New Roman"/>
          <w:szCs w:val="24"/>
          <w:highlight w:val="yellow"/>
        </w:rPr>
        <w:t xml:space="preserve"> in this case</w:t>
      </w:r>
      <w:r w:rsidR="009D50D9" w:rsidRPr="00B6286D">
        <w:rPr>
          <w:rFonts w:cs="Times New Roman"/>
          <w:szCs w:val="24"/>
          <w:highlight w:val="yellow"/>
        </w:rPr>
        <w:t>,</w:t>
      </w:r>
      <w:r w:rsidRPr="00B6286D">
        <w:rPr>
          <w:rFonts w:cs="Times New Roman"/>
          <w:szCs w:val="24"/>
          <w:highlight w:val="yellow"/>
        </w:rPr>
        <w:t xml:space="preserve"> individual schools. </w:t>
      </w:r>
      <w:r w:rsidR="00B000F8" w:rsidRPr="00B6286D">
        <w:rPr>
          <w:rFonts w:cs="Times New Roman"/>
          <w:szCs w:val="24"/>
          <w:highlight w:val="yellow"/>
        </w:rPr>
        <w:t>However, when formulating public policy it may be important to also look at specific cases in more detail (matching like for like schools and augmenting empirical analyses with qualitative approaches), rather than just the typical case.</w:t>
      </w:r>
    </w:p>
    <w:p w14:paraId="62FA84FC" w14:textId="77777777" w:rsidR="00625C9D" w:rsidRPr="005B6EE2" w:rsidRDefault="00625C9D" w:rsidP="00625C9D">
      <w:pPr>
        <w:spacing w:after="0" w:line="480" w:lineRule="auto"/>
        <w:rPr>
          <w:rFonts w:cs="Times New Roman"/>
          <w:szCs w:val="24"/>
        </w:rPr>
      </w:pPr>
    </w:p>
    <w:p w14:paraId="7545A5E5" w14:textId="2A01B757" w:rsidR="004655FD" w:rsidRDefault="00905E7D" w:rsidP="00625C9D">
      <w:pPr>
        <w:spacing w:after="0" w:line="480" w:lineRule="auto"/>
        <w:rPr>
          <w:rFonts w:cs="Times New Roman"/>
          <w:szCs w:val="24"/>
        </w:rPr>
      </w:pPr>
      <w:r w:rsidRPr="00B000F8">
        <w:rPr>
          <w:rFonts w:cs="Times New Roman"/>
          <w:szCs w:val="24"/>
        </w:rPr>
        <w:t>Indeed</w:t>
      </w:r>
      <w:r w:rsidR="00A077DD" w:rsidRPr="00B000F8">
        <w:rPr>
          <w:rFonts w:cs="Times New Roman"/>
          <w:szCs w:val="24"/>
        </w:rPr>
        <w:t>,</w:t>
      </w:r>
      <w:r w:rsidRPr="00B000F8">
        <w:rPr>
          <w:rFonts w:cs="Times New Roman"/>
          <w:szCs w:val="24"/>
        </w:rPr>
        <w:t xml:space="preserve"> our study </w:t>
      </w:r>
      <w:r w:rsidR="00B000F8" w:rsidRPr="00B6286D">
        <w:rPr>
          <w:rFonts w:cs="Times New Roman"/>
          <w:szCs w:val="24"/>
          <w:highlight w:val="yellow"/>
        </w:rPr>
        <w:t>might have</w:t>
      </w:r>
      <w:r w:rsidRPr="00B000F8">
        <w:rPr>
          <w:rFonts w:cs="Times New Roman"/>
          <w:szCs w:val="24"/>
        </w:rPr>
        <w:t xml:space="preserve"> weighty implications for the </w:t>
      </w:r>
      <w:r w:rsidR="00A077DD" w:rsidRPr="00B000F8">
        <w:rPr>
          <w:rFonts w:cs="Times New Roman"/>
          <w:szCs w:val="24"/>
        </w:rPr>
        <w:t>‘</w:t>
      </w:r>
      <w:r w:rsidRPr="00B000F8">
        <w:rPr>
          <w:rFonts w:cs="Times New Roman"/>
          <w:szCs w:val="24"/>
        </w:rPr>
        <w:t>education funding wars</w:t>
      </w:r>
      <w:r w:rsidR="00A077DD" w:rsidRPr="00B000F8">
        <w:rPr>
          <w:rFonts w:cs="Times New Roman"/>
          <w:szCs w:val="24"/>
        </w:rPr>
        <w:t>’</w:t>
      </w:r>
      <w:r w:rsidRPr="00B000F8">
        <w:rPr>
          <w:rFonts w:cs="Times New Roman"/>
          <w:szCs w:val="24"/>
        </w:rPr>
        <w:t xml:space="preserve"> currently being fought according to faith-based lines in Australia</w:t>
      </w:r>
      <w:r w:rsidR="00B000F8" w:rsidRPr="00C439D8">
        <w:rPr>
          <w:rFonts w:cs="Times New Roman"/>
          <w:szCs w:val="24"/>
        </w:rPr>
        <w:t xml:space="preserve"> (</w:t>
      </w:r>
      <w:r w:rsidR="00B000F8" w:rsidRPr="00B6286D">
        <w:rPr>
          <w:rFonts w:cs="Times New Roman"/>
          <w:szCs w:val="24"/>
          <w:highlight w:val="yellow"/>
        </w:rPr>
        <w:t>Drew and Fahey, 2017</w:t>
      </w:r>
      <w:r w:rsidR="00B000F8" w:rsidRPr="00C439D8">
        <w:rPr>
          <w:rFonts w:cs="Times New Roman"/>
          <w:szCs w:val="24"/>
        </w:rPr>
        <w:t>)</w:t>
      </w:r>
      <w:r w:rsidRPr="00856B89">
        <w:rPr>
          <w:rFonts w:cs="Times New Roman"/>
          <w:szCs w:val="24"/>
        </w:rPr>
        <w:t xml:space="preserve">. For instance, a case could be made against </w:t>
      </w:r>
      <w:r w:rsidRPr="00B000F8">
        <w:rPr>
          <w:rFonts w:cs="Times New Roman"/>
          <w:szCs w:val="24"/>
        </w:rPr>
        <w:t xml:space="preserve">the </w:t>
      </w:r>
      <w:r w:rsidR="00A077DD" w:rsidRPr="00B000F8">
        <w:rPr>
          <w:rFonts w:cs="Times New Roman"/>
          <w:szCs w:val="24"/>
        </w:rPr>
        <w:t>(</w:t>
      </w:r>
      <w:r w:rsidRPr="00B000F8">
        <w:rPr>
          <w:rFonts w:cs="Times New Roman"/>
          <w:szCs w:val="24"/>
        </w:rPr>
        <w:t>past</w:t>
      </w:r>
      <w:r w:rsidR="00A077DD" w:rsidRPr="00B000F8">
        <w:rPr>
          <w:rFonts w:cs="Times New Roman"/>
          <w:szCs w:val="24"/>
        </w:rPr>
        <w:t>)</w:t>
      </w:r>
      <w:r w:rsidRPr="00B000F8">
        <w:rPr>
          <w:rFonts w:cs="Times New Roman"/>
          <w:szCs w:val="24"/>
        </w:rPr>
        <w:t xml:space="preserve"> generous </w:t>
      </w:r>
      <w:r w:rsidR="009D50D9" w:rsidRPr="00B6286D">
        <w:rPr>
          <w:rFonts w:cs="Times New Roman"/>
          <w:szCs w:val="24"/>
          <w:highlight w:val="yellow"/>
        </w:rPr>
        <w:t>government</w:t>
      </w:r>
      <w:r w:rsidR="009D50D9">
        <w:rPr>
          <w:rFonts w:cs="Times New Roman"/>
          <w:szCs w:val="24"/>
        </w:rPr>
        <w:t xml:space="preserve"> </w:t>
      </w:r>
      <w:r w:rsidRPr="00856B89">
        <w:rPr>
          <w:rFonts w:cs="Times New Roman"/>
          <w:szCs w:val="24"/>
        </w:rPr>
        <w:t>funding for Catholic schools an</w:t>
      </w:r>
      <w:r w:rsidR="00F3327C" w:rsidRPr="00B000F8">
        <w:rPr>
          <w:rFonts w:cs="Times New Roman"/>
          <w:szCs w:val="24"/>
        </w:rPr>
        <w:t>d the recent commitment by the F</w:t>
      </w:r>
      <w:r w:rsidRPr="00B000F8">
        <w:rPr>
          <w:rFonts w:cs="Times New Roman"/>
          <w:szCs w:val="24"/>
        </w:rPr>
        <w:t xml:space="preserve">ederal government to keep special arrangements for Catholic schools in place for a further twelve months as </w:t>
      </w:r>
      <w:r w:rsidR="00761DC8" w:rsidRPr="00B000F8">
        <w:rPr>
          <w:rFonts w:cs="Times New Roman"/>
          <w:szCs w:val="24"/>
        </w:rPr>
        <w:t>they</w:t>
      </w:r>
      <w:r w:rsidRPr="00B000F8">
        <w:rPr>
          <w:rFonts w:cs="Times New Roman"/>
          <w:szCs w:val="24"/>
        </w:rPr>
        <w:t xml:space="preserve"> transition to </w:t>
      </w:r>
      <w:r w:rsidR="00CC2AF3" w:rsidRPr="00B000F8">
        <w:rPr>
          <w:rFonts w:cs="Times New Roman"/>
          <w:szCs w:val="24"/>
        </w:rPr>
        <w:t xml:space="preserve">putatively </w:t>
      </w:r>
      <w:r w:rsidRPr="00B000F8">
        <w:rPr>
          <w:rFonts w:cs="Times New Roman"/>
          <w:szCs w:val="24"/>
        </w:rPr>
        <w:t>more equi</w:t>
      </w:r>
      <w:r w:rsidR="00782A6D">
        <w:rPr>
          <w:rFonts w:cs="Times New Roman"/>
          <w:szCs w:val="24"/>
        </w:rPr>
        <w:t>table</w:t>
      </w:r>
      <w:r w:rsidRPr="00B000F8">
        <w:rPr>
          <w:rFonts w:cs="Times New Roman"/>
          <w:szCs w:val="24"/>
        </w:rPr>
        <w:t xml:space="preserve"> arrangements (SBS, 2017).</w:t>
      </w:r>
      <w:r w:rsidR="00B87FA0" w:rsidRPr="00B000F8">
        <w:rPr>
          <w:rFonts w:cs="Times New Roman"/>
          <w:szCs w:val="24"/>
        </w:rPr>
        <w:t xml:space="preserve"> Otherwise stated</w:t>
      </w:r>
      <w:r w:rsidR="00A077DD" w:rsidRPr="00B000F8">
        <w:rPr>
          <w:rFonts w:cs="Times New Roman"/>
          <w:szCs w:val="24"/>
        </w:rPr>
        <w:t>,</w:t>
      </w:r>
      <w:r w:rsidR="00B87FA0" w:rsidRPr="00B000F8">
        <w:rPr>
          <w:rFonts w:cs="Times New Roman"/>
          <w:szCs w:val="24"/>
        </w:rPr>
        <w:t xml:space="preserve"> the taxpayer </w:t>
      </w:r>
      <w:r w:rsidR="00012B59" w:rsidRPr="00B000F8">
        <w:rPr>
          <w:rFonts w:cs="Times New Roman"/>
          <w:i/>
          <w:szCs w:val="24"/>
        </w:rPr>
        <w:t>prima facie</w:t>
      </w:r>
      <w:r w:rsidR="00012B59" w:rsidRPr="00B000F8">
        <w:rPr>
          <w:rFonts w:cs="Times New Roman"/>
          <w:szCs w:val="24"/>
        </w:rPr>
        <w:t xml:space="preserve"> may not</w:t>
      </w:r>
      <w:r w:rsidR="00B87FA0" w:rsidRPr="00B000F8">
        <w:rPr>
          <w:rFonts w:cs="Times New Roman"/>
          <w:szCs w:val="24"/>
        </w:rPr>
        <w:t xml:space="preserve"> be getting </w:t>
      </w:r>
      <w:r w:rsidR="007B02F1" w:rsidRPr="00B000F8">
        <w:rPr>
          <w:rFonts w:cs="Times New Roman"/>
          <w:szCs w:val="24"/>
        </w:rPr>
        <w:t>the biggest ‘</w:t>
      </w:r>
      <w:r w:rsidR="00B87FA0" w:rsidRPr="00B000F8">
        <w:rPr>
          <w:rFonts w:cs="Times New Roman"/>
          <w:szCs w:val="24"/>
        </w:rPr>
        <w:t>bang-for-their-buck</w:t>
      </w:r>
      <w:r w:rsidR="007B02F1" w:rsidRPr="00B000F8">
        <w:rPr>
          <w:rFonts w:cs="Times New Roman"/>
          <w:szCs w:val="24"/>
        </w:rPr>
        <w:t>’</w:t>
      </w:r>
      <w:r w:rsidR="00B87FA0" w:rsidRPr="00B000F8">
        <w:rPr>
          <w:rFonts w:cs="Times New Roman"/>
          <w:szCs w:val="24"/>
        </w:rPr>
        <w:t xml:space="preserve"> with respect to NAPLAN outcomes for this cohort</w:t>
      </w:r>
      <w:r w:rsidR="00012B59" w:rsidRPr="00B000F8">
        <w:rPr>
          <w:rFonts w:cs="Times New Roman"/>
          <w:szCs w:val="24"/>
        </w:rPr>
        <w:t xml:space="preserve"> although we note that a contrary argument is sometimes raised that poorly performing units should receive extra funding</w:t>
      </w:r>
      <w:r w:rsidR="00B162CB">
        <w:rPr>
          <w:rFonts w:cs="Times New Roman"/>
          <w:szCs w:val="24"/>
        </w:rPr>
        <w:t>.</w:t>
      </w:r>
      <w:r w:rsidR="00CC2AF3" w:rsidRPr="00B000F8">
        <w:rPr>
          <w:rFonts w:cs="Times New Roman"/>
          <w:szCs w:val="24"/>
        </w:rPr>
        <w:t xml:space="preserve"> </w:t>
      </w:r>
      <w:r w:rsidR="00B162CB">
        <w:rPr>
          <w:rFonts w:cs="Times New Roman"/>
          <w:szCs w:val="24"/>
        </w:rPr>
        <w:t>T</w:t>
      </w:r>
      <w:r w:rsidR="00012B59" w:rsidRPr="00B000F8">
        <w:rPr>
          <w:rFonts w:cs="Times New Roman"/>
          <w:szCs w:val="24"/>
        </w:rPr>
        <w:t>his contention may be tested in the future via a natural experiment when funding levels for Catholic schools are reduced as part of Gonski 2.0</w:t>
      </w:r>
      <w:r w:rsidR="00B87FA0" w:rsidRPr="00B000F8">
        <w:rPr>
          <w:rFonts w:cs="Times New Roman"/>
          <w:szCs w:val="24"/>
        </w:rPr>
        <w:t>.</w:t>
      </w:r>
      <w:r w:rsidR="00B6286D">
        <w:rPr>
          <w:rFonts w:cs="Times New Roman"/>
          <w:szCs w:val="24"/>
        </w:rPr>
        <w:t xml:space="preserve"> </w:t>
      </w:r>
      <w:r w:rsidR="00A077DD" w:rsidRPr="00B000F8">
        <w:rPr>
          <w:rFonts w:cs="Times New Roman"/>
          <w:szCs w:val="24"/>
        </w:rPr>
        <w:lastRenderedPageBreak/>
        <w:t>Moreover</w:t>
      </w:r>
      <w:r w:rsidR="00B87FA0" w:rsidRPr="00B000F8">
        <w:rPr>
          <w:rFonts w:cs="Times New Roman"/>
          <w:szCs w:val="24"/>
        </w:rPr>
        <w:t xml:space="preserve">, </w:t>
      </w:r>
      <w:r w:rsidR="009D50D9" w:rsidRPr="00B6286D">
        <w:rPr>
          <w:rFonts w:cs="Times New Roman"/>
          <w:szCs w:val="24"/>
          <w:highlight w:val="yellow"/>
        </w:rPr>
        <w:t>if further</w:t>
      </w:r>
      <w:r w:rsidR="009D50D9" w:rsidRPr="00856B89">
        <w:rPr>
          <w:rFonts w:cs="Times New Roman"/>
          <w:szCs w:val="24"/>
        </w:rPr>
        <w:t xml:space="preserve"> </w:t>
      </w:r>
      <w:r w:rsidR="00B87FA0" w:rsidRPr="00B000F8">
        <w:rPr>
          <w:rFonts w:cs="Times New Roman"/>
          <w:szCs w:val="24"/>
        </w:rPr>
        <w:t xml:space="preserve">evidence </w:t>
      </w:r>
      <w:r w:rsidR="009D50D9" w:rsidRPr="00B6286D">
        <w:rPr>
          <w:rFonts w:cs="Times New Roman"/>
          <w:szCs w:val="24"/>
          <w:highlight w:val="yellow"/>
        </w:rPr>
        <w:t>is forthcoming</w:t>
      </w:r>
      <w:r w:rsidR="009D50D9">
        <w:rPr>
          <w:rFonts w:cs="Times New Roman"/>
          <w:szCs w:val="24"/>
        </w:rPr>
        <w:t xml:space="preserve"> </w:t>
      </w:r>
      <w:r w:rsidR="00B87FA0" w:rsidRPr="00856B89">
        <w:rPr>
          <w:rFonts w:cs="Times New Roman"/>
          <w:szCs w:val="24"/>
        </w:rPr>
        <w:t xml:space="preserve">that supports the </w:t>
      </w:r>
      <w:r w:rsidR="00777653">
        <w:rPr>
          <w:rFonts w:cs="Times New Roman"/>
          <w:szCs w:val="24"/>
        </w:rPr>
        <w:t>q</w:t>
      </w:r>
      <w:r w:rsidR="00B87FA0" w:rsidRPr="00B000F8">
        <w:rPr>
          <w:rFonts w:cs="Times New Roman"/>
          <w:szCs w:val="24"/>
        </w:rPr>
        <w:t xml:space="preserve">uantity-quality </w:t>
      </w:r>
      <w:r w:rsidR="00A077DD" w:rsidRPr="00B000F8">
        <w:rPr>
          <w:rFonts w:cs="Times New Roman"/>
          <w:szCs w:val="24"/>
        </w:rPr>
        <w:t>hypothesis</w:t>
      </w:r>
      <w:r w:rsidR="00B87FA0" w:rsidRPr="00B000F8">
        <w:rPr>
          <w:rFonts w:cs="Times New Roman"/>
          <w:szCs w:val="24"/>
        </w:rPr>
        <w:t xml:space="preserve"> </w:t>
      </w:r>
      <w:r w:rsidR="009D50D9" w:rsidRPr="00B6286D">
        <w:rPr>
          <w:rFonts w:cs="Times New Roman"/>
          <w:szCs w:val="24"/>
          <w:highlight w:val="yellow"/>
        </w:rPr>
        <w:t>then thi</w:t>
      </w:r>
      <w:r w:rsidR="009D50D9">
        <w:rPr>
          <w:rFonts w:cs="Times New Roman"/>
          <w:szCs w:val="24"/>
        </w:rPr>
        <w:t xml:space="preserve">s </w:t>
      </w:r>
      <w:r w:rsidR="00B87FA0" w:rsidRPr="00856B89">
        <w:rPr>
          <w:rFonts w:cs="Times New Roman"/>
          <w:szCs w:val="24"/>
        </w:rPr>
        <w:t>might suggest a need for a</w:t>
      </w:r>
      <w:r w:rsidR="00B87FA0" w:rsidRPr="00B000F8">
        <w:rPr>
          <w:rFonts w:cs="Times New Roman"/>
          <w:szCs w:val="24"/>
        </w:rPr>
        <w:t xml:space="preserve">dditional early education </w:t>
      </w:r>
      <w:r w:rsidR="009D50D9">
        <w:rPr>
          <w:rFonts w:cs="Times New Roman"/>
          <w:szCs w:val="24"/>
        </w:rPr>
        <w:t>or</w:t>
      </w:r>
      <w:r w:rsidR="00B87FA0" w:rsidRPr="00B000F8">
        <w:rPr>
          <w:rFonts w:cs="Times New Roman"/>
          <w:szCs w:val="24"/>
        </w:rPr>
        <w:t xml:space="preserve"> after school care funding for large families</w:t>
      </w:r>
      <w:r w:rsidR="009D50D9">
        <w:rPr>
          <w:rFonts w:cs="Times New Roman"/>
          <w:szCs w:val="24"/>
        </w:rPr>
        <w:t xml:space="preserve"> </w:t>
      </w:r>
      <w:r w:rsidR="009D50D9" w:rsidRPr="00B6286D">
        <w:rPr>
          <w:rFonts w:cs="Times New Roman"/>
          <w:szCs w:val="24"/>
          <w:highlight w:val="yellow"/>
        </w:rPr>
        <w:t>(especially where the mother is a workforce participant</w:t>
      </w:r>
      <w:r w:rsidR="009D50D9">
        <w:rPr>
          <w:rFonts w:cs="Times New Roman"/>
          <w:szCs w:val="24"/>
        </w:rPr>
        <w:t>)</w:t>
      </w:r>
      <w:r w:rsidR="00B87FA0" w:rsidRPr="00856B89">
        <w:rPr>
          <w:rFonts w:cs="Times New Roman"/>
          <w:szCs w:val="24"/>
        </w:rPr>
        <w:t xml:space="preserve"> and perhaps a funding model which takes into account the family dynamics of students</w:t>
      </w:r>
      <w:r w:rsidR="00330327" w:rsidRPr="00B000F8">
        <w:rPr>
          <w:rFonts w:cs="Times New Roman"/>
          <w:szCs w:val="24"/>
        </w:rPr>
        <w:t>.</w:t>
      </w:r>
    </w:p>
    <w:p w14:paraId="01473C2D" w14:textId="77777777" w:rsidR="00625C9D" w:rsidRPr="00B000F8" w:rsidRDefault="00625C9D" w:rsidP="00625C9D">
      <w:pPr>
        <w:spacing w:after="0" w:line="480" w:lineRule="auto"/>
        <w:rPr>
          <w:rFonts w:cs="Times New Roman"/>
          <w:szCs w:val="24"/>
        </w:rPr>
      </w:pPr>
    </w:p>
    <w:p w14:paraId="55ECE0C8" w14:textId="7B23F934" w:rsidR="00B87FA0" w:rsidRDefault="00777653" w:rsidP="00625C9D">
      <w:pPr>
        <w:spacing w:after="0" w:line="480" w:lineRule="auto"/>
        <w:rPr>
          <w:rFonts w:cs="Times New Roman"/>
          <w:szCs w:val="24"/>
        </w:rPr>
      </w:pPr>
      <w:r>
        <w:rPr>
          <w:rFonts w:cs="Times New Roman"/>
          <w:szCs w:val="24"/>
        </w:rPr>
        <w:t>In conclusion</w:t>
      </w:r>
      <w:r w:rsidR="00B87FA0" w:rsidRPr="00B000F8">
        <w:rPr>
          <w:rFonts w:cs="Times New Roman"/>
          <w:szCs w:val="24"/>
        </w:rPr>
        <w:t xml:space="preserve">, our study demonstrates that the academic community and public policymakers have much to learn from this hitherto </w:t>
      </w:r>
      <w:r w:rsidR="002F388F" w:rsidRPr="00B000F8">
        <w:rPr>
          <w:rFonts w:cs="Times New Roman"/>
          <w:szCs w:val="24"/>
        </w:rPr>
        <w:t xml:space="preserve">largely </w:t>
      </w:r>
      <w:r w:rsidR="00B87FA0" w:rsidRPr="00B000F8">
        <w:rPr>
          <w:rFonts w:cs="Times New Roman"/>
          <w:szCs w:val="24"/>
        </w:rPr>
        <w:t xml:space="preserve">neglected field of inquiry and we thus commend this work to </w:t>
      </w:r>
      <w:r w:rsidR="00B000F8" w:rsidRPr="00B6286D">
        <w:rPr>
          <w:rFonts w:cs="Times New Roman"/>
          <w:szCs w:val="24"/>
          <w:highlight w:val="yellow"/>
        </w:rPr>
        <w:t>our peers</w:t>
      </w:r>
      <w:r w:rsidR="00B87FA0" w:rsidRPr="00B000F8">
        <w:rPr>
          <w:rFonts w:cs="Times New Roman"/>
          <w:szCs w:val="24"/>
        </w:rPr>
        <w:t>.</w:t>
      </w:r>
    </w:p>
    <w:p w14:paraId="2E1C3FCB" w14:textId="23AA6527" w:rsidR="00D06BD7" w:rsidRDefault="00D06BD7" w:rsidP="00625C9D">
      <w:pPr>
        <w:spacing w:after="0" w:line="480" w:lineRule="auto"/>
        <w:rPr>
          <w:rFonts w:cs="Times New Roman"/>
          <w:szCs w:val="24"/>
        </w:rPr>
      </w:pPr>
    </w:p>
    <w:p w14:paraId="5AF73D18" w14:textId="1BB0B65F" w:rsidR="00D06BD7" w:rsidRPr="00D06BD7" w:rsidRDefault="00D06BD7" w:rsidP="00625C9D">
      <w:pPr>
        <w:spacing w:after="0" w:line="480" w:lineRule="auto"/>
        <w:rPr>
          <w:rFonts w:cs="Times New Roman"/>
          <w:b/>
          <w:szCs w:val="24"/>
          <w:highlight w:val="yellow"/>
        </w:rPr>
      </w:pPr>
      <w:r w:rsidRPr="00D06BD7">
        <w:rPr>
          <w:rFonts w:cs="Times New Roman"/>
          <w:b/>
          <w:szCs w:val="24"/>
          <w:highlight w:val="yellow"/>
        </w:rPr>
        <w:t>AKNOWLEGEMENT</w:t>
      </w:r>
    </w:p>
    <w:p w14:paraId="65512B48" w14:textId="6818D8DF" w:rsidR="00D06BD7" w:rsidRDefault="00D06BD7" w:rsidP="00625C9D">
      <w:pPr>
        <w:spacing w:after="0" w:line="480" w:lineRule="auto"/>
        <w:rPr>
          <w:rFonts w:cs="Times New Roman"/>
          <w:szCs w:val="24"/>
        </w:rPr>
      </w:pPr>
      <w:r w:rsidRPr="00D06BD7">
        <w:rPr>
          <w:rFonts w:cs="Times New Roman"/>
          <w:szCs w:val="24"/>
          <w:highlight w:val="yellow"/>
        </w:rPr>
        <w:t>This research was supported, in part, by a grant from Institute of Public Administration.</w:t>
      </w:r>
    </w:p>
    <w:p w14:paraId="76A9BFFC" w14:textId="1D8A4F8C" w:rsidR="00625C9D" w:rsidRDefault="00625C9D">
      <w:pPr>
        <w:rPr>
          <w:rFonts w:cs="Times New Roman"/>
          <w:szCs w:val="24"/>
        </w:rPr>
      </w:pPr>
      <w:r>
        <w:rPr>
          <w:rFonts w:cs="Times New Roman"/>
          <w:szCs w:val="24"/>
        </w:rPr>
        <w:br w:type="page"/>
      </w:r>
    </w:p>
    <w:p w14:paraId="5B64A9AE" w14:textId="77777777" w:rsidR="00E61CF3" w:rsidRPr="00122DAF" w:rsidRDefault="00E61CF3" w:rsidP="00E61CF3">
      <w:pPr>
        <w:spacing w:after="0" w:line="240" w:lineRule="auto"/>
        <w:rPr>
          <w:rFonts w:cs="Times New Roman"/>
          <w:sz w:val="20"/>
          <w:szCs w:val="20"/>
        </w:rPr>
      </w:pPr>
    </w:p>
    <w:p w14:paraId="3FCE6528" w14:textId="77777777" w:rsidR="00E61CF3" w:rsidRPr="00122DAF" w:rsidRDefault="00E61CF3" w:rsidP="00E61CF3">
      <w:pPr>
        <w:spacing w:after="0" w:line="240" w:lineRule="auto"/>
        <w:rPr>
          <w:rFonts w:cs="Times New Roman"/>
          <w:b/>
          <w:sz w:val="20"/>
          <w:szCs w:val="20"/>
        </w:rPr>
      </w:pPr>
      <w:r w:rsidRPr="00122DAF">
        <w:rPr>
          <w:rFonts w:cs="Times New Roman"/>
          <w:b/>
          <w:sz w:val="20"/>
          <w:szCs w:val="20"/>
        </w:rPr>
        <w:t>Table 1: Quantity–Quality Fertility Data</w:t>
      </w:r>
    </w:p>
    <w:tbl>
      <w:tblPr>
        <w:tblStyle w:val="TableSimple1"/>
        <w:tblW w:w="0" w:type="auto"/>
        <w:tblLook w:val="04A0" w:firstRow="1" w:lastRow="0" w:firstColumn="1" w:lastColumn="0" w:noHBand="0" w:noVBand="1"/>
      </w:tblPr>
      <w:tblGrid>
        <w:gridCol w:w="1719"/>
        <w:gridCol w:w="1036"/>
        <w:gridCol w:w="1029"/>
        <w:gridCol w:w="1282"/>
        <w:gridCol w:w="1392"/>
        <w:gridCol w:w="1392"/>
        <w:gridCol w:w="1392"/>
      </w:tblGrid>
      <w:tr w:rsidR="00E61CF3" w:rsidRPr="00E92D3E" w14:paraId="02153D0D" w14:textId="77777777" w:rsidTr="00380D78">
        <w:trPr>
          <w:cnfStyle w:val="100000000000" w:firstRow="1" w:lastRow="0" w:firstColumn="0" w:lastColumn="0" w:oddVBand="0" w:evenVBand="0" w:oddHBand="0" w:evenHBand="0" w:firstRowFirstColumn="0" w:firstRowLastColumn="0" w:lastRowFirstColumn="0" w:lastRowLastColumn="0"/>
        </w:trPr>
        <w:tc>
          <w:tcPr>
            <w:tcW w:w="1719" w:type="dxa"/>
          </w:tcPr>
          <w:p w14:paraId="6C0B8D6A" w14:textId="77777777" w:rsidR="00E61CF3" w:rsidRPr="00D730EB" w:rsidRDefault="00E61CF3" w:rsidP="00380D78">
            <w:pPr>
              <w:pStyle w:val="TableColhead"/>
            </w:pPr>
            <w:r w:rsidRPr="00D730EB">
              <w:t>Religious affiliation</w:t>
            </w:r>
          </w:p>
        </w:tc>
        <w:tc>
          <w:tcPr>
            <w:tcW w:w="1036" w:type="dxa"/>
          </w:tcPr>
          <w:p w14:paraId="123D0C34" w14:textId="77777777" w:rsidR="00E61CF3" w:rsidRPr="00D730EB" w:rsidRDefault="00E61CF3" w:rsidP="00380D78">
            <w:pPr>
              <w:pStyle w:val="TableColhead"/>
            </w:pPr>
            <w:r w:rsidRPr="00D730EB">
              <w:t>Divorce rate</w:t>
            </w:r>
          </w:p>
        </w:tc>
        <w:tc>
          <w:tcPr>
            <w:tcW w:w="1029" w:type="dxa"/>
          </w:tcPr>
          <w:p w14:paraId="4B09E18F" w14:textId="77777777" w:rsidR="00E61CF3" w:rsidRPr="00D730EB" w:rsidRDefault="00E61CF3" w:rsidP="00380D78">
            <w:pPr>
              <w:pStyle w:val="TableColhead"/>
            </w:pPr>
            <w:r w:rsidRPr="00D730EB">
              <w:t>No children</w:t>
            </w:r>
          </w:p>
        </w:tc>
        <w:tc>
          <w:tcPr>
            <w:tcW w:w="1282" w:type="dxa"/>
          </w:tcPr>
          <w:p w14:paraId="551F0D67" w14:textId="77777777" w:rsidR="00E61CF3" w:rsidRPr="00D730EB" w:rsidRDefault="00E61CF3" w:rsidP="00380D78">
            <w:pPr>
              <w:pStyle w:val="TableColhead"/>
            </w:pPr>
            <w:r w:rsidRPr="00D730EB">
              <w:t>Proportion of one-child families</w:t>
            </w:r>
          </w:p>
        </w:tc>
        <w:tc>
          <w:tcPr>
            <w:tcW w:w="1392" w:type="dxa"/>
          </w:tcPr>
          <w:p w14:paraId="23521C2F" w14:textId="77777777" w:rsidR="00E61CF3" w:rsidRPr="00D730EB" w:rsidRDefault="00E61CF3" w:rsidP="00380D78">
            <w:pPr>
              <w:pStyle w:val="TableColhead"/>
            </w:pPr>
            <w:r w:rsidRPr="00D730EB">
              <w:t>Proportion of two-child families</w:t>
            </w:r>
          </w:p>
        </w:tc>
        <w:tc>
          <w:tcPr>
            <w:tcW w:w="1392" w:type="dxa"/>
          </w:tcPr>
          <w:p w14:paraId="201002E7" w14:textId="77777777" w:rsidR="00E61CF3" w:rsidRPr="00D730EB" w:rsidRDefault="00E61CF3" w:rsidP="00380D78">
            <w:pPr>
              <w:pStyle w:val="TableColhead"/>
            </w:pPr>
            <w:r w:rsidRPr="00D730EB">
              <w:t>Proportion of three-child families</w:t>
            </w:r>
          </w:p>
        </w:tc>
        <w:tc>
          <w:tcPr>
            <w:tcW w:w="1392" w:type="dxa"/>
          </w:tcPr>
          <w:p w14:paraId="214C2ADE" w14:textId="77777777" w:rsidR="00E61CF3" w:rsidRPr="00D730EB" w:rsidRDefault="00E61CF3" w:rsidP="00380D78">
            <w:pPr>
              <w:pStyle w:val="TableColhead"/>
            </w:pPr>
            <w:r w:rsidRPr="00D730EB">
              <w:t>Proportion of families with more than four children</w:t>
            </w:r>
          </w:p>
        </w:tc>
      </w:tr>
      <w:tr w:rsidR="00E61CF3" w:rsidRPr="00E92D3E" w14:paraId="0611268F" w14:textId="77777777" w:rsidTr="00380D78">
        <w:tc>
          <w:tcPr>
            <w:tcW w:w="1719" w:type="dxa"/>
            <w:vAlign w:val="bottom"/>
          </w:tcPr>
          <w:p w14:paraId="03D3CA42" w14:textId="77777777" w:rsidR="00E61CF3" w:rsidRPr="00E92D3E" w:rsidRDefault="00E61CF3" w:rsidP="00380D78">
            <w:pPr>
              <w:pStyle w:val="TableText"/>
              <w:rPr>
                <w:lang w:val="en-US"/>
              </w:rPr>
            </w:pPr>
            <w:r w:rsidRPr="00E92D3E">
              <w:t>No religion</w:t>
            </w:r>
          </w:p>
        </w:tc>
        <w:tc>
          <w:tcPr>
            <w:tcW w:w="1036" w:type="dxa"/>
            <w:vAlign w:val="bottom"/>
          </w:tcPr>
          <w:p w14:paraId="6F02F1BC" w14:textId="77777777" w:rsidR="00E61CF3" w:rsidRPr="00E92D3E" w:rsidRDefault="00E61CF3" w:rsidP="00380D78">
            <w:pPr>
              <w:pStyle w:val="TableText"/>
              <w:rPr>
                <w:lang w:val="en-US"/>
              </w:rPr>
            </w:pPr>
            <w:r w:rsidRPr="00E92D3E">
              <w:t>6.0%</w:t>
            </w:r>
          </w:p>
        </w:tc>
        <w:tc>
          <w:tcPr>
            <w:tcW w:w="1029" w:type="dxa"/>
            <w:vAlign w:val="bottom"/>
          </w:tcPr>
          <w:p w14:paraId="5F00AD20" w14:textId="77777777" w:rsidR="00E61CF3" w:rsidRPr="00E92D3E" w:rsidRDefault="00E61CF3" w:rsidP="00380D78">
            <w:pPr>
              <w:pStyle w:val="TableText"/>
              <w:rPr>
                <w:lang w:val="en-US"/>
              </w:rPr>
            </w:pPr>
            <w:r w:rsidRPr="007C59A2">
              <w:t>29.6%</w:t>
            </w:r>
          </w:p>
        </w:tc>
        <w:tc>
          <w:tcPr>
            <w:tcW w:w="1282" w:type="dxa"/>
            <w:vAlign w:val="bottom"/>
          </w:tcPr>
          <w:p w14:paraId="37FE8EA6" w14:textId="77777777" w:rsidR="00E61CF3" w:rsidRPr="00E92D3E" w:rsidRDefault="00E61CF3" w:rsidP="00380D78">
            <w:pPr>
              <w:pStyle w:val="TableText"/>
              <w:rPr>
                <w:lang w:val="en-US"/>
              </w:rPr>
            </w:pPr>
            <w:r w:rsidRPr="007C59A2">
              <w:t>13.0%</w:t>
            </w:r>
          </w:p>
        </w:tc>
        <w:tc>
          <w:tcPr>
            <w:tcW w:w="1392" w:type="dxa"/>
            <w:vAlign w:val="bottom"/>
          </w:tcPr>
          <w:p w14:paraId="3BB350F8" w14:textId="77777777" w:rsidR="00E61CF3" w:rsidRPr="00E92D3E" w:rsidRDefault="00E61CF3" w:rsidP="00380D78">
            <w:pPr>
              <w:pStyle w:val="TableText"/>
              <w:rPr>
                <w:lang w:val="en-US"/>
              </w:rPr>
            </w:pPr>
            <w:r w:rsidRPr="007C59A2">
              <w:t>29.5%</w:t>
            </w:r>
          </w:p>
        </w:tc>
        <w:tc>
          <w:tcPr>
            <w:tcW w:w="1392" w:type="dxa"/>
            <w:vAlign w:val="bottom"/>
          </w:tcPr>
          <w:p w14:paraId="69360BB0" w14:textId="77777777" w:rsidR="00E61CF3" w:rsidRPr="00E92D3E" w:rsidRDefault="00E61CF3" w:rsidP="00380D78">
            <w:pPr>
              <w:pStyle w:val="TableText"/>
              <w:rPr>
                <w:lang w:val="en-US"/>
              </w:rPr>
            </w:pPr>
            <w:r w:rsidRPr="007C59A2">
              <w:t>16.3%</w:t>
            </w:r>
          </w:p>
        </w:tc>
        <w:tc>
          <w:tcPr>
            <w:tcW w:w="1392" w:type="dxa"/>
            <w:vAlign w:val="bottom"/>
          </w:tcPr>
          <w:p w14:paraId="596B57B8" w14:textId="77777777" w:rsidR="00E61CF3" w:rsidRPr="00E92D3E" w:rsidRDefault="00E61CF3" w:rsidP="00380D78">
            <w:pPr>
              <w:pStyle w:val="TableText"/>
              <w:rPr>
                <w:lang w:val="en-US"/>
              </w:rPr>
            </w:pPr>
            <w:r w:rsidRPr="007C59A2">
              <w:t>11.7%</w:t>
            </w:r>
          </w:p>
        </w:tc>
      </w:tr>
      <w:tr w:rsidR="00E61CF3" w:rsidRPr="00E92D3E" w14:paraId="2F951631" w14:textId="77777777" w:rsidTr="00380D78">
        <w:tc>
          <w:tcPr>
            <w:tcW w:w="1719" w:type="dxa"/>
            <w:vAlign w:val="bottom"/>
          </w:tcPr>
          <w:p w14:paraId="5B00E0F6" w14:textId="77777777" w:rsidR="00E61CF3" w:rsidRPr="00E92D3E" w:rsidRDefault="00E61CF3" w:rsidP="00380D78">
            <w:pPr>
              <w:pStyle w:val="TableText"/>
              <w:rPr>
                <w:lang w:val="en-US"/>
              </w:rPr>
            </w:pPr>
            <w:r w:rsidRPr="00E92D3E">
              <w:t>Jews</w:t>
            </w:r>
          </w:p>
        </w:tc>
        <w:tc>
          <w:tcPr>
            <w:tcW w:w="1036" w:type="dxa"/>
            <w:vAlign w:val="bottom"/>
          </w:tcPr>
          <w:p w14:paraId="4BC3333B" w14:textId="77777777" w:rsidR="00E61CF3" w:rsidRPr="00E92D3E" w:rsidRDefault="00E61CF3" w:rsidP="00380D78">
            <w:pPr>
              <w:pStyle w:val="TableText"/>
              <w:rPr>
                <w:lang w:val="en-US"/>
              </w:rPr>
            </w:pPr>
            <w:r w:rsidRPr="00E92D3E">
              <w:t>7.2%</w:t>
            </w:r>
          </w:p>
        </w:tc>
        <w:tc>
          <w:tcPr>
            <w:tcW w:w="1029" w:type="dxa"/>
            <w:vAlign w:val="bottom"/>
          </w:tcPr>
          <w:p w14:paraId="1A912D8F" w14:textId="77777777" w:rsidR="00E61CF3" w:rsidRPr="00E92D3E" w:rsidRDefault="00E61CF3" w:rsidP="00380D78">
            <w:pPr>
              <w:pStyle w:val="TableText"/>
              <w:rPr>
                <w:lang w:val="en-US"/>
              </w:rPr>
            </w:pPr>
            <w:r w:rsidRPr="007C59A2">
              <w:t>21.5%</w:t>
            </w:r>
          </w:p>
        </w:tc>
        <w:tc>
          <w:tcPr>
            <w:tcW w:w="1282" w:type="dxa"/>
            <w:vAlign w:val="bottom"/>
          </w:tcPr>
          <w:p w14:paraId="4E8D9998" w14:textId="77777777" w:rsidR="00E61CF3" w:rsidRPr="00E92D3E" w:rsidRDefault="00E61CF3" w:rsidP="00380D78">
            <w:pPr>
              <w:pStyle w:val="TableText"/>
              <w:rPr>
                <w:lang w:val="en-US"/>
              </w:rPr>
            </w:pPr>
            <w:r w:rsidRPr="007C59A2">
              <w:t>13.0%</w:t>
            </w:r>
          </w:p>
        </w:tc>
        <w:tc>
          <w:tcPr>
            <w:tcW w:w="1392" w:type="dxa"/>
            <w:vAlign w:val="bottom"/>
          </w:tcPr>
          <w:p w14:paraId="294A4379" w14:textId="77777777" w:rsidR="00E61CF3" w:rsidRPr="00E92D3E" w:rsidRDefault="00E61CF3" w:rsidP="00380D78">
            <w:pPr>
              <w:pStyle w:val="TableText"/>
              <w:rPr>
                <w:lang w:val="en-US"/>
              </w:rPr>
            </w:pPr>
            <w:r w:rsidRPr="007C59A2">
              <w:t>38.5%</w:t>
            </w:r>
          </w:p>
        </w:tc>
        <w:tc>
          <w:tcPr>
            <w:tcW w:w="1392" w:type="dxa"/>
            <w:vAlign w:val="bottom"/>
          </w:tcPr>
          <w:p w14:paraId="210B37F9" w14:textId="77777777" w:rsidR="00E61CF3" w:rsidRPr="00E92D3E" w:rsidRDefault="00E61CF3" w:rsidP="00380D78">
            <w:pPr>
              <w:pStyle w:val="TableText"/>
              <w:rPr>
                <w:lang w:val="en-US"/>
              </w:rPr>
            </w:pPr>
            <w:r w:rsidRPr="007C59A2">
              <w:t>18.4%</w:t>
            </w:r>
          </w:p>
        </w:tc>
        <w:tc>
          <w:tcPr>
            <w:tcW w:w="1392" w:type="dxa"/>
            <w:vAlign w:val="bottom"/>
          </w:tcPr>
          <w:p w14:paraId="466F1C14" w14:textId="77777777" w:rsidR="00E61CF3" w:rsidRPr="00E92D3E" w:rsidRDefault="00E61CF3" w:rsidP="00380D78">
            <w:pPr>
              <w:pStyle w:val="TableText"/>
              <w:rPr>
                <w:lang w:val="en-US"/>
              </w:rPr>
            </w:pPr>
            <w:r w:rsidRPr="007C59A2">
              <w:t>8.6%</w:t>
            </w:r>
          </w:p>
        </w:tc>
      </w:tr>
      <w:tr w:rsidR="00E61CF3" w:rsidRPr="00E92D3E" w14:paraId="55316C4F" w14:textId="77777777" w:rsidTr="00380D78">
        <w:tc>
          <w:tcPr>
            <w:tcW w:w="1719" w:type="dxa"/>
            <w:vAlign w:val="bottom"/>
          </w:tcPr>
          <w:p w14:paraId="058110FF" w14:textId="77777777" w:rsidR="00E61CF3" w:rsidRPr="00E92D3E" w:rsidRDefault="00E61CF3" w:rsidP="00380D78">
            <w:pPr>
              <w:pStyle w:val="TableText"/>
              <w:rPr>
                <w:lang w:val="en-US"/>
              </w:rPr>
            </w:pPr>
            <w:r w:rsidRPr="00E92D3E">
              <w:t>Catholics</w:t>
            </w:r>
          </w:p>
        </w:tc>
        <w:tc>
          <w:tcPr>
            <w:tcW w:w="1036" w:type="dxa"/>
            <w:vAlign w:val="bottom"/>
          </w:tcPr>
          <w:p w14:paraId="4375CD25" w14:textId="77777777" w:rsidR="00E61CF3" w:rsidRPr="00E92D3E" w:rsidRDefault="00E61CF3" w:rsidP="00380D78">
            <w:pPr>
              <w:pStyle w:val="TableText"/>
              <w:rPr>
                <w:lang w:val="en-US"/>
              </w:rPr>
            </w:pPr>
            <w:r w:rsidRPr="00E92D3E">
              <w:t>6.7%</w:t>
            </w:r>
          </w:p>
        </w:tc>
        <w:tc>
          <w:tcPr>
            <w:tcW w:w="1029" w:type="dxa"/>
            <w:vAlign w:val="bottom"/>
          </w:tcPr>
          <w:p w14:paraId="194BDB5C" w14:textId="77777777" w:rsidR="00E61CF3" w:rsidRPr="00E92D3E" w:rsidRDefault="00E61CF3" w:rsidP="00380D78">
            <w:pPr>
              <w:pStyle w:val="TableText"/>
              <w:rPr>
                <w:lang w:val="en-US"/>
              </w:rPr>
            </w:pPr>
            <w:r w:rsidRPr="007C59A2">
              <w:t>21.4%</w:t>
            </w:r>
          </w:p>
        </w:tc>
        <w:tc>
          <w:tcPr>
            <w:tcW w:w="1282" w:type="dxa"/>
            <w:vAlign w:val="bottom"/>
          </w:tcPr>
          <w:p w14:paraId="0E2B26E0" w14:textId="77777777" w:rsidR="00E61CF3" w:rsidRPr="00E92D3E" w:rsidRDefault="00E61CF3" w:rsidP="00380D78">
            <w:pPr>
              <w:pStyle w:val="TableText"/>
              <w:rPr>
                <w:lang w:val="en-US"/>
              </w:rPr>
            </w:pPr>
            <w:r w:rsidRPr="007C59A2">
              <w:t>11.6%</w:t>
            </w:r>
          </w:p>
        </w:tc>
        <w:tc>
          <w:tcPr>
            <w:tcW w:w="1392" w:type="dxa"/>
            <w:vAlign w:val="bottom"/>
          </w:tcPr>
          <w:p w14:paraId="287F19AC" w14:textId="77777777" w:rsidR="00E61CF3" w:rsidRPr="00E92D3E" w:rsidRDefault="00E61CF3" w:rsidP="00380D78">
            <w:pPr>
              <w:pStyle w:val="TableText"/>
              <w:rPr>
                <w:lang w:val="en-US"/>
              </w:rPr>
            </w:pPr>
            <w:r w:rsidRPr="007C59A2">
              <w:t>29.9%</w:t>
            </w:r>
          </w:p>
        </w:tc>
        <w:tc>
          <w:tcPr>
            <w:tcW w:w="1392" w:type="dxa"/>
            <w:vAlign w:val="bottom"/>
          </w:tcPr>
          <w:p w14:paraId="2F089B1A" w14:textId="77777777" w:rsidR="00E61CF3" w:rsidRPr="00E92D3E" w:rsidRDefault="00E61CF3" w:rsidP="00380D78">
            <w:pPr>
              <w:pStyle w:val="TableText"/>
              <w:rPr>
                <w:lang w:val="en-US"/>
              </w:rPr>
            </w:pPr>
            <w:r w:rsidRPr="007C59A2">
              <w:t>18.9%</w:t>
            </w:r>
          </w:p>
        </w:tc>
        <w:tc>
          <w:tcPr>
            <w:tcW w:w="1392" w:type="dxa"/>
            <w:vAlign w:val="bottom"/>
          </w:tcPr>
          <w:p w14:paraId="7832F016" w14:textId="77777777" w:rsidR="00E61CF3" w:rsidRPr="00E92D3E" w:rsidRDefault="00E61CF3" w:rsidP="00380D78">
            <w:pPr>
              <w:pStyle w:val="TableText"/>
              <w:rPr>
                <w:lang w:val="en-US"/>
              </w:rPr>
            </w:pPr>
            <w:r w:rsidRPr="007C59A2">
              <w:t>18.2%</w:t>
            </w:r>
          </w:p>
        </w:tc>
      </w:tr>
      <w:tr w:rsidR="00E61CF3" w:rsidRPr="00E92D3E" w14:paraId="0ABDD9B2" w14:textId="77777777" w:rsidTr="00380D78">
        <w:tc>
          <w:tcPr>
            <w:tcW w:w="1719" w:type="dxa"/>
            <w:vAlign w:val="bottom"/>
          </w:tcPr>
          <w:p w14:paraId="6414F753" w14:textId="77777777" w:rsidR="00E61CF3" w:rsidRPr="00E92D3E" w:rsidRDefault="00E61CF3" w:rsidP="00380D78">
            <w:pPr>
              <w:pStyle w:val="TableText"/>
              <w:rPr>
                <w:lang w:val="en-US"/>
              </w:rPr>
            </w:pPr>
            <w:r w:rsidRPr="00E92D3E">
              <w:t>Anglican</w:t>
            </w:r>
          </w:p>
        </w:tc>
        <w:tc>
          <w:tcPr>
            <w:tcW w:w="1036" w:type="dxa"/>
            <w:vAlign w:val="bottom"/>
          </w:tcPr>
          <w:p w14:paraId="1361292F" w14:textId="77777777" w:rsidR="00E61CF3" w:rsidRPr="00E92D3E" w:rsidRDefault="00E61CF3" w:rsidP="00380D78">
            <w:pPr>
              <w:pStyle w:val="TableText"/>
              <w:rPr>
                <w:lang w:val="en-US"/>
              </w:rPr>
            </w:pPr>
            <w:r w:rsidRPr="00E92D3E">
              <w:t>6.5%</w:t>
            </w:r>
          </w:p>
        </w:tc>
        <w:tc>
          <w:tcPr>
            <w:tcW w:w="1029" w:type="dxa"/>
            <w:vAlign w:val="bottom"/>
          </w:tcPr>
          <w:p w14:paraId="1175B77C" w14:textId="77777777" w:rsidR="00E61CF3" w:rsidRPr="00E92D3E" w:rsidRDefault="00E61CF3" w:rsidP="00380D78">
            <w:pPr>
              <w:pStyle w:val="TableText"/>
              <w:rPr>
                <w:lang w:val="en-US"/>
              </w:rPr>
            </w:pPr>
            <w:r w:rsidRPr="007C59A2">
              <w:t>15.6%</w:t>
            </w:r>
          </w:p>
        </w:tc>
        <w:tc>
          <w:tcPr>
            <w:tcW w:w="1282" w:type="dxa"/>
            <w:vAlign w:val="bottom"/>
          </w:tcPr>
          <w:p w14:paraId="6C0CC77E" w14:textId="77777777" w:rsidR="00E61CF3" w:rsidRPr="00E92D3E" w:rsidRDefault="00E61CF3" w:rsidP="00380D78">
            <w:pPr>
              <w:pStyle w:val="TableText"/>
              <w:rPr>
                <w:lang w:val="en-US"/>
              </w:rPr>
            </w:pPr>
            <w:r w:rsidRPr="007C59A2">
              <w:t>11.7%</w:t>
            </w:r>
          </w:p>
        </w:tc>
        <w:tc>
          <w:tcPr>
            <w:tcW w:w="1392" w:type="dxa"/>
            <w:vAlign w:val="bottom"/>
          </w:tcPr>
          <w:p w14:paraId="414E167F" w14:textId="77777777" w:rsidR="00E61CF3" w:rsidRPr="00E92D3E" w:rsidRDefault="00E61CF3" w:rsidP="00380D78">
            <w:pPr>
              <w:pStyle w:val="TableText"/>
              <w:rPr>
                <w:lang w:val="en-US"/>
              </w:rPr>
            </w:pPr>
            <w:r w:rsidRPr="007C59A2">
              <w:t>36.2%</w:t>
            </w:r>
          </w:p>
        </w:tc>
        <w:tc>
          <w:tcPr>
            <w:tcW w:w="1392" w:type="dxa"/>
            <w:vAlign w:val="bottom"/>
          </w:tcPr>
          <w:p w14:paraId="6BC1EB5D" w14:textId="77777777" w:rsidR="00E61CF3" w:rsidRPr="00E92D3E" w:rsidRDefault="00E61CF3" w:rsidP="00380D78">
            <w:pPr>
              <w:pStyle w:val="TableText"/>
              <w:rPr>
                <w:lang w:val="en-US"/>
              </w:rPr>
            </w:pPr>
            <w:r w:rsidRPr="007C59A2">
              <w:t>21.4%</w:t>
            </w:r>
          </w:p>
        </w:tc>
        <w:tc>
          <w:tcPr>
            <w:tcW w:w="1392" w:type="dxa"/>
            <w:vAlign w:val="bottom"/>
          </w:tcPr>
          <w:p w14:paraId="096F37D7" w14:textId="77777777" w:rsidR="00E61CF3" w:rsidRPr="00E92D3E" w:rsidRDefault="00E61CF3" w:rsidP="00380D78">
            <w:pPr>
              <w:pStyle w:val="TableText"/>
              <w:rPr>
                <w:lang w:val="en-US"/>
              </w:rPr>
            </w:pPr>
            <w:r w:rsidRPr="007C59A2">
              <w:t>15.2%</w:t>
            </w:r>
          </w:p>
        </w:tc>
      </w:tr>
      <w:tr w:rsidR="00E61CF3" w:rsidRPr="00E92D3E" w14:paraId="1CF5EEB0" w14:textId="77777777" w:rsidTr="00380D78">
        <w:tc>
          <w:tcPr>
            <w:tcW w:w="1719" w:type="dxa"/>
            <w:vAlign w:val="bottom"/>
          </w:tcPr>
          <w:p w14:paraId="30554A0C" w14:textId="77777777" w:rsidR="00E61CF3" w:rsidRPr="00E92D3E" w:rsidRDefault="00E61CF3" w:rsidP="00380D78">
            <w:pPr>
              <w:pStyle w:val="TableText"/>
              <w:rPr>
                <w:lang w:val="en-US"/>
              </w:rPr>
            </w:pPr>
            <w:r w:rsidRPr="00E92D3E">
              <w:t>Council of Churches</w:t>
            </w:r>
          </w:p>
        </w:tc>
        <w:tc>
          <w:tcPr>
            <w:tcW w:w="1036" w:type="dxa"/>
            <w:vAlign w:val="bottom"/>
          </w:tcPr>
          <w:p w14:paraId="530673AB" w14:textId="77777777" w:rsidR="00E61CF3" w:rsidRPr="00E92D3E" w:rsidRDefault="00E61CF3" w:rsidP="00380D78">
            <w:pPr>
              <w:pStyle w:val="TableText"/>
              <w:rPr>
                <w:lang w:val="en-US"/>
              </w:rPr>
            </w:pPr>
            <w:r w:rsidRPr="00E92D3E">
              <w:t>6.7%</w:t>
            </w:r>
          </w:p>
        </w:tc>
        <w:tc>
          <w:tcPr>
            <w:tcW w:w="1029" w:type="dxa"/>
            <w:vAlign w:val="bottom"/>
          </w:tcPr>
          <w:p w14:paraId="399041A3" w14:textId="77777777" w:rsidR="00E61CF3" w:rsidRPr="00E92D3E" w:rsidRDefault="00E61CF3" w:rsidP="00380D78">
            <w:pPr>
              <w:pStyle w:val="TableText"/>
              <w:rPr>
                <w:lang w:val="en-US"/>
              </w:rPr>
            </w:pPr>
            <w:r w:rsidRPr="007C59A2">
              <w:t>14.0%</w:t>
            </w:r>
          </w:p>
        </w:tc>
        <w:tc>
          <w:tcPr>
            <w:tcW w:w="1282" w:type="dxa"/>
            <w:vAlign w:val="bottom"/>
          </w:tcPr>
          <w:p w14:paraId="6E32CDDF" w14:textId="77777777" w:rsidR="00E61CF3" w:rsidRPr="00E92D3E" w:rsidRDefault="00E61CF3" w:rsidP="00380D78">
            <w:pPr>
              <w:pStyle w:val="TableText"/>
              <w:rPr>
                <w:lang w:val="en-US"/>
              </w:rPr>
            </w:pPr>
            <w:r w:rsidRPr="007C59A2">
              <w:t>12.5%</w:t>
            </w:r>
          </w:p>
        </w:tc>
        <w:tc>
          <w:tcPr>
            <w:tcW w:w="1392" w:type="dxa"/>
            <w:vAlign w:val="bottom"/>
          </w:tcPr>
          <w:p w14:paraId="2E10E50A" w14:textId="77777777" w:rsidR="00E61CF3" w:rsidRPr="00E92D3E" w:rsidRDefault="00E61CF3" w:rsidP="00380D78">
            <w:pPr>
              <w:pStyle w:val="TableText"/>
              <w:rPr>
                <w:lang w:val="en-US"/>
              </w:rPr>
            </w:pPr>
            <w:r w:rsidRPr="007C59A2">
              <w:t>34.1%</w:t>
            </w:r>
          </w:p>
        </w:tc>
        <w:tc>
          <w:tcPr>
            <w:tcW w:w="1392" w:type="dxa"/>
            <w:vAlign w:val="bottom"/>
          </w:tcPr>
          <w:p w14:paraId="592F8261" w14:textId="77777777" w:rsidR="00E61CF3" w:rsidRPr="00E92D3E" w:rsidRDefault="00E61CF3" w:rsidP="00380D78">
            <w:pPr>
              <w:pStyle w:val="TableText"/>
              <w:rPr>
                <w:lang w:val="en-US"/>
              </w:rPr>
            </w:pPr>
            <w:r w:rsidRPr="007C59A2">
              <w:t>23.8%</w:t>
            </w:r>
          </w:p>
        </w:tc>
        <w:tc>
          <w:tcPr>
            <w:tcW w:w="1392" w:type="dxa"/>
            <w:vAlign w:val="bottom"/>
          </w:tcPr>
          <w:p w14:paraId="0EA9A399" w14:textId="77777777" w:rsidR="00E61CF3" w:rsidRPr="00E92D3E" w:rsidRDefault="00E61CF3" w:rsidP="00380D78">
            <w:pPr>
              <w:pStyle w:val="TableText"/>
              <w:rPr>
                <w:lang w:val="en-US"/>
              </w:rPr>
            </w:pPr>
            <w:r w:rsidRPr="007C59A2">
              <w:t>15.6%</w:t>
            </w:r>
          </w:p>
        </w:tc>
      </w:tr>
      <w:tr w:rsidR="00E61CF3" w:rsidRPr="00E92D3E" w14:paraId="3EC264CD" w14:textId="77777777" w:rsidTr="00380D78">
        <w:tc>
          <w:tcPr>
            <w:tcW w:w="1719" w:type="dxa"/>
            <w:vAlign w:val="bottom"/>
          </w:tcPr>
          <w:p w14:paraId="21D2A211" w14:textId="77777777" w:rsidR="00E61CF3" w:rsidRPr="00E92D3E" w:rsidRDefault="00E61CF3" w:rsidP="00380D78">
            <w:pPr>
              <w:pStyle w:val="TableText"/>
              <w:rPr>
                <w:lang w:val="en-US"/>
              </w:rPr>
            </w:pPr>
            <w:r w:rsidRPr="00E92D3E">
              <w:t>Non-Council of Church</w:t>
            </w:r>
            <w:r>
              <w:t>es</w:t>
            </w:r>
          </w:p>
        </w:tc>
        <w:tc>
          <w:tcPr>
            <w:tcW w:w="1036" w:type="dxa"/>
            <w:vAlign w:val="bottom"/>
          </w:tcPr>
          <w:p w14:paraId="28A02EA2" w14:textId="77777777" w:rsidR="00E61CF3" w:rsidRPr="00E92D3E" w:rsidRDefault="00E61CF3" w:rsidP="00380D78">
            <w:pPr>
              <w:pStyle w:val="TableText"/>
              <w:rPr>
                <w:lang w:val="en-US"/>
              </w:rPr>
            </w:pPr>
            <w:r w:rsidRPr="00E92D3E">
              <w:t>6.4%</w:t>
            </w:r>
          </w:p>
        </w:tc>
        <w:tc>
          <w:tcPr>
            <w:tcW w:w="1029" w:type="dxa"/>
            <w:vAlign w:val="bottom"/>
          </w:tcPr>
          <w:p w14:paraId="2429C921" w14:textId="77777777" w:rsidR="00E61CF3" w:rsidRPr="00E92D3E" w:rsidRDefault="00E61CF3" w:rsidP="00380D78">
            <w:pPr>
              <w:pStyle w:val="TableText"/>
              <w:rPr>
                <w:lang w:val="en-US"/>
              </w:rPr>
            </w:pPr>
            <w:r w:rsidRPr="007C59A2">
              <w:t>20.2%</w:t>
            </w:r>
          </w:p>
        </w:tc>
        <w:tc>
          <w:tcPr>
            <w:tcW w:w="1282" w:type="dxa"/>
            <w:vAlign w:val="bottom"/>
          </w:tcPr>
          <w:p w14:paraId="7215CD61" w14:textId="77777777" w:rsidR="00E61CF3" w:rsidRPr="00E92D3E" w:rsidRDefault="00E61CF3" w:rsidP="00380D78">
            <w:pPr>
              <w:pStyle w:val="TableText"/>
              <w:rPr>
                <w:lang w:val="en-US"/>
              </w:rPr>
            </w:pPr>
            <w:r w:rsidRPr="007C59A2">
              <w:t>9.7%</w:t>
            </w:r>
          </w:p>
        </w:tc>
        <w:tc>
          <w:tcPr>
            <w:tcW w:w="1392" w:type="dxa"/>
            <w:vAlign w:val="bottom"/>
          </w:tcPr>
          <w:p w14:paraId="4974ECA3" w14:textId="77777777" w:rsidR="00E61CF3" w:rsidRPr="00E92D3E" w:rsidRDefault="00E61CF3" w:rsidP="00380D78">
            <w:pPr>
              <w:pStyle w:val="TableText"/>
              <w:rPr>
                <w:lang w:val="en-US"/>
              </w:rPr>
            </w:pPr>
            <w:r w:rsidRPr="007C59A2">
              <w:t>28.0%</w:t>
            </w:r>
          </w:p>
        </w:tc>
        <w:tc>
          <w:tcPr>
            <w:tcW w:w="1392" w:type="dxa"/>
            <w:vAlign w:val="bottom"/>
          </w:tcPr>
          <w:p w14:paraId="25A7005C" w14:textId="77777777" w:rsidR="00E61CF3" w:rsidRPr="00E92D3E" w:rsidRDefault="00E61CF3" w:rsidP="00380D78">
            <w:pPr>
              <w:pStyle w:val="TableText"/>
              <w:rPr>
                <w:lang w:val="en-US"/>
              </w:rPr>
            </w:pPr>
            <w:r w:rsidRPr="007C59A2">
              <w:t>22.7%</w:t>
            </w:r>
          </w:p>
        </w:tc>
        <w:tc>
          <w:tcPr>
            <w:tcW w:w="1392" w:type="dxa"/>
            <w:vAlign w:val="bottom"/>
          </w:tcPr>
          <w:p w14:paraId="12C5866B" w14:textId="77777777" w:rsidR="00E61CF3" w:rsidRPr="00E92D3E" w:rsidRDefault="00E61CF3" w:rsidP="00380D78">
            <w:pPr>
              <w:pStyle w:val="TableText"/>
              <w:rPr>
                <w:lang w:val="en-US"/>
              </w:rPr>
            </w:pPr>
            <w:r w:rsidRPr="007C59A2">
              <w:t>19.2%</w:t>
            </w:r>
          </w:p>
        </w:tc>
      </w:tr>
      <w:tr w:rsidR="00E61CF3" w:rsidRPr="00E92D3E" w14:paraId="2521515C" w14:textId="77777777" w:rsidTr="00380D78">
        <w:tc>
          <w:tcPr>
            <w:tcW w:w="1719" w:type="dxa"/>
            <w:vAlign w:val="bottom"/>
          </w:tcPr>
          <w:p w14:paraId="42A1F393" w14:textId="77777777" w:rsidR="00E61CF3" w:rsidRPr="00E92D3E" w:rsidRDefault="00E61CF3" w:rsidP="00380D78">
            <w:pPr>
              <w:pStyle w:val="TableText"/>
              <w:rPr>
                <w:lang w:val="en-US"/>
              </w:rPr>
            </w:pPr>
            <w:r>
              <w:t>Muslims</w:t>
            </w:r>
          </w:p>
        </w:tc>
        <w:tc>
          <w:tcPr>
            <w:tcW w:w="1036" w:type="dxa"/>
            <w:vAlign w:val="bottom"/>
          </w:tcPr>
          <w:p w14:paraId="5A0A25D8" w14:textId="77777777" w:rsidR="00E61CF3" w:rsidRPr="00E92D3E" w:rsidRDefault="00E61CF3" w:rsidP="00380D78">
            <w:pPr>
              <w:pStyle w:val="TableText"/>
              <w:rPr>
                <w:lang w:val="en-US"/>
              </w:rPr>
            </w:pPr>
            <w:r w:rsidRPr="00122DAF">
              <w:t>3.4%</w:t>
            </w:r>
          </w:p>
        </w:tc>
        <w:tc>
          <w:tcPr>
            <w:tcW w:w="1029" w:type="dxa"/>
            <w:vAlign w:val="bottom"/>
          </w:tcPr>
          <w:p w14:paraId="525AA855" w14:textId="77777777" w:rsidR="00E61CF3" w:rsidRPr="00E92D3E" w:rsidRDefault="00E61CF3" w:rsidP="00380D78">
            <w:pPr>
              <w:pStyle w:val="TableText"/>
              <w:rPr>
                <w:lang w:val="en-US"/>
              </w:rPr>
            </w:pPr>
            <w:r w:rsidRPr="007C59A2">
              <w:t>22.3%</w:t>
            </w:r>
          </w:p>
        </w:tc>
        <w:tc>
          <w:tcPr>
            <w:tcW w:w="1282" w:type="dxa"/>
            <w:vAlign w:val="bottom"/>
          </w:tcPr>
          <w:p w14:paraId="7AF8AF0D" w14:textId="77777777" w:rsidR="00E61CF3" w:rsidRPr="00E92D3E" w:rsidRDefault="00E61CF3" w:rsidP="00380D78">
            <w:pPr>
              <w:pStyle w:val="TableText"/>
              <w:rPr>
                <w:lang w:val="en-US"/>
              </w:rPr>
            </w:pPr>
            <w:r w:rsidRPr="007C59A2">
              <w:t>18.5%</w:t>
            </w:r>
          </w:p>
        </w:tc>
        <w:tc>
          <w:tcPr>
            <w:tcW w:w="1392" w:type="dxa"/>
            <w:vAlign w:val="bottom"/>
          </w:tcPr>
          <w:p w14:paraId="31606E53" w14:textId="77777777" w:rsidR="00E61CF3" w:rsidRPr="00E92D3E" w:rsidRDefault="00E61CF3" w:rsidP="00380D78">
            <w:pPr>
              <w:pStyle w:val="TableText"/>
              <w:rPr>
                <w:lang w:val="en-US"/>
              </w:rPr>
            </w:pPr>
            <w:r w:rsidRPr="007C59A2">
              <w:t>27.4%</w:t>
            </w:r>
          </w:p>
        </w:tc>
        <w:tc>
          <w:tcPr>
            <w:tcW w:w="1392" w:type="dxa"/>
            <w:vAlign w:val="bottom"/>
          </w:tcPr>
          <w:p w14:paraId="5B752F81" w14:textId="77777777" w:rsidR="00E61CF3" w:rsidRPr="00E92D3E" w:rsidRDefault="00E61CF3" w:rsidP="00380D78">
            <w:pPr>
              <w:pStyle w:val="TableText"/>
              <w:rPr>
                <w:lang w:val="en-US"/>
              </w:rPr>
            </w:pPr>
            <w:r w:rsidRPr="007C59A2">
              <w:t>12.8%</w:t>
            </w:r>
          </w:p>
        </w:tc>
        <w:tc>
          <w:tcPr>
            <w:tcW w:w="1392" w:type="dxa"/>
            <w:vAlign w:val="bottom"/>
          </w:tcPr>
          <w:p w14:paraId="39AC6166" w14:textId="77777777" w:rsidR="00E61CF3" w:rsidRPr="00E92D3E" w:rsidRDefault="00E61CF3" w:rsidP="00380D78">
            <w:pPr>
              <w:pStyle w:val="TableText"/>
              <w:rPr>
                <w:lang w:val="en-US"/>
              </w:rPr>
            </w:pPr>
            <w:r w:rsidRPr="007C59A2">
              <w:t>19.0%</w:t>
            </w:r>
          </w:p>
        </w:tc>
      </w:tr>
    </w:tbl>
    <w:p w14:paraId="0A3AFEF5" w14:textId="77777777" w:rsidR="00E61CF3" w:rsidRPr="00D730EB" w:rsidRDefault="00E61CF3" w:rsidP="00E61CF3">
      <w:pPr>
        <w:pStyle w:val="TableSource"/>
      </w:pPr>
      <w:r w:rsidRPr="00D730EB">
        <w:t>Source: HILDA Survey.</w:t>
      </w:r>
    </w:p>
    <w:p w14:paraId="1453A9E4" w14:textId="77777777" w:rsidR="00E61CF3" w:rsidRDefault="00E61CF3" w:rsidP="00E61CF3">
      <w:pPr>
        <w:spacing w:after="0" w:line="240" w:lineRule="auto"/>
        <w:rPr>
          <w:rFonts w:cs="Times New Roman"/>
          <w:sz w:val="20"/>
          <w:szCs w:val="20"/>
        </w:rPr>
      </w:pPr>
    </w:p>
    <w:p w14:paraId="68A93BBC" w14:textId="77777777" w:rsidR="00E61CF3" w:rsidRDefault="00E61CF3" w:rsidP="00E61CF3">
      <w:pPr>
        <w:rPr>
          <w:rFonts w:cs="Times New Roman"/>
          <w:sz w:val="20"/>
          <w:szCs w:val="24"/>
        </w:rPr>
      </w:pPr>
      <w:r>
        <w:rPr>
          <w:rFonts w:cs="Times New Roman"/>
          <w:sz w:val="20"/>
          <w:szCs w:val="24"/>
        </w:rPr>
        <w:br w:type="page"/>
      </w:r>
    </w:p>
    <w:p w14:paraId="3F658612" w14:textId="77777777" w:rsidR="00E61CF3" w:rsidRDefault="00E61CF3" w:rsidP="00E61CF3">
      <w:pPr>
        <w:pStyle w:val="NoSpacing"/>
        <w:rPr>
          <w:rFonts w:cs="Times New Roman"/>
          <w:sz w:val="20"/>
          <w:szCs w:val="20"/>
        </w:rPr>
      </w:pPr>
      <w:bookmarkStart w:id="1" w:name="_Hlk484706797"/>
    </w:p>
    <w:p w14:paraId="34D53429" w14:textId="77777777" w:rsidR="00E61CF3" w:rsidRDefault="00E61CF3" w:rsidP="00E61CF3">
      <w:pPr>
        <w:spacing w:after="0" w:line="240" w:lineRule="auto"/>
        <w:rPr>
          <w:b/>
          <w:sz w:val="20"/>
        </w:rPr>
      </w:pPr>
      <w:r w:rsidRPr="00F16034">
        <w:rPr>
          <w:b/>
          <w:sz w:val="20"/>
        </w:rPr>
        <w:t>Table</w:t>
      </w:r>
      <w:r>
        <w:rPr>
          <w:b/>
          <w:sz w:val="20"/>
        </w:rPr>
        <w:t xml:space="preserve"> 2: Resourcing by School Type</w:t>
      </w:r>
    </w:p>
    <w:tbl>
      <w:tblPr>
        <w:tblStyle w:val="TableSimple1"/>
        <w:tblW w:w="0" w:type="auto"/>
        <w:tblLook w:val="04A0" w:firstRow="1" w:lastRow="0" w:firstColumn="1" w:lastColumn="0" w:noHBand="0" w:noVBand="1"/>
      </w:tblPr>
      <w:tblGrid>
        <w:gridCol w:w="1710"/>
        <w:gridCol w:w="1839"/>
        <w:gridCol w:w="1367"/>
        <w:gridCol w:w="2444"/>
      </w:tblGrid>
      <w:tr w:rsidR="00E61CF3" w14:paraId="0FF83F3A" w14:textId="77777777" w:rsidTr="00380D78">
        <w:trPr>
          <w:cnfStyle w:val="100000000000" w:firstRow="1" w:lastRow="0" w:firstColumn="0" w:lastColumn="0" w:oddVBand="0" w:evenVBand="0" w:oddHBand="0" w:evenHBand="0" w:firstRowFirstColumn="0" w:firstRowLastColumn="0" w:lastRowFirstColumn="0" w:lastRowLastColumn="0"/>
        </w:trPr>
        <w:tc>
          <w:tcPr>
            <w:tcW w:w="0" w:type="auto"/>
          </w:tcPr>
          <w:p w14:paraId="723ED7A4" w14:textId="77777777" w:rsidR="00E61CF3" w:rsidRPr="000E04E2" w:rsidRDefault="00E61CF3" w:rsidP="00380D78">
            <w:pPr>
              <w:rPr>
                <w:highlight w:val="yellow"/>
              </w:rPr>
            </w:pPr>
            <w:r w:rsidRPr="000E04E2">
              <w:rPr>
                <w:b/>
                <w:highlight w:val="yellow"/>
              </w:rPr>
              <w:t>School Type</w:t>
            </w:r>
          </w:p>
        </w:tc>
        <w:tc>
          <w:tcPr>
            <w:tcW w:w="0" w:type="auto"/>
          </w:tcPr>
          <w:p w14:paraId="6FE3AB1B" w14:textId="77777777" w:rsidR="00E61CF3" w:rsidRPr="000E04E2" w:rsidRDefault="00E61CF3" w:rsidP="00380D78">
            <w:pPr>
              <w:jc w:val="center"/>
              <w:rPr>
                <w:highlight w:val="yellow"/>
              </w:rPr>
            </w:pPr>
            <w:r w:rsidRPr="000E04E2">
              <w:rPr>
                <w:b/>
                <w:highlight w:val="yellow"/>
              </w:rPr>
              <w:t>Number of Schools</w:t>
            </w:r>
          </w:p>
        </w:tc>
        <w:tc>
          <w:tcPr>
            <w:tcW w:w="0" w:type="auto"/>
          </w:tcPr>
          <w:p w14:paraId="0C2826D2" w14:textId="77777777" w:rsidR="00E61CF3" w:rsidRPr="000E04E2" w:rsidRDefault="00E61CF3" w:rsidP="00380D78">
            <w:pPr>
              <w:jc w:val="center"/>
              <w:rPr>
                <w:highlight w:val="yellow"/>
              </w:rPr>
            </w:pPr>
            <w:r w:rsidRPr="000E04E2">
              <w:rPr>
                <w:b/>
                <w:highlight w:val="yellow"/>
              </w:rPr>
              <w:t>Mean ICSEA</w:t>
            </w:r>
          </w:p>
        </w:tc>
        <w:tc>
          <w:tcPr>
            <w:tcW w:w="0" w:type="auto"/>
          </w:tcPr>
          <w:p w14:paraId="7B65EB13" w14:textId="77777777" w:rsidR="00E61CF3" w:rsidRPr="000E04E2" w:rsidRDefault="00E61CF3" w:rsidP="00380D78">
            <w:pPr>
              <w:jc w:val="center"/>
              <w:rPr>
                <w:b/>
                <w:highlight w:val="yellow"/>
              </w:rPr>
            </w:pPr>
            <w:r w:rsidRPr="000E04E2">
              <w:rPr>
                <w:b/>
                <w:highlight w:val="yellow"/>
              </w:rPr>
              <w:t>Mean Income per Student</w:t>
            </w:r>
          </w:p>
        </w:tc>
      </w:tr>
      <w:tr w:rsidR="00E61CF3" w:rsidRPr="003A35CC" w14:paraId="57ED1CB8" w14:textId="77777777" w:rsidTr="00380D78">
        <w:tc>
          <w:tcPr>
            <w:tcW w:w="0" w:type="auto"/>
          </w:tcPr>
          <w:p w14:paraId="419E4958" w14:textId="77777777" w:rsidR="00E61CF3" w:rsidRPr="000E04E2" w:rsidRDefault="00E61CF3" w:rsidP="00380D78">
            <w:pPr>
              <w:rPr>
                <w:highlight w:val="yellow"/>
              </w:rPr>
            </w:pPr>
            <w:r w:rsidRPr="000E04E2">
              <w:rPr>
                <w:highlight w:val="yellow"/>
              </w:rPr>
              <w:t>Government</w:t>
            </w:r>
          </w:p>
        </w:tc>
        <w:tc>
          <w:tcPr>
            <w:tcW w:w="0" w:type="auto"/>
            <w:vAlign w:val="bottom"/>
          </w:tcPr>
          <w:p w14:paraId="7070946D" w14:textId="77777777" w:rsidR="00E61CF3" w:rsidRPr="000E04E2" w:rsidRDefault="00E61CF3" w:rsidP="00380D78">
            <w:pPr>
              <w:jc w:val="right"/>
              <w:rPr>
                <w:highlight w:val="yellow"/>
              </w:rPr>
            </w:pPr>
            <w:r w:rsidRPr="000E04E2">
              <w:rPr>
                <w:highlight w:val="yellow"/>
              </w:rPr>
              <w:t>26,403</w:t>
            </w:r>
          </w:p>
        </w:tc>
        <w:tc>
          <w:tcPr>
            <w:tcW w:w="0" w:type="auto"/>
            <w:vAlign w:val="bottom"/>
          </w:tcPr>
          <w:p w14:paraId="29FB032C" w14:textId="77777777" w:rsidR="00E61CF3" w:rsidRPr="000E04E2" w:rsidRDefault="00E61CF3" w:rsidP="00380D78">
            <w:pPr>
              <w:jc w:val="right"/>
              <w:rPr>
                <w:highlight w:val="yellow"/>
              </w:rPr>
            </w:pPr>
            <w:r w:rsidRPr="000E04E2">
              <w:rPr>
                <w:highlight w:val="yellow"/>
              </w:rPr>
              <w:t>989.3</w:t>
            </w:r>
          </w:p>
        </w:tc>
        <w:tc>
          <w:tcPr>
            <w:tcW w:w="0" w:type="auto"/>
            <w:vAlign w:val="bottom"/>
          </w:tcPr>
          <w:p w14:paraId="1DB58647" w14:textId="77777777" w:rsidR="00E61CF3" w:rsidRPr="000E04E2" w:rsidRDefault="00E61CF3" w:rsidP="00380D78">
            <w:pPr>
              <w:jc w:val="right"/>
              <w:rPr>
                <w:highlight w:val="yellow"/>
              </w:rPr>
            </w:pPr>
            <w:r w:rsidRPr="000E04E2">
              <w:rPr>
                <w:highlight w:val="yellow"/>
              </w:rPr>
              <w:t>12,358</w:t>
            </w:r>
          </w:p>
        </w:tc>
      </w:tr>
      <w:tr w:rsidR="00E61CF3" w:rsidRPr="003A35CC" w14:paraId="72992F78" w14:textId="77777777" w:rsidTr="00380D78">
        <w:tc>
          <w:tcPr>
            <w:tcW w:w="0" w:type="auto"/>
          </w:tcPr>
          <w:p w14:paraId="3E73B142" w14:textId="77777777" w:rsidR="00E61CF3" w:rsidRPr="000E04E2" w:rsidRDefault="00E61CF3" w:rsidP="00380D78">
            <w:pPr>
              <w:rPr>
                <w:highlight w:val="yellow"/>
              </w:rPr>
            </w:pPr>
            <w:r w:rsidRPr="000E04E2">
              <w:rPr>
                <w:highlight w:val="yellow"/>
              </w:rPr>
              <w:t>Catholic</w:t>
            </w:r>
          </w:p>
        </w:tc>
        <w:tc>
          <w:tcPr>
            <w:tcW w:w="0" w:type="auto"/>
            <w:vAlign w:val="bottom"/>
          </w:tcPr>
          <w:p w14:paraId="776418D3" w14:textId="77777777" w:rsidR="00E61CF3" w:rsidRPr="000E04E2" w:rsidRDefault="00E61CF3" w:rsidP="00380D78">
            <w:pPr>
              <w:jc w:val="right"/>
              <w:rPr>
                <w:highlight w:val="yellow"/>
              </w:rPr>
            </w:pPr>
            <w:r w:rsidRPr="000E04E2">
              <w:rPr>
                <w:highlight w:val="yellow"/>
              </w:rPr>
              <w:t>7,687</w:t>
            </w:r>
          </w:p>
        </w:tc>
        <w:tc>
          <w:tcPr>
            <w:tcW w:w="0" w:type="auto"/>
            <w:vAlign w:val="bottom"/>
          </w:tcPr>
          <w:p w14:paraId="56194D6A" w14:textId="77777777" w:rsidR="00E61CF3" w:rsidRPr="000E04E2" w:rsidRDefault="00E61CF3" w:rsidP="00380D78">
            <w:pPr>
              <w:jc w:val="right"/>
              <w:rPr>
                <w:highlight w:val="yellow"/>
              </w:rPr>
            </w:pPr>
            <w:r w:rsidRPr="000E04E2">
              <w:rPr>
                <w:highlight w:val="yellow"/>
              </w:rPr>
              <w:t>1,044.9</w:t>
            </w:r>
          </w:p>
        </w:tc>
        <w:tc>
          <w:tcPr>
            <w:tcW w:w="0" w:type="auto"/>
            <w:vAlign w:val="bottom"/>
          </w:tcPr>
          <w:p w14:paraId="23BBB19A" w14:textId="77777777" w:rsidR="00E61CF3" w:rsidRPr="000E04E2" w:rsidRDefault="00E61CF3" w:rsidP="00380D78">
            <w:pPr>
              <w:jc w:val="right"/>
              <w:rPr>
                <w:highlight w:val="yellow"/>
              </w:rPr>
            </w:pPr>
            <w:r w:rsidRPr="000E04E2">
              <w:rPr>
                <w:highlight w:val="yellow"/>
              </w:rPr>
              <w:t>11,773</w:t>
            </w:r>
          </w:p>
        </w:tc>
      </w:tr>
      <w:tr w:rsidR="00E61CF3" w:rsidRPr="003A35CC" w14:paraId="3742404F" w14:textId="77777777" w:rsidTr="00380D78">
        <w:tc>
          <w:tcPr>
            <w:tcW w:w="0" w:type="auto"/>
          </w:tcPr>
          <w:p w14:paraId="79BEF637" w14:textId="77777777" w:rsidR="00E61CF3" w:rsidRPr="000E04E2" w:rsidRDefault="00E61CF3" w:rsidP="00380D78">
            <w:pPr>
              <w:rPr>
                <w:highlight w:val="yellow"/>
              </w:rPr>
            </w:pPr>
            <w:r w:rsidRPr="000E04E2">
              <w:rPr>
                <w:highlight w:val="yellow"/>
              </w:rPr>
              <w:t>Anglican</w:t>
            </w:r>
          </w:p>
        </w:tc>
        <w:tc>
          <w:tcPr>
            <w:tcW w:w="0" w:type="auto"/>
            <w:vAlign w:val="bottom"/>
          </w:tcPr>
          <w:p w14:paraId="2DF8A447" w14:textId="77777777" w:rsidR="00E61CF3" w:rsidRPr="000E04E2" w:rsidRDefault="00E61CF3" w:rsidP="00380D78">
            <w:pPr>
              <w:jc w:val="right"/>
              <w:rPr>
                <w:highlight w:val="yellow"/>
              </w:rPr>
            </w:pPr>
            <w:r w:rsidRPr="000E04E2">
              <w:rPr>
                <w:highlight w:val="yellow"/>
              </w:rPr>
              <w:t>846</w:t>
            </w:r>
          </w:p>
        </w:tc>
        <w:tc>
          <w:tcPr>
            <w:tcW w:w="0" w:type="auto"/>
            <w:vAlign w:val="bottom"/>
          </w:tcPr>
          <w:p w14:paraId="36C2FADB" w14:textId="77777777" w:rsidR="00E61CF3" w:rsidRPr="000E04E2" w:rsidRDefault="00E61CF3" w:rsidP="00380D78">
            <w:pPr>
              <w:jc w:val="right"/>
              <w:rPr>
                <w:highlight w:val="yellow"/>
              </w:rPr>
            </w:pPr>
            <w:r w:rsidRPr="000E04E2">
              <w:rPr>
                <w:highlight w:val="yellow"/>
              </w:rPr>
              <w:t>1,117.4</w:t>
            </w:r>
          </w:p>
        </w:tc>
        <w:tc>
          <w:tcPr>
            <w:tcW w:w="0" w:type="auto"/>
            <w:vAlign w:val="bottom"/>
          </w:tcPr>
          <w:p w14:paraId="711E6CD6" w14:textId="77777777" w:rsidR="00E61CF3" w:rsidRPr="000E04E2" w:rsidRDefault="00E61CF3" w:rsidP="00380D78">
            <w:pPr>
              <w:jc w:val="right"/>
              <w:rPr>
                <w:highlight w:val="yellow"/>
              </w:rPr>
            </w:pPr>
            <w:r w:rsidRPr="000E04E2">
              <w:rPr>
                <w:highlight w:val="yellow"/>
              </w:rPr>
              <w:t>19,935</w:t>
            </w:r>
          </w:p>
        </w:tc>
      </w:tr>
      <w:tr w:rsidR="00E61CF3" w:rsidRPr="003A35CC" w14:paraId="31651C71" w14:textId="77777777" w:rsidTr="00380D78">
        <w:tc>
          <w:tcPr>
            <w:tcW w:w="0" w:type="auto"/>
          </w:tcPr>
          <w:p w14:paraId="03A9E634" w14:textId="1EE33E61" w:rsidR="00E61CF3" w:rsidRPr="000E04E2" w:rsidRDefault="00E61CF3" w:rsidP="00380D78">
            <w:pPr>
              <w:rPr>
                <w:highlight w:val="yellow"/>
              </w:rPr>
            </w:pPr>
            <w:r w:rsidRPr="000E04E2">
              <w:rPr>
                <w:highlight w:val="yellow"/>
              </w:rPr>
              <w:t>Islam</w:t>
            </w:r>
            <w:r w:rsidR="00782A6D">
              <w:rPr>
                <w:highlight w:val="yellow"/>
              </w:rPr>
              <w:t>ic</w:t>
            </w:r>
          </w:p>
        </w:tc>
        <w:tc>
          <w:tcPr>
            <w:tcW w:w="0" w:type="auto"/>
            <w:vAlign w:val="bottom"/>
          </w:tcPr>
          <w:p w14:paraId="27F101A7" w14:textId="77777777" w:rsidR="00E61CF3" w:rsidRPr="000E04E2" w:rsidRDefault="00E61CF3" w:rsidP="00380D78">
            <w:pPr>
              <w:jc w:val="right"/>
              <w:rPr>
                <w:highlight w:val="yellow"/>
              </w:rPr>
            </w:pPr>
            <w:r w:rsidRPr="000E04E2">
              <w:rPr>
                <w:highlight w:val="yellow"/>
              </w:rPr>
              <w:t>193</w:t>
            </w:r>
          </w:p>
        </w:tc>
        <w:tc>
          <w:tcPr>
            <w:tcW w:w="0" w:type="auto"/>
            <w:vAlign w:val="bottom"/>
          </w:tcPr>
          <w:p w14:paraId="63D93650" w14:textId="77777777" w:rsidR="00E61CF3" w:rsidRPr="000E04E2" w:rsidRDefault="00E61CF3" w:rsidP="00380D78">
            <w:pPr>
              <w:jc w:val="right"/>
              <w:rPr>
                <w:highlight w:val="yellow"/>
              </w:rPr>
            </w:pPr>
            <w:r w:rsidRPr="000E04E2">
              <w:rPr>
                <w:highlight w:val="yellow"/>
              </w:rPr>
              <w:t>1,012.6</w:t>
            </w:r>
          </w:p>
        </w:tc>
        <w:tc>
          <w:tcPr>
            <w:tcW w:w="0" w:type="auto"/>
            <w:vAlign w:val="bottom"/>
          </w:tcPr>
          <w:p w14:paraId="1F058251" w14:textId="77777777" w:rsidR="00E61CF3" w:rsidRPr="000E04E2" w:rsidRDefault="00E61CF3" w:rsidP="00380D78">
            <w:pPr>
              <w:jc w:val="right"/>
              <w:rPr>
                <w:highlight w:val="yellow"/>
              </w:rPr>
            </w:pPr>
            <w:r w:rsidRPr="000E04E2">
              <w:rPr>
                <w:highlight w:val="yellow"/>
              </w:rPr>
              <w:t>12,364</w:t>
            </w:r>
          </w:p>
        </w:tc>
      </w:tr>
      <w:tr w:rsidR="00E61CF3" w:rsidRPr="003A35CC" w14:paraId="01DC7E75" w14:textId="77777777" w:rsidTr="00380D78">
        <w:tc>
          <w:tcPr>
            <w:tcW w:w="0" w:type="auto"/>
          </w:tcPr>
          <w:p w14:paraId="0F00EBAD" w14:textId="77777777" w:rsidR="00E61CF3" w:rsidRPr="000E04E2" w:rsidRDefault="00E61CF3" w:rsidP="00380D78">
            <w:pPr>
              <w:rPr>
                <w:highlight w:val="yellow"/>
              </w:rPr>
            </w:pPr>
            <w:r w:rsidRPr="000E04E2">
              <w:rPr>
                <w:highlight w:val="yellow"/>
              </w:rPr>
              <w:t>Jewish</w:t>
            </w:r>
          </w:p>
        </w:tc>
        <w:tc>
          <w:tcPr>
            <w:tcW w:w="0" w:type="auto"/>
            <w:vAlign w:val="bottom"/>
          </w:tcPr>
          <w:p w14:paraId="315E1069" w14:textId="77777777" w:rsidR="00E61CF3" w:rsidRPr="000E04E2" w:rsidRDefault="00E61CF3" w:rsidP="00380D78">
            <w:pPr>
              <w:jc w:val="right"/>
              <w:rPr>
                <w:highlight w:val="yellow"/>
              </w:rPr>
            </w:pPr>
            <w:r w:rsidRPr="000E04E2">
              <w:rPr>
                <w:highlight w:val="yellow"/>
              </w:rPr>
              <w:t>85</w:t>
            </w:r>
          </w:p>
        </w:tc>
        <w:tc>
          <w:tcPr>
            <w:tcW w:w="0" w:type="auto"/>
            <w:vAlign w:val="bottom"/>
          </w:tcPr>
          <w:p w14:paraId="00A84758" w14:textId="77777777" w:rsidR="00E61CF3" w:rsidRPr="000E04E2" w:rsidRDefault="00E61CF3" w:rsidP="00380D78">
            <w:pPr>
              <w:jc w:val="right"/>
              <w:rPr>
                <w:highlight w:val="yellow"/>
              </w:rPr>
            </w:pPr>
            <w:r w:rsidRPr="000E04E2">
              <w:rPr>
                <w:highlight w:val="yellow"/>
              </w:rPr>
              <w:t>1,141.9</w:t>
            </w:r>
          </w:p>
        </w:tc>
        <w:tc>
          <w:tcPr>
            <w:tcW w:w="0" w:type="auto"/>
            <w:vAlign w:val="bottom"/>
          </w:tcPr>
          <w:p w14:paraId="52C59B1D" w14:textId="77777777" w:rsidR="00E61CF3" w:rsidRPr="000E04E2" w:rsidRDefault="00E61CF3" w:rsidP="00380D78">
            <w:pPr>
              <w:jc w:val="right"/>
              <w:rPr>
                <w:highlight w:val="yellow"/>
              </w:rPr>
            </w:pPr>
            <w:r w:rsidRPr="000E04E2">
              <w:rPr>
                <w:highlight w:val="yellow"/>
              </w:rPr>
              <w:t>18,642</w:t>
            </w:r>
          </w:p>
        </w:tc>
      </w:tr>
      <w:tr w:rsidR="00E61CF3" w:rsidRPr="003A35CC" w14:paraId="7ADACCD2" w14:textId="77777777" w:rsidTr="00380D78">
        <w:tc>
          <w:tcPr>
            <w:tcW w:w="0" w:type="auto"/>
          </w:tcPr>
          <w:p w14:paraId="02EC020F" w14:textId="77777777" w:rsidR="00E61CF3" w:rsidRPr="000E04E2" w:rsidRDefault="00E61CF3" w:rsidP="00380D78">
            <w:pPr>
              <w:rPr>
                <w:highlight w:val="yellow"/>
              </w:rPr>
            </w:pPr>
            <w:proofErr w:type="spellStart"/>
            <w:r w:rsidRPr="000E04E2">
              <w:rPr>
                <w:highlight w:val="yellow"/>
              </w:rPr>
              <w:t>CoC</w:t>
            </w:r>
            <w:proofErr w:type="spellEnd"/>
          </w:p>
        </w:tc>
        <w:tc>
          <w:tcPr>
            <w:tcW w:w="0" w:type="auto"/>
          </w:tcPr>
          <w:p w14:paraId="3317ABBB" w14:textId="77777777" w:rsidR="00E61CF3" w:rsidRPr="000E04E2" w:rsidRDefault="00E61CF3" w:rsidP="00380D78">
            <w:pPr>
              <w:jc w:val="right"/>
              <w:rPr>
                <w:highlight w:val="yellow"/>
              </w:rPr>
            </w:pPr>
            <w:r w:rsidRPr="000E04E2">
              <w:rPr>
                <w:highlight w:val="yellow"/>
              </w:rPr>
              <w:t>727</w:t>
            </w:r>
          </w:p>
        </w:tc>
        <w:tc>
          <w:tcPr>
            <w:tcW w:w="0" w:type="auto"/>
          </w:tcPr>
          <w:p w14:paraId="2E23EAD7" w14:textId="77777777" w:rsidR="00E61CF3" w:rsidRPr="000E04E2" w:rsidRDefault="00E61CF3" w:rsidP="00380D78">
            <w:pPr>
              <w:jc w:val="right"/>
              <w:rPr>
                <w:highlight w:val="yellow"/>
              </w:rPr>
            </w:pPr>
            <w:r w:rsidRPr="000E04E2">
              <w:rPr>
                <w:highlight w:val="yellow"/>
              </w:rPr>
              <w:t>1,084.0</w:t>
            </w:r>
          </w:p>
        </w:tc>
        <w:tc>
          <w:tcPr>
            <w:tcW w:w="0" w:type="auto"/>
          </w:tcPr>
          <w:p w14:paraId="32F4F7FF" w14:textId="77777777" w:rsidR="00E61CF3" w:rsidRPr="000E04E2" w:rsidRDefault="00E61CF3" w:rsidP="00380D78">
            <w:pPr>
              <w:jc w:val="right"/>
              <w:rPr>
                <w:highlight w:val="yellow"/>
              </w:rPr>
            </w:pPr>
            <w:r w:rsidRPr="000E04E2">
              <w:rPr>
                <w:highlight w:val="yellow"/>
              </w:rPr>
              <w:t>16,048</w:t>
            </w:r>
          </w:p>
        </w:tc>
      </w:tr>
      <w:tr w:rsidR="00E61CF3" w:rsidRPr="003A35CC" w14:paraId="2574A145" w14:textId="77777777" w:rsidTr="00380D78">
        <w:tc>
          <w:tcPr>
            <w:tcW w:w="0" w:type="auto"/>
          </w:tcPr>
          <w:p w14:paraId="36F096AA" w14:textId="77777777" w:rsidR="00E61CF3" w:rsidRPr="000E04E2" w:rsidRDefault="00E61CF3" w:rsidP="00380D78">
            <w:pPr>
              <w:rPr>
                <w:highlight w:val="yellow"/>
              </w:rPr>
            </w:pPr>
            <w:r w:rsidRPr="000E04E2">
              <w:rPr>
                <w:highlight w:val="yellow"/>
              </w:rPr>
              <w:t>Non-</w:t>
            </w:r>
            <w:proofErr w:type="spellStart"/>
            <w:r w:rsidRPr="000E04E2">
              <w:rPr>
                <w:highlight w:val="yellow"/>
              </w:rPr>
              <w:t>CoC</w:t>
            </w:r>
            <w:proofErr w:type="spellEnd"/>
          </w:p>
        </w:tc>
        <w:tc>
          <w:tcPr>
            <w:tcW w:w="0" w:type="auto"/>
            <w:vAlign w:val="bottom"/>
          </w:tcPr>
          <w:p w14:paraId="46D0D3B2" w14:textId="77777777" w:rsidR="00E61CF3" w:rsidRPr="000E04E2" w:rsidRDefault="00E61CF3" w:rsidP="00380D78">
            <w:pPr>
              <w:jc w:val="right"/>
              <w:rPr>
                <w:highlight w:val="yellow"/>
              </w:rPr>
            </w:pPr>
            <w:r w:rsidRPr="000E04E2">
              <w:rPr>
                <w:highlight w:val="yellow"/>
              </w:rPr>
              <w:t>1,811</w:t>
            </w:r>
          </w:p>
        </w:tc>
        <w:tc>
          <w:tcPr>
            <w:tcW w:w="0" w:type="auto"/>
            <w:vAlign w:val="bottom"/>
          </w:tcPr>
          <w:p w14:paraId="545628A2" w14:textId="77777777" w:rsidR="00E61CF3" w:rsidRPr="000E04E2" w:rsidRDefault="00E61CF3" w:rsidP="00380D78">
            <w:pPr>
              <w:jc w:val="right"/>
              <w:rPr>
                <w:highlight w:val="yellow"/>
              </w:rPr>
            </w:pPr>
            <w:r w:rsidRPr="000E04E2">
              <w:rPr>
                <w:highlight w:val="yellow"/>
              </w:rPr>
              <w:t>1,050.5</w:t>
            </w:r>
          </w:p>
        </w:tc>
        <w:tc>
          <w:tcPr>
            <w:tcW w:w="0" w:type="auto"/>
            <w:vAlign w:val="bottom"/>
          </w:tcPr>
          <w:p w14:paraId="0861A7F2" w14:textId="77777777" w:rsidR="00E61CF3" w:rsidRPr="000E04E2" w:rsidRDefault="00E61CF3" w:rsidP="00380D78">
            <w:pPr>
              <w:jc w:val="right"/>
              <w:rPr>
                <w:highlight w:val="yellow"/>
              </w:rPr>
            </w:pPr>
            <w:r w:rsidRPr="000E04E2">
              <w:rPr>
                <w:highlight w:val="yellow"/>
              </w:rPr>
              <w:t>14,738</w:t>
            </w:r>
          </w:p>
        </w:tc>
      </w:tr>
      <w:tr w:rsidR="00E61CF3" w:rsidRPr="003A35CC" w14:paraId="3791DB7D" w14:textId="77777777" w:rsidTr="00380D78">
        <w:tc>
          <w:tcPr>
            <w:tcW w:w="0" w:type="auto"/>
          </w:tcPr>
          <w:p w14:paraId="065B89F2" w14:textId="77777777" w:rsidR="00E61CF3" w:rsidRPr="000E04E2" w:rsidRDefault="00E61CF3" w:rsidP="00380D78">
            <w:pPr>
              <w:rPr>
                <w:highlight w:val="yellow"/>
              </w:rPr>
            </w:pPr>
            <w:r w:rsidRPr="000E04E2">
              <w:rPr>
                <w:highlight w:val="yellow"/>
              </w:rPr>
              <w:t>Other Independent</w:t>
            </w:r>
          </w:p>
        </w:tc>
        <w:tc>
          <w:tcPr>
            <w:tcW w:w="0" w:type="auto"/>
            <w:vAlign w:val="bottom"/>
          </w:tcPr>
          <w:p w14:paraId="00C7AD09" w14:textId="77777777" w:rsidR="00E61CF3" w:rsidRPr="000E04E2" w:rsidRDefault="00E61CF3" w:rsidP="00380D78">
            <w:pPr>
              <w:jc w:val="right"/>
              <w:rPr>
                <w:highlight w:val="yellow"/>
              </w:rPr>
            </w:pPr>
            <w:r w:rsidRPr="000E04E2">
              <w:rPr>
                <w:highlight w:val="yellow"/>
              </w:rPr>
              <w:t>637</w:t>
            </w:r>
          </w:p>
        </w:tc>
        <w:tc>
          <w:tcPr>
            <w:tcW w:w="0" w:type="auto"/>
            <w:vAlign w:val="bottom"/>
          </w:tcPr>
          <w:p w14:paraId="0745D484" w14:textId="77777777" w:rsidR="00E61CF3" w:rsidRPr="000E04E2" w:rsidRDefault="00E61CF3" w:rsidP="00380D78">
            <w:pPr>
              <w:jc w:val="right"/>
              <w:rPr>
                <w:highlight w:val="yellow"/>
              </w:rPr>
            </w:pPr>
            <w:r w:rsidRPr="000E04E2">
              <w:rPr>
                <w:highlight w:val="yellow"/>
              </w:rPr>
              <w:t>1,095.5</w:t>
            </w:r>
          </w:p>
        </w:tc>
        <w:tc>
          <w:tcPr>
            <w:tcW w:w="0" w:type="auto"/>
            <w:vAlign w:val="bottom"/>
          </w:tcPr>
          <w:p w14:paraId="1CF67FCF" w14:textId="77777777" w:rsidR="00E61CF3" w:rsidRPr="000E04E2" w:rsidRDefault="00E61CF3" w:rsidP="00380D78">
            <w:pPr>
              <w:jc w:val="right"/>
              <w:rPr>
                <w:highlight w:val="yellow"/>
              </w:rPr>
            </w:pPr>
            <w:r w:rsidRPr="000E04E2">
              <w:rPr>
                <w:highlight w:val="yellow"/>
              </w:rPr>
              <w:t>18,155</w:t>
            </w:r>
          </w:p>
        </w:tc>
      </w:tr>
    </w:tbl>
    <w:p w14:paraId="719E1DD7" w14:textId="77777777" w:rsidR="00E61CF3" w:rsidRPr="00CF3DF2" w:rsidRDefault="00E61CF3" w:rsidP="00E61CF3">
      <w:pPr>
        <w:pStyle w:val="NoSpacing"/>
        <w:rPr>
          <w:rFonts w:cs="Times New Roman"/>
          <w:sz w:val="20"/>
          <w:szCs w:val="20"/>
        </w:rPr>
      </w:pPr>
    </w:p>
    <w:bookmarkEnd w:id="1"/>
    <w:p w14:paraId="59EBB7F1" w14:textId="77777777" w:rsidR="00E61CF3" w:rsidRPr="00F16034" w:rsidRDefault="00E61CF3" w:rsidP="00E61CF3">
      <w:pPr>
        <w:spacing w:after="0" w:line="240" w:lineRule="auto"/>
        <w:rPr>
          <w:rFonts w:cs="Times New Roman"/>
          <w:sz w:val="20"/>
          <w:szCs w:val="24"/>
        </w:rPr>
      </w:pPr>
    </w:p>
    <w:p w14:paraId="42FC75B0" w14:textId="77777777" w:rsidR="00E61CF3" w:rsidRDefault="00E61CF3" w:rsidP="00E61CF3">
      <w:pPr>
        <w:rPr>
          <w:rFonts w:cs="Times New Roman"/>
        </w:rPr>
        <w:sectPr w:rsidR="00E61CF3" w:rsidSect="00160BFD">
          <w:footerReference w:type="default" r:id="rId9"/>
          <w:footerReference w:type="first" r:id="rId10"/>
          <w:type w:val="continuous"/>
          <w:pgSz w:w="11906" w:h="16838"/>
          <w:pgMar w:top="1440" w:right="1440" w:bottom="1440" w:left="1440" w:header="708" w:footer="708" w:gutter="0"/>
          <w:cols w:space="708"/>
          <w:titlePg/>
          <w:docGrid w:linePitch="360"/>
        </w:sectPr>
      </w:pPr>
    </w:p>
    <w:p w14:paraId="6A3BB24F" w14:textId="77777777" w:rsidR="00E61CF3" w:rsidRPr="000E04E2" w:rsidRDefault="00E61CF3" w:rsidP="00E61CF3">
      <w:pPr>
        <w:pStyle w:val="NoSpacing"/>
        <w:rPr>
          <w:rFonts w:cs="Times New Roman"/>
          <w:b/>
          <w:sz w:val="20"/>
          <w:szCs w:val="20"/>
          <w:highlight w:val="yellow"/>
        </w:rPr>
      </w:pPr>
      <w:r w:rsidRPr="000E04E2">
        <w:rPr>
          <w:rFonts w:cs="Times New Roman"/>
          <w:b/>
          <w:sz w:val="20"/>
          <w:szCs w:val="20"/>
          <w:highlight w:val="yellow"/>
        </w:rPr>
        <w:lastRenderedPageBreak/>
        <w:t>Table 3: OLS regression estimates of the association between the school’s religious authority and academic achievement</w:t>
      </w:r>
    </w:p>
    <w:tbl>
      <w:tblPr>
        <w:tblStyle w:val="TableSimple1"/>
        <w:tblW w:w="12616" w:type="dxa"/>
        <w:tblLayout w:type="fixed"/>
        <w:tblLook w:val="04A0" w:firstRow="1" w:lastRow="0" w:firstColumn="1" w:lastColumn="0" w:noHBand="0" w:noVBand="1"/>
      </w:tblPr>
      <w:tblGrid>
        <w:gridCol w:w="2544"/>
        <w:gridCol w:w="997"/>
        <w:gridCol w:w="956"/>
        <w:gridCol w:w="1032"/>
        <w:gridCol w:w="957"/>
        <w:gridCol w:w="12"/>
        <w:gridCol w:w="1015"/>
        <w:gridCol w:w="959"/>
        <w:gridCol w:w="1026"/>
        <w:gridCol w:w="992"/>
        <w:gridCol w:w="1134"/>
        <w:gridCol w:w="992"/>
      </w:tblGrid>
      <w:tr w:rsidR="00E61CF3" w:rsidRPr="000E04E2" w14:paraId="200E946C" w14:textId="77777777" w:rsidTr="00380D78">
        <w:trPr>
          <w:cnfStyle w:val="100000000000" w:firstRow="1" w:lastRow="0" w:firstColumn="0" w:lastColumn="0" w:oddVBand="0" w:evenVBand="0" w:oddHBand="0" w:evenHBand="0" w:firstRowFirstColumn="0" w:firstRowLastColumn="0" w:lastRowFirstColumn="0" w:lastRowLastColumn="0"/>
        </w:trPr>
        <w:tc>
          <w:tcPr>
            <w:tcW w:w="2544" w:type="dxa"/>
          </w:tcPr>
          <w:p w14:paraId="0F346495" w14:textId="77777777" w:rsidR="00E61CF3" w:rsidRPr="000E04E2" w:rsidRDefault="00E61CF3" w:rsidP="00380D78">
            <w:pPr>
              <w:rPr>
                <w:b/>
                <w:highlight w:val="yellow"/>
              </w:rPr>
            </w:pPr>
            <w:r w:rsidRPr="000E04E2">
              <w:rPr>
                <w:b/>
                <w:highlight w:val="yellow"/>
              </w:rPr>
              <w:t>Variable</w:t>
            </w:r>
          </w:p>
        </w:tc>
        <w:tc>
          <w:tcPr>
            <w:tcW w:w="1953" w:type="dxa"/>
            <w:gridSpan w:val="2"/>
          </w:tcPr>
          <w:p w14:paraId="68036079" w14:textId="77777777" w:rsidR="00E61CF3" w:rsidRPr="000E04E2" w:rsidRDefault="00E61CF3" w:rsidP="00380D78">
            <w:pPr>
              <w:jc w:val="center"/>
              <w:rPr>
                <w:b/>
                <w:highlight w:val="yellow"/>
              </w:rPr>
            </w:pPr>
            <w:r w:rsidRPr="000E04E2">
              <w:rPr>
                <w:b/>
                <w:highlight w:val="yellow"/>
              </w:rPr>
              <w:t>Grammar</w:t>
            </w:r>
          </w:p>
        </w:tc>
        <w:tc>
          <w:tcPr>
            <w:tcW w:w="1989" w:type="dxa"/>
            <w:gridSpan w:val="2"/>
          </w:tcPr>
          <w:p w14:paraId="6498F293" w14:textId="77777777" w:rsidR="00E61CF3" w:rsidRPr="000E04E2" w:rsidRDefault="00E61CF3" w:rsidP="00380D78">
            <w:pPr>
              <w:jc w:val="center"/>
              <w:rPr>
                <w:b/>
                <w:highlight w:val="yellow"/>
              </w:rPr>
            </w:pPr>
            <w:r w:rsidRPr="000E04E2">
              <w:rPr>
                <w:b/>
                <w:highlight w:val="yellow"/>
              </w:rPr>
              <w:t>Reading</w:t>
            </w:r>
          </w:p>
        </w:tc>
        <w:tc>
          <w:tcPr>
            <w:tcW w:w="1986" w:type="dxa"/>
            <w:gridSpan w:val="3"/>
          </w:tcPr>
          <w:p w14:paraId="5A9ECB77" w14:textId="77777777" w:rsidR="00E61CF3" w:rsidRPr="000E04E2" w:rsidRDefault="00E61CF3" w:rsidP="00380D78">
            <w:pPr>
              <w:jc w:val="center"/>
              <w:rPr>
                <w:b/>
                <w:highlight w:val="yellow"/>
              </w:rPr>
            </w:pPr>
            <w:r w:rsidRPr="000E04E2">
              <w:rPr>
                <w:b/>
                <w:highlight w:val="yellow"/>
              </w:rPr>
              <w:t>Spelling</w:t>
            </w:r>
          </w:p>
        </w:tc>
        <w:tc>
          <w:tcPr>
            <w:tcW w:w="2018" w:type="dxa"/>
            <w:gridSpan w:val="2"/>
          </w:tcPr>
          <w:p w14:paraId="18F07ACF" w14:textId="77777777" w:rsidR="00E61CF3" w:rsidRPr="000E04E2" w:rsidRDefault="00E61CF3" w:rsidP="00380D78">
            <w:pPr>
              <w:jc w:val="center"/>
              <w:rPr>
                <w:b/>
                <w:highlight w:val="yellow"/>
              </w:rPr>
            </w:pPr>
            <w:r w:rsidRPr="000E04E2">
              <w:rPr>
                <w:b/>
                <w:highlight w:val="yellow"/>
              </w:rPr>
              <w:t>Writing</w:t>
            </w:r>
          </w:p>
        </w:tc>
        <w:tc>
          <w:tcPr>
            <w:tcW w:w="2126" w:type="dxa"/>
            <w:gridSpan w:val="2"/>
          </w:tcPr>
          <w:p w14:paraId="5CA42439" w14:textId="77777777" w:rsidR="00E61CF3" w:rsidRPr="000E04E2" w:rsidRDefault="00E61CF3" w:rsidP="00380D78">
            <w:pPr>
              <w:jc w:val="center"/>
              <w:rPr>
                <w:b/>
                <w:highlight w:val="yellow"/>
              </w:rPr>
            </w:pPr>
            <w:r w:rsidRPr="000E04E2">
              <w:rPr>
                <w:b/>
                <w:highlight w:val="yellow"/>
              </w:rPr>
              <w:t>Numeracy</w:t>
            </w:r>
          </w:p>
        </w:tc>
      </w:tr>
      <w:tr w:rsidR="00E61CF3" w:rsidRPr="000E04E2" w14:paraId="1D659BA4" w14:textId="77777777" w:rsidTr="00380D78">
        <w:tc>
          <w:tcPr>
            <w:tcW w:w="2544" w:type="dxa"/>
          </w:tcPr>
          <w:p w14:paraId="6A60B46B" w14:textId="77777777" w:rsidR="00E61CF3" w:rsidRPr="000E04E2" w:rsidRDefault="00E61CF3" w:rsidP="00380D78">
            <w:pPr>
              <w:ind w:right="852"/>
              <w:rPr>
                <w:b/>
                <w:highlight w:val="yellow"/>
              </w:rPr>
            </w:pPr>
            <w:r w:rsidRPr="000E04E2">
              <w:rPr>
                <w:b/>
                <w:highlight w:val="yellow"/>
              </w:rPr>
              <w:t>Panel A: Year 3</w:t>
            </w:r>
          </w:p>
        </w:tc>
        <w:tc>
          <w:tcPr>
            <w:tcW w:w="997" w:type="dxa"/>
          </w:tcPr>
          <w:p w14:paraId="1AF66E20" w14:textId="77777777" w:rsidR="00E61CF3" w:rsidRPr="000E04E2" w:rsidRDefault="00E61CF3" w:rsidP="00380D78">
            <w:pPr>
              <w:rPr>
                <w:b/>
                <w:bCs/>
                <w:highlight w:val="yellow"/>
              </w:rPr>
            </w:pPr>
          </w:p>
        </w:tc>
        <w:tc>
          <w:tcPr>
            <w:tcW w:w="956" w:type="dxa"/>
          </w:tcPr>
          <w:p w14:paraId="7AEB81C3" w14:textId="77777777" w:rsidR="00E61CF3" w:rsidRPr="000E04E2" w:rsidRDefault="00E61CF3" w:rsidP="00380D78">
            <w:pPr>
              <w:rPr>
                <w:b/>
                <w:highlight w:val="yellow"/>
              </w:rPr>
            </w:pPr>
          </w:p>
        </w:tc>
        <w:tc>
          <w:tcPr>
            <w:tcW w:w="1032" w:type="dxa"/>
          </w:tcPr>
          <w:p w14:paraId="37DE0243" w14:textId="77777777" w:rsidR="00E61CF3" w:rsidRPr="000E04E2" w:rsidRDefault="00E61CF3" w:rsidP="00380D78">
            <w:pPr>
              <w:rPr>
                <w:b/>
                <w:bCs/>
                <w:highlight w:val="yellow"/>
              </w:rPr>
            </w:pPr>
          </w:p>
        </w:tc>
        <w:tc>
          <w:tcPr>
            <w:tcW w:w="969" w:type="dxa"/>
            <w:gridSpan w:val="2"/>
          </w:tcPr>
          <w:p w14:paraId="5B0997E2" w14:textId="77777777" w:rsidR="00E61CF3" w:rsidRPr="000E04E2" w:rsidRDefault="00E61CF3" w:rsidP="00380D78">
            <w:pPr>
              <w:rPr>
                <w:b/>
                <w:highlight w:val="yellow"/>
              </w:rPr>
            </w:pPr>
          </w:p>
        </w:tc>
        <w:tc>
          <w:tcPr>
            <w:tcW w:w="1015" w:type="dxa"/>
          </w:tcPr>
          <w:p w14:paraId="1A14A740" w14:textId="77777777" w:rsidR="00E61CF3" w:rsidRPr="000E04E2" w:rsidRDefault="00E61CF3" w:rsidP="00380D78">
            <w:pPr>
              <w:rPr>
                <w:b/>
                <w:bCs/>
                <w:highlight w:val="yellow"/>
              </w:rPr>
            </w:pPr>
          </w:p>
        </w:tc>
        <w:tc>
          <w:tcPr>
            <w:tcW w:w="959" w:type="dxa"/>
          </w:tcPr>
          <w:p w14:paraId="2560F62D" w14:textId="77777777" w:rsidR="00E61CF3" w:rsidRPr="000E04E2" w:rsidRDefault="00E61CF3" w:rsidP="00380D78">
            <w:pPr>
              <w:rPr>
                <w:b/>
                <w:highlight w:val="yellow"/>
              </w:rPr>
            </w:pPr>
          </w:p>
        </w:tc>
        <w:tc>
          <w:tcPr>
            <w:tcW w:w="1026" w:type="dxa"/>
          </w:tcPr>
          <w:p w14:paraId="13D0F178" w14:textId="77777777" w:rsidR="00E61CF3" w:rsidRPr="000E04E2" w:rsidRDefault="00E61CF3" w:rsidP="00380D78">
            <w:pPr>
              <w:rPr>
                <w:b/>
                <w:bCs/>
                <w:highlight w:val="yellow"/>
              </w:rPr>
            </w:pPr>
          </w:p>
        </w:tc>
        <w:tc>
          <w:tcPr>
            <w:tcW w:w="992" w:type="dxa"/>
          </w:tcPr>
          <w:p w14:paraId="51CC4942" w14:textId="77777777" w:rsidR="00E61CF3" w:rsidRPr="000E04E2" w:rsidRDefault="00E61CF3" w:rsidP="00380D78">
            <w:pPr>
              <w:rPr>
                <w:b/>
                <w:highlight w:val="yellow"/>
              </w:rPr>
            </w:pPr>
          </w:p>
        </w:tc>
        <w:tc>
          <w:tcPr>
            <w:tcW w:w="1134" w:type="dxa"/>
          </w:tcPr>
          <w:p w14:paraId="25233974" w14:textId="77777777" w:rsidR="00E61CF3" w:rsidRPr="000E04E2" w:rsidRDefault="00E61CF3" w:rsidP="00380D78">
            <w:pPr>
              <w:rPr>
                <w:b/>
                <w:highlight w:val="yellow"/>
              </w:rPr>
            </w:pPr>
          </w:p>
        </w:tc>
        <w:tc>
          <w:tcPr>
            <w:tcW w:w="992" w:type="dxa"/>
          </w:tcPr>
          <w:p w14:paraId="535FCDC3" w14:textId="77777777" w:rsidR="00E61CF3" w:rsidRPr="000E04E2" w:rsidRDefault="00E61CF3" w:rsidP="00380D78">
            <w:pPr>
              <w:rPr>
                <w:b/>
                <w:highlight w:val="yellow"/>
              </w:rPr>
            </w:pPr>
          </w:p>
        </w:tc>
      </w:tr>
      <w:tr w:rsidR="00E61CF3" w:rsidRPr="000E04E2" w14:paraId="05FC4901" w14:textId="77777777" w:rsidTr="00380D78">
        <w:tc>
          <w:tcPr>
            <w:tcW w:w="2544" w:type="dxa"/>
          </w:tcPr>
          <w:p w14:paraId="5E10A856" w14:textId="77777777" w:rsidR="00E61CF3" w:rsidRPr="000E04E2" w:rsidRDefault="00E61CF3" w:rsidP="00380D78">
            <w:pPr>
              <w:ind w:right="852"/>
              <w:rPr>
                <w:b/>
                <w:i/>
                <w:highlight w:val="yellow"/>
              </w:rPr>
            </w:pPr>
            <w:r w:rsidRPr="000E04E2">
              <w:rPr>
                <w:b/>
                <w:i/>
                <w:highlight w:val="yellow"/>
              </w:rPr>
              <w:t>Religion</w:t>
            </w:r>
          </w:p>
        </w:tc>
        <w:tc>
          <w:tcPr>
            <w:tcW w:w="997" w:type="dxa"/>
          </w:tcPr>
          <w:p w14:paraId="4016C934" w14:textId="77777777" w:rsidR="00E61CF3" w:rsidRPr="000E04E2" w:rsidRDefault="00E61CF3" w:rsidP="00380D78">
            <w:pPr>
              <w:rPr>
                <w:highlight w:val="yellow"/>
              </w:rPr>
            </w:pPr>
            <w:r w:rsidRPr="000E04E2">
              <w:rPr>
                <w:b/>
                <w:bCs/>
                <w:highlight w:val="yellow"/>
              </w:rPr>
              <w:t>β</w:t>
            </w:r>
          </w:p>
        </w:tc>
        <w:tc>
          <w:tcPr>
            <w:tcW w:w="956" w:type="dxa"/>
          </w:tcPr>
          <w:p w14:paraId="4531A130" w14:textId="77777777" w:rsidR="00E61CF3" w:rsidRPr="000E04E2" w:rsidRDefault="00E61CF3" w:rsidP="00380D78">
            <w:pPr>
              <w:rPr>
                <w:highlight w:val="yellow"/>
              </w:rPr>
            </w:pPr>
            <w:r w:rsidRPr="000E04E2">
              <w:rPr>
                <w:b/>
                <w:highlight w:val="yellow"/>
              </w:rPr>
              <w:t>SE</w:t>
            </w:r>
          </w:p>
        </w:tc>
        <w:tc>
          <w:tcPr>
            <w:tcW w:w="1032" w:type="dxa"/>
          </w:tcPr>
          <w:p w14:paraId="1C018B5A" w14:textId="77777777" w:rsidR="00E61CF3" w:rsidRPr="000E04E2" w:rsidRDefault="00E61CF3" w:rsidP="00380D78">
            <w:pPr>
              <w:rPr>
                <w:highlight w:val="yellow"/>
              </w:rPr>
            </w:pPr>
            <w:r w:rsidRPr="000E04E2">
              <w:rPr>
                <w:b/>
                <w:bCs/>
                <w:highlight w:val="yellow"/>
              </w:rPr>
              <w:t>β</w:t>
            </w:r>
          </w:p>
        </w:tc>
        <w:tc>
          <w:tcPr>
            <w:tcW w:w="969" w:type="dxa"/>
            <w:gridSpan w:val="2"/>
          </w:tcPr>
          <w:p w14:paraId="024BB82B" w14:textId="77777777" w:rsidR="00E61CF3" w:rsidRPr="000E04E2" w:rsidRDefault="00E61CF3" w:rsidP="00380D78">
            <w:pPr>
              <w:rPr>
                <w:highlight w:val="yellow"/>
              </w:rPr>
            </w:pPr>
            <w:r w:rsidRPr="000E04E2">
              <w:rPr>
                <w:b/>
                <w:highlight w:val="yellow"/>
              </w:rPr>
              <w:t>SE</w:t>
            </w:r>
          </w:p>
        </w:tc>
        <w:tc>
          <w:tcPr>
            <w:tcW w:w="1015" w:type="dxa"/>
          </w:tcPr>
          <w:p w14:paraId="2DE4ED23" w14:textId="77777777" w:rsidR="00E61CF3" w:rsidRPr="000E04E2" w:rsidRDefault="00E61CF3" w:rsidP="00380D78">
            <w:pPr>
              <w:rPr>
                <w:highlight w:val="yellow"/>
              </w:rPr>
            </w:pPr>
            <w:r w:rsidRPr="000E04E2">
              <w:rPr>
                <w:b/>
                <w:bCs/>
                <w:highlight w:val="yellow"/>
              </w:rPr>
              <w:t>β</w:t>
            </w:r>
          </w:p>
        </w:tc>
        <w:tc>
          <w:tcPr>
            <w:tcW w:w="959" w:type="dxa"/>
          </w:tcPr>
          <w:p w14:paraId="426A354E" w14:textId="77777777" w:rsidR="00E61CF3" w:rsidRPr="000E04E2" w:rsidRDefault="00E61CF3" w:rsidP="00380D78">
            <w:pPr>
              <w:rPr>
                <w:highlight w:val="yellow"/>
              </w:rPr>
            </w:pPr>
            <w:r w:rsidRPr="000E04E2">
              <w:rPr>
                <w:b/>
                <w:highlight w:val="yellow"/>
              </w:rPr>
              <w:t>SE</w:t>
            </w:r>
          </w:p>
        </w:tc>
        <w:tc>
          <w:tcPr>
            <w:tcW w:w="1026" w:type="dxa"/>
          </w:tcPr>
          <w:p w14:paraId="7F8BB6CA" w14:textId="77777777" w:rsidR="00E61CF3" w:rsidRPr="000E04E2" w:rsidRDefault="00E61CF3" w:rsidP="00380D78">
            <w:pPr>
              <w:rPr>
                <w:highlight w:val="yellow"/>
              </w:rPr>
            </w:pPr>
            <w:r w:rsidRPr="000E04E2">
              <w:rPr>
                <w:b/>
                <w:bCs/>
                <w:highlight w:val="yellow"/>
              </w:rPr>
              <w:t>β</w:t>
            </w:r>
          </w:p>
        </w:tc>
        <w:tc>
          <w:tcPr>
            <w:tcW w:w="992" w:type="dxa"/>
          </w:tcPr>
          <w:p w14:paraId="2DF07233" w14:textId="77777777" w:rsidR="00E61CF3" w:rsidRPr="000E04E2" w:rsidRDefault="00E61CF3" w:rsidP="00380D78">
            <w:pPr>
              <w:rPr>
                <w:highlight w:val="yellow"/>
              </w:rPr>
            </w:pPr>
            <w:r w:rsidRPr="000E04E2">
              <w:rPr>
                <w:b/>
                <w:highlight w:val="yellow"/>
              </w:rPr>
              <w:t>SE</w:t>
            </w:r>
          </w:p>
        </w:tc>
        <w:tc>
          <w:tcPr>
            <w:tcW w:w="1134" w:type="dxa"/>
          </w:tcPr>
          <w:p w14:paraId="7C59CA18" w14:textId="77777777" w:rsidR="00E61CF3" w:rsidRPr="000E04E2" w:rsidRDefault="00E61CF3" w:rsidP="00380D78">
            <w:pPr>
              <w:rPr>
                <w:highlight w:val="yellow"/>
              </w:rPr>
            </w:pPr>
            <w:r w:rsidRPr="000E04E2">
              <w:rPr>
                <w:b/>
                <w:bCs/>
                <w:highlight w:val="yellow"/>
              </w:rPr>
              <w:t>β</w:t>
            </w:r>
          </w:p>
        </w:tc>
        <w:tc>
          <w:tcPr>
            <w:tcW w:w="992" w:type="dxa"/>
          </w:tcPr>
          <w:p w14:paraId="1BAAE412" w14:textId="77777777" w:rsidR="00E61CF3" w:rsidRPr="000E04E2" w:rsidRDefault="00E61CF3" w:rsidP="00380D78">
            <w:pPr>
              <w:rPr>
                <w:highlight w:val="yellow"/>
              </w:rPr>
            </w:pPr>
            <w:r w:rsidRPr="000E04E2">
              <w:rPr>
                <w:b/>
                <w:highlight w:val="yellow"/>
              </w:rPr>
              <w:t>SE</w:t>
            </w:r>
          </w:p>
        </w:tc>
      </w:tr>
      <w:tr w:rsidR="00E61CF3" w:rsidRPr="000E04E2" w14:paraId="174CDB59" w14:textId="77777777" w:rsidTr="00380D78">
        <w:tc>
          <w:tcPr>
            <w:tcW w:w="2544" w:type="dxa"/>
          </w:tcPr>
          <w:p w14:paraId="3A896343" w14:textId="77777777" w:rsidR="00E61CF3" w:rsidRPr="000E04E2" w:rsidRDefault="00E61CF3" w:rsidP="00380D78">
            <w:pPr>
              <w:ind w:firstLine="179"/>
              <w:rPr>
                <w:highlight w:val="yellow"/>
              </w:rPr>
            </w:pPr>
            <w:r w:rsidRPr="000E04E2">
              <w:rPr>
                <w:highlight w:val="yellow"/>
              </w:rPr>
              <w:t>Catholic</w:t>
            </w:r>
          </w:p>
        </w:tc>
        <w:tc>
          <w:tcPr>
            <w:tcW w:w="997" w:type="dxa"/>
            <w:vAlign w:val="bottom"/>
          </w:tcPr>
          <w:p w14:paraId="43B1C826" w14:textId="77777777" w:rsidR="00E61CF3" w:rsidRPr="000E04E2" w:rsidRDefault="00E61CF3" w:rsidP="00380D78">
            <w:pPr>
              <w:jc w:val="both"/>
              <w:rPr>
                <w:highlight w:val="yellow"/>
              </w:rPr>
            </w:pPr>
            <w:r w:rsidRPr="000E04E2">
              <w:rPr>
                <w:highlight w:val="yellow"/>
              </w:rPr>
              <w:t>-3.583**</w:t>
            </w:r>
          </w:p>
        </w:tc>
        <w:tc>
          <w:tcPr>
            <w:tcW w:w="956" w:type="dxa"/>
            <w:vAlign w:val="bottom"/>
          </w:tcPr>
          <w:p w14:paraId="1658263C" w14:textId="77777777" w:rsidR="00E61CF3" w:rsidRPr="000E04E2" w:rsidRDefault="00E61CF3" w:rsidP="00380D78">
            <w:pPr>
              <w:jc w:val="both"/>
              <w:rPr>
                <w:highlight w:val="yellow"/>
              </w:rPr>
            </w:pPr>
            <w:r w:rsidRPr="000E04E2">
              <w:rPr>
                <w:highlight w:val="yellow"/>
              </w:rPr>
              <w:t>0.614</w:t>
            </w:r>
          </w:p>
        </w:tc>
        <w:tc>
          <w:tcPr>
            <w:tcW w:w="1032" w:type="dxa"/>
            <w:vAlign w:val="bottom"/>
          </w:tcPr>
          <w:p w14:paraId="4EBF89C3" w14:textId="77777777" w:rsidR="00E61CF3" w:rsidRPr="000E04E2" w:rsidRDefault="00E61CF3" w:rsidP="00380D78">
            <w:pPr>
              <w:jc w:val="both"/>
              <w:rPr>
                <w:highlight w:val="yellow"/>
              </w:rPr>
            </w:pPr>
            <w:r w:rsidRPr="000E04E2">
              <w:rPr>
                <w:highlight w:val="yellow"/>
              </w:rPr>
              <w:t>-2.435**</w:t>
            </w:r>
          </w:p>
        </w:tc>
        <w:tc>
          <w:tcPr>
            <w:tcW w:w="969" w:type="dxa"/>
            <w:gridSpan w:val="2"/>
            <w:vAlign w:val="bottom"/>
          </w:tcPr>
          <w:p w14:paraId="2514DFFF" w14:textId="77777777" w:rsidR="00E61CF3" w:rsidRPr="000E04E2" w:rsidRDefault="00E61CF3" w:rsidP="00380D78">
            <w:pPr>
              <w:jc w:val="both"/>
              <w:rPr>
                <w:highlight w:val="yellow"/>
              </w:rPr>
            </w:pPr>
            <w:r w:rsidRPr="000E04E2">
              <w:rPr>
                <w:highlight w:val="yellow"/>
              </w:rPr>
              <w:t>0.490</w:t>
            </w:r>
          </w:p>
        </w:tc>
        <w:tc>
          <w:tcPr>
            <w:tcW w:w="1015" w:type="dxa"/>
            <w:vAlign w:val="bottom"/>
          </w:tcPr>
          <w:p w14:paraId="2CE21187" w14:textId="77777777" w:rsidR="00E61CF3" w:rsidRPr="000E04E2" w:rsidRDefault="00E61CF3" w:rsidP="00380D78">
            <w:pPr>
              <w:jc w:val="both"/>
              <w:rPr>
                <w:highlight w:val="yellow"/>
              </w:rPr>
            </w:pPr>
            <w:r w:rsidRPr="000E04E2">
              <w:rPr>
                <w:highlight w:val="yellow"/>
              </w:rPr>
              <w:t>-2.081**</w:t>
            </w:r>
          </w:p>
        </w:tc>
        <w:tc>
          <w:tcPr>
            <w:tcW w:w="959" w:type="dxa"/>
            <w:vAlign w:val="bottom"/>
          </w:tcPr>
          <w:p w14:paraId="77C7445A" w14:textId="77777777" w:rsidR="00E61CF3" w:rsidRPr="000E04E2" w:rsidRDefault="00E61CF3" w:rsidP="00380D78">
            <w:pPr>
              <w:jc w:val="both"/>
              <w:rPr>
                <w:highlight w:val="yellow"/>
              </w:rPr>
            </w:pPr>
            <w:r w:rsidRPr="000E04E2">
              <w:rPr>
                <w:highlight w:val="yellow"/>
              </w:rPr>
              <w:t>0.522</w:t>
            </w:r>
          </w:p>
        </w:tc>
        <w:tc>
          <w:tcPr>
            <w:tcW w:w="1026" w:type="dxa"/>
            <w:vAlign w:val="bottom"/>
          </w:tcPr>
          <w:p w14:paraId="32962882" w14:textId="77777777" w:rsidR="00E61CF3" w:rsidRPr="000E04E2" w:rsidRDefault="00E61CF3" w:rsidP="00380D78">
            <w:pPr>
              <w:jc w:val="both"/>
              <w:rPr>
                <w:highlight w:val="yellow"/>
              </w:rPr>
            </w:pPr>
            <w:r w:rsidRPr="000E04E2">
              <w:rPr>
                <w:highlight w:val="yellow"/>
              </w:rPr>
              <w:t>2.424**</w:t>
            </w:r>
          </w:p>
        </w:tc>
        <w:tc>
          <w:tcPr>
            <w:tcW w:w="992" w:type="dxa"/>
            <w:vAlign w:val="bottom"/>
          </w:tcPr>
          <w:p w14:paraId="459CC7C9" w14:textId="77777777" w:rsidR="00E61CF3" w:rsidRPr="000E04E2" w:rsidRDefault="00E61CF3" w:rsidP="00380D78">
            <w:pPr>
              <w:jc w:val="both"/>
              <w:rPr>
                <w:highlight w:val="yellow"/>
              </w:rPr>
            </w:pPr>
            <w:r w:rsidRPr="000E04E2">
              <w:rPr>
                <w:highlight w:val="yellow"/>
              </w:rPr>
              <w:t>0.531</w:t>
            </w:r>
          </w:p>
        </w:tc>
        <w:tc>
          <w:tcPr>
            <w:tcW w:w="1134" w:type="dxa"/>
            <w:vAlign w:val="bottom"/>
          </w:tcPr>
          <w:p w14:paraId="2AA94B94" w14:textId="77777777" w:rsidR="00E61CF3" w:rsidRPr="000E04E2" w:rsidRDefault="00E61CF3" w:rsidP="00380D78">
            <w:pPr>
              <w:jc w:val="both"/>
              <w:rPr>
                <w:highlight w:val="yellow"/>
              </w:rPr>
            </w:pPr>
            <w:r w:rsidRPr="000E04E2">
              <w:rPr>
                <w:highlight w:val="yellow"/>
              </w:rPr>
              <w:t>-7.034**</w:t>
            </w:r>
          </w:p>
        </w:tc>
        <w:tc>
          <w:tcPr>
            <w:tcW w:w="992" w:type="dxa"/>
            <w:vAlign w:val="bottom"/>
          </w:tcPr>
          <w:p w14:paraId="3BC53346" w14:textId="77777777" w:rsidR="00E61CF3" w:rsidRPr="000E04E2" w:rsidRDefault="00E61CF3" w:rsidP="00380D78">
            <w:pPr>
              <w:rPr>
                <w:highlight w:val="yellow"/>
              </w:rPr>
            </w:pPr>
            <w:r w:rsidRPr="000E04E2">
              <w:rPr>
                <w:highlight w:val="yellow"/>
              </w:rPr>
              <w:t>0.495</w:t>
            </w:r>
          </w:p>
        </w:tc>
      </w:tr>
      <w:tr w:rsidR="00E61CF3" w:rsidRPr="000E04E2" w14:paraId="602D0997" w14:textId="77777777" w:rsidTr="00380D78">
        <w:tc>
          <w:tcPr>
            <w:tcW w:w="2544" w:type="dxa"/>
          </w:tcPr>
          <w:p w14:paraId="7A87B3C7" w14:textId="77777777" w:rsidR="00E61CF3" w:rsidRPr="000E04E2" w:rsidRDefault="00E61CF3" w:rsidP="00380D78">
            <w:pPr>
              <w:ind w:left="22" w:firstLine="179"/>
              <w:rPr>
                <w:highlight w:val="yellow"/>
              </w:rPr>
            </w:pPr>
            <w:r w:rsidRPr="000E04E2">
              <w:rPr>
                <w:highlight w:val="yellow"/>
              </w:rPr>
              <w:t>Anglican</w:t>
            </w:r>
          </w:p>
        </w:tc>
        <w:tc>
          <w:tcPr>
            <w:tcW w:w="997" w:type="dxa"/>
            <w:vAlign w:val="bottom"/>
          </w:tcPr>
          <w:p w14:paraId="4308E050" w14:textId="77777777" w:rsidR="00E61CF3" w:rsidRPr="000E04E2" w:rsidRDefault="00E61CF3" w:rsidP="00380D78">
            <w:pPr>
              <w:jc w:val="both"/>
              <w:rPr>
                <w:highlight w:val="yellow"/>
              </w:rPr>
            </w:pPr>
            <w:r w:rsidRPr="000E04E2">
              <w:rPr>
                <w:highlight w:val="yellow"/>
              </w:rPr>
              <w:t>3.966*</w:t>
            </w:r>
          </w:p>
        </w:tc>
        <w:tc>
          <w:tcPr>
            <w:tcW w:w="956" w:type="dxa"/>
            <w:vAlign w:val="bottom"/>
          </w:tcPr>
          <w:p w14:paraId="46924331" w14:textId="77777777" w:rsidR="00E61CF3" w:rsidRPr="000E04E2" w:rsidRDefault="00E61CF3" w:rsidP="00380D78">
            <w:pPr>
              <w:jc w:val="both"/>
              <w:rPr>
                <w:highlight w:val="yellow"/>
              </w:rPr>
            </w:pPr>
            <w:r w:rsidRPr="000E04E2">
              <w:rPr>
                <w:highlight w:val="yellow"/>
              </w:rPr>
              <w:t>1.613</w:t>
            </w:r>
          </w:p>
        </w:tc>
        <w:tc>
          <w:tcPr>
            <w:tcW w:w="1032" w:type="dxa"/>
            <w:vAlign w:val="bottom"/>
          </w:tcPr>
          <w:p w14:paraId="74287861" w14:textId="77777777" w:rsidR="00E61CF3" w:rsidRPr="000E04E2" w:rsidRDefault="00E61CF3" w:rsidP="00380D78">
            <w:pPr>
              <w:jc w:val="both"/>
              <w:rPr>
                <w:highlight w:val="yellow"/>
              </w:rPr>
            </w:pPr>
            <w:r w:rsidRPr="000E04E2">
              <w:rPr>
                <w:highlight w:val="yellow"/>
              </w:rPr>
              <w:t>4.851**</w:t>
            </w:r>
          </w:p>
        </w:tc>
        <w:tc>
          <w:tcPr>
            <w:tcW w:w="969" w:type="dxa"/>
            <w:gridSpan w:val="2"/>
            <w:vAlign w:val="bottom"/>
          </w:tcPr>
          <w:p w14:paraId="4F9F0950" w14:textId="77777777" w:rsidR="00E61CF3" w:rsidRPr="000E04E2" w:rsidRDefault="00E61CF3" w:rsidP="00380D78">
            <w:pPr>
              <w:jc w:val="both"/>
              <w:rPr>
                <w:highlight w:val="yellow"/>
              </w:rPr>
            </w:pPr>
            <w:r w:rsidRPr="000E04E2">
              <w:rPr>
                <w:highlight w:val="yellow"/>
              </w:rPr>
              <w:t>1.344</w:t>
            </w:r>
          </w:p>
        </w:tc>
        <w:tc>
          <w:tcPr>
            <w:tcW w:w="1015" w:type="dxa"/>
            <w:vAlign w:val="bottom"/>
          </w:tcPr>
          <w:p w14:paraId="23352771" w14:textId="77777777" w:rsidR="00E61CF3" w:rsidRPr="000E04E2" w:rsidRDefault="00E61CF3" w:rsidP="00380D78">
            <w:pPr>
              <w:jc w:val="both"/>
              <w:rPr>
                <w:highlight w:val="yellow"/>
              </w:rPr>
            </w:pPr>
            <w:r w:rsidRPr="000E04E2">
              <w:rPr>
                <w:highlight w:val="yellow"/>
              </w:rPr>
              <w:t>3.992**</w:t>
            </w:r>
          </w:p>
        </w:tc>
        <w:tc>
          <w:tcPr>
            <w:tcW w:w="959" w:type="dxa"/>
            <w:vAlign w:val="bottom"/>
          </w:tcPr>
          <w:p w14:paraId="4936EAAC" w14:textId="77777777" w:rsidR="00E61CF3" w:rsidRPr="000E04E2" w:rsidRDefault="00E61CF3" w:rsidP="00380D78">
            <w:pPr>
              <w:jc w:val="both"/>
              <w:rPr>
                <w:highlight w:val="yellow"/>
              </w:rPr>
            </w:pPr>
            <w:r w:rsidRPr="000E04E2">
              <w:rPr>
                <w:highlight w:val="yellow"/>
              </w:rPr>
              <w:t>1.354</w:t>
            </w:r>
          </w:p>
        </w:tc>
        <w:tc>
          <w:tcPr>
            <w:tcW w:w="1026" w:type="dxa"/>
            <w:vAlign w:val="bottom"/>
          </w:tcPr>
          <w:p w14:paraId="5AD5B368" w14:textId="77777777" w:rsidR="00E61CF3" w:rsidRPr="000E04E2" w:rsidRDefault="00E61CF3" w:rsidP="00380D78">
            <w:pPr>
              <w:jc w:val="both"/>
              <w:rPr>
                <w:highlight w:val="yellow"/>
              </w:rPr>
            </w:pPr>
            <w:r w:rsidRPr="000E04E2">
              <w:rPr>
                <w:highlight w:val="yellow"/>
              </w:rPr>
              <w:t>6.858**</w:t>
            </w:r>
          </w:p>
        </w:tc>
        <w:tc>
          <w:tcPr>
            <w:tcW w:w="992" w:type="dxa"/>
            <w:vAlign w:val="bottom"/>
          </w:tcPr>
          <w:p w14:paraId="53507E56" w14:textId="77777777" w:rsidR="00E61CF3" w:rsidRPr="000E04E2" w:rsidRDefault="00E61CF3" w:rsidP="00380D78">
            <w:pPr>
              <w:jc w:val="both"/>
              <w:rPr>
                <w:highlight w:val="yellow"/>
              </w:rPr>
            </w:pPr>
            <w:r w:rsidRPr="000E04E2">
              <w:rPr>
                <w:highlight w:val="yellow"/>
              </w:rPr>
              <w:t>1.292</w:t>
            </w:r>
          </w:p>
        </w:tc>
        <w:tc>
          <w:tcPr>
            <w:tcW w:w="1134" w:type="dxa"/>
            <w:vAlign w:val="bottom"/>
          </w:tcPr>
          <w:p w14:paraId="520B961D" w14:textId="77777777" w:rsidR="00E61CF3" w:rsidRPr="000E04E2" w:rsidRDefault="00E61CF3" w:rsidP="00380D78">
            <w:pPr>
              <w:jc w:val="both"/>
              <w:rPr>
                <w:highlight w:val="yellow"/>
              </w:rPr>
            </w:pPr>
            <w:r w:rsidRPr="000E04E2">
              <w:rPr>
                <w:highlight w:val="yellow"/>
              </w:rPr>
              <w:t>1.562</w:t>
            </w:r>
          </w:p>
        </w:tc>
        <w:tc>
          <w:tcPr>
            <w:tcW w:w="992" w:type="dxa"/>
            <w:vAlign w:val="bottom"/>
          </w:tcPr>
          <w:p w14:paraId="218AAD74" w14:textId="77777777" w:rsidR="00E61CF3" w:rsidRPr="000E04E2" w:rsidRDefault="00E61CF3" w:rsidP="00380D78">
            <w:pPr>
              <w:rPr>
                <w:highlight w:val="yellow"/>
              </w:rPr>
            </w:pPr>
            <w:r w:rsidRPr="000E04E2">
              <w:rPr>
                <w:highlight w:val="yellow"/>
              </w:rPr>
              <w:t>1.347</w:t>
            </w:r>
          </w:p>
        </w:tc>
      </w:tr>
      <w:tr w:rsidR="00E61CF3" w:rsidRPr="000E04E2" w14:paraId="304EC642" w14:textId="77777777" w:rsidTr="00380D78">
        <w:tc>
          <w:tcPr>
            <w:tcW w:w="2544" w:type="dxa"/>
          </w:tcPr>
          <w:p w14:paraId="3AD5C683" w14:textId="77777777" w:rsidR="00E61CF3" w:rsidRPr="000E04E2" w:rsidRDefault="00E61CF3" w:rsidP="00380D78">
            <w:pPr>
              <w:ind w:left="22" w:firstLine="179"/>
              <w:rPr>
                <w:highlight w:val="yellow"/>
              </w:rPr>
            </w:pPr>
            <w:r w:rsidRPr="000E04E2">
              <w:rPr>
                <w:highlight w:val="yellow"/>
              </w:rPr>
              <w:t>Islam</w:t>
            </w:r>
          </w:p>
        </w:tc>
        <w:tc>
          <w:tcPr>
            <w:tcW w:w="997" w:type="dxa"/>
            <w:vAlign w:val="bottom"/>
          </w:tcPr>
          <w:p w14:paraId="362D7591" w14:textId="77777777" w:rsidR="00E61CF3" w:rsidRPr="000E04E2" w:rsidRDefault="00E61CF3" w:rsidP="00380D78">
            <w:pPr>
              <w:jc w:val="both"/>
              <w:rPr>
                <w:highlight w:val="yellow"/>
              </w:rPr>
            </w:pPr>
            <w:r w:rsidRPr="000E04E2">
              <w:rPr>
                <w:highlight w:val="yellow"/>
              </w:rPr>
              <w:t>10.784*</w:t>
            </w:r>
          </w:p>
        </w:tc>
        <w:tc>
          <w:tcPr>
            <w:tcW w:w="956" w:type="dxa"/>
            <w:vAlign w:val="bottom"/>
          </w:tcPr>
          <w:p w14:paraId="09041DB0" w14:textId="77777777" w:rsidR="00E61CF3" w:rsidRPr="000E04E2" w:rsidRDefault="00E61CF3" w:rsidP="00380D78">
            <w:pPr>
              <w:jc w:val="both"/>
              <w:rPr>
                <w:highlight w:val="yellow"/>
              </w:rPr>
            </w:pPr>
            <w:r w:rsidRPr="000E04E2">
              <w:rPr>
                <w:highlight w:val="yellow"/>
              </w:rPr>
              <w:t>4.697</w:t>
            </w:r>
          </w:p>
        </w:tc>
        <w:tc>
          <w:tcPr>
            <w:tcW w:w="1032" w:type="dxa"/>
            <w:vAlign w:val="bottom"/>
          </w:tcPr>
          <w:p w14:paraId="7DF38C86" w14:textId="77777777" w:rsidR="00E61CF3" w:rsidRPr="000E04E2" w:rsidRDefault="00E61CF3" w:rsidP="00380D78">
            <w:pPr>
              <w:jc w:val="both"/>
              <w:rPr>
                <w:highlight w:val="yellow"/>
              </w:rPr>
            </w:pPr>
            <w:r w:rsidRPr="000E04E2">
              <w:rPr>
                <w:highlight w:val="yellow"/>
              </w:rPr>
              <w:t>3.186</w:t>
            </w:r>
          </w:p>
        </w:tc>
        <w:tc>
          <w:tcPr>
            <w:tcW w:w="969" w:type="dxa"/>
            <w:gridSpan w:val="2"/>
            <w:vAlign w:val="bottom"/>
          </w:tcPr>
          <w:p w14:paraId="0362FB9A" w14:textId="77777777" w:rsidR="00E61CF3" w:rsidRPr="000E04E2" w:rsidRDefault="00E61CF3" w:rsidP="00380D78">
            <w:pPr>
              <w:jc w:val="both"/>
              <w:rPr>
                <w:highlight w:val="yellow"/>
              </w:rPr>
            </w:pPr>
            <w:r w:rsidRPr="000E04E2">
              <w:rPr>
                <w:highlight w:val="yellow"/>
              </w:rPr>
              <w:t>3.515</w:t>
            </w:r>
          </w:p>
        </w:tc>
        <w:tc>
          <w:tcPr>
            <w:tcW w:w="1015" w:type="dxa"/>
            <w:vAlign w:val="bottom"/>
          </w:tcPr>
          <w:p w14:paraId="075AED6F" w14:textId="77777777" w:rsidR="00E61CF3" w:rsidRPr="000E04E2" w:rsidRDefault="00E61CF3" w:rsidP="00380D78">
            <w:pPr>
              <w:jc w:val="both"/>
              <w:rPr>
                <w:highlight w:val="yellow"/>
              </w:rPr>
            </w:pPr>
            <w:r w:rsidRPr="000E04E2">
              <w:rPr>
                <w:highlight w:val="yellow"/>
              </w:rPr>
              <w:t>20.269**</w:t>
            </w:r>
          </w:p>
        </w:tc>
        <w:tc>
          <w:tcPr>
            <w:tcW w:w="959" w:type="dxa"/>
            <w:vAlign w:val="bottom"/>
          </w:tcPr>
          <w:p w14:paraId="46536E6D" w14:textId="77777777" w:rsidR="00E61CF3" w:rsidRPr="000E04E2" w:rsidRDefault="00E61CF3" w:rsidP="00380D78">
            <w:pPr>
              <w:jc w:val="both"/>
              <w:rPr>
                <w:highlight w:val="yellow"/>
              </w:rPr>
            </w:pPr>
            <w:r w:rsidRPr="000E04E2">
              <w:rPr>
                <w:highlight w:val="yellow"/>
              </w:rPr>
              <w:t>3.430</w:t>
            </w:r>
          </w:p>
        </w:tc>
        <w:tc>
          <w:tcPr>
            <w:tcW w:w="1026" w:type="dxa"/>
            <w:vAlign w:val="bottom"/>
          </w:tcPr>
          <w:p w14:paraId="09C020CB" w14:textId="77777777" w:rsidR="00E61CF3" w:rsidRPr="000E04E2" w:rsidRDefault="00E61CF3" w:rsidP="00380D78">
            <w:pPr>
              <w:jc w:val="both"/>
              <w:rPr>
                <w:highlight w:val="yellow"/>
              </w:rPr>
            </w:pPr>
            <w:r w:rsidRPr="000E04E2">
              <w:rPr>
                <w:highlight w:val="yellow"/>
              </w:rPr>
              <w:t>15.907**</w:t>
            </w:r>
          </w:p>
        </w:tc>
        <w:tc>
          <w:tcPr>
            <w:tcW w:w="992" w:type="dxa"/>
            <w:vAlign w:val="bottom"/>
          </w:tcPr>
          <w:p w14:paraId="2AB6D361" w14:textId="77777777" w:rsidR="00E61CF3" w:rsidRPr="000E04E2" w:rsidRDefault="00E61CF3" w:rsidP="00380D78">
            <w:pPr>
              <w:jc w:val="both"/>
              <w:rPr>
                <w:highlight w:val="yellow"/>
              </w:rPr>
            </w:pPr>
            <w:r w:rsidRPr="000E04E2">
              <w:rPr>
                <w:highlight w:val="yellow"/>
              </w:rPr>
              <w:t>3.240</w:t>
            </w:r>
          </w:p>
        </w:tc>
        <w:tc>
          <w:tcPr>
            <w:tcW w:w="1134" w:type="dxa"/>
            <w:vAlign w:val="bottom"/>
          </w:tcPr>
          <w:p w14:paraId="42D7FC97" w14:textId="77777777" w:rsidR="00E61CF3" w:rsidRPr="000E04E2" w:rsidRDefault="00E61CF3" w:rsidP="00380D78">
            <w:pPr>
              <w:jc w:val="both"/>
              <w:rPr>
                <w:highlight w:val="yellow"/>
              </w:rPr>
            </w:pPr>
            <w:r w:rsidRPr="000E04E2">
              <w:rPr>
                <w:highlight w:val="yellow"/>
              </w:rPr>
              <w:t>3.764</w:t>
            </w:r>
          </w:p>
        </w:tc>
        <w:tc>
          <w:tcPr>
            <w:tcW w:w="992" w:type="dxa"/>
            <w:vAlign w:val="bottom"/>
          </w:tcPr>
          <w:p w14:paraId="73020A37" w14:textId="77777777" w:rsidR="00E61CF3" w:rsidRPr="000E04E2" w:rsidRDefault="00E61CF3" w:rsidP="00380D78">
            <w:pPr>
              <w:rPr>
                <w:highlight w:val="yellow"/>
              </w:rPr>
            </w:pPr>
            <w:r w:rsidRPr="000E04E2">
              <w:rPr>
                <w:highlight w:val="yellow"/>
              </w:rPr>
              <w:t>4.107</w:t>
            </w:r>
          </w:p>
        </w:tc>
      </w:tr>
      <w:tr w:rsidR="00E61CF3" w:rsidRPr="000E04E2" w14:paraId="056A140B" w14:textId="77777777" w:rsidTr="00380D78">
        <w:tc>
          <w:tcPr>
            <w:tcW w:w="2544" w:type="dxa"/>
          </w:tcPr>
          <w:p w14:paraId="5918A991" w14:textId="77777777" w:rsidR="00E61CF3" w:rsidRPr="000E04E2" w:rsidRDefault="00E61CF3" w:rsidP="00380D78">
            <w:pPr>
              <w:ind w:left="22" w:firstLine="179"/>
              <w:rPr>
                <w:highlight w:val="yellow"/>
              </w:rPr>
            </w:pPr>
            <w:r w:rsidRPr="000E04E2">
              <w:rPr>
                <w:highlight w:val="yellow"/>
              </w:rPr>
              <w:t>Jewish</w:t>
            </w:r>
          </w:p>
        </w:tc>
        <w:tc>
          <w:tcPr>
            <w:tcW w:w="997" w:type="dxa"/>
            <w:vAlign w:val="bottom"/>
          </w:tcPr>
          <w:p w14:paraId="222E067B" w14:textId="77777777" w:rsidR="00E61CF3" w:rsidRPr="000E04E2" w:rsidRDefault="00E61CF3" w:rsidP="00380D78">
            <w:pPr>
              <w:jc w:val="both"/>
              <w:rPr>
                <w:highlight w:val="yellow"/>
              </w:rPr>
            </w:pPr>
            <w:r w:rsidRPr="000E04E2">
              <w:rPr>
                <w:highlight w:val="yellow"/>
              </w:rPr>
              <w:t>6.037</w:t>
            </w:r>
          </w:p>
        </w:tc>
        <w:tc>
          <w:tcPr>
            <w:tcW w:w="956" w:type="dxa"/>
            <w:vAlign w:val="bottom"/>
          </w:tcPr>
          <w:p w14:paraId="5ABB5840" w14:textId="77777777" w:rsidR="00E61CF3" w:rsidRPr="000E04E2" w:rsidRDefault="00E61CF3" w:rsidP="00380D78">
            <w:pPr>
              <w:jc w:val="both"/>
              <w:rPr>
                <w:highlight w:val="yellow"/>
              </w:rPr>
            </w:pPr>
            <w:r w:rsidRPr="000E04E2">
              <w:rPr>
                <w:highlight w:val="yellow"/>
              </w:rPr>
              <w:t>6.179</w:t>
            </w:r>
          </w:p>
        </w:tc>
        <w:tc>
          <w:tcPr>
            <w:tcW w:w="1032" w:type="dxa"/>
            <w:vAlign w:val="bottom"/>
          </w:tcPr>
          <w:p w14:paraId="60357899" w14:textId="77777777" w:rsidR="00E61CF3" w:rsidRPr="000E04E2" w:rsidRDefault="00E61CF3" w:rsidP="00380D78">
            <w:pPr>
              <w:jc w:val="both"/>
              <w:rPr>
                <w:highlight w:val="yellow"/>
              </w:rPr>
            </w:pPr>
            <w:r w:rsidRPr="000E04E2">
              <w:rPr>
                <w:highlight w:val="yellow"/>
              </w:rPr>
              <w:t>0.078</w:t>
            </w:r>
          </w:p>
        </w:tc>
        <w:tc>
          <w:tcPr>
            <w:tcW w:w="969" w:type="dxa"/>
            <w:gridSpan w:val="2"/>
            <w:vAlign w:val="bottom"/>
          </w:tcPr>
          <w:p w14:paraId="7E606E41" w14:textId="77777777" w:rsidR="00E61CF3" w:rsidRPr="000E04E2" w:rsidRDefault="00E61CF3" w:rsidP="00380D78">
            <w:pPr>
              <w:jc w:val="both"/>
              <w:rPr>
                <w:highlight w:val="yellow"/>
              </w:rPr>
            </w:pPr>
            <w:r w:rsidRPr="000E04E2">
              <w:rPr>
                <w:highlight w:val="yellow"/>
              </w:rPr>
              <w:t>5.287</w:t>
            </w:r>
          </w:p>
        </w:tc>
        <w:tc>
          <w:tcPr>
            <w:tcW w:w="1015" w:type="dxa"/>
            <w:vAlign w:val="bottom"/>
          </w:tcPr>
          <w:p w14:paraId="5472AA4C" w14:textId="77777777" w:rsidR="00E61CF3" w:rsidRPr="000E04E2" w:rsidRDefault="00E61CF3" w:rsidP="00380D78">
            <w:pPr>
              <w:jc w:val="both"/>
              <w:rPr>
                <w:highlight w:val="yellow"/>
              </w:rPr>
            </w:pPr>
            <w:r w:rsidRPr="000E04E2">
              <w:rPr>
                <w:highlight w:val="yellow"/>
              </w:rPr>
              <w:t>-1.579</w:t>
            </w:r>
          </w:p>
        </w:tc>
        <w:tc>
          <w:tcPr>
            <w:tcW w:w="959" w:type="dxa"/>
            <w:vAlign w:val="bottom"/>
          </w:tcPr>
          <w:p w14:paraId="4DFC1B05" w14:textId="77777777" w:rsidR="00E61CF3" w:rsidRPr="000E04E2" w:rsidRDefault="00E61CF3" w:rsidP="00380D78">
            <w:pPr>
              <w:jc w:val="both"/>
              <w:rPr>
                <w:highlight w:val="yellow"/>
              </w:rPr>
            </w:pPr>
            <w:r w:rsidRPr="000E04E2">
              <w:rPr>
                <w:highlight w:val="yellow"/>
              </w:rPr>
              <w:t>3.565</w:t>
            </w:r>
          </w:p>
        </w:tc>
        <w:tc>
          <w:tcPr>
            <w:tcW w:w="1026" w:type="dxa"/>
            <w:vAlign w:val="bottom"/>
          </w:tcPr>
          <w:p w14:paraId="5BA580DB" w14:textId="77777777" w:rsidR="00E61CF3" w:rsidRPr="000E04E2" w:rsidRDefault="00E61CF3" w:rsidP="00380D78">
            <w:pPr>
              <w:jc w:val="both"/>
              <w:rPr>
                <w:highlight w:val="yellow"/>
              </w:rPr>
            </w:pPr>
            <w:r w:rsidRPr="000E04E2">
              <w:rPr>
                <w:highlight w:val="yellow"/>
              </w:rPr>
              <w:t>2.787</w:t>
            </w:r>
          </w:p>
        </w:tc>
        <w:tc>
          <w:tcPr>
            <w:tcW w:w="992" w:type="dxa"/>
            <w:vAlign w:val="bottom"/>
          </w:tcPr>
          <w:p w14:paraId="774D3CEE" w14:textId="77777777" w:rsidR="00E61CF3" w:rsidRPr="000E04E2" w:rsidRDefault="00E61CF3" w:rsidP="00380D78">
            <w:pPr>
              <w:jc w:val="both"/>
              <w:rPr>
                <w:highlight w:val="yellow"/>
              </w:rPr>
            </w:pPr>
            <w:r w:rsidRPr="000E04E2">
              <w:rPr>
                <w:highlight w:val="yellow"/>
              </w:rPr>
              <w:t>5.058</w:t>
            </w:r>
          </w:p>
        </w:tc>
        <w:tc>
          <w:tcPr>
            <w:tcW w:w="1134" w:type="dxa"/>
            <w:vAlign w:val="bottom"/>
          </w:tcPr>
          <w:p w14:paraId="69275B76" w14:textId="77777777" w:rsidR="00E61CF3" w:rsidRPr="000E04E2" w:rsidRDefault="00E61CF3" w:rsidP="00380D78">
            <w:pPr>
              <w:jc w:val="both"/>
              <w:rPr>
                <w:highlight w:val="yellow"/>
              </w:rPr>
            </w:pPr>
            <w:r w:rsidRPr="000E04E2">
              <w:rPr>
                <w:highlight w:val="yellow"/>
              </w:rPr>
              <w:t>3.982</w:t>
            </w:r>
          </w:p>
        </w:tc>
        <w:tc>
          <w:tcPr>
            <w:tcW w:w="992" w:type="dxa"/>
            <w:vAlign w:val="bottom"/>
          </w:tcPr>
          <w:p w14:paraId="25ECB860" w14:textId="77777777" w:rsidR="00E61CF3" w:rsidRPr="000E04E2" w:rsidRDefault="00E61CF3" w:rsidP="00380D78">
            <w:pPr>
              <w:rPr>
                <w:highlight w:val="yellow"/>
              </w:rPr>
            </w:pPr>
            <w:r w:rsidRPr="000E04E2">
              <w:rPr>
                <w:highlight w:val="yellow"/>
              </w:rPr>
              <w:t>4.839</w:t>
            </w:r>
          </w:p>
        </w:tc>
      </w:tr>
      <w:tr w:rsidR="00E61CF3" w:rsidRPr="000E04E2" w14:paraId="77B94795" w14:textId="77777777" w:rsidTr="00380D78">
        <w:tc>
          <w:tcPr>
            <w:tcW w:w="2544" w:type="dxa"/>
          </w:tcPr>
          <w:p w14:paraId="518FA351" w14:textId="77777777" w:rsidR="00E61CF3" w:rsidRPr="000E04E2" w:rsidRDefault="00E61CF3" w:rsidP="00380D78">
            <w:pPr>
              <w:ind w:left="22" w:firstLine="179"/>
              <w:rPr>
                <w:highlight w:val="yellow"/>
              </w:rPr>
            </w:pPr>
            <w:r w:rsidRPr="000E04E2">
              <w:rPr>
                <w:highlight w:val="yellow"/>
              </w:rPr>
              <w:t xml:space="preserve">Council of Churches </w:t>
            </w:r>
          </w:p>
        </w:tc>
        <w:tc>
          <w:tcPr>
            <w:tcW w:w="997" w:type="dxa"/>
            <w:vAlign w:val="bottom"/>
          </w:tcPr>
          <w:p w14:paraId="0E79328B" w14:textId="77777777" w:rsidR="00E61CF3" w:rsidRPr="000E04E2" w:rsidRDefault="00E61CF3" w:rsidP="00380D78">
            <w:pPr>
              <w:jc w:val="both"/>
              <w:rPr>
                <w:highlight w:val="yellow"/>
              </w:rPr>
            </w:pPr>
            <w:r w:rsidRPr="000E04E2">
              <w:rPr>
                <w:highlight w:val="yellow"/>
              </w:rPr>
              <w:t>2.351</w:t>
            </w:r>
          </w:p>
        </w:tc>
        <w:tc>
          <w:tcPr>
            <w:tcW w:w="956" w:type="dxa"/>
            <w:vAlign w:val="bottom"/>
          </w:tcPr>
          <w:p w14:paraId="5A94C959" w14:textId="77777777" w:rsidR="00E61CF3" w:rsidRPr="000E04E2" w:rsidRDefault="00E61CF3" w:rsidP="00380D78">
            <w:pPr>
              <w:jc w:val="both"/>
              <w:rPr>
                <w:highlight w:val="yellow"/>
              </w:rPr>
            </w:pPr>
            <w:r w:rsidRPr="000E04E2">
              <w:rPr>
                <w:highlight w:val="yellow"/>
              </w:rPr>
              <w:t>1.811</w:t>
            </w:r>
          </w:p>
        </w:tc>
        <w:tc>
          <w:tcPr>
            <w:tcW w:w="1032" w:type="dxa"/>
            <w:vAlign w:val="bottom"/>
          </w:tcPr>
          <w:p w14:paraId="18FD46C8" w14:textId="77777777" w:rsidR="00E61CF3" w:rsidRPr="000E04E2" w:rsidRDefault="00E61CF3" w:rsidP="00380D78">
            <w:pPr>
              <w:jc w:val="both"/>
              <w:rPr>
                <w:highlight w:val="yellow"/>
              </w:rPr>
            </w:pPr>
            <w:r w:rsidRPr="000E04E2">
              <w:rPr>
                <w:highlight w:val="yellow"/>
              </w:rPr>
              <w:t>0.637</w:t>
            </w:r>
          </w:p>
        </w:tc>
        <w:tc>
          <w:tcPr>
            <w:tcW w:w="969" w:type="dxa"/>
            <w:gridSpan w:val="2"/>
            <w:vAlign w:val="bottom"/>
          </w:tcPr>
          <w:p w14:paraId="47912C44" w14:textId="77777777" w:rsidR="00E61CF3" w:rsidRPr="000E04E2" w:rsidRDefault="00E61CF3" w:rsidP="00380D78">
            <w:pPr>
              <w:jc w:val="both"/>
              <w:rPr>
                <w:highlight w:val="yellow"/>
              </w:rPr>
            </w:pPr>
            <w:r w:rsidRPr="000E04E2">
              <w:rPr>
                <w:highlight w:val="yellow"/>
              </w:rPr>
              <w:t>1.536</w:t>
            </w:r>
          </w:p>
        </w:tc>
        <w:tc>
          <w:tcPr>
            <w:tcW w:w="1015" w:type="dxa"/>
            <w:vAlign w:val="bottom"/>
          </w:tcPr>
          <w:p w14:paraId="275BFCBA" w14:textId="77777777" w:rsidR="00E61CF3" w:rsidRPr="000E04E2" w:rsidRDefault="00E61CF3" w:rsidP="00380D78">
            <w:pPr>
              <w:jc w:val="both"/>
              <w:rPr>
                <w:highlight w:val="yellow"/>
              </w:rPr>
            </w:pPr>
            <w:r w:rsidRPr="000E04E2">
              <w:rPr>
                <w:highlight w:val="yellow"/>
              </w:rPr>
              <w:t>1.894</w:t>
            </w:r>
          </w:p>
        </w:tc>
        <w:tc>
          <w:tcPr>
            <w:tcW w:w="959" w:type="dxa"/>
            <w:vAlign w:val="bottom"/>
          </w:tcPr>
          <w:p w14:paraId="0EFB451D" w14:textId="77777777" w:rsidR="00E61CF3" w:rsidRPr="000E04E2" w:rsidRDefault="00E61CF3" w:rsidP="00380D78">
            <w:pPr>
              <w:jc w:val="both"/>
              <w:rPr>
                <w:highlight w:val="yellow"/>
              </w:rPr>
            </w:pPr>
            <w:r w:rsidRPr="000E04E2">
              <w:rPr>
                <w:highlight w:val="yellow"/>
              </w:rPr>
              <w:t>1.422</w:t>
            </w:r>
          </w:p>
        </w:tc>
        <w:tc>
          <w:tcPr>
            <w:tcW w:w="1026" w:type="dxa"/>
            <w:vAlign w:val="bottom"/>
          </w:tcPr>
          <w:p w14:paraId="58971F55" w14:textId="77777777" w:rsidR="00E61CF3" w:rsidRPr="000E04E2" w:rsidRDefault="00E61CF3" w:rsidP="00380D78">
            <w:pPr>
              <w:jc w:val="both"/>
              <w:rPr>
                <w:highlight w:val="yellow"/>
              </w:rPr>
            </w:pPr>
            <w:r w:rsidRPr="000E04E2">
              <w:rPr>
                <w:highlight w:val="yellow"/>
              </w:rPr>
              <w:t>3.829*</w:t>
            </w:r>
          </w:p>
        </w:tc>
        <w:tc>
          <w:tcPr>
            <w:tcW w:w="992" w:type="dxa"/>
            <w:vAlign w:val="bottom"/>
          </w:tcPr>
          <w:p w14:paraId="3899E9C1" w14:textId="77777777" w:rsidR="00E61CF3" w:rsidRPr="000E04E2" w:rsidRDefault="00E61CF3" w:rsidP="00380D78">
            <w:pPr>
              <w:jc w:val="both"/>
              <w:rPr>
                <w:highlight w:val="yellow"/>
              </w:rPr>
            </w:pPr>
            <w:r w:rsidRPr="000E04E2">
              <w:rPr>
                <w:highlight w:val="yellow"/>
              </w:rPr>
              <w:t>1.557</w:t>
            </w:r>
          </w:p>
        </w:tc>
        <w:tc>
          <w:tcPr>
            <w:tcW w:w="1134" w:type="dxa"/>
            <w:vAlign w:val="bottom"/>
          </w:tcPr>
          <w:p w14:paraId="03A95DD8" w14:textId="77777777" w:rsidR="00E61CF3" w:rsidRPr="000E04E2" w:rsidRDefault="00E61CF3" w:rsidP="00380D78">
            <w:pPr>
              <w:jc w:val="both"/>
              <w:rPr>
                <w:highlight w:val="yellow"/>
              </w:rPr>
            </w:pPr>
            <w:r w:rsidRPr="000E04E2">
              <w:rPr>
                <w:highlight w:val="yellow"/>
              </w:rPr>
              <w:t>-1.492</w:t>
            </w:r>
          </w:p>
        </w:tc>
        <w:tc>
          <w:tcPr>
            <w:tcW w:w="992" w:type="dxa"/>
            <w:vAlign w:val="bottom"/>
          </w:tcPr>
          <w:p w14:paraId="1381DAF3" w14:textId="77777777" w:rsidR="00E61CF3" w:rsidRPr="000E04E2" w:rsidRDefault="00E61CF3" w:rsidP="00380D78">
            <w:pPr>
              <w:rPr>
                <w:highlight w:val="yellow"/>
              </w:rPr>
            </w:pPr>
            <w:r w:rsidRPr="000E04E2">
              <w:rPr>
                <w:highlight w:val="yellow"/>
              </w:rPr>
              <w:t>1.469</w:t>
            </w:r>
          </w:p>
        </w:tc>
      </w:tr>
      <w:tr w:rsidR="00E61CF3" w:rsidRPr="000E04E2" w14:paraId="4FDB1B40" w14:textId="77777777" w:rsidTr="00380D78">
        <w:tc>
          <w:tcPr>
            <w:tcW w:w="2544" w:type="dxa"/>
          </w:tcPr>
          <w:p w14:paraId="19FC1EE2" w14:textId="77777777" w:rsidR="00E61CF3" w:rsidRPr="000E04E2" w:rsidRDefault="00E61CF3" w:rsidP="00380D78">
            <w:pPr>
              <w:ind w:left="22" w:firstLine="179"/>
              <w:rPr>
                <w:highlight w:val="yellow"/>
              </w:rPr>
            </w:pPr>
            <w:r w:rsidRPr="000E04E2">
              <w:rPr>
                <w:highlight w:val="yellow"/>
              </w:rPr>
              <w:t>Non-Council of Churches</w:t>
            </w:r>
          </w:p>
        </w:tc>
        <w:tc>
          <w:tcPr>
            <w:tcW w:w="997" w:type="dxa"/>
            <w:vAlign w:val="bottom"/>
          </w:tcPr>
          <w:p w14:paraId="78399266" w14:textId="77777777" w:rsidR="00E61CF3" w:rsidRPr="000E04E2" w:rsidRDefault="00E61CF3" w:rsidP="00380D78">
            <w:pPr>
              <w:jc w:val="both"/>
              <w:rPr>
                <w:highlight w:val="yellow"/>
              </w:rPr>
            </w:pPr>
            <w:r w:rsidRPr="000E04E2">
              <w:rPr>
                <w:highlight w:val="yellow"/>
              </w:rPr>
              <w:t>4.043*</w:t>
            </w:r>
          </w:p>
        </w:tc>
        <w:tc>
          <w:tcPr>
            <w:tcW w:w="956" w:type="dxa"/>
            <w:vAlign w:val="bottom"/>
          </w:tcPr>
          <w:p w14:paraId="53B24C23" w14:textId="77777777" w:rsidR="00E61CF3" w:rsidRPr="000E04E2" w:rsidRDefault="00E61CF3" w:rsidP="00380D78">
            <w:pPr>
              <w:jc w:val="both"/>
              <w:rPr>
                <w:highlight w:val="yellow"/>
              </w:rPr>
            </w:pPr>
            <w:r w:rsidRPr="000E04E2">
              <w:rPr>
                <w:highlight w:val="yellow"/>
              </w:rPr>
              <w:t>1.343</w:t>
            </w:r>
          </w:p>
        </w:tc>
        <w:tc>
          <w:tcPr>
            <w:tcW w:w="1032" w:type="dxa"/>
            <w:vAlign w:val="bottom"/>
          </w:tcPr>
          <w:p w14:paraId="7A1FC8EE" w14:textId="77777777" w:rsidR="00E61CF3" w:rsidRPr="000E04E2" w:rsidRDefault="00E61CF3" w:rsidP="00380D78">
            <w:pPr>
              <w:jc w:val="both"/>
              <w:rPr>
                <w:highlight w:val="yellow"/>
              </w:rPr>
            </w:pPr>
            <w:r w:rsidRPr="000E04E2">
              <w:rPr>
                <w:highlight w:val="yellow"/>
              </w:rPr>
              <w:t>4.434**</w:t>
            </w:r>
          </w:p>
        </w:tc>
        <w:tc>
          <w:tcPr>
            <w:tcW w:w="969" w:type="dxa"/>
            <w:gridSpan w:val="2"/>
            <w:vAlign w:val="bottom"/>
          </w:tcPr>
          <w:p w14:paraId="306C5A15" w14:textId="77777777" w:rsidR="00E61CF3" w:rsidRPr="000E04E2" w:rsidRDefault="00E61CF3" w:rsidP="00380D78">
            <w:pPr>
              <w:jc w:val="both"/>
              <w:rPr>
                <w:highlight w:val="yellow"/>
              </w:rPr>
            </w:pPr>
            <w:r w:rsidRPr="000E04E2">
              <w:rPr>
                <w:highlight w:val="yellow"/>
              </w:rPr>
              <w:t>1.122</w:t>
            </w:r>
          </w:p>
        </w:tc>
        <w:tc>
          <w:tcPr>
            <w:tcW w:w="1015" w:type="dxa"/>
            <w:vAlign w:val="bottom"/>
          </w:tcPr>
          <w:p w14:paraId="47C8A8C7" w14:textId="77777777" w:rsidR="00E61CF3" w:rsidRPr="000E04E2" w:rsidRDefault="00E61CF3" w:rsidP="00380D78">
            <w:pPr>
              <w:jc w:val="both"/>
              <w:rPr>
                <w:highlight w:val="yellow"/>
              </w:rPr>
            </w:pPr>
            <w:r w:rsidRPr="000E04E2">
              <w:rPr>
                <w:highlight w:val="yellow"/>
              </w:rPr>
              <w:t>6.028**</w:t>
            </w:r>
          </w:p>
        </w:tc>
        <w:tc>
          <w:tcPr>
            <w:tcW w:w="959" w:type="dxa"/>
            <w:vAlign w:val="bottom"/>
          </w:tcPr>
          <w:p w14:paraId="77FFA944" w14:textId="77777777" w:rsidR="00E61CF3" w:rsidRPr="000E04E2" w:rsidRDefault="00E61CF3" w:rsidP="00380D78">
            <w:pPr>
              <w:jc w:val="both"/>
              <w:rPr>
                <w:highlight w:val="yellow"/>
              </w:rPr>
            </w:pPr>
            <w:r w:rsidRPr="000E04E2">
              <w:rPr>
                <w:highlight w:val="yellow"/>
              </w:rPr>
              <w:t>1.196</w:t>
            </w:r>
          </w:p>
        </w:tc>
        <w:tc>
          <w:tcPr>
            <w:tcW w:w="1026" w:type="dxa"/>
            <w:vAlign w:val="bottom"/>
          </w:tcPr>
          <w:p w14:paraId="260D80C7" w14:textId="77777777" w:rsidR="00E61CF3" w:rsidRPr="000E04E2" w:rsidRDefault="00E61CF3" w:rsidP="00380D78">
            <w:pPr>
              <w:jc w:val="both"/>
              <w:rPr>
                <w:highlight w:val="yellow"/>
              </w:rPr>
            </w:pPr>
            <w:r w:rsidRPr="000E04E2">
              <w:rPr>
                <w:highlight w:val="yellow"/>
              </w:rPr>
              <w:t>1.796</w:t>
            </w:r>
          </w:p>
        </w:tc>
        <w:tc>
          <w:tcPr>
            <w:tcW w:w="992" w:type="dxa"/>
            <w:vAlign w:val="bottom"/>
          </w:tcPr>
          <w:p w14:paraId="6F121B7F" w14:textId="77777777" w:rsidR="00E61CF3" w:rsidRPr="000E04E2" w:rsidRDefault="00E61CF3" w:rsidP="00380D78">
            <w:pPr>
              <w:jc w:val="both"/>
              <w:rPr>
                <w:highlight w:val="yellow"/>
              </w:rPr>
            </w:pPr>
            <w:r w:rsidRPr="000E04E2">
              <w:rPr>
                <w:highlight w:val="yellow"/>
              </w:rPr>
              <w:t>1.144</w:t>
            </w:r>
          </w:p>
        </w:tc>
        <w:tc>
          <w:tcPr>
            <w:tcW w:w="1134" w:type="dxa"/>
            <w:vAlign w:val="bottom"/>
          </w:tcPr>
          <w:p w14:paraId="24B5C2BC" w14:textId="77777777" w:rsidR="00E61CF3" w:rsidRPr="000E04E2" w:rsidRDefault="00E61CF3" w:rsidP="00380D78">
            <w:pPr>
              <w:jc w:val="both"/>
              <w:rPr>
                <w:highlight w:val="yellow"/>
              </w:rPr>
            </w:pPr>
            <w:r w:rsidRPr="000E04E2">
              <w:rPr>
                <w:highlight w:val="yellow"/>
              </w:rPr>
              <w:t>2.982**</w:t>
            </w:r>
          </w:p>
        </w:tc>
        <w:tc>
          <w:tcPr>
            <w:tcW w:w="992" w:type="dxa"/>
            <w:vAlign w:val="bottom"/>
          </w:tcPr>
          <w:p w14:paraId="6BFC79D7" w14:textId="77777777" w:rsidR="00E61CF3" w:rsidRPr="000E04E2" w:rsidRDefault="00E61CF3" w:rsidP="00380D78">
            <w:pPr>
              <w:rPr>
                <w:highlight w:val="yellow"/>
              </w:rPr>
            </w:pPr>
            <w:r w:rsidRPr="000E04E2">
              <w:rPr>
                <w:highlight w:val="yellow"/>
              </w:rPr>
              <w:t>1.074</w:t>
            </w:r>
          </w:p>
        </w:tc>
      </w:tr>
      <w:tr w:rsidR="00E61CF3" w:rsidRPr="000E04E2" w14:paraId="55656D0F" w14:textId="77777777" w:rsidTr="00380D78">
        <w:tc>
          <w:tcPr>
            <w:tcW w:w="2544" w:type="dxa"/>
          </w:tcPr>
          <w:p w14:paraId="23B140B1" w14:textId="77777777" w:rsidR="00E61CF3" w:rsidRPr="000E04E2" w:rsidRDefault="00E61CF3" w:rsidP="00380D78">
            <w:pPr>
              <w:ind w:left="22" w:firstLine="179"/>
              <w:rPr>
                <w:highlight w:val="yellow"/>
              </w:rPr>
            </w:pPr>
            <w:r w:rsidRPr="000E04E2">
              <w:rPr>
                <w:highlight w:val="yellow"/>
              </w:rPr>
              <w:t>Other Independent</w:t>
            </w:r>
          </w:p>
        </w:tc>
        <w:tc>
          <w:tcPr>
            <w:tcW w:w="997" w:type="dxa"/>
            <w:vAlign w:val="bottom"/>
          </w:tcPr>
          <w:p w14:paraId="620B82FE" w14:textId="77777777" w:rsidR="00E61CF3" w:rsidRPr="000E04E2" w:rsidRDefault="00E61CF3" w:rsidP="00380D78">
            <w:pPr>
              <w:jc w:val="both"/>
              <w:rPr>
                <w:highlight w:val="yellow"/>
              </w:rPr>
            </w:pPr>
            <w:r w:rsidRPr="000E04E2">
              <w:rPr>
                <w:highlight w:val="yellow"/>
              </w:rPr>
              <w:t>-4.098</w:t>
            </w:r>
          </w:p>
        </w:tc>
        <w:tc>
          <w:tcPr>
            <w:tcW w:w="956" w:type="dxa"/>
            <w:vAlign w:val="bottom"/>
          </w:tcPr>
          <w:p w14:paraId="6EAD290E" w14:textId="77777777" w:rsidR="00E61CF3" w:rsidRPr="000E04E2" w:rsidRDefault="00E61CF3" w:rsidP="00380D78">
            <w:pPr>
              <w:jc w:val="both"/>
              <w:rPr>
                <w:highlight w:val="yellow"/>
              </w:rPr>
            </w:pPr>
            <w:r w:rsidRPr="000E04E2">
              <w:rPr>
                <w:highlight w:val="yellow"/>
              </w:rPr>
              <w:t>3.034</w:t>
            </w:r>
          </w:p>
        </w:tc>
        <w:tc>
          <w:tcPr>
            <w:tcW w:w="1032" w:type="dxa"/>
            <w:vAlign w:val="bottom"/>
          </w:tcPr>
          <w:p w14:paraId="040CF5AD" w14:textId="77777777" w:rsidR="00E61CF3" w:rsidRPr="000E04E2" w:rsidRDefault="00E61CF3" w:rsidP="00380D78">
            <w:pPr>
              <w:jc w:val="both"/>
              <w:rPr>
                <w:highlight w:val="yellow"/>
              </w:rPr>
            </w:pPr>
            <w:r w:rsidRPr="000E04E2">
              <w:rPr>
                <w:highlight w:val="yellow"/>
              </w:rPr>
              <w:t>2.639</w:t>
            </w:r>
          </w:p>
        </w:tc>
        <w:tc>
          <w:tcPr>
            <w:tcW w:w="969" w:type="dxa"/>
            <w:gridSpan w:val="2"/>
            <w:vAlign w:val="bottom"/>
          </w:tcPr>
          <w:p w14:paraId="00399D6E" w14:textId="77777777" w:rsidR="00E61CF3" w:rsidRPr="000E04E2" w:rsidRDefault="00E61CF3" w:rsidP="00380D78">
            <w:pPr>
              <w:jc w:val="both"/>
              <w:rPr>
                <w:highlight w:val="yellow"/>
              </w:rPr>
            </w:pPr>
            <w:r w:rsidRPr="000E04E2">
              <w:rPr>
                <w:highlight w:val="yellow"/>
              </w:rPr>
              <w:t>2.583</w:t>
            </w:r>
          </w:p>
        </w:tc>
        <w:tc>
          <w:tcPr>
            <w:tcW w:w="1015" w:type="dxa"/>
            <w:vAlign w:val="bottom"/>
          </w:tcPr>
          <w:p w14:paraId="3D59458D" w14:textId="77777777" w:rsidR="00E61CF3" w:rsidRPr="000E04E2" w:rsidRDefault="00E61CF3" w:rsidP="00380D78">
            <w:pPr>
              <w:jc w:val="both"/>
              <w:rPr>
                <w:highlight w:val="yellow"/>
              </w:rPr>
            </w:pPr>
            <w:r w:rsidRPr="000E04E2">
              <w:rPr>
                <w:highlight w:val="yellow"/>
              </w:rPr>
              <w:t>-8.475**</w:t>
            </w:r>
          </w:p>
        </w:tc>
        <w:tc>
          <w:tcPr>
            <w:tcW w:w="959" w:type="dxa"/>
            <w:vAlign w:val="bottom"/>
          </w:tcPr>
          <w:p w14:paraId="24CDFBBB" w14:textId="77777777" w:rsidR="00E61CF3" w:rsidRPr="000E04E2" w:rsidRDefault="00E61CF3" w:rsidP="00380D78">
            <w:pPr>
              <w:jc w:val="both"/>
              <w:rPr>
                <w:highlight w:val="yellow"/>
              </w:rPr>
            </w:pPr>
            <w:r w:rsidRPr="000E04E2">
              <w:rPr>
                <w:highlight w:val="yellow"/>
              </w:rPr>
              <w:t>2.814</w:t>
            </w:r>
          </w:p>
        </w:tc>
        <w:tc>
          <w:tcPr>
            <w:tcW w:w="1026" w:type="dxa"/>
            <w:vAlign w:val="bottom"/>
          </w:tcPr>
          <w:p w14:paraId="0D3EFE11" w14:textId="77777777" w:rsidR="00E61CF3" w:rsidRPr="000E04E2" w:rsidRDefault="00E61CF3" w:rsidP="00380D78">
            <w:pPr>
              <w:jc w:val="both"/>
              <w:rPr>
                <w:highlight w:val="yellow"/>
              </w:rPr>
            </w:pPr>
            <w:r w:rsidRPr="000E04E2">
              <w:rPr>
                <w:highlight w:val="yellow"/>
              </w:rPr>
              <w:t>-8.099**</w:t>
            </w:r>
          </w:p>
        </w:tc>
        <w:tc>
          <w:tcPr>
            <w:tcW w:w="992" w:type="dxa"/>
            <w:vAlign w:val="bottom"/>
          </w:tcPr>
          <w:p w14:paraId="44A59071" w14:textId="77777777" w:rsidR="00E61CF3" w:rsidRPr="000E04E2" w:rsidRDefault="00E61CF3" w:rsidP="00380D78">
            <w:pPr>
              <w:jc w:val="both"/>
              <w:rPr>
                <w:highlight w:val="yellow"/>
              </w:rPr>
            </w:pPr>
            <w:r w:rsidRPr="000E04E2">
              <w:rPr>
                <w:highlight w:val="yellow"/>
              </w:rPr>
              <w:t>2.556</w:t>
            </w:r>
          </w:p>
        </w:tc>
        <w:tc>
          <w:tcPr>
            <w:tcW w:w="1134" w:type="dxa"/>
            <w:vAlign w:val="bottom"/>
          </w:tcPr>
          <w:p w14:paraId="1EA316B8" w14:textId="77777777" w:rsidR="00E61CF3" w:rsidRPr="000E04E2" w:rsidRDefault="00E61CF3" w:rsidP="00380D78">
            <w:pPr>
              <w:jc w:val="both"/>
              <w:rPr>
                <w:highlight w:val="yellow"/>
              </w:rPr>
            </w:pPr>
            <w:r w:rsidRPr="000E04E2">
              <w:rPr>
                <w:highlight w:val="yellow"/>
              </w:rPr>
              <w:t>0.209</w:t>
            </w:r>
          </w:p>
        </w:tc>
        <w:tc>
          <w:tcPr>
            <w:tcW w:w="992" w:type="dxa"/>
            <w:vAlign w:val="bottom"/>
          </w:tcPr>
          <w:p w14:paraId="71AB583F" w14:textId="77777777" w:rsidR="00E61CF3" w:rsidRPr="000E04E2" w:rsidRDefault="00E61CF3" w:rsidP="00380D78">
            <w:pPr>
              <w:rPr>
                <w:highlight w:val="yellow"/>
              </w:rPr>
            </w:pPr>
            <w:r w:rsidRPr="000E04E2">
              <w:rPr>
                <w:highlight w:val="yellow"/>
              </w:rPr>
              <w:t>2.253</w:t>
            </w:r>
          </w:p>
        </w:tc>
      </w:tr>
      <w:tr w:rsidR="00E61CF3" w:rsidRPr="000E04E2" w14:paraId="054E0350" w14:textId="77777777" w:rsidTr="00380D78">
        <w:tc>
          <w:tcPr>
            <w:tcW w:w="2544" w:type="dxa"/>
          </w:tcPr>
          <w:p w14:paraId="2F15C22D" w14:textId="77777777" w:rsidR="00E61CF3" w:rsidRPr="000E04E2" w:rsidRDefault="00E61CF3" w:rsidP="00380D78">
            <w:pPr>
              <w:rPr>
                <w:highlight w:val="yellow"/>
              </w:rPr>
            </w:pPr>
          </w:p>
        </w:tc>
        <w:tc>
          <w:tcPr>
            <w:tcW w:w="997" w:type="dxa"/>
          </w:tcPr>
          <w:p w14:paraId="70C6F723" w14:textId="77777777" w:rsidR="00E61CF3" w:rsidRPr="000E04E2" w:rsidRDefault="00E61CF3" w:rsidP="00380D78">
            <w:pPr>
              <w:jc w:val="both"/>
              <w:rPr>
                <w:highlight w:val="yellow"/>
              </w:rPr>
            </w:pPr>
          </w:p>
        </w:tc>
        <w:tc>
          <w:tcPr>
            <w:tcW w:w="956" w:type="dxa"/>
          </w:tcPr>
          <w:p w14:paraId="1C03DBCC" w14:textId="77777777" w:rsidR="00E61CF3" w:rsidRPr="000E04E2" w:rsidRDefault="00E61CF3" w:rsidP="00380D78">
            <w:pPr>
              <w:jc w:val="both"/>
              <w:rPr>
                <w:highlight w:val="yellow"/>
              </w:rPr>
            </w:pPr>
          </w:p>
        </w:tc>
        <w:tc>
          <w:tcPr>
            <w:tcW w:w="1032" w:type="dxa"/>
          </w:tcPr>
          <w:p w14:paraId="5B13F21B" w14:textId="77777777" w:rsidR="00E61CF3" w:rsidRPr="000E04E2" w:rsidRDefault="00E61CF3" w:rsidP="00380D78">
            <w:pPr>
              <w:jc w:val="both"/>
              <w:rPr>
                <w:highlight w:val="yellow"/>
              </w:rPr>
            </w:pPr>
          </w:p>
        </w:tc>
        <w:tc>
          <w:tcPr>
            <w:tcW w:w="969" w:type="dxa"/>
            <w:gridSpan w:val="2"/>
          </w:tcPr>
          <w:p w14:paraId="273BDD36" w14:textId="77777777" w:rsidR="00E61CF3" w:rsidRPr="000E04E2" w:rsidRDefault="00E61CF3" w:rsidP="00380D78">
            <w:pPr>
              <w:jc w:val="both"/>
              <w:rPr>
                <w:highlight w:val="yellow"/>
              </w:rPr>
            </w:pPr>
          </w:p>
        </w:tc>
        <w:tc>
          <w:tcPr>
            <w:tcW w:w="1015" w:type="dxa"/>
          </w:tcPr>
          <w:p w14:paraId="3EA22D92" w14:textId="77777777" w:rsidR="00E61CF3" w:rsidRPr="000E04E2" w:rsidRDefault="00E61CF3" w:rsidP="00380D78">
            <w:pPr>
              <w:jc w:val="both"/>
              <w:rPr>
                <w:highlight w:val="yellow"/>
              </w:rPr>
            </w:pPr>
          </w:p>
        </w:tc>
        <w:tc>
          <w:tcPr>
            <w:tcW w:w="959" w:type="dxa"/>
          </w:tcPr>
          <w:p w14:paraId="6EBB026B" w14:textId="77777777" w:rsidR="00E61CF3" w:rsidRPr="000E04E2" w:rsidRDefault="00E61CF3" w:rsidP="00380D78">
            <w:pPr>
              <w:jc w:val="both"/>
              <w:rPr>
                <w:highlight w:val="yellow"/>
              </w:rPr>
            </w:pPr>
          </w:p>
        </w:tc>
        <w:tc>
          <w:tcPr>
            <w:tcW w:w="1026" w:type="dxa"/>
          </w:tcPr>
          <w:p w14:paraId="1758AE8C" w14:textId="77777777" w:rsidR="00E61CF3" w:rsidRPr="000E04E2" w:rsidRDefault="00E61CF3" w:rsidP="00380D78">
            <w:pPr>
              <w:jc w:val="both"/>
              <w:rPr>
                <w:highlight w:val="yellow"/>
              </w:rPr>
            </w:pPr>
          </w:p>
        </w:tc>
        <w:tc>
          <w:tcPr>
            <w:tcW w:w="992" w:type="dxa"/>
          </w:tcPr>
          <w:p w14:paraId="402CE516" w14:textId="77777777" w:rsidR="00E61CF3" w:rsidRPr="000E04E2" w:rsidRDefault="00E61CF3" w:rsidP="00380D78">
            <w:pPr>
              <w:jc w:val="both"/>
              <w:rPr>
                <w:highlight w:val="yellow"/>
              </w:rPr>
            </w:pPr>
          </w:p>
        </w:tc>
        <w:tc>
          <w:tcPr>
            <w:tcW w:w="1134" w:type="dxa"/>
          </w:tcPr>
          <w:p w14:paraId="155D47A0" w14:textId="77777777" w:rsidR="00E61CF3" w:rsidRPr="000E04E2" w:rsidRDefault="00E61CF3" w:rsidP="00380D78">
            <w:pPr>
              <w:jc w:val="both"/>
              <w:rPr>
                <w:highlight w:val="yellow"/>
              </w:rPr>
            </w:pPr>
          </w:p>
        </w:tc>
        <w:tc>
          <w:tcPr>
            <w:tcW w:w="992" w:type="dxa"/>
          </w:tcPr>
          <w:p w14:paraId="3691754E" w14:textId="77777777" w:rsidR="00E61CF3" w:rsidRPr="000E04E2" w:rsidRDefault="00E61CF3" w:rsidP="00380D78">
            <w:pPr>
              <w:jc w:val="both"/>
              <w:rPr>
                <w:highlight w:val="yellow"/>
              </w:rPr>
            </w:pPr>
          </w:p>
        </w:tc>
      </w:tr>
      <w:tr w:rsidR="00E61CF3" w:rsidRPr="000E04E2" w14:paraId="0350D1DF" w14:textId="77777777" w:rsidTr="00380D78">
        <w:tc>
          <w:tcPr>
            <w:tcW w:w="2544" w:type="dxa"/>
          </w:tcPr>
          <w:p w14:paraId="1CE1BC9A" w14:textId="77777777" w:rsidR="00E61CF3" w:rsidRPr="000E04E2" w:rsidRDefault="00E61CF3" w:rsidP="00380D78">
            <w:pPr>
              <w:rPr>
                <w:highlight w:val="yellow"/>
              </w:rPr>
            </w:pPr>
            <w:r w:rsidRPr="000E04E2">
              <w:rPr>
                <w:highlight w:val="yellow"/>
              </w:rPr>
              <w:t>Socioeconomic status</w:t>
            </w:r>
          </w:p>
        </w:tc>
        <w:tc>
          <w:tcPr>
            <w:tcW w:w="997" w:type="dxa"/>
          </w:tcPr>
          <w:p w14:paraId="1B0D1DB0" w14:textId="77777777" w:rsidR="00E61CF3" w:rsidRPr="000E04E2" w:rsidRDefault="00E61CF3" w:rsidP="00380D78">
            <w:pPr>
              <w:jc w:val="both"/>
              <w:rPr>
                <w:highlight w:val="yellow"/>
              </w:rPr>
            </w:pPr>
            <w:r w:rsidRPr="000E04E2">
              <w:rPr>
                <w:highlight w:val="yellow"/>
              </w:rPr>
              <w:t>0.398**</w:t>
            </w:r>
          </w:p>
        </w:tc>
        <w:tc>
          <w:tcPr>
            <w:tcW w:w="956" w:type="dxa"/>
          </w:tcPr>
          <w:p w14:paraId="6138B630" w14:textId="77777777" w:rsidR="00E61CF3" w:rsidRPr="000E04E2" w:rsidRDefault="00E61CF3" w:rsidP="00380D78">
            <w:pPr>
              <w:jc w:val="both"/>
              <w:rPr>
                <w:highlight w:val="yellow"/>
              </w:rPr>
            </w:pPr>
            <w:r w:rsidRPr="000E04E2">
              <w:rPr>
                <w:highlight w:val="yellow"/>
              </w:rPr>
              <w:t>0.004</w:t>
            </w:r>
          </w:p>
        </w:tc>
        <w:tc>
          <w:tcPr>
            <w:tcW w:w="1032" w:type="dxa"/>
          </w:tcPr>
          <w:p w14:paraId="57B233B1" w14:textId="77777777" w:rsidR="00E61CF3" w:rsidRPr="000E04E2" w:rsidRDefault="00E61CF3" w:rsidP="00380D78">
            <w:pPr>
              <w:jc w:val="both"/>
              <w:rPr>
                <w:highlight w:val="yellow"/>
              </w:rPr>
            </w:pPr>
            <w:r w:rsidRPr="000E04E2">
              <w:rPr>
                <w:highlight w:val="yellow"/>
              </w:rPr>
              <w:t>0.384**</w:t>
            </w:r>
          </w:p>
        </w:tc>
        <w:tc>
          <w:tcPr>
            <w:tcW w:w="969" w:type="dxa"/>
            <w:gridSpan w:val="2"/>
          </w:tcPr>
          <w:p w14:paraId="6A75E87C" w14:textId="77777777" w:rsidR="00E61CF3" w:rsidRPr="000E04E2" w:rsidRDefault="00E61CF3" w:rsidP="00380D78">
            <w:pPr>
              <w:jc w:val="both"/>
              <w:rPr>
                <w:highlight w:val="yellow"/>
              </w:rPr>
            </w:pPr>
            <w:r w:rsidRPr="000E04E2">
              <w:rPr>
                <w:highlight w:val="yellow"/>
              </w:rPr>
              <w:t>0.003</w:t>
            </w:r>
          </w:p>
        </w:tc>
        <w:tc>
          <w:tcPr>
            <w:tcW w:w="1015" w:type="dxa"/>
          </w:tcPr>
          <w:p w14:paraId="4864DF6C" w14:textId="77777777" w:rsidR="00E61CF3" w:rsidRPr="000E04E2" w:rsidRDefault="00E61CF3" w:rsidP="00380D78">
            <w:pPr>
              <w:jc w:val="both"/>
              <w:rPr>
                <w:highlight w:val="yellow"/>
              </w:rPr>
            </w:pPr>
            <w:r w:rsidRPr="000E04E2">
              <w:rPr>
                <w:highlight w:val="yellow"/>
              </w:rPr>
              <w:t>0.292**</w:t>
            </w:r>
          </w:p>
        </w:tc>
        <w:tc>
          <w:tcPr>
            <w:tcW w:w="959" w:type="dxa"/>
          </w:tcPr>
          <w:p w14:paraId="60DC0E2B" w14:textId="77777777" w:rsidR="00E61CF3" w:rsidRPr="000E04E2" w:rsidRDefault="00E61CF3" w:rsidP="00380D78">
            <w:pPr>
              <w:jc w:val="both"/>
              <w:rPr>
                <w:highlight w:val="yellow"/>
              </w:rPr>
            </w:pPr>
            <w:r w:rsidRPr="000E04E2">
              <w:rPr>
                <w:highlight w:val="yellow"/>
              </w:rPr>
              <w:t>0.003</w:t>
            </w:r>
          </w:p>
        </w:tc>
        <w:tc>
          <w:tcPr>
            <w:tcW w:w="1026" w:type="dxa"/>
          </w:tcPr>
          <w:p w14:paraId="751882F3" w14:textId="77777777" w:rsidR="00E61CF3" w:rsidRPr="000E04E2" w:rsidRDefault="00E61CF3" w:rsidP="00380D78">
            <w:pPr>
              <w:jc w:val="both"/>
              <w:rPr>
                <w:highlight w:val="yellow"/>
              </w:rPr>
            </w:pPr>
            <w:r w:rsidRPr="000E04E2">
              <w:rPr>
                <w:highlight w:val="yellow"/>
              </w:rPr>
              <w:t>0.264**</w:t>
            </w:r>
          </w:p>
        </w:tc>
        <w:tc>
          <w:tcPr>
            <w:tcW w:w="992" w:type="dxa"/>
          </w:tcPr>
          <w:p w14:paraId="4864A3BB" w14:textId="77777777" w:rsidR="00E61CF3" w:rsidRPr="000E04E2" w:rsidRDefault="00E61CF3" w:rsidP="00380D78">
            <w:pPr>
              <w:jc w:val="both"/>
              <w:rPr>
                <w:highlight w:val="yellow"/>
              </w:rPr>
            </w:pPr>
            <w:r w:rsidRPr="000E04E2">
              <w:rPr>
                <w:highlight w:val="yellow"/>
              </w:rPr>
              <w:t>0.004</w:t>
            </w:r>
          </w:p>
        </w:tc>
        <w:tc>
          <w:tcPr>
            <w:tcW w:w="1134" w:type="dxa"/>
          </w:tcPr>
          <w:p w14:paraId="57EA15B9" w14:textId="77777777" w:rsidR="00E61CF3" w:rsidRPr="000E04E2" w:rsidRDefault="00E61CF3" w:rsidP="00380D78">
            <w:pPr>
              <w:jc w:val="both"/>
              <w:rPr>
                <w:highlight w:val="yellow"/>
              </w:rPr>
            </w:pPr>
            <w:r w:rsidRPr="000E04E2">
              <w:rPr>
                <w:highlight w:val="yellow"/>
              </w:rPr>
              <w:t>0.317**</w:t>
            </w:r>
          </w:p>
        </w:tc>
        <w:tc>
          <w:tcPr>
            <w:tcW w:w="992" w:type="dxa"/>
          </w:tcPr>
          <w:p w14:paraId="4A503D69" w14:textId="77777777" w:rsidR="00E61CF3" w:rsidRPr="000E04E2" w:rsidRDefault="00E61CF3" w:rsidP="00380D78">
            <w:pPr>
              <w:jc w:val="both"/>
              <w:rPr>
                <w:highlight w:val="yellow"/>
              </w:rPr>
            </w:pPr>
            <w:r w:rsidRPr="000E04E2">
              <w:rPr>
                <w:highlight w:val="yellow"/>
              </w:rPr>
              <w:t>0.003</w:t>
            </w:r>
          </w:p>
        </w:tc>
      </w:tr>
      <w:tr w:rsidR="00E61CF3" w:rsidRPr="000E04E2" w14:paraId="4D51CAD4" w14:textId="77777777" w:rsidTr="00380D78">
        <w:tc>
          <w:tcPr>
            <w:tcW w:w="2544" w:type="dxa"/>
          </w:tcPr>
          <w:p w14:paraId="4E8FFAA1" w14:textId="77777777" w:rsidR="00E61CF3" w:rsidRPr="000E04E2" w:rsidRDefault="00E61CF3" w:rsidP="00380D78">
            <w:pPr>
              <w:rPr>
                <w:highlight w:val="yellow"/>
              </w:rPr>
            </w:pPr>
            <w:r w:rsidRPr="000E04E2">
              <w:rPr>
                <w:highlight w:val="yellow"/>
              </w:rPr>
              <w:t>Student/teacher ratio</w:t>
            </w:r>
          </w:p>
        </w:tc>
        <w:tc>
          <w:tcPr>
            <w:tcW w:w="997" w:type="dxa"/>
            <w:vAlign w:val="bottom"/>
          </w:tcPr>
          <w:p w14:paraId="048EC930" w14:textId="77777777" w:rsidR="00E61CF3" w:rsidRPr="000E04E2" w:rsidRDefault="00E61CF3" w:rsidP="00380D78">
            <w:pPr>
              <w:jc w:val="both"/>
              <w:rPr>
                <w:highlight w:val="yellow"/>
              </w:rPr>
            </w:pPr>
            <w:r w:rsidRPr="000E04E2">
              <w:rPr>
                <w:highlight w:val="yellow"/>
              </w:rPr>
              <w:t>0.543**</w:t>
            </w:r>
          </w:p>
        </w:tc>
        <w:tc>
          <w:tcPr>
            <w:tcW w:w="956" w:type="dxa"/>
            <w:vAlign w:val="bottom"/>
          </w:tcPr>
          <w:p w14:paraId="74C8E09F" w14:textId="77777777" w:rsidR="00E61CF3" w:rsidRPr="000E04E2" w:rsidRDefault="00E61CF3" w:rsidP="00380D78">
            <w:pPr>
              <w:jc w:val="both"/>
              <w:rPr>
                <w:highlight w:val="yellow"/>
              </w:rPr>
            </w:pPr>
            <w:r w:rsidRPr="000E04E2">
              <w:rPr>
                <w:highlight w:val="yellow"/>
              </w:rPr>
              <w:t>0.140</w:t>
            </w:r>
          </w:p>
        </w:tc>
        <w:tc>
          <w:tcPr>
            <w:tcW w:w="1032" w:type="dxa"/>
            <w:vAlign w:val="bottom"/>
          </w:tcPr>
          <w:p w14:paraId="595E17B7" w14:textId="77777777" w:rsidR="00E61CF3" w:rsidRPr="000E04E2" w:rsidRDefault="00E61CF3" w:rsidP="00380D78">
            <w:pPr>
              <w:jc w:val="both"/>
              <w:rPr>
                <w:highlight w:val="yellow"/>
              </w:rPr>
            </w:pPr>
            <w:r w:rsidRPr="000E04E2">
              <w:rPr>
                <w:highlight w:val="yellow"/>
              </w:rPr>
              <w:t>0.428**</w:t>
            </w:r>
          </w:p>
        </w:tc>
        <w:tc>
          <w:tcPr>
            <w:tcW w:w="969" w:type="dxa"/>
            <w:gridSpan w:val="2"/>
            <w:vAlign w:val="bottom"/>
          </w:tcPr>
          <w:p w14:paraId="09C0AD50" w14:textId="77777777" w:rsidR="00E61CF3" w:rsidRPr="000E04E2" w:rsidRDefault="00E61CF3" w:rsidP="00380D78">
            <w:pPr>
              <w:jc w:val="both"/>
              <w:rPr>
                <w:highlight w:val="yellow"/>
              </w:rPr>
            </w:pPr>
            <w:r w:rsidRPr="000E04E2">
              <w:rPr>
                <w:highlight w:val="yellow"/>
              </w:rPr>
              <w:t>0.112</w:t>
            </w:r>
          </w:p>
        </w:tc>
        <w:tc>
          <w:tcPr>
            <w:tcW w:w="1015" w:type="dxa"/>
            <w:vAlign w:val="bottom"/>
          </w:tcPr>
          <w:p w14:paraId="3FC583C5" w14:textId="77777777" w:rsidR="00E61CF3" w:rsidRPr="000E04E2" w:rsidRDefault="00E61CF3" w:rsidP="00380D78">
            <w:pPr>
              <w:jc w:val="both"/>
              <w:rPr>
                <w:highlight w:val="yellow"/>
              </w:rPr>
            </w:pPr>
            <w:r w:rsidRPr="000E04E2">
              <w:rPr>
                <w:highlight w:val="yellow"/>
              </w:rPr>
              <w:t>0.599**</w:t>
            </w:r>
          </w:p>
        </w:tc>
        <w:tc>
          <w:tcPr>
            <w:tcW w:w="959" w:type="dxa"/>
            <w:vAlign w:val="bottom"/>
          </w:tcPr>
          <w:p w14:paraId="175CEEC4" w14:textId="77777777" w:rsidR="00E61CF3" w:rsidRPr="000E04E2" w:rsidRDefault="00E61CF3" w:rsidP="00380D78">
            <w:pPr>
              <w:jc w:val="both"/>
              <w:rPr>
                <w:highlight w:val="yellow"/>
              </w:rPr>
            </w:pPr>
            <w:r w:rsidRPr="000E04E2">
              <w:rPr>
                <w:highlight w:val="yellow"/>
              </w:rPr>
              <w:t>0.123</w:t>
            </w:r>
          </w:p>
        </w:tc>
        <w:tc>
          <w:tcPr>
            <w:tcW w:w="1026" w:type="dxa"/>
            <w:vAlign w:val="bottom"/>
          </w:tcPr>
          <w:p w14:paraId="634092A4" w14:textId="77777777" w:rsidR="00E61CF3" w:rsidRPr="000E04E2" w:rsidRDefault="00E61CF3" w:rsidP="00380D78">
            <w:pPr>
              <w:jc w:val="both"/>
              <w:rPr>
                <w:highlight w:val="yellow"/>
              </w:rPr>
            </w:pPr>
            <w:r w:rsidRPr="000E04E2">
              <w:rPr>
                <w:highlight w:val="yellow"/>
              </w:rPr>
              <w:t>0.574**</w:t>
            </w:r>
          </w:p>
        </w:tc>
        <w:tc>
          <w:tcPr>
            <w:tcW w:w="992" w:type="dxa"/>
            <w:vAlign w:val="bottom"/>
          </w:tcPr>
          <w:p w14:paraId="3F469BAF" w14:textId="77777777" w:rsidR="00E61CF3" w:rsidRPr="000E04E2" w:rsidRDefault="00E61CF3" w:rsidP="00380D78">
            <w:pPr>
              <w:jc w:val="both"/>
              <w:rPr>
                <w:highlight w:val="yellow"/>
              </w:rPr>
            </w:pPr>
            <w:r w:rsidRPr="000E04E2">
              <w:rPr>
                <w:highlight w:val="yellow"/>
              </w:rPr>
              <w:t>0.141</w:t>
            </w:r>
          </w:p>
        </w:tc>
        <w:tc>
          <w:tcPr>
            <w:tcW w:w="1134" w:type="dxa"/>
            <w:vAlign w:val="bottom"/>
          </w:tcPr>
          <w:p w14:paraId="12CF56F4" w14:textId="77777777" w:rsidR="00E61CF3" w:rsidRPr="000E04E2" w:rsidRDefault="00E61CF3" w:rsidP="00380D78">
            <w:pPr>
              <w:jc w:val="both"/>
              <w:rPr>
                <w:highlight w:val="yellow"/>
              </w:rPr>
            </w:pPr>
            <w:r w:rsidRPr="000E04E2">
              <w:rPr>
                <w:highlight w:val="yellow"/>
              </w:rPr>
              <w:t>0.472**</w:t>
            </w:r>
          </w:p>
        </w:tc>
        <w:tc>
          <w:tcPr>
            <w:tcW w:w="992" w:type="dxa"/>
            <w:vAlign w:val="bottom"/>
          </w:tcPr>
          <w:p w14:paraId="374781F8" w14:textId="77777777" w:rsidR="00E61CF3" w:rsidRPr="000E04E2" w:rsidRDefault="00E61CF3" w:rsidP="00380D78">
            <w:pPr>
              <w:jc w:val="both"/>
              <w:rPr>
                <w:highlight w:val="yellow"/>
              </w:rPr>
            </w:pPr>
            <w:r w:rsidRPr="000E04E2">
              <w:rPr>
                <w:highlight w:val="yellow"/>
              </w:rPr>
              <w:t>0.110</w:t>
            </w:r>
          </w:p>
        </w:tc>
      </w:tr>
      <w:tr w:rsidR="00E61CF3" w:rsidRPr="000E04E2" w14:paraId="1A018D00" w14:textId="77777777" w:rsidTr="00380D78">
        <w:tc>
          <w:tcPr>
            <w:tcW w:w="2544" w:type="dxa"/>
          </w:tcPr>
          <w:p w14:paraId="55DF08A5" w14:textId="77777777" w:rsidR="00E61CF3" w:rsidRPr="000E04E2" w:rsidRDefault="00E61CF3" w:rsidP="00380D78">
            <w:pPr>
              <w:rPr>
                <w:highlight w:val="yellow"/>
              </w:rPr>
            </w:pPr>
            <w:r w:rsidRPr="000E04E2">
              <w:rPr>
                <w:highlight w:val="yellow"/>
              </w:rPr>
              <w:t>Total income/10000</w:t>
            </w:r>
          </w:p>
        </w:tc>
        <w:tc>
          <w:tcPr>
            <w:tcW w:w="997" w:type="dxa"/>
          </w:tcPr>
          <w:p w14:paraId="685B95C7" w14:textId="77777777" w:rsidR="00E61CF3" w:rsidRPr="000E04E2" w:rsidRDefault="00E61CF3" w:rsidP="00380D78">
            <w:pPr>
              <w:jc w:val="both"/>
              <w:rPr>
                <w:highlight w:val="yellow"/>
              </w:rPr>
            </w:pPr>
            <w:r w:rsidRPr="000E04E2">
              <w:rPr>
                <w:highlight w:val="yellow"/>
              </w:rPr>
              <w:t>1.714</w:t>
            </w:r>
          </w:p>
        </w:tc>
        <w:tc>
          <w:tcPr>
            <w:tcW w:w="956" w:type="dxa"/>
          </w:tcPr>
          <w:p w14:paraId="1C8DEC74" w14:textId="77777777" w:rsidR="00E61CF3" w:rsidRPr="000E04E2" w:rsidRDefault="00E61CF3" w:rsidP="00380D78">
            <w:pPr>
              <w:jc w:val="both"/>
              <w:rPr>
                <w:highlight w:val="yellow"/>
              </w:rPr>
            </w:pPr>
            <w:r w:rsidRPr="000E04E2">
              <w:rPr>
                <w:highlight w:val="yellow"/>
              </w:rPr>
              <w:t>1.076</w:t>
            </w:r>
          </w:p>
        </w:tc>
        <w:tc>
          <w:tcPr>
            <w:tcW w:w="1032" w:type="dxa"/>
          </w:tcPr>
          <w:p w14:paraId="0BB4ECF8" w14:textId="77777777" w:rsidR="00E61CF3" w:rsidRPr="000E04E2" w:rsidRDefault="00E61CF3" w:rsidP="00380D78">
            <w:pPr>
              <w:jc w:val="both"/>
              <w:rPr>
                <w:highlight w:val="yellow"/>
              </w:rPr>
            </w:pPr>
            <w:r w:rsidRPr="000E04E2">
              <w:rPr>
                <w:highlight w:val="yellow"/>
              </w:rPr>
              <w:t>2.957**</w:t>
            </w:r>
          </w:p>
        </w:tc>
        <w:tc>
          <w:tcPr>
            <w:tcW w:w="969" w:type="dxa"/>
            <w:gridSpan w:val="2"/>
          </w:tcPr>
          <w:p w14:paraId="36F39CDE" w14:textId="77777777" w:rsidR="00E61CF3" w:rsidRPr="000E04E2" w:rsidRDefault="00E61CF3" w:rsidP="00380D78">
            <w:pPr>
              <w:jc w:val="both"/>
              <w:rPr>
                <w:highlight w:val="yellow"/>
              </w:rPr>
            </w:pPr>
            <w:r w:rsidRPr="000E04E2">
              <w:rPr>
                <w:highlight w:val="yellow"/>
              </w:rPr>
              <w:t>0.863</w:t>
            </w:r>
          </w:p>
        </w:tc>
        <w:tc>
          <w:tcPr>
            <w:tcW w:w="1015" w:type="dxa"/>
          </w:tcPr>
          <w:p w14:paraId="3AD5C205" w14:textId="77777777" w:rsidR="00E61CF3" w:rsidRPr="000E04E2" w:rsidRDefault="00E61CF3" w:rsidP="00380D78">
            <w:pPr>
              <w:jc w:val="both"/>
              <w:rPr>
                <w:highlight w:val="yellow"/>
              </w:rPr>
            </w:pPr>
            <w:r w:rsidRPr="000E04E2">
              <w:rPr>
                <w:highlight w:val="yellow"/>
              </w:rPr>
              <w:t>-0.284</w:t>
            </w:r>
          </w:p>
        </w:tc>
        <w:tc>
          <w:tcPr>
            <w:tcW w:w="959" w:type="dxa"/>
          </w:tcPr>
          <w:p w14:paraId="35811DB2" w14:textId="77777777" w:rsidR="00E61CF3" w:rsidRPr="000E04E2" w:rsidRDefault="00E61CF3" w:rsidP="00380D78">
            <w:pPr>
              <w:jc w:val="both"/>
              <w:rPr>
                <w:highlight w:val="yellow"/>
              </w:rPr>
            </w:pPr>
            <w:r w:rsidRPr="000E04E2">
              <w:rPr>
                <w:highlight w:val="yellow"/>
              </w:rPr>
              <w:t>0.917</w:t>
            </w:r>
          </w:p>
        </w:tc>
        <w:tc>
          <w:tcPr>
            <w:tcW w:w="1026" w:type="dxa"/>
          </w:tcPr>
          <w:p w14:paraId="355D1460" w14:textId="77777777" w:rsidR="00E61CF3" w:rsidRPr="000E04E2" w:rsidRDefault="00E61CF3" w:rsidP="00380D78">
            <w:pPr>
              <w:jc w:val="both"/>
              <w:rPr>
                <w:highlight w:val="yellow"/>
              </w:rPr>
            </w:pPr>
            <w:r w:rsidRPr="000E04E2">
              <w:rPr>
                <w:highlight w:val="yellow"/>
              </w:rPr>
              <w:t>-1.969*</w:t>
            </w:r>
          </w:p>
        </w:tc>
        <w:tc>
          <w:tcPr>
            <w:tcW w:w="992" w:type="dxa"/>
          </w:tcPr>
          <w:p w14:paraId="4EE37121" w14:textId="77777777" w:rsidR="00E61CF3" w:rsidRPr="000E04E2" w:rsidRDefault="00E61CF3" w:rsidP="00380D78">
            <w:pPr>
              <w:jc w:val="both"/>
              <w:rPr>
                <w:highlight w:val="yellow"/>
              </w:rPr>
            </w:pPr>
            <w:r w:rsidRPr="000E04E2">
              <w:rPr>
                <w:highlight w:val="yellow"/>
              </w:rPr>
              <w:t>0.986</w:t>
            </w:r>
          </w:p>
        </w:tc>
        <w:tc>
          <w:tcPr>
            <w:tcW w:w="1134" w:type="dxa"/>
          </w:tcPr>
          <w:p w14:paraId="0677D90E" w14:textId="77777777" w:rsidR="00E61CF3" w:rsidRPr="000E04E2" w:rsidRDefault="00E61CF3" w:rsidP="00380D78">
            <w:pPr>
              <w:jc w:val="both"/>
              <w:rPr>
                <w:highlight w:val="yellow"/>
              </w:rPr>
            </w:pPr>
            <w:r w:rsidRPr="000E04E2">
              <w:rPr>
                <w:highlight w:val="yellow"/>
              </w:rPr>
              <w:t>4.997**</w:t>
            </w:r>
          </w:p>
        </w:tc>
        <w:tc>
          <w:tcPr>
            <w:tcW w:w="992" w:type="dxa"/>
          </w:tcPr>
          <w:p w14:paraId="3ECEAE4D" w14:textId="77777777" w:rsidR="00E61CF3" w:rsidRPr="000E04E2" w:rsidRDefault="00E61CF3" w:rsidP="00380D78">
            <w:pPr>
              <w:jc w:val="both"/>
              <w:rPr>
                <w:highlight w:val="yellow"/>
              </w:rPr>
            </w:pPr>
            <w:r w:rsidRPr="000E04E2">
              <w:rPr>
                <w:highlight w:val="yellow"/>
              </w:rPr>
              <w:t>0.896</w:t>
            </w:r>
          </w:p>
        </w:tc>
      </w:tr>
      <w:tr w:rsidR="00E61CF3" w:rsidRPr="000E04E2" w14:paraId="1DC07061" w14:textId="77777777" w:rsidTr="00380D78">
        <w:tc>
          <w:tcPr>
            <w:tcW w:w="2544" w:type="dxa"/>
          </w:tcPr>
          <w:p w14:paraId="488B0859" w14:textId="77777777" w:rsidR="00E61CF3" w:rsidRPr="000E04E2" w:rsidRDefault="00E61CF3" w:rsidP="00380D78">
            <w:pPr>
              <w:rPr>
                <w:highlight w:val="yellow"/>
              </w:rPr>
            </w:pPr>
          </w:p>
        </w:tc>
        <w:tc>
          <w:tcPr>
            <w:tcW w:w="997" w:type="dxa"/>
          </w:tcPr>
          <w:p w14:paraId="18CC25E3" w14:textId="77777777" w:rsidR="00E61CF3" w:rsidRPr="000E04E2" w:rsidRDefault="00E61CF3" w:rsidP="00380D78">
            <w:pPr>
              <w:rPr>
                <w:b/>
                <w:highlight w:val="yellow"/>
              </w:rPr>
            </w:pPr>
          </w:p>
        </w:tc>
        <w:tc>
          <w:tcPr>
            <w:tcW w:w="956" w:type="dxa"/>
          </w:tcPr>
          <w:p w14:paraId="6AD629FD" w14:textId="77777777" w:rsidR="00E61CF3" w:rsidRPr="000E04E2" w:rsidRDefault="00E61CF3" w:rsidP="00380D78">
            <w:pPr>
              <w:rPr>
                <w:b/>
                <w:highlight w:val="yellow"/>
              </w:rPr>
            </w:pPr>
          </w:p>
        </w:tc>
        <w:tc>
          <w:tcPr>
            <w:tcW w:w="1032" w:type="dxa"/>
          </w:tcPr>
          <w:p w14:paraId="3515B56A" w14:textId="77777777" w:rsidR="00E61CF3" w:rsidRPr="000E04E2" w:rsidRDefault="00E61CF3" w:rsidP="00380D78">
            <w:pPr>
              <w:rPr>
                <w:b/>
                <w:highlight w:val="yellow"/>
              </w:rPr>
            </w:pPr>
          </w:p>
        </w:tc>
        <w:tc>
          <w:tcPr>
            <w:tcW w:w="969" w:type="dxa"/>
            <w:gridSpan w:val="2"/>
          </w:tcPr>
          <w:p w14:paraId="1CDD6991" w14:textId="77777777" w:rsidR="00E61CF3" w:rsidRPr="000E04E2" w:rsidRDefault="00E61CF3" w:rsidP="00380D78">
            <w:pPr>
              <w:rPr>
                <w:b/>
                <w:highlight w:val="yellow"/>
              </w:rPr>
            </w:pPr>
          </w:p>
        </w:tc>
        <w:tc>
          <w:tcPr>
            <w:tcW w:w="1015" w:type="dxa"/>
          </w:tcPr>
          <w:p w14:paraId="7527B325" w14:textId="77777777" w:rsidR="00E61CF3" w:rsidRPr="000E04E2" w:rsidRDefault="00E61CF3" w:rsidP="00380D78">
            <w:pPr>
              <w:rPr>
                <w:b/>
                <w:highlight w:val="yellow"/>
              </w:rPr>
            </w:pPr>
          </w:p>
        </w:tc>
        <w:tc>
          <w:tcPr>
            <w:tcW w:w="959" w:type="dxa"/>
          </w:tcPr>
          <w:p w14:paraId="0F10799F" w14:textId="77777777" w:rsidR="00E61CF3" w:rsidRPr="000E04E2" w:rsidRDefault="00E61CF3" w:rsidP="00380D78">
            <w:pPr>
              <w:rPr>
                <w:b/>
                <w:highlight w:val="yellow"/>
              </w:rPr>
            </w:pPr>
          </w:p>
        </w:tc>
        <w:tc>
          <w:tcPr>
            <w:tcW w:w="1026" w:type="dxa"/>
          </w:tcPr>
          <w:p w14:paraId="061680E3" w14:textId="77777777" w:rsidR="00E61CF3" w:rsidRPr="000E04E2" w:rsidRDefault="00E61CF3" w:rsidP="00380D78">
            <w:pPr>
              <w:rPr>
                <w:highlight w:val="yellow"/>
              </w:rPr>
            </w:pPr>
          </w:p>
        </w:tc>
        <w:tc>
          <w:tcPr>
            <w:tcW w:w="992" w:type="dxa"/>
          </w:tcPr>
          <w:p w14:paraId="285B39D1" w14:textId="77777777" w:rsidR="00E61CF3" w:rsidRPr="000E04E2" w:rsidRDefault="00E61CF3" w:rsidP="00380D78">
            <w:pPr>
              <w:rPr>
                <w:b/>
                <w:highlight w:val="yellow"/>
              </w:rPr>
            </w:pPr>
          </w:p>
        </w:tc>
        <w:tc>
          <w:tcPr>
            <w:tcW w:w="1134" w:type="dxa"/>
          </w:tcPr>
          <w:p w14:paraId="4EC5C6FD" w14:textId="77777777" w:rsidR="00E61CF3" w:rsidRPr="000E04E2" w:rsidRDefault="00E61CF3" w:rsidP="00380D78">
            <w:pPr>
              <w:rPr>
                <w:b/>
                <w:highlight w:val="yellow"/>
              </w:rPr>
            </w:pPr>
          </w:p>
        </w:tc>
        <w:tc>
          <w:tcPr>
            <w:tcW w:w="992" w:type="dxa"/>
          </w:tcPr>
          <w:p w14:paraId="146FBD5E" w14:textId="77777777" w:rsidR="00E61CF3" w:rsidRPr="000E04E2" w:rsidRDefault="00E61CF3" w:rsidP="00380D78">
            <w:pPr>
              <w:rPr>
                <w:b/>
                <w:highlight w:val="yellow"/>
              </w:rPr>
            </w:pPr>
          </w:p>
        </w:tc>
      </w:tr>
      <w:tr w:rsidR="00E61CF3" w:rsidRPr="000E04E2" w14:paraId="18A84336" w14:textId="77777777" w:rsidTr="00380D78">
        <w:tc>
          <w:tcPr>
            <w:tcW w:w="2544" w:type="dxa"/>
          </w:tcPr>
          <w:p w14:paraId="7AA3F9AC" w14:textId="77777777" w:rsidR="00E61CF3" w:rsidRPr="000E04E2" w:rsidRDefault="00E61CF3" w:rsidP="00380D78">
            <w:pPr>
              <w:rPr>
                <w:highlight w:val="yellow"/>
              </w:rPr>
            </w:pPr>
            <w:r w:rsidRPr="000E04E2">
              <w:rPr>
                <w:highlight w:val="yellow"/>
              </w:rPr>
              <w:t>Additional controls</w:t>
            </w:r>
          </w:p>
        </w:tc>
        <w:tc>
          <w:tcPr>
            <w:tcW w:w="997" w:type="dxa"/>
          </w:tcPr>
          <w:p w14:paraId="7FAE43C6" w14:textId="77777777" w:rsidR="00E61CF3" w:rsidRPr="000E04E2" w:rsidRDefault="00E61CF3" w:rsidP="00380D78">
            <w:pPr>
              <w:rPr>
                <w:b/>
                <w:highlight w:val="yellow"/>
              </w:rPr>
            </w:pPr>
            <w:r w:rsidRPr="000E04E2">
              <w:rPr>
                <w:b/>
                <w:highlight w:val="yellow"/>
              </w:rPr>
              <w:t>YES</w:t>
            </w:r>
          </w:p>
        </w:tc>
        <w:tc>
          <w:tcPr>
            <w:tcW w:w="956" w:type="dxa"/>
          </w:tcPr>
          <w:p w14:paraId="5B6B12B7" w14:textId="77777777" w:rsidR="00E61CF3" w:rsidRPr="000E04E2" w:rsidRDefault="00E61CF3" w:rsidP="00380D78">
            <w:pPr>
              <w:rPr>
                <w:b/>
                <w:highlight w:val="yellow"/>
              </w:rPr>
            </w:pPr>
          </w:p>
        </w:tc>
        <w:tc>
          <w:tcPr>
            <w:tcW w:w="1032" w:type="dxa"/>
          </w:tcPr>
          <w:p w14:paraId="35B9E633" w14:textId="77777777" w:rsidR="00E61CF3" w:rsidRPr="000E04E2" w:rsidRDefault="00E61CF3" w:rsidP="00380D78">
            <w:pPr>
              <w:rPr>
                <w:b/>
                <w:highlight w:val="yellow"/>
              </w:rPr>
            </w:pPr>
            <w:r w:rsidRPr="000E04E2">
              <w:rPr>
                <w:b/>
                <w:highlight w:val="yellow"/>
              </w:rPr>
              <w:t>YES</w:t>
            </w:r>
          </w:p>
        </w:tc>
        <w:tc>
          <w:tcPr>
            <w:tcW w:w="969" w:type="dxa"/>
            <w:gridSpan w:val="2"/>
          </w:tcPr>
          <w:p w14:paraId="37C105B3" w14:textId="77777777" w:rsidR="00E61CF3" w:rsidRPr="000E04E2" w:rsidRDefault="00E61CF3" w:rsidP="00380D78">
            <w:pPr>
              <w:rPr>
                <w:b/>
                <w:highlight w:val="yellow"/>
              </w:rPr>
            </w:pPr>
          </w:p>
        </w:tc>
        <w:tc>
          <w:tcPr>
            <w:tcW w:w="1015" w:type="dxa"/>
          </w:tcPr>
          <w:p w14:paraId="03046F56" w14:textId="77777777" w:rsidR="00E61CF3" w:rsidRPr="000E04E2" w:rsidRDefault="00E61CF3" w:rsidP="00380D78">
            <w:pPr>
              <w:rPr>
                <w:b/>
                <w:highlight w:val="yellow"/>
              </w:rPr>
            </w:pPr>
            <w:r w:rsidRPr="000E04E2">
              <w:rPr>
                <w:b/>
                <w:highlight w:val="yellow"/>
              </w:rPr>
              <w:t>YES</w:t>
            </w:r>
          </w:p>
        </w:tc>
        <w:tc>
          <w:tcPr>
            <w:tcW w:w="959" w:type="dxa"/>
          </w:tcPr>
          <w:p w14:paraId="5C2FD868" w14:textId="77777777" w:rsidR="00E61CF3" w:rsidRPr="000E04E2" w:rsidRDefault="00E61CF3" w:rsidP="00380D78">
            <w:pPr>
              <w:rPr>
                <w:b/>
                <w:highlight w:val="yellow"/>
              </w:rPr>
            </w:pPr>
          </w:p>
        </w:tc>
        <w:tc>
          <w:tcPr>
            <w:tcW w:w="1026" w:type="dxa"/>
          </w:tcPr>
          <w:p w14:paraId="328E0765" w14:textId="77777777" w:rsidR="00E61CF3" w:rsidRPr="000E04E2" w:rsidRDefault="00E61CF3" w:rsidP="00380D78">
            <w:pPr>
              <w:rPr>
                <w:b/>
                <w:highlight w:val="yellow"/>
              </w:rPr>
            </w:pPr>
            <w:r w:rsidRPr="000E04E2">
              <w:rPr>
                <w:b/>
                <w:highlight w:val="yellow"/>
              </w:rPr>
              <w:t>YES</w:t>
            </w:r>
          </w:p>
        </w:tc>
        <w:tc>
          <w:tcPr>
            <w:tcW w:w="992" w:type="dxa"/>
          </w:tcPr>
          <w:p w14:paraId="0DBE709B" w14:textId="77777777" w:rsidR="00E61CF3" w:rsidRPr="000E04E2" w:rsidRDefault="00E61CF3" w:rsidP="00380D78">
            <w:pPr>
              <w:rPr>
                <w:b/>
                <w:highlight w:val="yellow"/>
              </w:rPr>
            </w:pPr>
          </w:p>
        </w:tc>
        <w:tc>
          <w:tcPr>
            <w:tcW w:w="1134" w:type="dxa"/>
          </w:tcPr>
          <w:p w14:paraId="5DF2A5A6" w14:textId="77777777" w:rsidR="00E61CF3" w:rsidRPr="000E04E2" w:rsidRDefault="00E61CF3" w:rsidP="00380D78">
            <w:pPr>
              <w:rPr>
                <w:b/>
                <w:highlight w:val="yellow"/>
              </w:rPr>
            </w:pPr>
            <w:r w:rsidRPr="000E04E2">
              <w:rPr>
                <w:b/>
                <w:highlight w:val="yellow"/>
              </w:rPr>
              <w:t>YES</w:t>
            </w:r>
          </w:p>
        </w:tc>
        <w:tc>
          <w:tcPr>
            <w:tcW w:w="992" w:type="dxa"/>
          </w:tcPr>
          <w:p w14:paraId="40C9CC1D" w14:textId="77777777" w:rsidR="00E61CF3" w:rsidRPr="000E04E2" w:rsidRDefault="00E61CF3" w:rsidP="00380D78">
            <w:pPr>
              <w:rPr>
                <w:b/>
                <w:highlight w:val="yellow"/>
              </w:rPr>
            </w:pPr>
          </w:p>
        </w:tc>
      </w:tr>
      <w:tr w:rsidR="00E61CF3" w:rsidRPr="000E04E2" w14:paraId="7F946A0D" w14:textId="77777777" w:rsidTr="00380D78">
        <w:tc>
          <w:tcPr>
            <w:tcW w:w="2544" w:type="dxa"/>
          </w:tcPr>
          <w:p w14:paraId="0A273DD2" w14:textId="77777777" w:rsidR="00E61CF3" w:rsidRPr="000E04E2" w:rsidRDefault="00E61CF3" w:rsidP="00380D78">
            <w:pPr>
              <w:rPr>
                <w:highlight w:val="yellow"/>
              </w:rPr>
            </w:pPr>
            <w:r w:rsidRPr="000E04E2">
              <w:rPr>
                <w:highlight w:val="yellow"/>
              </w:rPr>
              <w:t>Constant</w:t>
            </w:r>
          </w:p>
        </w:tc>
        <w:tc>
          <w:tcPr>
            <w:tcW w:w="997" w:type="dxa"/>
          </w:tcPr>
          <w:p w14:paraId="1E7B548B" w14:textId="77777777" w:rsidR="00E61CF3" w:rsidRPr="000E04E2" w:rsidRDefault="00E61CF3" w:rsidP="00380D78">
            <w:pPr>
              <w:jc w:val="both"/>
              <w:rPr>
                <w:highlight w:val="yellow"/>
              </w:rPr>
            </w:pPr>
            <w:r w:rsidRPr="000E04E2">
              <w:rPr>
                <w:highlight w:val="yellow"/>
              </w:rPr>
              <w:t>-11.93</w:t>
            </w:r>
          </w:p>
        </w:tc>
        <w:tc>
          <w:tcPr>
            <w:tcW w:w="956" w:type="dxa"/>
            <w:vAlign w:val="bottom"/>
          </w:tcPr>
          <w:p w14:paraId="7C671542" w14:textId="77777777" w:rsidR="00E61CF3" w:rsidRPr="000E04E2" w:rsidRDefault="00E61CF3" w:rsidP="00380D78">
            <w:pPr>
              <w:jc w:val="both"/>
              <w:rPr>
                <w:highlight w:val="yellow"/>
              </w:rPr>
            </w:pPr>
            <w:r w:rsidRPr="000E04E2">
              <w:rPr>
                <w:highlight w:val="yellow"/>
              </w:rPr>
              <w:t>6.496</w:t>
            </w:r>
          </w:p>
        </w:tc>
        <w:tc>
          <w:tcPr>
            <w:tcW w:w="1032" w:type="dxa"/>
          </w:tcPr>
          <w:p w14:paraId="19A79118" w14:textId="77777777" w:rsidR="00E61CF3" w:rsidRPr="000E04E2" w:rsidRDefault="00E61CF3" w:rsidP="00380D78">
            <w:pPr>
              <w:jc w:val="both"/>
              <w:rPr>
                <w:highlight w:val="yellow"/>
              </w:rPr>
            </w:pPr>
            <w:r w:rsidRPr="000E04E2">
              <w:rPr>
                <w:highlight w:val="yellow"/>
              </w:rPr>
              <w:t>9.95</w:t>
            </w:r>
          </w:p>
        </w:tc>
        <w:tc>
          <w:tcPr>
            <w:tcW w:w="969" w:type="dxa"/>
            <w:gridSpan w:val="2"/>
            <w:vAlign w:val="bottom"/>
          </w:tcPr>
          <w:p w14:paraId="4C7612F8" w14:textId="77777777" w:rsidR="00E61CF3" w:rsidRPr="000E04E2" w:rsidRDefault="00E61CF3" w:rsidP="00380D78">
            <w:pPr>
              <w:jc w:val="both"/>
              <w:rPr>
                <w:highlight w:val="yellow"/>
              </w:rPr>
            </w:pPr>
            <w:r w:rsidRPr="000E04E2">
              <w:rPr>
                <w:highlight w:val="yellow"/>
              </w:rPr>
              <w:t>5.622</w:t>
            </w:r>
          </w:p>
        </w:tc>
        <w:tc>
          <w:tcPr>
            <w:tcW w:w="1015" w:type="dxa"/>
          </w:tcPr>
          <w:p w14:paraId="68C29858" w14:textId="77777777" w:rsidR="00E61CF3" w:rsidRPr="000E04E2" w:rsidRDefault="00E61CF3" w:rsidP="00380D78">
            <w:pPr>
              <w:jc w:val="both"/>
              <w:rPr>
                <w:highlight w:val="yellow"/>
              </w:rPr>
            </w:pPr>
            <w:r w:rsidRPr="000E04E2">
              <w:rPr>
                <w:highlight w:val="yellow"/>
              </w:rPr>
              <w:t>74.88**</w:t>
            </w:r>
          </w:p>
        </w:tc>
        <w:tc>
          <w:tcPr>
            <w:tcW w:w="959" w:type="dxa"/>
          </w:tcPr>
          <w:p w14:paraId="0C5B6986" w14:textId="77777777" w:rsidR="00E61CF3" w:rsidRPr="000E04E2" w:rsidRDefault="00E61CF3" w:rsidP="00380D78">
            <w:pPr>
              <w:jc w:val="both"/>
              <w:rPr>
                <w:highlight w:val="yellow"/>
              </w:rPr>
            </w:pPr>
            <w:r w:rsidRPr="000E04E2">
              <w:rPr>
                <w:highlight w:val="yellow"/>
              </w:rPr>
              <w:t>5.112</w:t>
            </w:r>
          </w:p>
        </w:tc>
        <w:tc>
          <w:tcPr>
            <w:tcW w:w="1026" w:type="dxa"/>
          </w:tcPr>
          <w:p w14:paraId="29EBEF54" w14:textId="77777777" w:rsidR="00E61CF3" w:rsidRPr="000E04E2" w:rsidRDefault="00E61CF3" w:rsidP="00380D78">
            <w:pPr>
              <w:jc w:val="both"/>
              <w:rPr>
                <w:highlight w:val="yellow"/>
              </w:rPr>
            </w:pPr>
            <w:r w:rsidRPr="000E04E2">
              <w:rPr>
                <w:highlight w:val="yellow"/>
              </w:rPr>
              <w:t>106.38**</w:t>
            </w:r>
          </w:p>
        </w:tc>
        <w:tc>
          <w:tcPr>
            <w:tcW w:w="992" w:type="dxa"/>
          </w:tcPr>
          <w:p w14:paraId="5B494574" w14:textId="77777777" w:rsidR="00E61CF3" w:rsidRPr="000E04E2" w:rsidRDefault="00E61CF3" w:rsidP="00380D78">
            <w:pPr>
              <w:jc w:val="both"/>
              <w:rPr>
                <w:highlight w:val="yellow"/>
              </w:rPr>
            </w:pPr>
            <w:r w:rsidRPr="000E04E2">
              <w:rPr>
                <w:highlight w:val="yellow"/>
              </w:rPr>
              <w:t>5.306</w:t>
            </w:r>
          </w:p>
        </w:tc>
        <w:tc>
          <w:tcPr>
            <w:tcW w:w="1134" w:type="dxa"/>
          </w:tcPr>
          <w:p w14:paraId="24FA481C" w14:textId="77777777" w:rsidR="00E61CF3" w:rsidRPr="000E04E2" w:rsidRDefault="00E61CF3" w:rsidP="00380D78">
            <w:pPr>
              <w:jc w:val="both"/>
              <w:rPr>
                <w:highlight w:val="yellow"/>
              </w:rPr>
            </w:pPr>
            <w:r w:rsidRPr="000E04E2">
              <w:rPr>
                <w:highlight w:val="yellow"/>
              </w:rPr>
              <w:t>64.98**</w:t>
            </w:r>
          </w:p>
        </w:tc>
        <w:tc>
          <w:tcPr>
            <w:tcW w:w="992" w:type="dxa"/>
          </w:tcPr>
          <w:p w14:paraId="30AD3343" w14:textId="77777777" w:rsidR="00E61CF3" w:rsidRPr="000E04E2" w:rsidRDefault="00E61CF3" w:rsidP="00380D78">
            <w:pPr>
              <w:jc w:val="both"/>
              <w:rPr>
                <w:highlight w:val="yellow"/>
              </w:rPr>
            </w:pPr>
            <w:r w:rsidRPr="000E04E2">
              <w:rPr>
                <w:highlight w:val="yellow"/>
              </w:rPr>
              <w:t>4.911</w:t>
            </w:r>
          </w:p>
        </w:tc>
      </w:tr>
      <w:tr w:rsidR="00E61CF3" w:rsidRPr="000E04E2" w14:paraId="3E48063D" w14:textId="77777777" w:rsidTr="00380D78">
        <w:tc>
          <w:tcPr>
            <w:tcW w:w="2544" w:type="dxa"/>
            <w:tcBorders>
              <w:bottom w:val="single" w:sz="4" w:space="0" w:color="auto"/>
            </w:tcBorders>
          </w:tcPr>
          <w:p w14:paraId="7BB57752" w14:textId="77777777" w:rsidR="00E61CF3" w:rsidRPr="000E04E2" w:rsidRDefault="00E61CF3" w:rsidP="00380D78">
            <w:pPr>
              <w:ind w:left="22"/>
              <w:rPr>
                <w:highlight w:val="yellow"/>
              </w:rPr>
            </w:pPr>
            <w:r w:rsidRPr="000E04E2">
              <w:rPr>
                <w:highlight w:val="yellow"/>
              </w:rPr>
              <w:t>R</w:t>
            </w:r>
            <w:r w:rsidRPr="000E04E2">
              <w:rPr>
                <w:highlight w:val="yellow"/>
                <w:vertAlign w:val="superscript"/>
              </w:rPr>
              <w:t>2</w:t>
            </w:r>
          </w:p>
        </w:tc>
        <w:tc>
          <w:tcPr>
            <w:tcW w:w="997" w:type="dxa"/>
            <w:tcBorders>
              <w:bottom w:val="single" w:sz="4" w:space="0" w:color="auto"/>
            </w:tcBorders>
          </w:tcPr>
          <w:p w14:paraId="7BAF75B4" w14:textId="77777777" w:rsidR="00E61CF3" w:rsidRPr="000E04E2" w:rsidRDefault="00E61CF3" w:rsidP="00380D78">
            <w:pPr>
              <w:jc w:val="both"/>
              <w:rPr>
                <w:highlight w:val="yellow"/>
              </w:rPr>
            </w:pPr>
            <w:r w:rsidRPr="000E04E2">
              <w:rPr>
                <w:highlight w:val="yellow"/>
              </w:rPr>
              <w:t>0.639</w:t>
            </w:r>
          </w:p>
        </w:tc>
        <w:tc>
          <w:tcPr>
            <w:tcW w:w="956" w:type="dxa"/>
            <w:tcBorders>
              <w:bottom w:val="single" w:sz="4" w:space="0" w:color="auto"/>
            </w:tcBorders>
          </w:tcPr>
          <w:p w14:paraId="15437068" w14:textId="77777777" w:rsidR="00E61CF3" w:rsidRPr="000E04E2" w:rsidRDefault="00E61CF3" w:rsidP="00380D78">
            <w:pPr>
              <w:jc w:val="both"/>
              <w:rPr>
                <w:highlight w:val="yellow"/>
              </w:rPr>
            </w:pPr>
          </w:p>
        </w:tc>
        <w:tc>
          <w:tcPr>
            <w:tcW w:w="1032" w:type="dxa"/>
            <w:tcBorders>
              <w:bottom w:val="single" w:sz="4" w:space="0" w:color="auto"/>
            </w:tcBorders>
          </w:tcPr>
          <w:p w14:paraId="573BFC8E" w14:textId="77777777" w:rsidR="00E61CF3" w:rsidRPr="000E04E2" w:rsidRDefault="00E61CF3" w:rsidP="00380D78">
            <w:pPr>
              <w:rPr>
                <w:highlight w:val="yellow"/>
              </w:rPr>
            </w:pPr>
            <w:r w:rsidRPr="000E04E2">
              <w:rPr>
                <w:highlight w:val="yellow"/>
              </w:rPr>
              <w:t>0.685</w:t>
            </w:r>
          </w:p>
        </w:tc>
        <w:tc>
          <w:tcPr>
            <w:tcW w:w="969" w:type="dxa"/>
            <w:gridSpan w:val="2"/>
            <w:tcBorders>
              <w:bottom w:val="single" w:sz="4" w:space="0" w:color="auto"/>
            </w:tcBorders>
          </w:tcPr>
          <w:p w14:paraId="3354A4F6" w14:textId="77777777" w:rsidR="00E61CF3" w:rsidRPr="000E04E2" w:rsidRDefault="00E61CF3" w:rsidP="00380D78">
            <w:pPr>
              <w:jc w:val="both"/>
              <w:rPr>
                <w:highlight w:val="yellow"/>
              </w:rPr>
            </w:pPr>
          </w:p>
        </w:tc>
        <w:tc>
          <w:tcPr>
            <w:tcW w:w="1015" w:type="dxa"/>
            <w:tcBorders>
              <w:bottom w:val="single" w:sz="4" w:space="0" w:color="auto"/>
            </w:tcBorders>
          </w:tcPr>
          <w:p w14:paraId="51492EE2" w14:textId="77777777" w:rsidR="00E61CF3" w:rsidRPr="000E04E2" w:rsidRDefault="00E61CF3" w:rsidP="00380D78">
            <w:pPr>
              <w:jc w:val="both"/>
              <w:rPr>
                <w:highlight w:val="yellow"/>
              </w:rPr>
            </w:pPr>
            <w:r w:rsidRPr="000E04E2">
              <w:rPr>
                <w:highlight w:val="yellow"/>
              </w:rPr>
              <w:t>0.631</w:t>
            </w:r>
          </w:p>
        </w:tc>
        <w:tc>
          <w:tcPr>
            <w:tcW w:w="959" w:type="dxa"/>
            <w:tcBorders>
              <w:bottom w:val="single" w:sz="4" w:space="0" w:color="auto"/>
            </w:tcBorders>
          </w:tcPr>
          <w:p w14:paraId="7F9872CF" w14:textId="77777777" w:rsidR="00E61CF3" w:rsidRPr="000E04E2" w:rsidRDefault="00E61CF3" w:rsidP="00380D78">
            <w:pPr>
              <w:ind w:right="-43"/>
              <w:jc w:val="both"/>
              <w:rPr>
                <w:highlight w:val="yellow"/>
              </w:rPr>
            </w:pPr>
          </w:p>
        </w:tc>
        <w:tc>
          <w:tcPr>
            <w:tcW w:w="1026" w:type="dxa"/>
            <w:tcBorders>
              <w:bottom w:val="single" w:sz="4" w:space="0" w:color="auto"/>
            </w:tcBorders>
          </w:tcPr>
          <w:p w14:paraId="16795FD2" w14:textId="77777777" w:rsidR="00E61CF3" w:rsidRPr="000E04E2" w:rsidRDefault="00E61CF3" w:rsidP="00380D78">
            <w:pPr>
              <w:rPr>
                <w:highlight w:val="yellow"/>
              </w:rPr>
            </w:pPr>
            <w:r w:rsidRPr="000E04E2">
              <w:rPr>
                <w:highlight w:val="yellow"/>
              </w:rPr>
              <w:t>0.631</w:t>
            </w:r>
          </w:p>
        </w:tc>
        <w:tc>
          <w:tcPr>
            <w:tcW w:w="992" w:type="dxa"/>
            <w:tcBorders>
              <w:bottom w:val="single" w:sz="4" w:space="0" w:color="auto"/>
            </w:tcBorders>
          </w:tcPr>
          <w:p w14:paraId="495DAF10" w14:textId="77777777" w:rsidR="00E61CF3" w:rsidRPr="000E04E2" w:rsidRDefault="00E61CF3" w:rsidP="00380D78">
            <w:pPr>
              <w:jc w:val="both"/>
              <w:rPr>
                <w:highlight w:val="yellow"/>
              </w:rPr>
            </w:pPr>
          </w:p>
        </w:tc>
        <w:tc>
          <w:tcPr>
            <w:tcW w:w="1134" w:type="dxa"/>
            <w:tcBorders>
              <w:bottom w:val="single" w:sz="4" w:space="0" w:color="auto"/>
            </w:tcBorders>
          </w:tcPr>
          <w:p w14:paraId="2A11E65C" w14:textId="77777777" w:rsidR="00E61CF3" w:rsidRPr="000E04E2" w:rsidRDefault="00E61CF3" w:rsidP="00380D78">
            <w:pPr>
              <w:jc w:val="both"/>
              <w:rPr>
                <w:highlight w:val="yellow"/>
              </w:rPr>
            </w:pPr>
            <w:r w:rsidRPr="000E04E2">
              <w:rPr>
                <w:highlight w:val="yellow"/>
              </w:rPr>
              <w:t>0.622</w:t>
            </w:r>
          </w:p>
        </w:tc>
        <w:tc>
          <w:tcPr>
            <w:tcW w:w="992" w:type="dxa"/>
            <w:tcBorders>
              <w:bottom w:val="single" w:sz="4" w:space="0" w:color="auto"/>
            </w:tcBorders>
          </w:tcPr>
          <w:p w14:paraId="0BBF2055" w14:textId="77777777" w:rsidR="00E61CF3" w:rsidRPr="000E04E2" w:rsidRDefault="00E61CF3" w:rsidP="00380D78">
            <w:pPr>
              <w:jc w:val="both"/>
              <w:rPr>
                <w:highlight w:val="yellow"/>
              </w:rPr>
            </w:pPr>
          </w:p>
        </w:tc>
      </w:tr>
      <w:tr w:rsidR="00E61CF3" w:rsidRPr="000E04E2" w14:paraId="4C932319" w14:textId="77777777" w:rsidTr="00380D78">
        <w:tc>
          <w:tcPr>
            <w:tcW w:w="2544" w:type="dxa"/>
            <w:tcBorders>
              <w:top w:val="nil"/>
            </w:tcBorders>
          </w:tcPr>
          <w:p w14:paraId="6C243630" w14:textId="77777777" w:rsidR="00E61CF3" w:rsidRPr="000E04E2" w:rsidRDefault="00E61CF3" w:rsidP="00380D78">
            <w:pPr>
              <w:ind w:right="852"/>
              <w:rPr>
                <w:b/>
                <w:highlight w:val="yellow"/>
              </w:rPr>
            </w:pPr>
            <w:r w:rsidRPr="000E04E2">
              <w:rPr>
                <w:b/>
                <w:highlight w:val="yellow"/>
              </w:rPr>
              <w:t>Panel B: Year 5</w:t>
            </w:r>
          </w:p>
        </w:tc>
        <w:tc>
          <w:tcPr>
            <w:tcW w:w="997" w:type="dxa"/>
            <w:tcBorders>
              <w:top w:val="nil"/>
            </w:tcBorders>
          </w:tcPr>
          <w:p w14:paraId="443FBC15" w14:textId="77777777" w:rsidR="00E61CF3" w:rsidRPr="000E04E2" w:rsidRDefault="00E61CF3" w:rsidP="00380D78">
            <w:pPr>
              <w:jc w:val="both"/>
              <w:rPr>
                <w:highlight w:val="yellow"/>
              </w:rPr>
            </w:pPr>
          </w:p>
        </w:tc>
        <w:tc>
          <w:tcPr>
            <w:tcW w:w="956" w:type="dxa"/>
            <w:tcBorders>
              <w:top w:val="nil"/>
            </w:tcBorders>
          </w:tcPr>
          <w:p w14:paraId="5C1F5A27" w14:textId="77777777" w:rsidR="00E61CF3" w:rsidRPr="000E04E2" w:rsidRDefault="00E61CF3" w:rsidP="00380D78">
            <w:pPr>
              <w:jc w:val="both"/>
              <w:rPr>
                <w:highlight w:val="yellow"/>
              </w:rPr>
            </w:pPr>
          </w:p>
        </w:tc>
        <w:tc>
          <w:tcPr>
            <w:tcW w:w="1032" w:type="dxa"/>
            <w:tcBorders>
              <w:top w:val="nil"/>
            </w:tcBorders>
          </w:tcPr>
          <w:p w14:paraId="39D272EB" w14:textId="77777777" w:rsidR="00E61CF3" w:rsidRPr="000E04E2" w:rsidRDefault="00E61CF3" w:rsidP="00380D78">
            <w:pPr>
              <w:jc w:val="both"/>
              <w:rPr>
                <w:highlight w:val="yellow"/>
              </w:rPr>
            </w:pPr>
          </w:p>
        </w:tc>
        <w:tc>
          <w:tcPr>
            <w:tcW w:w="969" w:type="dxa"/>
            <w:gridSpan w:val="2"/>
            <w:tcBorders>
              <w:top w:val="nil"/>
            </w:tcBorders>
          </w:tcPr>
          <w:p w14:paraId="598F78A9" w14:textId="77777777" w:rsidR="00E61CF3" w:rsidRPr="000E04E2" w:rsidRDefault="00E61CF3" w:rsidP="00380D78">
            <w:pPr>
              <w:jc w:val="both"/>
              <w:rPr>
                <w:highlight w:val="yellow"/>
              </w:rPr>
            </w:pPr>
          </w:p>
        </w:tc>
        <w:tc>
          <w:tcPr>
            <w:tcW w:w="1015" w:type="dxa"/>
            <w:tcBorders>
              <w:top w:val="nil"/>
            </w:tcBorders>
          </w:tcPr>
          <w:p w14:paraId="7014DCAF" w14:textId="77777777" w:rsidR="00E61CF3" w:rsidRPr="000E04E2" w:rsidRDefault="00E61CF3" w:rsidP="00380D78">
            <w:pPr>
              <w:jc w:val="both"/>
              <w:rPr>
                <w:highlight w:val="yellow"/>
              </w:rPr>
            </w:pPr>
          </w:p>
        </w:tc>
        <w:tc>
          <w:tcPr>
            <w:tcW w:w="959" w:type="dxa"/>
            <w:tcBorders>
              <w:top w:val="nil"/>
            </w:tcBorders>
          </w:tcPr>
          <w:p w14:paraId="6B6317FD" w14:textId="77777777" w:rsidR="00E61CF3" w:rsidRPr="000E04E2" w:rsidRDefault="00E61CF3" w:rsidP="00380D78">
            <w:pPr>
              <w:ind w:right="-43"/>
              <w:jc w:val="both"/>
              <w:rPr>
                <w:highlight w:val="yellow"/>
              </w:rPr>
            </w:pPr>
          </w:p>
        </w:tc>
        <w:tc>
          <w:tcPr>
            <w:tcW w:w="1026" w:type="dxa"/>
            <w:tcBorders>
              <w:top w:val="nil"/>
            </w:tcBorders>
          </w:tcPr>
          <w:p w14:paraId="539C2CD6" w14:textId="77777777" w:rsidR="00E61CF3" w:rsidRPr="000E04E2" w:rsidRDefault="00E61CF3" w:rsidP="00380D78">
            <w:pPr>
              <w:jc w:val="both"/>
              <w:rPr>
                <w:highlight w:val="yellow"/>
              </w:rPr>
            </w:pPr>
          </w:p>
        </w:tc>
        <w:tc>
          <w:tcPr>
            <w:tcW w:w="992" w:type="dxa"/>
            <w:tcBorders>
              <w:top w:val="nil"/>
            </w:tcBorders>
          </w:tcPr>
          <w:p w14:paraId="2970E52F" w14:textId="77777777" w:rsidR="00E61CF3" w:rsidRPr="000E04E2" w:rsidRDefault="00E61CF3" w:rsidP="00380D78">
            <w:pPr>
              <w:jc w:val="both"/>
              <w:rPr>
                <w:highlight w:val="yellow"/>
              </w:rPr>
            </w:pPr>
          </w:p>
        </w:tc>
        <w:tc>
          <w:tcPr>
            <w:tcW w:w="1134" w:type="dxa"/>
            <w:tcBorders>
              <w:top w:val="nil"/>
            </w:tcBorders>
          </w:tcPr>
          <w:p w14:paraId="6B1514F0" w14:textId="77777777" w:rsidR="00E61CF3" w:rsidRPr="000E04E2" w:rsidRDefault="00E61CF3" w:rsidP="00380D78">
            <w:pPr>
              <w:jc w:val="both"/>
              <w:rPr>
                <w:highlight w:val="yellow"/>
              </w:rPr>
            </w:pPr>
          </w:p>
        </w:tc>
        <w:tc>
          <w:tcPr>
            <w:tcW w:w="992" w:type="dxa"/>
            <w:tcBorders>
              <w:top w:val="nil"/>
            </w:tcBorders>
          </w:tcPr>
          <w:p w14:paraId="22D1255D" w14:textId="77777777" w:rsidR="00E61CF3" w:rsidRPr="000E04E2" w:rsidRDefault="00E61CF3" w:rsidP="00380D78">
            <w:pPr>
              <w:jc w:val="both"/>
              <w:rPr>
                <w:highlight w:val="yellow"/>
              </w:rPr>
            </w:pPr>
          </w:p>
        </w:tc>
      </w:tr>
      <w:tr w:rsidR="00E61CF3" w:rsidRPr="000E04E2" w14:paraId="773D5D5E" w14:textId="77777777" w:rsidTr="00380D78">
        <w:tc>
          <w:tcPr>
            <w:tcW w:w="2544" w:type="dxa"/>
          </w:tcPr>
          <w:p w14:paraId="43B64668" w14:textId="77777777" w:rsidR="00E61CF3" w:rsidRPr="000E04E2" w:rsidRDefault="00E61CF3" w:rsidP="00380D78">
            <w:pPr>
              <w:ind w:right="852"/>
              <w:rPr>
                <w:b/>
                <w:i/>
                <w:highlight w:val="yellow"/>
              </w:rPr>
            </w:pPr>
            <w:r w:rsidRPr="000E04E2">
              <w:rPr>
                <w:b/>
                <w:i/>
                <w:highlight w:val="yellow"/>
              </w:rPr>
              <w:t>Religion</w:t>
            </w:r>
          </w:p>
        </w:tc>
        <w:tc>
          <w:tcPr>
            <w:tcW w:w="997" w:type="dxa"/>
          </w:tcPr>
          <w:p w14:paraId="42B7D2D5" w14:textId="77777777" w:rsidR="00E61CF3" w:rsidRPr="000E04E2" w:rsidRDefault="00E61CF3" w:rsidP="00380D78">
            <w:pPr>
              <w:jc w:val="both"/>
              <w:rPr>
                <w:highlight w:val="yellow"/>
              </w:rPr>
            </w:pPr>
          </w:p>
        </w:tc>
        <w:tc>
          <w:tcPr>
            <w:tcW w:w="956" w:type="dxa"/>
          </w:tcPr>
          <w:p w14:paraId="2120010F" w14:textId="77777777" w:rsidR="00E61CF3" w:rsidRPr="000E04E2" w:rsidRDefault="00E61CF3" w:rsidP="00380D78">
            <w:pPr>
              <w:jc w:val="both"/>
              <w:rPr>
                <w:highlight w:val="yellow"/>
              </w:rPr>
            </w:pPr>
          </w:p>
        </w:tc>
        <w:tc>
          <w:tcPr>
            <w:tcW w:w="1032" w:type="dxa"/>
          </w:tcPr>
          <w:p w14:paraId="63D56175" w14:textId="77777777" w:rsidR="00E61CF3" w:rsidRPr="000E04E2" w:rsidRDefault="00E61CF3" w:rsidP="00380D78">
            <w:pPr>
              <w:jc w:val="both"/>
              <w:rPr>
                <w:highlight w:val="yellow"/>
              </w:rPr>
            </w:pPr>
          </w:p>
        </w:tc>
        <w:tc>
          <w:tcPr>
            <w:tcW w:w="969" w:type="dxa"/>
            <w:gridSpan w:val="2"/>
          </w:tcPr>
          <w:p w14:paraId="0C08AA83" w14:textId="77777777" w:rsidR="00E61CF3" w:rsidRPr="000E04E2" w:rsidRDefault="00E61CF3" w:rsidP="00380D78">
            <w:pPr>
              <w:jc w:val="both"/>
              <w:rPr>
                <w:highlight w:val="yellow"/>
              </w:rPr>
            </w:pPr>
          </w:p>
        </w:tc>
        <w:tc>
          <w:tcPr>
            <w:tcW w:w="1015" w:type="dxa"/>
          </w:tcPr>
          <w:p w14:paraId="4382115F" w14:textId="77777777" w:rsidR="00E61CF3" w:rsidRPr="000E04E2" w:rsidRDefault="00E61CF3" w:rsidP="00380D78">
            <w:pPr>
              <w:jc w:val="both"/>
              <w:rPr>
                <w:highlight w:val="yellow"/>
              </w:rPr>
            </w:pPr>
          </w:p>
        </w:tc>
        <w:tc>
          <w:tcPr>
            <w:tcW w:w="959" w:type="dxa"/>
          </w:tcPr>
          <w:p w14:paraId="6FE142AC" w14:textId="77777777" w:rsidR="00E61CF3" w:rsidRPr="000E04E2" w:rsidRDefault="00E61CF3" w:rsidP="00380D78">
            <w:pPr>
              <w:ind w:right="-43"/>
              <w:jc w:val="both"/>
              <w:rPr>
                <w:highlight w:val="yellow"/>
              </w:rPr>
            </w:pPr>
          </w:p>
        </w:tc>
        <w:tc>
          <w:tcPr>
            <w:tcW w:w="1026" w:type="dxa"/>
          </w:tcPr>
          <w:p w14:paraId="2FC7C688" w14:textId="77777777" w:rsidR="00E61CF3" w:rsidRPr="000E04E2" w:rsidRDefault="00E61CF3" w:rsidP="00380D78">
            <w:pPr>
              <w:jc w:val="both"/>
              <w:rPr>
                <w:highlight w:val="yellow"/>
              </w:rPr>
            </w:pPr>
          </w:p>
        </w:tc>
        <w:tc>
          <w:tcPr>
            <w:tcW w:w="992" w:type="dxa"/>
          </w:tcPr>
          <w:p w14:paraId="1E182799" w14:textId="77777777" w:rsidR="00E61CF3" w:rsidRPr="000E04E2" w:rsidRDefault="00E61CF3" w:rsidP="00380D78">
            <w:pPr>
              <w:jc w:val="both"/>
              <w:rPr>
                <w:highlight w:val="yellow"/>
              </w:rPr>
            </w:pPr>
          </w:p>
        </w:tc>
        <w:tc>
          <w:tcPr>
            <w:tcW w:w="1134" w:type="dxa"/>
          </w:tcPr>
          <w:p w14:paraId="1FB3EA68" w14:textId="77777777" w:rsidR="00E61CF3" w:rsidRPr="000E04E2" w:rsidRDefault="00E61CF3" w:rsidP="00380D78">
            <w:pPr>
              <w:jc w:val="both"/>
              <w:rPr>
                <w:highlight w:val="yellow"/>
              </w:rPr>
            </w:pPr>
          </w:p>
        </w:tc>
        <w:tc>
          <w:tcPr>
            <w:tcW w:w="992" w:type="dxa"/>
          </w:tcPr>
          <w:p w14:paraId="543458BE" w14:textId="77777777" w:rsidR="00E61CF3" w:rsidRPr="000E04E2" w:rsidRDefault="00E61CF3" w:rsidP="00380D78">
            <w:pPr>
              <w:jc w:val="both"/>
              <w:rPr>
                <w:highlight w:val="yellow"/>
              </w:rPr>
            </w:pPr>
          </w:p>
        </w:tc>
      </w:tr>
      <w:tr w:rsidR="00E61CF3" w:rsidRPr="000E04E2" w14:paraId="7E79F832" w14:textId="77777777" w:rsidTr="00380D78">
        <w:tc>
          <w:tcPr>
            <w:tcW w:w="2544" w:type="dxa"/>
          </w:tcPr>
          <w:p w14:paraId="0833D204" w14:textId="77777777" w:rsidR="00E61CF3" w:rsidRPr="000E04E2" w:rsidRDefault="00E61CF3" w:rsidP="00380D78">
            <w:pPr>
              <w:ind w:left="22" w:firstLine="179"/>
              <w:rPr>
                <w:highlight w:val="yellow"/>
              </w:rPr>
            </w:pPr>
            <w:r w:rsidRPr="000E04E2">
              <w:rPr>
                <w:highlight w:val="yellow"/>
              </w:rPr>
              <w:t>Catholic</w:t>
            </w:r>
          </w:p>
        </w:tc>
        <w:tc>
          <w:tcPr>
            <w:tcW w:w="997" w:type="dxa"/>
            <w:vAlign w:val="bottom"/>
          </w:tcPr>
          <w:p w14:paraId="470CA876" w14:textId="77777777" w:rsidR="00E61CF3" w:rsidRPr="000E04E2" w:rsidRDefault="00E61CF3" w:rsidP="00380D78">
            <w:pPr>
              <w:jc w:val="both"/>
              <w:rPr>
                <w:highlight w:val="yellow"/>
              </w:rPr>
            </w:pPr>
            <w:r w:rsidRPr="000E04E2">
              <w:rPr>
                <w:highlight w:val="yellow"/>
              </w:rPr>
              <w:t>-2.819**</w:t>
            </w:r>
          </w:p>
        </w:tc>
        <w:tc>
          <w:tcPr>
            <w:tcW w:w="956" w:type="dxa"/>
            <w:vAlign w:val="bottom"/>
          </w:tcPr>
          <w:p w14:paraId="4BA79BDF" w14:textId="77777777" w:rsidR="00E61CF3" w:rsidRPr="000E04E2" w:rsidRDefault="00E61CF3" w:rsidP="00380D78">
            <w:pPr>
              <w:jc w:val="both"/>
              <w:rPr>
                <w:highlight w:val="yellow"/>
              </w:rPr>
            </w:pPr>
            <w:r w:rsidRPr="000E04E2">
              <w:rPr>
                <w:highlight w:val="yellow"/>
              </w:rPr>
              <w:t>0.536</w:t>
            </w:r>
          </w:p>
        </w:tc>
        <w:tc>
          <w:tcPr>
            <w:tcW w:w="1032" w:type="dxa"/>
            <w:vAlign w:val="bottom"/>
          </w:tcPr>
          <w:p w14:paraId="78138E27" w14:textId="77777777" w:rsidR="00E61CF3" w:rsidRPr="000E04E2" w:rsidRDefault="00E61CF3" w:rsidP="00380D78">
            <w:pPr>
              <w:jc w:val="both"/>
              <w:rPr>
                <w:highlight w:val="yellow"/>
              </w:rPr>
            </w:pPr>
            <w:r w:rsidRPr="000E04E2">
              <w:rPr>
                <w:highlight w:val="yellow"/>
              </w:rPr>
              <w:t>-2.065**</w:t>
            </w:r>
          </w:p>
        </w:tc>
        <w:tc>
          <w:tcPr>
            <w:tcW w:w="969" w:type="dxa"/>
            <w:gridSpan w:val="2"/>
            <w:vAlign w:val="bottom"/>
          </w:tcPr>
          <w:p w14:paraId="21416DB3" w14:textId="77777777" w:rsidR="00E61CF3" w:rsidRPr="000E04E2" w:rsidRDefault="00E61CF3" w:rsidP="00380D78">
            <w:pPr>
              <w:jc w:val="both"/>
              <w:rPr>
                <w:highlight w:val="yellow"/>
              </w:rPr>
            </w:pPr>
            <w:r w:rsidRPr="000E04E2">
              <w:rPr>
                <w:highlight w:val="yellow"/>
              </w:rPr>
              <w:t>0.433</w:t>
            </w:r>
          </w:p>
        </w:tc>
        <w:tc>
          <w:tcPr>
            <w:tcW w:w="1015" w:type="dxa"/>
            <w:vAlign w:val="bottom"/>
          </w:tcPr>
          <w:p w14:paraId="661A257F" w14:textId="77777777" w:rsidR="00E61CF3" w:rsidRPr="000E04E2" w:rsidRDefault="00E61CF3" w:rsidP="00380D78">
            <w:pPr>
              <w:jc w:val="both"/>
              <w:rPr>
                <w:highlight w:val="yellow"/>
              </w:rPr>
            </w:pPr>
            <w:r w:rsidRPr="000E04E2">
              <w:rPr>
                <w:highlight w:val="yellow"/>
              </w:rPr>
              <w:t>-1.027*</w:t>
            </w:r>
          </w:p>
        </w:tc>
        <w:tc>
          <w:tcPr>
            <w:tcW w:w="959" w:type="dxa"/>
            <w:vAlign w:val="bottom"/>
          </w:tcPr>
          <w:p w14:paraId="141D5F31" w14:textId="77777777" w:rsidR="00E61CF3" w:rsidRPr="000E04E2" w:rsidRDefault="00E61CF3" w:rsidP="00380D78">
            <w:pPr>
              <w:jc w:val="both"/>
              <w:rPr>
                <w:highlight w:val="yellow"/>
              </w:rPr>
            </w:pPr>
            <w:r w:rsidRPr="000E04E2">
              <w:rPr>
                <w:highlight w:val="yellow"/>
              </w:rPr>
              <w:t>0.451</w:t>
            </w:r>
          </w:p>
        </w:tc>
        <w:tc>
          <w:tcPr>
            <w:tcW w:w="1026" w:type="dxa"/>
            <w:vAlign w:val="bottom"/>
          </w:tcPr>
          <w:p w14:paraId="45D99D69" w14:textId="77777777" w:rsidR="00E61CF3" w:rsidRPr="000E04E2" w:rsidRDefault="00E61CF3" w:rsidP="00380D78">
            <w:pPr>
              <w:jc w:val="both"/>
              <w:rPr>
                <w:highlight w:val="yellow"/>
              </w:rPr>
            </w:pPr>
            <w:r w:rsidRPr="000E04E2">
              <w:rPr>
                <w:highlight w:val="yellow"/>
              </w:rPr>
              <w:t>3.721**</w:t>
            </w:r>
          </w:p>
        </w:tc>
        <w:tc>
          <w:tcPr>
            <w:tcW w:w="992" w:type="dxa"/>
            <w:vAlign w:val="bottom"/>
          </w:tcPr>
          <w:p w14:paraId="4878B157" w14:textId="77777777" w:rsidR="00E61CF3" w:rsidRPr="000E04E2" w:rsidRDefault="00E61CF3" w:rsidP="00380D78">
            <w:pPr>
              <w:jc w:val="both"/>
              <w:rPr>
                <w:highlight w:val="yellow"/>
              </w:rPr>
            </w:pPr>
            <w:r w:rsidRPr="000E04E2">
              <w:rPr>
                <w:highlight w:val="yellow"/>
              </w:rPr>
              <w:t>0.489</w:t>
            </w:r>
          </w:p>
        </w:tc>
        <w:tc>
          <w:tcPr>
            <w:tcW w:w="1134" w:type="dxa"/>
            <w:vAlign w:val="bottom"/>
          </w:tcPr>
          <w:p w14:paraId="59383B88" w14:textId="77777777" w:rsidR="00E61CF3" w:rsidRPr="000E04E2" w:rsidRDefault="00E61CF3" w:rsidP="00380D78">
            <w:pPr>
              <w:jc w:val="both"/>
              <w:rPr>
                <w:highlight w:val="yellow"/>
              </w:rPr>
            </w:pPr>
            <w:r w:rsidRPr="000E04E2">
              <w:rPr>
                <w:highlight w:val="yellow"/>
              </w:rPr>
              <w:t>-7.217**</w:t>
            </w:r>
          </w:p>
        </w:tc>
        <w:tc>
          <w:tcPr>
            <w:tcW w:w="992" w:type="dxa"/>
            <w:vAlign w:val="bottom"/>
          </w:tcPr>
          <w:p w14:paraId="5D50C3F2" w14:textId="77777777" w:rsidR="00E61CF3" w:rsidRPr="000E04E2" w:rsidRDefault="00E61CF3" w:rsidP="00380D78">
            <w:pPr>
              <w:jc w:val="both"/>
              <w:rPr>
                <w:highlight w:val="yellow"/>
              </w:rPr>
            </w:pPr>
            <w:r w:rsidRPr="000E04E2">
              <w:rPr>
                <w:highlight w:val="yellow"/>
              </w:rPr>
              <w:t>0.488</w:t>
            </w:r>
          </w:p>
        </w:tc>
      </w:tr>
      <w:tr w:rsidR="00E61CF3" w:rsidRPr="000E04E2" w14:paraId="314CC606" w14:textId="77777777" w:rsidTr="00380D78">
        <w:tc>
          <w:tcPr>
            <w:tcW w:w="2544" w:type="dxa"/>
          </w:tcPr>
          <w:p w14:paraId="28339BD7" w14:textId="77777777" w:rsidR="00E61CF3" w:rsidRPr="000E04E2" w:rsidRDefault="00E61CF3" w:rsidP="00380D78">
            <w:pPr>
              <w:ind w:left="22" w:firstLine="179"/>
              <w:rPr>
                <w:highlight w:val="yellow"/>
              </w:rPr>
            </w:pPr>
            <w:r w:rsidRPr="000E04E2">
              <w:rPr>
                <w:highlight w:val="yellow"/>
              </w:rPr>
              <w:t>Anglican</w:t>
            </w:r>
          </w:p>
        </w:tc>
        <w:tc>
          <w:tcPr>
            <w:tcW w:w="997" w:type="dxa"/>
            <w:vAlign w:val="bottom"/>
          </w:tcPr>
          <w:p w14:paraId="5EEE3C61" w14:textId="77777777" w:rsidR="00E61CF3" w:rsidRPr="000E04E2" w:rsidRDefault="00E61CF3" w:rsidP="00380D78">
            <w:pPr>
              <w:jc w:val="both"/>
              <w:rPr>
                <w:highlight w:val="yellow"/>
              </w:rPr>
            </w:pPr>
            <w:r w:rsidRPr="000E04E2">
              <w:rPr>
                <w:highlight w:val="yellow"/>
              </w:rPr>
              <w:t>4.171**</w:t>
            </w:r>
          </w:p>
        </w:tc>
        <w:tc>
          <w:tcPr>
            <w:tcW w:w="956" w:type="dxa"/>
            <w:vAlign w:val="bottom"/>
          </w:tcPr>
          <w:p w14:paraId="748F34B2" w14:textId="77777777" w:rsidR="00E61CF3" w:rsidRPr="000E04E2" w:rsidRDefault="00E61CF3" w:rsidP="00380D78">
            <w:pPr>
              <w:jc w:val="both"/>
              <w:rPr>
                <w:highlight w:val="yellow"/>
              </w:rPr>
            </w:pPr>
            <w:r w:rsidRPr="000E04E2">
              <w:rPr>
                <w:highlight w:val="yellow"/>
              </w:rPr>
              <w:t>1.372</w:t>
            </w:r>
          </w:p>
        </w:tc>
        <w:tc>
          <w:tcPr>
            <w:tcW w:w="1032" w:type="dxa"/>
            <w:vAlign w:val="bottom"/>
          </w:tcPr>
          <w:p w14:paraId="34E57A3D" w14:textId="77777777" w:rsidR="00E61CF3" w:rsidRPr="000E04E2" w:rsidRDefault="00E61CF3" w:rsidP="00380D78">
            <w:pPr>
              <w:jc w:val="both"/>
              <w:rPr>
                <w:highlight w:val="yellow"/>
              </w:rPr>
            </w:pPr>
            <w:r w:rsidRPr="000E04E2">
              <w:rPr>
                <w:highlight w:val="yellow"/>
              </w:rPr>
              <w:t>4.471**</w:t>
            </w:r>
          </w:p>
        </w:tc>
        <w:tc>
          <w:tcPr>
            <w:tcW w:w="969" w:type="dxa"/>
            <w:gridSpan w:val="2"/>
            <w:vAlign w:val="bottom"/>
          </w:tcPr>
          <w:p w14:paraId="628F4D73" w14:textId="77777777" w:rsidR="00E61CF3" w:rsidRPr="000E04E2" w:rsidRDefault="00E61CF3" w:rsidP="00380D78">
            <w:pPr>
              <w:jc w:val="both"/>
              <w:rPr>
                <w:highlight w:val="yellow"/>
              </w:rPr>
            </w:pPr>
            <w:r w:rsidRPr="000E04E2">
              <w:rPr>
                <w:highlight w:val="yellow"/>
              </w:rPr>
              <w:t>1.211</w:t>
            </w:r>
          </w:p>
        </w:tc>
        <w:tc>
          <w:tcPr>
            <w:tcW w:w="1015" w:type="dxa"/>
            <w:vAlign w:val="bottom"/>
          </w:tcPr>
          <w:p w14:paraId="2E9B2612" w14:textId="77777777" w:rsidR="00E61CF3" w:rsidRPr="000E04E2" w:rsidRDefault="00E61CF3" w:rsidP="00380D78">
            <w:pPr>
              <w:jc w:val="both"/>
              <w:rPr>
                <w:highlight w:val="yellow"/>
              </w:rPr>
            </w:pPr>
            <w:r w:rsidRPr="000E04E2">
              <w:rPr>
                <w:highlight w:val="yellow"/>
              </w:rPr>
              <w:t>4.346**</w:t>
            </w:r>
          </w:p>
        </w:tc>
        <w:tc>
          <w:tcPr>
            <w:tcW w:w="959" w:type="dxa"/>
            <w:vAlign w:val="bottom"/>
          </w:tcPr>
          <w:p w14:paraId="11104C98" w14:textId="77777777" w:rsidR="00E61CF3" w:rsidRPr="000E04E2" w:rsidRDefault="00E61CF3" w:rsidP="00380D78">
            <w:pPr>
              <w:jc w:val="both"/>
              <w:rPr>
                <w:highlight w:val="yellow"/>
              </w:rPr>
            </w:pPr>
            <w:r w:rsidRPr="000E04E2">
              <w:rPr>
                <w:highlight w:val="yellow"/>
              </w:rPr>
              <w:t>1.122</w:t>
            </w:r>
          </w:p>
        </w:tc>
        <w:tc>
          <w:tcPr>
            <w:tcW w:w="1026" w:type="dxa"/>
            <w:vAlign w:val="bottom"/>
          </w:tcPr>
          <w:p w14:paraId="395724B5" w14:textId="77777777" w:rsidR="00E61CF3" w:rsidRPr="000E04E2" w:rsidRDefault="00E61CF3" w:rsidP="00380D78">
            <w:pPr>
              <w:jc w:val="both"/>
              <w:rPr>
                <w:highlight w:val="yellow"/>
              </w:rPr>
            </w:pPr>
            <w:r w:rsidRPr="000E04E2">
              <w:rPr>
                <w:highlight w:val="yellow"/>
              </w:rPr>
              <w:t>7.861**</w:t>
            </w:r>
          </w:p>
        </w:tc>
        <w:tc>
          <w:tcPr>
            <w:tcW w:w="992" w:type="dxa"/>
            <w:vAlign w:val="bottom"/>
          </w:tcPr>
          <w:p w14:paraId="5F280426" w14:textId="77777777" w:rsidR="00E61CF3" w:rsidRPr="000E04E2" w:rsidRDefault="00E61CF3" w:rsidP="00380D78">
            <w:pPr>
              <w:jc w:val="both"/>
              <w:rPr>
                <w:highlight w:val="yellow"/>
              </w:rPr>
            </w:pPr>
            <w:r w:rsidRPr="000E04E2">
              <w:rPr>
                <w:highlight w:val="yellow"/>
              </w:rPr>
              <w:t>1.244</w:t>
            </w:r>
          </w:p>
        </w:tc>
        <w:tc>
          <w:tcPr>
            <w:tcW w:w="1134" w:type="dxa"/>
            <w:vAlign w:val="bottom"/>
          </w:tcPr>
          <w:p w14:paraId="1D342230" w14:textId="77777777" w:rsidR="00E61CF3" w:rsidRPr="000E04E2" w:rsidRDefault="00E61CF3" w:rsidP="00380D78">
            <w:pPr>
              <w:jc w:val="both"/>
              <w:rPr>
                <w:highlight w:val="yellow"/>
              </w:rPr>
            </w:pPr>
            <w:r w:rsidRPr="000E04E2">
              <w:rPr>
                <w:highlight w:val="yellow"/>
              </w:rPr>
              <w:t>3.201*</w:t>
            </w:r>
          </w:p>
        </w:tc>
        <w:tc>
          <w:tcPr>
            <w:tcW w:w="992" w:type="dxa"/>
            <w:vAlign w:val="bottom"/>
          </w:tcPr>
          <w:p w14:paraId="741052FE" w14:textId="77777777" w:rsidR="00E61CF3" w:rsidRPr="000E04E2" w:rsidRDefault="00E61CF3" w:rsidP="00380D78">
            <w:pPr>
              <w:jc w:val="both"/>
              <w:rPr>
                <w:highlight w:val="yellow"/>
              </w:rPr>
            </w:pPr>
            <w:r w:rsidRPr="000E04E2">
              <w:rPr>
                <w:highlight w:val="yellow"/>
              </w:rPr>
              <w:t>1.278</w:t>
            </w:r>
          </w:p>
        </w:tc>
      </w:tr>
      <w:tr w:rsidR="00E61CF3" w:rsidRPr="000E04E2" w14:paraId="3CE246FF" w14:textId="77777777" w:rsidTr="00380D78">
        <w:tc>
          <w:tcPr>
            <w:tcW w:w="2544" w:type="dxa"/>
          </w:tcPr>
          <w:p w14:paraId="69558F72" w14:textId="77777777" w:rsidR="00E61CF3" w:rsidRPr="000E04E2" w:rsidRDefault="00E61CF3" w:rsidP="00380D78">
            <w:pPr>
              <w:ind w:left="22" w:firstLine="179"/>
              <w:rPr>
                <w:highlight w:val="yellow"/>
              </w:rPr>
            </w:pPr>
            <w:r w:rsidRPr="000E04E2">
              <w:rPr>
                <w:highlight w:val="yellow"/>
              </w:rPr>
              <w:t>Islam</w:t>
            </w:r>
          </w:p>
        </w:tc>
        <w:tc>
          <w:tcPr>
            <w:tcW w:w="997" w:type="dxa"/>
            <w:vAlign w:val="bottom"/>
          </w:tcPr>
          <w:p w14:paraId="126CFC42" w14:textId="77777777" w:rsidR="00E61CF3" w:rsidRPr="000E04E2" w:rsidRDefault="00E61CF3" w:rsidP="00380D78">
            <w:pPr>
              <w:jc w:val="both"/>
              <w:rPr>
                <w:highlight w:val="yellow"/>
              </w:rPr>
            </w:pPr>
            <w:r w:rsidRPr="000E04E2">
              <w:rPr>
                <w:highlight w:val="yellow"/>
              </w:rPr>
              <w:t>10.765**</w:t>
            </w:r>
          </w:p>
        </w:tc>
        <w:tc>
          <w:tcPr>
            <w:tcW w:w="956" w:type="dxa"/>
            <w:vAlign w:val="bottom"/>
          </w:tcPr>
          <w:p w14:paraId="7A161C68" w14:textId="77777777" w:rsidR="00E61CF3" w:rsidRPr="000E04E2" w:rsidRDefault="00E61CF3" w:rsidP="00380D78">
            <w:pPr>
              <w:jc w:val="both"/>
              <w:rPr>
                <w:highlight w:val="yellow"/>
              </w:rPr>
            </w:pPr>
            <w:r w:rsidRPr="000E04E2">
              <w:rPr>
                <w:highlight w:val="yellow"/>
              </w:rPr>
              <w:t>3.802</w:t>
            </w:r>
          </w:p>
        </w:tc>
        <w:tc>
          <w:tcPr>
            <w:tcW w:w="1032" w:type="dxa"/>
            <w:vAlign w:val="bottom"/>
          </w:tcPr>
          <w:p w14:paraId="3D4CB6F8" w14:textId="77777777" w:rsidR="00E61CF3" w:rsidRPr="000E04E2" w:rsidRDefault="00E61CF3" w:rsidP="00380D78">
            <w:pPr>
              <w:jc w:val="both"/>
              <w:rPr>
                <w:highlight w:val="yellow"/>
              </w:rPr>
            </w:pPr>
            <w:r w:rsidRPr="000E04E2">
              <w:rPr>
                <w:highlight w:val="yellow"/>
              </w:rPr>
              <w:t>-4.790*</w:t>
            </w:r>
          </w:p>
        </w:tc>
        <w:tc>
          <w:tcPr>
            <w:tcW w:w="969" w:type="dxa"/>
            <w:gridSpan w:val="2"/>
            <w:vAlign w:val="bottom"/>
          </w:tcPr>
          <w:p w14:paraId="4314253B" w14:textId="77777777" w:rsidR="00E61CF3" w:rsidRPr="000E04E2" w:rsidRDefault="00E61CF3" w:rsidP="00380D78">
            <w:pPr>
              <w:jc w:val="both"/>
              <w:rPr>
                <w:highlight w:val="yellow"/>
              </w:rPr>
            </w:pPr>
            <w:r w:rsidRPr="000E04E2">
              <w:rPr>
                <w:highlight w:val="yellow"/>
              </w:rPr>
              <w:t>2.440</w:t>
            </w:r>
          </w:p>
        </w:tc>
        <w:tc>
          <w:tcPr>
            <w:tcW w:w="1015" w:type="dxa"/>
            <w:vAlign w:val="bottom"/>
          </w:tcPr>
          <w:p w14:paraId="76E519CD" w14:textId="77777777" w:rsidR="00E61CF3" w:rsidRPr="000E04E2" w:rsidRDefault="00E61CF3" w:rsidP="00380D78">
            <w:pPr>
              <w:jc w:val="both"/>
              <w:rPr>
                <w:highlight w:val="yellow"/>
              </w:rPr>
            </w:pPr>
            <w:r w:rsidRPr="000E04E2">
              <w:rPr>
                <w:highlight w:val="yellow"/>
              </w:rPr>
              <w:t>17.123**</w:t>
            </w:r>
          </w:p>
        </w:tc>
        <w:tc>
          <w:tcPr>
            <w:tcW w:w="959" w:type="dxa"/>
            <w:vAlign w:val="bottom"/>
          </w:tcPr>
          <w:p w14:paraId="4E1BD7B7" w14:textId="77777777" w:rsidR="00E61CF3" w:rsidRPr="000E04E2" w:rsidRDefault="00E61CF3" w:rsidP="00380D78">
            <w:pPr>
              <w:jc w:val="both"/>
              <w:rPr>
                <w:highlight w:val="yellow"/>
              </w:rPr>
            </w:pPr>
            <w:r w:rsidRPr="000E04E2">
              <w:rPr>
                <w:highlight w:val="yellow"/>
              </w:rPr>
              <w:t>2.631</w:t>
            </w:r>
          </w:p>
        </w:tc>
        <w:tc>
          <w:tcPr>
            <w:tcW w:w="1026" w:type="dxa"/>
            <w:vAlign w:val="bottom"/>
          </w:tcPr>
          <w:p w14:paraId="1D2F6644" w14:textId="77777777" w:rsidR="00E61CF3" w:rsidRPr="000E04E2" w:rsidRDefault="00E61CF3" w:rsidP="00380D78">
            <w:pPr>
              <w:jc w:val="both"/>
              <w:rPr>
                <w:highlight w:val="yellow"/>
              </w:rPr>
            </w:pPr>
            <w:r w:rsidRPr="000E04E2">
              <w:rPr>
                <w:highlight w:val="yellow"/>
              </w:rPr>
              <w:t>10.190**</w:t>
            </w:r>
          </w:p>
        </w:tc>
        <w:tc>
          <w:tcPr>
            <w:tcW w:w="992" w:type="dxa"/>
            <w:vAlign w:val="bottom"/>
          </w:tcPr>
          <w:p w14:paraId="3E730FED" w14:textId="77777777" w:rsidR="00E61CF3" w:rsidRPr="000E04E2" w:rsidRDefault="00E61CF3" w:rsidP="00380D78">
            <w:pPr>
              <w:jc w:val="both"/>
              <w:rPr>
                <w:highlight w:val="yellow"/>
              </w:rPr>
            </w:pPr>
            <w:r w:rsidRPr="000E04E2">
              <w:rPr>
                <w:highlight w:val="yellow"/>
              </w:rPr>
              <w:t>2.879</w:t>
            </w:r>
          </w:p>
        </w:tc>
        <w:tc>
          <w:tcPr>
            <w:tcW w:w="1134" w:type="dxa"/>
            <w:vAlign w:val="bottom"/>
          </w:tcPr>
          <w:p w14:paraId="5F36CD0A" w14:textId="77777777" w:rsidR="00E61CF3" w:rsidRPr="000E04E2" w:rsidRDefault="00E61CF3" w:rsidP="00380D78">
            <w:pPr>
              <w:jc w:val="both"/>
              <w:rPr>
                <w:highlight w:val="yellow"/>
              </w:rPr>
            </w:pPr>
            <w:r w:rsidRPr="000E04E2">
              <w:rPr>
                <w:highlight w:val="yellow"/>
              </w:rPr>
              <w:t>-2.002</w:t>
            </w:r>
          </w:p>
        </w:tc>
        <w:tc>
          <w:tcPr>
            <w:tcW w:w="992" w:type="dxa"/>
            <w:vAlign w:val="bottom"/>
          </w:tcPr>
          <w:p w14:paraId="5464DF95" w14:textId="77777777" w:rsidR="00E61CF3" w:rsidRPr="000E04E2" w:rsidRDefault="00E61CF3" w:rsidP="00380D78">
            <w:pPr>
              <w:jc w:val="both"/>
              <w:rPr>
                <w:highlight w:val="yellow"/>
              </w:rPr>
            </w:pPr>
            <w:r w:rsidRPr="000E04E2">
              <w:rPr>
                <w:highlight w:val="yellow"/>
              </w:rPr>
              <w:t>3.501</w:t>
            </w:r>
          </w:p>
        </w:tc>
      </w:tr>
      <w:tr w:rsidR="00E61CF3" w:rsidRPr="000E04E2" w14:paraId="3DE5082D" w14:textId="77777777" w:rsidTr="00380D78">
        <w:tc>
          <w:tcPr>
            <w:tcW w:w="2544" w:type="dxa"/>
          </w:tcPr>
          <w:p w14:paraId="4FCA85BE" w14:textId="77777777" w:rsidR="00E61CF3" w:rsidRPr="000E04E2" w:rsidRDefault="00E61CF3" w:rsidP="00380D78">
            <w:pPr>
              <w:ind w:left="22" w:firstLine="179"/>
              <w:rPr>
                <w:highlight w:val="yellow"/>
              </w:rPr>
            </w:pPr>
            <w:r w:rsidRPr="000E04E2">
              <w:rPr>
                <w:highlight w:val="yellow"/>
              </w:rPr>
              <w:t>Jewish</w:t>
            </w:r>
          </w:p>
        </w:tc>
        <w:tc>
          <w:tcPr>
            <w:tcW w:w="997" w:type="dxa"/>
            <w:vAlign w:val="bottom"/>
          </w:tcPr>
          <w:p w14:paraId="2779B373" w14:textId="77777777" w:rsidR="00E61CF3" w:rsidRPr="000E04E2" w:rsidRDefault="00E61CF3" w:rsidP="00380D78">
            <w:pPr>
              <w:jc w:val="both"/>
              <w:rPr>
                <w:highlight w:val="yellow"/>
              </w:rPr>
            </w:pPr>
            <w:r w:rsidRPr="000E04E2">
              <w:rPr>
                <w:highlight w:val="yellow"/>
              </w:rPr>
              <w:t>5.148</w:t>
            </w:r>
          </w:p>
        </w:tc>
        <w:tc>
          <w:tcPr>
            <w:tcW w:w="956" w:type="dxa"/>
            <w:vAlign w:val="bottom"/>
          </w:tcPr>
          <w:p w14:paraId="02E60C10" w14:textId="77777777" w:rsidR="00E61CF3" w:rsidRPr="000E04E2" w:rsidRDefault="00E61CF3" w:rsidP="00380D78">
            <w:pPr>
              <w:jc w:val="both"/>
              <w:rPr>
                <w:highlight w:val="yellow"/>
              </w:rPr>
            </w:pPr>
            <w:r w:rsidRPr="000E04E2">
              <w:rPr>
                <w:highlight w:val="yellow"/>
              </w:rPr>
              <w:t>5.577</w:t>
            </w:r>
          </w:p>
        </w:tc>
        <w:tc>
          <w:tcPr>
            <w:tcW w:w="1032" w:type="dxa"/>
            <w:vAlign w:val="bottom"/>
          </w:tcPr>
          <w:p w14:paraId="4E6967A7" w14:textId="77777777" w:rsidR="00E61CF3" w:rsidRPr="000E04E2" w:rsidRDefault="00E61CF3" w:rsidP="00380D78">
            <w:pPr>
              <w:jc w:val="both"/>
              <w:rPr>
                <w:highlight w:val="yellow"/>
              </w:rPr>
            </w:pPr>
            <w:r w:rsidRPr="000E04E2">
              <w:rPr>
                <w:highlight w:val="yellow"/>
              </w:rPr>
              <w:t>-4.054</w:t>
            </w:r>
          </w:p>
        </w:tc>
        <w:tc>
          <w:tcPr>
            <w:tcW w:w="969" w:type="dxa"/>
            <w:gridSpan w:val="2"/>
            <w:vAlign w:val="bottom"/>
          </w:tcPr>
          <w:p w14:paraId="3CBA4118" w14:textId="77777777" w:rsidR="00E61CF3" w:rsidRPr="000E04E2" w:rsidRDefault="00E61CF3" w:rsidP="00380D78">
            <w:pPr>
              <w:jc w:val="both"/>
              <w:rPr>
                <w:highlight w:val="yellow"/>
              </w:rPr>
            </w:pPr>
            <w:r w:rsidRPr="000E04E2">
              <w:rPr>
                <w:highlight w:val="yellow"/>
              </w:rPr>
              <w:t>4.081</w:t>
            </w:r>
          </w:p>
        </w:tc>
        <w:tc>
          <w:tcPr>
            <w:tcW w:w="1015" w:type="dxa"/>
            <w:vAlign w:val="bottom"/>
          </w:tcPr>
          <w:p w14:paraId="506014E1" w14:textId="77777777" w:rsidR="00E61CF3" w:rsidRPr="000E04E2" w:rsidRDefault="00E61CF3" w:rsidP="00380D78">
            <w:pPr>
              <w:jc w:val="both"/>
              <w:rPr>
                <w:highlight w:val="yellow"/>
              </w:rPr>
            </w:pPr>
            <w:r w:rsidRPr="000E04E2">
              <w:rPr>
                <w:highlight w:val="yellow"/>
              </w:rPr>
              <w:t>1.417</w:t>
            </w:r>
          </w:p>
        </w:tc>
        <w:tc>
          <w:tcPr>
            <w:tcW w:w="959" w:type="dxa"/>
            <w:vAlign w:val="bottom"/>
          </w:tcPr>
          <w:p w14:paraId="110DC971" w14:textId="77777777" w:rsidR="00E61CF3" w:rsidRPr="000E04E2" w:rsidRDefault="00E61CF3" w:rsidP="00380D78">
            <w:pPr>
              <w:jc w:val="both"/>
              <w:rPr>
                <w:highlight w:val="yellow"/>
              </w:rPr>
            </w:pPr>
            <w:r w:rsidRPr="000E04E2">
              <w:rPr>
                <w:highlight w:val="yellow"/>
              </w:rPr>
              <w:t>2.995</w:t>
            </w:r>
          </w:p>
        </w:tc>
        <w:tc>
          <w:tcPr>
            <w:tcW w:w="1026" w:type="dxa"/>
            <w:vAlign w:val="bottom"/>
          </w:tcPr>
          <w:p w14:paraId="58F5B563" w14:textId="77777777" w:rsidR="00E61CF3" w:rsidRPr="000E04E2" w:rsidRDefault="00E61CF3" w:rsidP="00380D78">
            <w:pPr>
              <w:jc w:val="both"/>
              <w:rPr>
                <w:highlight w:val="yellow"/>
              </w:rPr>
            </w:pPr>
            <w:r w:rsidRPr="000E04E2">
              <w:rPr>
                <w:highlight w:val="yellow"/>
              </w:rPr>
              <w:t>4.029</w:t>
            </w:r>
          </w:p>
        </w:tc>
        <w:tc>
          <w:tcPr>
            <w:tcW w:w="992" w:type="dxa"/>
            <w:vAlign w:val="bottom"/>
          </w:tcPr>
          <w:p w14:paraId="653C7FCA" w14:textId="77777777" w:rsidR="00E61CF3" w:rsidRPr="000E04E2" w:rsidRDefault="00E61CF3" w:rsidP="00380D78">
            <w:pPr>
              <w:jc w:val="both"/>
              <w:rPr>
                <w:highlight w:val="yellow"/>
              </w:rPr>
            </w:pPr>
            <w:r w:rsidRPr="000E04E2">
              <w:rPr>
                <w:highlight w:val="yellow"/>
              </w:rPr>
              <w:t>4.723</w:t>
            </w:r>
          </w:p>
        </w:tc>
        <w:tc>
          <w:tcPr>
            <w:tcW w:w="1134" w:type="dxa"/>
            <w:vAlign w:val="bottom"/>
          </w:tcPr>
          <w:p w14:paraId="5CFF46A4" w14:textId="77777777" w:rsidR="00E61CF3" w:rsidRPr="000E04E2" w:rsidRDefault="00E61CF3" w:rsidP="00380D78">
            <w:pPr>
              <w:jc w:val="both"/>
              <w:rPr>
                <w:highlight w:val="yellow"/>
              </w:rPr>
            </w:pPr>
            <w:r w:rsidRPr="000E04E2">
              <w:rPr>
                <w:highlight w:val="yellow"/>
              </w:rPr>
              <w:t>-0.497</w:t>
            </w:r>
          </w:p>
        </w:tc>
        <w:tc>
          <w:tcPr>
            <w:tcW w:w="992" w:type="dxa"/>
            <w:vAlign w:val="bottom"/>
          </w:tcPr>
          <w:p w14:paraId="4845EEC0" w14:textId="77777777" w:rsidR="00E61CF3" w:rsidRPr="000E04E2" w:rsidRDefault="00E61CF3" w:rsidP="00380D78">
            <w:pPr>
              <w:jc w:val="both"/>
              <w:rPr>
                <w:highlight w:val="yellow"/>
              </w:rPr>
            </w:pPr>
            <w:r w:rsidRPr="000E04E2">
              <w:rPr>
                <w:highlight w:val="yellow"/>
              </w:rPr>
              <w:t>5.621</w:t>
            </w:r>
          </w:p>
        </w:tc>
      </w:tr>
      <w:tr w:rsidR="00E61CF3" w:rsidRPr="000E04E2" w14:paraId="3398C219" w14:textId="77777777" w:rsidTr="00380D78">
        <w:tc>
          <w:tcPr>
            <w:tcW w:w="2544" w:type="dxa"/>
          </w:tcPr>
          <w:p w14:paraId="16778AAE" w14:textId="77777777" w:rsidR="00E61CF3" w:rsidRPr="000E04E2" w:rsidRDefault="00E61CF3" w:rsidP="00380D78">
            <w:pPr>
              <w:ind w:left="22" w:firstLine="179"/>
              <w:rPr>
                <w:highlight w:val="yellow"/>
              </w:rPr>
            </w:pPr>
            <w:r w:rsidRPr="000E04E2">
              <w:rPr>
                <w:highlight w:val="yellow"/>
              </w:rPr>
              <w:t>Council of Churches</w:t>
            </w:r>
          </w:p>
        </w:tc>
        <w:tc>
          <w:tcPr>
            <w:tcW w:w="997" w:type="dxa"/>
            <w:vAlign w:val="bottom"/>
          </w:tcPr>
          <w:p w14:paraId="030FF102" w14:textId="77777777" w:rsidR="00E61CF3" w:rsidRPr="000E04E2" w:rsidRDefault="00E61CF3" w:rsidP="00380D78">
            <w:pPr>
              <w:jc w:val="both"/>
              <w:rPr>
                <w:highlight w:val="yellow"/>
              </w:rPr>
            </w:pPr>
            <w:r w:rsidRPr="000E04E2">
              <w:rPr>
                <w:highlight w:val="yellow"/>
              </w:rPr>
              <w:t>2.337</w:t>
            </w:r>
          </w:p>
        </w:tc>
        <w:tc>
          <w:tcPr>
            <w:tcW w:w="956" w:type="dxa"/>
            <w:vAlign w:val="bottom"/>
          </w:tcPr>
          <w:p w14:paraId="159D8B42" w14:textId="77777777" w:rsidR="00E61CF3" w:rsidRPr="000E04E2" w:rsidRDefault="00E61CF3" w:rsidP="00380D78">
            <w:pPr>
              <w:jc w:val="both"/>
              <w:rPr>
                <w:highlight w:val="yellow"/>
              </w:rPr>
            </w:pPr>
            <w:r w:rsidRPr="000E04E2">
              <w:rPr>
                <w:highlight w:val="yellow"/>
              </w:rPr>
              <w:t>1.415</w:t>
            </w:r>
          </w:p>
        </w:tc>
        <w:tc>
          <w:tcPr>
            <w:tcW w:w="1032" w:type="dxa"/>
            <w:vAlign w:val="bottom"/>
          </w:tcPr>
          <w:p w14:paraId="57F418ED" w14:textId="77777777" w:rsidR="00E61CF3" w:rsidRPr="000E04E2" w:rsidRDefault="00E61CF3" w:rsidP="00380D78">
            <w:pPr>
              <w:jc w:val="both"/>
              <w:rPr>
                <w:highlight w:val="yellow"/>
              </w:rPr>
            </w:pPr>
            <w:r w:rsidRPr="000E04E2">
              <w:rPr>
                <w:highlight w:val="yellow"/>
              </w:rPr>
              <w:t>0.911</w:t>
            </w:r>
          </w:p>
        </w:tc>
        <w:tc>
          <w:tcPr>
            <w:tcW w:w="969" w:type="dxa"/>
            <w:gridSpan w:val="2"/>
            <w:vAlign w:val="bottom"/>
          </w:tcPr>
          <w:p w14:paraId="4A6D248C" w14:textId="77777777" w:rsidR="00E61CF3" w:rsidRPr="000E04E2" w:rsidRDefault="00E61CF3" w:rsidP="00380D78">
            <w:pPr>
              <w:jc w:val="both"/>
              <w:rPr>
                <w:highlight w:val="yellow"/>
              </w:rPr>
            </w:pPr>
            <w:r w:rsidRPr="000E04E2">
              <w:rPr>
                <w:highlight w:val="yellow"/>
              </w:rPr>
              <w:t>1.279</w:t>
            </w:r>
          </w:p>
        </w:tc>
        <w:tc>
          <w:tcPr>
            <w:tcW w:w="1015" w:type="dxa"/>
            <w:vAlign w:val="bottom"/>
          </w:tcPr>
          <w:p w14:paraId="581FF0A4" w14:textId="77777777" w:rsidR="00E61CF3" w:rsidRPr="000E04E2" w:rsidRDefault="00E61CF3" w:rsidP="00380D78">
            <w:pPr>
              <w:jc w:val="both"/>
              <w:rPr>
                <w:highlight w:val="yellow"/>
              </w:rPr>
            </w:pPr>
            <w:r w:rsidRPr="000E04E2">
              <w:rPr>
                <w:highlight w:val="yellow"/>
              </w:rPr>
              <w:t>2.007</w:t>
            </w:r>
          </w:p>
        </w:tc>
        <w:tc>
          <w:tcPr>
            <w:tcW w:w="959" w:type="dxa"/>
            <w:vAlign w:val="bottom"/>
          </w:tcPr>
          <w:p w14:paraId="5C5F9EFD" w14:textId="77777777" w:rsidR="00E61CF3" w:rsidRPr="000E04E2" w:rsidRDefault="00E61CF3" w:rsidP="00380D78">
            <w:pPr>
              <w:jc w:val="both"/>
              <w:rPr>
                <w:highlight w:val="yellow"/>
              </w:rPr>
            </w:pPr>
            <w:r w:rsidRPr="000E04E2">
              <w:rPr>
                <w:highlight w:val="yellow"/>
              </w:rPr>
              <w:t>1.134</w:t>
            </w:r>
          </w:p>
        </w:tc>
        <w:tc>
          <w:tcPr>
            <w:tcW w:w="1026" w:type="dxa"/>
            <w:vAlign w:val="bottom"/>
          </w:tcPr>
          <w:p w14:paraId="5B6340D3" w14:textId="77777777" w:rsidR="00E61CF3" w:rsidRPr="000E04E2" w:rsidRDefault="00E61CF3" w:rsidP="00380D78">
            <w:pPr>
              <w:jc w:val="both"/>
              <w:rPr>
                <w:highlight w:val="yellow"/>
              </w:rPr>
            </w:pPr>
            <w:r w:rsidRPr="000E04E2">
              <w:rPr>
                <w:highlight w:val="yellow"/>
              </w:rPr>
              <w:t>4.241**</w:t>
            </w:r>
          </w:p>
        </w:tc>
        <w:tc>
          <w:tcPr>
            <w:tcW w:w="992" w:type="dxa"/>
            <w:vAlign w:val="bottom"/>
          </w:tcPr>
          <w:p w14:paraId="09BAD498" w14:textId="77777777" w:rsidR="00E61CF3" w:rsidRPr="000E04E2" w:rsidRDefault="00E61CF3" w:rsidP="00380D78">
            <w:pPr>
              <w:jc w:val="both"/>
              <w:rPr>
                <w:highlight w:val="yellow"/>
              </w:rPr>
            </w:pPr>
            <w:r w:rsidRPr="000E04E2">
              <w:rPr>
                <w:highlight w:val="yellow"/>
              </w:rPr>
              <w:t>1.274</w:t>
            </w:r>
          </w:p>
        </w:tc>
        <w:tc>
          <w:tcPr>
            <w:tcW w:w="1134" w:type="dxa"/>
            <w:vAlign w:val="bottom"/>
          </w:tcPr>
          <w:p w14:paraId="5F7A7AF2" w14:textId="77777777" w:rsidR="00E61CF3" w:rsidRPr="000E04E2" w:rsidRDefault="00E61CF3" w:rsidP="00380D78">
            <w:pPr>
              <w:jc w:val="both"/>
              <w:rPr>
                <w:highlight w:val="yellow"/>
              </w:rPr>
            </w:pPr>
            <w:r w:rsidRPr="000E04E2">
              <w:rPr>
                <w:highlight w:val="yellow"/>
              </w:rPr>
              <w:t>-0.849</w:t>
            </w:r>
          </w:p>
        </w:tc>
        <w:tc>
          <w:tcPr>
            <w:tcW w:w="992" w:type="dxa"/>
            <w:vAlign w:val="bottom"/>
          </w:tcPr>
          <w:p w14:paraId="78CB8ACD" w14:textId="77777777" w:rsidR="00E61CF3" w:rsidRPr="000E04E2" w:rsidRDefault="00E61CF3" w:rsidP="00380D78">
            <w:pPr>
              <w:jc w:val="both"/>
              <w:rPr>
                <w:highlight w:val="yellow"/>
              </w:rPr>
            </w:pPr>
            <w:r w:rsidRPr="000E04E2">
              <w:rPr>
                <w:highlight w:val="yellow"/>
              </w:rPr>
              <w:t>1.298</w:t>
            </w:r>
          </w:p>
        </w:tc>
      </w:tr>
      <w:tr w:rsidR="00E61CF3" w:rsidRPr="000E04E2" w14:paraId="71CE6764" w14:textId="77777777" w:rsidTr="00380D78">
        <w:tc>
          <w:tcPr>
            <w:tcW w:w="2544" w:type="dxa"/>
          </w:tcPr>
          <w:p w14:paraId="065B1B04" w14:textId="77777777" w:rsidR="00E61CF3" w:rsidRPr="000E04E2" w:rsidRDefault="00E61CF3" w:rsidP="00380D78">
            <w:pPr>
              <w:ind w:left="22" w:firstLine="179"/>
              <w:rPr>
                <w:highlight w:val="yellow"/>
              </w:rPr>
            </w:pPr>
            <w:r w:rsidRPr="000E04E2">
              <w:rPr>
                <w:highlight w:val="yellow"/>
              </w:rPr>
              <w:t>Non-Council of Churches</w:t>
            </w:r>
          </w:p>
        </w:tc>
        <w:tc>
          <w:tcPr>
            <w:tcW w:w="997" w:type="dxa"/>
            <w:vAlign w:val="bottom"/>
          </w:tcPr>
          <w:p w14:paraId="70282B70" w14:textId="77777777" w:rsidR="00E61CF3" w:rsidRPr="000E04E2" w:rsidRDefault="00E61CF3" w:rsidP="00380D78">
            <w:pPr>
              <w:jc w:val="both"/>
              <w:rPr>
                <w:highlight w:val="yellow"/>
              </w:rPr>
            </w:pPr>
            <w:r w:rsidRPr="000E04E2">
              <w:rPr>
                <w:highlight w:val="yellow"/>
              </w:rPr>
              <w:t>5.543**</w:t>
            </w:r>
          </w:p>
        </w:tc>
        <w:tc>
          <w:tcPr>
            <w:tcW w:w="956" w:type="dxa"/>
            <w:vAlign w:val="bottom"/>
          </w:tcPr>
          <w:p w14:paraId="5017505D" w14:textId="77777777" w:rsidR="00E61CF3" w:rsidRPr="000E04E2" w:rsidRDefault="00E61CF3" w:rsidP="00380D78">
            <w:pPr>
              <w:jc w:val="both"/>
              <w:rPr>
                <w:highlight w:val="yellow"/>
              </w:rPr>
            </w:pPr>
            <w:r w:rsidRPr="000E04E2">
              <w:rPr>
                <w:highlight w:val="yellow"/>
              </w:rPr>
              <w:t>1.193</w:t>
            </w:r>
          </w:p>
        </w:tc>
        <w:tc>
          <w:tcPr>
            <w:tcW w:w="1032" w:type="dxa"/>
            <w:vAlign w:val="bottom"/>
          </w:tcPr>
          <w:p w14:paraId="2972D02F" w14:textId="77777777" w:rsidR="00E61CF3" w:rsidRPr="000E04E2" w:rsidRDefault="00E61CF3" w:rsidP="00380D78">
            <w:pPr>
              <w:jc w:val="both"/>
              <w:rPr>
                <w:highlight w:val="yellow"/>
              </w:rPr>
            </w:pPr>
            <w:r w:rsidRPr="000E04E2">
              <w:rPr>
                <w:highlight w:val="yellow"/>
              </w:rPr>
              <w:t>3.175**</w:t>
            </w:r>
          </w:p>
        </w:tc>
        <w:tc>
          <w:tcPr>
            <w:tcW w:w="969" w:type="dxa"/>
            <w:gridSpan w:val="2"/>
            <w:vAlign w:val="bottom"/>
          </w:tcPr>
          <w:p w14:paraId="34A97118" w14:textId="77777777" w:rsidR="00E61CF3" w:rsidRPr="000E04E2" w:rsidRDefault="00E61CF3" w:rsidP="00380D78">
            <w:pPr>
              <w:jc w:val="both"/>
              <w:rPr>
                <w:highlight w:val="yellow"/>
              </w:rPr>
            </w:pPr>
            <w:r w:rsidRPr="000E04E2">
              <w:rPr>
                <w:highlight w:val="yellow"/>
              </w:rPr>
              <w:t>0.975</w:t>
            </w:r>
          </w:p>
        </w:tc>
        <w:tc>
          <w:tcPr>
            <w:tcW w:w="1015" w:type="dxa"/>
            <w:vAlign w:val="bottom"/>
          </w:tcPr>
          <w:p w14:paraId="63646D46" w14:textId="77777777" w:rsidR="00E61CF3" w:rsidRPr="000E04E2" w:rsidRDefault="00E61CF3" w:rsidP="00380D78">
            <w:pPr>
              <w:jc w:val="both"/>
              <w:rPr>
                <w:highlight w:val="yellow"/>
              </w:rPr>
            </w:pPr>
            <w:r w:rsidRPr="000E04E2">
              <w:rPr>
                <w:highlight w:val="yellow"/>
              </w:rPr>
              <w:t>4.928**</w:t>
            </w:r>
          </w:p>
        </w:tc>
        <w:tc>
          <w:tcPr>
            <w:tcW w:w="959" w:type="dxa"/>
            <w:vAlign w:val="bottom"/>
          </w:tcPr>
          <w:p w14:paraId="1EC1022E" w14:textId="77777777" w:rsidR="00E61CF3" w:rsidRPr="000E04E2" w:rsidRDefault="00E61CF3" w:rsidP="00380D78">
            <w:pPr>
              <w:jc w:val="both"/>
              <w:rPr>
                <w:highlight w:val="yellow"/>
              </w:rPr>
            </w:pPr>
            <w:r w:rsidRPr="000E04E2">
              <w:rPr>
                <w:highlight w:val="yellow"/>
              </w:rPr>
              <w:t>0.972</w:t>
            </w:r>
          </w:p>
        </w:tc>
        <w:tc>
          <w:tcPr>
            <w:tcW w:w="1026" w:type="dxa"/>
            <w:vAlign w:val="bottom"/>
          </w:tcPr>
          <w:p w14:paraId="6D7D59D4" w14:textId="77777777" w:rsidR="00E61CF3" w:rsidRPr="000E04E2" w:rsidRDefault="00E61CF3" w:rsidP="00380D78">
            <w:pPr>
              <w:jc w:val="both"/>
              <w:rPr>
                <w:highlight w:val="yellow"/>
              </w:rPr>
            </w:pPr>
            <w:r w:rsidRPr="000E04E2">
              <w:rPr>
                <w:highlight w:val="yellow"/>
              </w:rPr>
              <w:t>2.334*</w:t>
            </w:r>
          </w:p>
        </w:tc>
        <w:tc>
          <w:tcPr>
            <w:tcW w:w="992" w:type="dxa"/>
            <w:vAlign w:val="bottom"/>
          </w:tcPr>
          <w:p w14:paraId="7CEBFFEA" w14:textId="77777777" w:rsidR="00E61CF3" w:rsidRPr="000E04E2" w:rsidRDefault="00E61CF3" w:rsidP="00380D78">
            <w:pPr>
              <w:jc w:val="both"/>
              <w:rPr>
                <w:highlight w:val="yellow"/>
              </w:rPr>
            </w:pPr>
            <w:r w:rsidRPr="000E04E2">
              <w:rPr>
                <w:highlight w:val="yellow"/>
              </w:rPr>
              <w:t>1.077</w:t>
            </w:r>
          </w:p>
        </w:tc>
        <w:tc>
          <w:tcPr>
            <w:tcW w:w="1134" w:type="dxa"/>
            <w:vAlign w:val="bottom"/>
          </w:tcPr>
          <w:p w14:paraId="04C5B56A" w14:textId="77777777" w:rsidR="00E61CF3" w:rsidRPr="000E04E2" w:rsidRDefault="00E61CF3" w:rsidP="00380D78">
            <w:pPr>
              <w:jc w:val="both"/>
              <w:rPr>
                <w:highlight w:val="yellow"/>
              </w:rPr>
            </w:pPr>
            <w:r w:rsidRPr="000E04E2">
              <w:rPr>
                <w:highlight w:val="yellow"/>
              </w:rPr>
              <w:t>2.047</w:t>
            </w:r>
          </w:p>
        </w:tc>
        <w:tc>
          <w:tcPr>
            <w:tcW w:w="992" w:type="dxa"/>
            <w:vAlign w:val="bottom"/>
          </w:tcPr>
          <w:p w14:paraId="2FCD4B4C" w14:textId="77777777" w:rsidR="00E61CF3" w:rsidRPr="000E04E2" w:rsidRDefault="00E61CF3" w:rsidP="00380D78">
            <w:pPr>
              <w:jc w:val="both"/>
              <w:rPr>
                <w:highlight w:val="yellow"/>
              </w:rPr>
            </w:pPr>
            <w:r w:rsidRPr="000E04E2">
              <w:rPr>
                <w:highlight w:val="yellow"/>
              </w:rPr>
              <w:t>1.056</w:t>
            </w:r>
          </w:p>
        </w:tc>
      </w:tr>
      <w:tr w:rsidR="00E61CF3" w:rsidRPr="000E04E2" w14:paraId="0E513FF9" w14:textId="77777777" w:rsidTr="00380D78">
        <w:tc>
          <w:tcPr>
            <w:tcW w:w="2544" w:type="dxa"/>
          </w:tcPr>
          <w:p w14:paraId="16615DCB" w14:textId="77777777" w:rsidR="00E61CF3" w:rsidRPr="000E04E2" w:rsidRDefault="00E61CF3" w:rsidP="00380D78">
            <w:pPr>
              <w:ind w:left="22" w:firstLine="179"/>
              <w:rPr>
                <w:highlight w:val="yellow"/>
              </w:rPr>
            </w:pPr>
            <w:r w:rsidRPr="000E04E2">
              <w:rPr>
                <w:highlight w:val="yellow"/>
              </w:rPr>
              <w:t>Other Independent</w:t>
            </w:r>
          </w:p>
        </w:tc>
        <w:tc>
          <w:tcPr>
            <w:tcW w:w="997" w:type="dxa"/>
            <w:vAlign w:val="bottom"/>
          </w:tcPr>
          <w:p w14:paraId="3057EEF7" w14:textId="77777777" w:rsidR="00E61CF3" w:rsidRPr="000E04E2" w:rsidRDefault="00E61CF3" w:rsidP="00380D78">
            <w:pPr>
              <w:jc w:val="both"/>
              <w:rPr>
                <w:highlight w:val="yellow"/>
              </w:rPr>
            </w:pPr>
            <w:r w:rsidRPr="000E04E2">
              <w:rPr>
                <w:highlight w:val="yellow"/>
              </w:rPr>
              <w:t>3.156</w:t>
            </w:r>
          </w:p>
        </w:tc>
        <w:tc>
          <w:tcPr>
            <w:tcW w:w="956" w:type="dxa"/>
            <w:vAlign w:val="bottom"/>
          </w:tcPr>
          <w:p w14:paraId="387758BE" w14:textId="77777777" w:rsidR="00E61CF3" w:rsidRPr="000E04E2" w:rsidRDefault="00E61CF3" w:rsidP="00380D78">
            <w:pPr>
              <w:jc w:val="both"/>
              <w:rPr>
                <w:highlight w:val="yellow"/>
              </w:rPr>
            </w:pPr>
            <w:r w:rsidRPr="000E04E2">
              <w:rPr>
                <w:highlight w:val="yellow"/>
              </w:rPr>
              <w:t>2.163</w:t>
            </w:r>
          </w:p>
        </w:tc>
        <w:tc>
          <w:tcPr>
            <w:tcW w:w="1032" w:type="dxa"/>
            <w:vAlign w:val="bottom"/>
          </w:tcPr>
          <w:p w14:paraId="559430C9" w14:textId="77777777" w:rsidR="00E61CF3" w:rsidRPr="000E04E2" w:rsidRDefault="00E61CF3" w:rsidP="00380D78">
            <w:pPr>
              <w:jc w:val="both"/>
              <w:rPr>
                <w:highlight w:val="yellow"/>
              </w:rPr>
            </w:pPr>
            <w:r w:rsidRPr="000E04E2">
              <w:rPr>
                <w:highlight w:val="yellow"/>
              </w:rPr>
              <w:t>8.159**</w:t>
            </w:r>
          </w:p>
        </w:tc>
        <w:tc>
          <w:tcPr>
            <w:tcW w:w="969" w:type="dxa"/>
            <w:gridSpan w:val="2"/>
            <w:vAlign w:val="bottom"/>
          </w:tcPr>
          <w:p w14:paraId="31207EF7" w14:textId="77777777" w:rsidR="00E61CF3" w:rsidRPr="000E04E2" w:rsidRDefault="00E61CF3" w:rsidP="00380D78">
            <w:pPr>
              <w:jc w:val="both"/>
              <w:rPr>
                <w:highlight w:val="yellow"/>
              </w:rPr>
            </w:pPr>
            <w:r w:rsidRPr="000E04E2">
              <w:rPr>
                <w:highlight w:val="yellow"/>
              </w:rPr>
              <w:t>1.784</w:t>
            </w:r>
          </w:p>
        </w:tc>
        <w:tc>
          <w:tcPr>
            <w:tcW w:w="1015" w:type="dxa"/>
            <w:vAlign w:val="bottom"/>
          </w:tcPr>
          <w:p w14:paraId="46B38B71" w14:textId="77777777" w:rsidR="00E61CF3" w:rsidRPr="000E04E2" w:rsidRDefault="00E61CF3" w:rsidP="00380D78">
            <w:pPr>
              <w:jc w:val="both"/>
              <w:rPr>
                <w:highlight w:val="yellow"/>
              </w:rPr>
            </w:pPr>
            <w:r w:rsidRPr="000E04E2">
              <w:rPr>
                <w:highlight w:val="yellow"/>
              </w:rPr>
              <w:t>-3.504</w:t>
            </w:r>
          </w:p>
        </w:tc>
        <w:tc>
          <w:tcPr>
            <w:tcW w:w="959" w:type="dxa"/>
            <w:vAlign w:val="bottom"/>
          </w:tcPr>
          <w:p w14:paraId="70F9535A" w14:textId="77777777" w:rsidR="00E61CF3" w:rsidRPr="000E04E2" w:rsidRDefault="00E61CF3" w:rsidP="00380D78">
            <w:pPr>
              <w:jc w:val="both"/>
              <w:rPr>
                <w:highlight w:val="yellow"/>
              </w:rPr>
            </w:pPr>
            <w:r w:rsidRPr="000E04E2">
              <w:rPr>
                <w:highlight w:val="yellow"/>
              </w:rPr>
              <w:t>2.029</w:t>
            </w:r>
          </w:p>
        </w:tc>
        <w:tc>
          <w:tcPr>
            <w:tcW w:w="1026" w:type="dxa"/>
            <w:vAlign w:val="bottom"/>
          </w:tcPr>
          <w:p w14:paraId="27FF93B7" w14:textId="77777777" w:rsidR="00E61CF3" w:rsidRPr="000E04E2" w:rsidRDefault="00E61CF3" w:rsidP="00380D78">
            <w:pPr>
              <w:jc w:val="both"/>
              <w:rPr>
                <w:highlight w:val="yellow"/>
              </w:rPr>
            </w:pPr>
            <w:r w:rsidRPr="000E04E2">
              <w:rPr>
                <w:highlight w:val="yellow"/>
              </w:rPr>
              <w:t>-6.621**</w:t>
            </w:r>
          </w:p>
        </w:tc>
        <w:tc>
          <w:tcPr>
            <w:tcW w:w="992" w:type="dxa"/>
            <w:vAlign w:val="bottom"/>
          </w:tcPr>
          <w:p w14:paraId="12D29C3D" w14:textId="77777777" w:rsidR="00E61CF3" w:rsidRPr="000E04E2" w:rsidRDefault="00E61CF3" w:rsidP="00380D78">
            <w:pPr>
              <w:jc w:val="both"/>
              <w:rPr>
                <w:highlight w:val="yellow"/>
              </w:rPr>
            </w:pPr>
            <w:r w:rsidRPr="000E04E2">
              <w:rPr>
                <w:highlight w:val="yellow"/>
              </w:rPr>
              <w:t>2.305</w:t>
            </w:r>
          </w:p>
        </w:tc>
        <w:tc>
          <w:tcPr>
            <w:tcW w:w="1134" w:type="dxa"/>
            <w:vAlign w:val="bottom"/>
          </w:tcPr>
          <w:p w14:paraId="34C091F3" w14:textId="77777777" w:rsidR="00E61CF3" w:rsidRPr="000E04E2" w:rsidRDefault="00E61CF3" w:rsidP="00380D78">
            <w:pPr>
              <w:jc w:val="both"/>
              <w:rPr>
                <w:highlight w:val="yellow"/>
              </w:rPr>
            </w:pPr>
            <w:r w:rsidRPr="000E04E2">
              <w:rPr>
                <w:highlight w:val="yellow"/>
              </w:rPr>
              <w:t>-1.433</w:t>
            </w:r>
          </w:p>
        </w:tc>
        <w:tc>
          <w:tcPr>
            <w:tcW w:w="992" w:type="dxa"/>
            <w:vAlign w:val="bottom"/>
          </w:tcPr>
          <w:p w14:paraId="5AABDD2F" w14:textId="77777777" w:rsidR="00E61CF3" w:rsidRPr="000E04E2" w:rsidRDefault="00E61CF3" w:rsidP="00380D78">
            <w:pPr>
              <w:jc w:val="both"/>
              <w:rPr>
                <w:highlight w:val="yellow"/>
              </w:rPr>
            </w:pPr>
            <w:r w:rsidRPr="000E04E2">
              <w:rPr>
                <w:highlight w:val="yellow"/>
              </w:rPr>
              <w:t>2.064</w:t>
            </w:r>
          </w:p>
        </w:tc>
      </w:tr>
      <w:tr w:rsidR="00E61CF3" w:rsidRPr="000E04E2" w14:paraId="0CED7C45" w14:textId="77777777" w:rsidTr="00380D78">
        <w:tc>
          <w:tcPr>
            <w:tcW w:w="2544" w:type="dxa"/>
          </w:tcPr>
          <w:p w14:paraId="5E0FFC83" w14:textId="77777777" w:rsidR="00E61CF3" w:rsidRPr="000E04E2" w:rsidRDefault="00E61CF3" w:rsidP="00380D78">
            <w:pPr>
              <w:rPr>
                <w:highlight w:val="yellow"/>
              </w:rPr>
            </w:pPr>
          </w:p>
        </w:tc>
        <w:tc>
          <w:tcPr>
            <w:tcW w:w="997" w:type="dxa"/>
          </w:tcPr>
          <w:p w14:paraId="26570B41" w14:textId="77777777" w:rsidR="00E61CF3" w:rsidRPr="000E04E2" w:rsidRDefault="00E61CF3" w:rsidP="00380D78">
            <w:pPr>
              <w:jc w:val="both"/>
              <w:rPr>
                <w:highlight w:val="yellow"/>
              </w:rPr>
            </w:pPr>
          </w:p>
        </w:tc>
        <w:tc>
          <w:tcPr>
            <w:tcW w:w="956" w:type="dxa"/>
          </w:tcPr>
          <w:p w14:paraId="74577209" w14:textId="77777777" w:rsidR="00E61CF3" w:rsidRPr="000E04E2" w:rsidRDefault="00E61CF3" w:rsidP="00380D78">
            <w:pPr>
              <w:jc w:val="both"/>
              <w:rPr>
                <w:highlight w:val="yellow"/>
              </w:rPr>
            </w:pPr>
          </w:p>
        </w:tc>
        <w:tc>
          <w:tcPr>
            <w:tcW w:w="1032" w:type="dxa"/>
          </w:tcPr>
          <w:p w14:paraId="59BEB0AA" w14:textId="77777777" w:rsidR="00E61CF3" w:rsidRPr="000E04E2" w:rsidRDefault="00E61CF3" w:rsidP="00380D78">
            <w:pPr>
              <w:jc w:val="both"/>
              <w:rPr>
                <w:highlight w:val="yellow"/>
              </w:rPr>
            </w:pPr>
          </w:p>
        </w:tc>
        <w:tc>
          <w:tcPr>
            <w:tcW w:w="969" w:type="dxa"/>
            <w:gridSpan w:val="2"/>
          </w:tcPr>
          <w:p w14:paraId="038C4B18" w14:textId="77777777" w:rsidR="00E61CF3" w:rsidRPr="000E04E2" w:rsidRDefault="00E61CF3" w:rsidP="00380D78">
            <w:pPr>
              <w:jc w:val="both"/>
              <w:rPr>
                <w:highlight w:val="yellow"/>
              </w:rPr>
            </w:pPr>
          </w:p>
        </w:tc>
        <w:tc>
          <w:tcPr>
            <w:tcW w:w="1015" w:type="dxa"/>
          </w:tcPr>
          <w:p w14:paraId="38298952" w14:textId="77777777" w:rsidR="00E61CF3" w:rsidRPr="000E04E2" w:rsidRDefault="00E61CF3" w:rsidP="00380D78">
            <w:pPr>
              <w:jc w:val="both"/>
              <w:rPr>
                <w:highlight w:val="yellow"/>
              </w:rPr>
            </w:pPr>
          </w:p>
        </w:tc>
        <w:tc>
          <w:tcPr>
            <w:tcW w:w="959" w:type="dxa"/>
          </w:tcPr>
          <w:p w14:paraId="2C85F212" w14:textId="77777777" w:rsidR="00E61CF3" w:rsidRPr="000E04E2" w:rsidRDefault="00E61CF3" w:rsidP="00380D78">
            <w:pPr>
              <w:jc w:val="both"/>
              <w:rPr>
                <w:highlight w:val="yellow"/>
              </w:rPr>
            </w:pPr>
          </w:p>
        </w:tc>
        <w:tc>
          <w:tcPr>
            <w:tcW w:w="1026" w:type="dxa"/>
          </w:tcPr>
          <w:p w14:paraId="29A469DE" w14:textId="77777777" w:rsidR="00E61CF3" w:rsidRPr="000E04E2" w:rsidRDefault="00E61CF3" w:rsidP="00380D78">
            <w:pPr>
              <w:jc w:val="both"/>
              <w:rPr>
                <w:highlight w:val="yellow"/>
              </w:rPr>
            </w:pPr>
          </w:p>
        </w:tc>
        <w:tc>
          <w:tcPr>
            <w:tcW w:w="992" w:type="dxa"/>
          </w:tcPr>
          <w:p w14:paraId="237E2E82" w14:textId="77777777" w:rsidR="00E61CF3" w:rsidRPr="000E04E2" w:rsidRDefault="00E61CF3" w:rsidP="00380D78">
            <w:pPr>
              <w:jc w:val="both"/>
              <w:rPr>
                <w:highlight w:val="yellow"/>
              </w:rPr>
            </w:pPr>
          </w:p>
        </w:tc>
        <w:tc>
          <w:tcPr>
            <w:tcW w:w="1134" w:type="dxa"/>
          </w:tcPr>
          <w:p w14:paraId="3ACB084B" w14:textId="77777777" w:rsidR="00E61CF3" w:rsidRPr="000E04E2" w:rsidRDefault="00E61CF3" w:rsidP="00380D78">
            <w:pPr>
              <w:jc w:val="both"/>
              <w:rPr>
                <w:highlight w:val="yellow"/>
              </w:rPr>
            </w:pPr>
          </w:p>
        </w:tc>
        <w:tc>
          <w:tcPr>
            <w:tcW w:w="992" w:type="dxa"/>
          </w:tcPr>
          <w:p w14:paraId="1A0A01A3" w14:textId="77777777" w:rsidR="00E61CF3" w:rsidRPr="000E04E2" w:rsidRDefault="00E61CF3" w:rsidP="00380D78">
            <w:pPr>
              <w:jc w:val="both"/>
              <w:rPr>
                <w:highlight w:val="yellow"/>
              </w:rPr>
            </w:pPr>
          </w:p>
        </w:tc>
      </w:tr>
      <w:tr w:rsidR="00E61CF3" w:rsidRPr="000E04E2" w14:paraId="3FC418C1" w14:textId="77777777" w:rsidTr="00380D78">
        <w:tc>
          <w:tcPr>
            <w:tcW w:w="2544" w:type="dxa"/>
          </w:tcPr>
          <w:p w14:paraId="0DC5236F" w14:textId="77777777" w:rsidR="00E61CF3" w:rsidRPr="000E04E2" w:rsidRDefault="00E61CF3" w:rsidP="00380D78">
            <w:pPr>
              <w:rPr>
                <w:highlight w:val="yellow"/>
              </w:rPr>
            </w:pPr>
            <w:r w:rsidRPr="000E04E2">
              <w:rPr>
                <w:highlight w:val="yellow"/>
              </w:rPr>
              <w:t>Socio-educational advantage (ICSEA)</w:t>
            </w:r>
          </w:p>
        </w:tc>
        <w:tc>
          <w:tcPr>
            <w:tcW w:w="997" w:type="dxa"/>
          </w:tcPr>
          <w:p w14:paraId="5EED0DEC" w14:textId="77777777" w:rsidR="00E61CF3" w:rsidRPr="000E04E2" w:rsidRDefault="00E61CF3" w:rsidP="00380D78">
            <w:pPr>
              <w:jc w:val="both"/>
              <w:rPr>
                <w:highlight w:val="yellow"/>
              </w:rPr>
            </w:pPr>
            <w:r w:rsidRPr="000E04E2">
              <w:rPr>
                <w:szCs w:val="24"/>
                <w:highlight w:val="yellow"/>
              </w:rPr>
              <w:t>0.363**</w:t>
            </w:r>
          </w:p>
        </w:tc>
        <w:tc>
          <w:tcPr>
            <w:tcW w:w="956" w:type="dxa"/>
          </w:tcPr>
          <w:p w14:paraId="473C0434" w14:textId="77777777" w:rsidR="00E61CF3" w:rsidRPr="000E04E2" w:rsidRDefault="00E61CF3" w:rsidP="00380D78">
            <w:pPr>
              <w:jc w:val="both"/>
              <w:rPr>
                <w:highlight w:val="yellow"/>
              </w:rPr>
            </w:pPr>
            <w:r w:rsidRPr="000E04E2">
              <w:rPr>
                <w:szCs w:val="24"/>
                <w:highlight w:val="yellow"/>
              </w:rPr>
              <w:t>0.004</w:t>
            </w:r>
          </w:p>
        </w:tc>
        <w:tc>
          <w:tcPr>
            <w:tcW w:w="1032" w:type="dxa"/>
          </w:tcPr>
          <w:p w14:paraId="647A2730" w14:textId="77777777" w:rsidR="00E61CF3" w:rsidRPr="000E04E2" w:rsidRDefault="00E61CF3" w:rsidP="00380D78">
            <w:pPr>
              <w:jc w:val="both"/>
              <w:rPr>
                <w:highlight w:val="yellow"/>
              </w:rPr>
            </w:pPr>
            <w:r w:rsidRPr="000E04E2">
              <w:rPr>
                <w:highlight w:val="yellow"/>
              </w:rPr>
              <w:t>0.347**</w:t>
            </w:r>
          </w:p>
        </w:tc>
        <w:tc>
          <w:tcPr>
            <w:tcW w:w="969" w:type="dxa"/>
            <w:gridSpan w:val="2"/>
          </w:tcPr>
          <w:p w14:paraId="3D3E56A5" w14:textId="77777777" w:rsidR="00E61CF3" w:rsidRPr="000E04E2" w:rsidRDefault="00E61CF3" w:rsidP="00380D78">
            <w:pPr>
              <w:jc w:val="both"/>
              <w:rPr>
                <w:highlight w:val="yellow"/>
              </w:rPr>
            </w:pPr>
            <w:r w:rsidRPr="000E04E2">
              <w:rPr>
                <w:highlight w:val="yellow"/>
              </w:rPr>
              <w:t>0.003</w:t>
            </w:r>
          </w:p>
        </w:tc>
        <w:tc>
          <w:tcPr>
            <w:tcW w:w="1015" w:type="dxa"/>
          </w:tcPr>
          <w:p w14:paraId="1B8EDB99" w14:textId="77777777" w:rsidR="00E61CF3" w:rsidRPr="000E04E2" w:rsidRDefault="00E61CF3" w:rsidP="00380D78">
            <w:pPr>
              <w:jc w:val="both"/>
              <w:rPr>
                <w:highlight w:val="yellow"/>
              </w:rPr>
            </w:pPr>
            <w:r w:rsidRPr="000E04E2">
              <w:rPr>
                <w:highlight w:val="yellow"/>
              </w:rPr>
              <w:t>0.254**</w:t>
            </w:r>
          </w:p>
        </w:tc>
        <w:tc>
          <w:tcPr>
            <w:tcW w:w="959" w:type="dxa"/>
          </w:tcPr>
          <w:p w14:paraId="528B4663" w14:textId="77777777" w:rsidR="00E61CF3" w:rsidRPr="000E04E2" w:rsidRDefault="00E61CF3" w:rsidP="00380D78">
            <w:pPr>
              <w:jc w:val="both"/>
              <w:rPr>
                <w:highlight w:val="yellow"/>
              </w:rPr>
            </w:pPr>
            <w:r w:rsidRPr="000E04E2">
              <w:rPr>
                <w:highlight w:val="yellow"/>
              </w:rPr>
              <w:t>0.003</w:t>
            </w:r>
          </w:p>
        </w:tc>
        <w:tc>
          <w:tcPr>
            <w:tcW w:w="1026" w:type="dxa"/>
          </w:tcPr>
          <w:p w14:paraId="44181A95" w14:textId="77777777" w:rsidR="00E61CF3" w:rsidRPr="000E04E2" w:rsidRDefault="00E61CF3" w:rsidP="00380D78">
            <w:pPr>
              <w:jc w:val="both"/>
              <w:rPr>
                <w:highlight w:val="yellow"/>
              </w:rPr>
            </w:pPr>
            <w:r w:rsidRPr="000E04E2">
              <w:rPr>
                <w:highlight w:val="yellow"/>
              </w:rPr>
              <w:t>0.270**</w:t>
            </w:r>
          </w:p>
        </w:tc>
        <w:tc>
          <w:tcPr>
            <w:tcW w:w="992" w:type="dxa"/>
          </w:tcPr>
          <w:p w14:paraId="6BC09F11" w14:textId="77777777" w:rsidR="00E61CF3" w:rsidRPr="000E04E2" w:rsidRDefault="00E61CF3" w:rsidP="00380D78">
            <w:pPr>
              <w:jc w:val="both"/>
              <w:rPr>
                <w:highlight w:val="yellow"/>
              </w:rPr>
            </w:pPr>
            <w:r w:rsidRPr="000E04E2">
              <w:rPr>
                <w:highlight w:val="yellow"/>
              </w:rPr>
              <w:t>0.003</w:t>
            </w:r>
          </w:p>
        </w:tc>
        <w:tc>
          <w:tcPr>
            <w:tcW w:w="1134" w:type="dxa"/>
          </w:tcPr>
          <w:p w14:paraId="57A34051" w14:textId="77777777" w:rsidR="00E61CF3" w:rsidRPr="000E04E2" w:rsidRDefault="00E61CF3" w:rsidP="00380D78">
            <w:pPr>
              <w:jc w:val="both"/>
              <w:rPr>
                <w:highlight w:val="yellow"/>
              </w:rPr>
            </w:pPr>
            <w:r w:rsidRPr="000E04E2">
              <w:rPr>
                <w:highlight w:val="yellow"/>
              </w:rPr>
              <w:t>0.313**</w:t>
            </w:r>
          </w:p>
        </w:tc>
        <w:tc>
          <w:tcPr>
            <w:tcW w:w="992" w:type="dxa"/>
          </w:tcPr>
          <w:p w14:paraId="2CE7480E" w14:textId="77777777" w:rsidR="00E61CF3" w:rsidRPr="000E04E2" w:rsidRDefault="00E61CF3" w:rsidP="00380D78">
            <w:pPr>
              <w:jc w:val="both"/>
              <w:rPr>
                <w:highlight w:val="yellow"/>
              </w:rPr>
            </w:pPr>
            <w:r w:rsidRPr="000E04E2">
              <w:rPr>
                <w:highlight w:val="yellow"/>
              </w:rPr>
              <w:t>0.003</w:t>
            </w:r>
          </w:p>
        </w:tc>
      </w:tr>
      <w:tr w:rsidR="00E61CF3" w:rsidRPr="000E04E2" w14:paraId="75533F91" w14:textId="77777777" w:rsidTr="00380D78">
        <w:tc>
          <w:tcPr>
            <w:tcW w:w="2544" w:type="dxa"/>
          </w:tcPr>
          <w:p w14:paraId="60F66B85" w14:textId="77777777" w:rsidR="00E61CF3" w:rsidRPr="000E04E2" w:rsidRDefault="00E61CF3" w:rsidP="00380D78">
            <w:pPr>
              <w:rPr>
                <w:highlight w:val="yellow"/>
              </w:rPr>
            </w:pPr>
            <w:r w:rsidRPr="000E04E2">
              <w:rPr>
                <w:highlight w:val="yellow"/>
              </w:rPr>
              <w:t>Student/teacher ratio</w:t>
            </w:r>
          </w:p>
        </w:tc>
        <w:tc>
          <w:tcPr>
            <w:tcW w:w="997" w:type="dxa"/>
            <w:vAlign w:val="bottom"/>
          </w:tcPr>
          <w:p w14:paraId="6887AB20" w14:textId="77777777" w:rsidR="00E61CF3" w:rsidRPr="000E04E2" w:rsidRDefault="00E61CF3" w:rsidP="00380D78">
            <w:pPr>
              <w:jc w:val="both"/>
              <w:rPr>
                <w:highlight w:val="yellow"/>
              </w:rPr>
            </w:pPr>
            <w:r w:rsidRPr="000E04E2">
              <w:rPr>
                <w:highlight w:val="yellow"/>
              </w:rPr>
              <w:t>0.627**</w:t>
            </w:r>
          </w:p>
        </w:tc>
        <w:tc>
          <w:tcPr>
            <w:tcW w:w="956" w:type="dxa"/>
            <w:vAlign w:val="bottom"/>
          </w:tcPr>
          <w:p w14:paraId="37BCD45A" w14:textId="77777777" w:rsidR="00E61CF3" w:rsidRPr="000E04E2" w:rsidRDefault="00E61CF3" w:rsidP="00380D78">
            <w:pPr>
              <w:jc w:val="both"/>
              <w:rPr>
                <w:highlight w:val="yellow"/>
              </w:rPr>
            </w:pPr>
            <w:r w:rsidRPr="000E04E2">
              <w:rPr>
                <w:highlight w:val="yellow"/>
              </w:rPr>
              <w:t>0.126</w:t>
            </w:r>
          </w:p>
        </w:tc>
        <w:tc>
          <w:tcPr>
            <w:tcW w:w="1032" w:type="dxa"/>
            <w:vAlign w:val="bottom"/>
          </w:tcPr>
          <w:p w14:paraId="622B3F7C" w14:textId="77777777" w:rsidR="00E61CF3" w:rsidRPr="000E04E2" w:rsidRDefault="00E61CF3" w:rsidP="00380D78">
            <w:pPr>
              <w:jc w:val="both"/>
              <w:rPr>
                <w:highlight w:val="yellow"/>
              </w:rPr>
            </w:pPr>
            <w:r w:rsidRPr="000E04E2">
              <w:rPr>
                <w:highlight w:val="yellow"/>
              </w:rPr>
              <w:t>0.438**</w:t>
            </w:r>
          </w:p>
        </w:tc>
        <w:tc>
          <w:tcPr>
            <w:tcW w:w="969" w:type="dxa"/>
            <w:gridSpan w:val="2"/>
            <w:vAlign w:val="bottom"/>
          </w:tcPr>
          <w:p w14:paraId="302F5A21" w14:textId="77777777" w:rsidR="00E61CF3" w:rsidRPr="000E04E2" w:rsidRDefault="00E61CF3" w:rsidP="00380D78">
            <w:pPr>
              <w:jc w:val="both"/>
              <w:rPr>
                <w:highlight w:val="yellow"/>
              </w:rPr>
            </w:pPr>
            <w:r w:rsidRPr="000E04E2">
              <w:rPr>
                <w:highlight w:val="yellow"/>
              </w:rPr>
              <w:t>0.097</w:t>
            </w:r>
          </w:p>
        </w:tc>
        <w:tc>
          <w:tcPr>
            <w:tcW w:w="1015" w:type="dxa"/>
            <w:vAlign w:val="bottom"/>
          </w:tcPr>
          <w:p w14:paraId="23A174EA" w14:textId="77777777" w:rsidR="00E61CF3" w:rsidRPr="000E04E2" w:rsidRDefault="00E61CF3" w:rsidP="00380D78">
            <w:pPr>
              <w:jc w:val="both"/>
              <w:rPr>
                <w:highlight w:val="yellow"/>
              </w:rPr>
            </w:pPr>
            <w:r w:rsidRPr="000E04E2">
              <w:rPr>
                <w:highlight w:val="yellow"/>
              </w:rPr>
              <w:t>0.528**</w:t>
            </w:r>
          </w:p>
        </w:tc>
        <w:tc>
          <w:tcPr>
            <w:tcW w:w="959" w:type="dxa"/>
            <w:vAlign w:val="bottom"/>
          </w:tcPr>
          <w:p w14:paraId="040EEF15" w14:textId="77777777" w:rsidR="00E61CF3" w:rsidRPr="000E04E2" w:rsidRDefault="00E61CF3" w:rsidP="00380D78">
            <w:pPr>
              <w:jc w:val="both"/>
              <w:rPr>
                <w:highlight w:val="yellow"/>
              </w:rPr>
            </w:pPr>
            <w:r w:rsidRPr="000E04E2">
              <w:rPr>
                <w:highlight w:val="yellow"/>
              </w:rPr>
              <w:t>0.107</w:t>
            </w:r>
          </w:p>
        </w:tc>
        <w:tc>
          <w:tcPr>
            <w:tcW w:w="1026" w:type="dxa"/>
            <w:vAlign w:val="bottom"/>
          </w:tcPr>
          <w:p w14:paraId="4BF6A356" w14:textId="77777777" w:rsidR="00E61CF3" w:rsidRPr="000E04E2" w:rsidRDefault="00E61CF3" w:rsidP="00380D78">
            <w:pPr>
              <w:jc w:val="both"/>
              <w:rPr>
                <w:highlight w:val="yellow"/>
              </w:rPr>
            </w:pPr>
            <w:r w:rsidRPr="000E04E2">
              <w:rPr>
                <w:highlight w:val="yellow"/>
              </w:rPr>
              <w:t>0.506**</w:t>
            </w:r>
          </w:p>
        </w:tc>
        <w:tc>
          <w:tcPr>
            <w:tcW w:w="992" w:type="dxa"/>
            <w:vAlign w:val="bottom"/>
          </w:tcPr>
          <w:p w14:paraId="4FE5089C" w14:textId="77777777" w:rsidR="00E61CF3" w:rsidRPr="000E04E2" w:rsidRDefault="00E61CF3" w:rsidP="00380D78">
            <w:pPr>
              <w:jc w:val="both"/>
              <w:rPr>
                <w:highlight w:val="yellow"/>
              </w:rPr>
            </w:pPr>
            <w:r w:rsidRPr="000E04E2">
              <w:rPr>
                <w:highlight w:val="yellow"/>
              </w:rPr>
              <w:t>0.116</w:t>
            </w:r>
          </w:p>
        </w:tc>
        <w:tc>
          <w:tcPr>
            <w:tcW w:w="1134" w:type="dxa"/>
            <w:vAlign w:val="bottom"/>
          </w:tcPr>
          <w:p w14:paraId="208837DE" w14:textId="77777777" w:rsidR="00E61CF3" w:rsidRPr="000E04E2" w:rsidRDefault="00E61CF3" w:rsidP="00380D78">
            <w:pPr>
              <w:jc w:val="both"/>
              <w:rPr>
                <w:highlight w:val="yellow"/>
              </w:rPr>
            </w:pPr>
            <w:r w:rsidRPr="000E04E2">
              <w:rPr>
                <w:highlight w:val="yellow"/>
              </w:rPr>
              <w:t>0.520**</w:t>
            </w:r>
          </w:p>
        </w:tc>
        <w:tc>
          <w:tcPr>
            <w:tcW w:w="992" w:type="dxa"/>
            <w:vAlign w:val="bottom"/>
          </w:tcPr>
          <w:p w14:paraId="24D40868" w14:textId="77777777" w:rsidR="00E61CF3" w:rsidRPr="000E04E2" w:rsidRDefault="00E61CF3" w:rsidP="00380D78">
            <w:pPr>
              <w:jc w:val="both"/>
              <w:rPr>
                <w:highlight w:val="yellow"/>
              </w:rPr>
            </w:pPr>
            <w:r w:rsidRPr="000E04E2">
              <w:rPr>
                <w:highlight w:val="yellow"/>
              </w:rPr>
              <w:t>0.105</w:t>
            </w:r>
          </w:p>
        </w:tc>
      </w:tr>
      <w:tr w:rsidR="00E61CF3" w:rsidRPr="000E04E2" w14:paraId="68B9A27B" w14:textId="77777777" w:rsidTr="00380D78">
        <w:tc>
          <w:tcPr>
            <w:tcW w:w="2544" w:type="dxa"/>
          </w:tcPr>
          <w:p w14:paraId="15BA89F3" w14:textId="77777777" w:rsidR="00E61CF3" w:rsidRPr="000E04E2" w:rsidRDefault="00E61CF3" w:rsidP="00380D78">
            <w:pPr>
              <w:rPr>
                <w:highlight w:val="yellow"/>
              </w:rPr>
            </w:pPr>
            <w:r w:rsidRPr="000E04E2">
              <w:rPr>
                <w:highlight w:val="yellow"/>
              </w:rPr>
              <w:t>Total income/10000</w:t>
            </w:r>
          </w:p>
        </w:tc>
        <w:tc>
          <w:tcPr>
            <w:tcW w:w="997" w:type="dxa"/>
          </w:tcPr>
          <w:p w14:paraId="304AF4E3" w14:textId="77777777" w:rsidR="00E61CF3" w:rsidRPr="000E04E2" w:rsidRDefault="00E61CF3" w:rsidP="00380D78">
            <w:pPr>
              <w:jc w:val="both"/>
              <w:rPr>
                <w:highlight w:val="yellow"/>
              </w:rPr>
            </w:pPr>
            <w:r w:rsidRPr="000E04E2">
              <w:rPr>
                <w:highlight w:val="yellow"/>
              </w:rPr>
              <w:t>1.568</w:t>
            </w:r>
          </w:p>
        </w:tc>
        <w:tc>
          <w:tcPr>
            <w:tcW w:w="956" w:type="dxa"/>
          </w:tcPr>
          <w:p w14:paraId="46A1787D" w14:textId="77777777" w:rsidR="00E61CF3" w:rsidRPr="000E04E2" w:rsidRDefault="00E61CF3" w:rsidP="00380D78">
            <w:pPr>
              <w:jc w:val="both"/>
              <w:rPr>
                <w:highlight w:val="yellow"/>
              </w:rPr>
            </w:pPr>
            <w:r w:rsidRPr="000E04E2">
              <w:rPr>
                <w:highlight w:val="yellow"/>
              </w:rPr>
              <w:t>0.865</w:t>
            </w:r>
          </w:p>
        </w:tc>
        <w:tc>
          <w:tcPr>
            <w:tcW w:w="1032" w:type="dxa"/>
          </w:tcPr>
          <w:p w14:paraId="3B982CF3" w14:textId="77777777" w:rsidR="00E61CF3" w:rsidRPr="000E04E2" w:rsidRDefault="00E61CF3" w:rsidP="00380D78">
            <w:pPr>
              <w:jc w:val="both"/>
              <w:rPr>
                <w:highlight w:val="yellow"/>
              </w:rPr>
            </w:pPr>
            <w:r w:rsidRPr="000E04E2">
              <w:rPr>
                <w:highlight w:val="yellow"/>
              </w:rPr>
              <w:t>3.135**</w:t>
            </w:r>
          </w:p>
        </w:tc>
        <w:tc>
          <w:tcPr>
            <w:tcW w:w="969" w:type="dxa"/>
            <w:gridSpan w:val="2"/>
          </w:tcPr>
          <w:p w14:paraId="58014270" w14:textId="77777777" w:rsidR="00E61CF3" w:rsidRPr="000E04E2" w:rsidRDefault="00E61CF3" w:rsidP="00380D78">
            <w:pPr>
              <w:jc w:val="both"/>
              <w:rPr>
                <w:highlight w:val="yellow"/>
              </w:rPr>
            </w:pPr>
            <w:r w:rsidRPr="000E04E2">
              <w:rPr>
                <w:highlight w:val="yellow"/>
              </w:rPr>
              <w:t>0.735</w:t>
            </w:r>
          </w:p>
        </w:tc>
        <w:tc>
          <w:tcPr>
            <w:tcW w:w="1015" w:type="dxa"/>
          </w:tcPr>
          <w:p w14:paraId="435EAC90" w14:textId="77777777" w:rsidR="00E61CF3" w:rsidRPr="000E04E2" w:rsidRDefault="00E61CF3" w:rsidP="00380D78">
            <w:pPr>
              <w:jc w:val="both"/>
              <w:rPr>
                <w:highlight w:val="yellow"/>
              </w:rPr>
            </w:pPr>
            <w:r w:rsidRPr="000E04E2">
              <w:rPr>
                <w:highlight w:val="yellow"/>
              </w:rPr>
              <w:t>-0.864</w:t>
            </w:r>
          </w:p>
        </w:tc>
        <w:tc>
          <w:tcPr>
            <w:tcW w:w="959" w:type="dxa"/>
          </w:tcPr>
          <w:p w14:paraId="220EDD0B" w14:textId="77777777" w:rsidR="00E61CF3" w:rsidRPr="000E04E2" w:rsidRDefault="00E61CF3" w:rsidP="00380D78">
            <w:pPr>
              <w:jc w:val="both"/>
              <w:rPr>
                <w:highlight w:val="yellow"/>
              </w:rPr>
            </w:pPr>
            <w:r w:rsidRPr="000E04E2">
              <w:rPr>
                <w:highlight w:val="yellow"/>
              </w:rPr>
              <w:t>0.836</w:t>
            </w:r>
          </w:p>
        </w:tc>
        <w:tc>
          <w:tcPr>
            <w:tcW w:w="1026" w:type="dxa"/>
          </w:tcPr>
          <w:p w14:paraId="2F42A279" w14:textId="77777777" w:rsidR="00E61CF3" w:rsidRPr="000E04E2" w:rsidRDefault="00E61CF3" w:rsidP="00380D78">
            <w:pPr>
              <w:jc w:val="both"/>
              <w:rPr>
                <w:highlight w:val="yellow"/>
              </w:rPr>
            </w:pPr>
            <w:r w:rsidRPr="000E04E2">
              <w:rPr>
                <w:highlight w:val="yellow"/>
              </w:rPr>
              <w:t>-0.386</w:t>
            </w:r>
          </w:p>
        </w:tc>
        <w:tc>
          <w:tcPr>
            <w:tcW w:w="992" w:type="dxa"/>
          </w:tcPr>
          <w:p w14:paraId="2A5FCDA1" w14:textId="77777777" w:rsidR="00E61CF3" w:rsidRPr="000E04E2" w:rsidRDefault="00E61CF3" w:rsidP="00380D78">
            <w:pPr>
              <w:jc w:val="both"/>
              <w:rPr>
                <w:highlight w:val="yellow"/>
              </w:rPr>
            </w:pPr>
            <w:r w:rsidRPr="000E04E2">
              <w:rPr>
                <w:highlight w:val="yellow"/>
              </w:rPr>
              <w:t>0.929</w:t>
            </w:r>
          </w:p>
        </w:tc>
        <w:tc>
          <w:tcPr>
            <w:tcW w:w="1134" w:type="dxa"/>
          </w:tcPr>
          <w:p w14:paraId="386072E1" w14:textId="77777777" w:rsidR="00E61CF3" w:rsidRPr="000E04E2" w:rsidRDefault="00E61CF3" w:rsidP="00380D78">
            <w:pPr>
              <w:jc w:val="both"/>
              <w:rPr>
                <w:highlight w:val="yellow"/>
              </w:rPr>
            </w:pPr>
            <w:r w:rsidRPr="000E04E2">
              <w:rPr>
                <w:highlight w:val="yellow"/>
              </w:rPr>
              <w:t>4.494**</w:t>
            </w:r>
          </w:p>
        </w:tc>
        <w:tc>
          <w:tcPr>
            <w:tcW w:w="992" w:type="dxa"/>
          </w:tcPr>
          <w:p w14:paraId="6723EFF6" w14:textId="77777777" w:rsidR="00E61CF3" w:rsidRPr="000E04E2" w:rsidRDefault="00E61CF3" w:rsidP="00380D78">
            <w:pPr>
              <w:jc w:val="both"/>
              <w:rPr>
                <w:highlight w:val="yellow"/>
              </w:rPr>
            </w:pPr>
            <w:r w:rsidRPr="000E04E2">
              <w:rPr>
                <w:highlight w:val="yellow"/>
              </w:rPr>
              <w:t>0.865</w:t>
            </w:r>
          </w:p>
        </w:tc>
      </w:tr>
      <w:tr w:rsidR="00E61CF3" w:rsidRPr="000E04E2" w14:paraId="48C22093" w14:textId="77777777" w:rsidTr="00380D78">
        <w:tc>
          <w:tcPr>
            <w:tcW w:w="2544" w:type="dxa"/>
          </w:tcPr>
          <w:p w14:paraId="349B3B06" w14:textId="77777777" w:rsidR="00E61CF3" w:rsidRPr="000E04E2" w:rsidRDefault="00E61CF3" w:rsidP="00380D78">
            <w:pPr>
              <w:rPr>
                <w:highlight w:val="yellow"/>
              </w:rPr>
            </w:pPr>
          </w:p>
        </w:tc>
        <w:tc>
          <w:tcPr>
            <w:tcW w:w="997" w:type="dxa"/>
          </w:tcPr>
          <w:p w14:paraId="42343610" w14:textId="77777777" w:rsidR="00E61CF3" w:rsidRPr="000E04E2" w:rsidRDefault="00E61CF3" w:rsidP="00380D78">
            <w:pPr>
              <w:jc w:val="both"/>
              <w:rPr>
                <w:highlight w:val="yellow"/>
              </w:rPr>
            </w:pPr>
          </w:p>
        </w:tc>
        <w:tc>
          <w:tcPr>
            <w:tcW w:w="956" w:type="dxa"/>
          </w:tcPr>
          <w:p w14:paraId="680AD854" w14:textId="77777777" w:rsidR="00E61CF3" w:rsidRPr="000E04E2" w:rsidRDefault="00E61CF3" w:rsidP="00380D78">
            <w:pPr>
              <w:jc w:val="both"/>
              <w:rPr>
                <w:highlight w:val="yellow"/>
              </w:rPr>
            </w:pPr>
          </w:p>
        </w:tc>
        <w:tc>
          <w:tcPr>
            <w:tcW w:w="1032" w:type="dxa"/>
          </w:tcPr>
          <w:p w14:paraId="031A0A87" w14:textId="77777777" w:rsidR="00E61CF3" w:rsidRPr="000E04E2" w:rsidRDefault="00E61CF3" w:rsidP="00380D78">
            <w:pPr>
              <w:jc w:val="both"/>
              <w:rPr>
                <w:highlight w:val="yellow"/>
              </w:rPr>
            </w:pPr>
          </w:p>
        </w:tc>
        <w:tc>
          <w:tcPr>
            <w:tcW w:w="969" w:type="dxa"/>
            <w:gridSpan w:val="2"/>
          </w:tcPr>
          <w:p w14:paraId="191281C3" w14:textId="77777777" w:rsidR="00E61CF3" w:rsidRPr="000E04E2" w:rsidRDefault="00E61CF3" w:rsidP="00380D78">
            <w:pPr>
              <w:jc w:val="both"/>
              <w:rPr>
                <w:highlight w:val="yellow"/>
              </w:rPr>
            </w:pPr>
          </w:p>
        </w:tc>
        <w:tc>
          <w:tcPr>
            <w:tcW w:w="1015" w:type="dxa"/>
          </w:tcPr>
          <w:p w14:paraId="7608C977" w14:textId="77777777" w:rsidR="00E61CF3" w:rsidRPr="000E04E2" w:rsidRDefault="00E61CF3" w:rsidP="00380D78">
            <w:pPr>
              <w:jc w:val="both"/>
              <w:rPr>
                <w:highlight w:val="yellow"/>
              </w:rPr>
            </w:pPr>
          </w:p>
        </w:tc>
        <w:tc>
          <w:tcPr>
            <w:tcW w:w="959" w:type="dxa"/>
          </w:tcPr>
          <w:p w14:paraId="4A25D0D7" w14:textId="77777777" w:rsidR="00E61CF3" w:rsidRPr="000E04E2" w:rsidRDefault="00E61CF3" w:rsidP="00380D78">
            <w:pPr>
              <w:jc w:val="both"/>
              <w:rPr>
                <w:highlight w:val="yellow"/>
              </w:rPr>
            </w:pPr>
          </w:p>
        </w:tc>
        <w:tc>
          <w:tcPr>
            <w:tcW w:w="1026" w:type="dxa"/>
          </w:tcPr>
          <w:p w14:paraId="27C9B6A0" w14:textId="77777777" w:rsidR="00E61CF3" w:rsidRPr="000E04E2" w:rsidRDefault="00E61CF3" w:rsidP="00380D78">
            <w:pPr>
              <w:jc w:val="both"/>
              <w:rPr>
                <w:highlight w:val="yellow"/>
              </w:rPr>
            </w:pPr>
          </w:p>
        </w:tc>
        <w:tc>
          <w:tcPr>
            <w:tcW w:w="992" w:type="dxa"/>
          </w:tcPr>
          <w:p w14:paraId="006FEEE5" w14:textId="77777777" w:rsidR="00E61CF3" w:rsidRPr="000E04E2" w:rsidRDefault="00E61CF3" w:rsidP="00380D78">
            <w:pPr>
              <w:jc w:val="both"/>
              <w:rPr>
                <w:highlight w:val="yellow"/>
              </w:rPr>
            </w:pPr>
          </w:p>
        </w:tc>
        <w:tc>
          <w:tcPr>
            <w:tcW w:w="1134" w:type="dxa"/>
          </w:tcPr>
          <w:p w14:paraId="612C87B4" w14:textId="77777777" w:rsidR="00E61CF3" w:rsidRPr="000E04E2" w:rsidRDefault="00E61CF3" w:rsidP="00380D78">
            <w:pPr>
              <w:jc w:val="both"/>
              <w:rPr>
                <w:highlight w:val="yellow"/>
              </w:rPr>
            </w:pPr>
          </w:p>
        </w:tc>
        <w:tc>
          <w:tcPr>
            <w:tcW w:w="992" w:type="dxa"/>
          </w:tcPr>
          <w:p w14:paraId="045EED4C" w14:textId="77777777" w:rsidR="00E61CF3" w:rsidRPr="000E04E2" w:rsidRDefault="00E61CF3" w:rsidP="00380D78">
            <w:pPr>
              <w:jc w:val="both"/>
              <w:rPr>
                <w:highlight w:val="yellow"/>
              </w:rPr>
            </w:pPr>
          </w:p>
        </w:tc>
      </w:tr>
      <w:tr w:rsidR="00E61CF3" w:rsidRPr="000E04E2" w14:paraId="185923DD" w14:textId="77777777" w:rsidTr="00380D78">
        <w:tc>
          <w:tcPr>
            <w:tcW w:w="2544" w:type="dxa"/>
          </w:tcPr>
          <w:p w14:paraId="5A68886F" w14:textId="77777777" w:rsidR="00E61CF3" w:rsidRPr="000E04E2" w:rsidRDefault="00E61CF3" w:rsidP="00380D78">
            <w:pPr>
              <w:rPr>
                <w:highlight w:val="yellow"/>
              </w:rPr>
            </w:pPr>
            <w:r w:rsidRPr="000E04E2">
              <w:rPr>
                <w:highlight w:val="yellow"/>
              </w:rPr>
              <w:t>Additional controls</w:t>
            </w:r>
          </w:p>
        </w:tc>
        <w:tc>
          <w:tcPr>
            <w:tcW w:w="997" w:type="dxa"/>
          </w:tcPr>
          <w:p w14:paraId="7746ECC7" w14:textId="77777777" w:rsidR="00E61CF3" w:rsidRPr="000E04E2" w:rsidRDefault="00E61CF3" w:rsidP="00380D78">
            <w:pPr>
              <w:rPr>
                <w:b/>
                <w:highlight w:val="yellow"/>
              </w:rPr>
            </w:pPr>
            <w:r w:rsidRPr="000E04E2">
              <w:rPr>
                <w:b/>
                <w:highlight w:val="yellow"/>
              </w:rPr>
              <w:t>YES</w:t>
            </w:r>
          </w:p>
        </w:tc>
        <w:tc>
          <w:tcPr>
            <w:tcW w:w="956" w:type="dxa"/>
          </w:tcPr>
          <w:p w14:paraId="76F6820E" w14:textId="77777777" w:rsidR="00E61CF3" w:rsidRPr="000E04E2" w:rsidRDefault="00E61CF3" w:rsidP="00380D78">
            <w:pPr>
              <w:rPr>
                <w:b/>
                <w:highlight w:val="yellow"/>
              </w:rPr>
            </w:pPr>
          </w:p>
        </w:tc>
        <w:tc>
          <w:tcPr>
            <w:tcW w:w="1032" w:type="dxa"/>
          </w:tcPr>
          <w:p w14:paraId="69E84559" w14:textId="77777777" w:rsidR="00E61CF3" w:rsidRPr="000E04E2" w:rsidRDefault="00E61CF3" w:rsidP="00380D78">
            <w:pPr>
              <w:rPr>
                <w:b/>
                <w:highlight w:val="yellow"/>
              </w:rPr>
            </w:pPr>
            <w:r w:rsidRPr="000E04E2">
              <w:rPr>
                <w:b/>
                <w:highlight w:val="yellow"/>
              </w:rPr>
              <w:t>YES</w:t>
            </w:r>
          </w:p>
        </w:tc>
        <w:tc>
          <w:tcPr>
            <w:tcW w:w="969" w:type="dxa"/>
            <w:gridSpan w:val="2"/>
          </w:tcPr>
          <w:p w14:paraId="0EB967B0" w14:textId="77777777" w:rsidR="00E61CF3" w:rsidRPr="000E04E2" w:rsidRDefault="00E61CF3" w:rsidP="00380D78">
            <w:pPr>
              <w:rPr>
                <w:b/>
                <w:highlight w:val="yellow"/>
              </w:rPr>
            </w:pPr>
          </w:p>
        </w:tc>
        <w:tc>
          <w:tcPr>
            <w:tcW w:w="1015" w:type="dxa"/>
          </w:tcPr>
          <w:p w14:paraId="79CB842E" w14:textId="77777777" w:rsidR="00E61CF3" w:rsidRPr="000E04E2" w:rsidRDefault="00E61CF3" w:rsidP="00380D78">
            <w:pPr>
              <w:rPr>
                <w:b/>
                <w:highlight w:val="yellow"/>
              </w:rPr>
            </w:pPr>
            <w:r w:rsidRPr="000E04E2">
              <w:rPr>
                <w:b/>
                <w:highlight w:val="yellow"/>
              </w:rPr>
              <w:t>YES</w:t>
            </w:r>
          </w:p>
        </w:tc>
        <w:tc>
          <w:tcPr>
            <w:tcW w:w="959" w:type="dxa"/>
          </w:tcPr>
          <w:p w14:paraId="0F9AD03A" w14:textId="77777777" w:rsidR="00E61CF3" w:rsidRPr="000E04E2" w:rsidRDefault="00E61CF3" w:rsidP="00380D78">
            <w:pPr>
              <w:rPr>
                <w:highlight w:val="yellow"/>
              </w:rPr>
            </w:pPr>
          </w:p>
        </w:tc>
        <w:tc>
          <w:tcPr>
            <w:tcW w:w="1026" w:type="dxa"/>
          </w:tcPr>
          <w:p w14:paraId="4132E9C2" w14:textId="77777777" w:rsidR="00E61CF3" w:rsidRPr="000E04E2" w:rsidRDefault="00E61CF3" w:rsidP="00380D78">
            <w:pPr>
              <w:rPr>
                <w:highlight w:val="yellow"/>
              </w:rPr>
            </w:pPr>
            <w:r w:rsidRPr="000E04E2">
              <w:rPr>
                <w:b/>
                <w:highlight w:val="yellow"/>
              </w:rPr>
              <w:t>YES</w:t>
            </w:r>
          </w:p>
        </w:tc>
        <w:tc>
          <w:tcPr>
            <w:tcW w:w="992" w:type="dxa"/>
          </w:tcPr>
          <w:p w14:paraId="593E8327" w14:textId="77777777" w:rsidR="00E61CF3" w:rsidRPr="000E04E2" w:rsidRDefault="00E61CF3" w:rsidP="00380D78">
            <w:pPr>
              <w:jc w:val="both"/>
              <w:rPr>
                <w:highlight w:val="yellow"/>
              </w:rPr>
            </w:pPr>
          </w:p>
        </w:tc>
        <w:tc>
          <w:tcPr>
            <w:tcW w:w="1134" w:type="dxa"/>
          </w:tcPr>
          <w:p w14:paraId="4E3A5A8A" w14:textId="77777777" w:rsidR="00E61CF3" w:rsidRPr="000E04E2" w:rsidRDefault="00E61CF3" w:rsidP="00380D78">
            <w:pPr>
              <w:rPr>
                <w:highlight w:val="yellow"/>
              </w:rPr>
            </w:pPr>
            <w:r w:rsidRPr="000E04E2">
              <w:rPr>
                <w:b/>
                <w:highlight w:val="yellow"/>
              </w:rPr>
              <w:t>YES</w:t>
            </w:r>
          </w:p>
        </w:tc>
        <w:tc>
          <w:tcPr>
            <w:tcW w:w="992" w:type="dxa"/>
          </w:tcPr>
          <w:p w14:paraId="2FB04523" w14:textId="77777777" w:rsidR="00E61CF3" w:rsidRPr="000E04E2" w:rsidRDefault="00E61CF3" w:rsidP="00380D78">
            <w:pPr>
              <w:rPr>
                <w:highlight w:val="yellow"/>
              </w:rPr>
            </w:pPr>
          </w:p>
        </w:tc>
      </w:tr>
      <w:tr w:rsidR="00E61CF3" w:rsidRPr="000E04E2" w14:paraId="0BDCA48E" w14:textId="77777777" w:rsidTr="00380D78">
        <w:tc>
          <w:tcPr>
            <w:tcW w:w="2544" w:type="dxa"/>
          </w:tcPr>
          <w:p w14:paraId="2EC18817" w14:textId="77777777" w:rsidR="00E61CF3" w:rsidRPr="000E04E2" w:rsidRDefault="00E61CF3" w:rsidP="00380D78">
            <w:pPr>
              <w:rPr>
                <w:highlight w:val="yellow"/>
              </w:rPr>
            </w:pPr>
            <w:r w:rsidRPr="000E04E2">
              <w:rPr>
                <w:highlight w:val="yellow"/>
              </w:rPr>
              <w:t>Constant</w:t>
            </w:r>
          </w:p>
        </w:tc>
        <w:tc>
          <w:tcPr>
            <w:tcW w:w="997" w:type="dxa"/>
          </w:tcPr>
          <w:p w14:paraId="518E93AD" w14:textId="77777777" w:rsidR="00E61CF3" w:rsidRPr="000E04E2" w:rsidRDefault="00E61CF3" w:rsidP="00380D78">
            <w:pPr>
              <w:jc w:val="both"/>
              <w:rPr>
                <w:highlight w:val="yellow"/>
              </w:rPr>
            </w:pPr>
            <w:r w:rsidRPr="000E04E2">
              <w:rPr>
                <w:highlight w:val="yellow"/>
              </w:rPr>
              <w:t>99.93**</w:t>
            </w:r>
          </w:p>
        </w:tc>
        <w:tc>
          <w:tcPr>
            <w:tcW w:w="956" w:type="dxa"/>
          </w:tcPr>
          <w:p w14:paraId="65C42BF6" w14:textId="77777777" w:rsidR="00E61CF3" w:rsidRPr="000E04E2" w:rsidRDefault="00E61CF3" w:rsidP="00380D78">
            <w:pPr>
              <w:jc w:val="both"/>
              <w:rPr>
                <w:highlight w:val="yellow"/>
              </w:rPr>
            </w:pPr>
            <w:r w:rsidRPr="000E04E2">
              <w:rPr>
                <w:highlight w:val="yellow"/>
              </w:rPr>
              <w:t>6.294</w:t>
            </w:r>
          </w:p>
        </w:tc>
        <w:tc>
          <w:tcPr>
            <w:tcW w:w="1032" w:type="dxa"/>
          </w:tcPr>
          <w:p w14:paraId="31D76D96" w14:textId="77777777" w:rsidR="00E61CF3" w:rsidRPr="000E04E2" w:rsidRDefault="00E61CF3" w:rsidP="00380D78">
            <w:pPr>
              <w:jc w:val="both"/>
              <w:rPr>
                <w:highlight w:val="yellow"/>
              </w:rPr>
            </w:pPr>
            <w:r w:rsidRPr="000E04E2">
              <w:rPr>
                <w:highlight w:val="yellow"/>
              </w:rPr>
              <w:t>122.98**</w:t>
            </w:r>
          </w:p>
        </w:tc>
        <w:tc>
          <w:tcPr>
            <w:tcW w:w="969" w:type="dxa"/>
            <w:gridSpan w:val="2"/>
          </w:tcPr>
          <w:p w14:paraId="3093D894" w14:textId="77777777" w:rsidR="00E61CF3" w:rsidRPr="000E04E2" w:rsidRDefault="00E61CF3" w:rsidP="00380D78">
            <w:pPr>
              <w:jc w:val="both"/>
              <w:rPr>
                <w:highlight w:val="yellow"/>
              </w:rPr>
            </w:pPr>
            <w:r w:rsidRPr="000E04E2">
              <w:rPr>
                <w:highlight w:val="yellow"/>
              </w:rPr>
              <w:t>5.117</w:t>
            </w:r>
          </w:p>
        </w:tc>
        <w:tc>
          <w:tcPr>
            <w:tcW w:w="1015" w:type="dxa"/>
          </w:tcPr>
          <w:p w14:paraId="32E86B60" w14:textId="77777777" w:rsidR="00E61CF3" w:rsidRPr="000E04E2" w:rsidRDefault="00E61CF3" w:rsidP="00380D78">
            <w:pPr>
              <w:jc w:val="both"/>
              <w:rPr>
                <w:highlight w:val="yellow"/>
              </w:rPr>
            </w:pPr>
            <w:r w:rsidRPr="000E04E2">
              <w:rPr>
                <w:highlight w:val="yellow"/>
              </w:rPr>
              <w:t>199.59**</w:t>
            </w:r>
          </w:p>
        </w:tc>
        <w:tc>
          <w:tcPr>
            <w:tcW w:w="959" w:type="dxa"/>
          </w:tcPr>
          <w:p w14:paraId="196C11E7" w14:textId="77777777" w:rsidR="00E61CF3" w:rsidRPr="000E04E2" w:rsidRDefault="00E61CF3" w:rsidP="00380D78">
            <w:pPr>
              <w:jc w:val="both"/>
              <w:rPr>
                <w:highlight w:val="yellow"/>
              </w:rPr>
            </w:pPr>
            <w:r w:rsidRPr="000E04E2">
              <w:rPr>
                <w:highlight w:val="yellow"/>
              </w:rPr>
              <w:t>4.587</w:t>
            </w:r>
          </w:p>
        </w:tc>
        <w:tc>
          <w:tcPr>
            <w:tcW w:w="1026" w:type="dxa"/>
          </w:tcPr>
          <w:p w14:paraId="61F77E18" w14:textId="77777777" w:rsidR="00E61CF3" w:rsidRPr="000E04E2" w:rsidRDefault="00E61CF3" w:rsidP="00380D78">
            <w:pPr>
              <w:jc w:val="both"/>
              <w:rPr>
                <w:highlight w:val="yellow"/>
              </w:rPr>
            </w:pPr>
            <w:r w:rsidRPr="000E04E2">
              <w:rPr>
                <w:highlight w:val="yellow"/>
              </w:rPr>
              <w:t>153.27**</w:t>
            </w:r>
          </w:p>
        </w:tc>
        <w:tc>
          <w:tcPr>
            <w:tcW w:w="992" w:type="dxa"/>
          </w:tcPr>
          <w:p w14:paraId="6EAD3AE1" w14:textId="77777777" w:rsidR="00E61CF3" w:rsidRPr="000E04E2" w:rsidRDefault="00E61CF3" w:rsidP="00380D78">
            <w:pPr>
              <w:jc w:val="both"/>
              <w:rPr>
                <w:highlight w:val="yellow"/>
              </w:rPr>
            </w:pPr>
            <w:r w:rsidRPr="000E04E2">
              <w:rPr>
                <w:highlight w:val="yellow"/>
              </w:rPr>
              <w:t>5.382</w:t>
            </w:r>
          </w:p>
        </w:tc>
        <w:tc>
          <w:tcPr>
            <w:tcW w:w="1134" w:type="dxa"/>
          </w:tcPr>
          <w:p w14:paraId="06B8B39E" w14:textId="77777777" w:rsidR="00E61CF3" w:rsidRPr="000E04E2" w:rsidRDefault="00E61CF3" w:rsidP="00380D78">
            <w:pPr>
              <w:jc w:val="both"/>
              <w:rPr>
                <w:highlight w:val="yellow"/>
              </w:rPr>
            </w:pPr>
            <w:r w:rsidRPr="000E04E2">
              <w:rPr>
                <w:highlight w:val="yellow"/>
              </w:rPr>
              <w:t>156.10**</w:t>
            </w:r>
          </w:p>
        </w:tc>
        <w:tc>
          <w:tcPr>
            <w:tcW w:w="992" w:type="dxa"/>
          </w:tcPr>
          <w:p w14:paraId="76CF5AD5" w14:textId="77777777" w:rsidR="00E61CF3" w:rsidRPr="000E04E2" w:rsidRDefault="00E61CF3" w:rsidP="00380D78">
            <w:pPr>
              <w:jc w:val="both"/>
              <w:rPr>
                <w:highlight w:val="yellow"/>
              </w:rPr>
            </w:pPr>
            <w:r w:rsidRPr="000E04E2">
              <w:rPr>
                <w:highlight w:val="yellow"/>
              </w:rPr>
              <w:t>4.715</w:t>
            </w:r>
          </w:p>
        </w:tc>
      </w:tr>
      <w:tr w:rsidR="00E61CF3" w:rsidRPr="000E04E2" w14:paraId="63C558EF" w14:textId="77777777" w:rsidTr="00380D78">
        <w:tc>
          <w:tcPr>
            <w:tcW w:w="2544" w:type="dxa"/>
          </w:tcPr>
          <w:p w14:paraId="2AA182C6" w14:textId="77777777" w:rsidR="00E61CF3" w:rsidRPr="000E04E2" w:rsidRDefault="00E61CF3" w:rsidP="00380D78">
            <w:pPr>
              <w:ind w:left="22"/>
              <w:rPr>
                <w:highlight w:val="yellow"/>
              </w:rPr>
            </w:pPr>
            <w:r w:rsidRPr="000E04E2">
              <w:rPr>
                <w:highlight w:val="yellow"/>
              </w:rPr>
              <w:t>R</w:t>
            </w:r>
            <w:r w:rsidRPr="000E04E2">
              <w:rPr>
                <w:highlight w:val="yellow"/>
                <w:vertAlign w:val="superscript"/>
              </w:rPr>
              <w:t>2</w:t>
            </w:r>
          </w:p>
        </w:tc>
        <w:tc>
          <w:tcPr>
            <w:tcW w:w="997" w:type="dxa"/>
          </w:tcPr>
          <w:p w14:paraId="1122BFB2" w14:textId="77777777" w:rsidR="00E61CF3" w:rsidRPr="000E04E2" w:rsidRDefault="00E61CF3" w:rsidP="00380D78">
            <w:pPr>
              <w:jc w:val="both"/>
              <w:rPr>
                <w:highlight w:val="yellow"/>
              </w:rPr>
            </w:pPr>
            <w:r w:rsidRPr="000E04E2">
              <w:rPr>
                <w:highlight w:val="yellow"/>
              </w:rPr>
              <w:t>0.674</w:t>
            </w:r>
          </w:p>
        </w:tc>
        <w:tc>
          <w:tcPr>
            <w:tcW w:w="956" w:type="dxa"/>
          </w:tcPr>
          <w:p w14:paraId="7D20DA5D" w14:textId="77777777" w:rsidR="00E61CF3" w:rsidRPr="000E04E2" w:rsidRDefault="00E61CF3" w:rsidP="00380D78">
            <w:pPr>
              <w:jc w:val="both"/>
              <w:rPr>
                <w:highlight w:val="yellow"/>
              </w:rPr>
            </w:pPr>
          </w:p>
        </w:tc>
        <w:tc>
          <w:tcPr>
            <w:tcW w:w="1032" w:type="dxa"/>
          </w:tcPr>
          <w:p w14:paraId="706625A8" w14:textId="77777777" w:rsidR="00E61CF3" w:rsidRPr="000E04E2" w:rsidRDefault="00E61CF3" w:rsidP="00380D78">
            <w:pPr>
              <w:rPr>
                <w:highlight w:val="yellow"/>
              </w:rPr>
            </w:pPr>
            <w:r w:rsidRPr="000E04E2">
              <w:rPr>
                <w:highlight w:val="yellow"/>
              </w:rPr>
              <w:t>0.703</w:t>
            </w:r>
          </w:p>
        </w:tc>
        <w:tc>
          <w:tcPr>
            <w:tcW w:w="969" w:type="dxa"/>
            <w:gridSpan w:val="2"/>
          </w:tcPr>
          <w:p w14:paraId="19BF923F" w14:textId="77777777" w:rsidR="00E61CF3" w:rsidRPr="000E04E2" w:rsidRDefault="00E61CF3" w:rsidP="00380D78">
            <w:pPr>
              <w:jc w:val="both"/>
              <w:rPr>
                <w:highlight w:val="yellow"/>
              </w:rPr>
            </w:pPr>
          </w:p>
        </w:tc>
        <w:tc>
          <w:tcPr>
            <w:tcW w:w="1015" w:type="dxa"/>
          </w:tcPr>
          <w:p w14:paraId="655A4A3C" w14:textId="77777777" w:rsidR="00E61CF3" w:rsidRPr="000E04E2" w:rsidRDefault="00E61CF3" w:rsidP="00380D78">
            <w:pPr>
              <w:jc w:val="both"/>
              <w:rPr>
                <w:highlight w:val="yellow"/>
              </w:rPr>
            </w:pPr>
            <w:r w:rsidRPr="000E04E2">
              <w:rPr>
                <w:highlight w:val="yellow"/>
              </w:rPr>
              <w:t>0.643</w:t>
            </w:r>
          </w:p>
        </w:tc>
        <w:tc>
          <w:tcPr>
            <w:tcW w:w="959" w:type="dxa"/>
          </w:tcPr>
          <w:p w14:paraId="53DEC759" w14:textId="77777777" w:rsidR="00E61CF3" w:rsidRPr="000E04E2" w:rsidRDefault="00E61CF3" w:rsidP="00380D78">
            <w:pPr>
              <w:jc w:val="both"/>
              <w:rPr>
                <w:highlight w:val="yellow"/>
              </w:rPr>
            </w:pPr>
          </w:p>
        </w:tc>
        <w:tc>
          <w:tcPr>
            <w:tcW w:w="1026" w:type="dxa"/>
          </w:tcPr>
          <w:p w14:paraId="24927C39" w14:textId="77777777" w:rsidR="00E61CF3" w:rsidRPr="000E04E2" w:rsidRDefault="00E61CF3" w:rsidP="00380D78">
            <w:pPr>
              <w:jc w:val="both"/>
              <w:rPr>
                <w:highlight w:val="yellow"/>
              </w:rPr>
            </w:pPr>
            <w:r w:rsidRPr="000E04E2">
              <w:rPr>
                <w:highlight w:val="yellow"/>
              </w:rPr>
              <w:t>0.670</w:t>
            </w:r>
          </w:p>
        </w:tc>
        <w:tc>
          <w:tcPr>
            <w:tcW w:w="992" w:type="dxa"/>
          </w:tcPr>
          <w:p w14:paraId="22B456D9" w14:textId="77777777" w:rsidR="00E61CF3" w:rsidRPr="000E04E2" w:rsidRDefault="00E61CF3" w:rsidP="00380D78">
            <w:pPr>
              <w:jc w:val="both"/>
              <w:rPr>
                <w:highlight w:val="yellow"/>
              </w:rPr>
            </w:pPr>
          </w:p>
        </w:tc>
        <w:tc>
          <w:tcPr>
            <w:tcW w:w="1134" w:type="dxa"/>
          </w:tcPr>
          <w:p w14:paraId="7B7488E3" w14:textId="77777777" w:rsidR="00E61CF3" w:rsidRPr="000E04E2" w:rsidRDefault="00E61CF3" w:rsidP="00380D78">
            <w:pPr>
              <w:jc w:val="both"/>
              <w:rPr>
                <w:highlight w:val="yellow"/>
              </w:rPr>
            </w:pPr>
            <w:r w:rsidRPr="000E04E2">
              <w:rPr>
                <w:highlight w:val="yellow"/>
              </w:rPr>
              <w:t>0.655</w:t>
            </w:r>
          </w:p>
        </w:tc>
        <w:tc>
          <w:tcPr>
            <w:tcW w:w="992" w:type="dxa"/>
          </w:tcPr>
          <w:p w14:paraId="40B4664C" w14:textId="77777777" w:rsidR="00E61CF3" w:rsidRPr="000E04E2" w:rsidRDefault="00E61CF3" w:rsidP="00380D78">
            <w:pPr>
              <w:jc w:val="both"/>
              <w:rPr>
                <w:highlight w:val="yellow"/>
              </w:rPr>
            </w:pPr>
          </w:p>
        </w:tc>
      </w:tr>
    </w:tbl>
    <w:p w14:paraId="24F1B52C" w14:textId="77777777" w:rsidR="00E61CF3" w:rsidRDefault="00E61CF3" w:rsidP="00E61CF3">
      <w:pPr>
        <w:widowControl w:val="0"/>
        <w:autoSpaceDE w:val="0"/>
        <w:autoSpaceDN w:val="0"/>
        <w:adjustRightInd w:val="0"/>
        <w:spacing w:after="0" w:line="240" w:lineRule="auto"/>
        <w:rPr>
          <w:rFonts w:cs="Times New Roman"/>
          <w:sz w:val="20"/>
          <w:szCs w:val="24"/>
        </w:rPr>
      </w:pPr>
      <w:r w:rsidRPr="000E04E2">
        <w:rPr>
          <w:rFonts w:cs="Times New Roman"/>
          <w:sz w:val="20"/>
          <w:szCs w:val="24"/>
          <w:highlight w:val="yellow"/>
        </w:rPr>
        <w:t xml:space="preserve">** </w:t>
      </w:r>
      <w:proofErr w:type="gramStart"/>
      <w:r w:rsidRPr="000E04E2">
        <w:rPr>
          <w:rFonts w:cs="Times New Roman"/>
          <w:i/>
          <w:sz w:val="20"/>
          <w:szCs w:val="24"/>
          <w:highlight w:val="yellow"/>
        </w:rPr>
        <w:t>p</w:t>
      </w:r>
      <w:proofErr w:type="gramEnd"/>
      <w:r w:rsidRPr="000E04E2">
        <w:rPr>
          <w:rFonts w:cs="Times New Roman"/>
          <w:i/>
          <w:sz w:val="20"/>
          <w:szCs w:val="24"/>
          <w:highlight w:val="yellow"/>
        </w:rPr>
        <w:t xml:space="preserve"> </w:t>
      </w:r>
      <w:r w:rsidRPr="000E04E2">
        <w:rPr>
          <w:rFonts w:cs="Times New Roman"/>
          <w:sz w:val="20"/>
          <w:szCs w:val="24"/>
          <w:highlight w:val="yellow"/>
        </w:rPr>
        <w:t xml:space="preserve">&lt; 0.01, * </w:t>
      </w:r>
      <w:r w:rsidRPr="000E04E2">
        <w:rPr>
          <w:rFonts w:cs="Times New Roman"/>
          <w:i/>
          <w:sz w:val="20"/>
          <w:szCs w:val="24"/>
          <w:highlight w:val="yellow"/>
        </w:rPr>
        <w:t xml:space="preserve">p </w:t>
      </w:r>
      <w:r w:rsidRPr="000E04E2">
        <w:rPr>
          <w:rFonts w:cs="Times New Roman"/>
          <w:sz w:val="20"/>
          <w:szCs w:val="24"/>
          <w:highlight w:val="yellow"/>
        </w:rPr>
        <w:t>&lt; 0.05.</w:t>
      </w:r>
    </w:p>
    <w:p w14:paraId="67C0257C" w14:textId="77777777" w:rsidR="00E61CF3" w:rsidRDefault="00E61CF3" w:rsidP="00E61CF3">
      <w:pPr>
        <w:rPr>
          <w:rFonts w:cs="Times New Roman"/>
          <w:sz w:val="20"/>
          <w:szCs w:val="20"/>
        </w:rPr>
      </w:pPr>
      <w:r>
        <w:rPr>
          <w:rFonts w:cs="Times New Roman"/>
          <w:sz w:val="20"/>
          <w:szCs w:val="20"/>
        </w:rPr>
        <w:br w:type="page"/>
      </w:r>
    </w:p>
    <w:p w14:paraId="516AF158" w14:textId="77777777" w:rsidR="00E61CF3" w:rsidRDefault="00E61CF3" w:rsidP="00E61CF3">
      <w:pPr>
        <w:widowControl w:val="0"/>
        <w:autoSpaceDE w:val="0"/>
        <w:autoSpaceDN w:val="0"/>
        <w:adjustRightInd w:val="0"/>
        <w:spacing w:after="0" w:line="240" w:lineRule="auto"/>
        <w:rPr>
          <w:rFonts w:cs="Times New Roman"/>
          <w:sz w:val="20"/>
          <w:szCs w:val="20"/>
        </w:rPr>
      </w:pPr>
    </w:p>
    <w:p w14:paraId="0EB99B02" w14:textId="77777777" w:rsidR="00E61CF3" w:rsidRPr="000E04E2" w:rsidRDefault="00E61CF3" w:rsidP="00E61CF3">
      <w:pPr>
        <w:pStyle w:val="NoSpacing"/>
        <w:rPr>
          <w:rFonts w:cs="Times New Roman"/>
          <w:b/>
          <w:sz w:val="20"/>
          <w:szCs w:val="20"/>
          <w:highlight w:val="yellow"/>
        </w:rPr>
      </w:pPr>
      <w:r w:rsidRPr="000E04E2">
        <w:rPr>
          <w:rFonts w:cs="Times New Roman"/>
          <w:b/>
          <w:sz w:val="20"/>
          <w:szCs w:val="20"/>
          <w:highlight w:val="yellow"/>
        </w:rPr>
        <w:t>Table 4: OLS regression estimates of the association between the school’s religious authority and academic achievement (controlling for school gain)</w:t>
      </w:r>
    </w:p>
    <w:tbl>
      <w:tblPr>
        <w:tblStyle w:val="TableSimple1"/>
        <w:tblW w:w="12616" w:type="dxa"/>
        <w:tblLayout w:type="fixed"/>
        <w:tblLook w:val="04A0" w:firstRow="1" w:lastRow="0" w:firstColumn="1" w:lastColumn="0" w:noHBand="0" w:noVBand="1"/>
      </w:tblPr>
      <w:tblGrid>
        <w:gridCol w:w="2544"/>
        <w:gridCol w:w="997"/>
        <w:gridCol w:w="956"/>
        <w:gridCol w:w="1032"/>
        <w:gridCol w:w="957"/>
        <w:gridCol w:w="12"/>
        <w:gridCol w:w="1015"/>
        <w:gridCol w:w="959"/>
        <w:gridCol w:w="1026"/>
        <w:gridCol w:w="992"/>
        <w:gridCol w:w="1134"/>
        <w:gridCol w:w="992"/>
      </w:tblGrid>
      <w:tr w:rsidR="00E61CF3" w:rsidRPr="000E04E2" w14:paraId="400C4CE4" w14:textId="77777777" w:rsidTr="00380D78">
        <w:trPr>
          <w:cnfStyle w:val="100000000000" w:firstRow="1" w:lastRow="0" w:firstColumn="0" w:lastColumn="0" w:oddVBand="0" w:evenVBand="0" w:oddHBand="0" w:evenHBand="0" w:firstRowFirstColumn="0" w:firstRowLastColumn="0" w:lastRowFirstColumn="0" w:lastRowLastColumn="0"/>
        </w:trPr>
        <w:tc>
          <w:tcPr>
            <w:tcW w:w="2544" w:type="dxa"/>
          </w:tcPr>
          <w:p w14:paraId="017C4DA2" w14:textId="77777777" w:rsidR="00E61CF3" w:rsidRPr="000E04E2" w:rsidRDefault="00E61CF3" w:rsidP="00380D78">
            <w:pPr>
              <w:rPr>
                <w:b/>
                <w:highlight w:val="yellow"/>
              </w:rPr>
            </w:pPr>
            <w:r w:rsidRPr="000E04E2">
              <w:rPr>
                <w:b/>
                <w:highlight w:val="yellow"/>
              </w:rPr>
              <w:t>Variable</w:t>
            </w:r>
          </w:p>
        </w:tc>
        <w:tc>
          <w:tcPr>
            <w:tcW w:w="1953" w:type="dxa"/>
            <w:gridSpan w:val="2"/>
          </w:tcPr>
          <w:p w14:paraId="18BAF248" w14:textId="77777777" w:rsidR="00E61CF3" w:rsidRPr="000E04E2" w:rsidRDefault="00E61CF3" w:rsidP="00380D78">
            <w:pPr>
              <w:jc w:val="center"/>
              <w:rPr>
                <w:b/>
                <w:highlight w:val="yellow"/>
              </w:rPr>
            </w:pPr>
            <w:r w:rsidRPr="000E04E2">
              <w:rPr>
                <w:b/>
                <w:highlight w:val="yellow"/>
              </w:rPr>
              <w:t>Grammar</w:t>
            </w:r>
          </w:p>
        </w:tc>
        <w:tc>
          <w:tcPr>
            <w:tcW w:w="1989" w:type="dxa"/>
            <w:gridSpan w:val="2"/>
          </w:tcPr>
          <w:p w14:paraId="56ED7100" w14:textId="77777777" w:rsidR="00E61CF3" w:rsidRPr="000E04E2" w:rsidRDefault="00E61CF3" w:rsidP="00380D78">
            <w:pPr>
              <w:jc w:val="center"/>
              <w:rPr>
                <w:b/>
                <w:highlight w:val="yellow"/>
              </w:rPr>
            </w:pPr>
            <w:r w:rsidRPr="000E04E2">
              <w:rPr>
                <w:b/>
                <w:highlight w:val="yellow"/>
              </w:rPr>
              <w:t>Reading</w:t>
            </w:r>
          </w:p>
        </w:tc>
        <w:tc>
          <w:tcPr>
            <w:tcW w:w="1986" w:type="dxa"/>
            <w:gridSpan w:val="3"/>
          </w:tcPr>
          <w:p w14:paraId="6E14DEDB" w14:textId="77777777" w:rsidR="00E61CF3" w:rsidRPr="000E04E2" w:rsidRDefault="00E61CF3" w:rsidP="00380D78">
            <w:pPr>
              <w:jc w:val="center"/>
              <w:rPr>
                <w:b/>
                <w:highlight w:val="yellow"/>
              </w:rPr>
            </w:pPr>
            <w:r w:rsidRPr="000E04E2">
              <w:rPr>
                <w:b/>
                <w:highlight w:val="yellow"/>
              </w:rPr>
              <w:t>Spelling</w:t>
            </w:r>
          </w:p>
        </w:tc>
        <w:tc>
          <w:tcPr>
            <w:tcW w:w="2018" w:type="dxa"/>
            <w:gridSpan w:val="2"/>
          </w:tcPr>
          <w:p w14:paraId="31B67597" w14:textId="77777777" w:rsidR="00E61CF3" w:rsidRPr="000E04E2" w:rsidRDefault="00E61CF3" w:rsidP="00380D78">
            <w:pPr>
              <w:jc w:val="center"/>
              <w:rPr>
                <w:b/>
                <w:highlight w:val="yellow"/>
              </w:rPr>
            </w:pPr>
            <w:r w:rsidRPr="000E04E2">
              <w:rPr>
                <w:b/>
                <w:highlight w:val="yellow"/>
              </w:rPr>
              <w:t>Writing</w:t>
            </w:r>
          </w:p>
        </w:tc>
        <w:tc>
          <w:tcPr>
            <w:tcW w:w="2126" w:type="dxa"/>
            <w:gridSpan w:val="2"/>
          </w:tcPr>
          <w:p w14:paraId="3FC9E96A" w14:textId="77777777" w:rsidR="00E61CF3" w:rsidRPr="000E04E2" w:rsidRDefault="00E61CF3" w:rsidP="00380D78">
            <w:pPr>
              <w:jc w:val="center"/>
              <w:rPr>
                <w:b/>
                <w:highlight w:val="yellow"/>
              </w:rPr>
            </w:pPr>
            <w:r w:rsidRPr="000E04E2">
              <w:rPr>
                <w:b/>
                <w:highlight w:val="yellow"/>
              </w:rPr>
              <w:t>Numeracy</w:t>
            </w:r>
          </w:p>
        </w:tc>
      </w:tr>
      <w:tr w:rsidR="00E61CF3" w:rsidRPr="000E04E2" w14:paraId="0107F36F" w14:textId="77777777" w:rsidTr="00380D78">
        <w:tc>
          <w:tcPr>
            <w:tcW w:w="2544" w:type="dxa"/>
            <w:tcBorders>
              <w:top w:val="nil"/>
            </w:tcBorders>
          </w:tcPr>
          <w:p w14:paraId="32EEA850" w14:textId="77777777" w:rsidR="00E61CF3" w:rsidRPr="000E04E2" w:rsidRDefault="00E61CF3" w:rsidP="00380D78">
            <w:pPr>
              <w:ind w:right="852"/>
              <w:rPr>
                <w:b/>
                <w:highlight w:val="yellow"/>
              </w:rPr>
            </w:pPr>
            <w:r w:rsidRPr="000E04E2">
              <w:rPr>
                <w:b/>
                <w:highlight w:val="yellow"/>
              </w:rPr>
              <w:t>Year 5</w:t>
            </w:r>
          </w:p>
        </w:tc>
        <w:tc>
          <w:tcPr>
            <w:tcW w:w="997" w:type="dxa"/>
            <w:tcBorders>
              <w:top w:val="nil"/>
            </w:tcBorders>
          </w:tcPr>
          <w:p w14:paraId="08BBC49B" w14:textId="77777777" w:rsidR="00E61CF3" w:rsidRPr="000E04E2" w:rsidRDefault="00E61CF3" w:rsidP="00380D78">
            <w:pPr>
              <w:rPr>
                <w:highlight w:val="yellow"/>
              </w:rPr>
            </w:pPr>
          </w:p>
        </w:tc>
        <w:tc>
          <w:tcPr>
            <w:tcW w:w="956" w:type="dxa"/>
            <w:tcBorders>
              <w:top w:val="nil"/>
            </w:tcBorders>
          </w:tcPr>
          <w:p w14:paraId="267222FC" w14:textId="77777777" w:rsidR="00E61CF3" w:rsidRPr="000E04E2" w:rsidRDefault="00E61CF3" w:rsidP="00380D78">
            <w:pPr>
              <w:rPr>
                <w:highlight w:val="yellow"/>
              </w:rPr>
            </w:pPr>
          </w:p>
        </w:tc>
        <w:tc>
          <w:tcPr>
            <w:tcW w:w="1032" w:type="dxa"/>
            <w:tcBorders>
              <w:top w:val="nil"/>
            </w:tcBorders>
          </w:tcPr>
          <w:p w14:paraId="03B4EBA0" w14:textId="77777777" w:rsidR="00E61CF3" w:rsidRPr="000E04E2" w:rsidRDefault="00E61CF3" w:rsidP="00380D78">
            <w:pPr>
              <w:rPr>
                <w:highlight w:val="yellow"/>
              </w:rPr>
            </w:pPr>
          </w:p>
        </w:tc>
        <w:tc>
          <w:tcPr>
            <w:tcW w:w="969" w:type="dxa"/>
            <w:gridSpan w:val="2"/>
            <w:tcBorders>
              <w:top w:val="nil"/>
            </w:tcBorders>
          </w:tcPr>
          <w:p w14:paraId="4EC016F1" w14:textId="77777777" w:rsidR="00E61CF3" w:rsidRPr="000E04E2" w:rsidRDefault="00E61CF3" w:rsidP="00380D78">
            <w:pPr>
              <w:rPr>
                <w:highlight w:val="yellow"/>
              </w:rPr>
            </w:pPr>
          </w:p>
        </w:tc>
        <w:tc>
          <w:tcPr>
            <w:tcW w:w="1015" w:type="dxa"/>
            <w:tcBorders>
              <w:top w:val="nil"/>
            </w:tcBorders>
          </w:tcPr>
          <w:p w14:paraId="3A3CEFC5" w14:textId="77777777" w:rsidR="00E61CF3" w:rsidRPr="000E04E2" w:rsidRDefault="00E61CF3" w:rsidP="00380D78">
            <w:pPr>
              <w:rPr>
                <w:highlight w:val="yellow"/>
              </w:rPr>
            </w:pPr>
          </w:p>
        </w:tc>
        <w:tc>
          <w:tcPr>
            <w:tcW w:w="959" w:type="dxa"/>
            <w:tcBorders>
              <w:top w:val="nil"/>
            </w:tcBorders>
          </w:tcPr>
          <w:p w14:paraId="4EC738B3" w14:textId="77777777" w:rsidR="00E61CF3" w:rsidRPr="000E04E2" w:rsidRDefault="00E61CF3" w:rsidP="00380D78">
            <w:pPr>
              <w:ind w:right="-43"/>
              <w:rPr>
                <w:highlight w:val="yellow"/>
              </w:rPr>
            </w:pPr>
          </w:p>
        </w:tc>
        <w:tc>
          <w:tcPr>
            <w:tcW w:w="1026" w:type="dxa"/>
            <w:tcBorders>
              <w:top w:val="nil"/>
            </w:tcBorders>
          </w:tcPr>
          <w:p w14:paraId="4BD70697" w14:textId="77777777" w:rsidR="00E61CF3" w:rsidRPr="000E04E2" w:rsidRDefault="00E61CF3" w:rsidP="00380D78">
            <w:pPr>
              <w:rPr>
                <w:highlight w:val="yellow"/>
              </w:rPr>
            </w:pPr>
          </w:p>
        </w:tc>
        <w:tc>
          <w:tcPr>
            <w:tcW w:w="992" w:type="dxa"/>
            <w:tcBorders>
              <w:top w:val="nil"/>
            </w:tcBorders>
          </w:tcPr>
          <w:p w14:paraId="1324A759" w14:textId="77777777" w:rsidR="00E61CF3" w:rsidRPr="000E04E2" w:rsidRDefault="00E61CF3" w:rsidP="00380D78">
            <w:pPr>
              <w:rPr>
                <w:highlight w:val="yellow"/>
              </w:rPr>
            </w:pPr>
          </w:p>
        </w:tc>
        <w:tc>
          <w:tcPr>
            <w:tcW w:w="1134" w:type="dxa"/>
            <w:tcBorders>
              <w:top w:val="nil"/>
            </w:tcBorders>
          </w:tcPr>
          <w:p w14:paraId="0034C8AB" w14:textId="77777777" w:rsidR="00E61CF3" w:rsidRPr="000E04E2" w:rsidRDefault="00E61CF3" w:rsidP="00380D78">
            <w:pPr>
              <w:rPr>
                <w:highlight w:val="yellow"/>
              </w:rPr>
            </w:pPr>
          </w:p>
        </w:tc>
        <w:tc>
          <w:tcPr>
            <w:tcW w:w="992" w:type="dxa"/>
            <w:tcBorders>
              <w:top w:val="nil"/>
            </w:tcBorders>
          </w:tcPr>
          <w:p w14:paraId="0402F89B" w14:textId="77777777" w:rsidR="00E61CF3" w:rsidRPr="000E04E2" w:rsidRDefault="00E61CF3" w:rsidP="00380D78">
            <w:pPr>
              <w:rPr>
                <w:highlight w:val="yellow"/>
              </w:rPr>
            </w:pPr>
          </w:p>
        </w:tc>
      </w:tr>
      <w:tr w:rsidR="00E61CF3" w:rsidRPr="000E04E2" w14:paraId="092EBC37" w14:textId="77777777" w:rsidTr="00380D78">
        <w:tc>
          <w:tcPr>
            <w:tcW w:w="2544" w:type="dxa"/>
          </w:tcPr>
          <w:p w14:paraId="29128FC0" w14:textId="77777777" w:rsidR="00E61CF3" w:rsidRPr="000E04E2" w:rsidRDefault="00E61CF3" w:rsidP="00380D78">
            <w:pPr>
              <w:ind w:right="852"/>
              <w:rPr>
                <w:b/>
                <w:i/>
                <w:highlight w:val="yellow"/>
              </w:rPr>
            </w:pPr>
            <w:r w:rsidRPr="000E04E2">
              <w:rPr>
                <w:b/>
                <w:i/>
                <w:highlight w:val="yellow"/>
              </w:rPr>
              <w:t>Religion</w:t>
            </w:r>
          </w:p>
        </w:tc>
        <w:tc>
          <w:tcPr>
            <w:tcW w:w="997" w:type="dxa"/>
          </w:tcPr>
          <w:p w14:paraId="482182AC" w14:textId="77777777" w:rsidR="00E61CF3" w:rsidRPr="000E04E2" w:rsidRDefault="00E61CF3" w:rsidP="00380D78">
            <w:pPr>
              <w:rPr>
                <w:highlight w:val="yellow"/>
              </w:rPr>
            </w:pPr>
            <w:r w:rsidRPr="000E04E2">
              <w:rPr>
                <w:b/>
                <w:bCs/>
                <w:highlight w:val="yellow"/>
              </w:rPr>
              <w:t>β</w:t>
            </w:r>
          </w:p>
        </w:tc>
        <w:tc>
          <w:tcPr>
            <w:tcW w:w="956" w:type="dxa"/>
          </w:tcPr>
          <w:p w14:paraId="489EE184" w14:textId="77777777" w:rsidR="00E61CF3" w:rsidRPr="000E04E2" w:rsidRDefault="00E61CF3" w:rsidP="00380D78">
            <w:pPr>
              <w:rPr>
                <w:highlight w:val="yellow"/>
              </w:rPr>
            </w:pPr>
            <w:r w:rsidRPr="000E04E2">
              <w:rPr>
                <w:b/>
                <w:highlight w:val="yellow"/>
              </w:rPr>
              <w:t>SE</w:t>
            </w:r>
          </w:p>
        </w:tc>
        <w:tc>
          <w:tcPr>
            <w:tcW w:w="1032" w:type="dxa"/>
          </w:tcPr>
          <w:p w14:paraId="123E6769" w14:textId="77777777" w:rsidR="00E61CF3" w:rsidRPr="000E04E2" w:rsidRDefault="00E61CF3" w:rsidP="00380D78">
            <w:pPr>
              <w:rPr>
                <w:highlight w:val="yellow"/>
              </w:rPr>
            </w:pPr>
            <w:r w:rsidRPr="000E04E2">
              <w:rPr>
                <w:b/>
                <w:bCs/>
                <w:highlight w:val="yellow"/>
              </w:rPr>
              <w:t>β</w:t>
            </w:r>
          </w:p>
        </w:tc>
        <w:tc>
          <w:tcPr>
            <w:tcW w:w="969" w:type="dxa"/>
            <w:gridSpan w:val="2"/>
          </w:tcPr>
          <w:p w14:paraId="7F11F48B" w14:textId="77777777" w:rsidR="00E61CF3" w:rsidRPr="000E04E2" w:rsidRDefault="00E61CF3" w:rsidP="00380D78">
            <w:pPr>
              <w:rPr>
                <w:highlight w:val="yellow"/>
              </w:rPr>
            </w:pPr>
            <w:r w:rsidRPr="000E04E2">
              <w:rPr>
                <w:b/>
                <w:highlight w:val="yellow"/>
              </w:rPr>
              <w:t>SE</w:t>
            </w:r>
          </w:p>
        </w:tc>
        <w:tc>
          <w:tcPr>
            <w:tcW w:w="1015" w:type="dxa"/>
          </w:tcPr>
          <w:p w14:paraId="6EDF6AAF" w14:textId="77777777" w:rsidR="00E61CF3" w:rsidRPr="000E04E2" w:rsidRDefault="00E61CF3" w:rsidP="00380D78">
            <w:pPr>
              <w:rPr>
                <w:highlight w:val="yellow"/>
              </w:rPr>
            </w:pPr>
            <w:r w:rsidRPr="000E04E2">
              <w:rPr>
                <w:b/>
                <w:bCs/>
                <w:highlight w:val="yellow"/>
              </w:rPr>
              <w:t>β</w:t>
            </w:r>
          </w:p>
        </w:tc>
        <w:tc>
          <w:tcPr>
            <w:tcW w:w="959" w:type="dxa"/>
          </w:tcPr>
          <w:p w14:paraId="0C0CB4E3" w14:textId="77777777" w:rsidR="00E61CF3" w:rsidRPr="000E04E2" w:rsidRDefault="00E61CF3" w:rsidP="00380D78">
            <w:pPr>
              <w:ind w:right="-43"/>
              <w:rPr>
                <w:highlight w:val="yellow"/>
              </w:rPr>
            </w:pPr>
            <w:r w:rsidRPr="000E04E2">
              <w:rPr>
                <w:b/>
                <w:highlight w:val="yellow"/>
              </w:rPr>
              <w:t>SE</w:t>
            </w:r>
          </w:p>
        </w:tc>
        <w:tc>
          <w:tcPr>
            <w:tcW w:w="1026" w:type="dxa"/>
          </w:tcPr>
          <w:p w14:paraId="5E841EF0" w14:textId="77777777" w:rsidR="00E61CF3" w:rsidRPr="000E04E2" w:rsidRDefault="00E61CF3" w:rsidP="00380D78">
            <w:pPr>
              <w:rPr>
                <w:highlight w:val="yellow"/>
              </w:rPr>
            </w:pPr>
            <w:r w:rsidRPr="000E04E2">
              <w:rPr>
                <w:b/>
                <w:bCs/>
                <w:highlight w:val="yellow"/>
              </w:rPr>
              <w:t>β</w:t>
            </w:r>
          </w:p>
        </w:tc>
        <w:tc>
          <w:tcPr>
            <w:tcW w:w="992" w:type="dxa"/>
          </w:tcPr>
          <w:p w14:paraId="0DA3B90E" w14:textId="77777777" w:rsidR="00E61CF3" w:rsidRPr="000E04E2" w:rsidRDefault="00E61CF3" w:rsidP="00380D78">
            <w:pPr>
              <w:rPr>
                <w:highlight w:val="yellow"/>
              </w:rPr>
            </w:pPr>
            <w:r w:rsidRPr="000E04E2">
              <w:rPr>
                <w:b/>
                <w:highlight w:val="yellow"/>
              </w:rPr>
              <w:t>SE</w:t>
            </w:r>
          </w:p>
        </w:tc>
        <w:tc>
          <w:tcPr>
            <w:tcW w:w="1134" w:type="dxa"/>
          </w:tcPr>
          <w:p w14:paraId="5CFEF5B9" w14:textId="77777777" w:rsidR="00E61CF3" w:rsidRPr="000E04E2" w:rsidRDefault="00E61CF3" w:rsidP="00380D78">
            <w:pPr>
              <w:rPr>
                <w:highlight w:val="yellow"/>
              </w:rPr>
            </w:pPr>
            <w:r w:rsidRPr="000E04E2">
              <w:rPr>
                <w:b/>
                <w:bCs/>
                <w:highlight w:val="yellow"/>
              </w:rPr>
              <w:t>β</w:t>
            </w:r>
          </w:p>
        </w:tc>
        <w:tc>
          <w:tcPr>
            <w:tcW w:w="992" w:type="dxa"/>
          </w:tcPr>
          <w:p w14:paraId="3C25976B" w14:textId="77777777" w:rsidR="00E61CF3" w:rsidRPr="000E04E2" w:rsidRDefault="00E61CF3" w:rsidP="00380D78">
            <w:pPr>
              <w:rPr>
                <w:highlight w:val="yellow"/>
              </w:rPr>
            </w:pPr>
            <w:r w:rsidRPr="000E04E2">
              <w:rPr>
                <w:b/>
                <w:highlight w:val="yellow"/>
              </w:rPr>
              <w:t>SE</w:t>
            </w:r>
          </w:p>
        </w:tc>
      </w:tr>
      <w:tr w:rsidR="00E61CF3" w:rsidRPr="000E04E2" w14:paraId="6AA8EC53" w14:textId="77777777" w:rsidTr="00380D78">
        <w:tc>
          <w:tcPr>
            <w:tcW w:w="2544" w:type="dxa"/>
          </w:tcPr>
          <w:p w14:paraId="60F74360" w14:textId="77777777" w:rsidR="00E61CF3" w:rsidRPr="000E04E2" w:rsidRDefault="00E61CF3" w:rsidP="00380D78">
            <w:pPr>
              <w:ind w:left="22" w:firstLine="179"/>
              <w:rPr>
                <w:highlight w:val="yellow"/>
              </w:rPr>
            </w:pPr>
            <w:r w:rsidRPr="000E04E2">
              <w:rPr>
                <w:highlight w:val="yellow"/>
              </w:rPr>
              <w:t>Catholic</w:t>
            </w:r>
          </w:p>
        </w:tc>
        <w:tc>
          <w:tcPr>
            <w:tcW w:w="997" w:type="dxa"/>
            <w:vAlign w:val="bottom"/>
          </w:tcPr>
          <w:p w14:paraId="08E098F6" w14:textId="77777777" w:rsidR="00E61CF3" w:rsidRPr="000E04E2" w:rsidRDefault="00E61CF3" w:rsidP="00380D78">
            <w:pPr>
              <w:rPr>
                <w:highlight w:val="yellow"/>
              </w:rPr>
            </w:pPr>
            <w:r w:rsidRPr="000E04E2">
              <w:rPr>
                <w:highlight w:val="yellow"/>
              </w:rPr>
              <w:t>-4.313**</w:t>
            </w:r>
          </w:p>
        </w:tc>
        <w:tc>
          <w:tcPr>
            <w:tcW w:w="956" w:type="dxa"/>
            <w:vAlign w:val="bottom"/>
          </w:tcPr>
          <w:p w14:paraId="2B58DC1A" w14:textId="77777777" w:rsidR="00E61CF3" w:rsidRPr="000E04E2" w:rsidRDefault="00E61CF3" w:rsidP="00380D78">
            <w:pPr>
              <w:rPr>
                <w:highlight w:val="yellow"/>
              </w:rPr>
            </w:pPr>
            <w:r w:rsidRPr="000E04E2">
              <w:rPr>
                <w:highlight w:val="yellow"/>
              </w:rPr>
              <w:t>0.536</w:t>
            </w:r>
          </w:p>
        </w:tc>
        <w:tc>
          <w:tcPr>
            <w:tcW w:w="1032" w:type="dxa"/>
            <w:vAlign w:val="bottom"/>
          </w:tcPr>
          <w:p w14:paraId="0B0096E8" w14:textId="77777777" w:rsidR="00E61CF3" w:rsidRPr="000E04E2" w:rsidRDefault="00E61CF3" w:rsidP="00380D78">
            <w:pPr>
              <w:rPr>
                <w:highlight w:val="yellow"/>
              </w:rPr>
            </w:pPr>
            <w:r w:rsidRPr="000E04E2">
              <w:rPr>
                <w:highlight w:val="yellow"/>
              </w:rPr>
              <w:t>-2.996**</w:t>
            </w:r>
          </w:p>
        </w:tc>
        <w:tc>
          <w:tcPr>
            <w:tcW w:w="969" w:type="dxa"/>
            <w:gridSpan w:val="2"/>
            <w:vAlign w:val="bottom"/>
          </w:tcPr>
          <w:p w14:paraId="30AA045F" w14:textId="77777777" w:rsidR="00E61CF3" w:rsidRPr="000E04E2" w:rsidRDefault="00E61CF3" w:rsidP="00380D78">
            <w:pPr>
              <w:rPr>
                <w:highlight w:val="yellow"/>
              </w:rPr>
            </w:pPr>
            <w:r w:rsidRPr="000E04E2">
              <w:rPr>
                <w:highlight w:val="yellow"/>
              </w:rPr>
              <w:t>0.445</w:t>
            </w:r>
          </w:p>
        </w:tc>
        <w:tc>
          <w:tcPr>
            <w:tcW w:w="1015" w:type="dxa"/>
            <w:vAlign w:val="bottom"/>
          </w:tcPr>
          <w:p w14:paraId="05766BEF" w14:textId="77777777" w:rsidR="00E61CF3" w:rsidRPr="000E04E2" w:rsidRDefault="00E61CF3" w:rsidP="00380D78">
            <w:pPr>
              <w:rPr>
                <w:highlight w:val="yellow"/>
              </w:rPr>
            </w:pPr>
            <w:r w:rsidRPr="000E04E2">
              <w:rPr>
                <w:highlight w:val="yellow"/>
              </w:rPr>
              <w:t>-2.321**</w:t>
            </w:r>
          </w:p>
        </w:tc>
        <w:tc>
          <w:tcPr>
            <w:tcW w:w="959" w:type="dxa"/>
            <w:vAlign w:val="bottom"/>
          </w:tcPr>
          <w:p w14:paraId="2B1764E0" w14:textId="77777777" w:rsidR="00E61CF3" w:rsidRPr="000E04E2" w:rsidRDefault="00E61CF3" w:rsidP="00380D78">
            <w:pPr>
              <w:rPr>
                <w:highlight w:val="yellow"/>
              </w:rPr>
            </w:pPr>
            <w:r w:rsidRPr="000E04E2">
              <w:rPr>
                <w:highlight w:val="yellow"/>
              </w:rPr>
              <w:t>0.485</w:t>
            </w:r>
          </w:p>
        </w:tc>
        <w:tc>
          <w:tcPr>
            <w:tcW w:w="1026" w:type="dxa"/>
            <w:vAlign w:val="bottom"/>
          </w:tcPr>
          <w:p w14:paraId="3B85AFEE" w14:textId="77777777" w:rsidR="00E61CF3" w:rsidRPr="000E04E2" w:rsidRDefault="00E61CF3" w:rsidP="00380D78">
            <w:pPr>
              <w:rPr>
                <w:highlight w:val="yellow"/>
              </w:rPr>
            </w:pPr>
            <w:r w:rsidRPr="000E04E2">
              <w:rPr>
                <w:highlight w:val="yellow"/>
              </w:rPr>
              <w:t>2.273**</w:t>
            </w:r>
          </w:p>
        </w:tc>
        <w:tc>
          <w:tcPr>
            <w:tcW w:w="992" w:type="dxa"/>
            <w:vAlign w:val="bottom"/>
          </w:tcPr>
          <w:p w14:paraId="12BB0D0A" w14:textId="77777777" w:rsidR="00E61CF3" w:rsidRPr="000E04E2" w:rsidRDefault="00E61CF3" w:rsidP="00380D78">
            <w:pPr>
              <w:rPr>
                <w:highlight w:val="yellow"/>
              </w:rPr>
            </w:pPr>
            <w:r w:rsidRPr="000E04E2">
              <w:rPr>
                <w:highlight w:val="yellow"/>
              </w:rPr>
              <w:t>0.507</w:t>
            </w:r>
          </w:p>
        </w:tc>
        <w:tc>
          <w:tcPr>
            <w:tcW w:w="1134" w:type="dxa"/>
            <w:vAlign w:val="bottom"/>
          </w:tcPr>
          <w:p w14:paraId="2CEFE85D" w14:textId="77777777" w:rsidR="00E61CF3" w:rsidRPr="000E04E2" w:rsidRDefault="00E61CF3" w:rsidP="00380D78">
            <w:pPr>
              <w:rPr>
                <w:highlight w:val="yellow"/>
              </w:rPr>
            </w:pPr>
            <w:r w:rsidRPr="000E04E2">
              <w:rPr>
                <w:highlight w:val="yellow"/>
              </w:rPr>
              <w:t>-7.864**</w:t>
            </w:r>
          </w:p>
        </w:tc>
        <w:tc>
          <w:tcPr>
            <w:tcW w:w="992" w:type="dxa"/>
            <w:vAlign w:val="bottom"/>
          </w:tcPr>
          <w:p w14:paraId="0AB20650" w14:textId="77777777" w:rsidR="00E61CF3" w:rsidRPr="000E04E2" w:rsidRDefault="00E61CF3" w:rsidP="00380D78">
            <w:pPr>
              <w:rPr>
                <w:highlight w:val="yellow"/>
              </w:rPr>
            </w:pPr>
            <w:r w:rsidRPr="000E04E2">
              <w:rPr>
                <w:highlight w:val="yellow"/>
              </w:rPr>
              <w:t>0.483</w:t>
            </w:r>
          </w:p>
        </w:tc>
      </w:tr>
      <w:tr w:rsidR="00E61CF3" w:rsidRPr="000E04E2" w14:paraId="1E13D483" w14:textId="77777777" w:rsidTr="00380D78">
        <w:tc>
          <w:tcPr>
            <w:tcW w:w="2544" w:type="dxa"/>
          </w:tcPr>
          <w:p w14:paraId="6D7F0E02" w14:textId="77777777" w:rsidR="00E61CF3" w:rsidRPr="000E04E2" w:rsidRDefault="00E61CF3" w:rsidP="00380D78">
            <w:pPr>
              <w:ind w:left="22" w:firstLine="179"/>
              <w:rPr>
                <w:highlight w:val="yellow"/>
              </w:rPr>
            </w:pPr>
            <w:r w:rsidRPr="000E04E2">
              <w:rPr>
                <w:highlight w:val="yellow"/>
              </w:rPr>
              <w:t>Anglican</w:t>
            </w:r>
          </w:p>
        </w:tc>
        <w:tc>
          <w:tcPr>
            <w:tcW w:w="997" w:type="dxa"/>
            <w:vAlign w:val="bottom"/>
          </w:tcPr>
          <w:p w14:paraId="3E49451C" w14:textId="77777777" w:rsidR="00E61CF3" w:rsidRPr="000E04E2" w:rsidRDefault="00E61CF3" w:rsidP="00380D78">
            <w:pPr>
              <w:rPr>
                <w:highlight w:val="yellow"/>
              </w:rPr>
            </w:pPr>
            <w:r w:rsidRPr="000E04E2">
              <w:rPr>
                <w:highlight w:val="yellow"/>
              </w:rPr>
              <w:t>1.600</w:t>
            </w:r>
          </w:p>
        </w:tc>
        <w:tc>
          <w:tcPr>
            <w:tcW w:w="956" w:type="dxa"/>
            <w:vAlign w:val="bottom"/>
          </w:tcPr>
          <w:p w14:paraId="1BED09AF" w14:textId="77777777" w:rsidR="00E61CF3" w:rsidRPr="000E04E2" w:rsidRDefault="00E61CF3" w:rsidP="00380D78">
            <w:pPr>
              <w:rPr>
                <w:highlight w:val="yellow"/>
              </w:rPr>
            </w:pPr>
            <w:r w:rsidRPr="000E04E2">
              <w:rPr>
                <w:highlight w:val="yellow"/>
              </w:rPr>
              <w:t>1.358</w:t>
            </w:r>
          </w:p>
        </w:tc>
        <w:tc>
          <w:tcPr>
            <w:tcW w:w="1032" w:type="dxa"/>
            <w:vAlign w:val="bottom"/>
          </w:tcPr>
          <w:p w14:paraId="6F992F20" w14:textId="77777777" w:rsidR="00E61CF3" w:rsidRPr="000E04E2" w:rsidRDefault="00E61CF3" w:rsidP="00380D78">
            <w:pPr>
              <w:rPr>
                <w:highlight w:val="yellow"/>
              </w:rPr>
            </w:pPr>
            <w:r w:rsidRPr="000E04E2">
              <w:rPr>
                <w:highlight w:val="yellow"/>
              </w:rPr>
              <w:t>1.857</w:t>
            </w:r>
          </w:p>
        </w:tc>
        <w:tc>
          <w:tcPr>
            <w:tcW w:w="969" w:type="dxa"/>
            <w:gridSpan w:val="2"/>
            <w:vAlign w:val="bottom"/>
          </w:tcPr>
          <w:p w14:paraId="62B1D370" w14:textId="77777777" w:rsidR="00E61CF3" w:rsidRPr="000E04E2" w:rsidRDefault="00E61CF3" w:rsidP="00380D78">
            <w:pPr>
              <w:rPr>
                <w:highlight w:val="yellow"/>
              </w:rPr>
            </w:pPr>
            <w:r w:rsidRPr="000E04E2">
              <w:rPr>
                <w:highlight w:val="yellow"/>
              </w:rPr>
              <w:t>1.187</w:t>
            </w:r>
          </w:p>
        </w:tc>
        <w:tc>
          <w:tcPr>
            <w:tcW w:w="1015" w:type="dxa"/>
            <w:vAlign w:val="bottom"/>
          </w:tcPr>
          <w:p w14:paraId="5B09506B" w14:textId="77777777" w:rsidR="00E61CF3" w:rsidRPr="000E04E2" w:rsidRDefault="00E61CF3" w:rsidP="00380D78">
            <w:pPr>
              <w:rPr>
                <w:highlight w:val="yellow"/>
              </w:rPr>
            </w:pPr>
            <w:r w:rsidRPr="000E04E2">
              <w:rPr>
                <w:highlight w:val="yellow"/>
              </w:rPr>
              <w:t>2.621*</w:t>
            </w:r>
          </w:p>
        </w:tc>
        <w:tc>
          <w:tcPr>
            <w:tcW w:w="959" w:type="dxa"/>
            <w:vAlign w:val="bottom"/>
          </w:tcPr>
          <w:p w14:paraId="0F5F05D2" w14:textId="77777777" w:rsidR="00E61CF3" w:rsidRPr="000E04E2" w:rsidRDefault="00E61CF3" w:rsidP="00380D78">
            <w:pPr>
              <w:rPr>
                <w:highlight w:val="yellow"/>
              </w:rPr>
            </w:pPr>
            <w:r w:rsidRPr="000E04E2">
              <w:rPr>
                <w:highlight w:val="yellow"/>
              </w:rPr>
              <w:t>1.170</w:t>
            </w:r>
          </w:p>
        </w:tc>
        <w:tc>
          <w:tcPr>
            <w:tcW w:w="1026" w:type="dxa"/>
            <w:vAlign w:val="bottom"/>
          </w:tcPr>
          <w:p w14:paraId="4B6F00D0" w14:textId="77777777" w:rsidR="00E61CF3" w:rsidRPr="000E04E2" w:rsidRDefault="00E61CF3" w:rsidP="00380D78">
            <w:pPr>
              <w:rPr>
                <w:highlight w:val="yellow"/>
              </w:rPr>
            </w:pPr>
            <w:r w:rsidRPr="000E04E2">
              <w:rPr>
                <w:highlight w:val="yellow"/>
              </w:rPr>
              <w:t>5.130**</w:t>
            </w:r>
          </w:p>
        </w:tc>
        <w:tc>
          <w:tcPr>
            <w:tcW w:w="992" w:type="dxa"/>
            <w:vAlign w:val="bottom"/>
          </w:tcPr>
          <w:p w14:paraId="7C7EF5E3" w14:textId="77777777" w:rsidR="00E61CF3" w:rsidRPr="000E04E2" w:rsidRDefault="00E61CF3" w:rsidP="00380D78">
            <w:pPr>
              <w:rPr>
                <w:highlight w:val="yellow"/>
              </w:rPr>
            </w:pPr>
            <w:r w:rsidRPr="000E04E2">
              <w:rPr>
                <w:highlight w:val="yellow"/>
              </w:rPr>
              <w:t>1.190</w:t>
            </w:r>
          </w:p>
        </w:tc>
        <w:tc>
          <w:tcPr>
            <w:tcW w:w="1134" w:type="dxa"/>
            <w:vAlign w:val="bottom"/>
          </w:tcPr>
          <w:p w14:paraId="2DAC0CDD" w14:textId="77777777" w:rsidR="00E61CF3" w:rsidRPr="000E04E2" w:rsidRDefault="00E61CF3" w:rsidP="00380D78">
            <w:pPr>
              <w:rPr>
                <w:highlight w:val="yellow"/>
              </w:rPr>
            </w:pPr>
            <w:r w:rsidRPr="000E04E2">
              <w:rPr>
                <w:highlight w:val="yellow"/>
              </w:rPr>
              <w:t>0.259</w:t>
            </w:r>
          </w:p>
        </w:tc>
        <w:tc>
          <w:tcPr>
            <w:tcW w:w="992" w:type="dxa"/>
            <w:vAlign w:val="bottom"/>
          </w:tcPr>
          <w:p w14:paraId="3C763674" w14:textId="77777777" w:rsidR="00E61CF3" w:rsidRPr="000E04E2" w:rsidRDefault="00E61CF3" w:rsidP="00380D78">
            <w:pPr>
              <w:rPr>
                <w:highlight w:val="yellow"/>
              </w:rPr>
            </w:pPr>
            <w:r w:rsidRPr="000E04E2">
              <w:rPr>
                <w:highlight w:val="yellow"/>
              </w:rPr>
              <w:t>1.233</w:t>
            </w:r>
          </w:p>
        </w:tc>
      </w:tr>
      <w:tr w:rsidR="00E61CF3" w:rsidRPr="000E04E2" w14:paraId="3AAF8351" w14:textId="77777777" w:rsidTr="00380D78">
        <w:tc>
          <w:tcPr>
            <w:tcW w:w="2544" w:type="dxa"/>
          </w:tcPr>
          <w:p w14:paraId="79CC6D4B" w14:textId="77777777" w:rsidR="00E61CF3" w:rsidRPr="000E04E2" w:rsidRDefault="00E61CF3" w:rsidP="00380D78">
            <w:pPr>
              <w:ind w:left="22" w:firstLine="179"/>
              <w:rPr>
                <w:highlight w:val="yellow"/>
              </w:rPr>
            </w:pPr>
            <w:r w:rsidRPr="000E04E2">
              <w:rPr>
                <w:highlight w:val="yellow"/>
              </w:rPr>
              <w:t>Islam</w:t>
            </w:r>
          </w:p>
        </w:tc>
        <w:tc>
          <w:tcPr>
            <w:tcW w:w="997" w:type="dxa"/>
            <w:vAlign w:val="bottom"/>
          </w:tcPr>
          <w:p w14:paraId="3289CFEE" w14:textId="77777777" w:rsidR="00E61CF3" w:rsidRPr="000E04E2" w:rsidRDefault="00E61CF3" w:rsidP="00380D78">
            <w:pPr>
              <w:rPr>
                <w:highlight w:val="yellow"/>
              </w:rPr>
            </w:pPr>
            <w:r w:rsidRPr="000E04E2">
              <w:rPr>
                <w:highlight w:val="yellow"/>
              </w:rPr>
              <w:t>6.881</w:t>
            </w:r>
          </w:p>
        </w:tc>
        <w:tc>
          <w:tcPr>
            <w:tcW w:w="956" w:type="dxa"/>
            <w:vAlign w:val="bottom"/>
          </w:tcPr>
          <w:p w14:paraId="6BFAB6B3" w14:textId="77777777" w:rsidR="00E61CF3" w:rsidRPr="000E04E2" w:rsidRDefault="00E61CF3" w:rsidP="00380D78">
            <w:pPr>
              <w:rPr>
                <w:highlight w:val="yellow"/>
              </w:rPr>
            </w:pPr>
            <w:r w:rsidRPr="000E04E2">
              <w:rPr>
                <w:highlight w:val="yellow"/>
              </w:rPr>
              <w:t>4.269</w:t>
            </w:r>
          </w:p>
        </w:tc>
        <w:tc>
          <w:tcPr>
            <w:tcW w:w="1032" w:type="dxa"/>
            <w:vAlign w:val="bottom"/>
          </w:tcPr>
          <w:p w14:paraId="0C3FD7AF" w14:textId="77777777" w:rsidR="00E61CF3" w:rsidRPr="000E04E2" w:rsidRDefault="00E61CF3" w:rsidP="00380D78">
            <w:pPr>
              <w:rPr>
                <w:highlight w:val="yellow"/>
              </w:rPr>
            </w:pPr>
            <w:r w:rsidRPr="000E04E2">
              <w:rPr>
                <w:highlight w:val="yellow"/>
              </w:rPr>
              <w:t>-3.869</w:t>
            </w:r>
          </w:p>
        </w:tc>
        <w:tc>
          <w:tcPr>
            <w:tcW w:w="969" w:type="dxa"/>
            <w:gridSpan w:val="2"/>
            <w:vAlign w:val="bottom"/>
          </w:tcPr>
          <w:p w14:paraId="0842025C" w14:textId="77777777" w:rsidR="00E61CF3" w:rsidRPr="000E04E2" w:rsidRDefault="00E61CF3" w:rsidP="00380D78">
            <w:pPr>
              <w:rPr>
                <w:highlight w:val="yellow"/>
              </w:rPr>
            </w:pPr>
            <w:r w:rsidRPr="000E04E2">
              <w:rPr>
                <w:highlight w:val="yellow"/>
              </w:rPr>
              <w:t>2.824</w:t>
            </w:r>
          </w:p>
        </w:tc>
        <w:tc>
          <w:tcPr>
            <w:tcW w:w="1015" w:type="dxa"/>
            <w:vAlign w:val="bottom"/>
          </w:tcPr>
          <w:p w14:paraId="67613639" w14:textId="77777777" w:rsidR="00E61CF3" w:rsidRPr="000E04E2" w:rsidRDefault="00E61CF3" w:rsidP="00380D78">
            <w:pPr>
              <w:rPr>
                <w:highlight w:val="yellow"/>
              </w:rPr>
            </w:pPr>
            <w:r w:rsidRPr="000E04E2">
              <w:rPr>
                <w:highlight w:val="yellow"/>
              </w:rPr>
              <w:t>16.614**</w:t>
            </w:r>
          </w:p>
        </w:tc>
        <w:tc>
          <w:tcPr>
            <w:tcW w:w="959" w:type="dxa"/>
            <w:vAlign w:val="bottom"/>
          </w:tcPr>
          <w:p w14:paraId="176A0865" w14:textId="77777777" w:rsidR="00E61CF3" w:rsidRPr="000E04E2" w:rsidRDefault="00E61CF3" w:rsidP="00380D78">
            <w:pPr>
              <w:rPr>
                <w:highlight w:val="yellow"/>
              </w:rPr>
            </w:pPr>
            <w:r w:rsidRPr="000E04E2">
              <w:rPr>
                <w:highlight w:val="yellow"/>
              </w:rPr>
              <w:t>2.859</w:t>
            </w:r>
          </w:p>
        </w:tc>
        <w:tc>
          <w:tcPr>
            <w:tcW w:w="1026" w:type="dxa"/>
            <w:vAlign w:val="bottom"/>
          </w:tcPr>
          <w:p w14:paraId="59D0BC71" w14:textId="77777777" w:rsidR="00E61CF3" w:rsidRPr="000E04E2" w:rsidRDefault="00E61CF3" w:rsidP="00380D78">
            <w:pPr>
              <w:rPr>
                <w:highlight w:val="yellow"/>
              </w:rPr>
            </w:pPr>
            <w:r w:rsidRPr="000E04E2">
              <w:rPr>
                <w:highlight w:val="yellow"/>
              </w:rPr>
              <w:t>10.536**</w:t>
            </w:r>
          </w:p>
        </w:tc>
        <w:tc>
          <w:tcPr>
            <w:tcW w:w="992" w:type="dxa"/>
            <w:vAlign w:val="bottom"/>
          </w:tcPr>
          <w:p w14:paraId="37DA2C45" w14:textId="77777777" w:rsidR="00E61CF3" w:rsidRPr="000E04E2" w:rsidRDefault="00E61CF3" w:rsidP="00380D78">
            <w:pPr>
              <w:rPr>
                <w:highlight w:val="yellow"/>
              </w:rPr>
            </w:pPr>
            <w:r w:rsidRPr="000E04E2">
              <w:rPr>
                <w:highlight w:val="yellow"/>
              </w:rPr>
              <w:t>3.054</w:t>
            </w:r>
          </w:p>
        </w:tc>
        <w:tc>
          <w:tcPr>
            <w:tcW w:w="1134" w:type="dxa"/>
            <w:vAlign w:val="bottom"/>
          </w:tcPr>
          <w:p w14:paraId="47E11826" w14:textId="77777777" w:rsidR="00E61CF3" w:rsidRPr="000E04E2" w:rsidRDefault="00E61CF3" w:rsidP="00380D78">
            <w:pPr>
              <w:rPr>
                <w:highlight w:val="yellow"/>
              </w:rPr>
            </w:pPr>
            <w:r w:rsidRPr="000E04E2">
              <w:rPr>
                <w:highlight w:val="yellow"/>
              </w:rPr>
              <w:t>-0.875</w:t>
            </w:r>
          </w:p>
        </w:tc>
        <w:tc>
          <w:tcPr>
            <w:tcW w:w="992" w:type="dxa"/>
            <w:vAlign w:val="bottom"/>
          </w:tcPr>
          <w:p w14:paraId="216855C7" w14:textId="77777777" w:rsidR="00E61CF3" w:rsidRPr="000E04E2" w:rsidRDefault="00E61CF3" w:rsidP="00380D78">
            <w:pPr>
              <w:rPr>
                <w:highlight w:val="yellow"/>
              </w:rPr>
            </w:pPr>
            <w:r w:rsidRPr="000E04E2">
              <w:rPr>
                <w:highlight w:val="yellow"/>
              </w:rPr>
              <w:t>3.586</w:t>
            </w:r>
          </w:p>
        </w:tc>
      </w:tr>
      <w:tr w:rsidR="00E61CF3" w:rsidRPr="000E04E2" w14:paraId="22E4886F" w14:textId="77777777" w:rsidTr="00380D78">
        <w:tc>
          <w:tcPr>
            <w:tcW w:w="2544" w:type="dxa"/>
          </w:tcPr>
          <w:p w14:paraId="7A4D93F6" w14:textId="77777777" w:rsidR="00E61CF3" w:rsidRPr="000E04E2" w:rsidRDefault="00E61CF3" w:rsidP="00380D78">
            <w:pPr>
              <w:ind w:left="22" w:firstLine="179"/>
              <w:rPr>
                <w:highlight w:val="yellow"/>
              </w:rPr>
            </w:pPr>
            <w:r w:rsidRPr="000E04E2">
              <w:rPr>
                <w:highlight w:val="yellow"/>
              </w:rPr>
              <w:t>Jewish</w:t>
            </w:r>
          </w:p>
        </w:tc>
        <w:tc>
          <w:tcPr>
            <w:tcW w:w="997" w:type="dxa"/>
            <w:vAlign w:val="bottom"/>
          </w:tcPr>
          <w:p w14:paraId="0D3246E5" w14:textId="77777777" w:rsidR="00E61CF3" w:rsidRPr="000E04E2" w:rsidRDefault="00E61CF3" w:rsidP="00380D78">
            <w:pPr>
              <w:rPr>
                <w:highlight w:val="yellow"/>
              </w:rPr>
            </w:pPr>
            <w:r w:rsidRPr="000E04E2">
              <w:rPr>
                <w:highlight w:val="yellow"/>
              </w:rPr>
              <w:t>6.131</w:t>
            </w:r>
          </w:p>
        </w:tc>
        <w:tc>
          <w:tcPr>
            <w:tcW w:w="956" w:type="dxa"/>
            <w:vAlign w:val="bottom"/>
          </w:tcPr>
          <w:p w14:paraId="5CD682DA" w14:textId="77777777" w:rsidR="00E61CF3" w:rsidRPr="000E04E2" w:rsidRDefault="00E61CF3" w:rsidP="00380D78">
            <w:pPr>
              <w:rPr>
                <w:highlight w:val="yellow"/>
              </w:rPr>
            </w:pPr>
            <w:r w:rsidRPr="000E04E2">
              <w:rPr>
                <w:highlight w:val="yellow"/>
              </w:rPr>
              <w:t>5.165</w:t>
            </w:r>
          </w:p>
        </w:tc>
        <w:tc>
          <w:tcPr>
            <w:tcW w:w="1032" w:type="dxa"/>
            <w:vAlign w:val="bottom"/>
          </w:tcPr>
          <w:p w14:paraId="2C66BFDC" w14:textId="77777777" w:rsidR="00E61CF3" w:rsidRPr="000E04E2" w:rsidRDefault="00E61CF3" w:rsidP="00380D78">
            <w:pPr>
              <w:rPr>
                <w:highlight w:val="yellow"/>
              </w:rPr>
            </w:pPr>
            <w:r w:rsidRPr="000E04E2">
              <w:rPr>
                <w:highlight w:val="yellow"/>
              </w:rPr>
              <w:t>-3.241</w:t>
            </w:r>
          </w:p>
        </w:tc>
        <w:tc>
          <w:tcPr>
            <w:tcW w:w="969" w:type="dxa"/>
            <w:gridSpan w:val="2"/>
            <w:vAlign w:val="bottom"/>
          </w:tcPr>
          <w:p w14:paraId="7CDB2C84" w14:textId="77777777" w:rsidR="00E61CF3" w:rsidRPr="000E04E2" w:rsidRDefault="00E61CF3" w:rsidP="00380D78">
            <w:pPr>
              <w:rPr>
                <w:highlight w:val="yellow"/>
              </w:rPr>
            </w:pPr>
            <w:r w:rsidRPr="000E04E2">
              <w:rPr>
                <w:highlight w:val="yellow"/>
              </w:rPr>
              <w:t>3.958</w:t>
            </w:r>
          </w:p>
        </w:tc>
        <w:tc>
          <w:tcPr>
            <w:tcW w:w="1015" w:type="dxa"/>
            <w:vAlign w:val="bottom"/>
          </w:tcPr>
          <w:p w14:paraId="7F47BCBC" w14:textId="77777777" w:rsidR="00E61CF3" w:rsidRPr="000E04E2" w:rsidRDefault="00E61CF3" w:rsidP="00380D78">
            <w:pPr>
              <w:rPr>
                <w:highlight w:val="yellow"/>
              </w:rPr>
            </w:pPr>
            <w:r w:rsidRPr="000E04E2">
              <w:rPr>
                <w:highlight w:val="yellow"/>
              </w:rPr>
              <w:t>-1.510</w:t>
            </w:r>
          </w:p>
        </w:tc>
        <w:tc>
          <w:tcPr>
            <w:tcW w:w="959" w:type="dxa"/>
            <w:vAlign w:val="bottom"/>
          </w:tcPr>
          <w:p w14:paraId="7E207101" w14:textId="77777777" w:rsidR="00E61CF3" w:rsidRPr="000E04E2" w:rsidRDefault="00E61CF3" w:rsidP="00380D78">
            <w:pPr>
              <w:rPr>
                <w:highlight w:val="yellow"/>
              </w:rPr>
            </w:pPr>
            <w:r w:rsidRPr="000E04E2">
              <w:rPr>
                <w:highlight w:val="yellow"/>
              </w:rPr>
              <w:t>2.604</w:t>
            </w:r>
          </w:p>
        </w:tc>
        <w:tc>
          <w:tcPr>
            <w:tcW w:w="1026" w:type="dxa"/>
            <w:vAlign w:val="bottom"/>
          </w:tcPr>
          <w:p w14:paraId="3D9C252E" w14:textId="77777777" w:rsidR="00E61CF3" w:rsidRPr="000E04E2" w:rsidRDefault="00E61CF3" w:rsidP="00380D78">
            <w:pPr>
              <w:rPr>
                <w:highlight w:val="yellow"/>
              </w:rPr>
            </w:pPr>
            <w:r w:rsidRPr="000E04E2">
              <w:rPr>
                <w:highlight w:val="yellow"/>
              </w:rPr>
              <w:t>3.403</w:t>
            </w:r>
          </w:p>
        </w:tc>
        <w:tc>
          <w:tcPr>
            <w:tcW w:w="992" w:type="dxa"/>
            <w:vAlign w:val="bottom"/>
          </w:tcPr>
          <w:p w14:paraId="2A4B2C41" w14:textId="77777777" w:rsidR="00E61CF3" w:rsidRPr="000E04E2" w:rsidRDefault="00E61CF3" w:rsidP="00380D78">
            <w:pPr>
              <w:rPr>
                <w:highlight w:val="yellow"/>
              </w:rPr>
            </w:pPr>
            <w:r w:rsidRPr="000E04E2">
              <w:rPr>
                <w:highlight w:val="yellow"/>
              </w:rPr>
              <w:t>4.249</w:t>
            </w:r>
          </w:p>
        </w:tc>
        <w:tc>
          <w:tcPr>
            <w:tcW w:w="1134" w:type="dxa"/>
            <w:vAlign w:val="bottom"/>
          </w:tcPr>
          <w:p w14:paraId="20ED8B96" w14:textId="77777777" w:rsidR="00E61CF3" w:rsidRPr="000E04E2" w:rsidRDefault="00E61CF3" w:rsidP="00380D78">
            <w:pPr>
              <w:rPr>
                <w:highlight w:val="yellow"/>
              </w:rPr>
            </w:pPr>
            <w:r w:rsidRPr="000E04E2">
              <w:rPr>
                <w:highlight w:val="yellow"/>
              </w:rPr>
              <w:t>3.474</w:t>
            </w:r>
          </w:p>
        </w:tc>
        <w:tc>
          <w:tcPr>
            <w:tcW w:w="992" w:type="dxa"/>
            <w:vAlign w:val="bottom"/>
          </w:tcPr>
          <w:p w14:paraId="5410C864" w14:textId="77777777" w:rsidR="00E61CF3" w:rsidRPr="000E04E2" w:rsidRDefault="00E61CF3" w:rsidP="00380D78">
            <w:pPr>
              <w:rPr>
                <w:highlight w:val="yellow"/>
              </w:rPr>
            </w:pPr>
            <w:r w:rsidRPr="000E04E2">
              <w:rPr>
                <w:highlight w:val="yellow"/>
              </w:rPr>
              <w:t>4.856</w:t>
            </w:r>
          </w:p>
        </w:tc>
      </w:tr>
      <w:tr w:rsidR="00E61CF3" w:rsidRPr="000E04E2" w14:paraId="7303AE46" w14:textId="77777777" w:rsidTr="00380D78">
        <w:tc>
          <w:tcPr>
            <w:tcW w:w="2544" w:type="dxa"/>
          </w:tcPr>
          <w:p w14:paraId="3452D794" w14:textId="77777777" w:rsidR="00E61CF3" w:rsidRPr="000E04E2" w:rsidRDefault="00E61CF3" w:rsidP="00380D78">
            <w:pPr>
              <w:ind w:left="22" w:firstLine="179"/>
              <w:rPr>
                <w:highlight w:val="yellow"/>
              </w:rPr>
            </w:pPr>
            <w:r w:rsidRPr="000E04E2">
              <w:rPr>
                <w:highlight w:val="yellow"/>
              </w:rPr>
              <w:t>Council of Churches</w:t>
            </w:r>
          </w:p>
        </w:tc>
        <w:tc>
          <w:tcPr>
            <w:tcW w:w="997" w:type="dxa"/>
            <w:vAlign w:val="bottom"/>
          </w:tcPr>
          <w:p w14:paraId="692506A7" w14:textId="77777777" w:rsidR="00E61CF3" w:rsidRPr="000E04E2" w:rsidRDefault="00E61CF3" w:rsidP="00380D78">
            <w:pPr>
              <w:rPr>
                <w:highlight w:val="yellow"/>
              </w:rPr>
            </w:pPr>
            <w:r w:rsidRPr="000E04E2">
              <w:rPr>
                <w:highlight w:val="yellow"/>
              </w:rPr>
              <w:t>0.733</w:t>
            </w:r>
          </w:p>
        </w:tc>
        <w:tc>
          <w:tcPr>
            <w:tcW w:w="956" w:type="dxa"/>
            <w:vAlign w:val="bottom"/>
          </w:tcPr>
          <w:p w14:paraId="4C7D3638" w14:textId="77777777" w:rsidR="00E61CF3" w:rsidRPr="000E04E2" w:rsidRDefault="00E61CF3" w:rsidP="00380D78">
            <w:pPr>
              <w:rPr>
                <w:highlight w:val="yellow"/>
              </w:rPr>
            </w:pPr>
            <w:r w:rsidRPr="000E04E2">
              <w:rPr>
                <w:highlight w:val="yellow"/>
              </w:rPr>
              <w:t>1.473</w:t>
            </w:r>
          </w:p>
        </w:tc>
        <w:tc>
          <w:tcPr>
            <w:tcW w:w="1032" w:type="dxa"/>
            <w:vAlign w:val="bottom"/>
          </w:tcPr>
          <w:p w14:paraId="7A95DE5A" w14:textId="77777777" w:rsidR="00E61CF3" w:rsidRPr="000E04E2" w:rsidRDefault="00E61CF3" w:rsidP="00380D78">
            <w:pPr>
              <w:rPr>
                <w:highlight w:val="yellow"/>
              </w:rPr>
            </w:pPr>
            <w:r w:rsidRPr="000E04E2">
              <w:rPr>
                <w:highlight w:val="yellow"/>
              </w:rPr>
              <w:t>-0.887</w:t>
            </w:r>
          </w:p>
        </w:tc>
        <w:tc>
          <w:tcPr>
            <w:tcW w:w="969" w:type="dxa"/>
            <w:gridSpan w:val="2"/>
            <w:vAlign w:val="bottom"/>
          </w:tcPr>
          <w:p w14:paraId="628024FE" w14:textId="77777777" w:rsidR="00E61CF3" w:rsidRPr="000E04E2" w:rsidRDefault="00E61CF3" w:rsidP="00380D78">
            <w:pPr>
              <w:rPr>
                <w:highlight w:val="yellow"/>
              </w:rPr>
            </w:pPr>
            <w:r w:rsidRPr="000E04E2">
              <w:rPr>
                <w:highlight w:val="yellow"/>
              </w:rPr>
              <w:t>1.234</w:t>
            </w:r>
          </w:p>
        </w:tc>
        <w:tc>
          <w:tcPr>
            <w:tcW w:w="1015" w:type="dxa"/>
            <w:vAlign w:val="bottom"/>
          </w:tcPr>
          <w:p w14:paraId="69181FAE" w14:textId="77777777" w:rsidR="00E61CF3" w:rsidRPr="000E04E2" w:rsidRDefault="00E61CF3" w:rsidP="00380D78">
            <w:pPr>
              <w:rPr>
                <w:highlight w:val="yellow"/>
              </w:rPr>
            </w:pPr>
            <w:r w:rsidRPr="000E04E2">
              <w:rPr>
                <w:highlight w:val="yellow"/>
              </w:rPr>
              <w:t>1.222</w:t>
            </w:r>
          </w:p>
        </w:tc>
        <w:tc>
          <w:tcPr>
            <w:tcW w:w="959" w:type="dxa"/>
            <w:vAlign w:val="bottom"/>
          </w:tcPr>
          <w:p w14:paraId="5D843644" w14:textId="77777777" w:rsidR="00E61CF3" w:rsidRPr="000E04E2" w:rsidRDefault="00E61CF3" w:rsidP="00380D78">
            <w:pPr>
              <w:rPr>
                <w:highlight w:val="yellow"/>
              </w:rPr>
            </w:pPr>
            <w:r w:rsidRPr="000E04E2">
              <w:rPr>
                <w:highlight w:val="yellow"/>
              </w:rPr>
              <w:t>1.194</w:t>
            </w:r>
          </w:p>
        </w:tc>
        <w:tc>
          <w:tcPr>
            <w:tcW w:w="1026" w:type="dxa"/>
            <w:vAlign w:val="bottom"/>
          </w:tcPr>
          <w:p w14:paraId="3422C9A9" w14:textId="77777777" w:rsidR="00E61CF3" w:rsidRPr="000E04E2" w:rsidRDefault="00E61CF3" w:rsidP="00380D78">
            <w:pPr>
              <w:rPr>
                <w:highlight w:val="yellow"/>
              </w:rPr>
            </w:pPr>
            <w:r w:rsidRPr="000E04E2">
              <w:rPr>
                <w:highlight w:val="yellow"/>
              </w:rPr>
              <w:t>3.069*</w:t>
            </w:r>
          </w:p>
        </w:tc>
        <w:tc>
          <w:tcPr>
            <w:tcW w:w="992" w:type="dxa"/>
            <w:vAlign w:val="bottom"/>
          </w:tcPr>
          <w:p w14:paraId="359F3502" w14:textId="77777777" w:rsidR="00E61CF3" w:rsidRPr="000E04E2" w:rsidRDefault="00E61CF3" w:rsidP="00380D78">
            <w:pPr>
              <w:rPr>
                <w:highlight w:val="yellow"/>
              </w:rPr>
            </w:pPr>
            <w:r w:rsidRPr="000E04E2">
              <w:rPr>
                <w:highlight w:val="yellow"/>
              </w:rPr>
              <w:t>1.290</w:t>
            </w:r>
          </w:p>
        </w:tc>
        <w:tc>
          <w:tcPr>
            <w:tcW w:w="1134" w:type="dxa"/>
            <w:vAlign w:val="bottom"/>
          </w:tcPr>
          <w:p w14:paraId="37C154AF" w14:textId="77777777" w:rsidR="00E61CF3" w:rsidRPr="000E04E2" w:rsidRDefault="00E61CF3" w:rsidP="00380D78">
            <w:pPr>
              <w:rPr>
                <w:highlight w:val="yellow"/>
              </w:rPr>
            </w:pPr>
            <w:r w:rsidRPr="000E04E2">
              <w:rPr>
                <w:highlight w:val="yellow"/>
              </w:rPr>
              <w:t>-2.356</w:t>
            </w:r>
          </w:p>
        </w:tc>
        <w:tc>
          <w:tcPr>
            <w:tcW w:w="992" w:type="dxa"/>
            <w:vAlign w:val="bottom"/>
          </w:tcPr>
          <w:p w14:paraId="0EDA97F1" w14:textId="77777777" w:rsidR="00E61CF3" w:rsidRPr="000E04E2" w:rsidRDefault="00E61CF3" w:rsidP="00380D78">
            <w:pPr>
              <w:rPr>
                <w:highlight w:val="yellow"/>
              </w:rPr>
            </w:pPr>
            <w:r w:rsidRPr="000E04E2">
              <w:rPr>
                <w:highlight w:val="yellow"/>
              </w:rPr>
              <w:t>1.304</w:t>
            </w:r>
          </w:p>
        </w:tc>
      </w:tr>
      <w:tr w:rsidR="00E61CF3" w:rsidRPr="000E04E2" w14:paraId="2A5FA331" w14:textId="77777777" w:rsidTr="00380D78">
        <w:tc>
          <w:tcPr>
            <w:tcW w:w="2544" w:type="dxa"/>
          </w:tcPr>
          <w:p w14:paraId="6F419655" w14:textId="77777777" w:rsidR="00E61CF3" w:rsidRPr="000E04E2" w:rsidRDefault="00E61CF3" w:rsidP="00380D78">
            <w:pPr>
              <w:ind w:left="22" w:firstLine="179"/>
              <w:rPr>
                <w:highlight w:val="yellow"/>
              </w:rPr>
            </w:pPr>
            <w:r w:rsidRPr="000E04E2">
              <w:rPr>
                <w:highlight w:val="yellow"/>
              </w:rPr>
              <w:t>Non-Council of Churches</w:t>
            </w:r>
          </w:p>
        </w:tc>
        <w:tc>
          <w:tcPr>
            <w:tcW w:w="997" w:type="dxa"/>
            <w:vAlign w:val="bottom"/>
          </w:tcPr>
          <w:p w14:paraId="42313217" w14:textId="77777777" w:rsidR="00E61CF3" w:rsidRPr="000E04E2" w:rsidRDefault="00E61CF3" w:rsidP="00380D78">
            <w:pPr>
              <w:rPr>
                <w:highlight w:val="yellow"/>
              </w:rPr>
            </w:pPr>
            <w:r w:rsidRPr="000E04E2">
              <w:rPr>
                <w:highlight w:val="yellow"/>
              </w:rPr>
              <w:t>2.753*</w:t>
            </w:r>
          </w:p>
        </w:tc>
        <w:tc>
          <w:tcPr>
            <w:tcW w:w="956" w:type="dxa"/>
            <w:vAlign w:val="bottom"/>
          </w:tcPr>
          <w:p w14:paraId="745B75E4" w14:textId="77777777" w:rsidR="00E61CF3" w:rsidRPr="000E04E2" w:rsidRDefault="00E61CF3" w:rsidP="00380D78">
            <w:pPr>
              <w:rPr>
                <w:highlight w:val="yellow"/>
              </w:rPr>
            </w:pPr>
            <w:r w:rsidRPr="000E04E2">
              <w:rPr>
                <w:highlight w:val="yellow"/>
              </w:rPr>
              <w:t>1.208</w:t>
            </w:r>
          </w:p>
        </w:tc>
        <w:tc>
          <w:tcPr>
            <w:tcW w:w="1032" w:type="dxa"/>
            <w:vAlign w:val="bottom"/>
          </w:tcPr>
          <w:p w14:paraId="73C6AE5A" w14:textId="77777777" w:rsidR="00E61CF3" w:rsidRPr="000E04E2" w:rsidRDefault="00E61CF3" w:rsidP="00380D78">
            <w:pPr>
              <w:rPr>
                <w:highlight w:val="yellow"/>
              </w:rPr>
            </w:pPr>
            <w:r w:rsidRPr="000E04E2">
              <w:rPr>
                <w:highlight w:val="yellow"/>
              </w:rPr>
              <w:t>1.270</w:t>
            </w:r>
          </w:p>
        </w:tc>
        <w:tc>
          <w:tcPr>
            <w:tcW w:w="969" w:type="dxa"/>
            <w:gridSpan w:val="2"/>
            <w:vAlign w:val="bottom"/>
          </w:tcPr>
          <w:p w14:paraId="281B9CB8" w14:textId="77777777" w:rsidR="00E61CF3" w:rsidRPr="000E04E2" w:rsidRDefault="00E61CF3" w:rsidP="00380D78">
            <w:pPr>
              <w:rPr>
                <w:highlight w:val="yellow"/>
              </w:rPr>
            </w:pPr>
            <w:r w:rsidRPr="000E04E2">
              <w:rPr>
                <w:highlight w:val="yellow"/>
              </w:rPr>
              <w:t>0.987</w:t>
            </w:r>
          </w:p>
        </w:tc>
        <w:tc>
          <w:tcPr>
            <w:tcW w:w="1015" w:type="dxa"/>
            <w:vAlign w:val="bottom"/>
          </w:tcPr>
          <w:p w14:paraId="46581995" w14:textId="77777777" w:rsidR="00E61CF3" w:rsidRPr="000E04E2" w:rsidRDefault="00E61CF3" w:rsidP="00380D78">
            <w:pPr>
              <w:rPr>
                <w:highlight w:val="yellow"/>
              </w:rPr>
            </w:pPr>
            <w:r w:rsidRPr="000E04E2">
              <w:rPr>
                <w:highlight w:val="yellow"/>
              </w:rPr>
              <w:t>4.511**</w:t>
            </w:r>
          </w:p>
        </w:tc>
        <w:tc>
          <w:tcPr>
            <w:tcW w:w="959" w:type="dxa"/>
            <w:vAlign w:val="bottom"/>
          </w:tcPr>
          <w:p w14:paraId="3CDA41B2" w14:textId="77777777" w:rsidR="00E61CF3" w:rsidRPr="000E04E2" w:rsidRDefault="00E61CF3" w:rsidP="00380D78">
            <w:pPr>
              <w:rPr>
                <w:highlight w:val="yellow"/>
              </w:rPr>
            </w:pPr>
            <w:r w:rsidRPr="000E04E2">
              <w:rPr>
                <w:highlight w:val="yellow"/>
              </w:rPr>
              <w:t>1.057</w:t>
            </w:r>
          </w:p>
        </w:tc>
        <w:tc>
          <w:tcPr>
            <w:tcW w:w="1026" w:type="dxa"/>
            <w:vAlign w:val="bottom"/>
          </w:tcPr>
          <w:p w14:paraId="1C1717F7" w14:textId="77777777" w:rsidR="00E61CF3" w:rsidRPr="000E04E2" w:rsidRDefault="00E61CF3" w:rsidP="00380D78">
            <w:pPr>
              <w:rPr>
                <w:highlight w:val="yellow"/>
              </w:rPr>
            </w:pPr>
            <w:r w:rsidRPr="000E04E2">
              <w:rPr>
                <w:highlight w:val="yellow"/>
              </w:rPr>
              <w:t>0.814</w:t>
            </w:r>
          </w:p>
        </w:tc>
        <w:tc>
          <w:tcPr>
            <w:tcW w:w="992" w:type="dxa"/>
            <w:vAlign w:val="bottom"/>
          </w:tcPr>
          <w:p w14:paraId="3CFF3174" w14:textId="77777777" w:rsidR="00E61CF3" w:rsidRPr="000E04E2" w:rsidRDefault="00E61CF3" w:rsidP="00380D78">
            <w:pPr>
              <w:rPr>
                <w:highlight w:val="yellow"/>
              </w:rPr>
            </w:pPr>
            <w:r w:rsidRPr="000E04E2">
              <w:rPr>
                <w:highlight w:val="yellow"/>
              </w:rPr>
              <w:t>1.069</w:t>
            </w:r>
          </w:p>
        </w:tc>
        <w:tc>
          <w:tcPr>
            <w:tcW w:w="1134" w:type="dxa"/>
            <w:vAlign w:val="bottom"/>
          </w:tcPr>
          <w:p w14:paraId="2518F700" w14:textId="77777777" w:rsidR="00E61CF3" w:rsidRPr="000E04E2" w:rsidRDefault="00E61CF3" w:rsidP="00380D78">
            <w:pPr>
              <w:rPr>
                <w:highlight w:val="yellow"/>
              </w:rPr>
            </w:pPr>
            <w:r w:rsidRPr="000E04E2">
              <w:rPr>
                <w:highlight w:val="yellow"/>
              </w:rPr>
              <w:t>0.916</w:t>
            </w:r>
          </w:p>
        </w:tc>
        <w:tc>
          <w:tcPr>
            <w:tcW w:w="992" w:type="dxa"/>
            <w:vAlign w:val="bottom"/>
          </w:tcPr>
          <w:p w14:paraId="49C875E5" w14:textId="77777777" w:rsidR="00E61CF3" w:rsidRPr="000E04E2" w:rsidRDefault="00E61CF3" w:rsidP="00380D78">
            <w:pPr>
              <w:rPr>
                <w:highlight w:val="yellow"/>
              </w:rPr>
            </w:pPr>
            <w:r w:rsidRPr="000E04E2">
              <w:rPr>
                <w:highlight w:val="yellow"/>
              </w:rPr>
              <w:t>1.022</w:t>
            </w:r>
          </w:p>
        </w:tc>
      </w:tr>
      <w:tr w:rsidR="00E61CF3" w:rsidRPr="000E04E2" w14:paraId="174B3DF2" w14:textId="77777777" w:rsidTr="00380D78">
        <w:tc>
          <w:tcPr>
            <w:tcW w:w="2544" w:type="dxa"/>
          </w:tcPr>
          <w:p w14:paraId="32044FD7" w14:textId="77777777" w:rsidR="00E61CF3" w:rsidRPr="000E04E2" w:rsidRDefault="00E61CF3" w:rsidP="00380D78">
            <w:pPr>
              <w:ind w:left="22" w:firstLine="179"/>
              <w:rPr>
                <w:highlight w:val="yellow"/>
              </w:rPr>
            </w:pPr>
            <w:r w:rsidRPr="000E04E2">
              <w:rPr>
                <w:highlight w:val="yellow"/>
              </w:rPr>
              <w:t>Other Independent</w:t>
            </w:r>
          </w:p>
        </w:tc>
        <w:tc>
          <w:tcPr>
            <w:tcW w:w="997" w:type="dxa"/>
            <w:vAlign w:val="bottom"/>
          </w:tcPr>
          <w:p w14:paraId="6A77B80E" w14:textId="77777777" w:rsidR="00E61CF3" w:rsidRPr="000E04E2" w:rsidRDefault="00E61CF3" w:rsidP="00380D78">
            <w:pPr>
              <w:rPr>
                <w:highlight w:val="yellow"/>
              </w:rPr>
            </w:pPr>
            <w:r w:rsidRPr="000E04E2">
              <w:rPr>
                <w:highlight w:val="yellow"/>
              </w:rPr>
              <w:t>-1.738</w:t>
            </w:r>
          </w:p>
        </w:tc>
        <w:tc>
          <w:tcPr>
            <w:tcW w:w="956" w:type="dxa"/>
            <w:vAlign w:val="bottom"/>
          </w:tcPr>
          <w:p w14:paraId="0DDCDFD5" w14:textId="77777777" w:rsidR="00E61CF3" w:rsidRPr="000E04E2" w:rsidRDefault="00E61CF3" w:rsidP="00380D78">
            <w:pPr>
              <w:rPr>
                <w:highlight w:val="yellow"/>
              </w:rPr>
            </w:pPr>
            <w:r w:rsidRPr="000E04E2">
              <w:rPr>
                <w:highlight w:val="yellow"/>
              </w:rPr>
              <w:t>2.354</w:t>
            </w:r>
          </w:p>
        </w:tc>
        <w:tc>
          <w:tcPr>
            <w:tcW w:w="1032" w:type="dxa"/>
            <w:vAlign w:val="bottom"/>
          </w:tcPr>
          <w:p w14:paraId="6D83B3AF" w14:textId="77777777" w:rsidR="00E61CF3" w:rsidRPr="000E04E2" w:rsidRDefault="00E61CF3" w:rsidP="00380D78">
            <w:pPr>
              <w:rPr>
                <w:highlight w:val="yellow"/>
              </w:rPr>
            </w:pPr>
            <w:r w:rsidRPr="000E04E2">
              <w:rPr>
                <w:highlight w:val="yellow"/>
              </w:rPr>
              <w:t>3.323</w:t>
            </w:r>
          </w:p>
        </w:tc>
        <w:tc>
          <w:tcPr>
            <w:tcW w:w="969" w:type="dxa"/>
            <w:gridSpan w:val="2"/>
            <w:vAlign w:val="bottom"/>
          </w:tcPr>
          <w:p w14:paraId="70914173" w14:textId="77777777" w:rsidR="00E61CF3" w:rsidRPr="000E04E2" w:rsidRDefault="00E61CF3" w:rsidP="00380D78">
            <w:pPr>
              <w:rPr>
                <w:highlight w:val="yellow"/>
              </w:rPr>
            </w:pPr>
            <w:r w:rsidRPr="000E04E2">
              <w:rPr>
                <w:highlight w:val="yellow"/>
              </w:rPr>
              <w:t>1.823</w:t>
            </w:r>
          </w:p>
        </w:tc>
        <w:tc>
          <w:tcPr>
            <w:tcW w:w="1015" w:type="dxa"/>
            <w:vAlign w:val="bottom"/>
          </w:tcPr>
          <w:p w14:paraId="0F88C2CE" w14:textId="77777777" w:rsidR="00E61CF3" w:rsidRPr="000E04E2" w:rsidRDefault="00E61CF3" w:rsidP="00380D78">
            <w:pPr>
              <w:rPr>
                <w:highlight w:val="yellow"/>
              </w:rPr>
            </w:pPr>
            <w:r w:rsidRPr="000E04E2">
              <w:rPr>
                <w:highlight w:val="yellow"/>
              </w:rPr>
              <w:t>-6.011*</w:t>
            </w:r>
          </w:p>
        </w:tc>
        <w:tc>
          <w:tcPr>
            <w:tcW w:w="959" w:type="dxa"/>
            <w:vAlign w:val="bottom"/>
          </w:tcPr>
          <w:p w14:paraId="0CA60D37" w14:textId="77777777" w:rsidR="00E61CF3" w:rsidRPr="000E04E2" w:rsidRDefault="00E61CF3" w:rsidP="00380D78">
            <w:pPr>
              <w:rPr>
                <w:highlight w:val="yellow"/>
              </w:rPr>
            </w:pPr>
            <w:r w:rsidRPr="000E04E2">
              <w:rPr>
                <w:highlight w:val="yellow"/>
              </w:rPr>
              <w:t>2.348</w:t>
            </w:r>
          </w:p>
        </w:tc>
        <w:tc>
          <w:tcPr>
            <w:tcW w:w="1026" w:type="dxa"/>
            <w:vAlign w:val="bottom"/>
          </w:tcPr>
          <w:p w14:paraId="5955A92E" w14:textId="77777777" w:rsidR="00E61CF3" w:rsidRPr="000E04E2" w:rsidRDefault="00E61CF3" w:rsidP="00380D78">
            <w:pPr>
              <w:rPr>
                <w:highlight w:val="yellow"/>
              </w:rPr>
            </w:pPr>
            <w:r w:rsidRPr="000E04E2">
              <w:rPr>
                <w:highlight w:val="yellow"/>
              </w:rPr>
              <w:t>-7.777**</w:t>
            </w:r>
          </w:p>
        </w:tc>
        <w:tc>
          <w:tcPr>
            <w:tcW w:w="992" w:type="dxa"/>
            <w:vAlign w:val="bottom"/>
          </w:tcPr>
          <w:p w14:paraId="46483E60" w14:textId="77777777" w:rsidR="00E61CF3" w:rsidRPr="000E04E2" w:rsidRDefault="00E61CF3" w:rsidP="00380D78">
            <w:pPr>
              <w:rPr>
                <w:highlight w:val="yellow"/>
              </w:rPr>
            </w:pPr>
            <w:r w:rsidRPr="000E04E2">
              <w:rPr>
                <w:highlight w:val="yellow"/>
              </w:rPr>
              <w:t>2.397</w:t>
            </w:r>
          </w:p>
        </w:tc>
        <w:tc>
          <w:tcPr>
            <w:tcW w:w="1134" w:type="dxa"/>
            <w:vAlign w:val="bottom"/>
          </w:tcPr>
          <w:p w14:paraId="5C8DBB98" w14:textId="77777777" w:rsidR="00E61CF3" w:rsidRPr="000E04E2" w:rsidRDefault="00E61CF3" w:rsidP="00380D78">
            <w:pPr>
              <w:rPr>
                <w:highlight w:val="yellow"/>
              </w:rPr>
            </w:pPr>
            <w:r w:rsidRPr="000E04E2">
              <w:rPr>
                <w:highlight w:val="yellow"/>
              </w:rPr>
              <w:t>-3.540</w:t>
            </w:r>
          </w:p>
        </w:tc>
        <w:tc>
          <w:tcPr>
            <w:tcW w:w="992" w:type="dxa"/>
            <w:vAlign w:val="bottom"/>
          </w:tcPr>
          <w:p w14:paraId="4462A470" w14:textId="77777777" w:rsidR="00E61CF3" w:rsidRPr="000E04E2" w:rsidRDefault="00E61CF3" w:rsidP="00380D78">
            <w:pPr>
              <w:rPr>
                <w:highlight w:val="yellow"/>
              </w:rPr>
            </w:pPr>
            <w:r w:rsidRPr="000E04E2">
              <w:rPr>
                <w:highlight w:val="yellow"/>
              </w:rPr>
              <w:t>2.043</w:t>
            </w:r>
          </w:p>
        </w:tc>
      </w:tr>
      <w:tr w:rsidR="00E61CF3" w:rsidRPr="000E04E2" w14:paraId="1F9AB9DE" w14:textId="77777777" w:rsidTr="00380D78">
        <w:tc>
          <w:tcPr>
            <w:tcW w:w="2544" w:type="dxa"/>
          </w:tcPr>
          <w:p w14:paraId="3C943DE9" w14:textId="77777777" w:rsidR="00E61CF3" w:rsidRPr="000E04E2" w:rsidRDefault="00E61CF3" w:rsidP="00380D78">
            <w:pPr>
              <w:rPr>
                <w:highlight w:val="yellow"/>
              </w:rPr>
            </w:pPr>
          </w:p>
        </w:tc>
        <w:tc>
          <w:tcPr>
            <w:tcW w:w="997" w:type="dxa"/>
          </w:tcPr>
          <w:p w14:paraId="1E17FB0C" w14:textId="77777777" w:rsidR="00E61CF3" w:rsidRPr="000E04E2" w:rsidRDefault="00E61CF3" w:rsidP="00380D78">
            <w:pPr>
              <w:rPr>
                <w:highlight w:val="yellow"/>
              </w:rPr>
            </w:pPr>
          </w:p>
        </w:tc>
        <w:tc>
          <w:tcPr>
            <w:tcW w:w="956" w:type="dxa"/>
          </w:tcPr>
          <w:p w14:paraId="1906C850" w14:textId="77777777" w:rsidR="00E61CF3" w:rsidRPr="000E04E2" w:rsidRDefault="00E61CF3" w:rsidP="00380D78">
            <w:pPr>
              <w:rPr>
                <w:highlight w:val="yellow"/>
              </w:rPr>
            </w:pPr>
          </w:p>
        </w:tc>
        <w:tc>
          <w:tcPr>
            <w:tcW w:w="1032" w:type="dxa"/>
          </w:tcPr>
          <w:p w14:paraId="343F6D72" w14:textId="77777777" w:rsidR="00E61CF3" w:rsidRPr="000E04E2" w:rsidRDefault="00E61CF3" w:rsidP="00380D78">
            <w:pPr>
              <w:rPr>
                <w:highlight w:val="yellow"/>
              </w:rPr>
            </w:pPr>
          </w:p>
        </w:tc>
        <w:tc>
          <w:tcPr>
            <w:tcW w:w="969" w:type="dxa"/>
            <w:gridSpan w:val="2"/>
          </w:tcPr>
          <w:p w14:paraId="005673BA" w14:textId="77777777" w:rsidR="00E61CF3" w:rsidRPr="000E04E2" w:rsidRDefault="00E61CF3" w:rsidP="00380D78">
            <w:pPr>
              <w:rPr>
                <w:highlight w:val="yellow"/>
              </w:rPr>
            </w:pPr>
          </w:p>
        </w:tc>
        <w:tc>
          <w:tcPr>
            <w:tcW w:w="1015" w:type="dxa"/>
          </w:tcPr>
          <w:p w14:paraId="0FA25AB9" w14:textId="77777777" w:rsidR="00E61CF3" w:rsidRPr="000E04E2" w:rsidRDefault="00E61CF3" w:rsidP="00380D78">
            <w:pPr>
              <w:rPr>
                <w:highlight w:val="yellow"/>
              </w:rPr>
            </w:pPr>
          </w:p>
        </w:tc>
        <w:tc>
          <w:tcPr>
            <w:tcW w:w="959" w:type="dxa"/>
          </w:tcPr>
          <w:p w14:paraId="627F2EDE" w14:textId="77777777" w:rsidR="00E61CF3" w:rsidRPr="000E04E2" w:rsidRDefault="00E61CF3" w:rsidP="00380D78">
            <w:pPr>
              <w:rPr>
                <w:highlight w:val="yellow"/>
              </w:rPr>
            </w:pPr>
          </w:p>
        </w:tc>
        <w:tc>
          <w:tcPr>
            <w:tcW w:w="1026" w:type="dxa"/>
          </w:tcPr>
          <w:p w14:paraId="4435E3AE" w14:textId="77777777" w:rsidR="00E61CF3" w:rsidRPr="000E04E2" w:rsidRDefault="00E61CF3" w:rsidP="00380D78">
            <w:pPr>
              <w:rPr>
                <w:highlight w:val="yellow"/>
              </w:rPr>
            </w:pPr>
          </w:p>
        </w:tc>
        <w:tc>
          <w:tcPr>
            <w:tcW w:w="992" w:type="dxa"/>
          </w:tcPr>
          <w:p w14:paraId="626C5EE1" w14:textId="77777777" w:rsidR="00E61CF3" w:rsidRPr="000E04E2" w:rsidRDefault="00E61CF3" w:rsidP="00380D78">
            <w:pPr>
              <w:rPr>
                <w:highlight w:val="yellow"/>
              </w:rPr>
            </w:pPr>
          </w:p>
        </w:tc>
        <w:tc>
          <w:tcPr>
            <w:tcW w:w="1134" w:type="dxa"/>
          </w:tcPr>
          <w:p w14:paraId="7280C151" w14:textId="77777777" w:rsidR="00E61CF3" w:rsidRPr="000E04E2" w:rsidRDefault="00E61CF3" w:rsidP="00380D78">
            <w:pPr>
              <w:rPr>
                <w:highlight w:val="yellow"/>
              </w:rPr>
            </w:pPr>
          </w:p>
        </w:tc>
        <w:tc>
          <w:tcPr>
            <w:tcW w:w="992" w:type="dxa"/>
          </w:tcPr>
          <w:p w14:paraId="508529A0" w14:textId="77777777" w:rsidR="00E61CF3" w:rsidRPr="000E04E2" w:rsidRDefault="00E61CF3" w:rsidP="00380D78">
            <w:pPr>
              <w:rPr>
                <w:highlight w:val="yellow"/>
              </w:rPr>
            </w:pPr>
          </w:p>
        </w:tc>
      </w:tr>
      <w:tr w:rsidR="00E61CF3" w:rsidRPr="000E04E2" w14:paraId="00EF1296" w14:textId="77777777" w:rsidTr="00380D78">
        <w:tc>
          <w:tcPr>
            <w:tcW w:w="2544" w:type="dxa"/>
          </w:tcPr>
          <w:p w14:paraId="0DD92BDB" w14:textId="77777777" w:rsidR="00E61CF3" w:rsidRPr="000E04E2" w:rsidRDefault="00E61CF3" w:rsidP="00380D78">
            <w:pPr>
              <w:rPr>
                <w:highlight w:val="yellow"/>
              </w:rPr>
            </w:pPr>
            <w:r w:rsidRPr="000E04E2">
              <w:rPr>
                <w:highlight w:val="yellow"/>
              </w:rPr>
              <w:t>Socio-educational advantage (ICSEA)</w:t>
            </w:r>
          </w:p>
        </w:tc>
        <w:tc>
          <w:tcPr>
            <w:tcW w:w="997" w:type="dxa"/>
          </w:tcPr>
          <w:p w14:paraId="5F74187E" w14:textId="77777777" w:rsidR="00E61CF3" w:rsidRPr="000E04E2" w:rsidRDefault="00E61CF3" w:rsidP="00380D78">
            <w:pPr>
              <w:rPr>
                <w:highlight w:val="yellow"/>
              </w:rPr>
            </w:pPr>
            <w:r w:rsidRPr="000E04E2">
              <w:rPr>
                <w:highlight w:val="yellow"/>
              </w:rPr>
              <w:t>0.384**</w:t>
            </w:r>
          </w:p>
        </w:tc>
        <w:tc>
          <w:tcPr>
            <w:tcW w:w="956" w:type="dxa"/>
          </w:tcPr>
          <w:p w14:paraId="03DC92DD" w14:textId="77777777" w:rsidR="00E61CF3" w:rsidRPr="000E04E2" w:rsidRDefault="00E61CF3" w:rsidP="00380D78">
            <w:pPr>
              <w:rPr>
                <w:highlight w:val="yellow"/>
              </w:rPr>
            </w:pPr>
            <w:r w:rsidRPr="000E04E2">
              <w:rPr>
                <w:highlight w:val="yellow"/>
              </w:rPr>
              <w:t>0.004</w:t>
            </w:r>
          </w:p>
        </w:tc>
        <w:tc>
          <w:tcPr>
            <w:tcW w:w="1032" w:type="dxa"/>
          </w:tcPr>
          <w:p w14:paraId="3FFAC9C7" w14:textId="77777777" w:rsidR="00E61CF3" w:rsidRPr="000E04E2" w:rsidRDefault="00E61CF3" w:rsidP="00380D78">
            <w:pPr>
              <w:rPr>
                <w:highlight w:val="yellow"/>
              </w:rPr>
            </w:pPr>
            <w:r w:rsidRPr="000E04E2">
              <w:rPr>
                <w:highlight w:val="yellow"/>
              </w:rPr>
              <w:t>0.368**</w:t>
            </w:r>
          </w:p>
        </w:tc>
        <w:tc>
          <w:tcPr>
            <w:tcW w:w="969" w:type="dxa"/>
            <w:gridSpan w:val="2"/>
          </w:tcPr>
          <w:p w14:paraId="131BB88E" w14:textId="77777777" w:rsidR="00E61CF3" w:rsidRPr="000E04E2" w:rsidRDefault="00E61CF3" w:rsidP="00380D78">
            <w:pPr>
              <w:rPr>
                <w:highlight w:val="yellow"/>
              </w:rPr>
            </w:pPr>
            <w:r w:rsidRPr="000E04E2">
              <w:rPr>
                <w:highlight w:val="yellow"/>
              </w:rPr>
              <w:t>0.003</w:t>
            </w:r>
          </w:p>
        </w:tc>
        <w:tc>
          <w:tcPr>
            <w:tcW w:w="1015" w:type="dxa"/>
          </w:tcPr>
          <w:p w14:paraId="2983CA39" w14:textId="77777777" w:rsidR="00E61CF3" w:rsidRPr="000E04E2" w:rsidRDefault="00E61CF3" w:rsidP="00380D78">
            <w:pPr>
              <w:rPr>
                <w:highlight w:val="yellow"/>
              </w:rPr>
            </w:pPr>
            <w:r w:rsidRPr="000E04E2">
              <w:rPr>
                <w:highlight w:val="yellow"/>
              </w:rPr>
              <w:t>0.278**</w:t>
            </w:r>
          </w:p>
        </w:tc>
        <w:tc>
          <w:tcPr>
            <w:tcW w:w="959" w:type="dxa"/>
          </w:tcPr>
          <w:p w14:paraId="3FF1ADBF" w14:textId="77777777" w:rsidR="00E61CF3" w:rsidRPr="000E04E2" w:rsidRDefault="00E61CF3" w:rsidP="00380D78">
            <w:pPr>
              <w:rPr>
                <w:highlight w:val="yellow"/>
              </w:rPr>
            </w:pPr>
            <w:r w:rsidRPr="000E04E2">
              <w:rPr>
                <w:highlight w:val="yellow"/>
              </w:rPr>
              <w:t>0.003</w:t>
            </w:r>
          </w:p>
        </w:tc>
        <w:tc>
          <w:tcPr>
            <w:tcW w:w="1026" w:type="dxa"/>
          </w:tcPr>
          <w:p w14:paraId="35A34557" w14:textId="77777777" w:rsidR="00E61CF3" w:rsidRPr="000E04E2" w:rsidRDefault="00E61CF3" w:rsidP="00380D78">
            <w:pPr>
              <w:rPr>
                <w:highlight w:val="yellow"/>
              </w:rPr>
            </w:pPr>
            <w:r w:rsidRPr="000E04E2">
              <w:rPr>
                <w:highlight w:val="yellow"/>
              </w:rPr>
              <w:t>0.272**</w:t>
            </w:r>
          </w:p>
        </w:tc>
        <w:tc>
          <w:tcPr>
            <w:tcW w:w="992" w:type="dxa"/>
          </w:tcPr>
          <w:p w14:paraId="53A7E2FC" w14:textId="77777777" w:rsidR="00E61CF3" w:rsidRPr="000E04E2" w:rsidRDefault="00E61CF3" w:rsidP="00380D78">
            <w:pPr>
              <w:rPr>
                <w:highlight w:val="yellow"/>
              </w:rPr>
            </w:pPr>
            <w:r w:rsidRPr="000E04E2">
              <w:rPr>
                <w:highlight w:val="yellow"/>
              </w:rPr>
              <w:t>0.003</w:t>
            </w:r>
          </w:p>
        </w:tc>
        <w:tc>
          <w:tcPr>
            <w:tcW w:w="1134" w:type="dxa"/>
          </w:tcPr>
          <w:p w14:paraId="6ABBC937" w14:textId="77777777" w:rsidR="00E61CF3" w:rsidRPr="000E04E2" w:rsidRDefault="00E61CF3" w:rsidP="00380D78">
            <w:pPr>
              <w:rPr>
                <w:highlight w:val="yellow"/>
              </w:rPr>
            </w:pPr>
            <w:r w:rsidRPr="000E04E2">
              <w:rPr>
                <w:highlight w:val="yellow"/>
              </w:rPr>
              <w:t>0.325**</w:t>
            </w:r>
          </w:p>
        </w:tc>
        <w:tc>
          <w:tcPr>
            <w:tcW w:w="992" w:type="dxa"/>
          </w:tcPr>
          <w:p w14:paraId="412343DB" w14:textId="77777777" w:rsidR="00E61CF3" w:rsidRPr="000E04E2" w:rsidRDefault="00E61CF3" w:rsidP="00380D78">
            <w:pPr>
              <w:rPr>
                <w:highlight w:val="yellow"/>
              </w:rPr>
            </w:pPr>
            <w:r w:rsidRPr="000E04E2">
              <w:rPr>
                <w:highlight w:val="yellow"/>
              </w:rPr>
              <w:t>0.003</w:t>
            </w:r>
          </w:p>
        </w:tc>
      </w:tr>
      <w:tr w:rsidR="00E61CF3" w:rsidRPr="000E04E2" w14:paraId="660F5E72" w14:textId="77777777" w:rsidTr="00380D78">
        <w:tc>
          <w:tcPr>
            <w:tcW w:w="2544" w:type="dxa"/>
          </w:tcPr>
          <w:p w14:paraId="6EA8B8CA" w14:textId="77777777" w:rsidR="00E61CF3" w:rsidRPr="000E04E2" w:rsidRDefault="00E61CF3" w:rsidP="00380D78">
            <w:pPr>
              <w:rPr>
                <w:highlight w:val="yellow"/>
              </w:rPr>
            </w:pPr>
            <w:r w:rsidRPr="000E04E2">
              <w:rPr>
                <w:highlight w:val="yellow"/>
              </w:rPr>
              <w:t>Student/teacher ratio</w:t>
            </w:r>
          </w:p>
        </w:tc>
        <w:tc>
          <w:tcPr>
            <w:tcW w:w="997" w:type="dxa"/>
            <w:vAlign w:val="bottom"/>
          </w:tcPr>
          <w:p w14:paraId="59C61558" w14:textId="77777777" w:rsidR="00E61CF3" w:rsidRPr="000E04E2" w:rsidRDefault="00E61CF3" w:rsidP="00380D78">
            <w:pPr>
              <w:rPr>
                <w:highlight w:val="yellow"/>
              </w:rPr>
            </w:pPr>
            <w:r w:rsidRPr="000E04E2">
              <w:rPr>
                <w:highlight w:val="yellow"/>
              </w:rPr>
              <w:t>0.776**</w:t>
            </w:r>
          </w:p>
        </w:tc>
        <w:tc>
          <w:tcPr>
            <w:tcW w:w="956" w:type="dxa"/>
            <w:vAlign w:val="bottom"/>
          </w:tcPr>
          <w:p w14:paraId="1F2DAF02" w14:textId="77777777" w:rsidR="00E61CF3" w:rsidRPr="000E04E2" w:rsidRDefault="00E61CF3" w:rsidP="00380D78">
            <w:pPr>
              <w:rPr>
                <w:highlight w:val="yellow"/>
              </w:rPr>
            </w:pPr>
            <w:r w:rsidRPr="000E04E2">
              <w:rPr>
                <w:highlight w:val="yellow"/>
              </w:rPr>
              <w:t>0.128</w:t>
            </w:r>
          </w:p>
        </w:tc>
        <w:tc>
          <w:tcPr>
            <w:tcW w:w="1032" w:type="dxa"/>
            <w:vAlign w:val="bottom"/>
          </w:tcPr>
          <w:p w14:paraId="369F91A1" w14:textId="77777777" w:rsidR="00E61CF3" w:rsidRPr="000E04E2" w:rsidRDefault="00E61CF3" w:rsidP="00380D78">
            <w:pPr>
              <w:rPr>
                <w:highlight w:val="yellow"/>
              </w:rPr>
            </w:pPr>
            <w:r w:rsidRPr="000E04E2">
              <w:rPr>
                <w:highlight w:val="yellow"/>
              </w:rPr>
              <w:t>0.592**</w:t>
            </w:r>
          </w:p>
        </w:tc>
        <w:tc>
          <w:tcPr>
            <w:tcW w:w="969" w:type="dxa"/>
            <w:gridSpan w:val="2"/>
            <w:vAlign w:val="bottom"/>
          </w:tcPr>
          <w:p w14:paraId="22A2A648" w14:textId="77777777" w:rsidR="00E61CF3" w:rsidRPr="000E04E2" w:rsidRDefault="00E61CF3" w:rsidP="00380D78">
            <w:pPr>
              <w:rPr>
                <w:highlight w:val="yellow"/>
              </w:rPr>
            </w:pPr>
            <w:r w:rsidRPr="000E04E2">
              <w:rPr>
                <w:highlight w:val="yellow"/>
              </w:rPr>
              <w:t>0.106</w:t>
            </w:r>
          </w:p>
        </w:tc>
        <w:tc>
          <w:tcPr>
            <w:tcW w:w="1015" w:type="dxa"/>
            <w:vAlign w:val="bottom"/>
          </w:tcPr>
          <w:p w14:paraId="54D1D4FF" w14:textId="77777777" w:rsidR="00E61CF3" w:rsidRPr="000E04E2" w:rsidRDefault="00E61CF3" w:rsidP="00380D78">
            <w:pPr>
              <w:rPr>
                <w:highlight w:val="yellow"/>
              </w:rPr>
            </w:pPr>
            <w:r w:rsidRPr="000E04E2">
              <w:rPr>
                <w:highlight w:val="yellow"/>
              </w:rPr>
              <w:t>0.661**</w:t>
            </w:r>
          </w:p>
        </w:tc>
        <w:tc>
          <w:tcPr>
            <w:tcW w:w="959" w:type="dxa"/>
            <w:vAlign w:val="bottom"/>
          </w:tcPr>
          <w:p w14:paraId="10E5275C" w14:textId="77777777" w:rsidR="00E61CF3" w:rsidRPr="000E04E2" w:rsidRDefault="00E61CF3" w:rsidP="00380D78">
            <w:pPr>
              <w:rPr>
                <w:highlight w:val="yellow"/>
              </w:rPr>
            </w:pPr>
            <w:r w:rsidRPr="000E04E2">
              <w:rPr>
                <w:highlight w:val="yellow"/>
              </w:rPr>
              <w:t>0.112</w:t>
            </w:r>
          </w:p>
        </w:tc>
        <w:tc>
          <w:tcPr>
            <w:tcW w:w="1026" w:type="dxa"/>
            <w:vAlign w:val="bottom"/>
          </w:tcPr>
          <w:p w14:paraId="4223BD67" w14:textId="77777777" w:rsidR="00E61CF3" w:rsidRPr="000E04E2" w:rsidRDefault="00E61CF3" w:rsidP="00380D78">
            <w:pPr>
              <w:rPr>
                <w:highlight w:val="yellow"/>
              </w:rPr>
            </w:pPr>
            <w:r w:rsidRPr="000E04E2">
              <w:rPr>
                <w:highlight w:val="yellow"/>
              </w:rPr>
              <w:t>0.739**</w:t>
            </w:r>
          </w:p>
        </w:tc>
        <w:tc>
          <w:tcPr>
            <w:tcW w:w="992" w:type="dxa"/>
            <w:vAlign w:val="bottom"/>
          </w:tcPr>
          <w:p w14:paraId="7025EF1B" w14:textId="77777777" w:rsidR="00E61CF3" w:rsidRPr="000E04E2" w:rsidRDefault="00E61CF3" w:rsidP="00380D78">
            <w:pPr>
              <w:rPr>
                <w:highlight w:val="yellow"/>
              </w:rPr>
            </w:pPr>
            <w:r w:rsidRPr="000E04E2">
              <w:rPr>
                <w:highlight w:val="yellow"/>
              </w:rPr>
              <w:t>0.128</w:t>
            </w:r>
          </w:p>
        </w:tc>
        <w:tc>
          <w:tcPr>
            <w:tcW w:w="1134" w:type="dxa"/>
            <w:vAlign w:val="bottom"/>
          </w:tcPr>
          <w:p w14:paraId="7A52E514" w14:textId="77777777" w:rsidR="00E61CF3" w:rsidRPr="000E04E2" w:rsidRDefault="00E61CF3" w:rsidP="00380D78">
            <w:pPr>
              <w:rPr>
                <w:highlight w:val="yellow"/>
              </w:rPr>
            </w:pPr>
            <w:r w:rsidRPr="000E04E2">
              <w:rPr>
                <w:highlight w:val="yellow"/>
              </w:rPr>
              <w:t>0.619**</w:t>
            </w:r>
          </w:p>
        </w:tc>
        <w:tc>
          <w:tcPr>
            <w:tcW w:w="992" w:type="dxa"/>
            <w:vAlign w:val="bottom"/>
          </w:tcPr>
          <w:p w14:paraId="592B1D49" w14:textId="77777777" w:rsidR="00E61CF3" w:rsidRPr="000E04E2" w:rsidRDefault="00E61CF3" w:rsidP="00380D78">
            <w:pPr>
              <w:rPr>
                <w:highlight w:val="yellow"/>
              </w:rPr>
            </w:pPr>
            <w:r w:rsidRPr="000E04E2">
              <w:rPr>
                <w:highlight w:val="yellow"/>
              </w:rPr>
              <w:t>0.113</w:t>
            </w:r>
          </w:p>
        </w:tc>
      </w:tr>
      <w:tr w:rsidR="00E61CF3" w:rsidRPr="000E04E2" w14:paraId="58CC291E" w14:textId="77777777" w:rsidTr="00380D78">
        <w:tc>
          <w:tcPr>
            <w:tcW w:w="2544" w:type="dxa"/>
          </w:tcPr>
          <w:p w14:paraId="76A72EF3" w14:textId="77777777" w:rsidR="00E61CF3" w:rsidRPr="000E04E2" w:rsidRDefault="00E61CF3" w:rsidP="00380D78">
            <w:pPr>
              <w:rPr>
                <w:highlight w:val="yellow"/>
              </w:rPr>
            </w:pPr>
            <w:r w:rsidRPr="000E04E2">
              <w:rPr>
                <w:highlight w:val="yellow"/>
              </w:rPr>
              <w:t>Total income/10000</w:t>
            </w:r>
          </w:p>
        </w:tc>
        <w:tc>
          <w:tcPr>
            <w:tcW w:w="997" w:type="dxa"/>
          </w:tcPr>
          <w:p w14:paraId="06C123EE" w14:textId="77777777" w:rsidR="00E61CF3" w:rsidRPr="000E04E2" w:rsidRDefault="00E61CF3" w:rsidP="00380D78">
            <w:pPr>
              <w:rPr>
                <w:highlight w:val="yellow"/>
              </w:rPr>
            </w:pPr>
            <w:r w:rsidRPr="000E04E2">
              <w:rPr>
                <w:highlight w:val="yellow"/>
              </w:rPr>
              <w:t>2.421*</w:t>
            </w:r>
          </w:p>
        </w:tc>
        <w:tc>
          <w:tcPr>
            <w:tcW w:w="956" w:type="dxa"/>
          </w:tcPr>
          <w:p w14:paraId="3A8C1A7B" w14:textId="77777777" w:rsidR="00E61CF3" w:rsidRPr="000E04E2" w:rsidRDefault="00E61CF3" w:rsidP="00380D78">
            <w:pPr>
              <w:rPr>
                <w:highlight w:val="yellow"/>
              </w:rPr>
            </w:pPr>
            <w:r w:rsidRPr="000E04E2">
              <w:rPr>
                <w:highlight w:val="yellow"/>
              </w:rPr>
              <w:t>1.055</w:t>
            </w:r>
          </w:p>
        </w:tc>
        <w:tc>
          <w:tcPr>
            <w:tcW w:w="1032" w:type="dxa"/>
            <w:vAlign w:val="bottom"/>
          </w:tcPr>
          <w:p w14:paraId="2BE0C34A" w14:textId="77777777" w:rsidR="00E61CF3" w:rsidRPr="000E04E2" w:rsidRDefault="00E61CF3" w:rsidP="00380D78">
            <w:pPr>
              <w:rPr>
                <w:highlight w:val="yellow"/>
              </w:rPr>
            </w:pPr>
            <w:r w:rsidRPr="000E04E2">
              <w:rPr>
                <w:highlight w:val="yellow"/>
              </w:rPr>
              <w:t>4.644**</w:t>
            </w:r>
          </w:p>
        </w:tc>
        <w:tc>
          <w:tcPr>
            <w:tcW w:w="969" w:type="dxa"/>
            <w:gridSpan w:val="2"/>
          </w:tcPr>
          <w:p w14:paraId="68B0C938" w14:textId="77777777" w:rsidR="00E61CF3" w:rsidRPr="000E04E2" w:rsidRDefault="00E61CF3" w:rsidP="00380D78">
            <w:pPr>
              <w:rPr>
                <w:highlight w:val="yellow"/>
              </w:rPr>
            </w:pPr>
            <w:r w:rsidRPr="000E04E2">
              <w:rPr>
                <w:highlight w:val="yellow"/>
              </w:rPr>
              <w:t>0.876</w:t>
            </w:r>
          </w:p>
        </w:tc>
        <w:tc>
          <w:tcPr>
            <w:tcW w:w="1015" w:type="dxa"/>
          </w:tcPr>
          <w:p w14:paraId="6124534A" w14:textId="77777777" w:rsidR="00E61CF3" w:rsidRPr="000E04E2" w:rsidRDefault="00E61CF3" w:rsidP="00380D78">
            <w:pPr>
              <w:rPr>
                <w:highlight w:val="yellow"/>
              </w:rPr>
            </w:pPr>
            <w:r w:rsidRPr="000E04E2">
              <w:rPr>
                <w:highlight w:val="yellow"/>
              </w:rPr>
              <w:t>0.217</w:t>
            </w:r>
          </w:p>
        </w:tc>
        <w:tc>
          <w:tcPr>
            <w:tcW w:w="959" w:type="dxa"/>
          </w:tcPr>
          <w:p w14:paraId="499C37F1" w14:textId="77777777" w:rsidR="00E61CF3" w:rsidRPr="000E04E2" w:rsidRDefault="00E61CF3" w:rsidP="00380D78">
            <w:pPr>
              <w:rPr>
                <w:highlight w:val="yellow"/>
              </w:rPr>
            </w:pPr>
            <w:r w:rsidRPr="000E04E2">
              <w:rPr>
                <w:highlight w:val="yellow"/>
              </w:rPr>
              <w:t>0.901</w:t>
            </w:r>
          </w:p>
        </w:tc>
        <w:tc>
          <w:tcPr>
            <w:tcW w:w="1026" w:type="dxa"/>
            <w:vAlign w:val="bottom"/>
          </w:tcPr>
          <w:p w14:paraId="091AEE46" w14:textId="77777777" w:rsidR="00E61CF3" w:rsidRPr="000E04E2" w:rsidRDefault="00E61CF3" w:rsidP="00380D78">
            <w:pPr>
              <w:rPr>
                <w:highlight w:val="yellow"/>
              </w:rPr>
            </w:pPr>
            <w:r w:rsidRPr="000E04E2">
              <w:rPr>
                <w:highlight w:val="yellow"/>
              </w:rPr>
              <w:t>-0.043</w:t>
            </w:r>
          </w:p>
        </w:tc>
        <w:tc>
          <w:tcPr>
            <w:tcW w:w="992" w:type="dxa"/>
          </w:tcPr>
          <w:p w14:paraId="69339F1C" w14:textId="77777777" w:rsidR="00E61CF3" w:rsidRPr="000E04E2" w:rsidRDefault="00E61CF3" w:rsidP="00380D78">
            <w:pPr>
              <w:rPr>
                <w:highlight w:val="yellow"/>
              </w:rPr>
            </w:pPr>
            <w:r w:rsidRPr="000E04E2">
              <w:rPr>
                <w:highlight w:val="yellow"/>
              </w:rPr>
              <w:t>1.051</w:t>
            </w:r>
          </w:p>
        </w:tc>
        <w:tc>
          <w:tcPr>
            <w:tcW w:w="1134" w:type="dxa"/>
          </w:tcPr>
          <w:p w14:paraId="7C6BF166" w14:textId="77777777" w:rsidR="00E61CF3" w:rsidRPr="000E04E2" w:rsidRDefault="00E61CF3" w:rsidP="00380D78">
            <w:pPr>
              <w:rPr>
                <w:highlight w:val="yellow"/>
              </w:rPr>
            </w:pPr>
            <w:r w:rsidRPr="000E04E2">
              <w:rPr>
                <w:highlight w:val="yellow"/>
              </w:rPr>
              <w:t>5.691**</w:t>
            </w:r>
          </w:p>
        </w:tc>
        <w:tc>
          <w:tcPr>
            <w:tcW w:w="992" w:type="dxa"/>
          </w:tcPr>
          <w:p w14:paraId="5418DC66" w14:textId="77777777" w:rsidR="00E61CF3" w:rsidRPr="000E04E2" w:rsidRDefault="00E61CF3" w:rsidP="00380D78">
            <w:pPr>
              <w:rPr>
                <w:highlight w:val="yellow"/>
              </w:rPr>
            </w:pPr>
            <w:r w:rsidRPr="000E04E2">
              <w:rPr>
                <w:highlight w:val="yellow"/>
              </w:rPr>
              <w:t>0.909</w:t>
            </w:r>
          </w:p>
        </w:tc>
      </w:tr>
      <w:tr w:rsidR="00E61CF3" w:rsidRPr="000E04E2" w14:paraId="2A872986" w14:textId="77777777" w:rsidTr="00380D78">
        <w:tc>
          <w:tcPr>
            <w:tcW w:w="2544" w:type="dxa"/>
          </w:tcPr>
          <w:p w14:paraId="2B524B9A" w14:textId="77777777" w:rsidR="00E61CF3" w:rsidRPr="000E04E2" w:rsidRDefault="00E61CF3" w:rsidP="00380D78">
            <w:pPr>
              <w:rPr>
                <w:highlight w:val="yellow"/>
              </w:rPr>
            </w:pPr>
          </w:p>
        </w:tc>
        <w:tc>
          <w:tcPr>
            <w:tcW w:w="997" w:type="dxa"/>
          </w:tcPr>
          <w:p w14:paraId="0F2B1569" w14:textId="77777777" w:rsidR="00E61CF3" w:rsidRPr="000E04E2" w:rsidRDefault="00E61CF3" w:rsidP="00380D78">
            <w:pPr>
              <w:rPr>
                <w:highlight w:val="yellow"/>
              </w:rPr>
            </w:pPr>
          </w:p>
        </w:tc>
        <w:tc>
          <w:tcPr>
            <w:tcW w:w="956" w:type="dxa"/>
          </w:tcPr>
          <w:p w14:paraId="02E1150C" w14:textId="77777777" w:rsidR="00E61CF3" w:rsidRPr="000E04E2" w:rsidRDefault="00E61CF3" w:rsidP="00380D78">
            <w:pPr>
              <w:rPr>
                <w:highlight w:val="yellow"/>
              </w:rPr>
            </w:pPr>
          </w:p>
        </w:tc>
        <w:tc>
          <w:tcPr>
            <w:tcW w:w="1032" w:type="dxa"/>
          </w:tcPr>
          <w:p w14:paraId="0FF10DCE" w14:textId="77777777" w:rsidR="00E61CF3" w:rsidRPr="000E04E2" w:rsidRDefault="00E61CF3" w:rsidP="00380D78">
            <w:pPr>
              <w:rPr>
                <w:highlight w:val="yellow"/>
              </w:rPr>
            </w:pPr>
          </w:p>
        </w:tc>
        <w:tc>
          <w:tcPr>
            <w:tcW w:w="969" w:type="dxa"/>
            <w:gridSpan w:val="2"/>
          </w:tcPr>
          <w:p w14:paraId="2DAB6444" w14:textId="77777777" w:rsidR="00E61CF3" w:rsidRPr="000E04E2" w:rsidRDefault="00E61CF3" w:rsidP="00380D78">
            <w:pPr>
              <w:rPr>
                <w:highlight w:val="yellow"/>
              </w:rPr>
            </w:pPr>
          </w:p>
        </w:tc>
        <w:tc>
          <w:tcPr>
            <w:tcW w:w="1015" w:type="dxa"/>
          </w:tcPr>
          <w:p w14:paraId="233259AD" w14:textId="77777777" w:rsidR="00E61CF3" w:rsidRPr="000E04E2" w:rsidRDefault="00E61CF3" w:rsidP="00380D78">
            <w:pPr>
              <w:rPr>
                <w:highlight w:val="yellow"/>
              </w:rPr>
            </w:pPr>
          </w:p>
        </w:tc>
        <w:tc>
          <w:tcPr>
            <w:tcW w:w="959" w:type="dxa"/>
          </w:tcPr>
          <w:p w14:paraId="5DA6F493" w14:textId="77777777" w:rsidR="00E61CF3" w:rsidRPr="000E04E2" w:rsidRDefault="00E61CF3" w:rsidP="00380D78">
            <w:pPr>
              <w:rPr>
                <w:highlight w:val="yellow"/>
              </w:rPr>
            </w:pPr>
          </w:p>
        </w:tc>
        <w:tc>
          <w:tcPr>
            <w:tcW w:w="1026" w:type="dxa"/>
          </w:tcPr>
          <w:p w14:paraId="6901841E" w14:textId="77777777" w:rsidR="00E61CF3" w:rsidRPr="000E04E2" w:rsidRDefault="00E61CF3" w:rsidP="00380D78">
            <w:pPr>
              <w:rPr>
                <w:highlight w:val="yellow"/>
              </w:rPr>
            </w:pPr>
          </w:p>
        </w:tc>
        <w:tc>
          <w:tcPr>
            <w:tcW w:w="992" w:type="dxa"/>
          </w:tcPr>
          <w:p w14:paraId="7A364F22" w14:textId="77777777" w:rsidR="00E61CF3" w:rsidRPr="000E04E2" w:rsidRDefault="00E61CF3" w:rsidP="00380D78">
            <w:pPr>
              <w:rPr>
                <w:highlight w:val="yellow"/>
              </w:rPr>
            </w:pPr>
          </w:p>
        </w:tc>
        <w:tc>
          <w:tcPr>
            <w:tcW w:w="1134" w:type="dxa"/>
          </w:tcPr>
          <w:p w14:paraId="1086BC32" w14:textId="77777777" w:rsidR="00E61CF3" w:rsidRPr="000E04E2" w:rsidRDefault="00E61CF3" w:rsidP="00380D78">
            <w:pPr>
              <w:rPr>
                <w:highlight w:val="yellow"/>
              </w:rPr>
            </w:pPr>
          </w:p>
        </w:tc>
        <w:tc>
          <w:tcPr>
            <w:tcW w:w="992" w:type="dxa"/>
          </w:tcPr>
          <w:p w14:paraId="1BEE92EC" w14:textId="77777777" w:rsidR="00E61CF3" w:rsidRPr="000E04E2" w:rsidRDefault="00E61CF3" w:rsidP="00380D78">
            <w:pPr>
              <w:rPr>
                <w:highlight w:val="yellow"/>
              </w:rPr>
            </w:pPr>
          </w:p>
        </w:tc>
      </w:tr>
      <w:tr w:rsidR="00E61CF3" w:rsidRPr="000E04E2" w14:paraId="65E4F62E" w14:textId="77777777" w:rsidTr="00380D78">
        <w:tc>
          <w:tcPr>
            <w:tcW w:w="2544" w:type="dxa"/>
          </w:tcPr>
          <w:p w14:paraId="1E50BF97" w14:textId="77777777" w:rsidR="00E61CF3" w:rsidRPr="000E04E2" w:rsidRDefault="00E61CF3" w:rsidP="00380D78">
            <w:pPr>
              <w:rPr>
                <w:b/>
                <w:i/>
                <w:highlight w:val="yellow"/>
              </w:rPr>
            </w:pPr>
            <w:r w:rsidRPr="000E04E2">
              <w:rPr>
                <w:b/>
                <w:i/>
                <w:highlight w:val="yellow"/>
              </w:rPr>
              <w:t>School gain</w:t>
            </w:r>
          </w:p>
        </w:tc>
        <w:tc>
          <w:tcPr>
            <w:tcW w:w="997" w:type="dxa"/>
            <w:vAlign w:val="bottom"/>
          </w:tcPr>
          <w:p w14:paraId="1AD2C964" w14:textId="77777777" w:rsidR="00E61CF3" w:rsidRPr="000E04E2" w:rsidRDefault="00E61CF3" w:rsidP="00380D78">
            <w:pPr>
              <w:rPr>
                <w:highlight w:val="yellow"/>
              </w:rPr>
            </w:pPr>
            <w:r w:rsidRPr="000E04E2">
              <w:rPr>
                <w:highlight w:val="yellow"/>
              </w:rPr>
              <w:t>0.327**</w:t>
            </w:r>
          </w:p>
        </w:tc>
        <w:tc>
          <w:tcPr>
            <w:tcW w:w="956" w:type="dxa"/>
            <w:vAlign w:val="center"/>
          </w:tcPr>
          <w:p w14:paraId="2384CA63" w14:textId="77777777" w:rsidR="00E61CF3" w:rsidRPr="000E04E2" w:rsidRDefault="00E61CF3" w:rsidP="00380D78">
            <w:pPr>
              <w:rPr>
                <w:highlight w:val="yellow"/>
              </w:rPr>
            </w:pPr>
            <w:r w:rsidRPr="000E04E2">
              <w:rPr>
                <w:highlight w:val="yellow"/>
              </w:rPr>
              <w:t>0.008</w:t>
            </w:r>
          </w:p>
        </w:tc>
        <w:tc>
          <w:tcPr>
            <w:tcW w:w="1032" w:type="dxa"/>
          </w:tcPr>
          <w:p w14:paraId="3854EF43" w14:textId="77777777" w:rsidR="00E61CF3" w:rsidRPr="000E04E2" w:rsidRDefault="00E61CF3" w:rsidP="00380D78">
            <w:pPr>
              <w:rPr>
                <w:highlight w:val="yellow"/>
              </w:rPr>
            </w:pPr>
            <w:r w:rsidRPr="000E04E2">
              <w:rPr>
                <w:highlight w:val="yellow"/>
              </w:rPr>
              <w:t>0.317**</w:t>
            </w:r>
          </w:p>
        </w:tc>
        <w:tc>
          <w:tcPr>
            <w:tcW w:w="969" w:type="dxa"/>
            <w:gridSpan w:val="2"/>
          </w:tcPr>
          <w:p w14:paraId="2D6BB921" w14:textId="77777777" w:rsidR="00E61CF3" w:rsidRPr="000E04E2" w:rsidRDefault="00E61CF3" w:rsidP="00380D78">
            <w:pPr>
              <w:rPr>
                <w:highlight w:val="yellow"/>
              </w:rPr>
            </w:pPr>
            <w:r w:rsidRPr="000E04E2">
              <w:rPr>
                <w:highlight w:val="yellow"/>
              </w:rPr>
              <w:t>0.008</w:t>
            </w:r>
          </w:p>
        </w:tc>
        <w:tc>
          <w:tcPr>
            <w:tcW w:w="1015" w:type="dxa"/>
            <w:vAlign w:val="center"/>
          </w:tcPr>
          <w:p w14:paraId="18A9EE06" w14:textId="77777777" w:rsidR="00E61CF3" w:rsidRPr="000E04E2" w:rsidRDefault="00E61CF3" w:rsidP="00380D78">
            <w:pPr>
              <w:rPr>
                <w:highlight w:val="yellow"/>
              </w:rPr>
            </w:pPr>
            <w:r w:rsidRPr="000E04E2">
              <w:rPr>
                <w:highlight w:val="yellow"/>
              </w:rPr>
              <w:t>0.333**</w:t>
            </w:r>
          </w:p>
        </w:tc>
        <w:tc>
          <w:tcPr>
            <w:tcW w:w="959" w:type="dxa"/>
            <w:vAlign w:val="center"/>
          </w:tcPr>
          <w:p w14:paraId="4A1D1726" w14:textId="77777777" w:rsidR="00E61CF3" w:rsidRPr="000E04E2" w:rsidRDefault="00E61CF3" w:rsidP="00380D78">
            <w:pPr>
              <w:rPr>
                <w:highlight w:val="yellow"/>
              </w:rPr>
            </w:pPr>
            <w:r w:rsidRPr="000E04E2">
              <w:rPr>
                <w:highlight w:val="yellow"/>
              </w:rPr>
              <w:t>0.009</w:t>
            </w:r>
          </w:p>
        </w:tc>
        <w:tc>
          <w:tcPr>
            <w:tcW w:w="1026" w:type="dxa"/>
            <w:vAlign w:val="center"/>
          </w:tcPr>
          <w:p w14:paraId="590DE4C5" w14:textId="77777777" w:rsidR="00E61CF3" w:rsidRPr="000E04E2" w:rsidRDefault="00E61CF3" w:rsidP="00380D78">
            <w:pPr>
              <w:rPr>
                <w:highlight w:val="yellow"/>
              </w:rPr>
            </w:pPr>
            <w:r w:rsidRPr="000E04E2">
              <w:rPr>
                <w:highlight w:val="yellow"/>
              </w:rPr>
              <w:t>0.439**</w:t>
            </w:r>
          </w:p>
        </w:tc>
        <w:tc>
          <w:tcPr>
            <w:tcW w:w="992" w:type="dxa"/>
            <w:vAlign w:val="center"/>
          </w:tcPr>
          <w:p w14:paraId="050E3CDA" w14:textId="77777777" w:rsidR="00E61CF3" w:rsidRPr="000E04E2" w:rsidRDefault="00E61CF3" w:rsidP="00380D78">
            <w:pPr>
              <w:rPr>
                <w:highlight w:val="yellow"/>
              </w:rPr>
            </w:pPr>
            <w:r w:rsidRPr="000E04E2">
              <w:rPr>
                <w:highlight w:val="yellow"/>
              </w:rPr>
              <w:t>0.007</w:t>
            </w:r>
          </w:p>
        </w:tc>
        <w:tc>
          <w:tcPr>
            <w:tcW w:w="1134" w:type="dxa"/>
            <w:vAlign w:val="center"/>
          </w:tcPr>
          <w:p w14:paraId="0E411E29" w14:textId="77777777" w:rsidR="00E61CF3" w:rsidRPr="000E04E2" w:rsidRDefault="00E61CF3" w:rsidP="00380D78">
            <w:pPr>
              <w:rPr>
                <w:highlight w:val="yellow"/>
              </w:rPr>
            </w:pPr>
            <w:r w:rsidRPr="000E04E2">
              <w:rPr>
                <w:highlight w:val="yellow"/>
              </w:rPr>
              <w:t>0.394**</w:t>
            </w:r>
          </w:p>
        </w:tc>
        <w:tc>
          <w:tcPr>
            <w:tcW w:w="992" w:type="dxa"/>
            <w:vAlign w:val="center"/>
          </w:tcPr>
          <w:p w14:paraId="732ECFC0" w14:textId="77777777" w:rsidR="00E61CF3" w:rsidRPr="000E04E2" w:rsidRDefault="00E61CF3" w:rsidP="00380D78">
            <w:pPr>
              <w:rPr>
                <w:highlight w:val="yellow"/>
              </w:rPr>
            </w:pPr>
            <w:r w:rsidRPr="000E04E2">
              <w:rPr>
                <w:highlight w:val="yellow"/>
              </w:rPr>
              <w:t>0.009</w:t>
            </w:r>
          </w:p>
        </w:tc>
      </w:tr>
      <w:tr w:rsidR="00E61CF3" w:rsidRPr="000E04E2" w14:paraId="01DCEFF4" w14:textId="77777777" w:rsidTr="00380D78">
        <w:tc>
          <w:tcPr>
            <w:tcW w:w="2544" w:type="dxa"/>
          </w:tcPr>
          <w:p w14:paraId="1BC51F40" w14:textId="77777777" w:rsidR="00E61CF3" w:rsidRPr="000E04E2" w:rsidRDefault="00E61CF3" w:rsidP="00380D78">
            <w:pPr>
              <w:rPr>
                <w:highlight w:val="yellow"/>
              </w:rPr>
            </w:pPr>
          </w:p>
        </w:tc>
        <w:tc>
          <w:tcPr>
            <w:tcW w:w="997" w:type="dxa"/>
          </w:tcPr>
          <w:p w14:paraId="744C9A3C" w14:textId="77777777" w:rsidR="00E61CF3" w:rsidRPr="000E04E2" w:rsidRDefault="00E61CF3" w:rsidP="00380D78">
            <w:pPr>
              <w:rPr>
                <w:highlight w:val="yellow"/>
              </w:rPr>
            </w:pPr>
          </w:p>
        </w:tc>
        <w:tc>
          <w:tcPr>
            <w:tcW w:w="956" w:type="dxa"/>
          </w:tcPr>
          <w:p w14:paraId="39C5F4A5" w14:textId="77777777" w:rsidR="00E61CF3" w:rsidRPr="000E04E2" w:rsidRDefault="00E61CF3" w:rsidP="00380D78">
            <w:pPr>
              <w:rPr>
                <w:highlight w:val="yellow"/>
              </w:rPr>
            </w:pPr>
          </w:p>
        </w:tc>
        <w:tc>
          <w:tcPr>
            <w:tcW w:w="1032" w:type="dxa"/>
          </w:tcPr>
          <w:p w14:paraId="7A4739BA" w14:textId="77777777" w:rsidR="00E61CF3" w:rsidRPr="000E04E2" w:rsidRDefault="00E61CF3" w:rsidP="00380D78">
            <w:pPr>
              <w:rPr>
                <w:highlight w:val="yellow"/>
              </w:rPr>
            </w:pPr>
          </w:p>
        </w:tc>
        <w:tc>
          <w:tcPr>
            <w:tcW w:w="969" w:type="dxa"/>
            <w:gridSpan w:val="2"/>
          </w:tcPr>
          <w:p w14:paraId="197E81F8" w14:textId="77777777" w:rsidR="00E61CF3" w:rsidRPr="000E04E2" w:rsidRDefault="00E61CF3" w:rsidP="00380D78">
            <w:pPr>
              <w:rPr>
                <w:highlight w:val="yellow"/>
              </w:rPr>
            </w:pPr>
          </w:p>
        </w:tc>
        <w:tc>
          <w:tcPr>
            <w:tcW w:w="1015" w:type="dxa"/>
          </w:tcPr>
          <w:p w14:paraId="254CC210" w14:textId="77777777" w:rsidR="00E61CF3" w:rsidRPr="000E04E2" w:rsidRDefault="00E61CF3" w:rsidP="00380D78">
            <w:pPr>
              <w:rPr>
                <w:highlight w:val="yellow"/>
              </w:rPr>
            </w:pPr>
          </w:p>
        </w:tc>
        <w:tc>
          <w:tcPr>
            <w:tcW w:w="959" w:type="dxa"/>
          </w:tcPr>
          <w:p w14:paraId="0CBDB7C8" w14:textId="77777777" w:rsidR="00E61CF3" w:rsidRPr="000E04E2" w:rsidRDefault="00E61CF3" w:rsidP="00380D78">
            <w:pPr>
              <w:rPr>
                <w:highlight w:val="yellow"/>
              </w:rPr>
            </w:pPr>
          </w:p>
        </w:tc>
        <w:tc>
          <w:tcPr>
            <w:tcW w:w="1026" w:type="dxa"/>
          </w:tcPr>
          <w:p w14:paraId="65403092" w14:textId="77777777" w:rsidR="00E61CF3" w:rsidRPr="000E04E2" w:rsidRDefault="00E61CF3" w:rsidP="00380D78">
            <w:pPr>
              <w:rPr>
                <w:highlight w:val="yellow"/>
              </w:rPr>
            </w:pPr>
          </w:p>
        </w:tc>
        <w:tc>
          <w:tcPr>
            <w:tcW w:w="992" w:type="dxa"/>
          </w:tcPr>
          <w:p w14:paraId="6A9444BA" w14:textId="77777777" w:rsidR="00E61CF3" w:rsidRPr="000E04E2" w:rsidRDefault="00E61CF3" w:rsidP="00380D78">
            <w:pPr>
              <w:rPr>
                <w:highlight w:val="yellow"/>
              </w:rPr>
            </w:pPr>
          </w:p>
        </w:tc>
        <w:tc>
          <w:tcPr>
            <w:tcW w:w="1134" w:type="dxa"/>
          </w:tcPr>
          <w:p w14:paraId="551D7ECB" w14:textId="77777777" w:rsidR="00E61CF3" w:rsidRPr="000E04E2" w:rsidRDefault="00E61CF3" w:rsidP="00380D78">
            <w:pPr>
              <w:rPr>
                <w:highlight w:val="yellow"/>
              </w:rPr>
            </w:pPr>
          </w:p>
        </w:tc>
        <w:tc>
          <w:tcPr>
            <w:tcW w:w="992" w:type="dxa"/>
          </w:tcPr>
          <w:p w14:paraId="679608D0" w14:textId="77777777" w:rsidR="00E61CF3" w:rsidRPr="000E04E2" w:rsidRDefault="00E61CF3" w:rsidP="00380D78">
            <w:pPr>
              <w:rPr>
                <w:highlight w:val="yellow"/>
              </w:rPr>
            </w:pPr>
          </w:p>
        </w:tc>
      </w:tr>
      <w:tr w:rsidR="00E61CF3" w:rsidRPr="000E04E2" w14:paraId="4AF67DFA" w14:textId="77777777" w:rsidTr="00380D78">
        <w:tc>
          <w:tcPr>
            <w:tcW w:w="2544" w:type="dxa"/>
          </w:tcPr>
          <w:p w14:paraId="13EE15B2" w14:textId="77777777" w:rsidR="00E61CF3" w:rsidRPr="000E04E2" w:rsidRDefault="00E61CF3" w:rsidP="00380D78">
            <w:pPr>
              <w:rPr>
                <w:highlight w:val="yellow"/>
              </w:rPr>
            </w:pPr>
            <w:r w:rsidRPr="000E04E2">
              <w:rPr>
                <w:highlight w:val="yellow"/>
              </w:rPr>
              <w:t>Additional controls</w:t>
            </w:r>
          </w:p>
        </w:tc>
        <w:tc>
          <w:tcPr>
            <w:tcW w:w="997" w:type="dxa"/>
          </w:tcPr>
          <w:p w14:paraId="2FC30E08" w14:textId="77777777" w:rsidR="00E61CF3" w:rsidRPr="000E04E2" w:rsidRDefault="00E61CF3" w:rsidP="00380D78">
            <w:pPr>
              <w:rPr>
                <w:b/>
                <w:highlight w:val="yellow"/>
              </w:rPr>
            </w:pPr>
            <w:r w:rsidRPr="000E04E2">
              <w:rPr>
                <w:b/>
                <w:highlight w:val="yellow"/>
              </w:rPr>
              <w:t>YES</w:t>
            </w:r>
          </w:p>
        </w:tc>
        <w:tc>
          <w:tcPr>
            <w:tcW w:w="956" w:type="dxa"/>
          </w:tcPr>
          <w:p w14:paraId="68FE1482" w14:textId="77777777" w:rsidR="00E61CF3" w:rsidRPr="000E04E2" w:rsidRDefault="00E61CF3" w:rsidP="00380D78">
            <w:pPr>
              <w:rPr>
                <w:b/>
                <w:highlight w:val="yellow"/>
              </w:rPr>
            </w:pPr>
          </w:p>
        </w:tc>
        <w:tc>
          <w:tcPr>
            <w:tcW w:w="1032" w:type="dxa"/>
          </w:tcPr>
          <w:p w14:paraId="7665A3A1" w14:textId="77777777" w:rsidR="00E61CF3" w:rsidRPr="000E04E2" w:rsidRDefault="00E61CF3" w:rsidP="00380D78">
            <w:pPr>
              <w:rPr>
                <w:b/>
                <w:highlight w:val="yellow"/>
              </w:rPr>
            </w:pPr>
            <w:r w:rsidRPr="000E04E2">
              <w:rPr>
                <w:b/>
                <w:highlight w:val="yellow"/>
              </w:rPr>
              <w:t>YES</w:t>
            </w:r>
          </w:p>
        </w:tc>
        <w:tc>
          <w:tcPr>
            <w:tcW w:w="969" w:type="dxa"/>
            <w:gridSpan w:val="2"/>
          </w:tcPr>
          <w:p w14:paraId="3443409D" w14:textId="77777777" w:rsidR="00E61CF3" w:rsidRPr="000E04E2" w:rsidRDefault="00E61CF3" w:rsidP="00380D78">
            <w:pPr>
              <w:rPr>
                <w:b/>
                <w:highlight w:val="yellow"/>
              </w:rPr>
            </w:pPr>
          </w:p>
        </w:tc>
        <w:tc>
          <w:tcPr>
            <w:tcW w:w="1015" w:type="dxa"/>
          </w:tcPr>
          <w:p w14:paraId="13129AE2" w14:textId="77777777" w:rsidR="00E61CF3" w:rsidRPr="000E04E2" w:rsidRDefault="00E61CF3" w:rsidP="00380D78">
            <w:pPr>
              <w:rPr>
                <w:b/>
                <w:highlight w:val="yellow"/>
              </w:rPr>
            </w:pPr>
            <w:r w:rsidRPr="000E04E2">
              <w:rPr>
                <w:b/>
                <w:highlight w:val="yellow"/>
              </w:rPr>
              <w:t>YES</w:t>
            </w:r>
          </w:p>
        </w:tc>
        <w:tc>
          <w:tcPr>
            <w:tcW w:w="959" w:type="dxa"/>
          </w:tcPr>
          <w:p w14:paraId="4BCC8D64" w14:textId="77777777" w:rsidR="00E61CF3" w:rsidRPr="000E04E2" w:rsidRDefault="00E61CF3" w:rsidP="00380D78">
            <w:pPr>
              <w:rPr>
                <w:highlight w:val="yellow"/>
              </w:rPr>
            </w:pPr>
          </w:p>
        </w:tc>
        <w:tc>
          <w:tcPr>
            <w:tcW w:w="1026" w:type="dxa"/>
          </w:tcPr>
          <w:p w14:paraId="01592580" w14:textId="77777777" w:rsidR="00E61CF3" w:rsidRPr="000E04E2" w:rsidRDefault="00E61CF3" w:rsidP="00380D78">
            <w:pPr>
              <w:rPr>
                <w:highlight w:val="yellow"/>
              </w:rPr>
            </w:pPr>
            <w:r w:rsidRPr="000E04E2">
              <w:rPr>
                <w:b/>
                <w:highlight w:val="yellow"/>
              </w:rPr>
              <w:t>YES</w:t>
            </w:r>
          </w:p>
        </w:tc>
        <w:tc>
          <w:tcPr>
            <w:tcW w:w="992" w:type="dxa"/>
          </w:tcPr>
          <w:p w14:paraId="54004FC1" w14:textId="77777777" w:rsidR="00E61CF3" w:rsidRPr="000E04E2" w:rsidRDefault="00E61CF3" w:rsidP="00380D78">
            <w:pPr>
              <w:rPr>
                <w:highlight w:val="yellow"/>
              </w:rPr>
            </w:pPr>
          </w:p>
        </w:tc>
        <w:tc>
          <w:tcPr>
            <w:tcW w:w="1134" w:type="dxa"/>
          </w:tcPr>
          <w:p w14:paraId="2B00780E" w14:textId="77777777" w:rsidR="00E61CF3" w:rsidRPr="000E04E2" w:rsidRDefault="00E61CF3" w:rsidP="00380D78">
            <w:pPr>
              <w:rPr>
                <w:highlight w:val="yellow"/>
              </w:rPr>
            </w:pPr>
            <w:r w:rsidRPr="000E04E2">
              <w:rPr>
                <w:b/>
                <w:highlight w:val="yellow"/>
              </w:rPr>
              <w:t>YES</w:t>
            </w:r>
          </w:p>
        </w:tc>
        <w:tc>
          <w:tcPr>
            <w:tcW w:w="992" w:type="dxa"/>
          </w:tcPr>
          <w:p w14:paraId="4C0A8754" w14:textId="77777777" w:rsidR="00E61CF3" w:rsidRPr="000E04E2" w:rsidRDefault="00E61CF3" w:rsidP="00380D78">
            <w:pPr>
              <w:rPr>
                <w:highlight w:val="yellow"/>
              </w:rPr>
            </w:pPr>
          </w:p>
        </w:tc>
      </w:tr>
      <w:tr w:rsidR="00E61CF3" w:rsidRPr="000E04E2" w14:paraId="7427A540" w14:textId="77777777" w:rsidTr="00380D78">
        <w:tc>
          <w:tcPr>
            <w:tcW w:w="2544" w:type="dxa"/>
          </w:tcPr>
          <w:p w14:paraId="6D4BBF34" w14:textId="77777777" w:rsidR="00E61CF3" w:rsidRPr="000E04E2" w:rsidRDefault="00E61CF3" w:rsidP="00380D78">
            <w:pPr>
              <w:rPr>
                <w:highlight w:val="yellow"/>
              </w:rPr>
            </w:pPr>
            <w:r w:rsidRPr="000E04E2">
              <w:rPr>
                <w:highlight w:val="yellow"/>
              </w:rPr>
              <w:t>Constant</w:t>
            </w:r>
          </w:p>
        </w:tc>
        <w:tc>
          <w:tcPr>
            <w:tcW w:w="997" w:type="dxa"/>
            <w:vAlign w:val="center"/>
          </w:tcPr>
          <w:p w14:paraId="0DF31080" w14:textId="77777777" w:rsidR="00E61CF3" w:rsidRPr="000E04E2" w:rsidRDefault="00E61CF3" w:rsidP="00380D78">
            <w:pPr>
              <w:rPr>
                <w:highlight w:val="yellow"/>
              </w:rPr>
            </w:pPr>
            <w:r w:rsidRPr="000E04E2">
              <w:rPr>
                <w:highlight w:val="yellow"/>
              </w:rPr>
              <w:t>48.659**</w:t>
            </w:r>
          </w:p>
        </w:tc>
        <w:tc>
          <w:tcPr>
            <w:tcW w:w="956" w:type="dxa"/>
            <w:vAlign w:val="center"/>
          </w:tcPr>
          <w:p w14:paraId="40CCB379" w14:textId="77777777" w:rsidR="00E61CF3" w:rsidRPr="000E04E2" w:rsidRDefault="00E61CF3" w:rsidP="00380D78">
            <w:pPr>
              <w:rPr>
                <w:highlight w:val="yellow"/>
              </w:rPr>
            </w:pPr>
            <w:r w:rsidRPr="000E04E2">
              <w:rPr>
                <w:highlight w:val="yellow"/>
              </w:rPr>
              <w:t>6.120</w:t>
            </w:r>
          </w:p>
        </w:tc>
        <w:tc>
          <w:tcPr>
            <w:tcW w:w="1032" w:type="dxa"/>
          </w:tcPr>
          <w:p w14:paraId="080E12E9" w14:textId="77777777" w:rsidR="00E61CF3" w:rsidRPr="000E04E2" w:rsidRDefault="00E61CF3" w:rsidP="00380D78">
            <w:pPr>
              <w:rPr>
                <w:highlight w:val="yellow"/>
              </w:rPr>
            </w:pPr>
            <w:r w:rsidRPr="000E04E2">
              <w:rPr>
                <w:highlight w:val="yellow"/>
              </w:rPr>
              <w:t>75.586</w:t>
            </w:r>
          </w:p>
        </w:tc>
        <w:tc>
          <w:tcPr>
            <w:tcW w:w="969" w:type="dxa"/>
            <w:gridSpan w:val="2"/>
          </w:tcPr>
          <w:p w14:paraId="1EF821FA" w14:textId="77777777" w:rsidR="00E61CF3" w:rsidRPr="000E04E2" w:rsidRDefault="00E61CF3" w:rsidP="00380D78">
            <w:pPr>
              <w:rPr>
                <w:highlight w:val="yellow"/>
              </w:rPr>
            </w:pPr>
            <w:r w:rsidRPr="000E04E2">
              <w:rPr>
                <w:highlight w:val="yellow"/>
              </w:rPr>
              <w:t>6.077</w:t>
            </w:r>
          </w:p>
        </w:tc>
        <w:tc>
          <w:tcPr>
            <w:tcW w:w="1015" w:type="dxa"/>
            <w:vAlign w:val="center"/>
          </w:tcPr>
          <w:p w14:paraId="303C498A" w14:textId="77777777" w:rsidR="00E61CF3" w:rsidRPr="000E04E2" w:rsidRDefault="00E61CF3" w:rsidP="00380D78">
            <w:pPr>
              <w:rPr>
                <w:color w:val="000000"/>
                <w:szCs w:val="22"/>
                <w:highlight w:val="yellow"/>
              </w:rPr>
            </w:pPr>
            <w:r w:rsidRPr="000E04E2">
              <w:rPr>
                <w:highlight w:val="yellow"/>
              </w:rPr>
              <w:t>145.99**</w:t>
            </w:r>
          </w:p>
        </w:tc>
        <w:tc>
          <w:tcPr>
            <w:tcW w:w="959" w:type="dxa"/>
            <w:vAlign w:val="center"/>
          </w:tcPr>
          <w:p w14:paraId="13DE052F" w14:textId="77777777" w:rsidR="00E61CF3" w:rsidRPr="000E04E2" w:rsidRDefault="00E61CF3" w:rsidP="00380D78">
            <w:pPr>
              <w:rPr>
                <w:color w:val="000000"/>
                <w:szCs w:val="22"/>
                <w:highlight w:val="yellow"/>
              </w:rPr>
            </w:pPr>
            <w:r w:rsidRPr="000E04E2">
              <w:rPr>
                <w:highlight w:val="yellow"/>
              </w:rPr>
              <w:t>5.171</w:t>
            </w:r>
          </w:p>
        </w:tc>
        <w:tc>
          <w:tcPr>
            <w:tcW w:w="1026" w:type="dxa"/>
            <w:vAlign w:val="center"/>
          </w:tcPr>
          <w:p w14:paraId="47798B94" w14:textId="77777777" w:rsidR="00E61CF3" w:rsidRPr="000E04E2" w:rsidRDefault="00E61CF3" w:rsidP="00380D78">
            <w:pPr>
              <w:rPr>
                <w:color w:val="000000"/>
                <w:szCs w:val="22"/>
                <w:highlight w:val="yellow"/>
              </w:rPr>
            </w:pPr>
            <w:r w:rsidRPr="000E04E2">
              <w:rPr>
                <w:highlight w:val="yellow"/>
              </w:rPr>
              <w:t>118.82**</w:t>
            </w:r>
          </w:p>
        </w:tc>
        <w:tc>
          <w:tcPr>
            <w:tcW w:w="992" w:type="dxa"/>
            <w:vAlign w:val="center"/>
          </w:tcPr>
          <w:p w14:paraId="1CEC8CC0" w14:textId="77777777" w:rsidR="00E61CF3" w:rsidRPr="000E04E2" w:rsidRDefault="00E61CF3" w:rsidP="00380D78">
            <w:pPr>
              <w:rPr>
                <w:color w:val="000000"/>
                <w:szCs w:val="22"/>
                <w:highlight w:val="yellow"/>
              </w:rPr>
            </w:pPr>
            <w:r w:rsidRPr="000E04E2">
              <w:rPr>
                <w:highlight w:val="yellow"/>
              </w:rPr>
              <w:t>5.674</w:t>
            </w:r>
          </w:p>
        </w:tc>
        <w:tc>
          <w:tcPr>
            <w:tcW w:w="1134" w:type="dxa"/>
            <w:vAlign w:val="center"/>
          </w:tcPr>
          <w:p w14:paraId="39E06F60" w14:textId="77777777" w:rsidR="00E61CF3" w:rsidRPr="000E04E2" w:rsidRDefault="00E61CF3" w:rsidP="00380D78">
            <w:pPr>
              <w:rPr>
                <w:color w:val="000000"/>
                <w:szCs w:val="22"/>
                <w:highlight w:val="yellow"/>
              </w:rPr>
            </w:pPr>
            <w:r w:rsidRPr="000E04E2">
              <w:rPr>
                <w:highlight w:val="yellow"/>
              </w:rPr>
              <w:t>105.10**</w:t>
            </w:r>
          </w:p>
        </w:tc>
        <w:tc>
          <w:tcPr>
            <w:tcW w:w="992" w:type="dxa"/>
            <w:vAlign w:val="center"/>
          </w:tcPr>
          <w:p w14:paraId="721D969B" w14:textId="77777777" w:rsidR="00E61CF3" w:rsidRPr="000E04E2" w:rsidRDefault="00E61CF3" w:rsidP="00380D78">
            <w:pPr>
              <w:rPr>
                <w:color w:val="000000"/>
                <w:szCs w:val="22"/>
                <w:highlight w:val="yellow"/>
              </w:rPr>
            </w:pPr>
            <w:r w:rsidRPr="000E04E2">
              <w:rPr>
                <w:highlight w:val="yellow"/>
              </w:rPr>
              <w:t>4.925</w:t>
            </w:r>
          </w:p>
        </w:tc>
      </w:tr>
      <w:tr w:rsidR="00E61CF3" w:rsidRPr="000E04E2" w14:paraId="71C4EAD5" w14:textId="77777777" w:rsidTr="00380D78">
        <w:tc>
          <w:tcPr>
            <w:tcW w:w="2544" w:type="dxa"/>
          </w:tcPr>
          <w:p w14:paraId="2FFB8CA6" w14:textId="77777777" w:rsidR="00E61CF3" w:rsidRPr="000E04E2" w:rsidRDefault="00E61CF3" w:rsidP="00380D78">
            <w:pPr>
              <w:ind w:left="22"/>
              <w:rPr>
                <w:highlight w:val="yellow"/>
              </w:rPr>
            </w:pPr>
            <w:r w:rsidRPr="000E04E2">
              <w:rPr>
                <w:highlight w:val="yellow"/>
              </w:rPr>
              <w:t>Observations</w:t>
            </w:r>
          </w:p>
        </w:tc>
        <w:tc>
          <w:tcPr>
            <w:tcW w:w="997" w:type="dxa"/>
          </w:tcPr>
          <w:p w14:paraId="604F94A5" w14:textId="77777777" w:rsidR="00E61CF3" w:rsidRPr="000E04E2" w:rsidRDefault="00E61CF3" w:rsidP="00380D78">
            <w:pPr>
              <w:rPr>
                <w:highlight w:val="yellow"/>
              </w:rPr>
            </w:pPr>
            <w:r w:rsidRPr="000E04E2">
              <w:rPr>
                <w:highlight w:val="yellow"/>
              </w:rPr>
              <w:t>23,686</w:t>
            </w:r>
          </w:p>
        </w:tc>
        <w:tc>
          <w:tcPr>
            <w:tcW w:w="956" w:type="dxa"/>
          </w:tcPr>
          <w:p w14:paraId="68065DB3" w14:textId="77777777" w:rsidR="00E61CF3" w:rsidRPr="000E04E2" w:rsidRDefault="00E61CF3" w:rsidP="00380D78">
            <w:pPr>
              <w:rPr>
                <w:highlight w:val="yellow"/>
              </w:rPr>
            </w:pPr>
          </w:p>
        </w:tc>
        <w:tc>
          <w:tcPr>
            <w:tcW w:w="1032" w:type="dxa"/>
          </w:tcPr>
          <w:p w14:paraId="57457B1C" w14:textId="77777777" w:rsidR="00E61CF3" w:rsidRPr="000E04E2" w:rsidRDefault="00E61CF3" w:rsidP="00380D78">
            <w:pPr>
              <w:rPr>
                <w:highlight w:val="yellow"/>
              </w:rPr>
            </w:pPr>
            <w:r w:rsidRPr="000E04E2">
              <w:rPr>
                <w:highlight w:val="yellow"/>
              </w:rPr>
              <w:t>23,682</w:t>
            </w:r>
          </w:p>
        </w:tc>
        <w:tc>
          <w:tcPr>
            <w:tcW w:w="969" w:type="dxa"/>
            <w:gridSpan w:val="2"/>
          </w:tcPr>
          <w:p w14:paraId="1F90CE45" w14:textId="77777777" w:rsidR="00E61CF3" w:rsidRPr="000E04E2" w:rsidRDefault="00E61CF3" w:rsidP="00380D78">
            <w:pPr>
              <w:rPr>
                <w:highlight w:val="yellow"/>
              </w:rPr>
            </w:pPr>
          </w:p>
        </w:tc>
        <w:tc>
          <w:tcPr>
            <w:tcW w:w="1015" w:type="dxa"/>
          </w:tcPr>
          <w:p w14:paraId="1145F287" w14:textId="77777777" w:rsidR="00E61CF3" w:rsidRPr="000E04E2" w:rsidRDefault="00E61CF3" w:rsidP="00380D78">
            <w:pPr>
              <w:rPr>
                <w:highlight w:val="yellow"/>
              </w:rPr>
            </w:pPr>
            <w:r w:rsidRPr="000E04E2">
              <w:rPr>
                <w:highlight w:val="yellow"/>
              </w:rPr>
              <w:t>24,023</w:t>
            </w:r>
          </w:p>
        </w:tc>
        <w:tc>
          <w:tcPr>
            <w:tcW w:w="959" w:type="dxa"/>
          </w:tcPr>
          <w:p w14:paraId="4375E721" w14:textId="77777777" w:rsidR="00E61CF3" w:rsidRPr="000E04E2" w:rsidRDefault="00E61CF3" w:rsidP="00380D78">
            <w:pPr>
              <w:rPr>
                <w:highlight w:val="yellow"/>
              </w:rPr>
            </w:pPr>
          </w:p>
        </w:tc>
        <w:tc>
          <w:tcPr>
            <w:tcW w:w="1026" w:type="dxa"/>
          </w:tcPr>
          <w:p w14:paraId="1D30BEC6" w14:textId="77777777" w:rsidR="00E61CF3" w:rsidRPr="000E04E2" w:rsidRDefault="00E61CF3" w:rsidP="00380D78">
            <w:pPr>
              <w:rPr>
                <w:highlight w:val="yellow"/>
              </w:rPr>
            </w:pPr>
            <w:r w:rsidRPr="000E04E2">
              <w:rPr>
                <w:highlight w:val="yellow"/>
              </w:rPr>
              <w:t>23,997</w:t>
            </w:r>
          </w:p>
        </w:tc>
        <w:tc>
          <w:tcPr>
            <w:tcW w:w="992" w:type="dxa"/>
          </w:tcPr>
          <w:p w14:paraId="721366FA" w14:textId="77777777" w:rsidR="00E61CF3" w:rsidRPr="000E04E2" w:rsidRDefault="00E61CF3" w:rsidP="00380D78">
            <w:pPr>
              <w:rPr>
                <w:highlight w:val="yellow"/>
              </w:rPr>
            </w:pPr>
          </w:p>
        </w:tc>
        <w:tc>
          <w:tcPr>
            <w:tcW w:w="1134" w:type="dxa"/>
          </w:tcPr>
          <w:p w14:paraId="6D6275BC" w14:textId="77777777" w:rsidR="00E61CF3" w:rsidRPr="000E04E2" w:rsidRDefault="00E61CF3" w:rsidP="00380D78">
            <w:pPr>
              <w:rPr>
                <w:highlight w:val="yellow"/>
              </w:rPr>
            </w:pPr>
            <w:r w:rsidRPr="000E04E2">
              <w:rPr>
                <w:highlight w:val="yellow"/>
              </w:rPr>
              <w:t>23,999</w:t>
            </w:r>
          </w:p>
        </w:tc>
        <w:tc>
          <w:tcPr>
            <w:tcW w:w="992" w:type="dxa"/>
          </w:tcPr>
          <w:p w14:paraId="754BA34E" w14:textId="77777777" w:rsidR="00E61CF3" w:rsidRPr="000E04E2" w:rsidRDefault="00E61CF3" w:rsidP="00380D78">
            <w:pPr>
              <w:rPr>
                <w:highlight w:val="yellow"/>
              </w:rPr>
            </w:pPr>
          </w:p>
        </w:tc>
      </w:tr>
      <w:tr w:rsidR="00E61CF3" w:rsidRPr="000E04E2" w14:paraId="72ECF6B1" w14:textId="77777777" w:rsidTr="00380D78">
        <w:tc>
          <w:tcPr>
            <w:tcW w:w="2544" w:type="dxa"/>
          </w:tcPr>
          <w:p w14:paraId="2A71E531" w14:textId="77777777" w:rsidR="00E61CF3" w:rsidRPr="000E04E2" w:rsidRDefault="00E61CF3" w:rsidP="00380D78">
            <w:pPr>
              <w:ind w:left="22"/>
              <w:rPr>
                <w:highlight w:val="yellow"/>
              </w:rPr>
            </w:pPr>
            <w:r w:rsidRPr="000E04E2">
              <w:rPr>
                <w:highlight w:val="yellow"/>
              </w:rPr>
              <w:t>R</w:t>
            </w:r>
            <w:r w:rsidRPr="000E04E2">
              <w:rPr>
                <w:highlight w:val="yellow"/>
                <w:vertAlign w:val="superscript"/>
              </w:rPr>
              <w:t>2</w:t>
            </w:r>
          </w:p>
        </w:tc>
        <w:tc>
          <w:tcPr>
            <w:tcW w:w="997" w:type="dxa"/>
          </w:tcPr>
          <w:p w14:paraId="6E724D5C" w14:textId="77777777" w:rsidR="00E61CF3" w:rsidRPr="000E04E2" w:rsidRDefault="00E61CF3" w:rsidP="00380D78">
            <w:pPr>
              <w:rPr>
                <w:highlight w:val="yellow"/>
              </w:rPr>
            </w:pPr>
            <w:r w:rsidRPr="000E04E2">
              <w:rPr>
                <w:highlight w:val="yellow"/>
              </w:rPr>
              <w:t>0.746</w:t>
            </w:r>
          </w:p>
        </w:tc>
        <w:tc>
          <w:tcPr>
            <w:tcW w:w="956" w:type="dxa"/>
          </w:tcPr>
          <w:p w14:paraId="320EA3FB" w14:textId="77777777" w:rsidR="00E61CF3" w:rsidRPr="000E04E2" w:rsidRDefault="00E61CF3" w:rsidP="00380D78">
            <w:pPr>
              <w:rPr>
                <w:highlight w:val="yellow"/>
              </w:rPr>
            </w:pPr>
          </w:p>
        </w:tc>
        <w:tc>
          <w:tcPr>
            <w:tcW w:w="1032" w:type="dxa"/>
          </w:tcPr>
          <w:p w14:paraId="76B59AD7" w14:textId="77777777" w:rsidR="00E61CF3" w:rsidRPr="000E04E2" w:rsidRDefault="00E61CF3" w:rsidP="00380D78">
            <w:pPr>
              <w:rPr>
                <w:highlight w:val="yellow"/>
              </w:rPr>
            </w:pPr>
            <w:r w:rsidRPr="000E04E2">
              <w:rPr>
                <w:highlight w:val="yellow"/>
              </w:rPr>
              <w:t>0.770</w:t>
            </w:r>
          </w:p>
        </w:tc>
        <w:tc>
          <w:tcPr>
            <w:tcW w:w="969" w:type="dxa"/>
            <w:gridSpan w:val="2"/>
          </w:tcPr>
          <w:p w14:paraId="30020EF6" w14:textId="77777777" w:rsidR="00E61CF3" w:rsidRPr="000E04E2" w:rsidRDefault="00E61CF3" w:rsidP="00380D78">
            <w:pPr>
              <w:rPr>
                <w:highlight w:val="yellow"/>
              </w:rPr>
            </w:pPr>
          </w:p>
        </w:tc>
        <w:tc>
          <w:tcPr>
            <w:tcW w:w="1015" w:type="dxa"/>
          </w:tcPr>
          <w:p w14:paraId="5A04B9B9" w14:textId="77777777" w:rsidR="00E61CF3" w:rsidRPr="000E04E2" w:rsidRDefault="00E61CF3" w:rsidP="00380D78">
            <w:pPr>
              <w:rPr>
                <w:highlight w:val="yellow"/>
              </w:rPr>
            </w:pPr>
            <w:r w:rsidRPr="000E04E2">
              <w:rPr>
                <w:highlight w:val="yellow"/>
              </w:rPr>
              <w:t>0.694</w:t>
            </w:r>
          </w:p>
        </w:tc>
        <w:tc>
          <w:tcPr>
            <w:tcW w:w="959" w:type="dxa"/>
          </w:tcPr>
          <w:p w14:paraId="0255DD8E" w14:textId="77777777" w:rsidR="00E61CF3" w:rsidRPr="000E04E2" w:rsidRDefault="00E61CF3" w:rsidP="00380D78">
            <w:pPr>
              <w:rPr>
                <w:highlight w:val="yellow"/>
              </w:rPr>
            </w:pPr>
          </w:p>
        </w:tc>
        <w:tc>
          <w:tcPr>
            <w:tcW w:w="1026" w:type="dxa"/>
          </w:tcPr>
          <w:p w14:paraId="332140EA" w14:textId="77777777" w:rsidR="00E61CF3" w:rsidRPr="000E04E2" w:rsidRDefault="00E61CF3" w:rsidP="00380D78">
            <w:pPr>
              <w:rPr>
                <w:highlight w:val="yellow"/>
              </w:rPr>
            </w:pPr>
            <w:r w:rsidRPr="000E04E2">
              <w:rPr>
                <w:highlight w:val="yellow"/>
              </w:rPr>
              <w:t>0.751</w:t>
            </w:r>
          </w:p>
        </w:tc>
        <w:tc>
          <w:tcPr>
            <w:tcW w:w="992" w:type="dxa"/>
          </w:tcPr>
          <w:p w14:paraId="1DC430EC" w14:textId="77777777" w:rsidR="00E61CF3" w:rsidRPr="000E04E2" w:rsidRDefault="00E61CF3" w:rsidP="00380D78">
            <w:pPr>
              <w:rPr>
                <w:highlight w:val="yellow"/>
              </w:rPr>
            </w:pPr>
          </w:p>
        </w:tc>
        <w:tc>
          <w:tcPr>
            <w:tcW w:w="1134" w:type="dxa"/>
          </w:tcPr>
          <w:p w14:paraId="0A958509" w14:textId="77777777" w:rsidR="00E61CF3" w:rsidRPr="000E04E2" w:rsidRDefault="00E61CF3" w:rsidP="00380D78">
            <w:pPr>
              <w:rPr>
                <w:highlight w:val="yellow"/>
              </w:rPr>
            </w:pPr>
            <w:r w:rsidRPr="000E04E2">
              <w:rPr>
                <w:highlight w:val="yellow"/>
              </w:rPr>
              <w:t>0.743</w:t>
            </w:r>
          </w:p>
        </w:tc>
        <w:tc>
          <w:tcPr>
            <w:tcW w:w="992" w:type="dxa"/>
          </w:tcPr>
          <w:p w14:paraId="251D5FB2" w14:textId="77777777" w:rsidR="00E61CF3" w:rsidRPr="000E04E2" w:rsidRDefault="00E61CF3" w:rsidP="00380D78">
            <w:pPr>
              <w:rPr>
                <w:highlight w:val="yellow"/>
              </w:rPr>
            </w:pPr>
          </w:p>
        </w:tc>
      </w:tr>
    </w:tbl>
    <w:p w14:paraId="07C0EC00" w14:textId="77777777" w:rsidR="00E61CF3" w:rsidRDefault="00E61CF3" w:rsidP="00E61CF3">
      <w:pPr>
        <w:widowControl w:val="0"/>
        <w:autoSpaceDE w:val="0"/>
        <w:autoSpaceDN w:val="0"/>
        <w:adjustRightInd w:val="0"/>
        <w:spacing w:after="0" w:line="240" w:lineRule="auto"/>
        <w:rPr>
          <w:rFonts w:cs="Times New Roman"/>
          <w:sz w:val="20"/>
          <w:szCs w:val="24"/>
        </w:rPr>
      </w:pPr>
      <w:r w:rsidRPr="000E04E2">
        <w:rPr>
          <w:rFonts w:cs="Times New Roman"/>
          <w:sz w:val="20"/>
          <w:szCs w:val="24"/>
          <w:highlight w:val="yellow"/>
        </w:rPr>
        <w:t xml:space="preserve">** </w:t>
      </w:r>
      <w:proofErr w:type="gramStart"/>
      <w:r w:rsidRPr="000E04E2">
        <w:rPr>
          <w:rFonts w:cs="Times New Roman"/>
          <w:i/>
          <w:sz w:val="20"/>
          <w:szCs w:val="24"/>
          <w:highlight w:val="yellow"/>
        </w:rPr>
        <w:t>p</w:t>
      </w:r>
      <w:proofErr w:type="gramEnd"/>
      <w:r w:rsidRPr="000E04E2">
        <w:rPr>
          <w:rFonts w:cs="Times New Roman"/>
          <w:i/>
          <w:sz w:val="20"/>
          <w:szCs w:val="24"/>
          <w:highlight w:val="yellow"/>
        </w:rPr>
        <w:t xml:space="preserve"> </w:t>
      </w:r>
      <w:r w:rsidRPr="000E04E2">
        <w:rPr>
          <w:rFonts w:cs="Times New Roman"/>
          <w:sz w:val="20"/>
          <w:szCs w:val="24"/>
          <w:highlight w:val="yellow"/>
        </w:rPr>
        <w:t xml:space="preserve">&lt; 0.01, * </w:t>
      </w:r>
      <w:r w:rsidRPr="000E04E2">
        <w:rPr>
          <w:rFonts w:cs="Times New Roman"/>
          <w:i/>
          <w:sz w:val="20"/>
          <w:szCs w:val="24"/>
          <w:highlight w:val="yellow"/>
        </w:rPr>
        <w:t xml:space="preserve">p </w:t>
      </w:r>
      <w:r w:rsidRPr="000E04E2">
        <w:rPr>
          <w:rFonts w:cs="Times New Roman"/>
          <w:sz w:val="20"/>
          <w:szCs w:val="24"/>
          <w:highlight w:val="yellow"/>
        </w:rPr>
        <w:t>&lt; 0.05.</w:t>
      </w:r>
    </w:p>
    <w:p w14:paraId="0F2A6DAE" w14:textId="77777777" w:rsidR="00E61CF3" w:rsidRDefault="00E61CF3" w:rsidP="00E61CF3">
      <w:pPr>
        <w:widowControl w:val="0"/>
        <w:autoSpaceDE w:val="0"/>
        <w:autoSpaceDN w:val="0"/>
        <w:adjustRightInd w:val="0"/>
        <w:spacing w:after="0" w:line="240" w:lineRule="auto"/>
        <w:rPr>
          <w:rFonts w:cs="Times New Roman"/>
          <w:sz w:val="20"/>
          <w:szCs w:val="20"/>
        </w:rPr>
      </w:pPr>
    </w:p>
    <w:p w14:paraId="69BE7018" w14:textId="77777777" w:rsidR="00E61CF3" w:rsidRDefault="00E61CF3" w:rsidP="00E61CF3">
      <w:pPr>
        <w:rPr>
          <w:rFonts w:cs="Times New Roman"/>
          <w:sz w:val="20"/>
          <w:szCs w:val="20"/>
        </w:rPr>
      </w:pPr>
      <w:r>
        <w:rPr>
          <w:rFonts w:cs="Times New Roman"/>
          <w:sz w:val="20"/>
          <w:szCs w:val="20"/>
        </w:rPr>
        <w:br w:type="page"/>
      </w:r>
    </w:p>
    <w:p w14:paraId="49DF3849" w14:textId="77777777" w:rsidR="00E61CF3" w:rsidRDefault="00E61CF3" w:rsidP="00E61CF3">
      <w:pPr>
        <w:widowControl w:val="0"/>
        <w:autoSpaceDE w:val="0"/>
        <w:autoSpaceDN w:val="0"/>
        <w:adjustRightInd w:val="0"/>
        <w:spacing w:after="0" w:line="240" w:lineRule="auto"/>
        <w:rPr>
          <w:rFonts w:cs="Times New Roman"/>
          <w:sz w:val="20"/>
          <w:szCs w:val="20"/>
        </w:rPr>
      </w:pPr>
    </w:p>
    <w:p w14:paraId="137F341F" w14:textId="77777777" w:rsidR="00E61CF3" w:rsidRPr="00085171" w:rsidRDefault="00E61CF3" w:rsidP="00E61CF3">
      <w:pPr>
        <w:pStyle w:val="NoSpacing"/>
        <w:rPr>
          <w:rFonts w:cs="Times New Roman"/>
          <w:b/>
          <w:sz w:val="20"/>
          <w:szCs w:val="20"/>
        </w:rPr>
      </w:pPr>
      <w:r w:rsidRPr="00085171">
        <w:rPr>
          <w:rFonts w:cs="Times New Roman"/>
          <w:b/>
          <w:sz w:val="20"/>
          <w:szCs w:val="20"/>
        </w:rPr>
        <w:t>Appendix A: Definition and summary statistics of explanatory variables</w:t>
      </w:r>
    </w:p>
    <w:tbl>
      <w:tblPr>
        <w:tblStyle w:val="TableSimple1"/>
        <w:tblW w:w="14118" w:type="dxa"/>
        <w:tblLayout w:type="fixed"/>
        <w:tblLook w:val="04A0" w:firstRow="1" w:lastRow="0" w:firstColumn="1" w:lastColumn="0" w:noHBand="0" w:noVBand="1"/>
      </w:tblPr>
      <w:tblGrid>
        <w:gridCol w:w="3369"/>
        <w:gridCol w:w="6412"/>
        <w:gridCol w:w="1115"/>
        <w:gridCol w:w="1068"/>
        <w:gridCol w:w="1078"/>
        <w:gridCol w:w="1076"/>
      </w:tblGrid>
      <w:tr w:rsidR="00E61CF3" w:rsidRPr="000967D6" w14:paraId="167E599A" w14:textId="77777777" w:rsidTr="00380D78">
        <w:trPr>
          <w:cnfStyle w:val="100000000000" w:firstRow="1" w:lastRow="0" w:firstColumn="0" w:lastColumn="0" w:oddVBand="0" w:evenVBand="0" w:oddHBand="0" w:evenHBand="0" w:firstRowFirstColumn="0" w:firstRowLastColumn="0" w:lastRowFirstColumn="0" w:lastRowLastColumn="0"/>
        </w:trPr>
        <w:tc>
          <w:tcPr>
            <w:tcW w:w="3369" w:type="dxa"/>
          </w:tcPr>
          <w:p w14:paraId="11FF3672" w14:textId="77777777" w:rsidR="00E61CF3" w:rsidRPr="000967D6" w:rsidRDefault="00E61CF3" w:rsidP="00380D78">
            <w:pPr>
              <w:rPr>
                <w:b/>
              </w:rPr>
            </w:pPr>
            <w:r w:rsidRPr="000967D6">
              <w:rPr>
                <w:b/>
              </w:rPr>
              <w:t>Variable</w:t>
            </w:r>
          </w:p>
        </w:tc>
        <w:tc>
          <w:tcPr>
            <w:tcW w:w="6412" w:type="dxa"/>
          </w:tcPr>
          <w:p w14:paraId="06D87B33" w14:textId="77777777" w:rsidR="00E61CF3" w:rsidRPr="000967D6" w:rsidRDefault="00E61CF3" w:rsidP="00380D78">
            <w:pPr>
              <w:rPr>
                <w:b/>
              </w:rPr>
            </w:pPr>
            <w:r>
              <w:rPr>
                <w:b/>
              </w:rPr>
              <w:t>Definition</w:t>
            </w:r>
          </w:p>
        </w:tc>
        <w:tc>
          <w:tcPr>
            <w:tcW w:w="1115" w:type="dxa"/>
          </w:tcPr>
          <w:p w14:paraId="39FB0774" w14:textId="77777777" w:rsidR="00E61CF3" w:rsidRPr="000967D6" w:rsidRDefault="00E61CF3" w:rsidP="00380D78">
            <w:pPr>
              <w:jc w:val="center"/>
              <w:rPr>
                <w:b/>
              </w:rPr>
            </w:pPr>
            <w:r w:rsidRPr="000967D6">
              <w:rPr>
                <w:b/>
              </w:rPr>
              <w:t>Mean</w:t>
            </w:r>
            <w:r>
              <w:rPr>
                <w:b/>
              </w:rPr>
              <w:t>/%</w:t>
            </w:r>
          </w:p>
        </w:tc>
        <w:tc>
          <w:tcPr>
            <w:tcW w:w="1068" w:type="dxa"/>
          </w:tcPr>
          <w:p w14:paraId="6E59C242" w14:textId="77777777" w:rsidR="00E61CF3" w:rsidRPr="000967D6" w:rsidRDefault="00E61CF3" w:rsidP="00380D78">
            <w:pPr>
              <w:jc w:val="center"/>
              <w:rPr>
                <w:b/>
              </w:rPr>
            </w:pPr>
            <w:r w:rsidRPr="000967D6">
              <w:rPr>
                <w:b/>
              </w:rPr>
              <w:t>SD</w:t>
            </w:r>
          </w:p>
        </w:tc>
        <w:tc>
          <w:tcPr>
            <w:tcW w:w="1078" w:type="dxa"/>
          </w:tcPr>
          <w:p w14:paraId="047E4502" w14:textId="77777777" w:rsidR="00E61CF3" w:rsidRPr="000967D6" w:rsidRDefault="00E61CF3" w:rsidP="00380D78">
            <w:pPr>
              <w:jc w:val="center"/>
              <w:rPr>
                <w:b/>
              </w:rPr>
            </w:pPr>
            <w:r w:rsidRPr="000967D6">
              <w:rPr>
                <w:b/>
              </w:rPr>
              <w:t>Mean</w:t>
            </w:r>
            <w:r>
              <w:rPr>
                <w:b/>
              </w:rPr>
              <w:t>/%</w:t>
            </w:r>
          </w:p>
        </w:tc>
        <w:tc>
          <w:tcPr>
            <w:tcW w:w="1076" w:type="dxa"/>
          </w:tcPr>
          <w:p w14:paraId="7B2A07E8" w14:textId="77777777" w:rsidR="00E61CF3" w:rsidRPr="000967D6" w:rsidRDefault="00E61CF3" w:rsidP="00380D78">
            <w:pPr>
              <w:jc w:val="center"/>
              <w:rPr>
                <w:b/>
              </w:rPr>
            </w:pPr>
            <w:r w:rsidRPr="000967D6">
              <w:rPr>
                <w:b/>
              </w:rPr>
              <w:t>SD</w:t>
            </w:r>
          </w:p>
        </w:tc>
      </w:tr>
      <w:tr w:rsidR="00E61CF3" w:rsidRPr="000967D6" w14:paraId="302191E9" w14:textId="77777777" w:rsidTr="00380D78">
        <w:tc>
          <w:tcPr>
            <w:tcW w:w="3369" w:type="dxa"/>
          </w:tcPr>
          <w:p w14:paraId="0840286A" w14:textId="77777777" w:rsidR="00E61CF3" w:rsidRPr="000967D6" w:rsidRDefault="00E61CF3" w:rsidP="00380D78">
            <w:pPr>
              <w:ind w:right="852"/>
              <w:rPr>
                <w:b/>
                <w:i/>
              </w:rPr>
            </w:pPr>
            <w:r w:rsidRPr="000967D6">
              <w:rPr>
                <w:b/>
                <w:i/>
              </w:rPr>
              <w:t>Religion</w:t>
            </w:r>
          </w:p>
        </w:tc>
        <w:tc>
          <w:tcPr>
            <w:tcW w:w="6412" w:type="dxa"/>
          </w:tcPr>
          <w:p w14:paraId="205B1837" w14:textId="77777777" w:rsidR="00E61CF3" w:rsidRPr="000967D6" w:rsidRDefault="00E61CF3" w:rsidP="00380D78">
            <w:pPr>
              <w:ind w:right="852"/>
            </w:pPr>
          </w:p>
        </w:tc>
        <w:tc>
          <w:tcPr>
            <w:tcW w:w="2183" w:type="dxa"/>
            <w:gridSpan w:val="2"/>
          </w:tcPr>
          <w:p w14:paraId="61BCC82D" w14:textId="77777777" w:rsidR="00E61CF3" w:rsidRPr="000967D6" w:rsidRDefault="00E61CF3" w:rsidP="00380D78">
            <w:pPr>
              <w:jc w:val="center"/>
              <w:rPr>
                <w:b/>
              </w:rPr>
            </w:pPr>
            <w:r w:rsidRPr="000967D6">
              <w:rPr>
                <w:b/>
              </w:rPr>
              <w:t>Year 3</w:t>
            </w:r>
          </w:p>
        </w:tc>
        <w:tc>
          <w:tcPr>
            <w:tcW w:w="2154" w:type="dxa"/>
            <w:gridSpan w:val="2"/>
          </w:tcPr>
          <w:p w14:paraId="22584A27" w14:textId="77777777" w:rsidR="00E61CF3" w:rsidRPr="000967D6" w:rsidRDefault="00E61CF3" w:rsidP="00380D78">
            <w:pPr>
              <w:jc w:val="center"/>
              <w:rPr>
                <w:b/>
              </w:rPr>
            </w:pPr>
            <w:r w:rsidRPr="000967D6">
              <w:rPr>
                <w:b/>
              </w:rPr>
              <w:t>Year 5</w:t>
            </w:r>
          </w:p>
        </w:tc>
      </w:tr>
      <w:tr w:rsidR="00E61CF3" w:rsidRPr="000967D6" w14:paraId="46A705B9" w14:textId="77777777" w:rsidTr="00380D78">
        <w:tc>
          <w:tcPr>
            <w:tcW w:w="3369" w:type="dxa"/>
          </w:tcPr>
          <w:p w14:paraId="12E76606" w14:textId="77777777" w:rsidR="00E61CF3" w:rsidRPr="000967D6" w:rsidRDefault="00E61CF3" w:rsidP="00380D78">
            <w:pPr>
              <w:ind w:right="852" w:firstLine="175"/>
            </w:pPr>
            <w:r w:rsidRPr="000967D6">
              <w:t>Government (ref.)</w:t>
            </w:r>
          </w:p>
        </w:tc>
        <w:tc>
          <w:tcPr>
            <w:tcW w:w="6412" w:type="dxa"/>
          </w:tcPr>
          <w:p w14:paraId="5241A781" w14:textId="77777777" w:rsidR="00E61CF3" w:rsidRPr="000967D6" w:rsidRDefault="00E61CF3" w:rsidP="00380D78">
            <w:pPr>
              <w:ind w:right="852"/>
            </w:pPr>
            <w:r w:rsidRPr="000967D6">
              <w:t>Government</w:t>
            </w:r>
          </w:p>
        </w:tc>
        <w:tc>
          <w:tcPr>
            <w:tcW w:w="1115" w:type="dxa"/>
            <w:vAlign w:val="bottom"/>
          </w:tcPr>
          <w:p w14:paraId="3BC3E9F6" w14:textId="77777777" w:rsidR="00E61CF3" w:rsidRPr="000967D6" w:rsidRDefault="00E61CF3" w:rsidP="00380D78">
            <w:pPr>
              <w:jc w:val="center"/>
            </w:pPr>
            <w:r w:rsidRPr="00720356">
              <w:rPr>
                <w:color w:val="000000"/>
              </w:rPr>
              <w:t>68.8</w:t>
            </w:r>
          </w:p>
        </w:tc>
        <w:tc>
          <w:tcPr>
            <w:tcW w:w="1068" w:type="dxa"/>
          </w:tcPr>
          <w:p w14:paraId="65F363FF" w14:textId="77777777" w:rsidR="00E61CF3" w:rsidRPr="000967D6" w:rsidRDefault="00E61CF3" w:rsidP="00380D78">
            <w:pPr>
              <w:jc w:val="center"/>
            </w:pPr>
          </w:p>
        </w:tc>
        <w:tc>
          <w:tcPr>
            <w:tcW w:w="1078" w:type="dxa"/>
            <w:vAlign w:val="bottom"/>
          </w:tcPr>
          <w:p w14:paraId="4550217A" w14:textId="77777777" w:rsidR="00E61CF3" w:rsidRPr="000967D6" w:rsidRDefault="00E61CF3" w:rsidP="00380D78">
            <w:pPr>
              <w:jc w:val="center"/>
            </w:pPr>
            <w:r w:rsidRPr="00055EC1">
              <w:rPr>
                <w:color w:val="000000"/>
              </w:rPr>
              <w:t>68.4</w:t>
            </w:r>
          </w:p>
        </w:tc>
        <w:tc>
          <w:tcPr>
            <w:tcW w:w="1076" w:type="dxa"/>
          </w:tcPr>
          <w:p w14:paraId="2E21181E" w14:textId="77777777" w:rsidR="00E61CF3" w:rsidRPr="000967D6" w:rsidRDefault="00E61CF3" w:rsidP="00380D78">
            <w:pPr>
              <w:jc w:val="center"/>
            </w:pPr>
          </w:p>
        </w:tc>
      </w:tr>
      <w:tr w:rsidR="00E61CF3" w:rsidRPr="000967D6" w14:paraId="6A05FA89" w14:textId="77777777" w:rsidTr="00380D78">
        <w:tc>
          <w:tcPr>
            <w:tcW w:w="3369" w:type="dxa"/>
          </w:tcPr>
          <w:p w14:paraId="10936759" w14:textId="77777777" w:rsidR="00E61CF3" w:rsidRPr="000967D6" w:rsidRDefault="00E61CF3" w:rsidP="00380D78">
            <w:pPr>
              <w:ind w:left="22" w:firstLine="179"/>
            </w:pPr>
            <w:r w:rsidRPr="000967D6">
              <w:t>Catholic</w:t>
            </w:r>
          </w:p>
        </w:tc>
        <w:tc>
          <w:tcPr>
            <w:tcW w:w="6412" w:type="dxa"/>
          </w:tcPr>
          <w:p w14:paraId="01F06C58" w14:textId="77777777" w:rsidR="00E61CF3" w:rsidRPr="000967D6" w:rsidRDefault="00E61CF3" w:rsidP="00380D78">
            <w:r w:rsidRPr="000967D6">
              <w:t>Catholic</w:t>
            </w:r>
          </w:p>
        </w:tc>
        <w:tc>
          <w:tcPr>
            <w:tcW w:w="1115" w:type="dxa"/>
            <w:vAlign w:val="bottom"/>
          </w:tcPr>
          <w:p w14:paraId="7F79297B" w14:textId="77777777" w:rsidR="00E61CF3" w:rsidRPr="000967D6" w:rsidRDefault="00E61CF3" w:rsidP="00380D78">
            <w:pPr>
              <w:jc w:val="center"/>
            </w:pPr>
            <w:r w:rsidRPr="00720356">
              <w:rPr>
                <w:color w:val="000000"/>
              </w:rPr>
              <w:t>20.0</w:t>
            </w:r>
          </w:p>
        </w:tc>
        <w:tc>
          <w:tcPr>
            <w:tcW w:w="1068" w:type="dxa"/>
          </w:tcPr>
          <w:p w14:paraId="663958C2" w14:textId="77777777" w:rsidR="00E61CF3" w:rsidRPr="000967D6" w:rsidRDefault="00E61CF3" w:rsidP="00380D78">
            <w:pPr>
              <w:jc w:val="center"/>
            </w:pPr>
          </w:p>
        </w:tc>
        <w:tc>
          <w:tcPr>
            <w:tcW w:w="1078" w:type="dxa"/>
            <w:vAlign w:val="bottom"/>
          </w:tcPr>
          <w:p w14:paraId="410EEBCF" w14:textId="77777777" w:rsidR="00E61CF3" w:rsidRPr="000967D6" w:rsidRDefault="00E61CF3" w:rsidP="00380D78">
            <w:pPr>
              <w:jc w:val="center"/>
            </w:pPr>
            <w:r w:rsidRPr="00055EC1">
              <w:rPr>
                <w:color w:val="000000"/>
              </w:rPr>
              <w:t>20.3</w:t>
            </w:r>
          </w:p>
        </w:tc>
        <w:tc>
          <w:tcPr>
            <w:tcW w:w="1076" w:type="dxa"/>
          </w:tcPr>
          <w:p w14:paraId="74793C2A" w14:textId="77777777" w:rsidR="00E61CF3" w:rsidRPr="000967D6" w:rsidRDefault="00E61CF3" w:rsidP="00380D78">
            <w:pPr>
              <w:jc w:val="center"/>
            </w:pPr>
          </w:p>
        </w:tc>
      </w:tr>
      <w:tr w:rsidR="00E61CF3" w:rsidRPr="000967D6" w14:paraId="3EEA2010" w14:textId="77777777" w:rsidTr="00380D78">
        <w:tc>
          <w:tcPr>
            <w:tcW w:w="3369" w:type="dxa"/>
          </w:tcPr>
          <w:p w14:paraId="02694D8A" w14:textId="77777777" w:rsidR="00E61CF3" w:rsidRPr="000967D6" w:rsidRDefault="00E61CF3" w:rsidP="00380D78">
            <w:pPr>
              <w:ind w:left="22" w:firstLine="179"/>
            </w:pPr>
            <w:r w:rsidRPr="000967D6">
              <w:t>Anglican</w:t>
            </w:r>
          </w:p>
        </w:tc>
        <w:tc>
          <w:tcPr>
            <w:tcW w:w="6412" w:type="dxa"/>
          </w:tcPr>
          <w:p w14:paraId="1CD04C99" w14:textId="77777777" w:rsidR="00E61CF3" w:rsidRPr="000967D6" w:rsidRDefault="00E61CF3" w:rsidP="00380D78">
            <w:r w:rsidRPr="000967D6">
              <w:t>Anglican</w:t>
            </w:r>
          </w:p>
        </w:tc>
        <w:tc>
          <w:tcPr>
            <w:tcW w:w="1115" w:type="dxa"/>
            <w:vAlign w:val="bottom"/>
          </w:tcPr>
          <w:p w14:paraId="7E175C87" w14:textId="77777777" w:rsidR="00E61CF3" w:rsidRPr="000967D6" w:rsidRDefault="00E61CF3" w:rsidP="00380D78">
            <w:pPr>
              <w:jc w:val="center"/>
            </w:pPr>
            <w:r w:rsidRPr="00720356">
              <w:rPr>
                <w:color w:val="000000"/>
              </w:rPr>
              <w:t>2.2</w:t>
            </w:r>
          </w:p>
        </w:tc>
        <w:tc>
          <w:tcPr>
            <w:tcW w:w="1068" w:type="dxa"/>
          </w:tcPr>
          <w:p w14:paraId="61459ACE" w14:textId="77777777" w:rsidR="00E61CF3" w:rsidRPr="000967D6" w:rsidRDefault="00E61CF3" w:rsidP="00380D78">
            <w:pPr>
              <w:jc w:val="center"/>
            </w:pPr>
          </w:p>
        </w:tc>
        <w:tc>
          <w:tcPr>
            <w:tcW w:w="1078" w:type="dxa"/>
            <w:vAlign w:val="bottom"/>
          </w:tcPr>
          <w:p w14:paraId="4650C31A" w14:textId="77777777" w:rsidR="00E61CF3" w:rsidRPr="000967D6" w:rsidRDefault="00E61CF3" w:rsidP="00380D78">
            <w:pPr>
              <w:jc w:val="center"/>
            </w:pPr>
            <w:r w:rsidRPr="00055EC1">
              <w:rPr>
                <w:color w:val="000000"/>
              </w:rPr>
              <w:t>2.2</w:t>
            </w:r>
          </w:p>
        </w:tc>
        <w:tc>
          <w:tcPr>
            <w:tcW w:w="1076" w:type="dxa"/>
          </w:tcPr>
          <w:p w14:paraId="2359965D" w14:textId="77777777" w:rsidR="00E61CF3" w:rsidRPr="000967D6" w:rsidRDefault="00E61CF3" w:rsidP="00380D78">
            <w:pPr>
              <w:jc w:val="center"/>
            </w:pPr>
          </w:p>
        </w:tc>
      </w:tr>
      <w:tr w:rsidR="00E61CF3" w:rsidRPr="000967D6" w14:paraId="6EEDC621" w14:textId="77777777" w:rsidTr="00380D78">
        <w:tc>
          <w:tcPr>
            <w:tcW w:w="3369" w:type="dxa"/>
          </w:tcPr>
          <w:p w14:paraId="36DCDB15" w14:textId="77777777" w:rsidR="00E61CF3" w:rsidRPr="000967D6" w:rsidRDefault="00E61CF3" w:rsidP="00380D78">
            <w:pPr>
              <w:ind w:left="22" w:firstLine="179"/>
            </w:pPr>
            <w:r w:rsidRPr="000967D6">
              <w:t>Islam</w:t>
            </w:r>
          </w:p>
        </w:tc>
        <w:tc>
          <w:tcPr>
            <w:tcW w:w="6412" w:type="dxa"/>
          </w:tcPr>
          <w:p w14:paraId="51CD833A" w14:textId="77777777" w:rsidR="00E61CF3" w:rsidRPr="000967D6" w:rsidRDefault="00E61CF3" w:rsidP="00380D78">
            <w:r w:rsidRPr="000967D6">
              <w:t>Islam</w:t>
            </w:r>
          </w:p>
        </w:tc>
        <w:tc>
          <w:tcPr>
            <w:tcW w:w="1115" w:type="dxa"/>
            <w:vAlign w:val="bottom"/>
          </w:tcPr>
          <w:p w14:paraId="543036AA" w14:textId="77777777" w:rsidR="00E61CF3" w:rsidRPr="000967D6" w:rsidRDefault="00E61CF3" w:rsidP="00380D78">
            <w:pPr>
              <w:jc w:val="center"/>
            </w:pPr>
            <w:r w:rsidRPr="00720356">
              <w:rPr>
                <w:color w:val="000000"/>
              </w:rPr>
              <w:t>0.5</w:t>
            </w:r>
          </w:p>
        </w:tc>
        <w:tc>
          <w:tcPr>
            <w:tcW w:w="1068" w:type="dxa"/>
          </w:tcPr>
          <w:p w14:paraId="58ADF57E" w14:textId="77777777" w:rsidR="00E61CF3" w:rsidRPr="000967D6" w:rsidRDefault="00E61CF3" w:rsidP="00380D78">
            <w:pPr>
              <w:jc w:val="center"/>
            </w:pPr>
          </w:p>
        </w:tc>
        <w:tc>
          <w:tcPr>
            <w:tcW w:w="1078" w:type="dxa"/>
            <w:vAlign w:val="bottom"/>
          </w:tcPr>
          <w:p w14:paraId="24AFC588" w14:textId="77777777" w:rsidR="00E61CF3" w:rsidRPr="000967D6" w:rsidRDefault="00E61CF3" w:rsidP="00380D78">
            <w:pPr>
              <w:jc w:val="center"/>
            </w:pPr>
            <w:r w:rsidRPr="00055EC1">
              <w:rPr>
                <w:color w:val="000000"/>
              </w:rPr>
              <w:t>0.5</w:t>
            </w:r>
          </w:p>
        </w:tc>
        <w:tc>
          <w:tcPr>
            <w:tcW w:w="1076" w:type="dxa"/>
          </w:tcPr>
          <w:p w14:paraId="0639B552" w14:textId="77777777" w:rsidR="00E61CF3" w:rsidRPr="000967D6" w:rsidRDefault="00E61CF3" w:rsidP="00380D78">
            <w:pPr>
              <w:jc w:val="center"/>
            </w:pPr>
          </w:p>
        </w:tc>
      </w:tr>
      <w:tr w:rsidR="00E61CF3" w:rsidRPr="00B06440" w14:paraId="6F94954B" w14:textId="77777777" w:rsidTr="00380D78">
        <w:tc>
          <w:tcPr>
            <w:tcW w:w="3369" w:type="dxa"/>
          </w:tcPr>
          <w:p w14:paraId="32D6DACC" w14:textId="77777777" w:rsidR="00E61CF3" w:rsidRPr="00B06440" w:rsidRDefault="00E61CF3" w:rsidP="00380D78">
            <w:pPr>
              <w:ind w:left="22" w:firstLine="179"/>
            </w:pPr>
            <w:r w:rsidRPr="00B06440">
              <w:t>Jewish</w:t>
            </w:r>
          </w:p>
        </w:tc>
        <w:tc>
          <w:tcPr>
            <w:tcW w:w="6412" w:type="dxa"/>
          </w:tcPr>
          <w:p w14:paraId="779492DB" w14:textId="77777777" w:rsidR="00E61CF3" w:rsidRPr="00B06440" w:rsidRDefault="00E61CF3" w:rsidP="00380D78">
            <w:r w:rsidRPr="00B06440">
              <w:t>Jewish</w:t>
            </w:r>
          </w:p>
        </w:tc>
        <w:tc>
          <w:tcPr>
            <w:tcW w:w="1115" w:type="dxa"/>
            <w:vAlign w:val="bottom"/>
          </w:tcPr>
          <w:p w14:paraId="19D2D818" w14:textId="77777777" w:rsidR="00E61CF3" w:rsidRPr="00B06440" w:rsidRDefault="00E61CF3" w:rsidP="00380D78">
            <w:pPr>
              <w:jc w:val="center"/>
            </w:pPr>
            <w:r w:rsidRPr="00720356">
              <w:rPr>
                <w:color w:val="000000"/>
              </w:rPr>
              <w:t>0.2</w:t>
            </w:r>
          </w:p>
        </w:tc>
        <w:tc>
          <w:tcPr>
            <w:tcW w:w="1068" w:type="dxa"/>
          </w:tcPr>
          <w:p w14:paraId="48B8C000" w14:textId="77777777" w:rsidR="00E61CF3" w:rsidRPr="00B06440" w:rsidRDefault="00E61CF3" w:rsidP="00380D78">
            <w:pPr>
              <w:jc w:val="center"/>
            </w:pPr>
          </w:p>
        </w:tc>
        <w:tc>
          <w:tcPr>
            <w:tcW w:w="1078" w:type="dxa"/>
            <w:vAlign w:val="bottom"/>
          </w:tcPr>
          <w:p w14:paraId="72AA8B13" w14:textId="77777777" w:rsidR="00E61CF3" w:rsidRPr="00B06440" w:rsidRDefault="00E61CF3" w:rsidP="00380D78">
            <w:pPr>
              <w:jc w:val="center"/>
            </w:pPr>
            <w:r w:rsidRPr="00055EC1">
              <w:rPr>
                <w:color w:val="000000"/>
              </w:rPr>
              <w:t>0.2</w:t>
            </w:r>
          </w:p>
        </w:tc>
        <w:tc>
          <w:tcPr>
            <w:tcW w:w="1076" w:type="dxa"/>
          </w:tcPr>
          <w:p w14:paraId="13A65842" w14:textId="77777777" w:rsidR="00E61CF3" w:rsidRPr="00B06440" w:rsidRDefault="00E61CF3" w:rsidP="00380D78">
            <w:pPr>
              <w:jc w:val="center"/>
            </w:pPr>
          </w:p>
        </w:tc>
      </w:tr>
      <w:tr w:rsidR="00E61CF3" w:rsidRPr="00B06440" w14:paraId="062B6DED" w14:textId="77777777" w:rsidTr="00380D78">
        <w:tc>
          <w:tcPr>
            <w:tcW w:w="3369" w:type="dxa"/>
          </w:tcPr>
          <w:p w14:paraId="32305CBA" w14:textId="77777777" w:rsidR="00E61CF3" w:rsidRPr="002E002C" w:rsidRDefault="00E61CF3" w:rsidP="00380D78">
            <w:pPr>
              <w:ind w:left="22" w:firstLine="179"/>
            </w:pPr>
            <w:r w:rsidRPr="002E002C">
              <w:t>Council of Churches</w:t>
            </w:r>
          </w:p>
        </w:tc>
        <w:tc>
          <w:tcPr>
            <w:tcW w:w="6412" w:type="dxa"/>
          </w:tcPr>
          <w:p w14:paraId="0462166D" w14:textId="77777777" w:rsidR="00E61CF3" w:rsidRPr="002E002C" w:rsidRDefault="00E61CF3" w:rsidP="00380D78">
            <w:r w:rsidRPr="002E002C">
              <w:t>Assyrian, Coptic Orthodox, Greek Orthodox, Lutheran or Uniting Church</w:t>
            </w:r>
          </w:p>
        </w:tc>
        <w:tc>
          <w:tcPr>
            <w:tcW w:w="1115" w:type="dxa"/>
            <w:vAlign w:val="bottom"/>
          </w:tcPr>
          <w:p w14:paraId="420318AF" w14:textId="77777777" w:rsidR="00E61CF3" w:rsidRPr="002E002C" w:rsidRDefault="00E61CF3" w:rsidP="00380D78">
            <w:pPr>
              <w:jc w:val="center"/>
            </w:pPr>
            <w:r w:rsidRPr="00720356">
              <w:rPr>
                <w:color w:val="000000"/>
              </w:rPr>
              <w:t>1.9</w:t>
            </w:r>
          </w:p>
        </w:tc>
        <w:tc>
          <w:tcPr>
            <w:tcW w:w="1068" w:type="dxa"/>
          </w:tcPr>
          <w:p w14:paraId="0BD6B730" w14:textId="77777777" w:rsidR="00E61CF3" w:rsidRPr="002E002C" w:rsidRDefault="00E61CF3" w:rsidP="00380D78">
            <w:pPr>
              <w:jc w:val="center"/>
            </w:pPr>
          </w:p>
        </w:tc>
        <w:tc>
          <w:tcPr>
            <w:tcW w:w="1078" w:type="dxa"/>
            <w:vAlign w:val="bottom"/>
          </w:tcPr>
          <w:p w14:paraId="473E5619" w14:textId="77777777" w:rsidR="00E61CF3" w:rsidRPr="002E002C" w:rsidRDefault="00E61CF3" w:rsidP="00380D78">
            <w:pPr>
              <w:jc w:val="center"/>
            </w:pPr>
            <w:r w:rsidRPr="00055EC1">
              <w:rPr>
                <w:color w:val="000000"/>
              </w:rPr>
              <w:t>1.9</w:t>
            </w:r>
          </w:p>
        </w:tc>
        <w:tc>
          <w:tcPr>
            <w:tcW w:w="1076" w:type="dxa"/>
          </w:tcPr>
          <w:p w14:paraId="3D79D69F" w14:textId="77777777" w:rsidR="00E61CF3" w:rsidRPr="002E002C" w:rsidRDefault="00E61CF3" w:rsidP="00380D78">
            <w:pPr>
              <w:jc w:val="center"/>
            </w:pPr>
          </w:p>
        </w:tc>
      </w:tr>
      <w:tr w:rsidR="00E61CF3" w:rsidRPr="000967D6" w14:paraId="4F9A77A7" w14:textId="77777777" w:rsidTr="00380D78">
        <w:tc>
          <w:tcPr>
            <w:tcW w:w="3369" w:type="dxa"/>
          </w:tcPr>
          <w:p w14:paraId="4B24E09C" w14:textId="77777777" w:rsidR="00E61CF3" w:rsidRPr="002E002C" w:rsidRDefault="00E61CF3" w:rsidP="00380D78">
            <w:pPr>
              <w:ind w:left="171" w:firstLine="30"/>
            </w:pPr>
            <w:r w:rsidRPr="002E002C">
              <w:t>Non-Council of Churches</w:t>
            </w:r>
          </w:p>
        </w:tc>
        <w:tc>
          <w:tcPr>
            <w:tcW w:w="6412" w:type="dxa"/>
          </w:tcPr>
          <w:p w14:paraId="60C98D66" w14:textId="77777777" w:rsidR="00E61CF3" w:rsidRPr="002E002C" w:rsidRDefault="00E61CF3" w:rsidP="00380D78">
            <w:r w:rsidRPr="002E002C">
              <w:t>Brethren, Baptist, Adventist, Presbyterian, Christade</w:t>
            </w:r>
            <w:r>
              <w:t>lphian</w:t>
            </w:r>
          </w:p>
        </w:tc>
        <w:tc>
          <w:tcPr>
            <w:tcW w:w="1115" w:type="dxa"/>
            <w:vAlign w:val="bottom"/>
          </w:tcPr>
          <w:p w14:paraId="2F425BE5" w14:textId="77777777" w:rsidR="00E61CF3" w:rsidRPr="002E002C" w:rsidRDefault="00E61CF3" w:rsidP="00380D78">
            <w:pPr>
              <w:jc w:val="center"/>
            </w:pPr>
            <w:r w:rsidRPr="00720356">
              <w:rPr>
                <w:color w:val="000000"/>
              </w:rPr>
              <w:t>4.7</w:t>
            </w:r>
          </w:p>
        </w:tc>
        <w:tc>
          <w:tcPr>
            <w:tcW w:w="1068" w:type="dxa"/>
          </w:tcPr>
          <w:p w14:paraId="1FCC31DE" w14:textId="77777777" w:rsidR="00E61CF3" w:rsidRPr="002E002C" w:rsidRDefault="00E61CF3" w:rsidP="00380D78">
            <w:pPr>
              <w:jc w:val="center"/>
            </w:pPr>
          </w:p>
        </w:tc>
        <w:tc>
          <w:tcPr>
            <w:tcW w:w="1078" w:type="dxa"/>
            <w:vAlign w:val="bottom"/>
          </w:tcPr>
          <w:p w14:paraId="77A1C4AC" w14:textId="77777777" w:rsidR="00E61CF3" w:rsidRPr="002E002C" w:rsidRDefault="00E61CF3" w:rsidP="00380D78">
            <w:pPr>
              <w:jc w:val="center"/>
            </w:pPr>
            <w:r w:rsidRPr="00055EC1">
              <w:rPr>
                <w:color w:val="000000"/>
              </w:rPr>
              <w:t>4.8</w:t>
            </w:r>
          </w:p>
        </w:tc>
        <w:tc>
          <w:tcPr>
            <w:tcW w:w="1076" w:type="dxa"/>
          </w:tcPr>
          <w:p w14:paraId="1402EF13" w14:textId="77777777" w:rsidR="00E61CF3" w:rsidRPr="002E002C" w:rsidRDefault="00E61CF3" w:rsidP="00380D78">
            <w:pPr>
              <w:jc w:val="center"/>
            </w:pPr>
          </w:p>
        </w:tc>
      </w:tr>
      <w:tr w:rsidR="00E61CF3" w:rsidRPr="000967D6" w14:paraId="484CF218" w14:textId="77777777" w:rsidTr="00380D78">
        <w:tc>
          <w:tcPr>
            <w:tcW w:w="3369" w:type="dxa"/>
          </w:tcPr>
          <w:p w14:paraId="73ED3401" w14:textId="77777777" w:rsidR="00E61CF3" w:rsidRPr="000967D6" w:rsidRDefault="00E61CF3" w:rsidP="00380D78">
            <w:pPr>
              <w:ind w:left="22" w:firstLine="179"/>
            </w:pPr>
            <w:r>
              <w:t>Other independent</w:t>
            </w:r>
          </w:p>
        </w:tc>
        <w:tc>
          <w:tcPr>
            <w:tcW w:w="6412" w:type="dxa"/>
          </w:tcPr>
          <w:p w14:paraId="6DF1119B" w14:textId="77777777" w:rsidR="00E61CF3" w:rsidRPr="000967D6" w:rsidRDefault="00E61CF3" w:rsidP="00380D78">
            <w:r>
              <w:t>Other independent</w:t>
            </w:r>
          </w:p>
        </w:tc>
        <w:tc>
          <w:tcPr>
            <w:tcW w:w="1115" w:type="dxa"/>
            <w:vAlign w:val="bottom"/>
          </w:tcPr>
          <w:p w14:paraId="543D6244" w14:textId="77777777" w:rsidR="00E61CF3" w:rsidRPr="000967D6" w:rsidRDefault="00E61CF3" w:rsidP="00380D78">
            <w:pPr>
              <w:jc w:val="center"/>
            </w:pPr>
            <w:r w:rsidRPr="00720356">
              <w:rPr>
                <w:color w:val="000000"/>
              </w:rPr>
              <w:t>1.7</w:t>
            </w:r>
          </w:p>
        </w:tc>
        <w:tc>
          <w:tcPr>
            <w:tcW w:w="1068" w:type="dxa"/>
          </w:tcPr>
          <w:p w14:paraId="51EFA763" w14:textId="77777777" w:rsidR="00E61CF3" w:rsidRPr="000967D6" w:rsidRDefault="00E61CF3" w:rsidP="00380D78">
            <w:pPr>
              <w:jc w:val="center"/>
            </w:pPr>
          </w:p>
        </w:tc>
        <w:tc>
          <w:tcPr>
            <w:tcW w:w="1078" w:type="dxa"/>
            <w:vAlign w:val="bottom"/>
          </w:tcPr>
          <w:p w14:paraId="71F57540" w14:textId="77777777" w:rsidR="00E61CF3" w:rsidRPr="000967D6" w:rsidRDefault="00E61CF3" w:rsidP="00380D78">
            <w:pPr>
              <w:jc w:val="center"/>
            </w:pPr>
            <w:r w:rsidRPr="00055EC1">
              <w:rPr>
                <w:color w:val="000000"/>
              </w:rPr>
              <w:t>1.7</w:t>
            </w:r>
          </w:p>
        </w:tc>
        <w:tc>
          <w:tcPr>
            <w:tcW w:w="1076" w:type="dxa"/>
          </w:tcPr>
          <w:p w14:paraId="70A014DA" w14:textId="77777777" w:rsidR="00E61CF3" w:rsidRPr="000967D6" w:rsidRDefault="00E61CF3" w:rsidP="00380D78">
            <w:pPr>
              <w:jc w:val="center"/>
            </w:pPr>
          </w:p>
        </w:tc>
      </w:tr>
      <w:tr w:rsidR="00E61CF3" w:rsidRPr="000967D6" w14:paraId="18695C29" w14:textId="77777777" w:rsidTr="00380D78">
        <w:tc>
          <w:tcPr>
            <w:tcW w:w="3369" w:type="dxa"/>
          </w:tcPr>
          <w:p w14:paraId="4AF06925" w14:textId="77777777" w:rsidR="00E61CF3" w:rsidRPr="000967D6" w:rsidRDefault="00E61CF3" w:rsidP="00380D78">
            <w:pPr>
              <w:ind w:left="22"/>
              <w:rPr>
                <w:b/>
                <w:i/>
              </w:rPr>
            </w:pPr>
            <w:r w:rsidRPr="000967D6">
              <w:rPr>
                <w:b/>
                <w:i/>
              </w:rPr>
              <w:t>State</w:t>
            </w:r>
          </w:p>
        </w:tc>
        <w:tc>
          <w:tcPr>
            <w:tcW w:w="6412" w:type="dxa"/>
          </w:tcPr>
          <w:p w14:paraId="03FE95E6" w14:textId="77777777" w:rsidR="00E61CF3" w:rsidRPr="000967D6" w:rsidRDefault="00E61CF3" w:rsidP="00380D78">
            <w:pPr>
              <w:ind w:left="22"/>
            </w:pPr>
          </w:p>
        </w:tc>
        <w:tc>
          <w:tcPr>
            <w:tcW w:w="1115" w:type="dxa"/>
          </w:tcPr>
          <w:p w14:paraId="58C949C8" w14:textId="77777777" w:rsidR="00E61CF3" w:rsidRPr="000967D6" w:rsidRDefault="00E61CF3" w:rsidP="00380D78">
            <w:pPr>
              <w:jc w:val="center"/>
            </w:pPr>
          </w:p>
        </w:tc>
        <w:tc>
          <w:tcPr>
            <w:tcW w:w="1068" w:type="dxa"/>
          </w:tcPr>
          <w:p w14:paraId="3D206475" w14:textId="77777777" w:rsidR="00E61CF3" w:rsidRPr="000967D6" w:rsidRDefault="00E61CF3" w:rsidP="00380D78">
            <w:pPr>
              <w:jc w:val="center"/>
            </w:pPr>
          </w:p>
        </w:tc>
        <w:tc>
          <w:tcPr>
            <w:tcW w:w="1078" w:type="dxa"/>
          </w:tcPr>
          <w:p w14:paraId="1EBABE70" w14:textId="77777777" w:rsidR="00E61CF3" w:rsidRPr="000967D6" w:rsidRDefault="00E61CF3" w:rsidP="00380D78">
            <w:pPr>
              <w:jc w:val="center"/>
            </w:pPr>
          </w:p>
        </w:tc>
        <w:tc>
          <w:tcPr>
            <w:tcW w:w="1076" w:type="dxa"/>
          </w:tcPr>
          <w:p w14:paraId="7D2891AC" w14:textId="77777777" w:rsidR="00E61CF3" w:rsidRPr="000967D6" w:rsidRDefault="00E61CF3" w:rsidP="00380D78">
            <w:pPr>
              <w:jc w:val="center"/>
            </w:pPr>
          </w:p>
        </w:tc>
      </w:tr>
      <w:tr w:rsidR="00E61CF3" w:rsidRPr="000967D6" w14:paraId="5724A124" w14:textId="77777777" w:rsidTr="00380D78">
        <w:tc>
          <w:tcPr>
            <w:tcW w:w="3369" w:type="dxa"/>
          </w:tcPr>
          <w:p w14:paraId="1D01614C" w14:textId="77777777" w:rsidR="00E61CF3" w:rsidRPr="000967D6" w:rsidRDefault="00E61CF3" w:rsidP="00380D78">
            <w:pPr>
              <w:ind w:left="22" w:firstLineChars="100" w:firstLine="200"/>
            </w:pPr>
            <w:r w:rsidRPr="000967D6">
              <w:t>NSW</w:t>
            </w:r>
            <w:r>
              <w:t xml:space="preserve"> (ref.)</w:t>
            </w:r>
          </w:p>
        </w:tc>
        <w:tc>
          <w:tcPr>
            <w:tcW w:w="6412" w:type="dxa"/>
          </w:tcPr>
          <w:p w14:paraId="58FE5043" w14:textId="77777777" w:rsidR="00E61CF3" w:rsidRPr="000967D6" w:rsidRDefault="00E61CF3" w:rsidP="00380D78">
            <w:r w:rsidRPr="000967D6">
              <w:t>New South Wales</w:t>
            </w:r>
          </w:p>
        </w:tc>
        <w:tc>
          <w:tcPr>
            <w:tcW w:w="1115" w:type="dxa"/>
            <w:vAlign w:val="bottom"/>
          </w:tcPr>
          <w:p w14:paraId="2F5A0843" w14:textId="77777777" w:rsidR="00E61CF3" w:rsidRPr="000967D6" w:rsidRDefault="00E61CF3" w:rsidP="00380D78">
            <w:pPr>
              <w:jc w:val="center"/>
            </w:pPr>
            <w:r w:rsidRPr="006D07BA">
              <w:rPr>
                <w:color w:val="000000"/>
              </w:rPr>
              <w:t>32.1</w:t>
            </w:r>
          </w:p>
        </w:tc>
        <w:tc>
          <w:tcPr>
            <w:tcW w:w="1068" w:type="dxa"/>
          </w:tcPr>
          <w:p w14:paraId="2BFBB7BA" w14:textId="77777777" w:rsidR="00E61CF3" w:rsidRPr="000967D6" w:rsidRDefault="00E61CF3" w:rsidP="00380D78">
            <w:pPr>
              <w:jc w:val="center"/>
            </w:pPr>
          </w:p>
        </w:tc>
        <w:tc>
          <w:tcPr>
            <w:tcW w:w="1078" w:type="dxa"/>
            <w:vAlign w:val="bottom"/>
          </w:tcPr>
          <w:p w14:paraId="72C415B0" w14:textId="77777777" w:rsidR="00E61CF3" w:rsidRPr="000967D6" w:rsidRDefault="00E61CF3" w:rsidP="00380D78">
            <w:pPr>
              <w:jc w:val="center"/>
            </w:pPr>
            <w:r w:rsidRPr="00055EC1">
              <w:rPr>
                <w:color w:val="000000"/>
              </w:rPr>
              <w:t>32.0</w:t>
            </w:r>
          </w:p>
        </w:tc>
        <w:tc>
          <w:tcPr>
            <w:tcW w:w="1076" w:type="dxa"/>
          </w:tcPr>
          <w:p w14:paraId="6780E6D6" w14:textId="77777777" w:rsidR="00E61CF3" w:rsidRPr="000967D6" w:rsidRDefault="00E61CF3" w:rsidP="00380D78">
            <w:pPr>
              <w:jc w:val="center"/>
            </w:pPr>
          </w:p>
        </w:tc>
      </w:tr>
      <w:tr w:rsidR="00E61CF3" w:rsidRPr="000967D6" w14:paraId="3947C907" w14:textId="77777777" w:rsidTr="00380D78">
        <w:tc>
          <w:tcPr>
            <w:tcW w:w="3369" w:type="dxa"/>
          </w:tcPr>
          <w:p w14:paraId="3346D685" w14:textId="77777777" w:rsidR="00E61CF3" w:rsidRPr="000967D6" w:rsidRDefault="00E61CF3" w:rsidP="00380D78">
            <w:pPr>
              <w:ind w:left="22" w:firstLineChars="100" w:firstLine="200"/>
            </w:pPr>
            <w:r w:rsidRPr="000967D6">
              <w:t>ACT</w:t>
            </w:r>
          </w:p>
        </w:tc>
        <w:tc>
          <w:tcPr>
            <w:tcW w:w="6412" w:type="dxa"/>
          </w:tcPr>
          <w:p w14:paraId="3FA06A22" w14:textId="77777777" w:rsidR="00E61CF3" w:rsidRPr="000967D6" w:rsidRDefault="00E61CF3" w:rsidP="00380D78">
            <w:r w:rsidRPr="000967D6">
              <w:t>Australian Capital Territory</w:t>
            </w:r>
          </w:p>
        </w:tc>
        <w:tc>
          <w:tcPr>
            <w:tcW w:w="1115" w:type="dxa"/>
            <w:vAlign w:val="bottom"/>
          </w:tcPr>
          <w:p w14:paraId="08146E93" w14:textId="77777777" w:rsidR="00E61CF3" w:rsidRPr="000967D6" w:rsidRDefault="00E61CF3" w:rsidP="00380D78">
            <w:pPr>
              <w:jc w:val="center"/>
            </w:pPr>
            <w:r w:rsidRPr="006D07BA">
              <w:rPr>
                <w:color w:val="000000"/>
              </w:rPr>
              <w:t>1.4</w:t>
            </w:r>
          </w:p>
        </w:tc>
        <w:tc>
          <w:tcPr>
            <w:tcW w:w="1068" w:type="dxa"/>
          </w:tcPr>
          <w:p w14:paraId="12E2B72D" w14:textId="77777777" w:rsidR="00E61CF3" w:rsidRPr="000967D6" w:rsidRDefault="00E61CF3" w:rsidP="00380D78">
            <w:pPr>
              <w:jc w:val="center"/>
            </w:pPr>
          </w:p>
        </w:tc>
        <w:tc>
          <w:tcPr>
            <w:tcW w:w="1078" w:type="dxa"/>
            <w:vAlign w:val="bottom"/>
          </w:tcPr>
          <w:p w14:paraId="1E99EE8D" w14:textId="77777777" w:rsidR="00E61CF3" w:rsidRPr="000967D6" w:rsidRDefault="00E61CF3" w:rsidP="00380D78">
            <w:pPr>
              <w:jc w:val="center"/>
            </w:pPr>
            <w:r w:rsidRPr="00055EC1">
              <w:rPr>
                <w:color w:val="000000"/>
              </w:rPr>
              <w:t>1.4</w:t>
            </w:r>
          </w:p>
        </w:tc>
        <w:tc>
          <w:tcPr>
            <w:tcW w:w="1076" w:type="dxa"/>
          </w:tcPr>
          <w:p w14:paraId="1261495A" w14:textId="77777777" w:rsidR="00E61CF3" w:rsidRPr="000967D6" w:rsidRDefault="00E61CF3" w:rsidP="00380D78">
            <w:pPr>
              <w:jc w:val="center"/>
            </w:pPr>
          </w:p>
        </w:tc>
      </w:tr>
      <w:tr w:rsidR="00E61CF3" w:rsidRPr="000967D6" w14:paraId="0640EED8" w14:textId="77777777" w:rsidTr="00380D78">
        <w:tc>
          <w:tcPr>
            <w:tcW w:w="3369" w:type="dxa"/>
          </w:tcPr>
          <w:p w14:paraId="11F7E863" w14:textId="77777777" w:rsidR="00E61CF3" w:rsidRPr="000967D6" w:rsidRDefault="00E61CF3" w:rsidP="00380D78">
            <w:pPr>
              <w:ind w:left="22" w:firstLineChars="100" w:firstLine="200"/>
            </w:pPr>
            <w:r w:rsidRPr="000967D6">
              <w:t>VIC</w:t>
            </w:r>
          </w:p>
        </w:tc>
        <w:tc>
          <w:tcPr>
            <w:tcW w:w="6412" w:type="dxa"/>
          </w:tcPr>
          <w:p w14:paraId="6E9AE572" w14:textId="77777777" w:rsidR="00E61CF3" w:rsidRPr="000967D6" w:rsidRDefault="00E61CF3" w:rsidP="00380D78">
            <w:r w:rsidRPr="000967D6">
              <w:t>Victoria</w:t>
            </w:r>
          </w:p>
        </w:tc>
        <w:tc>
          <w:tcPr>
            <w:tcW w:w="1115" w:type="dxa"/>
            <w:vAlign w:val="bottom"/>
          </w:tcPr>
          <w:p w14:paraId="47612B31" w14:textId="77777777" w:rsidR="00E61CF3" w:rsidRPr="000967D6" w:rsidRDefault="00E61CF3" w:rsidP="00380D78">
            <w:pPr>
              <w:jc w:val="center"/>
            </w:pPr>
            <w:r w:rsidRPr="006D07BA">
              <w:rPr>
                <w:color w:val="000000"/>
              </w:rPr>
              <w:t>24.3</w:t>
            </w:r>
          </w:p>
        </w:tc>
        <w:tc>
          <w:tcPr>
            <w:tcW w:w="1068" w:type="dxa"/>
          </w:tcPr>
          <w:p w14:paraId="75C2DC7A" w14:textId="77777777" w:rsidR="00E61CF3" w:rsidRPr="000967D6" w:rsidRDefault="00E61CF3" w:rsidP="00380D78">
            <w:pPr>
              <w:jc w:val="center"/>
            </w:pPr>
          </w:p>
        </w:tc>
        <w:tc>
          <w:tcPr>
            <w:tcW w:w="1078" w:type="dxa"/>
            <w:vAlign w:val="bottom"/>
          </w:tcPr>
          <w:p w14:paraId="4F9120D1" w14:textId="77777777" w:rsidR="00E61CF3" w:rsidRPr="000967D6" w:rsidRDefault="00E61CF3" w:rsidP="00380D78">
            <w:pPr>
              <w:jc w:val="center"/>
            </w:pPr>
            <w:r w:rsidRPr="00055EC1">
              <w:rPr>
                <w:color w:val="000000"/>
              </w:rPr>
              <w:t>24.3</w:t>
            </w:r>
          </w:p>
        </w:tc>
        <w:tc>
          <w:tcPr>
            <w:tcW w:w="1076" w:type="dxa"/>
          </w:tcPr>
          <w:p w14:paraId="0DA4CC5E" w14:textId="77777777" w:rsidR="00E61CF3" w:rsidRPr="000967D6" w:rsidRDefault="00E61CF3" w:rsidP="00380D78">
            <w:pPr>
              <w:jc w:val="center"/>
            </w:pPr>
          </w:p>
        </w:tc>
      </w:tr>
      <w:tr w:rsidR="00E61CF3" w:rsidRPr="000967D6" w14:paraId="6660B52E" w14:textId="77777777" w:rsidTr="00380D78">
        <w:tc>
          <w:tcPr>
            <w:tcW w:w="3369" w:type="dxa"/>
          </w:tcPr>
          <w:p w14:paraId="04178CE5" w14:textId="77777777" w:rsidR="00E61CF3" w:rsidRPr="000967D6" w:rsidRDefault="00E61CF3" w:rsidP="00380D78">
            <w:pPr>
              <w:ind w:left="22" w:firstLineChars="100" w:firstLine="200"/>
            </w:pPr>
            <w:r w:rsidRPr="000967D6">
              <w:t>QLD</w:t>
            </w:r>
          </w:p>
        </w:tc>
        <w:tc>
          <w:tcPr>
            <w:tcW w:w="6412" w:type="dxa"/>
          </w:tcPr>
          <w:p w14:paraId="1684D80E" w14:textId="77777777" w:rsidR="00E61CF3" w:rsidRPr="000967D6" w:rsidRDefault="00E61CF3" w:rsidP="00380D78">
            <w:r w:rsidRPr="000967D6">
              <w:t xml:space="preserve">Queensland </w:t>
            </w:r>
          </w:p>
        </w:tc>
        <w:tc>
          <w:tcPr>
            <w:tcW w:w="1115" w:type="dxa"/>
            <w:vAlign w:val="bottom"/>
          </w:tcPr>
          <w:p w14:paraId="016140AB" w14:textId="77777777" w:rsidR="00E61CF3" w:rsidRPr="000967D6" w:rsidRDefault="00E61CF3" w:rsidP="00380D78">
            <w:pPr>
              <w:jc w:val="center"/>
            </w:pPr>
            <w:r w:rsidRPr="006D07BA">
              <w:rPr>
                <w:color w:val="000000"/>
              </w:rPr>
              <w:t>17.7</w:t>
            </w:r>
          </w:p>
        </w:tc>
        <w:tc>
          <w:tcPr>
            <w:tcW w:w="1068" w:type="dxa"/>
          </w:tcPr>
          <w:p w14:paraId="0AFAA0B6" w14:textId="77777777" w:rsidR="00E61CF3" w:rsidRPr="000967D6" w:rsidRDefault="00E61CF3" w:rsidP="00380D78">
            <w:pPr>
              <w:jc w:val="center"/>
            </w:pPr>
          </w:p>
        </w:tc>
        <w:tc>
          <w:tcPr>
            <w:tcW w:w="1078" w:type="dxa"/>
            <w:vAlign w:val="bottom"/>
          </w:tcPr>
          <w:p w14:paraId="4BF42F9F" w14:textId="77777777" w:rsidR="00E61CF3" w:rsidRPr="000967D6" w:rsidRDefault="00E61CF3" w:rsidP="00380D78">
            <w:pPr>
              <w:jc w:val="center"/>
            </w:pPr>
            <w:r w:rsidRPr="00055EC1">
              <w:rPr>
                <w:color w:val="000000"/>
              </w:rPr>
              <w:t>17.8</w:t>
            </w:r>
          </w:p>
        </w:tc>
        <w:tc>
          <w:tcPr>
            <w:tcW w:w="1076" w:type="dxa"/>
          </w:tcPr>
          <w:p w14:paraId="71D3D35E" w14:textId="77777777" w:rsidR="00E61CF3" w:rsidRPr="000967D6" w:rsidRDefault="00E61CF3" w:rsidP="00380D78">
            <w:pPr>
              <w:jc w:val="center"/>
            </w:pPr>
          </w:p>
        </w:tc>
      </w:tr>
      <w:tr w:rsidR="00E61CF3" w:rsidRPr="000967D6" w14:paraId="31CB5BA1" w14:textId="77777777" w:rsidTr="00380D78">
        <w:tc>
          <w:tcPr>
            <w:tcW w:w="3369" w:type="dxa"/>
          </w:tcPr>
          <w:p w14:paraId="2713A59E" w14:textId="77777777" w:rsidR="00E61CF3" w:rsidRPr="000967D6" w:rsidRDefault="00E61CF3" w:rsidP="00380D78">
            <w:pPr>
              <w:ind w:left="22" w:firstLineChars="100" w:firstLine="200"/>
            </w:pPr>
            <w:r w:rsidRPr="000967D6">
              <w:t>SA</w:t>
            </w:r>
          </w:p>
        </w:tc>
        <w:tc>
          <w:tcPr>
            <w:tcW w:w="6412" w:type="dxa"/>
          </w:tcPr>
          <w:p w14:paraId="37C55433" w14:textId="77777777" w:rsidR="00E61CF3" w:rsidRPr="000967D6" w:rsidRDefault="00E61CF3" w:rsidP="00380D78">
            <w:r w:rsidRPr="000967D6">
              <w:t>South Australia</w:t>
            </w:r>
          </w:p>
        </w:tc>
        <w:tc>
          <w:tcPr>
            <w:tcW w:w="1115" w:type="dxa"/>
            <w:vAlign w:val="bottom"/>
          </w:tcPr>
          <w:p w14:paraId="283BEC0A" w14:textId="77777777" w:rsidR="00E61CF3" w:rsidRPr="000967D6" w:rsidRDefault="00E61CF3" w:rsidP="00380D78">
            <w:pPr>
              <w:jc w:val="center"/>
            </w:pPr>
            <w:r w:rsidRPr="006D07BA">
              <w:rPr>
                <w:color w:val="000000"/>
              </w:rPr>
              <w:t>8.4</w:t>
            </w:r>
          </w:p>
        </w:tc>
        <w:tc>
          <w:tcPr>
            <w:tcW w:w="1068" w:type="dxa"/>
          </w:tcPr>
          <w:p w14:paraId="1DDB085D" w14:textId="77777777" w:rsidR="00E61CF3" w:rsidRPr="000967D6" w:rsidRDefault="00E61CF3" w:rsidP="00380D78">
            <w:pPr>
              <w:jc w:val="center"/>
            </w:pPr>
          </w:p>
        </w:tc>
        <w:tc>
          <w:tcPr>
            <w:tcW w:w="1078" w:type="dxa"/>
            <w:vAlign w:val="bottom"/>
          </w:tcPr>
          <w:p w14:paraId="76DC8B42" w14:textId="77777777" w:rsidR="00E61CF3" w:rsidRPr="000967D6" w:rsidRDefault="00E61CF3" w:rsidP="00380D78">
            <w:pPr>
              <w:jc w:val="center"/>
            </w:pPr>
            <w:r w:rsidRPr="00055EC1">
              <w:rPr>
                <w:color w:val="000000"/>
              </w:rPr>
              <w:t>8.3</w:t>
            </w:r>
          </w:p>
        </w:tc>
        <w:tc>
          <w:tcPr>
            <w:tcW w:w="1076" w:type="dxa"/>
          </w:tcPr>
          <w:p w14:paraId="05D75B04" w14:textId="77777777" w:rsidR="00E61CF3" w:rsidRPr="000967D6" w:rsidRDefault="00E61CF3" w:rsidP="00380D78">
            <w:pPr>
              <w:jc w:val="center"/>
            </w:pPr>
          </w:p>
        </w:tc>
      </w:tr>
      <w:tr w:rsidR="00E61CF3" w:rsidRPr="000967D6" w14:paraId="19BE763D" w14:textId="77777777" w:rsidTr="00380D78">
        <w:tc>
          <w:tcPr>
            <w:tcW w:w="3369" w:type="dxa"/>
          </w:tcPr>
          <w:p w14:paraId="61870BA6" w14:textId="77777777" w:rsidR="00E61CF3" w:rsidRPr="000967D6" w:rsidRDefault="00E61CF3" w:rsidP="00380D78">
            <w:pPr>
              <w:ind w:left="22" w:firstLineChars="100" w:firstLine="200"/>
            </w:pPr>
            <w:r w:rsidRPr="000967D6">
              <w:t>WA</w:t>
            </w:r>
          </w:p>
        </w:tc>
        <w:tc>
          <w:tcPr>
            <w:tcW w:w="6412" w:type="dxa"/>
          </w:tcPr>
          <w:p w14:paraId="14D6C92E" w14:textId="77777777" w:rsidR="00E61CF3" w:rsidRPr="000967D6" w:rsidRDefault="00E61CF3" w:rsidP="00380D78">
            <w:r w:rsidRPr="000967D6">
              <w:t>Western Australia</w:t>
            </w:r>
          </w:p>
        </w:tc>
        <w:tc>
          <w:tcPr>
            <w:tcW w:w="1115" w:type="dxa"/>
            <w:vAlign w:val="bottom"/>
          </w:tcPr>
          <w:p w14:paraId="0EF0B671" w14:textId="77777777" w:rsidR="00E61CF3" w:rsidRPr="000967D6" w:rsidRDefault="00E61CF3" w:rsidP="00380D78">
            <w:pPr>
              <w:jc w:val="center"/>
            </w:pPr>
            <w:r w:rsidRPr="006D07BA">
              <w:rPr>
                <w:color w:val="000000"/>
              </w:rPr>
              <w:t>11.6</w:t>
            </w:r>
          </w:p>
        </w:tc>
        <w:tc>
          <w:tcPr>
            <w:tcW w:w="1068" w:type="dxa"/>
          </w:tcPr>
          <w:p w14:paraId="4393C087" w14:textId="77777777" w:rsidR="00E61CF3" w:rsidRPr="000967D6" w:rsidRDefault="00E61CF3" w:rsidP="00380D78">
            <w:pPr>
              <w:jc w:val="center"/>
            </w:pPr>
          </w:p>
        </w:tc>
        <w:tc>
          <w:tcPr>
            <w:tcW w:w="1078" w:type="dxa"/>
            <w:vAlign w:val="bottom"/>
          </w:tcPr>
          <w:p w14:paraId="164DCCB8" w14:textId="77777777" w:rsidR="00E61CF3" w:rsidRPr="000967D6" w:rsidRDefault="00E61CF3" w:rsidP="00380D78">
            <w:pPr>
              <w:jc w:val="center"/>
            </w:pPr>
            <w:r w:rsidRPr="00055EC1">
              <w:rPr>
                <w:color w:val="000000"/>
              </w:rPr>
              <w:t>11.6</w:t>
            </w:r>
          </w:p>
        </w:tc>
        <w:tc>
          <w:tcPr>
            <w:tcW w:w="1076" w:type="dxa"/>
          </w:tcPr>
          <w:p w14:paraId="41B361DF" w14:textId="77777777" w:rsidR="00E61CF3" w:rsidRPr="000967D6" w:rsidRDefault="00E61CF3" w:rsidP="00380D78">
            <w:pPr>
              <w:jc w:val="center"/>
            </w:pPr>
          </w:p>
        </w:tc>
      </w:tr>
      <w:tr w:rsidR="00E61CF3" w:rsidRPr="000967D6" w14:paraId="25256736" w14:textId="77777777" w:rsidTr="00380D78">
        <w:tc>
          <w:tcPr>
            <w:tcW w:w="3369" w:type="dxa"/>
          </w:tcPr>
          <w:p w14:paraId="3ACACDEA" w14:textId="77777777" w:rsidR="00E61CF3" w:rsidRPr="000967D6" w:rsidRDefault="00E61CF3" w:rsidP="00380D78">
            <w:pPr>
              <w:ind w:left="22" w:firstLineChars="100" w:firstLine="200"/>
            </w:pPr>
            <w:r w:rsidRPr="000967D6">
              <w:t>TAS</w:t>
            </w:r>
          </w:p>
        </w:tc>
        <w:tc>
          <w:tcPr>
            <w:tcW w:w="6412" w:type="dxa"/>
          </w:tcPr>
          <w:p w14:paraId="114A55FD" w14:textId="77777777" w:rsidR="00E61CF3" w:rsidRPr="000967D6" w:rsidRDefault="00E61CF3" w:rsidP="00380D78">
            <w:r w:rsidRPr="000967D6">
              <w:t>Tasmania</w:t>
            </w:r>
          </w:p>
        </w:tc>
        <w:tc>
          <w:tcPr>
            <w:tcW w:w="1115" w:type="dxa"/>
            <w:vAlign w:val="bottom"/>
          </w:tcPr>
          <w:p w14:paraId="6BD1856D" w14:textId="77777777" w:rsidR="00E61CF3" w:rsidRPr="000967D6" w:rsidRDefault="00E61CF3" w:rsidP="00380D78">
            <w:pPr>
              <w:jc w:val="center"/>
            </w:pPr>
            <w:r w:rsidRPr="006D07BA">
              <w:rPr>
                <w:color w:val="000000"/>
              </w:rPr>
              <w:t>3.0</w:t>
            </w:r>
          </w:p>
        </w:tc>
        <w:tc>
          <w:tcPr>
            <w:tcW w:w="1068" w:type="dxa"/>
          </w:tcPr>
          <w:p w14:paraId="5FF8A17A" w14:textId="77777777" w:rsidR="00E61CF3" w:rsidRPr="000967D6" w:rsidRDefault="00E61CF3" w:rsidP="00380D78">
            <w:pPr>
              <w:jc w:val="center"/>
            </w:pPr>
          </w:p>
        </w:tc>
        <w:tc>
          <w:tcPr>
            <w:tcW w:w="1078" w:type="dxa"/>
            <w:vAlign w:val="bottom"/>
          </w:tcPr>
          <w:p w14:paraId="6057C153" w14:textId="77777777" w:rsidR="00E61CF3" w:rsidRPr="000967D6" w:rsidRDefault="00E61CF3" w:rsidP="00380D78">
            <w:pPr>
              <w:jc w:val="center"/>
            </w:pPr>
            <w:r w:rsidRPr="00055EC1">
              <w:rPr>
                <w:color w:val="000000"/>
              </w:rPr>
              <w:t>2.9</w:t>
            </w:r>
          </w:p>
        </w:tc>
        <w:tc>
          <w:tcPr>
            <w:tcW w:w="1076" w:type="dxa"/>
          </w:tcPr>
          <w:p w14:paraId="21A07E99" w14:textId="77777777" w:rsidR="00E61CF3" w:rsidRPr="000967D6" w:rsidRDefault="00E61CF3" w:rsidP="00380D78">
            <w:pPr>
              <w:jc w:val="center"/>
            </w:pPr>
          </w:p>
        </w:tc>
      </w:tr>
      <w:tr w:rsidR="00E61CF3" w:rsidRPr="000967D6" w14:paraId="63B5065F" w14:textId="77777777" w:rsidTr="00380D78">
        <w:tc>
          <w:tcPr>
            <w:tcW w:w="3369" w:type="dxa"/>
          </w:tcPr>
          <w:p w14:paraId="26F53BDD" w14:textId="77777777" w:rsidR="00E61CF3" w:rsidRPr="000967D6" w:rsidRDefault="00E61CF3" w:rsidP="00380D78">
            <w:pPr>
              <w:ind w:left="22" w:firstLineChars="100" w:firstLine="200"/>
            </w:pPr>
            <w:r w:rsidRPr="000967D6">
              <w:t>NT</w:t>
            </w:r>
          </w:p>
        </w:tc>
        <w:tc>
          <w:tcPr>
            <w:tcW w:w="6412" w:type="dxa"/>
          </w:tcPr>
          <w:p w14:paraId="29065E6F" w14:textId="77777777" w:rsidR="00E61CF3" w:rsidRPr="000967D6" w:rsidRDefault="00E61CF3" w:rsidP="00380D78">
            <w:r w:rsidRPr="000967D6">
              <w:t>Northern Territory</w:t>
            </w:r>
          </w:p>
        </w:tc>
        <w:tc>
          <w:tcPr>
            <w:tcW w:w="1115" w:type="dxa"/>
            <w:vAlign w:val="bottom"/>
          </w:tcPr>
          <w:p w14:paraId="7461974C" w14:textId="77777777" w:rsidR="00E61CF3" w:rsidRPr="000967D6" w:rsidRDefault="00E61CF3" w:rsidP="00380D78">
            <w:pPr>
              <w:jc w:val="center"/>
            </w:pPr>
            <w:r w:rsidRPr="006D07BA">
              <w:rPr>
                <w:color w:val="000000"/>
              </w:rPr>
              <w:t>1.6</w:t>
            </w:r>
          </w:p>
        </w:tc>
        <w:tc>
          <w:tcPr>
            <w:tcW w:w="1068" w:type="dxa"/>
          </w:tcPr>
          <w:p w14:paraId="5EF629AE" w14:textId="77777777" w:rsidR="00E61CF3" w:rsidRPr="000967D6" w:rsidRDefault="00E61CF3" w:rsidP="00380D78">
            <w:pPr>
              <w:jc w:val="center"/>
            </w:pPr>
          </w:p>
        </w:tc>
        <w:tc>
          <w:tcPr>
            <w:tcW w:w="1078" w:type="dxa"/>
            <w:vAlign w:val="bottom"/>
          </w:tcPr>
          <w:p w14:paraId="24A9E7C8" w14:textId="77777777" w:rsidR="00E61CF3" w:rsidRPr="000967D6" w:rsidRDefault="00E61CF3" w:rsidP="00380D78">
            <w:pPr>
              <w:jc w:val="center"/>
            </w:pPr>
            <w:r w:rsidRPr="00055EC1">
              <w:rPr>
                <w:color w:val="000000"/>
              </w:rPr>
              <w:t>1.6</w:t>
            </w:r>
          </w:p>
        </w:tc>
        <w:tc>
          <w:tcPr>
            <w:tcW w:w="1076" w:type="dxa"/>
          </w:tcPr>
          <w:p w14:paraId="252DA8E4" w14:textId="77777777" w:rsidR="00E61CF3" w:rsidRPr="000967D6" w:rsidRDefault="00E61CF3" w:rsidP="00380D78">
            <w:pPr>
              <w:jc w:val="center"/>
            </w:pPr>
          </w:p>
        </w:tc>
      </w:tr>
      <w:tr w:rsidR="00E61CF3" w:rsidRPr="00BE1A0C" w14:paraId="7E0E3EE4" w14:textId="77777777" w:rsidTr="00380D78">
        <w:tc>
          <w:tcPr>
            <w:tcW w:w="3369" w:type="dxa"/>
          </w:tcPr>
          <w:p w14:paraId="32C258A8" w14:textId="77777777" w:rsidR="00E61CF3" w:rsidRPr="00BE1A0C" w:rsidRDefault="00E61CF3" w:rsidP="00380D78">
            <w:pPr>
              <w:ind w:left="22"/>
            </w:pPr>
          </w:p>
        </w:tc>
        <w:tc>
          <w:tcPr>
            <w:tcW w:w="6412" w:type="dxa"/>
          </w:tcPr>
          <w:p w14:paraId="64CFFF51" w14:textId="77777777" w:rsidR="00E61CF3" w:rsidRPr="00BE1A0C" w:rsidRDefault="00E61CF3" w:rsidP="00380D78">
            <w:pPr>
              <w:ind w:left="22"/>
            </w:pPr>
          </w:p>
        </w:tc>
        <w:tc>
          <w:tcPr>
            <w:tcW w:w="1115" w:type="dxa"/>
          </w:tcPr>
          <w:p w14:paraId="1A82C1E9" w14:textId="77777777" w:rsidR="00E61CF3" w:rsidRPr="00BE1A0C" w:rsidRDefault="00E61CF3" w:rsidP="00380D78">
            <w:pPr>
              <w:jc w:val="center"/>
            </w:pPr>
          </w:p>
        </w:tc>
        <w:tc>
          <w:tcPr>
            <w:tcW w:w="1068" w:type="dxa"/>
          </w:tcPr>
          <w:p w14:paraId="2555C84F" w14:textId="77777777" w:rsidR="00E61CF3" w:rsidRPr="00BE1A0C" w:rsidRDefault="00E61CF3" w:rsidP="00380D78">
            <w:pPr>
              <w:jc w:val="center"/>
            </w:pPr>
          </w:p>
        </w:tc>
        <w:tc>
          <w:tcPr>
            <w:tcW w:w="1078" w:type="dxa"/>
          </w:tcPr>
          <w:p w14:paraId="66F24F2C" w14:textId="77777777" w:rsidR="00E61CF3" w:rsidRPr="00BE1A0C" w:rsidRDefault="00E61CF3" w:rsidP="00380D78">
            <w:pPr>
              <w:jc w:val="center"/>
            </w:pPr>
          </w:p>
        </w:tc>
        <w:tc>
          <w:tcPr>
            <w:tcW w:w="1076" w:type="dxa"/>
          </w:tcPr>
          <w:p w14:paraId="78D427F8" w14:textId="77777777" w:rsidR="00E61CF3" w:rsidRPr="00BE1A0C" w:rsidRDefault="00E61CF3" w:rsidP="00380D78">
            <w:pPr>
              <w:jc w:val="center"/>
            </w:pPr>
          </w:p>
        </w:tc>
      </w:tr>
      <w:tr w:rsidR="00E61CF3" w:rsidRPr="000967D6" w14:paraId="0FFC43B6" w14:textId="77777777" w:rsidTr="00380D78">
        <w:tc>
          <w:tcPr>
            <w:tcW w:w="3369" w:type="dxa"/>
          </w:tcPr>
          <w:p w14:paraId="038F9CF4" w14:textId="77777777" w:rsidR="00E61CF3" w:rsidRPr="00BE1A0C" w:rsidRDefault="00E61CF3" w:rsidP="00380D78">
            <w:pPr>
              <w:ind w:left="22"/>
              <w:rPr>
                <w:b/>
                <w:i/>
              </w:rPr>
            </w:pPr>
            <w:r w:rsidRPr="00BE1A0C">
              <w:rPr>
                <w:b/>
                <w:i/>
              </w:rPr>
              <w:t>ICSEA</w:t>
            </w:r>
          </w:p>
        </w:tc>
        <w:tc>
          <w:tcPr>
            <w:tcW w:w="6412" w:type="dxa"/>
          </w:tcPr>
          <w:p w14:paraId="3784F450" w14:textId="77777777" w:rsidR="00E61CF3" w:rsidRPr="000967D6" w:rsidRDefault="00E61CF3" w:rsidP="00380D78">
            <w:r>
              <w:t>Socio-educational</w:t>
            </w:r>
            <w:r w:rsidRPr="000967D6">
              <w:t xml:space="preserve"> advantage</w:t>
            </w:r>
          </w:p>
        </w:tc>
        <w:tc>
          <w:tcPr>
            <w:tcW w:w="1115" w:type="dxa"/>
          </w:tcPr>
          <w:p w14:paraId="029D7955" w14:textId="77777777" w:rsidR="00E61CF3" w:rsidRPr="000967D6" w:rsidRDefault="00E61CF3" w:rsidP="00380D78">
            <w:pPr>
              <w:jc w:val="center"/>
            </w:pPr>
            <w:r w:rsidRPr="006D07BA">
              <w:rPr>
                <w:color w:val="000000"/>
              </w:rPr>
              <w:t>1010.2</w:t>
            </w:r>
          </w:p>
        </w:tc>
        <w:tc>
          <w:tcPr>
            <w:tcW w:w="1068" w:type="dxa"/>
          </w:tcPr>
          <w:p w14:paraId="6E44644E" w14:textId="77777777" w:rsidR="00E61CF3" w:rsidRPr="000967D6" w:rsidRDefault="00E61CF3" w:rsidP="00380D78">
            <w:pPr>
              <w:jc w:val="center"/>
            </w:pPr>
            <w:r w:rsidRPr="006D07BA">
              <w:rPr>
                <w:color w:val="000000"/>
              </w:rPr>
              <w:t>95.4</w:t>
            </w:r>
          </w:p>
        </w:tc>
        <w:tc>
          <w:tcPr>
            <w:tcW w:w="1078" w:type="dxa"/>
            <w:vAlign w:val="bottom"/>
          </w:tcPr>
          <w:p w14:paraId="50C8E78B" w14:textId="77777777" w:rsidR="00E61CF3" w:rsidRPr="000967D6" w:rsidRDefault="00E61CF3" w:rsidP="00380D78">
            <w:pPr>
              <w:jc w:val="center"/>
            </w:pPr>
            <w:r w:rsidRPr="00630A9B">
              <w:rPr>
                <w:color w:val="000000"/>
              </w:rPr>
              <w:t>1010.6</w:t>
            </w:r>
          </w:p>
        </w:tc>
        <w:tc>
          <w:tcPr>
            <w:tcW w:w="1076" w:type="dxa"/>
            <w:vAlign w:val="bottom"/>
          </w:tcPr>
          <w:p w14:paraId="46679CEE" w14:textId="77777777" w:rsidR="00E61CF3" w:rsidRPr="000967D6" w:rsidRDefault="00E61CF3" w:rsidP="00380D78">
            <w:pPr>
              <w:jc w:val="center"/>
            </w:pPr>
            <w:r w:rsidRPr="00630A9B">
              <w:rPr>
                <w:color w:val="000000"/>
              </w:rPr>
              <w:t>95.5</w:t>
            </w:r>
          </w:p>
        </w:tc>
      </w:tr>
      <w:tr w:rsidR="00E61CF3" w:rsidRPr="00BE1A0C" w14:paraId="4570ADBD" w14:textId="77777777" w:rsidTr="00380D78">
        <w:tc>
          <w:tcPr>
            <w:tcW w:w="3369" w:type="dxa"/>
          </w:tcPr>
          <w:p w14:paraId="5BBE4A26" w14:textId="77777777" w:rsidR="00E61CF3" w:rsidRPr="00BE1A0C" w:rsidRDefault="00E61CF3" w:rsidP="00380D78">
            <w:pPr>
              <w:ind w:left="22"/>
            </w:pPr>
          </w:p>
        </w:tc>
        <w:tc>
          <w:tcPr>
            <w:tcW w:w="6412" w:type="dxa"/>
          </w:tcPr>
          <w:p w14:paraId="2E2F7404" w14:textId="77777777" w:rsidR="00E61CF3" w:rsidRPr="00BE1A0C" w:rsidRDefault="00E61CF3" w:rsidP="00380D78">
            <w:pPr>
              <w:ind w:left="22"/>
            </w:pPr>
          </w:p>
        </w:tc>
        <w:tc>
          <w:tcPr>
            <w:tcW w:w="1115" w:type="dxa"/>
          </w:tcPr>
          <w:p w14:paraId="6D82799E" w14:textId="77777777" w:rsidR="00E61CF3" w:rsidRPr="00BE1A0C" w:rsidRDefault="00E61CF3" w:rsidP="00380D78">
            <w:pPr>
              <w:jc w:val="center"/>
            </w:pPr>
          </w:p>
        </w:tc>
        <w:tc>
          <w:tcPr>
            <w:tcW w:w="1068" w:type="dxa"/>
          </w:tcPr>
          <w:p w14:paraId="41809D22" w14:textId="77777777" w:rsidR="00E61CF3" w:rsidRPr="00BE1A0C" w:rsidRDefault="00E61CF3" w:rsidP="00380D78">
            <w:pPr>
              <w:jc w:val="center"/>
            </w:pPr>
          </w:p>
        </w:tc>
        <w:tc>
          <w:tcPr>
            <w:tcW w:w="1078" w:type="dxa"/>
          </w:tcPr>
          <w:p w14:paraId="7E18E934" w14:textId="77777777" w:rsidR="00E61CF3" w:rsidRPr="00BE1A0C" w:rsidRDefault="00E61CF3" w:rsidP="00380D78">
            <w:pPr>
              <w:jc w:val="center"/>
            </w:pPr>
          </w:p>
        </w:tc>
        <w:tc>
          <w:tcPr>
            <w:tcW w:w="1076" w:type="dxa"/>
          </w:tcPr>
          <w:p w14:paraId="1CB77783" w14:textId="77777777" w:rsidR="00E61CF3" w:rsidRPr="00BE1A0C" w:rsidRDefault="00E61CF3" w:rsidP="00380D78">
            <w:pPr>
              <w:jc w:val="center"/>
            </w:pPr>
          </w:p>
        </w:tc>
      </w:tr>
      <w:tr w:rsidR="00E61CF3" w:rsidRPr="000967D6" w14:paraId="26667B18" w14:textId="77777777" w:rsidTr="00380D78">
        <w:tc>
          <w:tcPr>
            <w:tcW w:w="3369" w:type="dxa"/>
          </w:tcPr>
          <w:p w14:paraId="0EC5FAA3" w14:textId="77777777" w:rsidR="00E61CF3" w:rsidRPr="000967D6" w:rsidRDefault="00E61CF3" w:rsidP="00380D78">
            <w:pPr>
              <w:ind w:left="22"/>
              <w:rPr>
                <w:b/>
                <w:i/>
              </w:rPr>
            </w:pPr>
            <w:r w:rsidRPr="000967D6">
              <w:rPr>
                <w:b/>
                <w:i/>
              </w:rPr>
              <w:t>Indigenous</w:t>
            </w:r>
          </w:p>
        </w:tc>
        <w:tc>
          <w:tcPr>
            <w:tcW w:w="6412" w:type="dxa"/>
          </w:tcPr>
          <w:p w14:paraId="5C2D03EC" w14:textId="77777777" w:rsidR="00E61CF3" w:rsidRPr="000967D6" w:rsidRDefault="00E61CF3" w:rsidP="00380D78">
            <w:pPr>
              <w:ind w:left="22"/>
            </w:pPr>
          </w:p>
        </w:tc>
        <w:tc>
          <w:tcPr>
            <w:tcW w:w="1115" w:type="dxa"/>
          </w:tcPr>
          <w:p w14:paraId="45FC643A" w14:textId="77777777" w:rsidR="00E61CF3" w:rsidRPr="000967D6" w:rsidRDefault="00E61CF3" w:rsidP="00380D78">
            <w:pPr>
              <w:jc w:val="center"/>
            </w:pPr>
          </w:p>
        </w:tc>
        <w:tc>
          <w:tcPr>
            <w:tcW w:w="1068" w:type="dxa"/>
          </w:tcPr>
          <w:p w14:paraId="7E9DE9B2" w14:textId="77777777" w:rsidR="00E61CF3" w:rsidRPr="000967D6" w:rsidRDefault="00E61CF3" w:rsidP="00380D78">
            <w:pPr>
              <w:jc w:val="center"/>
            </w:pPr>
          </w:p>
        </w:tc>
        <w:tc>
          <w:tcPr>
            <w:tcW w:w="1078" w:type="dxa"/>
          </w:tcPr>
          <w:p w14:paraId="0B1B4FB2" w14:textId="77777777" w:rsidR="00E61CF3" w:rsidRPr="000967D6" w:rsidRDefault="00E61CF3" w:rsidP="00380D78">
            <w:pPr>
              <w:jc w:val="center"/>
            </w:pPr>
          </w:p>
        </w:tc>
        <w:tc>
          <w:tcPr>
            <w:tcW w:w="1076" w:type="dxa"/>
          </w:tcPr>
          <w:p w14:paraId="31CD2739" w14:textId="77777777" w:rsidR="00E61CF3" w:rsidRPr="000967D6" w:rsidRDefault="00E61CF3" w:rsidP="00380D78">
            <w:pPr>
              <w:jc w:val="center"/>
            </w:pPr>
          </w:p>
        </w:tc>
      </w:tr>
      <w:tr w:rsidR="00E61CF3" w:rsidRPr="000967D6" w14:paraId="503B1016" w14:textId="77777777" w:rsidTr="00380D78">
        <w:tc>
          <w:tcPr>
            <w:tcW w:w="3369" w:type="dxa"/>
          </w:tcPr>
          <w:p w14:paraId="448D02D6" w14:textId="77777777" w:rsidR="00E61CF3" w:rsidRPr="000967D6" w:rsidRDefault="00E61CF3" w:rsidP="00380D78">
            <w:pPr>
              <w:ind w:left="22" w:firstLine="153"/>
            </w:pPr>
            <w:r w:rsidRPr="000967D6">
              <w:t>Low</w:t>
            </w:r>
          </w:p>
        </w:tc>
        <w:tc>
          <w:tcPr>
            <w:tcW w:w="6412" w:type="dxa"/>
          </w:tcPr>
          <w:p w14:paraId="70B2B1A4" w14:textId="77777777" w:rsidR="00E61CF3" w:rsidRPr="000967D6" w:rsidRDefault="00E61CF3" w:rsidP="00380D78">
            <w:pPr>
              <w:ind w:left="22"/>
            </w:pPr>
            <w:r w:rsidRPr="000967D6">
              <w:t>No recorded enrolments</w:t>
            </w:r>
          </w:p>
        </w:tc>
        <w:tc>
          <w:tcPr>
            <w:tcW w:w="1115" w:type="dxa"/>
            <w:vAlign w:val="bottom"/>
          </w:tcPr>
          <w:p w14:paraId="1255E1FB" w14:textId="77777777" w:rsidR="00E61CF3" w:rsidRPr="000967D6" w:rsidRDefault="00E61CF3" w:rsidP="00380D78">
            <w:pPr>
              <w:jc w:val="center"/>
            </w:pPr>
            <w:r w:rsidRPr="00DB6AB7">
              <w:rPr>
                <w:color w:val="000000"/>
              </w:rPr>
              <w:t>9.2</w:t>
            </w:r>
          </w:p>
        </w:tc>
        <w:tc>
          <w:tcPr>
            <w:tcW w:w="1068" w:type="dxa"/>
          </w:tcPr>
          <w:p w14:paraId="03CB2856" w14:textId="77777777" w:rsidR="00E61CF3" w:rsidRPr="000967D6" w:rsidRDefault="00E61CF3" w:rsidP="00380D78">
            <w:pPr>
              <w:jc w:val="center"/>
            </w:pPr>
          </w:p>
        </w:tc>
        <w:tc>
          <w:tcPr>
            <w:tcW w:w="1078" w:type="dxa"/>
            <w:vAlign w:val="bottom"/>
          </w:tcPr>
          <w:p w14:paraId="23D73007" w14:textId="77777777" w:rsidR="00E61CF3" w:rsidRPr="000967D6" w:rsidRDefault="00E61CF3" w:rsidP="00380D78">
            <w:pPr>
              <w:jc w:val="center"/>
            </w:pPr>
            <w:r w:rsidRPr="00943A01">
              <w:rPr>
                <w:color w:val="000000"/>
              </w:rPr>
              <w:t>9.1</w:t>
            </w:r>
          </w:p>
        </w:tc>
        <w:tc>
          <w:tcPr>
            <w:tcW w:w="1076" w:type="dxa"/>
          </w:tcPr>
          <w:p w14:paraId="115A4CA5" w14:textId="77777777" w:rsidR="00E61CF3" w:rsidRPr="000967D6" w:rsidRDefault="00E61CF3" w:rsidP="00380D78">
            <w:pPr>
              <w:jc w:val="center"/>
            </w:pPr>
          </w:p>
        </w:tc>
      </w:tr>
      <w:tr w:rsidR="00E61CF3" w:rsidRPr="000967D6" w14:paraId="17A31658" w14:textId="77777777" w:rsidTr="00380D78">
        <w:tc>
          <w:tcPr>
            <w:tcW w:w="3369" w:type="dxa"/>
          </w:tcPr>
          <w:p w14:paraId="04E4F409" w14:textId="77777777" w:rsidR="00E61CF3" w:rsidRPr="000967D6" w:rsidRDefault="00E61CF3" w:rsidP="00380D78">
            <w:pPr>
              <w:ind w:left="22" w:firstLine="179"/>
            </w:pPr>
            <w:r w:rsidRPr="000967D6">
              <w:t>Medium</w:t>
            </w:r>
            <w:r>
              <w:t xml:space="preserve"> (ref.)</w:t>
            </w:r>
          </w:p>
        </w:tc>
        <w:tc>
          <w:tcPr>
            <w:tcW w:w="6412" w:type="dxa"/>
          </w:tcPr>
          <w:p w14:paraId="5E72C127" w14:textId="77777777" w:rsidR="00E61CF3" w:rsidRPr="000967D6" w:rsidRDefault="00E61CF3" w:rsidP="00380D78">
            <w:r w:rsidRPr="000967D6">
              <w:t>1-50 recorded enrolments</w:t>
            </w:r>
          </w:p>
        </w:tc>
        <w:tc>
          <w:tcPr>
            <w:tcW w:w="1115" w:type="dxa"/>
            <w:vAlign w:val="bottom"/>
          </w:tcPr>
          <w:p w14:paraId="7368E4BC" w14:textId="77777777" w:rsidR="00E61CF3" w:rsidRPr="000967D6" w:rsidRDefault="00E61CF3" w:rsidP="00380D78">
            <w:pPr>
              <w:jc w:val="center"/>
            </w:pPr>
            <w:r w:rsidRPr="00DB6AB7">
              <w:rPr>
                <w:color w:val="000000"/>
              </w:rPr>
              <w:t>74.8</w:t>
            </w:r>
          </w:p>
        </w:tc>
        <w:tc>
          <w:tcPr>
            <w:tcW w:w="1068" w:type="dxa"/>
          </w:tcPr>
          <w:p w14:paraId="1A1BEBE6" w14:textId="77777777" w:rsidR="00E61CF3" w:rsidRPr="000967D6" w:rsidRDefault="00E61CF3" w:rsidP="00380D78">
            <w:pPr>
              <w:jc w:val="center"/>
            </w:pPr>
          </w:p>
        </w:tc>
        <w:tc>
          <w:tcPr>
            <w:tcW w:w="1078" w:type="dxa"/>
            <w:vAlign w:val="bottom"/>
          </w:tcPr>
          <w:p w14:paraId="3C3583BD" w14:textId="77777777" w:rsidR="00E61CF3" w:rsidRPr="000967D6" w:rsidRDefault="00E61CF3" w:rsidP="00380D78">
            <w:pPr>
              <w:jc w:val="center"/>
            </w:pPr>
            <w:r w:rsidRPr="00943A01">
              <w:rPr>
                <w:color w:val="000000"/>
              </w:rPr>
              <w:t>74.7</w:t>
            </w:r>
          </w:p>
        </w:tc>
        <w:tc>
          <w:tcPr>
            <w:tcW w:w="1076" w:type="dxa"/>
          </w:tcPr>
          <w:p w14:paraId="6C0BB170" w14:textId="77777777" w:rsidR="00E61CF3" w:rsidRPr="000967D6" w:rsidRDefault="00E61CF3" w:rsidP="00380D78">
            <w:pPr>
              <w:jc w:val="center"/>
            </w:pPr>
          </w:p>
        </w:tc>
      </w:tr>
      <w:tr w:rsidR="00E61CF3" w:rsidRPr="000967D6" w14:paraId="2E11F696" w14:textId="77777777" w:rsidTr="00380D78">
        <w:tc>
          <w:tcPr>
            <w:tcW w:w="3369" w:type="dxa"/>
          </w:tcPr>
          <w:p w14:paraId="669CDCCC" w14:textId="77777777" w:rsidR="00E61CF3" w:rsidRPr="000967D6" w:rsidRDefault="00E61CF3" w:rsidP="00380D78">
            <w:pPr>
              <w:ind w:left="22" w:firstLine="179"/>
            </w:pPr>
            <w:r w:rsidRPr="000967D6">
              <w:t xml:space="preserve">High </w:t>
            </w:r>
          </w:p>
        </w:tc>
        <w:tc>
          <w:tcPr>
            <w:tcW w:w="6412" w:type="dxa"/>
          </w:tcPr>
          <w:p w14:paraId="2ACF6C1B" w14:textId="77777777" w:rsidR="00E61CF3" w:rsidRPr="000967D6" w:rsidRDefault="00E61CF3" w:rsidP="00380D78">
            <w:r w:rsidRPr="000967D6">
              <w:t>51-100 recorded enrolments</w:t>
            </w:r>
          </w:p>
        </w:tc>
        <w:tc>
          <w:tcPr>
            <w:tcW w:w="1115" w:type="dxa"/>
            <w:vAlign w:val="bottom"/>
          </w:tcPr>
          <w:p w14:paraId="72731428" w14:textId="77777777" w:rsidR="00E61CF3" w:rsidRPr="000967D6" w:rsidRDefault="00E61CF3" w:rsidP="00380D78">
            <w:pPr>
              <w:jc w:val="center"/>
            </w:pPr>
            <w:r w:rsidRPr="00DB6AB7">
              <w:rPr>
                <w:color w:val="000000"/>
              </w:rPr>
              <w:t>2.6</w:t>
            </w:r>
          </w:p>
        </w:tc>
        <w:tc>
          <w:tcPr>
            <w:tcW w:w="1068" w:type="dxa"/>
          </w:tcPr>
          <w:p w14:paraId="43D94641" w14:textId="77777777" w:rsidR="00E61CF3" w:rsidRPr="000967D6" w:rsidRDefault="00E61CF3" w:rsidP="00380D78">
            <w:pPr>
              <w:jc w:val="center"/>
            </w:pPr>
          </w:p>
        </w:tc>
        <w:tc>
          <w:tcPr>
            <w:tcW w:w="1078" w:type="dxa"/>
            <w:vAlign w:val="bottom"/>
          </w:tcPr>
          <w:p w14:paraId="0169120B" w14:textId="77777777" w:rsidR="00E61CF3" w:rsidRPr="000967D6" w:rsidRDefault="00E61CF3" w:rsidP="00380D78">
            <w:pPr>
              <w:jc w:val="center"/>
            </w:pPr>
            <w:r w:rsidRPr="00943A01">
              <w:rPr>
                <w:color w:val="000000"/>
              </w:rPr>
              <w:t>2.6</w:t>
            </w:r>
          </w:p>
        </w:tc>
        <w:tc>
          <w:tcPr>
            <w:tcW w:w="1076" w:type="dxa"/>
          </w:tcPr>
          <w:p w14:paraId="36E5EF16" w14:textId="77777777" w:rsidR="00E61CF3" w:rsidRPr="000967D6" w:rsidRDefault="00E61CF3" w:rsidP="00380D78">
            <w:pPr>
              <w:jc w:val="center"/>
            </w:pPr>
          </w:p>
        </w:tc>
      </w:tr>
      <w:tr w:rsidR="00E61CF3" w:rsidRPr="000967D6" w14:paraId="6CC81410" w14:textId="77777777" w:rsidTr="00380D78">
        <w:tc>
          <w:tcPr>
            <w:tcW w:w="3369" w:type="dxa"/>
          </w:tcPr>
          <w:p w14:paraId="022DA466" w14:textId="77777777" w:rsidR="00E61CF3" w:rsidRPr="000967D6" w:rsidRDefault="00E61CF3" w:rsidP="00380D78">
            <w:pPr>
              <w:ind w:left="22" w:firstLine="179"/>
            </w:pPr>
            <w:r w:rsidRPr="000967D6">
              <w:t>Missing</w:t>
            </w:r>
          </w:p>
        </w:tc>
        <w:tc>
          <w:tcPr>
            <w:tcW w:w="6412" w:type="dxa"/>
          </w:tcPr>
          <w:p w14:paraId="2C08909B" w14:textId="77777777" w:rsidR="00E61CF3" w:rsidRPr="000967D6" w:rsidRDefault="00E61CF3" w:rsidP="00380D78">
            <w:r w:rsidRPr="000967D6">
              <w:t>Missing</w:t>
            </w:r>
          </w:p>
        </w:tc>
        <w:tc>
          <w:tcPr>
            <w:tcW w:w="1115" w:type="dxa"/>
            <w:vAlign w:val="bottom"/>
          </w:tcPr>
          <w:p w14:paraId="5FA062F3" w14:textId="77777777" w:rsidR="00E61CF3" w:rsidRPr="000967D6" w:rsidRDefault="00E61CF3" w:rsidP="00380D78">
            <w:pPr>
              <w:jc w:val="center"/>
            </w:pPr>
            <w:r w:rsidRPr="00DB6AB7">
              <w:rPr>
                <w:color w:val="000000"/>
              </w:rPr>
              <w:t>13.5</w:t>
            </w:r>
          </w:p>
        </w:tc>
        <w:tc>
          <w:tcPr>
            <w:tcW w:w="1068" w:type="dxa"/>
          </w:tcPr>
          <w:p w14:paraId="2700F08D" w14:textId="77777777" w:rsidR="00E61CF3" w:rsidRPr="000967D6" w:rsidRDefault="00E61CF3" w:rsidP="00380D78">
            <w:pPr>
              <w:jc w:val="center"/>
            </w:pPr>
          </w:p>
        </w:tc>
        <w:tc>
          <w:tcPr>
            <w:tcW w:w="1078" w:type="dxa"/>
            <w:vAlign w:val="bottom"/>
          </w:tcPr>
          <w:p w14:paraId="6A1916C1" w14:textId="77777777" w:rsidR="00E61CF3" w:rsidRPr="000967D6" w:rsidRDefault="00E61CF3" w:rsidP="00380D78">
            <w:pPr>
              <w:jc w:val="center"/>
            </w:pPr>
            <w:r w:rsidRPr="00943A01">
              <w:rPr>
                <w:color w:val="000000"/>
              </w:rPr>
              <w:t>13.6</w:t>
            </w:r>
          </w:p>
        </w:tc>
        <w:tc>
          <w:tcPr>
            <w:tcW w:w="1076" w:type="dxa"/>
          </w:tcPr>
          <w:p w14:paraId="5F8AD988" w14:textId="77777777" w:rsidR="00E61CF3" w:rsidRPr="000967D6" w:rsidRDefault="00E61CF3" w:rsidP="00380D78">
            <w:pPr>
              <w:jc w:val="center"/>
            </w:pPr>
          </w:p>
        </w:tc>
      </w:tr>
      <w:tr w:rsidR="00E61CF3" w:rsidRPr="000967D6" w14:paraId="7662A9A1" w14:textId="77777777" w:rsidTr="00380D78">
        <w:tc>
          <w:tcPr>
            <w:tcW w:w="3369" w:type="dxa"/>
          </w:tcPr>
          <w:p w14:paraId="52B6ABF6" w14:textId="77777777" w:rsidR="00E61CF3" w:rsidRPr="000967D6" w:rsidRDefault="00E61CF3" w:rsidP="00380D78">
            <w:pPr>
              <w:ind w:left="22"/>
              <w:rPr>
                <w:b/>
                <w:i/>
              </w:rPr>
            </w:pPr>
            <w:r w:rsidRPr="000967D6">
              <w:rPr>
                <w:b/>
                <w:i/>
              </w:rPr>
              <w:t>School type</w:t>
            </w:r>
          </w:p>
        </w:tc>
        <w:tc>
          <w:tcPr>
            <w:tcW w:w="6412" w:type="dxa"/>
          </w:tcPr>
          <w:p w14:paraId="44EFE9D6" w14:textId="77777777" w:rsidR="00E61CF3" w:rsidRPr="000967D6" w:rsidRDefault="00E61CF3" w:rsidP="00380D78">
            <w:pPr>
              <w:ind w:left="22"/>
            </w:pPr>
          </w:p>
        </w:tc>
        <w:tc>
          <w:tcPr>
            <w:tcW w:w="1115" w:type="dxa"/>
          </w:tcPr>
          <w:p w14:paraId="42EA9F0B" w14:textId="77777777" w:rsidR="00E61CF3" w:rsidRPr="000967D6" w:rsidRDefault="00E61CF3" w:rsidP="00380D78">
            <w:pPr>
              <w:jc w:val="center"/>
            </w:pPr>
          </w:p>
        </w:tc>
        <w:tc>
          <w:tcPr>
            <w:tcW w:w="1068" w:type="dxa"/>
          </w:tcPr>
          <w:p w14:paraId="3DE43CD7" w14:textId="77777777" w:rsidR="00E61CF3" w:rsidRPr="000967D6" w:rsidRDefault="00E61CF3" w:rsidP="00380D78">
            <w:pPr>
              <w:jc w:val="center"/>
            </w:pPr>
          </w:p>
        </w:tc>
        <w:tc>
          <w:tcPr>
            <w:tcW w:w="1078" w:type="dxa"/>
          </w:tcPr>
          <w:p w14:paraId="77FEE7C2" w14:textId="77777777" w:rsidR="00E61CF3" w:rsidRPr="000967D6" w:rsidRDefault="00E61CF3" w:rsidP="00380D78">
            <w:pPr>
              <w:jc w:val="center"/>
            </w:pPr>
          </w:p>
        </w:tc>
        <w:tc>
          <w:tcPr>
            <w:tcW w:w="1076" w:type="dxa"/>
          </w:tcPr>
          <w:p w14:paraId="090DEDA6" w14:textId="77777777" w:rsidR="00E61CF3" w:rsidRPr="000967D6" w:rsidRDefault="00E61CF3" w:rsidP="00380D78">
            <w:pPr>
              <w:jc w:val="center"/>
            </w:pPr>
          </w:p>
        </w:tc>
      </w:tr>
      <w:tr w:rsidR="00E61CF3" w:rsidRPr="000967D6" w14:paraId="0D0E1CF0" w14:textId="77777777" w:rsidTr="00380D78">
        <w:tc>
          <w:tcPr>
            <w:tcW w:w="3369" w:type="dxa"/>
          </w:tcPr>
          <w:p w14:paraId="42128BC3" w14:textId="77777777" w:rsidR="00E61CF3" w:rsidRPr="000967D6" w:rsidRDefault="00E61CF3" w:rsidP="00380D78">
            <w:pPr>
              <w:ind w:left="22" w:firstLine="153"/>
            </w:pPr>
            <w:r w:rsidRPr="000967D6">
              <w:t>Combined</w:t>
            </w:r>
            <w:r>
              <w:t xml:space="preserve"> (ref.)</w:t>
            </w:r>
          </w:p>
        </w:tc>
        <w:tc>
          <w:tcPr>
            <w:tcW w:w="6412" w:type="dxa"/>
          </w:tcPr>
          <w:p w14:paraId="5C887E7F" w14:textId="77777777" w:rsidR="00E61CF3" w:rsidRPr="000967D6" w:rsidRDefault="00E61CF3" w:rsidP="00380D78">
            <w:r w:rsidRPr="000967D6">
              <w:t>Primary and high school</w:t>
            </w:r>
          </w:p>
        </w:tc>
        <w:tc>
          <w:tcPr>
            <w:tcW w:w="1115" w:type="dxa"/>
            <w:vAlign w:val="bottom"/>
          </w:tcPr>
          <w:p w14:paraId="7B69B2FD" w14:textId="77777777" w:rsidR="00E61CF3" w:rsidRPr="000967D6" w:rsidRDefault="00E61CF3" w:rsidP="00380D78">
            <w:pPr>
              <w:jc w:val="center"/>
            </w:pPr>
            <w:r w:rsidRPr="003C7EC3">
              <w:rPr>
                <w:color w:val="000000"/>
              </w:rPr>
              <w:t>16.4</w:t>
            </w:r>
          </w:p>
        </w:tc>
        <w:tc>
          <w:tcPr>
            <w:tcW w:w="1068" w:type="dxa"/>
          </w:tcPr>
          <w:p w14:paraId="2104807C" w14:textId="77777777" w:rsidR="00E61CF3" w:rsidRPr="000967D6" w:rsidRDefault="00E61CF3" w:rsidP="00380D78">
            <w:pPr>
              <w:jc w:val="center"/>
            </w:pPr>
          </w:p>
        </w:tc>
        <w:tc>
          <w:tcPr>
            <w:tcW w:w="1078" w:type="dxa"/>
          </w:tcPr>
          <w:p w14:paraId="44C1D02A" w14:textId="77777777" w:rsidR="00E61CF3" w:rsidRPr="000967D6" w:rsidRDefault="00E61CF3" w:rsidP="00380D78">
            <w:pPr>
              <w:jc w:val="center"/>
            </w:pPr>
            <w:r>
              <w:t>16.9</w:t>
            </w:r>
          </w:p>
        </w:tc>
        <w:tc>
          <w:tcPr>
            <w:tcW w:w="1076" w:type="dxa"/>
          </w:tcPr>
          <w:p w14:paraId="5A5BC129" w14:textId="77777777" w:rsidR="00E61CF3" w:rsidRPr="000967D6" w:rsidRDefault="00E61CF3" w:rsidP="00380D78">
            <w:pPr>
              <w:jc w:val="center"/>
            </w:pPr>
          </w:p>
        </w:tc>
      </w:tr>
      <w:tr w:rsidR="00E61CF3" w:rsidRPr="000967D6" w14:paraId="78431DF7" w14:textId="77777777" w:rsidTr="00380D78">
        <w:tc>
          <w:tcPr>
            <w:tcW w:w="3369" w:type="dxa"/>
          </w:tcPr>
          <w:p w14:paraId="7178CAE6" w14:textId="77777777" w:rsidR="00E61CF3" w:rsidRPr="000967D6" w:rsidRDefault="00E61CF3" w:rsidP="00380D78">
            <w:pPr>
              <w:ind w:left="22" w:firstLine="179"/>
            </w:pPr>
            <w:r w:rsidRPr="000967D6">
              <w:t>Primary</w:t>
            </w:r>
          </w:p>
        </w:tc>
        <w:tc>
          <w:tcPr>
            <w:tcW w:w="6412" w:type="dxa"/>
          </w:tcPr>
          <w:p w14:paraId="420CBDBC" w14:textId="77777777" w:rsidR="00E61CF3" w:rsidRPr="000967D6" w:rsidRDefault="00E61CF3" w:rsidP="00380D78">
            <w:r w:rsidRPr="000967D6">
              <w:t>Primary school</w:t>
            </w:r>
          </w:p>
        </w:tc>
        <w:tc>
          <w:tcPr>
            <w:tcW w:w="1115" w:type="dxa"/>
            <w:vAlign w:val="bottom"/>
          </w:tcPr>
          <w:p w14:paraId="7DD7A996" w14:textId="77777777" w:rsidR="00E61CF3" w:rsidRPr="000967D6" w:rsidRDefault="00E61CF3" w:rsidP="00380D78">
            <w:pPr>
              <w:jc w:val="center"/>
            </w:pPr>
            <w:r w:rsidRPr="003C7EC3">
              <w:rPr>
                <w:color w:val="000000"/>
              </w:rPr>
              <w:t>83.5</w:t>
            </w:r>
          </w:p>
        </w:tc>
        <w:tc>
          <w:tcPr>
            <w:tcW w:w="1068" w:type="dxa"/>
          </w:tcPr>
          <w:p w14:paraId="5591ECF5" w14:textId="77777777" w:rsidR="00E61CF3" w:rsidRPr="000967D6" w:rsidRDefault="00E61CF3" w:rsidP="00380D78">
            <w:pPr>
              <w:jc w:val="center"/>
            </w:pPr>
          </w:p>
        </w:tc>
        <w:tc>
          <w:tcPr>
            <w:tcW w:w="1078" w:type="dxa"/>
          </w:tcPr>
          <w:p w14:paraId="5A3C4A72" w14:textId="77777777" w:rsidR="00E61CF3" w:rsidRPr="000967D6" w:rsidRDefault="00E61CF3" w:rsidP="00380D78">
            <w:pPr>
              <w:jc w:val="center"/>
            </w:pPr>
            <w:r>
              <w:t>82.9</w:t>
            </w:r>
          </w:p>
        </w:tc>
        <w:tc>
          <w:tcPr>
            <w:tcW w:w="1076" w:type="dxa"/>
          </w:tcPr>
          <w:p w14:paraId="5600D047" w14:textId="77777777" w:rsidR="00E61CF3" w:rsidRPr="000967D6" w:rsidRDefault="00E61CF3" w:rsidP="00380D78">
            <w:pPr>
              <w:jc w:val="center"/>
            </w:pPr>
          </w:p>
        </w:tc>
      </w:tr>
    </w:tbl>
    <w:p w14:paraId="41E17555" w14:textId="77777777" w:rsidR="00E61CF3" w:rsidRDefault="00E61CF3" w:rsidP="00E61CF3">
      <w:pPr>
        <w:rPr>
          <w:rFonts w:cs="Times New Roman"/>
        </w:rPr>
      </w:pPr>
      <w:r>
        <w:rPr>
          <w:rFonts w:cs="Times New Roman"/>
        </w:rPr>
        <w:br w:type="page"/>
      </w:r>
    </w:p>
    <w:p w14:paraId="015F073D" w14:textId="77777777" w:rsidR="00E61CF3" w:rsidRPr="00085171" w:rsidRDefault="00E61CF3" w:rsidP="00E61CF3">
      <w:pPr>
        <w:pStyle w:val="NoSpacing"/>
        <w:rPr>
          <w:rFonts w:cs="Times New Roman"/>
          <w:b/>
          <w:sz w:val="20"/>
          <w:szCs w:val="20"/>
        </w:rPr>
      </w:pPr>
      <w:r w:rsidRPr="00085171">
        <w:rPr>
          <w:rFonts w:cs="Times New Roman"/>
          <w:b/>
          <w:sz w:val="20"/>
          <w:szCs w:val="20"/>
        </w:rPr>
        <w:lastRenderedPageBreak/>
        <w:t>Appendix A: Definition and summary statistics of explanatory variables</w:t>
      </w:r>
      <w:r>
        <w:rPr>
          <w:rFonts w:cs="Times New Roman"/>
          <w:b/>
          <w:sz w:val="20"/>
          <w:szCs w:val="20"/>
        </w:rPr>
        <w:t xml:space="preserve"> (cont.)</w:t>
      </w:r>
    </w:p>
    <w:tbl>
      <w:tblPr>
        <w:tblStyle w:val="TableSimple1"/>
        <w:tblW w:w="14118" w:type="dxa"/>
        <w:tblLayout w:type="fixed"/>
        <w:tblLook w:val="04A0" w:firstRow="1" w:lastRow="0" w:firstColumn="1" w:lastColumn="0" w:noHBand="0" w:noVBand="1"/>
      </w:tblPr>
      <w:tblGrid>
        <w:gridCol w:w="2552"/>
        <w:gridCol w:w="7229"/>
        <w:gridCol w:w="1115"/>
        <w:gridCol w:w="1068"/>
        <w:gridCol w:w="1078"/>
        <w:gridCol w:w="1076"/>
      </w:tblGrid>
      <w:tr w:rsidR="00E61CF3" w:rsidRPr="00653FE3" w14:paraId="17B70407" w14:textId="77777777" w:rsidTr="00380D78">
        <w:trPr>
          <w:cnfStyle w:val="100000000000" w:firstRow="1" w:lastRow="0" w:firstColumn="0" w:lastColumn="0" w:oddVBand="0" w:evenVBand="0" w:oddHBand="0" w:evenHBand="0" w:firstRowFirstColumn="0" w:firstRowLastColumn="0" w:lastRowFirstColumn="0" w:lastRowLastColumn="0"/>
        </w:trPr>
        <w:tc>
          <w:tcPr>
            <w:tcW w:w="2552" w:type="dxa"/>
          </w:tcPr>
          <w:p w14:paraId="35A55BF8" w14:textId="77777777" w:rsidR="00E61CF3" w:rsidRPr="00653FE3" w:rsidRDefault="00E61CF3" w:rsidP="00380D78">
            <w:pPr>
              <w:rPr>
                <w:b/>
              </w:rPr>
            </w:pPr>
            <w:r w:rsidRPr="00653FE3">
              <w:rPr>
                <w:b/>
              </w:rPr>
              <w:t>Variable</w:t>
            </w:r>
          </w:p>
        </w:tc>
        <w:tc>
          <w:tcPr>
            <w:tcW w:w="7229" w:type="dxa"/>
          </w:tcPr>
          <w:p w14:paraId="23C60466" w14:textId="77777777" w:rsidR="00E61CF3" w:rsidRPr="00653FE3" w:rsidRDefault="00E61CF3" w:rsidP="00380D78">
            <w:pPr>
              <w:rPr>
                <w:b/>
              </w:rPr>
            </w:pPr>
            <w:r>
              <w:rPr>
                <w:b/>
              </w:rPr>
              <w:t>Definition</w:t>
            </w:r>
          </w:p>
        </w:tc>
        <w:tc>
          <w:tcPr>
            <w:tcW w:w="1115" w:type="dxa"/>
          </w:tcPr>
          <w:p w14:paraId="7EA3910C" w14:textId="77777777" w:rsidR="00E61CF3" w:rsidRPr="00653FE3" w:rsidRDefault="00E61CF3" w:rsidP="00380D78">
            <w:pPr>
              <w:jc w:val="center"/>
              <w:rPr>
                <w:b/>
              </w:rPr>
            </w:pPr>
            <w:r w:rsidRPr="00653FE3">
              <w:rPr>
                <w:b/>
              </w:rPr>
              <w:t>Mean</w:t>
            </w:r>
          </w:p>
        </w:tc>
        <w:tc>
          <w:tcPr>
            <w:tcW w:w="1068" w:type="dxa"/>
          </w:tcPr>
          <w:p w14:paraId="64006AF3" w14:textId="77777777" w:rsidR="00E61CF3" w:rsidRPr="00653FE3" w:rsidRDefault="00E61CF3" w:rsidP="00380D78">
            <w:pPr>
              <w:jc w:val="center"/>
              <w:rPr>
                <w:b/>
              </w:rPr>
            </w:pPr>
            <w:r w:rsidRPr="00653FE3">
              <w:rPr>
                <w:b/>
              </w:rPr>
              <w:t>(SD)</w:t>
            </w:r>
          </w:p>
        </w:tc>
        <w:tc>
          <w:tcPr>
            <w:tcW w:w="1078" w:type="dxa"/>
          </w:tcPr>
          <w:p w14:paraId="7F13D433" w14:textId="77777777" w:rsidR="00E61CF3" w:rsidRPr="00653FE3" w:rsidRDefault="00E61CF3" w:rsidP="00380D78">
            <w:pPr>
              <w:jc w:val="center"/>
              <w:rPr>
                <w:b/>
              </w:rPr>
            </w:pPr>
            <w:r w:rsidRPr="00653FE3">
              <w:rPr>
                <w:b/>
              </w:rPr>
              <w:t>Mean</w:t>
            </w:r>
          </w:p>
        </w:tc>
        <w:tc>
          <w:tcPr>
            <w:tcW w:w="1076" w:type="dxa"/>
          </w:tcPr>
          <w:p w14:paraId="36C0A642" w14:textId="77777777" w:rsidR="00E61CF3" w:rsidRPr="00653FE3" w:rsidRDefault="00E61CF3" w:rsidP="00380D78">
            <w:pPr>
              <w:jc w:val="center"/>
              <w:rPr>
                <w:b/>
              </w:rPr>
            </w:pPr>
            <w:r w:rsidRPr="00653FE3">
              <w:rPr>
                <w:b/>
              </w:rPr>
              <w:t>(SD)</w:t>
            </w:r>
          </w:p>
        </w:tc>
      </w:tr>
      <w:tr w:rsidR="00E61CF3" w:rsidRPr="00653FE3" w14:paraId="6E023339" w14:textId="77777777" w:rsidTr="00380D78">
        <w:tc>
          <w:tcPr>
            <w:tcW w:w="2552" w:type="dxa"/>
          </w:tcPr>
          <w:p w14:paraId="6322300C" w14:textId="77777777" w:rsidR="00E61CF3" w:rsidRPr="00EF525A" w:rsidRDefault="00E61CF3" w:rsidP="00380D78">
            <w:pPr>
              <w:rPr>
                <w:b/>
                <w:i/>
              </w:rPr>
            </w:pPr>
            <w:r w:rsidRPr="00EF525A">
              <w:rPr>
                <w:b/>
                <w:i/>
              </w:rPr>
              <w:t>Year</w:t>
            </w:r>
          </w:p>
        </w:tc>
        <w:tc>
          <w:tcPr>
            <w:tcW w:w="7229" w:type="dxa"/>
          </w:tcPr>
          <w:p w14:paraId="319A1C58" w14:textId="77777777" w:rsidR="00E61CF3" w:rsidRPr="00653FE3" w:rsidRDefault="00E61CF3" w:rsidP="00380D78">
            <w:pPr>
              <w:rPr>
                <w:b/>
              </w:rPr>
            </w:pPr>
          </w:p>
        </w:tc>
        <w:tc>
          <w:tcPr>
            <w:tcW w:w="2183" w:type="dxa"/>
            <w:gridSpan w:val="2"/>
          </w:tcPr>
          <w:p w14:paraId="003E2999" w14:textId="77777777" w:rsidR="00E61CF3" w:rsidRPr="00653FE3" w:rsidRDefault="00E61CF3" w:rsidP="00380D78">
            <w:pPr>
              <w:jc w:val="center"/>
              <w:rPr>
                <w:b/>
              </w:rPr>
            </w:pPr>
            <w:r w:rsidRPr="00653FE3">
              <w:rPr>
                <w:b/>
              </w:rPr>
              <w:t>Year 3</w:t>
            </w:r>
          </w:p>
        </w:tc>
        <w:tc>
          <w:tcPr>
            <w:tcW w:w="2154" w:type="dxa"/>
            <w:gridSpan w:val="2"/>
          </w:tcPr>
          <w:p w14:paraId="6BCE8CF3" w14:textId="77777777" w:rsidR="00E61CF3" w:rsidRPr="00653FE3" w:rsidRDefault="00E61CF3" w:rsidP="00380D78">
            <w:pPr>
              <w:jc w:val="center"/>
              <w:rPr>
                <w:b/>
              </w:rPr>
            </w:pPr>
            <w:r w:rsidRPr="00653FE3">
              <w:rPr>
                <w:b/>
              </w:rPr>
              <w:t>Year 5</w:t>
            </w:r>
          </w:p>
        </w:tc>
      </w:tr>
      <w:tr w:rsidR="00E61CF3" w:rsidRPr="00653FE3" w14:paraId="4199B1D2" w14:textId="77777777" w:rsidTr="00380D78">
        <w:tc>
          <w:tcPr>
            <w:tcW w:w="2552" w:type="dxa"/>
          </w:tcPr>
          <w:p w14:paraId="6573FDFA" w14:textId="77777777" w:rsidR="00E61CF3" w:rsidRPr="00653FE3" w:rsidRDefault="00E61CF3" w:rsidP="00380D78">
            <w:pPr>
              <w:ind w:left="179"/>
            </w:pPr>
            <w:r w:rsidRPr="00653FE3">
              <w:t>2010</w:t>
            </w:r>
            <w:r>
              <w:t xml:space="preserve"> (ref.)</w:t>
            </w:r>
          </w:p>
        </w:tc>
        <w:tc>
          <w:tcPr>
            <w:tcW w:w="7229" w:type="dxa"/>
          </w:tcPr>
          <w:p w14:paraId="2DE34BCB" w14:textId="77777777" w:rsidR="00E61CF3" w:rsidRPr="00653FE3" w:rsidRDefault="00E61CF3" w:rsidP="00380D78">
            <w:r w:rsidRPr="00653FE3">
              <w:t>2010</w:t>
            </w:r>
          </w:p>
        </w:tc>
        <w:tc>
          <w:tcPr>
            <w:tcW w:w="1115" w:type="dxa"/>
            <w:vAlign w:val="bottom"/>
          </w:tcPr>
          <w:p w14:paraId="03DF7AC6" w14:textId="77777777" w:rsidR="00E61CF3" w:rsidRPr="00653FE3" w:rsidRDefault="00E61CF3" w:rsidP="00380D78">
            <w:pPr>
              <w:jc w:val="center"/>
            </w:pPr>
            <w:r w:rsidRPr="003C7EC3">
              <w:rPr>
                <w:color w:val="000000"/>
              </w:rPr>
              <w:t>16.4</w:t>
            </w:r>
          </w:p>
        </w:tc>
        <w:tc>
          <w:tcPr>
            <w:tcW w:w="1068" w:type="dxa"/>
          </w:tcPr>
          <w:p w14:paraId="2F75B11B" w14:textId="77777777" w:rsidR="00E61CF3" w:rsidRPr="00653FE3" w:rsidRDefault="00E61CF3" w:rsidP="00380D78">
            <w:pPr>
              <w:jc w:val="center"/>
            </w:pPr>
          </w:p>
        </w:tc>
        <w:tc>
          <w:tcPr>
            <w:tcW w:w="1078" w:type="dxa"/>
            <w:vAlign w:val="bottom"/>
          </w:tcPr>
          <w:p w14:paraId="511834F8" w14:textId="77777777" w:rsidR="00E61CF3" w:rsidRPr="00653FE3" w:rsidRDefault="00E61CF3" w:rsidP="00380D78">
            <w:pPr>
              <w:jc w:val="center"/>
            </w:pPr>
            <w:r w:rsidRPr="00E570A9">
              <w:rPr>
                <w:color w:val="000000"/>
              </w:rPr>
              <w:t>16.7</w:t>
            </w:r>
          </w:p>
        </w:tc>
        <w:tc>
          <w:tcPr>
            <w:tcW w:w="1076" w:type="dxa"/>
          </w:tcPr>
          <w:p w14:paraId="28B4F7F8" w14:textId="77777777" w:rsidR="00E61CF3" w:rsidRPr="00653FE3" w:rsidRDefault="00E61CF3" w:rsidP="00380D78">
            <w:pPr>
              <w:jc w:val="center"/>
            </w:pPr>
          </w:p>
        </w:tc>
      </w:tr>
      <w:tr w:rsidR="00E61CF3" w:rsidRPr="00653FE3" w14:paraId="1C41629F" w14:textId="77777777" w:rsidTr="00380D78">
        <w:tc>
          <w:tcPr>
            <w:tcW w:w="2552" w:type="dxa"/>
          </w:tcPr>
          <w:p w14:paraId="40479F21" w14:textId="77777777" w:rsidR="00E61CF3" w:rsidRPr="00653FE3" w:rsidRDefault="00E61CF3" w:rsidP="00380D78">
            <w:pPr>
              <w:ind w:left="179"/>
            </w:pPr>
            <w:r w:rsidRPr="00653FE3">
              <w:t>2011</w:t>
            </w:r>
          </w:p>
        </w:tc>
        <w:tc>
          <w:tcPr>
            <w:tcW w:w="7229" w:type="dxa"/>
          </w:tcPr>
          <w:p w14:paraId="16B086AA" w14:textId="77777777" w:rsidR="00E61CF3" w:rsidRPr="00653FE3" w:rsidRDefault="00E61CF3" w:rsidP="00380D78">
            <w:r w:rsidRPr="00653FE3">
              <w:t>2011</w:t>
            </w:r>
          </w:p>
        </w:tc>
        <w:tc>
          <w:tcPr>
            <w:tcW w:w="1115" w:type="dxa"/>
            <w:vAlign w:val="bottom"/>
          </w:tcPr>
          <w:p w14:paraId="0D2ADACA" w14:textId="77777777" w:rsidR="00E61CF3" w:rsidRPr="00653FE3" w:rsidRDefault="00E61CF3" w:rsidP="00380D78">
            <w:pPr>
              <w:jc w:val="center"/>
            </w:pPr>
            <w:r w:rsidRPr="003C7EC3">
              <w:rPr>
                <w:color w:val="000000"/>
              </w:rPr>
              <w:t>16.7</w:t>
            </w:r>
          </w:p>
        </w:tc>
        <w:tc>
          <w:tcPr>
            <w:tcW w:w="1068" w:type="dxa"/>
          </w:tcPr>
          <w:p w14:paraId="40181F3F" w14:textId="77777777" w:rsidR="00E61CF3" w:rsidRPr="00653FE3" w:rsidRDefault="00E61CF3" w:rsidP="00380D78">
            <w:pPr>
              <w:jc w:val="center"/>
            </w:pPr>
          </w:p>
        </w:tc>
        <w:tc>
          <w:tcPr>
            <w:tcW w:w="1078" w:type="dxa"/>
            <w:vAlign w:val="bottom"/>
          </w:tcPr>
          <w:p w14:paraId="78737FA3" w14:textId="77777777" w:rsidR="00E61CF3" w:rsidRPr="00653FE3" w:rsidRDefault="00E61CF3" w:rsidP="00380D78">
            <w:pPr>
              <w:jc w:val="center"/>
            </w:pPr>
            <w:r w:rsidRPr="00E570A9">
              <w:rPr>
                <w:color w:val="000000"/>
              </w:rPr>
              <w:t>16.8</w:t>
            </w:r>
          </w:p>
        </w:tc>
        <w:tc>
          <w:tcPr>
            <w:tcW w:w="1076" w:type="dxa"/>
          </w:tcPr>
          <w:p w14:paraId="01F4828F" w14:textId="77777777" w:rsidR="00E61CF3" w:rsidRPr="00653FE3" w:rsidRDefault="00E61CF3" w:rsidP="00380D78">
            <w:pPr>
              <w:jc w:val="center"/>
            </w:pPr>
          </w:p>
        </w:tc>
      </w:tr>
      <w:tr w:rsidR="00E61CF3" w:rsidRPr="00653FE3" w14:paraId="7DD2B584" w14:textId="77777777" w:rsidTr="00380D78">
        <w:tc>
          <w:tcPr>
            <w:tcW w:w="2552" w:type="dxa"/>
          </w:tcPr>
          <w:p w14:paraId="137129DC" w14:textId="77777777" w:rsidR="00E61CF3" w:rsidRPr="00653FE3" w:rsidRDefault="00E61CF3" w:rsidP="00380D78">
            <w:pPr>
              <w:ind w:left="179"/>
            </w:pPr>
            <w:r w:rsidRPr="00653FE3">
              <w:t>2012</w:t>
            </w:r>
          </w:p>
        </w:tc>
        <w:tc>
          <w:tcPr>
            <w:tcW w:w="7229" w:type="dxa"/>
          </w:tcPr>
          <w:p w14:paraId="775F9AF6" w14:textId="77777777" w:rsidR="00E61CF3" w:rsidRPr="00653FE3" w:rsidRDefault="00E61CF3" w:rsidP="00380D78">
            <w:r w:rsidRPr="00653FE3">
              <w:t>2012</w:t>
            </w:r>
          </w:p>
        </w:tc>
        <w:tc>
          <w:tcPr>
            <w:tcW w:w="1115" w:type="dxa"/>
            <w:vAlign w:val="bottom"/>
          </w:tcPr>
          <w:p w14:paraId="29C8B87E" w14:textId="77777777" w:rsidR="00E61CF3" w:rsidRPr="00653FE3" w:rsidRDefault="00E61CF3" w:rsidP="00380D78">
            <w:pPr>
              <w:jc w:val="center"/>
            </w:pPr>
            <w:r w:rsidRPr="003C7EC3">
              <w:rPr>
                <w:color w:val="000000"/>
              </w:rPr>
              <w:t>16.6</w:t>
            </w:r>
          </w:p>
        </w:tc>
        <w:tc>
          <w:tcPr>
            <w:tcW w:w="1068" w:type="dxa"/>
          </w:tcPr>
          <w:p w14:paraId="145A8D9F" w14:textId="77777777" w:rsidR="00E61CF3" w:rsidRPr="00653FE3" w:rsidRDefault="00E61CF3" w:rsidP="00380D78">
            <w:pPr>
              <w:jc w:val="center"/>
            </w:pPr>
          </w:p>
        </w:tc>
        <w:tc>
          <w:tcPr>
            <w:tcW w:w="1078" w:type="dxa"/>
            <w:vAlign w:val="bottom"/>
          </w:tcPr>
          <w:p w14:paraId="70F7CA0D" w14:textId="77777777" w:rsidR="00E61CF3" w:rsidRPr="00653FE3" w:rsidRDefault="00E61CF3" w:rsidP="00380D78">
            <w:pPr>
              <w:jc w:val="center"/>
            </w:pPr>
            <w:r w:rsidRPr="00E570A9">
              <w:rPr>
                <w:color w:val="000000"/>
              </w:rPr>
              <w:t>16.4</w:t>
            </w:r>
          </w:p>
        </w:tc>
        <w:tc>
          <w:tcPr>
            <w:tcW w:w="1076" w:type="dxa"/>
          </w:tcPr>
          <w:p w14:paraId="6D0F44E3" w14:textId="77777777" w:rsidR="00E61CF3" w:rsidRPr="00653FE3" w:rsidRDefault="00E61CF3" w:rsidP="00380D78">
            <w:pPr>
              <w:jc w:val="center"/>
            </w:pPr>
          </w:p>
        </w:tc>
      </w:tr>
      <w:tr w:rsidR="00E61CF3" w:rsidRPr="00653FE3" w14:paraId="5EA47C77" w14:textId="77777777" w:rsidTr="00380D78">
        <w:tc>
          <w:tcPr>
            <w:tcW w:w="2552" w:type="dxa"/>
          </w:tcPr>
          <w:p w14:paraId="178A8F4D" w14:textId="77777777" w:rsidR="00E61CF3" w:rsidRPr="00653FE3" w:rsidRDefault="00E61CF3" w:rsidP="00380D78">
            <w:pPr>
              <w:ind w:left="179"/>
            </w:pPr>
            <w:r w:rsidRPr="00653FE3">
              <w:t>2013</w:t>
            </w:r>
          </w:p>
        </w:tc>
        <w:tc>
          <w:tcPr>
            <w:tcW w:w="7229" w:type="dxa"/>
          </w:tcPr>
          <w:p w14:paraId="39A84AAD" w14:textId="77777777" w:rsidR="00E61CF3" w:rsidRPr="00653FE3" w:rsidRDefault="00E61CF3" w:rsidP="00380D78">
            <w:r w:rsidRPr="00653FE3">
              <w:t>2013</w:t>
            </w:r>
          </w:p>
        </w:tc>
        <w:tc>
          <w:tcPr>
            <w:tcW w:w="1115" w:type="dxa"/>
            <w:vAlign w:val="bottom"/>
          </w:tcPr>
          <w:p w14:paraId="08459030" w14:textId="77777777" w:rsidR="00E61CF3" w:rsidRPr="00653FE3" w:rsidRDefault="00E61CF3" w:rsidP="00380D78">
            <w:pPr>
              <w:jc w:val="center"/>
            </w:pPr>
            <w:r w:rsidRPr="003C7EC3">
              <w:rPr>
                <w:color w:val="000000"/>
              </w:rPr>
              <w:t>16.8</w:t>
            </w:r>
          </w:p>
        </w:tc>
        <w:tc>
          <w:tcPr>
            <w:tcW w:w="1068" w:type="dxa"/>
          </w:tcPr>
          <w:p w14:paraId="6FB943E5" w14:textId="77777777" w:rsidR="00E61CF3" w:rsidRPr="00653FE3" w:rsidRDefault="00E61CF3" w:rsidP="00380D78">
            <w:pPr>
              <w:jc w:val="center"/>
            </w:pPr>
          </w:p>
        </w:tc>
        <w:tc>
          <w:tcPr>
            <w:tcW w:w="1078" w:type="dxa"/>
            <w:vAlign w:val="bottom"/>
          </w:tcPr>
          <w:p w14:paraId="316EACD1" w14:textId="77777777" w:rsidR="00E61CF3" w:rsidRPr="00653FE3" w:rsidRDefault="00E61CF3" w:rsidP="00380D78">
            <w:pPr>
              <w:jc w:val="center"/>
            </w:pPr>
            <w:r w:rsidRPr="00E570A9">
              <w:rPr>
                <w:color w:val="000000"/>
              </w:rPr>
              <w:t>16.8</w:t>
            </w:r>
          </w:p>
        </w:tc>
        <w:tc>
          <w:tcPr>
            <w:tcW w:w="1076" w:type="dxa"/>
          </w:tcPr>
          <w:p w14:paraId="7DE894E1" w14:textId="77777777" w:rsidR="00E61CF3" w:rsidRPr="00653FE3" w:rsidRDefault="00E61CF3" w:rsidP="00380D78">
            <w:pPr>
              <w:jc w:val="center"/>
            </w:pPr>
          </w:p>
        </w:tc>
      </w:tr>
      <w:tr w:rsidR="00E61CF3" w:rsidRPr="00653FE3" w14:paraId="74C4F1F1" w14:textId="77777777" w:rsidTr="00380D78">
        <w:tc>
          <w:tcPr>
            <w:tcW w:w="2552" w:type="dxa"/>
          </w:tcPr>
          <w:p w14:paraId="6747BD77" w14:textId="77777777" w:rsidR="00E61CF3" w:rsidRPr="00653FE3" w:rsidRDefault="00E61CF3" w:rsidP="00380D78">
            <w:pPr>
              <w:ind w:left="179"/>
            </w:pPr>
            <w:r w:rsidRPr="00653FE3">
              <w:t>2014</w:t>
            </w:r>
          </w:p>
        </w:tc>
        <w:tc>
          <w:tcPr>
            <w:tcW w:w="7229" w:type="dxa"/>
          </w:tcPr>
          <w:p w14:paraId="463C6F13" w14:textId="77777777" w:rsidR="00E61CF3" w:rsidRPr="00653FE3" w:rsidRDefault="00E61CF3" w:rsidP="00380D78">
            <w:r w:rsidRPr="00653FE3">
              <w:t>2014</w:t>
            </w:r>
          </w:p>
        </w:tc>
        <w:tc>
          <w:tcPr>
            <w:tcW w:w="1115" w:type="dxa"/>
            <w:vAlign w:val="bottom"/>
          </w:tcPr>
          <w:p w14:paraId="177DF483" w14:textId="77777777" w:rsidR="00E61CF3" w:rsidRPr="00653FE3" w:rsidRDefault="00E61CF3" w:rsidP="00380D78">
            <w:pPr>
              <w:jc w:val="center"/>
            </w:pPr>
            <w:r w:rsidRPr="003C7EC3">
              <w:rPr>
                <w:color w:val="000000"/>
              </w:rPr>
              <w:t>16.7</w:t>
            </w:r>
          </w:p>
        </w:tc>
        <w:tc>
          <w:tcPr>
            <w:tcW w:w="1068" w:type="dxa"/>
          </w:tcPr>
          <w:p w14:paraId="5619F970" w14:textId="77777777" w:rsidR="00E61CF3" w:rsidRPr="00653FE3" w:rsidRDefault="00E61CF3" w:rsidP="00380D78">
            <w:pPr>
              <w:jc w:val="center"/>
            </w:pPr>
          </w:p>
        </w:tc>
        <w:tc>
          <w:tcPr>
            <w:tcW w:w="1078" w:type="dxa"/>
            <w:vAlign w:val="bottom"/>
          </w:tcPr>
          <w:p w14:paraId="3D833234" w14:textId="77777777" w:rsidR="00E61CF3" w:rsidRPr="00653FE3" w:rsidRDefault="00E61CF3" w:rsidP="00380D78">
            <w:pPr>
              <w:jc w:val="center"/>
            </w:pPr>
            <w:r w:rsidRPr="00E570A9">
              <w:rPr>
                <w:color w:val="000000"/>
              </w:rPr>
              <w:t>16.6</w:t>
            </w:r>
          </w:p>
        </w:tc>
        <w:tc>
          <w:tcPr>
            <w:tcW w:w="1076" w:type="dxa"/>
          </w:tcPr>
          <w:p w14:paraId="6D29B9AC" w14:textId="77777777" w:rsidR="00E61CF3" w:rsidRPr="00653FE3" w:rsidRDefault="00E61CF3" w:rsidP="00380D78">
            <w:pPr>
              <w:jc w:val="center"/>
            </w:pPr>
          </w:p>
        </w:tc>
      </w:tr>
      <w:tr w:rsidR="00E61CF3" w:rsidRPr="00653FE3" w14:paraId="538FBFCA" w14:textId="77777777" w:rsidTr="00380D78">
        <w:tc>
          <w:tcPr>
            <w:tcW w:w="2552" w:type="dxa"/>
          </w:tcPr>
          <w:p w14:paraId="4282B17F" w14:textId="77777777" w:rsidR="00E61CF3" w:rsidRPr="00653FE3" w:rsidRDefault="00E61CF3" w:rsidP="00380D78">
            <w:pPr>
              <w:ind w:left="179"/>
            </w:pPr>
            <w:r w:rsidRPr="00653FE3">
              <w:t>2015</w:t>
            </w:r>
          </w:p>
        </w:tc>
        <w:tc>
          <w:tcPr>
            <w:tcW w:w="7229" w:type="dxa"/>
          </w:tcPr>
          <w:p w14:paraId="2AE03439" w14:textId="77777777" w:rsidR="00E61CF3" w:rsidRPr="00653FE3" w:rsidRDefault="00E61CF3" w:rsidP="00380D78">
            <w:r w:rsidRPr="00653FE3">
              <w:t>2015</w:t>
            </w:r>
          </w:p>
        </w:tc>
        <w:tc>
          <w:tcPr>
            <w:tcW w:w="1115" w:type="dxa"/>
            <w:vAlign w:val="bottom"/>
          </w:tcPr>
          <w:p w14:paraId="76403570" w14:textId="77777777" w:rsidR="00E61CF3" w:rsidRPr="00653FE3" w:rsidRDefault="00E61CF3" w:rsidP="00380D78">
            <w:pPr>
              <w:jc w:val="center"/>
            </w:pPr>
            <w:r w:rsidRPr="003C7EC3">
              <w:rPr>
                <w:color w:val="000000"/>
              </w:rPr>
              <w:t>16.8</w:t>
            </w:r>
          </w:p>
        </w:tc>
        <w:tc>
          <w:tcPr>
            <w:tcW w:w="1068" w:type="dxa"/>
          </w:tcPr>
          <w:p w14:paraId="184EF583" w14:textId="77777777" w:rsidR="00E61CF3" w:rsidRPr="00653FE3" w:rsidRDefault="00E61CF3" w:rsidP="00380D78">
            <w:pPr>
              <w:jc w:val="center"/>
            </w:pPr>
          </w:p>
        </w:tc>
        <w:tc>
          <w:tcPr>
            <w:tcW w:w="1078" w:type="dxa"/>
            <w:vAlign w:val="bottom"/>
          </w:tcPr>
          <w:p w14:paraId="282D64C1" w14:textId="77777777" w:rsidR="00E61CF3" w:rsidRPr="00653FE3" w:rsidRDefault="00E61CF3" w:rsidP="00380D78">
            <w:pPr>
              <w:jc w:val="center"/>
            </w:pPr>
            <w:r w:rsidRPr="00E570A9">
              <w:rPr>
                <w:color w:val="000000"/>
              </w:rPr>
              <w:t>16.7</w:t>
            </w:r>
          </w:p>
        </w:tc>
        <w:tc>
          <w:tcPr>
            <w:tcW w:w="1076" w:type="dxa"/>
          </w:tcPr>
          <w:p w14:paraId="707F027F" w14:textId="77777777" w:rsidR="00E61CF3" w:rsidRPr="00653FE3" w:rsidRDefault="00E61CF3" w:rsidP="00380D78">
            <w:pPr>
              <w:jc w:val="center"/>
            </w:pPr>
          </w:p>
        </w:tc>
      </w:tr>
      <w:tr w:rsidR="00E61CF3" w:rsidRPr="00653FE3" w14:paraId="2F36A02F" w14:textId="77777777" w:rsidTr="00380D78">
        <w:tc>
          <w:tcPr>
            <w:tcW w:w="2552" w:type="dxa"/>
          </w:tcPr>
          <w:p w14:paraId="4CBD99C0" w14:textId="77777777" w:rsidR="00E61CF3" w:rsidRPr="00653FE3" w:rsidRDefault="00E61CF3" w:rsidP="00380D78">
            <w:pPr>
              <w:ind w:left="22"/>
            </w:pPr>
          </w:p>
        </w:tc>
        <w:tc>
          <w:tcPr>
            <w:tcW w:w="7229" w:type="dxa"/>
          </w:tcPr>
          <w:p w14:paraId="20C02DC6" w14:textId="77777777" w:rsidR="00E61CF3" w:rsidRPr="00653FE3" w:rsidRDefault="00E61CF3" w:rsidP="00380D78">
            <w:pPr>
              <w:ind w:left="22"/>
            </w:pPr>
          </w:p>
        </w:tc>
        <w:tc>
          <w:tcPr>
            <w:tcW w:w="1115" w:type="dxa"/>
          </w:tcPr>
          <w:p w14:paraId="07A8C24D" w14:textId="77777777" w:rsidR="00E61CF3" w:rsidRPr="00653FE3" w:rsidRDefault="00E61CF3" w:rsidP="00380D78">
            <w:pPr>
              <w:jc w:val="center"/>
            </w:pPr>
          </w:p>
        </w:tc>
        <w:tc>
          <w:tcPr>
            <w:tcW w:w="1068" w:type="dxa"/>
          </w:tcPr>
          <w:p w14:paraId="7032AE61" w14:textId="77777777" w:rsidR="00E61CF3" w:rsidRPr="00653FE3" w:rsidRDefault="00E61CF3" w:rsidP="00380D78">
            <w:pPr>
              <w:jc w:val="center"/>
            </w:pPr>
          </w:p>
        </w:tc>
        <w:tc>
          <w:tcPr>
            <w:tcW w:w="1078" w:type="dxa"/>
          </w:tcPr>
          <w:p w14:paraId="6358B819" w14:textId="77777777" w:rsidR="00E61CF3" w:rsidRPr="00653FE3" w:rsidRDefault="00E61CF3" w:rsidP="00380D78">
            <w:pPr>
              <w:jc w:val="center"/>
            </w:pPr>
          </w:p>
        </w:tc>
        <w:tc>
          <w:tcPr>
            <w:tcW w:w="1076" w:type="dxa"/>
          </w:tcPr>
          <w:p w14:paraId="5D9B7078" w14:textId="77777777" w:rsidR="00E61CF3" w:rsidRPr="00653FE3" w:rsidRDefault="00E61CF3" w:rsidP="00380D78">
            <w:pPr>
              <w:jc w:val="center"/>
            </w:pPr>
          </w:p>
        </w:tc>
      </w:tr>
      <w:tr w:rsidR="00E61CF3" w:rsidRPr="00653FE3" w14:paraId="37F28636" w14:textId="77777777" w:rsidTr="00380D78">
        <w:tc>
          <w:tcPr>
            <w:tcW w:w="2552" w:type="dxa"/>
          </w:tcPr>
          <w:p w14:paraId="5DABF6D3" w14:textId="77777777" w:rsidR="00E61CF3" w:rsidRPr="00653FE3" w:rsidRDefault="00E61CF3" w:rsidP="00380D78">
            <w:pPr>
              <w:ind w:left="22"/>
            </w:pPr>
            <w:r>
              <w:t>Student/teacher ratio</w:t>
            </w:r>
          </w:p>
        </w:tc>
        <w:tc>
          <w:tcPr>
            <w:tcW w:w="7229" w:type="dxa"/>
          </w:tcPr>
          <w:p w14:paraId="2928EEFF" w14:textId="77777777" w:rsidR="00E61CF3" w:rsidRPr="00653FE3" w:rsidRDefault="00E61CF3" w:rsidP="00380D78">
            <w:pPr>
              <w:ind w:left="22"/>
            </w:pPr>
            <w:r>
              <w:t>Full time equivalent school enrolments/Full time equivalent teaching staff</w:t>
            </w:r>
          </w:p>
        </w:tc>
        <w:tc>
          <w:tcPr>
            <w:tcW w:w="1115" w:type="dxa"/>
            <w:vAlign w:val="bottom"/>
          </w:tcPr>
          <w:p w14:paraId="22656728" w14:textId="77777777" w:rsidR="00E61CF3" w:rsidRPr="00653FE3" w:rsidRDefault="00E61CF3" w:rsidP="00380D78">
            <w:pPr>
              <w:jc w:val="center"/>
            </w:pPr>
            <w:r w:rsidRPr="003C7EC3">
              <w:rPr>
                <w:color w:val="000000"/>
              </w:rPr>
              <w:t>15.5</w:t>
            </w:r>
          </w:p>
        </w:tc>
        <w:tc>
          <w:tcPr>
            <w:tcW w:w="1068" w:type="dxa"/>
            <w:vAlign w:val="bottom"/>
          </w:tcPr>
          <w:p w14:paraId="27333E0D" w14:textId="77777777" w:rsidR="00E61CF3" w:rsidRPr="00653FE3" w:rsidRDefault="00E61CF3" w:rsidP="00380D78">
            <w:pPr>
              <w:jc w:val="center"/>
            </w:pPr>
            <w:r w:rsidRPr="003C7EC3">
              <w:rPr>
                <w:color w:val="000000"/>
              </w:rPr>
              <w:t>3.2</w:t>
            </w:r>
          </w:p>
        </w:tc>
        <w:tc>
          <w:tcPr>
            <w:tcW w:w="1078" w:type="dxa"/>
            <w:vAlign w:val="bottom"/>
          </w:tcPr>
          <w:p w14:paraId="73E04E5D" w14:textId="77777777" w:rsidR="00E61CF3" w:rsidRPr="00653FE3" w:rsidRDefault="00E61CF3" w:rsidP="00380D78">
            <w:pPr>
              <w:jc w:val="center"/>
            </w:pPr>
            <w:r w:rsidRPr="00E570A9">
              <w:rPr>
                <w:color w:val="000000"/>
              </w:rPr>
              <w:t>15.5</w:t>
            </w:r>
          </w:p>
        </w:tc>
        <w:tc>
          <w:tcPr>
            <w:tcW w:w="1076" w:type="dxa"/>
            <w:vAlign w:val="bottom"/>
          </w:tcPr>
          <w:p w14:paraId="7F2B3739" w14:textId="77777777" w:rsidR="00E61CF3" w:rsidRPr="00653FE3" w:rsidRDefault="00E61CF3" w:rsidP="00380D78">
            <w:pPr>
              <w:jc w:val="center"/>
            </w:pPr>
            <w:r w:rsidRPr="00E570A9">
              <w:rPr>
                <w:color w:val="000000"/>
              </w:rPr>
              <w:t>3.2</w:t>
            </w:r>
          </w:p>
        </w:tc>
      </w:tr>
      <w:tr w:rsidR="00E61CF3" w:rsidRPr="00653FE3" w14:paraId="45898362" w14:textId="77777777" w:rsidTr="00380D78">
        <w:tc>
          <w:tcPr>
            <w:tcW w:w="2552" w:type="dxa"/>
          </w:tcPr>
          <w:p w14:paraId="6E138CDF" w14:textId="77777777" w:rsidR="00E61CF3" w:rsidRPr="00653FE3" w:rsidRDefault="00E61CF3" w:rsidP="00380D78">
            <w:pPr>
              <w:ind w:left="22"/>
            </w:pPr>
            <w:r>
              <w:t>Student/non-teacher ratio</w:t>
            </w:r>
          </w:p>
        </w:tc>
        <w:tc>
          <w:tcPr>
            <w:tcW w:w="7229" w:type="dxa"/>
          </w:tcPr>
          <w:p w14:paraId="7F103D3F" w14:textId="77777777" w:rsidR="00E61CF3" w:rsidRPr="00653FE3" w:rsidRDefault="00E61CF3" w:rsidP="00380D78">
            <w:pPr>
              <w:ind w:left="22"/>
            </w:pPr>
            <w:r>
              <w:t>Full time equivalent school enrolments/Full time equivalent non-teaching staff</w:t>
            </w:r>
          </w:p>
        </w:tc>
        <w:tc>
          <w:tcPr>
            <w:tcW w:w="1115" w:type="dxa"/>
            <w:vAlign w:val="bottom"/>
          </w:tcPr>
          <w:p w14:paraId="2D0A8C01" w14:textId="77777777" w:rsidR="00E61CF3" w:rsidRPr="00653FE3" w:rsidRDefault="00E61CF3" w:rsidP="00380D78">
            <w:pPr>
              <w:jc w:val="center"/>
            </w:pPr>
            <w:r w:rsidRPr="003C7EC3">
              <w:rPr>
                <w:color w:val="000000"/>
              </w:rPr>
              <w:t>53.9</w:t>
            </w:r>
          </w:p>
        </w:tc>
        <w:tc>
          <w:tcPr>
            <w:tcW w:w="1068" w:type="dxa"/>
            <w:vAlign w:val="bottom"/>
          </w:tcPr>
          <w:p w14:paraId="08A9CE6B" w14:textId="77777777" w:rsidR="00E61CF3" w:rsidRPr="00653FE3" w:rsidRDefault="00E61CF3" w:rsidP="00380D78">
            <w:pPr>
              <w:jc w:val="center"/>
            </w:pPr>
            <w:r w:rsidRPr="003C7EC3">
              <w:rPr>
                <w:color w:val="000000"/>
              </w:rPr>
              <w:t>34.6</w:t>
            </w:r>
          </w:p>
        </w:tc>
        <w:tc>
          <w:tcPr>
            <w:tcW w:w="1078" w:type="dxa"/>
            <w:vAlign w:val="bottom"/>
          </w:tcPr>
          <w:p w14:paraId="7560A05B" w14:textId="77777777" w:rsidR="00E61CF3" w:rsidRPr="00653FE3" w:rsidRDefault="00E61CF3" w:rsidP="00380D78">
            <w:pPr>
              <w:jc w:val="center"/>
            </w:pPr>
            <w:r w:rsidRPr="00E570A9">
              <w:rPr>
                <w:color w:val="000000"/>
              </w:rPr>
              <w:t>53.9</w:t>
            </w:r>
          </w:p>
        </w:tc>
        <w:tc>
          <w:tcPr>
            <w:tcW w:w="1076" w:type="dxa"/>
            <w:vAlign w:val="bottom"/>
          </w:tcPr>
          <w:p w14:paraId="16F4B9D3" w14:textId="77777777" w:rsidR="00E61CF3" w:rsidRPr="00653FE3" w:rsidRDefault="00E61CF3" w:rsidP="00380D78">
            <w:pPr>
              <w:jc w:val="center"/>
            </w:pPr>
            <w:r w:rsidRPr="00E570A9">
              <w:rPr>
                <w:color w:val="000000"/>
              </w:rPr>
              <w:t>34.8</w:t>
            </w:r>
          </w:p>
        </w:tc>
      </w:tr>
      <w:tr w:rsidR="00E61CF3" w:rsidRPr="00653FE3" w14:paraId="2F5BABF6" w14:textId="77777777" w:rsidTr="00380D78">
        <w:trPr>
          <w:trHeight w:val="66"/>
        </w:trPr>
        <w:tc>
          <w:tcPr>
            <w:tcW w:w="2552" w:type="dxa"/>
          </w:tcPr>
          <w:p w14:paraId="47821520" w14:textId="77777777" w:rsidR="00E61CF3" w:rsidRPr="00653FE3" w:rsidRDefault="00E61CF3" w:rsidP="00380D78">
            <w:pPr>
              <w:ind w:left="22"/>
            </w:pPr>
            <w:r>
              <w:t>Proportion of girls</w:t>
            </w:r>
          </w:p>
        </w:tc>
        <w:tc>
          <w:tcPr>
            <w:tcW w:w="7229" w:type="dxa"/>
          </w:tcPr>
          <w:p w14:paraId="64715440" w14:textId="77777777" w:rsidR="00E61CF3" w:rsidRPr="00653FE3" w:rsidRDefault="00E61CF3" w:rsidP="00380D78">
            <w:pPr>
              <w:ind w:left="22"/>
            </w:pPr>
            <w:r w:rsidRPr="00653FE3">
              <w:t>Proportion of girls enrolments per school (1= only female, 0= only male)</w:t>
            </w:r>
          </w:p>
        </w:tc>
        <w:tc>
          <w:tcPr>
            <w:tcW w:w="1115" w:type="dxa"/>
          </w:tcPr>
          <w:p w14:paraId="6AB9FD1B" w14:textId="77777777" w:rsidR="00E61CF3" w:rsidRPr="005549DB" w:rsidRDefault="00E61CF3" w:rsidP="00380D78">
            <w:pPr>
              <w:jc w:val="center"/>
              <w:rPr>
                <w:color w:val="000000"/>
              </w:rPr>
            </w:pPr>
            <w:r>
              <w:rPr>
                <w:color w:val="000000"/>
              </w:rPr>
              <w:t>48.9</w:t>
            </w:r>
          </w:p>
        </w:tc>
        <w:tc>
          <w:tcPr>
            <w:tcW w:w="1068" w:type="dxa"/>
          </w:tcPr>
          <w:p w14:paraId="7C2FD730" w14:textId="77777777" w:rsidR="00E61CF3" w:rsidRPr="00653FE3" w:rsidRDefault="00E61CF3" w:rsidP="00380D78">
            <w:pPr>
              <w:jc w:val="center"/>
            </w:pPr>
          </w:p>
        </w:tc>
        <w:tc>
          <w:tcPr>
            <w:tcW w:w="1078" w:type="dxa"/>
          </w:tcPr>
          <w:p w14:paraId="525F393C" w14:textId="77777777" w:rsidR="00E61CF3" w:rsidRPr="00653FE3" w:rsidRDefault="00E61CF3" w:rsidP="00380D78">
            <w:pPr>
              <w:jc w:val="center"/>
            </w:pPr>
            <w:r w:rsidRPr="008716FB">
              <w:rPr>
                <w:color w:val="000000"/>
              </w:rPr>
              <w:t>48.8</w:t>
            </w:r>
          </w:p>
        </w:tc>
        <w:tc>
          <w:tcPr>
            <w:tcW w:w="1076" w:type="dxa"/>
          </w:tcPr>
          <w:p w14:paraId="2A2382BF" w14:textId="77777777" w:rsidR="00E61CF3" w:rsidRPr="00653FE3" w:rsidRDefault="00E61CF3" w:rsidP="00380D78">
            <w:pPr>
              <w:jc w:val="center"/>
            </w:pPr>
          </w:p>
        </w:tc>
      </w:tr>
      <w:tr w:rsidR="00E61CF3" w:rsidRPr="00653FE3" w14:paraId="7ED4419E" w14:textId="77777777" w:rsidTr="00380D78">
        <w:tc>
          <w:tcPr>
            <w:tcW w:w="2552" w:type="dxa"/>
          </w:tcPr>
          <w:p w14:paraId="6AE0B649" w14:textId="77777777" w:rsidR="00E61CF3" w:rsidRPr="00EF525A" w:rsidRDefault="00E61CF3" w:rsidP="00380D78">
            <w:pPr>
              <w:ind w:left="22"/>
              <w:rPr>
                <w:b/>
                <w:i/>
              </w:rPr>
            </w:pPr>
          </w:p>
        </w:tc>
        <w:tc>
          <w:tcPr>
            <w:tcW w:w="7229" w:type="dxa"/>
          </w:tcPr>
          <w:p w14:paraId="49BDF805" w14:textId="77777777" w:rsidR="00E61CF3" w:rsidRPr="00653FE3" w:rsidRDefault="00E61CF3" w:rsidP="00380D78">
            <w:pPr>
              <w:ind w:left="22"/>
            </w:pPr>
          </w:p>
        </w:tc>
        <w:tc>
          <w:tcPr>
            <w:tcW w:w="1115" w:type="dxa"/>
          </w:tcPr>
          <w:p w14:paraId="17E0A811" w14:textId="77777777" w:rsidR="00E61CF3" w:rsidRPr="00653FE3" w:rsidRDefault="00E61CF3" w:rsidP="00380D78">
            <w:pPr>
              <w:jc w:val="center"/>
            </w:pPr>
          </w:p>
        </w:tc>
        <w:tc>
          <w:tcPr>
            <w:tcW w:w="1068" w:type="dxa"/>
          </w:tcPr>
          <w:p w14:paraId="209C5C42" w14:textId="77777777" w:rsidR="00E61CF3" w:rsidRPr="00653FE3" w:rsidRDefault="00E61CF3" w:rsidP="00380D78">
            <w:pPr>
              <w:jc w:val="center"/>
            </w:pPr>
          </w:p>
        </w:tc>
        <w:tc>
          <w:tcPr>
            <w:tcW w:w="1078" w:type="dxa"/>
          </w:tcPr>
          <w:p w14:paraId="298C1FC7" w14:textId="77777777" w:rsidR="00E61CF3" w:rsidRPr="00653FE3" w:rsidRDefault="00E61CF3" w:rsidP="00380D78">
            <w:pPr>
              <w:jc w:val="center"/>
            </w:pPr>
          </w:p>
        </w:tc>
        <w:tc>
          <w:tcPr>
            <w:tcW w:w="1076" w:type="dxa"/>
          </w:tcPr>
          <w:p w14:paraId="7FABD9EC" w14:textId="77777777" w:rsidR="00E61CF3" w:rsidRPr="00653FE3" w:rsidRDefault="00E61CF3" w:rsidP="00380D78">
            <w:pPr>
              <w:jc w:val="center"/>
            </w:pPr>
          </w:p>
        </w:tc>
      </w:tr>
      <w:tr w:rsidR="00E61CF3" w:rsidRPr="00653FE3" w14:paraId="608BD315" w14:textId="77777777" w:rsidTr="00380D78">
        <w:tc>
          <w:tcPr>
            <w:tcW w:w="2552" w:type="dxa"/>
          </w:tcPr>
          <w:p w14:paraId="2FE65996" w14:textId="77777777" w:rsidR="00E61CF3" w:rsidRPr="00EF525A" w:rsidRDefault="00E61CF3" w:rsidP="00380D78">
            <w:pPr>
              <w:ind w:left="22"/>
              <w:rPr>
                <w:b/>
                <w:i/>
              </w:rPr>
            </w:pPr>
            <w:r w:rsidRPr="00EF525A">
              <w:rPr>
                <w:b/>
                <w:i/>
              </w:rPr>
              <w:t>NESB</w:t>
            </w:r>
          </w:p>
        </w:tc>
        <w:tc>
          <w:tcPr>
            <w:tcW w:w="7229" w:type="dxa"/>
          </w:tcPr>
          <w:p w14:paraId="3307ADD4" w14:textId="77777777" w:rsidR="00E61CF3" w:rsidRPr="00653FE3" w:rsidRDefault="00E61CF3" w:rsidP="00380D78">
            <w:pPr>
              <w:ind w:left="22"/>
            </w:pPr>
          </w:p>
        </w:tc>
        <w:tc>
          <w:tcPr>
            <w:tcW w:w="1115" w:type="dxa"/>
          </w:tcPr>
          <w:p w14:paraId="48A46BCA" w14:textId="77777777" w:rsidR="00E61CF3" w:rsidRPr="00653FE3" w:rsidRDefault="00E61CF3" w:rsidP="00380D78">
            <w:pPr>
              <w:jc w:val="center"/>
            </w:pPr>
          </w:p>
        </w:tc>
        <w:tc>
          <w:tcPr>
            <w:tcW w:w="1068" w:type="dxa"/>
          </w:tcPr>
          <w:p w14:paraId="66C8130D" w14:textId="77777777" w:rsidR="00E61CF3" w:rsidRPr="00653FE3" w:rsidRDefault="00E61CF3" w:rsidP="00380D78">
            <w:pPr>
              <w:jc w:val="center"/>
            </w:pPr>
          </w:p>
        </w:tc>
        <w:tc>
          <w:tcPr>
            <w:tcW w:w="1078" w:type="dxa"/>
          </w:tcPr>
          <w:p w14:paraId="248FBE6E" w14:textId="77777777" w:rsidR="00E61CF3" w:rsidRPr="00653FE3" w:rsidRDefault="00E61CF3" w:rsidP="00380D78">
            <w:pPr>
              <w:jc w:val="center"/>
            </w:pPr>
          </w:p>
        </w:tc>
        <w:tc>
          <w:tcPr>
            <w:tcW w:w="1076" w:type="dxa"/>
          </w:tcPr>
          <w:p w14:paraId="39893A3C" w14:textId="77777777" w:rsidR="00E61CF3" w:rsidRPr="00653FE3" w:rsidRDefault="00E61CF3" w:rsidP="00380D78">
            <w:pPr>
              <w:jc w:val="center"/>
            </w:pPr>
          </w:p>
        </w:tc>
      </w:tr>
      <w:tr w:rsidR="00E61CF3" w:rsidRPr="00653FE3" w14:paraId="1D9552ED" w14:textId="77777777" w:rsidTr="00380D78">
        <w:tc>
          <w:tcPr>
            <w:tcW w:w="2552" w:type="dxa"/>
          </w:tcPr>
          <w:p w14:paraId="6F2DAAD0" w14:textId="77777777" w:rsidR="00E61CF3" w:rsidRPr="00653FE3" w:rsidRDefault="00E61CF3" w:rsidP="00380D78">
            <w:pPr>
              <w:ind w:left="22" w:firstLine="153"/>
            </w:pPr>
            <w:r w:rsidRPr="00653FE3">
              <w:t>Low</w:t>
            </w:r>
          </w:p>
        </w:tc>
        <w:tc>
          <w:tcPr>
            <w:tcW w:w="7229" w:type="dxa"/>
          </w:tcPr>
          <w:p w14:paraId="45FED3C4" w14:textId="77777777" w:rsidR="00E61CF3" w:rsidRPr="00653FE3" w:rsidRDefault="00E61CF3" w:rsidP="00380D78">
            <w:pPr>
              <w:ind w:left="22"/>
            </w:pPr>
            <w:r>
              <w:t>No recorded enrolments</w:t>
            </w:r>
          </w:p>
        </w:tc>
        <w:tc>
          <w:tcPr>
            <w:tcW w:w="1115" w:type="dxa"/>
            <w:vAlign w:val="bottom"/>
          </w:tcPr>
          <w:p w14:paraId="5C0ED6C0" w14:textId="77777777" w:rsidR="00E61CF3" w:rsidRPr="00653FE3" w:rsidRDefault="00E61CF3" w:rsidP="00380D78">
            <w:pPr>
              <w:jc w:val="center"/>
            </w:pPr>
            <w:r w:rsidRPr="005549DB">
              <w:rPr>
                <w:color w:val="000000"/>
              </w:rPr>
              <w:t>1.7</w:t>
            </w:r>
          </w:p>
        </w:tc>
        <w:tc>
          <w:tcPr>
            <w:tcW w:w="1068" w:type="dxa"/>
          </w:tcPr>
          <w:p w14:paraId="405167B4" w14:textId="77777777" w:rsidR="00E61CF3" w:rsidRPr="00653FE3" w:rsidRDefault="00E61CF3" w:rsidP="00380D78">
            <w:pPr>
              <w:jc w:val="center"/>
            </w:pPr>
          </w:p>
        </w:tc>
        <w:tc>
          <w:tcPr>
            <w:tcW w:w="1078" w:type="dxa"/>
            <w:vAlign w:val="bottom"/>
          </w:tcPr>
          <w:p w14:paraId="0E044A12" w14:textId="77777777" w:rsidR="00E61CF3" w:rsidRPr="00653FE3" w:rsidRDefault="00E61CF3" w:rsidP="00380D78">
            <w:pPr>
              <w:jc w:val="center"/>
            </w:pPr>
            <w:r w:rsidRPr="008716FB">
              <w:rPr>
                <w:color w:val="000000"/>
              </w:rPr>
              <w:t>1.6</w:t>
            </w:r>
          </w:p>
        </w:tc>
        <w:tc>
          <w:tcPr>
            <w:tcW w:w="1076" w:type="dxa"/>
          </w:tcPr>
          <w:p w14:paraId="559A5AAC" w14:textId="77777777" w:rsidR="00E61CF3" w:rsidRPr="00653FE3" w:rsidRDefault="00E61CF3" w:rsidP="00380D78">
            <w:pPr>
              <w:jc w:val="center"/>
            </w:pPr>
          </w:p>
        </w:tc>
      </w:tr>
      <w:tr w:rsidR="00E61CF3" w:rsidRPr="00653FE3" w14:paraId="16DB5C7E" w14:textId="77777777" w:rsidTr="00380D78">
        <w:tc>
          <w:tcPr>
            <w:tcW w:w="2552" w:type="dxa"/>
          </w:tcPr>
          <w:p w14:paraId="049B0ACB" w14:textId="77777777" w:rsidR="00E61CF3" w:rsidRPr="00653FE3" w:rsidRDefault="00E61CF3" w:rsidP="00380D78">
            <w:pPr>
              <w:ind w:left="22" w:firstLine="179"/>
            </w:pPr>
            <w:r w:rsidRPr="00653FE3">
              <w:t>Medium</w:t>
            </w:r>
            <w:r>
              <w:t xml:space="preserve"> (ref.)</w:t>
            </w:r>
          </w:p>
        </w:tc>
        <w:tc>
          <w:tcPr>
            <w:tcW w:w="7229" w:type="dxa"/>
          </w:tcPr>
          <w:p w14:paraId="4AF9C62B" w14:textId="77777777" w:rsidR="00E61CF3" w:rsidRPr="00653FE3" w:rsidRDefault="00E61CF3" w:rsidP="00380D78">
            <w:r>
              <w:t>1-50 recorded enrolments</w:t>
            </w:r>
          </w:p>
        </w:tc>
        <w:tc>
          <w:tcPr>
            <w:tcW w:w="1115" w:type="dxa"/>
            <w:vAlign w:val="bottom"/>
          </w:tcPr>
          <w:p w14:paraId="6B3430D7" w14:textId="77777777" w:rsidR="00E61CF3" w:rsidRPr="00653FE3" w:rsidRDefault="00E61CF3" w:rsidP="00380D78">
            <w:pPr>
              <w:jc w:val="center"/>
            </w:pPr>
            <w:r w:rsidRPr="005549DB">
              <w:rPr>
                <w:color w:val="000000"/>
              </w:rPr>
              <w:t>73.9</w:t>
            </w:r>
          </w:p>
        </w:tc>
        <w:tc>
          <w:tcPr>
            <w:tcW w:w="1068" w:type="dxa"/>
          </w:tcPr>
          <w:p w14:paraId="4C42A469" w14:textId="77777777" w:rsidR="00E61CF3" w:rsidRPr="00653FE3" w:rsidRDefault="00E61CF3" w:rsidP="00380D78">
            <w:pPr>
              <w:jc w:val="center"/>
            </w:pPr>
          </w:p>
        </w:tc>
        <w:tc>
          <w:tcPr>
            <w:tcW w:w="1078" w:type="dxa"/>
            <w:vAlign w:val="bottom"/>
          </w:tcPr>
          <w:p w14:paraId="33AA372C" w14:textId="77777777" w:rsidR="00E61CF3" w:rsidRPr="00653FE3" w:rsidRDefault="00E61CF3" w:rsidP="00380D78">
            <w:pPr>
              <w:jc w:val="center"/>
            </w:pPr>
            <w:r w:rsidRPr="008716FB">
              <w:rPr>
                <w:color w:val="000000"/>
              </w:rPr>
              <w:t>74.0</w:t>
            </w:r>
          </w:p>
        </w:tc>
        <w:tc>
          <w:tcPr>
            <w:tcW w:w="1076" w:type="dxa"/>
          </w:tcPr>
          <w:p w14:paraId="24136376" w14:textId="77777777" w:rsidR="00E61CF3" w:rsidRPr="00653FE3" w:rsidRDefault="00E61CF3" w:rsidP="00380D78">
            <w:pPr>
              <w:jc w:val="center"/>
            </w:pPr>
          </w:p>
        </w:tc>
      </w:tr>
      <w:tr w:rsidR="00E61CF3" w:rsidRPr="00653FE3" w14:paraId="6240B3B1" w14:textId="77777777" w:rsidTr="00380D78">
        <w:tc>
          <w:tcPr>
            <w:tcW w:w="2552" w:type="dxa"/>
          </w:tcPr>
          <w:p w14:paraId="78781135" w14:textId="77777777" w:rsidR="00E61CF3" w:rsidRPr="00653FE3" w:rsidRDefault="00E61CF3" w:rsidP="00380D78">
            <w:pPr>
              <w:ind w:left="22" w:firstLine="179"/>
            </w:pPr>
            <w:r>
              <w:t>High</w:t>
            </w:r>
          </w:p>
        </w:tc>
        <w:tc>
          <w:tcPr>
            <w:tcW w:w="7229" w:type="dxa"/>
          </w:tcPr>
          <w:p w14:paraId="31390A60" w14:textId="77777777" w:rsidR="00E61CF3" w:rsidRPr="00653FE3" w:rsidRDefault="00E61CF3" w:rsidP="00380D78">
            <w:r>
              <w:t>51-100 recorded enrolments</w:t>
            </w:r>
          </w:p>
        </w:tc>
        <w:tc>
          <w:tcPr>
            <w:tcW w:w="1115" w:type="dxa"/>
            <w:vAlign w:val="bottom"/>
          </w:tcPr>
          <w:p w14:paraId="744FE2E8" w14:textId="77777777" w:rsidR="00E61CF3" w:rsidRPr="00653FE3" w:rsidRDefault="00E61CF3" w:rsidP="00380D78">
            <w:pPr>
              <w:jc w:val="center"/>
            </w:pPr>
            <w:r w:rsidRPr="005549DB">
              <w:rPr>
                <w:color w:val="000000"/>
              </w:rPr>
              <w:t>12.1</w:t>
            </w:r>
          </w:p>
        </w:tc>
        <w:tc>
          <w:tcPr>
            <w:tcW w:w="1068" w:type="dxa"/>
          </w:tcPr>
          <w:p w14:paraId="37C0DCE9" w14:textId="77777777" w:rsidR="00E61CF3" w:rsidRPr="00653FE3" w:rsidRDefault="00E61CF3" w:rsidP="00380D78">
            <w:pPr>
              <w:jc w:val="center"/>
            </w:pPr>
          </w:p>
        </w:tc>
        <w:tc>
          <w:tcPr>
            <w:tcW w:w="1078" w:type="dxa"/>
            <w:vAlign w:val="bottom"/>
          </w:tcPr>
          <w:p w14:paraId="7CE7AF95" w14:textId="77777777" w:rsidR="00E61CF3" w:rsidRPr="00653FE3" w:rsidRDefault="00E61CF3" w:rsidP="00380D78">
            <w:pPr>
              <w:jc w:val="center"/>
            </w:pPr>
            <w:r w:rsidRPr="008716FB">
              <w:rPr>
                <w:color w:val="000000"/>
              </w:rPr>
              <w:t>12.0</w:t>
            </w:r>
          </w:p>
        </w:tc>
        <w:tc>
          <w:tcPr>
            <w:tcW w:w="1076" w:type="dxa"/>
          </w:tcPr>
          <w:p w14:paraId="5F47D845" w14:textId="77777777" w:rsidR="00E61CF3" w:rsidRPr="00653FE3" w:rsidRDefault="00E61CF3" w:rsidP="00380D78">
            <w:pPr>
              <w:jc w:val="center"/>
            </w:pPr>
          </w:p>
        </w:tc>
      </w:tr>
      <w:tr w:rsidR="00E61CF3" w:rsidRPr="00653FE3" w14:paraId="322EE55D" w14:textId="77777777" w:rsidTr="00380D78">
        <w:tc>
          <w:tcPr>
            <w:tcW w:w="2552" w:type="dxa"/>
          </w:tcPr>
          <w:p w14:paraId="673A8B54" w14:textId="77777777" w:rsidR="00E61CF3" w:rsidRPr="00653FE3" w:rsidRDefault="00E61CF3" w:rsidP="00380D78">
            <w:pPr>
              <w:ind w:left="22" w:firstLine="179"/>
            </w:pPr>
            <w:r w:rsidRPr="00653FE3">
              <w:t>Missing</w:t>
            </w:r>
          </w:p>
        </w:tc>
        <w:tc>
          <w:tcPr>
            <w:tcW w:w="7229" w:type="dxa"/>
          </w:tcPr>
          <w:p w14:paraId="4C000349" w14:textId="77777777" w:rsidR="00E61CF3" w:rsidRPr="00653FE3" w:rsidRDefault="00E61CF3" w:rsidP="00380D78">
            <w:r w:rsidRPr="00653FE3">
              <w:t>Missing</w:t>
            </w:r>
          </w:p>
        </w:tc>
        <w:tc>
          <w:tcPr>
            <w:tcW w:w="1115" w:type="dxa"/>
            <w:vAlign w:val="bottom"/>
          </w:tcPr>
          <w:p w14:paraId="378AE555" w14:textId="77777777" w:rsidR="00E61CF3" w:rsidRPr="00653FE3" w:rsidRDefault="00E61CF3" w:rsidP="00380D78">
            <w:pPr>
              <w:jc w:val="center"/>
            </w:pPr>
            <w:r w:rsidRPr="005549DB">
              <w:rPr>
                <w:color w:val="000000"/>
              </w:rPr>
              <w:t>12.3</w:t>
            </w:r>
          </w:p>
        </w:tc>
        <w:tc>
          <w:tcPr>
            <w:tcW w:w="1068" w:type="dxa"/>
          </w:tcPr>
          <w:p w14:paraId="668CB13D" w14:textId="77777777" w:rsidR="00E61CF3" w:rsidRPr="00653FE3" w:rsidRDefault="00E61CF3" w:rsidP="00380D78">
            <w:pPr>
              <w:jc w:val="center"/>
            </w:pPr>
          </w:p>
        </w:tc>
        <w:tc>
          <w:tcPr>
            <w:tcW w:w="1078" w:type="dxa"/>
            <w:vAlign w:val="bottom"/>
          </w:tcPr>
          <w:p w14:paraId="3E785650" w14:textId="77777777" w:rsidR="00E61CF3" w:rsidRPr="00653FE3" w:rsidRDefault="00E61CF3" w:rsidP="00380D78">
            <w:pPr>
              <w:jc w:val="center"/>
            </w:pPr>
            <w:r w:rsidRPr="008716FB">
              <w:rPr>
                <w:color w:val="000000"/>
              </w:rPr>
              <w:t>12.4</w:t>
            </w:r>
          </w:p>
        </w:tc>
        <w:tc>
          <w:tcPr>
            <w:tcW w:w="1076" w:type="dxa"/>
          </w:tcPr>
          <w:p w14:paraId="29941D25" w14:textId="77777777" w:rsidR="00E61CF3" w:rsidRPr="00653FE3" w:rsidRDefault="00E61CF3" w:rsidP="00380D78">
            <w:pPr>
              <w:jc w:val="center"/>
            </w:pPr>
          </w:p>
        </w:tc>
      </w:tr>
      <w:tr w:rsidR="00E61CF3" w:rsidRPr="00653FE3" w14:paraId="3B088F77" w14:textId="77777777" w:rsidTr="00380D78">
        <w:tc>
          <w:tcPr>
            <w:tcW w:w="2552" w:type="dxa"/>
          </w:tcPr>
          <w:p w14:paraId="4C220138" w14:textId="77777777" w:rsidR="00E61CF3" w:rsidRPr="00653FE3" w:rsidRDefault="00E61CF3" w:rsidP="00380D78">
            <w:pPr>
              <w:ind w:left="22"/>
            </w:pPr>
          </w:p>
        </w:tc>
        <w:tc>
          <w:tcPr>
            <w:tcW w:w="7229" w:type="dxa"/>
          </w:tcPr>
          <w:p w14:paraId="4F95926A" w14:textId="77777777" w:rsidR="00E61CF3" w:rsidRPr="00653FE3" w:rsidRDefault="00E61CF3" w:rsidP="00380D78">
            <w:pPr>
              <w:ind w:left="22"/>
            </w:pPr>
          </w:p>
        </w:tc>
        <w:tc>
          <w:tcPr>
            <w:tcW w:w="1115" w:type="dxa"/>
          </w:tcPr>
          <w:p w14:paraId="381EDAE1" w14:textId="77777777" w:rsidR="00E61CF3" w:rsidRPr="00653FE3" w:rsidRDefault="00E61CF3" w:rsidP="00380D78">
            <w:pPr>
              <w:jc w:val="center"/>
            </w:pPr>
          </w:p>
        </w:tc>
        <w:tc>
          <w:tcPr>
            <w:tcW w:w="1068" w:type="dxa"/>
          </w:tcPr>
          <w:p w14:paraId="12BFB292" w14:textId="77777777" w:rsidR="00E61CF3" w:rsidRPr="00653FE3" w:rsidRDefault="00E61CF3" w:rsidP="00380D78">
            <w:pPr>
              <w:jc w:val="center"/>
            </w:pPr>
          </w:p>
        </w:tc>
        <w:tc>
          <w:tcPr>
            <w:tcW w:w="1078" w:type="dxa"/>
          </w:tcPr>
          <w:p w14:paraId="5F3253CB" w14:textId="77777777" w:rsidR="00E61CF3" w:rsidRPr="00653FE3" w:rsidRDefault="00E61CF3" w:rsidP="00380D78">
            <w:pPr>
              <w:jc w:val="center"/>
            </w:pPr>
          </w:p>
        </w:tc>
        <w:tc>
          <w:tcPr>
            <w:tcW w:w="1076" w:type="dxa"/>
          </w:tcPr>
          <w:p w14:paraId="28C57AE6" w14:textId="77777777" w:rsidR="00E61CF3" w:rsidRPr="00653FE3" w:rsidRDefault="00E61CF3" w:rsidP="00380D78">
            <w:pPr>
              <w:jc w:val="center"/>
            </w:pPr>
          </w:p>
        </w:tc>
      </w:tr>
      <w:tr w:rsidR="00E61CF3" w:rsidRPr="00653FE3" w14:paraId="3D482088" w14:textId="77777777" w:rsidTr="00380D78">
        <w:tc>
          <w:tcPr>
            <w:tcW w:w="2552" w:type="dxa"/>
          </w:tcPr>
          <w:p w14:paraId="52748DC3" w14:textId="77777777" w:rsidR="00E61CF3" w:rsidRPr="00653FE3" w:rsidRDefault="00E61CF3" w:rsidP="00380D78">
            <w:pPr>
              <w:ind w:left="22"/>
            </w:pPr>
            <w:r w:rsidRPr="00653FE3">
              <w:t>Participation rate</w:t>
            </w:r>
          </w:p>
        </w:tc>
        <w:tc>
          <w:tcPr>
            <w:tcW w:w="7229" w:type="dxa"/>
          </w:tcPr>
          <w:p w14:paraId="5C6F6142" w14:textId="77777777" w:rsidR="00E61CF3" w:rsidRPr="00653FE3" w:rsidRDefault="00E61CF3" w:rsidP="00380D78">
            <w:pPr>
              <w:ind w:left="22"/>
            </w:pPr>
            <w:r w:rsidRPr="00653FE3">
              <w:t>Percentage of students who participated</w:t>
            </w:r>
          </w:p>
        </w:tc>
        <w:tc>
          <w:tcPr>
            <w:tcW w:w="1115" w:type="dxa"/>
          </w:tcPr>
          <w:p w14:paraId="37F2FEA3" w14:textId="77777777" w:rsidR="00E61CF3" w:rsidRPr="00653FE3" w:rsidRDefault="00E61CF3" w:rsidP="00380D78">
            <w:pPr>
              <w:jc w:val="center"/>
            </w:pPr>
            <w:r w:rsidRPr="00E33489">
              <w:rPr>
                <w:color w:val="000000"/>
              </w:rPr>
              <w:t>95.4</w:t>
            </w:r>
          </w:p>
        </w:tc>
        <w:tc>
          <w:tcPr>
            <w:tcW w:w="1068" w:type="dxa"/>
          </w:tcPr>
          <w:p w14:paraId="001F8F02" w14:textId="77777777" w:rsidR="00E61CF3" w:rsidRPr="00653FE3" w:rsidRDefault="00E61CF3" w:rsidP="00380D78">
            <w:pPr>
              <w:jc w:val="center"/>
            </w:pPr>
          </w:p>
        </w:tc>
        <w:tc>
          <w:tcPr>
            <w:tcW w:w="1078" w:type="dxa"/>
          </w:tcPr>
          <w:p w14:paraId="55BDE065" w14:textId="77777777" w:rsidR="00E61CF3" w:rsidRPr="00653FE3" w:rsidRDefault="00E61CF3" w:rsidP="00380D78">
            <w:pPr>
              <w:jc w:val="center"/>
            </w:pPr>
            <w:r w:rsidRPr="008716FB">
              <w:rPr>
                <w:color w:val="000000"/>
              </w:rPr>
              <w:t>95.9</w:t>
            </w:r>
          </w:p>
        </w:tc>
        <w:tc>
          <w:tcPr>
            <w:tcW w:w="1076" w:type="dxa"/>
          </w:tcPr>
          <w:p w14:paraId="70566406" w14:textId="77777777" w:rsidR="00E61CF3" w:rsidRPr="00653FE3" w:rsidRDefault="00E61CF3" w:rsidP="00380D78">
            <w:pPr>
              <w:jc w:val="center"/>
            </w:pPr>
          </w:p>
        </w:tc>
      </w:tr>
      <w:tr w:rsidR="00E61CF3" w:rsidRPr="00653FE3" w14:paraId="5BED8B27" w14:textId="77777777" w:rsidTr="00380D78">
        <w:tc>
          <w:tcPr>
            <w:tcW w:w="2552" w:type="dxa"/>
          </w:tcPr>
          <w:p w14:paraId="1314E00B" w14:textId="77777777" w:rsidR="00E61CF3" w:rsidRPr="00B06440" w:rsidRDefault="00E61CF3" w:rsidP="00380D78">
            <w:pPr>
              <w:ind w:left="22"/>
            </w:pPr>
            <w:r w:rsidRPr="00B06440">
              <w:t>Exempt percentage</w:t>
            </w:r>
          </w:p>
        </w:tc>
        <w:tc>
          <w:tcPr>
            <w:tcW w:w="7229" w:type="dxa"/>
          </w:tcPr>
          <w:p w14:paraId="22E3C949" w14:textId="77777777" w:rsidR="00E61CF3" w:rsidRPr="00B06440" w:rsidRDefault="00E61CF3" w:rsidP="00380D78">
            <w:pPr>
              <w:ind w:left="22"/>
            </w:pPr>
            <w:r>
              <w:t>Percentage of exempt students</w:t>
            </w:r>
          </w:p>
        </w:tc>
        <w:tc>
          <w:tcPr>
            <w:tcW w:w="1115" w:type="dxa"/>
          </w:tcPr>
          <w:p w14:paraId="17ADAD58" w14:textId="77777777" w:rsidR="00E61CF3" w:rsidRPr="00570180" w:rsidRDefault="00E61CF3" w:rsidP="00380D78">
            <w:pPr>
              <w:jc w:val="center"/>
              <w:rPr>
                <w:color w:val="000000"/>
              </w:rPr>
            </w:pPr>
            <w:r>
              <w:rPr>
                <w:color w:val="000000"/>
              </w:rPr>
              <w:t>1.47</w:t>
            </w:r>
          </w:p>
        </w:tc>
        <w:tc>
          <w:tcPr>
            <w:tcW w:w="1068" w:type="dxa"/>
          </w:tcPr>
          <w:p w14:paraId="7CDFC8CE" w14:textId="77777777" w:rsidR="00E61CF3" w:rsidRPr="00B06440" w:rsidRDefault="00E61CF3" w:rsidP="00380D78">
            <w:pPr>
              <w:jc w:val="center"/>
            </w:pPr>
          </w:p>
        </w:tc>
        <w:tc>
          <w:tcPr>
            <w:tcW w:w="1078" w:type="dxa"/>
          </w:tcPr>
          <w:p w14:paraId="30277DC0" w14:textId="77777777" w:rsidR="00E61CF3" w:rsidRPr="00B06440" w:rsidRDefault="00E61CF3" w:rsidP="00380D78">
            <w:pPr>
              <w:jc w:val="center"/>
              <w:rPr>
                <w:vertAlign w:val="superscript"/>
              </w:rPr>
            </w:pPr>
            <w:r w:rsidRPr="008716FB">
              <w:rPr>
                <w:color w:val="000000"/>
              </w:rPr>
              <w:t>1.3</w:t>
            </w:r>
            <w:r>
              <w:rPr>
                <w:color w:val="000000"/>
              </w:rPr>
              <w:t>7</w:t>
            </w:r>
          </w:p>
        </w:tc>
        <w:tc>
          <w:tcPr>
            <w:tcW w:w="1076" w:type="dxa"/>
          </w:tcPr>
          <w:p w14:paraId="760FEC6A" w14:textId="77777777" w:rsidR="00E61CF3" w:rsidRPr="00653FE3" w:rsidRDefault="00E61CF3" w:rsidP="00380D78">
            <w:pPr>
              <w:jc w:val="center"/>
            </w:pPr>
          </w:p>
        </w:tc>
      </w:tr>
      <w:tr w:rsidR="00E61CF3" w:rsidRPr="00653FE3" w14:paraId="2BE2DFEB" w14:textId="77777777" w:rsidTr="00380D78">
        <w:tc>
          <w:tcPr>
            <w:tcW w:w="2552" w:type="dxa"/>
          </w:tcPr>
          <w:p w14:paraId="43003FB1" w14:textId="77777777" w:rsidR="00E61CF3" w:rsidRPr="002E002C" w:rsidRDefault="00E61CF3" w:rsidP="00380D78">
            <w:pPr>
              <w:ind w:left="22"/>
            </w:pPr>
            <w:r>
              <w:t>Total income</w:t>
            </w:r>
          </w:p>
        </w:tc>
        <w:tc>
          <w:tcPr>
            <w:tcW w:w="7229" w:type="dxa"/>
          </w:tcPr>
          <w:p w14:paraId="7B98520C" w14:textId="77777777" w:rsidR="00E61CF3" w:rsidRPr="002E002C" w:rsidRDefault="00E61CF3" w:rsidP="00380D78">
            <w:pPr>
              <w:ind w:left="22"/>
            </w:pPr>
            <w:r w:rsidRPr="00F4150D">
              <w:rPr>
                <w:szCs w:val="24"/>
              </w:rPr>
              <w:t>The amount of recurrent income received by a school from the Australian Government and state and territory</w:t>
            </w:r>
            <w:r>
              <w:rPr>
                <w:szCs w:val="24"/>
              </w:rPr>
              <w:t xml:space="preserve"> </w:t>
            </w:r>
            <w:r w:rsidRPr="00F4150D">
              <w:rPr>
                <w:szCs w:val="24"/>
              </w:rPr>
              <w:t>governments, plus gross income from fees, charges, parent contributions and other private sources, calculated per student</w:t>
            </w:r>
            <w:r w:rsidRPr="002E002C">
              <w:t>/10000</w:t>
            </w:r>
          </w:p>
        </w:tc>
        <w:tc>
          <w:tcPr>
            <w:tcW w:w="1115" w:type="dxa"/>
          </w:tcPr>
          <w:p w14:paraId="1D909404" w14:textId="77777777" w:rsidR="00E61CF3" w:rsidRPr="002E002C" w:rsidRDefault="00E61CF3" w:rsidP="00380D78">
            <w:pPr>
              <w:jc w:val="center"/>
              <w:rPr>
                <w:vertAlign w:val="superscript"/>
              </w:rPr>
            </w:pPr>
            <w:r>
              <w:rPr>
                <w:color w:val="000000"/>
              </w:rPr>
              <w:t>$</w:t>
            </w:r>
            <w:r w:rsidRPr="00570180">
              <w:rPr>
                <w:color w:val="000000"/>
              </w:rPr>
              <w:t>12</w:t>
            </w:r>
            <w:r>
              <w:rPr>
                <w:color w:val="000000"/>
              </w:rPr>
              <w:t>,665</w:t>
            </w:r>
          </w:p>
        </w:tc>
        <w:tc>
          <w:tcPr>
            <w:tcW w:w="1068" w:type="dxa"/>
          </w:tcPr>
          <w:p w14:paraId="4E8B2875" w14:textId="77777777" w:rsidR="00E61CF3" w:rsidRPr="002E002C" w:rsidRDefault="00E61CF3" w:rsidP="00380D78">
            <w:pPr>
              <w:jc w:val="center"/>
            </w:pPr>
            <w:r>
              <w:rPr>
                <w:color w:val="000000"/>
              </w:rPr>
              <w:t>$4,495</w:t>
            </w:r>
          </w:p>
        </w:tc>
        <w:tc>
          <w:tcPr>
            <w:tcW w:w="1078" w:type="dxa"/>
          </w:tcPr>
          <w:p w14:paraId="4B9BE386" w14:textId="77777777" w:rsidR="00E61CF3" w:rsidRPr="002E002C" w:rsidRDefault="00E61CF3" w:rsidP="00380D78">
            <w:pPr>
              <w:jc w:val="center"/>
              <w:rPr>
                <w:vertAlign w:val="superscript"/>
              </w:rPr>
            </w:pPr>
            <w:r>
              <w:rPr>
                <w:color w:val="000000"/>
              </w:rPr>
              <w:t>$</w:t>
            </w:r>
            <w:r w:rsidRPr="008716FB">
              <w:rPr>
                <w:color w:val="000000"/>
              </w:rPr>
              <w:t>12721</w:t>
            </w:r>
          </w:p>
        </w:tc>
        <w:tc>
          <w:tcPr>
            <w:tcW w:w="1076" w:type="dxa"/>
          </w:tcPr>
          <w:p w14:paraId="36746F69" w14:textId="77777777" w:rsidR="00E61CF3" w:rsidRPr="002E002C" w:rsidRDefault="00E61CF3" w:rsidP="00380D78">
            <w:pPr>
              <w:jc w:val="center"/>
            </w:pPr>
            <w:r>
              <w:rPr>
                <w:color w:val="000000"/>
              </w:rPr>
              <w:t>$</w:t>
            </w:r>
            <w:r w:rsidRPr="008716FB">
              <w:rPr>
                <w:color w:val="000000"/>
              </w:rPr>
              <w:t>4</w:t>
            </w:r>
            <w:r>
              <w:rPr>
                <w:color w:val="000000"/>
              </w:rPr>
              <w:t>,</w:t>
            </w:r>
            <w:r w:rsidRPr="008716FB">
              <w:rPr>
                <w:color w:val="000000"/>
              </w:rPr>
              <w:t>726</w:t>
            </w:r>
          </w:p>
        </w:tc>
      </w:tr>
    </w:tbl>
    <w:p w14:paraId="39B50CDE" w14:textId="77777777" w:rsidR="00E61CF3" w:rsidRPr="007D546A" w:rsidRDefault="00E61CF3" w:rsidP="00E61CF3">
      <w:pPr>
        <w:pStyle w:val="NoSpacing"/>
        <w:rPr>
          <w:rFonts w:cs="Times New Roman"/>
          <w:sz w:val="20"/>
          <w:szCs w:val="18"/>
        </w:rPr>
      </w:pPr>
      <w:r w:rsidRPr="007D546A">
        <w:rPr>
          <w:rFonts w:cs="Times New Roman"/>
          <w:sz w:val="20"/>
          <w:szCs w:val="18"/>
        </w:rPr>
        <w:t xml:space="preserve">Note: Results were </w:t>
      </w:r>
      <w:r>
        <w:rPr>
          <w:rFonts w:cs="Times New Roman"/>
          <w:sz w:val="20"/>
          <w:szCs w:val="18"/>
        </w:rPr>
        <w:t xml:space="preserve">very </w:t>
      </w:r>
      <w:r w:rsidRPr="007D546A">
        <w:rPr>
          <w:rFonts w:cs="Times New Roman"/>
          <w:sz w:val="20"/>
          <w:szCs w:val="18"/>
        </w:rPr>
        <w:t>similar across all domains.</w:t>
      </w:r>
    </w:p>
    <w:p w14:paraId="71BB79F6" w14:textId="77777777" w:rsidR="00E61CF3" w:rsidRDefault="00E61CF3" w:rsidP="00E61CF3">
      <w:pPr>
        <w:pStyle w:val="NoSpacing"/>
        <w:rPr>
          <w:rFonts w:cs="Times New Roman"/>
          <w:sz w:val="20"/>
          <w:szCs w:val="20"/>
        </w:rPr>
      </w:pPr>
    </w:p>
    <w:p w14:paraId="4042BFFD" w14:textId="77777777" w:rsidR="00E61CF3" w:rsidRDefault="00E61CF3" w:rsidP="00E61CF3">
      <w:pPr>
        <w:pStyle w:val="NoSpacing"/>
        <w:rPr>
          <w:rFonts w:cs="Times New Roman"/>
          <w:sz w:val="20"/>
          <w:szCs w:val="20"/>
        </w:rPr>
      </w:pPr>
    </w:p>
    <w:p w14:paraId="5BCC1CDB" w14:textId="77777777" w:rsidR="00E61CF3" w:rsidRDefault="00E61CF3" w:rsidP="00E61CF3">
      <w:pPr>
        <w:rPr>
          <w:rFonts w:cs="Times New Roman"/>
          <w:sz w:val="20"/>
          <w:szCs w:val="20"/>
        </w:rPr>
        <w:sectPr w:rsidR="00E61CF3" w:rsidSect="00D634F7">
          <w:footerReference w:type="default" r:id="rId11"/>
          <w:footnotePr>
            <w:numRestart w:val="eachSect"/>
          </w:footnotePr>
          <w:pgSz w:w="15840" w:h="12240" w:orient="landscape"/>
          <w:pgMar w:top="1440" w:right="1276" w:bottom="1440" w:left="1440" w:header="720" w:footer="720" w:gutter="0"/>
          <w:cols w:space="720"/>
          <w:titlePg/>
          <w:docGrid w:linePitch="360"/>
        </w:sectPr>
      </w:pPr>
    </w:p>
    <w:p w14:paraId="407BF67E" w14:textId="77777777" w:rsidR="00E61CF3" w:rsidRPr="00B22146" w:rsidRDefault="00E61CF3" w:rsidP="00E61CF3">
      <w:pPr>
        <w:spacing w:after="0" w:line="240" w:lineRule="auto"/>
        <w:jc w:val="center"/>
        <w:rPr>
          <w:b/>
          <w:sz w:val="20"/>
          <w:szCs w:val="20"/>
        </w:rPr>
      </w:pPr>
      <w:r w:rsidRPr="00B22146">
        <w:rPr>
          <w:b/>
          <w:sz w:val="20"/>
          <w:szCs w:val="20"/>
        </w:rPr>
        <w:lastRenderedPageBreak/>
        <w:t xml:space="preserve">Figure 1: Year 3 mean NAPLAN </w:t>
      </w:r>
      <w:r>
        <w:rPr>
          <w:b/>
          <w:sz w:val="20"/>
          <w:szCs w:val="20"/>
        </w:rPr>
        <w:t xml:space="preserve">test </w:t>
      </w:r>
      <w:r w:rsidRPr="00B22146">
        <w:rPr>
          <w:b/>
          <w:sz w:val="20"/>
          <w:szCs w:val="20"/>
        </w:rPr>
        <w:t>scores by domain</w:t>
      </w:r>
      <w:r>
        <w:rPr>
          <w:b/>
          <w:sz w:val="20"/>
          <w:szCs w:val="20"/>
        </w:rPr>
        <w:t xml:space="preserve"> and the religious authority of the school, 2010</w:t>
      </w:r>
      <w:r w:rsidRPr="00B22146">
        <w:rPr>
          <w:b/>
          <w:sz w:val="20"/>
          <w:szCs w:val="20"/>
        </w:rPr>
        <w:t>-2015</w:t>
      </w:r>
    </w:p>
    <w:p w14:paraId="6EAC200E" w14:textId="77777777" w:rsidR="00E61CF3" w:rsidRPr="005847F3" w:rsidRDefault="00E61CF3" w:rsidP="00E61CF3">
      <w:pPr>
        <w:spacing w:after="0" w:line="240" w:lineRule="auto"/>
        <w:rPr>
          <w:sz w:val="16"/>
          <w:szCs w:val="20"/>
        </w:rPr>
      </w:pPr>
    </w:p>
    <w:p w14:paraId="5C56A295" w14:textId="77777777" w:rsidR="00E61CF3" w:rsidRDefault="00E61CF3" w:rsidP="00E61CF3">
      <w:pPr>
        <w:spacing w:after="0" w:line="240" w:lineRule="auto"/>
        <w:jc w:val="center"/>
        <w:rPr>
          <w:sz w:val="16"/>
          <w:szCs w:val="20"/>
        </w:rPr>
      </w:pPr>
      <w:r w:rsidRPr="00FA5A7F">
        <w:rPr>
          <w:noProof/>
        </w:rPr>
        <w:drawing>
          <wp:inline distT="0" distB="0" distL="0" distR="0" wp14:anchorId="60B58793" wp14:editId="733AA5F9">
            <wp:extent cx="4206240" cy="2663952"/>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981" cy="2675822"/>
                    </a:xfrm>
                    <a:prstGeom prst="rect">
                      <a:avLst/>
                    </a:prstGeom>
                    <a:noFill/>
                    <a:ln>
                      <a:noFill/>
                    </a:ln>
                  </pic:spPr>
                </pic:pic>
              </a:graphicData>
            </a:graphic>
          </wp:inline>
        </w:drawing>
      </w:r>
    </w:p>
    <w:p w14:paraId="02A824BF" w14:textId="29D0C6D2" w:rsidR="00E61CF3" w:rsidRDefault="00E61CF3" w:rsidP="00E61CF3">
      <w:pPr>
        <w:spacing w:after="0" w:line="240" w:lineRule="auto"/>
        <w:rPr>
          <w:sz w:val="16"/>
          <w:szCs w:val="20"/>
        </w:rPr>
      </w:pPr>
    </w:p>
    <w:p w14:paraId="4968403C" w14:textId="77777777" w:rsidR="00E61CF3" w:rsidRDefault="00E61CF3" w:rsidP="00E61CF3">
      <w:pPr>
        <w:spacing w:after="0" w:line="240" w:lineRule="auto"/>
        <w:rPr>
          <w:sz w:val="16"/>
          <w:szCs w:val="20"/>
        </w:rPr>
      </w:pPr>
    </w:p>
    <w:p w14:paraId="0796551C" w14:textId="77777777" w:rsidR="00E61CF3" w:rsidRDefault="00E61CF3" w:rsidP="00E61CF3">
      <w:pPr>
        <w:spacing w:after="0" w:line="240" w:lineRule="auto"/>
        <w:jc w:val="center"/>
        <w:rPr>
          <w:sz w:val="16"/>
          <w:szCs w:val="20"/>
        </w:rPr>
      </w:pPr>
      <w:r w:rsidRPr="00FA5A7F">
        <w:rPr>
          <w:noProof/>
        </w:rPr>
        <w:drawing>
          <wp:inline distT="0" distB="0" distL="0" distR="0" wp14:anchorId="543F4B51" wp14:editId="2271AB7D">
            <wp:extent cx="4238045" cy="26068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607" cy="2620775"/>
                    </a:xfrm>
                    <a:prstGeom prst="rect">
                      <a:avLst/>
                    </a:prstGeom>
                    <a:noFill/>
                    <a:ln>
                      <a:noFill/>
                    </a:ln>
                  </pic:spPr>
                </pic:pic>
              </a:graphicData>
            </a:graphic>
          </wp:inline>
        </w:drawing>
      </w:r>
    </w:p>
    <w:p w14:paraId="2D4BBC9C" w14:textId="7C603945" w:rsidR="00E61CF3" w:rsidRDefault="00E61CF3" w:rsidP="00E61CF3">
      <w:pPr>
        <w:spacing w:after="0" w:line="240" w:lineRule="auto"/>
        <w:rPr>
          <w:sz w:val="16"/>
          <w:szCs w:val="20"/>
        </w:rPr>
      </w:pPr>
    </w:p>
    <w:p w14:paraId="1282162A" w14:textId="77777777" w:rsidR="00E61CF3" w:rsidRDefault="00E61CF3" w:rsidP="00E61CF3">
      <w:pPr>
        <w:spacing w:after="0" w:line="240" w:lineRule="auto"/>
        <w:rPr>
          <w:sz w:val="16"/>
          <w:szCs w:val="20"/>
        </w:rPr>
      </w:pPr>
    </w:p>
    <w:p w14:paraId="4D8F884D" w14:textId="77777777" w:rsidR="00E61CF3" w:rsidRDefault="00E61CF3" w:rsidP="00E61CF3">
      <w:pPr>
        <w:spacing w:after="0" w:line="240" w:lineRule="auto"/>
        <w:jc w:val="center"/>
        <w:rPr>
          <w:sz w:val="16"/>
          <w:szCs w:val="20"/>
        </w:rPr>
      </w:pPr>
      <w:r w:rsidRPr="00FA5A7F">
        <w:rPr>
          <w:noProof/>
        </w:rPr>
        <w:drawing>
          <wp:inline distT="0" distB="0" distL="0" distR="0" wp14:anchorId="01E2FF2D" wp14:editId="4C04E765">
            <wp:extent cx="4230094" cy="24626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7430" cy="2472745"/>
                    </a:xfrm>
                    <a:prstGeom prst="rect">
                      <a:avLst/>
                    </a:prstGeom>
                    <a:noFill/>
                    <a:ln>
                      <a:noFill/>
                    </a:ln>
                  </pic:spPr>
                </pic:pic>
              </a:graphicData>
            </a:graphic>
          </wp:inline>
        </w:drawing>
      </w:r>
    </w:p>
    <w:p w14:paraId="166CC230" w14:textId="095B8CF0" w:rsidR="00E61CF3" w:rsidRDefault="00E61CF3">
      <w:pPr>
        <w:rPr>
          <w:sz w:val="16"/>
          <w:szCs w:val="20"/>
        </w:rPr>
      </w:pPr>
      <w:r>
        <w:rPr>
          <w:sz w:val="16"/>
          <w:szCs w:val="20"/>
        </w:rPr>
        <w:br w:type="page"/>
      </w:r>
    </w:p>
    <w:p w14:paraId="183A9640" w14:textId="095B8CF0" w:rsidR="00E61CF3" w:rsidRDefault="00E61CF3" w:rsidP="00E61CF3">
      <w:pPr>
        <w:spacing w:after="0" w:line="240" w:lineRule="auto"/>
        <w:rPr>
          <w:sz w:val="16"/>
          <w:szCs w:val="20"/>
        </w:rPr>
      </w:pPr>
    </w:p>
    <w:p w14:paraId="65625CE3" w14:textId="77777777" w:rsidR="00E61CF3" w:rsidRPr="00B22146" w:rsidRDefault="00E61CF3" w:rsidP="00E61CF3">
      <w:pPr>
        <w:spacing w:after="0" w:line="240" w:lineRule="auto"/>
        <w:jc w:val="center"/>
        <w:rPr>
          <w:b/>
          <w:sz w:val="20"/>
          <w:szCs w:val="20"/>
        </w:rPr>
      </w:pPr>
      <w:r w:rsidRPr="00B22146">
        <w:rPr>
          <w:b/>
          <w:sz w:val="20"/>
          <w:szCs w:val="20"/>
        </w:rPr>
        <w:t xml:space="preserve">Figure 1: Year 3 mean NAPLAN </w:t>
      </w:r>
      <w:r>
        <w:rPr>
          <w:b/>
          <w:sz w:val="20"/>
          <w:szCs w:val="20"/>
        </w:rPr>
        <w:t xml:space="preserve">test </w:t>
      </w:r>
      <w:r w:rsidRPr="00B22146">
        <w:rPr>
          <w:b/>
          <w:sz w:val="20"/>
          <w:szCs w:val="20"/>
        </w:rPr>
        <w:t>scores by domain</w:t>
      </w:r>
      <w:r>
        <w:rPr>
          <w:b/>
          <w:sz w:val="20"/>
          <w:szCs w:val="20"/>
        </w:rPr>
        <w:t xml:space="preserve"> and the religious authority of the school, 2010</w:t>
      </w:r>
      <w:r w:rsidRPr="00B22146">
        <w:rPr>
          <w:b/>
          <w:sz w:val="20"/>
          <w:szCs w:val="20"/>
        </w:rPr>
        <w:t>-2015</w:t>
      </w:r>
      <w:r>
        <w:rPr>
          <w:b/>
          <w:sz w:val="20"/>
          <w:szCs w:val="20"/>
        </w:rPr>
        <w:t xml:space="preserve"> (cont.)</w:t>
      </w:r>
    </w:p>
    <w:p w14:paraId="09926C2D" w14:textId="77777777" w:rsidR="00E61CF3" w:rsidRDefault="00E61CF3" w:rsidP="00E61CF3">
      <w:pPr>
        <w:spacing w:after="0" w:line="240" w:lineRule="auto"/>
        <w:rPr>
          <w:sz w:val="16"/>
          <w:szCs w:val="20"/>
        </w:rPr>
      </w:pPr>
    </w:p>
    <w:p w14:paraId="514CA98D" w14:textId="77777777" w:rsidR="00E61CF3" w:rsidRDefault="00E61CF3" w:rsidP="00E61CF3">
      <w:pPr>
        <w:spacing w:after="0" w:line="240" w:lineRule="auto"/>
        <w:jc w:val="center"/>
        <w:rPr>
          <w:sz w:val="16"/>
          <w:szCs w:val="20"/>
        </w:rPr>
      </w:pPr>
      <w:r w:rsidRPr="00FA5A7F">
        <w:rPr>
          <w:noProof/>
        </w:rPr>
        <w:drawing>
          <wp:inline distT="0" distB="0" distL="0" distR="0" wp14:anchorId="253AE2F1" wp14:editId="5E69FB76">
            <wp:extent cx="4508390" cy="2754863"/>
            <wp:effectExtent l="0" t="0" r="698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9399" cy="2767701"/>
                    </a:xfrm>
                    <a:prstGeom prst="rect">
                      <a:avLst/>
                    </a:prstGeom>
                    <a:noFill/>
                    <a:ln>
                      <a:noFill/>
                    </a:ln>
                  </pic:spPr>
                </pic:pic>
              </a:graphicData>
            </a:graphic>
          </wp:inline>
        </w:drawing>
      </w:r>
    </w:p>
    <w:p w14:paraId="051170B3" w14:textId="4635D799" w:rsidR="00E61CF3" w:rsidRDefault="00E61CF3" w:rsidP="00E61CF3">
      <w:pPr>
        <w:spacing w:after="0" w:line="240" w:lineRule="auto"/>
        <w:rPr>
          <w:sz w:val="16"/>
          <w:szCs w:val="20"/>
        </w:rPr>
      </w:pPr>
    </w:p>
    <w:p w14:paraId="1A9CE0A0" w14:textId="77777777" w:rsidR="00E61CF3" w:rsidRDefault="00E61CF3" w:rsidP="00E61CF3">
      <w:pPr>
        <w:spacing w:after="0" w:line="240" w:lineRule="auto"/>
        <w:rPr>
          <w:sz w:val="16"/>
          <w:szCs w:val="20"/>
        </w:rPr>
      </w:pPr>
    </w:p>
    <w:p w14:paraId="091D3AC7" w14:textId="77777777" w:rsidR="00E61CF3" w:rsidRDefault="00E61CF3" w:rsidP="00E61CF3">
      <w:pPr>
        <w:spacing w:after="0" w:line="240" w:lineRule="auto"/>
        <w:jc w:val="center"/>
        <w:rPr>
          <w:sz w:val="16"/>
          <w:szCs w:val="20"/>
        </w:rPr>
      </w:pPr>
      <w:r w:rsidRPr="00FA5A7F">
        <w:rPr>
          <w:noProof/>
        </w:rPr>
        <w:drawing>
          <wp:inline distT="0" distB="0" distL="0" distR="0" wp14:anchorId="11128D1C" wp14:editId="3D54C521">
            <wp:extent cx="4540195" cy="26716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64825" cy="2686097"/>
                    </a:xfrm>
                    <a:prstGeom prst="rect">
                      <a:avLst/>
                    </a:prstGeom>
                    <a:noFill/>
                    <a:ln>
                      <a:noFill/>
                    </a:ln>
                  </pic:spPr>
                </pic:pic>
              </a:graphicData>
            </a:graphic>
          </wp:inline>
        </w:drawing>
      </w:r>
    </w:p>
    <w:p w14:paraId="41649D2A" w14:textId="121FC3C9" w:rsidR="00E61CF3" w:rsidRDefault="00E61CF3" w:rsidP="00E61CF3">
      <w:pPr>
        <w:spacing w:after="0" w:line="240" w:lineRule="auto"/>
        <w:rPr>
          <w:sz w:val="16"/>
          <w:szCs w:val="20"/>
        </w:rPr>
      </w:pPr>
    </w:p>
    <w:p w14:paraId="67A6C06C" w14:textId="77777777" w:rsidR="00E61CF3" w:rsidRPr="005847F3" w:rsidRDefault="00E61CF3" w:rsidP="00E61CF3">
      <w:pPr>
        <w:spacing w:after="0" w:line="240" w:lineRule="auto"/>
        <w:rPr>
          <w:sz w:val="16"/>
          <w:szCs w:val="20"/>
        </w:rPr>
      </w:pPr>
    </w:p>
    <w:p w14:paraId="4BEE28ED" w14:textId="77777777" w:rsidR="00E61CF3" w:rsidRDefault="00E61CF3" w:rsidP="00E61CF3">
      <w:pPr>
        <w:rPr>
          <w:b/>
          <w:sz w:val="20"/>
          <w:szCs w:val="20"/>
        </w:rPr>
      </w:pPr>
      <w:r>
        <w:rPr>
          <w:b/>
          <w:sz w:val="20"/>
          <w:szCs w:val="20"/>
        </w:rPr>
        <w:br w:type="page"/>
      </w:r>
    </w:p>
    <w:p w14:paraId="0AA4EFAE" w14:textId="77777777" w:rsidR="00E61CF3" w:rsidRDefault="00E61CF3" w:rsidP="00E61CF3">
      <w:pPr>
        <w:spacing w:after="0" w:line="240" w:lineRule="auto"/>
        <w:jc w:val="center"/>
        <w:rPr>
          <w:b/>
          <w:sz w:val="20"/>
          <w:szCs w:val="20"/>
        </w:rPr>
      </w:pPr>
      <w:r w:rsidRPr="00FF2311">
        <w:rPr>
          <w:b/>
          <w:sz w:val="20"/>
          <w:szCs w:val="20"/>
        </w:rPr>
        <w:lastRenderedPageBreak/>
        <w:t xml:space="preserve">Figure </w:t>
      </w:r>
      <w:r>
        <w:rPr>
          <w:b/>
          <w:sz w:val="20"/>
          <w:szCs w:val="20"/>
        </w:rPr>
        <w:t>2</w:t>
      </w:r>
      <w:r w:rsidRPr="00FF2311">
        <w:rPr>
          <w:b/>
          <w:sz w:val="20"/>
          <w:szCs w:val="20"/>
        </w:rPr>
        <w:t xml:space="preserve">: Year </w:t>
      </w:r>
      <w:r>
        <w:rPr>
          <w:b/>
          <w:sz w:val="20"/>
          <w:szCs w:val="20"/>
        </w:rPr>
        <w:t xml:space="preserve">5 </w:t>
      </w:r>
      <w:r w:rsidRPr="00FF2311">
        <w:rPr>
          <w:b/>
          <w:sz w:val="20"/>
          <w:szCs w:val="20"/>
        </w:rPr>
        <w:t xml:space="preserve">mean NAPLAN </w:t>
      </w:r>
      <w:r>
        <w:rPr>
          <w:b/>
          <w:sz w:val="20"/>
          <w:szCs w:val="20"/>
        </w:rPr>
        <w:t>test scores by domain and the religious authority of the school, 2010-2015</w:t>
      </w:r>
    </w:p>
    <w:p w14:paraId="748BA90B" w14:textId="77777777" w:rsidR="00E61CF3" w:rsidRPr="00B22146" w:rsidRDefault="00E61CF3" w:rsidP="00E61CF3">
      <w:pPr>
        <w:spacing w:after="0" w:line="240" w:lineRule="auto"/>
        <w:rPr>
          <w:sz w:val="16"/>
          <w:szCs w:val="20"/>
        </w:rPr>
      </w:pPr>
    </w:p>
    <w:p w14:paraId="2CE10C19" w14:textId="77777777" w:rsidR="00E61CF3" w:rsidRDefault="00E61CF3" w:rsidP="00E61CF3">
      <w:pPr>
        <w:spacing w:after="0" w:line="240" w:lineRule="auto"/>
        <w:jc w:val="center"/>
        <w:rPr>
          <w:sz w:val="16"/>
          <w:szCs w:val="20"/>
        </w:rPr>
      </w:pPr>
      <w:r w:rsidRPr="006B15E9">
        <w:rPr>
          <w:noProof/>
        </w:rPr>
        <w:drawing>
          <wp:inline distT="0" distB="0" distL="0" distR="0" wp14:anchorId="3F18D62B" wp14:editId="347C300A">
            <wp:extent cx="4444779" cy="255205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4827" cy="2557825"/>
                    </a:xfrm>
                    <a:prstGeom prst="rect">
                      <a:avLst/>
                    </a:prstGeom>
                    <a:noFill/>
                    <a:ln>
                      <a:noFill/>
                    </a:ln>
                  </pic:spPr>
                </pic:pic>
              </a:graphicData>
            </a:graphic>
          </wp:inline>
        </w:drawing>
      </w:r>
    </w:p>
    <w:p w14:paraId="5099F3B9" w14:textId="0E52A04F" w:rsidR="00E61CF3" w:rsidRDefault="00E61CF3" w:rsidP="00E61CF3">
      <w:pPr>
        <w:spacing w:after="0" w:line="240" w:lineRule="auto"/>
        <w:rPr>
          <w:sz w:val="16"/>
          <w:szCs w:val="20"/>
        </w:rPr>
      </w:pPr>
    </w:p>
    <w:p w14:paraId="12DCB677" w14:textId="77777777" w:rsidR="00E61CF3" w:rsidRDefault="00E61CF3" w:rsidP="00E61CF3">
      <w:pPr>
        <w:spacing w:after="0" w:line="240" w:lineRule="auto"/>
        <w:rPr>
          <w:sz w:val="16"/>
          <w:szCs w:val="20"/>
        </w:rPr>
      </w:pPr>
    </w:p>
    <w:p w14:paraId="3D27D57A" w14:textId="77777777" w:rsidR="00E61CF3" w:rsidRDefault="00E61CF3" w:rsidP="00E61CF3">
      <w:pPr>
        <w:spacing w:after="0" w:line="240" w:lineRule="auto"/>
        <w:jc w:val="center"/>
        <w:rPr>
          <w:sz w:val="16"/>
          <w:szCs w:val="20"/>
        </w:rPr>
      </w:pPr>
      <w:r w:rsidRPr="00AB237F">
        <w:rPr>
          <w:noProof/>
        </w:rPr>
        <w:drawing>
          <wp:inline distT="0" distB="0" distL="0" distR="0" wp14:anchorId="55C9E7AE" wp14:editId="2561C48D">
            <wp:extent cx="4484535" cy="2635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5182" cy="2653224"/>
                    </a:xfrm>
                    <a:prstGeom prst="rect">
                      <a:avLst/>
                    </a:prstGeom>
                    <a:noFill/>
                    <a:ln>
                      <a:noFill/>
                    </a:ln>
                  </pic:spPr>
                </pic:pic>
              </a:graphicData>
            </a:graphic>
          </wp:inline>
        </w:drawing>
      </w:r>
    </w:p>
    <w:p w14:paraId="3C3577EC" w14:textId="77A9C0E5" w:rsidR="00E61CF3" w:rsidRDefault="00E61CF3" w:rsidP="00E61CF3">
      <w:pPr>
        <w:spacing w:after="0" w:line="240" w:lineRule="auto"/>
        <w:rPr>
          <w:sz w:val="16"/>
          <w:szCs w:val="20"/>
        </w:rPr>
      </w:pPr>
    </w:p>
    <w:p w14:paraId="465A05DB" w14:textId="77777777" w:rsidR="00E61CF3" w:rsidRDefault="00E61CF3" w:rsidP="00E61CF3">
      <w:pPr>
        <w:spacing w:after="0" w:line="240" w:lineRule="auto"/>
        <w:rPr>
          <w:sz w:val="16"/>
          <w:szCs w:val="20"/>
        </w:rPr>
      </w:pPr>
    </w:p>
    <w:p w14:paraId="6A4660F7" w14:textId="77777777" w:rsidR="00E61CF3" w:rsidRDefault="00E61CF3" w:rsidP="00E61CF3">
      <w:pPr>
        <w:spacing w:after="0" w:line="240" w:lineRule="auto"/>
        <w:jc w:val="center"/>
        <w:rPr>
          <w:sz w:val="16"/>
          <w:szCs w:val="20"/>
        </w:rPr>
      </w:pPr>
      <w:r w:rsidRPr="00AB237F">
        <w:rPr>
          <w:noProof/>
        </w:rPr>
        <w:drawing>
          <wp:inline distT="0" distB="0" distL="0" distR="0" wp14:anchorId="0571E561" wp14:editId="21502FB4">
            <wp:extent cx="4468633" cy="27819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96367" cy="2799191"/>
                    </a:xfrm>
                    <a:prstGeom prst="rect">
                      <a:avLst/>
                    </a:prstGeom>
                    <a:noFill/>
                    <a:ln>
                      <a:noFill/>
                    </a:ln>
                  </pic:spPr>
                </pic:pic>
              </a:graphicData>
            </a:graphic>
          </wp:inline>
        </w:drawing>
      </w:r>
    </w:p>
    <w:p w14:paraId="1B3147D7" w14:textId="77777777" w:rsidR="00E61CF3" w:rsidRDefault="00E61CF3" w:rsidP="00E61CF3">
      <w:pPr>
        <w:spacing w:after="0" w:line="240" w:lineRule="auto"/>
        <w:jc w:val="center"/>
        <w:rPr>
          <w:sz w:val="16"/>
          <w:szCs w:val="20"/>
        </w:rPr>
      </w:pPr>
    </w:p>
    <w:p w14:paraId="0A2B4A00" w14:textId="77777777" w:rsidR="00E61CF3" w:rsidRDefault="00E61CF3" w:rsidP="00E61CF3">
      <w:pPr>
        <w:spacing w:after="0" w:line="240" w:lineRule="auto"/>
        <w:jc w:val="center"/>
        <w:rPr>
          <w:b/>
          <w:sz w:val="20"/>
          <w:szCs w:val="20"/>
        </w:rPr>
      </w:pPr>
      <w:r w:rsidRPr="00FF2311">
        <w:rPr>
          <w:b/>
          <w:sz w:val="20"/>
          <w:szCs w:val="20"/>
        </w:rPr>
        <w:t xml:space="preserve">Figure </w:t>
      </w:r>
      <w:r>
        <w:rPr>
          <w:b/>
          <w:sz w:val="20"/>
          <w:szCs w:val="20"/>
        </w:rPr>
        <w:t>2</w:t>
      </w:r>
      <w:r w:rsidRPr="00FF2311">
        <w:rPr>
          <w:b/>
          <w:sz w:val="20"/>
          <w:szCs w:val="20"/>
        </w:rPr>
        <w:t xml:space="preserve">: Year </w:t>
      </w:r>
      <w:r>
        <w:rPr>
          <w:b/>
          <w:sz w:val="20"/>
          <w:szCs w:val="20"/>
        </w:rPr>
        <w:t xml:space="preserve">5 </w:t>
      </w:r>
      <w:r w:rsidRPr="00FF2311">
        <w:rPr>
          <w:b/>
          <w:sz w:val="20"/>
          <w:szCs w:val="20"/>
        </w:rPr>
        <w:t xml:space="preserve">mean NAPLAN </w:t>
      </w:r>
      <w:r>
        <w:rPr>
          <w:b/>
          <w:sz w:val="20"/>
          <w:szCs w:val="20"/>
        </w:rPr>
        <w:t>test scores by domain and the religious authority of the school, 2010-2015 (cont.)</w:t>
      </w:r>
    </w:p>
    <w:p w14:paraId="39C29015" w14:textId="77777777" w:rsidR="00E61CF3" w:rsidRDefault="00E61CF3" w:rsidP="00E61CF3">
      <w:pPr>
        <w:spacing w:after="0" w:line="240" w:lineRule="auto"/>
        <w:jc w:val="center"/>
        <w:rPr>
          <w:sz w:val="16"/>
          <w:szCs w:val="20"/>
        </w:rPr>
      </w:pPr>
    </w:p>
    <w:p w14:paraId="781E444D" w14:textId="77777777" w:rsidR="00E61CF3" w:rsidRDefault="00E61CF3" w:rsidP="00E61CF3">
      <w:pPr>
        <w:spacing w:after="0" w:line="240" w:lineRule="auto"/>
        <w:jc w:val="center"/>
        <w:rPr>
          <w:sz w:val="16"/>
          <w:szCs w:val="20"/>
        </w:rPr>
      </w:pPr>
      <w:r w:rsidRPr="006B15E9">
        <w:rPr>
          <w:noProof/>
        </w:rPr>
        <w:drawing>
          <wp:inline distT="0" distB="0" distL="0" distR="0" wp14:anchorId="35AF5FF3" wp14:editId="0EF14209">
            <wp:extent cx="4564049" cy="2977641"/>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9993" cy="2988043"/>
                    </a:xfrm>
                    <a:prstGeom prst="rect">
                      <a:avLst/>
                    </a:prstGeom>
                    <a:noFill/>
                    <a:ln>
                      <a:noFill/>
                    </a:ln>
                  </pic:spPr>
                </pic:pic>
              </a:graphicData>
            </a:graphic>
          </wp:inline>
        </w:drawing>
      </w:r>
    </w:p>
    <w:p w14:paraId="3C2F3389" w14:textId="40B88FE6" w:rsidR="00E61CF3" w:rsidRDefault="00E61CF3" w:rsidP="00E61CF3">
      <w:pPr>
        <w:spacing w:after="0" w:line="240" w:lineRule="auto"/>
        <w:jc w:val="center"/>
        <w:rPr>
          <w:sz w:val="16"/>
          <w:szCs w:val="20"/>
        </w:rPr>
      </w:pPr>
    </w:p>
    <w:p w14:paraId="037542D3" w14:textId="77777777" w:rsidR="00E61CF3" w:rsidRDefault="00E61CF3" w:rsidP="00E61CF3">
      <w:pPr>
        <w:spacing w:after="0" w:line="240" w:lineRule="auto"/>
        <w:jc w:val="center"/>
        <w:rPr>
          <w:sz w:val="16"/>
          <w:szCs w:val="20"/>
        </w:rPr>
      </w:pPr>
    </w:p>
    <w:p w14:paraId="79D8E875" w14:textId="77777777" w:rsidR="00E61CF3" w:rsidRDefault="00E61CF3" w:rsidP="00E61CF3">
      <w:pPr>
        <w:spacing w:after="0" w:line="240" w:lineRule="auto"/>
        <w:jc w:val="center"/>
        <w:rPr>
          <w:sz w:val="16"/>
          <w:szCs w:val="20"/>
        </w:rPr>
      </w:pPr>
      <w:r w:rsidRPr="00AB237F">
        <w:rPr>
          <w:noProof/>
        </w:rPr>
        <w:drawing>
          <wp:inline distT="0" distB="0" distL="0" distR="0" wp14:anchorId="48D8CA21" wp14:editId="105B0964">
            <wp:extent cx="4572000" cy="30333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8821" cy="3044501"/>
                    </a:xfrm>
                    <a:prstGeom prst="rect">
                      <a:avLst/>
                    </a:prstGeom>
                    <a:noFill/>
                    <a:ln>
                      <a:noFill/>
                    </a:ln>
                  </pic:spPr>
                </pic:pic>
              </a:graphicData>
            </a:graphic>
          </wp:inline>
        </w:drawing>
      </w:r>
    </w:p>
    <w:p w14:paraId="115ABA9B" w14:textId="77777777" w:rsidR="00E61CF3" w:rsidRDefault="00E61CF3" w:rsidP="00E61CF3">
      <w:pPr>
        <w:spacing w:after="0" w:line="240" w:lineRule="auto"/>
        <w:jc w:val="center"/>
        <w:rPr>
          <w:sz w:val="16"/>
          <w:szCs w:val="20"/>
        </w:rPr>
      </w:pPr>
    </w:p>
    <w:p w14:paraId="60996215" w14:textId="77777777" w:rsidR="00625C9D" w:rsidRPr="00625C9D" w:rsidRDefault="00625C9D" w:rsidP="00625C9D">
      <w:pPr>
        <w:spacing w:after="0" w:line="240" w:lineRule="auto"/>
        <w:rPr>
          <w:rFonts w:cs="Times New Roman"/>
          <w:szCs w:val="24"/>
        </w:rPr>
      </w:pPr>
    </w:p>
    <w:p w14:paraId="0B589487" w14:textId="77777777" w:rsidR="00773DF9" w:rsidRDefault="00773DF9">
      <w:pPr>
        <w:rPr>
          <w:rFonts w:cs="Times New Roman"/>
          <w:b/>
          <w:szCs w:val="24"/>
        </w:rPr>
      </w:pPr>
      <w:r>
        <w:rPr>
          <w:rFonts w:cs="Times New Roman"/>
          <w:b/>
          <w:szCs w:val="24"/>
        </w:rPr>
        <w:br w:type="page"/>
      </w:r>
    </w:p>
    <w:p w14:paraId="660A08A5" w14:textId="77777777" w:rsidR="00D33E71" w:rsidRPr="00D33E71" w:rsidRDefault="00D33E71" w:rsidP="00F3020A">
      <w:pPr>
        <w:spacing w:after="0" w:line="240" w:lineRule="auto"/>
        <w:rPr>
          <w:rFonts w:cs="Times New Roman"/>
          <w:szCs w:val="24"/>
        </w:rPr>
      </w:pPr>
    </w:p>
    <w:p w14:paraId="4626B734" w14:textId="4F0DF8AE" w:rsidR="00416F52" w:rsidRPr="00416F52" w:rsidRDefault="00416F52" w:rsidP="00F3020A">
      <w:pPr>
        <w:spacing w:after="0" w:line="240" w:lineRule="auto"/>
        <w:rPr>
          <w:rFonts w:cs="Times New Roman"/>
          <w:b/>
          <w:szCs w:val="24"/>
        </w:rPr>
      </w:pPr>
      <w:r w:rsidRPr="00416F52">
        <w:rPr>
          <w:rFonts w:cs="Times New Roman"/>
          <w:b/>
          <w:szCs w:val="24"/>
        </w:rPr>
        <w:t>REFERENCES</w:t>
      </w:r>
    </w:p>
    <w:p w14:paraId="06DEE7F9" w14:textId="77777777" w:rsidR="005F4BCA" w:rsidRDefault="005F4BCA" w:rsidP="005F4BCA">
      <w:pPr>
        <w:spacing w:after="0" w:line="240" w:lineRule="auto"/>
        <w:rPr>
          <w:rFonts w:cs="Times New Roman"/>
          <w:szCs w:val="24"/>
        </w:rPr>
      </w:pPr>
    </w:p>
    <w:p w14:paraId="1212D5AC" w14:textId="69B8B0D5" w:rsidR="00CF10E9" w:rsidRPr="00CF10E9" w:rsidRDefault="00CF10E9" w:rsidP="00CF10E9">
      <w:pPr>
        <w:spacing w:after="0" w:line="240" w:lineRule="auto"/>
        <w:rPr>
          <w:rFonts w:cs="Times New Roman"/>
          <w:szCs w:val="24"/>
        </w:rPr>
      </w:pPr>
      <w:proofErr w:type="gramStart"/>
      <w:r w:rsidRPr="00CF10E9">
        <w:rPr>
          <w:rFonts w:cs="Times New Roman"/>
          <w:szCs w:val="24"/>
        </w:rPr>
        <w:t>Australian Bureau of Statistics.</w:t>
      </w:r>
      <w:proofErr w:type="gramEnd"/>
      <w:r w:rsidRPr="00CF10E9">
        <w:rPr>
          <w:rFonts w:cs="Times New Roman"/>
          <w:szCs w:val="24"/>
        </w:rPr>
        <w:t xml:space="preserve"> 2017. </w:t>
      </w:r>
      <w:r w:rsidRPr="00871E04">
        <w:rPr>
          <w:rFonts w:cs="Times New Roman"/>
          <w:i/>
          <w:szCs w:val="24"/>
        </w:rPr>
        <w:t>Snapshot of Australia</w:t>
      </w:r>
      <w:r w:rsidRPr="00CF10E9">
        <w:rPr>
          <w:rFonts w:cs="Times New Roman"/>
          <w:szCs w:val="24"/>
        </w:rPr>
        <w:t xml:space="preserve">. </w:t>
      </w:r>
      <w:r w:rsidR="00856B89">
        <w:rPr>
          <w:rFonts w:cs="Times New Roman"/>
          <w:szCs w:val="24"/>
        </w:rPr>
        <w:t xml:space="preserve">Canberra: </w:t>
      </w:r>
      <w:r w:rsidRPr="00CF10E9">
        <w:rPr>
          <w:rFonts w:cs="Times New Roman"/>
          <w:szCs w:val="24"/>
        </w:rPr>
        <w:t>Australian Bureau of Statistics.</w:t>
      </w:r>
    </w:p>
    <w:p w14:paraId="3284BDAC" w14:textId="77777777" w:rsidR="00CF10E9" w:rsidRDefault="00CF10E9" w:rsidP="005F4BCA">
      <w:pPr>
        <w:spacing w:after="0" w:line="240" w:lineRule="auto"/>
        <w:rPr>
          <w:rFonts w:cs="Times New Roman"/>
          <w:szCs w:val="24"/>
        </w:rPr>
      </w:pPr>
    </w:p>
    <w:p w14:paraId="3075ED96" w14:textId="47F141B6" w:rsidR="005F4BCA" w:rsidRDefault="005F4BCA" w:rsidP="005F4BCA">
      <w:pPr>
        <w:spacing w:after="0" w:line="240" w:lineRule="auto"/>
        <w:rPr>
          <w:rFonts w:cs="Times New Roman"/>
          <w:szCs w:val="24"/>
        </w:rPr>
      </w:pPr>
      <w:proofErr w:type="gramStart"/>
      <w:r>
        <w:rPr>
          <w:rFonts w:cs="Times New Roman"/>
          <w:szCs w:val="24"/>
        </w:rPr>
        <w:t>Australian Curriculum, Assessment and Reporting Authority (ACARA) (2017).</w:t>
      </w:r>
      <w:proofErr w:type="gramEnd"/>
      <w:r>
        <w:rPr>
          <w:rFonts w:cs="Times New Roman"/>
          <w:szCs w:val="24"/>
        </w:rPr>
        <w:t xml:space="preserve"> </w:t>
      </w:r>
      <w:proofErr w:type="gramStart"/>
      <w:r w:rsidRPr="00871E04">
        <w:rPr>
          <w:rFonts w:cs="Times New Roman"/>
          <w:i/>
          <w:szCs w:val="24"/>
        </w:rPr>
        <w:t>National Report on Schooling in Australia 2010</w:t>
      </w:r>
      <w:r>
        <w:rPr>
          <w:rFonts w:cs="Times New Roman"/>
          <w:szCs w:val="24"/>
        </w:rPr>
        <w:t>.</w:t>
      </w:r>
      <w:proofErr w:type="gramEnd"/>
      <w:r>
        <w:rPr>
          <w:rFonts w:cs="Times New Roman"/>
          <w:szCs w:val="24"/>
        </w:rPr>
        <w:t xml:space="preserve"> </w:t>
      </w:r>
      <w:r w:rsidR="00BA7B70">
        <w:rPr>
          <w:rFonts w:cs="Times New Roman"/>
          <w:szCs w:val="24"/>
        </w:rPr>
        <w:t xml:space="preserve">Canberra: </w:t>
      </w:r>
      <w:r>
        <w:rPr>
          <w:rFonts w:cs="Times New Roman"/>
          <w:szCs w:val="24"/>
        </w:rPr>
        <w:t>ACARA.</w:t>
      </w:r>
    </w:p>
    <w:p w14:paraId="37285AD3" w14:textId="77777777" w:rsidR="005F4BCA" w:rsidRDefault="005F4BCA" w:rsidP="005F4BCA">
      <w:pPr>
        <w:spacing w:after="0" w:line="240" w:lineRule="auto"/>
        <w:rPr>
          <w:rFonts w:cs="Times New Roman"/>
          <w:szCs w:val="24"/>
        </w:rPr>
      </w:pPr>
    </w:p>
    <w:p w14:paraId="2231277F" w14:textId="582C1A3C" w:rsidR="005F4BCA" w:rsidRPr="004222FE" w:rsidRDefault="005F4BCA" w:rsidP="005F4BCA">
      <w:pPr>
        <w:spacing w:after="0" w:line="240" w:lineRule="auto"/>
        <w:rPr>
          <w:rFonts w:cs="Times New Roman"/>
          <w:szCs w:val="24"/>
        </w:rPr>
      </w:pPr>
      <w:r w:rsidRPr="004222FE">
        <w:rPr>
          <w:rFonts w:cs="Times New Roman"/>
          <w:szCs w:val="24"/>
        </w:rPr>
        <w:t xml:space="preserve">Beyer, P. (2005) </w:t>
      </w:r>
      <w:r w:rsidR="002D49F0">
        <w:rPr>
          <w:rFonts w:cs="Times New Roman"/>
          <w:szCs w:val="24"/>
        </w:rPr>
        <w:t>‘</w:t>
      </w:r>
      <w:r w:rsidRPr="004222FE">
        <w:rPr>
          <w:rFonts w:cs="Times New Roman"/>
          <w:szCs w:val="24"/>
        </w:rPr>
        <w:t>Religious Identity and Educational Attainment among Recent Immigrants to Canada:</w:t>
      </w:r>
      <w:r w:rsidR="004114EF">
        <w:rPr>
          <w:rFonts w:cs="Times New Roman"/>
          <w:szCs w:val="24"/>
        </w:rPr>
        <w:t xml:space="preserve"> Gender, Age and 2nd Generation</w:t>
      </w:r>
      <w:r w:rsidR="002D49F0">
        <w:rPr>
          <w:rFonts w:cs="Times New Roman"/>
          <w:szCs w:val="24"/>
        </w:rPr>
        <w:t>’,</w:t>
      </w:r>
      <w:r w:rsidRPr="004222FE">
        <w:rPr>
          <w:rFonts w:cs="Times New Roman"/>
          <w:szCs w:val="24"/>
        </w:rPr>
        <w:t xml:space="preserve"> </w:t>
      </w:r>
      <w:r w:rsidRPr="004222FE">
        <w:rPr>
          <w:rFonts w:cs="Times New Roman"/>
          <w:i/>
          <w:szCs w:val="24"/>
        </w:rPr>
        <w:t>Journal of International Migration and Integration</w:t>
      </w:r>
      <w:r w:rsidRPr="004222FE">
        <w:rPr>
          <w:rFonts w:cs="Times New Roman"/>
          <w:szCs w:val="24"/>
        </w:rPr>
        <w:t xml:space="preserve"> 6(2)</w:t>
      </w:r>
      <w:r w:rsidR="002D49F0">
        <w:rPr>
          <w:rFonts w:cs="Times New Roman"/>
          <w:szCs w:val="24"/>
        </w:rPr>
        <w:t>:</w:t>
      </w:r>
      <w:r w:rsidRPr="004222FE">
        <w:rPr>
          <w:rFonts w:cs="Times New Roman"/>
          <w:szCs w:val="24"/>
        </w:rPr>
        <w:t xml:space="preserve"> 177-199.</w:t>
      </w:r>
    </w:p>
    <w:p w14:paraId="52C4FA9E" w14:textId="77777777" w:rsidR="005F4BCA" w:rsidRDefault="005F4BCA" w:rsidP="005F4BCA">
      <w:pPr>
        <w:spacing w:after="0" w:line="240" w:lineRule="auto"/>
        <w:rPr>
          <w:rFonts w:cs="Times New Roman"/>
          <w:szCs w:val="24"/>
        </w:rPr>
      </w:pPr>
    </w:p>
    <w:p w14:paraId="06A286D2" w14:textId="26A24A07" w:rsidR="005F4BCA" w:rsidRDefault="005F4BCA" w:rsidP="005F4BCA">
      <w:pPr>
        <w:spacing w:after="0" w:line="240" w:lineRule="auto"/>
        <w:rPr>
          <w:rFonts w:cs="Times New Roman"/>
          <w:szCs w:val="24"/>
        </w:rPr>
      </w:pPr>
      <w:r>
        <w:rPr>
          <w:rFonts w:cs="Times New Roman"/>
          <w:szCs w:val="24"/>
        </w:rPr>
        <w:t xml:space="preserve">Birmingham, S. (2017) </w:t>
      </w:r>
      <w:r w:rsidR="002D49F0">
        <w:rPr>
          <w:rFonts w:cs="Times New Roman"/>
          <w:szCs w:val="24"/>
        </w:rPr>
        <w:t>‘</w:t>
      </w:r>
      <w:r>
        <w:rPr>
          <w:rFonts w:cs="Times New Roman"/>
          <w:szCs w:val="24"/>
        </w:rPr>
        <w:t xml:space="preserve">Funding for </w:t>
      </w:r>
      <w:proofErr w:type="spellStart"/>
      <w:r>
        <w:rPr>
          <w:rFonts w:cs="Times New Roman"/>
          <w:szCs w:val="24"/>
        </w:rPr>
        <w:t>Malek</w:t>
      </w:r>
      <w:proofErr w:type="spellEnd"/>
      <w:r>
        <w:rPr>
          <w:rFonts w:cs="Times New Roman"/>
          <w:szCs w:val="24"/>
        </w:rPr>
        <w:t xml:space="preserve"> Fahd Islamic School Axed Over Concerns </w:t>
      </w:r>
      <w:proofErr w:type="gramStart"/>
      <w:r>
        <w:rPr>
          <w:rFonts w:cs="Times New Roman"/>
          <w:szCs w:val="24"/>
        </w:rPr>
        <w:t>About</w:t>
      </w:r>
      <w:proofErr w:type="gramEnd"/>
      <w:r>
        <w:rPr>
          <w:rFonts w:cs="Times New Roman"/>
          <w:szCs w:val="24"/>
        </w:rPr>
        <w:t xml:space="preserve"> Financial Management</w:t>
      </w:r>
      <w:r w:rsidR="002D49F0">
        <w:rPr>
          <w:rFonts w:cs="Times New Roman"/>
          <w:szCs w:val="24"/>
        </w:rPr>
        <w:t>’</w:t>
      </w:r>
      <w:r>
        <w:rPr>
          <w:rFonts w:cs="Times New Roman"/>
          <w:szCs w:val="24"/>
        </w:rPr>
        <w:t xml:space="preserve">. </w:t>
      </w:r>
      <w:r w:rsidRPr="003232B7">
        <w:rPr>
          <w:rFonts w:cs="Times New Roman"/>
          <w:i/>
          <w:szCs w:val="24"/>
        </w:rPr>
        <w:t>The Australian</w:t>
      </w:r>
      <w:r>
        <w:rPr>
          <w:rFonts w:cs="Times New Roman"/>
          <w:szCs w:val="24"/>
        </w:rPr>
        <w:t>, 9 February, 2016.</w:t>
      </w:r>
    </w:p>
    <w:p w14:paraId="6EBED7F1" w14:textId="77777777" w:rsidR="000554F2" w:rsidRDefault="000554F2" w:rsidP="005F4BCA">
      <w:pPr>
        <w:spacing w:after="0" w:line="240" w:lineRule="auto"/>
        <w:rPr>
          <w:rFonts w:cs="Times New Roman"/>
          <w:szCs w:val="24"/>
        </w:rPr>
      </w:pPr>
    </w:p>
    <w:p w14:paraId="06E48EC2" w14:textId="623594DE" w:rsidR="005F4BCA" w:rsidRDefault="005F4BCA" w:rsidP="005F4BCA">
      <w:pPr>
        <w:spacing w:after="0" w:line="240" w:lineRule="auto"/>
        <w:rPr>
          <w:rFonts w:cs="Times New Roman"/>
          <w:szCs w:val="24"/>
        </w:rPr>
      </w:pPr>
      <w:r>
        <w:rPr>
          <w:rFonts w:cs="Times New Roman"/>
          <w:szCs w:val="24"/>
        </w:rPr>
        <w:t>Bye, C</w:t>
      </w:r>
      <w:r w:rsidR="002D49F0">
        <w:rPr>
          <w:rFonts w:cs="Times New Roman"/>
          <w:szCs w:val="24"/>
        </w:rPr>
        <w:t>.</w:t>
      </w:r>
      <w:r>
        <w:rPr>
          <w:rFonts w:cs="Times New Roman"/>
          <w:szCs w:val="24"/>
        </w:rPr>
        <w:t xml:space="preserve"> and </w:t>
      </w:r>
      <w:r w:rsidR="002D49F0">
        <w:rPr>
          <w:rFonts w:cs="Times New Roman"/>
          <w:szCs w:val="24"/>
        </w:rPr>
        <w:t xml:space="preserve">B. </w:t>
      </w:r>
      <w:r>
        <w:rPr>
          <w:rFonts w:cs="Times New Roman"/>
          <w:szCs w:val="24"/>
        </w:rPr>
        <w:t xml:space="preserve">McDougall (2017) </w:t>
      </w:r>
      <w:r w:rsidR="002D49F0">
        <w:rPr>
          <w:rFonts w:cs="Times New Roman"/>
          <w:szCs w:val="24"/>
        </w:rPr>
        <w:t>‘</w:t>
      </w:r>
      <w:r>
        <w:rPr>
          <w:rFonts w:cs="Times New Roman"/>
          <w:szCs w:val="24"/>
        </w:rPr>
        <w:t>Catholic Education will Fight Gonski 2.0 if it Results in Children Leaving Their System Due to Cost</w:t>
      </w:r>
      <w:r w:rsidR="002D49F0">
        <w:rPr>
          <w:rFonts w:cs="Times New Roman"/>
          <w:szCs w:val="24"/>
        </w:rPr>
        <w:t>’</w:t>
      </w:r>
      <w:r>
        <w:rPr>
          <w:rFonts w:cs="Times New Roman"/>
          <w:szCs w:val="24"/>
        </w:rPr>
        <w:t xml:space="preserve">. </w:t>
      </w:r>
      <w:r w:rsidRPr="003232B7">
        <w:rPr>
          <w:rFonts w:cs="Times New Roman"/>
          <w:i/>
          <w:szCs w:val="24"/>
        </w:rPr>
        <w:t>Daily Telegraph</w:t>
      </w:r>
      <w:r>
        <w:rPr>
          <w:rFonts w:cs="Times New Roman"/>
          <w:szCs w:val="24"/>
        </w:rPr>
        <w:t>, May 3, 2017.</w:t>
      </w:r>
    </w:p>
    <w:p w14:paraId="6E291937" w14:textId="77777777" w:rsidR="005443BA" w:rsidRDefault="005443BA" w:rsidP="005F4BCA">
      <w:pPr>
        <w:spacing w:after="0" w:line="240" w:lineRule="auto"/>
        <w:rPr>
          <w:rFonts w:cs="Times New Roman"/>
          <w:szCs w:val="24"/>
        </w:rPr>
      </w:pPr>
    </w:p>
    <w:p w14:paraId="39B95236" w14:textId="2C77FF3F" w:rsidR="005443BA" w:rsidRDefault="005443BA" w:rsidP="005F4BCA">
      <w:pPr>
        <w:spacing w:after="0" w:line="240" w:lineRule="auto"/>
        <w:rPr>
          <w:rFonts w:cs="Times New Roman"/>
          <w:szCs w:val="24"/>
        </w:rPr>
      </w:pPr>
      <w:r w:rsidRPr="000E04E2">
        <w:rPr>
          <w:rFonts w:cs="Times New Roman"/>
          <w:szCs w:val="24"/>
          <w:highlight w:val="yellow"/>
        </w:rPr>
        <w:t xml:space="preserve">Caldwell, B. (2010) </w:t>
      </w:r>
      <w:r w:rsidR="00773DF9" w:rsidRPr="000E04E2">
        <w:rPr>
          <w:rFonts w:cs="Times New Roman"/>
          <w:szCs w:val="24"/>
          <w:highlight w:val="yellow"/>
        </w:rPr>
        <w:t>‘</w:t>
      </w:r>
      <w:r w:rsidRPr="000E04E2">
        <w:rPr>
          <w:rFonts w:cs="Times New Roman"/>
          <w:szCs w:val="24"/>
          <w:highlight w:val="yellow"/>
        </w:rPr>
        <w:t>Is Private Schooling Becoming the Preferred Model of School Choice in Australia?</w:t>
      </w:r>
      <w:r w:rsidR="00773DF9" w:rsidRPr="000E04E2">
        <w:rPr>
          <w:rFonts w:cs="Times New Roman"/>
          <w:szCs w:val="24"/>
          <w:highlight w:val="yellow"/>
        </w:rPr>
        <w:t>’</w:t>
      </w:r>
      <w:r w:rsidRPr="000E04E2">
        <w:rPr>
          <w:rFonts w:cs="Times New Roman"/>
          <w:szCs w:val="24"/>
          <w:highlight w:val="yellow"/>
        </w:rPr>
        <w:t xml:space="preserve"> </w:t>
      </w:r>
      <w:r w:rsidRPr="000E04E2">
        <w:rPr>
          <w:rFonts w:cs="Times New Roman"/>
          <w:i/>
          <w:szCs w:val="24"/>
          <w:highlight w:val="yellow"/>
        </w:rPr>
        <w:t xml:space="preserve">Journal of School Choice </w:t>
      </w:r>
      <w:r w:rsidRPr="000E04E2">
        <w:rPr>
          <w:rFonts w:cs="Times New Roman"/>
          <w:szCs w:val="24"/>
          <w:highlight w:val="yellow"/>
        </w:rPr>
        <w:t>4(4): 378-397.</w:t>
      </w:r>
    </w:p>
    <w:p w14:paraId="248B9D2F" w14:textId="77777777" w:rsidR="00324462" w:rsidRDefault="00324462" w:rsidP="005F4BCA">
      <w:pPr>
        <w:spacing w:after="0" w:line="240" w:lineRule="auto"/>
        <w:rPr>
          <w:rFonts w:cs="Times New Roman"/>
          <w:szCs w:val="24"/>
        </w:rPr>
      </w:pPr>
    </w:p>
    <w:p w14:paraId="1B19E5E6" w14:textId="4794A483" w:rsidR="00324462" w:rsidRDefault="00773DF9" w:rsidP="005F4BCA">
      <w:pPr>
        <w:spacing w:after="0" w:line="240" w:lineRule="auto"/>
        <w:rPr>
          <w:rFonts w:cs="Times New Roman"/>
          <w:szCs w:val="24"/>
        </w:rPr>
      </w:pPr>
      <w:proofErr w:type="spellStart"/>
      <w:proofErr w:type="gramStart"/>
      <w:r w:rsidRPr="000E04E2">
        <w:rPr>
          <w:rFonts w:cs="Times New Roman"/>
          <w:szCs w:val="24"/>
          <w:highlight w:val="yellow"/>
        </w:rPr>
        <w:t>Cardak</w:t>
      </w:r>
      <w:proofErr w:type="spellEnd"/>
      <w:r w:rsidRPr="000E04E2">
        <w:rPr>
          <w:rFonts w:cs="Times New Roman"/>
          <w:szCs w:val="24"/>
          <w:highlight w:val="yellow"/>
        </w:rPr>
        <w:t xml:space="preserve">, B. and J. </w:t>
      </w:r>
      <w:proofErr w:type="spellStart"/>
      <w:r w:rsidRPr="000E04E2">
        <w:rPr>
          <w:rFonts w:cs="Times New Roman"/>
          <w:szCs w:val="24"/>
          <w:highlight w:val="yellow"/>
        </w:rPr>
        <w:t>Vecci</w:t>
      </w:r>
      <w:proofErr w:type="spellEnd"/>
      <w:r w:rsidRPr="000E04E2">
        <w:rPr>
          <w:rFonts w:cs="Times New Roman"/>
          <w:szCs w:val="24"/>
          <w:highlight w:val="yellow"/>
        </w:rPr>
        <w:t>.</w:t>
      </w:r>
      <w:proofErr w:type="gramEnd"/>
      <w:r w:rsidRPr="000E04E2">
        <w:rPr>
          <w:rFonts w:cs="Times New Roman"/>
          <w:szCs w:val="24"/>
          <w:highlight w:val="yellow"/>
        </w:rPr>
        <w:t xml:space="preserve"> (2013)</w:t>
      </w:r>
      <w:r w:rsidR="00324462" w:rsidRPr="000E04E2">
        <w:rPr>
          <w:rFonts w:cs="Times New Roman"/>
          <w:szCs w:val="24"/>
          <w:highlight w:val="yellow"/>
        </w:rPr>
        <w:t xml:space="preserve"> </w:t>
      </w:r>
      <w:r w:rsidRPr="000E04E2">
        <w:rPr>
          <w:rFonts w:cs="Times New Roman"/>
          <w:szCs w:val="24"/>
          <w:highlight w:val="yellow"/>
        </w:rPr>
        <w:t>‘</w:t>
      </w:r>
      <w:r w:rsidR="00324462" w:rsidRPr="000E04E2">
        <w:rPr>
          <w:rFonts w:cs="Times New Roman"/>
          <w:szCs w:val="24"/>
          <w:highlight w:val="yellow"/>
        </w:rPr>
        <w:t xml:space="preserve">Catholic School Effectiveness in Australia: A Reassessment Using Selection on Observed and Unobserved </w:t>
      </w:r>
      <w:proofErr w:type="gramStart"/>
      <w:r w:rsidR="00324462" w:rsidRPr="000E04E2">
        <w:rPr>
          <w:rFonts w:cs="Times New Roman"/>
          <w:szCs w:val="24"/>
          <w:highlight w:val="yellow"/>
        </w:rPr>
        <w:t>Variables</w:t>
      </w:r>
      <w:r w:rsidRPr="000E04E2">
        <w:rPr>
          <w:rFonts w:cs="Times New Roman"/>
          <w:szCs w:val="24"/>
          <w:highlight w:val="yellow"/>
        </w:rPr>
        <w:t>’,</w:t>
      </w:r>
      <w:proofErr w:type="gramEnd"/>
      <w:r w:rsidR="00324462" w:rsidRPr="000E04E2">
        <w:rPr>
          <w:rFonts w:cs="Times New Roman"/>
          <w:szCs w:val="24"/>
          <w:highlight w:val="yellow"/>
        </w:rPr>
        <w:t xml:space="preserve"> </w:t>
      </w:r>
      <w:r w:rsidR="00324462" w:rsidRPr="000E04E2">
        <w:rPr>
          <w:rFonts w:cs="Times New Roman"/>
          <w:i/>
          <w:szCs w:val="24"/>
          <w:highlight w:val="yellow"/>
        </w:rPr>
        <w:t>Economics of Education Review</w:t>
      </w:r>
      <w:r w:rsidR="00324462" w:rsidRPr="000E04E2">
        <w:rPr>
          <w:rFonts w:cs="Times New Roman"/>
          <w:szCs w:val="24"/>
          <w:highlight w:val="yellow"/>
        </w:rPr>
        <w:t xml:space="preserve"> 37: 34-45.</w:t>
      </w:r>
    </w:p>
    <w:p w14:paraId="0945507E" w14:textId="77777777" w:rsidR="005F4BCA" w:rsidRDefault="005F4BCA" w:rsidP="005F4BCA">
      <w:pPr>
        <w:spacing w:after="0" w:line="240" w:lineRule="auto"/>
        <w:rPr>
          <w:rFonts w:cs="Times New Roman"/>
          <w:szCs w:val="24"/>
        </w:rPr>
      </w:pPr>
    </w:p>
    <w:p w14:paraId="432DA519" w14:textId="3C9D0362" w:rsidR="005F4BCA" w:rsidRDefault="005F4BCA" w:rsidP="005F4BCA">
      <w:pPr>
        <w:spacing w:after="0" w:line="240" w:lineRule="auto"/>
        <w:rPr>
          <w:rFonts w:cs="Times New Roman"/>
          <w:szCs w:val="24"/>
        </w:rPr>
      </w:pPr>
      <w:r w:rsidRPr="004222FE">
        <w:rPr>
          <w:rFonts w:cs="Times New Roman"/>
          <w:szCs w:val="24"/>
        </w:rPr>
        <w:t xml:space="preserve">Cobb-Clark, D. and </w:t>
      </w:r>
      <w:r w:rsidR="002D49F0">
        <w:rPr>
          <w:rFonts w:cs="Times New Roman"/>
          <w:szCs w:val="24"/>
        </w:rPr>
        <w:t xml:space="preserve">N. </w:t>
      </w:r>
      <w:proofErr w:type="spellStart"/>
      <w:r w:rsidRPr="004222FE">
        <w:rPr>
          <w:rFonts w:cs="Times New Roman"/>
          <w:szCs w:val="24"/>
        </w:rPr>
        <w:t>Trong</w:t>
      </w:r>
      <w:proofErr w:type="spellEnd"/>
      <w:r w:rsidRPr="004222FE">
        <w:rPr>
          <w:rFonts w:cs="Times New Roman"/>
          <w:szCs w:val="24"/>
        </w:rPr>
        <w:t xml:space="preserve">-Ha (2012) </w:t>
      </w:r>
      <w:r w:rsidR="002D49F0">
        <w:rPr>
          <w:rFonts w:cs="Times New Roman"/>
          <w:szCs w:val="24"/>
        </w:rPr>
        <w:t>‘</w:t>
      </w:r>
      <w:r w:rsidRPr="004222FE">
        <w:rPr>
          <w:rFonts w:cs="Times New Roman"/>
          <w:szCs w:val="24"/>
        </w:rPr>
        <w:t>Educational Attainment across Generations: The</w:t>
      </w:r>
      <w:r w:rsidR="004114EF">
        <w:rPr>
          <w:rFonts w:cs="Times New Roman"/>
          <w:szCs w:val="24"/>
        </w:rPr>
        <w:t xml:space="preserve"> Role of Immigration Background</w:t>
      </w:r>
      <w:r w:rsidR="002D49F0">
        <w:rPr>
          <w:rFonts w:cs="Times New Roman"/>
          <w:szCs w:val="24"/>
        </w:rPr>
        <w:t>’,</w:t>
      </w:r>
      <w:r w:rsidRPr="004222FE">
        <w:rPr>
          <w:rFonts w:cs="Times New Roman"/>
          <w:szCs w:val="24"/>
        </w:rPr>
        <w:t xml:space="preserve"> </w:t>
      </w:r>
      <w:r w:rsidRPr="004222FE">
        <w:rPr>
          <w:rFonts w:cs="Times New Roman"/>
          <w:i/>
          <w:szCs w:val="24"/>
        </w:rPr>
        <w:t>Economic Record</w:t>
      </w:r>
      <w:r w:rsidRPr="004222FE">
        <w:rPr>
          <w:rFonts w:cs="Times New Roman"/>
          <w:szCs w:val="24"/>
        </w:rPr>
        <w:t xml:space="preserve"> 88(283)</w:t>
      </w:r>
      <w:r w:rsidR="002D49F0">
        <w:rPr>
          <w:rFonts w:cs="Times New Roman"/>
          <w:szCs w:val="24"/>
        </w:rPr>
        <w:t>:</w:t>
      </w:r>
      <w:r w:rsidRPr="004222FE">
        <w:rPr>
          <w:rFonts w:cs="Times New Roman"/>
          <w:szCs w:val="24"/>
        </w:rPr>
        <w:t xml:space="preserve"> 554-575.</w:t>
      </w:r>
    </w:p>
    <w:p w14:paraId="4FDB780D" w14:textId="77777777" w:rsidR="005443BA" w:rsidRDefault="005443BA" w:rsidP="005F4BCA">
      <w:pPr>
        <w:spacing w:after="0" w:line="240" w:lineRule="auto"/>
        <w:rPr>
          <w:rFonts w:cs="Times New Roman"/>
          <w:szCs w:val="24"/>
        </w:rPr>
      </w:pPr>
    </w:p>
    <w:p w14:paraId="319957E6" w14:textId="17241B88" w:rsidR="005443BA" w:rsidRDefault="005443BA" w:rsidP="005F4BCA">
      <w:pPr>
        <w:spacing w:after="0" w:line="240" w:lineRule="auto"/>
        <w:rPr>
          <w:rFonts w:cs="Times New Roman"/>
          <w:szCs w:val="24"/>
        </w:rPr>
      </w:pPr>
      <w:proofErr w:type="spellStart"/>
      <w:r w:rsidRPr="000E04E2">
        <w:rPr>
          <w:rFonts w:cs="Times New Roman"/>
          <w:szCs w:val="24"/>
          <w:highlight w:val="yellow"/>
        </w:rPr>
        <w:t>Contreas</w:t>
      </w:r>
      <w:proofErr w:type="spellEnd"/>
      <w:r w:rsidRPr="000E04E2">
        <w:rPr>
          <w:rFonts w:cs="Times New Roman"/>
          <w:szCs w:val="24"/>
          <w:highlight w:val="yellow"/>
        </w:rPr>
        <w:t>, D., Sepulveda, P., and S. Bustos</w:t>
      </w:r>
      <w:r w:rsidR="00773DF9" w:rsidRPr="000E04E2">
        <w:rPr>
          <w:rFonts w:cs="Times New Roman"/>
          <w:szCs w:val="24"/>
          <w:highlight w:val="yellow"/>
        </w:rPr>
        <w:t xml:space="preserve"> (2010)</w:t>
      </w:r>
      <w:r w:rsidRPr="000E04E2">
        <w:rPr>
          <w:rFonts w:cs="Times New Roman"/>
          <w:szCs w:val="24"/>
          <w:highlight w:val="yellow"/>
        </w:rPr>
        <w:t xml:space="preserve"> </w:t>
      </w:r>
      <w:r w:rsidR="00773DF9" w:rsidRPr="000E04E2">
        <w:rPr>
          <w:rFonts w:cs="Times New Roman"/>
          <w:szCs w:val="24"/>
          <w:highlight w:val="yellow"/>
        </w:rPr>
        <w:t>‘</w:t>
      </w:r>
      <w:r w:rsidRPr="000E04E2">
        <w:rPr>
          <w:rFonts w:cs="Times New Roman"/>
          <w:szCs w:val="24"/>
          <w:highlight w:val="yellow"/>
        </w:rPr>
        <w:t>When Schools Are the Ones that Choose: The Effects of Screening in Chile</w:t>
      </w:r>
      <w:r w:rsidR="00773DF9" w:rsidRPr="000E04E2">
        <w:rPr>
          <w:rFonts w:cs="Times New Roman"/>
          <w:szCs w:val="24"/>
          <w:highlight w:val="yellow"/>
        </w:rPr>
        <w:t>’,</w:t>
      </w:r>
      <w:r w:rsidRPr="000E04E2">
        <w:rPr>
          <w:rFonts w:cs="Times New Roman"/>
          <w:szCs w:val="24"/>
          <w:highlight w:val="yellow"/>
        </w:rPr>
        <w:t xml:space="preserve"> </w:t>
      </w:r>
      <w:r w:rsidRPr="000E04E2">
        <w:rPr>
          <w:rFonts w:cs="Times New Roman"/>
          <w:i/>
          <w:szCs w:val="24"/>
          <w:highlight w:val="yellow"/>
        </w:rPr>
        <w:t>Social Science Quarterly</w:t>
      </w:r>
      <w:r w:rsidRPr="000E04E2">
        <w:rPr>
          <w:rFonts w:cs="Times New Roman"/>
          <w:szCs w:val="24"/>
          <w:highlight w:val="yellow"/>
        </w:rPr>
        <w:t xml:space="preserve"> 91(5): 1349 – 1368.</w:t>
      </w:r>
    </w:p>
    <w:p w14:paraId="2906F405" w14:textId="77777777" w:rsidR="00BB3909" w:rsidRDefault="00BB3909" w:rsidP="005F4BCA">
      <w:pPr>
        <w:spacing w:after="0" w:line="240" w:lineRule="auto"/>
        <w:rPr>
          <w:rFonts w:cs="Times New Roman"/>
          <w:szCs w:val="24"/>
        </w:rPr>
      </w:pPr>
    </w:p>
    <w:p w14:paraId="0ACC3DE2" w14:textId="62A9EFDE" w:rsidR="00BB3909" w:rsidRDefault="00773DF9" w:rsidP="005F4BCA">
      <w:pPr>
        <w:spacing w:after="0" w:line="240" w:lineRule="auto"/>
        <w:rPr>
          <w:rFonts w:cs="Times New Roman"/>
          <w:szCs w:val="24"/>
        </w:rPr>
      </w:pPr>
      <w:r w:rsidRPr="000E04E2">
        <w:rPr>
          <w:rFonts w:cs="Times New Roman"/>
          <w:szCs w:val="24"/>
          <w:highlight w:val="yellow"/>
        </w:rPr>
        <w:t>Davies, P. and N. Davies (2014)</w:t>
      </w:r>
      <w:r w:rsidR="00BB3909" w:rsidRPr="000E04E2">
        <w:rPr>
          <w:rFonts w:cs="Times New Roman"/>
          <w:szCs w:val="24"/>
          <w:highlight w:val="yellow"/>
        </w:rPr>
        <w:t xml:space="preserve"> </w:t>
      </w:r>
      <w:r w:rsidRPr="000E04E2">
        <w:rPr>
          <w:rFonts w:cs="Times New Roman"/>
          <w:szCs w:val="24"/>
          <w:highlight w:val="yellow"/>
        </w:rPr>
        <w:t>‘</w:t>
      </w:r>
      <w:r w:rsidR="00BB3909" w:rsidRPr="000E04E2">
        <w:rPr>
          <w:rFonts w:cs="Times New Roman"/>
          <w:szCs w:val="24"/>
          <w:highlight w:val="yellow"/>
        </w:rPr>
        <w:t>Pa</w:t>
      </w:r>
      <w:r w:rsidR="00D33E71" w:rsidRPr="000E04E2">
        <w:rPr>
          <w:rFonts w:cs="Times New Roman"/>
          <w:szCs w:val="24"/>
          <w:highlight w:val="yellow"/>
        </w:rPr>
        <w:t>ying for Quality? Associations b</w:t>
      </w:r>
      <w:r w:rsidR="00BB3909" w:rsidRPr="000E04E2">
        <w:rPr>
          <w:rFonts w:cs="Times New Roman"/>
          <w:szCs w:val="24"/>
          <w:highlight w:val="yellow"/>
        </w:rPr>
        <w:t>etween Private School Income, Performance and Use of Resources</w:t>
      </w:r>
      <w:r w:rsidRPr="000E04E2">
        <w:rPr>
          <w:rFonts w:cs="Times New Roman"/>
          <w:szCs w:val="24"/>
          <w:highlight w:val="yellow"/>
        </w:rPr>
        <w:t>,</w:t>
      </w:r>
      <w:r w:rsidR="00BB3909" w:rsidRPr="000E04E2">
        <w:rPr>
          <w:rFonts w:cs="Times New Roman"/>
          <w:szCs w:val="24"/>
          <w:highlight w:val="yellow"/>
        </w:rPr>
        <w:t xml:space="preserve"> </w:t>
      </w:r>
      <w:r w:rsidR="00BB3909" w:rsidRPr="000E04E2">
        <w:rPr>
          <w:rFonts w:cs="Times New Roman"/>
          <w:i/>
          <w:szCs w:val="24"/>
          <w:highlight w:val="yellow"/>
        </w:rPr>
        <w:t>British Educational Research Journal</w:t>
      </w:r>
      <w:r w:rsidR="00BB3909" w:rsidRPr="000E04E2">
        <w:rPr>
          <w:rFonts w:cs="Times New Roman"/>
          <w:szCs w:val="24"/>
          <w:highlight w:val="yellow"/>
        </w:rPr>
        <w:t xml:space="preserve"> 40(3): 421-440.</w:t>
      </w:r>
    </w:p>
    <w:p w14:paraId="0B4C73AF" w14:textId="77777777" w:rsidR="00BE0804" w:rsidRDefault="00BE0804" w:rsidP="005F4BCA">
      <w:pPr>
        <w:spacing w:after="0" w:line="240" w:lineRule="auto"/>
        <w:rPr>
          <w:rFonts w:cs="Times New Roman"/>
          <w:szCs w:val="24"/>
        </w:rPr>
      </w:pPr>
    </w:p>
    <w:p w14:paraId="56BCAEFA" w14:textId="0C875E6D" w:rsidR="00BE0804" w:rsidRPr="00BE0804" w:rsidRDefault="00BE0804" w:rsidP="00C439D8">
      <w:pPr>
        <w:spacing w:after="0" w:line="240" w:lineRule="auto"/>
        <w:rPr>
          <w:rFonts w:cs="Times New Roman"/>
          <w:szCs w:val="24"/>
        </w:rPr>
      </w:pPr>
      <w:proofErr w:type="gramStart"/>
      <w:r w:rsidRPr="000E04E2">
        <w:rPr>
          <w:rFonts w:cs="Times New Roman"/>
          <w:szCs w:val="24"/>
          <w:highlight w:val="yellow"/>
        </w:rPr>
        <w:t xml:space="preserve">Drew, J. and </w:t>
      </w:r>
      <w:r w:rsidR="00856B89" w:rsidRPr="000E04E2">
        <w:rPr>
          <w:rFonts w:cs="Times New Roman"/>
          <w:szCs w:val="24"/>
          <w:highlight w:val="yellow"/>
        </w:rPr>
        <w:t>G. Fahey</w:t>
      </w:r>
      <w:r w:rsidRPr="000E04E2">
        <w:rPr>
          <w:rFonts w:cs="Times New Roman"/>
          <w:szCs w:val="24"/>
          <w:highlight w:val="yellow"/>
        </w:rPr>
        <w:t xml:space="preserve"> (2018) Framing Unpopular Policies and Creating Policy Win</w:t>
      </w:r>
      <w:r w:rsidR="00773DF9" w:rsidRPr="000E04E2">
        <w:rPr>
          <w:rFonts w:cs="Times New Roman"/>
          <w:szCs w:val="24"/>
          <w:highlight w:val="yellow"/>
        </w:rPr>
        <w:t>ners - the Role of Heresthetics,</w:t>
      </w:r>
      <w:r w:rsidRPr="000E04E2">
        <w:rPr>
          <w:rFonts w:cs="Times New Roman"/>
          <w:szCs w:val="24"/>
          <w:highlight w:val="yellow"/>
        </w:rPr>
        <w:t xml:space="preserve"> </w:t>
      </w:r>
      <w:r w:rsidRPr="000E04E2">
        <w:rPr>
          <w:rFonts w:cs="Times New Roman"/>
          <w:i/>
          <w:szCs w:val="24"/>
          <w:highlight w:val="yellow"/>
        </w:rPr>
        <w:t>Policy &amp; Politics</w:t>
      </w:r>
      <w:r w:rsidRPr="000E04E2">
        <w:rPr>
          <w:rFonts w:cs="Times New Roman"/>
          <w:szCs w:val="24"/>
          <w:highlight w:val="yellow"/>
        </w:rPr>
        <w:t>.</w:t>
      </w:r>
      <w:proofErr w:type="gramEnd"/>
      <w:r w:rsidRPr="000E04E2">
        <w:rPr>
          <w:rFonts w:cs="Times New Roman"/>
          <w:szCs w:val="24"/>
          <w:highlight w:val="yellow"/>
        </w:rPr>
        <w:t xml:space="preserve"> doi.org/10.1332/030557318X15241518778612</w:t>
      </w:r>
    </w:p>
    <w:p w14:paraId="49239A2E" w14:textId="77777777" w:rsidR="005F4BCA" w:rsidRPr="004222FE" w:rsidRDefault="005F4BCA" w:rsidP="005F4BCA">
      <w:pPr>
        <w:spacing w:after="0" w:line="240" w:lineRule="auto"/>
        <w:rPr>
          <w:rFonts w:cs="Times New Roman"/>
          <w:szCs w:val="24"/>
        </w:rPr>
      </w:pPr>
    </w:p>
    <w:p w14:paraId="10D34937" w14:textId="355B90DC" w:rsidR="005F4BCA" w:rsidRPr="00103A2D" w:rsidRDefault="005F4BCA" w:rsidP="005F4BCA">
      <w:pPr>
        <w:spacing w:after="0" w:line="240" w:lineRule="auto"/>
        <w:rPr>
          <w:rFonts w:cs="Times New Roman"/>
          <w:szCs w:val="24"/>
        </w:rPr>
      </w:pPr>
      <w:r w:rsidRPr="00103A2D">
        <w:rPr>
          <w:rFonts w:cs="Times New Roman"/>
          <w:szCs w:val="24"/>
        </w:rPr>
        <w:t xml:space="preserve">Erickson, L. and </w:t>
      </w:r>
      <w:r w:rsidR="002D49F0">
        <w:rPr>
          <w:rFonts w:cs="Times New Roman"/>
          <w:szCs w:val="24"/>
        </w:rPr>
        <w:t xml:space="preserve">J. </w:t>
      </w:r>
      <w:r w:rsidRPr="00103A2D">
        <w:rPr>
          <w:rFonts w:cs="Times New Roman"/>
          <w:szCs w:val="24"/>
        </w:rPr>
        <w:t xml:space="preserve">Phillips (2012) </w:t>
      </w:r>
      <w:r w:rsidR="002D49F0">
        <w:rPr>
          <w:rFonts w:cs="Times New Roman"/>
          <w:szCs w:val="24"/>
        </w:rPr>
        <w:t>‘</w:t>
      </w:r>
      <w:r w:rsidRPr="00103A2D">
        <w:rPr>
          <w:rFonts w:cs="Times New Roman"/>
          <w:szCs w:val="24"/>
        </w:rPr>
        <w:t>The Effect of Religious-Based Mentoring on Educational Attainment: More than Just a Spiritual High?</w:t>
      </w:r>
      <w:r w:rsidR="002D49F0">
        <w:rPr>
          <w:rFonts w:cs="Times New Roman"/>
          <w:szCs w:val="24"/>
        </w:rPr>
        <w:t>’</w:t>
      </w:r>
      <w:r w:rsidRPr="00103A2D">
        <w:rPr>
          <w:rFonts w:cs="Times New Roman"/>
          <w:szCs w:val="24"/>
        </w:rPr>
        <w:t xml:space="preserve"> </w:t>
      </w:r>
      <w:r w:rsidRPr="00103A2D">
        <w:rPr>
          <w:rFonts w:cs="Times New Roman"/>
          <w:i/>
          <w:szCs w:val="24"/>
        </w:rPr>
        <w:t>Journal for the Scientific Study of Religion</w:t>
      </w:r>
      <w:r w:rsidRPr="00103A2D">
        <w:rPr>
          <w:rFonts w:cs="Times New Roman"/>
          <w:szCs w:val="24"/>
        </w:rPr>
        <w:t xml:space="preserve"> 51(3)</w:t>
      </w:r>
      <w:r w:rsidR="002D49F0">
        <w:rPr>
          <w:rFonts w:cs="Times New Roman"/>
          <w:szCs w:val="24"/>
        </w:rPr>
        <w:t>:</w:t>
      </w:r>
      <w:r w:rsidRPr="00103A2D">
        <w:rPr>
          <w:rFonts w:cs="Times New Roman"/>
          <w:szCs w:val="24"/>
        </w:rPr>
        <w:t xml:space="preserve"> 568-587.</w:t>
      </w:r>
    </w:p>
    <w:p w14:paraId="6F9E2ADA" w14:textId="77777777" w:rsidR="006D7792" w:rsidRDefault="006D7792" w:rsidP="005F4BCA">
      <w:pPr>
        <w:spacing w:after="0" w:line="240" w:lineRule="auto"/>
        <w:rPr>
          <w:rFonts w:cs="Times New Roman"/>
          <w:szCs w:val="24"/>
        </w:rPr>
      </w:pPr>
    </w:p>
    <w:p w14:paraId="77A4C967" w14:textId="6A74DC66" w:rsidR="006D7792" w:rsidRDefault="006D7792" w:rsidP="005F4BCA">
      <w:pPr>
        <w:spacing w:after="0" w:line="240" w:lineRule="auto"/>
        <w:rPr>
          <w:rFonts w:cs="Times New Roman"/>
          <w:szCs w:val="24"/>
        </w:rPr>
      </w:pPr>
      <w:r w:rsidRPr="006D7792">
        <w:rPr>
          <w:rFonts w:cs="Times New Roman"/>
          <w:szCs w:val="24"/>
        </w:rPr>
        <w:t>Evans C</w:t>
      </w:r>
      <w:r w:rsidR="002D49F0">
        <w:rPr>
          <w:rFonts w:cs="Times New Roman"/>
          <w:szCs w:val="24"/>
        </w:rPr>
        <w:t>. and B.</w:t>
      </w:r>
      <w:r w:rsidRPr="006D7792">
        <w:rPr>
          <w:rFonts w:cs="Times New Roman"/>
          <w:szCs w:val="24"/>
        </w:rPr>
        <w:t xml:space="preserve"> Gaze (2010) </w:t>
      </w:r>
      <w:r w:rsidR="002D49F0">
        <w:rPr>
          <w:rFonts w:cs="Times New Roman"/>
          <w:szCs w:val="24"/>
        </w:rPr>
        <w:t>‘</w:t>
      </w:r>
      <w:r w:rsidRPr="006D7792">
        <w:rPr>
          <w:rFonts w:cs="Times New Roman"/>
          <w:szCs w:val="24"/>
        </w:rPr>
        <w:t>Discrimination by religious schools: Views from the coal face</w:t>
      </w:r>
      <w:r w:rsidR="002D49F0">
        <w:rPr>
          <w:rFonts w:cs="Times New Roman"/>
          <w:szCs w:val="24"/>
        </w:rPr>
        <w:t>’,</w:t>
      </w:r>
      <w:r w:rsidRPr="006D7792">
        <w:rPr>
          <w:rFonts w:cs="Times New Roman"/>
          <w:szCs w:val="24"/>
        </w:rPr>
        <w:t xml:space="preserve"> </w:t>
      </w:r>
      <w:r w:rsidRPr="004114EF">
        <w:rPr>
          <w:rFonts w:cs="Times New Roman"/>
          <w:i/>
          <w:szCs w:val="24"/>
        </w:rPr>
        <w:t>Melbourne University Law Review</w:t>
      </w:r>
      <w:r w:rsidRPr="006D7792">
        <w:rPr>
          <w:rFonts w:cs="Times New Roman"/>
          <w:szCs w:val="24"/>
        </w:rPr>
        <w:t xml:space="preserve"> 34(2): 392–424.</w:t>
      </w:r>
    </w:p>
    <w:p w14:paraId="07CF6EC8" w14:textId="77777777" w:rsidR="006D7792" w:rsidRDefault="006D7792" w:rsidP="005F4BCA">
      <w:pPr>
        <w:spacing w:after="0" w:line="240" w:lineRule="auto"/>
        <w:rPr>
          <w:rFonts w:cs="Times New Roman"/>
          <w:szCs w:val="24"/>
        </w:rPr>
      </w:pPr>
    </w:p>
    <w:p w14:paraId="405FA91D" w14:textId="784B2612" w:rsidR="00BB3909" w:rsidRDefault="00BB3909" w:rsidP="005F4BCA">
      <w:pPr>
        <w:spacing w:after="0" w:line="240" w:lineRule="auto"/>
        <w:rPr>
          <w:rFonts w:cs="Times New Roman"/>
          <w:szCs w:val="24"/>
        </w:rPr>
      </w:pPr>
      <w:proofErr w:type="gramStart"/>
      <w:r w:rsidRPr="000E04E2">
        <w:rPr>
          <w:rFonts w:cs="Times New Roman"/>
          <w:szCs w:val="24"/>
          <w:highlight w:val="yellow"/>
        </w:rPr>
        <w:t xml:space="preserve">Gonski, D., Boston, K., Greiner, K., Lawrence, C., Scales, B. and P. </w:t>
      </w:r>
      <w:proofErr w:type="spellStart"/>
      <w:r w:rsidRPr="000E04E2">
        <w:rPr>
          <w:rFonts w:cs="Times New Roman"/>
          <w:szCs w:val="24"/>
          <w:highlight w:val="yellow"/>
        </w:rPr>
        <w:t>Tannock</w:t>
      </w:r>
      <w:proofErr w:type="spellEnd"/>
      <w:r w:rsidRPr="000E04E2">
        <w:rPr>
          <w:rFonts w:cs="Times New Roman"/>
          <w:szCs w:val="24"/>
          <w:highlight w:val="yellow"/>
        </w:rPr>
        <w:t xml:space="preserve"> (2011).</w:t>
      </w:r>
      <w:proofErr w:type="gramEnd"/>
      <w:r w:rsidRPr="000E04E2">
        <w:rPr>
          <w:rFonts w:cs="Times New Roman"/>
          <w:szCs w:val="24"/>
          <w:highlight w:val="yellow"/>
        </w:rPr>
        <w:t xml:space="preserve"> </w:t>
      </w:r>
      <w:proofErr w:type="gramStart"/>
      <w:r w:rsidRPr="000E04E2">
        <w:rPr>
          <w:rFonts w:cs="Times New Roman"/>
          <w:i/>
          <w:szCs w:val="24"/>
          <w:highlight w:val="yellow"/>
        </w:rPr>
        <w:t>Review of Funding for Schooling – Final Report</w:t>
      </w:r>
      <w:r w:rsidRPr="000E04E2">
        <w:rPr>
          <w:rFonts w:cs="Times New Roman"/>
          <w:szCs w:val="24"/>
          <w:highlight w:val="yellow"/>
        </w:rPr>
        <w:t>.</w:t>
      </w:r>
      <w:proofErr w:type="gramEnd"/>
      <w:r w:rsidRPr="000E04E2">
        <w:rPr>
          <w:rFonts w:cs="Times New Roman"/>
          <w:szCs w:val="24"/>
          <w:highlight w:val="yellow"/>
        </w:rPr>
        <w:t xml:space="preserve"> Canberra.</w:t>
      </w:r>
    </w:p>
    <w:p w14:paraId="76006816" w14:textId="77777777" w:rsidR="00D33E71" w:rsidRDefault="00D33E71" w:rsidP="005F4BCA">
      <w:pPr>
        <w:spacing w:after="0" w:line="240" w:lineRule="auto"/>
        <w:rPr>
          <w:rFonts w:cs="Times New Roman"/>
          <w:szCs w:val="24"/>
        </w:rPr>
      </w:pPr>
    </w:p>
    <w:p w14:paraId="30E78338" w14:textId="44C0ABFD" w:rsidR="00D33E71" w:rsidRDefault="00D33E71">
      <w:pPr>
        <w:rPr>
          <w:rFonts w:cs="Times New Roman"/>
          <w:szCs w:val="24"/>
        </w:rPr>
      </w:pPr>
      <w:r>
        <w:rPr>
          <w:rFonts w:cs="Times New Roman"/>
          <w:szCs w:val="24"/>
        </w:rPr>
        <w:br w:type="page"/>
      </w:r>
    </w:p>
    <w:p w14:paraId="2E92DF7E" w14:textId="77777777" w:rsidR="00BB3909" w:rsidRDefault="00BB3909" w:rsidP="005F4BCA">
      <w:pPr>
        <w:spacing w:after="0" w:line="240" w:lineRule="auto"/>
        <w:rPr>
          <w:rFonts w:cs="Times New Roman"/>
          <w:szCs w:val="24"/>
        </w:rPr>
      </w:pPr>
    </w:p>
    <w:p w14:paraId="37003648" w14:textId="0963B20D" w:rsidR="005F4BCA" w:rsidRDefault="005F4BCA" w:rsidP="005F4BCA">
      <w:pPr>
        <w:spacing w:after="0" w:line="240" w:lineRule="auto"/>
        <w:rPr>
          <w:rFonts w:cs="Times New Roman"/>
          <w:szCs w:val="24"/>
        </w:rPr>
      </w:pPr>
      <w:proofErr w:type="spellStart"/>
      <w:r w:rsidRPr="004222FE">
        <w:rPr>
          <w:rFonts w:cs="Times New Roman"/>
          <w:szCs w:val="24"/>
        </w:rPr>
        <w:t>Keysa</w:t>
      </w:r>
      <w:proofErr w:type="spellEnd"/>
      <w:r w:rsidRPr="004222FE">
        <w:rPr>
          <w:rFonts w:cs="Times New Roman"/>
          <w:szCs w:val="24"/>
        </w:rPr>
        <w:t xml:space="preserve">, A. and </w:t>
      </w:r>
      <w:r w:rsidR="002D49F0">
        <w:rPr>
          <w:rFonts w:cs="Times New Roman"/>
          <w:szCs w:val="24"/>
        </w:rPr>
        <w:t xml:space="preserve">B. </w:t>
      </w:r>
      <w:r w:rsidRPr="004222FE">
        <w:rPr>
          <w:rFonts w:cs="Times New Roman"/>
          <w:szCs w:val="24"/>
        </w:rPr>
        <w:t xml:space="preserve">Kosmin (1995) </w:t>
      </w:r>
      <w:r w:rsidR="002D49F0">
        <w:rPr>
          <w:rFonts w:cs="Times New Roman"/>
          <w:szCs w:val="24"/>
        </w:rPr>
        <w:t>‘</w:t>
      </w:r>
      <w:r w:rsidRPr="004222FE">
        <w:rPr>
          <w:rFonts w:cs="Times New Roman"/>
          <w:szCs w:val="24"/>
        </w:rPr>
        <w:t>The Impact of Religious Identification on Differences in Educational Attainment among American Women in 1990</w:t>
      </w:r>
      <w:r w:rsidR="002D49F0">
        <w:rPr>
          <w:rFonts w:cs="Times New Roman"/>
          <w:szCs w:val="24"/>
        </w:rPr>
        <w:t>’,</w:t>
      </w:r>
      <w:r w:rsidRPr="004222FE">
        <w:rPr>
          <w:rFonts w:cs="Times New Roman"/>
          <w:szCs w:val="24"/>
        </w:rPr>
        <w:t xml:space="preserve"> </w:t>
      </w:r>
      <w:r w:rsidRPr="004222FE">
        <w:rPr>
          <w:rFonts w:cs="Times New Roman"/>
          <w:i/>
          <w:szCs w:val="24"/>
        </w:rPr>
        <w:t>Journal for the Scientific Study of Religion</w:t>
      </w:r>
      <w:r w:rsidRPr="004222FE">
        <w:rPr>
          <w:rFonts w:cs="Times New Roman"/>
          <w:szCs w:val="24"/>
        </w:rPr>
        <w:t xml:space="preserve"> 34(1)</w:t>
      </w:r>
      <w:r w:rsidR="002D49F0">
        <w:rPr>
          <w:rFonts w:cs="Times New Roman"/>
          <w:szCs w:val="24"/>
        </w:rPr>
        <w:t>:</w:t>
      </w:r>
      <w:r w:rsidRPr="004222FE">
        <w:rPr>
          <w:rFonts w:cs="Times New Roman"/>
          <w:szCs w:val="24"/>
        </w:rPr>
        <w:t xml:space="preserve"> 49-62.</w:t>
      </w:r>
    </w:p>
    <w:p w14:paraId="60042140" w14:textId="77777777" w:rsidR="00F05C30" w:rsidRPr="004222FE" w:rsidRDefault="00F05C30" w:rsidP="005F4BCA">
      <w:pPr>
        <w:spacing w:after="0" w:line="240" w:lineRule="auto"/>
        <w:rPr>
          <w:rFonts w:cs="Times New Roman"/>
          <w:szCs w:val="24"/>
        </w:rPr>
      </w:pPr>
    </w:p>
    <w:p w14:paraId="65DD131E" w14:textId="693E9BB7" w:rsidR="005F4BCA" w:rsidRDefault="005F4BCA" w:rsidP="005F4BCA">
      <w:pPr>
        <w:spacing w:after="0" w:line="240" w:lineRule="auto"/>
        <w:rPr>
          <w:rFonts w:cs="Times New Roman"/>
          <w:szCs w:val="24"/>
        </w:rPr>
      </w:pPr>
      <w:r w:rsidRPr="003232B7">
        <w:rPr>
          <w:rFonts w:cs="Times New Roman"/>
          <w:szCs w:val="24"/>
        </w:rPr>
        <w:t xml:space="preserve">Lehrer, E (1999) </w:t>
      </w:r>
      <w:r w:rsidR="002D49F0">
        <w:rPr>
          <w:rFonts w:cs="Times New Roman"/>
          <w:szCs w:val="24"/>
        </w:rPr>
        <w:t>‘</w:t>
      </w:r>
      <w:r w:rsidRPr="003232B7">
        <w:rPr>
          <w:rFonts w:cs="Times New Roman"/>
          <w:szCs w:val="24"/>
        </w:rPr>
        <w:t>Religion as a Determinant of Educational Attainment: An Economic Perspective</w:t>
      </w:r>
      <w:r w:rsidR="002D49F0">
        <w:rPr>
          <w:rFonts w:cs="Times New Roman"/>
          <w:szCs w:val="24"/>
        </w:rPr>
        <w:t>’,</w:t>
      </w:r>
      <w:r w:rsidRPr="003232B7">
        <w:rPr>
          <w:rFonts w:cs="Times New Roman"/>
          <w:szCs w:val="24"/>
        </w:rPr>
        <w:t xml:space="preserve"> </w:t>
      </w:r>
      <w:r w:rsidRPr="003232B7">
        <w:rPr>
          <w:rFonts w:cs="Times New Roman"/>
          <w:i/>
          <w:szCs w:val="24"/>
        </w:rPr>
        <w:t>Social Science Research</w:t>
      </w:r>
      <w:r w:rsidRPr="003232B7">
        <w:rPr>
          <w:rFonts w:cs="Times New Roman"/>
          <w:szCs w:val="24"/>
        </w:rPr>
        <w:t xml:space="preserve"> 28(4)</w:t>
      </w:r>
      <w:r w:rsidR="002D49F0">
        <w:rPr>
          <w:rFonts w:cs="Times New Roman"/>
          <w:szCs w:val="24"/>
        </w:rPr>
        <w:t>:</w:t>
      </w:r>
      <w:r w:rsidRPr="003232B7">
        <w:rPr>
          <w:rFonts w:cs="Times New Roman"/>
          <w:szCs w:val="24"/>
        </w:rPr>
        <w:t xml:space="preserve"> 358-379.</w:t>
      </w:r>
    </w:p>
    <w:p w14:paraId="07047C29" w14:textId="77777777" w:rsidR="005F4BCA" w:rsidRDefault="005F4BCA" w:rsidP="005F4BCA">
      <w:pPr>
        <w:spacing w:after="0" w:line="240" w:lineRule="auto"/>
        <w:rPr>
          <w:rFonts w:cs="Times New Roman"/>
          <w:szCs w:val="24"/>
        </w:rPr>
      </w:pPr>
    </w:p>
    <w:p w14:paraId="6725ED85" w14:textId="1B95B948" w:rsidR="005F4BCA" w:rsidRDefault="005F4BCA" w:rsidP="005F4BCA">
      <w:pPr>
        <w:spacing w:after="0" w:line="240" w:lineRule="auto"/>
        <w:rPr>
          <w:rFonts w:cs="Times New Roman"/>
          <w:szCs w:val="24"/>
        </w:rPr>
      </w:pPr>
      <w:r w:rsidRPr="004222FE">
        <w:rPr>
          <w:rFonts w:cs="Times New Roman"/>
          <w:szCs w:val="24"/>
        </w:rPr>
        <w:t xml:space="preserve">Lehrer, E. (2006) </w:t>
      </w:r>
      <w:r w:rsidR="002D49F0">
        <w:rPr>
          <w:rFonts w:cs="Times New Roman"/>
          <w:szCs w:val="24"/>
        </w:rPr>
        <w:t>‘</w:t>
      </w:r>
      <w:r w:rsidRPr="004222FE">
        <w:rPr>
          <w:rFonts w:cs="Times New Roman"/>
          <w:szCs w:val="24"/>
        </w:rPr>
        <w:t>Religion and High-school Graduation: A Comparative Analysis of Patterns for White and Black Young Women</w:t>
      </w:r>
      <w:r w:rsidR="002D49F0">
        <w:rPr>
          <w:rFonts w:cs="Times New Roman"/>
          <w:szCs w:val="24"/>
        </w:rPr>
        <w:t>’,</w:t>
      </w:r>
      <w:r w:rsidRPr="004222FE">
        <w:rPr>
          <w:rFonts w:cs="Times New Roman"/>
          <w:szCs w:val="24"/>
        </w:rPr>
        <w:t xml:space="preserve"> </w:t>
      </w:r>
      <w:r w:rsidRPr="004222FE">
        <w:rPr>
          <w:rFonts w:cs="Times New Roman"/>
          <w:i/>
          <w:szCs w:val="24"/>
        </w:rPr>
        <w:t>Review of Economics of the Household</w:t>
      </w:r>
      <w:r w:rsidRPr="004222FE">
        <w:rPr>
          <w:rFonts w:cs="Times New Roman"/>
          <w:szCs w:val="24"/>
        </w:rPr>
        <w:t xml:space="preserve"> 4</w:t>
      </w:r>
      <w:r w:rsidR="004114EF">
        <w:rPr>
          <w:rFonts w:cs="Times New Roman"/>
          <w:szCs w:val="24"/>
        </w:rPr>
        <w:t>(3)</w:t>
      </w:r>
      <w:r w:rsidRPr="004222FE">
        <w:rPr>
          <w:rFonts w:cs="Times New Roman"/>
          <w:szCs w:val="24"/>
        </w:rPr>
        <w:t>: 277-293.</w:t>
      </w:r>
    </w:p>
    <w:p w14:paraId="705A11D7" w14:textId="77777777" w:rsidR="00ED334F" w:rsidRDefault="00ED334F" w:rsidP="005F4BCA">
      <w:pPr>
        <w:spacing w:after="0" w:line="240" w:lineRule="auto"/>
        <w:rPr>
          <w:rFonts w:cs="Times New Roman"/>
          <w:szCs w:val="24"/>
        </w:rPr>
      </w:pPr>
    </w:p>
    <w:p w14:paraId="551F9379" w14:textId="75EC5764" w:rsidR="001670AD" w:rsidRDefault="00ED334F" w:rsidP="005F4BCA">
      <w:pPr>
        <w:spacing w:after="0" w:line="240" w:lineRule="auto"/>
        <w:rPr>
          <w:rFonts w:cs="Times New Roman"/>
          <w:szCs w:val="24"/>
        </w:rPr>
      </w:pPr>
      <w:r>
        <w:rPr>
          <w:rFonts w:cs="Times New Roman"/>
          <w:szCs w:val="24"/>
        </w:rPr>
        <w:t xml:space="preserve">Marks, G. (2014) </w:t>
      </w:r>
      <w:r w:rsidR="002D49F0">
        <w:rPr>
          <w:rFonts w:cs="Times New Roman"/>
          <w:szCs w:val="24"/>
        </w:rPr>
        <w:t>‘</w:t>
      </w:r>
      <w:r>
        <w:rPr>
          <w:rFonts w:cs="Times New Roman"/>
          <w:szCs w:val="24"/>
        </w:rPr>
        <w:t>Demographic and Socioeconomic Inequalities in Student Achievement Over School Career</w:t>
      </w:r>
      <w:r w:rsidR="002D49F0">
        <w:rPr>
          <w:rFonts w:cs="Times New Roman"/>
          <w:szCs w:val="24"/>
        </w:rPr>
        <w:t>’,</w:t>
      </w:r>
      <w:r>
        <w:rPr>
          <w:rFonts w:cs="Times New Roman"/>
          <w:szCs w:val="24"/>
        </w:rPr>
        <w:t xml:space="preserve"> </w:t>
      </w:r>
      <w:r w:rsidRPr="00ED334F">
        <w:rPr>
          <w:rFonts w:cs="Times New Roman"/>
          <w:i/>
          <w:szCs w:val="24"/>
        </w:rPr>
        <w:t>Australian Journal of Education</w:t>
      </w:r>
      <w:r>
        <w:rPr>
          <w:rFonts w:cs="Times New Roman"/>
          <w:szCs w:val="24"/>
        </w:rPr>
        <w:t xml:space="preserve"> 58(3): 223-247.</w:t>
      </w:r>
    </w:p>
    <w:p w14:paraId="06E18C4C" w14:textId="77777777" w:rsidR="001670AD" w:rsidRDefault="001670AD" w:rsidP="005F4BCA">
      <w:pPr>
        <w:spacing w:after="0" w:line="240" w:lineRule="auto"/>
        <w:rPr>
          <w:rFonts w:cs="Times New Roman"/>
          <w:szCs w:val="24"/>
        </w:rPr>
      </w:pPr>
    </w:p>
    <w:p w14:paraId="4A6B5739" w14:textId="4DF18850" w:rsidR="00ED334F" w:rsidRDefault="001670AD" w:rsidP="005F4BCA">
      <w:pPr>
        <w:spacing w:after="0" w:line="240" w:lineRule="auto"/>
        <w:rPr>
          <w:rFonts w:cs="Times New Roman"/>
          <w:szCs w:val="24"/>
        </w:rPr>
      </w:pPr>
      <w:r w:rsidRPr="000E04E2">
        <w:rPr>
          <w:rFonts w:cs="Times New Roman"/>
          <w:szCs w:val="24"/>
          <w:highlight w:val="yellow"/>
        </w:rPr>
        <w:t>Marks, G</w:t>
      </w:r>
      <w:r w:rsidR="00773DF9" w:rsidRPr="000E04E2">
        <w:rPr>
          <w:rFonts w:cs="Times New Roman"/>
          <w:szCs w:val="24"/>
          <w:highlight w:val="yellow"/>
        </w:rPr>
        <w:t>.</w:t>
      </w:r>
      <w:r w:rsidRPr="000E04E2">
        <w:rPr>
          <w:rFonts w:cs="Times New Roman"/>
          <w:szCs w:val="24"/>
          <w:highlight w:val="yellow"/>
        </w:rPr>
        <w:t xml:space="preserve"> (</w:t>
      </w:r>
      <w:r w:rsidR="00773DF9" w:rsidRPr="000E04E2">
        <w:rPr>
          <w:rFonts w:cs="Times New Roman"/>
          <w:szCs w:val="24"/>
          <w:highlight w:val="yellow"/>
        </w:rPr>
        <w:t>2015)</w:t>
      </w:r>
      <w:r w:rsidR="00142513" w:rsidRPr="000E04E2">
        <w:rPr>
          <w:rFonts w:cs="Times New Roman"/>
          <w:szCs w:val="24"/>
          <w:highlight w:val="yellow"/>
        </w:rPr>
        <w:t xml:space="preserve"> </w:t>
      </w:r>
      <w:r w:rsidR="00773DF9" w:rsidRPr="000E04E2">
        <w:rPr>
          <w:rFonts w:cs="Times New Roman"/>
          <w:szCs w:val="24"/>
          <w:highlight w:val="yellow"/>
        </w:rPr>
        <w:t>‘</w:t>
      </w:r>
      <w:r w:rsidR="00142513" w:rsidRPr="000E04E2">
        <w:rPr>
          <w:rFonts w:cs="Times New Roman"/>
          <w:szCs w:val="24"/>
          <w:highlight w:val="yellow"/>
        </w:rPr>
        <w:t>School Sector Differences in Student Achievement in Australian Primary and Secondary Schools: A Longitudinal Analysis</w:t>
      </w:r>
      <w:r w:rsidR="00773DF9" w:rsidRPr="000E04E2">
        <w:rPr>
          <w:rFonts w:cs="Times New Roman"/>
          <w:szCs w:val="24"/>
          <w:highlight w:val="yellow"/>
        </w:rPr>
        <w:t>’,</w:t>
      </w:r>
      <w:r w:rsidR="00142513" w:rsidRPr="000E04E2">
        <w:rPr>
          <w:rFonts w:cs="Times New Roman"/>
          <w:szCs w:val="24"/>
          <w:highlight w:val="yellow"/>
        </w:rPr>
        <w:t xml:space="preserve"> </w:t>
      </w:r>
      <w:r w:rsidR="00142513" w:rsidRPr="000E04E2">
        <w:rPr>
          <w:rFonts w:cs="Times New Roman"/>
          <w:i/>
          <w:szCs w:val="24"/>
          <w:highlight w:val="yellow"/>
        </w:rPr>
        <w:t>Journal of Social Choice</w:t>
      </w:r>
      <w:r w:rsidR="00142513" w:rsidRPr="000E04E2">
        <w:rPr>
          <w:rFonts w:cs="Times New Roman"/>
          <w:szCs w:val="24"/>
          <w:highlight w:val="yellow"/>
        </w:rPr>
        <w:t xml:space="preserve"> 9(2): 219-238.</w:t>
      </w:r>
    </w:p>
    <w:p w14:paraId="62A07F4F" w14:textId="77777777" w:rsidR="00ED334F" w:rsidRDefault="00ED334F" w:rsidP="005F4BCA">
      <w:pPr>
        <w:spacing w:after="0" w:line="240" w:lineRule="auto"/>
        <w:rPr>
          <w:rFonts w:cs="Times New Roman"/>
          <w:szCs w:val="24"/>
        </w:rPr>
      </w:pPr>
    </w:p>
    <w:p w14:paraId="77A477ED" w14:textId="541EB683" w:rsidR="00ED334F" w:rsidRPr="004222FE" w:rsidRDefault="00ED334F" w:rsidP="005F4BCA">
      <w:pPr>
        <w:spacing w:after="0" w:line="240" w:lineRule="auto"/>
        <w:rPr>
          <w:rFonts w:cs="Times New Roman"/>
          <w:szCs w:val="24"/>
        </w:rPr>
      </w:pPr>
      <w:r>
        <w:rPr>
          <w:rFonts w:cs="Times New Roman"/>
          <w:szCs w:val="24"/>
        </w:rPr>
        <w:t xml:space="preserve">Miller, P. and </w:t>
      </w:r>
      <w:r w:rsidR="002D49F0">
        <w:rPr>
          <w:rFonts w:cs="Times New Roman"/>
          <w:szCs w:val="24"/>
        </w:rPr>
        <w:t xml:space="preserve">D. </w:t>
      </w:r>
      <w:proofErr w:type="spellStart"/>
      <w:r>
        <w:rPr>
          <w:rFonts w:cs="Times New Roman"/>
          <w:szCs w:val="24"/>
        </w:rPr>
        <w:t>Voon</w:t>
      </w:r>
      <w:proofErr w:type="spellEnd"/>
      <w:r>
        <w:rPr>
          <w:rFonts w:cs="Times New Roman"/>
          <w:szCs w:val="24"/>
        </w:rPr>
        <w:t xml:space="preserve"> (2012) </w:t>
      </w:r>
      <w:r w:rsidR="002D49F0">
        <w:rPr>
          <w:rFonts w:cs="Times New Roman"/>
          <w:szCs w:val="24"/>
        </w:rPr>
        <w:t>‘</w:t>
      </w:r>
      <w:r>
        <w:rPr>
          <w:rFonts w:cs="Times New Roman"/>
          <w:szCs w:val="24"/>
        </w:rPr>
        <w:t>Government Versus Non-Government Schools: A Nation-wide Assessment Using Australian NAPLAN Data</w:t>
      </w:r>
      <w:r w:rsidR="002D49F0">
        <w:rPr>
          <w:rFonts w:cs="Times New Roman"/>
          <w:szCs w:val="24"/>
        </w:rPr>
        <w:t>’</w:t>
      </w:r>
      <w:r w:rsidR="00BA7B70">
        <w:rPr>
          <w:rFonts w:cs="Times New Roman"/>
          <w:szCs w:val="24"/>
        </w:rPr>
        <w:t>,</w:t>
      </w:r>
      <w:r>
        <w:rPr>
          <w:rFonts w:cs="Times New Roman"/>
          <w:szCs w:val="24"/>
        </w:rPr>
        <w:t xml:space="preserve"> </w:t>
      </w:r>
      <w:r w:rsidRPr="00ED334F">
        <w:rPr>
          <w:rFonts w:cs="Times New Roman"/>
          <w:i/>
          <w:szCs w:val="24"/>
        </w:rPr>
        <w:t>Australian Economic Papers</w:t>
      </w:r>
      <w:r w:rsidR="004114EF">
        <w:rPr>
          <w:rFonts w:cs="Times New Roman"/>
          <w:szCs w:val="24"/>
        </w:rPr>
        <w:t xml:space="preserve"> 51(3): </w:t>
      </w:r>
      <w:r w:rsidR="00BA78FA">
        <w:t>147–166.</w:t>
      </w:r>
    </w:p>
    <w:p w14:paraId="10E1B1DA" w14:textId="77777777" w:rsidR="005F4BCA" w:rsidRPr="003232B7" w:rsidRDefault="005F4BCA" w:rsidP="005F4BCA">
      <w:pPr>
        <w:spacing w:after="0" w:line="240" w:lineRule="auto"/>
        <w:rPr>
          <w:rFonts w:cs="Times New Roman"/>
          <w:szCs w:val="24"/>
        </w:rPr>
      </w:pPr>
    </w:p>
    <w:p w14:paraId="29030CCD" w14:textId="5202199E" w:rsidR="005F4BCA" w:rsidRDefault="005F4BCA" w:rsidP="005F4BCA">
      <w:pPr>
        <w:spacing w:after="0" w:line="240" w:lineRule="auto"/>
        <w:rPr>
          <w:rFonts w:cs="Times New Roman"/>
          <w:szCs w:val="24"/>
        </w:rPr>
      </w:pPr>
      <w:proofErr w:type="gramStart"/>
      <w:r>
        <w:rPr>
          <w:rFonts w:cs="Times New Roman"/>
          <w:szCs w:val="24"/>
        </w:rPr>
        <w:t xml:space="preserve">Moore, L. (2012) </w:t>
      </w:r>
      <w:r w:rsidR="002D49F0">
        <w:rPr>
          <w:rFonts w:cs="Times New Roman"/>
          <w:szCs w:val="24"/>
        </w:rPr>
        <w:t>‘</w:t>
      </w:r>
      <w:r>
        <w:rPr>
          <w:rFonts w:cs="Times New Roman"/>
          <w:szCs w:val="24"/>
        </w:rPr>
        <w:t>Muslim Children’s Other School</w:t>
      </w:r>
      <w:r w:rsidR="002D49F0">
        <w:rPr>
          <w:rFonts w:cs="Times New Roman"/>
          <w:szCs w:val="24"/>
        </w:rPr>
        <w:t>’</w:t>
      </w:r>
      <w:r w:rsidR="00BA7B70">
        <w:rPr>
          <w:rFonts w:cs="Times New Roman"/>
          <w:szCs w:val="24"/>
        </w:rPr>
        <w:t>,</w:t>
      </w:r>
      <w:r>
        <w:rPr>
          <w:rFonts w:cs="Times New Roman"/>
          <w:szCs w:val="24"/>
        </w:rPr>
        <w:t xml:space="preserve"> </w:t>
      </w:r>
      <w:r w:rsidRPr="004E2FA4">
        <w:rPr>
          <w:rFonts w:cs="Times New Roman"/>
          <w:i/>
          <w:szCs w:val="24"/>
        </w:rPr>
        <w:t>Childhood Education</w:t>
      </w:r>
      <w:r>
        <w:rPr>
          <w:rFonts w:cs="Times New Roman"/>
          <w:szCs w:val="24"/>
        </w:rPr>
        <w:t xml:space="preserve"> 88(5): 298-303.</w:t>
      </w:r>
      <w:proofErr w:type="gramEnd"/>
    </w:p>
    <w:p w14:paraId="18DB4CF8" w14:textId="77777777" w:rsidR="00BB3909" w:rsidRDefault="00BB3909" w:rsidP="005F4BCA">
      <w:pPr>
        <w:spacing w:after="0" w:line="240" w:lineRule="auto"/>
        <w:rPr>
          <w:rFonts w:cs="Times New Roman"/>
          <w:szCs w:val="24"/>
        </w:rPr>
      </w:pPr>
    </w:p>
    <w:p w14:paraId="30249645" w14:textId="197F36A2" w:rsidR="00BB3909" w:rsidRDefault="00BB3909" w:rsidP="005F4BCA">
      <w:pPr>
        <w:spacing w:after="0" w:line="240" w:lineRule="auto"/>
        <w:rPr>
          <w:rFonts w:cs="Times New Roman"/>
          <w:szCs w:val="24"/>
        </w:rPr>
      </w:pPr>
      <w:proofErr w:type="gramStart"/>
      <w:r w:rsidRPr="000E04E2">
        <w:rPr>
          <w:rFonts w:cs="Times New Roman"/>
          <w:szCs w:val="24"/>
          <w:highlight w:val="yellow"/>
        </w:rPr>
        <w:t>National Catholic Education Commission.</w:t>
      </w:r>
      <w:proofErr w:type="gramEnd"/>
      <w:r w:rsidRPr="000E04E2">
        <w:rPr>
          <w:rFonts w:cs="Times New Roman"/>
          <w:szCs w:val="24"/>
          <w:highlight w:val="yellow"/>
        </w:rPr>
        <w:t xml:space="preserve"> </w:t>
      </w:r>
      <w:proofErr w:type="gramStart"/>
      <w:r w:rsidRPr="000E04E2">
        <w:rPr>
          <w:rFonts w:cs="Times New Roman"/>
          <w:szCs w:val="24"/>
          <w:highlight w:val="yellow"/>
        </w:rPr>
        <w:t xml:space="preserve">(2014). </w:t>
      </w:r>
      <w:r w:rsidRPr="000E04E2">
        <w:rPr>
          <w:rFonts w:cs="Times New Roman"/>
          <w:i/>
          <w:szCs w:val="24"/>
          <w:highlight w:val="yellow"/>
        </w:rPr>
        <w:t>Australian Catholic Schools 2014</w:t>
      </w:r>
      <w:r w:rsidRPr="000E04E2">
        <w:rPr>
          <w:rFonts w:cs="Times New Roman"/>
          <w:szCs w:val="24"/>
          <w:highlight w:val="yellow"/>
        </w:rPr>
        <w:t>.</w:t>
      </w:r>
      <w:proofErr w:type="gramEnd"/>
      <w:r w:rsidRPr="000E04E2">
        <w:rPr>
          <w:rFonts w:cs="Times New Roman"/>
          <w:szCs w:val="24"/>
          <w:highlight w:val="yellow"/>
        </w:rPr>
        <w:t xml:space="preserve"> Sydney.</w:t>
      </w:r>
    </w:p>
    <w:p w14:paraId="7652F406" w14:textId="77777777" w:rsidR="00ED334F" w:rsidRDefault="00ED334F" w:rsidP="005F4BCA">
      <w:pPr>
        <w:spacing w:after="0" w:line="240" w:lineRule="auto"/>
        <w:rPr>
          <w:rFonts w:cs="Times New Roman"/>
          <w:szCs w:val="24"/>
        </w:rPr>
      </w:pPr>
    </w:p>
    <w:p w14:paraId="67687819" w14:textId="394CAA4A" w:rsidR="00ED334F" w:rsidRDefault="00ED334F" w:rsidP="005F4BCA">
      <w:pPr>
        <w:spacing w:after="0" w:line="240" w:lineRule="auto"/>
        <w:rPr>
          <w:rFonts w:cs="Times New Roman"/>
          <w:szCs w:val="24"/>
        </w:rPr>
      </w:pPr>
      <w:r>
        <w:rPr>
          <w:rFonts w:cs="Times New Roman"/>
          <w:szCs w:val="24"/>
        </w:rPr>
        <w:t xml:space="preserve">Nghiem, H., </w:t>
      </w:r>
      <w:r w:rsidR="002D49F0">
        <w:rPr>
          <w:rFonts w:cs="Times New Roman"/>
          <w:szCs w:val="24"/>
        </w:rPr>
        <w:t xml:space="preserve">H. </w:t>
      </w:r>
      <w:r>
        <w:rPr>
          <w:rFonts w:cs="Times New Roman"/>
          <w:szCs w:val="24"/>
        </w:rPr>
        <w:t xml:space="preserve">Nguyen, </w:t>
      </w:r>
      <w:r w:rsidR="002D49F0">
        <w:rPr>
          <w:rFonts w:cs="Times New Roman"/>
          <w:szCs w:val="24"/>
        </w:rPr>
        <w:t xml:space="preserve">R. </w:t>
      </w:r>
      <w:proofErr w:type="spellStart"/>
      <w:r>
        <w:rPr>
          <w:rFonts w:cs="Times New Roman"/>
          <w:szCs w:val="24"/>
        </w:rPr>
        <w:t>Khanam</w:t>
      </w:r>
      <w:proofErr w:type="spellEnd"/>
      <w:r>
        <w:rPr>
          <w:rFonts w:cs="Times New Roman"/>
          <w:szCs w:val="24"/>
        </w:rPr>
        <w:t xml:space="preserve"> and </w:t>
      </w:r>
      <w:r w:rsidR="002D49F0">
        <w:rPr>
          <w:rFonts w:cs="Times New Roman"/>
          <w:szCs w:val="24"/>
        </w:rPr>
        <w:t xml:space="preserve">L. </w:t>
      </w:r>
      <w:r>
        <w:rPr>
          <w:rFonts w:cs="Times New Roman"/>
          <w:szCs w:val="24"/>
        </w:rPr>
        <w:t xml:space="preserve">Connelly (2015) </w:t>
      </w:r>
      <w:r w:rsidR="002D49F0">
        <w:rPr>
          <w:rFonts w:cs="Times New Roman"/>
          <w:szCs w:val="24"/>
        </w:rPr>
        <w:t>‘</w:t>
      </w:r>
      <w:r>
        <w:rPr>
          <w:rFonts w:cs="Times New Roman"/>
          <w:szCs w:val="24"/>
        </w:rPr>
        <w:t xml:space="preserve">Does School Type Affect Cognitive and Non-Cognitive Development in Children? </w:t>
      </w:r>
      <w:proofErr w:type="gramStart"/>
      <w:r>
        <w:rPr>
          <w:rFonts w:cs="Times New Roman"/>
          <w:szCs w:val="24"/>
        </w:rPr>
        <w:t>Evidence from Australian Primary Schools</w:t>
      </w:r>
      <w:r w:rsidR="002D49F0">
        <w:rPr>
          <w:rFonts w:cs="Times New Roman"/>
          <w:szCs w:val="24"/>
        </w:rPr>
        <w:t>’</w:t>
      </w:r>
      <w:r w:rsidR="00773DF9">
        <w:rPr>
          <w:rFonts w:cs="Times New Roman"/>
          <w:szCs w:val="24"/>
        </w:rPr>
        <w:t>,</w:t>
      </w:r>
      <w:r>
        <w:rPr>
          <w:rFonts w:cs="Times New Roman"/>
          <w:szCs w:val="24"/>
        </w:rPr>
        <w:t xml:space="preserve"> </w:t>
      </w:r>
      <w:r w:rsidRPr="00ED334F">
        <w:rPr>
          <w:rFonts w:cs="Times New Roman"/>
          <w:i/>
          <w:szCs w:val="24"/>
        </w:rPr>
        <w:t>Labour Economics</w:t>
      </w:r>
      <w:r>
        <w:rPr>
          <w:rFonts w:cs="Times New Roman"/>
          <w:szCs w:val="24"/>
        </w:rPr>
        <w:t xml:space="preserve"> 33: 55-65.</w:t>
      </w:r>
      <w:proofErr w:type="gramEnd"/>
    </w:p>
    <w:p w14:paraId="750EDAD4" w14:textId="77777777" w:rsidR="005F4BCA" w:rsidRDefault="005F4BCA" w:rsidP="005F4BCA">
      <w:pPr>
        <w:spacing w:after="0" w:line="240" w:lineRule="auto"/>
        <w:rPr>
          <w:rFonts w:cs="Times New Roman"/>
          <w:szCs w:val="24"/>
        </w:rPr>
      </w:pPr>
    </w:p>
    <w:p w14:paraId="2C8EBA93" w14:textId="554C2624" w:rsidR="006F1207" w:rsidRDefault="006F1207" w:rsidP="005F4BCA">
      <w:pPr>
        <w:spacing w:after="0" w:line="240" w:lineRule="auto"/>
        <w:rPr>
          <w:rFonts w:cs="Times New Roman"/>
          <w:szCs w:val="24"/>
        </w:rPr>
      </w:pPr>
      <w:r w:rsidRPr="000E04E2">
        <w:rPr>
          <w:rFonts w:cs="Times New Roman"/>
          <w:szCs w:val="24"/>
          <w:highlight w:val="yellow"/>
        </w:rPr>
        <w:t xml:space="preserve">Read, J. (2004) ‘Cultural Influences on Immigrant Women’s </w:t>
      </w:r>
      <w:proofErr w:type="spellStart"/>
      <w:r w:rsidRPr="000E04E2">
        <w:rPr>
          <w:rFonts w:cs="Times New Roman"/>
          <w:szCs w:val="24"/>
          <w:highlight w:val="yellow"/>
        </w:rPr>
        <w:t>Labor</w:t>
      </w:r>
      <w:proofErr w:type="spellEnd"/>
      <w:r w:rsidRPr="000E04E2">
        <w:rPr>
          <w:rFonts w:cs="Times New Roman"/>
          <w:szCs w:val="24"/>
          <w:highlight w:val="yellow"/>
        </w:rPr>
        <w:t xml:space="preserve"> Force Partici</w:t>
      </w:r>
      <w:r w:rsidR="00773DF9" w:rsidRPr="000E04E2">
        <w:rPr>
          <w:rFonts w:cs="Times New Roman"/>
          <w:szCs w:val="24"/>
          <w:highlight w:val="yellow"/>
        </w:rPr>
        <w:t>pation: The Arab-American Case’,</w:t>
      </w:r>
      <w:r w:rsidRPr="000E04E2">
        <w:rPr>
          <w:rFonts w:cs="Times New Roman"/>
          <w:szCs w:val="24"/>
          <w:highlight w:val="yellow"/>
        </w:rPr>
        <w:t xml:space="preserve"> </w:t>
      </w:r>
      <w:r w:rsidRPr="000E04E2">
        <w:rPr>
          <w:rFonts w:cs="Times New Roman"/>
          <w:i/>
          <w:szCs w:val="24"/>
          <w:highlight w:val="yellow"/>
        </w:rPr>
        <w:t>International Migration Review</w:t>
      </w:r>
      <w:r w:rsidRPr="000E04E2">
        <w:rPr>
          <w:rFonts w:cs="Times New Roman"/>
          <w:szCs w:val="24"/>
          <w:highlight w:val="yellow"/>
        </w:rPr>
        <w:t xml:space="preserve"> 38(1): 52-77.</w:t>
      </w:r>
    </w:p>
    <w:p w14:paraId="0619106B" w14:textId="77777777" w:rsidR="002E717C" w:rsidRDefault="002E717C" w:rsidP="005F4BCA">
      <w:pPr>
        <w:spacing w:after="0" w:line="240" w:lineRule="auto"/>
        <w:rPr>
          <w:rFonts w:cs="Times New Roman"/>
          <w:szCs w:val="24"/>
        </w:rPr>
      </w:pPr>
    </w:p>
    <w:p w14:paraId="0A978768" w14:textId="341B1FAB" w:rsidR="002E717C" w:rsidRDefault="002E717C" w:rsidP="005F4BCA">
      <w:pPr>
        <w:spacing w:after="0" w:line="240" w:lineRule="auto"/>
        <w:rPr>
          <w:rFonts w:cs="Times New Roman"/>
          <w:szCs w:val="24"/>
        </w:rPr>
      </w:pPr>
      <w:r w:rsidRPr="000E04E2">
        <w:rPr>
          <w:rFonts w:cs="Times New Roman"/>
          <w:szCs w:val="24"/>
          <w:highlight w:val="yellow"/>
        </w:rPr>
        <w:t>Rothstein, J</w:t>
      </w:r>
      <w:r w:rsidR="00773DF9" w:rsidRPr="000E04E2">
        <w:rPr>
          <w:rFonts w:cs="Times New Roman"/>
          <w:szCs w:val="24"/>
          <w:highlight w:val="yellow"/>
        </w:rPr>
        <w:t>. (2010)</w:t>
      </w:r>
      <w:r w:rsidRPr="000E04E2">
        <w:rPr>
          <w:rFonts w:cs="Times New Roman"/>
          <w:szCs w:val="24"/>
          <w:highlight w:val="yellow"/>
        </w:rPr>
        <w:t xml:space="preserve"> </w:t>
      </w:r>
      <w:r w:rsidR="00773DF9" w:rsidRPr="000E04E2">
        <w:rPr>
          <w:rFonts w:cs="Times New Roman"/>
          <w:szCs w:val="24"/>
          <w:highlight w:val="yellow"/>
        </w:rPr>
        <w:t>‘</w:t>
      </w:r>
      <w:r w:rsidRPr="000E04E2">
        <w:rPr>
          <w:rFonts w:cs="Times New Roman"/>
          <w:szCs w:val="24"/>
          <w:highlight w:val="yellow"/>
        </w:rPr>
        <w:t>Teacher Quality in Educational Production: Tracking, decay and Student Achievement</w:t>
      </w:r>
      <w:r w:rsidR="00773DF9" w:rsidRPr="000E04E2">
        <w:rPr>
          <w:rFonts w:cs="Times New Roman"/>
          <w:szCs w:val="24"/>
          <w:highlight w:val="yellow"/>
        </w:rPr>
        <w:t>’,</w:t>
      </w:r>
      <w:r w:rsidRPr="000E04E2">
        <w:rPr>
          <w:rFonts w:cs="Times New Roman"/>
          <w:szCs w:val="24"/>
          <w:highlight w:val="yellow"/>
        </w:rPr>
        <w:t xml:space="preserve"> </w:t>
      </w:r>
      <w:r w:rsidRPr="000E04E2">
        <w:rPr>
          <w:rFonts w:cs="Times New Roman"/>
          <w:i/>
          <w:szCs w:val="24"/>
          <w:highlight w:val="yellow"/>
        </w:rPr>
        <w:t>Quarterly Journal of Economics</w:t>
      </w:r>
      <w:r w:rsidRPr="000E04E2">
        <w:rPr>
          <w:rFonts w:cs="Times New Roman"/>
          <w:szCs w:val="24"/>
          <w:highlight w:val="yellow"/>
        </w:rPr>
        <w:t xml:space="preserve"> 125(1): 175-214.</w:t>
      </w:r>
    </w:p>
    <w:p w14:paraId="79537996" w14:textId="77777777" w:rsidR="00142513" w:rsidRDefault="00142513" w:rsidP="005F4BCA">
      <w:pPr>
        <w:spacing w:after="0" w:line="240" w:lineRule="auto"/>
        <w:rPr>
          <w:rFonts w:cs="Times New Roman"/>
          <w:szCs w:val="24"/>
        </w:rPr>
      </w:pPr>
    </w:p>
    <w:p w14:paraId="126C6236" w14:textId="132BC0AA" w:rsidR="00142513" w:rsidRDefault="003C6B7E" w:rsidP="005F4BCA">
      <w:pPr>
        <w:spacing w:after="0" w:line="240" w:lineRule="auto"/>
        <w:rPr>
          <w:rFonts w:cs="Times New Roman"/>
          <w:szCs w:val="24"/>
        </w:rPr>
      </w:pPr>
      <w:proofErr w:type="spellStart"/>
      <w:r w:rsidRPr="000E04E2">
        <w:rPr>
          <w:rFonts w:cs="Times New Roman"/>
          <w:szCs w:val="24"/>
          <w:highlight w:val="yellow"/>
        </w:rPr>
        <w:t>Seemann</w:t>
      </w:r>
      <w:proofErr w:type="spellEnd"/>
      <w:r w:rsidR="00142513" w:rsidRPr="000E04E2">
        <w:rPr>
          <w:rFonts w:cs="Times New Roman"/>
          <w:szCs w:val="24"/>
          <w:highlight w:val="yellow"/>
        </w:rPr>
        <w:t xml:space="preserve">, J. (2018). </w:t>
      </w:r>
      <w:proofErr w:type="gramStart"/>
      <w:r w:rsidR="00142513" w:rsidRPr="000E04E2">
        <w:rPr>
          <w:rFonts w:cs="Times New Roman"/>
          <w:szCs w:val="24"/>
          <w:highlight w:val="yellow"/>
        </w:rPr>
        <w:t>Meeting the Challenges Facing Religious Schools: An Australian Perspective.</w:t>
      </w:r>
      <w:proofErr w:type="gramEnd"/>
      <w:r w:rsidR="00142513" w:rsidRPr="000E04E2">
        <w:rPr>
          <w:rFonts w:cs="Times New Roman"/>
          <w:szCs w:val="24"/>
          <w:highlight w:val="yellow"/>
        </w:rPr>
        <w:t xml:space="preserve"> </w:t>
      </w:r>
      <w:proofErr w:type="gramStart"/>
      <w:r w:rsidR="00142513" w:rsidRPr="000E04E2">
        <w:rPr>
          <w:rFonts w:cs="Times New Roman"/>
          <w:szCs w:val="24"/>
          <w:highlight w:val="yellow"/>
        </w:rPr>
        <w:t>In “The Palgrave Handbook of Education Law for Schools”</w:t>
      </w:r>
      <w:r w:rsidR="00BB3909" w:rsidRPr="000E04E2">
        <w:rPr>
          <w:rFonts w:cs="Times New Roman"/>
          <w:szCs w:val="24"/>
          <w:highlight w:val="yellow"/>
        </w:rPr>
        <w:t>.</w:t>
      </w:r>
      <w:proofErr w:type="gramEnd"/>
      <w:r w:rsidR="00BB3909" w:rsidRPr="000E04E2">
        <w:rPr>
          <w:rFonts w:cs="Times New Roman"/>
          <w:szCs w:val="24"/>
          <w:highlight w:val="yellow"/>
        </w:rPr>
        <w:t xml:space="preserve"> Trimmer, K. (</w:t>
      </w:r>
      <w:proofErr w:type="spellStart"/>
      <w:proofErr w:type="gramStart"/>
      <w:r w:rsidR="00BB3909" w:rsidRPr="000E04E2">
        <w:rPr>
          <w:rFonts w:cs="Times New Roman"/>
          <w:szCs w:val="24"/>
          <w:highlight w:val="yellow"/>
        </w:rPr>
        <w:t>ed</w:t>
      </w:r>
      <w:proofErr w:type="spellEnd"/>
      <w:proofErr w:type="gramEnd"/>
      <w:r w:rsidR="00BB3909" w:rsidRPr="000E04E2">
        <w:rPr>
          <w:rFonts w:cs="Times New Roman"/>
          <w:szCs w:val="24"/>
          <w:highlight w:val="yellow"/>
        </w:rPr>
        <w:t>). Singapore: Palgrave.</w:t>
      </w:r>
    </w:p>
    <w:p w14:paraId="7A985258" w14:textId="77777777" w:rsidR="006F1207" w:rsidRDefault="006F1207" w:rsidP="005F4BCA">
      <w:pPr>
        <w:spacing w:after="0" w:line="240" w:lineRule="auto"/>
        <w:rPr>
          <w:rFonts w:cs="Times New Roman"/>
          <w:szCs w:val="24"/>
        </w:rPr>
      </w:pPr>
    </w:p>
    <w:p w14:paraId="55EDE65C" w14:textId="4D2DA589" w:rsidR="005F4BCA" w:rsidRDefault="005F4BCA" w:rsidP="005F4BCA">
      <w:pPr>
        <w:spacing w:after="0" w:line="240" w:lineRule="auto"/>
        <w:rPr>
          <w:rFonts w:cs="Times New Roman"/>
          <w:szCs w:val="24"/>
        </w:rPr>
      </w:pPr>
      <w:r w:rsidRPr="003232B7">
        <w:rPr>
          <w:rFonts w:cs="Times New Roman"/>
          <w:szCs w:val="24"/>
        </w:rPr>
        <w:t xml:space="preserve">Norton, S and </w:t>
      </w:r>
      <w:r w:rsidR="002D49F0">
        <w:rPr>
          <w:rFonts w:cs="Times New Roman"/>
          <w:szCs w:val="24"/>
        </w:rPr>
        <w:t xml:space="preserve">A. </w:t>
      </w:r>
      <w:proofErr w:type="spellStart"/>
      <w:r w:rsidRPr="003232B7">
        <w:rPr>
          <w:rFonts w:cs="Times New Roman"/>
          <w:szCs w:val="24"/>
        </w:rPr>
        <w:t>Tomal</w:t>
      </w:r>
      <w:proofErr w:type="spellEnd"/>
      <w:r w:rsidRPr="003232B7">
        <w:rPr>
          <w:rFonts w:cs="Times New Roman"/>
          <w:szCs w:val="24"/>
        </w:rPr>
        <w:t xml:space="preserve"> (2009) </w:t>
      </w:r>
      <w:r w:rsidR="002D49F0">
        <w:rPr>
          <w:rFonts w:cs="Times New Roman"/>
          <w:szCs w:val="24"/>
        </w:rPr>
        <w:t>‘</w:t>
      </w:r>
      <w:r w:rsidRPr="003232B7">
        <w:rPr>
          <w:rFonts w:cs="Times New Roman"/>
          <w:szCs w:val="24"/>
        </w:rPr>
        <w:t xml:space="preserve">Religion </w:t>
      </w:r>
      <w:r w:rsidR="00BA78FA">
        <w:rPr>
          <w:rFonts w:cs="Times New Roman"/>
          <w:szCs w:val="24"/>
        </w:rPr>
        <w:t>and Female Education Attainment</w:t>
      </w:r>
      <w:r w:rsidR="002D49F0">
        <w:rPr>
          <w:rFonts w:cs="Times New Roman"/>
          <w:szCs w:val="24"/>
        </w:rPr>
        <w:t>’</w:t>
      </w:r>
      <w:r w:rsidR="00BA7B70">
        <w:rPr>
          <w:rFonts w:cs="Times New Roman"/>
          <w:szCs w:val="24"/>
        </w:rPr>
        <w:t>,</w:t>
      </w:r>
      <w:r w:rsidRPr="003232B7">
        <w:rPr>
          <w:rFonts w:cs="Times New Roman"/>
          <w:szCs w:val="24"/>
        </w:rPr>
        <w:t xml:space="preserve"> </w:t>
      </w:r>
      <w:r w:rsidRPr="003232B7">
        <w:rPr>
          <w:rFonts w:cs="Times New Roman"/>
          <w:i/>
          <w:szCs w:val="24"/>
        </w:rPr>
        <w:t>Journal of Money Credit and Banking</w:t>
      </w:r>
      <w:r w:rsidRPr="003232B7">
        <w:rPr>
          <w:rFonts w:cs="Times New Roman"/>
          <w:szCs w:val="24"/>
        </w:rPr>
        <w:t xml:space="preserve"> 41(5)</w:t>
      </w:r>
      <w:r w:rsidR="00BA7B70">
        <w:rPr>
          <w:rFonts w:cs="Times New Roman"/>
          <w:szCs w:val="24"/>
        </w:rPr>
        <w:t>:</w:t>
      </w:r>
      <w:r w:rsidRPr="003232B7">
        <w:rPr>
          <w:rFonts w:cs="Times New Roman"/>
          <w:szCs w:val="24"/>
        </w:rPr>
        <w:t xml:space="preserve"> 961-985.</w:t>
      </w:r>
    </w:p>
    <w:p w14:paraId="125E229F" w14:textId="77777777" w:rsidR="00856B89" w:rsidRDefault="00856B89" w:rsidP="005F4BCA">
      <w:pPr>
        <w:spacing w:after="0" w:line="240" w:lineRule="auto"/>
        <w:rPr>
          <w:rFonts w:cs="Times New Roman"/>
          <w:szCs w:val="24"/>
        </w:rPr>
      </w:pPr>
    </w:p>
    <w:p w14:paraId="0A289A50" w14:textId="55BECF2F" w:rsidR="00905E7D" w:rsidRDefault="00905E7D" w:rsidP="00905E7D">
      <w:pPr>
        <w:spacing w:after="0" w:line="240" w:lineRule="auto"/>
        <w:rPr>
          <w:rFonts w:cs="Times New Roman"/>
          <w:szCs w:val="24"/>
        </w:rPr>
      </w:pPr>
      <w:proofErr w:type="gramStart"/>
      <w:r w:rsidRPr="00905E7D">
        <w:rPr>
          <w:rFonts w:cs="Times New Roman"/>
          <w:szCs w:val="24"/>
        </w:rPr>
        <w:t>SBS (2017).</w:t>
      </w:r>
      <w:proofErr w:type="gramEnd"/>
      <w:r w:rsidRPr="00905E7D">
        <w:rPr>
          <w:rFonts w:cs="Times New Roman"/>
          <w:szCs w:val="24"/>
        </w:rPr>
        <w:t xml:space="preserve"> Gonski 2.0 Passes in Early Hours with Crossbench Support. SBS available at: </w:t>
      </w:r>
      <w:hyperlink r:id="rId22" w:history="1">
        <w:r w:rsidR="001670AD" w:rsidRPr="00A93FD3">
          <w:rPr>
            <w:rStyle w:val="Hyperlink"/>
            <w:rFonts w:cs="Times New Roman"/>
            <w:szCs w:val="24"/>
          </w:rPr>
          <w:t>http://www.sbs.com.au/news/article/2017/06/23/gonski-20-passes-early-hours-crossbench-support</w:t>
        </w:r>
      </w:hyperlink>
      <w:r w:rsidRPr="00905E7D">
        <w:rPr>
          <w:rFonts w:cs="Times New Roman"/>
          <w:szCs w:val="24"/>
        </w:rPr>
        <w:t>.</w:t>
      </w:r>
    </w:p>
    <w:p w14:paraId="20EAEAB8" w14:textId="77777777" w:rsidR="001670AD" w:rsidRPr="00905E7D" w:rsidRDefault="001670AD" w:rsidP="00905E7D">
      <w:pPr>
        <w:spacing w:after="0" w:line="240" w:lineRule="auto"/>
        <w:rPr>
          <w:rFonts w:cs="Times New Roman"/>
          <w:szCs w:val="24"/>
        </w:rPr>
      </w:pPr>
    </w:p>
    <w:p w14:paraId="5DB8A682" w14:textId="1172BE7F" w:rsidR="00C13737" w:rsidRDefault="00C13737" w:rsidP="005F4BCA">
      <w:pPr>
        <w:spacing w:after="0" w:line="240" w:lineRule="auto"/>
        <w:rPr>
          <w:rFonts w:cs="Times New Roman"/>
          <w:szCs w:val="24"/>
        </w:rPr>
      </w:pPr>
      <w:proofErr w:type="gramStart"/>
      <w:r w:rsidRPr="000E04E2">
        <w:rPr>
          <w:rFonts w:cs="Times New Roman"/>
          <w:szCs w:val="24"/>
          <w:highlight w:val="yellow"/>
        </w:rPr>
        <w:t xml:space="preserve">Stoltz, J., </w:t>
      </w:r>
      <w:proofErr w:type="spellStart"/>
      <w:r w:rsidRPr="000E04E2">
        <w:rPr>
          <w:rFonts w:cs="Times New Roman"/>
          <w:szCs w:val="24"/>
          <w:highlight w:val="yellow"/>
        </w:rPr>
        <w:t>Konemann</w:t>
      </w:r>
      <w:proofErr w:type="spellEnd"/>
      <w:r w:rsidRPr="000E04E2">
        <w:rPr>
          <w:rFonts w:cs="Times New Roman"/>
          <w:szCs w:val="24"/>
          <w:highlight w:val="yellow"/>
        </w:rPr>
        <w:t xml:space="preserve">, J., Purdie, M., </w:t>
      </w:r>
      <w:proofErr w:type="spellStart"/>
      <w:r w:rsidRPr="000E04E2">
        <w:rPr>
          <w:rFonts w:cs="Times New Roman"/>
          <w:szCs w:val="24"/>
          <w:highlight w:val="yellow"/>
        </w:rPr>
        <w:t>Englberger</w:t>
      </w:r>
      <w:proofErr w:type="spellEnd"/>
      <w:r w:rsidRPr="000E04E2">
        <w:rPr>
          <w:rFonts w:cs="Times New Roman"/>
          <w:szCs w:val="24"/>
          <w:highlight w:val="yellow"/>
        </w:rPr>
        <w:t xml:space="preserve">, T. and </w:t>
      </w:r>
      <w:r w:rsidR="00773DF9" w:rsidRPr="000E04E2">
        <w:rPr>
          <w:rFonts w:cs="Times New Roman"/>
          <w:szCs w:val="24"/>
          <w:highlight w:val="yellow"/>
        </w:rPr>
        <w:t xml:space="preserve">M. </w:t>
      </w:r>
      <w:proofErr w:type="spellStart"/>
      <w:r w:rsidR="00773DF9" w:rsidRPr="000E04E2">
        <w:rPr>
          <w:rFonts w:cs="Times New Roman"/>
          <w:szCs w:val="24"/>
          <w:highlight w:val="yellow"/>
        </w:rPr>
        <w:t>Kruggeler</w:t>
      </w:r>
      <w:proofErr w:type="spellEnd"/>
      <w:r w:rsidRPr="000E04E2">
        <w:rPr>
          <w:rFonts w:cs="Times New Roman"/>
          <w:szCs w:val="24"/>
          <w:highlight w:val="yellow"/>
        </w:rPr>
        <w:t xml:space="preserve"> (2016).</w:t>
      </w:r>
      <w:proofErr w:type="gramEnd"/>
      <w:r w:rsidRPr="000E04E2">
        <w:rPr>
          <w:rFonts w:cs="Times New Roman"/>
          <w:szCs w:val="24"/>
          <w:highlight w:val="yellow"/>
        </w:rPr>
        <w:t xml:space="preserve"> </w:t>
      </w:r>
      <w:r w:rsidRPr="000E04E2">
        <w:rPr>
          <w:rFonts w:cs="Times New Roman"/>
          <w:i/>
          <w:szCs w:val="24"/>
          <w:highlight w:val="yellow"/>
        </w:rPr>
        <w:t>(</w:t>
      </w:r>
      <w:proofErr w:type="gramStart"/>
      <w:r w:rsidRPr="000E04E2">
        <w:rPr>
          <w:rFonts w:cs="Times New Roman"/>
          <w:i/>
          <w:szCs w:val="24"/>
          <w:highlight w:val="yellow"/>
        </w:rPr>
        <w:t>Un</w:t>
      </w:r>
      <w:proofErr w:type="gramEnd"/>
      <w:r w:rsidRPr="000E04E2">
        <w:rPr>
          <w:rFonts w:cs="Times New Roman"/>
          <w:i/>
          <w:szCs w:val="24"/>
          <w:highlight w:val="yellow"/>
        </w:rPr>
        <w:t>)</w:t>
      </w:r>
      <w:proofErr w:type="gramStart"/>
      <w:r w:rsidRPr="000E04E2">
        <w:rPr>
          <w:rFonts w:cs="Times New Roman"/>
          <w:i/>
          <w:szCs w:val="24"/>
          <w:highlight w:val="yellow"/>
        </w:rPr>
        <w:t>Believing in Modern Society</w:t>
      </w:r>
      <w:r w:rsidR="00856B89" w:rsidRPr="000E04E2">
        <w:rPr>
          <w:rFonts w:cs="Times New Roman"/>
          <w:szCs w:val="24"/>
          <w:highlight w:val="yellow"/>
        </w:rPr>
        <w:t>.</w:t>
      </w:r>
      <w:proofErr w:type="gramEnd"/>
      <w:r w:rsidRPr="000E04E2">
        <w:rPr>
          <w:rFonts w:cs="Times New Roman"/>
          <w:szCs w:val="24"/>
          <w:highlight w:val="yellow"/>
        </w:rPr>
        <w:t xml:space="preserve"> London</w:t>
      </w:r>
      <w:r w:rsidR="00856B89" w:rsidRPr="000E04E2">
        <w:rPr>
          <w:rFonts w:cs="Times New Roman"/>
          <w:szCs w:val="24"/>
          <w:highlight w:val="yellow"/>
        </w:rPr>
        <w:t>: Routledge</w:t>
      </w:r>
      <w:r w:rsidRPr="000E04E2">
        <w:rPr>
          <w:rFonts w:cs="Times New Roman"/>
          <w:szCs w:val="24"/>
          <w:highlight w:val="yellow"/>
        </w:rPr>
        <w:t>.</w:t>
      </w:r>
    </w:p>
    <w:p w14:paraId="79A0C2A3" w14:textId="1F1E1C04" w:rsidR="00D33E71" w:rsidRDefault="00D33E71">
      <w:pPr>
        <w:rPr>
          <w:rFonts w:cs="Times New Roman"/>
          <w:szCs w:val="24"/>
        </w:rPr>
      </w:pPr>
      <w:r>
        <w:rPr>
          <w:rFonts w:cs="Times New Roman"/>
          <w:szCs w:val="24"/>
        </w:rPr>
        <w:br w:type="page"/>
      </w:r>
    </w:p>
    <w:p w14:paraId="6125807F" w14:textId="77777777" w:rsidR="00B04889" w:rsidRDefault="00B04889" w:rsidP="005F4BCA">
      <w:pPr>
        <w:spacing w:after="0" w:line="240" w:lineRule="auto"/>
        <w:rPr>
          <w:rFonts w:cs="Times New Roman"/>
          <w:szCs w:val="24"/>
        </w:rPr>
      </w:pPr>
    </w:p>
    <w:p w14:paraId="2757E625" w14:textId="0F9ABACA" w:rsidR="00B04889" w:rsidRDefault="00B04889" w:rsidP="005F4BCA">
      <w:pPr>
        <w:spacing w:after="0" w:line="240" w:lineRule="auto"/>
        <w:rPr>
          <w:rFonts w:cs="Times New Roman"/>
          <w:szCs w:val="24"/>
        </w:rPr>
      </w:pPr>
      <w:proofErr w:type="gramStart"/>
      <w:r>
        <w:rPr>
          <w:rFonts w:cs="Times New Roman"/>
          <w:szCs w:val="24"/>
        </w:rPr>
        <w:t>St</w:t>
      </w:r>
      <w:r w:rsidR="00773DF9">
        <w:rPr>
          <w:rFonts w:cs="Times New Roman"/>
          <w:szCs w:val="24"/>
        </w:rPr>
        <w:t>oltz, J. and P. Tanner.</w:t>
      </w:r>
      <w:proofErr w:type="gramEnd"/>
      <w:r w:rsidR="00773DF9">
        <w:rPr>
          <w:rFonts w:cs="Times New Roman"/>
          <w:szCs w:val="24"/>
        </w:rPr>
        <w:t xml:space="preserve"> (2017)</w:t>
      </w:r>
      <w:r>
        <w:rPr>
          <w:rFonts w:cs="Times New Roman"/>
          <w:szCs w:val="24"/>
        </w:rPr>
        <w:t xml:space="preserve"> </w:t>
      </w:r>
      <w:r w:rsidR="00773DF9">
        <w:rPr>
          <w:rFonts w:cs="Times New Roman"/>
          <w:szCs w:val="24"/>
        </w:rPr>
        <w:t>‘</w:t>
      </w:r>
      <w:r>
        <w:rPr>
          <w:rFonts w:cs="Times New Roman"/>
          <w:szCs w:val="24"/>
        </w:rPr>
        <w:t>Elements of a Theory of Religious-Secular Competition</w:t>
      </w:r>
      <w:r w:rsidR="00773DF9">
        <w:rPr>
          <w:rFonts w:cs="Times New Roman"/>
          <w:szCs w:val="24"/>
        </w:rPr>
        <w:t>’,</w:t>
      </w:r>
      <w:r>
        <w:rPr>
          <w:rFonts w:cs="Times New Roman"/>
          <w:szCs w:val="24"/>
        </w:rPr>
        <w:t xml:space="preserve"> </w:t>
      </w:r>
      <w:r w:rsidRPr="00C439D8">
        <w:rPr>
          <w:rFonts w:cs="Times New Roman"/>
          <w:i/>
          <w:szCs w:val="24"/>
        </w:rPr>
        <w:t xml:space="preserve">Politics &amp; </w:t>
      </w:r>
      <w:proofErr w:type="spellStart"/>
      <w:r w:rsidRPr="00C439D8">
        <w:rPr>
          <w:rFonts w:cs="Times New Roman"/>
          <w:i/>
          <w:szCs w:val="24"/>
        </w:rPr>
        <w:t>Sociedade</w:t>
      </w:r>
      <w:proofErr w:type="spellEnd"/>
      <w:r>
        <w:rPr>
          <w:rFonts w:cs="Times New Roman"/>
          <w:szCs w:val="24"/>
        </w:rPr>
        <w:t xml:space="preserve"> 16(36): 295-323.</w:t>
      </w:r>
    </w:p>
    <w:p w14:paraId="0FD8BA39" w14:textId="77777777" w:rsidR="00C13737" w:rsidRDefault="00C13737" w:rsidP="005F4BCA">
      <w:pPr>
        <w:spacing w:after="0" w:line="240" w:lineRule="auto"/>
        <w:rPr>
          <w:rFonts w:cs="Times New Roman"/>
          <w:szCs w:val="24"/>
        </w:rPr>
      </w:pPr>
    </w:p>
    <w:p w14:paraId="0029FB98" w14:textId="77777777" w:rsidR="009110F1" w:rsidRDefault="003D59AB" w:rsidP="003D59AB">
      <w:pPr>
        <w:spacing w:after="0" w:line="240" w:lineRule="auto"/>
        <w:rPr>
          <w:rFonts w:cs="Times New Roman"/>
          <w:szCs w:val="24"/>
        </w:rPr>
      </w:pPr>
      <w:proofErr w:type="spellStart"/>
      <w:proofErr w:type="gramStart"/>
      <w:r w:rsidRPr="003D59AB">
        <w:rPr>
          <w:rFonts w:cs="Times New Roman"/>
          <w:szCs w:val="24"/>
        </w:rPr>
        <w:t>Teese</w:t>
      </w:r>
      <w:proofErr w:type="spellEnd"/>
      <w:r w:rsidRPr="003D59AB">
        <w:rPr>
          <w:rFonts w:cs="Times New Roman"/>
          <w:szCs w:val="24"/>
        </w:rPr>
        <w:t xml:space="preserve">, R. (2000) </w:t>
      </w:r>
      <w:r w:rsidRPr="003D59AB">
        <w:rPr>
          <w:rFonts w:cs="Times New Roman"/>
          <w:i/>
          <w:szCs w:val="24"/>
        </w:rPr>
        <w:t>Academic Success &amp; Social Power</w:t>
      </w:r>
      <w:r w:rsidRPr="003D59AB">
        <w:rPr>
          <w:rFonts w:cs="Times New Roman"/>
          <w:szCs w:val="24"/>
        </w:rPr>
        <w:t>.</w:t>
      </w:r>
      <w:proofErr w:type="gramEnd"/>
      <w:r w:rsidRPr="003D59AB">
        <w:rPr>
          <w:rFonts w:cs="Times New Roman"/>
          <w:szCs w:val="24"/>
        </w:rPr>
        <w:t xml:space="preserve"> </w:t>
      </w:r>
      <w:r w:rsidR="00BA7B70">
        <w:rPr>
          <w:rFonts w:cs="Times New Roman"/>
          <w:szCs w:val="24"/>
        </w:rPr>
        <w:t xml:space="preserve">Melbourne: </w:t>
      </w:r>
      <w:r w:rsidRPr="003D59AB">
        <w:rPr>
          <w:rFonts w:cs="Times New Roman"/>
          <w:szCs w:val="24"/>
        </w:rPr>
        <w:t>Melbourne University Press.</w:t>
      </w:r>
    </w:p>
    <w:p w14:paraId="1F0A27BD" w14:textId="77777777" w:rsidR="009110F1" w:rsidRDefault="009110F1" w:rsidP="003D59AB">
      <w:pPr>
        <w:spacing w:after="0" w:line="240" w:lineRule="auto"/>
        <w:rPr>
          <w:rFonts w:cs="Times New Roman"/>
          <w:szCs w:val="24"/>
        </w:rPr>
      </w:pPr>
    </w:p>
    <w:p w14:paraId="40826102" w14:textId="084AD60C" w:rsidR="00142513" w:rsidRDefault="00142513" w:rsidP="003D59AB">
      <w:pPr>
        <w:spacing w:after="0" w:line="240" w:lineRule="auto"/>
        <w:rPr>
          <w:rFonts w:cs="Times New Roman"/>
          <w:szCs w:val="24"/>
        </w:rPr>
      </w:pPr>
      <w:proofErr w:type="spellStart"/>
      <w:proofErr w:type="gramStart"/>
      <w:r w:rsidRPr="000E04E2">
        <w:rPr>
          <w:rFonts w:cs="Times New Roman"/>
          <w:szCs w:val="24"/>
          <w:highlight w:val="yellow"/>
        </w:rPr>
        <w:t>Teese</w:t>
      </w:r>
      <w:proofErr w:type="spellEnd"/>
      <w:r w:rsidRPr="000E04E2">
        <w:rPr>
          <w:rFonts w:cs="Times New Roman"/>
          <w:szCs w:val="24"/>
          <w:highlight w:val="yellow"/>
        </w:rPr>
        <w:t>, R. (2005).</w:t>
      </w:r>
      <w:proofErr w:type="gramEnd"/>
      <w:r w:rsidRPr="000E04E2">
        <w:rPr>
          <w:rFonts w:cs="Times New Roman"/>
          <w:szCs w:val="24"/>
          <w:highlight w:val="yellow"/>
        </w:rPr>
        <w:t xml:space="preserve"> For Which Young People Do Schools Work Well and Why? In “No Time to Lose: The Wellbeing of Australia’s Children”. Richardson, S. and Prior, M. (</w:t>
      </w:r>
      <w:proofErr w:type="spellStart"/>
      <w:proofErr w:type="gramStart"/>
      <w:r w:rsidRPr="000E04E2">
        <w:rPr>
          <w:rFonts w:cs="Times New Roman"/>
          <w:szCs w:val="24"/>
          <w:highlight w:val="yellow"/>
        </w:rPr>
        <w:t>eds</w:t>
      </w:r>
      <w:proofErr w:type="spellEnd"/>
      <w:proofErr w:type="gramEnd"/>
      <w:r w:rsidRPr="000E04E2">
        <w:rPr>
          <w:rFonts w:cs="Times New Roman"/>
          <w:szCs w:val="24"/>
          <w:highlight w:val="yellow"/>
        </w:rPr>
        <w:t>). Carlton: Melbourne University Press.</w:t>
      </w:r>
    </w:p>
    <w:p w14:paraId="0EE208E5" w14:textId="77777777" w:rsidR="00015442" w:rsidRDefault="00015442" w:rsidP="003D59AB">
      <w:pPr>
        <w:spacing w:after="0" w:line="240" w:lineRule="auto"/>
        <w:rPr>
          <w:rFonts w:cs="Times New Roman"/>
          <w:szCs w:val="24"/>
        </w:rPr>
      </w:pPr>
    </w:p>
    <w:p w14:paraId="33C05553" w14:textId="204EB72D" w:rsidR="005F51AB" w:rsidRDefault="001D5C88" w:rsidP="00F3020A">
      <w:pPr>
        <w:spacing w:after="0" w:line="240" w:lineRule="auto"/>
        <w:rPr>
          <w:rFonts w:cs="Times New Roman"/>
          <w:szCs w:val="24"/>
        </w:rPr>
      </w:pPr>
      <w:r w:rsidRPr="000E04E2">
        <w:rPr>
          <w:rFonts w:cs="Times New Roman"/>
          <w:szCs w:val="24"/>
          <w:highlight w:val="yellow"/>
        </w:rPr>
        <w:t xml:space="preserve">Vance, L. (1999). </w:t>
      </w:r>
      <w:proofErr w:type="gramStart"/>
      <w:r w:rsidRPr="000E04E2">
        <w:rPr>
          <w:rFonts w:cs="Times New Roman"/>
          <w:i/>
          <w:szCs w:val="24"/>
          <w:highlight w:val="yellow"/>
        </w:rPr>
        <w:t>Seventh-day Adventism in Crisis; Gender and Sectarian Change in an Emerging Religion</w:t>
      </w:r>
      <w:r w:rsidRPr="000E04E2">
        <w:rPr>
          <w:rFonts w:cs="Times New Roman"/>
          <w:szCs w:val="24"/>
          <w:highlight w:val="yellow"/>
        </w:rPr>
        <w:t>.</w:t>
      </w:r>
      <w:proofErr w:type="gramEnd"/>
      <w:r w:rsidRPr="000E04E2">
        <w:rPr>
          <w:rFonts w:cs="Times New Roman"/>
          <w:szCs w:val="24"/>
          <w:highlight w:val="yellow"/>
        </w:rPr>
        <w:t xml:space="preserve"> Chicago</w:t>
      </w:r>
      <w:r w:rsidR="00D33E71" w:rsidRPr="000E04E2">
        <w:rPr>
          <w:rFonts w:cs="Times New Roman"/>
          <w:szCs w:val="24"/>
          <w:highlight w:val="yellow"/>
        </w:rPr>
        <w:t>: University of Illinios Press.</w:t>
      </w:r>
    </w:p>
    <w:p w14:paraId="101C0759" w14:textId="69CA9A4D" w:rsidR="00B22146" w:rsidRPr="00D33E71" w:rsidRDefault="00B22146" w:rsidP="00D33E71">
      <w:pPr>
        <w:spacing w:after="0" w:line="240" w:lineRule="auto"/>
        <w:rPr>
          <w:rFonts w:cs="Times New Roman"/>
          <w:szCs w:val="24"/>
        </w:rPr>
      </w:pPr>
      <w:bookmarkStart w:id="2" w:name="_Hlk484699691"/>
      <w:bookmarkEnd w:id="2"/>
    </w:p>
    <w:sectPr w:rsidR="00B22146" w:rsidRPr="00D33E71" w:rsidSect="00C439D8">
      <w:footerReference w:type="default" r:id="rId23"/>
      <w:footnotePr>
        <w:numRestart w:val="eachSect"/>
      </w:footnotePr>
      <w:type w:val="continuous"/>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7DC09" w14:textId="77777777" w:rsidR="00BA0F4C" w:rsidRDefault="00BA0F4C" w:rsidP="0091142A">
      <w:pPr>
        <w:spacing w:after="0" w:line="240" w:lineRule="auto"/>
      </w:pPr>
      <w:r>
        <w:separator/>
      </w:r>
    </w:p>
  </w:endnote>
  <w:endnote w:type="continuationSeparator" w:id="0">
    <w:p w14:paraId="536F323A" w14:textId="77777777" w:rsidR="00BA0F4C" w:rsidRDefault="00BA0F4C" w:rsidP="0091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248176"/>
      <w:docPartObj>
        <w:docPartGallery w:val="Page Numbers (Bottom of Page)"/>
        <w:docPartUnique/>
      </w:docPartObj>
    </w:sdtPr>
    <w:sdtEndPr>
      <w:rPr>
        <w:noProof/>
      </w:rPr>
    </w:sdtEndPr>
    <w:sdtContent>
      <w:p w14:paraId="672CCEE3" w14:textId="50578D3B" w:rsidR="00380D78" w:rsidRDefault="00380D78">
        <w:pPr>
          <w:pStyle w:val="Footer"/>
          <w:jc w:val="right"/>
        </w:pPr>
        <w:r>
          <w:fldChar w:fldCharType="begin"/>
        </w:r>
        <w:r>
          <w:instrText xml:space="preserve"> PAGE   \* MERGEFORMAT </w:instrText>
        </w:r>
        <w:r>
          <w:fldChar w:fldCharType="separate"/>
        </w:r>
        <w:r w:rsidR="00782A6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77D58" w14:textId="77777777" w:rsidR="00380D78" w:rsidRDefault="00380D7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025404"/>
      <w:docPartObj>
        <w:docPartGallery w:val="Page Numbers (Bottom of Page)"/>
        <w:docPartUnique/>
      </w:docPartObj>
    </w:sdtPr>
    <w:sdtEndPr>
      <w:rPr>
        <w:noProof/>
      </w:rPr>
    </w:sdtEndPr>
    <w:sdtContent>
      <w:p w14:paraId="3D7DAEB6" w14:textId="41EBDBF9" w:rsidR="00380D78" w:rsidRDefault="00380D78" w:rsidP="00B70F13">
        <w:pPr>
          <w:pStyle w:val="Footer"/>
          <w:jc w:val="right"/>
        </w:pPr>
        <w:r>
          <w:fldChar w:fldCharType="begin"/>
        </w:r>
        <w:r>
          <w:instrText xml:space="preserve"> PAGE   \* MERGEFORMAT </w:instrText>
        </w:r>
        <w:r>
          <w:fldChar w:fldCharType="separate"/>
        </w:r>
        <w:r w:rsidR="00782A6D">
          <w:rPr>
            <w:noProof/>
          </w:rPr>
          <w:t>29</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25947"/>
      <w:docPartObj>
        <w:docPartGallery w:val="Page Numbers (Bottom of Page)"/>
        <w:docPartUnique/>
      </w:docPartObj>
    </w:sdtPr>
    <w:sdtEndPr>
      <w:rPr>
        <w:noProof/>
      </w:rPr>
    </w:sdtEndPr>
    <w:sdtContent>
      <w:p w14:paraId="4C022176" w14:textId="3220C202" w:rsidR="00380D78" w:rsidRDefault="00380D78" w:rsidP="00B70F13">
        <w:pPr>
          <w:pStyle w:val="Footer"/>
          <w:jc w:val="right"/>
        </w:pPr>
        <w:r>
          <w:fldChar w:fldCharType="begin"/>
        </w:r>
        <w:r>
          <w:instrText xml:space="preserve"> PAGE   \* MERGEFORMAT </w:instrText>
        </w:r>
        <w:r>
          <w:fldChar w:fldCharType="separate"/>
        </w:r>
        <w:r w:rsidR="00782A6D">
          <w:rPr>
            <w:noProof/>
          </w:rPr>
          <w:t>36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6FFAC" w14:textId="77777777" w:rsidR="00BA0F4C" w:rsidRDefault="00BA0F4C" w:rsidP="0091142A">
      <w:pPr>
        <w:spacing w:after="0" w:line="240" w:lineRule="auto"/>
      </w:pPr>
      <w:r>
        <w:separator/>
      </w:r>
    </w:p>
  </w:footnote>
  <w:footnote w:type="continuationSeparator" w:id="0">
    <w:p w14:paraId="162346DE" w14:textId="77777777" w:rsidR="00BA0F4C" w:rsidRDefault="00BA0F4C" w:rsidP="00911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C39"/>
    <w:multiLevelType w:val="hybridMultilevel"/>
    <w:tmpl w:val="19FA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A21F1E"/>
    <w:multiLevelType w:val="hybridMultilevel"/>
    <w:tmpl w:val="E3C2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F05F8"/>
    <w:multiLevelType w:val="hybridMultilevel"/>
    <w:tmpl w:val="413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4496"/>
    <w:multiLevelType w:val="hybridMultilevel"/>
    <w:tmpl w:val="149602AA"/>
    <w:lvl w:ilvl="0" w:tplc="8C60DA24">
      <w:start w:val="1"/>
      <w:numFmt w:val="decimal"/>
      <w:lvlText w:val="%1"/>
      <w:lvlJc w:val="left"/>
      <w:pPr>
        <w:ind w:left="360" w:hanging="360"/>
      </w:pPr>
      <w:rPr>
        <w:rFonts w:ascii="Times New Roman" w:eastAsiaTheme="minorEastAsia" w:hAnsi="Times New Roman"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F863EB3"/>
    <w:multiLevelType w:val="hybridMultilevel"/>
    <w:tmpl w:val="4C780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6D5A04"/>
    <w:multiLevelType w:val="hybridMultilevel"/>
    <w:tmpl w:val="092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966FE"/>
    <w:multiLevelType w:val="hybridMultilevel"/>
    <w:tmpl w:val="D38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40611C"/>
    <w:multiLevelType w:val="hybridMultilevel"/>
    <w:tmpl w:val="35B4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346C0"/>
    <w:multiLevelType w:val="hybridMultilevel"/>
    <w:tmpl w:val="360AA6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6B2E4B"/>
    <w:multiLevelType w:val="multilevel"/>
    <w:tmpl w:val="69E60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6919C9"/>
    <w:multiLevelType w:val="hybridMultilevel"/>
    <w:tmpl w:val="94D2D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A071B05"/>
    <w:multiLevelType w:val="hybridMultilevel"/>
    <w:tmpl w:val="898C2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FB5EBC"/>
    <w:multiLevelType w:val="hybridMultilevel"/>
    <w:tmpl w:val="454A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BE595F"/>
    <w:multiLevelType w:val="hybridMultilevel"/>
    <w:tmpl w:val="958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D83CA4"/>
    <w:multiLevelType w:val="hybridMultilevel"/>
    <w:tmpl w:val="36A6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A05F9"/>
    <w:multiLevelType w:val="hybridMultilevel"/>
    <w:tmpl w:val="C7E6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7F538E"/>
    <w:multiLevelType w:val="hybridMultilevel"/>
    <w:tmpl w:val="6F22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2424FA"/>
    <w:multiLevelType w:val="hybridMultilevel"/>
    <w:tmpl w:val="76E6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B1B2C"/>
    <w:multiLevelType w:val="hybridMultilevel"/>
    <w:tmpl w:val="45FAF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DFF7CF5"/>
    <w:multiLevelType w:val="hybridMultilevel"/>
    <w:tmpl w:val="444CA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0244B4C"/>
    <w:multiLevelType w:val="hybridMultilevel"/>
    <w:tmpl w:val="D4D23B68"/>
    <w:lvl w:ilvl="0" w:tplc="6420807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57656AA"/>
    <w:multiLevelType w:val="hybridMultilevel"/>
    <w:tmpl w:val="74147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EF350AC"/>
    <w:multiLevelType w:val="hybridMultilevel"/>
    <w:tmpl w:val="565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533FAC"/>
    <w:multiLevelType w:val="hybridMultilevel"/>
    <w:tmpl w:val="ECE0D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8153FE1"/>
    <w:multiLevelType w:val="hybridMultilevel"/>
    <w:tmpl w:val="9C5A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403DEE"/>
    <w:multiLevelType w:val="hybridMultilevel"/>
    <w:tmpl w:val="34867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E690C7A"/>
    <w:multiLevelType w:val="hybridMultilevel"/>
    <w:tmpl w:val="C4C69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095DF0"/>
    <w:multiLevelType w:val="hybridMultilevel"/>
    <w:tmpl w:val="FABEF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15"/>
  </w:num>
  <w:num w:numId="3">
    <w:abstractNumId w:val="7"/>
  </w:num>
  <w:num w:numId="4">
    <w:abstractNumId w:val="24"/>
  </w:num>
  <w:num w:numId="5">
    <w:abstractNumId w:val="6"/>
  </w:num>
  <w:num w:numId="6">
    <w:abstractNumId w:val="16"/>
  </w:num>
  <w:num w:numId="7">
    <w:abstractNumId w:val="5"/>
  </w:num>
  <w:num w:numId="8">
    <w:abstractNumId w:val="1"/>
  </w:num>
  <w:num w:numId="9">
    <w:abstractNumId w:val="13"/>
  </w:num>
  <w:num w:numId="10">
    <w:abstractNumId w:val="14"/>
  </w:num>
  <w:num w:numId="11">
    <w:abstractNumId w:val="2"/>
  </w:num>
  <w:num w:numId="12">
    <w:abstractNumId w:val="17"/>
  </w:num>
  <w:num w:numId="13">
    <w:abstractNumId w:val="23"/>
  </w:num>
  <w:num w:numId="14">
    <w:abstractNumId w:val="10"/>
  </w:num>
  <w:num w:numId="15">
    <w:abstractNumId w:val="18"/>
  </w:num>
  <w:num w:numId="16">
    <w:abstractNumId w:val="25"/>
  </w:num>
  <w:num w:numId="17">
    <w:abstractNumId w:val="19"/>
  </w:num>
  <w:num w:numId="18">
    <w:abstractNumId w:val="20"/>
  </w:num>
  <w:num w:numId="19">
    <w:abstractNumId w:val="21"/>
  </w:num>
  <w:num w:numId="20">
    <w:abstractNumId w:val="8"/>
  </w:num>
  <w:num w:numId="21">
    <w:abstractNumId w:val="0"/>
  </w:num>
  <w:num w:numId="22">
    <w:abstractNumId w:val="27"/>
  </w:num>
  <w:num w:numId="23">
    <w:abstractNumId w:val="4"/>
  </w:num>
  <w:num w:numId="24">
    <w:abstractNumId w:val="9"/>
  </w:num>
  <w:num w:numId="25">
    <w:abstractNumId w:val="12"/>
  </w:num>
  <w:num w:numId="26">
    <w:abstractNumId w:val="11"/>
  </w:num>
  <w:num w:numId="27">
    <w:abstractNumId w:val="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axpved82wrr6e522tvtszh9vrr9w2w05xa&quot;&gt;Religion&lt;record-ids&gt;&lt;item&gt;165&lt;/item&gt;&lt;item&gt;429&lt;/item&gt;&lt;/record-ids&gt;&lt;/item&gt;&lt;/Libraries&gt;"/>
  </w:docVars>
  <w:rsids>
    <w:rsidRoot w:val="00401DB7"/>
    <w:rsid w:val="00000121"/>
    <w:rsid w:val="000007F3"/>
    <w:rsid w:val="000024D1"/>
    <w:rsid w:val="00003AA7"/>
    <w:rsid w:val="00003E32"/>
    <w:rsid w:val="00005452"/>
    <w:rsid w:val="00005C93"/>
    <w:rsid w:val="00005E30"/>
    <w:rsid w:val="00006B84"/>
    <w:rsid w:val="00006BC6"/>
    <w:rsid w:val="000104FD"/>
    <w:rsid w:val="0001071C"/>
    <w:rsid w:val="00010E86"/>
    <w:rsid w:val="000114F9"/>
    <w:rsid w:val="000115D6"/>
    <w:rsid w:val="000115E0"/>
    <w:rsid w:val="0001161E"/>
    <w:rsid w:val="00012062"/>
    <w:rsid w:val="000126EB"/>
    <w:rsid w:val="00012A1D"/>
    <w:rsid w:val="00012B59"/>
    <w:rsid w:val="00014783"/>
    <w:rsid w:val="00014B79"/>
    <w:rsid w:val="00014CD3"/>
    <w:rsid w:val="00014EA1"/>
    <w:rsid w:val="00015442"/>
    <w:rsid w:val="000155A9"/>
    <w:rsid w:val="00016934"/>
    <w:rsid w:val="0001701D"/>
    <w:rsid w:val="00017588"/>
    <w:rsid w:val="000179F7"/>
    <w:rsid w:val="00020BF2"/>
    <w:rsid w:val="00021485"/>
    <w:rsid w:val="0002156C"/>
    <w:rsid w:val="00022B2D"/>
    <w:rsid w:val="00022ECC"/>
    <w:rsid w:val="000234C6"/>
    <w:rsid w:val="00023787"/>
    <w:rsid w:val="0002378C"/>
    <w:rsid w:val="000237DA"/>
    <w:rsid w:val="000255F0"/>
    <w:rsid w:val="00025C8A"/>
    <w:rsid w:val="000310A3"/>
    <w:rsid w:val="00031A25"/>
    <w:rsid w:val="00031BA9"/>
    <w:rsid w:val="00032565"/>
    <w:rsid w:val="00032F49"/>
    <w:rsid w:val="00032FCD"/>
    <w:rsid w:val="000334F9"/>
    <w:rsid w:val="00034BB2"/>
    <w:rsid w:val="000350A1"/>
    <w:rsid w:val="00035890"/>
    <w:rsid w:val="00036E79"/>
    <w:rsid w:val="000379B5"/>
    <w:rsid w:val="000402DE"/>
    <w:rsid w:val="00040E9C"/>
    <w:rsid w:val="000416E8"/>
    <w:rsid w:val="00041B45"/>
    <w:rsid w:val="00043261"/>
    <w:rsid w:val="00043AC9"/>
    <w:rsid w:val="0004414E"/>
    <w:rsid w:val="000451E4"/>
    <w:rsid w:val="0004562C"/>
    <w:rsid w:val="00045D98"/>
    <w:rsid w:val="00046235"/>
    <w:rsid w:val="000463B8"/>
    <w:rsid w:val="00050AA5"/>
    <w:rsid w:val="00050C1C"/>
    <w:rsid w:val="00050CED"/>
    <w:rsid w:val="00050D0B"/>
    <w:rsid w:val="00050DEF"/>
    <w:rsid w:val="000515CC"/>
    <w:rsid w:val="000518CF"/>
    <w:rsid w:val="00051990"/>
    <w:rsid w:val="000519C1"/>
    <w:rsid w:val="00051A97"/>
    <w:rsid w:val="00051E7E"/>
    <w:rsid w:val="00053012"/>
    <w:rsid w:val="00053D5B"/>
    <w:rsid w:val="000550B5"/>
    <w:rsid w:val="000554F2"/>
    <w:rsid w:val="00056054"/>
    <w:rsid w:val="00056520"/>
    <w:rsid w:val="000569E6"/>
    <w:rsid w:val="0006088E"/>
    <w:rsid w:val="000609D4"/>
    <w:rsid w:val="00060C34"/>
    <w:rsid w:val="00061C14"/>
    <w:rsid w:val="00061D44"/>
    <w:rsid w:val="000623EE"/>
    <w:rsid w:val="000626BA"/>
    <w:rsid w:val="00062BC6"/>
    <w:rsid w:val="00062E03"/>
    <w:rsid w:val="00063CE8"/>
    <w:rsid w:val="0006400B"/>
    <w:rsid w:val="000640C2"/>
    <w:rsid w:val="00064FB0"/>
    <w:rsid w:val="000655E0"/>
    <w:rsid w:val="00065A61"/>
    <w:rsid w:val="00065F2F"/>
    <w:rsid w:val="00066CBA"/>
    <w:rsid w:val="00067DDD"/>
    <w:rsid w:val="00071F90"/>
    <w:rsid w:val="00072489"/>
    <w:rsid w:val="00073FD2"/>
    <w:rsid w:val="000742A3"/>
    <w:rsid w:val="00074A56"/>
    <w:rsid w:val="00074CCD"/>
    <w:rsid w:val="0007592D"/>
    <w:rsid w:val="00075940"/>
    <w:rsid w:val="000778DC"/>
    <w:rsid w:val="0007799A"/>
    <w:rsid w:val="00077A68"/>
    <w:rsid w:val="000805A3"/>
    <w:rsid w:val="00080962"/>
    <w:rsid w:val="00080994"/>
    <w:rsid w:val="00081184"/>
    <w:rsid w:val="000814CA"/>
    <w:rsid w:val="00081A06"/>
    <w:rsid w:val="00081B14"/>
    <w:rsid w:val="00082939"/>
    <w:rsid w:val="00083A85"/>
    <w:rsid w:val="00083BB6"/>
    <w:rsid w:val="0008475B"/>
    <w:rsid w:val="000848BC"/>
    <w:rsid w:val="00085171"/>
    <w:rsid w:val="00085B9C"/>
    <w:rsid w:val="00085C29"/>
    <w:rsid w:val="00085CB1"/>
    <w:rsid w:val="00086984"/>
    <w:rsid w:val="000900B1"/>
    <w:rsid w:val="0009051F"/>
    <w:rsid w:val="00091074"/>
    <w:rsid w:val="0009190B"/>
    <w:rsid w:val="00091B91"/>
    <w:rsid w:val="00092874"/>
    <w:rsid w:val="00092CC8"/>
    <w:rsid w:val="000930D7"/>
    <w:rsid w:val="00093E44"/>
    <w:rsid w:val="00094195"/>
    <w:rsid w:val="000941EA"/>
    <w:rsid w:val="000957BD"/>
    <w:rsid w:val="00095908"/>
    <w:rsid w:val="000959AD"/>
    <w:rsid w:val="00095CAB"/>
    <w:rsid w:val="0009601E"/>
    <w:rsid w:val="000963C4"/>
    <w:rsid w:val="00096540"/>
    <w:rsid w:val="000967D6"/>
    <w:rsid w:val="000971CF"/>
    <w:rsid w:val="000976BA"/>
    <w:rsid w:val="00097E9E"/>
    <w:rsid w:val="000A027C"/>
    <w:rsid w:val="000A09DC"/>
    <w:rsid w:val="000A0EAA"/>
    <w:rsid w:val="000A1204"/>
    <w:rsid w:val="000A25DA"/>
    <w:rsid w:val="000A2EBF"/>
    <w:rsid w:val="000A4F0F"/>
    <w:rsid w:val="000A5A55"/>
    <w:rsid w:val="000A5AE0"/>
    <w:rsid w:val="000A60C1"/>
    <w:rsid w:val="000A6394"/>
    <w:rsid w:val="000A63DE"/>
    <w:rsid w:val="000A64C3"/>
    <w:rsid w:val="000A6648"/>
    <w:rsid w:val="000A689A"/>
    <w:rsid w:val="000A6C8B"/>
    <w:rsid w:val="000A6DD9"/>
    <w:rsid w:val="000B0194"/>
    <w:rsid w:val="000B114E"/>
    <w:rsid w:val="000B356D"/>
    <w:rsid w:val="000B35BD"/>
    <w:rsid w:val="000B4905"/>
    <w:rsid w:val="000B49B7"/>
    <w:rsid w:val="000B51D7"/>
    <w:rsid w:val="000B5EF2"/>
    <w:rsid w:val="000B639A"/>
    <w:rsid w:val="000B6508"/>
    <w:rsid w:val="000B6DFF"/>
    <w:rsid w:val="000B7451"/>
    <w:rsid w:val="000B74B1"/>
    <w:rsid w:val="000C0758"/>
    <w:rsid w:val="000C1C3F"/>
    <w:rsid w:val="000C1F41"/>
    <w:rsid w:val="000C2AA8"/>
    <w:rsid w:val="000C2CED"/>
    <w:rsid w:val="000C3A93"/>
    <w:rsid w:val="000C4FFF"/>
    <w:rsid w:val="000C5116"/>
    <w:rsid w:val="000C63D9"/>
    <w:rsid w:val="000C685F"/>
    <w:rsid w:val="000C6DF1"/>
    <w:rsid w:val="000C701E"/>
    <w:rsid w:val="000D0473"/>
    <w:rsid w:val="000D051A"/>
    <w:rsid w:val="000D11D3"/>
    <w:rsid w:val="000D11F9"/>
    <w:rsid w:val="000D2694"/>
    <w:rsid w:val="000D2B5B"/>
    <w:rsid w:val="000D2C4F"/>
    <w:rsid w:val="000D2CF6"/>
    <w:rsid w:val="000D30E8"/>
    <w:rsid w:val="000D3573"/>
    <w:rsid w:val="000D3894"/>
    <w:rsid w:val="000D439B"/>
    <w:rsid w:val="000D7BA6"/>
    <w:rsid w:val="000D7CF9"/>
    <w:rsid w:val="000E0049"/>
    <w:rsid w:val="000E00EE"/>
    <w:rsid w:val="000E0140"/>
    <w:rsid w:val="000E04E2"/>
    <w:rsid w:val="000E08C8"/>
    <w:rsid w:val="000E12FF"/>
    <w:rsid w:val="000E1397"/>
    <w:rsid w:val="000E1B25"/>
    <w:rsid w:val="000E1B46"/>
    <w:rsid w:val="000E2A82"/>
    <w:rsid w:val="000E2D3F"/>
    <w:rsid w:val="000E3179"/>
    <w:rsid w:val="000E37F9"/>
    <w:rsid w:val="000E39B3"/>
    <w:rsid w:val="000E3D2B"/>
    <w:rsid w:val="000E43F9"/>
    <w:rsid w:val="000E5897"/>
    <w:rsid w:val="000E5977"/>
    <w:rsid w:val="000E6025"/>
    <w:rsid w:val="000E6FA5"/>
    <w:rsid w:val="000E7199"/>
    <w:rsid w:val="000E7761"/>
    <w:rsid w:val="000E783A"/>
    <w:rsid w:val="000E7C48"/>
    <w:rsid w:val="000F02D2"/>
    <w:rsid w:val="000F1D32"/>
    <w:rsid w:val="000F225B"/>
    <w:rsid w:val="000F2280"/>
    <w:rsid w:val="000F22E0"/>
    <w:rsid w:val="000F2CF5"/>
    <w:rsid w:val="000F35F9"/>
    <w:rsid w:val="000F3604"/>
    <w:rsid w:val="000F3B31"/>
    <w:rsid w:val="000F4E8C"/>
    <w:rsid w:val="000F60E5"/>
    <w:rsid w:val="000F68C8"/>
    <w:rsid w:val="000F69BE"/>
    <w:rsid w:val="000F73ED"/>
    <w:rsid w:val="000F74DE"/>
    <w:rsid w:val="000F7811"/>
    <w:rsid w:val="000F7D6C"/>
    <w:rsid w:val="00100150"/>
    <w:rsid w:val="001009BD"/>
    <w:rsid w:val="00100DBE"/>
    <w:rsid w:val="001010BE"/>
    <w:rsid w:val="00102068"/>
    <w:rsid w:val="001027AC"/>
    <w:rsid w:val="00103BDD"/>
    <w:rsid w:val="00104999"/>
    <w:rsid w:val="00105F56"/>
    <w:rsid w:val="00106126"/>
    <w:rsid w:val="001063DE"/>
    <w:rsid w:val="00106CC6"/>
    <w:rsid w:val="00110041"/>
    <w:rsid w:val="00110B54"/>
    <w:rsid w:val="001110BA"/>
    <w:rsid w:val="00111485"/>
    <w:rsid w:val="00111757"/>
    <w:rsid w:val="0011183C"/>
    <w:rsid w:val="001118BC"/>
    <w:rsid w:val="001129FD"/>
    <w:rsid w:val="00112C51"/>
    <w:rsid w:val="00113288"/>
    <w:rsid w:val="0011561D"/>
    <w:rsid w:val="00115DAA"/>
    <w:rsid w:val="0011617F"/>
    <w:rsid w:val="00116AC2"/>
    <w:rsid w:val="00116C39"/>
    <w:rsid w:val="00121BE2"/>
    <w:rsid w:val="00122ACC"/>
    <w:rsid w:val="001240BC"/>
    <w:rsid w:val="0012459F"/>
    <w:rsid w:val="00124895"/>
    <w:rsid w:val="001248C7"/>
    <w:rsid w:val="00124B4A"/>
    <w:rsid w:val="00124C06"/>
    <w:rsid w:val="00126E2F"/>
    <w:rsid w:val="0012706B"/>
    <w:rsid w:val="00127121"/>
    <w:rsid w:val="001273D3"/>
    <w:rsid w:val="00127C9A"/>
    <w:rsid w:val="00127D30"/>
    <w:rsid w:val="00127F60"/>
    <w:rsid w:val="00130B73"/>
    <w:rsid w:val="00130DF8"/>
    <w:rsid w:val="00130F05"/>
    <w:rsid w:val="0013252C"/>
    <w:rsid w:val="001329FC"/>
    <w:rsid w:val="00132F93"/>
    <w:rsid w:val="0013334F"/>
    <w:rsid w:val="00133F01"/>
    <w:rsid w:val="001353E0"/>
    <w:rsid w:val="001357B0"/>
    <w:rsid w:val="00135A83"/>
    <w:rsid w:val="00135FF0"/>
    <w:rsid w:val="00136706"/>
    <w:rsid w:val="00136D04"/>
    <w:rsid w:val="00136E01"/>
    <w:rsid w:val="001376A9"/>
    <w:rsid w:val="00137A99"/>
    <w:rsid w:val="00140453"/>
    <w:rsid w:val="00140A3E"/>
    <w:rsid w:val="00141AD8"/>
    <w:rsid w:val="00142513"/>
    <w:rsid w:val="00142653"/>
    <w:rsid w:val="00143660"/>
    <w:rsid w:val="00143DD7"/>
    <w:rsid w:val="001441AB"/>
    <w:rsid w:val="00144C20"/>
    <w:rsid w:val="00144F07"/>
    <w:rsid w:val="00145D1E"/>
    <w:rsid w:val="00145F9C"/>
    <w:rsid w:val="00146B39"/>
    <w:rsid w:val="00147378"/>
    <w:rsid w:val="0014746E"/>
    <w:rsid w:val="00151677"/>
    <w:rsid w:val="00152438"/>
    <w:rsid w:val="00152A80"/>
    <w:rsid w:val="0015431F"/>
    <w:rsid w:val="0015470B"/>
    <w:rsid w:val="00154821"/>
    <w:rsid w:val="00154C3C"/>
    <w:rsid w:val="00154E5A"/>
    <w:rsid w:val="00155678"/>
    <w:rsid w:val="00156A9D"/>
    <w:rsid w:val="00157273"/>
    <w:rsid w:val="00160A88"/>
    <w:rsid w:val="00160BFD"/>
    <w:rsid w:val="00162155"/>
    <w:rsid w:val="00162232"/>
    <w:rsid w:val="00162413"/>
    <w:rsid w:val="00162C5D"/>
    <w:rsid w:val="00163348"/>
    <w:rsid w:val="001638D7"/>
    <w:rsid w:val="00163BA2"/>
    <w:rsid w:val="001650F5"/>
    <w:rsid w:val="00165639"/>
    <w:rsid w:val="001658DE"/>
    <w:rsid w:val="00166700"/>
    <w:rsid w:val="001669C8"/>
    <w:rsid w:val="001670AD"/>
    <w:rsid w:val="001674F0"/>
    <w:rsid w:val="00167ABA"/>
    <w:rsid w:val="00167FCE"/>
    <w:rsid w:val="00170C3D"/>
    <w:rsid w:val="001717DC"/>
    <w:rsid w:val="00171FC0"/>
    <w:rsid w:val="0017290A"/>
    <w:rsid w:val="00173240"/>
    <w:rsid w:val="001761FA"/>
    <w:rsid w:val="001762AA"/>
    <w:rsid w:val="001766DF"/>
    <w:rsid w:val="00176A41"/>
    <w:rsid w:val="00176E62"/>
    <w:rsid w:val="0017764B"/>
    <w:rsid w:val="00177A1C"/>
    <w:rsid w:val="00180F14"/>
    <w:rsid w:val="0018168B"/>
    <w:rsid w:val="001828C6"/>
    <w:rsid w:val="0018333A"/>
    <w:rsid w:val="0018339E"/>
    <w:rsid w:val="00183711"/>
    <w:rsid w:val="00184E22"/>
    <w:rsid w:val="0018541D"/>
    <w:rsid w:val="00185CAA"/>
    <w:rsid w:val="00185EF6"/>
    <w:rsid w:val="00186913"/>
    <w:rsid w:val="00186A9C"/>
    <w:rsid w:val="001877C5"/>
    <w:rsid w:val="00190200"/>
    <w:rsid w:val="0019027B"/>
    <w:rsid w:val="0019140B"/>
    <w:rsid w:val="00191B4D"/>
    <w:rsid w:val="00191CF0"/>
    <w:rsid w:val="001922C1"/>
    <w:rsid w:val="00194869"/>
    <w:rsid w:val="00194D58"/>
    <w:rsid w:val="00194DD8"/>
    <w:rsid w:val="00195C40"/>
    <w:rsid w:val="00196ABB"/>
    <w:rsid w:val="001A0108"/>
    <w:rsid w:val="001A01D6"/>
    <w:rsid w:val="001A0208"/>
    <w:rsid w:val="001A23B7"/>
    <w:rsid w:val="001A30BC"/>
    <w:rsid w:val="001A315C"/>
    <w:rsid w:val="001A3A21"/>
    <w:rsid w:val="001A42A8"/>
    <w:rsid w:val="001A524A"/>
    <w:rsid w:val="001A54C3"/>
    <w:rsid w:val="001A55BA"/>
    <w:rsid w:val="001A6886"/>
    <w:rsid w:val="001A7E13"/>
    <w:rsid w:val="001A7FFB"/>
    <w:rsid w:val="001B048F"/>
    <w:rsid w:val="001B05F0"/>
    <w:rsid w:val="001B32BF"/>
    <w:rsid w:val="001B572D"/>
    <w:rsid w:val="001B68F3"/>
    <w:rsid w:val="001B6BED"/>
    <w:rsid w:val="001B7B7B"/>
    <w:rsid w:val="001C0387"/>
    <w:rsid w:val="001C04B1"/>
    <w:rsid w:val="001C06EC"/>
    <w:rsid w:val="001C205F"/>
    <w:rsid w:val="001C21C8"/>
    <w:rsid w:val="001C2314"/>
    <w:rsid w:val="001C2BF7"/>
    <w:rsid w:val="001C2DC6"/>
    <w:rsid w:val="001C3BB0"/>
    <w:rsid w:val="001C5F54"/>
    <w:rsid w:val="001C61A5"/>
    <w:rsid w:val="001C6851"/>
    <w:rsid w:val="001C6999"/>
    <w:rsid w:val="001C70CB"/>
    <w:rsid w:val="001C7547"/>
    <w:rsid w:val="001C767D"/>
    <w:rsid w:val="001D021C"/>
    <w:rsid w:val="001D03F9"/>
    <w:rsid w:val="001D1A4D"/>
    <w:rsid w:val="001D1ED1"/>
    <w:rsid w:val="001D297B"/>
    <w:rsid w:val="001D39A5"/>
    <w:rsid w:val="001D4A43"/>
    <w:rsid w:val="001D51D6"/>
    <w:rsid w:val="001D526A"/>
    <w:rsid w:val="001D5316"/>
    <w:rsid w:val="001D5533"/>
    <w:rsid w:val="001D55B8"/>
    <w:rsid w:val="001D581E"/>
    <w:rsid w:val="001D5A37"/>
    <w:rsid w:val="001D5B43"/>
    <w:rsid w:val="001D5C88"/>
    <w:rsid w:val="001D5EA9"/>
    <w:rsid w:val="001D6252"/>
    <w:rsid w:val="001D6BC2"/>
    <w:rsid w:val="001D784D"/>
    <w:rsid w:val="001D7F7A"/>
    <w:rsid w:val="001E04D4"/>
    <w:rsid w:val="001E0ACF"/>
    <w:rsid w:val="001E21EF"/>
    <w:rsid w:val="001E2AFA"/>
    <w:rsid w:val="001E2D7B"/>
    <w:rsid w:val="001E2EA9"/>
    <w:rsid w:val="001E5D6D"/>
    <w:rsid w:val="001E685D"/>
    <w:rsid w:val="001E6ABD"/>
    <w:rsid w:val="001E6F34"/>
    <w:rsid w:val="001E71E9"/>
    <w:rsid w:val="001E7EFC"/>
    <w:rsid w:val="001F0090"/>
    <w:rsid w:val="001F0AC8"/>
    <w:rsid w:val="001F0D79"/>
    <w:rsid w:val="001F0D8B"/>
    <w:rsid w:val="001F1164"/>
    <w:rsid w:val="001F14FE"/>
    <w:rsid w:val="001F1514"/>
    <w:rsid w:val="001F1675"/>
    <w:rsid w:val="001F1971"/>
    <w:rsid w:val="001F1B16"/>
    <w:rsid w:val="001F1F5F"/>
    <w:rsid w:val="001F3FDE"/>
    <w:rsid w:val="001F4224"/>
    <w:rsid w:val="001F47A2"/>
    <w:rsid w:val="001F4BF9"/>
    <w:rsid w:val="001F4E3B"/>
    <w:rsid w:val="001F5142"/>
    <w:rsid w:val="001F56B5"/>
    <w:rsid w:val="001F5B68"/>
    <w:rsid w:val="001F6D0C"/>
    <w:rsid w:val="001F6FCC"/>
    <w:rsid w:val="001F6FE7"/>
    <w:rsid w:val="001F7B11"/>
    <w:rsid w:val="00200AB3"/>
    <w:rsid w:val="00200EF7"/>
    <w:rsid w:val="0020168D"/>
    <w:rsid w:val="002018C1"/>
    <w:rsid w:val="00201BD1"/>
    <w:rsid w:val="00201E4B"/>
    <w:rsid w:val="00201F14"/>
    <w:rsid w:val="00202146"/>
    <w:rsid w:val="002022CC"/>
    <w:rsid w:val="0020374D"/>
    <w:rsid w:val="00203DDD"/>
    <w:rsid w:val="002045A2"/>
    <w:rsid w:val="00204617"/>
    <w:rsid w:val="00204E1A"/>
    <w:rsid w:val="00205236"/>
    <w:rsid w:val="00205449"/>
    <w:rsid w:val="00205F2B"/>
    <w:rsid w:val="00206213"/>
    <w:rsid w:val="00206333"/>
    <w:rsid w:val="00206369"/>
    <w:rsid w:val="0020636E"/>
    <w:rsid w:val="002065B4"/>
    <w:rsid w:val="002072C6"/>
    <w:rsid w:val="00207AD6"/>
    <w:rsid w:val="00210E34"/>
    <w:rsid w:val="00212A79"/>
    <w:rsid w:val="00212F88"/>
    <w:rsid w:val="002144F7"/>
    <w:rsid w:val="00214D1C"/>
    <w:rsid w:val="00215C50"/>
    <w:rsid w:val="00216E11"/>
    <w:rsid w:val="00217654"/>
    <w:rsid w:val="00217CDE"/>
    <w:rsid w:val="002202CD"/>
    <w:rsid w:val="00220B06"/>
    <w:rsid w:val="002211AD"/>
    <w:rsid w:val="00221917"/>
    <w:rsid w:val="002219E6"/>
    <w:rsid w:val="00222CA0"/>
    <w:rsid w:val="00222D02"/>
    <w:rsid w:val="0022320C"/>
    <w:rsid w:val="002234C8"/>
    <w:rsid w:val="002239EA"/>
    <w:rsid w:val="00223E7E"/>
    <w:rsid w:val="002243BF"/>
    <w:rsid w:val="00224B39"/>
    <w:rsid w:val="00224F09"/>
    <w:rsid w:val="0022529E"/>
    <w:rsid w:val="0022620D"/>
    <w:rsid w:val="00226B4E"/>
    <w:rsid w:val="00226F25"/>
    <w:rsid w:val="00230403"/>
    <w:rsid w:val="002306D9"/>
    <w:rsid w:val="00230A32"/>
    <w:rsid w:val="0023120B"/>
    <w:rsid w:val="002316D0"/>
    <w:rsid w:val="0023195F"/>
    <w:rsid w:val="0023209A"/>
    <w:rsid w:val="0023342A"/>
    <w:rsid w:val="00234EEC"/>
    <w:rsid w:val="00234FC1"/>
    <w:rsid w:val="00235E70"/>
    <w:rsid w:val="002364C8"/>
    <w:rsid w:val="00237A30"/>
    <w:rsid w:val="00240ED7"/>
    <w:rsid w:val="0024181A"/>
    <w:rsid w:val="002421CA"/>
    <w:rsid w:val="00242393"/>
    <w:rsid w:val="0024270C"/>
    <w:rsid w:val="00242B26"/>
    <w:rsid w:val="00243DBA"/>
    <w:rsid w:val="00243F8F"/>
    <w:rsid w:val="0024474C"/>
    <w:rsid w:val="002448CA"/>
    <w:rsid w:val="00245B8E"/>
    <w:rsid w:val="002468EB"/>
    <w:rsid w:val="00247A23"/>
    <w:rsid w:val="00251999"/>
    <w:rsid w:val="002540A9"/>
    <w:rsid w:val="002541E5"/>
    <w:rsid w:val="002545CC"/>
    <w:rsid w:val="00254C14"/>
    <w:rsid w:val="00254CD0"/>
    <w:rsid w:val="00255A43"/>
    <w:rsid w:val="00255C8C"/>
    <w:rsid w:val="00257156"/>
    <w:rsid w:val="002577BE"/>
    <w:rsid w:val="00257FBF"/>
    <w:rsid w:val="002600D2"/>
    <w:rsid w:val="002615F2"/>
    <w:rsid w:val="00263553"/>
    <w:rsid w:val="00263E91"/>
    <w:rsid w:val="00264F24"/>
    <w:rsid w:val="002651B4"/>
    <w:rsid w:val="00265C7E"/>
    <w:rsid w:val="00267095"/>
    <w:rsid w:val="0026721B"/>
    <w:rsid w:val="0026786B"/>
    <w:rsid w:val="002679E4"/>
    <w:rsid w:val="002700E9"/>
    <w:rsid w:val="00271D48"/>
    <w:rsid w:val="00271DC4"/>
    <w:rsid w:val="00272147"/>
    <w:rsid w:val="00272467"/>
    <w:rsid w:val="00272A80"/>
    <w:rsid w:val="002732A8"/>
    <w:rsid w:val="0027386B"/>
    <w:rsid w:val="0027420A"/>
    <w:rsid w:val="002748B1"/>
    <w:rsid w:val="00274B60"/>
    <w:rsid w:val="00274D5F"/>
    <w:rsid w:val="0027641D"/>
    <w:rsid w:val="002765E3"/>
    <w:rsid w:val="00276848"/>
    <w:rsid w:val="00277CD0"/>
    <w:rsid w:val="002808A8"/>
    <w:rsid w:val="00281625"/>
    <w:rsid w:val="002817FF"/>
    <w:rsid w:val="00281D35"/>
    <w:rsid w:val="00281FD2"/>
    <w:rsid w:val="0028204E"/>
    <w:rsid w:val="002831B2"/>
    <w:rsid w:val="00283E9A"/>
    <w:rsid w:val="002849CF"/>
    <w:rsid w:val="00284C28"/>
    <w:rsid w:val="00284E82"/>
    <w:rsid w:val="0028502B"/>
    <w:rsid w:val="00285495"/>
    <w:rsid w:val="00285768"/>
    <w:rsid w:val="0028584A"/>
    <w:rsid w:val="00285D6F"/>
    <w:rsid w:val="00285E81"/>
    <w:rsid w:val="00286E9C"/>
    <w:rsid w:val="00286EE2"/>
    <w:rsid w:val="0028717D"/>
    <w:rsid w:val="00287974"/>
    <w:rsid w:val="00287CEE"/>
    <w:rsid w:val="00290B4C"/>
    <w:rsid w:val="0029228B"/>
    <w:rsid w:val="00292E87"/>
    <w:rsid w:val="00293572"/>
    <w:rsid w:val="00293672"/>
    <w:rsid w:val="00294BF0"/>
    <w:rsid w:val="00295656"/>
    <w:rsid w:val="00296218"/>
    <w:rsid w:val="00296D29"/>
    <w:rsid w:val="002976E2"/>
    <w:rsid w:val="00297A7D"/>
    <w:rsid w:val="002A0437"/>
    <w:rsid w:val="002A0462"/>
    <w:rsid w:val="002A0C94"/>
    <w:rsid w:val="002A287D"/>
    <w:rsid w:val="002A28A1"/>
    <w:rsid w:val="002A2C73"/>
    <w:rsid w:val="002A48A1"/>
    <w:rsid w:val="002A5B3E"/>
    <w:rsid w:val="002A645B"/>
    <w:rsid w:val="002A6B59"/>
    <w:rsid w:val="002A6F92"/>
    <w:rsid w:val="002A72A2"/>
    <w:rsid w:val="002A7362"/>
    <w:rsid w:val="002B052C"/>
    <w:rsid w:val="002B064D"/>
    <w:rsid w:val="002B0AD2"/>
    <w:rsid w:val="002B1420"/>
    <w:rsid w:val="002B14E6"/>
    <w:rsid w:val="002B1F6A"/>
    <w:rsid w:val="002B25C2"/>
    <w:rsid w:val="002B25EA"/>
    <w:rsid w:val="002B3132"/>
    <w:rsid w:val="002B4F3F"/>
    <w:rsid w:val="002B4F4F"/>
    <w:rsid w:val="002B6BE4"/>
    <w:rsid w:val="002B7042"/>
    <w:rsid w:val="002B7C42"/>
    <w:rsid w:val="002B7DCB"/>
    <w:rsid w:val="002C0040"/>
    <w:rsid w:val="002C00E8"/>
    <w:rsid w:val="002C01FE"/>
    <w:rsid w:val="002C0717"/>
    <w:rsid w:val="002C0812"/>
    <w:rsid w:val="002C08A7"/>
    <w:rsid w:val="002C1551"/>
    <w:rsid w:val="002C180E"/>
    <w:rsid w:val="002C1826"/>
    <w:rsid w:val="002C203C"/>
    <w:rsid w:val="002C2753"/>
    <w:rsid w:val="002C2B1A"/>
    <w:rsid w:val="002C3268"/>
    <w:rsid w:val="002C3AE3"/>
    <w:rsid w:val="002C4781"/>
    <w:rsid w:val="002C4B92"/>
    <w:rsid w:val="002C4E2A"/>
    <w:rsid w:val="002C5034"/>
    <w:rsid w:val="002C5A44"/>
    <w:rsid w:val="002C5A7A"/>
    <w:rsid w:val="002C5BE5"/>
    <w:rsid w:val="002C6C29"/>
    <w:rsid w:val="002C73C3"/>
    <w:rsid w:val="002C7C34"/>
    <w:rsid w:val="002D0323"/>
    <w:rsid w:val="002D17CE"/>
    <w:rsid w:val="002D1887"/>
    <w:rsid w:val="002D21B2"/>
    <w:rsid w:val="002D2D74"/>
    <w:rsid w:val="002D31C0"/>
    <w:rsid w:val="002D3958"/>
    <w:rsid w:val="002D3D2E"/>
    <w:rsid w:val="002D3D71"/>
    <w:rsid w:val="002D3DF0"/>
    <w:rsid w:val="002D49F0"/>
    <w:rsid w:val="002D52FF"/>
    <w:rsid w:val="002D5EFB"/>
    <w:rsid w:val="002D6306"/>
    <w:rsid w:val="002D6338"/>
    <w:rsid w:val="002D65DD"/>
    <w:rsid w:val="002D65E3"/>
    <w:rsid w:val="002D68B4"/>
    <w:rsid w:val="002D6961"/>
    <w:rsid w:val="002D716C"/>
    <w:rsid w:val="002D7AF1"/>
    <w:rsid w:val="002E032A"/>
    <w:rsid w:val="002E09BC"/>
    <w:rsid w:val="002E09C7"/>
    <w:rsid w:val="002E1C20"/>
    <w:rsid w:val="002E2CAC"/>
    <w:rsid w:val="002E3235"/>
    <w:rsid w:val="002E4467"/>
    <w:rsid w:val="002E59D3"/>
    <w:rsid w:val="002E5EE9"/>
    <w:rsid w:val="002E717C"/>
    <w:rsid w:val="002E7569"/>
    <w:rsid w:val="002F03F6"/>
    <w:rsid w:val="002F1921"/>
    <w:rsid w:val="002F2EB8"/>
    <w:rsid w:val="002F32F2"/>
    <w:rsid w:val="002F388F"/>
    <w:rsid w:val="002F3C9C"/>
    <w:rsid w:val="002F45B8"/>
    <w:rsid w:val="002F4FC5"/>
    <w:rsid w:val="002F5209"/>
    <w:rsid w:val="002F5739"/>
    <w:rsid w:val="002F5815"/>
    <w:rsid w:val="002F5D2B"/>
    <w:rsid w:val="002F610F"/>
    <w:rsid w:val="002F6946"/>
    <w:rsid w:val="0030040E"/>
    <w:rsid w:val="003005D9"/>
    <w:rsid w:val="00300C61"/>
    <w:rsid w:val="0030179A"/>
    <w:rsid w:val="00301C01"/>
    <w:rsid w:val="0030218A"/>
    <w:rsid w:val="00302693"/>
    <w:rsid w:val="00303842"/>
    <w:rsid w:val="003044A8"/>
    <w:rsid w:val="003044EB"/>
    <w:rsid w:val="00304E7E"/>
    <w:rsid w:val="00305554"/>
    <w:rsid w:val="00305EFE"/>
    <w:rsid w:val="00305FFE"/>
    <w:rsid w:val="003060D8"/>
    <w:rsid w:val="00306577"/>
    <w:rsid w:val="00310BA3"/>
    <w:rsid w:val="00310E44"/>
    <w:rsid w:val="00311200"/>
    <w:rsid w:val="00311473"/>
    <w:rsid w:val="003123F9"/>
    <w:rsid w:val="00312AAE"/>
    <w:rsid w:val="00313BED"/>
    <w:rsid w:val="00313F6E"/>
    <w:rsid w:val="00314711"/>
    <w:rsid w:val="00315A99"/>
    <w:rsid w:val="00317182"/>
    <w:rsid w:val="00317997"/>
    <w:rsid w:val="00317BB5"/>
    <w:rsid w:val="00317E44"/>
    <w:rsid w:val="003218B2"/>
    <w:rsid w:val="00321950"/>
    <w:rsid w:val="003221F5"/>
    <w:rsid w:val="00322892"/>
    <w:rsid w:val="00322E91"/>
    <w:rsid w:val="0032343B"/>
    <w:rsid w:val="00323474"/>
    <w:rsid w:val="00323A7D"/>
    <w:rsid w:val="00323CF4"/>
    <w:rsid w:val="00324462"/>
    <w:rsid w:val="00325D7D"/>
    <w:rsid w:val="00326729"/>
    <w:rsid w:val="00326D21"/>
    <w:rsid w:val="0032778B"/>
    <w:rsid w:val="003278EC"/>
    <w:rsid w:val="003279B2"/>
    <w:rsid w:val="00327A91"/>
    <w:rsid w:val="00327D0E"/>
    <w:rsid w:val="00330107"/>
    <w:rsid w:val="00330327"/>
    <w:rsid w:val="00330A1B"/>
    <w:rsid w:val="00330BDE"/>
    <w:rsid w:val="0033138B"/>
    <w:rsid w:val="003314D0"/>
    <w:rsid w:val="003317F5"/>
    <w:rsid w:val="00331EC1"/>
    <w:rsid w:val="00331F42"/>
    <w:rsid w:val="003324C6"/>
    <w:rsid w:val="0033292C"/>
    <w:rsid w:val="00333B5E"/>
    <w:rsid w:val="00333CE1"/>
    <w:rsid w:val="0033418C"/>
    <w:rsid w:val="00334367"/>
    <w:rsid w:val="003348A5"/>
    <w:rsid w:val="00335678"/>
    <w:rsid w:val="0033576A"/>
    <w:rsid w:val="003357D9"/>
    <w:rsid w:val="00335FBC"/>
    <w:rsid w:val="00336032"/>
    <w:rsid w:val="0034010C"/>
    <w:rsid w:val="00341059"/>
    <w:rsid w:val="0034126F"/>
    <w:rsid w:val="00342421"/>
    <w:rsid w:val="00342D72"/>
    <w:rsid w:val="00344398"/>
    <w:rsid w:val="00344D64"/>
    <w:rsid w:val="00344E10"/>
    <w:rsid w:val="00344EE6"/>
    <w:rsid w:val="0034556A"/>
    <w:rsid w:val="0034735A"/>
    <w:rsid w:val="0034746A"/>
    <w:rsid w:val="0035086C"/>
    <w:rsid w:val="003508FE"/>
    <w:rsid w:val="00350EFA"/>
    <w:rsid w:val="00350F32"/>
    <w:rsid w:val="003519FB"/>
    <w:rsid w:val="00353A68"/>
    <w:rsid w:val="00354A8A"/>
    <w:rsid w:val="00356306"/>
    <w:rsid w:val="00356680"/>
    <w:rsid w:val="00357353"/>
    <w:rsid w:val="00357490"/>
    <w:rsid w:val="00357B4E"/>
    <w:rsid w:val="00357EEE"/>
    <w:rsid w:val="003609B4"/>
    <w:rsid w:val="00360B88"/>
    <w:rsid w:val="00360F74"/>
    <w:rsid w:val="003613CE"/>
    <w:rsid w:val="003613F1"/>
    <w:rsid w:val="00361DC6"/>
    <w:rsid w:val="00362582"/>
    <w:rsid w:val="003625FD"/>
    <w:rsid w:val="00363736"/>
    <w:rsid w:val="0036377F"/>
    <w:rsid w:val="00364154"/>
    <w:rsid w:val="00364A00"/>
    <w:rsid w:val="00364AB7"/>
    <w:rsid w:val="00364FD4"/>
    <w:rsid w:val="0036555C"/>
    <w:rsid w:val="003657B7"/>
    <w:rsid w:val="00365EA3"/>
    <w:rsid w:val="00366001"/>
    <w:rsid w:val="003669AB"/>
    <w:rsid w:val="00367495"/>
    <w:rsid w:val="00367A9B"/>
    <w:rsid w:val="00370127"/>
    <w:rsid w:val="00370221"/>
    <w:rsid w:val="00370C64"/>
    <w:rsid w:val="00372729"/>
    <w:rsid w:val="00372FB8"/>
    <w:rsid w:val="003735B1"/>
    <w:rsid w:val="00373B73"/>
    <w:rsid w:val="0037476D"/>
    <w:rsid w:val="00374FDA"/>
    <w:rsid w:val="00375742"/>
    <w:rsid w:val="003757E2"/>
    <w:rsid w:val="00375C07"/>
    <w:rsid w:val="0037633C"/>
    <w:rsid w:val="00377766"/>
    <w:rsid w:val="00377F3C"/>
    <w:rsid w:val="00380813"/>
    <w:rsid w:val="00380D78"/>
    <w:rsid w:val="00380D88"/>
    <w:rsid w:val="00380DA4"/>
    <w:rsid w:val="00380DF0"/>
    <w:rsid w:val="00382E71"/>
    <w:rsid w:val="003834EE"/>
    <w:rsid w:val="00383B42"/>
    <w:rsid w:val="003843AA"/>
    <w:rsid w:val="00384CD2"/>
    <w:rsid w:val="003857D4"/>
    <w:rsid w:val="00386418"/>
    <w:rsid w:val="003879D9"/>
    <w:rsid w:val="00387C9B"/>
    <w:rsid w:val="00390F43"/>
    <w:rsid w:val="0039169B"/>
    <w:rsid w:val="00392586"/>
    <w:rsid w:val="0039286C"/>
    <w:rsid w:val="003932C8"/>
    <w:rsid w:val="00393BD2"/>
    <w:rsid w:val="0039400B"/>
    <w:rsid w:val="0039478F"/>
    <w:rsid w:val="00394ACB"/>
    <w:rsid w:val="00394B6B"/>
    <w:rsid w:val="00395A72"/>
    <w:rsid w:val="00396166"/>
    <w:rsid w:val="00396324"/>
    <w:rsid w:val="00396A1A"/>
    <w:rsid w:val="00396DF8"/>
    <w:rsid w:val="00397A13"/>
    <w:rsid w:val="003A08A2"/>
    <w:rsid w:val="003A0C07"/>
    <w:rsid w:val="003A1F6A"/>
    <w:rsid w:val="003A29B4"/>
    <w:rsid w:val="003A3547"/>
    <w:rsid w:val="003A3785"/>
    <w:rsid w:val="003A3B3F"/>
    <w:rsid w:val="003A5DE0"/>
    <w:rsid w:val="003A6111"/>
    <w:rsid w:val="003A62E6"/>
    <w:rsid w:val="003A65D9"/>
    <w:rsid w:val="003A7259"/>
    <w:rsid w:val="003A75C8"/>
    <w:rsid w:val="003B0472"/>
    <w:rsid w:val="003B122F"/>
    <w:rsid w:val="003B1B59"/>
    <w:rsid w:val="003B335B"/>
    <w:rsid w:val="003B3D10"/>
    <w:rsid w:val="003B4F1A"/>
    <w:rsid w:val="003B4FF7"/>
    <w:rsid w:val="003B565C"/>
    <w:rsid w:val="003B606B"/>
    <w:rsid w:val="003B741A"/>
    <w:rsid w:val="003C059E"/>
    <w:rsid w:val="003C1C3D"/>
    <w:rsid w:val="003C1D68"/>
    <w:rsid w:val="003C216D"/>
    <w:rsid w:val="003C2566"/>
    <w:rsid w:val="003C28CD"/>
    <w:rsid w:val="003C2C76"/>
    <w:rsid w:val="003C36C2"/>
    <w:rsid w:val="003C4CF9"/>
    <w:rsid w:val="003C5A53"/>
    <w:rsid w:val="003C688E"/>
    <w:rsid w:val="003C6B7E"/>
    <w:rsid w:val="003C7199"/>
    <w:rsid w:val="003C7714"/>
    <w:rsid w:val="003D0116"/>
    <w:rsid w:val="003D02DA"/>
    <w:rsid w:val="003D120D"/>
    <w:rsid w:val="003D12BA"/>
    <w:rsid w:val="003D18C3"/>
    <w:rsid w:val="003D191C"/>
    <w:rsid w:val="003D1B0C"/>
    <w:rsid w:val="003D2113"/>
    <w:rsid w:val="003D2327"/>
    <w:rsid w:val="003D3D91"/>
    <w:rsid w:val="003D3DCF"/>
    <w:rsid w:val="003D41D1"/>
    <w:rsid w:val="003D443D"/>
    <w:rsid w:val="003D4AFD"/>
    <w:rsid w:val="003D5351"/>
    <w:rsid w:val="003D5448"/>
    <w:rsid w:val="003D55CE"/>
    <w:rsid w:val="003D5868"/>
    <w:rsid w:val="003D59AB"/>
    <w:rsid w:val="003D5F89"/>
    <w:rsid w:val="003D6206"/>
    <w:rsid w:val="003D73D7"/>
    <w:rsid w:val="003D7A4E"/>
    <w:rsid w:val="003D7DA8"/>
    <w:rsid w:val="003D7E41"/>
    <w:rsid w:val="003E1193"/>
    <w:rsid w:val="003E2D91"/>
    <w:rsid w:val="003E329A"/>
    <w:rsid w:val="003E3454"/>
    <w:rsid w:val="003E3623"/>
    <w:rsid w:val="003E43CD"/>
    <w:rsid w:val="003E4415"/>
    <w:rsid w:val="003E4F16"/>
    <w:rsid w:val="003E53C0"/>
    <w:rsid w:val="003E5719"/>
    <w:rsid w:val="003E5A33"/>
    <w:rsid w:val="003E6695"/>
    <w:rsid w:val="003E7039"/>
    <w:rsid w:val="003E73C9"/>
    <w:rsid w:val="003F0030"/>
    <w:rsid w:val="003F0D57"/>
    <w:rsid w:val="003F387A"/>
    <w:rsid w:val="003F3E75"/>
    <w:rsid w:val="003F5C2A"/>
    <w:rsid w:val="003F6C4E"/>
    <w:rsid w:val="003F71C5"/>
    <w:rsid w:val="003F7268"/>
    <w:rsid w:val="003F7823"/>
    <w:rsid w:val="003F7E88"/>
    <w:rsid w:val="004003B5"/>
    <w:rsid w:val="00400BAF"/>
    <w:rsid w:val="00400E58"/>
    <w:rsid w:val="00401793"/>
    <w:rsid w:val="00401DB7"/>
    <w:rsid w:val="00403161"/>
    <w:rsid w:val="00403369"/>
    <w:rsid w:val="004034B0"/>
    <w:rsid w:val="0040439C"/>
    <w:rsid w:val="00404661"/>
    <w:rsid w:val="00404EB1"/>
    <w:rsid w:val="004056DB"/>
    <w:rsid w:val="00406833"/>
    <w:rsid w:val="00406A59"/>
    <w:rsid w:val="00406BAE"/>
    <w:rsid w:val="00407346"/>
    <w:rsid w:val="004075A3"/>
    <w:rsid w:val="004079DD"/>
    <w:rsid w:val="00410649"/>
    <w:rsid w:val="004106CE"/>
    <w:rsid w:val="004114EF"/>
    <w:rsid w:val="00411796"/>
    <w:rsid w:val="00411994"/>
    <w:rsid w:val="00411A36"/>
    <w:rsid w:val="004122FC"/>
    <w:rsid w:val="004125F6"/>
    <w:rsid w:val="00412A18"/>
    <w:rsid w:val="00413BDF"/>
    <w:rsid w:val="00413D76"/>
    <w:rsid w:val="004157AA"/>
    <w:rsid w:val="00415C70"/>
    <w:rsid w:val="00416F52"/>
    <w:rsid w:val="00416FDE"/>
    <w:rsid w:val="0042067A"/>
    <w:rsid w:val="00422014"/>
    <w:rsid w:val="004225A6"/>
    <w:rsid w:val="004225D7"/>
    <w:rsid w:val="004229E4"/>
    <w:rsid w:val="004231BC"/>
    <w:rsid w:val="00423499"/>
    <w:rsid w:val="00424058"/>
    <w:rsid w:val="00424D1F"/>
    <w:rsid w:val="00425714"/>
    <w:rsid w:val="00425DA2"/>
    <w:rsid w:val="00427245"/>
    <w:rsid w:val="00430480"/>
    <w:rsid w:val="0043050D"/>
    <w:rsid w:val="00430CF8"/>
    <w:rsid w:val="00430D20"/>
    <w:rsid w:val="00431539"/>
    <w:rsid w:val="00433B43"/>
    <w:rsid w:val="00436415"/>
    <w:rsid w:val="00436E5C"/>
    <w:rsid w:val="0043757D"/>
    <w:rsid w:val="00437FB8"/>
    <w:rsid w:val="004407E2"/>
    <w:rsid w:val="00441A19"/>
    <w:rsid w:val="00441F83"/>
    <w:rsid w:val="00442430"/>
    <w:rsid w:val="00442BE9"/>
    <w:rsid w:val="00442C2F"/>
    <w:rsid w:val="004438EF"/>
    <w:rsid w:val="004439D9"/>
    <w:rsid w:val="00443A91"/>
    <w:rsid w:val="00445EEF"/>
    <w:rsid w:val="00446597"/>
    <w:rsid w:val="00446643"/>
    <w:rsid w:val="00446DCB"/>
    <w:rsid w:val="00447676"/>
    <w:rsid w:val="00447C24"/>
    <w:rsid w:val="004500AB"/>
    <w:rsid w:val="00452EB5"/>
    <w:rsid w:val="00453D8C"/>
    <w:rsid w:val="0045620B"/>
    <w:rsid w:val="00456C3E"/>
    <w:rsid w:val="00456DC8"/>
    <w:rsid w:val="00456FA5"/>
    <w:rsid w:val="00457047"/>
    <w:rsid w:val="0045787E"/>
    <w:rsid w:val="00457BFE"/>
    <w:rsid w:val="00461E7B"/>
    <w:rsid w:val="004628AB"/>
    <w:rsid w:val="00462AC0"/>
    <w:rsid w:val="00464AC7"/>
    <w:rsid w:val="004655FD"/>
    <w:rsid w:val="00465D19"/>
    <w:rsid w:val="00465E41"/>
    <w:rsid w:val="00466423"/>
    <w:rsid w:val="004677FE"/>
    <w:rsid w:val="00467BBB"/>
    <w:rsid w:val="00467D86"/>
    <w:rsid w:val="00470404"/>
    <w:rsid w:val="0047230A"/>
    <w:rsid w:val="0047266F"/>
    <w:rsid w:val="0047288D"/>
    <w:rsid w:val="00472A25"/>
    <w:rsid w:val="00472E89"/>
    <w:rsid w:val="00473DE0"/>
    <w:rsid w:val="004743DA"/>
    <w:rsid w:val="00474643"/>
    <w:rsid w:val="00474A27"/>
    <w:rsid w:val="00474E67"/>
    <w:rsid w:val="0047665A"/>
    <w:rsid w:val="00476872"/>
    <w:rsid w:val="00476D1B"/>
    <w:rsid w:val="00476D5F"/>
    <w:rsid w:val="004818F9"/>
    <w:rsid w:val="00481F68"/>
    <w:rsid w:val="00482AF5"/>
    <w:rsid w:val="00483555"/>
    <w:rsid w:val="00483CA5"/>
    <w:rsid w:val="00483F1C"/>
    <w:rsid w:val="00484A51"/>
    <w:rsid w:val="00486A0E"/>
    <w:rsid w:val="0048710A"/>
    <w:rsid w:val="00487376"/>
    <w:rsid w:val="00487664"/>
    <w:rsid w:val="00491A58"/>
    <w:rsid w:val="004924B1"/>
    <w:rsid w:val="00492577"/>
    <w:rsid w:val="004930D2"/>
    <w:rsid w:val="00493839"/>
    <w:rsid w:val="00493AF0"/>
    <w:rsid w:val="004942E4"/>
    <w:rsid w:val="004949B7"/>
    <w:rsid w:val="004952BE"/>
    <w:rsid w:val="00496A9F"/>
    <w:rsid w:val="00496DA9"/>
    <w:rsid w:val="00496E05"/>
    <w:rsid w:val="00497025"/>
    <w:rsid w:val="00497ABA"/>
    <w:rsid w:val="004A06F7"/>
    <w:rsid w:val="004A0E92"/>
    <w:rsid w:val="004A12EE"/>
    <w:rsid w:val="004A164E"/>
    <w:rsid w:val="004A1BB8"/>
    <w:rsid w:val="004A2321"/>
    <w:rsid w:val="004A25A5"/>
    <w:rsid w:val="004A3EFE"/>
    <w:rsid w:val="004A42D8"/>
    <w:rsid w:val="004A5BB8"/>
    <w:rsid w:val="004A5FB0"/>
    <w:rsid w:val="004A7290"/>
    <w:rsid w:val="004B0D49"/>
    <w:rsid w:val="004B169C"/>
    <w:rsid w:val="004B16E2"/>
    <w:rsid w:val="004B19AB"/>
    <w:rsid w:val="004B2051"/>
    <w:rsid w:val="004B2DD1"/>
    <w:rsid w:val="004B302E"/>
    <w:rsid w:val="004B3394"/>
    <w:rsid w:val="004B39A0"/>
    <w:rsid w:val="004B414E"/>
    <w:rsid w:val="004B4E39"/>
    <w:rsid w:val="004B5EA9"/>
    <w:rsid w:val="004B7253"/>
    <w:rsid w:val="004C0EA6"/>
    <w:rsid w:val="004C0EB6"/>
    <w:rsid w:val="004C102E"/>
    <w:rsid w:val="004C414C"/>
    <w:rsid w:val="004C44B2"/>
    <w:rsid w:val="004C4594"/>
    <w:rsid w:val="004C464C"/>
    <w:rsid w:val="004C58B1"/>
    <w:rsid w:val="004C59E0"/>
    <w:rsid w:val="004C6567"/>
    <w:rsid w:val="004C6EE8"/>
    <w:rsid w:val="004C6F0C"/>
    <w:rsid w:val="004D15CE"/>
    <w:rsid w:val="004D244D"/>
    <w:rsid w:val="004D27C9"/>
    <w:rsid w:val="004D2F73"/>
    <w:rsid w:val="004D46A9"/>
    <w:rsid w:val="004D4CB0"/>
    <w:rsid w:val="004D6216"/>
    <w:rsid w:val="004D7FE0"/>
    <w:rsid w:val="004D7FF7"/>
    <w:rsid w:val="004E01F3"/>
    <w:rsid w:val="004E0751"/>
    <w:rsid w:val="004E13B0"/>
    <w:rsid w:val="004E2C1C"/>
    <w:rsid w:val="004E2FC9"/>
    <w:rsid w:val="004E3400"/>
    <w:rsid w:val="004E3CD3"/>
    <w:rsid w:val="004E659A"/>
    <w:rsid w:val="004E682E"/>
    <w:rsid w:val="004E6DC6"/>
    <w:rsid w:val="004F0329"/>
    <w:rsid w:val="004F0721"/>
    <w:rsid w:val="004F07F1"/>
    <w:rsid w:val="004F08CA"/>
    <w:rsid w:val="004F11ED"/>
    <w:rsid w:val="004F128B"/>
    <w:rsid w:val="004F2944"/>
    <w:rsid w:val="004F2D70"/>
    <w:rsid w:val="004F38F1"/>
    <w:rsid w:val="004F45FE"/>
    <w:rsid w:val="004F5DBE"/>
    <w:rsid w:val="004F6684"/>
    <w:rsid w:val="004F73AD"/>
    <w:rsid w:val="004F7C08"/>
    <w:rsid w:val="004F7F4C"/>
    <w:rsid w:val="005001AA"/>
    <w:rsid w:val="0050028D"/>
    <w:rsid w:val="00500635"/>
    <w:rsid w:val="00502821"/>
    <w:rsid w:val="00503244"/>
    <w:rsid w:val="00503CF7"/>
    <w:rsid w:val="00503EFF"/>
    <w:rsid w:val="005047C4"/>
    <w:rsid w:val="00504A83"/>
    <w:rsid w:val="005064E4"/>
    <w:rsid w:val="00506A45"/>
    <w:rsid w:val="00506C8A"/>
    <w:rsid w:val="00506EFE"/>
    <w:rsid w:val="00507763"/>
    <w:rsid w:val="005104A8"/>
    <w:rsid w:val="00510CB3"/>
    <w:rsid w:val="00512265"/>
    <w:rsid w:val="00512CE6"/>
    <w:rsid w:val="00515065"/>
    <w:rsid w:val="00517454"/>
    <w:rsid w:val="00520099"/>
    <w:rsid w:val="0052084E"/>
    <w:rsid w:val="00520F4A"/>
    <w:rsid w:val="005212BE"/>
    <w:rsid w:val="005220B1"/>
    <w:rsid w:val="0052260F"/>
    <w:rsid w:val="005229FB"/>
    <w:rsid w:val="00522B88"/>
    <w:rsid w:val="00522DDD"/>
    <w:rsid w:val="0052304A"/>
    <w:rsid w:val="005237CD"/>
    <w:rsid w:val="00523974"/>
    <w:rsid w:val="0052454D"/>
    <w:rsid w:val="0052503C"/>
    <w:rsid w:val="00526127"/>
    <w:rsid w:val="00526898"/>
    <w:rsid w:val="00526AE9"/>
    <w:rsid w:val="00526CD3"/>
    <w:rsid w:val="005276CC"/>
    <w:rsid w:val="00530607"/>
    <w:rsid w:val="00530750"/>
    <w:rsid w:val="00530900"/>
    <w:rsid w:val="0053202E"/>
    <w:rsid w:val="00532651"/>
    <w:rsid w:val="00532740"/>
    <w:rsid w:val="00533F8B"/>
    <w:rsid w:val="00534013"/>
    <w:rsid w:val="00534DFB"/>
    <w:rsid w:val="00535138"/>
    <w:rsid w:val="0053575C"/>
    <w:rsid w:val="00535C1A"/>
    <w:rsid w:val="00536651"/>
    <w:rsid w:val="00536F0A"/>
    <w:rsid w:val="00537A22"/>
    <w:rsid w:val="00537BE2"/>
    <w:rsid w:val="00541069"/>
    <w:rsid w:val="005410D2"/>
    <w:rsid w:val="005414EF"/>
    <w:rsid w:val="00541D2A"/>
    <w:rsid w:val="0054208E"/>
    <w:rsid w:val="0054249A"/>
    <w:rsid w:val="00542D74"/>
    <w:rsid w:val="005435F5"/>
    <w:rsid w:val="0054385D"/>
    <w:rsid w:val="00544077"/>
    <w:rsid w:val="005443BA"/>
    <w:rsid w:val="0054480E"/>
    <w:rsid w:val="00544FA0"/>
    <w:rsid w:val="00545202"/>
    <w:rsid w:val="005465E4"/>
    <w:rsid w:val="005477C6"/>
    <w:rsid w:val="00547B9C"/>
    <w:rsid w:val="00550EF1"/>
    <w:rsid w:val="005513BC"/>
    <w:rsid w:val="0055341A"/>
    <w:rsid w:val="00553F02"/>
    <w:rsid w:val="00554CBC"/>
    <w:rsid w:val="0055571E"/>
    <w:rsid w:val="0055627B"/>
    <w:rsid w:val="005566AE"/>
    <w:rsid w:val="005566C1"/>
    <w:rsid w:val="00556A0F"/>
    <w:rsid w:val="005576A3"/>
    <w:rsid w:val="005577F9"/>
    <w:rsid w:val="00560518"/>
    <w:rsid w:val="0056253E"/>
    <w:rsid w:val="005626A3"/>
    <w:rsid w:val="00563E10"/>
    <w:rsid w:val="00564125"/>
    <w:rsid w:val="005648E6"/>
    <w:rsid w:val="00564A26"/>
    <w:rsid w:val="00565755"/>
    <w:rsid w:val="00565B5C"/>
    <w:rsid w:val="00567724"/>
    <w:rsid w:val="0056790A"/>
    <w:rsid w:val="00567CDA"/>
    <w:rsid w:val="005713CB"/>
    <w:rsid w:val="00571613"/>
    <w:rsid w:val="005716E8"/>
    <w:rsid w:val="005717A4"/>
    <w:rsid w:val="005717FF"/>
    <w:rsid w:val="00571C8C"/>
    <w:rsid w:val="00572CA6"/>
    <w:rsid w:val="005733FB"/>
    <w:rsid w:val="00573976"/>
    <w:rsid w:val="00573F32"/>
    <w:rsid w:val="0057420E"/>
    <w:rsid w:val="0057460A"/>
    <w:rsid w:val="00575266"/>
    <w:rsid w:val="00576600"/>
    <w:rsid w:val="005766B9"/>
    <w:rsid w:val="00577552"/>
    <w:rsid w:val="005804AD"/>
    <w:rsid w:val="00580759"/>
    <w:rsid w:val="00580C59"/>
    <w:rsid w:val="0058104E"/>
    <w:rsid w:val="005821AB"/>
    <w:rsid w:val="0058273C"/>
    <w:rsid w:val="005833D5"/>
    <w:rsid w:val="00583ACD"/>
    <w:rsid w:val="00584363"/>
    <w:rsid w:val="005847F3"/>
    <w:rsid w:val="00584A9C"/>
    <w:rsid w:val="005851EE"/>
    <w:rsid w:val="005855F1"/>
    <w:rsid w:val="005859F2"/>
    <w:rsid w:val="00587620"/>
    <w:rsid w:val="00590AB5"/>
    <w:rsid w:val="00591B58"/>
    <w:rsid w:val="0059316E"/>
    <w:rsid w:val="00595B28"/>
    <w:rsid w:val="00596A0B"/>
    <w:rsid w:val="0059711D"/>
    <w:rsid w:val="005971FC"/>
    <w:rsid w:val="00597D6B"/>
    <w:rsid w:val="005A08A6"/>
    <w:rsid w:val="005A0B47"/>
    <w:rsid w:val="005A0C2C"/>
    <w:rsid w:val="005A1D31"/>
    <w:rsid w:val="005A2307"/>
    <w:rsid w:val="005A3D35"/>
    <w:rsid w:val="005A5A0C"/>
    <w:rsid w:val="005A642B"/>
    <w:rsid w:val="005A6520"/>
    <w:rsid w:val="005A6C99"/>
    <w:rsid w:val="005A7385"/>
    <w:rsid w:val="005A7554"/>
    <w:rsid w:val="005A76B3"/>
    <w:rsid w:val="005A7755"/>
    <w:rsid w:val="005A7797"/>
    <w:rsid w:val="005A7A4B"/>
    <w:rsid w:val="005A7F26"/>
    <w:rsid w:val="005B07C8"/>
    <w:rsid w:val="005B0E72"/>
    <w:rsid w:val="005B3A6C"/>
    <w:rsid w:val="005B3C4D"/>
    <w:rsid w:val="005B3C76"/>
    <w:rsid w:val="005B3E6A"/>
    <w:rsid w:val="005B3F25"/>
    <w:rsid w:val="005B4E16"/>
    <w:rsid w:val="005B4EC6"/>
    <w:rsid w:val="005B5028"/>
    <w:rsid w:val="005B50B3"/>
    <w:rsid w:val="005B61E1"/>
    <w:rsid w:val="005B65F5"/>
    <w:rsid w:val="005B6D97"/>
    <w:rsid w:val="005B6EE2"/>
    <w:rsid w:val="005B7114"/>
    <w:rsid w:val="005B74F4"/>
    <w:rsid w:val="005B7712"/>
    <w:rsid w:val="005B7CAD"/>
    <w:rsid w:val="005C0073"/>
    <w:rsid w:val="005C089A"/>
    <w:rsid w:val="005C0F2B"/>
    <w:rsid w:val="005C11FF"/>
    <w:rsid w:val="005C13D0"/>
    <w:rsid w:val="005C1645"/>
    <w:rsid w:val="005C1EAC"/>
    <w:rsid w:val="005C23EA"/>
    <w:rsid w:val="005C2B23"/>
    <w:rsid w:val="005C2FA2"/>
    <w:rsid w:val="005C30B7"/>
    <w:rsid w:val="005C3F92"/>
    <w:rsid w:val="005C43B4"/>
    <w:rsid w:val="005C490C"/>
    <w:rsid w:val="005C4FB7"/>
    <w:rsid w:val="005C52D4"/>
    <w:rsid w:val="005C5387"/>
    <w:rsid w:val="005C55FE"/>
    <w:rsid w:val="005C5A4E"/>
    <w:rsid w:val="005C6683"/>
    <w:rsid w:val="005C6D32"/>
    <w:rsid w:val="005C7919"/>
    <w:rsid w:val="005C7E22"/>
    <w:rsid w:val="005D0A37"/>
    <w:rsid w:val="005D0D9E"/>
    <w:rsid w:val="005D117D"/>
    <w:rsid w:val="005D1B57"/>
    <w:rsid w:val="005D2B2F"/>
    <w:rsid w:val="005D30F7"/>
    <w:rsid w:val="005D32AC"/>
    <w:rsid w:val="005D4209"/>
    <w:rsid w:val="005D4313"/>
    <w:rsid w:val="005D5C02"/>
    <w:rsid w:val="005D6478"/>
    <w:rsid w:val="005D6EBC"/>
    <w:rsid w:val="005D7211"/>
    <w:rsid w:val="005D7563"/>
    <w:rsid w:val="005D7857"/>
    <w:rsid w:val="005D7960"/>
    <w:rsid w:val="005E23EB"/>
    <w:rsid w:val="005E284E"/>
    <w:rsid w:val="005E2E91"/>
    <w:rsid w:val="005E334D"/>
    <w:rsid w:val="005E3BB7"/>
    <w:rsid w:val="005E3FE2"/>
    <w:rsid w:val="005E4437"/>
    <w:rsid w:val="005E65D7"/>
    <w:rsid w:val="005E6AE7"/>
    <w:rsid w:val="005E7FEA"/>
    <w:rsid w:val="005F2A4E"/>
    <w:rsid w:val="005F2DE5"/>
    <w:rsid w:val="005F2E67"/>
    <w:rsid w:val="005F3BCF"/>
    <w:rsid w:val="005F4BCA"/>
    <w:rsid w:val="005F51AB"/>
    <w:rsid w:val="005F5ADC"/>
    <w:rsid w:val="005F606B"/>
    <w:rsid w:val="005F67EC"/>
    <w:rsid w:val="005F6FA8"/>
    <w:rsid w:val="006000BC"/>
    <w:rsid w:val="0060021A"/>
    <w:rsid w:val="0060037A"/>
    <w:rsid w:val="006005A3"/>
    <w:rsid w:val="00600781"/>
    <w:rsid w:val="006009E4"/>
    <w:rsid w:val="00600F7E"/>
    <w:rsid w:val="00601C84"/>
    <w:rsid w:val="00601DBA"/>
    <w:rsid w:val="00601E2B"/>
    <w:rsid w:val="0060229D"/>
    <w:rsid w:val="00602C36"/>
    <w:rsid w:val="00604AF3"/>
    <w:rsid w:val="00604F4A"/>
    <w:rsid w:val="00604F59"/>
    <w:rsid w:val="0060556C"/>
    <w:rsid w:val="006061CE"/>
    <w:rsid w:val="006062C2"/>
    <w:rsid w:val="006067B7"/>
    <w:rsid w:val="0060722B"/>
    <w:rsid w:val="0061075B"/>
    <w:rsid w:val="00610B18"/>
    <w:rsid w:val="0061127C"/>
    <w:rsid w:val="00611D48"/>
    <w:rsid w:val="00613B87"/>
    <w:rsid w:val="00613DD5"/>
    <w:rsid w:val="00613FDD"/>
    <w:rsid w:val="00614996"/>
    <w:rsid w:val="006155A1"/>
    <w:rsid w:val="0061565B"/>
    <w:rsid w:val="00615D12"/>
    <w:rsid w:val="00615D76"/>
    <w:rsid w:val="00615FE8"/>
    <w:rsid w:val="0061633C"/>
    <w:rsid w:val="006164FA"/>
    <w:rsid w:val="00616547"/>
    <w:rsid w:val="00616A26"/>
    <w:rsid w:val="00617059"/>
    <w:rsid w:val="006201AE"/>
    <w:rsid w:val="00620592"/>
    <w:rsid w:val="00620D0A"/>
    <w:rsid w:val="0062194E"/>
    <w:rsid w:val="00621A07"/>
    <w:rsid w:val="00621C20"/>
    <w:rsid w:val="00621FF8"/>
    <w:rsid w:val="00622C50"/>
    <w:rsid w:val="0062330B"/>
    <w:rsid w:val="00624B5A"/>
    <w:rsid w:val="006259DB"/>
    <w:rsid w:val="00625AA4"/>
    <w:rsid w:val="00625C9D"/>
    <w:rsid w:val="006261B3"/>
    <w:rsid w:val="00626F51"/>
    <w:rsid w:val="0062703F"/>
    <w:rsid w:val="006270A9"/>
    <w:rsid w:val="00627370"/>
    <w:rsid w:val="00631097"/>
    <w:rsid w:val="00631B8E"/>
    <w:rsid w:val="00631F36"/>
    <w:rsid w:val="00631F54"/>
    <w:rsid w:val="00631F90"/>
    <w:rsid w:val="0063212E"/>
    <w:rsid w:val="00632324"/>
    <w:rsid w:val="00633133"/>
    <w:rsid w:val="00633738"/>
    <w:rsid w:val="006337D2"/>
    <w:rsid w:val="00633C75"/>
    <w:rsid w:val="0063498E"/>
    <w:rsid w:val="006359FC"/>
    <w:rsid w:val="00635FE2"/>
    <w:rsid w:val="00636885"/>
    <w:rsid w:val="00636A55"/>
    <w:rsid w:val="00637B32"/>
    <w:rsid w:val="0064000B"/>
    <w:rsid w:val="006404D4"/>
    <w:rsid w:val="00641DE8"/>
    <w:rsid w:val="00641F97"/>
    <w:rsid w:val="006420CB"/>
    <w:rsid w:val="00642152"/>
    <w:rsid w:val="00642B82"/>
    <w:rsid w:val="00643346"/>
    <w:rsid w:val="00643C85"/>
    <w:rsid w:val="0064401C"/>
    <w:rsid w:val="00644431"/>
    <w:rsid w:val="006445D7"/>
    <w:rsid w:val="00646917"/>
    <w:rsid w:val="00646CF6"/>
    <w:rsid w:val="006475A3"/>
    <w:rsid w:val="00647EE5"/>
    <w:rsid w:val="0065057D"/>
    <w:rsid w:val="0065067C"/>
    <w:rsid w:val="00650E18"/>
    <w:rsid w:val="00652531"/>
    <w:rsid w:val="00652D7C"/>
    <w:rsid w:val="006532F9"/>
    <w:rsid w:val="006535D5"/>
    <w:rsid w:val="00653E96"/>
    <w:rsid w:val="0065408E"/>
    <w:rsid w:val="0065570A"/>
    <w:rsid w:val="00655810"/>
    <w:rsid w:val="00656502"/>
    <w:rsid w:val="00656C08"/>
    <w:rsid w:val="006570FB"/>
    <w:rsid w:val="00657D27"/>
    <w:rsid w:val="00660A64"/>
    <w:rsid w:val="006610A2"/>
    <w:rsid w:val="00661B55"/>
    <w:rsid w:val="0066540D"/>
    <w:rsid w:val="00665649"/>
    <w:rsid w:val="00665C4B"/>
    <w:rsid w:val="00666431"/>
    <w:rsid w:val="006671CD"/>
    <w:rsid w:val="00667282"/>
    <w:rsid w:val="00671274"/>
    <w:rsid w:val="0067192F"/>
    <w:rsid w:val="00671D47"/>
    <w:rsid w:val="00671D8F"/>
    <w:rsid w:val="006724CA"/>
    <w:rsid w:val="00672934"/>
    <w:rsid w:val="006731A3"/>
    <w:rsid w:val="0067459E"/>
    <w:rsid w:val="0067502B"/>
    <w:rsid w:val="0067604D"/>
    <w:rsid w:val="00677715"/>
    <w:rsid w:val="0068013A"/>
    <w:rsid w:val="00680217"/>
    <w:rsid w:val="006808D2"/>
    <w:rsid w:val="006816E7"/>
    <w:rsid w:val="00681A32"/>
    <w:rsid w:val="00682162"/>
    <w:rsid w:val="0068239D"/>
    <w:rsid w:val="006844DD"/>
    <w:rsid w:val="006845DF"/>
    <w:rsid w:val="006846FC"/>
    <w:rsid w:val="00684CE3"/>
    <w:rsid w:val="00686F13"/>
    <w:rsid w:val="00690063"/>
    <w:rsid w:val="00690304"/>
    <w:rsid w:val="006906D9"/>
    <w:rsid w:val="006909CD"/>
    <w:rsid w:val="00690C5E"/>
    <w:rsid w:val="00691352"/>
    <w:rsid w:val="00693A6A"/>
    <w:rsid w:val="006941D2"/>
    <w:rsid w:val="00694611"/>
    <w:rsid w:val="00694641"/>
    <w:rsid w:val="006949ED"/>
    <w:rsid w:val="00694A2F"/>
    <w:rsid w:val="00695245"/>
    <w:rsid w:val="00695324"/>
    <w:rsid w:val="00695516"/>
    <w:rsid w:val="006956AF"/>
    <w:rsid w:val="0069625E"/>
    <w:rsid w:val="006963DC"/>
    <w:rsid w:val="00696B13"/>
    <w:rsid w:val="006A0142"/>
    <w:rsid w:val="006A05AC"/>
    <w:rsid w:val="006A05FF"/>
    <w:rsid w:val="006A1DC1"/>
    <w:rsid w:val="006A2771"/>
    <w:rsid w:val="006A294C"/>
    <w:rsid w:val="006A4A3B"/>
    <w:rsid w:val="006A4A55"/>
    <w:rsid w:val="006A5866"/>
    <w:rsid w:val="006A6578"/>
    <w:rsid w:val="006A7DBB"/>
    <w:rsid w:val="006B0EE6"/>
    <w:rsid w:val="006B1137"/>
    <w:rsid w:val="006B1E82"/>
    <w:rsid w:val="006B26B6"/>
    <w:rsid w:val="006B33A8"/>
    <w:rsid w:val="006B3704"/>
    <w:rsid w:val="006B4F6F"/>
    <w:rsid w:val="006B52B7"/>
    <w:rsid w:val="006B64E5"/>
    <w:rsid w:val="006B6A39"/>
    <w:rsid w:val="006B783D"/>
    <w:rsid w:val="006C0210"/>
    <w:rsid w:val="006C114E"/>
    <w:rsid w:val="006C1187"/>
    <w:rsid w:val="006C1C7C"/>
    <w:rsid w:val="006C2138"/>
    <w:rsid w:val="006C29B8"/>
    <w:rsid w:val="006C2C35"/>
    <w:rsid w:val="006C3ABE"/>
    <w:rsid w:val="006C466D"/>
    <w:rsid w:val="006C51C1"/>
    <w:rsid w:val="006C52BA"/>
    <w:rsid w:val="006C572F"/>
    <w:rsid w:val="006C61FD"/>
    <w:rsid w:val="006C6433"/>
    <w:rsid w:val="006C64EE"/>
    <w:rsid w:val="006C6FFB"/>
    <w:rsid w:val="006C7BA8"/>
    <w:rsid w:val="006D01D2"/>
    <w:rsid w:val="006D3E53"/>
    <w:rsid w:val="006D4CD9"/>
    <w:rsid w:val="006D57A5"/>
    <w:rsid w:val="006D673B"/>
    <w:rsid w:val="006D6D84"/>
    <w:rsid w:val="006D7792"/>
    <w:rsid w:val="006E077E"/>
    <w:rsid w:val="006E0A14"/>
    <w:rsid w:val="006E0B19"/>
    <w:rsid w:val="006E1384"/>
    <w:rsid w:val="006E163A"/>
    <w:rsid w:val="006E1648"/>
    <w:rsid w:val="006E1977"/>
    <w:rsid w:val="006E1C38"/>
    <w:rsid w:val="006E2644"/>
    <w:rsid w:val="006E2C3D"/>
    <w:rsid w:val="006E2EF4"/>
    <w:rsid w:val="006E2F3B"/>
    <w:rsid w:val="006E4510"/>
    <w:rsid w:val="006E4666"/>
    <w:rsid w:val="006E4C0D"/>
    <w:rsid w:val="006E4D6F"/>
    <w:rsid w:val="006E4DBD"/>
    <w:rsid w:val="006E57CA"/>
    <w:rsid w:val="006E5C87"/>
    <w:rsid w:val="006E6C0B"/>
    <w:rsid w:val="006E7378"/>
    <w:rsid w:val="006E783F"/>
    <w:rsid w:val="006E7F05"/>
    <w:rsid w:val="006F0549"/>
    <w:rsid w:val="006F0A80"/>
    <w:rsid w:val="006F0BBC"/>
    <w:rsid w:val="006F1207"/>
    <w:rsid w:val="006F1581"/>
    <w:rsid w:val="006F2E9A"/>
    <w:rsid w:val="006F2F65"/>
    <w:rsid w:val="006F346B"/>
    <w:rsid w:val="006F406F"/>
    <w:rsid w:val="006F457C"/>
    <w:rsid w:val="006F4A50"/>
    <w:rsid w:val="006F53B1"/>
    <w:rsid w:val="006F5526"/>
    <w:rsid w:val="006F6026"/>
    <w:rsid w:val="006F63A7"/>
    <w:rsid w:val="006F6F32"/>
    <w:rsid w:val="00700274"/>
    <w:rsid w:val="00700289"/>
    <w:rsid w:val="007003C2"/>
    <w:rsid w:val="007004E4"/>
    <w:rsid w:val="00700D51"/>
    <w:rsid w:val="0070187F"/>
    <w:rsid w:val="00703048"/>
    <w:rsid w:val="007033BF"/>
    <w:rsid w:val="0070385C"/>
    <w:rsid w:val="0070398F"/>
    <w:rsid w:val="0070437D"/>
    <w:rsid w:val="00704618"/>
    <w:rsid w:val="00705541"/>
    <w:rsid w:val="00707C38"/>
    <w:rsid w:val="00710031"/>
    <w:rsid w:val="007100E0"/>
    <w:rsid w:val="0071052D"/>
    <w:rsid w:val="00710924"/>
    <w:rsid w:val="00710E80"/>
    <w:rsid w:val="0071199D"/>
    <w:rsid w:val="0071255A"/>
    <w:rsid w:val="007141F9"/>
    <w:rsid w:val="007142EE"/>
    <w:rsid w:val="007147BB"/>
    <w:rsid w:val="007155FF"/>
    <w:rsid w:val="00715C6D"/>
    <w:rsid w:val="0071626C"/>
    <w:rsid w:val="00716338"/>
    <w:rsid w:val="00716604"/>
    <w:rsid w:val="007167CF"/>
    <w:rsid w:val="00720309"/>
    <w:rsid w:val="007206DF"/>
    <w:rsid w:val="00720A05"/>
    <w:rsid w:val="00720B33"/>
    <w:rsid w:val="00720B41"/>
    <w:rsid w:val="00722B7D"/>
    <w:rsid w:val="00722C94"/>
    <w:rsid w:val="00723346"/>
    <w:rsid w:val="00724047"/>
    <w:rsid w:val="00724BDF"/>
    <w:rsid w:val="00725159"/>
    <w:rsid w:val="007260C5"/>
    <w:rsid w:val="00726852"/>
    <w:rsid w:val="0073019E"/>
    <w:rsid w:val="007301D1"/>
    <w:rsid w:val="00730690"/>
    <w:rsid w:val="00731351"/>
    <w:rsid w:val="00731C86"/>
    <w:rsid w:val="00731DE0"/>
    <w:rsid w:val="0073211E"/>
    <w:rsid w:val="00732131"/>
    <w:rsid w:val="00732D0A"/>
    <w:rsid w:val="007332D2"/>
    <w:rsid w:val="00733823"/>
    <w:rsid w:val="0073454F"/>
    <w:rsid w:val="00734E1D"/>
    <w:rsid w:val="00734E20"/>
    <w:rsid w:val="00734EA5"/>
    <w:rsid w:val="00736CAB"/>
    <w:rsid w:val="00736E83"/>
    <w:rsid w:val="00736F2F"/>
    <w:rsid w:val="00740160"/>
    <w:rsid w:val="00740D52"/>
    <w:rsid w:val="007410CC"/>
    <w:rsid w:val="007418D1"/>
    <w:rsid w:val="007422DC"/>
    <w:rsid w:val="00742750"/>
    <w:rsid w:val="007429C2"/>
    <w:rsid w:val="007435B6"/>
    <w:rsid w:val="00743B92"/>
    <w:rsid w:val="00743C25"/>
    <w:rsid w:val="00743DAB"/>
    <w:rsid w:val="00744436"/>
    <w:rsid w:val="0074453B"/>
    <w:rsid w:val="00744E3D"/>
    <w:rsid w:val="00744EDF"/>
    <w:rsid w:val="0074503D"/>
    <w:rsid w:val="00745F51"/>
    <w:rsid w:val="007462E9"/>
    <w:rsid w:val="00746686"/>
    <w:rsid w:val="007478BD"/>
    <w:rsid w:val="00747FB8"/>
    <w:rsid w:val="007501A4"/>
    <w:rsid w:val="007508ED"/>
    <w:rsid w:val="00750D38"/>
    <w:rsid w:val="007529D5"/>
    <w:rsid w:val="007531C0"/>
    <w:rsid w:val="007531C6"/>
    <w:rsid w:val="00753769"/>
    <w:rsid w:val="0075492D"/>
    <w:rsid w:val="00754C0C"/>
    <w:rsid w:val="00754EDE"/>
    <w:rsid w:val="0075531D"/>
    <w:rsid w:val="00755639"/>
    <w:rsid w:val="00756022"/>
    <w:rsid w:val="00756267"/>
    <w:rsid w:val="007574DD"/>
    <w:rsid w:val="007579C1"/>
    <w:rsid w:val="00757FB4"/>
    <w:rsid w:val="00760064"/>
    <w:rsid w:val="00761DC8"/>
    <w:rsid w:val="007620D6"/>
    <w:rsid w:val="0076366E"/>
    <w:rsid w:val="0076425A"/>
    <w:rsid w:val="00764F82"/>
    <w:rsid w:val="00766B41"/>
    <w:rsid w:val="00767A9D"/>
    <w:rsid w:val="00767BAC"/>
    <w:rsid w:val="00767F27"/>
    <w:rsid w:val="00770068"/>
    <w:rsid w:val="007703E0"/>
    <w:rsid w:val="00770D07"/>
    <w:rsid w:val="00770F26"/>
    <w:rsid w:val="00770F54"/>
    <w:rsid w:val="00771122"/>
    <w:rsid w:val="00771B34"/>
    <w:rsid w:val="00771D4E"/>
    <w:rsid w:val="00771D8E"/>
    <w:rsid w:val="00771EA8"/>
    <w:rsid w:val="00772A8F"/>
    <w:rsid w:val="00772D80"/>
    <w:rsid w:val="00772E67"/>
    <w:rsid w:val="00773DF9"/>
    <w:rsid w:val="00773F0B"/>
    <w:rsid w:val="00775035"/>
    <w:rsid w:val="00776459"/>
    <w:rsid w:val="007766DF"/>
    <w:rsid w:val="00776CF1"/>
    <w:rsid w:val="00777653"/>
    <w:rsid w:val="007777B5"/>
    <w:rsid w:val="00780EFD"/>
    <w:rsid w:val="007823EB"/>
    <w:rsid w:val="007828DC"/>
    <w:rsid w:val="00782A6D"/>
    <w:rsid w:val="007832AF"/>
    <w:rsid w:val="0078441B"/>
    <w:rsid w:val="007844AF"/>
    <w:rsid w:val="00784801"/>
    <w:rsid w:val="0078774E"/>
    <w:rsid w:val="00787830"/>
    <w:rsid w:val="007879E1"/>
    <w:rsid w:val="0079056B"/>
    <w:rsid w:val="0079063E"/>
    <w:rsid w:val="00790DAC"/>
    <w:rsid w:val="007911B0"/>
    <w:rsid w:val="007922DA"/>
    <w:rsid w:val="00792A3C"/>
    <w:rsid w:val="00792F42"/>
    <w:rsid w:val="0079316A"/>
    <w:rsid w:val="007937CF"/>
    <w:rsid w:val="00794FE3"/>
    <w:rsid w:val="00795F21"/>
    <w:rsid w:val="00795FB3"/>
    <w:rsid w:val="007969B3"/>
    <w:rsid w:val="00796BE5"/>
    <w:rsid w:val="00797F21"/>
    <w:rsid w:val="007A077F"/>
    <w:rsid w:val="007A0AE4"/>
    <w:rsid w:val="007A266F"/>
    <w:rsid w:val="007A2FAB"/>
    <w:rsid w:val="007A3814"/>
    <w:rsid w:val="007A3ED2"/>
    <w:rsid w:val="007A42A2"/>
    <w:rsid w:val="007A47CB"/>
    <w:rsid w:val="007A4D3A"/>
    <w:rsid w:val="007A5CDF"/>
    <w:rsid w:val="007A5D4F"/>
    <w:rsid w:val="007A6478"/>
    <w:rsid w:val="007A6940"/>
    <w:rsid w:val="007A6FD1"/>
    <w:rsid w:val="007A7391"/>
    <w:rsid w:val="007A767D"/>
    <w:rsid w:val="007A7749"/>
    <w:rsid w:val="007B02F1"/>
    <w:rsid w:val="007B05A4"/>
    <w:rsid w:val="007B078D"/>
    <w:rsid w:val="007B2391"/>
    <w:rsid w:val="007B27B1"/>
    <w:rsid w:val="007B29DB"/>
    <w:rsid w:val="007B344F"/>
    <w:rsid w:val="007B3A58"/>
    <w:rsid w:val="007B45BD"/>
    <w:rsid w:val="007B4716"/>
    <w:rsid w:val="007B49E4"/>
    <w:rsid w:val="007B4BD1"/>
    <w:rsid w:val="007B4E8C"/>
    <w:rsid w:val="007B5D3E"/>
    <w:rsid w:val="007B5F88"/>
    <w:rsid w:val="007B614E"/>
    <w:rsid w:val="007B63B5"/>
    <w:rsid w:val="007B6679"/>
    <w:rsid w:val="007B694A"/>
    <w:rsid w:val="007B7E2A"/>
    <w:rsid w:val="007C03E2"/>
    <w:rsid w:val="007C0B8A"/>
    <w:rsid w:val="007C0FB2"/>
    <w:rsid w:val="007C1044"/>
    <w:rsid w:val="007C1355"/>
    <w:rsid w:val="007C142A"/>
    <w:rsid w:val="007C14CB"/>
    <w:rsid w:val="007C2CE6"/>
    <w:rsid w:val="007C39FB"/>
    <w:rsid w:val="007C4DF2"/>
    <w:rsid w:val="007C53AC"/>
    <w:rsid w:val="007C53C4"/>
    <w:rsid w:val="007C54E9"/>
    <w:rsid w:val="007C6994"/>
    <w:rsid w:val="007C7D5A"/>
    <w:rsid w:val="007D0699"/>
    <w:rsid w:val="007D0D10"/>
    <w:rsid w:val="007D1A68"/>
    <w:rsid w:val="007D2125"/>
    <w:rsid w:val="007D23DA"/>
    <w:rsid w:val="007D402B"/>
    <w:rsid w:val="007D40F8"/>
    <w:rsid w:val="007D472F"/>
    <w:rsid w:val="007D4E1D"/>
    <w:rsid w:val="007D5881"/>
    <w:rsid w:val="007D5DC9"/>
    <w:rsid w:val="007D75A0"/>
    <w:rsid w:val="007D7AA0"/>
    <w:rsid w:val="007D7BA7"/>
    <w:rsid w:val="007E0924"/>
    <w:rsid w:val="007E122D"/>
    <w:rsid w:val="007E141C"/>
    <w:rsid w:val="007E2CBD"/>
    <w:rsid w:val="007E3298"/>
    <w:rsid w:val="007E55AE"/>
    <w:rsid w:val="007E5A29"/>
    <w:rsid w:val="007E5BDA"/>
    <w:rsid w:val="007E5D93"/>
    <w:rsid w:val="007E5E10"/>
    <w:rsid w:val="007E76B6"/>
    <w:rsid w:val="007F0483"/>
    <w:rsid w:val="007F0B7E"/>
    <w:rsid w:val="007F2A9D"/>
    <w:rsid w:val="007F3AD6"/>
    <w:rsid w:val="007F3EBA"/>
    <w:rsid w:val="007F4A9A"/>
    <w:rsid w:val="007F4C29"/>
    <w:rsid w:val="007F50CA"/>
    <w:rsid w:val="007F6B1F"/>
    <w:rsid w:val="007F743E"/>
    <w:rsid w:val="00800B1A"/>
    <w:rsid w:val="0080123E"/>
    <w:rsid w:val="00801489"/>
    <w:rsid w:val="00801B2E"/>
    <w:rsid w:val="00802C6F"/>
    <w:rsid w:val="00803EEB"/>
    <w:rsid w:val="00804C62"/>
    <w:rsid w:val="00805144"/>
    <w:rsid w:val="00805894"/>
    <w:rsid w:val="00806F63"/>
    <w:rsid w:val="0080781E"/>
    <w:rsid w:val="00807B03"/>
    <w:rsid w:val="00807F1F"/>
    <w:rsid w:val="00810717"/>
    <w:rsid w:val="00811216"/>
    <w:rsid w:val="00813930"/>
    <w:rsid w:val="0081398E"/>
    <w:rsid w:val="00814570"/>
    <w:rsid w:val="00815C64"/>
    <w:rsid w:val="0081605D"/>
    <w:rsid w:val="0081629F"/>
    <w:rsid w:val="00816357"/>
    <w:rsid w:val="00816FDE"/>
    <w:rsid w:val="0081744B"/>
    <w:rsid w:val="00820493"/>
    <w:rsid w:val="00820828"/>
    <w:rsid w:val="00820A01"/>
    <w:rsid w:val="008223FA"/>
    <w:rsid w:val="00822A9E"/>
    <w:rsid w:val="00822FCF"/>
    <w:rsid w:val="008237C3"/>
    <w:rsid w:val="00823B37"/>
    <w:rsid w:val="00824F1D"/>
    <w:rsid w:val="008250DF"/>
    <w:rsid w:val="0082557C"/>
    <w:rsid w:val="0082604F"/>
    <w:rsid w:val="00826669"/>
    <w:rsid w:val="0082682C"/>
    <w:rsid w:val="008278DC"/>
    <w:rsid w:val="008301F2"/>
    <w:rsid w:val="008318BB"/>
    <w:rsid w:val="008325DC"/>
    <w:rsid w:val="0083350D"/>
    <w:rsid w:val="00833571"/>
    <w:rsid w:val="008335FE"/>
    <w:rsid w:val="00833AA0"/>
    <w:rsid w:val="008340D9"/>
    <w:rsid w:val="00834488"/>
    <w:rsid w:val="00836444"/>
    <w:rsid w:val="00837A13"/>
    <w:rsid w:val="00837BB3"/>
    <w:rsid w:val="00837D11"/>
    <w:rsid w:val="00840ECD"/>
    <w:rsid w:val="00840FB0"/>
    <w:rsid w:val="00841AD9"/>
    <w:rsid w:val="00842737"/>
    <w:rsid w:val="008431DC"/>
    <w:rsid w:val="008434CC"/>
    <w:rsid w:val="0084358D"/>
    <w:rsid w:val="008445B3"/>
    <w:rsid w:val="00844FC7"/>
    <w:rsid w:val="008451C8"/>
    <w:rsid w:val="00845CCF"/>
    <w:rsid w:val="00845F79"/>
    <w:rsid w:val="00845FB1"/>
    <w:rsid w:val="008467D7"/>
    <w:rsid w:val="008474D3"/>
    <w:rsid w:val="008475C8"/>
    <w:rsid w:val="00847C50"/>
    <w:rsid w:val="00850138"/>
    <w:rsid w:val="00850191"/>
    <w:rsid w:val="00851C4C"/>
    <w:rsid w:val="008523CB"/>
    <w:rsid w:val="008534A8"/>
    <w:rsid w:val="008535AA"/>
    <w:rsid w:val="00853963"/>
    <w:rsid w:val="00853A7A"/>
    <w:rsid w:val="0085411B"/>
    <w:rsid w:val="00854137"/>
    <w:rsid w:val="008542A2"/>
    <w:rsid w:val="008542B6"/>
    <w:rsid w:val="00854592"/>
    <w:rsid w:val="0085469A"/>
    <w:rsid w:val="008547DA"/>
    <w:rsid w:val="00854C73"/>
    <w:rsid w:val="00855667"/>
    <w:rsid w:val="00855B5D"/>
    <w:rsid w:val="00855E34"/>
    <w:rsid w:val="0085608D"/>
    <w:rsid w:val="00856B89"/>
    <w:rsid w:val="008570A7"/>
    <w:rsid w:val="00857310"/>
    <w:rsid w:val="0086087B"/>
    <w:rsid w:val="008613DB"/>
    <w:rsid w:val="00861D72"/>
    <w:rsid w:val="008630C1"/>
    <w:rsid w:val="0086490A"/>
    <w:rsid w:val="00864947"/>
    <w:rsid w:val="0086530C"/>
    <w:rsid w:val="00865F72"/>
    <w:rsid w:val="00866A6A"/>
    <w:rsid w:val="00870898"/>
    <w:rsid w:val="00870ACE"/>
    <w:rsid w:val="00870C32"/>
    <w:rsid w:val="008716E7"/>
    <w:rsid w:val="00871C15"/>
    <w:rsid w:val="00871E04"/>
    <w:rsid w:val="00872394"/>
    <w:rsid w:val="00872D5F"/>
    <w:rsid w:val="00872E59"/>
    <w:rsid w:val="00873EFD"/>
    <w:rsid w:val="00874003"/>
    <w:rsid w:val="008740F6"/>
    <w:rsid w:val="00874258"/>
    <w:rsid w:val="0087438B"/>
    <w:rsid w:val="00875217"/>
    <w:rsid w:val="00875C1B"/>
    <w:rsid w:val="00877663"/>
    <w:rsid w:val="00877A80"/>
    <w:rsid w:val="008801B4"/>
    <w:rsid w:val="00880B18"/>
    <w:rsid w:val="008817D1"/>
    <w:rsid w:val="008821A4"/>
    <w:rsid w:val="00883068"/>
    <w:rsid w:val="008830AD"/>
    <w:rsid w:val="00883AD8"/>
    <w:rsid w:val="00883D77"/>
    <w:rsid w:val="0088478B"/>
    <w:rsid w:val="00884A47"/>
    <w:rsid w:val="00885223"/>
    <w:rsid w:val="00886A70"/>
    <w:rsid w:val="00886C33"/>
    <w:rsid w:val="008876EE"/>
    <w:rsid w:val="00887BB1"/>
    <w:rsid w:val="00890099"/>
    <w:rsid w:val="008908D9"/>
    <w:rsid w:val="00890E62"/>
    <w:rsid w:val="00891AAD"/>
    <w:rsid w:val="008938FC"/>
    <w:rsid w:val="00893DEA"/>
    <w:rsid w:val="0089458F"/>
    <w:rsid w:val="00894ADF"/>
    <w:rsid w:val="0089576A"/>
    <w:rsid w:val="008957DA"/>
    <w:rsid w:val="008960A5"/>
    <w:rsid w:val="00896BB8"/>
    <w:rsid w:val="00897371"/>
    <w:rsid w:val="00897711"/>
    <w:rsid w:val="008A00F4"/>
    <w:rsid w:val="008A0E69"/>
    <w:rsid w:val="008A18EA"/>
    <w:rsid w:val="008A2038"/>
    <w:rsid w:val="008A2DA6"/>
    <w:rsid w:val="008A3C2F"/>
    <w:rsid w:val="008A3CA8"/>
    <w:rsid w:val="008A3F61"/>
    <w:rsid w:val="008A4913"/>
    <w:rsid w:val="008A4D1A"/>
    <w:rsid w:val="008A571F"/>
    <w:rsid w:val="008A5A41"/>
    <w:rsid w:val="008A6BC0"/>
    <w:rsid w:val="008B00B1"/>
    <w:rsid w:val="008B03ED"/>
    <w:rsid w:val="008B0958"/>
    <w:rsid w:val="008B19A0"/>
    <w:rsid w:val="008B23D7"/>
    <w:rsid w:val="008B307A"/>
    <w:rsid w:val="008B3E7E"/>
    <w:rsid w:val="008B46AA"/>
    <w:rsid w:val="008B4C66"/>
    <w:rsid w:val="008B690C"/>
    <w:rsid w:val="008B6BDA"/>
    <w:rsid w:val="008B6F12"/>
    <w:rsid w:val="008B6F76"/>
    <w:rsid w:val="008B72F7"/>
    <w:rsid w:val="008B754E"/>
    <w:rsid w:val="008C0C94"/>
    <w:rsid w:val="008C1254"/>
    <w:rsid w:val="008C1A71"/>
    <w:rsid w:val="008C20D5"/>
    <w:rsid w:val="008C2CBD"/>
    <w:rsid w:val="008C2FDC"/>
    <w:rsid w:val="008C41E5"/>
    <w:rsid w:val="008C52FE"/>
    <w:rsid w:val="008C7D39"/>
    <w:rsid w:val="008D0307"/>
    <w:rsid w:val="008D068D"/>
    <w:rsid w:val="008D1FF0"/>
    <w:rsid w:val="008D2709"/>
    <w:rsid w:val="008D33AD"/>
    <w:rsid w:val="008D4190"/>
    <w:rsid w:val="008D455D"/>
    <w:rsid w:val="008D46CB"/>
    <w:rsid w:val="008D5472"/>
    <w:rsid w:val="008D68F8"/>
    <w:rsid w:val="008D6AE8"/>
    <w:rsid w:val="008E078E"/>
    <w:rsid w:val="008E1161"/>
    <w:rsid w:val="008E1313"/>
    <w:rsid w:val="008E176B"/>
    <w:rsid w:val="008E180B"/>
    <w:rsid w:val="008E188D"/>
    <w:rsid w:val="008E1F83"/>
    <w:rsid w:val="008E21F1"/>
    <w:rsid w:val="008E2513"/>
    <w:rsid w:val="008E2A02"/>
    <w:rsid w:val="008E3ED7"/>
    <w:rsid w:val="008E454E"/>
    <w:rsid w:val="008E4F10"/>
    <w:rsid w:val="008E5422"/>
    <w:rsid w:val="008E552D"/>
    <w:rsid w:val="008E6C9A"/>
    <w:rsid w:val="008E7274"/>
    <w:rsid w:val="008E7AF6"/>
    <w:rsid w:val="008F093A"/>
    <w:rsid w:val="008F0F51"/>
    <w:rsid w:val="008F1762"/>
    <w:rsid w:val="008F332E"/>
    <w:rsid w:val="008F454B"/>
    <w:rsid w:val="008F45E2"/>
    <w:rsid w:val="008F4B78"/>
    <w:rsid w:val="008F5292"/>
    <w:rsid w:val="008F57AB"/>
    <w:rsid w:val="008F5D9F"/>
    <w:rsid w:val="008F621B"/>
    <w:rsid w:val="008F62A9"/>
    <w:rsid w:val="008F63C3"/>
    <w:rsid w:val="008F6E59"/>
    <w:rsid w:val="008F6F6F"/>
    <w:rsid w:val="008F73B3"/>
    <w:rsid w:val="008F7897"/>
    <w:rsid w:val="008F7A5B"/>
    <w:rsid w:val="008F7D7A"/>
    <w:rsid w:val="00900C4E"/>
    <w:rsid w:val="00901764"/>
    <w:rsid w:val="009018AE"/>
    <w:rsid w:val="0090254E"/>
    <w:rsid w:val="00904887"/>
    <w:rsid w:val="00904AEB"/>
    <w:rsid w:val="00904CFA"/>
    <w:rsid w:val="00904CFB"/>
    <w:rsid w:val="00905C36"/>
    <w:rsid w:val="00905E7D"/>
    <w:rsid w:val="009060C6"/>
    <w:rsid w:val="0090623C"/>
    <w:rsid w:val="009068E6"/>
    <w:rsid w:val="00906B35"/>
    <w:rsid w:val="00906E04"/>
    <w:rsid w:val="00906E87"/>
    <w:rsid w:val="00907CB4"/>
    <w:rsid w:val="00910894"/>
    <w:rsid w:val="00910F23"/>
    <w:rsid w:val="009110F1"/>
    <w:rsid w:val="0091142A"/>
    <w:rsid w:val="00911F57"/>
    <w:rsid w:val="0091234D"/>
    <w:rsid w:val="00912929"/>
    <w:rsid w:val="009141D9"/>
    <w:rsid w:val="009142F1"/>
    <w:rsid w:val="00914594"/>
    <w:rsid w:val="0091480A"/>
    <w:rsid w:val="00914C1F"/>
    <w:rsid w:val="00914F88"/>
    <w:rsid w:val="00915B40"/>
    <w:rsid w:val="0091614B"/>
    <w:rsid w:val="00916525"/>
    <w:rsid w:val="0091794B"/>
    <w:rsid w:val="00917C1F"/>
    <w:rsid w:val="00917CD4"/>
    <w:rsid w:val="00917E02"/>
    <w:rsid w:val="00920458"/>
    <w:rsid w:val="0092085F"/>
    <w:rsid w:val="009211AC"/>
    <w:rsid w:val="00923925"/>
    <w:rsid w:val="00923E43"/>
    <w:rsid w:val="00924057"/>
    <w:rsid w:val="00924313"/>
    <w:rsid w:val="00924956"/>
    <w:rsid w:val="009251DF"/>
    <w:rsid w:val="00925853"/>
    <w:rsid w:val="00925ADC"/>
    <w:rsid w:val="00926056"/>
    <w:rsid w:val="00926223"/>
    <w:rsid w:val="0092712E"/>
    <w:rsid w:val="00927AF6"/>
    <w:rsid w:val="00930555"/>
    <w:rsid w:val="0093068A"/>
    <w:rsid w:val="00930887"/>
    <w:rsid w:val="009312A2"/>
    <w:rsid w:val="00931ACB"/>
    <w:rsid w:val="0093353D"/>
    <w:rsid w:val="00933801"/>
    <w:rsid w:val="009342AF"/>
    <w:rsid w:val="009347D0"/>
    <w:rsid w:val="00934D21"/>
    <w:rsid w:val="00935147"/>
    <w:rsid w:val="009363EC"/>
    <w:rsid w:val="009405CC"/>
    <w:rsid w:val="00940E48"/>
    <w:rsid w:val="00941E74"/>
    <w:rsid w:val="00941F31"/>
    <w:rsid w:val="0094222D"/>
    <w:rsid w:val="009429F7"/>
    <w:rsid w:val="00942CE7"/>
    <w:rsid w:val="00942D03"/>
    <w:rsid w:val="0094327F"/>
    <w:rsid w:val="009432F2"/>
    <w:rsid w:val="00943DAD"/>
    <w:rsid w:val="009440EA"/>
    <w:rsid w:val="00946654"/>
    <w:rsid w:val="009470AF"/>
    <w:rsid w:val="009471E1"/>
    <w:rsid w:val="009472B5"/>
    <w:rsid w:val="009528F6"/>
    <w:rsid w:val="009533C6"/>
    <w:rsid w:val="00953EFC"/>
    <w:rsid w:val="009558D1"/>
    <w:rsid w:val="00956F2F"/>
    <w:rsid w:val="00960EAC"/>
    <w:rsid w:val="00962F93"/>
    <w:rsid w:val="009633BE"/>
    <w:rsid w:val="00963BCA"/>
    <w:rsid w:val="00964D5C"/>
    <w:rsid w:val="0096507F"/>
    <w:rsid w:val="009657FB"/>
    <w:rsid w:val="009673FD"/>
    <w:rsid w:val="00971DBF"/>
    <w:rsid w:val="00972001"/>
    <w:rsid w:val="00972017"/>
    <w:rsid w:val="009721AD"/>
    <w:rsid w:val="0097228D"/>
    <w:rsid w:val="00974385"/>
    <w:rsid w:val="00974450"/>
    <w:rsid w:val="009757B8"/>
    <w:rsid w:val="009765BF"/>
    <w:rsid w:val="009774C0"/>
    <w:rsid w:val="0098047F"/>
    <w:rsid w:val="00980814"/>
    <w:rsid w:val="00980883"/>
    <w:rsid w:val="009815BF"/>
    <w:rsid w:val="0098180D"/>
    <w:rsid w:val="0098204C"/>
    <w:rsid w:val="00982245"/>
    <w:rsid w:val="009824BE"/>
    <w:rsid w:val="00982C00"/>
    <w:rsid w:val="00982E2B"/>
    <w:rsid w:val="009836D5"/>
    <w:rsid w:val="009841FA"/>
    <w:rsid w:val="00984B62"/>
    <w:rsid w:val="00985159"/>
    <w:rsid w:val="00985664"/>
    <w:rsid w:val="009857F3"/>
    <w:rsid w:val="009864C8"/>
    <w:rsid w:val="00986F25"/>
    <w:rsid w:val="009879E2"/>
    <w:rsid w:val="00987CAF"/>
    <w:rsid w:val="00987FC0"/>
    <w:rsid w:val="00990B83"/>
    <w:rsid w:val="00990BA6"/>
    <w:rsid w:val="009912AB"/>
    <w:rsid w:val="00992434"/>
    <w:rsid w:val="009924A7"/>
    <w:rsid w:val="00993882"/>
    <w:rsid w:val="00994563"/>
    <w:rsid w:val="00994E9B"/>
    <w:rsid w:val="009969AE"/>
    <w:rsid w:val="00997663"/>
    <w:rsid w:val="00997D50"/>
    <w:rsid w:val="00997EAB"/>
    <w:rsid w:val="009A0942"/>
    <w:rsid w:val="009A0A12"/>
    <w:rsid w:val="009A0AB7"/>
    <w:rsid w:val="009A150E"/>
    <w:rsid w:val="009A1DEF"/>
    <w:rsid w:val="009A20D4"/>
    <w:rsid w:val="009A2784"/>
    <w:rsid w:val="009A290C"/>
    <w:rsid w:val="009A2CC4"/>
    <w:rsid w:val="009A317B"/>
    <w:rsid w:val="009A3522"/>
    <w:rsid w:val="009A401F"/>
    <w:rsid w:val="009A4F6A"/>
    <w:rsid w:val="009A505B"/>
    <w:rsid w:val="009A664C"/>
    <w:rsid w:val="009A692F"/>
    <w:rsid w:val="009A7985"/>
    <w:rsid w:val="009B11F1"/>
    <w:rsid w:val="009B2022"/>
    <w:rsid w:val="009B2AF7"/>
    <w:rsid w:val="009B3071"/>
    <w:rsid w:val="009B3264"/>
    <w:rsid w:val="009B3943"/>
    <w:rsid w:val="009B3A18"/>
    <w:rsid w:val="009B426E"/>
    <w:rsid w:val="009B4A4B"/>
    <w:rsid w:val="009B5755"/>
    <w:rsid w:val="009B5E28"/>
    <w:rsid w:val="009B7B3E"/>
    <w:rsid w:val="009C0650"/>
    <w:rsid w:val="009C1427"/>
    <w:rsid w:val="009C1F71"/>
    <w:rsid w:val="009C20C0"/>
    <w:rsid w:val="009C2B05"/>
    <w:rsid w:val="009C364D"/>
    <w:rsid w:val="009C3F44"/>
    <w:rsid w:val="009C52B2"/>
    <w:rsid w:val="009C5880"/>
    <w:rsid w:val="009C59C7"/>
    <w:rsid w:val="009C5B81"/>
    <w:rsid w:val="009C601E"/>
    <w:rsid w:val="009C60D3"/>
    <w:rsid w:val="009C6AD7"/>
    <w:rsid w:val="009C750B"/>
    <w:rsid w:val="009C7648"/>
    <w:rsid w:val="009C7D2E"/>
    <w:rsid w:val="009C7DA9"/>
    <w:rsid w:val="009D02EE"/>
    <w:rsid w:val="009D181B"/>
    <w:rsid w:val="009D20CE"/>
    <w:rsid w:val="009D2DD4"/>
    <w:rsid w:val="009D412A"/>
    <w:rsid w:val="009D50D9"/>
    <w:rsid w:val="009D519B"/>
    <w:rsid w:val="009D5595"/>
    <w:rsid w:val="009D5987"/>
    <w:rsid w:val="009D5CBC"/>
    <w:rsid w:val="009D5D89"/>
    <w:rsid w:val="009D7118"/>
    <w:rsid w:val="009D7C1C"/>
    <w:rsid w:val="009E002C"/>
    <w:rsid w:val="009E06F8"/>
    <w:rsid w:val="009E1506"/>
    <w:rsid w:val="009E247A"/>
    <w:rsid w:val="009E2817"/>
    <w:rsid w:val="009E3CA2"/>
    <w:rsid w:val="009E4097"/>
    <w:rsid w:val="009E4307"/>
    <w:rsid w:val="009E446E"/>
    <w:rsid w:val="009E4E84"/>
    <w:rsid w:val="009E5A0E"/>
    <w:rsid w:val="009E5EEC"/>
    <w:rsid w:val="009E63FA"/>
    <w:rsid w:val="009E72B0"/>
    <w:rsid w:val="009E7BC8"/>
    <w:rsid w:val="009E7F88"/>
    <w:rsid w:val="009F0396"/>
    <w:rsid w:val="009F0C9B"/>
    <w:rsid w:val="009F1E46"/>
    <w:rsid w:val="009F3871"/>
    <w:rsid w:val="009F3CA0"/>
    <w:rsid w:val="009F3FEE"/>
    <w:rsid w:val="009F45E6"/>
    <w:rsid w:val="009F4BAE"/>
    <w:rsid w:val="009F5378"/>
    <w:rsid w:val="009F554D"/>
    <w:rsid w:val="009F6D19"/>
    <w:rsid w:val="00A00E39"/>
    <w:rsid w:val="00A01681"/>
    <w:rsid w:val="00A01E67"/>
    <w:rsid w:val="00A023AA"/>
    <w:rsid w:val="00A023EE"/>
    <w:rsid w:val="00A02A8A"/>
    <w:rsid w:val="00A03063"/>
    <w:rsid w:val="00A0371A"/>
    <w:rsid w:val="00A03922"/>
    <w:rsid w:val="00A0417D"/>
    <w:rsid w:val="00A0489D"/>
    <w:rsid w:val="00A04E9E"/>
    <w:rsid w:val="00A052F5"/>
    <w:rsid w:val="00A05707"/>
    <w:rsid w:val="00A05E94"/>
    <w:rsid w:val="00A0649B"/>
    <w:rsid w:val="00A068C2"/>
    <w:rsid w:val="00A068F6"/>
    <w:rsid w:val="00A06A20"/>
    <w:rsid w:val="00A06B8D"/>
    <w:rsid w:val="00A06C6E"/>
    <w:rsid w:val="00A07460"/>
    <w:rsid w:val="00A077DD"/>
    <w:rsid w:val="00A10079"/>
    <w:rsid w:val="00A101AA"/>
    <w:rsid w:val="00A11597"/>
    <w:rsid w:val="00A1239B"/>
    <w:rsid w:val="00A12B9C"/>
    <w:rsid w:val="00A12E2F"/>
    <w:rsid w:val="00A13023"/>
    <w:rsid w:val="00A1316B"/>
    <w:rsid w:val="00A13A6B"/>
    <w:rsid w:val="00A14524"/>
    <w:rsid w:val="00A1459E"/>
    <w:rsid w:val="00A14BAB"/>
    <w:rsid w:val="00A16B10"/>
    <w:rsid w:val="00A177E2"/>
    <w:rsid w:val="00A20936"/>
    <w:rsid w:val="00A20B93"/>
    <w:rsid w:val="00A21592"/>
    <w:rsid w:val="00A2273B"/>
    <w:rsid w:val="00A22C6A"/>
    <w:rsid w:val="00A246F5"/>
    <w:rsid w:val="00A24A3C"/>
    <w:rsid w:val="00A2578C"/>
    <w:rsid w:val="00A258B2"/>
    <w:rsid w:val="00A26341"/>
    <w:rsid w:val="00A27BAF"/>
    <w:rsid w:val="00A301D0"/>
    <w:rsid w:val="00A30352"/>
    <w:rsid w:val="00A30381"/>
    <w:rsid w:val="00A304DC"/>
    <w:rsid w:val="00A30F57"/>
    <w:rsid w:val="00A319E7"/>
    <w:rsid w:val="00A322AE"/>
    <w:rsid w:val="00A3286C"/>
    <w:rsid w:val="00A3333D"/>
    <w:rsid w:val="00A341DB"/>
    <w:rsid w:val="00A35065"/>
    <w:rsid w:val="00A35507"/>
    <w:rsid w:val="00A355A9"/>
    <w:rsid w:val="00A357D0"/>
    <w:rsid w:val="00A37232"/>
    <w:rsid w:val="00A3751A"/>
    <w:rsid w:val="00A376BF"/>
    <w:rsid w:val="00A37D7E"/>
    <w:rsid w:val="00A40BAA"/>
    <w:rsid w:val="00A40F7D"/>
    <w:rsid w:val="00A410A5"/>
    <w:rsid w:val="00A42B79"/>
    <w:rsid w:val="00A42DCF"/>
    <w:rsid w:val="00A42F58"/>
    <w:rsid w:val="00A43487"/>
    <w:rsid w:val="00A43EC9"/>
    <w:rsid w:val="00A4413E"/>
    <w:rsid w:val="00A44E2F"/>
    <w:rsid w:val="00A453C9"/>
    <w:rsid w:val="00A458E7"/>
    <w:rsid w:val="00A45FC6"/>
    <w:rsid w:val="00A462B0"/>
    <w:rsid w:val="00A468D2"/>
    <w:rsid w:val="00A46E16"/>
    <w:rsid w:val="00A477F9"/>
    <w:rsid w:val="00A47CD9"/>
    <w:rsid w:val="00A503B2"/>
    <w:rsid w:val="00A505DE"/>
    <w:rsid w:val="00A515E4"/>
    <w:rsid w:val="00A51894"/>
    <w:rsid w:val="00A51DA8"/>
    <w:rsid w:val="00A5318D"/>
    <w:rsid w:val="00A54B47"/>
    <w:rsid w:val="00A54F88"/>
    <w:rsid w:val="00A562DF"/>
    <w:rsid w:val="00A566C6"/>
    <w:rsid w:val="00A5774D"/>
    <w:rsid w:val="00A60419"/>
    <w:rsid w:val="00A60BDC"/>
    <w:rsid w:val="00A60FB8"/>
    <w:rsid w:val="00A615EE"/>
    <w:rsid w:val="00A615FF"/>
    <w:rsid w:val="00A61A54"/>
    <w:rsid w:val="00A61D24"/>
    <w:rsid w:val="00A624F2"/>
    <w:rsid w:val="00A62837"/>
    <w:rsid w:val="00A6347C"/>
    <w:rsid w:val="00A63BCB"/>
    <w:rsid w:val="00A658FB"/>
    <w:rsid w:val="00A658FE"/>
    <w:rsid w:val="00A65E36"/>
    <w:rsid w:val="00A66094"/>
    <w:rsid w:val="00A664D8"/>
    <w:rsid w:val="00A66AE9"/>
    <w:rsid w:val="00A66F9D"/>
    <w:rsid w:val="00A67E43"/>
    <w:rsid w:val="00A71043"/>
    <w:rsid w:val="00A713E0"/>
    <w:rsid w:val="00A7355E"/>
    <w:rsid w:val="00A73705"/>
    <w:rsid w:val="00A749FB"/>
    <w:rsid w:val="00A75A2A"/>
    <w:rsid w:val="00A75F6A"/>
    <w:rsid w:val="00A7667F"/>
    <w:rsid w:val="00A81CE4"/>
    <w:rsid w:val="00A81D12"/>
    <w:rsid w:val="00A829F5"/>
    <w:rsid w:val="00A835DF"/>
    <w:rsid w:val="00A83ADF"/>
    <w:rsid w:val="00A83FF3"/>
    <w:rsid w:val="00A847CE"/>
    <w:rsid w:val="00A84878"/>
    <w:rsid w:val="00A84956"/>
    <w:rsid w:val="00A8667C"/>
    <w:rsid w:val="00A86D31"/>
    <w:rsid w:val="00A901A0"/>
    <w:rsid w:val="00A91F16"/>
    <w:rsid w:val="00A92B74"/>
    <w:rsid w:val="00A9519E"/>
    <w:rsid w:val="00A95926"/>
    <w:rsid w:val="00A95D56"/>
    <w:rsid w:val="00A96FC8"/>
    <w:rsid w:val="00A97612"/>
    <w:rsid w:val="00A97B24"/>
    <w:rsid w:val="00AA02E4"/>
    <w:rsid w:val="00AA06A4"/>
    <w:rsid w:val="00AA0DF9"/>
    <w:rsid w:val="00AA116C"/>
    <w:rsid w:val="00AA1A24"/>
    <w:rsid w:val="00AA1E63"/>
    <w:rsid w:val="00AA2AFD"/>
    <w:rsid w:val="00AA3621"/>
    <w:rsid w:val="00AA378B"/>
    <w:rsid w:val="00AA3896"/>
    <w:rsid w:val="00AA38DF"/>
    <w:rsid w:val="00AA3CF6"/>
    <w:rsid w:val="00AA6263"/>
    <w:rsid w:val="00AA7192"/>
    <w:rsid w:val="00AA7ED4"/>
    <w:rsid w:val="00AA7F39"/>
    <w:rsid w:val="00AB0076"/>
    <w:rsid w:val="00AB05F8"/>
    <w:rsid w:val="00AB0D4A"/>
    <w:rsid w:val="00AB1D01"/>
    <w:rsid w:val="00AB3E7E"/>
    <w:rsid w:val="00AB4FCB"/>
    <w:rsid w:val="00AB5162"/>
    <w:rsid w:val="00AB6488"/>
    <w:rsid w:val="00AB6964"/>
    <w:rsid w:val="00AB741F"/>
    <w:rsid w:val="00AB7901"/>
    <w:rsid w:val="00AC0CFC"/>
    <w:rsid w:val="00AC1252"/>
    <w:rsid w:val="00AC1748"/>
    <w:rsid w:val="00AC243E"/>
    <w:rsid w:val="00AC255A"/>
    <w:rsid w:val="00AC2D5F"/>
    <w:rsid w:val="00AC3045"/>
    <w:rsid w:val="00AC37A5"/>
    <w:rsid w:val="00AC489D"/>
    <w:rsid w:val="00AC4B32"/>
    <w:rsid w:val="00AC57A6"/>
    <w:rsid w:val="00AC590E"/>
    <w:rsid w:val="00AC7567"/>
    <w:rsid w:val="00AC79A2"/>
    <w:rsid w:val="00AC7E39"/>
    <w:rsid w:val="00AD2011"/>
    <w:rsid w:val="00AD28BE"/>
    <w:rsid w:val="00AD33D9"/>
    <w:rsid w:val="00AD3A58"/>
    <w:rsid w:val="00AD5862"/>
    <w:rsid w:val="00AD6720"/>
    <w:rsid w:val="00AD6D2B"/>
    <w:rsid w:val="00AE0060"/>
    <w:rsid w:val="00AE1A50"/>
    <w:rsid w:val="00AE267E"/>
    <w:rsid w:val="00AE2F74"/>
    <w:rsid w:val="00AE39A3"/>
    <w:rsid w:val="00AE3EBE"/>
    <w:rsid w:val="00AE4772"/>
    <w:rsid w:val="00AE50EB"/>
    <w:rsid w:val="00AE52F0"/>
    <w:rsid w:val="00AE544C"/>
    <w:rsid w:val="00AE604A"/>
    <w:rsid w:val="00AE70B5"/>
    <w:rsid w:val="00AE7578"/>
    <w:rsid w:val="00AE7914"/>
    <w:rsid w:val="00AE7F10"/>
    <w:rsid w:val="00AF02A8"/>
    <w:rsid w:val="00AF156E"/>
    <w:rsid w:val="00AF1908"/>
    <w:rsid w:val="00AF20DE"/>
    <w:rsid w:val="00AF2DEA"/>
    <w:rsid w:val="00AF3470"/>
    <w:rsid w:val="00AF3F4A"/>
    <w:rsid w:val="00AF4B7E"/>
    <w:rsid w:val="00AF59AE"/>
    <w:rsid w:val="00AF61D5"/>
    <w:rsid w:val="00AF7D58"/>
    <w:rsid w:val="00B00068"/>
    <w:rsid w:val="00B000F8"/>
    <w:rsid w:val="00B0041D"/>
    <w:rsid w:val="00B00B0A"/>
    <w:rsid w:val="00B00B0D"/>
    <w:rsid w:val="00B00F72"/>
    <w:rsid w:val="00B0166F"/>
    <w:rsid w:val="00B0183F"/>
    <w:rsid w:val="00B0221B"/>
    <w:rsid w:val="00B02534"/>
    <w:rsid w:val="00B02BCE"/>
    <w:rsid w:val="00B02EBC"/>
    <w:rsid w:val="00B04889"/>
    <w:rsid w:val="00B04F3B"/>
    <w:rsid w:val="00B05ABE"/>
    <w:rsid w:val="00B06440"/>
    <w:rsid w:val="00B06D03"/>
    <w:rsid w:val="00B07085"/>
    <w:rsid w:val="00B07577"/>
    <w:rsid w:val="00B07E28"/>
    <w:rsid w:val="00B1004F"/>
    <w:rsid w:val="00B10DAE"/>
    <w:rsid w:val="00B10FF4"/>
    <w:rsid w:val="00B1136B"/>
    <w:rsid w:val="00B121EE"/>
    <w:rsid w:val="00B135BF"/>
    <w:rsid w:val="00B140E8"/>
    <w:rsid w:val="00B14304"/>
    <w:rsid w:val="00B145F9"/>
    <w:rsid w:val="00B14734"/>
    <w:rsid w:val="00B14A6A"/>
    <w:rsid w:val="00B14EF5"/>
    <w:rsid w:val="00B14F79"/>
    <w:rsid w:val="00B1539E"/>
    <w:rsid w:val="00B155ED"/>
    <w:rsid w:val="00B1606D"/>
    <w:rsid w:val="00B162CB"/>
    <w:rsid w:val="00B16DF0"/>
    <w:rsid w:val="00B2010F"/>
    <w:rsid w:val="00B202AF"/>
    <w:rsid w:val="00B20A6F"/>
    <w:rsid w:val="00B20FAF"/>
    <w:rsid w:val="00B21652"/>
    <w:rsid w:val="00B21A4E"/>
    <w:rsid w:val="00B21A9C"/>
    <w:rsid w:val="00B22146"/>
    <w:rsid w:val="00B22748"/>
    <w:rsid w:val="00B23041"/>
    <w:rsid w:val="00B236D7"/>
    <w:rsid w:val="00B254D4"/>
    <w:rsid w:val="00B25BF2"/>
    <w:rsid w:val="00B265BA"/>
    <w:rsid w:val="00B26A4D"/>
    <w:rsid w:val="00B26F2B"/>
    <w:rsid w:val="00B26FAD"/>
    <w:rsid w:val="00B30172"/>
    <w:rsid w:val="00B3123D"/>
    <w:rsid w:val="00B3150B"/>
    <w:rsid w:val="00B32210"/>
    <w:rsid w:val="00B32A42"/>
    <w:rsid w:val="00B32E0E"/>
    <w:rsid w:val="00B32F7F"/>
    <w:rsid w:val="00B33A0C"/>
    <w:rsid w:val="00B357F2"/>
    <w:rsid w:val="00B37A8E"/>
    <w:rsid w:val="00B37F97"/>
    <w:rsid w:val="00B401E9"/>
    <w:rsid w:val="00B40DC3"/>
    <w:rsid w:val="00B41495"/>
    <w:rsid w:val="00B41AB8"/>
    <w:rsid w:val="00B41B9F"/>
    <w:rsid w:val="00B42073"/>
    <w:rsid w:val="00B42456"/>
    <w:rsid w:val="00B42E71"/>
    <w:rsid w:val="00B4421A"/>
    <w:rsid w:val="00B444F4"/>
    <w:rsid w:val="00B44FAF"/>
    <w:rsid w:val="00B45392"/>
    <w:rsid w:val="00B4546C"/>
    <w:rsid w:val="00B4703B"/>
    <w:rsid w:val="00B4752A"/>
    <w:rsid w:val="00B4768F"/>
    <w:rsid w:val="00B47C2A"/>
    <w:rsid w:val="00B501F2"/>
    <w:rsid w:val="00B51AE5"/>
    <w:rsid w:val="00B52111"/>
    <w:rsid w:val="00B521E3"/>
    <w:rsid w:val="00B52522"/>
    <w:rsid w:val="00B52C03"/>
    <w:rsid w:val="00B53444"/>
    <w:rsid w:val="00B53F1A"/>
    <w:rsid w:val="00B540A2"/>
    <w:rsid w:val="00B540AA"/>
    <w:rsid w:val="00B54C57"/>
    <w:rsid w:val="00B550DA"/>
    <w:rsid w:val="00B552FE"/>
    <w:rsid w:val="00B55E99"/>
    <w:rsid w:val="00B56353"/>
    <w:rsid w:val="00B56378"/>
    <w:rsid w:val="00B5670E"/>
    <w:rsid w:val="00B5686F"/>
    <w:rsid w:val="00B56988"/>
    <w:rsid w:val="00B57985"/>
    <w:rsid w:val="00B579B9"/>
    <w:rsid w:val="00B60564"/>
    <w:rsid w:val="00B60949"/>
    <w:rsid w:val="00B60EFA"/>
    <w:rsid w:val="00B6139A"/>
    <w:rsid w:val="00B615EF"/>
    <w:rsid w:val="00B6286D"/>
    <w:rsid w:val="00B62F5F"/>
    <w:rsid w:val="00B644DF"/>
    <w:rsid w:val="00B654E5"/>
    <w:rsid w:val="00B656C7"/>
    <w:rsid w:val="00B65BDB"/>
    <w:rsid w:val="00B66590"/>
    <w:rsid w:val="00B66FAF"/>
    <w:rsid w:val="00B67E86"/>
    <w:rsid w:val="00B70C73"/>
    <w:rsid w:val="00B70D43"/>
    <w:rsid w:val="00B70F13"/>
    <w:rsid w:val="00B716E7"/>
    <w:rsid w:val="00B74B19"/>
    <w:rsid w:val="00B74FC8"/>
    <w:rsid w:val="00B75C41"/>
    <w:rsid w:val="00B76357"/>
    <w:rsid w:val="00B76BB8"/>
    <w:rsid w:val="00B76DBD"/>
    <w:rsid w:val="00B76F84"/>
    <w:rsid w:val="00B771AC"/>
    <w:rsid w:val="00B775A3"/>
    <w:rsid w:val="00B77670"/>
    <w:rsid w:val="00B778E5"/>
    <w:rsid w:val="00B77F44"/>
    <w:rsid w:val="00B8088D"/>
    <w:rsid w:val="00B8135A"/>
    <w:rsid w:val="00B81E1A"/>
    <w:rsid w:val="00B81E6B"/>
    <w:rsid w:val="00B8202B"/>
    <w:rsid w:val="00B82DB9"/>
    <w:rsid w:val="00B83689"/>
    <w:rsid w:val="00B83927"/>
    <w:rsid w:val="00B83A2A"/>
    <w:rsid w:val="00B85B19"/>
    <w:rsid w:val="00B86D4B"/>
    <w:rsid w:val="00B873B9"/>
    <w:rsid w:val="00B87728"/>
    <w:rsid w:val="00B87FA0"/>
    <w:rsid w:val="00B9000D"/>
    <w:rsid w:val="00B9028F"/>
    <w:rsid w:val="00B90D32"/>
    <w:rsid w:val="00B913B9"/>
    <w:rsid w:val="00B91A4A"/>
    <w:rsid w:val="00B91C20"/>
    <w:rsid w:val="00B92EA0"/>
    <w:rsid w:val="00B92EAD"/>
    <w:rsid w:val="00B937AA"/>
    <w:rsid w:val="00B9397A"/>
    <w:rsid w:val="00B939FF"/>
    <w:rsid w:val="00B93AF2"/>
    <w:rsid w:val="00B93E41"/>
    <w:rsid w:val="00B94128"/>
    <w:rsid w:val="00B94C4B"/>
    <w:rsid w:val="00B95567"/>
    <w:rsid w:val="00B95CCA"/>
    <w:rsid w:val="00B9624E"/>
    <w:rsid w:val="00B96B52"/>
    <w:rsid w:val="00BA05E0"/>
    <w:rsid w:val="00BA0D53"/>
    <w:rsid w:val="00BA0E7C"/>
    <w:rsid w:val="00BA0F4C"/>
    <w:rsid w:val="00BA133E"/>
    <w:rsid w:val="00BA1881"/>
    <w:rsid w:val="00BA26C1"/>
    <w:rsid w:val="00BA3552"/>
    <w:rsid w:val="00BA3B18"/>
    <w:rsid w:val="00BA3B8C"/>
    <w:rsid w:val="00BA42B4"/>
    <w:rsid w:val="00BA6E99"/>
    <w:rsid w:val="00BA723A"/>
    <w:rsid w:val="00BA78FA"/>
    <w:rsid w:val="00BA7B70"/>
    <w:rsid w:val="00BA7DA5"/>
    <w:rsid w:val="00BB03F8"/>
    <w:rsid w:val="00BB0EA0"/>
    <w:rsid w:val="00BB12A9"/>
    <w:rsid w:val="00BB15A2"/>
    <w:rsid w:val="00BB1D44"/>
    <w:rsid w:val="00BB2533"/>
    <w:rsid w:val="00BB2DE7"/>
    <w:rsid w:val="00BB3112"/>
    <w:rsid w:val="00BB37C5"/>
    <w:rsid w:val="00BB3909"/>
    <w:rsid w:val="00BB4149"/>
    <w:rsid w:val="00BB5DB2"/>
    <w:rsid w:val="00BB5FD2"/>
    <w:rsid w:val="00BB62B4"/>
    <w:rsid w:val="00BB76C9"/>
    <w:rsid w:val="00BB79E8"/>
    <w:rsid w:val="00BB7E6D"/>
    <w:rsid w:val="00BC09D8"/>
    <w:rsid w:val="00BC0A40"/>
    <w:rsid w:val="00BC0DFE"/>
    <w:rsid w:val="00BC16C7"/>
    <w:rsid w:val="00BC1AF2"/>
    <w:rsid w:val="00BC1F1F"/>
    <w:rsid w:val="00BC2DC4"/>
    <w:rsid w:val="00BC3A2F"/>
    <w:rsid w:val="00BC4732"/>
    <w:rsid w:val="00BC59B4"/>
    <w:rsid w:val="00BC5FAC"/>
    <w:rsid w:val="00BC63A0"/>
    <w:rsid w:val="00BC6C6B"/>
    <w:rsid w:val="00BC6FC9"/>
    <w:rsid w:val="00BC7044"/>
    <w:rsid w:val="00BC73CF"/>
    <w:rsid w:val="00BD033C"/>
    <w:rsid w:val="00BD0434"/>
    <w:rsid w:val="00BD09C3"/>
    <w:rsid w:val="00BD0A40"/>
    <w:rsid w:val="00BD1034"/>
    <w:rsid w:val="00BD1239"/>
    <w:rsid w:val="00BD1328"/>
    <w:rsid w:val="00BD22E5"/>
    <w:rsid w:val="00BD281A"/>
    <w:rsid w:val="00BD2ED5"/>
    <w:rsid w:val="00BD2FFA"/>
    <w:rsid w:val="00BD3ED6"/>
    <w:rsid w:val="00BD3F80"/>
    <w:rsid w:val="00BD4E37"/>
    <w:rsid w:val="00BD57DF"/>
    <w:rsid w:val="00BD5BF2"/>
    <w:rsid w:val="00BD641F"/>
    <w:rsid w:val="00BE0804"/>
    <w:rsid w:val="00BE0B8A"/>
    <w:rsid w:val="00BE1537"/>
    <w:rsid w:val="00BE44C7"/>
    <w:rsid w:val="00BE4E71"/>
    <w:rsid w:val="00BE54C3"/>
    <w:rsid w:val="00BE6346"/>
    <w:rsid w:val="00BE6E11"/>
    <w:rsid w:val="00BE7F4F"/>
    <w:rsid w:val="00BF0C92"/>
    <w:rsid w:val="00BF1126"/>
    <w:rsid w:val="00BF2D59"/>
    <w:rsid w:val="00BF3979"/>
    <w:rsid w:val="00BF3D9C"/>
    <w:rsid w:val="00BF419D"/>
    <w:rsid w:val="00BF4788"/>
    <w:rsid w:val="00BF48EE"/>
    <w:rsid w:val="00BF4930"/>
    <w:rsid w:val="00BF5B6B"/>
    <w:rsid w:val="00BF5B80"/>
    <w:rsid w:val="00BF6288"/>
    <w:rsid w:val="00BF677C"/>
    <w:rsid w:val="00BF71C5"/>
    <w:rsid w:val="00BF7343"/>
    <w:rsid w:val="00C0036F"/>
    <w:rsid w:val="00C0096F"/>
    <w:rsid w:val="00C00C89"/>
    <w:rsid w:val="00C01AFE"/>
    <w:rsid w:val="00C02873"/>
    <w:rsid w:val="00C02BD0"/>
    <w:rsid w:val="00C0423E"/>
    <w:rsid w:val="00C04410"/>
    <w:rsid w:val="00C04817"/>
    <w:rsid w:val="00C04E34"/>
    <w:rsid w:val="00C05D4C"/>
    <w:rsid w:val="00C05E34"/>
    <w:rsid w:val="00C06BA6"/>
    <w:rsid w:val="00C07581"/>
    <w:rsid w:val="00C0772A"/>
    <w:rsid w:val="00C1040A"/>
    <w:rsid w:val="00C12514"/>
    <w:rsid w:val="00C12C7D"/>
    <w:rsid w:val="00C12D86"/>
    <w:rsid w:val="00C1363D"/>
    <w:rsid w:val="00C13708"/>
    <w:rsid w:val="00C13737"/>
    <w:rsid w:val="00C13910"/>
    <w:rsid w:val="00C13F9E"/>
    <w:rsid w:val="00C140A7"/>
    <w:rsid w:val="00C14678"/>
    <w:rsid w:val="00C15898"/>
    <w:rsid w:val="00C1596C"/>
    <w:rsid w:val="00C1727B"/>
    <w:rsid w:val="00C20123"/>
    <w:rsid w:val="00C21182"/>
    <w:rsid w:val="00C21A1B"/>
    <w:rsid w:val="00C21C17"/>
    <w:rsid w:val="00C221CD"/>
    <w:rsid w:val="00C23DAF"/>
    <w:rsid w:val="00C2458C"/>
    <w:rsid w:val="00C24AA8"/>
    <w:rsid w:val="00C24AB2"/>
    <w:rsid w:val="00C25234"/>
    <w:rsid w:val="00C25626"/>
    <w:rsid w:val="00C264BE"/>
    <w:rsid w:val="00C26D02"/>
    <w:rsid w:val="00C30111"/>
    <w:rsid w:val="00C3100E"/>
    <w:rsid w:val="00C32012"/>
    <w:rsid w:val="00C323A6"/>
    <w:rsid w:val="00C32B0F"/>
    <w:rsid w:val="00C331FD"/>
    <w:rsid w:val="00C33EFB"/>
    <w:rsid w:val="00C340D6"/>
    <w:rsid w:val="00C34777"/>
    <w:rsid w:val="00C34F69"/>
    <w:rsid w:val="00C3516F"/>
    <w:rsid w:val="00C3569A"/>
    <w:rsid w:val="00C357CF"/>
    <w:rsid w:val="00C362D3"/>
    <w:rsid w:val="00C366D0"/>
    <w:rsid w:val="00C36ECE"/>
    <w:rsid w:val="00C3752D"/>
    <w:rsid w:val="00C375DC"/>
    <w:rsid w:val="00C37BBD"/>
    <w:rsid w:val="00C4041C"/>
    <w:rsid w:val="00C409F1"/>
    <w:rsid w:val="00C41D3E"/>
    <w:rsid w:val="00C41E2D"/>
    <w:rsid w:val="00C42108"/>
    <w:rsid w:val="00C42A7E"/>
    <w:rsid w:val="00C4319D"/>
    <w:rsid w:val="00C433A4"/>
    <w:rsid w:val="00C436EC"/>
    <w:rsid w:val="00C43811"/>
    <w:rsid w:val="00C439D8"/>
    <w:rsid w:val="00C43DA9"/>
    <w:rsid w:val="00C45C6E"/>
    <w:rsid w:val="00C46D57"/>
    <w:rsid w:val="00C4707D"/>
    <w:rsid w:val="00C47667"/>
    <w:rsid w:val="00C476EB"/>
    <w:rsid w:val="00C518BE"/>
    <w:rsid w:val="00C51B77"/>
    <w:rsid w:val="00C52736"/>
    <w:rsid w:val="00C532CC"/>
    <w:rsid w:val="00C54370"/>
    <w:rsid w:val="00C5442F"/>
    <w:rsid w:val="00C544A9"/>
    <w:rsid w:val="00C549C3"/>
    <w:rsid w:val="00C5571A"/>
    <w:rsid w:val="00C558C7"/>
    <w:rsid w:val="00C57645"/>
    <w:rsid w:val="00C5769E"/>
    <w:rsid w:val="00C60526"/>
    <w:rsid w:val="00C606F5"/>
    <w:rsid w:val="00C61AFB"/>
    <w:rsid w:val="00C61DD5"/>
    <w:rsid w:val="00C628F3"/>
    <w:rsid w:val="00C62F7A"/>
    <w:rsid w:val="00C63300"/>
    <w:rsid w:val="00C63445"/>
    <w:rsid w:val="00C637E7"/>
    <w:rsid w:val="00C6414E"/>
    <w:rsid w:val="00C67702"/>
    <w:rsid w:val="00C7040D"/>
    <w:rsid w:val="00C70685"/>
    <w:rsid w:val="00C70951"/>
    <w:rsid w:val="00C70A3F"/>
    <w:rsid w:val="00C736EA"/>
    <w:rsid w:val="00C73E36"/>
    <w:rsid w:val="00C74305"/>
    <w:rsid w:val="00C7455A"/>
    <w:rsid w:val="00C74B7D"/>
    <w:rsid w:val="00C7543A"/>
    <w:rsid w:val="00C7663A"/>
    <w:rsid w:val="00C767D5"/>
    <w:rsid w:val="00C76ABA"/>
    <w:rsid w:val="00C7740F"/>
    <w:rsid w:val="00C80778"/>
    <w:rsid w:val="00C80A2A"/>
    <w:rsid w:val="00C80D5A"/>
    <w:rsid w:val="00C8138A"/>
    <w:rsid w:val="00C81565"/>
    <w:rsid w:val="00C84C01"/>
    <w:rsid w:val="00C85381"/>
    <w:rsid w:val="00C859E4"/>
    <w:rsid w:val="00C86A2A"/>
    <w:rsid w:val="00C8786B"/>
    <w:rsid w:val="00C90FA9"/>
    <w:rsid w:val="00C9116A"/>
    <w:rsid w:val="00C915D4"/>
    <w:rsid w:val="00C91F2B"/>
    <w:rsid w:val="00C921B6"/>
    <w:rsid w:val="00C92377"/>
    <w:rsid w:val="00C95263"/>
    <w:rsid w:val="00C9607D"/>
    <w:rsid w:val="00C960E5"/>
    <w:rsid w:val="00C96E99"/>
    <w:rsid w:val="00C97C8E"/>
    <w:rsid w:val="00C97F1D"/>
    <w:rsid w:val="00CA0619"/>
    <w:rsid w:val="00CA12F5"/>
    <w:rsid w:val="00CA15C0"/>
    <w:rsid w:val="00CA2AAC"/>
    <w:rsid w:val="00CA4862"/>
    <w:rsid w:val="00CA4DF1"/>
    <w:rsid w:val="00CA521C"/>
    <w:rsid w:val="00CA5B13"/>
    <w:rsid w:val="00CA5BBF"/>
    <w:rsid w:val="00CA5D0E"/>
    <w:rsid w:val="00CA64C3"/>
    <w:rsid w:val="00CA6C9A"/>
    <w:rsid w:val="00CA760B"/>
    <w:rsid w:val="00CB0BB2"/>
    <w:rsid w:val="00CB0F86"/>
    <w:rsid w:val="00CB133E"/>
    <w:rsid w:val="00CB16F4"/>
    <w:rsid w:val="00CB2152"/>
    <w:rsid w:val="00CB2EAC"/>
    <w:rsid w:val="00CB2F87"/>
    <w:rsid w:val="00CB3BFD"/>
    <w:rsid w:val="00CB424C"/>
    <w:rsid w:val="00CB4812"/>
    <w:rsid w:val="00CB48FA"/>
    <w:rsid w:val="00CB498A"/>
    <w:rsid w:val="00CB5994"/>
    <w:rsid w:val="00CB5A4C"/>
    <w:rsid w:val="00CB5B05"/>
    <w:rsid w:val="00CB602F"/>
    <w:rsid w:val="00CB7922"/>
    <w:rsid w:val="00CB7C96"/>
    <w:rsid w:val="00CC04C2"/>
    <w:rsid w:val="00CC0926"/>
    <w:rsid w:val="00CC1277"/>
    <w:rsid w:val="00CC1F7E"/>
    <w:rsid w:val="00CC2AF3"/>
    <w:rsid w:val="00CC322D"/>
    <w:rsid w:val="00CC32AA"/>
    <w:rsid w:val="00CC49C1"/>
    <w:rsid w:val="00CC5F1F"/>
    <w:rsid w:val="00CC661B"/>
    <w:rsid w:val="00CC6F5C"/>
    <w:rsid w:val="00CC78BE"/>
    <w:rsid w:val="00CC7E3B"/>
    <w:rsid w:val="00CD0EB9"/>
    <w:rsid w:val="00CD1DCB"/>
    <w:rsid w:val="00CD26F4"/>
    <w:rsid w:val="00CD4234"/>
    <w:rsid w:val="00CD4625"/>
    <w:rsid w:val="00CD4D55"/>
    <w:rsid w:val="00CD4E01"/>
    <w:rsid w:val="00CD56A7"/>
    <w:rsid w:val="00CD64D2"/>
    <w:rsid w:val="00CD78CE"/>
    <w:rsid w:val="00CD7CCB"/>
    <w:rsid w:val="00CD7F32"/>
    <w:rsid w:val="00CE02A3"/>
    <w:rsid w:val="00CE146A"/>
    <w:rsid w:val="00CE15C7"/>
    <w:rsid w:val="00CE26C5"/>
    <w:rsid w:val="00CE2725"/>
    <w:rsid w:val="00CE2CBE"/>
    <w:rsid w:val="00CE30F0"/>
    <w:rsid w:val="00CE3D69"/>
    <w:rsid w:val="00CE4FCB"/>
    <w:rsid w:val="00CE6434"/>
    <w:rsid w:val="00CE7B31"/>
    <w:rsid w:val="00CE7D72"/>
    <w:rsid w:val="00CF09B9"/>
    <w:rsid w:val="00CF10E9"/>
    <w:rsid w:val="00CF1959"/>
    <w:rsid w:val="00CF2258"/>
    <w:rsid w:val="00CF2452"/>
    <w:rsid w:val="00CF29C6"/>
    <w:rsid w:val="00CF2A1B"/>
    <w:rsid w:val="00CF3DF2"/>
    <w:rsid w:val="00CF44F7"/>
    <w:rsid w:val="00CF47C4"/>
    <w:rsid w:val="00CF5096"/>
    <w:rsid w:val="00CF5405"/>
    <w:rsid w:val="00CF5B34"/>
    <w:rsid w:val="00CF5CDF"/>
    <w:rsid w:val="00CF6C60"/>
    <w:rsid w:val="00CF6D53"/>
    <w:rsid w:val="00CF71A4"/>
    <w:rsid w:val="00CF73A3"/>
    <w:rsid w:val="00D0015B"/>
    <w:rsid w:val="00D006FF"/>
    <w:rsid w:val="00D01C36"/>
    <w:rsid w:val="00D02ECC"/>
    <w:rsid w:val="00D0329C"/>
    <w:rsid w:val="00D035D6"/>
    <w:rsid w:val="00D06275"/>
    <w:rsid w:val="00D0639A"/>
    <w:rsid w:val="00D06ADD"/>
    <w:rsid w:val="00D06BD7"/>
    <w:rsid w:val="00D06D6A"/>
    <w:rsid w:val="00D06DA4"/>
    <w:rsid w:val="00D070CA"/>
    <w:rsid w:val="00D07D64"/>
    <w:rsid w:val="00D07E87"/>
    <w:rsid w:val="00D10139"/>
    <w:rsid w:val="00D10992"/>
    <w:rsid w:val="00D10B54"/>
    <w:rsid w:val="00D10F62"/>
    <w:rsid w:val="00D10FA4"/>
    <w:rsid w:val="00D11BFA"/>
    <w:rsid w:val="00D12011"/>
    <w:rsid w:val="00D12901"/>
    <w:rsid w:val="00D129D3"/>
    <w:rsid w:val="00D12AC5"/>
    <w:rsid w:val="00D12F46"/>
    <w:rsid w:val="00D130F7"/>
    <w:rsid w:val="00D1360E"/>
    <w:rsid w:val="00D13B9B"/>
    <w:rsid w:val="00D14FDE"/>
    <w:rsid w:val="00D158B0"/>
    <w:rsid w:val="00D1768B"/>
    <w:rsid w:val="00D17A33"/>
    <w:rsid w:val="00D20F29"/>
    <w:rsid w:val="00D22ABD"/>
    <w:rsid w:val="00D22E7B"/>
    <w:rsid w:val="00D22F8F"/>
    <w:rsid w:val="00D232E4"/>
    <w:rsid w:val="00D24EC1"/>
    <w:rsid w:val="00D26C9C"/>
    <w:rsid w:val="00D26D53"/>
    <w:rsid w:val="00D278A3"/>
    <w:rsid w:val="00D27B11"/>
    <w:rsid w:val="00D31013"/>
    <w:rsid w:val="00D316E5"/>
    <w:rsid w:val="00D33E71"/>
    <w:rsid w:val="00D342DE"/>
    <w:rsid w:val="00D3515E"/>
    <w:rsid w:val="00D35726"/>
    <w:rsid w:val="00D3676B"/>
    <w:rsid w:val="00D36796"/>
    <w:rsid w:val="00D37027"/>
    <w:rsid w:val="00D372A8"/>
    <w:rsid w:val="00D4141B"/>
    <w:rsid w:val="00D4241B"/>
    <w:rsid w:val="00D42D13"/>
    <w:rsid w:val="00D43242"/>
    <w:rsid w:val="00D43938"/>
    <w:rsid w:val="00D443E2"/>
    <w:rsid w:val="00D44945"/>
    <w:rsid w:val="00D44A57"/>
    <w:rsid w:val="00D44A71"/>
    <w:rsid w:val="00D463F3"/>
    <w:rsid w:val="00D46E84"/>
    <w:rsid w:val="00D47239"/>
    <w:rsid w:val="00D475C8"/>
    <w:rsid w:val="00D47FCA"/>
    <w:rsid w:val="00D51721"/>
    <w:rsid w:val="00D51818"/>
    <w:rsid w:val="00D5253B"/>
    <w:rsid w:val="00D527C0"/>
    <w:rsid w:val="00D52AF0"/>
    <w:rsid w:val="00D52B44"/>
    <w:rsid w:val="00D53A60"/>
    <w:rsid w:val="00D53D23"/>
    <w:rsid w:val="00D53DDD"/>
    <w:rsid w:val="00D5452A"/>
    <w:rsid w:val="00D546AE"/>
    <w:rsid w:val="00D55C08"/>
    <w:rsid w:val="00D55E20"/>
    <w:rsid w:val="00D56291"/>
    <w:rsid w:val="00D575E1"/>
    <w:rsid w:val="00D6012A"/>
    <w:rsid w:val="00D606AF"/>
    <w:rsid w:val="00D60C64"/>
    <w:rsid w:val="00D61466"/>
    <w:rsid w:val="00D634F7"/>
    <w:rsid w:val="00D64561"/>
    <w:rsid w:val="00D6649A"/>
    <w:rsid w:val="00D670C6"/>
    <w:rsid w:val="00D70228"/>
    <w:rsid w:val="00D70419"/>
    <w:rsid w:val="00D70875"/>
    <w:rsid w:val="00D70E52"/>
    <w:rsid w:val="00D722C0"/>
    <w:rsid w:val="00D73892"/>
    <w:rsid w:val="00D74961"/>
    <w:rsid w:val="00D75277"/>
    <w:rsid w:val="00D757B4"/>
    <w:rsid w:val="00D75E9C"/>
    <w:rsid w:val="00D7652B"/>
    <w:rsid w:val="00D7691A"/>
    <w:rsid w:val="00D77290"/>
    <w:rsid w:val="00D77400"/>
    <w:rsid w:val="00D774C6"/>
    <w:rsid w:val="00D77FD1"/>
    <w:rsid w:val="00D803F5"/>
    <w:rsid w:val="00D814B7"/>
    <w:rsid w:val="00D81B94"/>
    <w:rsid w:val="00D83736"/>
    <w:rsid w:val="00D838B9"/>
    <w:rsid w:val="00D83DA0"/>
    <w:rsid w:val="00D84090"/>
    <w:rsid w:val="00D85CCA"/>
    <w:rsid w:val="00D86113"/>
    <w:rsid w:val="00D865A2"/>
    <w:rsid w:val="00D86E7A"/>
    <w:rsid w:val="00D90289"/>
    <w:rsid w:val="00D90540"/>
    <w:rsid w:val="00D905C6"/>
    <w:rsid w:val="00D91505"/>
    <w:rsid w:val="00D91AC1"/>
    <w:rsid w:val="00D92563"/>
    <w:rsid w:val="00D9281B"/>
    <w:rsid w:val="00D9391D"/>
    <w:rsid w:val="00D93C10"/>
    <w:rsid w:val="00D944DB"/>
    <w:rsid w:val="00D94BA8"/>
    <w:rsid w:val="00D96282"/>
    <w:rsid w:val="00D9628E"/>
    <w:rsid w:val="00D96DBD"/>
    <w:rsid w:val="00D97067"/>
    <w:rsid w:val="00D97705"/>
    <w:rsid w:val="00D97760"/>
    <w:rsid w:val="00D97EDC"/>
    <w:rsid w:val="00DA0531"/>
    <w:rsid w:val="00DA0FD5"/>
    <w:rsid w:val="00DA13BB"/>
    <w:rsid w:val="00DA156E"/>
    <w:rsid w:val="00DA2BBA"/>
    <w:rsid w:val="00DA3337"/>
    <w:rsid w:val="00DA33BA"/>
    <w:rsid w:val="00DA3526"/>
    <w:rsid w:val="00DA3576"/>
    <w:rsid w:val="00DA44EE"/>
    <w:rsid w:val="00DA4C96"/>
    <w:rsid w:val="00DA51B5"/>
    <w:rsid w:val="00DA5C16"/>
    <w:rsid w:val="00DA5F13"/>
    <w:rsid w:val="00DA5F70"/>
    <w:rsid w:val="00DA63F0"/>
    <w:rsid w:val="00DA6F16"/>
    <w:rsid w:val="00DA707F"/>
    <w:rsid w:val="00DA7143"/>
    <w:rsid w:val="00DA75F9"/>
    <w:rsid w:val="00DB0830"/>
    <w:rsid w:val="00DB13B3"/>
    <w:rsid w:val="00DB185D"/>
    <w:rsid w:val="00DB1B1F"/>
    <w:rsid w:val="00DB1CD3"/>
    <w:rsid w:val="00DB1D14"/>
    <w:rsid w:val="00DB1EF6"/>
    <w:rsid w:val="00DB24B9"/>
    <w:rsid w:val="00DB30CE"/>
    <w:rsid w:val="00DB3EBB"/>
    <w:rsid w:val="00DB3F44"/>
    <w:rsid w:val="00DB48BB"/>
    <w:rsid w:val="00DB4F4B"/>
    <w:rsid w:val="00DB50ED"/>
    <w:rsid w:val="00DB61AD"/>
    <w:rsid w:val="00DB7DA0"/>
    <w:rsid w:val="00DC0214"/>
    <w:rsid w:val="00DC1BA8"/>
    <w:rsid w:val="00DC1DB2"/>
    <w:rsid w:val="00DC1EB3"/>
    <w:rsid w:val="00DC26B7"/>
    <w:rsid w:val="00DC2774"/>
    <w:rsid w:val="00DC5503"/>
    <w:rsid w:val="00DC651C"/>
    <w:rsid w:val="00DC683D"/>
    <w:rsid w:val="00DC7B6A"/>
    <w:rsid w:val="00DD005C"/>
    <w:rsid w:val="00DD1131"/>
    <w:rsid w:val="00DD147A"/>
    <w:rsid w:val="00DD198C"/>
    <w:rsid w:val="00DD1ED7"/>
    <w:rsid w:val="00DD1EEF"/>
    <w:rsid w:val="00DD3EE2"/>
    <w:rsid w:val="00DD476D"/>
    <w:rsid w:val="00DD511E"/>
    <w:rsid w:val="00DD5FDC"/>
    <w:rsid w:val="00DD63B0"/>
    <w:rsid w:val="00DE021D"/>
    <w:rsid w:val="00DE061F"/>
    <w:rsid w:val="00DE0788"/>
    <w:rsid w:val="00DE0A63"/>
    <w:rsid w:val="00DE1699"/>
    <w:rsid w:val="00DE18E1"/>
    <w:rsid w:val="00DE398F"/>
    <w:rsid w:val="00DE4253"/>
    <w:rsid w:val="00DE4783"/>
    <w:rsid w:val="00DE73DF"/>
    <w:rsid w:val="00DE7504"/>
    <w:rsid w:val="00DE7BD1"/>
    <w:rsid w:val="00DF0CB5"/>
    <w:rsid w:val="00DF1D52"/>
    <w:rsid w:val="00DF3404"/>
    <w:rsid w:val="00DF42F9"/>
    <w:rsid w:val="00DF45C0"/>
    <w:rsid w:val="00DF46C1"/>
    <w:rsid w:val="00DF54B5"/>
    <w:rsid w:val="00DF5D07"/>
    <w:rsid w:val="00E01412"/>
    <w:rsid w:val="00E01E3F"/>
    <w:rsid w:val="00E0251C"/>
    <w:rsid w:val="00E02CE5"/>
    <w:rsid w:val="00E02FBD"/>
    <w:rsid w:val="00E038DE"/>
    <w:rsid w:val="00E03CC4"/>
    <w:rsid w:val="00E05A40"/>
    <w:rsid w:val="00E061F4"/>
    <w:rsid w:val="00E06292"/>
    <w:rsid w:val="00E06A4E"/>
    <w:rsid w:val="00E06ECB"/>
    <w:rsid w:val="00E07B33"/>
    <w:rsid w:val="00E10744"/>
    <w:rsid w:val="00E10837"/>
    <w:rsid w:val="00E10BB0"/>
    <w:rsid w:val="00E11220"/>
    <w:rsid w:val="00E11384"/>
    <w:rsid w:val="00E130BC"/>
    <w:rsid w:val="00E13C1A"/>
    <w:rsid w:val="00E15132"/>
    <w:rsid w:val="00E1513C"/>
    <w:rsid w:val="00E167BF"/>
    <w:rsid w:val="00E16AB3"/>
    <w:rsid w:val="00E16B10"/>
    <w:rsid w:val="00E179BF"/>
    <w:rsid w:val="00E17EBF"/>
    <w:rsid w:val="00E20841"/>
    <w:rsid w:val="00E20907"/>
    <w:rsid w:val="00E21384"/>
    <w:rsid w:val="00E21E5D"/>
    <w:rsid w:val="00E226C4"/>
    <w:rsid w:val="00E227A7"/>
    <w:rsid w:val="00E22854"/>
    <w:rsid w:val="00E22995"/>
    <w:rsid w:val="00E22BD1"/>
    <w:rsid w:val="00E2318A"/>
    <w:rsid w:val="00E231ED"/>
    <w:rsid w:val="00E23515"/>
    <w:rsid w:val="00E24735"/>
    <w:rsid w:val="00E24744"/>
    <w:rsid w:val="00E247F7"/>
    <w:rsid w:val="00E24920"/>
    <w:rsid w:val="00E25100"/>
    <w:rsid w:val="00E25373"/>
    <w:rsid w:val="00E25501"/>
    <w:rsid w:val="00E26AAA"/>
    <w:rsid w:val="00E27102"/>
    <w:rsid w:val="00E27353"/>
    <w:rsid w:val="00E306CA"/>
    <w:rsid w:val="00E30B51"/>
    <w:rsid w:val="00E30D52"/>
    <w:rsid w:val="00E30E84"/>
    <w:rsid w:val="00E315BD"/>
    <w:rsid w:val="00E317AC"/>
    <w:rsid w:val="00E3185B"/>
    <w:rsid w:val="00E31E86"/>
    <w:rsid w:val="00E33028"/>
    <w:rsid w:val="00E3309A"/>
    <w:rsid w:val="00E335A1"/>
    <w:rsid w:val="00E3465F"/>
    <w:rsid w:val="00E3493C"/>
    <w:rsid w:val="00E34DFD"/>
    <w:rsid w:val="00E357FA"/>
    <w:rsid w:val="00E35F7C"/>
    <w:rsid w:val="00E3614A"/>
    <w:rsid w:val="00E361B4"/>
    <w:rsid w:val="00E3671F"/>
    <w:rsid w:val="00E36AA7"/>
    <w:rsid w:val="00E36C23"/>
    <w:rsid w:val="00E37856"/>
    <w:rsid w:val="00E40EBE"/>
    <w:rsid w:val="00E41005"/>
    <w:rsid w:val="00E41491"/>
    <w:rsid w:val="00E41674"/>
    <w:rsid w:val="00E4207E"/>
    <w:rsid w:val="00E42730"/>
    <w:rsid w:val="00E42BF3"/>
    <w:rsid w:val="00E42DFF"/>
    <w:rsid w:val="00E43D74"/>
    <w:rsid w:val="00E471D9"/>
    <w:rsid w:val="00E475E6"/>
    <w:rsid w:val="00E47BC5"/>
    <w:rsid w:val="00E501A3"/>
    <w:rsid w:val="00E5068C"/>
    <w:rsid w:val="00E50850"/>
    <w:rsid w:val="00E51314"/>
    <w:rsid w:val="00E517D4"/>
    <w:rsid w:val="00E52242"/>
    <w:rsid w:val="00E5272A"/>
    <w:rsid w:val="00E530D5"/>
    <w:rsid w:val="00E53524"/>
    <w:rsid w:val="00E54042"/>
    <w:rsid w:val="00E56085"/>
    <w:rsid w:val="00E57021"/>
    <w:rsid w:val="00E578DD"/>
    <w:rsid w:val="00E60494"/>
    <w:rsid w:val="00E608BA"/>
    <w:rsid w:val="00E61CF3"/>
    <w:rsid w:val="00E635BA"/>
    <w:rsid w:val="00E6412D"/>
    <w:rsid w:val="00E6488F"/>
    <w:rsid w:val="00E64C07"/>
    <w:rsid w:val="00E64C5B"/>
    <w:rsid w:val="00E64D2A"/>
    <w:rsid w:val="00E6579B"/>
    <w:rsid w:val="00E66D4F"/>
    <w:rsid w:val="00E6709B"/>
    <w:rsid w:val="00E70445"/>
    <w:rsid w:val="00E70548"/>
    <w:rsid w:val="00E70821"/>
    <w:rsid w:val="00E71187"/>
    <w:rsid w:val="00E713D5"/>
    <w:rsid w:val="00E7188F"/>
    <w:rsid w:val="00E71A95"/>
    <w:rsid w:val="00E72F01"/>
    <w:rsid w:val="00E7446E"/>
    <w:rsid w:val="00E74F66"/>
    <w:rsid w:val="00E7528D"/>
    <w:rsid w:val="00E75EBA"/>
    <w:rsid w:val="00E779E4"/>
    <w:rsid w:val="00E77FFE"/>
    <w:rsid w:val="00E810E0"/>
    <w:rsid w:val="00E82B1E"/>
    <w:rsid w:val="00E82D31"/>
    <w:rsid w:val="00E83232"/>
    <w:rsid w:val="00E8452A"/>
    <w:rsid w:val="00E85150"/>
    <w:rsid w:val="00E867DF"/>
    <w:rsid w:val="00E8759E"/>
    <w:rsid w:val="00E90532"/>
    <w:rsid w:val="00E93F81"/>
    <w:rsid w:val="00E94129"/>
    <w:rsid w:val="00E9426A"/>
    <w:rsid w:val="00E957CA"/>
    <w:rsid w:val="00E95B15"/>
    <w:rsid w:val="00E9738B"/>
    <w:rsid w:val="00E97B3A"/>
    <w:rsid w:val="00E97CBD"/>
    <w:rsid w:val="00EA006D"/>
    <w:rsid w:val="00EA088B"/>
    <w:rsid w:val="00EA0F0A"/>
    <w:rsid w:val="00EA228A"/>
    <w:rsid w:val="00EA24FF"/>
    <w:rsid w:val="00EA2581"/>
    <w:rsid w:val="00EA35E9"/>
    <w:rsid w:val="00EA3CBA"/>
    <w:rsid w:val="00EA45CB"/>
    <w:rsid w:val="00EA494B"/>
    <w:rsid w:val="00EA5495"/>
    <w:rsid w:val="00EA56DF"/>
    <w:rsid w:val="00EA5843"/>
    <w:rsid w:val="00EA6786"/>
    <w:rsid w:val="00EA6CA4"/>
    <w:rsid w:val="00EA6E7E"/>
    <w:rsid w:val="00EA70FE"/>
    <w:rsid w:val="00EB03F8"/>
    <w:rsid w:val="00EB368D"/>
    <w:rsid w:val="00EB39C4"/>
    <w:rsid w:val="00EB5347"/>
    <w:rsid w:val="00EB541E"/>
    <w:rsid w:val="00EB5BAE"/>
    <w:rsid w:val="00EB6D26"/>
    <w:rsid w:val="00EB74A9"/>
    <w:rsid w:val="00EC0142"/>
    <w:rsid w:val="00EC091F"/>
    <w:rsid w:val="00EC092C"/>
    <w:rsid w:val="00EC0E9F"/>
    <w:rsid w:val="00EC1ADA"/>
    <w:rsid w:val="00EC2A0B"/>
    <w:rsid w:val="00EC3650"/>
    <w:rsid w:val="00EC4031"/>
    <w:rsid w:val="00EC49E9"/>
    <w:rsid w:val="00EC5357"/>
    <w:rsid w:val="00EC65D5"/>
    <w:rsid w:val="00EC7284"/>
    <w:rsid w:val="00EC7DDC"/>
    <w:rsid w:val="00ED0469"/>
    <w:rsid w:val="00ED0856"/>
    <w:rsid w:val="00ED0B8B"/>
    <w:rsid w:val="00ED0F92"/>
    <w:rsid w:val="00ED1C65"/>
    <w:rsid w:val="00ED1F80"/>
    <w:rsid w:val="00ED2331"/>
    <w:rsid w:val="00ED3338"/>
    <w:rsid w:val="00ED334F"/>
    <w:rsid w:val="00ED39D7"/>
    <w:rsid w:val="00ED3DAE"/>
    <w:rsid w:val="00ED4ACD"/>
    <w:rsid w:val="00ED5074"/>
    <w:rsid w:val="00ED5FA8"/>
    <w:rsid w:val="00ED61F3"/>
    <w:rsid w:val="00ED7047"/>
    <w:rsid w:val="00EE04F0"/>
    <w:rsid w:val="00EE188A"/>
    <w:rsid w:val="00EE19AA"/>
    <w:rsid w:val="00EE1D72"/>
    <w:rsid w:val="00EE21AE"/>
    <w:rsid w:val="00EE26AF"/>
    <w:rsid w:val="00EE2BC7"/>
    <w:rsid w:val="00EE3C39"/>
    <w:rsid w:val="00EE3EB2"/>
    <w:rsid w:val="00EE47BE"/>
    <w:rsid w:val="00EE6227"/>
    <w:rsid w:val="00EE6A10"/>
    <w:rsid w:val="00EE6EAE"/>
    <w:rsid w:val="00EE70F7"/>
    <w:rsid w:val="00EE7A3B"/>
    <w:rsid w:val="00EF026D"/>
    <w:rsid w:val="00EF03AC"/>
    <w:rsid w:val="00EF096A"/>
    <w:rsid w:val="00EF13A2"/>
    <w:rsid w:val="00EF14D2"/>
    <w:rsid w:val="00EF2028"/>
    <w:rsid w:val="00EF2169"/>
    <w:rsid w:val="00EF26E7"/>
    <w:rsid w:val="00EF3617"/>
    <w:rsid w:val="00EF36FF"/>
    <w:rsid w:val="00EF3AEE"/>
    <w:rsid w:val="00EF3F50"/>
    <w:rsid w:val="00EF4C75"/>
    <w:rsid w:val="00EF4E73"/>
    <w:rsid w:val="00EF525A"/>
    <w:rsid w:val="00EF58AA"/>
    <w:rsid w:val="00EF6618"/>
    <w:rsid w:val="00EF77DD"/>
    <w:rsid w:val="00F005AE"/>
    <w:rsid w:val="00F00642"/>
    <w:rsid w:val="00F00A6B"/>
    <w:rsid w:val="00F013AA"/>
    <w:rsid w:val="00F014FA"/>
    <w:rsid w:val="00F017EF"/>
    <w:rsid w:val="00F01D21"/>
    <w:rsid w:val="00F02322"/>
    <w:rsid w:val="00F039A7"/>
    <w:rsid w:val="00F048F0"/>
    <w:rsid w:val="00F05C30"/>
    <w:rsid w:val="00F061CB"/>
    <w:rsid w:val="00F070A3"/>
    <w:rsid w:val="00F100C7"/>
    <w:rsid w:val="00F1077E"/>
    <w:rsid w:val="00F10CF1"/>
    <w:rsid w:val="00F112E7"/>
    <w:rsid w:val="00F115AF"/>
    <w:rsid w:val="00F11FDD"/>
    <w:rsid w:val="00F14556"/>
    <w:rsid w:val="00F14B9B"/>
    <w:rsid w:val="00F16034"/>
    <w:rsid w:val="00F177FD"/>
    <w:rsid w:val="00F17954"/>
    <w:rsid w:val="00F2075D"/>
    <w:rsid w:val="00F20EB3"/>
    <w:rsid w:val="00F2128D"/>
    <w:rsid w:val="00F2151D"/>
    <w:rsid w:val="00F21DC3"/>
    <w:rsid w:val="00F2226F"/>
    <w:rsid w:val="00F22EE5"/>
    <w:rsid w:val="00F23048"/>
    <w:rsid w:val="00F241C8"/>
    <w:rsid w:val="00F252D6"/>
    <w:rsid w:val="00F2585F"/>
    <w:rsid w:val="00F27066"/>
    <w:rsid w:val="00F2767A"/>
    <w:rsid w:val="00F27913"/>
    <w:rsid w:val="00F27D40"/>
    <w:rsid w:val="00F3020A"/>
    <w:rsid w:val="00F30C5A"/>
    <w:rsid w:val="00F3144B"/>
    <w:rsid w:val="00F316FE"/>
    <w:rsid w:val="00F31A6C"/>
    <w:rsid w:val="00F3327C"/>
    <w:rsid w:val="00F33AA9"/>
    <w:rsid w:val="00F33B1F"/>
    <w:rsid w:val="00F34A8E"/>
    <w:rsid w:val="00F35731"/>
    <w:rsid w:val="00F3616D"/>
    <w:rsid w:val="00F36337"/>
    <w:rsid w:val="00F363D1"/>
    <w:rsid w:val="00F36D42"/>
    <w:rsid w:val="00F36EC7"/>
    <w:rsid w:val="00F37126"/>
    <w:rsid w:val="00F3732D"/>
    <w:rsid w:val="00F37347"/>
    <w:rsid w:val="00F376B7"/>
    <w:rsid w:val="00F37921"/>
    <w:rsid w:val="00F37A6B"/>
    <w:rsid w:val="00F400CE"/>
    <w:rsid w:val="00F40ADD"/>
    <w:rsid w:val="00F4150D"/>
    <w:rsid w:val="00F41910"/>
    <w:rsid w:val="00F41B6F"/>
    <w:rsid w:val="00F41C3A"/>
    <w:rsid w:val="00F42818"/>
    <w:rsid w:val="00F42D23"/>
    <w:rsid w:val="00F4394F"/>
    <w:rsid w:val="00F43C0E"/>
    <w:rsid w:val="00F43C62"/>
    <w:rsid w:val="00F448F6"/>
    <w:rsid w:val="00F45172"/>
    <w:rsid w:val="00F454FA"/>
    <w:rsid w:val="00F45BDA"/>
    <w:rsid w:val="00F46556"/>
    <w:rsid w:val="00F46B28"/>
    <w:rsid w:val="00F46B70"/>
    <w:rsid w:val="00F46F23"/>
    <w:rsid w:val="00F47691"/>
    <w:rsid w:val="00F51077"/>
    <w:rsid w:val="00F51D76"/>
    <w:rsid w:val="00F52486"/>
    <w:rsid w:val="00F52AF9"/>
    <w:rsid w:val="00F52E07"/>
    <w:rsid w:val="00F530B0"/>
    <w:rsid w:val="00F531BD"/>
    <w:rsid w:val="00F534AC"/>
    <w:rsid w:val="00F53AC9"/>
    <w:rsid w:val="00F53AE3"/>
    <w:rsid w:val="00F53CE4"/>
    <w:rsid w:val="00F542AE"/>
    <w:rsid w:val="00F54D6B"/>
    <w:rsid w:val="00F55242"/>
    <w:rsid w:val="00F55A3D"/>
    <w:rsid w:val="00F55C23"/>
    <w:rsid w:val="00F56030"/>
    <w:rsid w:val="00F56165"/>
    <w:rsid w:val="00F5659E"/>
    <w:rsid w:val="00F568AE"/>
    <w:rsid w:val="00F56AD3"/>
    <w:rsid w:val="00F56DF1"/>
    <w:rsid w:val="00F570FE"/>
    <w:rsid w:val="00F57196"/>
    <w:rsid w:val="00F57724"/>
    <w:rsid w:val="00F57AE3"/>
    <w:rsid w:val="00F57FB7"/>
    <w:rsid w:val="00F606E5"/>
    <w:rsid w:val="00F611A6"/>
    <w:rsid w:val="00F618FA"/>
    <w:rsid w:val="00F643D5"/>
    <w:rsid w:val="00F646A6"/>
    <w:rsid w:val="00F64941"/>
    <w:rsid w:val="00F6552D"/>
    <w:rsid w:val="00F65872"/>
    <w:rsid w:val="00F65E06"/>
    <w:rsid w:val="00F66CD5"/>
    <w:rsid w:val="00F67052"/>
    <w:rsid w:val="00F67B48"/>
    <w:rsid w:val="00F717EB"/>
    <w:rsid w:val="00F72B90"/>
    <w:rsid w:val="00F736B0"/>
    <w:rsid w:val="00F73B8E"/>
    <w:rsid w:val="00F74174"/>
    <w:rsid w:val="00F808C3"/>
    <w:rsid w:val="00F81102"/>
    <w:rsid w:val="00F8317A"/>
    <w:rsid w:val="00F84BCC"/>
    <w:rsid w:val="00F84EF2"/>
    <w:rsid w:val="00F85607"/>
    <w:rsid w:val="00F85DCE"/>
    <w:rsid w:val="00F867CB"/>
    <w:rsid w:val="00F875A5"/>
    <w:rsid w:val="00F87B15"/>
    <w:rsid w:val="00F87C64"/>
    <w:rsid w:val="00F90F73"/>
    <w:rsid w:val="00F9115C"/>
    <w:rsid w:val="00F9282F"/>
    <w:rsid w:val="00F93E9D"/>
    <w:rsid w:val="00F94232"/>
    <w:rsid w:val="00F943A7"/>
    <w:rsid w:val="00F94ACF"/>
    <w:rsid w:val="00F95FC5"/>
    <w:rsid w:val="00F96B22"/>
    <w:rsid w:val="00F9729E"/>
    <w:rsid w:val="00FA07FD"/>
    <w:rsid w:val="00FA0EF3"/>
    <w:rsid w:val="00FA1F56"/>
    <w:rsid w:val="00FA31B0"/>
    <w:rsid w:val="00FA3D3D"/>
    <w:rsid w:val="00FA4A91"/>
    <w:rsid w:val="00FA69B1"/>
    <w:rsid w:val="00FA6FE0"/>
    <w:rsid w:val="00FA73B7"/>
    <w:rsid w:val="00FA78F6"/>
    <w:rsid w:val="00FB005E"/>
    <w:rsid w:val="00FB060F"/>
    <w:rsid w:val="00FB090E"/>
    <w:rsid w:val="00FB0A11"/>
    <w:rsid w:val="00FB136E"/>
    <w:rsid w:val="00FB1D7D"/>
    <w:rsid w:val="00FB1DC7"/>
    <w:rsid w:val="00FB22B8"/>
    <w:rsid w:val="00FB2815"/>
    <w:rsid w:val="00FB28B1"/>
    <w:rsid w:val="00FB6910"/>
    <w:rsid w:val="00FB6E96"/>
    <w:rsid w:val="00FB7ACC"/>
    <w:rsid w:val="00FC35B0"/>
    <w:rsid w:val="00FC43F8"/>
    <w:rsid w:val="00FC4490"/>
    <w:rsid w:val="00FC4B80"/>
    <w:rsid w:val="00FC5C8F"/>
    <w:rsid w:val="00FC5D49"/>
    <w:rsid w:val="00FC722B"/>
    <w:rsid w:val="00FD0C5A"/>
    <w:rsid w:val="00FD1553"/>
    <w:rsid w:val="00FD257B"/>
    <w:rsid w:val="00FD3B56"/>
    <w:rsid w:val="00FD42FE"/>
    <w:rsid w:val="00FD469F"/>
    <w:rsid w:val="00FD4AC6"/>
    <w:rsid w:val="00FD4BF8"/>
    <w:rsid w:val="00FD5022"/>
    <w:rsid w:val="00FD6334"/>
    <w:rsid w:val="00FD69DE"/>
    <w:rsid w:val="00FD7A04"/>
    <w:rsid w:val="00FD7C0A"/>
    <w:rsid w:val="00FE0637"/>
    <w:rsid w:val="00FE17E4"/>
    <w:rsid w:val="00FE1A04"/>
    <w:rsid w:val="00FE1AFB"/>
    <w:rsid w:val="00FE2328"/>
    <w:rsid w:val="00FE29D0"/>
    <w:rsid w:val="00FE2CBD"/>
    <w:rsid w:val="00FE32B9"/>
    <w:rsid w:val="00FE476A"/>
    <w:rsid w:val="00FE4A2A"/>
    <w:rsid w:val="00FE4DBD"/>
    <w:rsid w:val="00FE4F04"/>
    <w:rsid w:val="00FE4F82"/>
    <w:rsid w:val="00FE63D5"/>
    <w:rsid w:val="00FE75FF"/>
    <w:rsid w:val="00FE7887"/>
    <w:rsid w:val="00FE7AC5"/>
    <w:rsid w:val="00FE7D52"/>
    <w:rsid w:val="00FF0423"/>
    <w:rsid w:val="00FF13D2"/>
    <w:rsid w:val="00FF21F6"/>
    <w:rsid w:val="00FF22EE"/>
    <w:rsid w:val="00FF2311"/>
    <w:rsid w:val="00FF3AE5"/>
    <w:rsid w:val="00FF3C5A"/>
    <w:rsid w:val="00FF455B"/>
    <w:rsid w:val="00FF55FE"/>
    <w:rsid w:val="00FF5851"/>
    <w:rsid w:val="00FF5E31"/>
    <w:rsid w:val="00FF66DB"/>
    <w:rsid w:val="00FF6CCC"/>
    <w:rsid w:val="00FF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35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1"/>
        <w:lang w:val="en-AU" w:eastAsia="en-A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D2"/>
  </w:style>
  <w:style w:type="paragraph" w:styleId="Heading1">
    <w:name w:val="heading 1"/>
    <w:basedOn w:val="Normal"/>
    <w:next w:val="Normal"/>
    <w:link w:val="Heading1Char"/>
    <w:uiPriority w:val="9"/>
    <w:qFormat/>
    <w:rsid w:val="00FB136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B136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B136E"/>
    <w:pPr>
      <w:keepNext/>
      <w:keepLines/>
      <w:spacing w:before="80" w:after="0" w:line="240" w:lineRule="auto"/>
      <w:outlineLvl w:val="2"/>
    </w:pPr>
    <w:rPr>
      <w:rFonts w:asciiTheme="majorHAnsi" w:eastAsiaTheme="majorEastAsia" w:hAnsiTheme="majorHAnsi" w:cstheme="majorBidi"/>
      <w:color w:val="E36C0A" w:themeColor="accent6" w:themeShade="BF"/>
      <w:szCs w:val="24"/>
    </w:rPr>
  </w:style>
  <w:style w:type="paragraph" w:styleId="Heading4">
    <w:name w:val="heading 4"/>
    <w:basedOn w:val="Normal"/>
    <w:next w:val="Normal"/>
    <w:link w:val="Heading4Char"/>
    <w:uiPriority w:val="9"/>
    <w:semiHidden/>
    <w:unhideWhenUsed/>
    <w:qFormat/>
    <w:rsid w:val="00FB136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B136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B136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B136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B136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B136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9B7"/>
    <w:pPr>
      <w:ind w:left="720"/>
      <w:contextualSpacing/>
    </w:pPr>
  </w:style>
  <w:style w:type="paragraph" w:styleId="BalloonText">
    <w:name w:val="Balloon Text"/>
    <w:basedOn w:val="Normal"/>
    <w:link w:val="BalloonTextChar"/>
    <w:uiPriority w:val="99"/>
    <w:semiHidden/>
    <w:unhideWhenUsed/>
    <w:rsid w:val="0052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B1"/>
    <w:rPr>
      <w:rFonts w:ascii="Tahoma" w:hAnsi="Tahoma" w:cs="Tahoma"/>
      <w:sz w:val="16"/>
      <w:szCs w:val="16"/>
    </w:rPr>
  </w:style>
  <w:style w:type="paragraph" w:styleId="Bibliography">
    <w:name w:val="Bibliography"/>
    <w:basedOn w:val="Normal"/>
    <w:next w:val="Normal"/>
    <w:uiPriority w:val="37"/>
    <w:unhideWhenUsed/>
    <w:rsid w:val="005220B1"/>
  </w:style>
  <w:style w:type="paragraph" w:styleId="Header">
    <w:name w:val="header"/>
    <w:basedOn w:val="Normal"/>
    <w:link w:val="HeaderChar"/>
    <w:uiPriority w:val="99"/>
    <w:unhideWhenUsed/>
    <w:rsid w:val="0091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2A"/>
  </w:style>
  <w:style w:type="paragraph" w:styleId="Footer">
    <w:name w:val="footer"/>
    <w:basedOn w:val="Normal"/>
    <w:link w:val="FooterChar"/>
    <w:uiPriority w:val="99"/>
    <w:unhideWhenUsed/>
    <w:rsid w:val="0091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2A"/>
  </w:style>
  <w:style w:type="paragraph" w:styleId="NoSpacing">
    <w:name w:val="No Spacing"/>
    <w:link w:val="NoSpacingChar"/>
    <w:uiPriority w:val="1"/>
    <w:qFormat/>
    <w:rsid w:val="00FB136E"/>
    <w:pPr>
      <w:spacing w:after="0" w:line="240" w:lineRule="auto"/>
    </w:pPr>
  </w:style>
  <w:style w:type="character" w:customStyle="1" w:styleId="NoSpacingChar">
    <w:name w:val="No Spacing Char"/>
    <w:basedOn w:val="DefaultParagraphFont"/>
    <w:link w:val="NoSpacing"/>
    <w:uiPriority w:val="1"/>
    <w:rsid w:val="001A7FFB"/>
  </w:style>
  <w:style w:type="paragraph" w:customStyle="1" w:styleId="Default">
    <w:name w:val="Default"/>
    <w:rsid w:val="00771EA8"/>
    <w:pPr>
      <w:autoSpaceDE w:val="0"/>
      <w:autoSpaceDN w:val="0"/>
      <w:adjustRightInd w:val="0"/>
      <w:spacing w:after="0" w:line="240" w:lineRule="auto"/>
    </w:pPr>
    <w:rPr>
      <w:rFonts w:ascii="Arial" w:hAnsi="Arial" w:cs="Arial"/>
      <w:color w:val="000000"/>
      <w:szCs w:val="24"/>
    </w:rPr>
  </w:style>
  <w:style w:type="paragraph" w:styleId="DocumentMap">
    <w:name w:val="Document Map"/>
    <w:basedOn w:val="Normal"/>
    <w:link w:val="DocumentMapChar"/>
    <w:uiPriority w:val="99"/>
    <w:semiHidden/>
    <w:unhideWhenUsed/>
    <w:rsid w:val="009824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4BE"/>
    <w:rPr>
      <w:rFonts w:ascii="Tahoma" w:hAnsi="Tahoma" w:cs="Tahoma"/>
      <w:sz w:val="16"/>
      <w:szCs w:val="16"/>
      <w:lang w:val="en-GB"/>
    </w:rPr>
  </w:style>
  <w:style w:type="table" w:styleId="TableSimple1">
    <w:name w:val="Table Simple 1"/>
    <w:basedOn w:val="TableNormal"/>
    <w:uiPriority w:val="99"/>
    <w:rsid w:val="00176E62"/>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ightList-Accent5">
    <w:name w:val="Light List Accent 5"/>
    <w:basedOn w:val="TableNormal"/>
    <w:uiPriority w:val="61"/>
    <w:rsid w:val="00176E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Light1">
    <w:name w:val="Table Grid Light1"/>
    <w:basedOn w:val="TableNormal"/>
    <w:uiPriority w:val="40"/>
    <w:rsid w:val="00472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3020A"/>
    <w:rPr>
      <w:color w:val="0000FF" w:themeColor="hyperlink"/>
      <w:u w:val="single"/>
    </w:rPr>
  </w:style>
  <w:style w:type="paragraph" w:styleId="PlainText">
    <w:name w:val="Plain Text"/>
    <w:basedOn w:val="Normal"/>
    <w:link w:val="PlainTextChar"/>
    <w:uiPriority w:val="99"/>
    <w:semiHidden/>
    <w:unhideWhenUsed/>
    <w:rsid w:val="00034BB2"/>
    <w:pPr>
      <w:spacing w:after="0" w:line="240" w:lineRule="auto"/>
    </w:pPr>
    <w:rPr>
      <w:rFonts w:ascii="Consolas" w:eastAsiaTheme="minorHAnsi" w:hAnsi="Consolas"/>
      <w:lang w:val="en-US" w:eastAsia="en-US"/>
    </w:rPr>
  </w:style>
  <w:style w:type="character" w:customStyle="1" w:styleId="PlainTextChar">
    <w:name w:val="Plain Text Char"/>
    <w:basedOn w:val="DefaultParagraphFont"/>
    <w:link w:val="PlainText"/>
    <w:uiPriority w:val="99"/>
    <w:semiHidden/>
    <w:rsid w:val="00034BB2"/>
    <w:rPr>
      <w:rFonts w:ascii="Consolas" w:eastAsiaTheme="minorHAnsi" w:hAnsi="Consolas"/>
      <w:sz w:val="21"/>
      <w:szCs w:val="21"/>
      <w:lang w:val="en-US" w:eastAsia="en-US"/>
    </w:rPr>
  </w:style>
  <w:style w:type="character" w:customStyle="1" w:styleId="Heading1Char">
    <w:name w:val="Heading 1 Char"/>
    <w:basedOn w:val="DefaultParagraphFont"/>
    <w:link w:val="Heading1"/>
    <w:uiPriority w:val="9"/>
    <w:rsid w:val="00FB136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B136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B136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B136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B136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B136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B136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B136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B136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unhideWhenUsed/>
    <w:qFormat/>
    <w:rsid w:val="005C490C"/>
    <w:pPr>
      <w:spacing w:after="80" w:line="240" w:lineRule="auto"/>
    </w:pPr>
    <w:rPr>
      <w:b/>
      <w:bCs/>
      <w:smallCaps/>
      <w:sz w:val="18"/>
    </w:rPr>
  </w:style>
  <w:style w:type="paragraph" w:styleId="Title">
    <w:name w:val="Title"/>
    <w:basedOn w:val="Normal"/>
    <w:next w:val="Normal"/>
    <w:link w:val="TitleChar"/>
    <w:uiPriority w:val="10"/>
    <w:qFormat/>
    <w:rsid w:val="00FB136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B136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B136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B136E"/>
    <w:rPr>
      <w:rFonts w:asciiTheme="majorHAnsi" w:eastAsiaTheme="majorEastAsia" w:hAnsiTheme="majorHAnsi" w:cstheme="majorBidi"/>
      <w:sz w:val="30"/>
      <w:szCs w:val="30"/>
    </w:rPr>
  </w:style>
  <w:style w:type="character" w:styleId="Strong">
    <w:name w:val="Strong"/>
    <w:basedOn w:val="DefaultParagraphFont"/>
    <w:uiPriority w:val="22"/>
    <w:qFormat/>
    <w:rsid w:val="00FB136E"/>
    <w:rPr>
      <w:b/>
      <w:bCs/>
    </w:rPr>
  </w:style>
  <w:style w:type="character" w:styleId="Emphasis">
    <w:name w:val="Emphasis"/>
    <w:basedOn w:val="DefaultParagraphFont"/>
    <w:uiPriority w:val="20"/>
    <w:qFormat/>
    <w:rsid w:val="00FB136E"/>
    <w:rPr>
      <w:i/>
      <w:iCs/>
      <w:color w:val="F79646" w:themeColor="accent6"/>
    </w:rPr>
  </w:style>
  <w:style w:type="paragraph" w:styleId="Quote">
    <w:name w:val="Quote"/>
    <w:basedOn w:val="Normal"/>
    <w:next w:val="Normal"/>
    <w:link w:val="QuoteChar"/>
    <w:uiPriority w:val="29"/>
    <w:qFormat/>
    <w:rsid w:val="00FB136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B136E"/>
    <w:rPr>
      <w:i/>
      <w:iCs/>
      <w:color w:val="262626" w:themeColor="text1" w:themeTint="D9"/>
    </w:rPr>
  </w:style>
  <w:style w:type="paragraph" w:styleId="IntenseQuote">
    <w:name w:val="Intense Quote"/>
    <w:basedOn w:val="Normal"/>
    <w:next w:val="Normal"/>
    <w:link w:val="IntenseQuoteChar"/>
    <w:uiPriority w:val="30"/>
    <w:qFormat/>
    <w:rsid w:val="00FB136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B136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B136E"/>
    <w:rPr>
      <w:i/>
      <w:iCs/>
    </w:rPr>
  </w:style>
  <w:style w:type="character" w:styleId="IntenseEmphasis">
    <w:name w:val="Intense Emphasis"/>
    <w:basedOn w:val="DefaultParagraphFont"/>
    <w:uiPriority w:val="21"/>
    <w:qFormat/>
    <w:rsid w:val="00FB136E"/>
    <w:rPr>
      <w:b/>
      <w:bCs/>
      <w:i/>
      <w:iCs/>
    </w:rPr>
  </w:style>
  <w:style w:type="character" w:styleId="SubtleReference">
    <w:name w:val="Subtle Reference"/>
    <w:basedOn w:val="DefaultParagraphFont"/>
    <w:uiPriority w:val="31"/>
    <w:qFormat/>
    <w:rsid w:val="00FB136E"/>
    <w:rPr>
      <w:smallCaps/>
      <w:color w:val="595959" w:themeColor="text1" w:themeTint="A6"/>
    </w:rPr>
  </w:style>
  <w:style w:type="character" w:styleId="IntenseReference">
    <w:name w:val="Intense Reference"/>
    <w:basedOn w:val="DefaultParagraphFont"/>
    <w:uiPriority w:val="32"/>
    <w:qFormat/>
    <w:rsid w:val="00FB136E"/>
    <w:rPr>
      <w:b/>
      <w:bCs/>
      <w:smallCaps/>
      <w:color w:val="F79646" w:themeColor="accent6"/>
    </w:rPr>
  </w:style>
  <w:style w:type="character" w:styleId="BookTitle">
    <w:name w:val="Book Title"/>
    <w:basedOn w:val="DefaultParagraphFont"/>
    <w:uiPriority w:val="33"/>
    <w:qFormat/>
    <w:rsid w:val="00FB136E"/>
    <w:rPr>
      <w:b/>
      <w:bCs/>
      <w:caps w:val="0"/>
      <w:smallCaps/>
      <w:spacing w:val="7"/>
      <w:sz w:val="21"/>
      <w:szCs w:val="21"/>
    </w:rPr>
  </w:style>
  <w:style w:type="paragraph" w:styleId="TOCHeading">
    <w:name w:val="TOC Heading"/>
    <w:basedOn w:val="Heading1"/>
    <w:next w:val="Normal"/>
    <w:uiPriority w:val="39"/>
    <w:semiHidden/>
    <w:unhideWhenUsed/>
    <w:qFormat/>
    <w:rsid w:val="00FB136E"/>
    <w:pPr>
      <w:outlineLvl w:val="9"/>
    </w:pPr>
  </w:style>
  <w:style w:type="paragraph" w:styleId="FootnoteText">
    <w:name w:val="footnote text"/>
    <w:basedOn w:val="Normal"/>
    <w:link w:val="FootnoteTextChar"/>
    <w:uiPriority w:val="99"/>
    <w:semiHidden/>
    <w:unhideWhenUsed/>
    <w:rsid w:val="00AF1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56E"/>
    <w:rPr>
      <w:sz w:val="20"/>
      <w:szCs w:val="20"/>
    </w:rPr>
  </w:style>
  <w:style w:type="character" w:styleId="FootnoteReference">
    <w:name w:val="footnote reference"/>
    <w:basedOn w:val="DefaultParagraphFont"/>
    <w:uiPriority w:val="99"/>
    <w:semiHidden/>
    <w:unhideWhenUsed/>
    <w:rsid w:val="00AF156E"/>
    <w:rPr>
      <w:vertAlign w:val="superscript"/>
    </w:rPr>
  </w:style>
  <w:style w:type="paragraph" w:styleId="EndnoteText">
    <w:name w:val="endnote text"/>
    <w:basedOn w:val="Normal"/>
    <w:link w:val="EndnoteTextChar"/>
    <w:uiPriority w:val="99"/>
    <w:semiHidden/>
    <w:unhideWhenUsed/>
    <w:rsid w:val="00AF1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56E"/>
    <w:rPr>
      <w:sz w:val="20"/>
      <w:szCs w:val="20"/>
    </w:rPr>
  </w:style>
  <w:style w:type="character" w:styleId="EndnoteReference">
    <w:name w:val="endnote reference"/>
    <w:basedOn w:val="DefaultParagraphFont"/>
    <w:uiPriority w:val="99"/>
    <w:semiHidden/>
    <w:unhideWhenUsed/>
    <w:rsid w:val="00AF156E"/>
    <w:rPr>
      <w:vertAlign w:val="superscript"/>
    </w:rPr>
  </w:style>
  <w:style w:type="character" w:styleId="CommentReference">
    <w:name w:val="annotation reference"/>
    <w:basedOn w:val="DefaultParagraphFont"/>
    <w:uiPriority w:val="99"/>
    <w:semiHidden/>
    <w:unhideWhenUsed/>
    <w:rsid w:val="00360B88"/>
    <w:rPr>
      <w:sz w:val="16"/>
      <w:szCs w:val="16"/>
    </w:rPr>
  </w:style>
  <w:style w:type="paragraph" w:styleId="CommentText">
    <w:name w:val="annotation text"/>
    <w:basedOn w:val="Normal"/>
    <w:link w:val="CommentTextChar"/>
    <w:uiPriority w:val="99"/>
    <w:semiHidden/>
    <w:unhideWhenUsed/>
    <w:rsid w:val="00360B88"/>
    <w:pPr>
      <w:spacing w:line="240" w:lineRule="auto"/>
    </w:pPr>
    <w:rPr>
      <w:sz w:val="20"/>
      <w:szCs w:val="20"/>
    </w:rPr>
  </w:style>
  <w:style w:type="character" w:customStyle="1" w:styleId="CommentTextChar">
    <w:name w:val="Comment Text Char"/>
    <w:basedOn w:val="DefaultParagraphFont"/>
    <w:link w:val="CommentText"/>
    <w:uiPriority w:val="99"/>
    <w:semiHidden/>
    <w:rsid w:val="00360B88"/>
    <w:rPr>
      <w:sz w:val="20"/>
      <w:szCs w:val="20"/>
    </w:rPr>
  </w:style>
  <w:style w:type="paragraph" w:styleId="CommentSubject">
    <w:name w:val="annotation subject"/>
    <w:basedOn w:val="CommentText"/>
    <w:next w:val="CommentText"/>
    <w:link w:val="CommentSubjectChar"/>
    <w:uiPriority w:val="99"/>
    <w:semiHidden/>
    <w:unhideWhenUsed/>
    <w:rsid w:val="00360B88"/>
    <w:rPr>
      <w:b/>
      <w:bCs/>
    </w:rPr>
  </w:style>
  <w:style w:type="character" w:customStyle="1" w:styleId="CommentSubjectChar">
    <w:name w:val="Comment Subject Char"/>
    <w:basedOn w:val="CommentTextChar"/>
    <w:link w:val="CommentSubject"/>
    <w:uiPriority w:val="99"/>
    <w:semiHidden/>
    <w:rsid w:val="00360B88"/>
    <w:rPr>
      <w:b/>
      <w:bCs/>
      <w:sz w:val="20"/>
      <w:szCs w:val="20"/>
    </w:rPr>
  </w:style>
  <w:style w:type="character" w:styleId="PlaceholderText">
    <w:name w:val="Placeholder Text"/>
    <w:basedOn w:val="DefaultParagraphFont"/>
    <w:uiPriority w:val="99"/>
    <w:semiHidden/>
    <w:rsid w:val="00E3185B"/>
    <w:rPr>
      <w:color w:val="808080"/>
    </w:rPr>
  </w:style>
  <w:style w:type="character" w:customStyle="1" w:styleId="apple-converted-space">
    <w:name w:val="apple-converted-space"/>
    <w:basedOn w:val="DefaultParagraphFont"/>
    <w:rsid w:val="00A30F57"/>
  </w:style>
  <w:style w:type="paragraph" w:customStyle="1" w:styleId="EndNoteBibliographyTitle">
    <w:name w:val="EndNote Bibliography Title"/>
    <w:basedOn w:val="Normal"/>
    <w:link w:val="EndNoteBibliographyTitleChar"/>
    <w:rsid w:val="00BC2DC4"/>
    <w:pPr>
      <w:spacing w:after="0"/>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BC2DC4"/>
    <w:rPr>
      <w:rFonts w:ascii="Calibri" w:hAnsi="Calibri"/>
      <w:noProof/>
      <w:sz w:val="20"/>
    </w:rPr>
  </w:style>
  <w:style w:type="paragraph" w:customStyle="1" w:styleId="EndNoteBibliography">
    <w:name w:val="EndNote Bibliography"/>
    <w:basedOn w:val="Normal"/>
    <w:link w:val="EndNoteBibliographyChar"/>
    <w:rsid w:val="00BC2DC4"/>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BC2DC4"/>
    <w:rPr>
      <w:rFonts w:ascii="Calibri" w:hAnsi="Calibri"/>
      <w:noProof/>
      <w:sz w:val="20"/>
    </w:rPr>
  </w:style>
  <w:style w:type="table" w:customStyle="1" w:styleId="PlainTable11">
    <w:name w:val="Plain Table 11"/>
    <w:basedOn w:val="TableNormal"/>
    <w:uiPriority w:val="41"/>
    <w:rsid w:val="00FD63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5200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1004F"/>
    <w:pPr>
      <w:spacing w:after="0" w:line="240" w:lineRule="auto"/>
    </w:pPr>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491A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5F51AB"/>
    <w:pPr>
      <w:spacing w:after="0" w:line="240" w:lineRule="auto"/>
    </w:pPr>
    <w:rPr>
      <w:rFonts w:eastAsiaTheme="minorHAnsi" w:cs="Times New Roman"/>
      <w:szCs w:val="24"/>
    </w:rPr>
  </w:style>
  <w:style w:type="table" w:customStyle="1" w:styleId="TableGrid1">
    <w:name w:val="Table Grid1"/>
    <w:basedOn w:val="TableNormal"/>
    <w:next w:val="TableGrid"/>
    <w:uiPriority w:val="39"/>
    <w:rsid w:val="008F7A5B"/>
    <w:pPr>
      <w:spacing w:after="0" w:line="240" w:lineRule="auto"/>
    </w:pPr>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7A5B"/>
    <w:pPr>
      <w:spacing w:after="0" w:line="240" w:lineRule="auto"/>
    </w:pPr>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3B2"/>
    <w:pPr>
      <w:spacing w:after="0" w:line="240" w:lineRule="auto"/>
    </w:pPr>
  </w:style>
  <w:style w:type="paragraph" w:customStyle="1" w:styleId="TableCaption">
    <w:name w:val="Table_Caption"/>
    <w:basedOn w:val="Normal"/>
    <w:qFormat/>
    <w:rsid w:val="00E61CF3"/>
    <w:pPr>
      <w:spacing w:before="240" w:after="0" w:line="240" w:lineRule="auto"/>
      <w:outlineLvl w:val="2"/>
    </w:pPr>
    <w:rPr>
      <w:rFonts w:cs="Times New Roman"/>
      <w:b/>
      <w:sz w:val="20"/>
      <w:szCs w:val="20"/>
      <w:lang w:val="en-US"/>
    </w:rPr>
  </w:style>
  <w:style w:type="paragraph" w:customStyle="1" w:styleId="TableColhead">
    <w:name w:val="Table_Col_head"/>
    <w:basedOn w:val="Normal"/>
    <w:qFormat/>
    <w:rsid w:val="00E61CF3"/>
    <w:pPr>
      <w:spacing w:after="0" w:line="240" w:lineRule="auto"/>
    </w:pPr>
    <w:rPr>
      <w:rFonts w:eastAsia="Times New Roman" w:cs="Times New Roman"/>
      <w:b/>
      <w:sz w:val="20"/>
      <w:szCs w:val="20"/>
      <w:lang w:val="en-US"/>
    </w:rPr>
  </w:style>
  <w:style w:type="paragraph" w:customStyle="1" w:styleId="TableText">
    <w:name w:val="Table_Text"/>
    <w:basedOn w:val="Normal"/>
    <w:qFormat/>
    <w:rsid w:val="00E61CF3"/>
    <w:pPr>
      <w:spacing w:after="0" w:line="240" w:lineRule="auto"/>
    </w:pPr>
    <w:rPr>
      <w:rFonts w:eastAsia="Times New Roman" w:cs="Times New Roman"/>
      <w:color w:val="000000"/>
      <w:sz w:val="20"/>
      <w:szCs w:val="20"/>
    </w:rPr>
  </w:style>
  <w:style w:type="paragraph" w:customStyle="1" w:styleId="TableSource">
    <w:name w:val="Table_Source"/>
    <w:basedOn w:val="Normal"/>
    <w:qFormat/>
    <w:rsid w:val="00E61CF3"/>
    <w:pPr>
      <w:spacing w:after="0" w:line="240" w:lineRule="auto"/>
    </w:pPr>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1"/>
        <w:lang w:val="en-AU" w:eastAsia="en-AU"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2D2"/>
  </w:style>
  <w:style w:type="paragraph" w:styleId="Heading1">
    <w:name w:val="heading 1"/>
    <w:basedOn w:val="Normal"/>
    <w:next w:val="Normal"/>
    <w:link w:val="Heading1Char"/>
    <w:uiPriority w:val="9"/>
    <w:qFormat/>
    <w:rsid w:val="00FB136E"/>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B136E"/>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B136E"/>
    <w:pPr>
      <w:keepNext/>
      <w:keepLines/>
      <w:spacing w:before="80" w:after="0" w:line="240" w:lineRule="auto"/>
      <w:outlineLvl w:val="2"/>
    </w:pPr>
    <w:rPr>
      <w:rFonts w:asciiTheme="majorHAnsi" w:eastAsiaTheme="majorEastAsia" w:hAnsiTheme="majorHAnsi" w:cstheme="majorBidi"/>
      <w:color w:val="E36C0A" w:themeColor="accent6" w:themeShade="BF"/>
      <w:szCs w:val="24"/>
    </w:rPr>
  </w:style>
  <w:style w:type="paragraph" w:styleId="Heading4">
    <w:name w:val="heading 4"/>
    <w:basedOn w:val="Normal"/>
    <w:next w:val="Normal"/>
    <w:link w:val="Heading4Char"/>
    <w:uiPriority w:val="9"/>
    <w:semiHidden/>
    <w:unhideWhenUsed/>
    <w:qFormat/>
    <w:rsid w:val="00FB136E"/>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B136E"/>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B136E"/>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B136E"/>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B136E"/>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B136E"/>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9B7"/>
    <w:pPr>
      <w:ind w:left="720"/>
      <w:contextualSpacing/>
    </w:pPr>
  </w:style>
  <w:style w:type="paragraph" w:styleId="BalloonText">
    <w:name w:val="Balloon Text"/>
    <w:basedOn w:val="Normal"/>
    <w:link w:val="BalloonTextChar"/>
    <w:uiPriority w:val="99"/>
    <w:semiHidden/>
    <w:unhideWhenUsed/>
    <w:rsid w:val="00522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B1"/>
    <w:rPr>
      <w:rFonts w:ascii="Tahoma" w:hAnsi="Tahoma" w:cs="Tahoma"/>
      <w:sz w:val="16"/>
      <w:szCs w:val="16"/>
    </w:rPr>
  </w:style>
  <w:style w:type="paragraph" w:styleId="Bibliography">
    <w:name w:val="Bibliography"/>
    <w:basedOn w:val="Normal"/>
    <w:next w:val="Normal"/>
    <w:uiPriority w:val="37"/>
    <w:unhideWhenUsed/>
    <w:rsid w:val="005220B1"/>
  </w:style>
  <w:style w:type="paragraph" w:styleId="Header">
    <w:name w:val="header"/>
    <w:basedOn w:val="Normal"/>
    <w:link w:val="HeaderChar"/>
    <w:uiPriority w:val="99"/>
    <w:unhideWhenUsed/>
    <w:rsid w:val="00911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2A"/>
  </w:style>
  <w:style w:type="paragraph" w:styleId="Footer">
    <w:name w:val="footer"/>
    <w:basedOn w:val="Normal"/>
    <w:link w:val="FooterChar"/>
    <w:uiPriority w:val="99"/>
    <w:unhideWhenUsed/>
    <w:rsid w:val="00911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2A"/>
  </w:style>
  <w:style w:type="paragraph" w:styleId="NoSpacing">
    <w:name w:val="No Spacing"/>
    <w:link w:val="NoSpacingChar"/>
    <w:uiPriority w:val="1"/>
    <w:qFormat/>
    <w:rsid w:val="00FB136E"/>
    <w:pPr>
      <w:spacing w:after="0" w:line="240" w:lineRule="auto"/>
    </w:pPr>
  </w:style>
  <w:style w:type="character" w:customStyle="1" w:styleId="NoSpacingChar">
    <w:name w:val="No Spacing Char"/>
    <w:basedOn w:val="DefaultParagraphFont"/>
    <w:link w:val="NoSpacing"/>
    <w:uiPriority w:val="1"/>
    <w:rsid w:val="001A7FFB"/>
  </w:style>
  <w:style w:type="paragraph" w:customStyle="1" w:styleId="Default">
    <w:name w:val="Default"/>
    <w:rsid w:val="00771EA8"/>
    <w:pPr>
      <w:autoSpaceDE w:val="0"/>
      <w:autoSpaceDN w:val="0"/>
      <w:adjustRightInd w:val="0"/>
      <w:spacing w:after="0" w:line="240" w:lineRule="auto"/>
    </w:pPr>
    <w:rPr>
      <w:rFonts w:ascii="Arial" w:hAnsi="Arial" w:cs="Arial"/>
      <w:color w:val="000000"/>
      <w:szCs w:val="24"/>
    </w:rPr>
  </w:style>
  <w:style w:type="paragraph" w:styleId="DocumentMap">
    <w:name w:val="Document Map"/>
    <w:basedOn w:val="Normal"/>
    <w:link w:val="DocumentMapChar"/>
    <w:uiPriority w:val="99"/>
    <w:semiHidden/>
    <w:unhideWhenUsed/>
    <w:rsid w:val="009824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4BE"/>
    <w:rPr>
      <w:rFonts w:ascii="Tahoma" w:hAnsi="Tahoma" w:cs="Tahoma"/>
      <w:sz w:val="16"/>
      <w:szCs w:val="16"/>
      <w:lang w:val="en-GB"/>
    </w:rPr>
  </w:style>
  <w:style w:type="table" w:styleId="TableSimple1">
    <w:name w:val="Table Simple 1"/>
    <w:basedOn w:val="TableNormal"/>
    <w:uiPriority w:val="99"/>
    <w:rsid w:val="00176E62"/>
    <w:pPr>
      <w:spacing w:after="0" w:line="240" w:lineRule="auto"/>
    </w:pPr>
    <w:rPr>
      <w:rFonts w:eastAsia="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LightList-Accent5">
    <w:name w:val="Light List Accent 5"/>
    <w:basedOn w:val="TableNormal"/>
    <w:uiPriority w:val="61"/>
    <w:rsid w:val="00176E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Light1">
    <w:name w:val="Table Grid Light1"/>
    <w:basedOn w:val="TableNormal"/>
    <w:uiPriority w:val="40"/>
    <w:rsid w:val="00472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3020A"/>
    <w:rPr>
      <w:color w:val="0000FF" w:themeColor="hyperlink"/>
      <w:u w:val="single"/>
    </w:rPr>
  </w:style>
  <w:style w:type="paragraph" w:styleId="PlainText">
    <w:name w:val="Plain Text"/>
    <w:basedOn w:val="Normal"/>
    <w:link w:val="PlainTextChar"/>
    <w:uiPriority w:val="99"/>
    <w:semiHidden/>
    <w:unhideWhenUsed/>
    <w:rsid w:val="00034BB2"/>
    <w:pPr>
      <w:spacing w:after="0" w:line="240" w:lineRule="auto"/>
    </w:pPr>
    <w:rPr>
      <w:rFonts w:ascii="Consolas" w:eastAsiaTheme="minorHAnsi" w:hAnsi="Consolas"/>
      <w:lang w:val="en-US" w:eastAsia="en-US"/>
    </w:rPr>
  </w:style>
  <w:style w:type="character" w:customStyle="1" w:styleId="PlainTextChar">
    <w:name w:val="Plain Text Char"/>
    <w:basedOn w:val="DefaultParagraphFont"/>
    <w:link w:val="PlainText"/>
    <w:uiPriority w:val="99"/>
    <w:semiHidden/>
    <w:rsid w:val="00034BB2"/>
    <w:rPr>
      <w:rFonts w:ascii="Consolas" w:eastAsiaTheme="minorHAnsi" w:hAnsi="Consolas"/>
      <w:sz w:val="21"/>
      <w:szCs w:val="21"/>
      <w:lang w:val="en-US" w:eastAsia="en-US"/>
    </w:rPr>
  </w:style>
  <w:style w:type="character" w:customStyle="1" w:styleId="Heading1Char">
    <w:name w:val="Heading 1 Char"/>
    <w:basedOn w:val="DefaultParagraphFont"/>
    <w:link w:val="Heading1"/>
    <w:uiPriority w:val="9"/>
    <w:rsid w:val="00FB136E"/>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B136E"/>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B136E"/>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B136E"/>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B136E"/>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B136E"/>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B136E"/>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B136E"/>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B136E"/>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unhideWhenUsed/>
    <w:qFormat/>
    <w:rsid w:val="005C490C"/>
    <w:pPr>
      <w:spacing w:after="80" w:line="240" w:lineRule="auto"/>
    </w:pPr>
    <w:rPr>
      <w:b/>
      <w:bCs/>
      <w:smallCaps/>
      <w:sz w:val="18"/>
    </w:rPr>
  </w:style>
  <w:style w:type="paragraph" w:styleId="Title">
    <w:name w:val="Title"/>
    <w:basedOn w:val="Normal"/>
    <w:next w:val="Normal"/>
    <w:link w:val="TitleChar"/>
    <w:uiPriority w:val="10"/>
    <w:qFormat/>
    <w:rsid w:val="00FB136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B136E"/>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B136E"/>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B136E"/>
    <w:rPr>
      <w:rFonts w:asciiTheme="majorHAnsi" w:eastAsiaTheme="majorEastAsia" w:hAnsiTheme="majorHAnsi" w:cstheme="majorBidi"/>
      <w:sz w:val="30"/>
      <w:szCs w:val="30"/>
    </w:rPr>
  </w:style>
  <w:style w:type="character" w:styleId="Strong">
    <w:name w:val="Strong"/>
    <w:basedOn w:val="DefaultParagraphFont"/>
    <w:uiPriority w:val="22"/>
    <w:qFormat/>
    <w:rsid w:val="00FB136E"/>
    <w:rPr>
      <w:b/>
      <w:bCs/>
    </w:rPr>
  </w:style>
  <w:style w:type="character" w:styleId="Emphasis">
    <w:name w:val="Emphasis"/>
    <w:basedOn w:val="DefaultParagraphFont"/>
    <w:uiPriority w:val="20"/>
    <w:qFormat/>
    <w:rsid w:val="00FB136E"/>
    <w:rPr>
      <w:i/>
      <w:iCs/>
      <w:color w:val="F79646" w:themeColor="accent6"/>
    </w:rPr>
  </w:style>
  <w:style w:type="paragraph" w:styleId="Quote">
    <w:name w:val="Quote"/>
    <w:basedOn w:val="Normal"/>
    <w:next w:val="Normal"/>
    <w:link w:val="QuoteChar"/>
    <w:uiPriority w:val="29"/>
    <w:qFormat/>
    <w:rsid w:val="00FB136E"/>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B136E"/>
    <w:rPr>
      <w:i/>
      <w:iCs/>
      <w:color w:val="262626" w:themeColor="text1" w:themeTint="D9"/>
    </w:rPr>
  </w:style>
  <w:style w:type="paragraph" w:styleId="IntenseQuote">
    <w:name w:val="Intense Quote"/>
    <w:basedOn w:val="Normal"/>
    <w:next w:val="Normal"/>
    <w:link w:val="IntenseQuoteChar"/>
    <w:uiPriority w:val="30"/>
    <w:qFormat/>
    <w:rsid w:val="00FB136E"/>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B136E"/>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B136E"/>
    <w:rPr>
      <w:i/>
      <w:iCs/>
    </w:rPr>
  </w:style>
  <w:style w:type="character" w:styleId="IntenseEmphasis">
    <w:name w:val="Intense Emphasis"/>
    <w:basedOn w:val="DefaultParagraphFont"/>
    <w:uiPriority w:val="21"/>
    <w:qFormat/>
    <w:rsid w:val="00FB136E"/>
    <w:rPr>
      <w:b/>
      <w:bCs/>
      <w:i/>
      <w:iCs/>
    </w:rPr>
  </w:style>
  <w:style w:type="character" w:styleId="SubtleReference">
    <w:name w:val="Subtle Reference"/>
    <w:basedOn w:val="DefaultParagraphFont"/>
    <w:uiPriority w:val="31"/>
    <w:qFormat/>
    <w:rsid w:val="00FB136E"/>
    <w:rPr>
      <w:smallCaps/>
      <w:color w:val="595959" w:themeColor="text1" w:themeTint="A6"/>
    </w:rPr>
  </w:style>
  <w:style w:type="character" w:styleId="IntenseReference">
    <w:name w:val="Intense Reference"/>
    <w:basedOn w:val="DefaultParagraphFont"/>
    <w:uiPriority w:val="32"/>
    <w:qFormat/>
    <w:rsid w:val="00FB136E"/>
    <w:rPr>
      <w:b/>
      <w:bCs/>
      <w:smallCaps/>
      <w:color w:val="F79646" w:themeColor="accent6"/>
    </w:rPr>
  </w:style>
  <w:style w:type="character" w:styleId="BookTitle">
    <w:name w:val="Book Title"/>
    <w:basedOn w:val="DefaultParagraphFont"/>
    <w:uiPriority w:val="33"/>
    <w:qFormat/>
    <w:rsid w:val="00FB136E"/>
    <w:rPr>
      <w:b/>
      <w:bCs/>
      <w:caps w:val="0"/>
      <w:smallCaps/>
      <w:spacing w:val="7"/>
      <w:sz w:val="21"/>
      <w:szCs w:val="21"/>
    </w:rPr>
  </w:style>
  <w:style w:type="paragraph" w:styleId="TOCHeading">
    <w:name w:val="TOC Heading"/>
    <w:basedOn w:val="Heading1"/>
    <w:next w:val="Normal"/>
    <w:uiPriority w:val="39"/>
    <w:semiHidden/>
    <w:unhideWhenUsed/>
    <w:qFormat/>
    <w:rsid w:val="00FB136E"/>
    <w:pPr>
      <w:outlineLvl w:val="9"/>
    </w:pPr>
  </w:style>
  <w:style w:type="paragraph" w:styleId="FootnoteText">
    <w:name w:val="footnote text"/>
    <w:basedOn w:val="Normal"/>
    <w:link w:val="FootnoteTextChar"/>
    <w:uiPriority w:val="99"/>
    <w:semiHidden/>
    <w:unhideWhenUsed/>
    <w:rsid w:val="00AF1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156E"/>
    <w:rPr>
      <w:sz w:val="20"/>
      <w:szCs w:val="20"/>
    </w:rPr>
  </w:style>
  <w:style w:type="character" w:styleId="FootnoteReference">
    <w:name w:val="footnote reference"/>
    <w:basedOn w:val="DefaultParagraphFont"/>
    <w:uiPriority w:val="99"/>
    <w:semiHidden/>
    <w:unhideWhenUsed/>
    <w:rsid w:val="00AF156E"/>
    <w:rPr>
      <w:vertAlign w:val="superscript"/>
    </w:rPr>
  </w:style>
  <w:style w:type="paragraph" w:styleId="EndnoteText">
    <w:name w:val="endnote text"/>
    <w:basedOn w:val="Normal"/>
    <w:link w:val="EndnoteTextChar"/>
    <w:uiPriority w:val="99"/>
    <w:semiHidden/>
    <w:unhideWhenUsed/>
    <w:rsid w:val="00AF1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156E"/>
    <w:rPr>
      <w:sz w:val="20"/>
      <w:szCs w:val="20"/>
    </w:rPr>
  </w:style>
  <w:style w:type="character" w:styleId="EndnoteReference">
    <w:name w:val="endnote reference"/>
    <w:basedOn w:val="DefaultParagraphFont"/>
    <w:uiPriority w:val="99"/>
    <w:semiHidden/>
    <w:unhideWhenUsed/>
    <w:rsid w:val="00AF156E"/>
    <w:rPr>
      <w:vertAlign w:val="superscript"/>
    </w:rPr>
  </w:style>
  <w:style w:type="character" w:styleId="CommentReference">
    <w:name w:val="annotation reference"/>
    <w:basedOn w:val="DefaultParagraphFont"/>
    <w:uiPriority w:val="99"/>
    <w:semiHidden/>
    <w:unhideWhenUsed/>
    <w:rsid w:val="00360B88"/>
    <w:rPr>
      <w:sz w:val="16"/>
      <w:szCs w:val="16"/>
    </w:rPr>
  </w:style>
  <w:style w:type="paragraph" w:styleId="CommentText">
    <w:name w:val="annotation text"/>
    <w:basedOn w:val="Normal"/>
    <w:link w:val="CommentTextChar"/>
    <w:uiPriority w:val="99"/>
    <w:semiHidden/>
    <w:unhideWhenUsed/>
    <w:rsid w:val="00360B88"/>
    <w:pPr>
      <w:spacing w:line="240" w:lineRule="auto"/>
    </w:pPr>
    <w:rPr>
      <w:sz w:val="20"/>
      <w:szCs w:val="20"/>
    </w:rPr>
  </w:style>
  <w:style w:type="character" w:customStyle="1" w:styleId="CommentTextChar">
    <w:name w:val="Comment Text Char"/>
    <w:basedOn w:val="DefaultParagraphFont"/>
    <w:link w:val="CommentText"/>
    <w:uiPriority w:val="99"/>
    <w:semiHidden/>
    <w:rsid w:val="00360B88"/>
    <w:rPr>
      <w:sz w:val="20"/>
      <w:szCs w:val="20"/>
    </w:rPr>
  </w:style>
  <w:style w:type="paragraph" w:styleId="CommentSubject">
    <w:name w:val="annotation subject"/>
    <w:basedOn w:val="CommentText"/>
    <w:next w:val="CommentText"/>
    <w:link w:val="CommentSubjectChar"/>
    <w:uiPriority w:val="99"/>
    <w:semiHidden/>
    <w:unhideWhenUsed/>
    <w:rsid w:val="00360B88"/>
    <w:rPr>
      <w:b/>
      <w:bCs/>
    </w:rPr>
  </w:style>
  <w:style w:type="character" w:customStyle="1" w:styleId="CommentSubjectChar">
    <w:name w:val="Comment Subject Char"/>
    <w:basedOn w:val="CommentTextChar"/>
    <w:link w:val="CommentSubject"/>
    <w:uiPriority w:val="99"/>
    <w:semiHidden/>
    <w:rsid w:val="00360B88"/>
    <w:rPr>
      <w:b/>
      <w:bCs/>
      <w:sz w:val="20"/>
      <w:szCs w:val="20"/>
    </w:rPr>
  </w:style>
  <w:style w:type="character" w:styleId="PlaceholderText">
    <w:name w:val="Placeholder Text"/>
    <w:basedOn w:val="DefaultParagraphFont"/>
    <w:uiPriority w:val="99"/>
    <w:semiHidden/>
    <w:rsid w:val="00E3185B"/>
    <w:rPr>
      <w:color w:val="808080"/>
    </w:rPr>
  </w:style>
  <w:style w:type="character" w:customStyle="1" w:styleId="apple-converted-space">
    <w:name w:val="apple-converted-space"/>
    <w:basedOn w:val="DefaultParagraphFont"/>
    <w:rsid w:val="00A30F57"/>
  </w:style>
  <w:style w:type="paragraph" w:customStyle="1" w:styleId="EndNoteBibliographyTitle">
    <w:name w:val="EndNote Bibliography Title"/>
    <w:basedOn w:val="Normal"/>
    <w:link w:val="EndNoteBibliographyTitleChar"/>
    <w:rsid w:val="00BC2DC4"/>
    <w:pPr>
      <w:spacing w:after="0"/>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BC2DC4"/>
    <w:rPr>
      <w:rFonts w:ascii="Calibri" w:hAnsi="Calibri"/>
      <w:noProof/>
      <w:sz w:val="20"/>
    </w:rPr>
  </w:style>
  <w:style w:type="paragraph" w:customStyle="1" w:styleId="EndNoteBibliography">
    <w:name w:val="EndNote Bibliography"/>
    <w:basedOn w:val="Normal"/>
    <w:link w:val="EndNoteBibliographyChar"/>
    <w:rsid w:val="00BC2DC4"/>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BC2DC4"/>
    <w:rPr>
      <w:rFonts w:ascii="Calibri" w:hAnsi="Calibri"/>
      <w:noProof/>
      <w:sz w:val="20"/>
    </w:rPr>
  </w:style>
  <w:style w:type="table" w:customStyle="1" w:styleId="PlainTable11">
    <w:name w:val="Plain Table 11"/>
    <w:basedOn w:val="TableNormal"/>
    <w:uiPriority w:val="41"/>
    <w:rsid w:val="00FD633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2">
    <w:name w:val="Table Grid Light2"/>
    <w:basedOn w:val="TableNormal"/>
    <w:uiPriority w:val="40"/>
    <w:rsid w:val="005200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1004F"/>
    <w:pPr>
      <w:spacing w:after="0" w:line="240" w:lineRule="auto"/>
    </w:pPr>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21">
    <w:name w:val="Plain Table 21"/>
    <w:basedOn w:val="TableNormal"/>
    <w:uiPriority w:val="42"/>
    <w:rsid w:val="00491A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5F51AB"/>
    <w:pPr>
      <w:spacing w:after="0" w:line="240" w:lineRule="auto"/>
    </w:pPr>
    <w:rPr>
      <w:rFonts w:eastAsiaTheme="minorHAnsi" w:cs="Times New Roman"/>
      <w:szCs w:val="24"/>
    </w:rPr>
  </w:style>
  <w:style w:type="table" w:customStyle="1" w:styleId="TableGrid1">
    <w:name w:val="Table Grid1"/>
    <w:basedOn w:val="TableNormal"/>
    <w:next w:val="TableGrid"/>
    <w:uiPriority w:val="39"/>
    <w:rsid w:val="008F7A5B"/>
    <w:pPr>
      <w:spacing w:after="0" w:line="240" w:lineRule="auto"/>
    </w:pPr>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F7A5B"/>
    <w:pPr>
      <w:spacing w:after="0" w:line="240" w:lineRule="auto"/>
    </w:pPr>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03B2"/>
    <w:pPr>
      <w:spacing w:after="0" w:line="240" w:lineRule="auto"/>
    </w:pPr>
  </w:style>
  <w:style w:type="paragraph" w:customStyle="1" w:styleId="TableCaption">
    <w:name w:val="Table_Caption"/>
    <w:basedOn w:val="Normal"/>
    <w:qFormat/>
    <w:rsid w:val="00E61CF3"/>
    <w:pPr>
      <w:spacing w:before="240" w:after="0" w:line="240" w:lineRule="auto"/>
      <w:outlineLvl w:val="2"/>
    </w:pPr>
    <w:rPr>
      <w:rFonts w:cs="Times New Roman"/>
      <w:b/>
      <w:sz w:val="20"/>
      <w:szCs w:val="20"/>
      <w:lang w:val="en-US"/>
    </w:rPr>
  </w:style>
  <w:style w:type="paragraph" w:customStyle="1" w:styleId="TableColhead">
    <w:name w:val="Table_Col_head"/>
    <w:basedOn w:val="Normal"/>
    <w:qFormat/>
    <w:rsid w:val="00E61CF3"/>
    <w:pPr>
      <w:spacing w:after="0" w:line="240" w:lineRule="auto"/>
    </w:pPr>
    <w:rPr>
      <w:rFonts w:eastAsia="Times New Roman" w:cs="Times New Roman"/>
      <w:b/>
      <w:sz w:val="20"/>
      <w:szCs w:val="20"/>
      <w:lang w:val="en-US"/>
    </w:rPr>
  </w:style>
  <w:style w:type="paragraph" w:customStyle="1" w:styleId="TableText">
    <w:name w:val="Table_Text"/>
    <w:basedOn w:val="Normal"/>
    <w:qFormat/>
    <w:rsid w:val="00E61CF3"/>
    <w:pPr>
      <w:spacing w:after="0" w:line="240" w:lineRule="auto"/>
    </w:pPr>
    <w:rPr>
      <w:rFonts w:eastAsia="Times New Roman" w:cs="Times New Roman"/>
      <w:color w:val="000000"/>
      <w:sz w:val="20"/>
      <w:szCs w:val="20"/>
    </w:rPr>
  </w:style>
  <w:style w:type="paragraph" w:customStyle="1" w:styleId="TableSource">
    <w:name w:val="Table_Source"/>
    <w:basedOn w:val="Normal"/>
    <w:qFormat/>
    <w:rsid w:val="00E61CF3"/>
    <w:pPr>
      <w:spacing w:after="0" w:line="240" w:lineRule="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0350">
      <w:bodyDiv w:val="1"/>
      <w:marLeft w:val="0"/>
      <w:marRight w:val="0"/>
      <w:marTop w:val="0"/>
      <w:marBottom w:val="0"/>
      <w:divBdr>
        <w:top w:val="none" w:sz="0" w:space="0" w:color="auto"/>
        <w:left w:val="none" w:sz="0" w:space="0" w:color="auto"/>
        <w:bottom w:val="none" w:sz="0" w:space="0" w:color="auto"/>
        <w:right w:val="none" w:sz="0" w:space="0" w:color="auto"/>
      </w:divBdr>
    </w:div>
    <w:div w:id="18552853">
      <w:bodyDiv w:val="1"/>
      <w:marLeft w:val="0"/>
      <w:marRight w:val="0"/>
      <w:marTop w:val="0"/>
      <w:marBottom w:val="0"/>
      <w:divBdr>
        <w:top w:val="none" w:sz="0" w:space="0" w:color="auto"/>
        <w:left w:val="none" w:sz="0" w:space="0" w:color="auto"/>
        <w:bottom w:val="none" w:sz="0" w:space="0" w:color="auto"/>
        <w:right w:val="none" w:sz="0" w:space="0" w:color="auto"/>
      </w:divBdr>
    </w:div>
    <w:div w:id="38822965">
      <w:bodyDiv w:val="1"/>
      <w:marLeft w:val="0"/>
      <w:marRight w:val="0"/>
      <w:marTop w:val="0"/>
      <w:marBottom w:val="0"/>
      <w:divBdr>
        <w:top w:val="none" w:sz="0" w:space="0" w:color="auto"/>
        <w:left w:val="none" w:sz="0" w:space="0" w:color="auto"/>
        <w:bottom w:val="none" w:sz="0" w:space="0" w:color="auto"/>
        <w:right w:val="none" w:sz="0" w:space="0" w:color="auto"/>
      </w:divBdr>
    </w:div>
    <w:div w:id="41490601">
      <w:bodyDiv w:val="1"/>
      <w:marLeft w:val="0"/>
      <w:marRight w:val="0"/>
      <w:marTop w:val="0"/>
      <w:marBottom w:val="0"/>
      <w:divBdr>
        <w:top w:val="none" w:sz="0" w:space="0" w:color="auto"/>
        <w:left w:val="none" w:sz="0" w:space="0" w:color="auto"/>
        <w:bottom w:val="none" w:sz="0" w:space="0" w:color="auto"/>
        <w:right w:val="none" w:sz="0" w:space="0" w:color="auto"/>
      </w:divBdr>
    </w:div>
    <w:div w:id="58986130">
      <w:bodyDiv w:val="1"/>
      <w:marLeft w:val="0"/>
      <w:marRight w:val="0"/>
      <w:marTop w:val="0"/>
      <w:marBottom w:val="0"/>
      <w:divBdr>
        <w:top w:val="none" w:sz="0" w:space="0" w:color="auto"/>
        <w:left w:val="none" w:sz="0" w:space="0" w:color="auto"/>
        <w:bottom w:val="none" w:sz="0" w:space="0" w:color="auto"/>
        <w:right w:val="none" w:sz="0" w:space="0" w:color="auto"/>
      </w:divBdr>
    </w:div>
    <w:div w:id="59983660">
      <w:bodyDiv w:val="1"/>
      <w:marLeft w:val="0"/>
      <w:marRight w:val="0"/>
      <w:marTop w:val="0"/>
      <w:marBottom w:val="0"/>
      <w:divBdr>
        <w:top w:val="none" w:sz="0" w:space="0" w:color="auto"/>
        <w:left w:val="none" w:sz="0" w:space="0" w:color="auto"/>
        <w:bottom w:val="none" w:sz="0" w:space="0" w:color="auto"/>
        <w:right w:val="none" w:sz="0" w:space="0" w:color="auto"/>
      </w:divBdr>
    </w:div>
    <w:div w:id="70857628">
      <w:bodyDiv w:val="1"/>
      <w:marLeft w:val="0"/>
      <w:marRight w:val="0"/>
      <w:marTop w:val="0"/>
      <w:marBottom w:val="0"/>
      <w:divBdr>
        <w:top w:val="none" w:sz="0" w:space="0" w:color="auto"/>
        <w:left w:val="none" w:sz="0" w:space="0" w:color="auto"/>
        <w:bottom w:val="none" w:sz="0" w:space="0" w:color="auto"/>
        <w:right w:val="none" w:sz="0" w:space="0" w:color="auto"/>
      </w:divBdr>
    </w:div>
    <w:div w:id="77289215">
      <w:bodyDiv w:val="1"/>
      <w:marLeft w:val="0"/>
      <w:marRight w:val="0"/>
      <w:marTop w:val="0"/>
      <w:marBottom w:val="0"/>
      <w:divBdr>
        <w:top w:val="none" w:sz="0" w:space="0" w:color="auto"/>
        <w:left w:val="none" w:sz="0" w:space="0" w:color="auto"/>
        <w:bottom w:val="none" w:sz="0" w:space="0" w:color="auto"/>
        <w:right w:val="none" w:sz="0" w:space="0" w:color="auto"/>
      </w:divBdr>
    </w:div>
    <w:div w:id="79719257">
      <w:bodyDiv w:val="1"/>
      <w:marLeft w:val="0"/>
      <w:marRight w:val="0"/>
      <w:marTop w:val="0"/>
      <w:marBottom w:val="0"/>
      <w:divBdr>
        <w:top w:val="none" w:sz="0" w:space="0" w:color="auto"/>
        <w:left w:val="none" w:sz="0" w:space="0" w:color="auto"/>
        <w:bottom w:val="none" w:sz="0" w:space="0" w:color="auto"/>
        <w:right w:val="none" w:sz="0" w:space="0" w:color="auto"/>
      </w:divBdr>
    </w:div>
    <w:div w:id="86268613">
      <w:bodyDiv w:val="1"/>
      <w:marLeft w:val="0"/>
      <w:marRight w:val="0"/>
      <w:marTop w:val="0"/>
      <w:marBottom w:val="0"/>
      <w:divBdr>
        <w:top w:val="none" w:sz="0" w:space="0" w:color="auto"/>
        <w:left w:val="none" w:sz="0" w:space="0" w:color="auto"/>
        <w:bottom w:val="none" w:sz="0" w:space="0" w:color="auto"/>
        <w:right w:val="none" w:sz="0" w:space="0" w:color="auto"/>
      </w:divBdr>
    </w:div>
    <w:div w:id="91055936">
      <w:bodyDiv w:val="1"/>
      <w:marLeft w:val="0"/>
      <w:marRight w:val="0"/>
      <w:marTop w:val="0"/>
      <w:marBottom w:val="0"/>
      <w:divBdr>
        <w:top w:val="none" w:sz="0" w:space="0" w:color="auto"/>
        <w:left w:val="none" w:sz="0" w:space="0" w:color="auto"/>
        <w:bottom w:val="none" w:sz="0" w:space="0" w:color="auto"/>
        <w:right w:val="none" w:sz="0" w:space="0" w:color="auto"/>
      </w:divBdr>
    </w:div>
    <w:div w:id="94253737">
      <w:bodyDiv w:val="1"/>
      <w:marLeft w:val="0"/>
      <w:marRight w:val="0"/>
      <w:marTop w:val="0"/>
      <w:marBottom w:val="0"/>
      <w:divBdr>
        <w:top w:val="none" w:sz="0" w:space="0" w:color="auto"/>
        <w:left w:val="none" w:sz="0" w:space="0" w:color="auto"/>
        <w:bottom w:val="none" w:sz="0" w:space="0" w:color="auto"/>
        <w:right w:val="none" w:sz="0" w:space="0" w:color="auto"/>
      </w:divBdr>
    </w:div>
    <w:div w:id="124081765">
      <w:bodyDiv w:val="1"/>
      <w:marLeft w:val="0"/>
      <w:marRight w:val="0"/>
      <w:marTop w:val="0"/>
      <w:marBottom w:val="0"/>
      <w:divBdr>
        <w:top w:val="none" w:sz="0" w:space="0" w:color="auto"/>
        <w:left w:val="none" w:sz="0" w:space="0" w:color="auto"/>
        <w:bottom w:val="none" w:sz="0" w:space="0" w:color="auto"/>
        <w:right w:val="none" w:sz="0" w:space="0" w:color="auto"/>
      </w:divBdr>
    </w:div>
    <w:div w:id="145057227">
      <w:bodyDiv w:val="1"/>
      <w:marLeft w:val="0"/>
      <w:marRight w:val="0"/>
      <w:marTop w:val="0"/>
      <w:marBottom w:val="0"/>
      <w:divBdr>
        <w:top w:val="none" w:sz="0" w:space="0" w:color="auto"/>
        <w:left w:val="none" w:sz="0" w:space="0" w:color="auto"/>
        <w:bottom w:val="none" w:sz="0" w:space="0" w:color="auto"/>
        <w:right w:val="none" w:sz="0" w:space="0" w:color="auto"/>
      </w:divBdr>
    </w:div>
    <w:div w:id="145703209">
      <w:bodyDiv w:val="1"/>
      <w:marLeft w:val="0"/>
      <w:marRight w:val="0"/>
      <w:marTop w:val="0"/>
      <w:marBottom w:val="0"/>
      <w:divBdr>
        <w:top w:val="none" w:sz="0" w:space="0" w:color="auto"/>
        <w:left w:val="none" w:sz="0" w:space="0" w:color="auto"/>
        <w:bottom w:val="none" w:sz="0" w:space="0" w:color="auto"/>
        <w:right w:val="none" w:sz="0" w:space="0" w:color="auto"/>
      </w:divBdr>
    </w:div>
    <w:div w:id="146020271">
      <w:bodyDiv w:val="1"/>
      <w:marLeft w:val="0"/>
      <w:marRight w:val="0"/>
      <w:marTop w:val="0"/>
      <w:marBottom w:val="0"/>
      <w:divBdr>
        <w:top w:val="none" w:sz="0" w:space="0" w:color="auto"/>
        <w:left w:val="none" w:sz="0" w:space="0" w:color="auto"/>
        <w:bottom w:val="none" w:sz="0" w:space="0" w:color="auto"/>
        <w:right w:val="none" w:sz="0" w:space="0" w:color="auto"/>
      </w:divBdr>
    </w:div>
    <w:div w:id="148833811">
      <w:bodyDiv w:val="1"/>
      <w:marLeft w:val="0"/>
      <w:marRight w:val="0"/>
      <w:marTop w:val="0"/>
      <w:marBottom w:val="0"/>
      <w:divBdr>
        <w:top w:val="none" w:sz="0" w:space="0" w:color="auto"/>
        <w:left w:val="none" w:sz="0" w:space="0" w:color="auto"/>
        <w:bottom w:val="none" w:sz="0" w:space="0" w:color="auto"/>
        <w:right w:val="none" w:sz="0" w:space="0" w:color="auto"/>
      </w:divBdr>
    </w:div>
    <w:div w:id="164132348">
      <w:bodyDiv w:val="1"/>
      <w:marLeft w:val="0"/>
      <w:marRight w:val="0"/>
      <w:marTop w:val="0"/>
      <w:marBottom w:val="0"/>
      <w:divBdr>
        <w:top w:val="none" w:sz="0" w:space="0" w:color="auto"/>
        <w:left w:val="none" w:sz="0" w:space="0" w:color="auto"/>
        <w:bottom w:val="none" w:sz="0" w:space="0" w:color="auto"/>
        <w:right w:val="none" w:sz="0" w:space="0" w:color="auto"/>
      </w:divBdr>
    </w:div>
    <w:div w:id="165561509">
      <w:bodyDiv w:val="1"/>
      <w:marLeft w:val="0"/>
      <w:marRight w:val="0"/>
      <w:marTop w:val="0"/>
      <w:marBottom w:val="0"/>
      <w:divBdr>
        <w:top w:val="none" w:sz="0" w:space="0" w:color="auto"/>
        <w:left w:val="none" w:sz="0" w:space="0" w:color="auto"/>
        <w:bottom w:val="none" w:sz="0" w:space="0" w:color="auto"/>
        <w:right w:val="none" w:sz="0" w:space="0" w:color="auto"/>
      </w:divBdr>
    </w:div>
    <w:div w:id="180357197">
      <w:bodyDiv w:val="1"/>
      <w:marLeft w:val="0"/>
      <w:marRight w:val="0"/>
      <w:marTop w:val="0"/>
      <w:marBottom w:val="0"/>
      <w:divBdr>
        <w:top w:val="none" w:sz="0" w:space="0" w:color="auto"/>
        <w:left w:val="none" w:sz="0" w:space="0" w:color="auto"/>
        <w:bottom w:val="none" w:sz="0" w:space="0" w:color="auto"/>
        <w:right w:val="none" w:sz="0" w:space="0" w:color="auto"/>
      </w:divBdr>
    </w:div>
    <w:div w:id="198013757">
      <w:bodyDiv w:val="1"/>
      <w:marLeft w:val="0"/>
      <w:marRight w:val="0"/>
      <w:marTop w:val="0"/>
      <w:marBottom w:val="0"/>
      <w:divBdr>
        <w:top w:val="none" w:sz="0" w:space="0" w:color="auto"/>
        <w:left w:val="none" w:sz="0" w:space="0" w:color="auto"/>
        <w:bottom w:val="none" w:sz="0" w:space="0" w:color="auto"/>
        <w:right w:val="none" w:sz="0" w:space="0" w:color="auto"/>
      </w:divBdr>
    </w:div>
    <w:div w:id="216941968">
      <w:bodyDiv w:val="1"/>
      <w:marLeft w:val="0"/>
      <w:marRight w:val="0"/>
      <w:marTop w:val="0"/>
      <w:marBottom w:val="0"/>
      <w:divBdr>
        <w:top w:val="none" w:sz="0" w:space="0" w:color="auto"/>
        <w:left w:val="none" w:sz="0" w:space="0" w:color="auto"/>
        <w:bottom w:val="none" w:sz="0" w:space="0" w:color="auto"/>
        <w:right w:val="none" w:sz="0" w:space="0" w:color="auto"/>
      </w:divBdr>
    </w:div>
    <w:div w:id="229851824">
      <w:bodyDiv w:val="1"/>
      <w:marLeft w:val="0"/>
      <w:marRight w:val="0"/>
      <w:marTop w:val="0"/>
      <w:marBottom w:val="0"/>
      <w:divBdr>
        <w:top w:val="none" w:sz="0" w:space="0" w:color="auto"/>
        <w:left w:val="none" w:sz="0" w:space="0" w:color="auto"/>
        <w:bottom w:val="none" w:sz="0" w:space="0" w:color="auto"/>
        <w:right w:val="none" w:sz="0" w:space="0" w:color="auto"/>
      </w:divBdr>
    </w:div>
    <w:div w:id="244607405">
      <w:bodyDiv w:val="1"/>
      <w:marLeft w:val="0"/>
      <w:marRight w:val="0"/>
      <w:marTop w:val="0"/>
      <w:marBottom w:val="0"/>
      <w:divBdr>
        <w:top w:val="none" w:sz="0" w:space="0" w:color="auto"/>
        <w:left w:val="none" w:sz="0" w:space="0" w:color="auto"/>
        <w:bottom w:val="none" w:sz="0" w:space="0" w:color="auto"/>
        <w:right w:val="none" w:sz="0" w:space="0" w:color="auto"/>
      </w:divBdr>
    </w:div>
    <w:div w:id="244655658">
      <w:bodyDiv w:val="1"/>
      <w:marLeft w:val="0"/>
      <w:marRight w:val="0"/>
      <w:marTop w:val="0"/>
      <w:marBottom w:val="0"/>
      <w:divBdr>
        <w:top w:val="none" w:sz="0" w:space="0" w:color="auto"/>
        <w:left w:val="none" w:sz="0" w:space="0" w:color="auto"/>
        <w:bottom w:val="none" w:sz="0" w:space="0" w:color="auto"/>
        <w:right w:val="none" w:sz="0" w:space="0" w:color="auto"/>
      </w:divBdr>
    </w:div>
    <w:div w:id="257950028">
      <w:bodyDiv w:val="1"/>
      <w:marLeft w:val="0"/>
      <w:marRight w:val="0"/>
      <w:marTop w:val="0"/>
      <w:marBottom w:val="0"/>
      <w:divBdr>
        <w:top w:val="none" w:sz="0" w:space="0" w:color="auto"/>
        <w:left w:val="none" w:sz="0" w:space="0" w:color="auto"/>
        <w:bottom w:val="none" w:sz="0" w:space="0" w:color="auto"/>
        <w:right w:val="none" w:sz="0" w:space="0" w:color="auto"/>
      </w:divBdr>
    </w:div>
    <w:div w:id="257952770">
      <w:bodyDiv w:val="1"/>
      <w:marLeft w:val="0"/>
      <w:marRight w:val="0"/>
      <w:marTop w:val="0"/>
      <w:marBottom w:val="0"/>
      <w:divBdr>
        <w:top w:val="none" w:sz="0" w:space="0" w:color="auto"/>
        <w:left w:val="none" w:sz="0" w:space="0" w:color="auto"/>
        <w:bottom w:val="none" w:sz="0" w:space="0" w:color="auto"/>
        <w:right w:val="none" w:sz="0" w:space="0" w:color="auto"/>
      </w:divBdr>
    </w:div>
    <w:div w:id="260839679">
      <w:bodyDiv w:val="1"/>
      <w:marLeft w:val="0"/>
      <w:marRight w:val="0"/>
      <w:marTop w:val="0"/>
      <w:marBottom w:val="0"/>
      <w:divBdr>
        <w:top w:val="none" w:sz="0" w:space="0" w:color="auto"/>
        <w:left w:val="none" w:sz="0" w:space="0" w:color="auto"/>
        <w:bottom w:val="none" w:sz="0" w:space="0" w:color="auto"/>
        <w:right w:val="none" w:sz="0" w:space="0" w:color="auto"/>
      </w:divBdr>
    </w:div>
    <w:div w:id="264311523">
      <w:bodyDiv w:val="1"/>
      <w:marLeft w:val="0"/>
      <w:marRight w:val="0"/>
      <w:marTop w:val="0"/>
      <w:marBottom w:val="0"/>
      <w:divBdr>
        <w:top w:val="none" w:sz="0" w:space="0" w:color="auto"/>
        <w:left w:val="none" w:sz="0" w:space="0" w:color="auto"/>
        <w:bottom w:val="none" w:sz="0" w:space="0" w:color="auto"/>
        <w:right w:val="none" w:sz="0" w:space="0" w:color="auto"/>
      </w:divBdr>
    </w:div>
    <w:div w:id="281809936">
      <w:bodyDiv w:val="1"/>
      <w:marLeft w:val="0"/>
      <w:marRight w:val="0"/>
      <w:marTop w:val="0"/>
      <w:marBottom w:val="0"/>
      <w:divBdr>
        <w:top w:val="none" w:sz="0" w:space="0" w:color="auto"/>
        <w:left w:val="none" w:sz="0" w:space="0" w:color="auto"/>
        <w:bottom w:val="none" w:sz="0" w:space="0" w:color="auto"/>
        <w:right w:val="none" w:sz="0" w:space="0" w:color="auto"/>
      </w:divBdr>
    </w:div>
    <w:div w:id="287316635">
      <w:bodyDiv w:val="1"/>
      <w:marLeft w:val="0"/>
      <w:marRight w:val="0"/>
      <w:marTop w:val="0"/>
      <w:marBottom w:val="0"/>
      <w:divBdr>
        <w:top w:val="none" w:sz="0" w:space="0" w:color="auto"/>
        <w:left w:val="none" w:sz="0" w:space="0" w:color="auto"/>
        <w:bottom w:val="none" w:sz="0" w:space="0" w:color="auto"/>
        <w:right w:val="none" w:sz="0" w:space="0" w:color="auto"/>
      </w:divBdr>
    </w:div>
    <w:div w:id="288324775">
      <w:bodyDiv w:val="1"/>
      <w:marLeft w:val="0"/>
      <w:marRight w:val="0"/>
      <w:marTop w:val="0"/>
      <w:marBottom w:val="0"/>
      <w:divBdr>
        <w:top w:val="none" w:sz="0" w:space="0" w:color="auto"/>
        <w:left w:val="none" w:sz="0" w:space="0" w:color="auto"/>
        <w:bottom w:val="none" w:sz="0" w:space="0" w:color="auto"/>
        <w:right w:val="none" w:sz="0" w:space="0" w:color="auto"/>
      </w:divBdr>
    </w:div>
    <w:div w:id="290939199">
      <w:bodyDiv w:val="1"/>
      <w:marLeft w:val="0"/>
      <w:marRight w:val="0"/>
      <w:marTop w:val="0"/>
      <w:marBottom w:val="0"/>
      <w:divBdr>
        <w:top w:val="none" w:sz="0" w:space="0" w:color="auto"/>
        <w:left w:val="none" w:sz="0" w:space="0" w:color="auto"/>
        <w:bottom w:val="none" w:sz="0" w:space="0" w:color="auto"/>
        <w:right w:val="none" w:sz="0" w:space="0" w:color="auto"/>
      </w:divBdr>
    </w:div>
    <w:div w:id="292251356">
      <w:bodyDiv w:val="1"/>
      <w:marLeft w:val="0"/>
      <w:marRight w:val="0"/>
      <w:marTop w:val="0"/>
      <w:marBottom w:val="0"/>
      <w:divBdr>
        <w:top w:val="none" w:sz="0" w:space="0" w:color="auto"/>
        <w:left w:val="none" w:sz="0" w:space="0" w:color="auto"/>
        <w:bottom w:val="none" w:sz="0" w:space="0" w:color="auto"/>
        <w:right w:val="none" w:sz="0" w:space="0" w:color="auto"/>
      </w:divBdr>
    </w:div>
    <w:div w:id="310839171">
      <w:bodyDiv w:val="1"/>
      <w:marLeft w:val="0"/>
      <w:marRight w:val="0"/>
      <w:marTop w:val="0"/>
      <w:marBottom w:val="0"/>
      <w:divBdr>
        <w:top w:val="none" w:sz="0" w:space="0" w:color="auto"/>
        <w:left w:val="none" w:sz="0" w:space="0" w:color="auto"/>
        <w:bottom w:val="none" w:sz="0" w:space="0" w:color="auto"/>
        <w:right w:val="none" w:sz="0" w:space="0" w:color="auto"/>
      </w:divBdr>
    </w:div>
    <w:div w:id="326128529">
      <w:bodyDiv w:val="1"/>
      <w:marLeft w:val="0"/>
      <w:marRight w:val="0"/>
      <w:marTop w:val="0"/>
      <w:marBottom w:val="0"/>
      <w:divBdr>
        <w:top w:val="none" w:sz="0" w:space="0" w:color="auto"/>
        <w:left w:val="none" w:sz="0" w:space="0" w:color="auto"/>
        <w:bottom w:val="none" w:sz="0" w:space="0" w:color="auto"/>
        <w:right w:val="none" w:sz="0" w:space="0" w:color="auto"/>
      </w:divBdr>
    </w:div>
    <w:div w:id="343673153">
      <w:bodyDiv w:val="1"/>
      <w:marLeft w:val="0"/>
      <w:marRight w:val="0"/>
      <w:marTop w:val="0"/>
      <w:marBottom w:val="0"/>
      <w:divBdr>
        <w:top w:val="none" w:sz="0" w:space="0" w:color="auto"/>
        <w:left w:val="none" w:sz="0" w:space="0" w:color="auto"/>
        <w:bottom w:val="none" w:sz="0" w:space="0" w:color="auto"/>
        <w:right w:val="none" w:sz="0" w:space="0" w:color="auto"/>
      </w:divBdr>
    </w:div>
    <w:div w:id="355545490">
      <w:bodyDiv w:val="1"/>
      <w:marLeft w:val="0"/>
      <w:marRight w:val="0"/>
      <w:marTop w:val="0"/>
      <w:marBottom w:val="0"/>
      <w:divBdr>
        <w:top w:val="none" w:sz="0" w:space="0" w:color="auto"/>
        <w:left w:val="none" w:sz="0" w:space="0" w:color="auto"/>
        <w:bottom w:val="none" w:sz="0" w:space="0" w:color="auto"/>
        <w:right w:val="none" w:sz="0" w:space="0" w:color="auto"/>
      </w:divBdr>
    </w:div>
    <w:div w:id="362748936">
      <w:bodyDiv w:val="1"/>
      <w:marLeft w:val="0"/>
      <w:marRight w:val="0"/>
      <w:marTop w:val="0"/>
      <w:marBottom w:val="0"/>
      <w:divBdr>
        <w:top w:val="none" w:sz="0" w:space="0" w:color="auto"/>
        <w:left w:val="none" w:sz="0" w:space="0" w:color="auto"/>
        <w:bottom w:val="none" w:sz="0" w:space="0" w:color="auto"/>
        <w:right w:val="none" w:sz="0" w:space="0" w:color="auto"/>
      </w:divBdr>
    </w:div>
    <w:div w:id="363408881">
      <w:bodyDiv w:val="1"/>
      <w:marLeft w:val="0"/>
      <w:marRight w:val="0"/>
      <w:marTop w:val="0"/>
      <w:marBottom w:val="0"/>
      <w:divBdr>
        <w:top w:val="none" w:sz="0" w:space="0" w:color="auto"/>
        <w:left w:val="none" w:sz="0" w:space="0" w:color="auto"/>
        <w:bottom w:val="none" w:sz="0" w:space="0" w:color="auto"/>
        <w:right w:val="none" w:sz="0" w:space="0" w:color="auto"/>
      </w:divBdr>
    </w:div>
    <w:div w:id="366612235">
      <w:bodyDiv w:val="1"/>
      <w:marLeft w:val="0"/>
      <w:marRight w:val="0"/>
      <w:marTop w:val="0"/>
      <w:marBottom w:val="0"/>
      <w:divBdr>
        <w:top w:val="none" w:sz="0" w:space="0" w:color="auto"/>
        <w:left w:val="none" w:sz="0" w:space="0" w:color="auto"/>
        <w:bottom w:val="none" w:sz="0" w:space="0" w:color="auto"/>
        <w:right w:val="none" w:sz="0" w:space="0" w:color="auto"/>
      </w:divBdr>
    </w:div>
    <w:div w:id="391315791">
      <w:bodyDiv w:val="1"/>
      <w:marLeft w:val="0"/>
      <w:marRight w:val="0"/>
      <w:marTop w:val="0"/>
      <w:marBottom w:val="0"/>
      <w:divBdr>
        <w:top w:val="none" w:sz="0" w:space="0" w:color="auto"/>
        <w:left w:val="none" w:sz="0" w:space="0" w:color="auto"/>
        <w:bottom w:val="none" w:sz="0" w:space="0" w:color="auto"/>
        <w:right w:val="none" w:sz="0" w:space="0" w:color="auto"/>
      </w:divBdr>
    </w:div>
    <w:div w:id="392585192">
      <w:bodyDiv w:val="1"/>
      <w:marLeft w:val="0"/>
      <w:marRight w:val="0"/>
      <w:marTop w:val="0"/>
      <w:marBottom w:val="0"/>
      <w:divBdr>
        <w:top w:val="none" w:sz="0" w:space="0" w:color="auto"/>
        <w:left w:val="none" w:sz="0" w:space="0" w:color="auto"/>
        <w:bottom w:val="none" w:sz="0" w:space="0" w:color="auto"/>
        <w:right w:val="none" w:sz="0" w:space="0" w:color="auto"/>
      </w:divBdr>
    </w:div>
    <w:div w:id="413358169">
      <w:bodyDiv w:val="1"/>
      <w:marLeft w:val="0"/>
      <w:marRight w:val="0"/>
      <w:marTop w:val="0"/>
      <w:marBottom w:val="0"/>
      <w:divBdr>
        <w:top w:val="none" w:sz="0" w:space="0" w:color="auto"/>
        <w:left w:val="none" w:sz="0" w:space="0" w:color="auto"/>
        <w:bottom w:val="none" w:sz="0" w:space="0" w:color="auto"/>
        <w:right w:val="none" w:sz="0" w:space="0" w:color="auto"/>
      </w:divBdr>
    </w:div>
    <w:div w:id="414977500">
      <w:bodyDiv w:val="1"/>
      <w:marLeft w:val="0"/>
      <w:marRight w:val="0"/>
      <w:marTop w:val="0"/>
      <w:marBottom w:val="0"/>
      <w:divBdr>
        <w:top w:val="none" w:sz="0" w:space="0" w:color="auto"/>
        <w:left w:val="none" w:sz="0" w:space="0" w:color="auto"/>
        <w:bottom w:val="none" w:sz="0" w:space="0" w:color="auto"/>
        <w:right w:val="none" w:sz="0" w:space="0" w:color="auto"/>
      </w:divBdr>
    </w:div>
    <w:div w:id="418255069">
      <w:bodyDiv w:val="1"/>
      <w:marLeft w:val="0"/>
      <w:marRight w:val="0"/>
      <w:marTop w:val="0"/>
      <w:marBottom w:val="0"/>
      <w:divBdr>
        <w:top w:val="none" w:sz="0" w:space="0" w:color="auto"/>
        <w:left w:val="none" w:sz="0" w:space="0" w:color="auto"/>
        <w:bottom w:val="none" w:sz="0" w:space="0" w:color="auto"/>
        <w:right w:val="none" w:sz="0" w:space="0" w:color="auto"/>
      </w:divBdr>
    </w:div>
    <w:div w:id="424156051">
      <w:bodyDiv w:val="1"/>
      <w:marLeft w:val="0"/>
      <w:marRight w:val="0"/>
      <w:marTop w:val="0"/>
      <w:marBottom w:val="0"/>
      <w:divBdr>
        <w:top w:val="none" w:sz="0" w:space="0" w:color="auto"/>
        <w:left w:val="none" w:sz="0" w:space="0" w:color="auto"/>
        <w:bottom w:val="none" w:sz="0" w:space="0" w:color="auto"/>
        <w:right w:val="none" w:sz="0" w:space="0" w:color="auto"/>
      </w:divBdr>
    </w:div>
    <w:div w:id="424805331">
      <w:bodyDiv w:val="1"/>
      <w:marLeft w:val="0"/>
      <w:marRight w:val="0"/>
      <w:marTop w:val="0"/>
      <w:marBottom w:val="0"/>
      <w:divBdr>
        <w:top w:val="none" w:sz="0" w:space="0" w:color="auto"/>
        <w:left w:val="none" w:sz="0" w:space="0" w:color="auto"/>
        <w:bottom w:val="none" w:sz="0" w:space="0" w:color="auto"/>
        <w:right w:val="none" w:sz="0" w:space="0" w:color="auto"/>
      </w:divBdr>
    </w:div>
    <w:div w:id="428357380">
      <w:bodyDiv w:val="1"/>
      <w:marLeft w:val="0"/>
      <w:marRight w:val="0"/>
      <w:marTop w:val="0"/>
      <w:marBottom w:val="0"/>
      <w:divBdr>
        <w:top w:val="none" w:sz="0" w:space="0" w:color="auto"/>
        <w:left w:val="none" w:sz="0" w:space="0" w:color="auto"/>
        <w:bottom w:val="none" w:sz="0" w:space="0" w:color="auto"/>
        <w:right w:val="none" w:sz="0" w:space="0" w:color="auto"/>
      </w:divBdr>
    </w:div>
    <w:div w:id="451166665">
      <w:bodyDiv w:val="1"/>
      <w:marLeft w:val="0"/>
      <w:marRight w:val="0"/>
      <w:marTop w:val="0"/>
      <w:marBottom w:val="0"/>
      <w:divBdr>
        <w:top w:val="none" w:sz="0" w:space="0" w:color="auto"/>
        <w:left w:val="none" w:sz="0" w:space="0" w:color="auto"/>
        <w:bottom w:val="none" w:sz="0" w:space="0" w:color="auto"/>
        <w:right w:val="none" w:sz="0" w:space="0" w:color="auto"/>
      </w:divBdr>
    </w:div>
    <w:div w:id="462622874">
      <w:bodyDiv w:val="1"/>
      <w:marLeft w:val="0"/>
      <w:marRight w:val="0"/>
      <w:marTop w:val="0"/>
      <w:marBottom w:val="0"/>
      <w:divBdr>
        <w:top w:val="none" w:sz="0" w:space="0" w:color="auto"/>
        <w:left w:val="none" w:sz="0" w:space="0" w:color="auto"/>
        <w:bottom w:val="none" w:sz="0" w:space="0" w:color="auto"/>
        <w:right w:val="none" w:sz="0" w:space="0" w:color="auto"/>
      </w:divBdr>
    </w:div>
    <w:div w:id="476185041">
      <w:bodyDiv w:val="1"/>
      <w:marLeft w:val="0"/>
      <w:marRight w:val="0"/>
      <w:marTop w:val="0"/>
      <w:marBottom w:val="0"/>
      <w:divBdr>
        <w:top w:val="none" w:sz="0" w:space="0" w:color="auto"/>
        <w:left w:val="none" w:sz="0" w:space="0" w:color="auto"/>
        <w:bottom w:val="none" w:sz="0" w:space="0" w:color="auto"/>
        <w:right w:val="none" w:sz="0" w:space="0" w:color="auto"/>
      </w:divBdr>
    </w:div>
    <w:div w:id="495458847">
      <w:bodyDiv w:val="1"/>
      <w:marLeft w:val="0"/>
      <w:marRight w:val="0"/>
      <w:marTop w:val="0"/>
      <w:marBottom w:val="0"/>
      <w:divBdr>
        <w:top w:val="none" w:sz="0" w:space="0" w:color="auto"/>
        <w:left w:val="none" w:sz="0" w:space="0" w:color="auto"/>
        <w:bottom w:val="none" w:sz="0" w:space="0" w:color="auto"/>
        <w:right w:val="none" w:sz="0" w:space="0" w:color="auto"/>
      </w:divBdr>
    </w:div>
    <w:div w:id="496959986">
      <w:bodyDiv w:val="1"/>
      <w:marLeft w:val="0"/>
      <w:marRight w:val="0"/>
      <w:marTop w:val="0"/>
      <w:marBottom w:val="0"/>
      <w:divBdr>
        <w:top w:val="none" w:sz="0" w:space="0" w:color="auto"/>
        <w:left w:val="none" w:sz="0" w:space="0" w:color="auto"/>
        <w:bottom w:val="none" w:sz="0" w:space="0" w:color="auto"/>
        <w:right w:val="none" w:sz="0" w:space="0" w:color="auto"/>
      </w:divBdr>
    </w:div>
    <w:div w:id="506214052">
      <w:bodyDiv w:val="1"/>
      <w:marLeft w:val="0"/>
      <w:marRight w:val="0"/>
      <w:marTop w:val="0"/>
      <w:marBottom w:val="0"/>
      <w:divBdr>
        <w:top w:val="none" w:sz="0" w:space="0" w:color="auto"/>
        <w:left w:val="none" w:sz="0" w:space="0" w:color="auto"/>
        <w:bottom w:val="none" w:sz="0" w:space="0" w:color="auto"/>
        <w:right w:val="none" w:sz="0" w:space="0" w:color="auto"/>
      </w:divBdr>
    </w:div>
    <w:div w:id="513960359">
      <w:bodyDiv w:val="1"/>
      <w:marLeft w:val="0"/>
      <w:marRight w:val="0"/>
      <w:marTop w:val="0"/>
      <w:marBottom w:val="0"/>
      <w:divBdr>
        <w:top w:val="none" w:sz="0" w:space="0" w:color="auto"/>
        <w:left w:val="none" w:sz="0" w:space="0" w:color="auto"/>
        <w:bottom w:val="none" w:sz="0" w:space="0" w:color="auto"/>
        <w:right w:val="none" w:sz="0" w:space="0" w:color="auto"/>
      </w:divBdr>
    </w:div>
    <w:div w:id="519969892">
      <w:bodyDiv w:val="1"/>
      <w:marLeft w:val="0"/>
      <w:marRight w:val="0"/>
      <w:marTop w:val="0"/>
      <w:marBottom w:val="0"/>
      <w:divBdr>
        <w:top w:val="none" w:sz="0" w:space="0" w:color="auto"/>
        <w:left w:val="none" w:sz="0" w:space="0" w:color="auto"/>
        <w:bottom w:val="none" w:sz="0" w:space="0" w:color="auto"/>
        <w:right w:val="none" w:sz="0" w:space="0" w:color="auto"/>
      </w:divBdr>
    </w:div>
    <w:div w:id="526792491">
      <w:bodyDiv w:val="1"/>
      <w:marLeft w:val="0"/>
      <w:marRight w:val="0"/>
      <w:marTop w:val="0"/>
      <w:marBottom w:val="0"/>
      <w:divBdr>
        <w:top w:val="none" w:sz="0" w:space="0" w:color="auto"/>
        <w:left w:val="none" w:sz="0" w:space="0" w:color="auto"/>
        <w:bottom w:val="none" w:sz="0" w:space="0" w:color="auto"/>
        <w:right w:val="none" w:sz="0" w:space="0" w:color="auto"/>
      </w:divBdr>
    </w:div>
    <w:div w:id="530611942">
      <w:bodyDiv w:val="1"/>
      <w:marLeft w:val="0"/>
      <w:marRight w:val="0"/>
      <w:marTop w:val="0"/>
      <w:marBottom w:val="0"/>
      <w:divBdr>
        <w:top w:val="none" w:sz="0" w:space="0" w:color="auto"/>
        <w:left w:val="none" w:sz="0" w:space="0" w:color="auto"/>
        <w:bottom w:val="none" w:sz="0" w:space="0" w:color="auto"/>
        <w:right w:val="none" w:sz="0" w:space="0" w:color="auto"/>
      </w:divBdr>
    </w:div>
    <w:div w:id="538400869">
      <w:bodyDiv w:val="1"/>
      <w:marLeft w:val="0"/>
      <w:marRight w:val="0"/>
      <w:marTop w:val="0"/>
      <w:marBottom w:val="0"/>
      <w:divBdr>
        <w:top w:val="none" w:sz="0" w:space="0" w:color="auto"/>
        <w:left w:val="none" w:sz="0" w:space="0" w:color="auto"/>
        <w:bottom w:val="none" w:sz="0" w:space="0" w:color="auto"/>
        <w:right w:val="none" w:sz="0" w:space="0" w:color="auto"/>
      </w:divBdr>
    </w:div>
    <w:div w:id="547257546">
      <w:bodyDiv w:val="1"/>
      <w:marLeft w:val="0"/>
      <w:marRight w:val="0"/>
      <w:marTop w:val="0"/>
      <w:marBottom w:val="0"/>
      <w:divBdr>
        <w:top w:val="none" w:sz="0" w:space="0" w:color="auto"/>
        <w:left w:val="none" w:sz="0" w:space="0" w:color="auto"/>
        <w:bottom w:val="none" w:sz="0" w:space="0" w:color="auto"/>
        <w:right w:val="none" w:sz="0" w:space="0" w:color="auto"/>
      </w:divBdr>
    </w:div>
    <w:div w:id="554661362">
      <w:bodyDiv w:val="1"/>
      <w:marLeft w:val="0"/>
      <w:marRight w:val="0"/>
      <w:marTop w:val="0"/>
      <w:marBottom w:val="0"/>
      <w:divBdr>
        <w:top w:val="none" w:sz="0" w:space="0" w:color="auto"/>
        <w:left w:val="none" w:sz="0" w:space="0" w:color="auto"/>
        <w:bottom w:val="none" w:sz="0" w:space="0" w:color="auto"/>
        <w:right w:val="none" w:sz="0" w:space="0" w:color="auto"/>
      </w:divBdr>
    </w:div>
    <w:div w:id="558324605">
      <w:bodyDiv w:val="1"/>
      <w:marLeft w:val="0"/>
      <w:marRight w:val="0"/>
      <w:marTop w:val="0"/>
      <w:marBottom w:val="0"/>
      <w:divBdr>
        <w:top w:val="none" w:sz="0" w:space="0" w:color="auto"/>
        <w:left w:val="none" w:sz="0" w:space="0" w:color="auto"/>
        <w:bottom w:val="none" w:sz="0" w:space="0" w:color="auto"/>
        <w:right w:val="none" w:sz="0" w:space="0" w:color="auto"/>
      </w:divBdr>
    </w:div>
    <w:div w:id="559176535">
      <w:bodyDiv w:val="1"/>
      <w:marLeft w:val="0"/>
      <w:marRight w:val="0"/>
      <w:marTop w:val="0"/>
      <w:marBottom w:val="0"/>
      <w:divBdr>
        <w:top w:val="none" w:sz="0" w:space="0" w:color="auto"/>
        <w:left w:val="none" w:sz="0" w:space="0" w:color="auto"/>
        <w:bottom w:val="none" w:sz="0" w:space="0" w:color="auto"/>
        <w:right w:val="none" w:sz="0" w:space="0" w:color="auto"/>
      </w:divBdr>
    </w:div>
    <w:div w:id="560755162">
      <w:bodyDiv w:val="1"/>
      <w:marLeft w:val="0"/>
      <w:marRight w:val="0"/>
      <w:marTop w:val="0"/>
      <w:marBottom w:val="0"/>
      <w:divBdr>
        <w:top w:val="none" w:sz="0" w:space="0" w:color="auto"/>
        <w:left w:val="none" w:sz="0" w:space="0" w:color="auto"/>
        <w:bottom w:val="none" w:sz="0" w:space="0" w:color="auto"/>
        <w:right w:val="none" w:sz="0" w:space="0" w:color="auto"/>
      </w:divBdr>
    </w:div>
    <w:div w:id="561867872">
      <w:bodyDiv w:val="1"/>
      <w:marLeft w:val="0"/>
      <w:marRight w:val="0"/>
      <w:marTop w:val="0"/>
      <w:marBottom w:val="0"/>
      <w:divBdr>
        <w:top w:val="none" w:sz="0" w:space="0" w:color="auto"/>
        <w:left w:val="none" w:sz="0" w:space="0" w:color="auto"/>
        <w:bottom w:val="none" w:sz="0" w:space="0" w:color="auto"/>
        <w:right w:val="none" w:sz="0" w:space="0" w:color="auto"/>
      </w:divBdr>
    </w:div>
    <w:div w:id="578178158">
      <w:bodyDiv w:val="1"/>
      <w:marLeft w:val="0"/>
      <w:marRight w:val="0"/>
      <w:marTop w:val="0"/>
      <w:marBottom w:val="0"/>
      <w:divBdr>
        <w:top w:val="none" w:sz="0" w:space="0" w:color="auto"/>
        <w:left w:val="none" w:sz="0" w:space="0" w:color="auto"/>
        <w:bottom w:val="none" w:sz="0" w:space="0" w:color="auto"/>
        <w:right w:val="none" w:sz="0" w:space="0" w:color="auto"/>
      </w:divBdr>
    </w:div>
    <w:div w:id="583153442">
      <w:bodyDiv w:val="1"/>
      <w:marLeft w:val="0"/>
      <w:marRight w:val="0"/>
      <w:marTop w:val="0"/>
      <w:marBottom w:val="0"/>
      <w:divBdr>
        <w:top w:val="none" w:sz="0" w:space="0" w:color="auto"/>
        <w:left w:val="none" w:sz="0" w:space="0" w:color="auto"/>
        <w:bottom w:val="none" w:sz="0" w:space="0" w:color="auto"/>
        <w:right w:val="none" w:sz="0" w:space="0" w:color="auto"/>
      </w:divBdr>
    </w:div>
    <w:div w:id="600336693">
      <w:bodyDiv w:val="1"/>
      <w:marLeft w:val="0"/>
      <w:marRight w:val="0"/>
      <w:marTop w:val="0"/>
      <w:marBottom w:val="0"/>
      <w:divBdr>
        <w:top w:val="none" w:sz="0" w:space="0" w:color="auto"/>
        <w:left w:val="none" w:sz="0" w:space="0" w:color="auto"/>
        <w:bottom w:val="none" w:sz="0" w:space="0" w:color="auto"/>
        <w:right w:val="none" w:sz="0" w:space="0" w:color="auto"/>
      </w:divBdr>
    </w:div>
    <w:div w:id="605425447">
      <w:bodyDiv w:val="1"/>
      <w:marLeft w:val="0"/>
      <w:marRight w:val="0"/>
      <w:marTop w:val="0"/>
      <w:marBottom w:val="0"/>
      <w:divBdr>
        <w:top w:val="none" w:sz="0" w:space="0" w:color="auto"/>
        <w:left w:val="none" w:sz="0" w:space="0" w:color="auto"/>
        <w:bottom w:val="none" w:sz="0" w:space="0" w:color="auto"/>
        <w:right w:val="none" w:sz="0" w:space="0" w:color="auto"/>
      </w:divBdr>
    </w:div>
    <w:div w:id="612831948">
      <w:bodyDiv w:val="1"/>
      <w:marLeft w:val="0"/>
      <w:marRight w:val="0"/>
      <w:marTop w:val="0"/>
      <w:marBottom w:val="0"/>
      <w:divBdr>
        <w:top w:val="none" w:sz="0" w:space="0" w:color="auto"/>
        <w:left w:val="none" w:sz="0" w:space="0" w:color="auto"/>
        <w:bottom w:val="none" w:sz="0" w:space="0" w:color="auto"/>
        <w:right w:val="none" w:sz="0" w:space="0" w:color="auto"/>
      </w:divBdr>
    </w:div>
    <w:div w:id="615449370">
      <w:bodyDiv w:val="1"/>
      <w:marLeft w:val="0"/>
      <w:marRight w:val="0"/>
      <w:marTop w:val="0"/>
      <w:marBottom w:val="0"/>
      <w:divBdr>
        <w:top w:val="none" w:sz="0" w:space="0" w:color="auto"/>
        <w:left w:val="none" w:sz="0" w:space="0" w:color="auto"/>
        <w:bottom w:val="none" w:sz="0" w:space="0" w:color="auto"/>
        <w:right w:val="none" w:sz="0" w:space="0" w:color="auto"/>
      </w:divBdr>
    </w:div>
    <w:div w:id="615646971">
      <w:bodyDiv w:val="1"/>
      <w:marLeft w:val="0"/>
      <w:marRight w:val="0"/>
      <w:marTop w:val="0"/>
      <w:marBottom w:val="0"/>
      <w:divBdr>
        <w:top w:val="none" w:sz="0" w:space="0" w:color="auto"/>
        <w:left w:val="none" w:sz="0" w:space="0" w:color="auto"/>
        <w:bottom w:val="none" w:sz="0" w:space="0" w:color="auto"/>
        <w:right w:val="none" w:sz="0" w:space="0" w:color="auto"/>
      </w:divBdr>
    </w:div>
    <w:div w:id="622076055">
      <w:bodyDiv w:val="1"/>
      <w:marLeft w:val="0"/>
      <w:marRight w:val="0"/>
      <w:marTop w:val="0"/>
      <w:marBottom w:val="0"/>
      <w:divBdr>
        <w:top w:val="none" w:sz="0" w:space="0" w:color="auto"/>
        <w:left w:val="none" w:sz="0" w:space="0" w:color="auto"/>
        <w:bottom w:val="none" w:sz="0" w:space="0" w:color="auto"/>
        <w:right w:val="none" w:sz="0" w:space="0" w:color="auto"/>
      </w:divBdr>
    </w:div>
    <w:div w:id="625090870">
      <w:bodyDiv w:val="1"/>
      <w:marLeft w:val="0"/>
      <w:marRight w:val="0"/>
      <w:marTop w:val="0"/>
      <w:marBottom w:val="0"/>
      <w:divBdr>
        <w:top w:val="none" w:sz="0" w:space="0" w:color="auto"/>
        <w:left w:val="none" w:sz="0" w:space="0" w:color="auto"/>
        <w:bottom w:val="none" w:sz="0" w:space="0" w:color="auto"/>
        <w:right w:val="none" w:sz="0" w:space="0" w:color="auto"/>
      </w:divBdr>
    </w:div>
    <w:div w:id="656689942">
      <w:bodyDiv w:val="1"/>
      <w:marLeft w:val="0"/>
      <w:marRight w:val="0"/>
      <w:marTop w:val="0"/>
      <w:marBottom w:val="0"/>
      <w:divBdr>
        <w:top w:val="none" w:sz="0" w:space="0" w:color="auto"/>
        <w:left w:val="none" w:sz="0" w:space="0" w:color="auto"/>
        <w:bottom w:val="none" w:sz="0" w:space="0" w:color="auto"/>
        <w:right w:val="none" w:sz="0" w:space="0" w:color="auto"/>
      </w:divBdr>
    </w:div>
    <w:div w:id="662775947">
      <w:bodyDiv w:val="1"/>
      <w:marLeft w:val="0"/>
      <w:marRight w:val="0"/>
      <w:marTop w:val="0"/>
      <w:marBottom w:val="0"/>
      <w:divBdr>
        <w:top w:val="none" w:sz="0" w:space="0" w:color="auto"/>
        <w:left w:val="none" w:sz="0" w:space="0" w:color="auto"/>
        <w:bottom w:val="none" w:sz="0" w:space="0" w:color="auto"/>
        <w:right w:val="none" w:sz="0" w:space="0" w:color="auto"/>
      </w:divBdr>
    </w:div>
    <w:div w:id="664672222">
      <w:bodyDiv w:val="1"/>
      <w:marLeft w:val="0"/>
      <w:marRight w:val="0"/>
      <w:marTop w:val="0"/>
      <w:marBottom w:val="0"/>
      <w:divBdr>
        <w:top w:val="none" w:sz="0" w:space="0" w:color="auto"/>
        <w:left w:val="none" w:sz="0" w:space="0" w:color="auto"/>
        <w:bottom w:val="none" w:sz="0" w:space="0" w:color="auto"/>
        <w:right w:val="none" w:sz="0" w:space="0" w:color="auto"/>
      </w:divBdr>
    </w:div>
    <w:div w:id="686760378">
      <w:bodyDiv w:val="1"/>
      <w:marLeft w:val="0"/>
      <w:marRight w:val="0"/>
      <w:marTop w:val="0"/>
      <w:marBottom w:val="0"/>
      <w:divBdr>
        <w:top w:val="none" w:sz="0" w:space="0" w:color="auto"/>
        <w:left w:val="none" w:sz="0" w:space="0" w:color="auto"/>
        <w:bottom w:val="none" w:sz="0" w:space="0" w:color="auto"/>
        <w:right w:val="none" w:sz="0" w:space="0" w:color="auto"/>
      </w:divBdr>
    </w:div>
    <w:div w:id="721293718">
      <w:bodyDiv w:val="1"/>
      <w:marLeft w:val="0"/>
      <w:marRight w:val="0"/>
      <w:marTop w:val="0"/>
      <w:marBottom w:val="0"/>
      <w:divBdr>
        <w:top w:val="none" w:sz="0" w:space="0" w:color="auto"/>
        <w:left w:val="none" w:sz="0" w:space="0" w:color="auto"/>
        <w:bottom w:val="none" w:sz="0" w:space="0" w:color="auto"/>
        <w:right w:val="none" w:sz="0" w:space="0" w:color="auto"/>
      </w:divBdr>
    </w:div>
    <w:div w:id="723522534">
      <w:bodyDiv w:val="1"/>
      <w:marLeft w:val="0"/>
      <w:marRight w:val="0"/>
      <w:marTop w:val="0"/>
      <w:marBottom w:val="0"/>
      <w:divBdr>
        <w:top w:val="none" w:sz="0" w:space="0" w:color="auto"/>
        <w:left w:val="none" w:sz="0" w:space="0" w:color="auto"/>
        <w:bottom w:val="none" w:sz="0" w:space="0" w:color="auto"/>
        <w:right w:val="none" w:sz="0" w:space="0" w:color="auto"/>
      </w:divBdr>
    </w:div>
    <w:div w:id="747993404">
      <w:bodyDiv w:val="1"/>
      <w:marLeft w:val="0"/>
      <w:marRight w:val="0"/>
      <w:marTop w:val="0"/>
      <w:marBottom w:val="0"/>
      <w:divBdr>
        <w:top w:val="none" w:sz="0" w:space="0" w:color="auto"/>
        <w:left w:val="none" w:sz="0" w:space="0" w:color="auto"/>
        <w:bottom w:val="none" w:sz="0" w:space="0" w:color="auto"/>
        <w:right w:val="none" w:sz="0" w:space="0" w:color="auto"/>
      </w:divBdr>
    </w:div>
    <w:div w:id="748699195">
      <w:bodyDiv w:val="1"/>
      <w:marLeft w:val="0"/>
      <w:marRight w:val="0"/>
      <w:marTop w:val="0"/>
      <w:marBottom w:val="0"/>
      <w:divBdr>
        <w:top w:val="none" w:sz="0" w:space="0" w:color="auto"/>
        <w:left w:val="none" w:sz="0" w:space="0" w:color="auto"/>
        <w:bottom w:val="none" w:sz="0" w:space="0" w:color="auto"/>
        <w:right w:val="none" w:sz="0" w:space="0" w:color="auto"/>
      </w:divBdr>
    </w:div>
    <w:div w:id="748815181">
      <w:bodyDiv w:val="1"/>
      <w:marLeft w:val="0"/>
      <w:marRight w:val="0"/>
      <w:marTop w:val="0"/>
      <w:marBottom w:val="0"/>
      <w:divBdr>
        <w:top w:val="none" w:sz="0" w:space="0" w:color="auto"/>
        <w:left w:val="none" w:sz="0" w:space="0" w:color="auto"/>
        <w:bottom w:val="none" w:sz="0" w:space="0" w:color="auto"/>
        <w:right w:val="none" w:sz="0" w:space="0" w:color="auto"/>
      </w:divBdr>
    </w:div>
    <w:div w:id="765005549">
      <w:bodyDiv w:val="1"/>
      <w:marLeft w:val="0"/>
      <w:marRight w:val="0"/>
      <w:marTop w:val="0"/>
      <w:marBottom w:val="0"/>
      <w:divBdr>
        <w:top w:val="none" w:sz="0" w:space="0" w:color="auto"/>
        <w:left w:val="none" w:sz="0" w:space="0" w:color="auto"/>
        <w:bottom w:val="none" w:sz="0" w:space="0" w:color="auto"/>
        <w:right w:val="none" w:sz="0" w:space="0" w:color="auto"/>
      </w:divBdr>
    </w:div>
    <w:div w:id="772670933">
      <w:bodyDiv w:val="1"/>
      <w:marLeft w:val="0"/>
      <w:marRight w:val="0"/>
      <w:marTop w:val="0"/>
      <w:marBottom w:val="0"/>
      <w:divBdr>
        <w:top w:val="none" w:sz="0" w:space="0" w:color="auto"/>
        <w:left w:val="none" w:sz="0" w:space="0" w:color="auto"/>
        <w:bottom w:val="none" w:sz="0" w:space="0" w:color="auto"/>
        <w:right w:val="none" w:sz="0" w:space="0" w:color="auto"/>
      </w:divBdr>
    </w:div>
    <w:div w:id="782457374">
      <w:bodyDiv w:val="1"/>
      <w:marLeft w:val="0"/>
      <w:marRight w:val="0"/>
      <w:marTop w:val="0"/>
      <w:marBottom w:val="0"/>
      <w:divBdr>
        <w:top w:val="none" w:sz="0" w:space="0" w:color="auto"/>
        <w:left w:val="none" w:sz="0" w:space="0" w:color="auto"/>
        <w:bottom w:val="none" w:sz="0" w:space="0" w:color="auto"/>
        <w:right w:val="none" w:sz="0" w:space="0" w:color="auto"/>
      </w:divBdr>
    </w:div>
    <w:div w:id="787510455">
      <w:bodyDiv w:val="1"/>
      <w:marLeft w:val="0"/>
      <w:marRight w:val="0"/>
      <w:marTop w:val="0"/>
      <w:marBottom w:val="0"/>
      <w:divBdr>
        <w:top w:val="none" w:sz="0" w:space="0" w:color="auto"/>
        <w:left w:val="none" w:sz="0" w:space="0" w:color="auto"/>
        <w:bottom w:val="none" w:sz="0" w:space="0" w:color="auto"/>
        <w:right w:val="none" w:sz="0" w:space="0" w:color="auto"/>
      </w:divBdr>
    </w:div>
    <w:div w:id="793407050">
      <w:bodyDiv w:val="1"/>
      <w:marLeft w:val="0"/>
      <w:marRight w:val="0"/>
      <w:marTop w:val="0"/>
      <w:marBottom w:val="0"/>
      <w:divBdr>
        <w:top w:val="none" w:sz="0" w:space="0" w:color="auto"/>
        <w:left w:val="none" w:sz="0" w:space="0" w:color="auto"/>
        <w:bottom w:val="none" w:sz="0" w:space="0" w:color="auto"/>
        <w:right w:val="none" w:sz="0" w:space="0" w:color="auto"/>
      </w:divBdr>
    </w:div>
    <w:div w:id="799609105">
      <w:bodyDiv w:val="1"/>
      <w:marLeft w:val="0"/>
      <w:marRight w:val="0"/>
      <w:marTop w:val="0"/>
      <w:marBottom w:val="0"/>
      <w:divBdr>
        <w:top w:val="none" w:sz="0" w:space="0" w:color="auto"/>
        <w:left w:val="none" w:sz="0" w:space="0" w:color="auto"/>
        <w:bottom w:val="none" w:sz="0" w:space="0" w:color="auto"/>
        <w:right w:val="none" w:sz="0" w:space="0" w:color="auto"/>
      </w:divBdr>
    </w:div>
    <w:div w:id="800656482">
      <w:bodyDiv w:val="1"/>
      <w:marLeft w:val="0"/>
      <w:marRight w:val="0"/>
      <w:marTop w:val="0"/>
      <w:marBottom w:val="0"/>
      <w:divBdr>
        <w:top w:val="none" w:sz="0" w:space="0" w:color="auto"/>
        <w:left w:val="none" w:sz="0" w:space="0" w:color="auto"/>
        <w:bottom w:val="none" w:sz="0" w:space="0" w:color="auto"/>
        <w:right w:val="none" w:sz="0" w:space="0" w:color="auto"/>
      </w:divBdr>
    </w:div>
    <w:div w:id="812910438">
      <w:bodyDiv w:val="1"/>
      <w:marLeft w:val="0"/>
      <w:marRight w:val="0"/>
      <w:marTop w:val="0"/>
      <w:marBottom w:val="0"/>
      <w:divBdr>
        <w:top w:val="none" w:sz="0" w:space="0" w:color="auto"/>
        <w:left w:val="none" w:sz="0" w:space="0" w:color="auto"/>
        <w:bottom w:val="none" w:sz="0" w:space="0" w:color="auto"/>
        <w:right w:val="none" w:sz="0" w:space="0" w:color="auto"/>
      </w:divBdr>
    </w:div>
    <w:div w:id="814494582">
      <w:bodyDiv w:val="1"/>
      <w:marLeft w:val="0"/>
      <w:marRight w:val="0"/>
      <w:marTop w:val="0"/>
      <w:marBottom w:val="0"/>
      <w:divBdr>
        <w:top w:val="none" w:sz="0" w:space="0" w:color="auto"/>
        <w:left w:val="none" w:sz="0" w:space="0" w:color="auto"/>
        <w:bottom w:val="none" w:sz="0" w:space="0" w:color="auto"/>
        <w:right w:val="none" w:sz="0" w:space="0" w:color="auto"/>
      </w:divBdr>
    </w:div>
    <w:div w:id="814758794">
      <w:bodyDiv w:val="1"/>
      <w:marLeft w:val="0"/>
      <w:marRight w:val="0"/>
      <w:marTop w:val="0"/>
      <w:marBottom w:val="0"/>
      <w:divBdr>
        <w:top w:val="none" w:sz="0" w:space="0" w:color="auto"/>
        <w:left w:val="none" w:sz="0" w:space="0" w:color="auto"/>
        <w:bottom w:val="none" w:sz="0" w:space="0" w:color="auto"/>
        <w:right w:val="none" w:sz="0" w:space="0" w:color="auto"/>
      </w:divBdr>
    </w:div>
    <w:div w:id="815879890">
      <w:bodyDiv w:val="1"/>
      <w:marLeft w:val="0"/>
      <w:marRight w:val="0"/>
      <w:marTop w:val="0"/>
      <w:marBottom w:val="0"/>
      <w:divBdr>
        <w:top w:val="none" w:sz="0" w:space="0" w:color="auto"/>
        <w:left w:val="none" w:sz="0" w:space="0" w:color="auto"/>
        <w:bottom w:val="none" w:sz="0" w:space="0" w:color="auto"/>
        <w:right w:val="none" w:sz="0" w:space="0" w:color="auto"/>
      </w:divBdr>
    </w:div>
    <w:div w:id="819267990">
      <w:bodyDiv w:val="1"/>
      <w:marLeft w:val="0"/>
      <w:marRight w:val="0"/>
      <w:marTop w:val="0"/>
      <w:marBottom w:val="0"/>
      <w:divBdr>
        <w:top w:val="none" w:sz="0" w:space="0" w:color="auto"/>
        <w:left w:val="none" w:sz="0" w:space="0" w:color="auto"/>
        <w:bottom w:val="none" w:sz="0" w:space="0" w:color="auto"/>
        <w:right w:val="none" w:sz="0" w:space="0" w:color="auto"/>
      </w:divBdr>
    </w:div>
    <w:div w:id="822434977">
      <w:bodyDiv w:val="1"/>
      <w:marLeft w:val="0"/>
      <w:marRight w:val="0"/>
      <w:marTop w:val="0"/>
      <w:marBottom w:val="0"/>
      <w:divBdr>
        <w:top w:val="none" w:sz="0" w:space="0" w:color="auto"/>
        <w:left w:val="none" w:sz="0" w:space="0" w:color="auto"/>
        <w:bottom w:val="none" w:sz="0" w:space="0" w:color="auto"/>
        <w:right w:val="none" w:sz="0" w:space="0" w:color="auto"/>
      </w:divBdr>
    </w:div>
    <w:div w:id="825054624">
      <w:bodyDiv w:val="1"/>
      <w:marLeft w:val="0"/>
      <w:marRight w:val="0"/>
      <w:marTop w:val="0"/>
      <w:marBottom w:val="0"/>
      <w:divBdr>
        <w:top w:val="none" w:sz="0" w:space="0" w:color="auto"/>
        <w:left w:val="none" w:sz="0" w:space="0" w:color="auto"/>
        <w:bottom w:val="none" w:sz="0" w:space="0" w:color="auto"/>
        <w:right w:val="none" w:sz="0" w:space="0" w:color="auto"/>
      </w:divBdr>
    </w:div>
    <w:div w:id="827136880">
      <w:bodyDiv w:val="1"/>
      <w:marLeft w:val="0"/>
      <w:marRight w:val="0"/>
      <w:marTop w:val="0"/>
      <w:marBottom w:val="0"/>
      <w:divBdr>
        <w:top w:val="none" w:sz="0" w:space="0" w:color="auto"/>
        <w:left w:val="none" w:sz="0" w:space="0" w:color="auto"/>
        <w:bottom w:val="none" w:sz="0" w:space="0" w:color="auto"/>
        <w:right w:val="none" w:sz="0" w:space="0" w:color="auto"/>
      </w:divBdr>
    </w:div>
    <w:div w:id="847988427">
      <w:bodyDiv w:val="1"/>
      <w:marLeft w:val="0"/>
      <w:marRight w:val="0"/>
      <w:marTop w:val="0"/>
      <w:marBottom w:val="0"/>
      <w:divBdr>
        <w:top w:val="none" w:sz="0" w:space="0" w:color="auto"/>
        <w:left w:val="none" w:sz="0" w:space="0" w:color="auto"/>
        <w:bottom w:val="none" w:sz="0" w:space="0" w:color="auto"/>
        <w:right w:val="none" w:sz="0" w:space="0" w:color="auto"/>
      </w:divBdr>
    </w:div>
    <w:div w:id="861016167">
      <w:bodyDiv w:val="1"/>
      <w:marLeft w:val="0"/>
      <w:marRight w:val="0"/>
      <w:marTop w:val="0"/>
      <w:marBottom w:val="0"/>
      <w:divBdr>
        <w:top w:val="none" w:sz="0" w:space="0" w:color="auto"/>
        <w:left w:val="none" w:sz="0" w:space="0" w:color="auto"/>
        <w:bottom w:val="none" w:sz="0" w:space="0" w:color="auto"/>
        <w:right w:val="none" w:sz="0" w:space="0" w:color="auto"/>
      </w:divBdr>
    </w:div>
    <w:div w:id="872230453">
      <w:bodyDiv w:val="1"/>
      <w:marLeft w:val="0"/>
      <w:marRight w:val="0"/>
      <w:marTop w:val="0"/>
      <w:marBottom w:val="0"/>
      <w:divBdr>
        <w:top w:val="none" w:sz="0" w:space="0" w:color="auto"/>
        <w:left w:val="none" w:sz="0" w:space="0" w:color="auto"/>
        <w:bottom w:val="none" w:sz="0" w:space="0" w:color="auto"/>
        <w:right w:val="none" w:sz="0" w:space="0" w:color="auto"/>
      </w:divBdr>
    </w:div>
    <w:div w:id="872381641">
      <w:bodyDiv w:val="1"/>
      <w:marLeft w:val="0"/>
      <w:marRight w:val="0"/>
      <w:marTop w:val="0"/>
      <w:marBottom w:val="0"/>
      <w:divBdr>
        <w:top w:val="none" w:sz="0" w:space="0" w:color="auto"/>
        <w:left w:val="none" w:sz="0" w:space="0" w:color="auto"/>
        <w:bottom w:val="none" w:sz="0" w:space="0" w:color="auto"/>
        <w:right w:val="none" w:sz="0" w:space="0" w:color="auto"/>
      </w:divBdr>
    </w:div>
    <w:div w:id="887297995">
      <w:bodyDiv w:val="1"/>
      <w:marLeft w:val="0"/>
      <w:marRight w:val="0"/>
      <w:marTop w:val="0"/>
      <w:marBottom w:val="0"/>
      <w:divBdr>
        <w:top w:val="none" w:sz="0" w:space="0" w:color="auto"/>
        <w:left w:val="none" w:sz="0" w:space="0" w:color="auto"/>
        <w:bottom w:val="none" w:sz="0" w:space="0" w:color="auto"/>
        <w:right w:val="none" w:sz="0" w:space="0" w:color="auto"/>
      </w:divBdr>
    </w:div>
    <w:div w:id="894195332">
      <w:bodyDiv w:val="1"/>
      <w:marLeft w:val="0"/>
      <w:marRight w:val="0"/>
      <w:marTop w:val="0"/>
      <w:marBottom w:val="0"/>
      <w:divBdr>
        <w:top w:val="none" w:sz="0" w:space="0" w:color="auto"/>
        <w:left w:val="none" w:sz="0" w:space="0" w:color="auto"/>
        <w:bottom w:val="none" w:sz="0" w:space="0" w:color="auto"/>
        <w:right w:val="none" w:sz="0" w:space="0" w:color="auto"/>
      </w:divBdr>
    </w:div>
    <w:div w:id="904686649">
      <w:bodyDiv w:val="1"/>
      <w:marLeft w:val="0"/>
      <w:marRight w:val="0"/>
      <w:marTop w:val="0"/>
      <w:marBottom w:val="0"/>
      <w:divBdr>
        <w:top w:val="none" w:sz="0" w:space="0" w:color="auto"/>
        <w:left w:val="none" w:sz="0" w:space="0" w:color="auto"/>
        <w:bottom w:val="none" w:sz="0" w:space="0" w:color="auto"/>
        <w:right w:val="none" w:sz="0" w:space="0" w:color="auto"/>
      </w:divBdr>
    </w:div>
    <w:div w:id="908275050">
      <w:bodyDiv w:val="1"/>
      <w:marLeft w:val="0"/>
      <w:marRight w:val="0"/>
      <w:marTop w:val="0"/>
      <w:marBottom w:val="0"/>
      <w:divBdr>
        <w:top w:val="none" w:sz="0" w:space="0" w:color="auto"/>
        <w:left w:val="none" w:sz="0" w:space="0" w:color="auto"/>
        <w:bottom w:val="none" w:sz="0" w:space="0" w:color="auto"/>
        <w:right w:val="none" w:sz="0" w:space="0" w:color="auto"/>
      </w:divBdr>
    </w:div>
    <w:div w:id="909191084">
      <w:bodyDiv w:val="1"/>
      <w:marLeft w:val="0"/>
      <w:marRight w:val="0"/>
      <w:marTop w:val="0"/>
      <w:marBottom w:val="0"/>
      <w:divBdr>
        <w:top w:val="none" w:sz="0" w:space="0" w:color="auto"/>
        <w:left w:val="none" w:sz="0" w:space="0" w:color="auto"/>
        <w:bottom w:val="none" w:sz="0" w:space="0" w:color="auto"/>
        <w:right w:val="none" w:sz="0" w:space="0" w:color="auto"/>
      </w:divBdr>
    </w:div>
    <w:div w:id="920676666">
      <w:bodyDiv w:val="1"/>
      <w:marLeft w:val="0"/>
      <w:marRight w:val="0"/>
      <w:marTop w:val="0"/>
      <w:marBottom w:val="0"/>
      <w:divBdr>
        <w:top w:val="none" w:sz="0" w:space="0" w:color="auto"/>
        <w:left w:val="none" w:sz="0" w:space="0" w:color="auto"/>
        <w:bottom w:val="none" w:sz="0" w:space="0" w:color="auto"/>
        <w:right w:val="none" w:sz="0" w:space="0" w:color="auto"/>
      </w:divBdr>
    </w:div>
    <w:div w:id="921990131">
      <w:bodyDiv w:val="1"/>
      <w:marLeft w:val="0"/>
      <w:marRight w:val="0"/>
      <w:marTop w:val="0"/>
      <w:marBottom w:val="0"/>
      <w:divBdr>
        <w:top w:val="none" w:sz="0" w:space="0" w:color="auto"/>
        <w:left w:val="none" w:sz="0" w:space="0" w:color="auto"/>
        <w:bottom w:val="none" w:sz="0" w:space="0" w:color="auto"/>
        <w:right w:val="none" w:sz="0" w:space="0" w:color="auto"/>
      </w:divBdr>
    </w:div>
    <w:div w:id="931862696">
      <w:bodyDiv w:val="1"/>
      <w:marLeft w:val="0"/>
      <w:marRight w:val="0"/>
      <w:marTop w:val="0"/>
      <w:marBottom w:val="0"/>
      <w:divBdr>
        <w:top w:val="none" w:sz="0" w:space="0" w:color="auto"/>
        <w:left w:val="none" w:sz="0" w:space="0" w:color="auto"/>
        <w:bottom w:val="none" w:sz="0" w:space="0" w:color="auto"/>
        <w:right w:val="none" w:sz="0" w:space="0" w:color="auto"/>
      </w:divBdr>
    </w:div>
    <w:div w:id="937567368">
      <w:bodyDiv w:val="1"/>
      <w:marLeft w:val="0"/>
      <w:marRight w:val="0"/>
      <w:marTop w:val="0"/>
      <w:marBottom w:val="0"/>
      <w:divBdr>
        <w:top w:val="none" w:sz="0" w:space="0" w:color="auto"/>
        <w:left w:val="none" w:sz="0" w:space="0" w:color="auto"/>
        <w:bottom w:val="none" w:sz="0" w:space="0" w:color="auto"/>
        <w:right w:val="none" w:sz="0" w:space="0" w:color="auto"/>
      </w:divBdr>
    </w:div>
    <w:div w:id="941456939">
      <w:bodyDiv w:val="1"/>
      <w:marLeft w:val="0"/>
      <w:marRight w:val="0"/>
      <w:marTop w:val="0"/>
      <w:marBottom w:val="0"/>
      <w:divBdr>
        <w:top w:val="none" w:sz="0" w:space="0" w:color="auto"/>
        <w:left w:val="none" w:sz="0" w:space="0" w:color="auto"/>
        <w:bottom w:val="none" w:sz="0" w:space="0" w:color="auto"/>
        <w:right w:val="none" w:sz="0" w:space="0" w:color="auto"/>
      </w:divBdr>
    </w:div>
    <w:div w:id="951472079">
      <w:bodyDiv w:val="1"/>
      <w:marLeft w:val="0"/>
      <w:marRight w:val="0"/>
      <w:marTop w:val="0"/>
      <w:marBottom w:val="0"/>
      <w:divBdr>
        <w:top w:val="none" w:sz="0" w:space="0" w:color="auto"/>
        <w:left w:val="none" w:sz="0" w:space="0" w:color="auto"/>
        <w:bottom w:val="none" w:sz="0" w:space="0" w:color="auto"/>
        <w:right w:val="none" w:sz="0" w:space="0" w:color="auto"/>
      </w:divBdr>
    </w:div>
    <w:div w:id="957371825">
      <w:bodyDiv w:val="1"/>
      <w:marLeft w:val="0"/>
      <w:marRight w:val="0"/>
      <w:marTop w:val="0"/>
      <w:marBottom w:val="0"/>
      <w:divBdr>
        <w:top w:val="none" w:sz="0" w:space="0" w:color="auto"/>
        <w:left w:val="none" w:sz="0" w:space="0" w:color="auto"/>
        <w:bottom w:val="none" w:sz="0" w:space="0" w:color="auto"/>
        <w:right w:val="none" w:sz="0" w:space="0" w:color="auto"/>
      </w:divBdr>
    </w:div>
    <w:div w:id="962350009">
      <w:bodyDiv w:val="1"/>
      <w:marLeft w:val="0"/>
      <w:marRight w:val="0"/>
      <w:marTop w:val="0"/>
      <w:marBottom w:val="0"/>
      <w:divBdr>
        <w:top w:val="none" w:sz="0" w:space="0" w:color="auto"/>
        <w:left w:val="none" w:sz="0" w:space="0" w:color="auto"/>
        <w:bottom w:val="none" w:sz="0" w:space="0" w:color="auto"/>
        <w:right w:val="none" w:sz="0" w:space="0" w:color="auto"/>
      </w:divBdr>
    </w:div>
    <w:div w:id="984507833">
      <w:bodyDiv w:val="1"/>
      <w:marLeft w:val="0"/>
      <w:marRight w:val="0"/>
      <w:marTop w:val="0"/>
      <w:marBottom w:val="0"/>
      <w:divBdr>
        <w:top w:val="none" w:sz="0" w:space="0" w:color="auto"/>
        <w:left w:val="none" w:sz="0" w:space="0" w:color="auto"/>
        <w:bottom w:val="none" w:sz="0" w:space="0" w:color="auto"/>
        <w:right w:val="none" w:sz="0" w:space="0" w:color="auto"/>
      </w:divBdr>
    </w:div>
    <w:div w:id="991251618">
      <w:bodyDiv w:val="1"/>
      <w:marLeft w:val="0"/>
      <w:marRight w:val="0"/>
      <w:marTop w:val="0"/>
      <w:marBottom w:val="0"/>
      <w:divBdr>
        <w:top w:val="none" w:sz="0" w:space="0" w:color="auto"/>
        <w:left w:val="none" w:sz="0" w:space="0" w:color="auto"/>
        <w:bottom w:val="none" w:sz="0" w:space="0" w:color="auto"/>
        <w:right w:val="none" w:sz="0" w:space="0" w:color="auto"/>
      </w:divBdr>
    </w:div>
    <w:div w:id="991367326">
      <w:bodyDiv w:val="1"/>
      <w:marLeft w:val="0"/>
      <w:marRight w:val="0"/>
      <w:marTop w:val="0"/>
      <w:marBottom w:val="0"/>
      <w:divBdr>
        <w:top w:val="none" w:sz="0" w:space="0" w:color="auto"/>
        <w:left w:val="none" w:sz="0" w:space="0" w:color="auto"/>
        <w:bottom w:val="none" w:sz="0" w:space="0" w:color="auto"/>
        <w:right w:val="none" w:sz="0" w:space="0" w:color="auto"/>
      </w:divBdr>
    </w:div>
    <w:div w:id="1003321036">
      <w:bodyDiv w:val="1"/>
      <w:marLeft w:val="0"/>
      <w:marRight w:val="0"/>
      <w:marTop w:val="0"/>
      <w:marBottom w:val="0"/>
      <w:divBdr>
        <w:top w:val="none" w:sz="0" w:space="0" w:color="auto"/>
        <w:left w:val="none" w:sz="0" w:space="0" w:color="auto"/>
        <w:bottom w:val="none" w:sz="0" w:space="0" w:color="auto"/>
        <w:right w:val="none" w:sz="0" w:space="0" w:color="auto"/>
      </w:divBdr>
    </w:div>
    <w:div w:id="1011375074">
      <w:bodyDiv w:val="1"/>
      <w:marLeft w:val="0"/>
      <w:marRight w:val="0"/>
      <w:marTop w:val="0"/>
      <w:marBottom w:val="0"/>
      <w:divBdr>
        <w:top w:val="none" w:sz="0" w:space="0" w:color="auto"/>
        <w:left w:val="none" w:sz="0" w:space="0" w:color="auto"/>
        <w:bottom w:val="none" w:sz="0" w:space="0" w:color="auto"/>
        <w:right w:val="none" w:sz="0" w:space="0" w:color="auto"/>
      </w:divBdr>
    </w:div>
    <w:div w:id="1035737590">
      <w:bodyDiv w:val="1"/>
      <w:marLeft w:val="0"/>
      <w:marRight w:val="0"/>
      <w:marTop w:val="0"/>
      <w:marBottom w:val="0"/>
      <w:divBdr>
        <w:top w:val="none" w:sz="0" w:space="0" w:color="auto"/>
        <w:left w:val="none" w:sz="0" w:space="0" w:color="auto"/>
        <w:bottom w:val="none" w:sz="0" w:space="0" w:color="auto"/>
        <w:right w:val="none" w:sz="0" w:space="0" w:color="auto"/>
      </w:divBdr>
    </w:div>
    <w:div w:id="1049691185">
      <w:bodyDiv w:val="1"/>
      <w:marLeft w:val="0"/>
      <w:marRight w:val="0"/>
      <w:marTop w:val="0"/>
      <w:marBottom w:val="0"/>
      <w:divBdr>
        <w:top w:val="none" w:sz="0" w:space="0" w:color="auto"/>
        <w:left w:val="none" w:sz="0" w:space="0" w:color="auto"/>
        <w:bottom w:val="none" w:sz="0" w:space="0" w:color="auto"/>
        <w:right w:val="none" w:sz="0" w:space="0" w:color="auto"/>
      </w:divBdr>
    </w:div>
    <w:div w:id="1060863137">
      <w:bodyDiv w:val="1"/>
      <w:marLeft w:val="0"/>
      <w:marRight w:val="0"/>
      <w:marTop w:val="0"/>
      <w:marBottom w:val="0"/>
      <w:divBdr>
        <w:top w:val="none" w:sz="0" w:space="0" w:color="auto"/>
        <w:left w:val="none" w:sz="0" w:space="0" w:color="auto"/>
        <w:bottom w:val="none" w:sz="0" w:space="0" w:color="auto"/>
        <w:right w:val="none" w:sz="0" w:space="0" w:color="auto"/>
      </w:divBdr>
    </w:div>
    <w:div w:id="1063527636">
      <w:bodyDiv w:val="1"/>
      <w:marLeft w:val="0"/>
      <w:marRight w:val="0"/>
      <w:marTop w:val="0"/>
      <w:marBottom w:val="0"/>
      <w:divBdr>
        <w:top w:val="none" w:sz="0" w:space="0" w:color="auto"/>
        <w:left w:val="none" w:sz="0" w:space="0" w:color="auto"/>
        <w:bottom w:val="none" w:sz="0" w:space="0" w:color="auto"/>
        <w:right w:val="none" w:sz="0" w:space="0" w:color="auto"/>
      </w:divBdr>
    </w:div>
    <w:div w:id="1078946232">
      <w:bodyDiv w:val="1"/>
      <w:marLeft w:val="0"/>
      <w:marRight w:val="0"/>
      <w:marTop w:val="0"/>
      <w:marBottom w:val="0"/>
      <w:divBdr>
        <w:top w:val="none" w:sz="0" w:space="0" w:color="auto"/>
        <w:left w:val="none" w:sz="0" w:space="0" w:color="auto"/>
        <w:bottom w:val="none" w:sz="0" w:space="0" w:color="auto"/>
        <w:right w:val="none" w:sz="0" w:space="0" w:color="auto"/>
      </w:divBdr>
    </w:div>
    <w:div w:id="1080443738">
      <w:bodyDiv w:val="1"/>
      <w:marLeft w:val="0"/>
      <w:marRight w:val="0"/>
      <w:marTop w:val="0"/>
      <w:marBottom w:val="0"/>
      <w:divBdr>
        <w:top w:val="none" w:sz="0" w:space="0" w:color="auto"/>
        <w:left w:val="none" w:sz="0" w:space="0" w:color="auto"/>
        <w:bottom w:val="none" w:sz="0" w:space="0" w:color="auto"/>
        <w:right w:val="none" w:sz="0" w:space="0" w:color="auto"/>
      </w:divBdr>
    </w:div>
    <w:div w:id="1097796317">
      <w:bodyDiv w:val="1"/>
      <w:marLeft w:val="0"/>
      <w:marRight w:val="0"/>
      <w:marTop w:val="0"/>
      <w:marBottom w:val="0"/>
      <w:divBdr>
        <w:top w:val="none" w:sz="0" w:space="0" w:color="auto"/>
        <w:left w:val="none" w:sz="0" w:space="0" w:color="auto"/>
        <w:bottom w:val="none" w:sz="0" w:space="0" w:color="auto"/>
        <w:right w:val="none" w:sz="0" w:space="0" w:color="auto"/>
      </w:divBdr>
    </w:div>
    <w:div w:id="1103721987">
      <w:bodyDiv w:val="1"/>
      <w:marLeft w:val="0"/>
      <w:marRight w:val="0"/>
      <w:marTop w:val="0"/>
      <w:marBottom w:val="0"/>
      <w:divBdr>
        <w:top w:val="none" w:sz="0" w:space="0" w:color="auto"/>
        <w:left w:val="none" w:sz="0" w:space="0" w:color="auto"/>
        <w:bottom w:val="none" w:sz="0" w:space="0" w:color="auto"/>
        <w:right w:val="none" w:sz="0" w:space="0" w:color="auto"/>
      </w:divBdr>
    </w:div>
    <w:div w:id="1106271390">
      <w:bodyDiv w:val="1"/>
      <w:marLeft w:val="0"/>
      <w:marRight w:val="0"/>
      <w:marTop w:val="0"/>
      <w:marBottom w:val="0"/>
      <w:divBdr>
        <w:top w:val="none" w:sz="0" w:space="0" w:color="auto"/>
        <w:left w:val="none" w:sz="0" w:space="0" w:color="auto"/>
        <w:bottom w:val="none" w:sz="0" w:space="0" w:color="auto"/>
        <w:right w:val="none" w:sz="0" w:space="0" w:color="auto"/>
      </w:divBdr>
    </w:div>
    <w:div w:id="1106461636">
      <w:bodyDiv w:val="1"/>
      <w:marLeft w:val="0"/>
      <w:marRight w:val="0"/>
      <w:marTop w:val="0"/>
      <w:marBottom w:val="0"/>
      <w:divBdr>
        <w:top w:val="none" w:sz="0" w:space="0" w:color="auto"/>
        <w:left w:val="none" w:sz="0" w:space="0" w:color="auto"/>
        <w:bottom w:val="none" w:sz="0" w:space="0" w:color="auto"/>
        <w:right w:val="none" w:sz="0" w:space="0" w:color="auto"/>
      </w:divBdr>
    </w:div>
    <w:div w:id="1109664657">
      <w:bodyDiv w:val="1"/>
      <w:marLeft w:val="0"/>
      <w:marRight w:val="0"/>
      <w:marTop w:val="0"/>
      <w:marBottom w:val="0"/>
      <w:divBdr>
        <w:top w:val="none" w:sz="0" w:space="0" w:color="auto"/>
        <w:left w:val="none" w:sz="0" w:space="0" w:color="auto"/>
        <w:bottom w:val="none" w:sz="0" w:space="0" w:color="auto"/>
        <w:right w:val="none" w:sz="0" w:space="0" w:color="auto"/>
      </w:divBdr>
    </w:div>
    <w:div w:id="1127703733">
      <w:bodyDiv w:val="1"/>
      <w:marLeft w:val="0"/>
      <w:marRight w:val="0"/>
      <w:marTop w:val="0"/>
      <w:marBottom w:val="0"/>
      <w:divBdr>
        <w:top w:val="none" w:sz="0" w:space="0" w:color="auto"/>
        <w:left w:val="none" w:sz="0" w:space="0" w:color="auto"/>
        <w:bottom w:val="none" w:sz="0" w:space="0" w:color="auto"/>
        <w:right w:val="none" w:sz="0" w:space="0" w:color="auto"/>
      </w:divBdr>
    </w:div>
    <w:div w:id="1134248125">
      <w:bodyDiv w:val="1"/>
      <w:marLeft w:val="0"/>
      <w:marRight w:val="0"/>
      <w:marTop w:val="0"/>
      <w:marBottom w:val="0"/>
      <w:divBdr>
        <w:top w:val="none" w:sz="0" w:space="0" w:color="auto"/>
        <w:left w:val="none" w:sz="0" w:space="0" w:color="auto"/>
        <w:bottom w:val="none" w:sz="0" w:space="0" w:color="auto"/>
        <w:right w:val="none" w:sz="0" w:space="0" w:color="auto"/>
      </w:divBdr>
    </w:div>
    <w:div w:id="1138109454">
      <w:bodyDiv w:val="1"/>
      <w:marLeft w:val="0"/>
      <w:marRight w:val="0"/>
      <w:marTop w:val="0"/>
      <w:marBottom w:val="0"/>
      <w:divBdr>
        <w:top w:val="none" w:sz="0" w:space="0" w:color="auto"/>
        <w:left w:val="none" w:sz="0" w:space="0" w:color="auto"/>
        <w:bottom w:val="none" w:sz="0" w:space="0" w:color="auto"/>
        <w:right w:val="none" w:sz="0" w:space="0" w:color="auto"/>
      </w:divBdr>
    </w:div>
    <w:div w:id="1153567328">
      <w:bodyDiv w:val="1"/>
      <w:marLeft w:val="0"/>
      <w:marRight w:val="0"/>
      <w:marTop w:val="0"/>
      <w:marBottom w:val="0"/>
      <w:divBdr>
        <w:top w:val="none" w:sz="0" w:space="0" w:color="auto"/>
        <w:left w:val="none" w:sz="0" w:space="0" w:color="auto"/>
        <w:bottom w:val="none" w:sz="0" w:space="0" w:color="auto"/>
        <w:right w:val="none" w:sz="0" w:space="0" w:color="auto"/>
      </w:divBdr>
    </w:div>
    <w:div w:id="1158227705">
      <w:bodyDiv w:val="1"/>
      <w:marLeft w:val="0"/>
      <w:marRight w:val="0"/>
      <w:marTop w:val="0"/>
      <w:marBottom w:val="0"/>
      <w:divBdr>
        <w:top w:val="none" w:sz="0" w:space="0" w:color="auto"/>
        <w:left w:val="none" w:sz="0" w:space="0" w:color="auto"/>
        <w:bottom w:val="none" w:sz="0" w:space="0" w:color="auto"/>
        <w:right w:val="none" w:sz="0" w:space="0" w:color="auto"/>
      </w:divBdr>
    </w:div>
    <w:div w:id="1158350543">
      <w:bodyDiv w:val="1"/>
      <w:marLeft w:val="0"/>
      <w:marRight w:val="0"/>
      <w:marTop w:val="0"/>
      <w:marBottom w:val="0"/>
      <w:divBdr>
        <w:top w:val="none" w:sz="0" w:space="0" w:color="auto"/>
        <w:left w:val="none" w:sz="0" w:space="0" w:color="auto"/>
        <w:bottom w:val="none" w:sz="0" w:space="0" w:color="auto"/>
        <w:right w:val="none" w:sz="0" w:space="0" w:color="auto"/>
      </w:divBdr>
    </w:div>
    <w:div w:id="1160729777">
      <w:bodyDiv w:val="1"/>
      <w:marLeft w:val="0"/>
      <w:marRight w:val="0"/>
      <w:marTop w:val="0"/>
      <w:marBottom w:val="0"/>
      <w:divBdr>
        <w:top w:val="none" w:sz="0" w:space="0" w:color="auto"/>
        <w:left w:val="none" w:sz="0" w:space="0" w:color="auto"/>
        <w:bottom w:val="none" w:sz="0" w:space="0" w:color="auto"/>
        <w:right w:val="none" w:sz="0" w:space="0" w:color="auto"/>
      </w:divBdr>
    </w:div>
    <w:div w:id="1171994087">
      <w:bodyDiv w:val="1"/>
      <w:marLeft w:val="0"/>
      <w:marRight w:val="0"/>
      <w:marTop w:val="0"/>
      <w:marBottom w:val="0"/>
      <w:divBdr>
        <w:top w:val="none" w:sz="0" w:space="0" w:color="auto"/>
        <w:left w:val="none" w:sz="0" w:space="0" w:color="auto"/>
        <w:bottom w:val="none" w:sz="0" w:space="0" w:color="auto"/>
        <w:right w:val="none" w:sz="0" w:space="0" w:color="auto"/>
      </w:divBdr>
    </w:div>
    <w:div w:id="1176187099">
      <w:bodyDiv w:val="1"/>
      <w:marLeft w:val="0"/>
      <w:marRight w:val="0"/>
      <w:marTop w:val="0"/>
      <w:marBottom w:val="0"/>
      <w:divBdr>
        <w:top w:val="none" w:sz="0" w:space="0" w:color="auto"/>
        <w:left w:val="none" w:sz="0" w:space="0" w:color="auto"/>
        <w:bottom w:val="none" w:sz="0" w:space="0" w:color="auto"/>
        <w:right w:val="none" w:sz="0" w:space="0" w:color="auto"/>
      </w:divBdr>
    </w:div>
    <w:div w:id="1189687036">
      <w:bodyDiv w:val="1"/>
      <w:marLeft w:val="0"/>
      <w:marRight w:val="0"/>
      <w:marTop w:val="0"/>
      <w:marBottom w:val="0"/>
      <w:divBdr>
        <w:top w:val="none" w:sz="0" w:space="0" w:color="auto"/>
        <w:left w:val="none" w:sz="0" w:space="0" w:color="auto"/>
        <w:bottom w:val="none" w:sz="0" w:space="0" w:color="auto"/>
        <w:right w:val="none" w:sz="0" w:space="0" w:color="auto"/>
      </w:divBdr>
    </w:div>
    <w:div w:id="1193111353">
      <w:bodyDiv w:val="1"/>
      <w:marLeft w:val="0"/>
      <w:marRight w:val="0"/>
      <w:marTop w:val="0"/>
      <w:marBottom w:val="0"/>
      <w:divBdr>
        <w:top w:val="none" w:sz="0" w:space="0" w:color="auto"/>
        <w:left w:val="none" w:sz="0" w:space="0" w:color="auto"/>
        <w:bottom w:val="none" w:sz="0" w:space="0" w:color="auto"/>
        <w:right w:val="none" w:sz="0" w:space="0" w:color="auto"/>
      </w:divBdr>
    </w:div>
    <w:div w:id="1196625930">
      <w:bodyDiv w:val="1"/>
      <w:marLeft w:val="0"/>
      <w:marRight w:val="0"/>
      <w:marTop w:val="0"/>
      <w:marBottom w:val="0"/>
      <w:divBdr>
        <w:top w:val="none" w:sz="0" w:space="0" w:color="auto"/>
        <w:left w:val="none" w:sz="0" w:space="0" w:color="auto"/>
        <w:bottom w:val="none" w:sz="0" w:space="0" w:color="auto"/>
        <w:right w:val="none" w:sz="0" w:space="0" w:color="auto"/>
      </w:divBdr>
    </w:div>
    <w:div w:id="1209876835">
      <w:bodyDiv w:val="1"/>
      <w:marLeft w:val="0"/>
      <w:marRight w:val="0"/>
      <w:marTop w:val="0"/>
      <w:marBottom w:val="0"/>
      <w:divBdr>
        <w:top w:val="none" w:sz="0" w:space="0" w:color="auto"/>
        <w:left w:val="none" w:sz="0" w:space="0" w:color="auto"/>
        <w:bottom w:val="none" w:sz="0" w:space="0" w:color="auto"/>
        <w:right w:val="none" w:sz="0" w:space="0" w:color="auto"/>
      </w:divBdr>
    </w:div>
    <w:div w:id="1210075781">
      <w:bodyDiv w:val="1"/>
      <w:marLeft w:val="0"/>
      <w:marRight w:val="0"/>
      <w:marTop w:val="0"/>
      <w:marBottom w:val="0"/>
      <w:divBdr>
        <w:top w:val="none" w:sz="0" w:space="0" w:color="auto"/>
        <w:left w:val="none" w:sz="0" w:space="0" w:color="auto"/>
        <w:bottom w:val="none" w:sz="0" w:space="0" w:color="auto"/>
        <w:right w:val="none" w:sz="0" w:space="0" w:color="auto"/>
      </w:divBdr>
    </w:div>
    <w:div w:id="1212351398">
      <w:bodyDiv w:val="1"/>
      <w:marLeft w:val="0"/>
      <w:marRight w:val="0"/>
      <w:marTop w:val="0"/>
      <w:marBottom w:val="0"/>
      <w:divBdr>
        <w:top w:val="none" w:sz="0" w:space="0" w:color="auto"/>
        <w:left w:val="none" w:sz="0" w:space="0" w:color="auto"/>
        <w:bottom w:val="none" w:sz="0" w:space="0" w:color="auto"/>
        <w:right w:val="none" w:sz="0" w:space="0" w:color="auto"/>
      </w:divBdr>
    </w:div>
    <w:div w:id="1212810527">
      <w:bodyDiv w:val="1"/>
      <w:marLeft w:val="0"/>
      <w:marRight w:val="0"/>
      <w:marTop w:val="0"/>
      <w:marBottom w:val="0"/>
      <w:divBdr>
        <w:top w:val="none" w:sz="0" w:space="0" w:color="auto"/>
        <w:left w:val="none" w:sz="0" w:space="0" w:color="auto"/>
        <w:bottom w:val="none" w:sz="0" w:space="0" w:color="auto"/>
        <w:right w:val="none" w:sz="0" w:space="0" w:color="auto"/>
      </w:divBdr>
    </w:div>
    <w:div w:id="1214539767">
      <w:bodyDiv w:val="1"/>
      <w:marLeft w:val="0"/>
      <w:marRight w:val="0"/>
      <w:marTop w:val="0"/>
      <w:marBottom w:val="0"/>
      <w:divBdr>
        <w:top w:val="none" w:sz="0" w:space="0" w:color="auto"/>
        <w:left w:val="none" w:sz="0" w:space="0" w:color="auto"/>
        <w:bottom w:val="none" w:sz="0" w:space="0" w:color="auto"/>
        <w:right w:val="none" w:sz="0" w:space="0" w:color="auto"/>
      </w:divBdr>
    </w:div>
    <w:div w:id="1215003569">
      <w:bodyDiv w:val="1"/>
      <w:marLeft w:val="0"/>
      <w:marRight w:val="0"/>
      <w:marTop w:val="0"/>
      <w:marBottom w:val="0"/>
      <w:divBdr>
        <w:top w:val="none" w:sz="0" w:space="0" w:color="auto"/>
        <w:left w:val="none" w:sz="0" w:space="0" w:color="auto"/>
        <w:bottom w:val="none" w:sz="0" w:space="0" w:color="auto"/>
        <w:right w:val="none" w:sz="0" w:space="0" w:color="auto"/>
      </w:divBdr>
    </w:div>
    <w:div w:id="1215391524">
      <w:bodyDiv w:val="1"/>
      <w:marLeft w:val="0"/>
      <w:marRight w:val="0"/>
      <w:marTop w:val="0"/>
      <w:marBottom w:val="0"/>
      <w:divBdr>
        <w:top w:val="none" w:sz="0" w:space="0" w:color="auto"/>
        <w:left w:val="none" w:sz="0" w:space="0" w:color="auto"/>
        <w:bottom w:val="none" w:sz="0" w:space="0" w:color="auto"/>
        <w:right w:val="none" w:sz="0" w:space="0" w:color="auto"/>
      </w:divBdr>
    </w:div>
    <w:div w:id="1233614641">
      <w:bodyDiv w:val="1"/>
      <w:marLeft w:val="0"/>
      <w:marRight w:val="0"/>
      <w:marTop w:val="0"/>
      <w:marBottom w:val="0"/>
      <w:divBdr>
        <w:top w:val="none" w:sz="0" w:space="0" w:color="auto"/>
        <w:left w:val="none" w:sz="0" w:space="0" w:color="auto"/>
        <w:bottom w:val="none" w:sz="0" w:space="0" w:color="auto"/>
        <w:right w:val="none" w:sz="0" w:space="0" w:color="auto"/>
      </w:divBdr>
    </w:div>
    <w:div w:id="1233736509">
      <w:bodyDiv w:val="1"/>
      <w:marLeft w:val="0"/>
      <w:marRight w:val="0"/>
      <w:marTop w:val="0"/>
      <w:marBottom w:val="0"/>
      <w:divBdr>
        <w:top w:val="none" w:sz="0" w:space="0" w:color="auto"/>
        <w:left w:val="none" w:sz="0" w:space="0" w:color="auto"/>
        <w:bottom w:val="none" w:sz="0" w:space="0" w:color="auto"/>
        <w:right w:val="none" w:sz="0" w:space="0" w:color="auto"/>
      </w:divBdr>
    </w:div>
    <w:div w:id="1234780821">
      <w:bodyDiv w:val="1"/>
      <w:marLeft w:val="0"/>
      <w:marRight w:val="0"/>
      <w:marTop w:val="0"/>
      <w:marBottom w:val="0"/>
      <w:divBdr>
        <w:top w:val="none" w:sz="0" w:space="0" w:color="auto"/>
        <w:left w:val="none" w:sz="0" w:space="0" w:color="auto"/>
        <w:bottom w:val="none" w:sz="0" w:space="0" w:color="auto"/>
        <w:right w:val="none" w:sz="0" w:space="0" w:color="auto"/>
      </w:divBdr>
    </w:div>
    <w:div w:id="1235092470">
      <w:bodyDiv w:val="1"/>
      <w:marLeft w:val="0"/>
      <w:marRight w:val="0"/>
      <w:marTop w:val="0"/>
      <w:marBottom w:val="0"/>
      <w:divBdr>
        <w:top w:val="none" w:sz="0" w:space="0" w:color="auto"/>
        <w:left w:val="none" w:sz="0" w:space="0" w:color="auto"/>
        <w:bottom w:val="none" w:sz="0" w:space="0" w:color="auto"/>
        <w:right w:val="none" w:sz="0" w:space="0" w:color="auto"/>
      </w:divBdr>
    </w:div>
    <w:div w:id="1239485820">
      <w:bodyDiv w:val="1"/>
      <w:marLeft w:val="0"/>
      <w:marRight w:val="0"/>
      <w:marTop w:val="0"/>
      <w:marBottom w:val="0"/>
      <w:divBdr>
        <w:top w:val="none" w:sz="0" w:space="0" w:color="auto"/>
        <w:left w:val="none" w:sz="0" w:space="0" w:color="auto"/>
        <w:bottom w:val="none" w:sz="0" w:space="0" w:color="auto"/>
        <w:right w:val="none" w:sz="0" w:space="0" w:color="auto"/>
      </w:divBdr>
    </w:div>
    <w:div w:id="1243180386">
      <w:bodyDiv w:val="1"/>
      <w:marLeft w:val="0"/>
      <w:marRight w:val="0"/>
      <w:marTop w:val="0"/>
      <w:marBottom w:val="0"/>
      <w:divBdr>
        <w:top w:val="none" w:sz="0" w:space="0" w:color="auto"/>
        <w:left w:val="none" w:sz="0" w:space="0" w:color="auto"/>
        <w:bottom w:val="none" w:sz="0" w:space="0" w:color="auto"/>
        <w:right w:val="none" w:sz="0" w:space="0" w:color="auto"/>
      </w:divBdr>
    </w:div>
    <w:div w:id="1244222019">
      <w:bodyDiv w:val="1"/>
      <w:marLeft w:val="0"/>
      <w:marRight w:val="0"/>
      <w:marTop w:val="0"/>
      <w:marBottom w:val="0"/>
      <w:divBdr>
        <w:top w:val="none" w:sz="0" w:space="0" w:color="auto"/>
        <w:left w:val="none" w:sz="0" w:space="0" w:color="auto"/>
        <w:bottom w:val="none" w:sz="0" w:space="0" w:color="auto"/>
        <w:right w:val="none" w:sz="0" w:space="0" w:color="auto"/>
      </w:divBdr>
    </w:div>
    <w:div w:id="1272012461">
      <w:bodyDiv w:val="1"/>
      <w:marLeft w:val="0"/>
      <w:marRight w:val="0"/>
      <w:marTop w:val="0"/>
      <w:marBottom w:val="0"/>
      <w:divBdr>
        <w:top w:val="none" w:sz="0" w:space="0" w:color="auto"/>
        <w:left w:val="none" w:sz="0" w:space="0" w:color="auto"/>
        <w:bottom w:val="none" w:sz="0" w:space="0" w:color="auto"/>
        <w:right w:val="none" w:sz="0" w:space="0" w:color="auto"/>
      </w:divBdr>
    </w:div>
    <w:div w:id="1276209372">
      <w:bodyDiv w:val="1"/>
      <w:marLeft w:val="0"/>
      <w:marRight w:val="0"/>
      <w:marTop w:val="0"/>
      <w:marBottom w:val="0"/>
      <w:divBdr>
        <w:top w:val="none" w:sz="0" w:space="0" w:color="auto"/>
        <w:left w:val="none" w:sz="0" w:space="0" w:color="auto"/>
        <w:bottom w:val="none" w:sz="0" w:space="0" w:color="auto"/>
        <w:right w:val="none" w:sz="0" w:space="0" w:color="auto"/>
      </w:divBdr>
    </w:div>
    <w:div w:id="1276328462">
      <w:bodyDiv w:val="1"/>
      <w:marLeft w:val="0"/>
      <w:marRight w:val="0"/>
      <w:marTop w:val="0"/>
      <w:marBottom w:val="0"/>
      <w:divBdr>
        <w:top w:val="none" w:sz="0" w:space="0" w:color="auto"/>
        <w:left w:val="none" w:sz="0" w:space="0" w:color="auto"/>
        <w:bottom w:val="none" w:sz="0" w:space="0" w:color="auto"/>
        <w:right w:val="none" w:sz="0" w:space="0" w:color="auto"/>
      </w:divBdr>
    </w:div>
    <w:div w:id="1283536997">
      <w:bodyDiv w:val="1"/>
      <w:marLeft w:val="0"/>
      <w:marRight w:val="0"/>
      <w:marTop w:val="0"/>
      <w:marBottom w:val="0"/>
      <w:divBdr>
        <w:top w:val="none" w:sz="0" w:space="0" w:color="auto"/>
        <w:left w:val="none" w:sz="0" w:space="0" w:color="auto"/>
        <w:bottom w:val="none" w:sz="0" w:space="0" w:color="auto"/>
        <w:right w:val="none" w:sz="0" w:space="0" w:color="auto"/>
      </w:divBdr>
    </w:div>
    <w:div w:id="1286932540">
      <w:bodyDiv w:val="1"/>
      <w:marLeft w:val="0"/>
      <w:marRight w:val="0"/>
      <w:marTop w:val="0"/>
      <w:marBottom w:val="0"/>
      <w:divBdr>
        <w:top w:val="none" w:sz="0" w:space="0" w:color="auto"/>
        <w:left w:val="none" w:sz="0" w:space="0" w:color="auto"/>
        <w:bottom w:val="none" w:sz="0" w:space="0" w:color="auto"/>
        <w:right w:val="none" w:sz="0" w:space="0" w:color="auto"/>
      </w:divBdr>
    </w:div>
    <w:div w:id="1287615956">
      <w:bodyDiv w:val="1"/>
      <w:marLeft w:val="0"/>
      <w:marRight w:val="0"/>
      <w:marTop w:val="0"/>
      <w:marBottom w:val="0"/>
      <w:divBdr>
        <w:top w:val="none" w:sz="0" w:space="0" w:color="auto"/>
        <w:left w:val="none" w:sz="0" w:space="0" w:color="auto"/>
        <w:bottom w:val="none" w:sz="0" w:space="0" w:color="auto"/>
        <w:right w:val="none" w:sz="0" w:space="0" w:color="auto"/>
      </w:divBdr>
    </w:div>
    <w:div w:id="1287658916">
      <w:bodyDiv w:val="1"/>
      <w:marLeft w:val="0"/>
      <w:marRight w:val="0"/>
      <w:marTop w:val="0"/>
      <w:marBottom w:val="0"/>
      <w:divBdr>
        <w:top w:val="none" w:sz="0" w:space="0" w:color="auto"/>
        <w:left w:val="none" w:sz="0" w:space="0" w:color="auto"/>
        <w:bottom w:val="none" w:sz="0" w:space="0" w:color="auto"/>
        <w:right w:val="none" w:sz="0" w:space="0" w:color="auto"/>
      </w:divBdr>
    </w:div>
    <w:div w:id="1295677030">
      <w:bodyDiv w:val="1"/>
      <w:marLeft w:val="0"/>
      <w:marRight w:val="0"/>
      <w:marTop w:val="0"/>
      <w:marBottom w:val="0"/>
      <w:divBdr>
        <w:top w:val="none" w:sz="0" w:space="0" w:color="auto"/>
        <w:left w:val="none" w:sz="0" w:space="0" w:color="auto"/>
        <w:bottom w:val="none" w:sz="0" w:space="0" w:color="auto"/>
        <w:right w:val="none" w:sz="0" w:space="0" w:color="auto"/>
      </w:divBdr>
    </w:div>
    <w:div w:id="1303119468">
      <w:bodyDiv w:val="1"/>
      <w:marLeft w:val="0"/>
      <w:marRight w:val="0"/>
      <w:marTop w:val="0"/>
      <w:marBottom w:val="0"/>
      <w:divBdr>
        <w:top w:val="none" w:sz="0" w:space="0" w:color="auto"/>
        <w:left w:val="none" w:sz="0" w:space="0" w:color="auto"/>
        <w:bottom w:val="none" w:sz="0" w:space="0" w:color="auto"/>
        <w:right w:val="none" w:sz="0" w:space="0" w:color="auto"/>
      </w:divBdr>
    </w:div>
    <w:div w:id="1308632552">
      <w:bodyDiv w:val="1"/>
      <w:marLeft w:val="0"/>
      <w:marRight w:val="0"/>
      <w:marTop w:val="0"/>
      <w:marBottom w:val="0"/>
      <w:divBdr>
        <w:top w:val="none" w:sz="0" w:space="0" w:color="auto"/>
        <w:left w:val="none" w:sz="0" w:space="0" w:color="auto"/>
        <w:bottom w:val="none" w:sz="0" w:space="0" w:color="auto"/>
        <w:right w:val="none" w:sz="0" w:space="0" w:color="auto"/>
      </w:divBdr>
    </w:div>
    <w:div w:id="1314140917">
      <w:bodyDiv w:val="1"/>
      <w:marLeft w:val="0"/>
      <w:marRight w:val="0"/>
      <w:marTop w:val="0"/>
      <w:marBottom w:val="0"/>
      <w:divBdr>
        <w:top w:val="none" w:sz="0" w:space="0" w:color="auto"/>
        <w:left w:val="none" w:sz="0" w:space="0" w:color="auto"/>
        <w:bottom w:val="none" w:sz="0" w:space="0" w:color="auto"/>
        <w:right w:val="none" w:sz="0" w:space="0" w:color="auto"/>
      </w:divBdr>
    </w:div>
    <w:div w:id="1315836766">
      <w:bodyDiv w:val="1"/>
      <w:marLeft w:val="0"/>
      <w:marRight w:val="0"/>
      <w:marTop w:val="0"/>
      <w:marBottom w:val="0"/>
      <w:divBdr>
        <w:top w:val="none" w:sz="0" w:space="0" w:color="auto"/>
        <w:left w:val="none" w:sz="0" w:space="0" w:color="auto"/>
        <w:bottom w:val="none" w:sz="0" w:space="0" w:color="auto"/>
        <w:right w:val="none" w:sz="0" w:space="0" w:color="auto"/>
      </w:divBdr>
    </w:div>
    <w:div w:id="1317033679">
      <w:bodyDiv w:val="1"/>
      <w:marLeft w:val="0"/>
      <w:marRight w:val="0"/>
      <w:marTop w:val="0"/>
      <w:marBottom w:val="0"/>
      <w:divBdr>
        <w:top w:val="none" w:sz="0" w:space="0" w:color="auto"/>
        <w:left w:val="none" w:sz="0" w:space="0" w:color="auto"/>
        <w:bottom w:val="none" w:sz="0" w:space="0" w:color="auto"/>
        <w:right w:val="none" w:sz="0" w:space="0" w:color="auto"/>
      </w:divBdr>
    </w:div>
    <w:div w:id="1322006284">
      <w:bodyDiv w:val="1"/>
      <w:marLeft w:val="0"/>
      <w:marRight w:val="0"/>
      <w:marTop w:val="0"/>
      <w:marBottom w:val="0"/>
      <w:divBdr>
        <w:top w:val="none" w:sz="0" w:space="0" w:color="auto"/>
        <w:left w:val="none" w:sz="0" w:space="0" w:color="auto"/>
        <w:bottom w:val="none" w:sz="0" w:space="0" w:color="auto"/>
        <w:right w:val="none" w:sz="0" w:space="0" w:color="auto"/>
      </w:divBdr>
    </w:div>
    <w:div w:id="1325207092">
      <w:bodyDiv w:val="1"/>
      <w:marLeft w:val="0"/>
      <w:marRight w:val="0"/>
      <w:marTop w:val="0"/>
      <w:marBottom w:val="0"/>
      <w:divBdr>
        <w:top w:val="none" w:sz="0" w:space="0" w:color="auto"/>
        <w:left w:val="none" w:sz="0" w:space="0" w:color="auto"/>
        <w:bottom w:val="none" w:sz="0" w:space="0" w:color="auto"/>
        <w:right w:val="none" w:sz="0" w:space="0" w:color="auto"/>
      </w:divBdr>
    </w:div>
    <w:div w:id="1337263759">
      <w:bodyDiv w:val="1"/>
      <w:marLeft w:val="0"/>
      <w:marRight w:val="0"/>
      <w:marTop w:val="0"/>
      <w:marBottom w:val="0"/>
      <w:divBdr>
        <w:top w:val="none" w:sz="0" w:space="0" w:color="auto"/>
        <w:left w:val="none" w:sz="0" w:space="0" w:color="auto"/>
        <w:bottom w:val="none" w:sz="0" w:space="0" w:color="auto"/>
        <w:right w:val="none" w:sz="0" w:space="0" w:color="auto"/>
      </w:divBdr>
    </w:div>
    <w:div w:id="1342899822">
      <w:bodyDiv w:val="1"/>
      <w:marLeft w:val="0"/>
      <w:marRight w:val="0"/>
      <w:marTop w:val="0"/>
      <w:marBottom w:val="0"/>
      <w:divBdr>
        <w:top w:val="none" w:sz="0" w:space="0" w:color="auto"/>
        <w:left w:val="none" w:sz="0" w:space="0" w:color="auto"/>
        <w:bottom w:val="none" w:sz="0" w:space="0" w:color="auto"/>
        <w:right w:val="none" w:sz="0" w:space="0" w:color="auto"/>
      </w:divBdr>
    </w:div>
    <w:div w:id="1372732366">
      <w:bodyDiv w:val="1"/>
      <w:marLeft w:val="0"/>
      <w:marRight w:val="0"/>
      <w:marTop w:val="0"/>
      <w:marBottom w:val="0"/>
      <w:divBdr>
        <w:top w:val="none" w:sz="0" w:space="0" w:color="auto"/>
        <w:left w:val="none" w:sz="0" w:space="0" w:color="auto"/>
        <w:bottom w:val="none" w:sz="0" w:space="0" w:color="auto"/>
        <w:right w:val="none" w:sz="0" w:space="0" w:color="auto"/>
      </w:divBdr>
    </w:div>
    <w:div w:id="1374691215">
      <w:bodyDiv w:val="1"/>
      <w:marLeft w:val="0"/>
      <w:marRight w:val="0"/>
      <w:marTop w:val="0"/>
      <w:marBottom w:val="0"/>
      <w:divBdr>
        <w:top w:val="none" w:sz="0" w:space="0" w:color="auto"/>
        <w:left w:val="none" w:sz="0" w:space="0" w:color="auto"/>
        <w:bottom w:val="none" w:sz="0" w:space="0" w:color="auto"/>
        <w:right w:val="none" w:sz="0" w:space="0" w:color="auto"/>
      </w:divBdr>
    </w:div>
    <w:div w:id="1385567848">
      <w:bodyDiv w:val="1"/>
      <w:marLeft w:val="0"/>
      <w:marRight w:val="0"/>
      <w:marTop w:val="0"/>
      <w:marBottom w:val="0"/>
      <w:divBdr>
        <w:top w:val="none" w:sz="0" w:space="0" w:color="auto"/>
        <w:left w:val="none" w:sz="0" w:space="0" w:color="auto"/>
        <w:bottom w:val="none" w:sz="0" w:space="0" w:color="auto"/>
        <w:right w:val="none" w:sz="0" w:space="0" w:color="auto"/>
      </w:divBdr>
    </w:div>
    <w:div w:id="1386295519">
      <w:bodyDiv w:val="1"/>
      <w:marLeft w:val="0"/>
      <w:marRight w:val="0"/>
      <w:marTop w:val="0"/>
      <w:marBottom w:val="0"/>
      <w:divBdr>
        <w:top w:val="none" w:sz="0" w:space="0" w:color="auto"/>
        <w:left w:val="none" w:sz="0" w:space="0" w:color="auto"/>
        <w:bottom w:val="none" w:sz="0" w:space="0" w:color="auto"/>
        <w:right w:val="none" w:sz="0" w:space="0" w:color="auto"/>
      </w:divBdr>
    </w:div>
    <w:div w:id="1397439697">
      <w:bodyDiv w:val="1"/>
      <w:marLeft w:val="0"/>
      <w:marRight w:val="0"/>
      <w:marTop w:val="0"/>
      <w:marBottom w:val="0"/>
      <w:divBdr>
        <w:top w:val="none" w:sz="0" w:space="0" w:color="auto"/>
        <w:left w:val="none" w:sz="0" w:space="0" w:color="auto"/>
        <w:bottom w:val="none" w:sz="0" w:space="0" w:color="auto"/>
        <w:right w:val="none" w:sz="0" w:space="0" w:color="auto"/>
      </w:divBdr>
    </w:div>
    <w:div w:id="1402219394">
      <w:bodyDiv w:val="1"/>
      <w:marLeft w:val="0"/>
      <w:marRight w:val="0"/>
      <w:marTop w:val="0"/>
      <w:marBottom w:val="0"/>
      <w:divBdr>
        <w:top w:val="none" w:sz="0" w:space="0" w:color="auto"/>
        <w:left w:val="none" w:sz="0" w:space="0" w:color="auto"/>
        <w:bottom w:val="none" w:sz="0" w:space="0" w:color="auto"/>
        <w:right w:val="none" w:sz="0" w:space="0" w:color="auto"/>
      </w:divBdr>
    </w:div>
    <w:div w:id="1405487350">
      <w:bodyDiv w:val="1"/>
      <w:marLeft w:val="0"/>
      <w:marRight w:val="0"/>
      <w:marTop w:val="0"/>
      <w:marBottom w:val="0"/>
      <w:divBdr>
        <w:top w:val="none" w:sz="0" w:space="0" w:color="auto"/>
        <w:left w:val="none" w:sz="0" w:space="0" w:color="auto"/>
        <w:bottom w:val="none" w:sz="0" w:space="0" w:color="auto"/>
        <w:right w:val="none" w:sz="0" w:space="0" w:color="auto"/>
      </w:divBdr>
    </w:div>
    <w:div w:id="1416707842">
      <w:bodyDiv w:val="1"/>
      <w:marLeft w:val="0"/>
      <w:marRight w:val="0"/>
      <w:marTop w:val="0"/>
      <w:marBottom w:val="0"/>
      <w:divBdr>
        <w:top w:val="none" w:sz="0" w:space="0" w:color="auto"/>
        <w:left w:val="none" w:sz="0" w:space="0" w:color="auto"/>
        <w:bottom w:val="none" w:sz="0" w:space="0" w:color="auto"/>
        <w:right w:val="none" w:sz="0" w:space="0" w:color="auto"/>
      </w:divBdr>
    </w:div>
    <w:div w:id="1419670183">
      <w:bodyDiv w:val="1"/>
      <w:marLeft w:val="0"/>
      <w:marRight w:val="0"/>
      <w:marTop w:val="0"/>
      <w:marBottom w:val="0"/>
      <w:divBdr>
        <w:top w:val="none" w:sz="0" w:space="0" w:color="auto"/>
        <w:left w:val="none" w:sz="0" w:space="0" w:color="auto"/>
        <w:bottom w:val="none" w:sz="0" w:space="0" w:color="auto"/>
        <w:right w:val="none" w:sz="0" w:space="0" w:color="auto"/>
      </w:divBdr>
    </w:div>
    <w:div w:id="1421029088">
      <w:bodyDiv w:val="1"/>
      <w:marLeft w:val="0"/>
      <w:marRight w:val="0"/>
      <w:marTop w:val="0"/>
      <w:marBottom w:val="0"/>
      <w:divBdr>
        <w:top w:val="none" w:sz="0" w:space="0" w:color="auto"/>
        <w:left w:val="none" w:sz="0" w:space="0" w:color="auto"/>
        <w:bottom w:val="none" w:sz="0" w:space="0" w:color="auto"/>
        <w:right w:val="none" w:sz="0" w:space="0" w:color="auto"/>
      </w:divBdr>
    </w:div>
    <w:div w:id="1423722894">
      <w:bodyDiv w:val="1"/>
      <w:marLeft w:val="0"/>
      <w:marRight w:val="0"/>
      <w:marTop w:val="0"/>
      <w:marBottom w:val="0"/>
      <w:divBdr>
        <w:top w:val="none" w:sz="0" w:space="0" w:color="auto"/>
        <w:left w:val="none" w:sz="0" w:space="0" w:color="auto"/>
        <w:bottom w:val="none" w:sz="0" w:space="0" w:color="auto"/>
        <w:right w:val="none" w:sz="0" w:space="0" w:color="auto"/>
      </w:divBdr>
    </w:div>
    <w:div w:id="1428310001">
      <w:bodyDiv w:val="1"/>
      <w:marLeft w:val="0"/>
      <w:marRight w:val="0"/>
      <w:marTop w:val="0"/>
      <w:marBottom w:val="0"/>
      <w:divBdr>
        <w:top w:val="none" w:sz="0" w:space="0" w:color="auto"/>
        <w:left w:val="none" w:sz="0" w:space="0" w:color="auto"/>
        <w:bottom w:val="none" w:sz="0" w:space="0" w:color="auto"/>
        <w:right w:val="none" w:sz="0" w:space="0" w:color="auto"/>
      </w:divBdr>
    </w:div>
    <w:div w:id="1430152539">
      <w:bodyDiv w:val="1"/>
      <w:marLeft w:val="0"/>
      <w:marRight w:val="0"/>
      <w:marTop w:val="0"/>
      <w:marBottom w:val="0"/>
      <w:divBdr>
        <w:top w:val="none" w:sz="0" w:space="0" w:color="auto"/>
        <w:left w:val="none" w:sz="0" w:space="0" w:color="auto"/>
        <w:bottom w:val="none" w:sz="0" w:space="0" w:color="auto"/>
        <w:right w:val="none" w:sz="0" w:space="0" w:color="auto"/>
      </w:divBdr>
    </w:div>
    <w:div w:id="1435857417">
      <w:bodyDiv w:val="1"/>
      <w:marLeft w:val="0"/>
      <w:marRight w:val="0"/>
      <w:marTop w:val="0"/>
      <w:marBottom w:val="0"/>
      <w:divBdr>
        <w:top w:val="none" w:sz="0" w:space="0" w:color="auto"/>
        <w:left w:val="none" w:sz="0" w:space="0" w:color="auto"/>
        <w:bottom w:val="none" w:sz="0" w:space="0" w:color="auto"/>
        <w:right w:val="none" w:sz="0" w:space="0" w:color="auto"/>
      </w:divBdr>
    </w:div>
    <w:div w:id="1439256190">
      <w:bodyDiv w:val="1"/>
      <w:marLeft w:val="0"/>
      <w:marRight w:val="0"/>
      <w:marTop w:val="0"/>
      <w:marBottom w:val="0"/>
      <w:divBdr>
        <w:top w:val="none" w:sz="0" w:space="0" w:color="auto"/>
        <w:left w:val="none" w:sz="0" w:space="0" w:color="auto"/>
        <w:bottom w:val="none" w:sz="0" w:space="0" w:color="auto"/>
        <w:right w:val="none" w:sz="0" w:space="0" w:color="auto"/>
      </w:divBdr>
    </w:div>
    <w:div w:id="1450321263">
      <w:bodyDiv w:val="1"/>
      <w:marLeft w:val="0"/>
      <w:marRight w:val="0"/>
      <w:marTop w:val="0"/>
      <w:marBottom w:val="0"/>
      <w:divBdr>
        <w:top w:val="none" w:sz="0" w:space="0" w:color="auto"/>
        <w:left w:val="none" w:sz="0" w:space="0" w:color="auto"/>
        <w:bottom w:val="none" w:sz="0" w:space="0" w:color="auto"/>
        <w:right w:val="none" w:sz="0" w:space="0" w:color="auto"/>
      </w:divBdr>
    </w:div>
    <w:div w:id="1450467410">
      <w:bodyDiv w:val="1"/>
      <w:marLeft w:val="0"/>
      <w:marRight w:val="0"/>
      <w:marTop w:val="0"/>
      <w:marBottom w:val="0"/>
      <w:divBdr>
        <w:top w:val="none" w:sz="0" w:space="0" w:color="auto"/>
        <w:left w:val="none" w:sz="0" w:space="0" w:color="auto"/>
        <w:bottom w:val="none" w:sz="0" w:space="0" w:color="auto"/>
        <w:right w:val="none" w:sz="0" w:space="0" w:color="auto"/>
      </w:divBdr>
    </w:div>
    <w:div w:id="1455559007">
      <w:bodyDiv w:val="1"/>
      <w:marLeft w:val="0"/>
      <w:marRight w:val="0"/>
      <w:marTop w:val="0"/>
      <w:marBottom w:val="0"/>
      <w:divBdr>
        <w:top w:val="none" w:sz="0" w:space="0" w:color="auto"/>
        <w:left w:val="none" w:sz="0" w:space="0" w:color="auto"/>
        <w:bottom w:val="none" w:sz="0" w:space="0" w:color="auto"/>
        <w:right w:val="none" w:sz="0" w:space="0" w:color="auto"/>
      </w:divBdr>
    </w:div>
    <w:div w:id="1457333365">
      <w:bodyDiv w:val="1"/>
      <w:marLeft w:val="0"/>
      <w:marRight w:val="0"/>
      <w:marTop w:val="0"/>
      <w:marBottom w:val="0"/>
      <w:divBdr>
        <w:top w:val="none" w:sz="0" w:space="0" w:color="auto"/>
        <w:left w:val="none" w:sz="0" w:space="0" w:color="auto"/>
        <w:bottom w:val="none" w:sz="0" w:space="0" w:color="auto"/>
        <w:right w:val="none" w:sz="0" w:space="0" w:color="auto"/>
      </w:divBdr>
    </w:div>
    <w:div w:id="1466004532">
      <w:bodyDiv w:val="1"/>
      <w:marLeft w:val="0"/>
      <w:marRight w:val="0"/>
      <w:marTop w:val="0"/>
      <w:marBottom w:val="0"/>
      <w:divBdr>
        <w:top w:val="none" w:sz="0" w:space="0" w:color="auto"/>
        <w:left w:val="none" w:sz="0" w:space="0" w:color="auto"/>
        <w:bottom w:val="none" w:sz="0" w:space="0" w:color="auto"/>
        <w:right w:val="none" w:sz="0" w:space="0" w:color="auto"/>
      </w:divBdr>
    </w:div>
    <w:div w:id="1468350708">
      <w:bodyDiv w:val="1"/>
      <w:marLeft w:val="0"/>
      <w:marRight w:val="0"/>
      <w:marTop w:val="0"/>
      <w:marBottom w:val="0"/>
      <w:divBdr>
        <w:top w:val="none" w:sz="0" w:space="0" w:color="auto"/>
        <w:left w:val="none" w:sz="0" w:space="0" w:color="auto"/>
        <w:bottom w:val="none" w:sz="0" w:space="0" w:color="auto"/>
        <w:right w:val="none" w:sz="0" w:space="0" w:color="auto"/>
      </w:divBdr>
    </w:div>
    <w:div w:id="1471900254">
      <w:bodyDiv w:val="1"/>
      <w:marLeft w:val="0"/>
      <w:marRight w:val="0"/>
      <w:marTop w:val="0"/>
      <w:marBottom w:val="0"/>
      <w:divBdr>
        <w:top w:val="none" w:sz="0" w:space="0" w:color="auto"/>
        <w:left w:val="none" w:sz="0" w:space="0" w:color="auto"/>
        <w:bottom w:val="none" w:sz="0" w:space="0" w:color="auto"/>
        <w:right w:val="none" w:sz="0" w:space="0" w:color="auto"/>
      </w:divBdr>
    </w:div>
    <w:div w:id="1476139428">
      <w:bodyDiv w:val="1"/>
      <w:marLeft w:val="0"/>
      <w:marRight w:val="0"/>
      <w:marTop w:val="0"/>
      <w:marBottom w:val="0"/>
      <w:divBdr>
        <w:top w:val="none" w:sz="0" w:space="0" w:color="auto"/>
        <w:left w:val="none" w:sz="0" w:space="0" w:color="auto"/>
        <w:bottom w:val="none" w:sz="0" w:space="0" w:color="auto"/>
        <w:right w:val="none" w:sz="0" w:space="0" w:color="auto"/>
      </w:divBdr>
    </w:div>
    <w:div w:id="1478571159">
      <w:bodyDiv w:val="1"/>
      <w:marLeft w:val="0"/>
      <w:marRight w:val="0"/>
      <w:marTop w:val="0"/>
      <w:marBottom w:val="0"/>
      <w:divBdr>
        <w:top w:val="none" w:sz="0" w:space="0" w:color="auto"/>
        <w:left w:val="none" w:sz="0" w:space="0" w:color="auto"/>
        <w:bottom w:val="none" w:sz="0" w:space="0" w:color="auto"/>
        <w:right w:val="none" w:sz="0" w:space="0" w:color="auto"/>
      </w:divBdr>
    </w:div>
    <w:div w:id="1480725166">
      <w:bodyDiv w:val="1"/>
      <w:marLeft w:val="0"/>
      <w:marRight w:val="0"/>
      <w:marTop w:val="0"/>
      <w:marBottom w:val="0"/>
      <w:divBdr>
        <w:top w:val="none" w:sz="0" w:space="0" w:color="auto"/>
        <w:left w:val="none" w:sz="0" w:space="0" w:color="auto"/>
        <w:bottom w:val="none" w:sz="0" w:space="0" w:color="auto"/>
        <w:right w:val="none" w:sz="0" w:space="0" w:color="auto"/>
      </w:divBdr>
    </w:div>
    <w:div w:id="1487473245">
      <w:bodyDiv w:val="1"/>
      <w:marLeft w:val="0"/>
      <w:marRight w:val="0"/>
      <w:marTop w:val="0"/>
      <w:marBottom w:val="0"/>
      <w:divBdr>
        <w:top w:val="none" w:sz="0" w:space="0" w:color="auto"/>
        <w:left w:val="none" w:sz="0" w:space="0" w:color="auto"/>
        <w:bottom w:val="none" w:sz="0" w:space="0" w:color="auto"/>
        <w:right w:val="none" w:sz="0" w:space="0" w:color="auto"/>
      </w:divBdr>
    </w:div>
    <w:div w:id="1492714852">
      <w:bodyDiv w:val="1"/>
      <w:marLeft w:val="0"/>
      <w:marRight w:val="0"/>
      <w:marTop w:val="0"/>
      <w:marBottom w:val="0"/>
      <w:divBdr>
        <w:top w:val="none" w:sz="0" w:space="0" w:color="auto"/>
        <w:left w:val="none" w:sz="0" w:space="0" w:color="auto"/>
        <w:bottom w:val="none" w:sz="0" w:space="0" w:color="auto"/>
        <w:right w:val="none" w:sz="0" w:space="0" w:color="auto"/>
      </w:divBdr>
    </w:div>
    <w:div w:id="1493177241">
      <w:bodyDiv w:val="1"/>
      <w:marLeft w:val="0"/>
      <w:marRight w:val="0"/>
      <w:marTop w:val="0"/>
      <w:marBottom w:val="0"/>
      <w:divBdr>
        <w:top w:val="none" w:sz="0" w:space="0" w:color="auto"/>
        <w:left w:val="none" w:sz="0" w:space="0" w:color="auto"/>
        <w:bottom w:val="none" w:sz="0" w:space="0" w:color="auto"/>
        <w:right w:val="none" w:sz="0" w:space="0" w:color="auto"/>
      </w:divBdr>
    </w:div>
    <w:div w:id="1495218643">
      <w:bodyDiv w:val="1"/>
      <w:marLeft w:val="0"/>
      <w:marRight w:val="0"/>
      <w:marTop w:val="0"/>
      <w:marBottom w:val="0"/>
      <w:divBdr>
        <w:top w:val="none" w:sz="0" w:space="0" w:color="auto"/>
        <w:left w:val="none" w:sz="0" w:space="0" w:color="auto"/>
        <w:bottom w:val="none" w:sz="0" w:space="0" w:color="auto"/>
        <w:right w:val="none" w:sz="0" w:space="0" w:color="auto"/>
      </w:divBdr>
    </w:div>
    <w:div w:id="1507214038">
      <w:bodyDiv w:val="1"/>
      <w:marLeft w:val="0"/>
      <w:marRight w:val="0"/>
      <w:marTop w:val="0"/>
      <w:marBottom w:val="0"/>
      <w:divBdr>
        <w:top w:val="none" w:sz="0" w:space="0" w:color="auto"/>
        <w:left w:val="none" w:sz="0" w:space="0" w:color="auto"/>
        <w:bottom w:val="none" w:sz="0" w:space="0" w:color="auto"/>
        <w:right w:val="none" w:sz="0" w:space="0" w:color="auto"/>
      </w:divBdr>
    </w:div>
    <w:div w:id="1514608826">
      <w:bodyDiv w:val="1"/>
      <w:marLeft w:val="0"/>
      <w:marRight w:val="0"/>
      <w:marTop w:val="0"/>
      <w:marBottom w:val="0"/>
      <w:divBdr>
        <w:top w:val="none" w:sz="0" w:space="0" w:color="auto"/>
        <w:left w:val="none" w:sz="0" w:space="0" w:color="auto"/>
        <w:bottom w:val="none" w:sz="0" w:space="0" w:color="auto"/>
        <w:right w:val="none" w:sz="0" w:space="0" w:color="auto"/>
      </w:divBdr>
    </w:div>
    <w:div w:id="1518763426">
      <w:bodyDiv w:val="1"/>
      <w:marLeft w:val="0"/>
      <w:marRight w:val="0"/>
      <w:marTop w:val="0"/>
      <w:marBottom w:val="0"/>
      <w:divBdr>
        <w:top w:val="none" w:sz="0" w:space="0" w:color="auto"/>
        <w:left w:val="none" w:sz="0" w:space="0" w:color="auto"/>
        <w:bottom w:val="none" w:sz="0" w:space="0" w:color="auto"/>
        <w:right w:val="none" w:sz="0" w:space="0" w:color="auto"/>
      </w:divBdr>
    </w:div>
    <w:div w:id="1524054582">
      <w:bodyDiv w:val="1"/>
      <w:marLeft w:val="0"/>
      <w:marRight w:val="0"/>
      <w:marTop w:val="0"/>
      <w:marBottom w:val="0"/>
      <w:divBdr>
        <w:top w:val="none" w:sz="0" w:space="0" w:color="auto"/>
        <w:left w:val="none" w:sz="0" w:space="0" w:color="auto"/>
        <w:bottom w:val="none" w:sz="0" w:space="0" w:color="auto"/>
        <w:right w:val="none" w:sz="0" w:space="0" w:color="auto"/>
      </w:divBdr>
    </w:div>
    <w:div w:id="1530070063">
      <w:bodyDiv w:val="1"/>
      <w:marLeft w:val="0"/>
      <w:marRight w:val="0"/>
      <w:marTop w:val="0"/>
      <w:marBottom w:val="0"/>
      <w:divBdr>
        <w:top w:val="none" w:sz="0" w:space="0" w:color="auto"/>
        <w:left w:val="none" w:sz="0" w:space="0" w:color="auto"/>
        <w:bottom w:val="none" w:sz="0" w:space="0" w:color="auto"/>
        <w:right w:val="none" w:sz="0" w:space="0" w:color="auto"/>
      </w:divBdr>
    </w:div>
    <w:div w:id="1541437458">
      <w:bodyDiv w:val="1"/>
      <w:marLeft w:val="0"/>
      <w:marRight w:val="0"/>
      <w:marTop w:val="0"/>
      <w:marBottom w:val="0"/>
      <w:divBdr>
        <w:top w:val="none" w:sz="0" w:space="0" w:color="auto"/>
        <w:left w:val="none" w:sz="0" w:space="0" w:color="auto"/>
        <w:bottom w:val="none" w:sz="0" w:space="0" w:color="auto"/>
        <w:right w:val="none" w:sz="0" w:space="0" w:color="auto"/>
      </w:divBdr>
    </w:div>
    <w:div w:id="1543518845">
      <w:bodyDiv w:val="1"/>
      <w:marLeft w:val="0"/>
      <w:marRight w:val="0"/>
      <w:marTop w:val="0"/>
      <w:marBottom w:val="0"/>
      <w:divBdr>
        <w:top w:val="none" w:sz="0" w:space="0" w:color="auto"/>
        <w:left w:val="none" w:sz="0" w:space="0" w:color="auto"/>
        <w:bottom w:val="none" w:sz="0" w:space="0" w:color="auto"/>
        <w:right w:val="none" w:sz="0" w:space="0" w:color="auto"/>
      </w:divBdr>
    </w:div>
    <w:div w:id="1544754264">
      <w:bodyDiv w:val="1"/>
      <w:marLeft w:val="0"/>
      <w:marRight w:val="0"/>
      <w:marTop w:val="0"/>
      <w:marBottom w:val="0"/>
      <w:divBdr>
        <w:top w:val="none" w:sz="0" w:space="0" w:color="auto"/>
        <w:left w:val="none" w:sz="0" w:space="0" w:color="auto"/>
        <w:bottom w:val="none" w:sz="0" w:space="0" w:color="auto"/>
        <w:right w:val="none" w:sz="0" w:space="0" w:color="auto"/>
      </w:divBdr>
    </w:div>
    <w:div w:id="1546482373">
      <w:bodyDiv w:val="1"/>
      <w:marLeft w:val="0"/>
      <w:marRight w:val="0"/>
      <w:marTop w:val="0"/>
      <w:marBottom w:val="0"/>
      <w:divBdr>
        <w:top w:val="none" w:sz="0" w:space="0" w:color="auto"/>
        <w:left w:val="none" w:sz="0" w:space="0" w:color="auto"/>
        <w:bottom w:val="none" w:sz="0" w:space="0" w:color="auto"/>
        <w:right w:val="none" w:sz="0" w:space="0" w:color="auto"/>
      </w:divBdr>
    </w:div>
    <w:div w:id="1551108430">
      <w:bodyDiv w:val="1"/>
      <w:marLeft w:val="0"/>
      <w:marRight w:val="0"/>
      <w:marTop w:val="0"/>
      <w:marBottom w:val="0"/>
      <w:divBdr>
        <w:top w:val="none" w:sz="0" w:space="0" w:color="auto"/>
        <w:left w:val="none" w:sz="0" w:space="0" w:color="auto"/>
        <w:bottom w:val="none" w:sz="0" w:space="0" w:color="auto"/>
        <w:right w:val="none" w:sz="0" w:space="0" w:color="auto"/>
      </w:divBdr>
    </w:div>
    <w:div w:id="1564558041">
      <w:bodyDiv w:val="1"/>
      <w:marLeft w:val="0"/>
      <w:marRight w:val="0"/>
      <w:marTop w:val="0"/>
      <w:marBottom w:val="0"/>
      <w:divBdr>
        <w:top w:val="none" w:sz="0" w:space="0" w:color="auto"/>
        <w:left w:val="none" w:sz="0" w:space="0" w:color="auto"/>
        <w:bottom w:val="none" w:sz="0" w:space="0" w:color="auto"/>
        <w:right w:val="none" w:sz="0" w:space="0" w:color="auto"/>
      </w:divBdr>
    </w:div>
    <w:div w:id="1571690765">
      <w:bodyDiv w:val="1"/>
      <w:marLeft w:val="0"/>
      <w:marRight w:val="0"/>
      <w:marTop w:val="0"/>
      <w:marBottom w:val="0"/>
      <w:divBdr>
        <w:top w:val="none" w:sz="0" w:space="0" w:color="auto"/>
        <w:left w:val="none" w:sz="0" w:space="0" w:color="auto"/>
        <w:bottom w:val="none" w:sz="0" w:space="0" w:color="auto"/>
        <w:right w:val="none" w:sz="0" w:space="0" w:color="auto"/>
      </w:divBdr>
    </w:div>
    <w:div w:id="1571845659">
      <w:bodyDiv w:val="1"/>
      <w:marLeft w:val="0"/>
      <w:marRight w:val="0"/>
      <w:marTop w:val="0"/>
      <w:marBottom w:val="0"/>
      <w:divBdr>
        <w:top w:val="none" w:sz="0" w:space="0" w:color="auto"/>
        <w:left w:val="none" w:sz="0" w:space="0" w:color="auto"/>
        <w:bottom w:val="none" w:sz="0" w:space="0" w:color="auto"/>
        <w:right w:val="none" w:sz="0" w:space="0" w:color="auto"/>
      </w:divBdr>
    </w:div>
    <w:div w:id="1579096980">
      <w:bodyDiv w:val="1"/>
      <w:marLeft w:val="0"/>
      <w:marRight w:val="0"/>
      <w:marTop w:val="0"/>
      <w:marBottom w:val="0"/>
      <w:divBdr>
        <w:top w:val="none" w:sz="0" w:space="0" w:color="auto"/>
        <w:left w:val="none" w:sz="0" w:space="0" w:color="auto"/>
        <w:bottom w:val="none" w:sz="0" w:space="0" w:color="auto"/>
        <w:right w:val="none" w:sz="0" w:space="0" w:color="auto"/>
      </w:divBdr>
    </w:div>
    <w:div w:id="1587879422">
      <w:bodyDiv w:val="1"/>
      <w:marLeft w:val="0"/>
      <w:marRight w:val="0"/>
      <w:marTop w:val="0"/>
      <w:marBottom w:val="0"/>
      <w:divBdr>
        <w:top w:val="none" w:sz="0" w:space="0" w:color="auto"/>
        <w:left w:val="none" w:sz="0" w:space="0" w:color="auto"/>
        <w:bottom w:val="none" w:sz="0" w:space="0" w:color="auto"/>
        <w:right w:val="none" w:sz="0" w:space="0" w:color="auto"/>
      </w:divBdr>
    </w:div>
    <w:div w:id="1598170038">
      <w:bodyDiv w:val="1"/>
      <w:marLeft w:val="0"/>
      <w:marRight w:val="0"/>
      <w:marTop w:val="0"/>
      <w:marBottom w:val="0"/>
      <w:divBdr>
        <w:top w:val="none" w:sz="0" w:space="0" w:color="auto"/>
        <w:left w:val="none" w:sz="0" w:space="0" w:color="auto"/>
        <w:bottom w:val="none" w:sz="0" w:space="0" w:color="auto"/>
        <w:right w:val="none" w:sz="0" w:space="0" w:color="auto"/>
      </w:divBdr>
    </w:div>
    <w:div w:id="1598364877">
      <w:bodyDiv w:val="1"/>
      <w:marLeft w:val="0"/>
      <w:marRight w:val="0"/>
      <w:marTop w:val="0"/>
      <w:marBottom w:val="0"/>
      <w:divBdr>
        <w:top w:val="none" w:sz="0" w:space="0" w:color="auto"/>
        <w:left w:val="none" w:sz="0" w:space="0" w:color="auto"/>
        <w:bottom w:val="none" w:sz="0" w:space="0" w:color="auto"/>
        <w:right w:val="none" w:sz="0" w:space="0" w:color="auto"/>
      </w:divBdr>
    </w:div>
    <w:div w:id="1605729122">
      <w:bodyDiv w:val="1"/>
      <w:marLeft w:val="0"/>
      <w:marRight w:val="0"/>
      <w:marTop w:val="0"/>
      <w:marBottom w:val="0"/>
      <w:divBdr>
        <w:top w:val="none" w:sz="0" w:space="0" w:color="auto"/>
        <w:left w:val="none" w:sz="0" w:space="0" w:color="auto"/>
        <w:bottom w:val="none" w:sz="0" w:space="0" w:color="auto"/>
        <w:right w:val="none" w:sz="0" w:space="0" w:color="auto"/>
      </w:divBdr>
    </w:div>
    <w:div w:id="1617831258">
      <w:bodyDiv w:val="1"/>
      <w:marLeft w:val="0"/>
      <w:marRight w:val="0"/>
      <w:marTop w:val="0"/>
      <w:marBottom w:val="0"/>
      <w:divBdr>
        <w:top w:val="none" w:sz="0" w:space="0" w:color="auto"/>
        <w:left w:val="none" w:sz="0" w:space="0" w:color="auto"/>
        <w:bottom w:val="none" w:sz="0" w:space="0" w:color="auto"/>
        <w:right w:val="none" w:sz="0" w:space="0" w:color="auto"/>
      </w:divBdr>
    </w:div>
    <w:div w:id="1627077755">
      <w:bodyDiv w:val="1"/>
      <w:marLeft w:val="0"/>
      <w:marRight w:val="0"/>
      <w:marTop w:val="0"/>
      <w:marBottom w:val="0"/>
      <w:divBdr>
        <w:top w:val="none" w:sz="0" w:space="0" w:color="auto"/>
        <w:left w:val="none" w:sz="0" w:space="0" w:color="auto"/>
        <w:bottom w:val="none" w:sz="0" w:space="0" w:color="auto"/>
        <w:right w:val="none" w:sz="0" w:space="0" w:color="auto"/>
      </w:divBdr>
    </w:div>
    <w:div w:id="1634404581">
      <w:bodyDiv w:val="1"/>
      <w:marLeft w:val="0"/>
      <w:marRight w:val="0"/>
      <w:marTop w:val="0"/>
      <w:marBottom w:val="0"/>
      <w:divBdr>
        <w:top w:val="none" w:sz="0" w:space="0" w:color="auto"/>
        <w:left w:val="none" w:sz="0" w:space="0" w:color="auto"/>
        <w:bottom w:val="none" w:sz="0" w:space="0" w:color="auto"/>
        <w:right w:val="none" w:sz="0" w:space="0" w:color="auto"/>
      </w:divBdr>
    </w:div>
    <w:div w:id="1635981662">
      <w:bodyDiv w:val="1"/>
      <w:marLeft w:val="0"/>
      <w:marRight w:val="0"/>
      <w:marTop w:val="0"/>
      <w:marBottom w:val="0"/>
      <w:divBdr>
        <w:top w:val="none" w:sz="0" w:space="0" w:color="auto"/>
        <w:left w:val="none" w:sz="0" w:space="0" w:color="auto"/>
        <w:bottom w:val="none" w:sz="0" w:space="0" w:color="auto"/>
        <w:right w:val="none" w:sz="0" w:space="0" w:color="auto"/>
      </w:divBdr>
    </w:div>
    <w:div w:id="1638217156">
      <w:bodyDiv w:val="1"/>
      <w:marLeft w:val="0"/>
      <w:marRight w:val="0"/>
      <w:marTop w:val="0"/>
      <w:marBottom w:val="0"/>
      <w:divBdr>
        <w:top w:val="none" w:sz="0" w:space="0" w:color="auto"/>
        <w:left w:val="none" w:sz="0" w:space="0" w:color="auto"/>
        <w:bottom w:val="none" w:sz="0" w:space="0" w:color="auto"/>
        <w:right w:val="none" w:sz="0" w:space="0" w:color="auto"/>
      </w:divBdr>
    </w:div>
    <w:div w:id="1648558461">
      <w:bodyDiv w:val="1"/>
      <w:marLeft w:val="0"/>
      <w:marRight w:val="0"/>
      <w:marTop w:val="0"/>
      <w:marBottom w:val="0"/>
      <w:divBdr>
        <w:top w:val="none" w:sz="0" w:space="0" w:color="auto"/>
        <w:left w:val="none" w:sz="0" w:space="0" w:color="auto"/>
        <w:bottom w:val="none" w:sz="0" w:space="0" w:color="auto"/>
        <w:right w:val="none" w:sz="0" w:space="0" w:color="auto"/>
      </w:divBdr>
    </w:div>
    <w:div w:id="1651253170">
      <w:bodyDiv w:val="1"/>
      <w:marLeft w:val="0"/>
      <w:marRight w:val="0"/>
      <w:marTop w:val="0"/>
      <w:marBottom w:val="0"/>
      <w:divBdr>
        <w:top w:val="none" w:sz="0" w:space="0" w:color="auto"/>
        <w:left w:val="none" w:sz="0" w:space="0" w:color="auto"/>
        <w:bottom w:val="none" w:sz="0" w:space="0" w:color="auto"/>
        <w:right w:val="none" w:sz="0" w:space="0" w:color="auto"/>
      </w:divBdr>
    </w:div>
    <w:div w:id="1656452128">
      <w:bodyDiv w:val="1"/>
      <w:marLeft w:val="0"/>
      <w:marRight w:val="0"/>
      <w:marTop w:val="0"/>
      <w:marBottom w:val="0"/>
      <w:divBdr>
        <w:top w:val="none" w:sz="0" w:space="0" w:color="auto"/>
        <w:left w:val="none" w:sz="0" w:space="0" w:color="auto"/>
        <w:bottom w:val="none" w:sz="0" w:space="0" w:color="auto"/>
        <w:right w:val="none" w:sz="0" w:space="0" w:color="auto"/>
      </w:divBdr>
    </w:div>
    <w:div w:id="1659456708">
      <w:bodyDiv w:val="1"/>
      <w:marLeft w:val="0"/>
      <w:marRight w:val="0"/>
      <w:marTop w:val="0"/>
      <w:marBottom w:val="0"/>
      <w:divBdr>
        <w:top w:val="none" w:sz="0" w:space="0" w:color="auto"/>
        <w:left w:val="none" w:sz="0" w:space="0" w:color="auto"/>
        <w:bottom w:val="none" w:sz="0" w:space="0" w:color="auto"/>
        <w:right w:val="none" w:sz="0" w:space="0" w:color="auto"/>
      </w:divBdr>
    </w:div>
    <w:div w:id="1670012991">
      <w:bodyDiv w:val="1"/>
      <w:marLeft w:val="0"/>
      <w:marRight w:val="0"/>
      <w:marTop w:val="0"/>
      <w:marBottom w:val="0"/>
      <w:divBdr>
        <w:top w:val="none" w:sz="0" w:space="0" w:color="auto"/>
        <w:left w:val="none" w:sz="0" w:space="0" w:color="auto"/>
        <w:bottom w:val="none" w:sz="0" w:space="0" w:color="auto"/>
        <w:right w:val="none" w:sz="0" w:space="0" w:color="auto"/>
      </w:divBdr>
    </w:div>
    <w:div w:id="1673990647">
      <w:bodyDiv w:val="1"/>
      <w:marLeft w:val="0"/>
      <w:marRight w:val="0"/>
      <w:marTop w:val="0"/>
      <w:marBottom w:val="0"/>
      <w:divBdr>
        <w:top w:val="none" w:sz="0" w:space="0" w:color="auto"/>
        <w:left w:val="none" w:sz="0" w:space="0" w:color="auto"/>
        <w:bottom w:val="none" w:sz="0" w:space="0" w:color="auto"/>
        <w:right w:val="none" w:sz="0" w:space="0" w:color="auto"/>
      </w:divBdr>
    </w:div>
    <w:div w:id="1684480091">
      <w:bodyDiv w:val="1"/>
      <w:marLeft w:val="0"/>
      <w:marRight w:val="0"/>
      <w:marTop w:val="0"/>
      <w:marBottom w:val="0"/>
      <w:divBdr>
        <w:top w:val="none" w:sz="0" w:space="0" w:color="auto"/>
        <w:left w:val="none" w:sz="0" w:space="0" w:color="auto"/>
        <w:bottom w:val="none" w:sz="0" w:space="0" w:color="auto"/>
        <w:right w:val="none" w:sz="0" w:space="0" w:color="auto"/>
      </w:divBdr>
    </w:div>
    <w:div w:id="1684940766">
      <w:bodyDiv w:val="1"/>
      <w:marLeft w:val="0"/>
      <w:marRight w:val="0"/>
      <w:marTop w:val="0"/>
      <w:marBottom w:val="0"/>
      <w:divBdr>
        <w:top w:val="none" w:sz="0" w:space="0" w:color="auto"/>
        <w:left w:val="none" w:sz="0" w:space="0" w:color="auto"/>
        <w:bottom w:val="none" w:sz="0" w:space="0" w:color="auto"/>
        <w:right w:val="none" w:sz="0" w:space="0" w:color="auto"/>
      </w:divBdr>
    </w:div>
    <w:div w:id="1696079069">
      <w:bodyDiv w:val="1"/>
      <w:marLeft w:val="0"/>
      <w:marRight w:val="0"/>
      <w:marTop w:val="0"/>
      <w:marBottom w:val="0"/>
      <w:divBdr>
        <w:top w:val="none" w:sz="0" w:space="0" w:color="auto"/>
        <w:left w:val="none" w:sz="0" w:space="0" w:color="auto"/>
        <w:bottom w:val="none" w:sz="0" w:space="0" w:color="auto"/>
        <w:right w:val="none" w:sz="0" w:space="0" w:color="auto"/>
      </w:divBdr>
    </w:div>
    <w:div w:id="1708528743">
      <w:bodyDiv w:val="1"/>
      <w:marLeft w:val="0"/>
      <w:marRight w:val="0"/>
      <w:marTop w:val="0"/>
      <w:marBottom w:val="0"/>
      <w:divBdr>
        <w:top w:val="none" w:sz="0" w:space="0" w:color="auto"/>
        <w:left w:val="none" w:sz="0" w:space="0" w:color="auto"/>
        <w:bottom w:val="none" w:sz="0" w:space="0" w:color="auto"/>
        <w:right w:val="none" w:sz="0" w:space="0" w:color="auto"/>
      </w:divBdr>
    </w:div>
    <w:div w:id="1715886038">
      <w:bodyDiv w:val="1"/>
      <w:marLeft w:val="0"/>
      <w:marRight w:val="0"/>
      <w:marTop w:val="0"/>
      <w:marBottom w:val="0"/>
      <w:divBdr>
        <w:top w:val="none" w:sz="0" w:space="0" w:color="auto"/>
        <w:left w:val="none" w:sz="0" w:space="0" w:color="auto"/>
        <w:bottom w:val="none" w:sz="0" w:space="0" w:color="auto"/>
        <w:right w:val="none" w:sz="0" w:space="0" w:color="auto"/>
      </w:divBdr>
    </w:div>
    <w:div w:id="1727798818">
      <w:bodyDiv w:val="1"/>
      <w:marLeft w:val="0"/>
      <w:marRight w:val="0"/>
      <w:marTop w:val="0"/>
      <w:marBottom w:val="0"/>
      <w:divBdr>
        <w:top w:val="none" w:sz="0" w:space="0" w:color="auto"/>
        <w:left w:val="none" w:sz="0" w:space="0" w:color="auto"/>
        <w:bottom w:val="none" w:sz="0" w:space="0" w:color="auto"/>
        <w:right w:val="none" w:sz="0" w:space="0" w:color="auto"/>
      </w:divBdr>
    </w:div>
    <w:div w:id="1731493720">
      <w:bodyDiv w:val="1"/>
      <w:marLeft w:val="0"/>
      <w:marRight w:val="0"/>
      <w:marTop w:val="0"/>
      <w:marBottom w:val="0"/>
      <w:divBdr>
        <w:top w:val="none" w:sz="0" w:space="0" w:color="auto"/>
        <w:left w:val="none" w:sz="0" w:space="0" w:color="auto"/>
        <w:bottom w:val="none" w:sz="0" w:space="0" w:color="auto"/>
        <w:right w:val="none" w:sz="0" w:space="0" w:color="auto"/>
      </w:divBdr>
    </w:div>
    <w:div w:id="1736004876">
      <w:bodyDiv w:val="1"/>
      <w:marLeft w:val="0"/>
      <w:marRight w:val="0"/>
      <w:marTop w:val="0"/>
      <w:marBottom w:val="0"/>
      <w:divBdr>
        <w:top w:val="none" w:sz="0" w:space="0" w:color="auto"/>
        <w:left w:val="none" w:sz="0" w:space="0" w:color="auto"/>
        <w:bottom w:val="none" w:sz="0" w:space="0" w:color="auto"/>
        <w:right w:val="none" w:sz="0" w:space="0" w:color="auto"/>
      </w:divBdr>
    </w:div>
    <w:div w:id="1747414262">
      <w:bodyDiv w:val="1"/>
      <w:marLeft w:val="0"/>
      <w:marRight w:val="0"/>
      <w:marTop w:val="0"/>
      <w:marBottom w:val="0"/>
      <w:divBdr>
        <w:top w:val="none" w:sz="0" w:space="0" w:color="auto"/>
        <w:left w:val="none" w:sz="0" w:space="0" w:color="auto"/>
        <w:bottom w:val="none" w:sz="0" w:space="0" w:color="auto"/>
        <w:right w:val="none" w:sz="0" w:space="0" w:color="auto"/>
      </w:divBdr>
    </w:div>
    <w:div w:id="1760712630">
      <w:bodyDiv w:val="1"/>
      <w:marLeft w:val="0"/>
      <w:marRight w:val="0"/>
      <w:marTop w:val="0"/>
      <w:marBottom w:val="0"/>
      <w:divBdr>
        <w:top w:val="none" w:sz="0" w:space="0" w:color="auto"/>
        <w:left w:val="none" w:sz="0" w:space="0" w:color="auto"/>
        <w:bottom w:val="none" w:sz="0" w:space="0" w:color="auto"/>
        <w:right w:val="none" w:sz="0" w:space="0" w:color="auto"/>
      </w:divBdr>
    </w:div>
    <w:div w:id="1769081566">
      <w:bodyDiv w:val="1"/>
      <w:marLeft w:val="0"/>
      <w:marRight w:val="0"/>
      <w:marTop w:val="0"/>
      <w:marBottom w:val="0"/>
      <w:divBdr>
        <w:top w:val="none" w:sz="0" w:space="0" w:color="auto"/>
        <w:left w:val="none" w:sz="0" w:space="0" w:color="auto"/>
        <w:bottom w:val="none" w:sz="0" w:space="0" w:color="auto"/>
        <w:right w:val="none" w:sz="0" w:space="0" w:color="auto"/>
      </w:divBdr>
    </w:div>
    <w:div w:id="1783956195">
      <w:bodyDiv w:val="1"/>
      <w:marLeft w:val="0"/>
      <w:marRight w:val="0"/>
      <w:marTop w:val="0"/>
      <w:marBottom w:val="0"/>
      <w:divBdr>
        <w:top w:val="none" w:sz="0" w:space="0" w:color="auto"/>
        <w:left w:val="none" w:sz="0" w:space="0" w:color="auto"/>
        <w:bottom w:val="none" w:sz="0" w:space="0" w:color="auto"/>
        <w:right w:val="none" w:sz="0" w:space="0" w:color="auto"/>
      </w:divBdr>
    </w:div>
    <w:div w:id="1784957353">
      <w:bodyDiv w:val="1"/>
      <w:marLeft w:val="0"/>
      <w:marRight w:val="0"/>
      <w:marTop w:val="0"/>
      <w:marBottom w:val="0"/>
      <w:divBdr>
        <w:top w:val="none" w:sz="0" w:space="0" w:color="auto"/>
        <w:left w:val="none" w:sz="0" w:space="0" w:color="auto"/>
        <w:bottom w:val="none" w:sz="0" w:space="0" w:color="auto"/>
        <w:right w:val="none" w:sz="0" w:space="0" w:color="auto"/>
      </w:divBdr>
    </w:div>
    <w:div w:id="1788547735">
      <w:bodyDiv w:val="1"/>
      <w:marLeft w:val="0"/>
      <w:marRight w:val="0"/>
      <w:marTop w:val="0"/>
      <w:marBottom w:val="0"/>
      <w:divBdr>
        <w:top w:val="none" w:sz="0" w:space="0" w:color="auto"/>
        <w:left w:val="none" w:sz="0" w:space="0" w:color="auto"/>
        <w:bottom w:val="none" w:sz="0" w:space="0" w:color="auto"/>
        <w:right w:val="none" w:sz="0" w:space="0" w:color="auto"/>
      </w:divBdr>
    </w:div>
    <w:div w:id="1790736178">
      <w:bodyDiv w:val="1"/>
      <w:marLeft w:val="0"/>
      <w:marRight w:val="0"/>
      <w:marTop w:val="0"/>
      <w:marBottom w:val="0"/>
      <w:divBdr>
        <w:top w:val="none" w:sz="0" w:space="0" w:color="auto"/>
        <w:left w:val="none" w:sz="0" w:space="0" w:color="auto"/>
        <w:bottom w:val="none" w:sz="0" w:space="0" w:color="auto"/>
        <w:right w:val="none" w:sz="0" w:space="0" w:color="auto"/>
      </w:divBdr>
    </w:div>
    <w:div w:id="1796361519">
      <w:bodyDiv w:val="1"/>
      <w:marLeft w:val="0"/>
      <w:marRight w:val="0"/>
      <w:marTop w:val="0"/>
      <w:marBottom w:val="0"/>
      <w:divBdr>
        <w:top w:val="none" w:sz="0" w:space="0" w:color="auto"/>
        <w:left w:val="none" w:sz="0" w:space="0" w:color="auto"/>
        <w:bottom w:val="none" w:sz="0" w:space="0" w:color="auto"/>
        <w:right w:val="none" w:sz="0" w:space="0" w:color="auto"/>
      </w:divBdr>
    </w:div>
    <w:div w:id="1797485158">
      <w:bodyDiv w:val="1"/>
      <w:marLeft w:val="0"/>
      <w:marRight w:val="0"/>
      <w:marTop w:val="0"/>
      <w:marBottom w:val="0"/>
      <w:divBdr>
        <w:top w:val="none" w:sz="0" w:space="0" w:color="auto"/>
        <w:left w:val="none" w:sz="0" w:space="0" w:color="auto"/>
        <w:bottom w:val="none" w:sz="0" w:space="0" w:color="auto"/>
        <w:right w:val="none" w:sz="0" w:space="0" w:color="auto"/>
      </w:divBdr>
    </w:div>
    <w:div w:id="1806199107">
      <w:bodyDiv w:val="1"/>
      <w:marLeft w:val="0"/>
      <w:marRight w:val="0"/>
      <w:marTop w:val="0"/>
      <w:marBottom w:val="0"/>
      <w:divBdr>
        <w:top w:val="none" w:sz="0" w:space="0" w:color="auto"/>
        <w:left w:val="none" w:sz="0" w:space="0" w:color="auto"/>
        <w:bottom w:val="none" w:sz="0" w:space="0" w:color="auto"/>
        <w:right w:val="none" w:sz="0" w:space="0" w:color="auto"/>
      </w:divBdr>
    </w:div>
    <w:div w:id="1808013025">
      <w:bodyDiv w:val="1"/>
      <w:marLeft w:val="0"/>
      <w:marRight w:val="0"/>
      <w:marTop w:val="0"/>
      <w:marBottom w:val="0"/>
      <w:divBdr>
        <w:top w:val="none" w:sz="0" w:space="0" w:color="auto"/>
        <w:left w:val="none" w:sz="0" w:space="0" w:color="auto"/>
        <w:bottom w:val="none" w:sz="0" w:space="0" w:color="auto"/>
        <w:right w:val="none" w:sz="0" w:space="0" w:color="auto"/>
      </w:divBdr>
    </w:div>
    <w:div w:id="1819036751">
      <w:bodyDiv w:val="1"/>
      <w:marLeft w:val="0"/>
      <w:marRight w:val="0"/>
      <w:marTop w:val="0"/>
      <w:marBottom w:val="0"/>
      <w:divBdr>
        <w:top w:val="none" w:sz="0" w:space="0" w:color="auto"/>
        <w:left w:val="none" w:sz="0" w:space="0" w:color="auto"/>
        <w:bottom w:val="none" w:sz="0" w:space="0" w:color="auto"/>
        <w:right w:val="none" w:sz="0" w:space="0" w:color="auto"/>
      </w:divBdr>
    </w:div>
    <w:div w:id="1825320256">
      <w:bodyDiv w:val="1"/>
      <w:marLeft w:val="0"/>
      <w:marRight w:val="0"/>
      <w:marTop w:val="0"/>
      <w:marBottom w:val="0"/>
      <w:divBdr>
        <w:top w:val="none" w:sz="0" w:space="0" w:color="auto"/>
        <w:left w:val="none" w:sz="0" w:space="0" w:color="auto"/>
        <w:bottom w:val="none" w:sz="0" w:space="0" w:color="auto"/>
        <w:right w:val="none" w:sz="0" w:space="0" w:color="auto"/>
      </w:divBdr>
    </w:div>
    <w:div w:id="1827091115">
      <w:bodyDiv w:val="1"/>
      <w:marLeft w:val="0"/>
      <w:marRight w:val="0"/>
      <w:marTop w:val="0"/>
      <w:marBottom w:val="0"/>
      <w:divBdr>
        <w:top w:val="none" w:sz="0" w:space="0" w:color="auto"/>
        <w:left w:val="none" w:sz="0" w:space="0" w:color="auto"/>
        <w:bottom w:val="none" w:sz="0" w:space="0" w:color="auto"/>
        <w:right w:val="none" w:sz="0" w:space="0" w:color="auto"/>
      </w:divBdr>
    </w:div>
    <w:div w:id="1837576466">
      <w:bodyDiv w:val="1"/>
      <w:marLeft w:val="0"/>
      <w:marRight w:val="0"/>
      <w:marTop w:val="0"/>
      <w:marBottom w:val="0"/>
      <w:divBdr>
        <w:top w:val="none" w:sz="0" w:space="0" w:color="auto"/>
        <w:left w:val="none" w:sz="0" w:space="0" w:color="auto"/>
        <w:bottom w:val="none" w:sz="0" w:space="0" w:color="auto"/>
        <w:right w:val="none" w:sz="0" w:space="0" w:color="auto"/>
      </w:divBdr>
    </w:div>
    <w:div w:id="1850022654">
      <w:bodyDiv w:val="1"/>
      <w:marLeft w:val="0"/>
      <w:marRight w:val="0"/>
      <w:marTop w:val="0"/>
      <w:marBottom w:val="0"/>
      <w:divBdr>
        <w:top w:val="none" w:sz="0" w:space="0" w:color="auto"/>
        <w:left w:val="none" w:sz="0" w:space="0" w:color="auto"/>
        <w:bottom w:val="none" w:sz="0" w:space="0" w:color="auto"/>
        <w:right w:val="none" w:sz="0" w:space="0" w:color="auto"/>
      </w:divBdr>
    </w:div>
    <w:div w:id="1869678676">
      <w:bodyDiv w:val="1"/>
      <w:marLeft w:val="0"/>
      <w:marRight w:val="0"/>
      <w:marTop w:val="0"/>
      <w:marBottom w:val="0"/>
      <w:divBdr>
        <w:top w:val="none" w:sz="0" w:space="0" w:color="auto"/>
        <w:left w:val="none" w:sz="0" w:space="0" w:color="auto"/>
        <w:bottom w:val="none" w:sz="0" w:space="0" w:color="auto"/>
        <w:right w:val="none" w:sz="0" w:space="0" w:color="auto"/>
      </w:divBdr>
    </w:div>
    <w:div w:id="1885409242">
      <w:bodyDiv w:val="1"/>
      <w:marLeft w:val="0"/>
      <w:marRight w:val="0"/>
      <w:marTop w:val="0"/>
      <w:marBottom w:val="0"/>
      <w:divBdr>
        <w:top w:val="none" w:sz="0" w:space="0" w:color="auto"/>
        <w:left w:val="none" w:sz="0" w:space="0" w:color="auto"/>
        <w:bottom w:val="none" w:sz="0" w:space="0" w:color="auto"/>
        <w:right w:val="none" w:sz="0" w:space="0" w:color="auto"/>
      </w:divBdr>
    </w:div>
    <w:div w:id="1886599061">
      <w:bodyDiv w:val="1"/>
      <w:marLeft w:val="0"/>
      <w:marRight w:val="0"/>
      <w:marTop w:val="0"/>
      <w:marBottom w:val="0"/>
      <w:divBdr>
        <w:top w:val="none" w:sz="0" w:space="0" w:color="auto"/>
        <w:left w:val="none" w:sz="0" w:space="0" w:color="auto"/>
        <w:bottom w:val="none" w:sz="0" w:space="0" w:color="auto"/>
        <w:right w:val="none" w:sz="0" w:space="0" w:color="auto"/>
      </w:divBdr>
    </w:div>
    <w:div w:id="1938438056">
      <w:bodyDiv w:val="1"/>
      <w:marLeft w:val="0"/>
      <w:marRight w:val="0"/>
      <w:marTop w:val="0"/>
      <w:marBottom w:val="0"/>
      <w:divBdr>
        <w:top w:val="none" w:sz="0" w:space="0" w:color="auto"/>
        <w:left w:val="none" w:sz="0" w:space="0" w:color="auto"/>
        <w:bottom w:val="none" w:sz="0" w:space="0" w:color="auto"/>
        <w:right w:val="none" w:sz="0" w:space="0" w:color="auto"/>
      </w:divBdr>
    </w:div>
    <w:div w:id="1938907075">
      <w:bodyDiv w:val="1"/>
      <w:marLeft w:val="0"/>
      <w:marRight w:val="0"/>
      <w:marTop w:val="0"/>
      <w:marBottom w:val="0"/>
      <w:divBdr>
        <w:top w:val="none" w:sz="0" w:space="0" w:color="auto"/>
        <w:left w:val="none" w:sz="0" w:space="0" w:color="auto"/>
        <w:bottom w:val="none" w:sz="0" w:space="0" w:color="auto"/>
        <w:right w:val="none" w:sz="0" w:space="0" w:color="auto"/>
      </w:divBdr>
    </w:div>
    <w:div w:id="1946301210">
      <w:bodyDiv w:val="1"/>
      <w:marLeft w:val="0"/>
      <w:marRight w:val="0"/>
      <w:marTop w:val="0"/>
      <w:marBottom w:val="0"/>
      <w:divBdr>
        <w:top w:val="none" w:sz="0" w:space="0" w:color="auto"/>
        <w:left w:val="none" w:sz="0" w:space="0" w:color="auto"/>
        <w:bottom w:val="none" w:sz="0" w:space="0" w:color="auto"/>
        <w:right w:val="none" w:sz="0" w:space="0" w:color="auto"/>
      </w:divBdr>
    </w:div>
    <w:div w:id="1946962459">
      <w:bodyDiv w:val="1"/>
      <w:marLeft w:val="0"/>
      <w:marRight w:val="0"/>
      <w:marTop w:val="0"/>
      <w:marBottom w:val="0"/>
      <w:divBdr>
        <w:top w:val="none" w:sz="0" w:space="0" w:color="auto"/>
        <w:left w:val="none" w:sz="0" w:space="0" w:color="auto"/>
        <w:bottom w:val="none" w:sz="0" w:space="0" w:color="auto"/>
        <w:right w:val="none" w:sz="0" w:space="0" w:color="auto"/>
      </w:divBdr>
    </w:div>
    <w:div w:id="1951618745">
      <w:bodyDiv w:val="1"/>
      <w:marLeft w:val="0"/>
      <w:marRight w:val="0"/>
      <w:marTop w:val="0"/>
      <w:marBottom w:val="0"/>
      <w:divBdr>
        <w:top w:val="none" w:sz="0" w:space="0" w:color="auto"/>
        <w:left w:val="none" w:sz="0" w:space="0" w:color="auto"/>
        <w:bottom w:val="none" w:sz="0" w:space="0" w:color="auto"/>
        <w:right w:val="none" w:sz="0" w:space="0" w:color="auto"/>
      </w:divBdr>
    </w:div>
    <w:div w:id="1963074678">
      <w:bodyDiv w:val="1"/>
      <w:marLeft w:val="0"/>
      <w:marRight w:val="0"/>
      <w:marTop w:val="0"/>
      <w:marBottom w:val="0"/>
      <w:divBdr>
        <w:top w:val="none" w:sz="0" w:space="0" w:color="auto"/>
        <w:left w:val="none" w:sz="0" w:space="0" w:color="auto"/>
        <w:bottom w:val="none" w:sz="0" w:space="0" w:color="auto"/>
        <w:right w:val="none" w:sz="0" w:space="0" w:color="auto"/>
      </w:divBdr>
    </w:div>
    <w:div w:id="1965035112">
      <w:bodyDiv w:val="1"/>
      <w:marLeft w:val="0"/>
      <w:marRight w:val="0"/>
      <w:marTop w:val="0"/>
      <w:marBottom w:val="0"/>
      <w:divBdr>
        <w:top w:val="none" w:sz="0" w:space="0" w:color="auto"/>
        <w:left w:val="none" w:sz="0" w:space="0" w:color="auto"/>
        <w:bottom w:val="none" w:sz="0" w:space="0" w:color="auto"/>
        <w:right w:val="none" w:sz="0" w:space="0" w:color="auto"/>
      </w:divBdr>
    </w:div>
    <w:div w:id="1966423619">
      <w:bodyDiv w:val="1"/>
      <w:marLeft w:val="0"/>
      <w:marRight w:val="0"/>
      <w:marTop w:val="0"/>
      <w:marBottom w:val="0"/>
      <w:divBdr>
        <w:top w:val="none" w:sz="0" w:space="0" w:color="auto"/>
        <w:left w:val="none" w:sz="0" w:space="0" w:color="auto"/>
        <w:bottom w:val="none" w:sz="0" w:space="0" w:color="auto"/>
        <w:right w:val="none" w:sz="0" w:space="0" w:color="auto"/>
      </w:divBdr>
    </w:div>
    <w:div w:id="1976640769">
      <w:bodyDiv w:val="1"/>
      <w:marLeft w:val="0"/>
      <w:marRight w:val="0"/>
      <w:marTop w:val="0"/>
      <w:marBottom w:val="0"/>
      <w:divBdr>
        <w:top w:val="none" w:sz="0" w:space="0" w:color="auto"/>
        <w:left w:val="none" w:sz="0" w:space="0" w:color="auto"/>
        <w:bottom w:val="none" w:sz="0" w:space="0" w:color="auto"/>
        <w:right w:val="none" w:sz="0" w:space="0" w:color="auto"/>
      </w:divBdr>
    </w:div>
    <w:div w:id="1983584407">
      <w:bodyDiv w:val="1"/>
      <w:marLeft w:val="0"/>
      <w:marRight w:val="0"/>
      <w:marTop w:val="0"/>
      <w:marBottom w:val="0"/>
      <w:divBdr>
        <w:top w:val="none" w:sz="0" w:space="0" w:color="auto"/>
        <w:left w:val="none" w:sz="0" w:space="0" w:color="auto"/>
        <w:bottom w:val="none" w:sz="0" w:space="0" w:color="auto"/>
        <w:right w:val="none" w:sz="0" w:space="0" w:color="auto"/>
      </w:divBdr>
    </w:div>
    <w:div w:id="2000620617">
      <w:bodyDiv w:val="1"/>
      <w:marLeft w:val="0"/>
      <w:marRight w:val="0"/>
      <w:marTop w:val="0"/>
      <w:marBottom w:val="0"/>
      <w:divBdr>
        <w:top w:val="none" w:sz="0" w:space="0" w:color="auto"/>
        <w:left w:val="none" w:sz="0" w:space="0" w:color="auto"/>
        <w:bottom w:val="none" w:sz="0" w:space="0" w:color="auto"/>
        <w:right w:val="none" w:sz="0" w:space="0" w:color="auto"/>
      </w:divBdr>
    </w:div>
    <w:div w:id="2013024597">
      <w:bodyDiv w:val="1"/>
      <w:marLeft w:val="0"/>
      <w:marRight w:val="0"/>
      <w:marTop w:val="0"/>
      <w:marBottom w:val="0"/>
      <w:divBdr>
        <w:top w:val="none" w:sz="0" w:space="0" w:color="auto"/>
        <w:left w:val="none" w:sz="0" w:space="0" w:color="auto"/>
        <w:bottom w:val="none" w:sz="0" w:space="0" w:color="auto"/>
        <w:right w:val="none" w:sz="0" w:space="0" w:color="auto"/>
      </w:divBdr>
    </w:div>
    <w:div w:id="2020885181">
      <w:bodyDiv w:val="1"/>
      <w:marLeft w:val="0"/>
      <w:marRight w:val="0"/>
      <w:marTop w:val="0"/>
      <w:marBottom w:val="0"/>
      <w:divBdr>
        <w:top w:val="none" w:sz="0" w:space="0" w:color="auto"/>
        <w:left w:val="none" w:sz="0" w:space="0" w:color="auto"/>
        <w:bottom w:val="none" w:sz="0" w:space="0" w:color="auto"/>
        <w:right w:val="none" w:sz="0" w:space="0" w:color="auto"/>
      </w:divBdr>
    </w:div>
    <w:div w:id="2024473571">
      <w:bodyDiv w:val="1"/>
      <w:marLeft w:val="0"/>
      <w:marRight w:val="0"/>
      <w:marTop w:val="0"/>
      <w:marBottom w:val="0"/>
      <w:divBdr>
        <w:top w:val="none" w:sz="0" w:space="0" w:color="auto"/>
        <w:left w:val="none" w:sz="0" w:space="0" w:color="auto"/>
        <w:bottom w:val="none" w:sz="0" w:space="0" w:color="auto"/>
        <w:right w:val="none" w:sz="0" w:space="0" w:color="auto"/>
      </w:divBdr>
    </w:div>
    <w:div w:id="2043287515">
      <w:bodyDiv w:val="1"/>
      <w:marLeft w:val="0"/>
      <w:marRight w:val="0"/>
      <w:marTop w:val="0"/>
      <w:marBottom w:val="0"/>
      <w:divBdr>
        <w:top w:val="none" w:sz="0" w:space="0" w:color="auto"/>
        <w:left w:val="none" w:sz="0" w:space="0" w:color="auto"/>
        <w:bottom w:val="none" w:sz="0" w:space="0" w:color="auto"/>
        <w:right w:val="none" w:sz="0" w:space="0" w:color="auto"/>
      </w:divBdr>
    </w:div>
    <w:div w:id="2049141818">
      <w:bodyDiv w:val="1"/>
      <w:marLeft w:val="0"/>
      <w:marRight w:val="0"/>
      <w:marTop w:val="0"/>
      <w:marBottom w:val="0"/>
      <w:divBdr>
        <w:top w:val="none" w:sz="0" w:space="0" w:color="auto"/>
        <w:left w:val="none" w:sz="0" w:space="0" w:color="auto"/>
        <w:bottom w:val="none" w:sz="0" w:space="0" w:color="auto"/>
        <w:right w:val="none" w:sz="0" w:space="0" w:color="auto"/>
      </w:divBdr>
    </w:div>
    <w:div w:id="2049332303">
      <w:bodyDiv w:val="1"/>
      <w:marLeft w:val="0"/>
      <w:marRight w:val="0"/>
      <w:marTop w:val="0"/>
      <w:marBottom w:val="0"/>
      <w:divBdr>
        <w:top w:val="none" w:sz="0" w:space="0" w:color="auto"/>
        <w:left w:val="none" w:sz="0" w:space="0" w:color="auto"/>
        <w:bottom w:val="none" w:sz="0" w:space="0" w:color="auto"/>
        <w:right w:val="none" w:sz="0" w:space="0" w:color="auto"/>
      </w:divBdr>
    </w:div>
    <w:div w:id="2062248287">
      <w:bodyDiv w:val="1"/>
      <w:marLeft w:val="0"/>
      <w:marRight w:val="0"/>
      <w:marTop w:val="0"/>
      <w:marBottom w:val="0"/>
      <w:divBdr>
        <w:top w:val="none" w:sz="0" w:space="0" w:color="auto"/>
        <w:left w:val="none" w:sz="0" w:space="0" w:color="auto"/>
        <w:bottom w:val="none" w:sz="0" w:space="0" w:color="auto"/>
        <w:right w:val="none" w:sz="0" w:space="0" w:color="auto"/>
      </w:divBdr>
    </w:div>
    <w:div w:id="2064330146">
      <w:bodyDiv w:val="1"/>
      <w:marLeft w:val="0"/>
      <w:marRight w:val="0"/>
      <w:marTop w:val="0"/>
      <w:marBottom w:val="0"/>
      <w:divBdr>
        <w:top w:val="none" w:sz="0" w:space="0" w:color="auto"/>
        <w:left w:val="none" w:sz="0" w:space="0" w:color="auto"/>
        <w:bottom w:val="none" w:sz="0" w:space="0" w:color="auto"/>
        <w:right w:val="none" w:sz="0" w:space="0" w:color="auto"/>
      </w:divBdr>
    </w:div>
    <w:div w:id="2065835951">
      <w:bodyDiv w:val="1"/>
      <w:marLeft w:val="0"/>
      <w:marRight w:val="0"/>
      <w:marTop w:val="0"/>
      <w:marBottom w:val="0"/>
      <w:divBdr>
        <w:top w:val="none" w:sz="0" w:space="0" w:color="auto"/>
        <w:left w:val="none" w:sz="0" w:space="0" w:color="auto"/>
        <w:bottom w:val="none" w:sz="0" w:space="0" w:color="auto"/>
        <w:right w:val="none" w:sz="0" w:space="0" w:color="auto"/>
      </w:divBdr>
    </w:div>
    <w:div w:id="2071223308">
      <w:bodyDiv w:val="1"/>
      <w:marLeft w:val="0"/>
      <w:marRight w:val="0"/>
      <w:marTop w:val="0"/>
      <w:marBottom w:val="0"/>
      <w:divBdr>
        <w:top w:val="none" w:sz="0" w:space="0" w:color="auto"/>
        <w:left w:val="none" w:sz="0" w:space="0" w:color="auto"/>
        <w:bottom w:val="none" w:sz="0" w:space="0" w:color="auto"/>
        <w:right w:val="none" w:sz="0" w:space="0" w:color="auto"/>
      </w:divBdr>
    </w:div>
    <w:div w:id="2074621348">
      <w:bodyDiv w:val="1"/>
      <w:marLeft w:val="0"/>
      <w:marRight w:val="0"/>
      <w:marTop w:val="0"/>
      <w:marBottom w:val="0"/>
      <w:divBdr>
        <w:top w:val="none" w:sz="0" w:space="0" w:color="auto"/>
        <w:left w:val="none" w:sz="0" w:space="0" w:color="auto"/>
        <w:bottom w:val="none" w:sz="0" w:space="0" w:color="auto"/>
        <w:right w:val="none" w:sz="0" w:space="0" w:color="auto"/>
      </w:divBdr>
    </w:div>
    <w:div w:id="2075739557">
      <w:bodyDiv w:val="1"/>
      <w:marLeft w:val="0"/>
      <w:marRight w:val="0"/>
      <w:marTop w:val="0"/>
      <w:marBottom w:val="0"/>
      <w:divBdr>
        <w:top w:val="none" w:sz="0" w:space="0" w:color="auto"/>
        <w:left w:val="none" w:sz="0" w:space="0" w:color="auto"/>
        <w:bottom w:val="none" w:sz="0" w:space="0" w:color="auto"/>
        <w:right w:val="none" w:sz="0" w:space="0" w:color="auto"/>
      </w:divBdr>
    </w:div>
    <w:div w:id="2076464635">
      <w:bodyDiv w:val="1"/>
      <w:marLeft w:val="0"/>
      <w:marRight w:val="0"/>
      <w:marTop w:val="0"/>
      <w:marBottom w:val="0"/>
      <w:divBdr>
        <w:top w:val="none" w:sz="0" w:space="0" w:color="auto"/>
        <w:left w:val="none" w:sz="0" w:space="0" w:color="auto"/>
        <w:bottom w:val="none" w:sz="0" w:space="0" w:color="auto"/>
        <w:right w:val="none" w:sz="0" w:space="0" w:color="auto"/>
      </w:divBdr>
    </w:div>
    <w:div w:id="2099523428">
      <w:bodyDiv w:val="1"/>
      <w:marLeft w:val="0"/>
      <w:marRight w:val="0"/>
      <w:marTop w:val="0"/>
      <w:marBottom w:val="0"/>
      <w:divBdr>
        <w:top w:val="none" w:sz="0" w:space="0" w:color="auto"/>
        <w:left w:val="none" w:sz="0" w:space="0" w:color="auto"/>
        <w:bottom w:val="none" w:sz="0" w:space="0" w:color="auto"/>
        <w:right w:val="none" w:sz="0" w:space="0" w:color="auto"/>
      </w:divBdr>
    </w:div>
    <w:div w:id="2105571884">
      <w:bodyDiv w:val="1"/>
      <w:marLeft w:val="0"/>
      <w:marRight w:val="0"/>
      <w:marTop w:val="0"/>
      <w:marBottom w:val="0"/>
      <w:divBdr>
        <w:top w:val="none" w:sz="0" w:space="0" w:color="auto"/>
        <w:left w:val="none" w:sz="0" w:space="0" w:color="auto"/>
        <w:bottom w:val="none" w:sz="0" w:space="0" w:color="auto"/>
        <w:right w:val="none" w:sz="0" w:space="0" w:color="auto"/>
      </w:divBdr>
    </w:div>
    <w:div w:id="2111199044">
      <w:bodyDiv w:val="1"/>
      <w:marLeft w:val="0"/>
      <w:marRight w:val="0"/>
      <w:marTop w:val="0"/>
      <w:marBottom w:val="0"/>
      <w:divBdr>
        <w:top w:val="none" w:sz="0" w:space="0" w:color="auto"/>
        <w:left w:val="none" w:sz="0" w:space="0" w:color="auto"/>
        <w:bottom w:val="none" w:sz="0" w:space="0" w:color="auto"/>
        <w:right w:val="none" w:sz="0" w:space="0" w:color="auto"/>
      </w:divBdr>
    </w:div>
    <w:div w:id="2113816633">
      <w:bodyDiv w:val="1"/>
      <w:marLeft w:val="0"/>
      <w:marRight w:val="0"/>
      <w:marTop w:val="0"/>
      <w:marBottom w:val="0"/>
      <w:divBdr>
        <w:top w:val="none" w:sz="0" w:space="0" w:color="auto"/>
        <w:left w:val="none" w:sz="0" w:space="0" w:color="auto"/>
        <w:bottom w:val="none" w:sz="0" w:space="0" w:color="auto"/>
        <w:right w:val="none" w:sz="0" w:space="0" w:color="auto"/>
      </w:divBdr>
    </w:div>
    <w:div w:id="2116174579">
      <w:bodyDiv w:val="1"/>
      <w:marLeft w:val="0"/>
      <w:marRight w:val="0"/>
      <w:marTop w:val="0"/>
      <w:marBottom w:val="0"/>
      <w:divBdr>
        <w:top w:val="none" w:sz="0" w:space="0" w:color="auto"/>
        <w:left w:val="none" w:sz="0" w:space="0" w:color="auto"/>
        <w:bottom w:val="none" w:sz="0" w:space="0" w:color="auto"/>
        <w:right w:val="none" w:sz="0" w:space="0" w:color="auto"/>
      </w:divBdr>
    </w:div>
    <w:div w:id="2120447184">
      <w:bodyDiv w:val="1"/>
      <w:marLeft w:val="0"/>
      <w:marRight w:val="0"/>
      <w:marTop w:val="0"/>
      <w:marBottom w:val="0"/>
      <w:divBdr>
        <w:top w:val="none" w:sz="0" w:space="0" w:color="auto"/>
        <w:left w:val="none" w:sz="0" w:space="0" w:color="auto"/>
        <w:bottom w:val="none" w:sz="0" w:space="0" w:color="auto"/>
        <w:right w:val="none" w:sz="0" w:space="0" w:color="auto"/>
      </w:divBdr>
    </w:div>
    <w:div w:id="2125532928">
      <w:bodyDiv w:val="1"/>
      <w:marLeft w:val="0"/>
      <w:marRight w:val="0"/>
      <w:marTop w:val="0"/>
      <w:marBottom w:val="0"/>
      <w:divBdr>
        <w:top w:val="none" w:sz="0" w:space="0" w:color="auto"/>
        <w:left w:val="none" w:sz="0" w:space="0" w:color="auto"/>
        <w:bottom w:val="none" w:sz="0" w:space="0" w:color="auto"/>
        <w:right w:val="none" w:sz="0" w:space="0" w:color="auto"/>
      </w:divBdr>
    </w:div>
    <w:div w:id="2126734276">
      <w:bodyDiv w:val="1"/>
      <w:marLeft w:val="0"/>
      <w:marRight w:val="0"/>
      <w:marTop w:val="0"/>
      <w:marBottom w:val="0"/>
      <w:divBdr>
        <w:top w:val="none" w:sz="0" w:space="0" w:color="auto"/>
        <w:left w:val="none" w:sz="0" w:space="0" w:color="auto"/>
        <w:bottom w:val="none" w:sz="0" w:space="0" w:color="auto"/>
        <w:right w:val="none" w:sz="0" w:space="0" w:color="auto"/>
      </w:divBdr>
    </w:div>
    <w:div w:id="21390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hyperlink" Target="http://www.sbs.com.au/news/article/2017/06/23/gonski-20-passes-early-hours-crossbench-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Wal10</b:Tag>
    <b:SourceType>Book</b:SourceType>
    <b:Guid>{7C44233E-3E11-47A0-91BF-CA856A044DBD}</b:Guid>
    <b:Author>
      <b:Author>
        <b:NameList>
          <b:Person>
            <b:Last>Walker</b:Last>
            <b:First>R</b:First>
            <b:Middle>M., Boyne, G A., Brewer, G A.</b:Middle>
          </b:Person>
        </b:NameList>
      </b:Author>
    </b:Author>
    <b:Title>Public management and Performance</b:Title>
    <b:Year>2010</b:Year>
    <b:City>Cambridge</b:City>
    <b:Publisher>Cambridge University Press</b:Publisher>
    <b:RefOrder>1</b:RefOrder>
  </b:Source>
</b:Sources>
</file>

<file path=customXml/itemProps1.xml><?xml version="1.0" encoding="utf-8"?>
<ds:datastoreItem xmlns:ds="http://schemas.openxmlformats.org/officeDocument/2006/customXml" ds:itemID="{D4EB8313-ABAB-49CE-AB22-306CB4DD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8234</Words>
  <Characters>46934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p:lastModifiedBy>
  <cp:revision>2</cp:revision>
  <cp:lastPrinted>2018-09-16T23:50:00Z</cp:lastPrinted>
  <dcterms:created xsi:type="dcterms:W3CDTF">2018-09-17T01:12:00Z</dcterms:created>
  <dcterms:modified xsi:type="dcterms:W3CDTF">2018-09-17T01:12:00Z</dcterms:modified>
</cp:coreProperties>
</file>