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9F244" w14:textId="77777777" w:rsidR="00A245BF" w:rsidRPr="001612D7" w:rsidRDefault="00A245BF" w:rsidP="00F66EE8">
      <w:pPr>
        <w:ind w:left="567" w:right="796"/>
        <w:jc w:val="both"/>
        <w:rPr>
          <w:rFonts w:asciiTheme="majorHAnsi" w:hAnsiTheme="majorHAnsi" w:cstheme="majorHAnsi"/>
          <w:b/>
          <w:sz w:val="24"/>
          <w:szCs w:val="24"/>
        </w:rPr>
      </w:pPr>
    </w:p>
    <w:p w14:paraId="39C0015B" w14:textId="48E66E4B" w:rsidR="00BA3993" w:rsidRDefault="00BA3993" w:rsidP="00F66EE8">
      <w:pPr>
        <w:ind w:left="567" w:right="796" w:hanging="567"/>
        <w:jc w:val="both"/>
        <w:rPr>
          <w:rFonts w:asciiTheme="majorHAnsi" w:eastAsia="Arial" w:hAnsiTheme="majorHAnsi" w:cstheme="majorHAnsi"/>
          <w:b/>
          <w:sz w:val="24"/>
          <w:szCs w:val="24"/>
        </w:rPr>
      </w:pPr>
      <w:r w:rsidRPr="001612D7">
        <w:rPr>
          <w:rFonts w:asciiTheme="majorHAnsi" w:eastAsia="Arial" w:hAnsiTheme="majorHAnsi" w:cstheme="majorHAnsi"/>
          <w:b/>
          <w:sz w:val="24"/>
          <w:szCs w:val="24"/>
        </w:rPr>
        <w:t>A</w:t>
      </w:r>
      <w:r w:rsidR="00D472CF">
        <w:rPr>
          <w:rFonts w:asciiTheme="majorHAnsi" w:eastAsia="Arial" w:hAnsiTheme="majorHAnsi" w:cstheme="majorHAnsi"/>
          <w:b/>
          <w:sz w:val="24"/>
          <w:szCs w:val="24"/>
        </w:rPr>
        <w:t>ustralia’s A</w:t>
      </w:r>
      <w:r w:rsidRPr="001612D7">
        <w:rPr>
          <w:rFonts w:asciiTheme="majorHAnsi" w:eastAsia="Arial" w:hAnsiTheme="majorHAnsi" w:cstheme="majorHAnsi"/>
          <w:b/>
          <w:sz w:val="24"/>
          <w:szCs w:val="24"/>
        </w:rPr>
        <w:t xml:space="preserve">sylum Seeker Code of </w:t>
      </w:r>
      <w:r w:rsidR="00521581" w:rsidRPr="001612D7">
        <w:rPr>
          <w:rFonts w:asciiTheme="majorHAnsi" w:eastAsia="Arial" w:hAnsiTheme="majorHAnsi" w:cstheme="majorHAnsi"/>
          <w:b/>
          <w:sz w:val="24"/>
          <w:szCs w:val="24"/>
        </w:rPr>
        <w:t>Behaviour</w:t>
      </w:r>
    </w:p>
    <w:p w14:paraId="4B221421" w14:textId="139501A1" w:rsidR="00CC5C5D" w:rsidRPr="001612D7" w:rsidRDefault="00CC5C5D" w:rsidP="00F66EE8">
      <w:pPr>
        <w:ind w:left="567" w:right="796" w:hanging="567"/>
        <w:jc w:val="both"/>
        <w:rPr>
          <w:rFonts w:asciiTheme="majorHAnsi" w:eastAsia="Arial" w:hAnsiTheme="majorHAnsi" w:cstheme="majorHAnsi"/>
          <w:b/>
          <w:sz w:val="24"/>
          <w:szCs w:val="24"/>
        </w:rPr>
      </w:pPr>
      <w:r>
        <w:rPr>
          <w:rFonts w:asciiTheme="majorHAnsi" w:eastAsia="Arial" w:hAnsiTheme="majorHAnsi" w:cstheme="majorHAnsi"/>
          <w:b/>
          <w:sz w:val="24"/>
          <w:szCs w:val="24"/>
        </w:rPr>
        <w:t>Elyse Methven and Anthea Vogl</w:t>
      </w:r>
    </w:p>
    <w:p w14:paraId="1600D40E" w14:textId="7A7ED6F4" w:rsidR="00BA3993" w:rsidRDefault="00BA3993" w:rsidP="00F66EE8">
      <w:pPr>
        <w:ind w:left="567" w:right="796"/>
        <w:jc w:val="both"/>
        <w:rPr>
          <w:rFonts w:asciiTheme="majorHAnsi" w:eastAsia="Arial" w:hAnsiTheme="majorHAnsi" w:cstheme="majorHAnsi"/>
          <w:sz w:val="24"/>
          <w:szCs w:val="24"/>
        </w:rPr>
      </w:pPr>
    </w:p>
    <w:p w14:paraId="1CF733A3" w14:textId="77777777" w:rsidR="000C7C07" w:rsidRDefault="000C7C07" w:rsidP="000C7C07">
      <w:pPr>
        <w:pStyle w:val="NormalWeb"/>
        <w:ind w:firstLine="567"/>
        <w:rPr>
          <w:rFonts w:ascii="Calibri" w:hAnsi="Calibri" w:cs="Calibri"/>
          <w:color w:val="000000"/>
        </w:rPr>
      </w:pPr>
      <w:r>
        <w:rPr>
          <w:rFonts w:ascii="Calibri Light" w:hAnsi="Calibri Light" w:cs="Calibri Light"/>
          <w:i/>
          <w:iCs/>
          <w:color w:val="212121"/>
        </w:rPr>
        <w:t>Dr Elyse Methven is a Lecturer in criminal law at the University of Technology Sydney.</w:t>
      </w:r>
    </w:p>
    <w:p w14:paraId="305E2A69" w14:textId="77777777" w:rsidR="00CC5C5D" w:rsidRDefault="00CC5C5D" w:rsidP="00F66EE8">
      <w:pPr>
        <w:ind w:left="567" w:right="796"/>
        <w:jc w:val="both"/>
        <w:rPr>
          <w:rFonts w:asciiTheme="majorHAnsi" w:eastAsia="Arial" w:hAnsiTheme="majorHAnsi" w:cstheme="majorHAnsi"/>
          <w:i/>
          <w:sz w:val="24"/>
          <w:szCs w:val="24"/>
        </w:rPr>
      </w:pPr>
    </w:p>
    <w:p w14:paraId="6F09500A" w14:textId="3A46274B" w:rsidR="00CC5C5D" w:rsidRPr="00CC5C5D" w:rsidRDefault="00CC5C5D" w:rsidP="00F66EE8">
      <w:pPr>
        <w:ind w:left="567" w:right="796"/>
        <w:jc w:val="both"/>
        <w:rPr>
          <w:rFonts w:asciiTheme="majorHAnsi" w:eastAsia="Arial" w:hAnsiTheme="majorHAnsi" w:cstheme="majorHAnsi"/>
          <w:i/>
          <w:sz w:val="24"/>
          <w:szCs w:val="24"/>
        </w:rPr>
      </w:pPr>
      <w:r>
        <w:rPr>
          <w:rFonts w:asciiTheme="majorHAnsi" w:eastAsia="Arial" w:hAnsiTheme="majorHAnsi" w:cstheme="majorHAnsi"/>
          <w:i/>
          <w:sz w:val="24"/>
          <w:szCs w:val="24"/>
        </w:rPr>
        <w:t>Dr Anthea Vogl</w:t>
      </w:r>
      <w:r w:rsidRPr="00CC5C5D">
        <w:rPr>
          <w:rFonts w:asciiTheme="majorHAnsi" w:eastAsia="Arial" w:hAnsiTheme="majorHAnsi" w:cstheme="majorHAnsi"/>
          <w:i/>
          <w:iCs/>
          <w:sz w:val="24"/>
          <w:szCs w:val="24"/>
        </w:rPr>
        <w:t xml:space="preserve"> is a Lecturer in refugee and migration law at the University of Technology </w:t>
      </w:r>
      <w:r>
        <w:rPr>
          <w:rFonts w:asciiTheme="majorHAnsi" w:eastAsia="Arial" w:hAnsiTheme="majorHAnsi" w:cstheme="majorHAnsi"/>
          <w:i/>
          <w:iCs/>
          <w:sz w:val="24"/>
          <w:szCs w:val="24"/>
        </w:rPr>
        <w:t xml:space="preserve">Sydney. </w:t>
      </w:r>
    </w:p>
    <w:p w14:paraId="123A2767" w14:textId="5C065071" w:rsidR="00CC5C5D" w:rsidRDefault="00CC5C5D" w:rsidP="00F66EE8">
      <w:pPr>
        <w:ind w:left="567" w:right="796"/>
        <w:jc w:val="both"/>
        <w:rPr>
          <w:rFonts w:asciiTheme="majorHAnsi" w:eastAsia="Arial" w:hAnsiTheme="majorHAnsi" w:cstheme="majorHAnsi"/>
          <w:sz w:val="24"/>
          <w:szCs w:val="24"/>
        </w:rPr>
      </w:pPr>
    </w:p>
    <w:p w14:paraId="7948D777" w14:textId="77777777" w:rsidR="00CC5C5D" w:rsidRPr="001612D7" w:rsidRDefault="00CC5C5D" w:rsidP="00F66EE8">
      <w:pPr>
        <w:ind w:left="567" w:right="796"/>
        <w:jc w:val="both"/>
        <w:rPr>
          <w:rFonts w:asciiTheme="majorHAnsi" w:eastAsia="Arial" w:hAnsiTheme="majorHAnsi" w:cstheme="majorHAnsi"/>
          <w:sz w:val="24"/>
          <w:szCs w:val="24"/>
        </w:rPr>
      </w:pPr>
    </w:p>
    <w:p w14:paraId="35EDF0A3" w14:textId="78DB31D8" w:rsidR="009D2EBE" w:rsidRDefault="0034751B" w:rsidP="009D2EBE">
      <w:pPr>
        <w:ind w:left="567" w:right="796"/>
        <w:jc w:val="both"/>
        <w:rPr>
          <w:rFonts w:asciiTheme="majorHAnsi" w:eastAsia="Arial" w:hAnsiTheme="majorHAnsi" w:cstheme="majorHAnsi"/>
          <w:sz w:val="24"/>
          <w:szCs w:val="24"/>
        </w:rPr>
      </w:pPr>
      <w:r w:rsidRPr="001612D7">
        <w:rPr>
          <w:rFonts w:asciiTheme="majorHAnsi" w:eastAsia="Arial" w:hAnsiTheme="majorHAnsi" w:cstheme="majorHAnsi"/>
          <w:sz w:val="24"/>
          <w:szCs w:val="24"/>
        </w:rPr>
        <w:t xml:space="preserve">In December 2013 the Australian </w:t>
      </w:r>
      <w:r w:rsidR="00C61FC5">
        <w:rPr>
          <w:rFonts w:asciiTheme="majorHAnsi" w:eastAsia="Arial" w:hAnsiTheme="majorHAnsi" w:cstheme="majorHAnsi"/>
          <w:sz w:val="24"/>
          <w:szCs w:val="24"/>
        </w:rPr>
        <w:t>g</w:t>
      </w:r>
      <w:r w:rsidRPr="001612D7">
        <w:rPr>
          <w:rFonts w:asciiTheme="majorHAnsi" w:eastAsia="Arial" w:hAnsiTheme="majorHAnsi" w:cstheme="majorHAnsi"/>
          <w:sz w:val="24"/>
          <w:szCs w:val="24"/>
        </w:rPr>
        <w:t>overnment introduced</w:t>
      </w:r>
      <w:r w:rsidR="00A245BF" w:rsidRPr="001612D7">
        <w:rPr>
          <w:rFonts w:asciiTheme="majorHAnsi" w:eastAsia="Arial" w:hAnsiTheme="majorHAnsi" w:cstheme="majorHAnsi"/>
          <w:sz w:val="24"/>
          <w:szCs w:val="24"/>
        </w:rPr>
        <w:t xml:space="preserve"> a </w:t>
      </w:r>
      <w:hyperlink r:id="rId7" w:history="1">
        <w:r w:rsidR="00A245BF" w:rsidRPr="001E54DD">
          <w:rPr>
            <w:rStyle w:val="Hyperlink"/>
            <w:rFonts w:asciiTheme="majorHAnsi" w:eastAsia="Arial" w:hAnsiTheme="majorHAnsi" w:cstheme="majorHAnsi"/>
            <w:sz w:val="24"/>
            <w:szCs w:val="24"/>
          </w:rPr>
          <w:t>code of behaviour</w:t>
        </w:r>
      </w:hyperlink>
      <w:r w:rsidR="00A245BF" w:rsidRPr="001612D7">
        <w:rPr>
          <w:rFonts w:asciiTheme="majorHAnsi" w:eastAsia="Arial" w:hAnsiTheme="majorHAnsi" w:cstheme="majorHAnsi"/>
          <w:sz w:val="24"/>
          <w:szCs w:val="24"/>
        </w:rPr>
        <w:t xml:space="preserve"> for all asylum seekers released from mandatory, indefinite detention</w:t>
      </w:r>
      <w:r w:rsidRPr="001612D7">
        <w:rPr>
          <w:rFonts w:asciiTheme="majorHAnsi" w:eastAsia="Arial" w:hAnsiTheme="majorHAnsi" w:cstheme="majorHAnsi"/>
          <w:sz w:val="24"/>
          <w:szCs w:val="24"/>
        </w:rPr>
        <w:t xml:space="preserve"> and living in the Australian community.</w:t>
      </w:r>
      <w:r w:rsidR="00A245BF" w:rsidRPr="001612D7">
        <w:rPr>
          <w:rFonts w:asciiTheme="majorHAnsi" w:eastAsia="Arial" w:hAnsiTheme="majorHAnsi" w:cstheme="majorHAnsi"/>
          <w:sz w:val="24"/>
          <w:szCs w:val="24"/>
        </w:rPr>
        <w:t xml:space="preserve"> The </w:t>
      </w:r>
      <w:hyperlink r:id="rId8" w:history="1">
        <w:r w:rsidR="00A245BF" w:rsidRPr="005F6DF8">
          <w:rPr>
            <w:rStyle w:val="Hyperlink"/>
            <w:rFonts w:asciiTheme="majorHAnsi" w:eastAsia="Arial" w:hAnsiTheme="majorHAnsi" w:cstheme="majorHAnsi"/>
            <w:i/>
            <w:iCs/>
            <w:sz w:val="24"/>
            <w:szCs w:val="24"/>
          </w:rPr>
          <w:t>Code of Behaviour for Subclass 050 Bridging (General) visa holders</w:t>
        </w:r>
      </w:hyperlink>
      <w:r w:rsidR="00A245BF" w:rsidRPr="001612D7">
        <w:rPr>
          <w:rFonts w:asciiTheme="majorHAnsi" w:eastAsia="Arial" w:hAnsiTheme="majorHAnsi" w:cstheme="majorHAnsi"/>
          <w:sz w:val="24"/>
          <w:szCs w:val="24"/>
        </w:rPr>
        <w:t xml:space="preserve"> (‘the Code’), now in operation for over five years, applies to all so-called ‘illegal maritime arrivals’</w:t>
      </w:r>
      <w:r w:rsidR="00C61FC5" w:rsidRPr="00FE6DDE">
        <w:rPr>
          <w:rStyle w:val="FootnoteReference"/>
        </w:rPr>
        <w:footnoteReference w:id="1"/>
      </w:r>
      <w:r w:rsidR="00A245BF" w:rsidRPr="001612D7">
        <w:rPr>
          <w:rFonts w:asciiTheme="majorHAnsi" w:eastAsia="Arial" w:hAnsiTheme="majorHAnsi" w:cstheme="majorHAnsi"/>
          <w:sz w:val="24"/>
          <w:szCs w:val="24"/>
        </w:rPr>
        <w:t xml:space="preserve"> who apply for or seek to renew a bridging visa</w:t>
      </w:r>
      <w:r w:rsidR="00A06104">
        <w:rPr>
          <w:rFonts w:asciiTheme="majorHAnsi" w:eastAsia="Arial" w:hAnsiTheme="majorHAnsi" w:cstheme="majorHAnsi"/>
          <w:sz w:val="24"/>
          <w:szCs w:val="24"/>
        </w:rPr>
        <w:t xml:space="preserve"> i</w:t>
      </w:r>
      <w:r w:rsidR="00A245BF" w:rsidRPr="001612D7">
        <w:rPr>
          <w:rFonts w:asciiTheme="majorHAnsi" w:eastAsia="Arial" w:hAnsiTheme="majorHAnsi" w:cstheme="majorHAnsi"/>
          <w:sz w:val="24"/>
          <w:szCs w:val="24"/>
        </w:rPr>
        <w:t>n</w:t>
      </w:r>
      <w:r w:rsidRPr="001612D7">
        <w:rPr>
          <w:rFonts w:asciiTheme="majorHAnsi" w:eastAsia="Arial" w:hAnsiTheme="majorHAnsi" w:cstheme="majorHAnsi"/>
          <w:sz w:val="24"/>
          <w:szCs w:val="24"/>
        </w:rPr>
        <w:t xml:space="preserve"> order to be released from immigration detention</w:t>
      </w:r>
      <w:r w:rsidR="00A06104">
        <w:rPr>
          <w:rFonts w:asciiTheme="majorHAnsi" w:eastAsia="Arial" w:hAnsiTheme="majorHAnsi" w:cstheme="majorHAnsi"/>
          <w:sz w:val="24"/>
          <w:szCs w:val="24"/>
        </w:rPr>
        <w:t xml:space="preserve">. To be granted a bridging visa, </w:t>
      </w:r>
      <w:r w:rsidR="00A245BF" w:rsidRPr="001612D7">
        <w:rPr>
          <w:rFonts w:asciiTheme="majorHAnsi" w:eastAsia="Arial" w:hAnsiTheme="majorHAnsi" w:cstheme="majorHAnsi"/>
          <w:sz w:val="24"/>
          <w:szCs w:val="24"/>
        </w:rPr>
        <w:t xml:space="preserve">this group of asylum seekers must sign the Code, and are thereafter bound by a ‘list of expectations’ </w:t>
      </w:r>
      <w:r w:rsidR="007D3CA3">
        <w:rPr>
          <w:rFonts w:asciiTheme="majorHAnsi" w:eastAsia="Arial" w:hAnsiTheme="majorHAnsi" w:cstheme="majorHAnsi"/>
          <w:sz w:val="24"/>
          <w:szCs w:val="24"/>
        </w:rPr>
        <w:t>regarding</w:t>
      </w:r>
      <w:r w:rsidR="00A245BF" w:rsidRPr="001612D7">
        <w:rPr>
          <w:rFonts w:asciiTheme="majorHAnsi" w:eastAsia="Arial" w:hAnsiTheme="majorHAnsi" w:cstheme="majorHAnsi"/>
          <w:sz w:val="24"/>
          <w:szCs w:val="24"/>
        </w:rPr>
        <w:t xml:space="preserve"> how to behave </w:t>
      </w:r>
      <w:r w:rsidR="007D3CA3">
        <w:rPr>
          <w:rFonts w:asciiTheme="majorHAnsi" w:eastAsia="Arial" w:hAnsiTheme="majorHAnsi" w:cstheme="majorHAnsi"/>
          <w:sz w:val="24"/>
          <w:szCs w:val="24"/>
        </w:rPr>
        <w:t>‘</w:t>
      </w:r>
      <w:r w:rsidR="00A245BF" w:rsidRPr="001612D7">
        <w:rPr>
          <w:rFonts w:asciiTheme="majorHAnsi" w:eastAsia="Arial" w:hAnsiTheme="majorHAnsi" w:cstheme="majorHAnsi"/>
          <w:sz w:val="24"/>
          <w:szCs w:val="24"/>
        </w:rPr>
        <w:t>at all times</w:t>
      </w:r>
      <w:r w:rsidR="007D3CA3">
        <w:rPr>
          <w:rFonts w:asciiTheme="majorHAnsi" w:eastAsia="Arial" w:hAnsiTheme="majorHAnsi" w:cstheme="majorHAnsi"/>
          <w:sz w:val="24"/>
          <w:szCs w:val="24"/>
        </w:rPr>
        <w:t>’</w:t>
      </w:r>
      <w:r w:rsidR="00A245BF" w:rsidRPr="001612D7">
        <w:rPr>
          <w:rFonts w:asciiTheme="majorHAnsi" w:eastAsia="Arial" w:hAnsiTheme="majorHAnsi" w:cstheme="majorHAnsi"/>
          <w:sz w:val="24"/>
          <w:szCs w:val="24"/>
        </w:rPr>
        <w:t xml:space="preserve"> while in Australia. </w:t>
      </w:r>
      <w:r w:rsidR="00E0745B">
        <w:rPr>
          <w:rFonts w:asciiTheme="majorHAnsi" w:eastAsia="Arial" w:hAnsiTheme="majorHAnsi" w:cstheme="majorHAnsi"/>
          <w:sz w:val="24"/>
          <w:szCs w:val="24"/>
        </w:rPr>
        <w:t>The Code’s</w:t>
      </w:r>
      <w:r w:rsidR="00A245BF" w:rsidRPr="001612D7">
        <w:rPr>
          <w:rFonts w:asciiTheme="majorHAnsi" w:eastAsia="Arial" w:hAnsiTheme="majorHAnsi" w:cstheme="majorHAnsi"/>
          <w:sz w:val="24"/>
          <w:szCs w:val="24"/>
        </w:rPr>
        <w:t xml:space="preserve"> expectations range from obeying the law, to refraining </w:t>
      </w:r>
      <w:r w:rsidR="00BA783A">
        <w:rPr>
          <w:rFonts w:asciiTheme="majorHAnsi" w:eastAsia="Arial" w:hAnsiTheme="majorHAnsi" w:cstheme="majorHAnsi"/>
          <w:sz w:val="24"/>
          <w:szCs w:val="24"/>
        </w:rPr>
        <w:t xml:space="preserve">from </w:t>
      </w:r>
      <w:r w:rsidR="00A245BF" w:rsidRPr="001612D7">
        <w:rPr>
          <w:rFonts w:asciiTheme="majorHAnsi" w:eastAsia="Arial" w:hAnsiTheme="majorHAnsi" w:cstheme="majorHAnsi"/>
          <w:sz w:val="24"/>
          <w:szCs w:val="24"/>
        </w:rPr>
        <w:t>spreading rumours, swearing in public</w:t>
      </w:r>
      <w:r w:rsidR="007D3CA3">
        <w:rPr>
          <w:rFonts w:asciiTheme="majorHAnsi" w:eastAsia="Arial" w:hAnsiTheme="majorHAnsi" w:cstheme="majorHAnsi"/>
          <w:sz w:val="24"/>
          <w:szCs w:val="24"/>
        </w:rPr>
        <w:t xml:space="preserve">, </w:t>
      </w:r>
      <w:r w:rsidR="00DD706B">
        <w:rPr>
          <w:rFonts w:asciiTheme="majorHAnsi" w:eastAsia="Arial" w:hAnsiTheme="majorHAnsi" w:cstheme="majorHAnsi"/>
          <w:sz w:val="24"/>
          <w:szCs w:val="24"/>
        </w:rPr>
        <w:t>bullying anyone</w:t>
      </w:r>
      <w:r w:rsidR="007D3CA3">
        <w:rPr>
          <w:rFonts w:asciiTheme="majorHAnsi" w:eastAsia="Arial" w:hAnsiTheme="majorHAnsi" w:cstheme="majorHAnsi"/>
          <w:sz w:val="24"/>
          <w:szCs w:val="24"/>
        </w:rPr>
        <w:t xml:space="preserve"> or lying to government officials</w:t>
      </w:r>
      <w:r w:rsidR="00A245BF" w:rsidRPr="001612D7">
        <w:rPr>
          <w:rFonts w:asciiTheme="majorHAnsi" w:eastAsia="Arial" w:hAnsiTheme="majorHAnsi" w:cstheme="majorHAnsi"/>
          <w:sz w:val="24"/>
          <w:szCs w:val="24"/>
        </w:rPr>
        <w:t xml:space="preserve">. </w:t>
      </w:r>
      <w:r w:rsidR="00B90207" w:rsidRPr="00884663">
        <w:rPr>
          <w:rFonts w:asciiTheme="majorHAnsi" w:eastAsia="Arial" w:hAnsiTheme="majorHAnsi" w:cstheme="majorHAnsi"/>
          <w:sz w:val="24"/>
          <w:szCs w:val="24"/>
        </w:rPr>
        <w:t xml:space="preserve">The </w:t>
      </w:r>
      <w:r w:rsidR="0095076A">
        <w:rPr>
          <w:rFonts w:asciiTheme="majorHAnsi" w:eastAsia="Arial" w:hAnsiTheme="majorHAnsi" w:cstheme="majorHAnsi"/>
          <w:sz w:val="24"/>
          <w:szCs w:val="24"/>
        </w:rPr>
        <w:t>Code</w:t>
      </w:r>
      <w:r w:rsidR="00E0745B">
        <w:rPr>
          <w:rFonts w:asciiTheme="majorHAnsi" w:eastAsia="Arial" w:hAnsiTheme="majorHAnsi" w:cstheme="majorHAnsi"/>
          <w:sz w:val="24"/>
          <w:szCs w:val="24"/>
        </w:rPr>
        <w:t>’s introduction</w:t>
      </w:r>
      <w:r w:rsidR="0095076A">
        <w:rPr>
          <w:rFonts w:asciiTheme="majorHAnsi" w:eastAsia="Arial" w:hAnsiTheme="majorHAnsi" w:cstheme="majorHAnsi"/>
          <w:sz w:val="24"/>
          <w:szCs w:val="24"/>
        </w:rPr>
        <w:t xml:space="preserve"> </w:t>
      </w:r>
      <w:r w:rsidR="00B90207">
        <w:rPr>
          <w:rFonts w:asciiTheme="majorHAnsi" w:eastAsia="Arial" w:hAnsiTheme="majorHAnsi" w:cstheme="majorHAnsi"/>
          <w:sz w:val="24"/>
          <w:szCs w:val="24"/>
        </w:rPr>
        <w:t>fits within a</w:t>
      </w:r>
      <w:r w:rsidR="0095076A">
        <w:rPr>
          <w:rFonts w:asciiTheme="majorHAnsi" w:eastAsia="Arial" w:hAnsiTheme="majorHAnsi" w:cstheme="majorHAnsi"/>
          <w:sz w:val="24"/>
          <w:szCs w:val="24"/>
        </w:rPr>
        <w:t xml:space="preserve"> policy </w:t>
      </w:r>
      <w:r w:rsidR="00B90207">
        <w:rPr>
          <w:rFonts w:asciiTheme="majorHAnsi" w:eastAsia="Arial" w:hAnsiTheme="majorHAnsi" w:cstheme="majorHAnsi"/>
          <w:sz w:val="24"/>
          <w:szCs w:val="24"/>
        </w:rPr>
        <w:t xml:space="preserve">framework of punishment and deterrence applied to asylum seekers who arrive </w:t>
      </w:r>
      <w:r w:rsidR="006C1CCC">
        <w:rPr>
          <w:rFonts w:asciiTheme="majorHAnsi" w:eastAsia="Arial" w:hAnsiTheme="majorHAnsi" w:cstheme="majorHAnsi"/>
          <w:sz w:val="24"/>
          <w:szCs w:val="24"/>
        </w:rPr>
        <w:t xml:space="preserve">in Australia </w:t>
      </w:r>
      <w:r w:rsidR="00B90207">
        <w:rPr>
          <w:rFonts w:asciiTheme="majorHAnsi" w:eastAsia="Arial" w:hAnsiTheme="majorHAnsi" w:cstheme="majorHAnsi"/>
          <w:sz w:val="24"/>
          <w:szCs w:val="24"/>
        </w:rPr>
        <w:t>by boat and without authorisation</w:t>
      </w:r>
      <w:r w:rsidR="006C1CCC">
        <w:rPr>
          <w:rFonts w:asciiTheme="majorHAnsi" w:eastAsia="Arial" w:hAnsiTheme="majorHAnsi" w:cstheme="majorHAnsi"/>
          <w:sz w:val="24"/>
          <w:szCs w:val="24"/>
        </w:rPr>
        <w:t>. It functions</w:t>
      </w:r>
      <w:r w:rsidR="0095076A">
        <w:rPr>
          <w:rFonts w:asciiTheme="majorHAnsi" w:eastAsia="Arial" w:hAnsiTheme="majorHAnsi" w:cstheme="majorHAnsi"/>
          <w:sz w:val="24"/>
          <w:szCs w:val="24"/>
        </w:rPr>
        <w:t xml:space="preserve"> to </w:t>
      </w:r>
      <w:r w:rsidR="006C1CCC" w:rsidRPr="009D2EBE">
        <w:rPr>
          <w:rFonts w:asciiTheme="majorHAnsi" w:eastAsia="Arial" w:hAnsiTheme="majorHAnsi" w:cstheme="majorHAnsi"/>
          <w:color w:val="000000" w:themeColor="text1"/>
          <w:sz w:val="24"/>
          <w:szCs w:val="24"/>
        </w:rPr>
        <w:t>expand</w:t>
      </w:r>
      <w:r w:rsidR="0095076A" w:rsidRPr="009D2EBE">
        <w:rPr>
          <w:rFonts w:asciiTheme="majorHAnsi" w:eastAsia="Arial" w:hAnsiTheme="majorHAnsi" w:cstheme="majorHAnsi"/>
          <w:color w:val="000000" w:themeColor="text1"/>
          <w:sz w:val="24"/>
          <w:szCs w:val="24"/>
        </w:rPr>
        <w:t xml:space="preserve"> </w:t>
      </w:r>
      <w:r w:rsidR="00A83310" w:rsidRPr="009D2EBE">
        <w:rPr>
          <w:rFonts w:asciiTheme="majorHAnsi" w:eastAsia="Arial" w:hAnsiTheme="majorHAnsi" w:cstheme="majorHAnsi"/>
          <w:color w:val="000000" w:themeColor="text1"/>
          <w:sz w:val="24"/>
          <w:szCs w:val="24"/>
        </w:rPr>
        <w:t>state surveillance and control over</w:t>
      </w:r>
      <w:r w:rsidR="00A06104">
        <w:rPr>
          <w:rFonts w:asciiTheme="majorHAnsi" w:eastAsia="Arial" w:hAnsiTheme="majorHAnsi" w:cstheme="majorHAnsi"/>
          <w:color w:val="000000" w:themeColor="text1"/>
          <w:sz w:val="24"/>
          <w:szCs w:val="24"/>
        </w:rPr>
        <w:t xml:space="preserve"> ‘</w:t>
      </w:r>
      <w:r w:rsidR="00C1009E">
        <w:rPr>
          <w:rFonts w:asciiTheme="majorHAnsi" w:eastAsia="Arial" w:hAnsiTheme="majorHAnsi" w:cstheme="majorHAnsi"/>
          <w:color w:val="000000" w:themeColor="text1"/>
          <w:sz w:val="24"/>
          <w:szCs w:val="24"/>
        </w:rPr>
        <w:t xml:space="preserve">illegal </w:t>
      </w:r>
      <w:r w:rsidR="00A06104">
        <w:rPr>
          <w:rFonts w:asciiTheme="majorHAnsi" w:eastAsia="Arial" w:hAnsiTheme="majorHAnsi" w:cstheme="majorHAnsi"/>
          <w:color w:val="000000" w:themeColor="text1"/>
          <w:sz w:val="24"/>
          <w:szCs w:val="24"/>
        </w:rPr>
        <w:t>maritime arrivals’</w:t>
      </w:r>
      <w:r w:rsidR="00C1009E">
        <w:rPr>
          <w:rFonts w:asciiTheme="majorHAnsi" w:eastAsia="Arial" w:hAnsiTheme="majorHAnsi" w:cstheme="majorHAnsi"/>
          <w:color w:val="000000" w:themeColor="text1"/>
          <w:sz w:val="24"/>
          <w:szCs w:val="24"/>
        </w:rPr>
        <w:t xml:space="preserve"> and introduces a new mechanism to re-detain and punish asylum seekers</w:t>
      </w:r>
      <w:r w:rsidR="007D26B0">
        <w:rPr>
          <w:rFonts w:asciiTheme="majorHAnsi" w:eastAsia="Arial" w:hAnsiTheme="majorHAnsi" w:cstheme="majorHAnsi"/>
          <w:color w:val="000000" w:themeColor="text1"/>
          <w:sz w:val="24"/>
          <w:szCs w:val="24"/>
        </w:rPr>
        <w:t xml:space="preserve"> living</w:t>
      </w:r>
      <w:r w:rsidR="00C1009E">
        <w:rPr>
          <w:rFonts w:asciiTheme="majorHAnsi" w:eastAsia="Arial" w:hAnsiTheme="majorHAnsi" w:cstheme="majorHAnsi"/>
          <w:color w:val="000000" w:themeColor="text1"/>
          <w:sz w:val="24"/>
          <w:szCs w:val="24"/>
        </w:rPr>
        <w:t xml:space="preserve"> in Australia</w:t>
      </w:r>
      <w:r w:rsidR="00A06104">
        <w:rPr>
          <w:rFonts w:asciiTheme="majorHAnsi" w:eastAsia="Arial" w:hAnsiTheme="majorHAnsi" w:cstheme="majorHAnsi"/>
          <w:color w:val="000000" w:themeColor="text1"/>
          <w:sz w:val="24"/>
          <w:szCs w:val="24"/>
        </w:rPr>
        <w:t xml:space="preserve">. </w:t>
      </w:r>
      <w:r w:rsidR="009D2EBE">
        <w:rPr>
          <w:rFonts w:asciiTheme="majorHAnsi" w:eastAsia="Arial" w:hAnsiTheme="majorHAnsi" w:cstheme="majorHAnsi"/>
          <w:sz w:val="24"/>
          <w:szCs w:val="24"/>
        </w:rPr>
        <w:t xml:space="preserve">As at December 2018, </w:t>
      </w:r>
      <w:hyperlink r:id="rId9" w:history="1">
        <w:r w:rsidR="009D2EBE" w:rsidRPr="00A95CF8">
          <w:rPr>
            <w:rStyle w:val="Hyperlink"/>
            <w:rFonts w:asciiTheme="majorHAnsi" w:eastAsia="Arial" w:hAnsiTheme="majorHAnsi" w:cstheme="majorHAnsi"/>
            <w:sz w:val="24"/>
            <w:szCs w:val="24"/>
          </w:rPr>
          <w:t>15674 asylum seekers</w:t>
        </w:r>
      </w:hyperlink>
      <w:r w:rsidR="009D2EBE">
        <w:rPr>
          <w:rFonts w:asciiTheme="majorHAnsi" w:eastAsia="Arial" w:hAnsiTheme="majorHAnsi" w:cstheme="majorHAnsi"/>
          <w:sz w:val="24"/>
          <w:szCs w:val="24"/>
        </w:rPr>
        <w:t xml:space="preserve"> classed as ‘unauthorised maritime arrivals’, many of whom arrived between 2011 and 2014, were still living in the community on</w:t>
      </w:r>
      <w:r w:rsidR="00C1009E">
        <w:rPr>
          <w:rFonts w:asciiTheme="majorHAnsi" w:eastAsia="Arial" w:hAnsiTheme="majorHAnsi" w:cstheme="majorHAnsi"/>
          <w:sz w:val="24"/>
          <w:szCs w:val="24"/>
        </w:rPr>
        <w:t xml:space="preserve"> short-term</w:t>
      </w:r>
      <w:r w:rsidR="009D2EBE">
        <w:rPr>
          <w:rFonts w:asciiTheme="majorHAnsi" w:eastAsia="Arial" w:hAnsiTheme="majorHAnsi" w:cstheme="majorHAnsi"/>
          <w:sz w:val="24"/>
          <w:szCs w:val="24"/>
        </w:rPr>
        <w:t xml:space="preserve"> bridging visas.</w:t>
      </w:r>
    </w:p>
    <w:p w14:paraId="34842CFD" w14:textId="04356F91" w:rsidR="00A245BF" w:rsidRPr="001612D7" w:rsidRDefault="00A245BF" w:rsidP="00E0745B">
      <w:pPr>
        <w:ind w:right="796"/>
        <w:jc w:val="both"/>
        <w:rPr>
          <w:rFonts w:asciiTheme="majorHAnsi" w:hAnsiTheme="majorHAnsi" w:cstheme="majorHAnsi"/>
          <w:sz w:val="24"/>
          <w:szCs w:val="24"/>
        </w:rPr>
      </w:pPr>
    </w:p>
    <w:p w14:paraId="4DBEBD47" w14:textId="77777777" w:rsidR="007A390D" w:rsidRPr="001612D7" w:rsidRDefault="008941FE" w:rsidP="00884663">
      <w:pPr>
        <w:ind w:right="796"/>
        <w:jc w:val="both"/>
        <w:rPr>
          <w:rFonts w:asciiTheme="majorHAnsi" w:eastAsia="Arial" w:hAnsiTheme="majorHAnsi" w:cstheme="majorHAnsi"/>
          <w:b/>
          <w:sz w:val="24"/>
          <w:szCs w:val="24"/>
        </w:rPr>
      </w:pPr>
      <w:r w:rsidRPr="001612D7">
        <w:rPr>
          <w:rFonts w:asciiTheme="majorHAnsi" w:eastAsia="Arial" w:hAnsiTheme="majorHAnsi" w:cstheme="majorHAnsi"/>
          <w:b/>
          <w:sz w:val="24"/>
          <w:szCs w:val="24"/>
        </w:rPr>
        <w:t>The Content</w:t>
      </w:r>
      <w:r w:rsidR="007A390D" w:rsidRPr="001612D7">
        <w:rPr>
          <w:rFonts w:asciiTheme="majorHAnsi" w:eastAsia="Arial" w:hAnsiTheme="majorHAnsi" w:cstheme="majorHAnsi"/>
          <w:b/>
          <w:sz w:val="24"/>
          <w:szCs w:val="24"/>
        </w:rPr>
        <w:t xml:space="preserve"> of the Code</w:t>
      </w:r>
      <w:r w:rsidR="003151D2" w:rsidRPr="001612D7">
        <w:rPr>
          <w:rFonts w:asciiTheme="majorHAnsi" w:eastAsia="Arial" w:hAnsiTheme="majorHAnsi" w:cstheme="majorHAnsi"/>
          <w:b/>
          <w:sz w:val="24"/>
          <w:szCs w:val="24"/>
        </w:rPr>
        <w:t xml:space="preserve"> and </w:t>
      </w:r>
      <w:r w:rsidR="0005055C">
        <w:rPr>
          <w:rFonts w:asciiTheme="majorHAnsi" w:eastAsia="Arial" w:hAnsiTheme="majorHAnsi" w:cstheme="majorHAnsi"/>
          <w:b/>
          <w:sz w:val="24"/>
          <w:szCs w:val="24"/>
        </w:rPr>
        <w:t xml:space="preserve">the Consequences </w:t>
      </w:r>
      <w:r w:rsidR="003151D2" w:rsidRPr="001612D7">
        <w:rPr>
          <w:rFonts w:asciiTheme="majorHAnsi" w:eastAsia="Arial" w:hAnsiTheme="majorHAnsi" w:cstheme="majorHAnsi"/>
          <w:b/>
          <w:sz w:val="24"/>
          <w:szCs w:val="24"/>
        </w:rPr>
        <w:t xml:space="preserve">of </w:t>
      </w:r>
      <w:r w:rsidR="007A390D" w:rsidRPr="001612D7">
        <w:rPr>
          <w:rFonts w:asciiTheme="majorHAnsi" w:eastAsia="Arial" w:hAnsiTheme="majorHAnsi" w:cstheme="majorHAnsi"/>
          <w:b/>
          <w:sz w:val="24"/>
          <w:szCs w:val="24"/>
        </w:rPr>
        <w:t xml:space="preserve">a </w:t>
      </w:r>
      <w:r w:rsidR="003151D2" w:rsidRPr="001612D7">
        <w:rPr>
          <w:rFonts w:asciiTheme="majorHAnsi" w:eastAsia="Arial" w:hAnsiTheme="majorHAnsi" w:cstheme="majorHAnsi"/>
          <w:b/>
          <w:sz w:val="24"/>
          <w:szCs w:val="24"/>
        </w:rPr>
        <w:t>Breach</w:t>
      </w:r>
      <w:r w:rsidR="00A245BF" w:rsidRPr="001612D7">
        <w:rPr>
          <w:rFonts w:asciiTheme="majorHAnsi" w:eastAsia="Arial" w:hAnsiTheme="majorHAnsi" w:cstheme="majorHAnsi"/>
          <w:b/>
          <w:sz w:val="24"/>
          <w:szCs w:val="24"/>
        </w:rPr>
        <w:t xml:space="preserve"> </w:t>
      </w:r>
    </w:p>
    <w:p w14:paraId="29701EB1" w14:textId="1E9ABC26" w:rsidR="00C91D1E" w:rsidRPr="001612D7" w:rsidRDefault="00A245BF" w:rsidP="00C91D1E">
      <w:pPr>
        <w:ind w:left="567" w:right="796"/>
        <w:jc w:val="both"/>
        <w:rPr>
          <w:rFonts w:asciiTheme="majorHAnsi" w:eastAsia="Arial" w:hAnsiTheme="majorHAnsi" w:cstheme="majorHAnsi"/>
          <w:sz w:val="24"/>
          <w:szCs w:val="24"/>
        </w:rPr>
      </w:pPr>
      <w:r w:rsidRPr="001612D7">
        <w:rPr>
          <w:rFonts w:asciiTheme="majorHAnsi" w:eastAsia="Arial" w:hAnsiTheme="majorHAnsi" w:cstheme="majorHAnsi"/>
          <w:sz w:val="24"/>
          <w:szCs w:val="24"/>
        </w:rPr>
        <w:t xml:space="preserve">The </w:t>
      </w:r>
      <w:r w:rsidR="00E0745B" w:rsidRPr="001612D7">
        <w:rPr>
          <w:rFonts w:asciiTheme="majorHAnsi" w:eastAsia="Arial" w:hAnsiTheme="majorHAnsi" w:cstheme="majorHAnsi"/>
          <w:sz w:val="24"/>
          <w:szCs w:val="24"/>
        </w:rPr>
        <w:t>Code</w:t>
      </w:r>
      <w:r w:rsidR="00E0745B">
        <w:rPr>
          <w:rFonts w:asciiTheme="majorHAnsi" w:eastAsia="Arial" w:hAnsiTheme="majorHAnsi" w:cstheme="majorHAnsi"/>
          <w:sz w:val="24"/>
          <w:szCs w:val="24"/>
        </w:rPr>
        <w:t>’s</w:t>
      </w:r>
      <w:r w:rsidR="00E0745B" w:rsidRPr="001612D7">
        <w:rPr>
          <w:rFonts w:asciiTheme="majorHAnsi" w:eastAsia="Arial" w:hAnsiTheme="majorHAnsi" w:cstheme="majorHAnsi"/>
          <w:sz w:val="24"/>
          <w:szCs w:val="24"/>
        </w:rPr>
        <w:t xml:space="preserve"> provisions extend </w:t>
      </w:r>
      <w:r w:rsidR="00E0745B">
        <w:rPr>
          <w:rFonts w:asciiTheme="majorHAnsi" w:eastAsia="Arial" w:hAnsiTheme="majorHAnsi" w:cstheme="majorHAnsi"/>
          <w:sz w:val="24"/>
          <w:szCs w:val="24"/>
        </w:rPr>
        <w:t xml:space="preserve">well </w:t>
      </w:r>
      <w:r w:rsidR="00E0745B" w:rsidRPr="001612D7">
        <w:rPr>
          <w:rFonts w:asciiTheme="majorHAnsi" w:eastAsia="Arial" w:hAnsiTheme="majorHAnsi" w:cstheme="majorHAnsi"/>
          <w:sz w:val="24"/>
          <w:szCs w:val="24"/>
        </w:rPr>
        <w:t xml:space="preserve">beyond existing </w:t>
      </w:r>
      <w:r w:rsidR="00E0745B">
        <w:rPr>
          <w:rFonts w:asciiTheme="majorHAnsi" w:eastAsia="Arial" w:hAnsiTheme="majorHAnsi" w:cstheme="majorHAnsi"/>
          <w:sz w:val="24"/>
          <w:szCs w:val="24"/>
        </w:rPr>
        <w:t>Australian</w:t>
      </w:r>
      <w:r w:rsidR="00E0745B" w:rsidRPr="001612D7">
        <w:rPr>
          <w:rFonts w:asciiTheme="majorHAnsi" w:eastAsia="Arial" w:hAnsiTheme="majorHAnsi" w:cstheme="majorHAnsi"/>
          <w:sz w:val="24"/>
          <w:szCs w:val="24"/>
        </w:rPr>
        <w:t xml:space="preserve"> laws</w:t>
      </w:r>
      <w:r w:rsidR="007D26B0">
        <w:rPr>
          <w:rFonts w:asciiTheme="majorHAnsi" w:eastAsia="Arial" w:hAnsiTheme="majorHAnsi" w:cstheme="majorHAnsi"/>
          <w:sz w:val="24"/>
          <w:szCs w:val="24"/>
        </w:rPr>
        <w:t>,</w:t>
      </w:r>
      <w:r w:rsidR="00E0745B">
        <w:rPr>
          <w:rFonts w:asciiTheme="majorHAnsi" w:eastAsia="Arial" w:hAnsiTheme="majorHAnsi" w:cstheme="majorHAnsi"/>
          <w:sz w:val="24"/>
          <w:szCs w:val="24"/>
        </w:rPr>
        <w:t xml:space="preserve"> and </w:t>
      </w:r>
      <w:r w:rsidR="007D26B0">
        <w:rPr>
          <w:rFonts w:asciiTheme="majorHAnsi" w:eastAsia="Arial" w:hAnsiTheme="majorHAnsi" w:cstheme="majorHAnsi"/>
          <w:sz w:val="24"/>
          <w:szCs w:val="24"/>
        </w:rPr>
        <w:t xml:space="preserve">the possible </w:t>
      </w:r>
      <w:r w:rsidR="00C91D1E">
        <w:rPr>
          <w:rFonts w:asciiTheme="majorHAnsi" w:eastAsia="Arial" w:hAnsiTheme="majorHAnsi" w:cstheme="majorHAnsi"/>
          <w:sz w:val="24"/>
          <w:szCs w:val="24"/>
        </w:rPr>
        <w:t>consequences</w:t>
      </w:r>
      <w:r w:rsidR="00C91D1E" w:rsidRPr="001612D7">
        <w:rPr>
          <w:rFonts w:asciiTheme="majorHAnsi" w:eastAsia="Arial" w:hAnsiTheme="majorHAnsi" w:cstheme="majorHAnsi"/>
          <w:sz w:val="24"/>
          <w:szCs w:val="24"/>
        </w:rPr>
        <w:t xml:space="preserve"> </w:t>
      </w:r>
      <w:r w:rsidRPr="001612D7">
        <w:rPr>
          <w:rFonts w:asciiTheme="majorHAnsi" w:eastAsia="Arial" w:hAnsiTheme="majorHAnsi" w:cstheme="majorHAnsi"/>
          <w:sz w:val="24"/>
          <w:szCs w:val="24"/>
        </w:rPr>
        <w:t xml:space="preserve">for </w:t>
      </w:r>
      <w:r w:rsidR="007D3CA3">
        <w:rPr>
          <w:rFonts w:asciiTheme="majorHAnsi" w:eastAsia="Arial" w:hAnsiTheme="majorHAnsi" w:cstheme="majorHAnsi"/>
          <w:sz w:val="24"/>
          <w:szCs w:val="24"/>
        </w:rPr>
        <w:t>an asylum seeker found to be in breach of</w:t>
      </w:r>
      <w:r w:rsidRPr="001612D7">
        <w:rPr>
          <w:rFonts w:asciiTheme="majorHAnsi" w:eastAsia="Arial" w:hAnsiTheme="majorHAnsi" w:cstheme="majorHAnsi"/>
          <w:sz w:val="24"/>
          <w:szCs w:val="24"/>
        </w:rPr>
        <w:t xml:space="preserve"> the Code </w:t>
      </w:r>
      <w:r w:rsidR="007D26B0">
        <w:rPr>
          <w:rFonts w:asciiTheme="majorHAnsi" w:eastAsia="Arial" w:hAnsiTheme="majorHAnsi" w:cstheme="majorHAnsi"/>
          <w:sz w:val="24"/>
          <w:szCs w:val="24"/>
        </w:rPr>
        <w:t>are</w:t>
      </w:r>
      <w:r w:rsidR="00C91D1E" w:rsidRPr="001612D7">
        <w:rPr>
          <w:rFonts w:asciiTheme="majorHAnsi" w:eastAsia="Arial" w:hAnsiTheme="majorHAnsi" w:cstheme="majorHAnsi"/>
          <w:sz w:val="24"/>
          <w:szCs w:val="24"/>
        </w:rPr>
        <w:t xml:space="preserve"> </w:t>
      </w:r>
      <w:r w:rsidRPr="001612D7">
        <w:rPr>
          <w:rFonts w:asciiTheme="majorHAnsi" w:eastAsia="Arial" w:hAnsiTheme="majorHAnsi" w:cstheme="majorHAnsi"/>
          <w:sz w:val="24"/>
          <w:szCs w:val="24"/>
        </w:rPr>
        <w:t xml:space="preserve">highly </w:t>
      </w:r>
      <w:r w:rsidRPr="00CB5D67">
        <w:rPr>
          <w:rFonts w:asciiTheme="majorHAnsi" w:eastAsia="Arial" w:hAnsiTheme="majorHAnsi" w:cstheme="majorHAnsi"/>
          <w:sz w:val="24"/>
          <w:szCs w:val="24"/>
        </w:rPr>
        <w:t>punitive</w:t>
      </w:r>
      <w:r w:rsidRPr="001612D7">
        <w:rPr>
          <w:rFonts w:asciiTheme="majorHAnsi" w:eastAsia="Arial" w:hAnsiTheme="majorHAnsi" w:cstheme="majorHAnsi"/>
          <w:sz w:val="24"/>
          <w:szCs w:val="24"/>
        </w:rPr>
        <w:t xml:space="preserve">. </w:t>
      </w:r>
      <w:r w:rsidR="007D3CA3">
        <w:rPr>
          <w:rFonts w:asciiTheme="majorHAnsi" w:eastAsia="Arial" w:hAnsiTheme="majorHAnsi" w:cstheme="majorHAnsi"/>
          <w:sz w:val="24"/>
          <w:szCs w:val="24"/>
        </w:rPr>
        <w:t>If</w:t>
      </w:r>
      <w:r w:rsidR="00C91D1E" w:rsidRPr="001612D7">
        <w:rPr>
          <w:rFonts w:asciiTheme="majorHAnsi" w:eastAsia="Arial" w:hAnsiTheme="majorHAnsi" w:cstheme="majorHAnsi"/>
          <w:sz w:val="24"/>
          <w:szCs w:val="24"/>
        </w:rPr>
        <w:t xml:space="preserve"> the Code’s provisions are deemed to be breached, an asylum seeker’s income support may be reduced or stopped, an existing bridging visa may be cancelled</w:t>
      </w:r>
      <w:r w:rsidR="003D4F61">
        <w:rPr>
          <w:rFonts w:asciiTheme="majorHAnsi" w:eastAsia="Arial" w:hAnsiTheme="majorHAnsi" w:cstheme="majorHAnsi"/>
          <w:sz w:val="24"/>
          <w:szCs w:val="24"/>
        </w:rPr>
        <w:t>,</w:t>
      </w:r>
      <w:r w:rsidR="00C91D1E" w:rsidRPr="001612D7">
        <w:rPr>
          <w:rFonts w:asciiTheme="majorHAnsi" w:eastAsia="Arial" w:hAnsiTheme="majorHAnsi" w:cstheme="majorHAnsi"/>
          <w:sz w:val="24"/>
          <w:szCs w:val="24"/>
        </w:rPr>
        <w:t xml:space="preserve"> and an asylum seeker may be </w:t>
      </w:r>
      <w:r w:rsidR="007D3CA3">
        <w:rPr>
          <w:rFonts w:asciiTheme="majorHAnsi" w:eastAsia="Arial" w:hAnsiTheme="majorHAnsi" w:cstheme="majorHAnsi"/>
          <w:sz w:val="24"/>
          <w:szCs w:val="24"/>
        </w:rPr>
        <w:t>re-</w:t>
      </w:r>
      <w:r w:rsidR="00C91D1E" w:rsidRPr="001612D7">
        <w:rPr>
          <w:rFonts w:asciiTheme="majorHAnsi" w:eastAsia="Arial" w:hAnsiTheme="majorHAnsi" w:cstheme="majorHAnsi"/>
          <w:sz w:val="24"/>
          <w:szCs w:val="24"/>
        </w:rPr>
        <w:t xml:space="preserve">detained in Australia or transferred to an offshore detention centre in Nauru or Papua New Guinea. </w:t>
      </w:r>
    </w:p>
    <w:p w14:paraId="4D56343B" w14:textId="77777777" w:rsidR="00C91D1E" w:rsidRDefault="00C91D1E" w:rsidP="00F66EE8">
      <w:pPr>
        <w:ind w:left="567" w:right="796"/>
        <w:jc w:val="both"/>
        <w:rPr>
          <w:rFonts w:asciiTheme="majorHAnsi" w:eastAsia="Arial" w:hAnsiTheme="majorHAnsi" w:cstheme="majorHAnsi"/>
          <w:sz w:val="24"/>
          <w:szCs w:val="24"/>
        </w:rPr>
      </w:pPr>
    </w:p>
    <w:p w14:paraId="7F1EA3A8" w14:textId="6EB83E6E" w:rsidR="00A245BF" w:rsidRPr="001612D7" w:rsidRDefault="00503BFE" w:rsidP="00E0745B">
      <w:pPr>
        <w:ind w:right="796" w:firstLine="567"/>
        <w:jc w:val="both"/>
        <w:rPr>
          <w:rFonts w:asciiTheme="majorHAnsi" w:hAnsiTheme="majorHAnsi" w:cstheme="majorHAnsi"/>
          <w:sz w:val="24"/>
          <w:szCs w:val="24"/>
        </w:rPr>
      </w:pPr>
      <w:r w:rsidRPr="001612D7">
        <w:rPr>
          <w:rFonts w:asciiTheme="majorHAnsi" w:eastAsia="Arial" w:hAnsiTheme="majorHAnsi" w:cstheme="majorHAnsi"/>
          <w:sz w:val="24"/>
          <w:szCs w:val="24"/>
        </w:rPr>
        <w:t>T</w:t>
      </w:r>
      <w:r w:rsidR="00A245BF" w:rsidRPr="001612D7">
        <w:rPr>
          <w:rFonts w:asciiTheme="majorHAnsi" w:eastAsia="Arial" w:hAnsiTheme="majorHAnsi" w:cstheme="majorHAnsi"/>
          <w:sz w:val="24"/>
          <w:szCs w:val="24"/>
        </w:rPr>
        <w:t>he Code</w:t>
      </w:r>
      <w:r w:rsidRPr="001612D7">
        <w:rPr>
          <w:rFonts w:asciiTheme="majorHAnsi" w:eastAsia="Arial" w:hAnsiTheme="majorHAnsi" w:cstheme="majorHAnsi"/>
          <w:sz w:val="24"/>
          <w:szCs w:val="24"/>
        </w:rPr>
        <w:t xml:space="preserve">’s </w:t>
      </w:r>
      <w:r w:rsidR="00DC5478">
        <w:rPr>
          <w:rFonts w:asciiTheme="majorHAnsi" w:eastAsia="Arial" w:hAnsiTheme="majorHAnsi" w:cstheme="majorHAnsi"/>
          <w:sz w:val="24"/>
          <w:szCs w:val="24"/>
        </w:rPr>
        <w:t xml:space="preserve">substantive </w:t>
      </w:r>
      <w:r w:rsidRPr="001612D7">
        <w:rPr>
          <w:rFonts w:asciiTheme="majorHAnsi" w:eastAsia="Arial" w:hAnsiTheme="majorHAnsi" w:cstheme="majorHAnsi"/>
          <w:sz w:val="24"/>
          <w:szCs w:val="24"/>
        </w:rPr>
        <w:t>terms are</w:t>
      </w:r>
      <w:r w:rsidR="00A245BF" w:rsidRPr="001612D7">
        <w:rPr>
          <w:rFonts w:asciiTheme="majorHAnsi" w:eastAsia="Arial" w:hAnsiTheme="majorHAnsi" w:cstheme="majorHAnsi"/>
          <w:sz w:val="24"/>
          <w:szCs w:val="24"/>
        </w:rPr>
        <w:t xml:space="preserve"> prefaced with the following </w:t>
      </w:r>
      <w:r w:rsidR="00A83310">
        <w:rPr>
          <w:rFonts w:asciiTheme="majorHAnsi" w:eastAsia="Arial" w:hAnsiTheme="majorHAnsi" w:cstheme="majorHAnsi"/>
          <w:sz w:val="24"/>
          <w:szCs w:val="24"/>
        </w:rPr>
        <w:t xml:space="preserve">broad </w:t>
      </w:r>
      <w:r w:rsidR="00A245BF" w:rsidRPr="001612D7">
        <w:rPr>
          <w:rFonts w:asciiTheme="majorHAnsi" w:eastAsia="Arial" w:hAnsiTheme="majorHAnsi" w:cstheme="majorHAnsi"/>
          <w:sz w:val="24"/>
          <w:szCs w:val="24"/>
        </w:rPr>
        <w:t>statement:</w:t>
      </w:r>
    </w:p>
    <w:p w14:paraId="55795745" w14:textId="77777777" w:rsidR="00A245BF" w:rsidRPr="001612D7" w:rsidRDefault="00A245BF" w:rsidP="00F66EE8">
      <w:pPr>
        <w:ind w:left="567" w:right="796"/>
        <w:jc w:val="both"/>
        <w:rPr>
          <w:rFonts w:asciiTheme="majorHAnsi" w:hAnsiTheme="majorHAnsi" w:cstheme="majorHAnsi"/>
          <w:sz w:val="24"/>
          <w:szCs w:val="24"/>
        </w:rPr>
      </w:pPr>
    </w:p>
    <w:p w14:paraId="2B15D9FE" w14:textId="77777777" w:rsidR="00A245BF" w:rsidRPr="001612D7" w:rsidRDefault="00A245BF" w:rsidP="001612D7">
      <w:pPr>
        <w:ind w:left="1440" w:right="796"/>
        <w:jc w:val="both"/>
        <w:rPr>
          <w:rFonts w:asciiTheme="majorHAnsi" w:hAnsiTheme="majorHAnsi" w:cstheme="majorHAnsi"/>
          <w:szCs w:val="24"/>
        </w:rPr>
      </w:pPr>
      <w:r w:rsidRPr="001612D7">
        <w:rPr>
          <w:rFonts w:asciiTheme="majorHAnsi" w:eastAsia="Arial" w:hAnsiTheme="majorHAnsi" w:cstheme="majorHAnsi"/>
          <w:szCs w:val="24"/>
        </w:rPr>
        <w:t>By signing the code you agree to behave according to values that are important to the Australian society while working towards the resolution of your immigration status.</w:t>
      </w:r>
    </w:p>
    <w:p w14:paraId="0058BCA5" w14:textId="77777777" w:rsidR="00A245BF" w:rsidRPr="001612D7" w:rsidRDefault="00A245BF" w:rsidP="00F66EE8">
      <w:pPr>
        <w:ind w:left="567" w:right="796"/>
        <w:jc w:val="both"/>
        <w:rPr>
          <w:rFonts w:asciiTheme="majorHAnsi" w:hAnsiTheme="majorHAnsi" w:cstheme="majorHAnsi"/>
          <w:sz w:val="24"/>
          <w:szCs w:val="24"/>
        </w:rPr>
      </w:pPr>
    </w:p>
    <w:p w14:paraId="6749B179" w14:textId="77777777" w:rsidR="00572FEE" w:rsidRDefault="00A245BF" w:rsidP="00F66EE8">
      <w:pPr>
        <w:ind w:left="567" w:right="796"/>
        <w:jc w:val="both"/>
        <w:rPr>
          <w:rFonts w:asciiTheme="majorHAnsi" w:eastAsia="Arial" w:hAnsiTheme="majorHAnsi" w:cstheme="majorHAnsi"/>
          <w:sz w:val="24"/>
          <w:szCs w:val="24"/>
        </w:rPr>
      </w:pPr>
      <w:r w:rsidRPr="001612D7">
        <w:rPr>
          <w:rFonts w:asciiTheme="majorHAnsi" w:eastAsia="Arial" w:hAnsiTheme="majorHAnsi" w:cstheme="majorHAnsi"/>
          <w:sz w:val="24"/>
          <w:szCs w:val="24"/>
        </w:rPr>
        <w:t>The Code does not explicitly elaborate on the content of these important ‘values’. It does, however, note that Australia is ‘a free and democratic country where men and women are equal’ and that ‘[p]</w:t>
      </w:r>
      <w:proofErr w:type="spellStart"/>
      <w:r w:rsidRPr="001612D7">
        <w:rPr>
          <w:rFonts w:asciiTheme="majorHAnsi" w:eastAsia="Arial" w:hAnsiTheme="majorHAnsi" w:cstheme="majorHAnsi"/>
          <w:sz w:val="24"/>
          <w:szCs w:val="24"/>
        </w:rPr>
        <w:t>eople</w:t>
      </w:r>
      <w:proofErr w:type="spellEnd"/>
      <w:r w:rsidRPr="001612D7">
        <w:rPr>
          <w:rFonts w:asciiTheme="majorHAnsi" w:eastAsia="Arial" w:hAnsiTheme="majorHAnsi" w:cstheme="majorHAnsi"/>
          <w:sz w:val="24"/>
          <w:szCs w:val="24"/>
        </w:rPr>
        <w:t xml:space="preserve"> are expected to show respect for one another and not to abuse or threaten others’.</w:t>
      </w:r>
      <w:r w:rsidR="00503BFE" w:rsidRPr="001612D7">
        <w:rPr>
          <w:rFonts w:asciiTheme="majorHAnsi" w:hAnsiTheme="majorHAnsi" w:cstheme="majorHAnsi"/>
          <w:sz w:val="24"/>
          <w:szCs w:val="24"/>
        </w:rPr>
        <w:t xml:space="preserve"> </w:t>
      </w:r>
      <w:r w:rsidR="00AB582A" w:rsidRPr="001612D7">
        <w:rPr>
          <w:rFonts w:asciiTheme="majorHAnsi" w:eastAsia="Arial" w:hAnsiTheme="majorHAnsi" w:cstheme="majorHAnsi"/>
          <w:sz w:val="24"/>
          <w:szCs w:val="24"/>
        </w:rPr>
        <w:t>It</w:t>
      </w:r>
      <w:r w:rsidRPr="001612D7">
        <w:rPr>
          <w:rFonts w:asciiTheme="majorHAnsi" w:eastAsia="Arial" w:hAnsiTheme="majorHAnsi" w:cstheme="majorHAnsi"/>
          <w:sz w:val="24"/>
          <w:szCs w:val="24"/>
        </w:rPr>
        <w:t xml:space="preserve"> then list</w:t>
      </w:r>
      <w:r w:rsidR="00DC5478">
        <w:rPr>
          <w:rFonts w:asciiTheme="majorHAnsi" w:eastAsia="Arial" w:hAnsiTheme="majorHAnsi" w:cstheme="majorHAnsi"/>
          <w:sz w:val="24"/>
          <w:szCs w:val="24"/>
        </w:rPr>
        <w:t xml:space="preserve">s </w:t>
      </w:r>
      <w:r w:rsidRPr="001612D7">
        <w:rPr>
          <w:rFonts w:asciiTheme="majorHAnsi" w:eastAsia="Arial" w:hAnsiTheme="majorHAnsi" w:cstheme="majorHAnsi"/>
          <w:sz w:val="24"/>
          <w:szCs w:val="24"/>
        </w:rPr>
        <w:t xml:space="preserve">six expectations regarding how asylum seekers must behave while in Australia. </w:t>
      </w:r>
    </w:p>
    <w:p w14:paraId="112A5D42" w14:textId="77777777" w:rsidR="00572FEE" w:rsidRDefault="00572FEE" w:rsidP="00F66EE8">
      <w:pPr>
        <w:ind w:left="567" w:right="796"/>
        <w:jc w:val="both"/>
        <w:rPr>
          <w:rFonts w:asciiTheme="majorHAnsi" w:eastAsia="Arial" w:hAnsiTheme="majorHAnsi" w:cstheme="majorHAnsi"/>
          <w:sz w:val="24"/>
          <w:szCs w:val="24"/>
        </w:rPr>
      </w:pPr>
    </w:p>
    <w:p w14:paraId="3ABA9456" w14:textId="37D835CC" w:rsidR="00426C54" w:rsidRPr="000C7C07" w:rsidRDefault="00A245BF" w:rsidP="000C7C07">
      <w:pPr>
        <w:ind w:left="567" w:right="796"/>
        <w:jc w:val="both"/>
        <w:rPr>
          <w:rFonts w:asciiTheme="majorHAnsi" w:eastAsia="Arial" w:hAnsiTheme="majorHAnsi" w:cstheme="majorHAnsi"/>
          <w:sz w:val="24"/>
          <w:szCs w:val="24"/>
        </w:rPr>
      </w:pPr>
      <w:r w:rsidRPr="001612D7">
        <w:rPr>
          <w:rFonts w:asciiTheme="majorHAnsi" w:eastAsia="Arial" w:hAnsiTheme="majorHAnsi" w:cstheme="majorHAnsi"/>
          <w:sz w:val="24"/>
          <w:szCs w:val="24"/>
        </w:rPr>
        <w:lastRenderedPageBreak/>
        <w:t xml:space="preserve">The </w:t>
      </w:r>
      <w:r w:rsidR="00DC5478">
        <w:rPr>
          <w:rFonts w:asciiTheme="majorHAnsi" w:eastAsia="Arial" w:hAnsiTheme="majorHAnsi" w:cstheme="majorHAnsi"/>
          <w:sz w:val="24"/>
          <w:szCs w:val="24"/>
        </w:rPr>
        <w:t xml:space="preserve">‘list of expectations’ </w:t>
      </w:r>
      <w:r w:rsidR="0005055C">
        <w:rPr>
          <w:rFonts w:asciiTheme="majorHAnsi" w:eastAsia="Arial" w:hAnsiTheme="majorHAnsi" w:cstheme="majorHAnsi"/>
          <w:sz w:val="24"/>
          <w:szCs w:val="24"/>
        </w:rPr>
        <w:t xml:space="preserve">are repetitive, and </w:t>
      </w:r>
      <w:r w:rsidR="00C21D0B">
        <w:rPr>
          <w:rFonts w:asciiTheme="majorHAnsi" w:eastAsia="Arial" w:hAnsiTheme="majorHAnsi" w:cstheme="majorHAnsi"/>
          <w:sz w:val="24"/>
          <w:szCs w:val="24"/>
        </w:rPr>
        <w:t xml:space="preserve">stipulate </w:t>
      </w:r>
      <w:r w:rsidR="00195229">
        <w:rPr>
          <w:rFonts w:asciiTheme="majorHAnsi" w:eastAsia="Arial" w:hAnsiTheme="majorHAnsi" w:cstheme="majorHAnsi"/>
          <w:sz w:val="24"/>
          <w:szCs w:val="24"/>
        </w:rPr>
        <w:t>both</w:t>
      </w:r>
      <w:r w:rsidR="00426C54">
        <w:rPr>
          <w:rFonts w:asciiTheme="majorHAnsi" w:eastAsia="Arial" w:hAnsiTheme="majorHAnsi" w:cstheme="majorHAnsi"/>
          <w:sz w:val="24"/>
          <w:szCs w:val="24"/>
        </w:rPr>
        <w:t xml:space="preserve"> </w:t>
      </w:r>
      <w:r w:rsidRPr="001612D7">
        <w:rPr>
          <w:rFonts w:asciiTheme="majorHAnsi" w:eastAsia="Arial" w:hAnsiTheme="majorHAnsi" w:cstheme="majorHAnsi"/>
          <w:sz w:val="24"/>
          <w:szCs w:val="24"/>
        </w:rPr>
        <w:t xml:space="preserve">what asylum seekers </w:t>
      </w:r>
      <w:r w:rsidRPr="001612D7">
        <w:rPr>
          <w:rFonts w:asciiTheme="majorHAnsi" w:eastAsia="Arial" w:hAnsiTheme="majorHAnsi" w:cstheme="majorHAnsi"/>
          <w:i/>
          <w:iCs/>
          <w:sz w:val="24"/>
          <w:szCs w:val="24"/>
        </w:rPr>
        <w:t>must</w:t>
      </w:r>
      <w:r w:rsidRPr="001612D7">
        <w:rPr>
          <w:rFonts w:asciiTheme="majorHAnsi" w:eastAsia="Arial" w:hAnsiTheme="majorHAnsi" w:cstheme="majorHAnsi"/>
          <w:sz w:val="24"/>
          <w:szCs w:val="24"/>
        </w:rPr>
        <w:t xml:space="preserve"> do, and what they </w:t>
      </w:r>
      <w:r w:rsidRPr="001612D7">
        <w:rPr>
          <w:rFonts w:asciiTheme="majorHAnsi" w:eastAsia="Arial" w:hAnsiTheme="majorHAnsi" w:cstheme="majorHAnsi"/>
          <w:i/>
          <w:iCs/>
          <w:sz w:val="24"/>
          <w:szCs w:val="24"/>
        </w:rPr>
        <w:t>must not</w:t>
      </w:r>
      <w:r w:rsidRPr="001612D7">
        <w:rPr>
          <w:rFonts w:asciiTheme="majorHAnsi" w:eastAsia="Arial" w:hAnsiTheme="majorHAnsi" w:cstheme="majorHAnsi"/>
          <w:sz w:val="24"/>
          <w:szCs w:val="24"/>
        </w:rPr>
        <w:t xml:space="preserve"> do. Asylum seekers ‘must not disobey any Australian laws, including road laws</w:t>
      </w:r>
      <w:r w:rsidR="003D4F61">
        <w:rPr>
          <w:rFonts w:asciiTheme="majorHAnsi" w:eastAsia="Arial" w:hAnsiTheme="majorHAnsi" w:cstheme="majorHAnsi"/>
          <w:sz w:val="24"/>
          <w:szCs w:val="24"/>
        </w:rPr>
        <w:t>’</w:t>
      </w:r>
      <w:r w:rsidR="00AB582A" w:rsidRPr="001612D7">
        <w:rPr>
          <w:rFonts w:asciiTheme="majorHAnsi" w:eastAsia="Arial" w:hAnsiTheme="majorHAnsi" w:cstheme="majorHAnsi"/>
          <w:sz w:val="24"/>
          <w:szCs w:val="24"/>
        </w:rPr>
        <w:t>;</w:t>
      </w:r>
      <w:r w:rsidRPr="001612D7">
        <w:rPr>
          <w:rFonts w:asciiTheme="majorHAnsi" w:eastAsia="Arial" w:hAnsiTheme="majorHAnsi" w:cstheme="majorHAnsi"/>
          <w:sz w:val="24"/>
          <w:szCs w:val="24"/>
        </w:rPr>
        <w:t xml:space="preserve"> asylum seekers ‘must not make sexual contact with another person without that person’s consent, regardless of their age</w:t>
      </w:r>
      <w:r w:rsidR="00B36C98">
        <w:rPr>
          <w:rFonts w:asciiTheme="majorHAnsi" w:eastAsia="Arial" w:hAnsiTheme="majorHAnsi" w:cstheme="majorHAnsi"/>
          <w:sz w:val="24"/>
          <w:szCs w:val="24"/>
        </w:rPr>
        <w:t>’</w:t>
      </w:r>
      <w:r w:rsidR="00AB582A" w:rsidRPr="001612D7">
        <w:rPr>
          <w:rFonts w:asciiTheme="majorHAnsi" w:eastAsia="Arial" w:hAnsiTheme="majorHAnsi" w:cstheme="majorHAnsi"/>
          <w:sz w:val="24"/>
          <w:szCs w:val="24"/>
        </w:rPr>
        <w:t>;</w:t>
      </w:r>
      <w:r w:rsidRPr="001612D7">
        <w:rPr>
          <w:rFonts w:asciiTheme="majorHAnsi" w:eastAsia="Arial" w:hAnsiTheme="majorHAnsi" w:cstheme="majorHAnsi"/>
          <w:sz w:val="24"/>
          <w:szCs w:val="24"/>
        </w:rPr>
        <w:t xml:space="preserve"> </w:t>
      </w:r>
      <w:r w:rsidR="00AB582A" w:rsidRPr="001612D7">
        <w:rPr>
          <w:rFonts w:asciiTheme="majorHAnsi" w:eastAsia="Arial" w:hAnsiTheme="majorHAnsi" w:cstheme="majorHAnsi"/>
          <w:sz w:val="24"/>
          <w:szCs w:val="24"/>
        </w:rPr>
        <w:t>t</w:t>
      </w:r>
      <w:r w:rsidRPr="001612D7">
        <w:rPr>
          <w:rFonts w:asciiTheme="majorHAnsi" w:eastAsia="Arial" w:hAnsiTheme="majorHAnsi" w:cstheme="majorHAnsi"/>
          <w:sz w:val="24"/>
          <w:szCs w:val="24"/>
        </w:rPr>
        <w:t>hey</w:t>
      </w:r>
      <w:r w:rsidR="00AB582A" w:rsidRPr="001612D7">
        <w:rPr>
          <w:rFonts w:asciiTheme="majorHAnsi" w:eastAsia="Arial" w:hAnsiTheme="majorHAnsi" w:cstheme="majorHAnsi"/>
          <w:sz w:val="24"/>
          <w:szCs w:val="24"/>
        </w:rPr>
        <w:t xml:space="preserve"> also</w:t>
      </w:r>
      <w:r w:rsidRPr="001612D7">
        <w:rPr>
          <w:rFonts w:asciiTheme="majorHAnsi" w:eastAsia="Arial" w:hAnsiTheme="majorHAnsi" w:cstheme="majorHAnsi"/>
          <w:sz w:val="24"/>
          <w:szCs w:val="24"/>
        </w:rPr>
        <w:t xml:space="preserve"> must not engage in any kind of ‘criminal behaviour’.</w:t>
      </w:r>
      <w:r w:rsidR="00AB582A" w:rsidRPr="001612D7">
        <w:rPr>
          <w:rFonts w:asciiTheme="majorHAnsi" w:hAnsiTheme="majorHAnsi" w:cstheme="majorHAnsi"/>
          <w:sz w:val="24"/>
          <w:szCs w:val="24"/>
        </w:rPr>
        <w:t xml:space="preserve"> </w:t>
      </w:r>
      <w:r w:rsidRPr="001612D7">
        <w:rPr>
          <w:rFonts w:asciiTheme="majorHAnsi" w:eastAsia="Arial" w:hAnsiTheme="majorHAnsi" w:cstheme="majorHAnsi"/>
          <w:sz w:val="24"/>
          <w:szCs w:val="24"/>
        </w:rPr>
        <w:t xml:space="preserve">Asylum seekers </w:t>
      </w:r>
      <w:r w:rsidRPr="00195229">
        <w:rPr>
          <w:rFonts w:asciiTheme="majorHAnsi" w:eastAsia="Arial" w:hAnsiTheme="majorHAnsi" w:cstheme="majorHAnsi"/>
          <w:iCs/>
          <w:sz w:val="24"/>
          <w:szCs w:val="24"/>
        </w:rPr>
        <w:t>must</w:t>
      </w:r>
      <w:r w:rsidRPr="001612D7">
        <w:rPr>
          <w:rFonts w:asciiTheme="majorHAnsi" w:eastAsia="Arial" w:hAnsiTheme="majorHAnsi" w:cstheme="majorHAnsi"/>
          <w:sz w:val="24"/>
          <w:szCs w:val="24"/>
        </w:rPr>
        <w:t xml:space="preserve"> co-operate with ‘all reasonable requests’ </w:t>
      </w:r>
      <w:r w:rsidR="00EA6096">
        <w:rPr>
          <w:rFonts w:asciiTheme="majorHAnsi" w:eastAsia="Arial" w:hAnsiTheme="majorHAnsi" w:cstheme="majorHAnsi"/>
          <w:sz w:val="24"/>
          <w:szCs w:val="24"/>
        </w:rPr>
        <w:t xml:space="preserve">from </w:t>
      </w:r>
      <w:r w:rsidRPr="001612D7">
        <w:rPr>
          <w:rFonts w:asciiTheme="majorHAnsi" w:eastAsia="Arial" w:hAnsiTheme="majorHAnsi" w:cstheme="majorHAnsi"/>
          <w:sz w:val="24"/>
          <w:szCs w:val="24"/>
        </w:rPr>
        <w:t>the Department</w:t>
      </w:r>
      <w:r w:rsidR="00A83310">
        <w:rPr>
          <w:rFonts w:asciiTheme="majorHAnsi" w:eastAsia="Arial" w:hAnsiTheme="majorHAnsi" w:cstheme="majorHAnsi"/>
          <w:sz w:val="24"/>
          <w:szCs w:val="24"/>
        </w:rPr>
        <w:t xml:space="preserve"> of Home Affairs (the Department).</w:t>
      </w:r>
    </w:p>
    <w:p w14:paraId="74B39176" w14:textId="77777777" w:rsidR="00A245BF" w:rsidRPr="001612D7" w:rsidRDefault="00A245BF" w:rsidP="00F66EE8">
      <w:pPr>
        <w:ind w:left="567" w:right="796"/>
        <w:jc w:val="both"/>
        <w:rPr>
          <w:rFonts w:asciiTheme="majorHAnsi" w:hAnsiTheme="majorHAnsi" w:cstheme="majorHAnsi"/>
          <w:sz w:val="24"/>
          <w:szCs w:val="24"/>
        </w:rPr>
      </w:pPr>
    </w:p>
    <w:p w14:paraId="27E04897" w14:textId="77777777" w:rsidR="00A245BF" w:rsidRPr="00CE6079" w:rsidRDefault="00A245BF" w:rsidP="008C130D">
      <w:pPr>
        <w:ind w:left="567" w:right="796"/>
        <w:jc w:val="both"/>
        <w:rPr>
          <w:rFonts w:asciiTheme="majorHAnsi" w:eastAsia="Arial" w:hAnsiTheme="majorHAnsi" w:cstheme="majorHAnsi"/>
          <w:sz w:val="24"/>
          <w:szCs w:val="24"/>
        </w:rPr>
      </w:pPr>
      <w:r w:rsidRPr="001612D7">
        <w:rPr>
          <w:rFonts w:asciiTheme="majorHAnsi" w:eastAsia="Arial" w:hAnsiTheme="majorHAnsi" w:cstheme="majorHAnsi"/>
          <w:sz w:val="24"/>
          <w:szCs w:val="24"/>
        </w:rPr>
        <w:t xml:space="preserve">The Code </w:t>
      </w:r>
      <w:r w:rsidR="00E07941">
        <w:rPr>
          <w:rFonts w:asciiTheme="majorHAnsi" w:eastAsia="Arial" w:hAnsiTheme="majorHAnsi" w:cstheme="majorHAnsi"/>
          <w:sz w:val="24"/>
          <w:szCs w:val="24"/>
        </w:rPr>
        <w:t xml:space="preserve">then </w:t>
      </w:r>
      <w:r w:rsidRPr="001612D7">
        <w:rPr>
          <w:rFonts w:asciiTheme="majorHAnsi" w:eastAsia="Arial" w:hAnsiTheme="majorHAnsi" w:cstheme="majorHAnsi"/>
          <w:sz w:val="24"/>
          <w:szCs w:val="24"/>
        </w:rPr>
        <w:t>creates a number of</w:t>
      </w:r>
      <w:r w:rsidR="00503BFE" w:rsidRPr="001612D7">
        <w:rPr>
          <w:rFonts w:asciiTheme="majorHAnsi" w:eastAsia="Arial" w:hAnsiTheme="majorHAnsi" w:cstheme="majorHAnsi"/>
          <w:sz w:val="24"/>
          <w:szCs w:val="24"/>
        </w:rPr>
        <w:t xml:space="preserve"> </w:t>
      </w:r>
      <w:r w:rsidR="008C130D">
        <w:rPr>
          <w:rFonts w:asciiTheme="majorHAnsi" w:eastAsia="Arial" w:hAnsiTheme="majorHAnsi" w:cstheme="majorHAnsi"/>
          <w:sz w:val="24"/>
          <w:szCs w:val="24"/>
        </w:rPr>
        <w:t xml:space="preserve">broad </w:t>
      </w:r>
      <w:r w:rsidRPr="001612D7">
        <w:rPr>
          <w:rFonts w:asciiTheme="majorHAnsi" w:eastAsia="Arial" w:hAnsiTheme="majorHAnsi" w:cstheme="majorHAnsi"/>
          <w:sz w:val="24"/>
          <w:szCs w:val="24"/>
        </w:rPr>
        <w:t xml:space="preserve">public order-type </w:t>
      </w:r>
      <w:r w:rsidR="00503BFE" w:rsidRPr="001612D7">
        <w:rPr>
          <w:rFonts w:asciiTheme="majorHAnsi" w:eastAsia="Arial" w:hAnsiTheme="majorHAnsi" w:cstheme="majorHAnsi"/>
          <w:sz w:val="24"/>
          <w:szCs w:val="24"/>
        </w:rPr>
        <w:t>offences</w:t>
      </w:r>
      <w:r w:rsidRPr="001612D7">
        <w:rPr>
          <w:rFonts w:asciiTheme="majorHAnsi" w:eastAsia="Arial" w:hAnsiTheme="majorHAnsi" w:cstheme="majorHAnsi"/>
          <w:sz w:val="24"/>
          <w:szCs w:val="24"/>
        </w:rPr>
        <w:t xml:space="preserve">. </w:t>
      </w:r>
      <w:r w:rsidR="008C130D">
        <w:rPr>
          <w:rFonts w:asciiTheme="majorHAnsi" w:eastAsia="Arial" w:hAnsiTheme="majorHAnsi" w:cstheme="majorHAnsi"/>
          <w:sz w:val="24"/>
          <w:szCs w:val="24"/>
        </w:rPr>
        <w:t>It stip</w:t>
      </w:r>
      <w:r w:rsidR="00195229">
        <w:rPr>
          <w:rFonts w:asciiTheme="majorHAnsi" w:eastAsia="Arial" w:hAnsiTheme="majorHAnsi" w:cstheme="majorHAnsi"/>
          <w:sz w:val="24"/>
          <w:szCs w:val="24"/>
        </w:rPr>
        <w:t>u</w:t>
      </w:r>
      <w:r w:rsidR="008C130D">
        <w:rPr>
          <w:rFonts w:asciiTheme="majorHAnsi" w:eastAsia="Arial" w:hAnsiTheme="majorHAnsi" w:cstheme="majorHAnsi"/>
          <w:sz w:val="24"/>
          <w:szCs w:val="24"/>
        </w:rPr>
        <w:t>lates</w:t>
      </w:r>
      <w:r w:rsidR="008C130D" w:rsidRPr="001612D7">
        <w:rPr>
          <w:rFonts w:asciiTheme="majorHAnsi" w:eastAsia="Arial" w:hAnsiTheme="majorHAnsi" w:cstheme="majorHAnsi"/>
          <w:sz w:val="24"/>
          <w:szCs w:val="24"/>
        </w:rPr>
        <w:t xml:space="preserve"> </w:t>
      </w:r>
      <w:r w:rsidRPr="001612D7">
        <w:rPr>
          <w:rFonts w:asciiTheme="majorHAnsi" w:eastAsia="Arial" w:hAnsiTheme="majorHAnsi" w:cstheme="majorHAnsi"/>
          <w:sz w:val="24"/>
          <w:szCs w:val="24"/>
        </w:rPr>
        <w:t>that asylum seeker</w:t>
      </w:r>
      <w:r w:rsidR="008C130D">
        <w:rPr>
          <w:rFonts w:asciiTheme="majorHAnsi" w:eastAsia="Arial" w:hAnsiTheme="majorHAnsi" w:cstheme="majorHAnsi"/>
          <w:sz w:val="24"/>
          <w:szCs w:val="24"/>
        </w:rPr>
        <w:t>s</w:t>
      </w:r>
      <w:r w:rsidRPr="001612D7">
        <w:rPr>
          <w:rFonts w:asciiTheme="majorHAnsi" w:eastAsia="Arial" w:hAnsiTheme="majorHAnsi" w:cstheme="majorHAnsi"/>
          <w:sz w:val="24"/>
          <w:szCs w:val="24"/>
        </w:rPr>
        <w:t xml:space="preserve"> must not </w:t>
      </w:r>
      <w:r w:rsidRPr="00A83310">
        <w:rPr>
          <w:rFonts w:asciiTheme="majorHAnsi" w:eastAsia="Arial" w:hAnsiTheme="majorHAnsi" w:cstheme="majorHAnsi"/>
          <w:sz w:val="24"/>
          <w:szCs w:val="24"/>
        </w:rPr>
        <w:t xml:space="preserve">‘harass, intimidate or bully any other person’. </w:t>
      </w:r>
      <w:r w:rsidR="008C130D" w:rsidRPr="00A83310">
        <w:rPr>
          <w:rFonts w:asciiTheme="majorHAnsi" w:eastAsia="Arial" w:hAnsiTheme="majorHAnsi" w:cstheme="majorHAnsi"/>
          <w:sz w:val="24"/>
          <w:szCs w:val="24"/>
        </w:rPr>
        <w:t xml:space="preserve">In addition, the Code forbids asylum seekers from engaging </w:t>
      </w:r>
      <w:r w:rsidRPr="009D2EBE">
        <w:rPr>
          <w:rFonts w:asciiTheme="majorHAnsi" w:eastAsia="Arial" w:hAnsiTheme="majorHAnsi" w:cstheme="majorHAnsi"/>
          <w:sz w:val="24"/>
          <w:szCs w:val="24"/>
        </w:rPr>
        <w:t xml:space="preserve">in </w:t>
      </w:r>
      <w:r w:rsidR="008C130D" w:rsidRPr="009D2EBE">
        <w:rPr>
          <w:rFonts w:asciiTheme="majorHAnsi" w:eastAsia="Arial" w:hAnsiTheme="majorHAnsi" w:cstheme="majorHAnsi"/>
          <w:sz w:val="24"/>
          <w:szCs w:val="24"/>
        </w:rPr>
        <w:t>‘</w:t>
      </w:r>
      <w:r w:rsidRPr="009D2EBE">
        <w:rPr>
          <w:rFonts w:asciiTheme="majorHAnsi" w:eastAsia="Arial" w:hAnsiTheme="majorHAnsi" w:cstheme="majorHAnsi"/>
          <w:sz w:val="24"/>
          <w:szCs w:val="24"/>
        </w:rPr>
        <w:t>any anti-social or disruptive activities that are inconsiderate, disrespectful or threaten the peaceful enjoyment of other members of the community</w:t>
      </w:r>
      <w:r w:rsidR="008C130D" w:rsidRPr="009D2EBE">
        <w:rPr>
          <w:rFonts w:asciiTheme="majorHAnsi" w:eastAsia="Arial" w:hAnsiTheme="majorHAnsi" w:cstheme="majorHAnsi"/>
          <w:sz w:val="24"/>
          <w:szCs w:val="24"/>
        </w:rPr>
        <w:t>’</w:t>
      </w:r>
      <w:r w:rsidRPr="009D2EBE">
        <w:rPr>
          <w:rFonts w:asciiTheme="majorHAnsi" w:eastAsia="Arial" w:hAnsiTheme="majorHAnsi" w:cstheme="majorHAnsi"/>
          <w:sz w:val="24"/>
          <w:szCs w:val="24"/>
        </w:rPr>
        <w:t>.</w:t>
      </w:r>
      <w:r w:rsidR="008C130D" w:rsidRPr="00A83310">
        <w:rPr>
          <w:rFonts w:asciiTheme="majorHAnsi" w:eastAsia="Arial" w:hAnsiTheme="majorHAnsi" w:cstheme="majorHAnsi"/>
          <w:sz w:val="24"/>
          <w:szCs w:val="24"/>
        </w:rPr>
        <w:t xml:space="preserve"> </w:t>
      </w:r>
      <w:r w:rsidRPr="00A83310">
        <w:rPr>
          <w:rFonts w:asciiTheme="majorHAnsi" w:eastAsia="Arial" w:hAnsiTheme="majorHAnsi" w:cstheme="majorHAnsi"/>
          <w:sz w:val="24"/>
          <w:szCs w:val="24"/>
        </w:rPr>
        <w:t>The Code defines ‘anti-social’</w:t>
      </w:r>
      <w:r w:rsidR="008C130D" w:rsidRPr="00CE6079">
        <w:rPr>
          <w:rFonts w:asciiTheme="majorHAnsi" w:eastAsia="Arial" w:hAnsiTheme="majorHAnsi" w:cstheme="majorHAnsi"/>
          <w:sz w:val="24"/>
          <w:szCs w:val="24"/>
        </w:rPr>
        <w:t xml:space="preserve"> broadly,</w:t>
      </w:r>
      <w:r w:rsidRPr="00CE6079">
        <w:rPr>
          <w:rFonts w:asciiTheme="majorHAnsi" w:eastAsia="Arial" w:hAnsiTheme="majorHAnsi" w:cstheme="majorHAnsi"/>
          <w:sz w:val="24"/>
          <w:szCs w:val="24"/>
        </w:rPr>
        <w:t xml:space="preserve"> as an action that is ‘against the order of society’ and may include spitting or swearing in public, or other actions that people might find offensive. </w:t>
      </w:r>
      <w:r w:rsidR="008C130D" w:rsidRPr="00CE6079">
        <w:rPr>
          <w:rFonts w:asciiTheme="majorHAnsi" w:eastAsia="Arial" w:hAnsiTheme="majorHAnsi" w:cstheme="majorHAnsi"/>
          <w:sz w:val="24"/>
          <w:szCs w:val="24"/>
        </w:rPr>
        <w:t xml:space="preserve">It defines </w:t>
      </w:r>
      <w:r w:rsidRPr="00CE6079">
        <w:rPr>
          <w:rFonts w:asciiTheme="majorHAnsi" w:eastAsia="Arial" w:hAnsiTheme="majorHAnsi" w:cstheme="majorHAnsi"/>
          <w:sz w:val="24"/>
          <w:szCs w:val="24"/>
        </w:rPr>
        <w:t>‘</w:t>
      </w:r>
      <w:r w:rsidR="008C130D" w:rsidRPr="00CE6079">
        <w:rPr>
          <w:rFonts w:asciiTheme="majorHAnsi" w:eastAsia="Arial" w:hAnsiTheme="majorHAnsi" w:cstheme="majorHAnsi"/>
          <w:sz w:val="24"/>
          <w:szCs w:val="24"/>
        </w:rPr>
        <w:t>b</w:t>
      </w:r>
      <w:r w:rsidRPr="00CE6079">
        <w:rPr>
          <w:rFonts w:asciiTheme="majorHAnsi" w:eastAsia="Arial" w:hAnsiTheme="majorHAnsi" w:cstheme="majorHAnsi"/>
          <w:sz w:val="24"/>
          <w:szCs w:val="24"/>
        </w:rPr>
        <w:t xml:space="preserve">ullying’ as including attacking someone verbally or physically, spreading rumours, </w:t>
      </w:r>
      <w:r w:rsidR="008C130D" w:rsidRPr="00CE6079">
        <w:rPr>
          <w:rFonts w:asciiTheme="majorHAnsi" w:eastAsia="Arial" w:hAnsiTheme="majorHAnsi" w:cstheme="majorHAnsi"/>
          <w:sz w:val="24"/>
          <w:szCs w:val="24"/>
        </w:rPr>
        <w:t xml:space="preserve">and </w:t>
      </w:r>
      <w:r w:rsidRPr="00CE6079">
        <w:rPr>
          <w:rFonts w:asciiTheme="majorHAnsi" w:eastAsia="Arial" w:hAnsiTheme="majorHAnsi" w:cstheme="majorHAnsi"/>
          <w:sz w:val="24"/>
          <w:szCs w:val="24"/>
        </w:rPr>
        <w:t>excluding someon</w:t>
      </w:r>
      <w:r w:rsidR="008C130D" w:rsidRPr="00CE6079">
        <w:rPr>
          <w:rFonts w:asciiTheme="majorHAnsi" w:eastAsia="Arial" w:hAnsiTheme="majorHAnsi" w:cstheme="majorHAnsi"/>
          <w:sz w:val="24"/>
          <w:szCs w:val="24"/>
        </w:rPr>
        <w:t xml:space="preserve">e </w:t>
      </w:r>
      <w:r w:rsidRPr="00CE6079">
        <w:rPr>
          <w:rFonts w:asciiTheme="majorHAnsi" w:eastAsia="Arial" w:hAnsiTheme="majorHAnsi" w:cstheme="majorHAnsi"/>
          <w:sz w:val="24"/>
          <w:szCs w:val="24"/>
        </w:rPr>
        <w:t>on purpose.</w:t>
      </w:r>
    </w:p>
    <w:p w14:paraId="624D91E9" w14:textId="77777777" w:rsidR="001B0392" w:rsidRPr="00CE6079" w:rsidRDefault="001B0392" w:rsidP="008C130D">
      <w:pPr>
        <w:ind w:left="567" w:right="796"/>
        <w:jc w:val="both"/>
        <w:rPr>
          <w:rFonts w:asciiTheme="majorHAnsi" w:hAnsiTheme="majorHAnsi" w:cstheme="majorHAnsi"/>
          <w:sz w:val="24"/>
          <w:szCs w:val="24"/>
        </w:rPr>
      </w:pPr>
    </w:p>
    <w:p w14:paraId="54E3754E" w14:textId="7BE44D6A" w:rsidR="001B0392" w:rsidRPr="001612D7" w:rsidRDefault="001B0392" w:rsidP="008C130D">
      <w:pPr>
        <w:ind w:left="567" w:right="796"/>
        <w:jc w:val="both"/>
        <w:rPr>
          <w:rFonts w:asciiTheme="majorHAnsi" w:hAnsiTheme="majorHAnsi" w:cstheme="majorHAnsi"/>
          <w:sz w:val="24"/>
          <w:szCs w:val="24"/>
        </w:rPr>
      </w:pPr>
      <w:r>
        <w:rPr>
          <w:rFonts w:asciiTheme="majorHAnsi" w:eastAsia="Arial" w:hAnsiTheme="majorHAnsi" w:cstheme="majorHAnsi"/>
          <w:sz w:val="24"/>
          <w:szCs w:val="24"/>
        </w:rPr>
        <w:t>T</w:t>
      </w:r>
      <w:r w:rsidRPr="001612D7">
        <w:rPr>
          <w:rFonts w:asciiTheme="majorHAnsi" w:eastAsia="Arial" w:hAnsiTheme="majorHAnsi" w:cstheme="majorHAnsi"/>
          <w:sz w:val="24"/>
          <w:szCs w:val="24"/>
        </w:rPr>
        <w:t xml:space="preserve">he Code’s vague terms, such as the requirement that asylum seekers must not engage in </w:t>
      </w:r>
      <w:r>
        <w:rPr>
          <w:rFonts w:asciiTheme="majorHAnsi" w:eastAsia="Arial" w:hAnsiTheme="majorHAnsi" w:cstheme="majorHAnsi"/>
          <w:sz w:val="24"/>
          <w:szCs w:val="24"/>
        </w:rPr>
        <w:t>‘</w:t>
      </w:r>
      <w:r w:rsidRPr="001612D7">
        <w:rPr>
          <w:rFonts w:asciiTheme="majorHAnsi" w:eastAsia="Arial" w:hAnsiTheme="majorHAnsi" w:cstheme="majorHAnsi"/>
          <w:sz w:val="24"/>
          <w:szCs w:val="24"/>
        </w:rPr>
        <w:t>any anti-social or disruptive activities</w:t>
      </w:r>
      <w:r>
        <w:rPr>
          <w:rFonts w:asciiTheme="majorHAnsi" w:eastAsia="Arial" w:hAnsiTheme="majorHAnsi" w:cstheme="majorHAnsi"/>
          <w:sz w:val="24"/>
          <w:szCs w:val="24"/>
        </w:rPr>
        <w:t>’</w:t>
      </w:r>
      <w:r w:rsidRPr="001612D7">
        <w:rPr>
          <w:rFonts w:asciiTheme="majorHAnsi" w:eastAsia="Arial" w:hAnsiTheme="majorHAnsi" w:cstheme="majorHAnsi"/>
          <w:sz w:val="24"/>
          <w:szCs w:val="24"/>
        </w:rPr>
        <w:t xml:space="preserve"> </w:t>
      </w:r>
      <w:r w:rsidR="00A83310">
        <w:rPr>
          <w:rFonts w:asciiTheme="majorHAnsi" w:eastAsia="Arial" w:hAnsiTheme="majorHAnsi" w:cstheme="majorHAnsi"/>
          <w:sz w:val="24"/>
          <w:szCs w:val="24"/>
        </w:rPr>
        <w:t>resemble</w:t>
      </w:r>
      <w:r w:rsidRPr="001612D7">
        <w:rPr>
          <w:rFonts w:asciiTheme="majorHAnsi" w:eastAsia="Arial" w:hAnsiTheme="majorHAnsi" w:cstheme="majorHAnsi"/>
          <w:sz w:val="24"/>
          <w:szCs w:val="24"/>
        </w:rPr>
        <w:t xml:space="preserve"> public order crimes that already exist throughout Australia, including prohibitions </w:t>
      </w:r>
      <w:r w:rsidR="00A83310">
        <w:rPr>
          <w:rFonts w:asciiTheme="majorHAnsi" w:eastAsia="Arial" w:hAnsiTheme="majorHAnsi" w:cstheme="majorHAnsi"/>
          <w:sz w:val="24"/>
          <w:szCs w:val="24"/>
        </w:rPr>
        <w:t>against using</w:t>
      </w:r>
      <w:r w:rsidR="00A83310" w:rsidRPr="001612D7">
        <w:rPr>
          <w:rFonts w:asciiTheme="majorHAnsi" w:eastAsia="Arial" w:hAnsiTheme="majorHAnsi" w:cstheme="majorHAnsi"/>
          <w:sz w:val="24"/>
          <w:szCs w:val="24"/>
        </w:rPr>
        <w:t xml:space="preserve"> </w:t>
      </w:r>
      <w:r w:rsidRPr="001612D7">
        <w:rPr>
          <w:rFonts w:asciiTheme="majorHAnsi" w:eastAsia="Arial" w:hAnsiTheme="majorHAnsi" w:cstheme="majorHAnsi"/>
          <w:sz w:val="24"/>
          <w:szCs w:val="24"/>
        </w:rPr>
        <w:t xml:space="preserve">‘offensive language’ and ‘offensive behaviour’ in a public place. Legal academics have long criticised offensive language and offensive behaviour crimes for their </w:t>
      </w:r>
      <w:hyperlink r:id="rId10" w:history="1">
        <w:r w:rsidRPr="00CB5D67">
          <w:rPr>
            <w:rStyle w:val="Hyperlink"/>
            <w:rFonts w:asciiTheme="majorHAnsi" w:eastAsia="Arial" w:hAnsiTheme="majorHAnsi" w:cstheme="majorHAnsi"/>
            <w:sz w:val="24"/>
            <w:szCs w:val="24"/>
          </w:rPr>
          <w:t>vague wording</w:t>
        </w:r>
      </w:hyperlink>
      <w:r w:rsidRPr="001612D7">
        <w:rPr>
          <w:rFonts w:asciiTheme="majorHAnsi" w:eastAsia="Arial" w:hAnsiTheme="majorHAnsi" w:cstheme="majorHAnsi"/>
          <w:sz w:val="24"/>
          <w:szCs w:val="24"/>
        </w:rPr>
        <w:t>, presumption of a ‘</w:t>
      </w:r>
      <w:hyperlink r:id="rId11" w:history="1">
        <w:r w:rsidRPr="00A83310">
          <w:rPr>
            <w:rStyle w:val="Hyperlink"/>
            <w:rFonts w:asciiTheme="majorHAnsi" w:eastAsia="Arial" w:hAnsiTheme="majorHAnsi" w:cstheme="majorHAnsi"/>
            <w:sz w:val="24"/>
            <w:szCs w:val="24"/>
          </w:rPr>
          <w:t>community standard</w:t>
        </w:r>
      </w:hyperlink>
      <w:r w:rsidRPr="001612D7">
        <w:rPr>
          <w:rFonts w:asciiTheme="majorHAnsi" w:eastAsia="Arial" w:hAnsiTheme="majorHAnsi" w:cstheme="majorHAnsi"/>
          <w:sz w:val="24"/>
          <w:szCs w:val="24"/>
        </w:rPr>
        <w:t>’, and criminalisation of everyday behaviour</w:t>
      </w:r>
      <w:r w:rsidR="003901D0">
        <w:rPr>
          <w:rFonts w:asciiTheme="majorHAnsi" w:eastAsia="Arial" w:hAnsiTheme="majorHAnsi" w:cstheme="majorHAnsi"/>
          <w:sz w:val="24"/>
          <w:szCs w:val="24"/>
        </w:rPr>
        <w:t>.</w:t>
      </w:r>
      <w:r w:rsidRPr="001612D7">
        <w:rPr>
          <w:rFonts w:asciiTheme="majorHAnsi" w:eastAsia="Arial" w:hAnsiTheme="majorHAnsi" w:cstheme="majorHAnsi"/>
          <w:sz w:val="24"/>
          <w:szCs w:val="24"/>
        </w:rPr>
        <w:t xml:space="preserve"> </w:t>
      </w:r>
      <w:r>
        <w:rPr>
          <w:rFonts w:asciiTheme="majorHAnsi" w:eastAsia="Arial" w:hAnsiTheme="majorHAnsi" w:cstheme="majorHAnsi"/>
          <w:sz w:val="24"/>
          <w:szCs w:val="24"/>
        </w:rPr>
        <w:t>People</w:t>
      </w:r>
      <w:r w:rsidRPr="001612D7">
        <w:rPr>
          <w:rFonts w:asciiTheme="majorHAnsi" w:eastAsia="Arial" w:hAnsiTheme="majorHAnsi" w:cstheme="majorHAnsi"/>
          <w:sz w:val="24"/>
          <w:szCs w:val="24"/>
        </w:rPr>
        <w:t xml:space="preserve"> who are </w:t>
      </w:r>
      <w:hyperlink r:id="rId12" w:history="1">
        <w:r w:rsidRPr="00A83310">
          <w:rPr>
            <w:rStyle w:val="Hyperlink"/>
            <w:rFonts w:asciiTheme="majorHAnsi" w:eastAsia="Arial" w:hAnsiTheme="majorHAnsi" w:cstheme="majorHAnsi"/>
            <w:sz w:val="24"/>
            <w:szCs w:val="24"/>
          </w:rPr>
          <w:t>homeless</w:t>
        </w:r>
      </w:hyperlink>
      <w:r w:rsidRPr="001612D7">
        <w:rPr>
          <w:rFonts w:asciiTheme="majorHAnsi" w:eastAsia="Arial" w:hAnsiTheme="majorHAnsi" w:cstheme="majorHAnsi"/>
          <w:sz w:val="24"/>
          <w:szCs w:val="24"/>
        </w:rPr>
        <w:t xml:space="preserve">, </w:t>
      </w:r>
      <w:hyperlink r:id="rId13" w:history="1">
        <w:r w:rsidRPr="00A83310">
          <w:rPr>
            <w:rStyle w:val="Hyperlink"/>
            <w:rFonts w:asciiTheme="majorHAnsi" w:eastAsia="Arial" w:hAnsiTheme="majorHAnsi" w:cstheme="majorHAnsi"/>
            <w:sz w:val="24"/>
            <w:szCs w:val="24"/>
          </w:rPr>
          <w:t>Indigenous Australians</w:t>
        </w:r>
      </w:hyperlink>
      <w:r>
        <w:rPr>
          <w:rFonts w:asciiTheme="majorHAnsi" w:eastAsia="Arial" w:hAnsiTheme="majorHAnsi" w:cstheme="majorHAnsi"/>
          <w:sz w:val="24"/>
          <w:szCs w:val="24"/>
        </w:rPr>
        <w:t xml:space="preserve">, </w:t>
      </w:r>
      <w:hyperlink r:id="rId14" w:history="1">
        <w:r w:rsidRPr="00A83310">
          <w:rPr>
            <w:rStyle w:val="Hyperlink"/>
            <w:rFonts w:asciiTheme="majorHAnsi" w:eastAsia="Arial" w:hAnsiTheme="majorHAnsi" w:cstheme="majorHAnsi"/>
            <w:sz w:val="24"/>
            <w:szCs w:val="24"/>
          </w:rPr>
          <w:t>young people</w:t>
        </w:r>
      </w:hyperlink>
      <w:r>
        <w:rPr>
          <w:rFonts w:asciiTheme="majorHAnsi" w:eastAsia="Arial" w:hAnsiTheme="majorHAnsi" w:cstheme="majorHAnsi"/>
          <w:sz w:val="24"/>
          <w:szCs w:val="24"/>
        </w:rPr>
        <w:t xml:space="preserve">, </w:t>
      </w:r>
      <w:r w:rsidRPr="001612D7">
        <w:rPr>
          <w:rFonts w:asciiTheme="majorHAnsi" w:eastAsia="Arial" w:hAnsiTheme="majorHAnsi" w:cstheme="majorHAnsi"/>
          <w:sz w:val="24"/>
          <w:szCs w:val="24"/>
        </w:rPr>
        <w:t xml:space="preserve">and people with a </w:t>
      </w:r>
      <w:hyperlink r:id="rId15" w:history="1">
        <w:r w:rsidRPr="00A83310">
          <w:rPr>
            <w:rStyle w:val="Hyperlink"/>
            <w:rFonts w:asciiTheme="majorHAnsi" w:eastAsia="Arial" w:hAnsiTheme="majorHAnsi" w:cstheme="majorHAnsi"/>
            <w:sz w:val="24"/>
            <w:szCs w:val="24"/>
          </w:rPr>
          <w:t>mental illness</w:t>
        </w:r>
      </w:hyperlink>
      <w:r w:rsidRPr="001612D7">
        <w:rPr>
          <w:rFonts w:asciiTheme="majorHAnsi" w:eastAsia="Arial" w:hAnsiTheme="majorHAnsi" w:cstheme="majorHAnsi"/>
          <w:sz w:val="24"/>
          <w:szCs w:val="24"/>
        </w:rPr>
        <w:t xml:space="preserve"> are statistically more likely </w:t>
      </w:r>
      <w:r w:rsidR="003901D0">
        <w:rPr>
          <w:rFonts w:asciiTheme="majorHAnsi" w:eastAsia="Arial" w:hAnsiTheme="majorHAnsi" w:cstheme="majorHAnsi"/>
          <w:sz w:val="24"/>
          <w:szCs w:val="24"/>
        </w:rPr>
        <w:t xml:space="preserve">to </w:t>
      </w:r>
      <w:r w:rsidRPr="001612D7">
        <w:rPr>
          <w:rFonts w:asciiTheme="majorHAnsi" w:eastAsia="Arial" w:hAnsiTheme="majorHAnsi" w:cstheme="majorHAnsi"/>
          <w:sz w:val="24"/>
          <w:szCs w:val="24"/>
        </w:rPr>
        <w:t>be charged with these offences</w:t>
      </w:r>
      <w:r w:rsidR="003901D0">
        <w:rPr>
          <w:rFonts w:asciiTheme="majorHAnsi" w:eastAsia="Arial" w:hAnsiTheme="majorHAnsi" w:cstheme="majorHAnsi"/>
          <w:sz w:val="24"/>
          <w:szCs w:val="24"/>
        </w:rPr>
        <w:t>.</w:t>
      </w:r>
      <w:r w:rsidRPr="001612D7">
        <w:rPr>
          <w:rFonts w:asciiTheme="majorHAnsi" w:eastAsia="Arial" w:hAnsiTheme="majorHAnsi" w:cstheme="majorHAnsi"/>
          <w:sz w:val="24"/>
          <w:szCs w:val="24"/>
        </w:rPr>
        <w:t xml:space="preserve"> The Code adds asylum seekers to this list of </w:t>
      </w:r>
      <w:r>
        <w:rPr>
          <w:rFonts w:asciiTheme="majorHAnsi" w:eastAsia="Arial" w:hAnsiTheme="majorHAnsi" w:cstheme="majorHAnsi"/>
          <w:sz w:val="24"/>
          <w:szCs w:val="24"/>
        </w:rPr>
        <w:t>marginalised populations</w:t>
      </w:r>
      <w:r w:rsidR="003901D0">
        <w:rPr>
          <w:rFonts w:asciiTheme="majorHAnsi" w:eastAsia="Arial" w:hAnsiTheme="majorHAnsi" w:cstheme="majorHAnsi"/>
          <w:sz w:val="24"/>
          <w:szCs w:val="24"/>
        </w:rPr>
        <w:t xml:space="preserve"> whose everyday behaviour is </w:t>
      </w:r>
      <w:proofErr w:type="spellStart"/>
      <w:r w:rsidR="00195229">
        <w:rPr>
          <w:rFonts w:asciiTheme="majorHAnsi" w:eastAsia="Arial" w:hAnsiTheme="majorHAnsi" w:cstheme="majorHAnsi"/>
          <w:sz w:val="24"/>
          <w:szCs w:val="24"/>
        </w:rPr>
        <w:t>surveil</w:t>
      </w:r>
      <w:r w:rsidR="003901D0">
        <w:rPr>
          <w:rFonts w:asciiTheme="majorHAnsi" w:eastAsia="Arial" w:hAnsiTheme="majorHAnsi" w:cstheme="majorHAnsi"/>
          <w:sz w:val="24"/>
          <w:szCs w:val="24"/>
        </w:rPr>
        <w:t>led</w:t>
      </w:r>
      <w:proofErr w:type="spellEnd"/>
      <w:r w:rsidR="003901D0">
        <w:rPr>
          <w:rFonts w:asciiTheme="majorHAnsi" w:eastAsia="Arial" w:hAnsiTheme="majorHAnsi" w:cstheme="majorHAnsi"/>
          <w:sz w:val="24"/>
          <w:szCs w:val="24"/>
        </w:rPr>
        <w:t xml:space="preserve"> and criminalised</w:t>
      </w:r>
      <w:r w:rsidRPr="001612D7">
        <w:rPr>
          <w:rFonts w:asciiTheme="majorHAnsi" w:eastAsia="Arial" w:hAnsiTheme="majorHAnsi" w:cstheme="majorHAnsi"/>
          <w:sz w:val="24"/>
          <w:szCs w:val="24"/>
        </w:rPr>
        <w:t>.</w:t>
      </w:r>
    </w:p>
    <w:p w14:paraId="35180D20" w14:textId="77777777" w:rsidR="00A245BF" w:rsidRPr="001612D7" w:rsidRDefault="00A245BF" w:rsidP="00F66EE8">
      <w:pPr>
        <w:ind w:left="567" w:right="796"/>
        <w:jc w:val="both"/>
        <w:rPr>
          <w:rFonts w:asciiTheme="majorHAnsi" w:hAnsiTheme="majorHAnsi" w:cstheme="majorHAnsi"/>
          <w:sz w:val="24"/>
          <w:szCs w:val="24"/>
        </w:rPr>
      </w:pPr>
    </w:p>
    <w:p w14:paraId="085BBCFF" w14:textId="22A4FFCD" w:rsidR="00A83310" w:rsidRPr="009D2EBE" w:rsidRDefault="008C3BA3" w:rsidP="009D2EBE">
      <w:pPr>
        <w:ind w:left="567" w:right="796"/>
        <w:jc w:val="both"/>
        <w:rPr>
          <w:rFonts w:asciiTheme="majorHAnsi" w:eastAsia="Arial" w:hAnsiTheme="majorHAnsi" w:cstheme="majorHAnsi"/>
          <w:sz w:val="24"/>
          <w:szCs w:val="24"/>
        </w:rPr>
      </w:pPr>
      <w:hyperlink r:id="rId16" w:history="1">
        <w:r w:rsidR="008C130D" w:rsidRPr="009530EC">
          <w:rPr>
            <w:rStyle w:val="Hyperlink"/>
            <w:rFonts w:asciiTheme="majorHAnsi" w:eastAsia="Arial" w:hAnsiTheme="majorHAnsi" w:cstheme="majorHAnsi"/>
            <w:sz w:val="24"/>
            <w:szCs w:val="24"/>
          </w:rPr>
          <w:t>A Human Rights Compatibility Statement</w:t>
        </w:r>
        <w:r w:rsidR="009530EC" w:rsidRPr="009530EC">
          <w:rPr>
            <w:rStyle w:val="Hyperlink"/>
            <w:rFonts w:asciiTheme="majorHAnsi" w:eastAsia="Arial" w:hAnsiTheme="majorHAnsi" w:cstheme="majorHAnsi"/>
            <w:sz w:val="24"/>
            <w:szCs w:val="24"/>
          </w:rPr>
          <w:t xml:space="preserve"> to the Code</w:t>
        </w:r>
      </w:hyperlink>
      <w:r w:rsidR="008C130D">
        <w:rPr>
          <w:rFonts w:asciiTheme="majorHAnsi" w:eastAsia="Arial" w:hAnsiTheme="majorHAnsi" w:cstheme="majorHAnsi"/>
          <w:sz w:val="24"/>
          <w:szCs w:val="24"/>
        </w:rPr>
        <w:t xml:space="preserve"> recognised that t</w:t>
      </w:r>
      <w:r w:rsidR="00A245BF" w:rsidRPr="001612D7">
        <w:rPr>
          <w:rFonts w:asciiTheme="majorHAnsi" w:eastAsia="Arial" w:hAnsiTheme="majorHAnsi" w:cstheme="majorHAnsi"/>
          <w:sz w:val="24"/>
          <w:szCs w:val="24"/>
        </w:rPr>
        <w:t>hese broad provisions — banning swearing, spreading rumours or being ‘inconsiderate’ —</w:t>
      </w:r>
      <w:r w:rsidR="008C130D">
        <w:rPr>
          <w:rFonts w:asciiTheme="majorHAnsi" w:eastAsia="Arial" w:hAnsiTheme="majorHAnsi" w:cstheme="majorHAnsi"/>
          <w:sz w:val="24"/>
          <w:szCs w:val="24"/>
        </w:rPr>
        <w:t xml:space="preserve"> are capable of </w:t>
      </w:r>
      <w:r w:rsidR="00A245BF" w:rsidRPr="001612D7">
        <w:rPr>
          <w:rFonts w:asciiTheme="majorHAnsi" w:eastAsia="Arial" w:hAnsiTheme="majorHAnsi" w:cstheme="majorHAnsi"/>
          <w:sz w:val="24"/>
          <w:szCs w:val="24"/>
        </w:rPr>
        <w:t>restrict</w:t>
      </w:r>
      <w:r w:rsidR="008C130D">
        <w:rPr>
          <w:rFonts w:asciiTheme="majorHAnsi" w:eastAsia="Arial" w:hAnsiTheme="majorHAnsi" w:cstheme="majorHAnsi"/>
          <w:sz w:val="24"/>
          <w:szCs w:val="24"/>
        </w:rPr>
        <w:t>ing</w:t>
      </w:r>
      <w:r w:rsidR="00A245BF" w:rsidRPr="001612D7">
        <w:rPr>
          <w:rFonts w:asciiTheme="majorHAnsi" w:eastAsia="Arial" w:hAnsiTheme="majorHAnsi" w:cstheme="majorHAnsi"/>
          <w:sz w:val="24"/>
          <w:szCs w:val="24"/>
        </w:rPr>
        <w:t xml:space="preserve"> asylum seekers’ rights to freedom of opinion and expression under Article 19 of the </w:t>
      </w:r>
      <w:r w:rsidR="00A245BF" w:rsidRPr="001612D7">
        <w:rPr>
          <w:rFonts w:asciiTheme="majorHAnsi" w:eastAsia="Arial" w:hAnsiTheme="majorHAnsi" w:cstheme="majorHAnsi"/>
          <w:i/>
          <w:iCs/>
          <w:sz w:val="24"/>
          <w:szCs w:val="24"/>
        </w:rPr>
        <w:t>International Covenant on Civil and Political Rights</w:t>
      </w:r>
      <w:r w:rsidR="00A245BF" w:rsidRPr="001612D7">
        <w:rPr>
          <w:rFonts w:asciiTheme="majorHAnsi" w:eastAsia="Arial" w:hAnsiTheme="majorHAnsi" w:cstheme="majorHAnsi"/>
          <w:sz w:val="24"/>
          <w:szCs w:val="24"/>
        </w:rPr>
        <w:t xml:space="preserve"> (‘the ICCPR’).</w:t>
      </w:r>
      <w:r w:rsidR="008C130D">
        <w:rPr>
          <w:rFonts w:asciiTheme="majorHAnsi" w:eastAsia="Arial" w:hAnsiTheme="majorHAnsi" w:cstheme="majorHAnsi"/>
          <w:sz w:val="24"/>
          <w:szCs w:val="24"/>
        </w:rPr>
        <w:t xml:space="preserve"> The </w:t>
      </w:r>
      <w:hyperlink r:id="rId17" w:history="1">
        <w:r w:rsidR="008C130D" w:rsidRPr="009941DD">
          <w:rPr>
            <w:rStyle w:val="Hyperlink"/>
            <w:rFonts w:asciiTheme="majorHAnsi" w:eastAsia="Arial" w:hAnsiTheme="majorHAnsi" w:cstheme="majorHAnsi"/>
            <w:sz w:val="24"/>
            <w:szCs w:val="24"/>
          </w:rPr>
          <w:t>Statement</w:t>
        </w:r>
      </w:hyperlink>
      <w:r w:rsidR="008C130D">
        <w:rPr>
          <w:rFonts w:asciiTheme="majorHAnsi" w:eastAsia="Arial" w:hAnsiTheme="majorHAnsi" w:cstheme="majorHAnsi"/>
          <w:sz w:val="24"/>
          <w:szCs w:val="24"/>
        </w:rPr>
        <w:t xml:space="preserve"> </w:t>
      </w:r>
      <w:r w:rsidR="00A245BF" w:rsidRPr="001612D7">
        <w:rPr>
          <w:rFonts w:asciiTheme="majorHAnsi" w:eastAsia="Arial" w:hAnsiTheme="majorHAnsi" w:cstheme="majorHAnsi"/>
          <w:sz w:val="24"/>
          <w:szCs w:val="24"/>
        </w:rPr>
        <w:t>found</w:t>
      </w:r>
      <w:r w:rsidR="008C130D">
        <w:rPr>
          <w:rFonts w:asciiTheme="majorHAnsi" w:eastAsia="Arial" w:hAnsiTheme="majorHAnsi" w:cstheme="majorHAnsi"/>
          <w:sz w:val="24"/>
          <w:szCs w:val="24"/>
        </w:rPr>
        <w:t xml:space="preserve">, however, </w:t>
      </w:r>
      <w:r w:rsidR="00A245BF" w:rsidRPr="001612D7">
        <w:rPr>
          <w:rFonts w:asciiTheme="majorHAnsi" w:eastAsia="Arial" w:hAnsiTheme="majorHAnsi" w:cstheme="majorHAnsi"/>
          <w:sz w:val="24"/>
          <w:szCs w:val="24"/>
        </w:rPr>
        <w:t xml:space="preserve">that the restrictions were justified </w:t>
      </w:r>
      <w:r w:rsidR="00A245BF" w:rsidRPr="009D2EBE">
        <w:rPr>
          <w:rFonts w:asciiTheme="majorHAnsi" w:eastAsia="Arial" w:hAnsiTheme="majorHAnsi" w:cstheme="majorHAnsi"/>
          <w:color w:val="FF0000"/>
          <w:sz w:val="24"/>
          <w:szCs w:val="24"/>
        </w:rPr>
        <w:t xml:space="preserve">on the grounds of the ‘express limitation’ </w:t>
      </w:r>
      <w:r w:rsidR="00A245BF" w:rsidRPr="001612D7">
        <w:rPr>
          <w:rFonts w:asciiTheme="majorHAnsi" w:eastAsia="Arial" w:hAnsiTheme="majorHAnsi" w:cstheme="majorHAnsi"/>
          <w:sz w:val="24"/>
          <w:szCs w:val="24"/>
        </w:rPr>
        <w:t xml:space="preserve">in Article 19 </w:t>
      </w:r>
      <w:r w:rsidR="008C130D">
        <w:rPr>
          <w:rFonts w:asciiTheme="majorHAnsi" w:eastAsia="Arial" w:hAnsiTheme="majorHAnsi" w:cstheme="majorHAnsi"/>
          <w:sz w:val="24"/>
          <w:szCs w:val="24"/>
        </w:rPr>
        <w:t xml:space="preserve">of the ICCPR </w:t>
      </w:r>
      <w:r w:rsidR="00A245BF" w:rsidRPr="001612D7">
        <w:rPr>
          <w:rFonts w:asciiTheme="majorHAnsi" w:eastAsia="Arial" w:hAnsiTheme="majorHAnsi" w:cstheme="majorHAnsi"/>
          <w:sz w:val="24"/>
          <w:szCs w:val="24"/>
        </w:rPr>
        <w:t>for the purposes of ‘national security, public order, public safety, public morals and the protection of the human rights of others.’</w:t>
      </w:r>
      <w:r w:rsidR="00A83310">
        <w:rPr>
          <w:rFonts w:asciiTheme="majorHAnsi" w:eastAsia="Arial" w:hAnsiTheme="majorHAnsi" w:cstheme="majorHAnsi"/>
          <w:sz w:val="24"/>
          <w:szCs w:val="24"/>
        </w:rPr>
        <w:t xml:space="preserve"> Although a human rights analysis is beyond the scope of this article, </w:t>
      </w:r>
      <w:r w:rsidR="00CE6079">
        <w:rPr>
          <w:rFonts w:asciiTheme="majorHAnsi" w:eastAsia="Arial" w:hAnsiTheme="majorHAnsi" w:cstheme="majorHAnsi"/>
          <w:sz w:val="24"/>
          <w:szCs w:val="24"/>
        </w:rPr>
        <w:t xml:space="preserve">it is </w:t>
      </w:r>
      <w:r w:rsidR="009941DD">
        <w:rPr>
          <w:rFonts w:asciiTheme="majorHAnsi" w:eastAsia="Arial" w:hAnsiTheme="majorHAnsi" w:cstheme="majorHAnsi"/>
          <w:sz w:val="24"/>
          <w:szCs w:val="24"/>
        </w:rPr>
        <w:t>clear that</w:t>
      </w:r>
      <w:r w:rsidR="00A83310">
        <w:rPr>
          <w:rFonts w:asciiTheme="majorHAnsi" w:eastAsia="Arial" w:hAnsiTheme="majorHAnsi" w:cstheme="majorHAnsi"/>
          <w:sz w:val="24"/>
          <w:szCs w:val="24"/>
        </w:rPr>
        <w:t xml:space="preserve"> the Code’s broad terms and punitive sanctions are </w:t>
      </w:r>
      <w:hyperlink r:id="rId18" w:anchor="c05f6" w:history="1">
        <w:r w:rsidR="00A83310" w:rsidRPr="00CE6079">
          <w:rPr>
            <w:rStyle w:val="Hyperlink"/>
            <w:rFonts w:asciiTheme="majorHAnsi" w:eastAsia="Arial" w:hAnsiTheme="majorHAnsi" w:cstheme="majorHAnsi"/>
            <w:sz w:val="24"/>
            <w:szCs w:val="24"/>
          </w:rPr>
          <w:t>not proportionate</w:t>
        </w:r>
      </w:hyperlink>
      <w:r w:rsidR="00A83310">
        <w:rPr>
          <w:rFonts w:asciiTheme="majorHAnsi" w:eastAsia="Arial" w:hAnsiTheme="majorHAnsi" w:cstheme="majorHAnsi"/>
          <w:sz w:val="24"/>
          <w:szCs w:val="24"/>
        </w:rPr>
        <w:t xml:space="preserve"> to achieving </w:t>
      </w:r>
      <w:r w:rsidR="00CE6079">
        <w:rPr>
          <w:rFonts w:asciiTheme="majorHAnsi" w:eastAsia="Arial" w:hAnsiTheme="majorHAnsi" w:cstheme="majorHAnsi"/>
          <w:sz w:val="24"/>
          <w:szCs w:val="24"/>
        </w:rPr>
        <w:t>its</w:t>
      </w:r>
      <w:r w:rsidR="00A83310">
        <w:rPr>
          <w:rFonts w:asciiTheme="majorHAnsi" w:eastAsia="Arial" w:hAnsiTheme="majorHAnsi" w:cstheme="majorHAnsi"/>
          <w:sz w:val="24"/>
          <w:szCs w:val="24"/>
        </w:rPr>
        <w:t xml:space="preserve"> purposes. In addition, the Government has not demonstrated </w:t>
      </w:r>
      <w:r w:rsidR="00CE6079">
        <w:rPr>
          <w:rFonts w:asciiTheme="majorHAnsi" w:eastAsia="Arial" w:hAnsiTheme="majorHAnsi" w:cstheme="majorHAnsi"/>
          <w:sz w:val="24"/>
          <w:szCs w:val="24"/>
        </w:rPr>
        <w:t>the</w:t>
      </w:r>
      <w:r w:rsidR="00A83310">
        <w:rPr>
          <w:rFonts w:asciiTheme="majorHAnsi" w:eastAsia="Arial" w:hAnsiTheme="majorHAnsi" w:cstheme="majorHAnsi"/>
          <w:sz w:val="24"/>
          <w:szCs w:val="24"/>
        </w:rPr>
        <w:t xml:space="preserve"> need for the Code, given that </w:t>
      </w:r>
      <w:r w:rsidR="009941DD">
        <w:rPr>
          <w:rFonts w:asciiTheme="majorHAnsi" w:eastAsia="Arial" w:hAnsiTheme="majorHAnsi" w:cstheme="majorHAnsi"/>
          <w:sz w:val="24"/>
          <w:szCs w:val="24"/>
        </w:rPr>
        <w:t xml:space="preserve">regardless of its operation, </w:t>
      </w:r>
      <w:r w:rsidR="00A83310">
        <w:rPr>
          <w:rFonts w:asciiTheme="majorHAnsi" w:eastAsia="Arial" w:hAnsiTheme="majorHAnsi" w:cstheme="majorHAnsi"/>
          <w:sz w:val="24"/>
          <w:szCs w:val="24"/>
        </w:rPr>
        <w:t xml:space="preserve">asylum seekers </w:t>
      </w:r>
      <w:r w:rsidR="00CE6079">
        <w:rPr>
          <w:rFonts w:asciiTheme="majorHAnsi" w:eastAsia="Arial" w:hAnsiTheme="majorHAnsi" w:cstheme="majorHAnsi"/>
          <w:sz w:val="24"/>
          <w:szCs w:val="24"/>
        </w:rPr>
        <w:t>must comply with Australian</w:t>
      </w:r>
      <w:r w:rsidR="00A83310">
        <w:rPr>
          <w:rFonts w:asciiTheme="majorHAnsi" w:eastAsia="Arial" w:hAnsiTheme="majorHAnsi" w:cstheme="majorHAnsi"/>
          <w:sz w:val="24"/>
          <w:szCs w:val="24"/>
        </w:rPr>
        <w:t xml:space="preserve"> criminal law</w:t>
      </w:r>
      <w:r w:rsidR="00CE6079">
        <w:rPr>
          <w:rFonts w:asciiTheme="majorHAnsi" w:eastAsia="Arial" w:hAnsiTheme="majorHAnsi" w:cstheme="majorHAnsi"/>
          <w:sz w:val="24"/>
          <w:szCs w:val="24"/>
        </w:rPr>
        <w:t>s</w:t>
      </w:r>
      <w:r w:rsidR="009941DD">
        <w:rPr>
          <w:rFonts w:asciiTheme="majorHAnsi" w:eastAsia="Arial" w:hAnsiTheme="majorHAnsi" w:cstheme="majorHAnsi"/>
          <w:sz w:val="24"/>
          <w:szCs w:val="24"/>
        </w:rPr>
        <w:t>, and were</w:t>
      </w:r>
      <w:r w:rsidR="00CE6079">
        <w:rPr>
          <w:rFonts w:asciiTheme="majorHAnsi" w:eastAsia="Arial" w:hAnsiTheme="majorHAnsi" w:cstheme="majorHAnsi"/>
          <w:sz w:val="24"/>
          <w:szCs w:val="24"/>
        </w:rPr>
        <w:t xml:space="preserve"> already</w:t>
      </w:r>
      <w:r w:rsidR="00A83310">
        <w:rPr>
          <w:rFonts w:asciiTheme="majorHAnsi" w:eastAsia="Arial" w:hAnsiTheme="majorHAnsi" w:cstheme="majorHAnsi"/>
          <w:sz w:val="24"/>
          <w:szCs w:val="24"/>
        </w:rPr>
        <w:t xml:space="preserve"> </w:t>
      </w:r>
      <w:r w:rsidR="009941DD">
        <w:rPr>
          <w:rFonts w:asciiTheme="majorHAnsi" w:eastAsia="Arial" w:hAnsiTheme="majorHAnsi" w:cstheme="majorHAnsi"/>
          <w:sz w:val="24"/>
          <w:szCs w:val="24"/>
        </w:rPr>
        <w:t xml:space="preserve">(and continue to be) </w:t>
      </w:r>
      <w:r w:rsidR="00A83310">
        <w:rPr>
          <w:rFonts w:asciiTheme="majorHAnsi" w:eastAsia="Arial" w:hAnsiTheme="majorHAnsi" w:cstheme="majorHAnsi"/>
          <w:sz w:val="24"/>
          <w:szCs w:val="24"/>
        </w:rPr>
        <w:t xml:space="preserve">subject to </w:t>
      </w:r>
      <w:hyperlink r:id="rId19" w:history="1">
        <w:r w:rsidR="00A83310" w:rsidRPr="00A83310">
          <w:rPr>
            <w:rStyle w:val="Hyperlink"/>
            <w:rFonts w:asciiTheme="majorHAnsi" w:eastAsia="Arial" w:hAnsiTheme="majorHAnsi" w:cstheme="majorHAnsi"/>
            <w:sz w:val="24"/>
            <w:szCs w:val="24"/>
          </w:rPr>
          <w:t>visa cancellation powers</w:t>
        </w:r>
      </w:hyperlink>
      <w:r w:rsidR="00A83310">
        <w:rPr>
          <w:rFonts w:asciiTheme="majorHAnsi" w:eastAsia="Arial" w:hAnsiTheme="majorHAnsi" w:cstheme="majorHAnsi"/>
          <w:sz w:val="24"/>
          <w:szCs w:val="24"/>
        </w:rPr>
        <w:t xml:space="preserve"> </w:t>
      </w:r>
      <w:r w:rsidR="009941DD">
        <w:rPr>
          <w:rFonts w:asciiTheme="majorHAnsi" w:eastAsia="Arial" w:hAnsiTheme="majorHAnsi" w:cstheme="majorHAnsi"/>
          <w:sz w:val="24"/>
          <w:szCs w:val="24"/>
        </w:rPr>
        <w:t>if</w:t>
      </w:r>
      <w:r w:rsidR="00A83310">
        <w:rPr>
          <w:rFonts w:asciiTheme="majorHAnsi" w:eastAsia="Arial" w:hAnsiTheme="majorHAnsi" w:cstheme="majorHAnsi"/>
          <w:sz w:val="24"/>
          <w:szCs w:val="24"/>
        </w:rPr>
        <w:t xml:space="preserve"> they have been charged with or convicted of a criminal offence. </w:t>
      </w:r>
    </w:p>
    <w:p w14:paraId="30AF4D5D" w14:textId="77777777" w:rsidR="00572FEE" w:rsidRDefault="00572FEE" w:rsidP="00572FEE">
      <w:pPr>
        <w:ind w:right="796"/>
        <w:jc w:val="both"/>
        <w:rPr>
          <w:rFonts w:asciiTheme="majorHAnsi" w:eastAsia="Arial" w:hAnsiTheme="majorHAnsi" w:cstheme="majorHAnsi"/>
          <w:b/>
          <w:sz w:val="24"/>
          <w:szCs w:val="24"/>
        </w:rPr>
      </w:pPr>
    </w:p>
    <w:p w14:paraId="5037C0D3" w14:textId="77777777" w:rsidR="00AB582A" w:rsidRPr="009D2EBE" w:rsidRDefault="00AB582A" w:rsidP="00884663">
      <w:pPr>
        <w:ind w:right="796"/>
        <w:jc w:val="both"/>
        <w:rPr>
          <w:rFonts w:asciiTheme="majorHAnsi" w:hAnsiTheme="majorHAnsi" w:cstheme="majorHAnsi"/>
          <w:b/>
          <w:color w:val="000000" w:themeColor="text1"/>
          <w:sz w:val="24"/>
          <w:szCs w:val="24"/>
        </w:rPr>
      </w:pPr>
      <w:r w:rsidRPr="009D2EBE">
        <w:rPr>
          <w:rFonts w:asciiTheme="majorHAnsi" w:eastAsia="Arial" w:hAnsiTheme="majorHAnsi" w:cstheme="majorHAnsi"/>
          <w:b/>
          <w:color w:val="000000" w:themeColor="text1"/>
          <w:sz w:val="24"/>
          <w:szCs w:val="24"/>
        </w:rPr>
        <w:t>Double Jeopar</w:t>
      </w:r>
      <w:r w:rsidR="00055E6B" w:rsidRPr="009D2EBE">
        <w:rPr>
          <w:rFonts w:asciiTheme="majorHAnsi" w:eastAsia="Arial" w:hAnsiTheme="majorHAnsi" w:cstheme="majorHAnsi"/>
          <w:b/>
          <w:color w:val="000000" w:themeColor="text1"/>
          <w:sz w:val="24"/>
          <w:szCs w:val="24"/>
        </w:rPr>
        <w:t>dy</w:t>
      </w:r>
      <w:r w:rsidR="000E1D46" w:rsidRPr="009D2EBE">
        <w:rPr>
          <w:rFonts w:asciiTheme="majorHAnsi" w:eastAsia="Arial" w:hAnsiTheme="majorHAnsi" w:cstheme="majorHAnsi"/>
          <w:b/>
          <w:color w:val="000000" w:themeColor="text1"/>
          <w:sz w:val="24"/>
          <w:szCs w:val="24"/>
        </w:rPr>
        <w:t xml:space="preserve">, </w:t>
      </w:r>
      <w:r w:rsidR="006B2355" w:rsidRPr="009D2EBE">
        <w:rPr>
          <w:rFonts w:asciiTheme="majorHAnsi" w:eastAsia="Arial" w:hAnsiTheme="majorHAnsi" w:cstheme="majorHAnsi"/>
          <w:b/>
          <w:color w:val="000000" w:themeColor="text1"/>
          <w:sz w:val="24"/>
          <w:szCs w:val="24"/>
        </w:rPr>
        <w:t>Enforcement of the Code and Procedural Fairness</w:t>
      </w:r>
    </w:p>
    <w:p w14:paraId="66C50C0D" w14:textId="6D210A37" w:rsidR="00CE6079" w:rsidRDefault="00A245BF" w:rsidP="001B0392">
      <w:pPr>
        <w:ind w:left="567" w:right="796"/>
        <w:jc w:val="both"/>
        <w:rPr>
          <w:rFonts w:asciiTheme="majorHAnsi" w:eastAsia="Arial" w:hAnsiTheme="majorHAnsi" w:cstheme="majorHAnsi"/>
          <w:sz w:val="24"/>
          <w:szCs w:val="24"/>
        </w:rPr>
      </w:pPr>
      <w:r w:rsidRPr="001612D7">
        <w:rPr>
          <w:rFonts w:asciiTheme="majorHAnsi" w:eastAsia="Arial" w:hAnsiTheme="majorHAnsi" w:cstheme="majorHAnsi"/>
          <w:sz w:val="24"/>
          <w:szCs w:val="24"/>
        </w:rPr>
        <w:t>Asylum seekers are already bound by Australian criminal law</w:t>
      </w:r>
      <w:r w:rsidR="00AB582A" w:rsidRPr="001612D7">
        <w:rPr>
          <w:rFonts w:asciiTheme="majorHAnsi" w:eastAsia="Arial" w:hAnsiTheme="majorHAnsi" w:cstheme="majorHAnsi"/>
          <w:sz w:val="24"/>
          <w:szCs w:val="24"/>
        </w:rPr>
        <w:t xml:space="preserve">. </w:t>
      </w:r>
      <w:r w:rsidRPr="001612D7">
        <w:rPr>
          <w:rFonts w:asciiTheme="majorHAnsi" w:eastAsia="Arial" w:hAnsiTheme="majorHAnsi" w:cstheme="majorHAnsi"/>
          <w:sz w:val="24"/>
          <w:szCs w:val="24"/>
        </w:rPr>
        <w:t xml:space="preserve">The practical </w:t>
      </w:r>
      <w:r w:rsidR="00AB582A" w:rsidRPr="001612D7">
        <w:rPr>
          <w:rFonts w:asciiTheme="majorHAnsi" w:eastAsia="Arial" w:hAnsiTheme="majorHAnsi" w:cstheme="majorHAnsi"/>
          <w:sz w:val="24"/>
          <w:szCs w:val="24"/>
        </w:rPr>
        <w:t>effect of the Code is that</w:t>
      </w:r>
      <w:r w:rsidRPr="001612D7">
        <w:rPr>
          <w:rFonts w:asciiTheme="majorHAnsi" w:eastAsia="Arial" w:hAnsiTheme="majorHAnsi" w:cstheme="majorHAnsi"/>
          <w:sz w:val="24"/>
          <w:szCs w:val="24"/>
        </w:rPr>
        <w:t xml:space="preserve"> asylum seekers may be punished for alleged criminal law breaches </w:t>
      </w:r>
      <w:r w:rsidRPr="00963CC0">
        <w:rPr>
          <w:rFonts w:asciiTheme="majorHAnsi" w:eastAsia="Arial" w:hAnsiTheme="majorHAnsi" w:cstheme="majorHAnsi"/>
          <w:iCs/>
          <w:sz w:val="24"/>
          <w:szCs w:val="24"/>
        </w:rPr>
        <w:t>before</w:t>
      </w:r>
      <w:r w:rsidRPr="001612D7">
        <w:rPr>
          <w:rFonts w:asciiTheme="majorHAnsi" w:eastAsia="Arial" w:hAnsiTheme="majorHAnsi" w:cstheme="majorHAnsi"/>
          <w:sz w:val="24"/>
          <w:szCs w:val="24"/>
        </w:rPr>
        <w:t xml:space="preserve"> </w:t>
      </w:r>
      <w:r w:rsidR="008C130D">
        <w:rPr>
          <w:rFonts w:asciiTheme="majorHAnsi" w:eastAsia="Arial" w:hAnsiTheme="majorHAnsi" w:cstheme="majorHAnsi"/>
          <w:sz w:val="24"/>
          <w:szCs w:val="24"/>
        </w:rPr>
        <w:t>being</w:t>
      </w:r>
      <w:r w:rsidRPr="001612D7">
        <w:rPr>
          <w:rFonts w:asciiTheme="majorHAnsi" w:eastAsia="Arial" w:hAnsiTheme="majorHAnsi" w:cstheme="majorHAnsi"/>
          <w:sz w:val="24"/>
          <w:szCs w:val="24"/>
        </w:rPr>
        <w:t xml:space="preserve"> found guilty in an Australian court; breaches </w:t>
      </w:r>
      <w:r w:rsidR="00835821">
        <w:rPr>
          <w:rFonts w:asciiTheme="majorHAnsi" w:eastAsia="Arial" w:hAnsiTheme="majorHAnsi" w:cstheme="majorHAnsi"/>
          <w:sz w:val="24"/>
          <w:szCs w:val="24"/>
        </w:rPr>
        <w:t>are</w:t>
      </w:r>
      <w:r w:rsidR="009C3693" w:rsidRPr="001612D7">
        <w:rPr>
          <w:rFonts w:asciiTheme="majorHAnsi" w:eastAsia="Arial" w:hAnsiTheme="majorHAnsi" w:cstheme="majorHAnsi"/>
          <w:sz w:val="24"/>
          <w:szCs w:val="24"/>
        </w:rPr>
        <w:t xml:space="preserve"> </w:t>
      </w:r>
      <w:r w:rsidRPr="001612D7">
        <w:rPr>
          <w:rFonts w:asciiTheme="majorHAnsi" w:eastAsia="Arial" w:hAnsiTheme="majorHAnsi" w:cstheme="majorHAnsi"/>
          <w:sz w:val="24"/>
          <w:szCs w:val="24"/>
        </w:rPr>
        <w:t xml:space="preserve">adjudicated </w:t>
      </w:r>
      <w:r w:rsidR="009C3693" w:rsidRPr="001612D7">
        <w:rPr>
          <w:rFonts w:asciiTheme="majorHAnsi" w:eastAsia="Arial" w:hAnsiTheme="majorHAnsi" w:cstheme="majorHAnsi"/>
          <w:sz w:val="24"/>
          <w:szCs w:val="24"/>
        </w:rPr>
        <w:t xml:space="preserve">outside </w:t>
      </w:r>
      <w:r w:rsidRPr="001612D7">
        <w:rPr>
          <w:rFonts w:asciiTheme="majorHAnsi" w:eastAsia="Arial" w:hAnsiTheme="majorHAnsi" w:cstheme="majorHAnsi"/>
          <w:sz w:val="24"/>
          <w:szCs w:val="24"/>
        </w:rPr>
        <w:t xml:space="preserve">of the criminal justice system; </w:t>
      </w:r>
      <w:r w:rsidR="0088644C">
        <w:rPr>
          <w:rFonts w:asciiTheme="majorHAnsi" w:eastAsia="Arial" w:hAnsiTheme="majorHAnsi" w:cstheme="majorHAnsi"/>
          <w:sz w:val="24"/>
          <w:szCs w:val="24"/>
        </w:rPr>
        <w:t xml:space="preserve">and asylum seekers may be subjected to double punishment </w:t>
      </w:r>
      <w:r w:rsidR="008C130D">
        <w:rPr>
          <w:rFonts w:asciiTheme="majorHAnsi" w:eastAsia="Arial" w:hAnsiTheme="majorHAnsi" w:cstheme="majorHAnsi"/>
          <w:sz w:val="24"/>
          <w:szCs w:val="24"/>
        </w:rPr>
        <w:t>by the Department</w:t>
      </w:r>
      <w:r w:rsidR="0088644C">
        <w:rPr>
          <w:rFonts w:asciiTheme="majorHAnsi" w:eastAsia="Arial" w:hAnsiTheme="majorHAnsi" w:cstheme="majorHAnsi"/>
          <w:sz w:val="24"/>
          <w:szCs w:val="24"/>
        </w:rPr>
        <w:t xml:space="preserve"> and the </w:t>
      </w:r>
      <w:r w:rsidR="008C130D">
        <w:rPr>
          <w:rFonts w:asciiTheme="majorHAnsi" w:eastAsia="Arial" w:hAnsiTheme="majorHAnsi" w:cstheme="majorHAnsi"/>
          <w:sz w:val="24"/>
          <w:szCs w:val="24"/>
        </w:rPr>
        <w:t>sentencing court</w:t>
      </w:r>
      <w:r w:rsidR="0088644C">
        <w:rPr>
          <w:rFonts w:asciiTheme="majorHAnsi" w:eastAsia="Arial" w:hAnsiTheme="majorHAnsi" w:cstheme="majorHAnsi"/>
          <w:sz w:val="24"/>
          <w:szCs w:val="24"/>
        </w:rPr>
        <w:t>. I</w:t>
      </w:r>
      <w:r w:rsidRPr="001612D7">
        <w:rPr>
          <w:rFonts w:asciiTheme="majorHAnsi" w:eastAsia="Arial" w:hAnsiTheme="majorHAnsi" w:cstheme="majorHAnsi"/>
          <w:sz w:val="24"/>
          <w:szCs w:val="24"/>
        </w:rPr>
        <w:t xml:space="preserve">t </w:t>
      </w:r>
      <w:r w:rsidR="000E1D46" w:rsidRPr="001612D7">
        <w:rPr>
          <w:rFonts w:asciiTheme="majorHAnsi" w:eastAsia="Arial" w:hAnsiTheme="majorHAnsi" w:cstheme="majorHAnsi"/>
          <w:sz w:val="24"/>
          <w:szCs w:val="24"/>
        </w:rPr>
        <w:t xml:space="preserve">remains </w:t>
      </w:r>
      <w:r w:rsidRPr="001612D7">
        <w:rPr>
          <w:rFonts w:asciiTheme="majorHAnsi" w:eastAsia="Arial" w:hAnsiTheme="majorHAnsi" w:cstheme="majorHAnsi"/>
          <w:sz w:val="24"/>
          <w:szCs w:val="24"/>
        </w:rPr>
        <w:t xml:space="preserve">unclear </w:t>
      </w:r>
      <w:r w:rsidR="0088644C">
        <w:rPr>
          <w:rFonts w:asciiTheme="majorHAnsi" w:eastAsia="Arial" w:hAnsiTheme="majorHAnsi" w:cstheme="majorHAnsi"/>
          <w:sz w:val="24"/>
          <w:szCs w:val="24"/>
        </w:rPr>
        <w:t>what effect the Department’s finding that an</w:t>
      </w:r>
      <w:r w:rsidRPr="001612D7">
        <w:rPr>
          <w:rFonts w:asciiTheme="majorHAnsi" w:eastAsia="Arial" w:hAnsiTheme="majorHAnsi" w:cstheme="majorHAnsi"/>
          <w:sz w:val="24"/>
          <w:szCs w:val="24"/>
        </w:rPr>
        <w:t xml:space="preserve"> asylum seeker</w:t>
      </w:r>
      <w:r w:rsidR="0088644C">
        <w:rPr>
          <w:rFonts w:asciiTheme="majorHAnsi" w:eastAsia="Arial" w:hAnsiTheme="majorHAnsi" w:cstheme="majorHAnsi"/>
          <w:sz w:val="24"/>
          <w:szCs w:val="24"/>
        </w:rPr>
        <w:t xml:space="preserve"> has </w:t>
      </w:r>
      <w:r w:rsidRPr="001612D7">
        <w:rPr>
          <w:rFonts w:asciiTheme="majorHAnsi" w:eastAsia="Arial" w:hAnsiTheme="majorHAnsi" w:cstheme="majorHAnsi"/>
          <w:sz w:val="24"/>
          <w:szCs w:val="24"/>
        </w:rPr>
        <w:t>breac</w:t>
      </w:r>
      <w:r w:rsidR="0088644C">
        <w:rPr>
          <w:rFonts w:asciiTheme="majorHAnsi" w:eastAsia="Arial" w:hAnsiTheme="majorHAnsi" w:cstheme="majorHAnsi"/>
          <w:sz w:val="24"/>
          <w:szCs w:val="24"/>
        </w:rPr>
        <w:t xml:space="preserve">hed </w:t>
      </w:r>
      <w:r w:rsidRPr="001612D7">
        <w:rPr>
          <w:rFonts w:asciiTheme="majorHAnsi" w:eastAsia="Arial" w:hAnsiTheme="majorHAnsi" w:cstheme="majorHAnsi"/>
          <w:sz w:val="24"/>
          <w:szCs w:val="24"/>
        </w:rPr>
        <w:t xml:space="preserve">the Code </w:t>
      </w:r>
      <w:r w:rsidR="0088644C">
        <w:rPr>
          <w:rFonts w:asciiTheme="majorHAnsi" w:eastAsia="Arial" w:hAnsiTheme="majorHAnsi" w:cstheme="majorHAnsi"/>
          <w:sz w:val="24"/>
          <w:szCs w:val="24"/>
        </w:rPr>
        <w:t>may</w:t>
      </w:r>
      <w:r w:rsidR="0088644C" w:rsidRPr="001612D7">
        <w:rPr>
          <w:rFonts w:asciiTheme="majorHAnsi" w:eastAsia="Arial" w:hAnsiTheme="majorHAnsi" w:cstheme="majorHAnsi"/>
          <w:sz w:val="24"/>
          <w:szCs w:val="24"/>
        </w:rPr>
        <w:t xml:space="preserve"> </w:t>
      </w:r>
      <w:r w:rsidR="0088644C">
        <w:rPr>
          <w:rFonts w:asciiTheme="majorHAnsi" w:eastAsia="Arial" w:hAnsiTheme="majorHAnsi" w:cstheme="majorHAnsi"/>
          <w:sz w:val="24"/>
          <w:szCs w:val="24"/>
        </w:rPr>
        <w:t>have on any</w:t>
      </w:r>
      <w:r w:rsidR="0088644C" w:rsidRPr="001612D7">
        <w:rPr>
          <w:rFonts w:asciiTheme="majorHAnsi" w:eastAsia="Arial" w:hAnsiTheme="majorHAnsi" w:cstheme="majorHAnsi"/>
          <w:sz w:val="24"/>
          <w:szCs w:val="24"/>
        </w:rPr>
        <w:t xml:space="preserve"> </w:t>
      </w:r>
      <w:r w:rsidRPr="001612D7">
        <w:rPr>
          <w:rFonts w:asciiTheme="majorHAnsi" w:eastAsia="Arial" w:hAnsiTheme="majorHAnsi" w:cstheme="majorHAnsi"/>
          <w:sz w:val="24"/>
          <w:szCs w:val="24"/>
        </w:rPr>
        <w:t>related criminal proceedings</w:t>
      </w:r>
      <w:r w:rsidR="008C130D">
        <w:rPr>
          <w:rFonts w:asciiTheme="majorHAnsi" w:eastAsia="Arial" w:hAnsiTheme="majorHAnsi" w:cstheme="majorHAnsi"/>
          <w:sz w:val="24"/>
          <w:szCs w:val="24"/>
        </w:rPr>
        <w:t>.</w:t>
      </w:r>
      <w:r w:rsidR="00CE6079">
        <w:rPr>
          <w:rFonts w:asciiTheme="majorHAnsi" w:eastAsia="Arial" w:hAnsiTheme="majorHAnsi" w:cstheme="majorHAnsi"/>
          <w:sz w:val="24"/>
          <w:szCs w:val="24"/>
        </w:rPr>
        <w:t xml:space="preserve"> </w:t>
      </w:r>
      <w:r w:rsidR="00CE6079" w:rsidRPr="00CE6079">
        <w:rPr>
          <w:rFonts w:asciiTheme="majorHAnsi" w:eastAsia="Arial" w:hAnsiTheme="majorHAnsi" w:cstheme="majorHAnsi"/>
          <w:sz w:val="24"/>
          <w:szCs w:val="24"/>
        </w:rPr>
        <w:t xml:space="preserve"> </w:t>
      </w:r>
    </w:p>
    <w:p w14:paraId="5BACD47D" w14:textId="77777777" w:rsidR="00CE6079" w:rsidRDefault="00CE6079" w:rsidP="001B0392">
      <w:pPr>
        <w:ind w:left="567" w:right="796"/>
        <w:jc w:val="both"/>
        <w:rPr>
          <w:rFonts w:asciiTheme="majorHAnsi" w:eastAsia="Arial" w:hAnsiTheme="majorHAnsi" w:cstheme="majorHAnsi"/>
          <w:sz w:val="24"/>
          <w:szCs w:val="24"/>
        </w:rPr>
      </w:pPr>
    </w:p>
    <w:p w14:paraId="05ED48E8" w14:textId="28DAF5D9" w:rsidR="000E1D46" w:rsidRPr="001612D7" w:rsidRDefault="00CE6079" w:rsidP="001B0392">
      <w:pPr>
        <w:ind w:left="567" w:right="796"/>
        <w:jc w:val="both"/>
        <w:rPr>
          <w:rFonts w:asciiTheme="majorHAnsi" w:eastAsia="Arial" w:hAnsiTheme="majorHAnsi" w:cstheme="majorHAnsi"/>
          <w:sz w:val="24"/>
          <w:szCs w:val="24"/>
        </w:rPr>
      </w:pPr>
      <w:r>
        <w:rPr>
          <w:rFonts w:asciiTheme="majorHAnsi" w:eastAsia="Arial" w:hAnsiTheme="majorHAnsi" w:cstheme="majorHAnsi"/>
          <w:sz w:val="24"/>
          <w:szCs w:val="24"/>
        </w:rPr>
        <w:t>Unfortunately, Departmental</w:t>
      </w:r>
      <w:r w:rsidRPr="001612D7">
        <w:rPr>
          <w:rFonts w:asciiTheme="majorHAnsi" w:eastAsia="Arial" w:hAnsiTheme="majorHAnsi" w:cstheme="majorHAnsi"/>
          <w:sz w:val="24"/>
          <w:szCs w:val="24"/>
        </w:rPr>
        <w:t xml:space="preserve"> processes for adjudicating and punishing breaches are </w:t>
      </w:r>
      <w:r>
        <w:rPr>
          <w:rFonts w:asciiTheme="majorHAnsi" w:eastAsia="Arial" w:hAnsiTheme="majorHAnsi" w:cstheme="majorHAnsi"/>
          <w:sz w:val="24"/>
          <w:szCs w:val="24"/>
        </w:rPr>
        <w:t xml:space="preserve">not included as part of the Code. In addition, the details of allegations, decisions and outcomes for </w:t>
      </w:r>
      <w:r>
        <w:rPr>
          <w:rFonts w:asciiTheme="majorHAnsi" w:eastAsia="Arial" w:hAnsiTheme="majorHAnsi" w:cstheme="majorHAnsi"/>
          <w:sz w:val="24"/>
          <w:szCs w:val="24"/>
        </w:rPr>
        <w:lastRenderedPageBreak/>
        <w:t>specific breaches to date are not publicly available. This means that we can only speculate on how the Code may be operating with what little information is</w:t>
      </w:r>
      <w:r w:rsidR="009D2EBE">
        <w:rPr>
          <w:rFonts w:asciiTheme="majorHAnsi" w:eastAsia="Arial" w:hAnsiTheme="majorHAnsi" w:cstheme="majorHAnsi"/>
          <w:sz w:val="24"/>
          <w:szCs w:val="24"/>
        </w:rPr>
        <w:t xml:space="preserve"> available</w:t>
      </w:r>
      <w:r>
        <w:rPr>
          <w:rFonts w:asciiTheme="majorHAnsi" w:eastAsia="Arial" w:hAnsiTheme="majorHAnsi" w:cstheme="majorHAnsi"/>
          <w:sz w:val="24"/>
          <w:szCs w:val="24"/>
        </w:rPr>
        <w:t xml:space="preserve"> in the public domain. </w:t>
      </w:r>
    </w:p>
    <w:p w14:paraId="7B128F1F" w14:textId="77777777" w:rsidR="00622AB2" w:rsidRDefault="00622AB2" w:rsidP="00E07941">
      <w:pPr>
        <w:ind w:right="796"/>
        <w:jc w:val="both"/>
        <w:rPr>
          <w:rFonts w:asciiTheme="majorHAnsi" w:eastAsia="Arial" w:hAnsiTheme="majorHAnsi" w:cstheme="majorHAnsi"/>
          <w:sz w:val="24"/>
          <w:szCs w:val="24"/>
        </w:rPr>
      </w:pPr>
    </w:p>
    <w:p w14:paraId="120983DD" w14:textId="25232C0F" w:rsidR="00A245BF" w:rsidRPr="001612D7" w:rsidRDefault="00622AB2" w:rsidP="00CE6079">
      <w:pPr>
        <w:ind w:left="567" w:right="796"/>
        <w:jc w:val="both"/>
        <w:rPr>
          <w:rFonts w:asciiTheme="majorHAnsi" w:hAnsiTheme="majorHAnsi" w:cstheme="majorHAnsi"/>
          <w:sz w:val="24"/>
          <w:szCs w:val="24"/>
        </w:rPr>
      </w:pPr>
      <w:r w:rsidRPr="009D2EBE">
        <w:rPr>
          <w:rFonts w:asciiTheme="majorHAnsi" w:eastAsia="Arial" w:hAnsiTheme="majorHAnsi" w:cstheme="majorHAnsi"/>
          <w:color w:val="000000" w:themeColor="text1"/>
          <w:sz w:val="24"/>
          <w:szCs w:val="24"/>
        </w:rPr>
        <w:t xml:space="preserve">The Code is </w:t>
      </w:r>
      <w:r w:rsidR="00BD298A" w:rsidRPr="009D2EBE">
        <w:rPr>
          <w:rFonts w:asciiTheme="majorHAnsi" w:eastAsia="Arial" w:hAnsiTheme="majorHAnsi" w:cstheme="majorHAnsi"/>
          <w:color w:val="000000" w:themeColor="text1"/>
          <w:sz w:val="24"/>
          <w:szCs w:val="24"/>
        </w:rPr>
        <w:t>silent on</w:t>
      </w:r>
      <w:r w:rsidR="00DA7AA0" w:rsidRPr="009D2EBE">
        <w:rPr>
          <w:rFonts w:asciiTheme="majorHAnsi" w:eastAsia="Arial" w:hAnsiTheme="majorHAnsi" w:cstheme="majorHAnsi"/>
          <w:color w:val="000000" w:themeColor="text1"/>
          <w:sz w:val="24"/>
          <w:szCs w:val="24"/>
        </w:rPr>
        <w:t xml:space="preserve"> whether decision-makers will apply</w:t>
      </w:r>
      <w:r w:rsidR="00BD298A" w:rsidRPr="009D2EBE">
        <w:rPr>
          <w:rFonts w:asciiTheme="majorHAnsi" w:eastAsia="Arial" w:hAnsiTheme="majorHAnsi" w:cstheme="majorHAnsi"/>
          <w:color w:val="000000" w:themeColor="text1"/>
          <w:sz w:val="24"/>
          <w:szCs w:val="24"/>
        </w:rPr>
        <w:t xml:space="preserve"> the general</w:t>
      </w:r>
      <w:r w:rsidR="00A245BF" w:rsidRPr="009D2EBE">
        <w:rPr>
          <w:rFonts w:asciiTheme="majorHAnsi" w:eastAsia="Arial" w:hAnsiTheme="majorHAnsi" w:cstheme="majorHAnsi"/>
          <w:color w:val="000000" w:themeColor="text1"/>
          <w:sz w:val="24"/>
          <w:szCs w:val="24"/>
        </w:rPr>
        <w:t xml:space="preserve"> </w:t>
      </w:r>
      <w:r w:rsidR="00CE6079" w:rsidRPr="009D2EBE">
        <w:rPr>
          <w:rFonts w:asciiTheme="majorHAnsi" w:eastAsia="Arial" w:hAnsiTheme="majorHAnsi" w:cstheme="majorHAnsi"/>
          <w:color w:val="000000" w:themeColor="text1"/>
          <w:sz w:val="24"/>
          <w:szCs w:val="24"/>
        </w:rPr>
        <w:t xml:space="preserve">criminal law </w:t>
      </w:r>
      <w:hyperlink r:id="rId20" w:history="1">
        <w:r w:rsidR="00CE6079" w:rsidRPr="000A19A4">
          <w:rPr>
            <w:rStyle w:val="Hyperlink"/>
            <w:rFonts w:asciiTheme="majorHAnsi" w:eastAsia="Arial" w:hAnsiTheme="majorHAnsi" w:cstheme="majorHAnsi"/>
            <w:color w:val="4472C4" w:themeColor="accent1"/>
            <w:sz w:val="24"/>
            <w:szCs w:val="24"/>
          </w:rPr>
          <w:t>principle</w:t>
        </w:r>
      </w:hyperlink>
      <w:r w:rsidR="00CE6079" w:rsidRPr="000A19A4">
        <w:rPr>
          <w:rFonts w:asciiTheme="majorHAnsi" w:eastAsia="Arial" w:hAnsiTheme="majorHAnsi" w:cstheme="majorHAnsi"/>
          <w:color w:val="4472C4" w:themeColor="accent1"/>
          <w:sz w:val="24"/>
          <w:szCs w:val="24"/>
        </w:rPr>
        <w:t xml:space="preserve"> </w:t>
      </w:r>
      <w:r w:rsidR="000A19A4">
        <w:rPr>
          <w:rFonts w:asciiTheme="majorHAnsi" w:eastAsia="Arial" w:hAnsiTheme="majorHAnsi" w:cstheme="majorHAnsi"/>
          <w:color w:val="000000" w:themeColor="text1"/>
          <w:sz w:val="24"/>
          <w:szCs w:val="24"/>
        </w:rPr>
        <w:t>that</w:t>
      </w:r>
      <w:r w:rsidR="00CE6079" w:rsidRPr="009D2EBE">
        <w:rPr>
          <w:rFonts w:asciiTheme="majorHAnsi" w:eastAsia="Arial" w:hAnsiTheme="majorHAnsi" w:cstheme="majorHAnsi"/>
          <w:color w:val="000000" w:themeColor="text1"/>
          <w:sz w:val="24"/>
          <w:szCs w:val="24"/>
        </w:rPr>
        <w:t xml:space="preserve"> ‘liability should be imposed only on persons who are sufficiently aware of what they are doing, and of the consequences it may have’. While the Code’s introductory sentence states that it ‘contains a list of </w:t>
      </w:r>
      <w:r w:rsidR="00CE6079" w:rsidRPr="009D2EBE">
        <w:rPr>
          <w:rFonts w:asciiTheme="majorHAnsi" w:eastAsia="Arial" w:hAnsiTheme="majorHAnsi" w:cstheme="majorHAnsi"/>
          <w:i/>
          <w:color w:val="000000" w:themeColor="text1"/>
          <w:sz w:val="24"/>
          <w:szCs w:val="24"/>
        </w:rPr>
        <w:t>expectations</w:t>
      </w:r>
      <w:r w:rsidR="00CE6079" w:rsidRPr="009D2EBE">
        <w:rPr>
          <w:rFonts w:asciiTheme="majorHAnsi" w:eastAsia="Arial" w:hAnsiTheme="majorHAnsi" w:cstheme="majorHAnsi"/>
          <w:color w:val="000000" w:themeColor="text1"/>
          <w:sz w:val="24"/>
          <w:szCs w:val="24"/>
        </w:rPr>
        <w:t xml:space="preserve">’ rather than criminal offences, the seriousness of its sanctions – including visa cancellation, and sending ‘offenders’ to offshore detention centres – means that asylum seekers </w:t>
      </w:r>
      <w:r w:rsidR="000A19A4">
        <w:rPr>
          <w:rFonts w:asciiTheme="majorHAnsi" w:eastAsia="Arial" w:hAnsiTheme="majorHAnsi" w:cstheme="majorHAnsi"/>
          <w:color w:val="000000" w:themeColor="text1"/>
          <w:sz w:val="24"/>
          <w:szCs w:val="24"/>
        </w:rPr>
        <w:t xml:space="preserve">can </w:t>
      </w:r>
      <w:r w:rsidR="00CE6079" w:rsidRPr="009D2EBE">
        <w:rPr>
          <w:rFonts w:asciiTheme="majorHAnsi" w:eastAsia="Arial" w:hAnsiTheme="majorHAnsi" w:cstheme="majorHAnsi"/>
          <w:color w:val="000000" w:themeColor="text1"/>
          <w:sz w:val="24"/>
          <w:szCs w:val="24"/>
        </w:rPr>
        <w:t>be punished for unintended breaches of the Code’s provisions</w:t>
      </w:r>
      <w:r w:rsidR="00CE6079" w:rsidRPr="00CE6079">
        <w:rPr>
          <w:rFonts w:asciiTheme="majorHAnsi" w:eastAsia="Arial" w:hAnsiTheme="majorHAnsi" w:cstheme="majorHAnsi"/>
          <w:color w:val="FF0000"/>
          <w:sz w:val="24"/>
          <w:szCs w:val="24"/>
        </w:rPr>
        <w:t>.</w:t>
      </w:r>
      <w:r w:rsidR="00CE6079">
        <w:rPr>
          <w:rFonts w:asciiTheme="majorHAnsi" w:eastAsia="Arial" w:hAnsiTheme="majorHAnsi" w:cstheme="majorHAnsi"/>
          <w:color w:val="FF0000"/>
          <w:sz w:val="24"/>
          <w:szCs w:val="24"/>
        </w:rPr>
        <w:t xml:space="preserve"> </w:t>
      </w:r>
    </w:p>
    <w:p w14:paraId="62950629" w14:textId="553F1537" w:rsidR="00DA7AA0" w:rsidRDefault="00DA7AA0" w:rsidP="000A19A4">
      <w:pPr>
        <w:ind w:right="796"/>
        <w:jc w:val="both"/>
        <w:rPr>
          <w:rFonts w:asciiTheme="majorHAnsi" w:eastAsia="Arial" w:hAnsiTheme="majorHAnsi" w:cstheme="majorHAnsi"/>
          <w:sz w:val="24"/>
          <w:szCs w:val="24"/>
        </w:rPr>
      </w:pPr>
    </w:p>
    <w:p w14:paraId="0A1A4E61" w14:textId="4CB72987" w:rsidR="00A245BF" w:rsidRPr="001612D7" w:rsidRDefault="00A245BF" w:rsidP="00D472CF">
      <w:pPr>
        <w:ind w:left="567" w:right="796"/>
        <w:jc w:val="both"/>
        <w:rPr>
          <w:rFonts w:asciiTheme="majorHAnsi" w:hAnsiTheme="majorHAnsi" w:cstheme="majorHAnsi"/>
          <w:sz w:val="24"/>
          <w:szCs w:val="24"/>
        </w:rPr>
      </w:pPr>
      <w:r w:rsidRPr="001612D7">
        <w:rPr>
          <w:rFonts w:asciiTheme="majorHAnsi" w:eastAsia="Arial" w:hAnsiTheme="majorHAnsi" w:cstheme="majorHAnsi"/>
          <w:sz w:val="24"/>
          <w:szCs w:val="24"/>
        </w:rPr>
        <w:t xml:space="preserve">Through </w:t>
      </w:r>
      <w:r w:rsidR="00BA3993" w:rsidRPr="001612D7">
        <w:rPr>
          <w:rFonts w:asciiTheme="majorHAnsi" w:eastAsia="Arial" w:hAnsiTheme="majorHAnsi" w:cstheme="majorHAnsi"/>
          <w:sz w:val="24"/>
          <w:szCs w:val="24"/>
        </w:rPr>
        <w:t>an</w:t>
      </w:r>
      <w:r w:rsidRPr="001612D7">
        <w:rPr>
          <w:rFonts w:asciiTheme="majorHAnsi" w:eastAsia="Arial" w:hAnsiTheme="majorHAnsi" w:cstheme="majorHAnsi"/>
          <w:sz w:val="24"/>
          <w:szCs w:val="24"/>
        </w:rPr>
        <w:t xml:space="preserve"> FOI </w:t>
      </w:r>
      <w:hyperlink r:id="rId21" w:history="1">
        <w:r w:rsidRPr="00CE6079">
          <w:rPr>
            <w:rStyle w:val="Hyperlink"/>
            <w:rFonts w:asciiTheme="majorHAnsi" w:eastAsia="Arial" w:hAnsiTheme="majorHAnsi" w:cstheme="majorHAnsi"/>
            <w:sz w:val="24"/>
            <w:szCs w:val="24"/>
          </w:rPr>
          <w:t>request</w:t>
        </w:r>
      </w:hyperlink>
      <w:r w:rsidRPr="001612D7">
        <w:rPr>
          <w:rFonts w:asciiTheme="majorHAnsi" w:eastAsia="Arial" w:hAnsiTheme="majorHAnsi" w:cstheme="majorHAnsi"/>
          <w:sz w:val="24"/>
          <w:szCs w:val="24"/>
        </w:rPr>
        <w:t>, the</w:t>
      </w:r>
      <w:r w:rsidR="003205EE">
        <w:rPr>
          <w:rFonts w:asciiTheme="majorHAnsi" w:eastAsia="Arial" w:hAnsiTheme="majorHAnsi" w:cstheme="majorHAnsi"/>
          <w:sz w:val="24"/>
          <w:szCs w:val="24"/>
        </w:rPr>
        <w:t xml:space="preserve"> then</w:t>
      </w:r>
      <w:r w:rsidRPr="001612D7">
        <w:rPr>
          <w:rFonts w:asciiTheme="majorHAnsi" w:eastAsia="Arial" w:hAnsiTheme="majorHAnsi" w:cstheme="majorHAnsi"/>
          <w:sz w:val="24"/>
          <w:szCs w:val="24"/>
        </w:rPr>
        <w:t xml:space="preserve"> </w:t>
      </w:r>
      <w:r w:rsidR="00BA3993" w:rsidRPr="001612D7">
        <w:rPr>
          <w:rFonts w:asciiTheme="majorHAnsi" w:eastAsia="Arial" w:hAnsiTheme="majorHAnsi" w:cstheme="majorHAnsi"/>
          <w:sz w:val="24"/>
          <w:szCs w:val="24"/>
        </w:rPr>
        <w:t xml:space="preserve">Department </w:t>
      </w:r>
      <w:r w:rsidR="003205EE">
        <w:rPr>
          <w:rFonts w:asciiTheme="majorHAnsi" w:eastAsia="Arial" w:hAnsiTheme="majorHAnsi" w:cstheme="majorHAnsi"/>
          <w:sz w:val="24"/>
          <w:szCs w:val="24"/>
        </w:rPr>
        <w:t>of Immigration and Border Protection</w:t>
      </w:r>
      <w:r w:rsidR="00BA3993" w:rsidRPr="001612D7">
        <w:rPr>
          <w:rFonts w:asciiTheme="majorHAnsi" w:eastAsia="Arial" w:hAnsiTheme="majorHAnsi" w:cstheme="majorHAnsi"/>
          <w:sz w:val="24"/>
          <w:szCs w:val="24"/>
        </w:rPr>
        <w:t xml:space="preserve"> </w:t>
      </w:r>
      <w:r w:rsidRPr="001612D7">
        <w:rPr>
          <w:rFonts w:asciiTheme="majorHAnsi" w:eastAsia="Arial" w:hAnsiTheme="majorHAnsi" w:cstheme="majorHAnsi"/>
          <w:sz w:val="24"/>
          <w:szCs w:val="24"/>
        </w:rPr>
        <w:t xml:space="preserve">informed us that it expects to receive allegations through ‘a range of sources’. These sources include ‘members of the public’, ‘service providers’, ‘police services’, and ‘other government agencies’. Thus, by signing the Code, asylum seekers become the recipients of an intrusive, omnipresent gaze of community organisations, law enforcement, Department officials and the general Australian community. </w:t>
      </w:r>
      <w:r w:rsidR="003205EE">
        <w:rPr>
          <w:rFonts w:asciiTheme="majorHAnsi" w:eastAsia="Arial" w:hAnsiTheme="majorHAnsi" w:cstheme="majorHAnsi"/>
          <w:sz w:val="24"/>
          <w:szCs w:val="24"/>
        </w:rPr>
        <w:t>As a result,</w:t>
      </w:r>
      <w:r w:rsidR="003205EE" w:rsidRPr="001612D7">
        <w:rPr>
          <w:rFonts w:asciiTheme="majorHAnsi" w:eastAsia="Arial" w:hAnsiTheme="majorHAnsi" w:cstheme="majorHAnsi"/>
          <w:sz w:val="24"/>
          <w:szCs w:val="24"/>
        </w:rPr>
        <w:t xml:space="preserve"> </w:t>
      </w:r>
      <w:r w:rsidRPr="001612D7">
        <w:rPr>
          <w:rFonts w:asciiTheme="majorHAnsi" w:eastAsia="Arial" w:hAnsiTheme="majorHAnsi" w:cstheme="majorHAnsi"/>
          <w:sz w:val="24"/>
          <w:szCs w:val="24"/>
        </w:rPr>
        <w:t xml:space="preserve">anyone can </w:t>
      </w:r>
      <w:r w:rsidR="003205EE">
        <w:rPr>
          <w:rFonts w:asciiTheme="majorHAnsi" w:eastAsia="Arial" w:hAnsiTheme="majorHAnsi" w:cstheme="majorHAnsi"/>
          <w:sz w:val="24"/>
          <w:szCs w:val="24"/>
        </w:rPr>
        <w:t>‘dob in’</w:t>
      </w:r>
      <w:r w:rsidR="003205EE" w:rsidRPr="001612D7">
        <w:rPr>
          <w:rFonts w:asciiTheme="majorHAnsi" w:eastAsia="Arial" w:hAnsiTheme="majorHAnsi" w:cstheme="majorHAnsi"/>
          <w:sz w:val="24"/>
          <w:szCs w:val="24"/>
        </w:rPr>
        <w:t xml:space="preserve"> </w:t>
      </w:r>
      <w:r w:rsidR="003205EE">
        <w:rPr>
          <w:rFonts w:asciiTheme="majorHAnsi" w:eastAsia="Arial" w:hAnsiTheme="majorHAnsi" w:cstheme="majorHAnsi"/>
          <w:sz w:val="24"/>
          <w:szCs w:val="24"/>
        </w:rPr>
        <w:t>an</w:t>
      </w:r>
      <w:r w:rsidR="003205EE" w:rsidRPr="001612D7">
        <w:rPr>
          <w:rFonts w:asciiTheme="majorHAnsi" w:eastAsia="Arial" w:hAnsiTheme="majorHAnsi" w:cstheme="majorHAnsi"/>
          <w:sz w:val="24"/>
          <w:szCs w:val="24"/>
        </w:rPr>
        <w:t xml:space="preserve"> </w:t>
      </w:r>
      <w:r w:rsidRPr="001612D7">
        <w:rPr>
          <w:rFonts w:asciiTheme="majorHAnsi" w:eastAsia="Arial" w:hAnsiTheme="majorHAnsi" w:cstheme="majorHAnsi"/>
          <w:sz w:val="24"/>
          <w:szCs w:val="24"/>
        </w:rPr>
        <w:t xml:space="preserve">asylum seeker if, for example, they spot them uttering the occasional </w:t>
      </w:r>
      <w:r w:rsidR="00CF6EED" w:rsidRPr="001612D7">
        <w:rPr>
          <w:rFonts w:asciiTheme="majorHAnsi" w:eastAsia="Arial" w:hAnsiTheme="majorHAnsi" w:cstheme="majorHAnsi"/>
          <w:sz w:val="24"/>
          <w:szCs w:val="24"/>
        </w:rPr>
        <w:t xml:space="preserve">swearword </w:t>
      </w:r>
      <w:r w:rsidRPr="001612D7">
        <w:rPr>
          <w:rFonts w:asciiTheme="majorHAnsi" w:eastAsia="Arial" w:hAnsiTheme="majorHAnsi" w:cstheme="majorHAnsi"/>
          <w:sz w:val="24"/>
          <w:szCs w:val="24"/>
        </w:rPr>
        <w:t xml:space="preserve">or allegedly breaching Australian law. </w:t>
      </w:r>
      <w:r w:rsidR="003205EE">
        <w:rPr>
          <w:rFonts w:asciiTheme="majorHAnsi" w:eastAsia="Arial" w:hAnsiTheme="majorHAnsi" w:cstheme="majorHAnsi"/>
          <w:sz w:val="24"/>
          <w:szCs w:val="24"/>
        </w:rPr>
        <w:t>This</w:t>
      </w:r>
      <w:r w:rsidRPr="001612D7">
        <w:rPr>
          <w:rFonts w:asciiTheme="majorHAnsi" w:eastAsia="Arial" w:hAnsiTheme="majorHAnsi" w:cstheme="majorHAnsi"/>
          <w:sz w:val="24"/>
          <w:szCs w:val="24"/>
        </w:rPr>
        <w:t xml:space="preserve"> renders asylum seekers subject to the constant surveillance, discipline and control of Australian citizens</w:t>
      </w:r>
      <w:r w:rsidR="00C47D99">
        <w:rPr>
          <w:rFonts w:asciiTheme="majorHAnsi" w:eastAsia="Arial" w:hAnsiTheme="majorHAnsi" w:cstheme="majorHAnsi"/>
          <w:sz w:val="24"/>
          <w:szCs w:val="24"/>
        </w:rPr>
        <w:t>, service providers, their peers</w:t>
      </w:r>
      <w:r w:rsidRPr="001612D7">
        <w:rPr>
          <w:rFonts w:asciiTheme="majorHAnsi" w:eastAsia="Arial" w:hAnsiTheme="majorHAnsi" w:cstheme="majorHAnsi"/>
          <w:sz w:val="24"/>
          <w:szCs w:val="24"/>
        </w:rPr>
        <w:t xml:space="preserve"> and the State.</w:t>
      </w:r>
    </w:p>
    <w:p w14:paraId="2E3D9FE7" w14:textId="77777777" w:rsidR="00217009" w:rsidRPr="001612D7" w:rsidRDefault="00217009" w:rsidP="00F66EE8">
      <w:pPr>
        <w:ind w:left="567" w:right="796"/>
        <w:jc w:val="both"/>
        <w:rPr>
          <w:rFonts w:asciiTheme="majorHAnsi" w:eastAsia="Arial" w:hAnsiTheme="majorHAnsi" w:cstheme="majorHAnsi"/>
          <w:sz w:val="24"/>
          <w:szCs w:val="24"/>
        </w:rPr>
      </w:pPr>
    </w:p>
    <w:p w14:paraId="736FA650" w14:textId="18B4768D" w:rsidR="005558E5" w:rsidRDefault="005558E5" w:rsidP="00CE6079">
      <w:pPr>
        <w:ind w:left="567" w:right="796"/>
        <w:jc w:val="both"/>
        <w:rPr>
          <w:rFonts w:asciiTheme="majorHAnsi" w:eastAsia="Arial" w:hAnsiTheme="majorHAnsi" w:cstheme="majorHAnsi"/>
          <w:sz w:val="24"/>
          <w:szCs w:val="24"/>
        </w:rPr>
      </w:pPr>
      <w:r>
        <w:rPr>
          <w:rFonts w:asciiTheme="majorHAnsi" w:eastAsia="Arial" w:hAnsiTheme="majorHAnsi" w:cstheme="majorHAnsi"/>
          <w:sz w:val="24"/>
          <w:szCs w:val="24"/>
        </w:rPr>
        <w:t>When determining breaches, it appears that the Department</w:t>
      </w:r>
      <w:r w:rsidR="003516D0">
        <w:rPr>
          <w:rFonts w:asciiTheme="majorHAnsi" w:eastAsia="Arial" w:hAnsiTheme="majorHAnsi" w:cstheme="majorHAnsi"/>
          <w:sz w:val="24"/>
          <w:szCs w:val="24"/>
        </w:rPr>
        <w:t xml:space="preserve"> does not</w:t>
      </w:r>
      <w:r>
        <w:rPr>
          <w:rFonts w:asciiTheme="majorHAnsi" w:eastAsia="Arial" w:hAnsiTheme="majorHAnsi" w:cstheme="majorHAnsi"/>
          <w:sz w:val="24"/>
          <w:szCs w:val="24"/>
        </w:rPr>
        <w:t xml:space="preserve"> uphold </w:t>
      </w:r>
      <w:r w:rsidR="00A245BF" w:rsidRPr="001612D7">
        <w:rPr>
          <w:rFonts w:asciiTheme="majorHAnsi" w:eastAsia="Arial" w:hAnsiTheme="majorHAnsi" w:cstheme="majorHAnsi"/>
          <w:sz w:val="24"/>
          <w:szCs w:val="24"/>
        </w:rPr>
        <w:t xml:space="preserve">the </w:t>
      </w:r>
      <w:hyperlink r:id="rId22" w:history="1">
        <w:r w:rsidR="00A245BF" w:rsidRPr="00CE6079">
          <w:rPr>
            <w:rStyle w:val="Hyperlink"/>
            <w:rFonts w:asciiTheme="majorHAnsi" w:eastAsia="Arial" w:hAnsiTheme="majorHAnsi" w:cstheme="majorHAnsi"/>
            <w:sz w:val="24"/>
            <w:szCs w:val="24"/>
          </w:rPr>
          <w:t>fundamental presumption</w:t>
        </w:r>
      </w:hyperlink>
      <w:r w:rsidR="00A245BF" w:rsidRPr="001612D7">
        <w:rPr>
          <w:rFonts w:asciiTheme="majorHAnsi" w:eastAsia="Arial" w:hAnsiTheme="majorHAnsi" w:cstheme="majorHAnsi"/>
          <w:sz w:val="24"/>
          <w:szCs w:val="24"/>
        </w:rPr>
        <w:t xml:space="preserve"> </w:t>
      </w:r>
      <w:r w:rsidR="00FE6DDE">
        <w:rPr>
          <w:rFonts w:asciiTheme="majorHAnsi" w:eastAsia="Arial" w:hAnsiTheme="majorHAnsi" w:cstheme="majorHAnsi"/>
          <w:sz w:val="24"/>
          <w:szCs w:val="24"/>
        </w:rPr>
        <w:t>under</w:t>
      </w:r>
      <w:r w:rsidR="00A245BF" w:rsidRPr="001612D7">
        <w:rPr>
          <w:rFonts w:asciiTheme="majorHAnsi" w:eastAsia="Arial" w:hAnsiTheme="majorHAnsi" w:cstheme="majorHAnsi"/>
          <w:sz w:val="24"/>
          <w:szCs w:val="24"/>
        </w:rPr>
        <w:t xml:space="preserve"> Australian criminal law that all persons are presumed innocent until proven guilty, and that crimes</w:t>
      </w:r>
      <w:r>
        <w:rPr>
          <w:rFonts w:asciiTheme="majorHAnsi" w:eastAsia="Arial" w:hAnsiTheme="majorHAnsi" w:cstheme="majorHAnsi"/>
          <w:sz w:val="24"/>
          <w:szCs w:val="24"/>
        </w:rPr>
        <w:t xml:space="preserve"> (or here, breaches of the Code)</w:t>
      </w:r>
      <w:r w:rsidR="00A245BF" w:rsidRPr="001612D7">
        <w:rPr>
          <w:rFonts w:asciiTheme="majorHAnsi" w:eastAsia="Arial" w:hAnsiTheme="majorHAnsi" w:cstheme="majorHAnsi"/>
          <w:sz w:val="24"/>
          <w:szCs w:val="24"/>
        </w:rPr>
        <w:t xml:space="preserve"> must be proven</w:t>
      </w:r>
      <w:r w:rsidR="00622AB2">
        <w:rPr>
          <w:rFonts w:asciiTheme="majorHAnsi" w:eastAsia="Arial" w:hAnsiTheme="majorHAnsi" w:cstheme="majorHAnsi"/>
          <w:sz w:val="24"/>
          <w:szCs w:val="24"/>
        </w:rPr>
        <w:t xml:space="preserve"> to the standard of</w:t>
      </w:r>
      <w:r w:rsidR="00A245BF" w:rsidRPr="001612D7">
        <w:rPr>
          <w:rFonts w:asciiTheme="majorHAnsi" w:eastAsia="Arial" w:hAnsiTheme="majorHAnsi" w:cstheme="majorHAnsi"/>
          <w:sz w:val="24"/>
          <w:szCs w:val="24"/>
        </w:rPr>
        <w:t xml:space="preserve"> ‘beyond reasonable doubt’.</w:t>
      </w:r>
      <w:r w:rsidR="003205EE">
        <w:rPr>
          <w:rFonts w:asciiTheme="majorHAnsi" w:eastAsia="Arial" w:hAnsiTheme="majorHAnsi" w:cstheme="majorHAnsi"/>
          <w:sz w:val="24"/>
          <w:szCs w:val="24"/>
        </w:rPr>
        <w:t xml:space="preserve"> </w:t>
      </w:r>
      <w:r w:rsidR="00C47D99">
        <w:rPr>
          <w:rFonts w:asciiTheme="majorHAnsi" w:eastAsia="Arial" w:hAnsiTheme="majorHAnsi" w:cstheme="majorHAnsi"/>
          <w:sz w:val="24"/>
          <w:szCs w:val="24"/>
        </w:rPr>
        <w:t xml:space="preserve"> </w:t>
      </w:r>
      <w:r w:rsidR="00A245BF" w:rsidRPr="001612D7">
        <w:rPr>
          <w:rFonts w:asciiTheme="majorHAnsi" w:eastAsia="Arial" w:hAnsiTheme="majorHAnsi" w:cstheme="majorHAnsi"/>
          <w:sz w:val="24"/>
          <w:szCs w:val="24"/>
        </w:rPr>
        <w:t>The Explanatory Statement to the Code recognises this, but argues that the displacement of the presumption of innocence is ‘proportionate to achieving its stated purpose’ being ‘to protect the public’.</w:t>
      </w:r>
      <w:r w:rsidR="00DA7AA0">
        <w:rPr>
          <w:rFonts w:asciiTheme="majorHAnsi" w:eastAsia="Arial" w:hAnsiTheme="majorHAnsi" w:cstheme="majorHAnsi"/>
          <w:sz w:val="24"/>
          <w:szCs w:val="24"/>
        </w:rPr>
        <w:t xml:space="preserve"> </w:t>
      </w:r>
      <w:r w:rsidR="00C47D99">
        <w:rPr>
          <w:rFonts w:asciiTheme="majorHAnsi" w:eastAsia="Arial" w:hAnsiTheme="majorHAnsi" w:cstheme="majorHAnsi"/>
          <w:sz w:val="24"/>
          <w:szCs w:val="24"/>
        </w:rPr>
        <w:t>Under the Code, the burden of proof lies with the visa holder who</w:t>
      </w:r>
      <w:r w:rsidR="00C47D99" w:rsidRPr="001612D7">
        <w:rPr>
          <w:rFonts w:asciiTheme="majorHAnsi" w:eastAsia="Arial" w:hAnsiTheme="majorHAnsi" w:cstheme="majorHAnsi"/>
          <w:sz w:val="24"/>
          <w:szCs w:val="24"/>
        </w:rPr>
        <w:t xml:space="preserve"> </w:t>
      </w:r>
      <w:r w:rsidR="00C47D99">
        <w:rPr>
          <w:rFonts w:asciiTheme="majorHAnsi" w:eastAsia="Arial" w:hAnsiTheme="majorHAnsi" w:cstheme="majorHAnsi"/>
          <w:sz w:val="24"/>
          <w:szCs w:val="24"/>
        </w:rPr>
        <w:t>‘</w:t>
      </w:r>
      <w:r w:rsidR="00C47D99" w:rsidRPr="001612D7">
        <w:rPr>
          <w:rFonts w:asciiTheme="majorHAnsi" w:eastAsia="Arial" w:hAnsiTheme="majorHAnsi" w:cstheme="majorHAnsi"/>
          <w:sz w:val="24"/>
          <w:szCs w:val="24"/>
        </w:rPr>
        <w:t>will be provided with the opportunity to show that the breach did not in fact occur, or provide reasons why their visa should not be cancelled’.</w:t>
      </w:r>
    </w:p>
    <w:p w14:paraId="0F94C80C" w14:textId="77777777" w:rsidR="00A245BF" w:rsidRDefault="00A245BF" w:rsidP="00F66EE8">
      <w:pPr>
        <w:ind w:left="567" w:right="796"/>
        <w:jc w:val="both"/>
        <w:rPr>
          <w:rFonts w:asciiTheme="majorHAnsi" w:hAnsiTheme="majorHAnsi" w:cstheme="majorHAnsi"/>
          <w:sz w:val="24"/>
          <w:szCs w:val="24"/>
        </w:rPr>
      </w:pPr>
    </w:p>
    <w:p w14:paraId="59CB2BF4" w14:textId="77777777" w:rsidR="005558E5" w:rsidRPr="00FE6DDE" w:rsidRDefault="005558E5" w:rsidP="00884663">
      <w:pPr>
        <w:ind w:right="796"/>
        <w:jc w:val="both"/>
        <w:rPr>
          <w:rFonts w:asciiTheme="majorHAnsi" w:hAnsiTheme="majorHAnsi" w:cstheme="majorHAnsi"/>
          <w:b/>
          <w:sz w:val="24"/>
          <w:szCs w:val="24"/>
        </w:rPr>
      </w:pPr>
      <w:r w:rsidRPr="00FE6DDE">
        <w:rPr>
          <w:rFonts w:asciiTheme="majorHAnsi" w:hAnsiTheme="majorHAnsi" w:cstheme="majorHAnsi"/>
          <w:b/>
          <w:sz w:val="24"/>
          <w:szCs w:val="24"/>
        </w:rPr>
        <w:t>Conclusion</w:t>
      </w:r>
    </w:p>
    <w:p w14:paraId="6262274D" w14:textId="2616A1D3" w:rsidR="00986F95" w:rsidRDefault="00986F95" w:rsidP="00986F95">
      <w:pPr>
        <w:ind w:left="567" w:right="796"/>
        <w:jc w:val="both"/>
        <w:rPr>
          <w:rFonts w:asciiTheme="majorHAnsi" w:eastAsia="Arial" w:hAnsiTheme="majorHAnsi" w:cstheme="majorHAnsi"/>
          <w:sz w:val="24"/>
          <w:szCs w:val="24"/>
          <w:vertAlign w:val="superscript"/>
        </w:rPr>
      </w:pPr>
      <w:r>
        <w:rPr>
          <w:rFonts w:asciiTheme="majorHAnsi" w:eastAsia="Arial" w:hAnsiTheme="majorHAnsi" w:cstheme="majorHAnsi"/>
          <w:sz w:val="24"/>
          <w:szCs w:val="24"/>
        </w:rPr>
        <w:t>The Code’s ‘behavioural standards’ are based on the creation of</w:t>
      </w:r>
      <w:r w:rsidRPr="001612D7">
        <w:rPr>
          <w:rFonts w:asciiTheme="majorHAnsi" w:eastAsia="Arial" w:hAnsiTheme="majorHAnsi" w:cstheme="majorHAnsi"/>
          <w:sz w:val="24"/>
          <w:szCs w:val="24"/>
        </w:rPr>
        <w:t xml:space="preserve"> two separate</w:t>
      </w:r>
      <w:r>
        <w:rPr>
          <w:rFonts w:asciiTheme="majorHAnsi" w:eastAsia="Arial" w:hAnsiTheme="majorHAnsi" w:cstheme="majorHAnsi"/>
          <w:sz w:val="24"/>
          <w:szCs w:val="24"/>
        </w:rPr>
        <w:t xml:space="preserve"> and oppositional</w:t>
      </w:r>
      <w:r w:rsidRPr="001612D7">
        <w:rPr>
          <w:rFonts w:asciiTheme="majorHAnsi" w:eastAsia="Arial" w:hAnsiTheme="majorHAnsi" w:cstheme="majorHAnsi"/>
          <w:sz w:val="24"/>
          <w:szCs w:val="24"/>
        </w:rPr>
        <w:t xml:space="preserve"> categories: ‘adult illegal maritime arrivals’ and the ‘Australian community’, stating ‘[t]he Australian Government and the community expect non-citizens to abide by the law [and] respect Australian values’. The Code and the government construe ‘Australian values’ as an unwritten code of civility that forbids a</w:t>
      </w:r>
      <w:r w:rsidR="00835821">
        <w:rPr>
          <w:rFonts w:asciiTheme="majorHAnsi" w:eastAsia="Arial" w:hAnsiTheme="majorHAnsi" w:cstheme="majorHAnsi"/>
          <w:sz w:val="24"/>
          <w:szCs w:val="24"/>
        </w:rPr>
        <w:t xml:space="preserve">sylum seekers </w:t>
      </w:r>
      <w:r w:rsidRPr="001612D7">
        <w:rPr>
          <w:rFonts w:asciiTheme="majorHAnsi" w:eastAsia="Arial" w:hAnsiTheme="majorHAnsi" w:cstheme="majorHAnsi"/>
          <w:sz w:val="24"/>
          <w:szCs w:val="24"/>
        </w:rPr>
        <w:t xml:space="preserve">from </w:t>
      </w:r>
      <w:r>
        <w:rPr>
          <w:rFonts w:asciiTheme="majorHAnsi" w:eastAsia="Arial" w:hAnsiTheme="majorHAnsi" w:cstheme="majorHAnsi"/>
          <w:sz w:val="24"/>
          <w:szCs w:val="24"/>
        </w:rPr>
        <w:t xml:space="preserve">such commonplace behaviour, such as </w:t>
      </w:r>
      <w:r w:rsidRPr="001612D7">
        <w:rPr>
          <w:rFonts w:asciiTheme="majorHAnsi" w:eastAsia="Arial" w:hAnsiTheme="majorHAnsi" w:cstheme="majorHAnsi"/>
          <w:sz w:val="24"/>
          <w:szCs w:val="24"/>
        </w:rPr>
        <w:t>‘swearing’</w:t>
      </w:r>
      <w:r>
        <w:rPr>
          <w:rFonts w:asciiTheme="majorHAnsi" w:eastAsia="Arial" w:hAnsiTheme="majorHAnsi" w:cstheme="majorHAnsi"/>
          <w:sz w:val="24"/>
          <w:szCs w:val="24"/>
        </w:rPr>
        <w:t>, being ‘inconsiderate’</w:t>
      </w:r>
      <w:r w:rsidRPr="001612D7">
        <w:rPr>
          <w:rFonts w:asciiTheme="majorHAnsi" w:eastAsia="Arial" w:hAnsiTheme="majorHAnsi" w:cstheme="majorHAnsi"/>
          <w:sz w:val="24"/>
          <w:szCs w:val="24"/>
        </w:rPr>
        <w:t xml:space="preserve"> or ‘spreading rumours’. Meanwhile, such ‘standards’ are not </w:t>
      </w:r>
      <w:r>
        <w:rPr>
          <w:rFonts w:asciiTheme="majorHAnsi" w:eastAsia="Arial" w:hAnsiTheme="majorHAnsi" w:cstheme="majorHAnsi"/>
          <w:sz w:val="24"/>
          <w:szCs w:val="24"/>
        </w:rPr>
        <w:t xml:space="preserve">expected of, or </w:t>
      </w:r>
      <w:r w:rsidRPr="001612D7">
        <w:rPr>
          <w:rFonts w:asciiTheme="majorHAnsi" w:eastAsia="Arial" w:hAnsiTheme="majorHAnsi" w:cstheme="majorHAnsi"/>
          <w:sz w:val="24"/>
          <w:szCs w:val="24"/>
        </w:rPr>
        <w:t xml:space="preserve">maintained by many </w:t>
      </w:r>
      <w:r>
        <w:rPr>
          <w:rFonts w:asciiTheme="majorHAnsi" w:eastAsia="Arial" w:hAnsiTheme="majorHAnsi" w:cstheme="majorHAnsi"/>
          <w:sz w:val="24"/>
          <w:szCs w:val="24"/>
        </w:rPr>
        <w:t>Australians</w:t>
      </w:r>
      <w:r w:rsidRPr="001612D7">
        <w:rPr>
          <w:rFonts w:asciiTheme="majorHAnsi" w:eastAsia="Arial" w:hAnsiTheme="majorHAnsi" w:cstheme="majorHAnsi"/>
          <w:sz w:val="24"/>
          <w:szCs w:val="24"/>
        </w:rPr>
        <w:t xml:space="preserve">, including </w:t>
      </w:r>
      <w:hyperlink r:id="rId23" w:history="1">
        <w:r w:rsidRPr="00CE6079">
          <w:rPr>
            <w:rStyle w:val="Hyperlink"/>
            <w:rFonts w:asciiTheme="majorHAnsi" w:eastAsia="Arial" w:hAnsiTheme="majorHAnsi" w:cstheme="majorHAnsi"/>
            <w:sz w:val="24"/>
            <w:szCs w:val="24"/>
          </w:rPr>
          <w:t>Members of Parliament</w:t>
        </w:r>
      </w:hyperlink>
      <w:r>
        <w:rPr>
          <w:rFonts w:asciiTheme="majorHAnsi" w:eastAsia="Arial" w:hAnsiTheme="majorHAnsi" w:cstheme="majorHAnsi"/>
          <w:sz w:val="24"/>
          <w:szCs w:val="24"/>
        </w:rPr>
        <w:t>.</w:t>
      </w:r>
    </w:p>
    <w:p w14:paraId="6A8A91E2" w14:textId="77777777" w:rsidR="00986F95" w:rsidRDefault="00986F95" w:rsidP="00986F95">
      <w:pPr>
        <w:ind w:left="567" w:right="796"/>
        <w:jc w:val="both"/>
        <w:rPr>
          <w:rFonts w:asciiTheme="majorHAnsi" w:eastAsia="Arial" w:hAnsiTheme="majorHAnsi" w:cstheme="majorHAnsi"/>
          <w:sz w:val="24"/>
          <w:szCs w:val="24"/>
        </w:rPr>
      </w:pPr>
    </w:p>
    <w:p w14:paraId="0E8533B5" w14:textId="147181BA" w:rsidR="00986F95" w:rsidRDefault="005558E5" w:rsidP="007D1F26">
      <w:pPr>
        <w:ind w:left="567" w:right="796"/>
        <w:jc w:val="both"/>
        <w:rPr>
          <w:rFonts w:asciiTheme="majorHAnsi" w:eastAsia="Arial" w:hAnsiTheme="majorHAnsi" w:cstheme="majorHAnsi"/>
          <w:sz w:val="24"/>
          <w:szCs w:val="24"/>
        </w:rPr>
      </w:pPr>
      <w:r>
        <w:rPr>
          <w:rFonts w:asciiTheme="majorHAnsi" w:eastAsia="Arial" w:hAnsiTheme="majorHAnsi" w:cstheme="majorHAnsi"/>
          <w:sz w:val="24"/>
          <w:szCs w:val="24"/>
        </w:rPr>
        <w:t>The</w:t>
      </w:r>
      <w:r w:rsidR="00622AB2" w:rsidRPr="001612D7">
        <w:rPr>
          <w:rFonts w:asciiTheme="majorHAnsi" w:eastAsia="Arial" w:hAnsiTheme="majorHAnsi" w:cstheme="majorHAnsi"/>
          <w:sz w:val="24"/>
          <w:szCs w:val="24"/>
        </w:rPr>
        <w:t xml:space="preserve"> </w:t>
      </w:r>
      <w:r w:rsidR="00835821">
        <w:rPr>
          <w:rFonts w:asciiTheme="majorHAnsi" w:eastAsia="Arial" w:hAnsiTheme="majorHAnsi" w:cstheme="majorHAnsi"/>
          <w:sz w:val="24"/>
          <w:szCs w:val="24"/>
        </w:rPr>
        <w:t>Code’s expectation</w:t>
      </w:r>
      <w:r w:rsidR="006979D6">
        <w:rPr>
          <w:rFonts w:asciiTheme="majorHAnsi" w:eastAsia="Arial" w:hAnsiTheme="majorHAnsi" w:cstheme="majorHAnsi"/>
          <w:sz w:val="24"/>
          <w:szCs w:val="24"/>
        </w:rPr>
        <w:t>s</w:t>
      </w:r>
      <w:r w:rsidR="00835821">
        <w:rPr>
          <w:rFonts w:asciiTheme="majorHAnsi" w:eastAsia="Arial" w:hAnsiTheme="majorHAnsi" w:cstheme="majorHAnsi"/>
          <w:sz w:val="24"/>
          <w:szCs w:val="24"/>
        </w:rPr>
        <w:t xml:space="preserve"> are</w:t>
      </w:r>
      <w:r w:rsidR="00622AB2" w:rsidRPr="001612D7">
        <w:rPr>
          <w:rFonts w:asciiTheme="majorHAnsi" w:eastAsia="Arial" w:hAnsiTheme="majorHAnsi" w:cstheme="majorHAnsi"/>
          <w:sz w:val="24"/>
          <w:szCs w:val="24"/>
        </w:rPr>
        <w:t xml:space="preserve"> incoherent</w:t>
      </w:r>
      <w:r w:rsidR="00622AB2">
        <w:rPr>
          <w:rFonts w:asciiTheme="majorHAnsi" w:eastAsia="Arial" w:hAnsiTheme="majorHAnsi" w:cstheme="majorHAnsi"/>
          <w:sz w:val="24"/>
          <w:szCs w:val="24"/>
        </w:rPr>
        <w:t xml:space="preserve">, </w:t>
      </w:r>
      <w:r w:rsidR="00622AB2" w:rsidRPr="001612D7">
        <w:rPr>
          <w:rFonts w:asciiTheme="majorHAnsi" w:eastAsia="Arial" w:hAnsiTheme="majorHAnsi" w:cstheme="majorHAnsi"/>
          <w:sz w:val="24"/>
          <w:szCs w:val="24"/>
        </w:rPr>
        <w:t>disturbingly broad</w:t>
      </w:r>
      <w:r w:rsidR="00622AB2">
        <w:rPr>
          <w:rFonts w:asciiTheme="majorHAnsi" w:eastAsia="Arial" w:hAnsiTheme="majorHAnsi" w:cstheme="majorHAnsi"/>
          <w:sz w:val="24"/>
          <w:szCs w:val="24"/>
        </w:rPr>
        <w:t xml:space="preserve"> and lack basic procedural </w:t>
      </w:r>
      <w:r w:rsidR="00DA7AA0">
        <w:rPr>
          <w:rFonts w:asciiTheme="majorHAnsi" w:eastAsia="Arial" w:hAnsiTheme="majorHAnsi" w:cstheme="majorHAnsi"/>
          <w:sz w:val="24"/>
          <w:szCs w:val="24"/>
        </w:rPr>
        <w:t>fairness</w:t>
      </w:r>
      <w:r w:rsidR="00622AB2" w:rsidRPr="001612D7">
        <w:rPr>
          <w:rFonts w:asciiTheme="majorHAnsi" w:eastAsia="Arial" w:hAnsiTheme="majorHAnsi" w:cstheme="majorHAnsi"/>
          <w:sz w:val="24"/>
          <w:szCs w:val="24"/>
        </w:rPr>
        <w:t>.</w:t>
      </w:r>
      <w:r>
        <w:rPr>
          <w:rFonts w:asciiTheme="majorHAnsi" w:eastAsia="Arial" w:hAnsiTheme="majorHAnsi" w:cstheme="majorHAnsi"/>
          <w:sz w:val="24"/>
          <w:szCs w:val="24"/>
        </w:rPr>
        <w:t xml:space="preserve"> </w:t>
      </w:r>
      <w:r w:rsidR="00C47D99">
        <w:rPr>
          <w:rFonts w:asciiTheme="majorHAnsi" w:eastAsia="Arial" w:hAnsiTheme="majorHAnsi" w:cstheme="majorHAnsi"/>
          <w:sz w:val="24"/>
          <w:szCs w:val="24"/>
        </w:rPr>
        <w:t>They</w:t>
      </w:r>
      <w:r w:rsidR="00D86566" w:rsidRPr="001612D7">
        <w:rPr>
          <w:rFonts w:asciiTheme="majorHAnsi" w:eastAsia="Arial" w:hAnsiTheme="majorHAnsi" w:cstheme="majorHAnsi"/>
          <w:sz w:val="24"/>
          <w:szCs w:val="24"/>
        </w:rPr>
        <w:t xml:space="preserve"> construct</w:t>
      </w:r>
      <w:r w:rsidR="00C47D99">
        <w:rPr>
          <w:rFonts w:asciiTheme="majorHAnsi" w:eastAsia="Arial" w:hAnsiTheme="majorHAnsi" w:cstheme="majorHAnsi"/>
          <w:sz w:val="24"/>
          <w:szCs w:val="24"/>
        </w:rPr>
        <w:t xml:space="preserve"> </w:t>
      </w:r>
      <w:r w:rsidR="00D86566" w:rsidRPr="001612D7">
        <w:rPr>
          <w:rFonts w:asciiTheme="majorHAnsi" w:eastAsia="Arial" w:hAnsiTheme="majorHAnsi" w:cstheme="majorHAnsi"/>
          <w:sz w:val="24"/>
          <w:szCs w:val="24"/>
        </w:rPr>
        <w:t>asylum seekers as dangerous</w:t>
      </w:r>
      <w:r w:rsidR="006979D6">
        <w:rPr>
          <w:rFonts w:asciiTheme="majorHAnsi" w:eastAsia="Arial" w:hAnsiTheme="majorHAnsi" w:cstheme="majorHAnsi"/>
          <w:sz w:val="24"/>
          <w:szCs w:val="24"/>
        </w:rPr>
        <w:t xml:space="preserve"> and</w:t>
      </w:r>
      <w:r w:rsidR="00D86566" w:rsidRPr="001612D7">
        <w:rPr>
          <w:rFonts w:asciiTheme="majorHAnsi" w:eastAsia="Arial" w:hAnsiTheme="majorHAnsi" w:cstheme="majorHAnsi"/>
          <w:sz w:val="24"/>
          <w:szCs w:val="24"/>
        </w:rPr>
        <w:t xml:space="preserve"> pre-criminal</w:t>
      </w:r>
      <w:r w:rsidR="006979D6">
        <w:rPr>
          <w:rFonts w:asciiTheme="majorHAnsi" w:eastAsia="Arial" w:hAnsiTheme="majorHAnsi" w:cstheme="majorHAnsi"/>
          <w:sz w:val="24"/>
          <w:szCs w:val="24"/>
        </w:rPr>
        <w:t xml:space="preserve">, </w:t>
      </w:r>
      <w:r w:rsidR="00970967">
        <w:rPr>
          <w:rFonts w:asciiTheme="majorHAnsi" w:eastAsia="Arial" w:hAnsiTheme="majorHAnsi" w:cstheme="majorHAnsi"/>
          <w:sz w:val="24"/>
          <w:szCs w:val="24"/>
        </w:rPr>
        <w:t xml:space="preserve">and </w:t>
      </w:r>
      <w:r w:rsidR="00D86566" w:rsidRPr="001612D7">
        <w:rPr>
          <w:rFonts w:asciiTheme="majorHAnsi" w:eastAsia="Arial" w:hAnsiTheme="majorHAnsi" w:cstheme="majorHAnsi"/>
          <w:sz w:val="24"/>
          <w:szCs w:val="24"/>
        </w:rPr>
        <w:t xml:space="preserve">perpetuate a myth </w:t>
      </w:r>
      <w:r w:rsidR="00FE6DDE">
        <w:rPr>
          <w:rFonts w:asciiTheme="majorHAnsi" w:eastAsia="Arial" w:hAnsiTheme="majorHAnsi" w:cstheme="majorHAnsi"/>
          <w:sz w:val="24"/>
          <w:szCs w:val="24"/>
        </w:rPr>
        <w:t>that</w:t>
      </w:r>
      <w:r w:rsidR="00D86566" w:rsidRPr="001612D7">
        <w:rPr>
          <w:rFonts w:asciiTheme="majorHAnsi" w:eastAsia="Arial" w:hAnsiTheme="majorHAnsi" w:cstheme="majorHAnsi"/>
          <w:sz w:val="24"/>
          <w:szCs w:val="24"/>
        </w:rPr>
        <w:t xml:space="preserve"> </w:t>
      </w:r>
      <w:r w:rsidR="00FE6DDE">
        <w:rPr>
          <w:rFonts w:asciiTheme="majorHAnsi" w:eastAsia="Arial" w:hAnsiTheme="majorHAnsi" w:cstheme="majorHAnsi"/>
          <w:sz w:val="24"/>
          <w:szCs w:val="24"/>
        </w:rPr>
        <w:t>asylum seekers endanger Australia and its territorial borders</w:t>
      </w:r>
      <w:r w:rsidR="00D86566" w:rsidRPr="001612D7">
        <w:rPr>
          <w:rFonts w:asciiTheme="majorHAnsi" w:eastAsia="Arial" w:hAnsiTheme="majorHAnsi" w:cstheme="majorHAnsi"/>
          <w:sz w:val="24"/>
          <w:szCs w:val="24"/>
        </w:rPr>
        <w:t xml:space="preserve">, rather than </w:t>
      </w:r>
      <w:r w:rsidR="00572FEE">
        <w:rPr>
          <w:rFonts w:asciiTheme="majorHAnsi" w:eastAsia="Arial" w:hAnsiTheme="majorHAnsi" w:cstheme="majorHAnsi"/>
          <w:sz w:val="24"/>
          <w:szCs w:val="24"/>
        </w:rPr>
        <w:t>presenting</w:t>
      </w:r>
      <w:r w:rsidR="00D86566" w:rsidRPr="001612D7">
        <w:rPr>
          <w:rFonts w:asciiTheme="majorHAnsi" w:eastAsia="Arial" w:hAnsiTheme="majorHAnsi" w:cstheme="majorHAnsi"/>
          <w:sz w:val="24"/>
          <w:szCs w:val="24"/>
        </w:rPr>
        <w:t xml:space="preserve"> undocumented boat arrivals </w:t>
      </w:r>
      <w:r w:rsidR="00FE6DDE">
        <w:rPr>
          <w:rFonts w:asciiTheme="majorHAnsi" w:eastAsia="Arial" w:hAnsiTheme="majorHAnsi" w:cstheme="majorHAnsi"/>
          <w:sz w:val="24"/>
          <w:szCs w:val="24"/>
        </w:rPr>
        <w:t>as themselves at risk and in</w:t>
      </w:r>
      <w:r w:rsidR="006979D6">
        <w:rPr>
          <w:rFonts w:asciiTheme="majorHAnsi" w:eastAsia="Arial" w:hAnsiTheme="majorHAnsi" w:cstheme="majorHAnsi"/>
          <w:sz w:val="24"/>
          <w:szCs w:val="24"/>
        </w:rPr>
        <w:t xml:space="preserve"> need of</w:t>
      </w:r>
      <w:r w:rsidR="00D86566" w:rsidRPr="001612D7">
        <w:rPr>
          <w:rFonts w:asciiTheme="majorHAnsi" w:eastAsia="Arial" w:hAnsiTheme="majorHAnsi" w:cstheme="majorHAnsi"/>
          <w:sz w:val="24"/>
          <w:szCs w:val="24"/>
        </w:rPr>
        <w:t xml:space="preserve"> protection. </w:t>
      </w:r>
      <w:r w:rsidR="00D86566">
        <w:rPr>
          <w:rFonts w:asciiTheme="majorHAnsi" w:eastAsia="Arial" w:hAnsiTheme="majorHAnsi" w:cstheme="majorHAnsi"/>
          <w:sz w:val="24"/>
          <w:szCs w:val="24"/>
        </w:rPr>
        <w:t>Beyond its rhetoric, t</w:t>
      </w:r>
      <w:r w:rsidR="00D86566" w:rsidRPr="001612D7">
        <w:rPr>
          <w:rFonts w:asciiTheme="majorHAnsi" w:eastAsia="Arial" w:hAnsiTheme="majorHAnsi" w:cstheme="majorHAnsi"/>
          <w:sz w:val="24"/>
          <w:szCs w:val="24"/>
        </w:rPr>
        <w:t xml:space="preserve">he </w:t>
      </w:r>
      <w:r w:rsidR="00D86566" w:rsidRPr="00652A92">
        <w:rPr>
          <w:rFonts w:asciiTheme="majorHAnsi" w:eastAsia="Arial" w:hAnsiTheme="majorHAnsi" w:cstheme="majorHAnsi"/>
          <w:i/>
          <w:sz w:val="24"/>
          <w:szCs w:val="24"/>
        </w:rPr>
        <w:t>material</w:t>
      </w:r>
      <w:r w:rsidR="00D86566" w:rsidRPr="001612D7">
        <w:rPr>
          <w:rFonts w:asciiTheme="majorHAnsi" w:eastAsia="Arial" w:hAnsiTheme="majorHAnsi" w:cstheme="majorHAnsi"/>
          <w:sz w:val="24"/>
          <w:szCs w:val="24"/>
        </w:rPr>
        <w:t xml:space="preserve"> consequences of the Code are </w:t>
      </w:r>
      <w:r w:rsidR="00986F95">
        <w:rPr>
          <w:rFonts w:asciiTheme="majorHAnsi" w:eastAsia="Arial" w:hAnsiTheme="majorHAnsi" w:cstheme="majorHAnsi"/>
          <w:sz w:val="24"/>
          <w:szCs w:val="24"/>
        </w:rPr>
        <w:t>severe</w:t>
      </w:r>
      <w:r w:rsidR="00C47D99">
        <w:rPr>
          <w:rFonts w:asciiTheme="majorHAnsi" w:eastAsia="Arial" w:hAnsiTheme="majorHAnsi" w:cstheme="majorHAnsi"/>
          <w:sz w:val="24"/>
          <w:szCs w:val="24"/>
        </w:rPr>
        <w:t xml:space="preserve"> and operate against a population whose access to both procedurally fair refugee status determination and </w:t>
      </w:r>
      <w:r w:rsidR="00970967">
        <w:rPr>
          <w:rFonts w:asciiTheme="majorHAnsi" w:eastAsia="Arial" w:hAnsiTheme="majorHAnsi" w:cstheme="majorHAnsi"/>
          <w:sz w:val="24"/>
          <w:szCs w:val="24"/>
        </w:rPr>
        <w:t>minimum</w:t>
      </w:r>
      <w:r w:rsidR="00C47D99">
        <w:rPr>
          <w:rFonts w:asciiTheme="majorHAnsi" w:eastAsia="Arial" w:hAnsiTheme="majorHAnsi" w:cstheme="majorHAnsi"/>
          <w:sz w:val="24"/>
          <w:szCs w:val="24"/>
        </w:rPr>
        <w:t xml:space="preserve"> standard</w:t>
      </w:r>
      <w:r w:rsidR="006979D6">
        <w:rPr>
          <w:rFonts w:asciiTheme="majorHAnsi" w:eastAsia="Arial" w:hAnsiTheme="majorHAnsi" w:cstheme="majorHAnsi"/>
          <w:sz w:val="24"/>
          <w:szCs w:val="24"/>
        </w:rPr>
        <w:t>s</w:t>
      </w:r>
      <w:r w:rsidR="00C47D99">
        <w:rPr>
          <w:rFonts w:asciiTheme="majorHAnsi" w:eastAsia="Arial" w:hAnsiTheme="majorHAnsi" w:cstheme="majorHAnsi"/>
          <w:sz w:val="24"/>
          <w:szCs w:val="24"/>
        </w:rPr>
        <w:t xml:space="preserve"> of living </w:t>
      </w:r>
      <w:r w:rsidR="00970967">
        <w:rPr>
          <w:rFonts w:asciiTheme="majorHAnsi" w:eastAsia="Arial" w:hAnsiTheme="majorHAnsi" w:cstheme="majorHAnsi"/>
          <w:sz w:val="24"/>
          <w:szCs w:val="24"/>
        </w:rPr>
        <w:t xml:space="preserve">whilst waiting to have their applications resolved </w:t>
      </w:r>
      <w:r w:rsidR="00C47D99">
        <w:rPr>
          <w:rFonts w:asciiTheme="majorHAnsi" w:eastAsia="Arial" w:hAnsiTheme="majorHAnsi" w:cstheme="majorHAnsi"/>
          <w:sz w:val="24"/>
          <w:szCs w:val="24"/>
        </w:rPr>
        <w:t xml:space="preserve">have been </w:t>
      </w:r>
      <w:hyperlink r:id="rId24" w:history="1">
        <w:r w:rsidR="00C47D99" w:rsidRPr="00CE6079">
          <w:rPr>
            <w:rStyle w:val="Hyperlink"/>
            <w:rFonts w:asciiTheme="majorHAnsi" w:eastAsia="Arial" w:hAnsiTheme="majorHAnsi" w:cstheme="majorHAnsi"/>
            <w:sz w:val="24"/>
            <w:szCs w:val="24"/>
          </w:rPr>
          <w:t>progressively</w:t>
        </w:r>
      </w:hyperlink>
      <w:r w:rsidR="00C47D99">
        <w:rPr>
          <w:rFonts w:asciiTheme="majorHAnsi" w:eastAsia="Arial" w:hAnsiTheme="majorHAnsi" w:cstheme="majorHAnsi"/>
          <w:sz w:val="24"/>
          <w:szCs w:val="24"/>
        </w:rPr>
        <w:t xml:space="preserve"> </w:t>
      </w:r>
      <w:r w:rsidR="00970967">
        <w:rPr>
          <w:rFonts w:asciiTheme="majorHAnsi" w:eastAsia="Arial" w:hAnsiTheme="majorHAnsi" w:cstheme="majorHAnsi"/>
          <w:sz w:val="24"/>
          <w:szCs w:val="24"/>
        </w:rPr>
        <w:t xml:space="preserve">and </w:t>
      </w:r>
      <w:hyperlink r:id="rId25" w:history="1">
        <w:r w:rsidR="00970967" w:rsidRPr="00CE6079">
          <w:rPr>
            <w:rStyle w:val="Hyperlink"/>
            <w:rFonts w:asciiTheme="majorHAnsi" w:eastAsia="Arial" w:hAnsiTheme="majorHAnsi" w:cstheme="majorHAnsi"/>
            <w:sz w:val="24"/>
            <w:szCs w:val="24"/>
          </w:rPr>
          <w:t>punitively</w:t>
        </w:r>
      </w:hyperlink>
      <w:r w:rsidR="00970967">
        <w:rPr>
          <w:rFonts w:asciiTheme="majorHAnsi" w:eastAsia="Arial" w:hAnsiTheme="majorHAnsi" w:cstheme="majorHAnsi"/>
          <w:sz w:val="24"/>
          <w:szCs w:val="24"/>
        </w:rPr>
        <w:t xml:space="preserve"> </w:t>
      </w:r>
      <w:r w:rsidR="00C47D99">
        <w:rPr>
          <w:rFonts w:asciiTheme="majorHAnsi" w:eastAsia="Arial" w:hAnsiTheme="majorHAnsi" w:cstheme="majorHAnsi"/>
          <w:sz w:val="24"/>
          <w:szCs w:val="24"/>
        </w:rPr>
        <w:t>curtailed.</w:t>
      </w:r>
      <w:r w:rsidR="00CE6079">
        <w:rPr>
          <w:rFonts w:asciiTheme="majorHAnsi" w:eastAsia="Arial" w:hAnsiTheme="majorHAnsi" w:cstheme="majorHAnsi"/>
          <w:sz w:val="24"/>
          <w:szCs w:val="24"/>
        </w:rPr>
        <w:t xml:space="preserve"> </w:t>
      </w:r>
      <w:r w:rsidR="00C47D99">
        <w:rPr>
          <w:rFonts w:asciiTheme="majorHAnsi" w:eastAsia="Arial" w:hAnsiTheme="majorHAnsi" w:cstheme="majorHAnsi"/>
          <w:sz w:val="24"/>
          <w:szCs w:val="24"/>
        </w:rPr>
        <w:t>T</w:t>
      </w:r>
      <w:r w:rsidR="00986F95" w:rsidRPr="00DD706B">
        <w:rPr>
          <w:rFonts w:asciiTheme="majorHAnsi" w:eastAsia="Arial" w:hAnsiTheme="majorHAnsi" w:cstheme="majorHAnsi"/>
          <w:sz w:val="24"/>
          <w:szCs w:val="24"/>
        </w:rPr>
        <w:t xml:space="preserve">he Code has been </w:t>
      </w:r>
      <w:hyperlink r:id="rId26" w:history="1">
        <w:r w:rsidR="00986F95" w:rsidRPr="00CE6079">
          <w:rPr>
            <w:rStyle w:val="Hyperlink"/>
            <w:rFonts w:asciiTheme="majorHAnsi" w:eastAsia="Arial" w:hAnsiTheme="majorHAnsi" w:cstheme="majorHAnsi"/>
            <w:sz w:val="24"/>
            <w:szCs w:val="24"/>
          </w:rPr>
          <w:t>documented</w:t>
        </w:r>
      </w:hyperlink>
      <w:r w:rsidR="00986F95" w:rsidRPr="00DD706B">
        <w:rPr>
          <w:rFonts w:asciiTheme="majorHAnsi" w:eastAsia="Arial" w:hAnsiTheme="majorHAnsi" w:cstheme="majorHAnsi"/>
          <w:sz w:val="24"/>
          <w:szCs w:val="24"/>
        </w:rPr>
        <w:t xml:space="preserve"> as causing heightened fear and anxiety among Australia’s sizeable population of asylum seekers on bridging visas. The constant threat of being reported for breaching the Code, including for minor behavioural offences such as ‘swearing’, and of re-detention for breaching the Code, a</w:t>
      </w:r>
      <w:r w:rsidR="00986F95" w:rsidRPr="00426C54">
        <w:rPr>
          <w:rFonts w:asciiTheme="majorHAnsi" w:eastAsia="Arial" w:hAnsiTheme="majorHAnsi" w:cstheme="majorHAnsi"/>
          <w:sz w:val="24"/>
          <w:szCs w:val="24"/>
        </w:rPr>
        <w:t>dd</w:t>
      </w:r>
      <w:r w:rsidR="00986F95">
        <w:rPr>
          <w:rFonts w:asciiTheme="majorHAnsi" w:eastAsia="Arial" w:hAnsiTheme="majorHAnsi" w:cstheme="majorHAnsi"/>
          <w:sz w:val="24"/>
          <w:szCs w:val="24"/>
        </w:rPr>
        <w:t>s</w:t>
      </w:r>
      <w:r w:rsidR="00986F95" w:rsidRPr="00426C54">
        <w:rPr>
          <w:rFonts w:asciiTheme="majorHAnsi" w:eastAsia="Arial" w:hAnsiTheme="majorHAnsi" w:cstheme="majorHAnsi"/>
          <w:sz w:val="24"/>
          <w:szCs w:val="24"/>
        </w:rPr>
        <w:t xml:space="preserve"> further layers of </w:t>
      </w:r>
      <w:r w:rsidR="006979D6">
        <w:rPr>
          <w:rFonts w:asciiTheme="majorHAnsi" w:eastAsia="Arial" w:hAnsiTheme="majorHAnsi" w:cstheme="majorHAnsi"/>
          <w:sz w:val="24"/>
          <w:szCs w:val="24"/>
        </w:rPr>
        <w:t xml:space="preserve">Government </w:t>
      </w:r>
      <w:r w:rsidR="00986F95" w:rsidRPr="00426C54">
        <w:rPr>
          <w:rFonts w:asciiTheme="majorHAnsi" w:eastAsia="Arial" w:hAnsiTheme="majorHAnsi" w:cstheme="majorHAnsi"/>
          <w:sz w:val="24"/>
          <w:szCs w:val="24"/>
        </w:rPr>
        <w:t>discretion</w:t>
      </w:r>
      <w:r w:rsidR="006979D6">
        <w:rPr>
          <w:rFonts w:asciiTheme="majorHAnsi" w:eastAsia="Arial" w:hAnsiTheme="majorHAnsi" w:cstheme="majorHAnsi"/>
          <w:sz w:val="24"/>
          <w:szCs w:val="24"/>
        </w:rPr>
        <w:t>, control</w:t>
      </w:r>
      <w:r w:rsidR="00986F95" w:rsidRPr="00426C54">
        <w:rPr>
          <w:rFonts w:asciiTheme="majorHAnsi" w:eastAsia="Arial" w:hAnsiTheme="majorHAnsi" w:cstheme="majorHAnsi"/>
          <w:sz w:val="24"/>
          <w:szCs w:val="24"/>
        </w:rPr>
        <w:t xml:space="preserve"> and surveillance </w:t>
      </w:r>
      <w:r w:rsidR="006979D6">
        <w:rPr>
          <w:rFonts w:asciiTheme="majorHAnsi" w:eastAsia="Arial" w:hAnsiTheme="majorHAnsi" w:cstheme="majorHAnsi"/>
          <w:sz w:val="24"/>
          <w:szCs w:val="24"/>
        </w:rPr>
        <w:t>of</w:t>
      </w:r>
      <w:r w:rsidR="00986F95" w:rsidRPr="00426C54">
        <w:rPr>
          <w:rFonts w:asciiTheme="majorHAnsi" w:eastAsia="Arial" w:hAnsiTheme="majorHAnsi" w:cstheme="majorHAnsi"/>
          <w:sz w:val="24"/>
          <w:szCs w:val="24"/>
        </w:rPr>
        <w:t xml:space="preserve"> asylum seekers living in Australia.</w:t>
      </w:r>
      <w:bookmarkStart w:id="0" w:name="_GoBack"/>
      <w:bookmarkEnd w:id="0"/>
    </w:p>
    <w:sectPr w:rsidR="00986F95">
      <w:pgSz w:w="11900" w:h="16838"/>
      <w:pgMar w:top="704" w:right="746" w:bottom="1440" w:left="719" w:header="0" w:footer="0" w:gutter="0"/>
      <w:cols w:space="720" w:equalWidth="0">
        <w:col w:w="1044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F6786" w14:textId="77777777" w:rsidR="008C3BA3" w:rsidRDefault="008C3BA3" w:rsidP="006C08E7">
      <w:r>
        <w:separator/>
      </w:r>
    </w:p>
  </w:endnote>
  <w:endnote w:type="continuationSeparator" w:id="0">
    <w:p w14:paraId="5DC814EE" w14:textId="77777777" w:rsidR="008C3BA3" w:rsidRDefault="008C3BA3" w:rsidP="006C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41C8F" w14:textId="77777777" w:rsidR="008C3BA3" w:rsidRDefault="008C3BA3" w:rsidP="006C08E7">
      <w:r>
        <w:separator/>
      </w:r>
    </w:p>
  </w:footnote>
  <w:footnote w:type="continuationSeparator" w:id="0">
    <w:p w14:paraId="057789F9" w14:textId="77777777" w:rsidR="008C3BA3" w:rsidRDefault="008C3BA3" w:rsidP="006C08E7">
      <w:r>
        <w:continuationSeparator/>
      </w:r>
    </w:p>
  </w:footnote>
  <w:footnote w:id="1">
    <w:p w14:paraId="717ACAC5" w14:textId="77777777" w:rsidR="00C61FC5" w:rsidRPr="00FE6DDE" w:rsidRDefault="00C61FC5" w:rsidP="00FE6DDE">
      <w:pPr>
        <w:tabs>
          <w:tab w:val="left" w:pos="202"/>
        </w:tabs>
        <w:spacing w:line="272" w:lineRule="auto"/>
        <w:ind w:right="320"/>
        <w:rPr>
          <w:rFonts w:ascii="Arial" w:eastAsia="Arial" w:hAnsi="Arial" w:cs="Arial"/>
          <w:sz w:val="18"/>
          <w:szCs w:val="18"/>
        </w:rPr>
      </w:pPr>
      <w:r w:rsidRPr="006F6B9F">
        <w:rPr>
          <w:rStyle w:val="FootnoteReference"/>
        </w:rPr>
        <w:footnoteRef/>
      </w:r>
      <w:r>
        <w:rPr>
          <w:rFonts w:ascii="Arial" w:eastAsia="Arial" w:hAnsi="Arial" w:cs="Arial"/>
          <w:sz w:val="18"/>
          <w:szCs w:val="18"/>
        </w:rPr>
        <w:t>We do not adopt the government’s label ‘illegal maritime arrivals’ as it presupposes this group of persons to be illegal by virtue of an arbitrary distinction created by the government between asylum seekers arriving to Australian by boat and those arriving by plane. We refer to this group of people as ‘asylum seekers’ for the remainder of the article.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BCDCC604"/>
    <w:lvl w:ilvl="0" w:tplc="19286052">
      <w:start w:val="1"/>
      <w:numFmt w:val="bullet"/>
      <w:lvlText w:val="•"/>
      <w:lvlJc w:val="left"/>
    </w:lvl>
    <w:lvl w:ilvl="1" w:tplc="A76A0D86">
      <w:numFmt w:val="decimal"/>
      <w:lvlText w:val=""/>
      <w:lvlJc w:val="left"/>
    </w:lvl>
    <w:lvl w:ilvl="2" w:tplc="1DB622F8">
      <w:numFmt w:val="decimal"/>
      <w:lvlText w:val=""/>
      <w:lvlJc w:val="left"/>
    </w:lvl>
    <w:lvl w:ilvl="3" w:tplc="06286788">
      <w:numFmt w:val="decimal"/>
      <w:lvlText w:val=""/>
      <w:lvlJc w:val="left"/>
    </w:lvl>
    <w:lvl w:ilvl="4" w:tplc="5126ACB8">
      <w:numFmt w:val="decimal"/>
      <w:lvlText w:val=""/>
      <w:lvlJc w:val="left"/>
    </w:lvl>
    <w:lvl w:ilvl="5" w:tplc="9064B0B4">
      <w:numFmt w:val="decimal"/>
      <w:lvlText w:val=""/>
      <w:lvlJc w:val="left"/>
    </w:lvl>
    <w:lvl w:ilvl="6" w:tplc="9CECA716">
      <w:numFmt w:val="decimal"/>
      <w:lvlText w:val=""/>
      <w:lvlJc w:val="left"/>
    </w:lvl>
    <w:lvl w:ilvl="7" w:tplc="8806DF6E">
      <w:numFmt w:val="decimal"/>
      <w:lvlText w:val=""/>
      <w:lvlJc w:val="left"/>
    </w:lvl>
    <w:lvl w:ilvl="8" w:tplc="1158B778">
      <w:numFmt w:val="decimal"/>
      <w:lvlText w:val=""/>
      <w:lvlJc w:val="left"/>
    </w:lvl>
  </w:abstractNum>
  <w:abstractNum w:abstractNumId="1" w15:restartNumberingAfterBreak="0">
    <w:nsid w:val="00000BB3"/>
    <w:multiLevelType w:val="hybridMultilevel"/>
    <w:tmpl w:val="267EF60A"/>
    <w:lvl w:ilvl="0" w:tplc="7BDAC4F2">
      <w:start w:val="1"/>
      <w:numFmt w:val="decimal"/>
      <w:lvlText w:val="%1."/>
      <w:lvlJc w:val="left"/>
    </w:lvl>
    <w:lvl w:ilvl="1" w:tplc="0B24B014">
      <w:numFmt w:val="decimal"/>
      <w:lvlText w:val=""/>
      <w:lvlJc w:val="left"/>
    </w:lvl>
    <w:lvl w:ilvl="2" w:tplc="7C228FDA">
      <w:numFmt w:val="decimal"/>
      <w:lvlText w:val=""/>
      <w:lvlJc w:val="left"/>
    </w:lvl>
    <w:lvl w:ilvl="3" w:tplc="2B301832">
      <w:numFmt w:val="decimal"/>
      <w:lvlText w:val=""/>
      <w:lvlJc w:val="left"/>
    </w:lvl>
    <w:lvl w:ilvl="4" w:tplc="BE66F96E">
      <w:numFmt w:val="decimal"/>
      <w:lvlText w:val=""/>
      <w:lvlJc w:val="left"/>
    </w:lvl>
    <w:lvl w:ilvl="5" w:tplc="AC0A757C">
      <w:numFmt w:val="decimal"/>
      <w:lvlText w:val=""/>
      <w:lvlJc w:val="left"/>
    </w:lvl>
    <w:lvl w:ilvl="6" w:tplc="8952B0B2">
      <w:numFmt w:val="decimal"/>
      <w:lvlText w:val=""/>
      <w:lvlJc w:val="left"/>
    </w:lvl>
    <w:lvl w:ilvl="7" w:tplc="3424D864">
      <w:numFmt w:val="decimal"/>
      <w:lvlText w:val=""/>
      <w:lvlJc w:val="left"/>
    </w:lvl>
    <w:lvl w:ilvl="8" w:tplc="0498B9BC">
      <w:numFmt w:val="decimal"/>
      <w:lvlText w:val=""/>
      <w:lvlJc w:val="left"/>
    </w:lvl>
  </w:abstractNum>
  <w:abstractNum w:abstractNumId="2" w15:restartNumberingAfterBreak="0">
    <w:nsid w:val="000026E9"/>
    <w:multiLevelType w:val="hybridMultilevel"/>
    <w:tmpl w:val="11DA4BB4"/>
    <w:lvl w:ilvl="0" w:tplc="A22E3816">
      <w:start w:val="1"/>
      <w:numFmt w:val="bullet"/>
      <w:lvlText w:val="•"/>
      <w:lvlJc w:val="left"/>
    </w:lvl>
    <w:lvl w:ilvl="1" w:tplc="F04C1B9E">
      <w:numFmt w:val="decimal"/>
      <w:lvlText w:val=""/>
      <w:lvlJc w:val="left"/>
    </w:lvl>
    <w:lvl w:ilvl="2" w:tplc="E1CCF588">
      <w:numFmt w:val="decimal"/>
      <w:lvlText w:val=""/>
      <w:lvlJc w:val="left"/>
    </w:lvl>
    <w:lvl w:ilvl="3" w:tplc="17E4E156">
      <w:numFmt w:val="decimal"/>
      <w:lvlText w:val=""/>
      <w:lvlJc w:val="left"/>
    </w:lvl>
    <w:lvl w:ilvl="4" w:tplc="1CC40B30">
      <w:numFmt w:val="decimal"/>
      <w:lvlText w:val=""/>
      <w:lvlJc w:val="left"/>
    </w:lvl>
    <w:lvl w:ilvl="5" w:tplc="895E51D0">
      <w:numFmt w:val="decimal"/>
      <w:lvlText w:val=""/>
      <w:lvlJc w:val="left"/>
    </w:lvl>
    <w:lvl w:ilvl="6" w:tplc="1F16F922">
      <w:numFmt w:val="decimal"/>
      <w:lvlText w:val=""/>
      <w:lvlJc w:val="left"/>
    </w:lvl>
    <w:lvl w:ilvl="7" w:tplc="1D5007DA">
      <w:numFmt w:val="decimal"/>
      <w:lvlText w:val=""/>
      <w:lvlJc w:val="left"/>
    </w:lvl>
    <w:lvl w:ilvl="8" w:tplc="89FC31E6">
      <w:numFmt w:val="decimal"/>
      <w:lvlText w:val=""/>
      <w:lvlJc w:val="left"/>
    </w:lvl>
  </w:abstractNum>
  <w:abstractNum w:abstractNumId="3" w15:restartNumberingAfterBreak="0">
    <w:nsid w:val="00002EA6"/>
    <w:multiLevelType w:val="hybridMultilevel"/>
    <w:tmpl w:val="029093E0"/>
    <w:lvl w:ilvl="0" w:tplc="682CF1C4">
      <w:start w:val="5"/>
      <w:numFmt w:val="decimal"/>
      <w:lvlText w:val="%1."/>
      <w:lvlJc w:val="left"/>
    </w:lvl>
    <w:lvl w:ilvl="1" w:tplc="B1BE4F10">
      <w:numFmt w:val="decimal"/>
      <w:lvlText w:val=""/>
      <w:lvlJc w:val="left"/>
    </w:lvl>
    <w:lvl w:ilvl="2" w:tplc="699E4964">
      <w:numFmt w:val="decimal"/>
      <w:lvlText w:val=""/>
      <w:lvlJc w:val="left"/>
    </w:lvl>
    <w:lvl w:ilvl="3" w:tplc="D0700FEA">
      <w:numFmt w:val="decimal"/>
      <w:lvlText w:val=""/>
      <w:lvlJc w:val="left"/>
    </w:lvl>
    <w:lvl w:ilvl="4" w:tplc="C74EA986">
      <w:numFmt w:val="decimal"/>
      <w:lvlText w:val=""/>
      <w:lvlJc w:val="left"/>
    </w:lvl>
    <w:lvl w:ilvl="5" w:tplc="EF7AAA18">
      <w:numFmt w:val="decimal"/>
      <w:lvlText w:val=""/>
      <w:lvlJc w:val="left"/>
    </w:lvl>
    <w:lvl w:ilvl="6" w:tplc="005037A2">
      <w:numFmt w:val="decimal"/>
      <w:lvlText w:val=""/>
      <w:lvlJc w:val="left"/>
    </w:lvl>
    <w:lvl w:ilvl="7" w:tplc="9182A2E2">
      <w:numFmt w:val="decimal"/>
      <w:lvlText w:val=""/>
      <w:lvlJc w:val="left"/>
    </w:lvl>
    <w:lvl w:ilvl="8" w:tplc="1FC65FA0">
      <w:numFmt w:val="decimal"/>
      <w:lvlText w:val=""/>
      <w:lvlJc w:val="left"/>
    </w:lvl>
  </w:abstractNum>
  <w:abstractNum w:abstractNumId="4" w15:restartNumberingAfterBreak="0">
    <w:nsid w:val="000041BB"/>
    <w:multiLevelType w:val="hybridMultilevel"/>
    <w:tmpl w:val="812CE130"/>
    <w:lvl w:ilvl="0" w:tplc="8BDC0E88">
      <w:start w:val="1"/>
      <w:numFmt w:val="bullet"/>
      <w:lvlText w:val="•"/>
      <w:lvlJc w:val="left"/>
    </w:lvl>
    <w:lvl w:ilvl="1" w:tplc="C12A0006">
      <w:numFmt w:val="decimal"/>
      <w:lvlText w:val=""/>
      <w:lvlJc w:val="left"/>
    </w:lvl>
    <w:lvl w:ilvl="2" w:tplc="50F41116">
      <w:numFmt w:val="decimal"/>
      <w:lvlText w:val=""/>
      <w:lvlJc w:val="left"/>
    </w:lvl>
    <w:lvl w:ilvl="3" w:tplc="C36A4DB6">
      <w:numFmt w:val="decimal"/>
      <w:lvlText w:val=""/>
      <w:lvlJc w:val="left"/>
    </w:lvl>
    <w:lvl w:ilvl="4" w:tplc="C1848BDC">
      <w:numFmt w:val="decimal"/>
      <w:lvlText w:val=""/>
      <w:lvlJc w:val="left"/>
    </w:lvl>
    <w:lvl w:ilvl="5" w:tplc="207A4456">
      <w:numFmt w:val="decimal"/>
      <w:lvlText w:val=""/>
      <w:lvlJc w:val="left"/>
    </w:lvl>
    <w:lvl w:ilvl="6" w:tplc="2D522B3E">
      <w:numFmt w:val="decimal"/>
      <w:lvlText w:val=""/>
      <w:lvlJc w:val="left"/>
    </w:lvl>
    <w:lvl w:ilvl="7" w:tplc="65446108">
      <w:numFmt w:val="decimal"/>
      <w:lvlText w:val=""/>
      <w:lvlJc w:val="left"/>
    </w:lvl>
    <w:lvl w:ilvl="8" w:tplc="018EE80E">
      <w:numFmt w:val="decimal"/>
      <w:lvlText w:val=""/>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5BF"/>
    <w:rsid w:val="00040AFC"/>
    <w:rsid w:val="0005055C"/>
    <w:rsid w:val="00055E6B"/>
    <w:rsid w:val="000A19A4"/>
    <w:rsid w:val="000B5F0D"/>
    <w:rsid w:val="000C5134"/>
    <w:rsid w:val="000C7C07"/>
    <w:rsid w:val="000D23F7"/>
    <w:rsid w:val="000E1D46"/>
    <w:rsid w:val="0015030D"/>
    <w:rsid w:val="001612D7"/>
    <w:rsid w:val="00166AEB"/>
    <w:rsid w:val="00195229"/>
    <w:rsid w:val="001B0392"/>
    <w:rsid w:val="001C3766"/>
    <w:rsid w:val="001D26FA"/>
    <w:rsid w:val="001E54DD"/>
    <w:rsid w:val="00217009"/>
    <w:rsid w:val="002370BF"/>
    <w:rsid w:val="00256D1A"/>
    <w:rsid w:val="002A0A84"/>
    <w:rsid w:val="002B0DE1"/>
    <w:rsid w:val="003151D2"/>
    <w:rsid w:val="003205EE"/>
    <w:rsid w:val="00324646"/>
    <w:rsid w:val="003450F8"/>
    <w:rsid w:val="0034751B"/>
    <w:rsid w:val="003516D0"/>
    <w:rsid w:val="00366808"/>
    <w:rsid w:val="0037107E"/>
    <w:rsid w:val="003736A1"/>
    <w:rsid w:val="003823F6"/>
    <w:rsid w:val="003901D0"/>
    <w:rsid w:val="003D4F61"/>
    <w:rsid w:val="00400568"/>
    <w:rsid w:val="004076BF"/>
    <w:rsid w:val="0042111A"/>
    <w:rsid w:val="00421AA9"/>
    <w:rsid w:val="00426C54"/>
    <w:rsid w:val="004B6F80"/>
    <w:rsid w:val="00501881"/>
    <w:rsid w:val="00503BFE"/>
    <w:rsid w:val="00521581"/>
    <w:rsid w:val="00552EB4"/>
    <w:rsid w:val="005558E5"/>
    <w:rsid w:val="005644F3"/>
    <w:rsid w:val="00572FEE"/>
    <w:rsid w:val="005C5460"/>
    <w:rsid w:val="005F6DF8"/>
    <w:rsid w:val="00622AB2"/>
    <w:rsid w:val="006252ED"/>
    <w:rsid w:val="00677728"/>
    <w:rsid w:val="00677D2B"/>
    <w:rsid w:val="00681448"/>
    <w:rsid w:val="006979D6"/>
    <w:rsid w:val="006A6D65"/>
    <w:rsid w:val="006A6F54"/>
    <w:rsid w:val="006B2355"/>
    <w:rsid w:val="006C06C4"/>
    <w:rsid w:val="006C08E7"/>
    <w:rsid w:val="006C1CCC"/>
    <w:rsid w:val="006C2EF3"/>
    <w:rsid w:val="006D162F"/>
    <w:rsid w:val="006E432E"/>
    <w:rsid w:val="006F6B9F"/>
    <w:rsid w:val="007232AE"/>
    <w:rsid w:val="00735237"/>
    <w:rsid w:val="007A390D"/>
    <w:rsid w:val="007A7168"/>
    <w:rsid w:val="007D0613"/>
    <w:rsid w:val="007D1F26"/>
    <w:rsid w:val="007D26B0"/>
    <w:rsid w:val="007D2757"/>
    <w:rsid w:val="007D3CA3"/>
    <w:rsid w:val="00835821"/>
    <w:rsid w:val="008746A7"/>
    <w:rsid w:val="00883F0D"/>
    <w:rsid w:val="00884663"/>
    <w:rsid w:val="0088644C"/>
    <w:rsid w:val="008941FE"/>
    <w:rsid w:val="008C130D"/>
    <w:rsid w:val="008C3BA3"/>
    <w:rsid w:val="008D370B"/>
    <w:rsid w:val="00921582"/>
    <w:rsid w:val="0095076A"/>
    <w:rsid w:val="009530EC"/>
    <w:rsid w:val="00963CC0"/>
    <w:rsid w:val="0096589D"/>
    <w:rsid w:val="00970967"/>
    <w:rsid w:val="00983319"/>
    <w:rsid w:val="00986F95"/>
    <w:rsid w:val="009941DD"/>
    <w:rsid w:val="009A315E"/>
    <w:rsid w:val="009C3693"/>
    <w:rsid w:val="009C6981"/>
    <w:rsid w:val="009D2EBE"/>
    <w:rsid w:val="00A06104"/>
    <w:rsid w:val="00A245BF"/>
    <w:rsid w:val="00A45AD6"/>
    <w:rsid w:val="00A77963"/>
    <w:rsid w:val="00A83310"/>
    <w:rsid w:val="00AB582A"/>
    <w:rsid w:val="00B16976"/>
    <w:rsid w:val="00B36879"/>
    <w:rsid w:val="00B36C98"/>
    <w:rsid w:val="00B627EC"/>
    <w:rsid w:val="00B90207"/>
    <w:rsid w:val="00BA3993"/>
    <w:rsid w:val="00BA783A"/>
    <w:rsid w:val="00BC00F2"/>
    <w:rsid w:val="00BC6212"/>
    <w:rsid w:val="00BD298A"/>
    <w:rsid w:val="00BE4649"/>
    <w:rsid w:val="00C1009E"/>
    <w:rsid w:val="00C21D0B"/>
    <w:rsid w:val="00C46961"/>
    <w:rsid w:val="00C47D99"/>
    <w:rsid w:val="00C61FC5"/>
    <w:rsid w:val="00C90E07"/>
    <w:rsid w:val="00C91D1E"/>
    <w:rsid w:val="00CA6F9D"/>
    <w:rsid w:val="00CA79E5"/>
    <w:rsid w:val="00CB5D67"/>
    <w:rsid w:val="00CC5C5D"/>
    <w:rsid w:val="00CE6079"/>
    <w:rsid w:val="00CF1E52"/>
    <w:rsid w:val="00CF54DD"/>
    <w:rsid w:val="00CF6EED"/>
    <w:rsid w:val="00D34712"/>
    <w:rsid w:val="00D472CF"/>
    <w:rsid w:val="00D82CDF"/>
    <w:rsid w:val="00D86566"/>
    <w:rsid w:val="00D9551F"/>
    <w:rsid w:val="00DA44AF"/>
    <w:rsid w:val="00DA7AA0"/>
    <w:rsid w:val="00DC5478"/>
    <w:rsid w:val="00DD706B"/>
    <w:rsid w:val="00E0745B"/>
    <w:rsid w:val="00E07941"/>
    <w:rsid w:val="00EA6096"/>
    <w:rsid w:val="00EC1E12"/>
    <w:rsid w:val="00F06A85"/>
    <w:rsid w:val="00F55909"/>
    <w:rsid w:val="00F66EE8"/>
    <w:rsid w:val="00F7686B"/>
    <w:rsid w:val="00F9515A"/>
    <w:rsid w:val="00FE68D6"/>
    <w:rsid w:val="00FE6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0D7F1"/>
  <w15:chartTrackingRefBased/>
  <w15:docId w15:val="{80D16A4D-48E2-6440-857A-6942C886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5BF"/>
    <w:rPr>
      <w:rFonts w:ascii="Times New Roman" w:eastAsiaTheme="minorEastAsia" w:hAnsi="Times New Roman" w:cs="Times New Roman"/>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F54"/>
    <w:rPr>
      <w:color w:val="0563C1" w:themeColor="hyperlink"/>
      <w:u w:val="single"/>
    </w:rPr>
  </w:style>
  <w:style w:type="paragraph" w:styleId="FootnoteText">
    <w:name w:val="footnote text"/>
    <w:basedOn w:val="Normal"/>
    <w:link w:val="FootnoteTextChar"/>
    <w:uiPriority w:val="99"/>
    <w:semiHidden/>
    <w:unhideWhenUsed/>
    <w:rsid w:val="006C08E7"/>
    <w:rPr>
      <w:sz w:val="20"/>
      <w:szCs w:val="20"/>
    </w:rPr>
  </w:style>
  <w:style w:type="character" w:customStyle="1" w:styleId="FootnoteTextChar">
    <w:name w:val="Footnote Text Char"/>
    <w:basedOn w:val="DefaultParagraphFont"/>
    <w:link w:val="FootnoteText"/>
    <w:uiPriority w:val="99"/>
    <w:semiHidden/>
    <w:rsid w:val="006C08E7"/>
    <w:rPr>
      <w:rFonts w:ascii="Times New Roman" w:eastAsiaTheme="minorEastAsia" w:hAnsi="Times New Roman" w:cs="Times New Roman"/>
      <w:sz w:val="20"/>
      <w:szCs w:val="20"/>
      <w:lang w:eastAsia="en-AU"/>
    </w:rPr>
  </w:style>
  <w:style w:type="character" w:styleId="FootnoteReference">
    <w:name w:val="footnote reference"/>
    <w:basedOn w:val="DefaultParagraphFont"/>
    <w:uiPriority w:val="99"/>
    <w:semiHidden/>
    <w:unhideWhenUsed/>
    <w:rsid w:val="006C08E7"/>
    <w:rPr>
      <w:vertAlign w:val="superscript"/>
    </w:rPr>
  </w:style>
  <w:style w:type="character" w:styleId="FollowedHyperlink">
    <w:name w:val="FollowedHyperlink"/>
    <w:basedOn w:val="DefaultParagraphFont"/>
    <w:uiPriority w:val="99"/>
    <w:semiHidden/>
    <w:unhideWhenUsed/>
    <w:rsid w:val="00EA6096"/>
    <w:rPr>
      <w:color w:val="954F72" w:themeColor="followedHyperlink"/>
      <w:u w:val="single"/>
    </w:rPr>
  </w:style>
  <w:style w:type="paragraph" w:styleId="BalloonText">
    <w:name w:val="Balloon Text"/>
    <w:basedOn w:val="Normal"/>
    <w:link w:val="BalloonTextChar"/>
    <w:uiPriority w:val="99"/>
    <w:semiHidden/>
    <w:unhideWhenUsed/>
    <w:rsid w:val="00EA6096"/>
    <w:rPr>
      <w:sz w:val="18"/>
      <w:szCs w:val="18"/>
    </w:rPr>
  </w:style>
  <w:style w:type="character" w:customStyle="1" w:styleId="BalloonTextChar">
    <w:name w:val="Balloon Text Char"/>
    <w:basedOn w:val="DefaultParagraphFont"/>
    <w:link w:val="BalloonText"/>
    <w:uiPriority w:val="99"/>
    <w:semiHidden/>
    <w:rsid w:val="00EA6096"/>
    <w:rPr>
      <w:rFonts w:ascii="Times New Roman" w:eastAsiaTheme="minorEastAsia" w:hAnsi="Times New Roman" w:cs="Times New Roman"/>
      <w:sz w:val="18"/>
      <w:szCs w:val="18"/>
      <w:lang w:eastAsia="en-AU"/>
    </w:rPr>
  </w:style>
  <w:style w:type="character" w:styleId="EndnoteReference">
    <w:name w:val="endnote reference"/>
    <w:basedOn w:val="DefaultParagraphFont"/>
    <w:uiPriority w:val="99"/>
    <w:semiHidden/>
    <w:unhideWhenUsed/>
    <w:rsid w:val="00C61FC5"/>
    <w:rPr>
      <w:vertAlign w:val="superscript"/>
    </w:rPr>
  </w:style>
  <w:style w:type="character" w:customStyle="1" w:styleId="UnresolvedMention1">
    <w:name w:val="Unresolved Mention1"/>
    <w:basedOn w:val="DefaultParagraphFont"/>
    <w:uiPriority w:val="99"/>
    <w:semiHidden/>
    <w:unhideWhenUsed/>
    <w:rsid w:val="00970967"/>
    <w:rPr>
      <w:color w:val="605E5C"/>
      <w:shd w:val="clear" w:color="auto" w:fill="E1DFDD"/>
    </w:rPr>
  </w:style>
  <w:style w:type="character" w:styleId="CommentReference">
    <w:name w:val="annotation reference"/>
    <w:basedOn w:val="DefaultParagraphFont"/>
    <w:uiPriority w:val="99"/>
    <w:semiHidden/>
    <w:unhideWhenUsed/>
    <w:rsid w:val="005F6DF8"/>
    <w:rPr>
      <w:sz w:val="16"/>
      <w:szCs w:val="16"/>
    </w:rPr>
  </w:style>
  <w:style w:type="paragraph" w:styleId="CommentText">
    <w:name w:val="annotation text"/>
    <w:basedOn w:val="Normal"/>
    <w:link w:val="CommentTextChar"/>
    <w:uiPriority w:val="99"/>
    <w:semiHidden/>
    <w:unhideWhenUsed/>
    <w:rsid w:val="005F6DF8"/>
    <w:rPr>
      <w:sz w:val="20"/>
      <w:szCs w:val="20"/>
    </w:rPr>
  </w:style>
  <w:style w:type="character" w:customStyle="1" w:styleId="CommentTextChar">
    <w:name w:val="Comment Text Char"/>
    <w:basedOn w:val="DefaultParagraphFont"/>
    <w:link w:val="CommentText"/>
    <w:uiPriority w:val="99"/>
    <w:semiHidden/>
    <w:rsid w:val="005F6DF8"/>
    <w:rPr>
      <w:rFonts w:ascii="Times New Roman" w:eastAsiaTheme="minorEastAsia"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6DF8"/>
    <w:rPr>
      <w:b/>
      <w:bCs/>
    </w:rPr>
  </w:style>
  <w:style w:type="character" w:customStyle="1" w:styleId="CommentSubjectChar">
    <w:name w:val="Comment Subject Char"/>
    <w:basedOn w:val="CommentTextChar"/>
    <w:link w:val="CommentSubject"/>
    <w:uiPriority w:val="99"/>
    <w:semiHidden/>
    <w:rsid w:val="005F6DF8"/>
    <w:rPr>
      <w:rFonts w:ascii="Times New Roman" w:eastAsiaTheme="minorEastAsia" w:hAnsi="Times New Roman" w:cs="Times New Roman"/>
      <w:b/>
      <w:bCs/>
      <w:sz w:val="20"/>
      <w:szCs w:val="20"/>
      <w:lang w:eastAsia="en-AU"/>
    </w:rPr>
  </w:style>
  <w:style w:type="character" w:customStyle="1" w:styleId="il">
    <w:name w:val="il"/>
    <w:basedOn w:val="DefaultParagraphFont"/>
    <w:rsid w:val="005F6DF8"/>
  </w:style>
  <w:style w:type="character" w:customStyle="1" w:styleId="UnresolvedMention2">
    <w:name w:val="Unresolved Mention2"/>
    <w:basedOn w:val="DefaultParagraphFont"/>
    <w:uiPriority w:val="99"/>
    <w:semiHidden/>
    <w:unhideWhenUsed/>
    <w:rsid w:val="00A83310"/>
    <w:rPr>
      <w:color w:val="605E5C"/>
      <w:shd w:val="clear" w:color="auto" w:fill="E1DFDD"/>
    </w:rPr>
  </w:style>
  <w:style w:type="paragraph" w:styleId="Revision">
    <w:name w:val="Revision"/>
    <w:hidden/>
    <w:uiPriority w:val="99"/>
    <w:semiHidden/>
    <w:rsid w:val="00CE6079"/>
    <w:rPr>
      <w:rFonts w:ascii="Times New Roman" w:eastAsiaTheme="minorEastAsia" w:hAnsi="Times New Roman" w:cs="Times New Roman"/>
      <w:sz w:val="22"/>
      <w:szCs w:val="22"/>
      <w:lang w:eastAsia="en-AU"/>
    </w:rPr>
  </w:style>
  <w:style w:type="paragraph" w:styleId="NormalWeb">
    <w:name w:val="Normal (Web)"/>
    <w:basedOn w:val="Normal"/>
    <w:uiPriority w:val="99"/>
    <w:semiHidden/>
    <w:unhideWhenUsed/>
    <w:rsid w:val="000C7C07"/>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986">
      <w:bodyDiv w:val="1"/>
      <w:marLeft w:val="0"/>
      <w:marRight w:val="0"/>
      <w:marTop w:val="0"/>
      <w:marBottom w:val="0"/>
      <w:divBdr>
        <w:top w:val="none" w:sz="0" w:space="0" w:color="auto"/>
        <w:left w:val="none" w:sz="0" w:space="0" w:color="auto"/>
        <w:bottom w:val="none" w:sz="0" w:space="0" w:color="auto"/>
        <w:right w:val="none" w:sz="0" w:space="0" w:color="auto"/>
      </w:divBdr>
    </w:div>
    <w:div w:id="790444326">
      <w:bodyDiv w:val="1"/>
      <w:marLeft w:val="0"/>
      <w:marRight w:val="0"/>
      <w:marTop w:val="0"/>
      <w:marBottom w:val="0"/>
      <w:divBdr>
        <w:top w:val="none" w:sz="0" w:space="0" w:color="auto"/>
        <w:left w:val="none" w:sz="0" w:space="0" w:color="auto"/>
        <w:bottom w:val="none" w:sz="0" w:space="0" w:color="auto"/>
        <w:right w:val="none" w:sz="0" w:space="0" w:color="auto"/>
      </w:divBdr>
    </w:div>
    <w:div w:id="895091578">
      <w:bodyDiv w:val="1"/>
      <w:marLeft w:val="0"/>
      <w:marRight w:val="0"/>
      <w:marTop w:val="0"/>
      <w:marBottom w:val="0"/>
      <w:divBdr>
        <w:top w:val="none" w:sz="0" w:space="0" w:color="auto"/>
        <w:left w:val="none" w:sz="0" w:space="0" w:color="auto"/>
        <w:bottom w:val="none" w:sz="0" w:space="0" w:color="auto"/>
        <w:right w:val="none" w:sz="0" w:space="0" w:color="auto"/>
      </w:divBdr>
    </w:div>
    <w:div w:id="1005330227">
      <w:bodyDiv w:val="1"/>
      <w:marLeft w:val="0"/>
      <w:marRight w:val="0"/>
      <w:marTop w:val="0"/>
      <w:marBottom w:val="0"/>
      <w:divBdr>
        <w:top w:val="none" w:sz="0" w:space="0" w:color="auto"/>
        <w:left w:val="none" w:sz="0" w:space="0" w:color="auto"/>
        <w:bottom w:val="none" w:sz="0" w:space="0" w:color="auto"/>
        <w:right w:val="none" w:sz="0" w:space="0" w:color="auto"/>
      </w:divBdr>
    </w:div>
    <w:div w:id="1253129168">
      <w:bodyDiv w:val="1"/>
      <w:marLeft w:val="0"/>
      <w:marRight w:val="0"/>
      <w:marTop w:val="0"/>
      <w:marBottom w:val="0"/>
      <w:divBdr>
        <w:top w:val="none" w:sz="0" w:space="0" w:color="auto"/>
        <w:left w:val="none" w:sz="0" w:space="0" w:color="auto"/>
        <w:bottom w:val="none" w:sz="0" w:space="0" w:color="auto"/>
        <w:right w:val="none" w:sz="0" w:space="0" w:color="auto"/>
      </w:divBdr>
    </w:div>
    <w:div w:id="1583251328">
      <w:bodyDiv w:val="1"/>
      <w:marLeft w:val="0"/>
      <w:marRight w:val="0"/>
      <w:marTop w:val="0"/>
      <w:marBottom w:val="0"/>
      <w:divBdr>
        <w:top w:val="none" w:sz="0" w:space="0" w:color="auto"/>
        <w:left w:val="none" w:sz="0" w:space="0" w:color="auto"/>
        <w:bottom w:val="none" w:sz="0" w:space="0" w:color="auto"/>
        <w:right w:val="none" w:sz="0" w:space="0" w:color="auto"/>
      </w:divBdr>
    </w:div>
    <w:div w:id="1591236408">
      <w:bodyDiv w:val="1"/>
      <w:marLeft w:val="0"/>
      <w:marRight w:val="0"/>
      <w:marTop w:val="0"/>
      <w:marBottom w:val="0"/>
      <w:divBdr>
        <w:top w:val="none" w:sz="0" w:space="0" w:color="auto"/>
        <w:left w:val="none" w:sz="0" w:space="0" w:color="auto"/>
        <w:bottom w:val="none" w:sz="0" w:space="0" w:color="auto"/>
        <w:right w:val="none" w:sz="0" w:space="0" w:color="auto"/>
      </w:divBdr>
    </w:div>
    <w:div w:id="21467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i.homeaffairs.gov.au/form-listing/forms/1444i.pdf" TargetMode="External"/><Relationship Id="rId13" Type="http://schemas.openxmlformats.org/officeDocument/2006/relationships/hyperlink" Target="https://www.alrc.gov.au/publications/infringement-notices-offensive-language-2" TargetMode="External"/><Relationship Id="rId18" Type="http://schemas.openxmlformats.org/officeDocument/2006/relationships/hyperlink" Target="https://www.aph.gov.au/Parliamentary_Business/Committees/Joint/Human_Rights/Scrutiny_reports/2014/244/c05" TargetMode="External"/><Relationship Id="rId26" Type="http://schemas.openxmlformats.org/officeDocument/2006/relationships/hyperlink" Target="http://www.abc.net.au/news/2014-11-29/refugee-code-of-conduct-stressful-asylum-seekers-say/5923700" TargetMode="External"/><Relationship Id="rId3" Type="http://schemas.openxmlformats.org/officeDocument/2006/relationships/settings" Target="settings.xml"/><Relationship Id="rId21" Type="http://schemas.openxmlformats.org/officeDocument/2006/relationships/hyperlink" Target="http://classic.austlii.edu.au/au/journals/UTSLRS/2015/10.html" TargetMode="External"/><Relationship Id="rId7" Type="http://schemas.openxmlformats.org/officeDocument/2006/relationships/hyperlink" Target="http://classic.austlii.edu.au/au/journals/UTSLRS/2015/10.html" TargetMode="External"/><Relationship Id="rId12" Type="http://schemas.openxmlformats.org/officeDocument/2006/relationships/hyperlink" Target="http://www.austlii.edu.au/au/journals/UQLawJl/2005/5.html" TargetMode="External"/><Relationship Id="rId17" Type="http://schemas.openxmlformats.org/officeDocument/2006/relationships/hyperlink" Target="https://www.legislation.gov.au/Details/F2013L02102/Explanatory%20Statement/Text" TargetMode="External"/><Relationship Id="rId25" Type="http://schemas.openxmlformats.org/officeDocument/2006/relationships/hyperlink" Target="https://academicsforrefugees.files.wordpress.com/2017/10/an-unfair-and-dangerous-process-final.pdf" TargetMode="External"/><Relationship Id="rId2" Type="http://schemas.openxmlformats.org/officeDocument/2006/relationships/styles" Target="styles.xml"/><Relationship Id="rId16" Type="http://schemas.openxmlformats.org/officeDocument/2006/relationships/hyperlink" Target="https://www.legislation.gov.au/Details/F2013L02102/Explanatory%20Statement/Text" TargetMode="External"/><Relationship Id="rId20" Type="http://schemas.openxmlformats.org/officeDocument/2006/relationships/hyperlink" Target="https://www.alrc.gov.au/publications/common-law-presump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reform.justice.nsw.gov.au/Documents/Publications/Reports/Report-132.pdf" TargetMode="External"/><Relationship Id="rId24" Type="http://schemas.openxmlformats.org/officeDocument/2006/relationships/hyperlink" Target="https://papers.ssrn.com/sol3/papers.cfm?abstract_id=2662547" TargetMode="External"/><Relationship Id="rId5" Type="http://schemas.openxmlformats.org/officeDocument/2006/relationships/footnotes" Target="footnotes.xml"/><Relationship Id="rId15" Type="http://schemas.openxmlformats.org/officeDocument/2006/relationships/hyperlink" Target="http://classic.austlii.edu.au/au/journals/UQLawJl/2005/5.html" TargetMode="External"/><Relationship Id="rId23" Type="http://schemas.openxmlformats.org/officeDocument/2006/relationships/hyperlink" Target="https://www.news.com.au/national/nsw-act/tony-abbott-wanted-malcolm-turnbulls-cbomb-attack-hushed-up/news-story/e0c1f781821ca86d533d59e6f551da28" TargetMode="External"/><Relationship Id="rId28" Type="http://schemas.openxmlformats.org/officeDocument/2006/relationships/theme" Target="theme/theme1.xml"/><Relationship Id="rId10" Type="http://schemas.openxmlformats.org/officeDocument/2006/relationships/hyperlink" Target="https://opus.lib.uts.edu.au/handle/10453/90323" TargetMode="External"/><Relationship Id="rId19" Type="http://schemas.openxmlformats.org/officeDocument/2006/relationships/hyperlink" Target="http://www.austlii.edu.au/cgi-bin/viewdoc/au/legis/cth/consol_act/ma1958118/s116.html" TargetMode="External"/><Relationship Id="rId4" Type="http://schemas.openxmlformats.org/officeDocument/2006/relationships/webSettings" Target="webSettings.xml"/><Relationship Id="rId9" Type="http://schemas.openxmlformats.org/officeDocument/2006/relationships/hyperlink" Target="https://www.homeaffairs.gov.au/research-and-stats/files/illegal-maritime-arrivals-bve-dec-2018.pdf" TargetMode="External"/><Relationship Id="rId14" Type="http://schemas.openxmlformats.org/officeDocument/2006/relationships/hyperlink" Target="https://www.tandfonline.com/doi/abs/10.1080/13676260120111742" TargetMode="External"/><Relationship Id="rId22" Type="http://schemas.openxmlformats.org/officeDocument/2006/relationships/hyperlink" Target="https://www.alrc.gov.au/publications/common-law-principle-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Vogl</dc:creator>
  <cp:keywords/>
  <dc:description/>
  <cp:lastModifiedBy>XX</cp:lastModifiedBy>
  <cp:revision>6</cp:revision>
  <cp:lastPrinted>2019-02-13T06:34:00Z</cp:lastPrinted>
  <dcterms:created xsi:type="dcterms:W3CDTF">2019-02-13T06:03:00Z</dcterms:created>
  <dcterms:modified xsi:type="dcterms:W3CDTF">2019-02-22T01:54:00Z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id="wN7wdGV4"/&gt;&lt;style id="http://www.zotero.org/styles/australian-guide-to-legal-citation" hasBibliography="1" bibliographyStyleHasBeenSet="0"/&gt;&lt;prefs&gt;&lt;pref name="fieldType" value="Field"/&gt;&lt;pref name</vt:lpwstr>
  </property>
  <property fmtid="{D5CDD505-2E9C-101B-9397-08002B2CF9AE}" pid="3" name="ZOTERO_PREF_2">
    <vt:lpwstr>="noteType" value="1"/&gt;&lt;/prefs&gt;&lt;/data&gt;</vt:lpwstr>
  </property>
</Properties>
</file>