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B0" w:rsidRDefault="0099446C" w:rsidP="00C921B9">
      <w:pPr>
        <w:pStyle w:val="Articletitle"/>
      </w:pPr>
      <w:proofErr w:type="spellStart"/>
      <w:r w:rsidRPr="0099446C">
        <w:rPr>
          <w:color w:val="FF0000"/>
        </w:rPr>
        <w:t>Cow</w:t>
      </w:r>
      <w:r w:rsidR="00C921B9" w:rsidRPr="0099446C">
        <w:rPr>
          <w:color w:val="FF0000"/>
        </w:rPr>
        <w:t>orking</w:t>
      </w:r>
      <w:proofErr w:type="spellEnd"/>
      <w:r w:rsidR="00C921B9" w:rsidRPr="00110796">
        <w:t xml:space="preserve"> Culture </w:t>
      </w:r>
      <w:r w:rsidR="00114AB0" w:rsidRPr="00110796">
        <w:t>– Challenges and Opportunities for Office Landlords</w:t>
      </w:r>
      <w:bookmarkStart w:id="0" w:name="_GoBack"/>
      <w:bookmarkEnd w:id="0"/>
    </w:p>
    <w:p w:rsidR="009C1410" w:rsidRDefault="009C1410" w:rsidP="009C1410">
      <w:pPr>
        <w:pStyle w:val="Articletitle"/>
      </w:pPr>
    </w:p>
    <w:p w:rsidR="009C1410" w:rsidRPr="009C1410" w:rsidRDefault="009C1410" w:rsidP="009C1410">
      <w:pPr>
        <w:pStyle w:val="Articletitle"/>
      </w:pPr>
      <w:proofErr w:type="spellStart"/>
      <w:r w:rsidRPr="009C1410">
        <w:t>Dulani</w:t>
      </w:r>
      <w:proofErr w:type="spellEnd"/>
      <w:r w:rsidRPr="009C1410">
        <w:t xml:space="preserve"> </w:t>
      </w:r>
      <w:proofErr w:type="spellStart"/>
      <w:r w:rsidRPr="009C1410">
        <w:t>Halvitigala</w:t>
      </w:r>
      <w:r w:rsidRPr="009C1410">
        <w:rPr>
          <w:vertAlign w:val="superscript"/>
        </w:rPr>
        <w:t>a</w:t>
      </w:r>
      <w:proofErr w:type="spellEnd"/>
      <w:r w:rsidRPr="009C1410">
        <w:t xml:space="preserve">*, Hera </w:t>
      </w:r>
      <w:proofErr w:type="spellStart"/>
      <w:r w:rsidRPr="009C1410">
        <w:t>Antoniades</w:t>
      </w:r>
      <w:r w:rsidRPr="009C1410">
        <w:rPr>
          <w:vertAlign w:val="superscript"/>
        </w:rPr>
        <w:t>b</w:t>
      </w:r>
      <w:proofErr w:type="spellEnd"/>
      <w:r w:rsidRPr="009C1410">
        <w:t xml:space="preserve"> and Chris </w:t>
      </w:r>
      <w:proofErr w:type="spellStart"/>
      <w:r w:rsidRPr="009C1410">
        <w:t>Eves</w:t>
      </w:r>
      <w:r w:rsidRPr="009C1410">
        <w:rPr>
          <w:vertAlign w:val="superscript"/>
        </w:rPr>
        <w:t>a</w:t>
      </w:r>
      <w:proofErr w:type="spellEnd"/>
    </w:p>
    <w:p w:rsidR="009C1410" w:rsidRPr="009C1410" w:rsidRDefault="009C1410" w:rsidP="009C1410">
      <w:pPr>
        <w:pStyle w:val="Affiliation"/>
      </w:pPr>
      <w:proofErr w:type="spellStart"/>
      <w:proofErr w:type="gramStart"/>
      <w:r w:rsidRPr="009C1410">
        <w:rPr>
          <w:vertAlign w:val="superscript"/>
        </w:rPr>
        <w:t>a</w:t>
      </w:r>
      <w:r w:rsidRPr="009C1410">
        <w:t>School</w:t>
      </w:r>
      <w:proofErr w:type="spellEnd"/>
      <w:proofErr w:type="gramEnd"/>
      <w:r w:rsidRPr="009C1410">
        <w:t xml:space="preserve"> of Property, Construction and Project Management, RMIT University, Australia</w:t>
      </w:r>
    </w:p>
    <w:p w:rsidR="009C1410" w:rsidRPr="009C1410" w:rsidRDefault="009C1410" w:rsidP="009C1410">
      <w:pPr>
        <w:pStyle w:val="Affiliation"/>
      </w:pPr>
      <w:proofErr w:type="spellStart"/>
      <w:proofErr w:type="gramStart"/>
      <w:r w:rsidRPr="009C1410">
        <w:rPr>
          <w:vertAlign w:val="superscript"/>
        </w:rPr>
        <w:t>b</w:t>
      </w:r>
      <w:r w:rsidRPr="009C1410">
        <w:t>Faculty</w:t>
      </w:r>
      <w:proofErr w:type="spellEnd"/>
      <w:proofErr w:type="gramEnd"/>
      <w:r w:rsidRPr="009C1410">
        <w:t xml:space="preserve"> of Design Architecture and Building, University of Technology Sydney, Australia </w:t>
      </w:r>
    </w:p>
    <w:p w:rsidR="009C1410" w:rsidRDefault="00D9307A" w:rsidP="009C1410">
      <w:pPr>
        <w:pStyle w:val="Correspondencedetails"/>
      </w:pPr>
      <w:hyperlink r:id="rId8" w:history="1">
        <w:r w:rsidR="009C1410" w:rsidRPr="009C1410">
          <w:rPr>
            <w:rStyle w:val="Hyperlink"/>
          </w:rPr>
          <w:t>dulani.halvitigala@rmit.edu.au</w:t>
        </w:r>
      </w:hyperlink>
    </w:p>
    <w:p w:rsidR="00C921B9" w:rsidRDefault="00C921B9" w:rsidP="00C921B9">
      <w:pPr>
        <w:pStyle w:val="Affiliation"/>
        <w:rPr>
          <w:b/>
          <w:i w:val="0"/>
        </w:rPr>
      </w:pPr>
    </w:p>
    <w:p w:rsidR="00C921B9" w:rsidRPr="00110796" w:rsidRDefault="00C921B9" w:rsidP="00C921B9">
      <w:pPr>
        <w:pStyle w:val="Affiliation"/>
        <w:rPr>
          <w:b/>
          <w:i w:val="0"/>
        </w:rPr>
      </w:pPr>
      <w:r w:rsidRPr="00110796">
        <w:rPr>
          <w:b/>
          <w:i w:val="0"/>
        </w:rPr>
        <w:t xml:space="preserve">Abstract </w:t>
      </w:r>
    </w:p>
    <w:p w:rsidR="0098640C" w:rsidRPr="00110796" w:rsidRDefault="00C921B9" w:rsidP="0098640C">
      <w:pPr>
        <w:pStyle w:val="Affiliation"/>
        <w:jc w:val="both"/>
      </w:pPr>
      <w:proofErr w:type="spellStart"/>
      <w:r w:rsidRPr="00110796">
        <w:rPr>
          <w:i w:val="0"/>
        </w:rPr>
        <w:t>Coworking</w:t>
      </w:r>
      <w:proofErr w:type="spellEnd"/>
      <w:r w:rsidRPr="00110796">
        <w:rPr>
          <w:i w:val="0"/>
        </w:rPr>
        <w:t xml:space="preserve"> relates to the use of space, which can be in the form of very short office leases ranging anywhere from between a day to a month and longer.  Workers have the option to occupy and work in the space independently, collaboratively or in nominated teams. </w:t>
      </w:r>
      <w:r w:rsidR="00363F6A" w:rsidRPr="00110796">
        <w:rPr>
          <w:i w:val="0"/>
        </w:rPr>
        <w:t xml:space="preserve">Australia has recorded the highest growth of </w:t>
      </w:r>
      <w:proofErr w:type="spellStart"/>
      <w:r w:rsidR="00363F6A" w:rsidRPr="00110796">
        <w:rPr>
          <w:i w:val="0"/>
        </w:rPr>
        <w:t>coworking</w:t>
      </w:r>
      <w:proofErr w:type="spellEnd"/>
      <w:r w:rsidR="00363F6A" w:rsidRPr="00110796">
        <w:rPr>
          <w:i w:val="0"/>
        </w:rPr>
        <w:t xml:space="preserve"> spaces in the world</w:t>
      </w:r>
      <w:r w:rsidR="00196A1D" w:rsidRPr="00110796">
        <w:rPr>
          <w:i w:val="0"/>
        </w:rPr>
        <w:t xml:space="preserve"> in the </w:t>
      </w:r>
      <w:r w:rsidR="0098640C" w:rsidRPr="00110796">
        <w:rPr>
          <w:i w:val="0"/>
        </w:rPr>
        <w:t>last</w:t>
      </w:r>
      <w:r w:rsidR="00196A1D" w:rsidRPr="00110796">
        <w:rPr>
          <w:i w:val="0"/>
        </w:rPr>
        <w:t xml:space="preserve"> 3 years</w:t>
      </w:r>
      <w:r w:rsidR="00363F6A" w:rsidRPr="00110796">
        <w:rPr>
          <w:i w:val="0"/>
        </w:rPr>
        <w:t xml:space="preserve">. </w:t>
      </w:r>
      <w:r w:rsidRPr="00110796">
        <w:rPr>
          <w:i w:val="0"/>
        </w:rPr>
        <w:t xml:space="preserve">As of January 2017, there are 239 </w:t>
      </w:r>
      <w:proofErr w:type="spellStart"/>
      <w:r w:rsidRPr="00110796">
        <w:rPr>
          <w:i w:val="0"/>
        </w:rPr>
        <w:t>coworking</w:t>
      </w:r>
      <w:proofErr w:type="spellEnd"/>
      <w:r w:rsidRPr="00110796">
        <w:rPr>
          <w:i w:val="0"/>
        </w:rPr>
        <w:t xml:space="preserve"> spaces throughout Melbourne, Sydney and Brisbane; with a very rapid current growth rate, industry predicts approximately 1.2 million members globally would be using </w:t>
      </w:r>
      <w:proofErr w:type="spellStart"/>
      <w:r w:rsidRPr="00110796">
        <w:rPr>
          <w:i w:val="0"/>
        </w:rPr>
        <w:t>coworking</w:t>
      </w:r>
      <w:proofErr w:type="spellEnd"/>
      <w:r w:rsidRPr="00110796">
        <w:rPr>
          <w:i w:val="0"/>
        </w:rPr>
        <w:t xml:space="preserve"> space by the end of 2017</w:t>
      </w:r>
      <w:r w:rsidR="000D11B0" w:rsidRPr="00110796">
        <w:rPr>
          <w:i w:val="0"/>
        </w:rPr>
        <w:t xml:space="preserve">. </w:t>
      </w:r>
      <w:r w:rsidRPr="00110796">
        <w:rPr>
          <w:i w:val="0"/>
        </w:rPr>
        <w:t xml:space="preserve">Many </w:t>
      </w:r>
      <w:r w:rsidR="00C0476D" w:rsidRPr="00110796">
        <w:rPr>
          <w:i w:val="0"/>
        </w:rPr>
        <w:t xml:space="preserve">landlords </w:t>
      </w:r>
      <w:r w:rsidRPr="00110796">
        <w:rPr>
          <w:i w:val="0"/>
        </w:rPr>
        <w:t xml:space="preserve">are being challenged by this growing demand for flexible, scalable, collaborative spaces with short term leases. </w:t>
      </w:r>
      <w:r w:rsidR="0098640C" w:rsidRPr="00110796">
        <w:rPr>
          <w:i w:val="0"/>
        </w:rPr>
        <w:t xml:space="preserve">A desktop analysis of the top 12 </w:t>
      </w:r>
      <w:proofErr w:type="spellStart"/>
      <w:r w:rsidR="0098640C" w:rsidRPr="00110796">
        <w:rPr>
          <w:i w:val="0"/>
        </w:rPr>
        <w:t>coworking</w:t>
      </w:r>
      <w:proofErr w:type="spellEnd"/>
      <w:r w:rsidR="0098640C" w:rsidRPr="00110796">
        <w:rPr>
          <w:i w:val="0"/>
        </w:rPr>
        <w:t xml:space="preserve"> providers in Melbourne is undertaken. The findings identify</w:t>
      </w:r>
      <w:r w:rsidR="005E4EEC" w:rsidRPr="00110796">
        <w:rPr>
          <w:i w:val="0"/>
        </w:rPr>
        <w:t xml:space="preserve"> two </w:t>
      </w:r>
      <w:r w:rsidR="007C758E" w:rsidRPr="00110796">
        <w:rPr>
          <w:i w:val="0"/>
        </w:rPr>
        <w:t xml:space="preserve">main </w:t>
      </w:r>
      <w:r w:rsidR="005E4EEC" w:rsidRPr="00110796">
        <w:rPr>
          <w:i w:val="0"/>
        </w:rPr>
        <w:t>challenges confronting landlords.  Firstly the</w:t>
      </w:r>
      <w:r w:rsidR="007C758E" w:rsidRPr="00110796">
        <w:rPr>
          <w:i w:val="0"/>
        </w:rPr>
        <w:t xml:space="preserve"> </w:t>
      </w:r>
      <w:r w:rsidR="005E4EEC" w:rsidRPr="00110796">
        <w:rPr>
          <w:i w:val="0"/>
        </w:rPr>
        <w:t xml:space="preserve">reliance on </w:t>
      </w:r>
      <w:proofErr w:type="spellStart"/>
      <w:r w:rsidR="005E4EEC" w:rsidRPr="00110796">
        <w:rPr>
          <w:i w:val="0"/>
        </w:rPr>
        <w:t>coworking</w:t>
      </w:r>
      <w:proofErr w:type="spellEnd"/>
      <w:r w:rsidR="005E4EEC" w:rsidRPr="00110796">
        <w:rPr>
          <w:i w:val="0"/>
        </w:rPr>
        <w:t xml:space="preserve"> operators and their survival with changing market conditions, and secondly, transforming traditional office</w:t>
      </w:r>
      <w:r w:rsidR="007C758E" w:rsidRPr="00110796">
        <w:rPr>
          <w:i w:val="0"/>
        </w:rPr>
        <w:t xml:space="preserve"> spaces into engaging </w:t>
      </w:r>
      <w:proofErr w:type="spellStart"/>
      <w:r w:rsidR="007C758E" w:rsidRPr="00110796">
        <w:rPr>
          <w:i w:val="0"/>
        </w:rPr>
        <w:t>coworking</w:t>
      </w:r>
      <w:proofErr w:type="spellEnd"/>
      <w:r w:rsidR="007C758E" w:rsidRPr="00110796">
        <w:rPr>
          <w:i w:val="0"/>
        </w:rPr>
        <w:t xml:space="preserve"> vibrant hubs.</w:t>
      </w:r>
    </w:p>
    <w:p w:rsidR="007C758E" w:rsidRPr="00110796" w:rsidRDefault="007C758E" w:rsidP="007C758E">
      <w:pPr>
        <w:spacing w:line="360" w:lineRule="auto"/>
        <w:jc w:val="both"/>
      </w:pPr>
      <w:r w:rsidRPr="00110796">
        <w:t xml:space="preserve"> </w:t>
      </w:r>
    </w:p>
    <w:p w:rsidR="00C921B9" w:rsidRPr="00110796" w:rsidRDefault="00C921B9" w:rsidP="00C921B9">
      <w:pPr>
        <w:pStyle w:val="Keywords"/>
        <w:ind w:left="0"/>
      </w:pPr>
      <w:r w:rsidRPr="00110796">
        <w:rPr>
          <w:b/>
        </w:rPr>
        <w:t>Keywords:</w:t>
      </w:r>
      <w:r w:rsidRPr="00110796">
        <w:t xml:space="preserve"> </w:t>
      </w:r>
      <w:r w:rsidR="007C758E" w:rsidRPr="00110796">
        <w:t xml:space="preserve">challenges and opportunities, collaborative spaces, </w:t>
      </w:r>
      <w:proofErr w:type="spellStart"/>
      <w:r w:rsidR="007C758E" w:rsidRPr="00110796">
        <w:t>coworking</w:t>
      </w:r>
      <w:proofErr w:type="spellEnd"/>
      <w:r w:rsidR="007C758E" w:rsidRPr="00110796">
        <w:t xml:space="preserve"> spaces, </w:t>
      </w:r>
      <w:r w:rsidRPr="00110796">
        <w:t xml:space="preserve">office </w:t>
      </w:r>
      <w:r w:rsidR="007C758E" w:rsidRPr="00110796">
        <w:t xml:space="preserve">landlords </w:t>
      </w:r>
    </w:p>
    <w:p w:rsidR="00C921B9" w:rsidRPr="00110796" w:rsidRDefault="00C921B9" w:rsidP="00106DAF">
      <w:pPr>
        <w:pStyle w:val="Heading1"/>
      </w:pPr>
      <w:r w:rsidRPr="00110796">
        <w:lastRenderedPageBreak/>
        <w:t>Introduction</w:t>
      </w:r>
    </w:p>
    <w:p w:rsidR="004D0CB5" w:rsidRPr="00110796" w:rsidRDefault="00FA44F2" w:rsidP="002079D3">
      <w:pPr>
        <w:pStyle w:val="Paragraph"/>
        <w:spacing w:line="360" w:lineRule="auto"/>
        <w:jc w:val="both"/>
      </w:pPr>
      <w:r w:rsidRPr="00110796">
        <w:t>Advance</w:t>
      </w:r>
      <w:r w:rsidR="007A66FC" w:rsidRPr="00110796">
        <w:t xml:space="preserve">ments in </w:t>
      </w:r>
      <w:r w:rsidR="00A01AA9" w:rsidRPr="00110796">
        <w:t>information and collaboration technologies</w:t>
      </w:r>
      <w:r w:rsidR="00142169" w:rsidRPr="00110796">
        <w:t xml:space="preserve"> and globalisation of business </w:t>
      </w:r>
      <w:r w:rsidR="00A01AA9" w:rsidRPr="00110796">
        <w:t xml:space="preserve">have created </w:t>
      </w:r>
      <w:r w:rsidR="00654A07" w:rsidRPr="00110796">
        <w:t>a</w:t>
      </w:r>
      <w:r w:rsidR="00A01AA9" w:rsidRPr="00110796">
        <w:t xml:space="preserve"> need for flexible office environments </w:t>
      </w:r>
      <w:r w:rsidR="00654A07" w:rsidRPr="00110796">
        <w:t>in which people have more options for how, when and where to work</w:t>
      </w:r>
      <w:r w:rsidR="00A01AA9" w:rsidRPr="00110796">
        <w:t xml:space="preserve"> (</w:t>
      </w:r>
      <w:proofErr w:type="spellStart"/>
      <w:r w:rsidR="00A01AA9" w:rsidRPr="00110796">
        <w:t>Kojo</w:t>
      </w:r>
      <w:proofErr w:type="spellEnd"/>
      <w:r w:rsidR="00A01AA9" w:rsidRPr="00110796">
        <w:t xml:space="preserve"> and </w:t>
      </w:r>
      <w:proofErr w:type="spellStart"/>
      <w:r w:rsidR="00A01AA9" w:rsidRPr="00110796">
        <w:t>Nenonen</w:t>
      </w:r>
      <w:proofErr w:type="spellEnd"/>
      <w:r w:rsidR="00A01AA9" w:rsidRPr="00110796">
        <w:t>, 201</w:t>
      </w:r>
      <w:r w:rsidR="005511FD" w:rsidRPr="00110796">
        <w:t>6</w:t>
      </w:r>
      <w:r w:rsidR="0050579F" w:rsidRPr="00110796">
        <w:t xml:space="preserve">). </w:t>
      </w:r>
      <w:proofErr w:type="spellStart"/>
      <w:r w:rsidR="005511FD" w:rsidRPr="005C73C1">
        <w:rPr>
          <w:color w:val="FF0000"/>
        </w:rPr>
        <w:t>Coworking</w:t>
      </w:r>
      <w:proofErr w:type="spellEnd"/>
      <w:r w:rsidR="005511FD" w:rsidRPr="005C73C1">
        <w:rPr>
          <w:color w:val="FF0000"/>
        </w:rPr>
        <w:t xml:space="preserve"> </w:t>
      </w:r>
      <w:r w:rsidR="005511FD" w:rsidRPr="00110796">
        <w:t>which provide</w:t>
      </w:r>
      <w:r w:rsidR="00253EA0" w:rsidRPr="00110796">
        <w:t>s</w:t>
      </w:r>
      <w:r w:rsidR="005511FD" w:rsidRPr="00110796">
        <w:t xml:space="preserve"> independent spaces in shared office spaces to </w:t>
      </w:r>
      <w:r w:rsidR="00142169" w:rsidRPr="00110796">
        <w:t xml:space="preserve">members </w:t>
      </w:r>
      <w:r w:rsidR="005511FD" w:rsidRPr="00110796">
        <w:t xml:space="preserve">from diverse organisations and individuals </w:t>
      </w:r>
      <w:r w:rsidR="00253EA0" w:rsidRPr="00110796">
        <w:t xml:space="preserve">is a rapidly emerging workplace phenomenon </w:t>
      </w:r>
      <w:r w:rsidR="0089761D" w:rsidRPr="00110796">
        <w:t xml:space="preserve">in </w:t>
      </w:r>
      <w:r w:rsidR="005511FD" w:rsidRPr="00110796">
        <w:t>today’s knowledge-based economy</w:t>
      </w:r>
      <w:r w:rsidR="00196A1D" w:rsidRPr="00110796">
        <w:t xml:space="preserve">. It mainly aims to provide spaces for start-up businesses, freelancers and entrepreneurs who like to work in environments which facilitate </w:t>
      </w:r>
      <w:r w:rsidR="005511FD" w:rsidRPr="00110796">
        <w:t xml:space="preserve">creativity, critical thinking, </w:t>
      </w:r>
      <w:r w:rsidR="00F37864" w:rsidRPr="00110796">
        <w:t xml:space="preserve">knowledge sharing, </w:t>
      </w:r>
      <w:r w:rsidR="005511FD" w:rsidRPr="00110796">
        <w:t>communication and collaboration (</w:t>
      </w:r>
      <w:proofErr w:type="spellStart"/>
      <w:r w:rsidR="00AC3FE1" w:rsidRPr="00110796">
        <w:t>Spinuzzi</w:t>
      </w:r>
      <w:proofErr w:type="spellEnd"/>
      <w:r w:rsidR="00AC3FE1" w:rsidRPr="00110796">
        <w:t xml:space="preserve">, 2013; </w:t>
      </w:r>
      <w:proofErr w:type="spellStart"/>
      <w:r w:rsidR="00AC3FE1" w:rsidRPr="00110796">
        <w:t>Parrino</w:t>
      </w:r>
      <w:proofErr w:type="spellEnd"/>
      <w:r w:rsidR="00AC3FE1" w:rsidRPr="00110796">
        <w:t>, 2013)</w:t>
      </w:r>
      <w:r w:rsidR="005511FD" w:rsidRPr="00110796">
        <w:t>.</w:t>
      </w:r>
      <w:r w:rsidR="00F37864" w:rsidRPr="00110796">
        <w:t xml:space="preserve"> </w:t>
      </w:r>
      <w:proofErr w:type="spellStart"/>
      <w:r w:rsidR="00142169" w:rsidRPr="00110796">
        <w:t>Coworking</w:t>
      </w:r>
      <w:proofErr w:type="spellEnd"/>
      <w:r w:rsidR="00142169" w:rsidRPr="00110796">
        <w:t xml:space="preserve"> </w:t>
      </w:r>
      <w:r w:rsidR="00F37864" w:rsidRPr="00110796">
        <w:t>spaces provide space</w:t>
      </w:r>
      <w:r w:rsidR="00907269" w:rsidRPr="00110796">
        <w:t>s</w:t>
      </w:r>
      <w:r w:rsidR="00F37864" w:rsidRPr="00110796">
        <w:t xml:space="preserve"> where members can work alone or interact with like-minded people on a pay-as-you-go basis </w:t>
      </w:r>
      <w:r w:rsidR="009B6082" w:rsidRPr="00110796">
        <w:t>(</w:t>
      </w:r>
      <w:proofErr w:type="spellStart"/>
      <w:r w:rsidR="00C94EC7" w:rsidRPr="00110796">
        <w:t>Bouncken</w:t>
      </w:r>
      <w:proofErr w:type="spellEnd"/>
      <w:r w:rsidR="00C94EC7" w:rsidRPr="00110796">
        <w:t xml:space="preserve"> and </w:t>
      </w:r>
      <w:proofErr w:type="spellStart"/>
      <w:r w:rsidR="00C94EC7" w:rsidRPr="00110796">
        <w:t>Reuschl</w:t>
      </w:r>
      <w:proofErr w:type="spellEnd"/>
      <w:r w:rsidR="00C94EC7" w:rsidRPr="00110796">
        <w:t>, 2016</w:t>
      </w:r>
      <w:r w:rsidR="00F37864" w:rsidRPr="00110796">
        <w:t xml:space="preserve">). </w:t>
      </w:r>
      <w:r w:rsidR="00A01AA9" w:rsidRPr="00110796">
        <w:t>Since originating in San Francisco in 2005</w:t>
      </w:r>
      <w:r w:rsidR="00D1775D" w:rsidRPr="00110796">
        <w:t xml:space="preserve">, </w:t>
      </w:r>
      <w:r w:rsidR="001C6800" w:rsidRPr="00110796">
        <w:t xml:space="preserve">the </w:t>
      </w:r>
      <w:proofErr w:type="spellStart"/>
      <w:r w:rsidR="001C6800" w:rsidRPr="00110796">
        <w:t>coworking</w:t>
      </w:r>
      <w:proofErr w:type="spellEnd"/>
      <w:r w:rsidR="001C6800" w:rsidRPr="00110796">
        <w:t xml:space="preserve"> movement has become a global phenomenon over the last decade with annual growth rates </w:t>
      </w:r>
      <w:r w:rsidR="00A01AA9" w:rsidRPr="00110796">
        <w:t>as high as 250</w:t>
      </w:r>
      <w:r w:rsidR="001C6800" w:rsidRPr="00110796">
        <w:t xml:space="preserve">% </w:t>
      </w:r>
      <w:r w:rsidR="00A01AA9" w:rsidRPr="00110796">
        <w:t xml:space="preserve">at </w:t>
      </w:r>
      <w:r w:rsidR="001C6800" w:rsidRPr="00110796">
        <w:t xml:space="preserve">the </w:t>
      </w:r>
      <w:r w:rsidR="00A01AA9" w:rsidRPr="00110796">
        <w:t>global level by the year 2014 (</w:t>
      </w:r>
      <w:proofErr w:type="spellStart"/>
      <w:r w:rsidR="00F54913" w:rsidRPr="00110796">
        <w:t>Leclercq-Vandelannoitte</w:t>
      </w:r>
      <w:proofErr w:type="spellEnd"/>
      <w:r w:rsidR="00F54913" w:rsidRPr="00110796">
        <w:t xml:space="preserve"> and Isaac, 2016).  </w:t>
      </w:r>
      <w:r w:rsidR="00A01AA9" w:rsidRPr="00110796">
        <w:t xml:space="preserve">Approximately 160,000 employees functioned in </w:t>
      </w:r>
      <w:proofErr w:type="spellStart"/>
      <w:r w:rsidR="00A01AA9" w:rsidRPr="00110796">
        <w:t>coworking</w:t>
      </w:r>
      <w:proofErr w:type="spellEnd"/>
      <w:r w:rsidR="00A01AA9" w:rsidRPr="00110796">
        <w:t xml:space="preserve"> spaces in 2014</w:t>
      </w:r>
      <w:r w:rsidR="00F37864" w:rsidRPr="00110796">
        <w:t xml:space="preserve"> globally (</w:t>
      </w:r>
      <w:proofErr w:type="spellStart"/>
      <w:r w:rsidR="00D4490C" w:rsidRPr="00110796">
        <w:t>Deskmag</w:t>
      </w:r>
      <w:proofErr w:type="spellEnd"/>
      <w:r w:rsidR="00D4490C" w:rsidRPr="00110796">
        <w:t>, 2014)</w:t>
      </w:r>
      <w:r w:rsidR="00A01AA9" w:rsidRPr="00110796">
        <w:t xml:space="preserve">, and </w:t>
      </w:r>
      <w:r w:rsidR="00D1775D" w:rsidRPr="00110796">
        <w:t xml:space="preserve">it is </w:t>
      </w:r>
      <w:r w:rsidR="00142169" w:rsidRPr="00110796">
        <w:t xml:space="preserve">expected that this number will grow </w:t>
      </w:r>
      <w:r w:rsidR="00262D52" w:rsidRPr="00110796">
        <w:t xml:space="preserve">up to </w:t>
      </w:r>
      <w:r w:rsidR="00F37864" w:rsidRPr="00110796">
        <w:t xml:space="preserve">1.2 million members by the end of 2017 (Knight Frank, 2017). </w:t>
      </w:r>
      <w:r w:rsidR="000F191E" w:rsidRPr="00110796">
        <w:t xml:space="preserve">Australia is one of the earlier adopters of the </w:t>
      </w:r>
      <w:proofErr w:type="spellStart"/>
      <w:r w:rsidR="000F191E" w:rsidRPr="00110796">
        <w:t>coworking</w:t>
      </w:r>
      <w:proofErr w:type="spellEnd"/>
      <w:r w:rsidR="000F191E" w:rsidRPr="00110796">
        <w:t xml:space="preserve"> culture outside of the US, with </w:t>
      </w:r>
      <w:proofErr w:type="spellStart"/>
      <w:r w:rsidR="000F191E" w:rsidRPr="00110796">
        <w:t>coworking</w:t>
      </w:r>
      <w:proofErr w:type="spellEnd"/>
      <w:r w:rsidR="000F191E" w:rsidRPr="00110796">
        <w:t xml:space="preserve"> spaces opening in the country as early as 2006 (Knight Frank, 2016). </w:t>
      </w:r>
      <w:r w:rsidR="00580797" w:rsidRPr="00110796">
        <w:t xml:space="preserve">The industry has evolved rapidly </w:t>
      </w:r>
      <w:r w:rsidR="004D0CB5" w:rsidRPr="00110796">
        <w:t xml:space="preserve">over the past decade with the availability of 116,955m2 of </w:t>
      </w:r>
      <w:proofErr w:type="spellStart"/>
      <w:r w:rsidR="004D0CB5" w:rsidRPr="00110796">
        <w:t>coworking</w:t>
      </w:r>
      <w:proofErr w:type="spellEnd"/>
      <w:r w:rsidR="004D0CB5" w:rsidRPr="00110796">
        <w:t xml:space="preserve"> spaces in the main capital cities of Sydney, Melbourne and Brisbane as of January 2017 (Lindsay, 2017). </w:t>
      </w:r>
      <w:r w:rsidR="002079D3" w:rsidRPr="00110796">
        <w:t xml:space="preserve">The majority of these spaces are run by </w:t>
      </w:r>
      <w:proofErr w:type="spellStart"/>
      <w:r w:rsidR="002079D3" w:rsidRPr="00110796">
        <w:t>coworking</w:t>
      </w:r>
      <w:proofErr w:type="spellEnd"/>
      <w:r w:rsidR="002079D3" w:rsidRPr="00110796">
        <w:t xml:space="preserve"> operators, who lease </w:t>
      </w:r>
      <w:r w:rsidR="00D1775D" w:rsidRPr="00110796">
        <w:t xml:space="preserve">office spaces </w:t>
      </w:r>
      <w:r w:rsidR="002079D3" w:rsidRPr="00110796">
        <w:t xml:space="preserve">from </w:t>
      </w:r>
      <w:r w:rsidR="00262D52" w:rsidRPr="00110796">
        <w:t xml:space="preserve">traditional landlords </w:t>
      </w:r>
      <w:r w:rsidR="002079D3" w:rsidRPr="00110796">
        <w:t xml:space="preserve">and then sublease to start-up companies </w:t>
      </w:r>
      <w:r w:rsidR="007A66FC" w:rsidRPr="00110796">
        <w:t xml:space="preserve">and </w:t>
      </w:r>
      <w:r w:rsidR="002079D3" w:rsidRPr="00110796">
        <w:t>individuals</w:t>
      </w:r>
      <w:r w:rsidR="007A66FC" w:rsidRPr="00110796">
        <w:t xml:space="preserve"> from a variety of industries</w:t>
      </w:r>
      <w:r w:rsidR="002079D3" w:rsidRPr="00110796">
        <w:t>.</w:t>
      </w:r>
    </w:p>
    <w:p w:rsidR="00A354B5" w:rsidRPr="00110796" w:rsidRDefault="00A354B5" w:rsidP="00752088">
      <w:pPr>
        <w:pStyle w:val="Paragraph"/>
        <w:spacing w:line="360" w:lineRule="auto"/>
        <w:jc w:val="both"/>
      </w:pPr>
      <w:proofErr w:type="spellStart"/>
      <w:r w:rsidRPr="00110796">
        <w:t>Coworking</w:t>
      </w:r>
      <w:proofErr w:type="spellEnd"/>
      <w:r w:rsidRPr="00110796">
        <w:t xml:space="preserve"> culture has major implications on the performance and utilisation of commercial real estate</w:t>
      </w:r>
      <w:r w:rsidR="00FA44F2" w:rsidRPr="00110796">
        <w:t xml:space="preserve">. </w:t>
      </w:r>
      <w:r w:rsidR="00FB73B2" w:rsidRPr="00110796">
        <w:t xml:space="preserve">One of the slowest adaptors to this growing work practice </w:t>
      </w:r>
      <w:r w:rsidR="004F2491" w:rsidRPr="00110796">
        <w:t>has</w:t>
      </w:r>
      <w:r w:rsidR="00FB73B2" w:rsidRPr="00110796">
        <w:t xml:space="preserve"> been office landlords</w:t>
      </w:r>
      <w:r w:rsidR="002643AA" w:rsidRPr="00110796">
        <w:t xml:space="preserve"> (Green, 2014)</w:t>
      </w:r>
      <w:r w:rsidR="00FB73B2" w:rsidRPr="00110796">
        <w:t xml:space="preserve">. </w:t>
      </w:r>
      <w:r w:rsidR="00235C11" w:rsidRPr="00110796">
        <w:t xml:space="preserve">Many </w:t>
      </w:r>
      <w:r w:rsidR="00D3633E" w:rsidRPr="00110796">
        <w:t xml:space="preserve">landlords </w:t>
      </w:r>
      <w:r w:rsidR="00235C11" w:rsidRPr="00110796">
        <w:t xml:space="preserve">are being challenged by the </w:t>
      </w:r>
      <w:proofErr w:type="spellStart"/>
      <w:r w:rsidR="00235C11" w:rsidRPr="00110796">
        <w:t>coworking</w:t>
      </w:r>
      <w:proofErr w:type="spellEnd"/>
      <w:r w:rsidR="00235C11" w:rsidRPr="00110796">
        <w:t xml:space="preserve"> practice as </w:t>
      </w:r>
      <w:r w:rsidR="002643AA" w:rsidRPr="00110796">
        <w:t xml:space="preserve">it is </w:t>
      </w:r>
      <w:r w:rsidR="005907A3" w:rsidRPr="00110796">
        <w:t xml:space="preserve">a </w:t>
      </w:r>
      <w:r w:rsidR="002643AA" w:rsidRPr="00110796">
        <w:t xml:space="preserve">new working phenomenon </w:t>
      </w:r>
      <w:r w:rsidR="00235C11" w:rsidRPr="00110796">
        <w:t xml:space="preserve">where traditional </w:t>
      </w:r>
      <w:r w:rsidR="002643AA" w:rsidRPr="00110796">
        <w:t xml:space="preserve">office space requirements and </w:t>
      </w:r>
      <w:r w:rsidR="00235C11" w:rsidRPr="00110796">
        <w:t xml:space="preserve">leasing principles may no longer apply. Historically </w:t>
      </w:r>
      <w:r w:rsidR="00C079C5" w:rsidRPr="00110796">
        <w:t xml:space="preserve">with the preference to lease spaces </w:t>
      </w:r>
      <w:r w:rsidR="00235C11" w:rsidRPr="00110796">
        <w:t xml:space="preserve">to large-scale corporations and professional service firms, landlords have been cautious in welcoming </w:t>
      </w:r>
      <w:proofErr w:type="spellStart"/>
      <w:r w:rsidR="00235C11" w:rsidRPr="00110796">
        <w:t>coworking</w:t>
      </w:r>
      <w:proofErr w:type="spellEnd"/>
      <w:r w:rsidR="00235C11" w:rsidRPr="00110796">
        <w:t xml:space="preserve"> operators into their buildings (Green, 2014). </w:t>
      </w:r>
      <w:r w:rsidR="00253EA0" w:rsidRPr="00110796">
        <w:t xml:space="preserve">However, </w:t>
      </w:r>
      <w:proofErr w:type="spellStart"/>
      <w:r w:rsidR="00253EA0" w:rsidRPr="00110796">
        <w:t>coworking</w:t>
      </w:r>
      <w:proofErr w:type="spellEnd"/>
      <w:r w:rsidR="00253EA0" w:rsidRPr="00110796">
        <w:t xml:space="preserve"> spaces have potential to create several </w:t>
      </w:r>
      <w:r w:rsidR="0089761D" w:rsidRPr="00110796">
        <w:t xml:space="preserve">tangible and </w:t>
      </w:r>
      <w:r w:rsidR="0089761D" w:rsidRPr="00110796">
        <w:lastRenderedPageBreak/>
        <w:t>intangible benefits</w:t>
      </w:r>
      <w:r w:rsidR="00253EA0" w:rsidRPr="00110796">
        <w:t xml:space="preserve"> to </w:t>
      </w:r>
      <w:r w:rsidR="00D3633E" w:rsidRPr="00110796">
        <w:t xml:space="preserve">office landlords. </w:t>
      </w:r>
      <w:r w:rsidR="004642D3" w:rsidRPr="00110796">
        <w:t xml:space="preserve"> </w:t>
      </w:r>
      <w:r w:rsidR="00752088" w:rsidRPr="00110796">
        <w:t>These benefits are discussed in conjunction with the analysis from this research.</w:t>
      </w:r>
    </w:p>
    <w:p w:rsidR="00752088" w:rsidRPr="00752088" w:rsidRDefault="00752088" w:rsidP="00752088">
      <w:pPr>
        <w:pStyle w:val="Newparagraph"/>
        <w:spacing w:line="360" w:lineRule="auto"/>
      </w:pPr>
    </w:p>
    <w:p w:rsidR="00A02156" w:rsidRPr="00114EC3" w:rsidRDefault="00A02156" w:rsidP="00752088">
      <w:pPr>
        <w:spacing w:line="360" w:lineRule="auto"/>
        <w:jc w:val="both"/>
        <w:rPr>
          <w:lang w:val="en-NZ"/>
        </w:rPr>
      </w:pPr>
      <w:r w:rsidRPr="00114EC3">
        <w:rPr>
          <w:lang w:val="en-NZ"/>
        </w:rPr>
        <w:t xml:space="preserve">Despite the growing demand for </w:t>
      </w:r>
      <w:proofErr w:type="spellStart"/>
      <w:r>
        <w:rPr>
          <w:lang w:val="en-NZ"/>
        </w:rPr>
        <w:t>coworking</w:t>
      </w:r>
      <w:proofErr w:type="spellEnd"/>
      <w:r>
        <w:rPr>
          <w:lang w:val="en-NZ"/>
        </w:rPr>
        <w:t xml:space="preserve"> spaces in Australia, </w:t>
      </w:r>
      <w:r w:rsidRPr="00114EC3">
        <w:rPr>
          <w:lang w:val="en-NZ"/>
        </w:rPr>
        <w:t xml:space="preserve">there is currently limited empirical research on </w:t>
      </w:r>
      <w:r w:rsidR="005E25D1">
        <w:rPr>
          <w:lang w:val="en-NZ"/>
        </w:rPr>
        <w:t>the imp</w:t>
      </w:r>
      <w:r w:rsidR="005866B9">
        <w:rPr>
          <w:lang w:val="en-NZ"/>
        </w:rPr>
        <w:t xml:space="preserve">act </w:t>
      </w:r>
      <w:r w:rsidR="009B6082">
        <w:rPr>
          <w:lang w:val="en-NZ"/>
        </w:rPr>
        <w:t>o</w:t>
      </w:r>
      <w:r w:rsidR="005866B9">
        <w:rPr>
          <w:lang w:val="en-NZ"/>
        </w:rPr>
        <w:t xml:space="preserve">f </w:t>
      </w:r>
      <w:proofErr w:type="spellStart"/>
      <w:r w:rsidR="009846D9">
        <w:rPr>
          <w:lang w:val="en-NZ"/>
        </w:rPr>
        <w:t>coworking</w:t>
      </w:r>
      <w:proofErr w:type="spellEnd"/>
      <w:r w:rsidR="009846D9">
        <w:rPr>
          <w:lang w:val="en-NZ"/>
        </w:rPr>
        <w:t xml:space="preserve"> culture o</w:t>
      </w:r>
      <w:r w:rsidR="009B6082">
        <w:rPr>
          <w:lang w:val="en-NZ"/>
        </w:rPr>
        <w:t xml:space="preserve">n the performance and utilisation of office property assets. </w:t>
      </w:r>
      <w:r w:rsidR="00964864" w:rsidRPr="00964864">
        <w:rPr>
          <w:lang w:val="en-NZ"/>
        </w:rPr>
        <w:t xml:space="preserve">With the preference to lease spaces to established tenants on long leases, many landlords have been cautious in welcoming </w:t>
      </w:r>
      <w:proofErr w:type="spellStart"/>
      <w:r w:rsidR="00964864" w:rsidRPr="00964864">
        <w:rPr>
          <w:lang w:val="en-NZ"/>
        </w:rPr>
        <w:t>coworking</w:t>
      </w:r>
      <w:proofErr w:type="spellEnd"/>
      <w:r w:rsidR="00964864" w:rsidRPr="00964864">
        <w:rPr>
          <w:lang w:val="en-NZ"/>
        </w:rPr>
        <w:t xml:space="preserve"> operators into their buildings</w:t>
      </w:r>
      <w:r w:rsidR="002643AA">
        <w:rPr>
          <w:lang w:val="en-NZ"/>
        </w:rPr>
        <w:t xml:space="preserve"> or incorporating </w:t>
      </w:r>
      <w:proofErr w:type="spellStart"/>
      <w:r w:rsidR="002643AA" w:rsidRPr="005C73C1">
        <w:rPr>
          <w:color w:val="FF0000"/>
          <w:lang w:val="en-NZ"/>
        </w:rPr>
        <w:t>coworking</w:t>
      </w:r>
      <w:proofErr w:type="spellEnd"/>
      <w:r w:rsidR="002643AA">
        <w:rPr>
          <w:lang w:val="en-NZ"/>
        </w:rPr>
        <w:t xml:space="preserve"> spaces into their office developments</w:t>
      </w:r>
      <w:r w:rsidR="00964864" w:rsidRPr="00964864">
        <w:rPr>
          <w:lang w:val="en-NZ"/>
        </w:rPr>
        <w:t xml:space="preserve">. </w:t>
      </w:r>
      <w:r w:rsidRPr="00114EC3">
        <w:rPr>
          <w:lang w:val="en-NZ"/>
        </w:rPr>
        <w:t xml:space="preserve">In particular, the objectives of this research are: </w:t>
      </w:r>
    </w:p>
    <w:p w:rsidR="005334CF" w:rsidRDefault="009846D9" w:rsidP="00A02156">
      <w:pPr>
        <w:numPr>
          <w:ilvl w:val="0"/>
          <w:numId w:val="31"/>
        </w:numPr>
        <w:spacing w:line="360" w:lineRule="auto"/>
        <w:jc w:val="both"/>
        <w:rPr>
          <w:lang w:val="en-NZ"/>
        </w:rPr>
      </w:pPr>
      <w:r>
        <w:rPr>
          <w:lang w:val="en-NZ"/>
        </w:rPr>
        <w:t>t</w:t>
      </w:r>
      <w:r w:rsidR="005334CF">
        <w:rPr>
          <w:lang w:val="en-NZ"/>
        </w:rPr>
        <w:t xml:space="preserve">o examine the challenges faced by traditional </w:t>
      </w:r>
      <w:r w:rsidR="00D3633E">
        <w:rPr>
          <w:lang w:val="en-NZ"/>
        </w:rPr>
        <w:t xml:space="preserve">office landlords </w:t>
      </w:r>
      <w:r w:rsidR="005334CF">
        <w:rPr>
          <w:lang w:val="en-NZ"/>
        </w:rPr>
        <w:t xml:space="preserve">with the </w:t>
      </w:r>
      <w:r w:rsidR="00ED6423">
        <w:rPr>
          <w:lang w:val="en-NZ"/>
        </w:rPr>
        <w:t xml:space="preserve">growing demand for </w:t>
      </w:r>
      <w:proofErr w:type="spellStart"/>
      <w:r w:rsidR="005334CF">
        <w:rPr>
          <w:lang w:val="en-NZ"/>
        </w:rPr>
        <w:t>coworking</w:t>
      </w:r>
      <w:proofErr w:type="spellEnd"/>
      <w:r w:rsidR="005334CF">
        <w:rPr>
          <w:lang w:val="en-NZ"/>
        </w:rPr>
        <w:t xml:space="preserve"> culture</w:t>
      </w:r>
    </w:p>
    <w:p w:rsidR="005334CF" w:rsidRDefault="009846D9" w:rsidP="00A02156">
      <w:pPr>
        <w:numPr>
          <w:ilvl w:val="0"/>
          <w:numId w:val="31"/>
        </w:numPr>
        <w:spacing w:line="360" w:lineRule="auto"/>
        <w:jc w:val="both"/>
        <w:rPr>
          <w:lang w:val="en-NZ"/>
        </w:rPr>
      </w:pPr>
      <w:r>
        <w:rPr>
          <w:lang w:val="en-NZ"/>
        </w:rPr>
        <w:t>t</w:t>
      </w:r>
      <w:r w:rsidR="00A02156" w:rsidRPr="00114EC3">
        <w:rPr>
          <w:lang w:val="en-NZ"/>
        </w:rPr>
        <w:t xml:space="preserve">o examine the </w:t>
      </w:r>
      <w:r w:rsidR="005334CF">
        <w:rPr>
          <w:lang w:val="en-NZ"/>
        </w:rPr>
        <w:t xml:space="preserve">new opportunities created by </w:t>
      </w:r>
      <w:proofErr w:type="spellStart"/>
      <w:r w:rsidR="005334CF">
        <w:rPr>
          <w:lang w:val="en-NZ"/>
        </w:rPr>
        <w:t>coworking</w:t>
      </w:r>
      <w:proofErr w:type="spellEnd"/>
      <w:r w:rsidR="005334CF">
        <w:rPr>
          <w:lang w:val="en-NZ"/>
        </w:rPr>
        <w:t xml:space="preserve"> culture for </w:t>
      </w:r>
      <w:r w:rsidR="00D3633E">
        <w:rPr>
          <w:lang w:val="en-NZ"/>
        </w:rPr>
        <w:t xml:space="preserve">office landlords </w:t>
      </w:r>
    </w:p>
    <w:p w:rsidR="004F2491" w:rsidRPr="00110796" w:rsidRDefault="009846D9" w:rsidP="00106DAF">
      <w:pPr>
        <w:numPr>
          <w:ilvl w:val="0"/>
          <w:numId w:val="31"/>
        </w:numPr>
        <w:spacing w:line="360" w:lineRule="auto"/>
        <w:jc w:val="both"/>
      </w:pPr>
      <w:r w:rsidRPr="00110796">
        <w:rPr>
          <w:lang w:val="en-NZ"/>
        </w:rPr>
        <w:t>t</w:t>
      </w:r>
      <w:r w:rsidR="005E25D1" w:rsidRPr="00110796">
        <w:rPr>
          <w:lang w:val="en-NZ"/>
        </w:rPr>
        <w:t xml:space="preserve">o examine how </w:t>
      </w:r>
      <w:r w:rsidR="00D3633E" w:rsidRPr="00110796">
        <w:rPr>
          <w:lang w:val="en-NZ"/>
        </w:rPr>
        <w:t xml:space="preserve">office landlords </w:t>
      </w:r>
      <w:r w:rsidRPr="00110796">
        <w:rPr>
          <w:lang w:val="en-NZ"/>
        </w:rPr>
        <w:t xml:space="preserve">could </w:t>
      </w:r>
      <w:r w:rsidR="005E25D1" w:rsidRPr="00110796">
        <w:rPr>
          <w:lang w:val="en-NZ"/>
        </w:rPr>
        <w:t>a</w:t>
      </w:r>
      <w:r w:rsidR="005C73C1">
        <w:rPr>
          <w:lang w:val="en-NZ"/>
        </w:rPr>
        <w:t xml:space="preserve">dapt to changing demands for </w:t>
      </w:r>
      <w:proofErr w:type="spellStart"/>
      <w:r w:rsidR="005C73C1" w:rsidRPr="005C73C1">
        <w:rPr>
          <w:color w:val="FF0000"/>
          <w:lang w:val="en-NZ"/>
        </w:rPr>
        <w:t>co</w:t>
      </w:r>
      <w:r w:rsidR="005E25D1" w:rsidRPr="005C73C1">
        <w:rPr>
          <w:color w:val="FF0000"/>
          <w:lang w:val="en-NZ"/>
        </w:rPr>
        <w:t>working</w:t>
      </w:r>
      <w:proofErr w:type="spellEnd"/>
      <w:r w:rsidR="005E25D1" w:rsidRPr="00110796">
        <w:rPr>
          <w:lang w:val="en-NZ"/>
        </w:rPr>
        <w:t xml:space="preserve"> spaces in office buildings  </w:t>
      </w:r>
    </w:p>
    <w:p w:rsidR="004F2491" w:rsidRPr="00110796" w:rsidRDefault="004F2491" w:rsidP="0011033E">
      <w:pPr>
        <w:spacing w:line="360" w:lineRule="auto"/>
        <w:ind w:left="142"/>
        <w:jc w:val="both"/>
        <w:rPr>
          <w:lang w:val="en-NZ"/>
        </w:rPr>
      </w:pPr>
    </w:p>
    <w:p w:rsidR="002F0547" w:rsidRPr="00110796" w:rsidRDefault="00663D21" w:rsidP="002F0547">
      <w:pPr>
        <w:spacing w:line="360" w:lineRule="auto"/>
        <w:ind w:left="142"/>
        <w:jc w:val="both"/>
        <w:rPr>
          <w:lang w:val="en-NZ"/>
        </w:rPr>
      </w:pPr>
      <w:r w:rsidRPr="00110796">
        <w:rPr>
          <w:lang w:val="en-NZ"/>
        </w:rPr>
        <w:t xml:space="preserve">Overall, </w:t>
      </w:r>
      <w:r w:rsidR="002F0547" w:rsidRPr="00110796">
        <w:rPr>
          <w:lang w:val="en-NZ"/>
        </w:rPr>
        <w:t xml:space="preserve">the aim of this paper </w:t>
      </w:r>
      <w:r w:rsidR="009D06F4" w:rsidRPr="00110796">
        <w:rPr>
          <w:lang w:val="en-NZ"/>
        </w:rPr>
        <w:t>provides</w:t>
      </w:r>
      <w:r w:rsidR="002F0547" w:rsidRPr="00110796">
        <w:rPr>
          <w:lang w:val="en-NZ"/>
        </w:rPr>
        <w:t xml:space="preserve"> an overview of the </w:t>
      </w:r>
      <w:proofErr w:type="spellStart"/>
      <w:r w:rsidR="002F0547" w:rsidRPr="00110796">
        <w:rPr>
          <w:lang w:val="en-NZ"/>
        </w:rPr>
        <w:t>coworking</w:t>
      </w:r>
      <w:proofErr w:type="spellEnd"/>
      <w:r w:rsidR="002F0547" w:rsidRPr="00110796">
        <w:rPr>
          <w:lang w:val="en-NZ"/>
        </w:rPr>
        <w:t xml:space="preserve"> environment as it exists in the </w:t>
      </w:r>
      <w:r w:rsidR="00B6094C" w:rsidRPr="00110796">
        <w:rPr>
          <w:lang w:val="en-NZ"/>
        </w:rPr>
        <w:t>Melbourne (</w:t>
      </w:r>
      <w:r w:rsidR="002F0547" w:rsidRPr="00110796">
        <w:rPr>
          <w:lang w:val="en-NZ"/>
        </w:rPr>
        <w:t>Australia</w:t>
      </w:r>
      <w:r w:rsidR="00B6094C" w:rsidRPr="00110796">
        <w:rPr>
          <w:lang w:val="en-NZ"/>
        </w:rPr>
        <w:t xml:space="preserve">) </w:t>
      </w:r>
      <w:r w:rsidR="002F0547" w:rsidRPr="00110796">
        <w:rPr>
          <w:lang w:val="en-NZ"/>
        </w:rPr>
        <w:t xml:space="preserve">office market today and </w:t>
      </w:r>
      <w:r w:rsidR="009D06F4" w:rsidRPr="00110796">
        <w:rPr>
          <w:lang w:val="en-NZ"/>
        </w:rPr>
        <w:t>establishes</w:t>
      </w:r>
      <w:r w:rsidR="002F0547" w:rsidRPr="00110796">
        <w:rPr>
          <w:lang w:val="en-NZ"/>
        </w:rPr>
        <w:t xml:space="preserve"> a foundation for further exploration of the implications on the traditional office environments and leasing practices. </w:t>
      </w:r>
      <w:r w:rsidR="00751A84" w:rsidRPr="00110796">
        <w:rPr>
          <w:lang w:val="en-NZ"/>
        </w:rPr>
        <w:t xml:space="preserve">    The first part of the paper discusses the literature with regards to the adoption of </w:t>
      </w:r>
      <w:proofErr w:type="spellStart"/>
      <w:r w:rsidR="00751A84" w:rsidRPr="00110796">
        <w:rPr>
          <w:lang w:val="en-NZ"/>
        </w:rPr>
        <w:t>coworking</w:t>
      </w:r>
      <w:proofErr w:type="spellEnd"/>
      <w:r w:rsidR="00751A84" w:rsidRPr="00110796">
        <w:rPr>
          <w:lang w:val="en-NZ"/>
        </w:rPr>
        <w:t xml:space="preserve"> spaces both nationally and internationally.  The research continues with an examination on the contextual analysis of Melbourne’s </w:t>
      </w:r>
      <w:proofErr w:type="spellStart"/>
      <w:r w:rsidR="00751A84" w:rsidRPr="00110796">
        <w:rPr>
          <w:lang w:val="en-NZ"/>
        </w:rPr>
        <w:t>coworking</w:t>
      </w:r>
      <w:proofErr w:type="spellEnd"/>
      <w:r w:rsidR="00751A84" w:rsidRPr="00110796">
        <w:rPr>
          <w:lang w:val="en-NZ"/>
        </w:rPr>
        <w:t xml:space="preserve"> spaces, and concludes with a discussion on the challenges and opportunities currently prevailing. </w:t>
      </w:r>
    </w:p>
    <w:p w:rsidR="004F2491" w:rsidRPr="00110796" w:rsidRDefault="004F2491" w:rsidP="004F2491">
      <w:pPr>
        <w:spacing w:line="360" w:lineRule="auto"/>
        <w:ind w:left="720"/>
        <w:jc w:val="both"/>
        <w:rPr>
          <w:lang w:val="en-NZ"/>
        </w:rPr>
      </w:pPr>
    </w:p>
    <w:p w:rsidR="009D06F4" w:rsidRPr="00110796" w:rsidRDefault="00C921B9" w:rsidP="004F2491">
      <w:pPr>
        <w:spacing w:line="360" w:lineRule="auto"/>
        <w:jc w:val="both"/>
        <w:rPr>
          <w:b/>
        </w:rPr>
      </w:pPr>
      <w:r w:rsidRPr="00110796">
        <w:rPr>
          <w:b/>
        </w:rPr>
        <w:t>Literature review</w:t>
      </w:r>
      <w:r w:rsidR="009D06F4" w:rsidRPr="00110796">
        <w:rPr>
          <w:b/>
        </w:rPr>
        <w:t xml:space="preserve">     </w:t>
      </w:r>
    </w:p>
    <w:p w:rsidR="003E5E4B" w:rsidRDefault="003E5E4B" w:rsidP="004F2491">
      <w:pPr>
        <w:spacing w:line="360" w:lineRule="auto"/>
        <w:jc w:val="both"/>
      </w:pPr>
    </w:p>
    <w:p w:rsidR="00A963A7" w:rsidRDefault="008728FB" w:rsidP="004F2491">
      <w:pPr>
        <w:spacing w:line="360" w:lineRule="auto"/>
        <w:jc w:val="both"/>
      </w:pPr>
      <w:r w:rsidRPr="00110796">
        <w:t xml:space="preserve">As mentioned previously, </w:t>
      </w:r>
      <w:proofErr w:type="spellStart"/>
      <w:r w:rsidRPr="00110796">
        <w:t>coworking</w:t>
      </w:r>
      <w:proofErr w:type="spellEnd"/>
      <w:r w:rsidR="0085136C" w:rsidRPr="00110796">
        <w:t xml:space="preserve"> spaces</w:t>
      </w:r>
      <w:r w:rsidRPr="00110796">
        <w:t xml:space="preserve"> </w:t>
      </w:r>
      <w:r w:rsidR="0085136C" w:rsidRPr="00110796">
        <w:t xml:space="preserve">are beneficial for those </w:t>
      </w:r>
      <w:r w:rsidR="00A963A7" w:rsidRPr="00110796">
        <w:t>who desire an environment which facilitates creativity, critical thinking, knowledge sharing and collaboration.  However the</w:t>
      </w:r>
      <w:r w:rsidR="009D06F4" w:rsidRPr="00110796">
        <w:t>se</w:t>
      </w:r>
      <w:r w:rsidR="00A963A7" w:rsidRPr="00110796">
        <w:t xml:space="preserve"> </w:t>
      </w:r>
      <w:r w:rsidR="0085136C" w:rsidRPr="00110796">
        <w:t>requirements presented to</w:t>
      </w:r>
      <w:r w:rsidR="009D06F4" w:rsidRPr="00110796">
        <w:t xml:space="preserve"> </w:t>
      </w:r>
      <w:r w:rsidR="00A963A7" w:rsidRPr="00110796">
        <w:t>landlords</w:t>
      </w:r>
      <w:r w:rsidR="0085136C" w:rsidRPr="00110796">
        <w:t>,</w:t>
      </w:r>
      <w:r w:rsidR="009D06F4" w:rsidRPr="00110796">
        <w:t xml:space="preserve"> </w:t>
      </w:r>
      <w:r w:rsidR="0085136C" w:rsidRPr="00110796">
        <w:t xml:space="preserve">challenge and </w:t>
      </w:r>
      <w:r w:rsidR="009D06F4" w:rsidRPr="00110796">
        <w:t xml:space="preserve">contest the standard way of </w:t>
      </w:r>
      <w:r w:rsidR="0085136C" w:rsidRPr="00110796">
        <w:t xml:space="preserve">providing working space, </w:t>
      </w:r>
      <w:r w:rsidR="009D06F4" w:rsidRPr="00110796">
        <w:t xml:space="preserve">when weighted against the traditional office space environment.  </w:t>
      </w:r>
      <w:r w:rsidR="00640861" w:rsidRPr="00110796">
        <w:t>There is scant academic literature examining the landlords</w:t>
      </w:r>
      <w:r w:rsidR="00110796" w:rsidRPr="00110796">
        <w:t>’</w:t>
      </w:r>
      <w:r w:rsidR="00640861" w:rsidRPr="00110796">
        <w:t xml:space="preserve"> viewpoint</w:t>
      </w:r>
      <w:r w:rsidR="00817443" w:rsidRPr="00110796">
        <w:t xml:space="preserve"> within this niche sector</w:t>
      </w:r>
      <w:r w:rsidR="00640861" w:rsidRPr="00110796">
        <w:t xml:space="preserve">.  Although the property industry has </w:t>
      </w:r>
      <w:r w:rsidR="00640861" w:rsidRPr="00110796">
        <w:lastRenderedPageBreak/>
        <w:t xml:space="preserve">embraced the changing nature of the workforce, challenges and opportunities available to landlord are a worthy consideration when analysing the financial performance of </w:t>
      </w:r>
      <w:r w:rsidR="00640861" w:rsidRPr="00BA34BF">
        <w:rPr>
          <w:strike/>
        </w:rPr>
        <w:t>corporate</w:t>
      </w:r>
      <w:r w:rsidR="00640861" w:rsidRPr="00110796">
        <w:t xml:space="preserve"> </w:t>
      </w:r>
      <w:r w:rsidR="00BA34BF">
        <w:rPr>
          <w:color w:val="FF0000"/>
        </w:rPr>
        <w:t xml:space="preserve">commercial </w:t>
      </w:r>
      <w:r w:rsidR="00640861" w:rsidRPr="00110796">
        <w:t xml:space="preserve">real estate and individual landlord holdings.  Current research </w:t>
      </w:r>
      <w:r w:rsidR="009D06F4" w:rsidRPr="00110796">
        <w:t>highlights the benefits of collaboration for start-up</w:t>
      </w:r>
      <w:r w:rsidR="004B0464" w:rsidRPr="00110796">
        <w:t xml:space="preserve">s to encourage creativity and innovation, and </w:t>
      </w:r>
      <w:r w:rsidR="0085136C" w:rsidRPr="00110796">
        <w:t xml:space="preserve">acknowledge that </w:t>
      </w:r>
      <w:r w:rsidR="004B0464" w:rsidRPr="00110796">
        <w:t>working in solidarity will not necessarily produce the required results (</w:t>
      </w:r>
      <w:proofErr w:type="spellStart"/>
      <w:r w:rsidR="00A62D66" w:rsidRPr="00110796">
        <w:t>Gandini</w:t>
      </w:r>
      <w:proofErr w:type="spellEnd"/>
      <w:r w:rsidR="00A62D66" w:rsidRPr="00110796">
        <w:t xml:space="preserve"> 2015;</w:t>
      </w:r>
      <w:r w:rsidR="001410F5" w:rsidRPr="00110796">
        <w:t xml:space="preserve"> </w:t>
      </w:r>
      <w:proofErr w:type="spellStart"/>
      <w:r w:rsidR="001410F5" w:rsidRPr="00110796">
        <w:t>Gerdenitsch</w:t>
      </w:r>
      <w:proofErr w:type="spellEnd"/>
      <w:r w:rsidR="001410F5" w:rsidRPr="00110796">
        <w:t xml:space="preserve"> et al. 2016</w:t>
      </w:r>
      <w:r w:rsidR="0085136C" w:rsidRPr="00110796">
        <w:t>).</w:t>
      </w:r>
      <w:r w:rsidR="00110796" w:rsidRPr="00110796">
        <w:t xml:space="preserve"> </w:t>
      </w:r>
      <w:r w:rsidR="004B0464" w:rsidRPr="00110796">
        <w:t xml:space="preserve">The literature review in this section focuses on </w:t>
      </w:r>
      <w:r w:rsidR="00640861" w:rsidRPr="00110796">
        <w:t xml:space="preserve">available </w:t>
      </w:r>
      <w:r w:rsidR="004B0464" w:rsidRPr="00110796">
        <w:t>research which examines the</w:t>
      </w:r>
      <w:r w:rsidR="00EE63C4" w:rsidRPr="00110796">
        <w:t>se</w:t>
      </w:r>
      <w:r w:rsidR="004B0464" w:rsidRPr="00110796">
        <w:t xml:space="preserve"> challenges and opportunities attributed to </w:t>
      </w:r>
      <w:proofErr w:type="spellStart"/>
      <w:r w:rsidR="004B0464" w:rsidRPr="00110796">
        <w:t>coworking</w:t>
      </w:r>
      <w:proofErr w:type="spellEnd"/>
      <w:r w:rsidR="004B0464" w:rsidRPr="00110796">
        <w:t xml:space="preserve"> spaces.</w:t>
      </w:r>
      <w:r w:rsidR="004B0464">
        <w:t xml:space="preserve"> </w:t>
      </w:r>
    </w:p>
    <w:p w:rsidR="00765739" w:rsidRDefault="00765739" w:rsidP="004F2491">
      <w:pPr>
        <w:spacing w:line="360" w:lineRule="auto"/>
        <w:jc w:val="both"/>
        <w:rPr>
          <w:b/>
          <w:highlight w:val="yellow"/>
        </w:rPr>
      </w:pPr>
    </w:p>
    <w:p w:rsidR="000606A1" w:rsidRDefault="000606A1" w:rsidP="004F2491">
      <w:pPr>
        <w:spacing w:line="360" w:lineRule="auto"/>
        <w:jc w:val="both"/>
        <w:rPr>
          <w:b/>
        </w:rPr>
      </w:pPr>
    </w:p>
    <w:p w:rsidR="008728FB" w:rsidRPr="00110796" w:rsidRDefault="008728FB" w:rsidP="004F2491">
      <w:pPr>
        <w:spacing w:line="360" w:lineRule="auto"/>
        <w:jc w:val="both"/>
        <w:rPr>
          <w:b/>
        </w:rPr>
      </w:pPr>
      <w:r w:rsidRPr="00110796">
        <w:rPr>
          <w:b/>
        </w:rPr>
        <w:t>Challenges</w:t>
      </w:r>
      <w:r w:rsidR="00EE63C4" w:rsidRPr="00110796">
        <w:rPr>
          <w:b/>
        </w:rPr>
        <w:t xml:space="preserve"> </w:t>
      </w:r>
      <w:r w:rsidR="003C50CA" w:rsidRPr="00110796">
        <w:rPr>
          <w:b/>
        </w:rPr>
        <w:t xml:space="preserve">      </w:t>
      </w:r>
      <w:r w:rsidR="00765739" w:rsidRPr="00110796">
        <w:rPr>
          <w:b/>
        </w:rPr>
        <w:t xml:space="preserve"> </w:t>
      </w:r>
    </w:p>
    <w:p w:rsidR="000606A1" w:rsidRDefault="000606A1" w:rsidP="00E53010">
      <w:pPr>
        <w:spacing w:line="360" w:lineRule="auto"/>
        <w:jc w:val="both"/>
      </w:pPr>
    </w:p>
    <w:p w:rsidR="00E53010" w:rsidRPr="00110796" w:rsidRDefault="00D0549D" w:rsidP="00E53010">
      <w:pPr>
        <w:spacing w:line="360" w:lineRule="auto"/>
        <w:jc w:val="both"/>
      </w:pPr>
      <w:r w:rsidRPr="00110796">
        <w:t>Traditionally start-ups are associated with thoughts of in</w:t>
      </w:r>
      <w:r w:rsidR="00B500FC" w:rsidRPr="00110796">
        <w:t>novation and entrepreneurship with recent research labelling the space as a “new form of urban social infrastructure” (Merkel 2015).  However whilst these</w:t>
      </w:r>
      <w:r w:rsidR="0085136C" w:rsidRPr="00110796">
        <w:t xml:space="preserve"> </w:t>
      </w:r>
      <w:proofErr w:type="spellStart"/>
      <w:r w:rsidR="0085136C" w:rsidRPr="00110796">
        <w:t>coworking</w:t>
      </w:r>
      <w:proofErr w:type="spellEnd"/>
      <w:r w:rsidR="0085136C" w:rsidRPr="00110796">
        <w:t xml:space="preserve"> spaces </w:t>
      </w:r>
      <w:r w:rsidR="00B500FC" w:rsidRPr="00110796">
        <w:t xml:space="preserve">are designed to </w:t>
      </w:r>
      <w:r w:rsidRPr="00110796">
        <w:t>encourage networking and collab</w:t>
      </w:r>
      <w:r w:rsidR="0085136C" w:rsidRPr="00110796">
        <w:t xml:space="preserve">oration, the outcomes are </w:t>
      </w:r>
      <w:r w:rsidRPr="00110796">
        <w:t>also dependent on user mix and location (</w:t>
      </w:r>
      <w:proofErr w:type="spellStart"/>
      <w:r w:rsidR="00606644" w:rsidRPr="00110796">
        <w:t>Gandini</w:t>
      </w:r>
      <w:proofErr w:type="spellEnd"/>
      <w:r w:rsidR="00606644" w:rsidRPr="00110796">
        <w:t xml:space="preserve"> 2015</w:t>
      </w:r>
      <w:r w:rsidRPr="00110796">
        <w:t xml:space="preserve">).  </w:t>
      </w:r>
      <w:r w:rsidR="003C50CA" w:rsidRPr="00110796">
        <w:t>Recent research focusing on specific space environments, rather than a CBD metropolis, has explored the question of whether co working promotes entrepreneurship.  In this regard, the research identified the need for a “supportive and a productive business climate” coupled with a “physical environment where creativity and innovation can flourish” (</w:t>
      </w:r>
      <w:proofErr w:type="spellStart"/>
      <w:r w:rsidR="003C50CA" w:rsidRPr="00110796">
        <w:t>Fuzi</w:t>
      </w:r>
      <w:proofErr w:type="spellEnd"/>
      <w:r w:rsidR="003C50CA" w:rsidRPr="00110796">
        <w:t xml:space="preserve"> 2015).</w:t>
      </w:r>
      <w:r w:rsidR="00110796" w:rsidRPr="00110796">
        <w:t xml:space="preserve"> </w:t>
      </w:r>
      <w:r w:rsidR="003C50CA" w:rsidRPr="00110796">
        <w:t xml:space="preserve">This research </w:t>
      </w:r>
      <w:r w:rsidR="006B3067" w:rsidRPr="00110796">
        <w:t xml:space="preserve">and also earlier research, </w:t>
      </w:r>
      <w:r w:rsidR="003C50CA" w:rsidRPr="00110796">
        <w:t>provides support to two points of consideration, being the notion that co location in isolation is insufficient to stimulate the necessary collaboration and synergies, and secondly the hosts/facilitators can extensively contribute towards inspiring and motivating interesting relationships and encourage entrepreneurship</w:t>
      </w:r>
      <w:r w:rsidR="00110796" w:rsidRPr="00110796">
        <w:t xml:space="preserve"> </w:t>
      </w:r>
      <w:r w:rsidR="006B3067" w:rsidRPr="00110796">
        <w:t>(</w:t>
      </w:r>
      <w:proofErr w:type="spellStart"/>
      <w:r w:rsidR="006B3067" w:rsidRPr="00110796">
        <w:t>Ibert</w:t>
      </w:r>
      <w:proofErr w:type="spellEnd"/>
      <w:r w:rsidR="006B3067" w:rsidRPr="00110796">
        <w:t xml:space="preserve"> 2010; </w:t>
      </w:r>
      <w:proofErr w:type="spellStart"/>
      <w:r w:rsidR="006B3067" w:rsidRPr="00110796">
        <w:t>Spinuzzi</w:t>
      </w:r>
      <w:proofErr w:type="spellEnd"/>
      <w:r w:rsidR="00E53010" w:rsidRPr="00110796">
        <w:t xml:space="preserve"> </w:t>
      </w:r>
      <w:r w:rsidR="006B3067" w:rsidRPr="00110796">
        <w:t>2012</w:t>
      </w:r>
      <w:r w:rsidR="00976EBC" w:rsidRPr="00110796">
        <w:t xml:space="preserve">; </w:t>
      </w:r>
      <w:proofErr w:type="spellStart"/>
      <w:r w:rsidR="00976EBC" w:rsidRPr="00110796">
        <w:t>Fuzi</w:t>
      </w:r>
      <w:proofErr w:type="spellEnd"/>
      <w:r w:rsidR="00976EBC" w:rsidRPr="00110796">
        <w:t xml:space="preserve"> 2015</w:t>
      </w:r>
      <w:r w:rsidR="006B3067" w:rsidRPr="00110796">
        <w:t>).</w:t>
      </w:r>
      <w:r w:rsidR="00110796" w:rsidRPr="00110796">
        <w:t xml:space="preserve"> </w:t>
      </w:r>
      <w:r w:rsidR="00E53010" w:rsidRPr="00110796">
        <w:t>Similarly, the relationship between social support and performance is high, with the expectation that co working spaces will provide flexibility, and opportunities to access social support</w:t>
      </w:r>
      <w:r w:rsidR="00976EBC" w:rsidRPr="00110796">
        <w:t xml:space="preserve"> (</w:t>
      </w:r>
      <w:proofErr w:type="spellStart"/>
      <w:r w:rsidR="00E53010" w:rsidRPr="00110796">
        <w:t>Gerdenitsch</w:t>
      </w:r>
      <w:proofErr w:type="spellEnd"/>
      <w:r w:rsidR="00E53010" w:rsidRPr="00110796">
        <w:t xml:space="preserve"> et al. 2016).</w:t>
      </w:r>
    </w:p>
    <w:p w:rsidR="006B3067" w:rsidRPr="00110796" w:rsidRDefault="006B3067" w:rsidP="003C50CA">
      <w:pPr>
        <w:spacing w:line="360" w:lineRule="auto"/>
        <w:jc w:val="both"/>
      </w:pPr>
    </w:p>
    <w:p w:rsidR="003C50CA" w:rsidRPr="00110796" w:rsidRDefault="00F25B94" w:rsidP="003C50CA">
      <w:pPr>
        <w:spacing w:line="360" w:lineRule="auto"/>
        <w:jc w:val="both"/>
      </w:pPr>
      <w:r w:rsidRPr="00110796">
        <w:t>Additionally, t</w:t>
      </w:r>
      <w:r w:rsidR="00E84D09" w:rsidRPr="00110796">
        <w:t>he design and aesthetic surroundings of co working space</w:t>
      </w:r>
      <w:r w:rsidRPr="00110796">
        <w:t xml:space="preserve">, and how the space is used are all </w:t>
      </w:r>
      <w:r w:rsidR="00E84D09" w:rsidRPr="00110796">
        <w:t>equally important</w:t>
      </w:r>
      <w:r w:rsidRPr="00110796">
        <w:t>.</w:t>
      </w:r>
      <w:r w:rsidR="00110796" w:rsidRPr="00110796">
        <w:t xml:space="preserve"> </w:t>
      </w:r>
      <w:r w:rsidR="00E53010" w:rsidRPr="00110796">
        <w:t>Freelancers and self-employed individuals working in isolation at home will require suitable fit out spaces.</w:t>
      </w:r>
      <w:r w:rsidR="00110796" w:rsidRPr="00110796">
        <w:t xml:space="preserve"> </w:t>
      </w:r>
      <w:r w:rsidRPr="00110796">
        <w:t xml:space="preserve">For instance, if </w:t>
      </w:r>
      <w:r w:rsidR="00E84D09" w:rsidRPr="00110796">
        <w:t xml:space="preserve">working in concentrated areas </w:t>
      </w:r>
      <w:r w:rsidRPr="00110796">
        <w:t xml:space="preserve">requires </w:t>
      </w:r>
      <w:r w:rsidR="00E84D09" w:rsidRPr="00110796">
        <w:t xml:space="preserve">privacy, and </w:t>
      </w:r>
      <w:r w:rsidRPr="00110796">
        <w:t xml:space="preserve">a need for no disturbance, this will </w:t>
      </w:r>
      <w:r w:rsidRPr="00110796">
        <w:lastRenderedPageBreak/>
        <w:t xml:space="preserve">encourage the development of </w:t>
      </w:r>
      <w:r w:rsidR="00E84D09" w:rsidRPr="00110796">
        <w:t>soundproof cubicles, and</w:t>
      </w:r>
      <w:r w:rsidRPr="00110796">
        <w:t xml:space="preserve"> so the intent of </w:t>
      </w:r>
      <w:proofErr w:type="spellStart"/>
      <w:r w:rsidRPr="00110796">
        <w:t>coworking</w:t>
      </w:r>
      <w:proofErr w:type="spellEnd"/>
      <w:r w:rsidRPr="00110796">
        <w:t xml:space="preserve"> spaces is defeated </w:t>
      </w:r>
      <w:r w:rsidR="00E84D09" w:rsidRPr="00110796">
        <w:t>(</w:t>
      </w:r>
      <w:proofErr w:type="spellStart"/>
      <w:r w:rsidR="00E84D09" w:rsidRPr="00110796">
        <w:t>Liegl</w:t>
      </w:r>
      <w:proofErr w:type="spellEnd"/>
      <w:r w:rsidR="00E84D09" w:rsidRPr="00110796">
        <w:t xml:space="preserve"> 2014)</w:t>
      </w:r>
      <w:r w:rsidRPr="00110796">
        <w:t>.</w:t>
      </w:r>
    </w:p>
    <w:p w:rsidR="00E53010" w:rsidRPr="00110796" w:rsidRDefault="00E53010" w:rsidP="003C50CA">
      <w:pPr>
        <w:spacing w:line="360" w:lineRule="auto"/>
        <w:jc w:val="both"/>
      </w:pPr>
    </w:p>
    <w:p w:rsidR="003C50CA" w:rsidRPr="00110796" w:rsidRDefault="005E78D1" w:rsidP="003C50CA">
      <w:pPr>
        <w:spacing w:line="360" w:lineRule="auto"/>
        <w:jc w:val="both"/>
        <w:rPr>
          <w:rFonts w:ascii="AdvTTec369687" w:hAnsi="AdvTTec369687" w:cs="AdvTTec369687"/>
          <w:sz w:val="20"/>
          <w:szCs w:val="20"/>
        </w:rPr>
      </w:pPr>
      <w:r w:rsidRPr="00110796">
        <w:t xml:space="preserve">Therefore, the </w:t>
      </w:r>
      <w:r w:rsidR="003C50CA" w:rsidRPr="00110796">
        <w:t>landlord</w:t>
      </w:r>
      <w:r w:rsidRPr="00110796">
        <w:t xml:space="preserve"> faces the scenario of now embracing additional encumber</w:t>
      </w:r>
      <w:r w:rsidR="00D6730C" w:rsidRPr="00110796">
        <w:t xml:space="preserve">s.  This includes considerations such as offering a head lease to enable an operator to co ordinate the space requirements; or engaging a facilitator to oversee and assist the users of the co working space; or redesign and modify existing office space from the traditional blueprints to a vibrant engaging hub.  </w:t>
      </w:r>
      <w:r w:rsidRPr="00110796">
        <w:t>However if the alternative decision</w:t>
      </w:r>
      <w:r w:rsidR="00D6730C" w:rsidRPr="00110796">
        <w:t xml:space="preserve"> for the landlord</w:t>
      </w:r>
      <w:r w:rsidRPr="00110796">
        <w:t xml:space="preserve"> is to accept </w:t>
      </w:r>
      <w:r w:rsidR="00D6730C" w:rsidRPr="00110796">
        <w:t>a</w:t>
      </w:r>
      <w:r w:rsidRPr="00110796">
        <w:t xml:space="preserve"> vacancy factor</w:t>
      </w:r>
      <w:r w:rsidR="00D6730C" w:rsidRPr="00110796">
        <w:t xml:space="preserve"> or low rental</w:t>
      </w:r>
      <w:r w:rsidRPr="00110796">
        <w:t xml:space="preserve"> for the</w:t>
      </w:r>
      <w:r w:rsidR="00D6730C" w:rsidRPr="00110796">
        <w:t>ir existing</w:t>
      </w:r>
      <w:r w:rsidRPr="00110796">
        <w:t xml:space="preserve"> office space, with no </w:t>
      </w:r>
      <w:r w:rsidR="00D6730C" w:rsidRPr="00110796">
        <w:t xml:space="preserve">potential to improve the </w:t>
      </w:r>
      <w:r w:rsidRPr="00110796">
        <w:t xml:space="preserve">rental cash </w:t>
      </w:r>
      <w:r w:rsidR="004025D9" w:rsidRPr="00110796">
        <w:t>in</w:t>
      </w:r>
      <w:r w:rsidRPr="00110796">
        <w:t>flow, the conversion of the space to meet the changing need</w:t>
      </w:r>
      <w:r w:rsidR="00D6730C" w:rsidRPr="00110796">
        <w:t>s</w:t>
      </w:r>
      <w:r w:rsidRPr="00110796">
        <w:t xml:space="preserve"> of the business community, would appear attractive</w:t>
      </w:r>
      <w:r w:rsidR="00A62D66" w:rsidRPr="00110796">
        <w:t>.</w:t>
      </w:r>
      <w:r w:rsidR="00D6730C" w:rsidRPr="00110796">
        <w:t xml:space="preserve">   </w:t>
      </w:r>
    </w:p>
    <w:p w:rsidR="00D0549D" w:rsidRDefault="00D0549D" w:rsidP="00EE63C4">
      <w:pPr>
        <w:spacing w:line="360" w:lineRule="auto"/>
        <w:jc w:val="both"/>
      </w:pPr>
    </w:p>
    <w:p w:rsidR="004B0464" w:rsidRPr="00CF5008" w:rsidRDefault="001466E1" w:rsidP="004B0464">
      <w:pPr>
        <w:spacing w:line="360" w:lineRule="auto"/>
        <w:jc w:val="both"/>
        <w:rPr>
          <w:b/>
        </w:rPr>
      </w:pPr>
      <w:r w:rsidRPr="00CF5008">
        <w:rPr>
          <w:b/>
        </w:rPr>
        <w:t xml:space="preserve">Transforming Challenges into </w:t>
      </w:r>
      <w:r w:rsidR="004B0464" w:rsidRPr="00CF5008">
        <w:rPr>
          <w:b/>
        </w:rPr>
        <w:t>Opportunities</w:t>
      </w:r>
      <w:r w:rsidR="00731DCB" w:rsidRPr="00CF5008">
        <w:rPr>
          <w:b/>
        </w:rPr>
        <w:t xml:space="preserve">  </w:t>
      </w:r>
    </w:p>
    <w:p w:rsidR="000606A1" w:rsidRDefault="000606A1" w:rsidP="00C8669A">
      <w:pPr>
        <w:autoSpaceDE w:val="0"/>
        <w:autoSpaceDN w:val="0"/>
        <w:adjustRightInd w:val="0"/>
        <w:spacing w:line="360" w:lineRule="auto"/>
        <w:jc w:val="both"/>
      </w:pPr>
    </w:p>
    <w:p w:rsidR="00C8669A" w:rsidRDefault="00655D00" w:rsidP="00C8669A">
      <w:pPr>
        <w:autoSpaceDE w:val="0"/>
        <w:autoSpaceDN w:val="0"/>
        <w:adjustRightInd w:val="0"/>
        <w:spacing w:line="360" w:lineRule="auto"/>
        <w:jc w:val="both"/>
      </w:pPr>
      <w:r w:rsidRPr="00CF5008">
        <w:t>Serviced offices, which were introduced many decades ago into the commercial market offer</w:t>
      </w:r>
      <w:r w:rsidR="00F1274E" w:rsidRPr="00CF5008">
        <w:t>ed</w:t>
      </w:r>
      <w:r w:rsidRPr="00CF5008">
        <w:t xml:space="preserve"> a different package of benefits</w:t>
      </w:r>
      <w:r w:rsidR="00F1274E" w:rsidRPr="00CF5008">
        <w:t xml:space="preserve"> which included </w:t>
      </w:r>
      <w:r w:rsidRPr="00CF5008">
        <w:t>reception and secretarial services,</w:t>
      </w:r>
      <w:r w:rsidR="00F1274E" w:rsidRPr="00CF5008">
        <w:t xml:space="preserve"> phone lines, faxes and postal services; </w:t>
      </w:r>
      <w:r w:rsidRPr="00CF5008">
        <w:t xml:space="preserve"> dedicated office space to the same users  i.e. the right to occupy the same space during the term of the tenancy and short term leases. </w:t>
      </w:r>
      <w:r w:rsidR="00F1274E" w:rsidRPr="00CF5008">
        <w:t xml:space="preserve">However with the changing nature of the work force and the technological improvements many of these benefits have been superseded due to the advancement of mobile phones, internet and cloud </w:t>
      </w:r>
      <w:r w:rsidR="00066CFF" w:rsidRPr="00CF5008">
        <w:t xml:space="preserve">based </w:t>
      </w:r>
      <w:r w:rsidR="00F1274E" w:rsidRPr="00CF5008">
        <w:t>access</w:t>
      </w:r>
      <w:r w:rsidR="00C8669A" w:rsidRPr="00CF5008">
        <w:t xml:space="preserve"> (Waters-Lynch and Potts 2017).  Therefore a key consideration for landlords is how to better utilize existing office space</w:t>
      </w:r>
      <w:r w:rsidR="00EB34CE" w:rsidRPr="00CF5008">
        <w:t>, simultaneously meet the changing nature of the workforce,</w:t>
      </w:r>
      <w:r w:rsidR="00C8669A" w:rsidRPr="00CF5008">
        <w:t xml:space="preserve"> and obtain maximum </w:t>
      </w:r>
      <w:r w:rsidR="00EB34CE" w:rsidRPr="00CF5008">
        <w:t xml:space="preserve">cash inflow of </w:t>
      </w:r>
      <w:r w:rsidR="00C8669A" w:rsidRPr="00CF5008">
        <w:t>rentals.</w:t>
      </w:r>
      <w:r w:rsidR="00C8669A">
        <w:t xml:space="preserve">  </w:t>
      </w:r>
    </w:p>
    <w:p w:rsidR="002D07D2" w:rsidRDefault="002D07D2" w:rsidP="00C8669A">
      <w:pPr>
        <w:autoSpaceDE w:val="0"/>
        <w:autoSpaceDN w:val="0"/>
        <w:adjustRightInd w:val="0"/>
        <w:spacing w:line="360" w:lineRule="auto"/>
        <w:jc w:val="both"/>
      </w:pPr>
    </w:p>
    <w:p w:rsidR="003B2061" w:rsidRDefault="002D07D2" w:rsidP="003B2061">
      <w:pPr>
        <w:spacing w:line="360" w:lineRule="auto"/>
        <w:jc w:val="both"/>
      </w:pPr>
      <w:r w:rsidRPr="00CF5008">
        <w:t xml:space="preserve">An area of significance is the regional scene as opposed to the CBD location.  There appears to be an increasingly popular demand </w:t>
      </w:r>
      <w:r w:rsidR="002612DF" w:rsidRPr="00CF5008">
        <w:t xml:space="preserve">to position </w:t>
      </w:r>
      <w:r w:rsidRPr="00CF5008">
        <w:t>co working c</w:t>
      </w:r>
      <w:r w:rsidR="002612DF" w:rsidRPr="00CF5008">
        <w:t xml:space="preserve">entres </w:t>
      </w:r>
      <w:r w:rsidRPr="00CF5008">
        <w:t xml:space="preserve">in key regional areas (Cameron 2012; Forbes 2014).  Commercial landlords may consider this as an exciting opportunity to transform difficult to lease commercial premises into </w:t>
      </w:r>
      <w:proofErr w:type="spellStart"/>
      <w:r w:rsidRPr="00CF5008">
        <w:t>coworking</w:t>
      </w:r>
      <w:proofErr w:type="spellEnd"/>
      <w:r w:rsidRPr="00CF5008">
        <w:t xml:space="preserve"> vibrant hubs.  There are numerous benefits for users such as the cost elimination of setting up a home-based office and clearly separating home life styles and professional work commitments. A clear detachment is the elimination of merging the home and office environment (Land et al. 2012); and further research suggests co-</w:t>
      </w:r>
      <w:r w:rsidRPr="00CF5008">
        <w:lastRenderedPageBreak/>
        <w:t xml:space="preserve">workers have started to leave their computers at </w:t>
      </w:r>
      <w:proofErr w:type="spellStart"/>
      <w:r w:rsidRPr="00CF5008">
        <w:t>coworking</w:t>
      </w:r>
      <w:proofErr w:type="spellEnd"/>
      <w:r w:rsidRPr="00CF5008">
        <w:t xml:space="preserve"> centres, rather than taking their work home (</w:t>
      </w:r>
      <w:proofErr w:type="spellStart"/>
      <w:r w:rsidRPr="00CF5008">
        <w:t>Kjaerulff</w:t>
      </w:r>
      <w:proofErr w:type="spellEnd"/>
      <w:r w:rsidRPr="00CF5008">
        <w:t xml:space="preserve"> 2010; Cameron 2012; Forbes 2014).  Therefore these changing work patterns provide a guide for commercial landlords to rethink </w:t>
      </w:r>
      <w:r w:rsidR="003B2061" w:rsidRPr="00CF5008">
        <w:t xml:space="preserve">their tenant mix and the design of spaces and how the spaces are used within industry.  Where once upon a time, the traditional long term lease rental was the expectation for corporate businesses and freelance individuals chose to work from home, the last decade has witnessed a </w:t>
      </w:r>
      <w:r w:rsidR="001466E1" w:rsidRPr="00CF5008">
        <w:t xml:space="preserve">shift in the office environment </w:t>
      </w:r>
      <w:r w:rsidR="003B2061" w:rsidRPr="00CF5008">
        <w:t xml:space="preserve">(Dixon and Ross 2011; Bryant 2003; </w:t>
      </w:r>
      <w:proofErr w:type="spellStart"/>
      <w:r w:rsidR="003B2061" w:rsidRPr="00CF5008">
        <w:t>Brunelle</w:t>
      </w:r>
      <w:proofErr w:type="spellEnd"/>
      <w:r w:rsidR="003B2061" w:rsidRPr="00CF5008">
        <w:t xml:space="preserve"> 2013; Ross and Blumenstein 2013).</w:t>
      </w:r>
    </w:p>
    <w:p w:rsidR="003E5E4B" w:rsidRPr="00CF5008" w:rsidRDefault="003E5E4B" w:rsidP="003B2061">
      <w:pPr>
        <w:spacing w:line="360" w:lineRule="auto"/>
        <w:jc w:val="both"/>
      </w:pPr>
    </w:p>
    <w:p w:rsidR="00975E42" w:rsidRPr="00CF5008" w:rsidRDefault="002612DF" w:rsidP="004F2491">
      <w:pPr>
        <w:spacing w:line="360" w:lineRule="auto"/>
        <w:jc w:val="both"/>
      </w:pPr>
      <w:r w:rsidRPr="00CF5008">
        <w:t xml:space="preserve">However research by Brown (2017) suggests the use of caution when setting up </w:t>
      </w:r>
      <w:proofErr w:type="spellStart"/>
      <w:r w:rsidRPr="00CF5008">
        <w:t>coworking</w:t>
      </w:r>
      <w:proofErr w:type="spellEnd"/>
      <w:r w:rsidRPr="00CF5008">
        <w:t xml:space="preserve"> hubs, as not all locations will meet the supply and demand expectations.  This is further reiterated with the consideration of the financial viability for landlords and if the </w:t>
      </w:r>
      <w:proofErr w:type="spellStart"/>
      <w:r w:rsidRPr="00CF5008">
        <w:t>coworking</w:t>
      </w:r>
      <w:proofErr w:type="spellEnd"/>
      <w:r w:rsidRPr="00CF5008">
        <w:t xml:space="preserve"> business model can be sustained (</w:t>
      </w:r>
      <w:proofErr w:type="spellStart"/>
      <w:r w:rsidRPr="00CF5008">
        <w:t>Brodel</w:t>
      </w:r>
      <w:proofErr w:type="spellEnd"/>
      <w:r w:rsidRPr="00CF5008">
        <w:t xml:space="preserve"> et al., 2015; </w:t>
      </w:r>
      <w:proofErr w:type="spellStart"/>
      <w:r w:rsidRPr="00CF5008">
        <w:t>Chuah</w:t>
      </w:r>
      <w:proofErr w:type="spellEnd"/>
      <w:r w:rsidRPr="00CF5008">
        <w:t xml:space="preserve"> 2016). </w:t>
      </w:r>
      <w:r w:rsidR="00975E42" w:rsidRPr="00CF5008">
        <w:t xml:space="preserve">This </w:t>
      </w:r>
      <w:r w:rsidRPr="00CF5008">
        <w:t xml:space="preserve">recent research </w:t>
      </w:r>
      <w:r w:rsidR="00975E42" w:rsidRPr="00CF5008">
        <w:t xml:space="preserve">has </w:t>
      </w:r>
      <w:r w:rsidRPr="00CF5008">
        <w:t xml:space="preserve">identified the difficulties in attracting new clients to a </w:t>
      </w:r>
      <w:proofErr w:type="spellStart"/>
      <w:r w:rsidRPr="00CF5008">
        <w:t>coworking</w:t>
      </w:r>
      <w:proofErr w:type="spellEnd"/>
      <w:r w:rsidRPr="00CF5008">
        <w:t xml:space="preserve"> hub, </w:t>
      </w:r>
      <w:r w:rsidR="00975E42" w:rsidRPr="00CF5008">
        <w:t>and the viability to sustain t</w:t>
      </w:r>
      <w:r w:rsidRPr="00CF5008">
        <w:t xml:space="preserve">he membership fee, </w:t>
      </w:r>
      <w:r w:rsidR="00975E42" w:rsidRPr="00CF5008">
        <w:t xml:space="preserve">with some landlords </w:t>
      </w:r>
      <w:r w:rsidRPr="00CF5008">
        <w:t>indirectly offer</w:t>
      </w:r>
      <w:r w:rsidR="00975E42" w:rsidRPr="00CF5008">
        <w:t>ing a</w:t>
      </w:r>
      <w:r w:rsidRPr="00CF5008">
        <w:t xml:space="preserve"> subsidised fee structure.  </w:t>
      </w:r>
      <w:r w:rsidR="00975E42" w:rsidRPr="00CF5008">
        <w:t>However, a traditional standard lease usually attracts a free rental period upfront and therefore an on par comparison of the financial viability would be necessary.</w:t>
      </w:r>
    </w:p>
    <w:p w:rsidR="00975E42" w:rsidRPr="00CF5008" w:rsidRDefault="00975E42" w:rsidP="004F2491">
      <w:pPr>
        <w:spacing w:line="360" w:lineRule="auto"/>
        <w:jc w:val="both"/>
      </w:pPr>
    </w:p>
    <w:p w:rsidR="00975E42" w:rsidRDefault="00975E42" w:rsidP="004F2491">
      <w:pPr>
        <w:spacing w:line="360" w:lineRule="auto"/>
        <w:jc w:val="both"/>
      </w:pPr>
      <w:r w:rsidRPr="00CF5008">
        <w:t xml:space="preserve">In conclusion, whilst these issues are challenging for the commercial landlord, the development of </w:t>
      </w:r>
      <w:proofErr w:type="spellStart"/>
      <w:r w:rsidRPr="00CF5008">
        <w:t>coworking</w:t>
      </w:r>
      <w:proofErr w:type="spellEnd"/>
      <w:r w:rsidRPr="00CF5008">
        <w:t xml:space="preserve"> space can provide good opportunities for previously </w:t>
      </w:r>
      <w:proofErr w:type="spellStart"/>
      <w:r w:rsidRPr="00CF5008">
        <w:t>unlettable</w:t>
      </w:r>
      <w:proofErr w:type="spellEnd"/>
      <w:r w:rsidRPr="00CF5008">
        <w:t xml:space="preserve"> areas to transform</w:t>
      </w:r>
      <w:r w:rsidR="00E73B4A" w:rsidRPr="00CF5008">
        <w:t xml:space="preserve"> spaces</w:t>
      </w:r>
      <w:r w:rsidRPr="00CF5008">
        <w:t xml:space="preserve"> into good cash flow ventures.</w:t>
      </w:r>
    </w:p>
    <w:p w:rsidR="004B0464" w:rsidRPr="002612DF" w:rsidRDefault="004B0464" w:rsidP="004F2491">
      <w:pPr>
        <w:spacing w:line="360" w:lineRule="auto"/>
        <w:jc w:val="both"/>
      </w:pPr>
    </w:p>
    <w:p w:rsidR="004F2491" w:rsidRPr="00975E42" w:rsidRDefault="00C921B9" w:rsidP="004F2491">
      <w:pPr>
        <w:spacing w:line="360" w:lineRule="auto"/>
        <w:jc w:val="both"/>
        <w:rPr>
          <w:b/>
        </w:rPr>
      </w:pPr>
      <w:r w:rsidRPr="00975E42">
        <w:rPr>
          <w:b/>
        </w:rPr>
        <w:t>Research methodology</w:t>
      </w:r>
    </w:p>
    <w:p w:rsidR="004F2491" w:rsidRDefault="004F2491" w:rsidP="004F2491">
      <w:pPr>
        <w:spacing w:line="360" w:lineRule="auto"/>
        <w:jc w:val="both"/>
        <w:rPr>
          <w:b/>
        </w:rPr>
      </w:pPr>
    </w:p>
    <w:p w:rsidR="00E70809" w:rsidRPr="00865E35" w:rsidRDefault="00CC2004" w:rsidP="0080694E">
      <w:pPr>
        <w:spacing w:line="360" w:lineRule="auto"/>
        <w:jc w:val="both"/>
      </w:pPr>
      <w:r w:rsidRPr="00865E35">
        <w:t xml:space="preserve">This paper presents preliminary findings from the first stage of a wider study that explores the implications of the </w:t>
      </w:r>
      <w:proofErr w:type="spellStart"/>
      <w:r w:rsidRPr="00865E35">
        <w:t>coworking</w:t>
      </w:r>
      <w:proofErr w:type="spellEnd"/>
      <w:r w:rsidRPr="00865E35">
        <w:t xml:space="preserve"> phenomenon on property markets and key </w:t>
      </w:r>
      <w:r w:rsidRPr="00CF5008">
        <w:t xml:space="preserve">market participants. </w:t>
      </w:r>
      <w:r w:rsidR="00963879" w:rsidRPr="00CF5008">
        <w:t xml:space="preserve">Due to the explorative nature of this research, a qualitative approach was adopted as the most effective research methodology (Silverman, 2013). </w:t>
      </w:r>
      <w:r w:rsidRPr="00CF5008">
        <w:t xml:space="preserve">Qualitative research </w:t>
      </w:r>
      <w:r w:rsidR="00963879" w:rsidRPr="00CF5008">
        <w:t>is particularly important when prior insights about the phenomenon under scrutiny are modest (</w:t>
      </w:r>
      <w:proofErr w:type="spellStart"/>
      <w:r w:rsidR="00963879" w:rsidRPr="00CF5008">
        <w:t>Ghauri</w:t>
      </w:r>
      <w:proofErr w:type="spellEnd"/>
      <w:r w:rsidR="00963879" w:rsidRPr="00CF5008">
        <w:t xml:space="preserve"> and </w:t>
      </w:r>
      <w:proofErr w:type="spellStart"/>
      <w:r w:rsidR="00963879" w:rsidRPr="00CF5008">
        <w:t>Gronhaug</w:t>
      </w:r>
      <w:proofErr w:type="spellEnd"/>
      <w:r w:rsidR="00963879" w:rsidRPr="00CF5008">
        <w:t xml:space="preserve">, 2005; </w:t>
      </w:r>
      <w:proofErr w:type="spellStart"/>
      <w:r w:rsidR="00963879" w:rsidRPr="00CF5008">
        <w:t>Mariampolski</w:t>
      </w:r>
      <w:proofErr w:type="spellEnd"/>
      <w:r w:rsidR="00963879" w:rsidRPr="00CF5008">
        <w:t xml:space="preserve">, 2001), which is the case in this study. </w:t>
      </w:r>
      <w:r w:rsidR="002B7D6E" w:rsidRPr="00CF5008">
        <w:t xml:space="preserve">The </w:t>
      </w:r>
      <w:r w:rsidR="002914E9" w:rsidRPr="00CF5008">
        <w:t xml:space="preserve">preliminary </w:t>
      </w:r>
      <w:r w:rsidR="00AB7A92" w:rsidRPr="00CF5008">
        <w:t xml:space="preserve">explanatory </w:t>
      </w:r>
      <w:r w:rsidR="002B7D6E" w:rsidRPr="00CF5008">
        <w:t xml:space="preserve">results of this study are drawn from </w:t>
      </w:r>
      <w:r w:rsidR="0080694E" w:rsidRPr="00CF5008">
        <w:lastRenderedPageBreak/>
        <w:t xml:space="preserve">a </w:t>
      </w:r>
      <w:r w:rsidR="004719E4" w:rsidRPr="00CF5008">
        <w:t xml:space="preserve">desktop </w:t>
      </w:r>
      <w:r w:rsidR="00E70809" w:rsidRPr="00CF5008">
        <w:t xml:space="preserve">analysis of the top </w:t>
      </w:r>
      <w:r w:rsidR="00341346" w:rsidRPr="00CF5008">
        <w:t>1</w:t>
      </w:r>
      <w:r w:rsidR="00D83F87" w:rsidRPr="00CF5008">
        <w:t>2</w:t>
      </w:r>
      <w:r w:rsidR="00341346" w:rsidRPr="00CF5008">
        <w:t xml:space="preserve"> </w:t>
      </w:r>
      <w:proofErr w:type="spellStart"/>
      <w:r w:rsidR="00E70809" w:rsidRPr="00CF5008">
        <w:t>coworking</w:t>
      </w:r>
      <w:proofErr w:type="spellEnd"/>
      <w:r w:rsidR="00E70809" w:rsidRPr="00CF5008">
        <w:t xml:space="preserve"> providers in </w:t>
      </w:r>
      <w:r w:rsidR="00B75F6D" w:rsidRPr="00CF5008">
        <w:t xml:space="preserve">the </w:t>
      </w:r>
      <w:r w:rsidR="00E70809" w:rsidRPr="00CF5008">
        <w:t>Melbourne</w:t>
      </w:r>
      <w:r w:rsidR="00AB7A92" w:rsidRPr="00CF5008">
        <w:t xml:space="preserve"> (Australia)</w:t>
      </w:r>
      <w:r w:rsidR="00CF5008" w:rsidRPr="00CF5008">
        <w:t xml:space="preserve"> </w:t>
      </w:r>
      <w:r w:rsidR="00B75F6D" w:rsidRPr="00CF5008">
        <w:t>office market.</w:t>
      </w:r>
      <w:r w:rsidR="00B75F6D">
        <w:t xml:space="preserve"> </w:t>
      </w:r>
    </w:p>
    <w:p w:rsidR="00E70809" w:rsidRPr="00865E35" w:rsidRDefault="00E70809" w:rsidP="00C062EA">
      <w:pPr>
        <w:spacing w:line="360" w:lineRule="auto"/>
        <w:jc w:val="both"/>
      </w:pPr>
    </w:p>
    <w:p w:rsidR="00974E41" w:rsidRPr="00865E35" w:rsidRDefault="004719E4" w:rsidP="00C062EA">
      <w:pPr>
        <w:spacing w:line="360" w:lineRule="auto"/>
        <w:jc w:val="both"/>
      </w:pPr>
      <w:r w:rsidRPr="00CF5008">
        <w:t>T</w:t>
      </w:r>
      <w:r w:rsidR="00E80AE8" w:rsidRPr="00CF5008">
        <w:t>he</w:t>
      </w:r>
      <w:r w:rsidR="0089628C" w:rsidRPr="00CF5008">
        <w:t xml:space="preserve">se operators’ </w:t>
      </w:r>
      <w:r w:rsidR="00E80AE8" w:rsidRPr="00CF5008">
        <w:t xml:space="preserve">websites were </w:t>
      </w:r>
      <w:r w:rsidR="007B018D" w:rsidRPr="00CF5008">
        <w:t xml:space="preserve">thoroughly analysed </w:t>
      </w:r>
      <w:r w:rsidRPr="00CF5008">
        <w:t xml:space="preserve">to collect secondary data </w:t>
      </w:r>
      <w:r w:rsidR="00FE477C" w:rsidRPr="00CF5008">
        <w:t>in relation t</w:t>
      </w:r>
      <w:r w:rsidRPr="00CF5008">
        <w:t xml:space="preserve">o </w:t>
      </w:r>
      <w:r w:rsidR="00747C8F" w:rsidRPr="00CF5008">
        <w:t xml:space="preserve">the nature and </w:t>
      </w:r>
      <w:r w:rsidR="00AB6723" w:rsidRPr="00CF5008">
        <w:t>operation of the</w:t>
      </w:r>
      <w:r w:rsidR="00747C8F" w:rsidRPr="00CF5008">
        <w:t xml:space="preserve">ir </w:t>
      </w:r>
      <w:proofErr w:type="spellStart"/>
      <w:r w:rsidR="007B018D" w:rsidRPr="00CF5008">
        <w:t>coworking</w:t>
      </w:r>
      <w:proofErr w:type="spellEnd"/>
      <w:r w:rsidR="007B018D" w:rsidRPr="00CF5008">
        <w:t xml:space="preserve"> practices. </w:t>
      </w:r>
      <w:r w:rsidR="008018BC" w:rsidRPr="00CF5008">
        <w:t>Several topics related to the</w:t>
      </w:r>
      <w:r w:rsidR="00750922" w:rsidRPr="00CF5008">
        <w:t xml:space="preserve">ir business </w:t>
      </w:r>
      <w:r w:rsidR="008018BC" w:rsidRPr="00CF5008">
        <w:t xml:space="preserve">were </w:t>
      </w:r>
      <w:r w:rsidR="00747C8F" w:rsidRPr="00CF5008">
        <w:t>examined</w:t>
      </w:r>
      <w:r w:rsidR="0089628C" w:rsidRPr="00CF5008">
        <w:t xml:space="preserve">, </w:t>
      </w:r>
      <w:r w:rsidR="008018BC" w:rsidRPr="00CF5008">
        <w:t xml:space="preserve">including: </w:t>
      </w:r>
      <w:r w:rsidR="00FE477C" w:rsidRPr="00CF5008">
        <w:t xml:space="preserve">their </w:t>
      </w:r>
      <w:r w:rsidR="007B018D" w:rsidRPr="00CF5008">
        <w:t xml:space="preserve">business </w:t>
      </w:r>
      <w:r w:rsidR="00F24AF1" w:rsidRPr="00CF5008">
        <w:t>location,</w:t>
      </w:r>
      <w:r w:rsidR="005907A3" w:rsidRPr="00CF5008">
        <w:t xml:space="preserve"> distance to CBD, </w:t>
      </w:r>
      <w:r w:rsidR="00F24AF1" w:rsidRPr="00CF5008">
        <w:t xml:space="preserve"> nature of </w:t>
      </w:r>
      <w:r w:rsidR="007B018D" w:rsidRPr="00CF5008">
        <w:t xml:space="preserve">the </w:t>
      </w:r>
      <w:r w:rsidR="00F24AF1" w:rsidRPr="00CF5008">
        <w:t xml:space="preserve">buildings used, </w:t>
      </w:r>
      <w:r w:rsidR="008018BC" w:rsidRPr="00CF5008">
        <w:t>target market</w:t>
      </w:r>
      <w:r w:rsidR="00750922" w:rsidRPr="00CF5008">
        <w:t>s</w:t>
      </w:r>
      <w:r w:rsidR="008018BC" w:rsidRPr="00CF5008">
        <w:t xml:space="preserve">, </w:t>
      </w:r>
      <w:r w:rsidR="00F24AF1" w:rsidRPr="00CF5008">
        <w:t xml:space="preserve">membership categories and fees, total </w:t>
      </w:r>
      <w:proofErr w:type="spellStart"/>
      <w:r w:rsidR="007B018D" w:rsidRPr="00CF5008">
        <w:t>coworking</w:t>
      </w:r>
      <w:proofErr w:type="spellEnd"/>
      <w:r w:rsidR="007B018D" w:rsidRPr="00CF5008">
        <w:t xml:space="preserve"> </w:t>
      </w:r>
      <w:r w:rsidR="00F24AF1" w:rsidRPr="00CF5008">
        <w:t xml:space="preserve">space offered, main facilities </w:t>
      </w:r>
      <w:r w:rsidR="00750922" w:rsidRPr="00CF5008">
        <w:t>available t</w:t>
      </w:r>
      <w:r w:rsidR="00F24AF1" w:rsidRPr="00CF5008">
        <w:t>o members</w:t>
      </w:r>
      <w:r w:rsidR="007B018D" w:rsidRPr="00CF5008">
        <w:t xml:space="preserve">, </w:t>
      </w:r>
      <w:r w:rsidR="00F24AF1" w:rsidRPr="00CF5008">
        <w:t xml:space="preserve">and </w:t>
      </w:r>
      <w:r w:rsidR="00B500FC" w:rsidRPr="00CF5008">
        <w:t>secondary</w:t>
      </w:r>
      <w:r w:rsidR="00F24AF1" w:rsidRPr="00CF5008">
        <w:t xml:space="preserve"> facilities </w:t>
      </w:r>
      <w:r w:rsidR="00750922" w:rsidRPr="00CF5008">
        <w:t xml:space="preserve">available. </w:t>
      </w:r>
      <w:r w:rsidR="00974E41" w:rsidRPr="00CF5008">
        <w:t xml:space="preserve">Qualitative data collected were analysed using within-case analysis together with </w:t>
      </w:r>
      <w:proofErr w:type="spellStart"/>
      <w:r w:rsidR="00974E41" w:rsidRPr="00CF5008">
        <w:t>across</w:t>
      </w:r>
      <w:proofErr w:type="spellEnd"/>
      <w:r w:rsidR="00974E41" w:rsidRPr="00CF5008">
        <w:t xml:space="preserve">-case analysis between different </w:t>
      </w:r>
      <w:proofErr w:type="spellStart"/>
      <w:r w:rsidR="00974E41" w:rsidRPr="00CF5008">
        <w:t>coworking</w:t>
      </w:r>
      <w:proofErr w:type="spellEnd"/>
      <w:r w:rsidR="00974E41" w:rsidRPr="00CF5008">
        <w:t xml:space="preserve"> providers to obtain an in-depth understanding as to </w:t>
      </w:r>
      <w:r w:rsidR="004F1694" w:rsidRPr="00CF5008">
        <w:t xml:space="preserve">the nature and operation of </w:t>
      </w:r>
      <w:r w:rsidR="00AB6723" w:rsidRPr="00CF5008">
        <w:t xml:space="preserve">the </w:t>
      </w:r>
      <w:proofErr w:type="spellStart"/>
      <w:r w:rsidR="004F1694" w:rsidRPr="00CF5008">
        <w:t>coworking</w:t>
      </w:r>
      <w:proofErr w:type="spellEnd"/>
      <w:r w:rsidR="004F1694" w:rsidRPr="00CF5008">
        <w:t xml:space="preserve"> practice in the Australian property market.</w:t>
      </w:r>
      <w:r w:rsidR="004F1694" w:rsidRPr="00865E35">
        <w:t xml:space="preserve"> </w:t>
      </w:r>
      <w:r w:rsidR="00974E41" w:rsidRPr="00865E35">
        <w:t xml:space="preserve">   </w:t>
      </w:r>
    </w:p>
    <w:p w:rsidR="00974E41" w:rsidRPr="00865E35" w:rsidRDefault="00974E41" w:rsidP="00C062EA">
      <w:pPr>
        <w:spacing w:line="360" w:lineRule="auto"/>
        <w:jc w:val="both"/>
      </w:pPr>
    </w:p>
    <w:p w:rsidR="004F2491" w:rsidRPr="00CF5008" w:rsidRDefault="00C921B9" w:rsidP="004F2491">
      <w:pPr>
        <w:spacing w:line="360" w:lineRule="auto"/>
        <w:jc w:val="both"/>
        <w:rPr>
          <w:b/>
        </w:rPr>
      </w:pPr>
      <w:r w:rsidRPr="00CF5008">
        <w:rPr>
          <w:b/>
        </w:rPr>
        <w:t>Results and discussion</w:t>
      </w:r>
      <w:r w:rsidR="004F2491" w:rsidRPr="00CF5008">
        <w:rPr>
          <w:b/>
        </w:rPr>
        <w:t xml:space="preserve"> </w:t>
      </w:r>
    </w:p>
    <w:p w:rsidR="004F2491" w:rsidRPr="00CF5008" w:rsidRDefault="004F2491" w:rsidP="004F2491">
      <w:pPr>
        <w:spacing w:line="360" w:lineRule="auto"/>
        <w:jc w:val="both"/>
        <w:rPr>
          <w:b/>
        </w:rPr>
      </w:pPr>
    </w:p>
    <w:p w:rsidR="00663D21" w:rsidRPr="00CF5008" w:rsidRDefault="006731FF" w:rsidP="004F2491">
      <w:pPr>
        <w:spacing w:line="360" w:lineRule="auto"/>
        <w:jc w:val="both"/>
        <w:rPr>
          <w:b/>
        </w:rPr>
      </w:pPr>
      <w:r w:rsidRPr="00CF5008">
        <w:t xml:space="preserve">In the first </w:t>
      </w:r>
      <w:r w:rsidR="001D5F8F" w:rsidRPr="00CF5008">
        <w:t xml:space="preserve">phase of the </w:t>
      </w:r>
      <w:r w:rsidRPr="00CF5008">
        <w:t xml:space="preserve">data analysis, the current status of the </w:t>
      </w:r>
      <w:proofErr w:type="spellStart"/>
      <w:r w:rsidR="00A937CB" w:rsidRPr="00CF5008">
        <w:t>co</w:t>
      </w:r>
      <w:r w:rsidRPr="00CF5008">
        <w:t>working</w:t>
      </w:r>
      <w:proofErr w:type="spellEnd"/>
      <w:r w:rsidR="00A937CB" w:rsidRPr="00CF5008">
        <w:t xml:space="preserve"> </w:t>
      </w:r>
      <w:r w:rsidRPr="00CF5008">
        <w:t xml:space="preserve">industry in </w:t>
      </w:r>
      <w:r w:rsidR="00930DB8" w:rsidRPr="00CF5008">
        <w:t xml:space="preserve">the </w:t>
      </w:r>
      <w:r w:rsidRPr="00CF5008">
        <w:t>Melbourne</w:t>
      </w:r>
      <w:r w:rsidR="00B75F6D" w:rsidRPr="00CF5008">
        <w:t xml:space="preserve"> office market</w:t>
      </w:r>
      <w:r w:rsidRPr="00CF5008">
        <w:t xml:space="preserve"> </w:t>
      </w:r>
      <w:r w:rsidR="00930DB8" w:rsidRPr="00CF5008">
        <w:t xml:space="preserve">was </w:t>
      </w:r>
      <w:r w:rsidRPr="00CF5008">
        <w:t xml:space="preserve">examined. </w:t>
      </w:r>
    </w:p>
    <w:p w:rsidR="00663D21" w:rsidRPr="00CF5008" w:rsidRDefault="00663D21" w:rsidP="004F2491">
      <w:pPr>
        <w:spacing w:line="360" w:lineRule="auto"/>
        <w:jc w:val="both"/>
        <w:rPr>
          <w:b/>
        </w:rPr>
      </w:pPr>
    </w:p>
    <w:p w:rsidR="00E77777" w:rsidRPr="00CF5008" w:rsidRDefault="00E77777" w:rsidP="00F845A2">
      <w:pPr>
        <w:spacing w:line="360" w:lineRule="auto"/>
        <w:jc w:val="both"/>
        <w:rPr>
          <w:b/>
          <w:i/>
        </w:rPr>
      </w:pPr>
      <w:proofErr w:type="spellStart"/>
      <w:r w:rsidRPr="00CF5008">
        <w:rPr>
          <w:b/>
          <w:i/>
        </w:rPr>
        <w:t>Coworking</w:t>
      </w:r>
      <w:proofErr w:type="spellEnd"/>
      <w:r w:rsidRPr="00CF5008">
        <w:rPr>
          <w:b/>
          <w:i/>
        </w:rPr>
        <w:t xml:space="preserve"> market in Melbourne</w:t>
      </w:r>
    </w:p>
    <w:p w:rsidR="00E77777" w:rsidRPr="00CF5008" w:rsidRDefault="00E77777" w:rsidP="00F845A2">
      <w:pPr>
        <w:spacing w:line="360" w:lineRule="auto"/>
        <w:jc w:val="both"/>
      </w:pPr>
    </w:p>
    <w:p w:rsidR="000F07DD" w:rsidRPr="00CF5008" w:rsidRDefault="00104F44" w:rsidP="00003FF3">
      <w:pPr>
        <w:spacing w:line="360" w:lineRule="auto"/>
        <w:jc w:val="both"/>
      </w:pPr>
      <w:r w:rsidRPr="00CF5008">
        <w:t xml:space="preserve">The </w:t>
      </w:r>
      <w:proofErr w:type="spellStart"/>
      <w:r w:rsidRPr="00CF5008">
        <w:t>coworking</w:t>
      </w:r>
      <w:proofErr w:type="spellEnd"/>
      <w:r w:rsidRPr="00CF5008">
        <w:t xml:space="preserve"> industry across Melbourne has </w:t>
      </w:r>
      <w:r w:rsidR="00AB6723" w:rsidRPr="00CF5008">
        <w:t xml:space="preserve">witnessed an </w:t>
      </w:r>
      <w:r w:rsidRPr="00CF5008">
        <w:t xml:space="preserve">exponential growth since the first space was established </w:t>
      </w:r>
      <w:r w:rsidR="00750922" w:rsidRPr="00CF5008">
        <w:t xml:space="preserve">in 2007. Particularly, the </w:t>
      </w:r>
      <w:r w:rsidR="00731F0E" w:rsidRPr="00CF5008">
        <w:t xml:space="preserve">arrival of </w:t>
      </w:r>
      <w:proofErr w:type="spellStart"/>
      <w:r w:rsidR="00731F0E" w:rsidRPr="00CF5008">
        <w:t>WeWork</w:t>
      </w:r>
      <w:proofErr w:type="spellEnd"/>
      <w:r w:rsidR="00731F0E" w:rsidRPr="00CF5008">
        <w:t xml:space="preserve">, one of the world’s fastest-growing </w:t>
      </w:r>
      <w:proofErr w:type="spellStart"/>
      <w:r w:rsidR="00731F0E" w:rsidRPr="00CF5008">
        <w:t>coworking</w:t>
      </w:r>
      <w:proofErr w:type="spellEnd"/>
      <w:r w:rsidR="00731F0E" w:rsidRPr="00CF5008">
        <w:t xml:space="preserve"> businesses, </w:t>
      </w:r>
      <w:r w:rsidR="00E10316" w:rsidRPr="00CF5008">
        <w:t>into the</w:t>
      </w:r>
      <w:r w:rsidR="006731FF" w:rsidRPr="00CF5008">
        <w:t xml:space="preserve"> </w:t>
      </w:r>
      <w:r w:rsidR="009C5F98" w:rsidRPr="00CF5008">
        <w:t xml:space="preserve">Melbourne </w:t>
      </w:r>
      <w:r w:rsidR="00E10316" w:rsidRPr="00CF5008">
        <w:t xml:space="preserve">market has increased </w:t>
      </w:r>
      <w:r w:rsidR="009C5F98" w:rsidRPr="00CF5008">
        <w:t xml:space="preserve">its </w:t>
      </w:r>
      <w:r w:rsidR="00E10316" w:rsidRPr="00CF5008">
        <w:t xml:space="preserve">market share and created greater awareness of </w:t>
      </w:r>
      <w:r w:rsidR="004134AB" w:rsidRPr="00CF5008">
        <w:t xml:space="preserve">the </w:t>
      </w:r>
      <w:proofErr w:type="spellStart"/>
      <w:r w:rsidR="004134AB" w:rsidRPr="00CF5008">
        <w:t>coworking</w:t>
      </w:r>
      <w:proofErr w:type="spellEnd"/>
      <w:r w:rsidR="004134AB" w:rsidRPr="00CF5008">
        <w:t xml:space="preserve"> concept. </w:t>
      </w:r>
      <w:r w:rsidR="00AA2D0C" w:rsidRPr="00CF5008">
        <w:t xml:space="preserve">Table 1 </w:t>
      </w:r>
      <w:r w:rsidR="00B5308B" w:rsidRPr="00CF5008">
        <w:t xml:space="preserve">below, </w:t>
      </w:r>
      <w:r w:rsidR="00AA2D0C" w:rsidRPr="00CF5008">
        <w:t xml:space="preserve">illustrates the top 12 </w:t>
      </w:r>
      <w:proofErr w:type="spellStart"/>
      <w:r w:rsidR="00AA2D0C" w:rsidRPr="00CF5008">
        <w:t>coworking</w:t>
      </w:r>
      <w:proofErr w:type="spellEnd"/>
      <w:r w:rsidR="00AA2D0C" w:rsidRPr="00CF5008">
        <w:t xml:space="preserve"> providers in Melbourne who have </w:t>
      </w:r>
      <w:r w:rsidR="00F845A2" w:rsidRPr="00CF5008">
        <w:t xml:space="preserve">different models of membership and leasing arrangements for their members. </w:t>
      </w:r>
      <w:r w:rsidR="00DA1BB6" w:rsidRPr="00CF5008">
        <w:t>The</w:t>
      </w:r>
      <w:r w:rsidR="00B75F6D" w:rsidRPr="00CF5008">
        <w:t>se operators a</w:t>
      </w:r>
      <w:r w:rsidR="00DA1BB6" w:rsidRPr="00CF5008">
        <w:t>llow their members flexibility on the type and size of space they occupy by offering flexible membership arrangements ranging from day passes to full time fixed</w:t>
      </w:r>
      <w:r w:rsidR="00B75F6D" w:rsidRPr="00CF5008">
        <w:t xml:space="preserve"> monthly </w:t>
      </w:r>
      <w:r w:rsidR="00DA1BB6" w:rsidRPr="00CF5008">
        <w:t>desk memberships.</w:t>
      </w:r>
      <w:r w:rsidR="00771003" w:rsidRPr="00CF5008">
        <w:t xml:space="preserve"> </w:t>
      </w:r>
      <w:r w:rsidR="000D7F9D" w:rsidRPr="00CF5008">
        <w:t>The</w:t>
      </w:r>
      <w:r w:rsidR="00B75F6D" w:rsidRPr="00CF5008">
        <w:t xml:space="preserve">y </w:t>
      </w:r>
      <w:r w:rsidR="000D7F9D" w:rsidRPr="00CF5008">
        <w:t xml:space="preserve">report having over 90% occupancy </w:t>
      </w:r>
      <w:r w:rsidR="00313BBE" w:rsidRPr="00CF5008">
        <w:t>rates</w:t>
      </w:r>
      <w:r w:rsidR="00A1710B" w:rsidRPr="00CF5008">
        <w:t xml:space="preserve"> </w:t>
      </w:r>
      <w:r w:rsidR="00B75F6D" w:rsidRPr="00CF5008">
        <w:t xml:space="preserve">in </w:t>
      </w:r>
      <w:r w:rsidR="00872F23" w:rsidRPr="00CF5008">
        <w:t xml:space="preserve">their </w:t>
      </w:r>
      <w:proofErr w:type="spellStart"/>
      <w:r w:rsidR="00872F23" w:rsidRPr="00CF5008">
        <w:t>coworking</w:t>
      </w:r>
      <w:proofErr w:type="spellEnd"/>
      <w:r w:rsidR="00872F23" w:rsidRPr="00CF5008">
        <w:t xml:space="preserve"> </w:t>
      </w:r>
      <w:r w:rsidR="00B75F6D" w:rsidRPr="00CF5008">
        <w:t>spaces w</w:t>
      </w:r>
      <w:r w:rsidR="00A1710B" w:rsidRPr="00CF5008">
        <w:t xml:space="preserve">ith </w:t>
      </w:r>
      <w:r w:rsidR="00872F23" w:rsidRPr="00CF5008">
        <w:t xml:space="preserve">an </w:t>
      </w:r>
      <w:r w:rsidR="00A1710B" w:rsidRPr="00CF5008">
        <w:t>increasing demand for high-tech</w:t>
      </w:r>
      <w:r w:rsidR="00313BBE" w:rsidRPr="00CF5008">
        <w:t xml:space="preserve">, </w:t>
      </w:r>
      <w:r w:rsidR="00FD13AA" w:rsidRPr="00CF5008">
        <w:t xml:space="preserve">creative and community driven </w:t>
      </w:r>
      <w:r w:rsidR="00A1710B" w:rsidRPr="00CF5008">
        <w:t>office environments.</w:t>
      </w:r>
      <w:r w:rsidR="00F904B4" w:rsidRPr="00CF5008">
        <w:t xml:space="preserve"> </w:t>
      </w:r>
    </w:p>
    <w:p w:rsidR="00B5308B" w:rsidRDefault="00B5308B" w:rsidP="00003FF3">
      <w:pPr>
        <w:spacing w:line="360" w:lineRule="auto"/>
        <w:jc w:val="both"/>
        <w:rPr>
          <w:color w:val="FF0000"/>
        </w:rPr>
      </w:pPr>
    </w:p>
    <w:p w:rsidR="009C1410" w:rsidRDefault="009C1410" w:rsidP="00003FF3">
      <w:pPr>
        <w:spacing w:line="360" w:lineRule="auto"/>
        <w:jc w:val="both"/>
        <w:rPr>
          <w:color w:val="FF0000"/>
        </w:rPr>
      </w:pPr>
    </w:p>
    <w:p w:rsidR="005632E7" w:rsidRPr="00CF5008" w:rsidRDefault="005632E7" w:rsidP="004F2491">
      <w:pPr>
        <w:spacing w:line="360" w:lineRule="auto"/>
        <w:jc w:val="both"/>
      </w:pPr>
      <w:r w:rsidRPr="00CF5008">
        <w:lastRenderedPageBreak/>
        <w:t xml:space="preserve">Table 1: Major </w:t>
      </w:r>
      <w:proofErr w:type="spellStart"/>
      <w:r w:rsidRPr="00CF5008">
        <w:t>coworking</w:t>
      </w:r>
      <w:proofErr w:type="spellEnd"/>
      <w:r w:rsidRPr="00CF5008">
        <w:t xml:space="preserve"> providers in Melbourne </w:t>
      </w:r>
    </w:p>
    <w:p w:rsidR="005835A8" w:rsidRPr="00CF5008" w:rsidRDefault="005835A8" w:rsidP="004F2491">
      <w:pPr>
        <w:spacing w:line="360" w:lineRule="auto"/>
        <w:jc w:val="both"/>
      </w:pPr>
    </w:p>
    <w:tbl>
      <w:tblPr>
        <w:tblStyle w:val="TableGrid"/>
        <w:tblW w:w="0" w:type="auto"/>
        <w:tblLook w:val="04A0"/>
      </w:tblPr>
      <w:tblGrid>
        <w:gridCol w:w="1390"/>
        <w:gridCol w:w="1128"/>
        <w:gridCol w:w="1843"/>
        <w:gridCol w:w="1559"/>
        <w:gridCol w:w="2745"/>
      </w:tblGrid>
      <w:tr w:rsidR="00B16696" w:rsidRPr="00CF5008" w:rsidTr="00700554">
        <w:trPr>
          <w:trHeight w:val="435"/>
        </w:trPr>
        <w:tc>
          <w:tcPr>
            <w:tcW w:w="1390" w:type="dxa"/>
          </w:tcPr>
          <w:p w:rsidR="00B16696" w:rsidRPr="00CF5008" w:rsidRDefault="00B16696" w:rsidP="00AA2D0C">
            <w:pPr>
              <w:spacing w:line="240" w:lineRule="auto"/>
              <w:jc w:val="both"/>
              <w:rPr>
                <w:b/>
                <w:sz w:val="22"/>
                <w:szCs w:val="22"/>
              </w:rPr>
            </w:pPr>
            <w:r w:rsidRPr="00CF5008">
              <w:rPr>
                <w:b/>
                <w:sz w:val="22"/>
                <w:szCs w:val="22"/>
              </w:rPr>
              <w:t xml:space="preserve">Provider </w:t>
            </w:r>
          </w:p>
        </w:tc>
        <w:tc>
          <w:tcPr>
            <w:tcW w:w="1128" w:type="dxa"/>
          </w:tcPr>
          <w:p w:rsidR="00B16696" w:rsidRPr="00CF5008" w:rsidRDefault="00B16696" w:rsidP="00AA2D0C">
            <w:pPr>
              <w:spacing w:line="240" w:lineRule="auto"/>
              <w:jc w:val="both"/>
              <w:rPr>
                <w:b/>
                <w:sz w:val="22"/>
                <w:szCs w:val="22"/>
              </w:rPr>
            </w:pPr>
            <w:r w:rsidRPr="00CF5008">
              <w:rPr>
                <w:b/>
                <w:sz w:val="22"/>
                <w:szCs w:val="22"/>
              </w:rPr>
              <w:t xml:space="preserve">Total area </w:t>
            </w:r>
          </w:p>
        </w:tc>
        <w:tc>
          <w:tcPr>
            <w:tcW w:w="1843" w:type="dxa"/>
          </w:tcPr>
          <w:p w:rsidR="00B16696" w:rsidRPr="00CF5008" w:rsidRDefault="00B16696" w:rsidP="00EC7778">
            <w:pPr>
              <w:spacing w:line="240" w:lineRule="auto"/>
              <w:jc w:val="both"/>
              <w:rPr>
                <w:b/>
                <w:sz w:val="22"/>
                <w:szCs w:val="22"/>
              </w:rPr>
            </w:pPr>
            <w:r w:rsidRPr="00CF5008">
              <w:rPr>
                <w:b/>
                <w:sz w:val="22"/>
                <w:szCs w:val="22"/>
              </w:rPr>
              <w:t xml:space="preserve">Target market  </w:t>
            </w:r>
          </w:p>
        </w:tc>
        <w:tc>
          <w:tcPr>
            <w:tcW w:w="1559" w:type="dxa"/>
          </w:tcPr>
          <w:p w:rsidR="00B16696" w:rsidRPr="00CF5008" w:rsidRDefault="00700554" w:rsidP="00EC7778">
            <w:pPr>
              <w:spacing w:line="240" w:lineRule="auto"/>
              <w:jc w:val="both"/>
              <w:rPr>
                <w:b/>
                <w:sz w:val="22"/>
                <w:szCs w:val="22"/>
              </w:rPr>
            </w:pPr>
            <w:r w:rsidRPr="00CF5008">
              <w:rPr>
                <w:b/>
                <w:sz w:val="22"/>
                <w:szCs w:val="22"/>
              </w:rPr>
              <w:t xml:space="preserve">Location </w:t>
            </w:r>
          </w:p>
        </w:tc>
        <w:tc>
          <w:tcPr>
            <w:tcW w:w="2745" w:type="dxa"/>
          </w:tcPr>
          <w:p w:rsidR="00B16696" w:rsidRPr="00CF5008" w:rsidRDefault="00B16696" w:rsidP="00AA2D0C">
            <w:pPr>
              <w:spacing w:line="240" w:lineRule="auto"/>
              <w:jc w:val="both"/>
              <w:rPr>
                <w:b/>
                <w:sz w:val="22"/>
                <w:szCs w:val="22"/>
              </w:rPr>
            </w:pPr>
            <w:r w:rsidRPr="00CF5008">
              <w:rPr>
                <w:b/>
                <w:sz w:val="22"/>
                <w:szCs w:val="22"/>
              </w:rPr>
              <w:t xml:space="preserve">Charges </w:t>
            </w:r>
          </w:p>
        </w:tc>
      </w:tr>
      <w:tr w:rsidR="00B16696" w:rsidRPr="00CF5008" w:rsidTr="00700554">
        <w:trPr>
          <w:trHeight w:val="749"/>
        </w:trPr>
        <w:tc>
          <w:tcPr>
            <w:tcW w:w="1390" w:type="dxa"/>
          </w:tcPr>
          <w:p w:rsidR="00B16696" w:rsidRPr="00CF5008" w:rsidRDefault="00B16696" w:rsidP="00AA2D0C">
            <w:pPr>
              <w:spacing w:line="240" w:lineRule="auto"/>
              <w:jc w:val="both"/>
              <w:rPr>
                <w:sz w:val="22"/>
                <w:szCs w:val="22"/>
              </w:rPr>
            </w:pPr>
            <w:proofErr w:type="spellStart"/>
            <w:r w:rsidRPr="00CF5008">
              <w:rPr>
                <w:sz w:val="22"/>
                <w:szCs w:val="22"/>
              </w:rPr>
              <w:t>WeWork</w:t>
            </w:r>
            <w:proofErr w:type="spellEnd"/>
          </w:p>
        </w:tc>
        <w:tc>
          <w:tcPr>
            <w:tcW w:w="1128" w:type="dxa"/>
          </w:tcPr>
          <w:p w:rsidR="00B16696" w:rsidRPr="00CF5008" w:rsidRDefault="00B16696" w:rsidP="00AA2D0C">
            <w:pPr>
              <w:spacing w:line="240" w:lineRule="auto"/>
              <w:jc w:val="both"/>
              <w:rPr>
                <w:sz w:val="22"/>
                <w:szCs w:val="22"/>
              </w:rPr>
            </w:pPr>
            <w:r w:rsidRPr="00CF5008">
              <w:rPr>
                <w:sz w:val="22"/>
                <w:szCs w:val="22"/>
              </w:rPr>
              <w:t>11,300</w:t>
            </w:r>
          </w:p>
        </w:tc>
        <w:tc>
          <w:tcPr>
            <w:tcW w:w="1843" w:type="dxa"/>
          </w:tcPr>
          <w:p w:rsidR="00B16696" w:rsidRPr="00CF5008" w:rsidRDefault="00B16696" w:rsidP="003F7C0C">
            <w:pPr>
              <w:spacing w:line="240" w:lineRule="auto"/>
              <w:jc w:val="both"/>
              <w:rPr>
                <w:sz w:val="22"/>
                <w:szCs w:val="22"/>
              </w:rPr>
            </w:pPr>
            <w:r w:rsidRPr="00CF5008">
              <w:rPr>
                <w:sz w:val="22"/>
                <w:szCs w:val="22"/>
              </w:rPr>
              <w:t xml:space="preserve">Start-ups, big businesses, and creative entrepreneurs </w:t>
            </w:r>
          </w:p>
        </w:tc>
        <w:tc>
          <w:tcPr>
            <w:tcW w:w="1559" w:type="dxa"/>
          </w:tcPr>
          <w:p w:rsidR="00B16696" w:rsidRPr="00CF5008" w:rsidRDefault="00700554" w:rsidP="003F7C0C">
            <w:pPr>
              <w:spacing w:line="240" w:lineRule="auto"/>
              <w:jc w:val="both"/>
              <w:rPr>
                <w:sz w:val="22"/>
                <w:szCs w:val="22"/>
              </w:rPr>
            </w:pPr>
            <w:r w:rsidRPr="00CF5008">
              <w:rPr>
                <w:sz w:val="22"/>
                <w:szCs w:val="22"/>
              </w:rPr>
              <w:t xml:space="preserve">CBD </w:t>
            </w:r>
          </w:p>
        </w:tc>
        <w:tc>
          <w:tcPr>
            <w:tcW w:w="2745" w:type="dxa"/>
          </w:tcPr>
          <w:p w:rsidR="00B16696" w:rsidRPr="00CF5008" w:rsidRDefault="00B16696" w:rsidP="00AA2D0C">
            <w:pPr>
              <w:pStyle w:val="ListParagraph"/>
              <w:numPr>
                <w:ilvl w:val="0"/>
                <w:numId w:val="32"/>
              </w:numPr>
              <w:spacing w:line="240" w:lineRule="auto"/>
              <w:ind w:left="176" w:hanging="176"/>
              <w:jc w:val="both"/>
              <w:rPr>
                <w:sz w:val="22"/>
                <w:szCs w:val="22"/>
              </w:rPr>
            </w:pPr>
            <w:r w:rsidRPr="00CF5008">
              <w:rPr>
                <w:sz w:val="22"/>
                <w:szCs w:val="22"/>
              </w:rPr>
              <w:t>Standard private office – from $730 p.m.</w:t>
            </w:r>
          </w:p>
          <w:p w:rsidR="00B16696" w:rsidRPr="00CF5008" w:rsidRDefault="00B16696" w:rsidP="00AA2D0C">
            <w:pPr>
              <w:pStyle w:val="ListParagraph"/>
              <w:numPr>
                <w:ilvl w:val="0"/>
                <w:numId w:val="32"/>
              </w:numPr>
              <w:spacing w:line="240" w:lineRule="auto"/>
              <w:ind w:left="176" w:hanging="176"/>
              <w:jc w:val="both"/>
              <w:rPr>
                <w:sz w:val="22"/>
                <w:szCs w:val="22"/>
              </w:rPr>
            </w:pPr>
            <w:r w:rsidRPr="00CF5008">
              <w:rPr>
                <w:sz w:val="22"/>
                <w:szCs w:val="22"/>
              </w:rPr>
              <w:t>Dedicated desk – from $550 p.m.</w:t>
            </w:r>
          </w:p>
          <w:p w:rsidR="00B16696" w:rsidRPr="00CF5008" w:rsidRDefault="00B16696" w:rsidP="00AA2D0C">
            <w:pPr>
              <w:pStyle w:val="ListParagraph"/>
              <w:numPr>
                <w:ilvl w:val="0"/>
                <w:numId w:val="32"/>
              </w:numPr>
              <w:spacing w:line="240" w:lineRule="auto"/>
              <w:ind w:left="176" w:hanging="176"/>
              <w:jc w:val="both"/>
              <w:rPr>
                <w:sz w:val="22"/>
                <w:szCs w:val="22"/>
              </w:rPr>
            </w:pPr>
            <w:r w:rsidRPr="00CF5008">
              <w:rPr>
                <w:sz w:val="22"/>
                <w:szCs w:val="22"/>
              </w:rPr>
              <w:t xml:space="preserve">Hot desk – from $370 </w:t>
            </w:r>
            <w:proofErr w:type="spellStart"/>
            <w:r w:rsidRPr="00CF5008">
              <w:rPr>
                <w:sz w:val="22"/>
                <w:szCs w:val="22"/>
              </w:rPr>
              <w:t>p.m</w:t>
            </w:r>
            <w:proofErr w:type="spellEnd"/>
          </w:p>
          <w:p w:rsidR="00B16696" w:rsidRPr="00CF5008" w:rsidRDefault="00B16696" w:rsidP="00343F60">
            <w:pPr>
              <w:pStyle w:val="ListParagraph"/>
              <w:numPr>
                <w:ilvl w:val="0"/>
                <w:numId w:val="32"/>
              </w:numPr>
              <w:spacing w:line="240" w:lineRule="auto"/>
              <w:ind w:left="176" w:hanging="176"/>
              <w:jc w:val="both"/>
              <w:rPr>
                <w:sz w:val="22"/>
                <w:szCs w:val="22"/>
              </w:rPr>
            </w:pPr>
            <w:r w:rsidRPr="00CF5008">
              <w:rPr>
                <w:sz w:val="22"/>
                <w:szCs w:val="22"/>
              </w:rPr>
              <w:t>Custom private space – varies</w:t>
            </w:r>
          </w:p>
        </w:tc>
      </w:tr>
      <w:tr w:rsidR="00B16696" w:rsidRPr="00CF5008" w:rsidTr="00700554">
        <w:trPr>
          <w:trHeight w:val="749"/>
        </w:trPr>
        <w:tc>
          <w:tcPr>
            <w:tcW w:w="1390" w:type="dxa"/>
          </w:tcPr>
          <w:p w:rsidR="00B16696" w:rsidRPr="00CF5008" w:rsidRDefault="00B16696" w:rsidP="00AA2D0C">
            <w:pPr>
              <w:spacing w:line="240" w:lineRule="auto"/>
              <w:jc w:val="both"/>
              <w:rPr>
                <w:sz w:val="22"/>
                <w:szCs w:val="22"/>
              </w:rPr>
            </w:pPr>
            <w:r w:rsidRPr="00CF5008">
              <w:rPr>
                <w:sz w:val="22"/>
                <w:szCs w:val="22"/>
              </w:rPr>
              <w:t>Hub Melbourne</w:t>
            </w:r>
          </w:p>
        </w:tc>
        <w:tc>
          <w:tcPr>
            <w:tcW w:w="1128" w:type="dxa"/>
          </w:tcPr>
          <w:p w:rsidR="00B16696" w:rsidRPr="00CF5008" w:rsidRDefault="00B16696" w:rsidP="00AA2D0C">
            <w:pPr>
              <w:spacing w:line="240" w:lineRule="auto"/>
              <w:jc w:val="both"/>
              <w:rPr>
                <w:sz w:val="22"/>
                <w:szCs w:val="22"/>
              </w:rPr>
            </w:pPr>
            <w:r w:rsidRPr="00CF5008">
              <w:rPr>
                <w:sz w:val="22"/>
                <w:szCs w:val="22"/>
              </w:rPr>
              <w:t>3,900</w:t>
            </w:r>
          </w:p>
        </w:tc>
        <w:tc>
          <w:tcPr>
            <w:tcW w:w="1843" w:type="dxa"/>
          </w:tcPr>
          <w:p w:rsidR="00B16696" w:rsidRPr="00CF5008" w:rsidRDefault="00B16696" w:rsidP="003F7C0C">
            <w:pPr>
              <w:spacing w:line="240" w:lineRule="auto"/>
              <w:jc w:val="both"/>
              <w:rPr>
                <w:sz w:val="22"/>
                <w:szCs w:val="22"/>
              </w:rPr>
            </w:pPr>
            <w:r w:rsidRPr="00CF5008">
              <w:rPr>
                <w:sz w:val="22"/>
                <w:szCs w:val="22"/>
              </w:rPr>
              <w:t>Scaling businesses, freelancers, growing businesses, global teams setting up satellite offices</w:t>
            </w:r>
          </w:p>
        </w:tc>
        <w:tc>
          <w:tcPr>
            <w:tcW w:w="1559" w:type="dxa"/>
          </w:tcPr>
          <w:p w:rsidR="00B16696" w:rsidRPr="00CF5008" w:rsidRDefault="00700554" w:rsidP="003F7C0C">
            <w:pPr>
              <w:spacing w:line="240" w:lineRule="auto"/>
              <w:jc w:val="both"/>
              <w:rPr>
                <w:sz w:val="22"/>
                <w:szCs w:val="22"/>
              </w:rPr>
            </w:pPr>
            <w:r w:rsidRPr="00CF5008">
              <w:rPr>
                <w:sz w:val="22"/>
                <w:szCs w:val="22"/>
              </w:rPr>
              <w:t>CBD</w:t>
            </w:r>
          </w:p>
        </w:tc>
        <w:tc>
          <w:tcPr>
            <w:tcW w:w="2745" w:type="dxa"/>
          </w:tcPr>
          <w:p w:rsidR="00B16696" w:rsidRPr="00CF5008" w:rsidRDefault="00B16696" w:rsidP="00AA2D0C">
            <w:pPr>
              <w:pStyle w:val="ListParagraph"/>
              <w:numPr>
                <w:ilvl w:val="0"/>
                <w:numId w:val="32"/>
              </w:numPr>
              <w:spacing w:line="240" w:lineRule="auto"/>
              <w:ind w:left="176" w:hanging="176"/>
              <w:jc w:val="both"/>
              <w:rPr>
                <w:sz w:val="22"/>
                <w:szCs w:val="22"/>
              </w:rPr>
            </w:pPr>
            <w:r w:rsidRPr="00CF5008">
              <w:rPr>
                <w:sz w:val="22"/>
                <w:szCs w:val="22"/>
              </w:rPr>
              <w:t>Day pass – $40</w:t>
            </w:r>
          </w:p>
          <w:p w:rsidR="00B16696" w:rsidRPr="00CF5008" w:rsidRDefault="00B16696" w:rsidP="00AA2D0C">
            <w:pPr>
              <w:pStyle w:val="ListParagraph"/>
              <w:numPr>
                <w:ilvl w:val="0"/>
                <w:numId w:val="32"/>
              </w:numPr>
              <w:spacing w:line="240" w:lineRule="auto"/>
              <w:ind w:left="176" w:hanging="176"/>
              <w:jc w:val="both"/>
              <w:rPr>
                <w:sz w:val="22"/>
                <w:szCs w:val="22"/>
              </w:rPr>
            </w:pPr>
            <w:r w:rsidRPr="00CF5008">
              <w:rPr>
                <w:sz w:val="22"/>
                <w:szCs w:val="22"/>
              </w:rPr>
              <w:t>Casual user –  $300p.m</w:t>
            </w:r>
          </w:p>
          <w:p w:rsidR="00B16696" w:rsidRPr="00CF5008" w:rsidRDefault="00B16696" w:rsidP="00AA2D0C">
            <w:pPr>
              <w:pStyle w:val="ListParagraph"/>
              <w:numPr>
                <w:ilvl w:val="0"/>
                <w:numId w:val="32"/>
              </w:numPr>
              <w:spacing w:line="240" w:lineRule="auto"/>
              <w:ind w:left="176" w:hanging="176"/>
              <w:jc w:val="both"/>
              <w:rPr>
                <w:sz w:val="22"/>
                <w:szCs w:val="22"/>
              </w:rPr>
            </w:pPr>
            <w:r w:rsidRPr="00CF5008">
              <w:rPr>
                <w:sz w:val="22"/>
                <w:szCs w:val="22"/>
              </w:rPr>
              <w:t>Frequent – $700 - $750 p.m.</w:t>
            </w:r>
          </w:p>
        </w:tc>
      </w:tr>
      <w:tr w:rsidR="00B16696" w:rsidRPr="00CF5008" w:rsidTr="00700554">
        <w:tc>
          <w:tcPr>
            <w:tcW w:w="1390" w:type="dxa"/>
          </w:tcPr>
          <w:p w:rsidR="00B16696" w:rsidRPr="00CF5008" w:rsidRDefault="00B16696" w:rsidP="00AA2D0C">
            <w:pPr>
              <w:spacing w:line="240" w:lineRule="auto"/>
              <w:jc w:val="both"/>
              <w:rPr>
                <w:sz w:val="22"/>
                <w:szCs w:val="22"/>
              </w:rPr>
            </w:pPr>
            <w:r w:rsidRPr="00CF5008">
              <w:rPr>
                <w:sz w:val="22"/>
                <w:szCs w:val="22"/>
              </w:rPr>
              <w:t>The Commons</w:t>
            </w:r>
          </w:p>
        </w:tc>
        <w:tc>
          <w:tcPr>
            <w:tcW w:w="1128" w:type="dxa"/>
          </w:tcPr>
          <w:p w:rsidR="00B16696" w:rsidRPr="00CF5008" w:rsidRDefault="00B16696" w:rsidP="00AA2D0C">
            <w:pPr>
              <w:spacing w:line="240" w:lineRule="auto"/>
              <w:jc w:val="both"/>
              <w:rPr>
                <w:sz w:val="22"/>
                <w:szCs w:val="22"/>
              </w:rPr>
            </w:pPr>
            <w:r w:rsidRPr="00CF5008">
              <w:rPr>
                <w:sz w:val="22"/>
                <w:szCs w:val="22"/>
              </w:rPr>
              <w:t>3,200</w:t>
            </w:r>
          </w:p>
        </w:tc>
        <w:tc>
          <w:tcPr>
            <w:tcW w:w="1843" w:type="dxa"/>
          </w:tcPr>
          <w:p w:rsidR="00B16696" w:rsidRPr="00CF5008" w:rsidRDefault="00B16696" w:rsidP="003F7C0C">
            <w:pPr>
              <w:spacing w:line="240" w:lineRule="auto"/>
              <w:jc w:val="both"/>
              <w:rPr>
                <w:sz w:val="22"/>
                <w:szCs w:val="22"/>
              </w:rPr>
            </w:pPr>
            <w:r w:rsidRPr="00CF5008">
              <w:rPr>
                <w:sz w:val="22"/>
                <w:szCs w:val="22"/>
              </w:rPr>
              <w:t>“Businesses and individuals looking to connect, focus and grow”</w:t>
            </w:r>
          </w:p>
        </w:tc>
        <w:tc>
          <w:tcPr>
            <w:tcW w:w="1559" w:type="dxa"/>
          </w:tcPr>
          <w:p w:rsidR="00B16696" w:rsidRPr="00CF5008" w:rsidRDefault="00700554" w:rsidP="003F7C0C">
            <w:pPr>
              <w:spacing w:line="240" w:lineRule="auto"/>
              <w:jc w:val="both"/>
              <w:rPr>
                <w:sz w:val="22"/>
                <w:szCs w:val="22"/>
              </w:rPr>
            </w:pPr>
            <w:r w:rsidRPr="00CF5008">
              <w:rPr>
                <w:sz w:val="22"/>
                <w:szCs w:val="22"/>
              </w:rPr>
              <w:t>South Melbourne (3km from the CBD)</w:t>
            </w:r>
          </w:p>
        </w:tc>
        <w:tc>
          <w:tcPr>
            <w:tcW w:w="2745" w:type="dxa"/>
          </w:tcPr>
          <w:p w:rsidR="00B16696" w:rsidRPr="00CF5008" w:rsidRDefault="00B16696" w:rsidP="00AA2D0C">
            <w:pPr>
              <w:pStyle w:val="ListParagraph"/>
              <w:numPr>
                <w:ilvl w:val="0"/>
                <w:numId w:val="37"/>
              </w:numPr>
              <w:spacing w:line="240" w:lineRule="auto"/>
              <w:ind w:left="176" w:hanging="176"/>
              <w:jc w:val="both"/>
              <w:rPr>
                <w:sz w:val="22"/>
                <w:szCs w:val="22"/>
              </w:rPr>
            </w:pPr>
            <w:r w:rsidRPr="00CF5008">
              <w:rPr>
                <w:sz w:val="22"/>
                <w:szCs w:val="22"/>
              </w:rPr>
              <w:t>Day pass – $35</w:t>
            </w:r>
          </w:p>
          <w:p w:rsidR="00B16696" w:rsidRPr="00CF5008" w:rsidRDefault="00B16696" w:rsidP="00395CB4">
            <w:pPr>
              <w:pStyle w:val="ListParagraph"/>
              <w:numPr>
                <w:ilvl w:val="0"/>
                <w:numId w:val="37"/>
              </w:numPr>
              <w:spacing w:line="240" w:lineRule="auto"/>
              <w:ind w:left="176" w:hanging="176"/>
              <w:jc w:val="both"/>
              <w:rPr>
                <w:sz w:val="22"/>
                <w:szCs w:val="22"/>
              </w:rPr>
            </w:pPr>
            <w:r w:rsidRPr="00CF5008">
              <w:rPr>
                <w:sz w:val="22"/>
                <w:szCs w:val="22"/>
              </w:rPr>
              <w:t>Full-time – $1,600 p.m.</w:t>
            </w:r>
          </w:p>
        </w:tc>
      </w:tr>
      <w:tr w:rsidR="00B16696" w:rsidRPr="00CF5008" w:rsidTr="00700554">
        <w:tc>
          <w:tcPr>
            <w:tcW w:w="1390" w:type="dxa"/>
          </w:tcPr>
          <w:p w:rsidR="00B16696" w:rsidRPr="00CF5008" w:rsidRDefault="00B16696" w:rsidP="00AA2D0C">
            <w:pPr>
              <w:spacing w:line="240" w:lineRule="auto"/>
              <w:jc w:val="both"/>
              <w:rPr>
                <w:sz w:val="22"/>
                <w:szCs w:val="22"/>
              </w:rPr>
            </w:pPr>
            <w:r w:rsidRPr="00CF5008">
              <w:rPr>
                <w:sz w:val="22"/>
                <w:szCs w:val="22"/>
              </w:rPr>
              <w:t>Team Square</w:t>
            </w:r>
          </w:p>
        </w:tc>
        <w:tc>
          <w:tcPr>
            <w:tcW w:w="1128" w:type="dxa"/>
          </w:tcPr>
          <w:p w:rsidR="00B16696" w:rsidRPr="00CF5008" w:rsidRDefault="00B16696" w:rsidP="00AA2D0C">
            <w:pPr>
              <w:spacing w:line="240" w:lineRule="auto"/>
              <w:jc w:val="both"/>
              <w:rPr>
                <w:sz w:val="22"/>
                <w:szCs w:val="22"/>
              </w:rPr>
            </w:pPr>
            <w:r w:rsidRPr="00CF5008">
              <w:rPr>
                <w:sz w:val="22"/>
                <w:szCs w:val="22"/>
              </w:rPr>
              <w:t>3,100</w:t>
            </w:r>
          </w:p>
        </w:tc>
        <w:tc>
          <w:tcPr>
            <w:tcW w:w="1843" w:type="dxa"/>
          </w:tcPr>
          <w:p w:rsidR="00B16696" w:rsidRPr="00CF5008" w:rsidRDefault="00B16696" w:rsidP="00343F60">
            <w:pPr>
              <w:spacing w:line="240" w:lineRule="auto"/>
              <w:jc w:val="both"/>
              <w:rPr>
                <w:sz w:val="22"/>
                <w:szCs w:val="22"/>
              </w:rPr>
            </w:pPr>
            <w:r w:rsidRPr="00CF5008">
              <w:rPr>
                <w:sz w:val="22"/>
                <w:szCs w:val="22"/>
              </w:rPr>
              <w:t>Entrepreneurs, consultancies, agencies, small businesses</w:t>
            </w:r>
          </w:p>
        </w:tc>
        <w:tc>
          <w:tcPr>
            <w:tcW w:w="1559" w:type="dxa"/>
          </w:tcPr>
          <w:p w:rsidR="00B16696" w:rsidRPr="00CF5008" w:rsidRDefault="00700554" w:rsidP="00343F60">
            <w:pPr>
              <w:spacing w:line="240" w:lineRule="auto"/>
              <w:jc w:val="both"/>
              <w:rPr>
                <w:sz w:val="22"/>
                <w:szCs w:val="22"/>
              </w:rPr>
            </w:pPr>
            <w:r w:rsidRPr="00CF5008">
              <w:rPr>
                <w:sz w:val="22"/>
                <w:szCs w:val="22"/>
              </w:rPr>
              <w:t>CBD</w:t>
            </w:r>
          </w:p>
        </w:tc>
        <w:tc>
          <w:tcPr>
            <w:tcW w:w="2745" w:type="dxa"/>
          </w:tcPr>
          <w:p w:rsidR="00B16696" w:rsidRPr="00CF5008" w:rsidRDefault="00B16696" w:rsidP="00AA2D0C">
            <w:pPr>
              <w:pStyle w:val="ListParagraph"/>
              <w:numPr>
                <w:ilvl w:val="0"/>
                <w:numId w:val="38"/>
              </w:numPr>
              <w:spacing w:line="240" w:lineRule="auto"/>
              <w:ind w:left="176" w:hanging="176"/>
              <w:jc w:val="both"/>
              <w:rPr>
                <w:sz w:val="22"/>
                <w:szCs w:val="22"/>
              </w:rPr>
            </w:pPr>
            <w:r w:rsidRPr="00CF5008">
              <w:rPr>
                <w:sz w:val="22"/>
                <w:szCs w:val="22"/>
              </w:rPr>
              <w:t>Flexi desk - from $50 p.m.</w:t>
            </w:r>
          </w:p>
          <w:p w:rsidR="00B16696" w:rsidRPr="00CF5008" w:rsidRDefault="00B16696" w:rsidP="00AA2D0C">
            <w:pPr>
              <w:pStyle w:val="ListParagraph"/>
              <w:numPr>
                <w:ilvl w:val="0"/>
                <w:numId w:val="38"/>
              </w:numPr>
              <w:spacing w:line="240" w:lineRule="auto"/>
              <w:ind w:left="176" w:hanging="176"/>
              <w:jc w:val="both"/>
              <w:rPr>
                <w:sz w:val="22"/>
                <w:szCs w:val="22"/>
              </w:rPr>
            </w:pPr>
            <w:r w:rsidRPr="00CF5008">
              <w:rPr>
                <w:sz w:val="22"/>
                <w:szCs w:val="22"/>
              </w:rPr>
              <w:t>Dedicated desk – from $700 p.m.</w:t>
            </w:r>
          </w:p>
          <w:p w:rsidR="00B16696" w:rsidRPr="00CF5008" w:rsidRDefault="00B16696" w:rsidP="00AA2D0C">
            <w:pPr>
              <w:pStyle w:val="ListParagraph"/>
              <w:numPr>
                <w:ilvl w:val="0"/>
                <w:numId w:val="38"/>
              </w:numPr>
              <w:spacing w:line="240" w:lineRule="auto"/>
              <w:ind w:left="176" w:hanging="176"/>
              <w:jc w:val="both"/>
              <w:rPr>
                <w:sz w:val="22"/>
                <w:szCs w:val="22"/>
              </w:rPr>
            </w:pPr>
            <w:r w:rsidRPr="00CF5008">
              <w:rPr>
                <w:sz w:val="22"/>
                <w:szCs w:val="22"/>
              </w:rPr>
              <w:t xml:space="preserve">Private office – from $800 p.m. </w:t>
            </w:r>
          </w:p>
        </w:tc>
      </w:tr>
      <w:tr w:rsidR="00B16696" w:rsidRPr="00CF5008" w:rsidTr="00700554">
        <w:tc>
          <w:tcPr>
            <w:tcW w:w="1390" w:type="dxa"/>
          </w:tcPr>
          <w:p w:rsidR="00B16696" w:rsidRPr="00CF5008" w:rsidRDefault="00B16696" w:rsidP="00AA2D0C">
            <w:pPr>
              <w:spacing w:line="240" w:lineRule="auto"/>
              <w:jc w:val="both"/>
              <w:rPr>
                <w:sz w:val="22"/>
                <w:szCs w:val="22"/>
              </w:rPr>
            </w:pPr>
            <w:r w:rsidRPr="00CF5008">
              <w:rPr>
                <w:sz w:val="22"/>
                <w:szCs w:val="22"/>
              </w:rPr>
              <w:t>Inspire9</w:t>
            </w:r>
          </w:p>
        </w:tc>
        <w:tc>
          <w:tcPr>
            <w:tcW w:w="1128" w:type="dxa"/>
          </w:tcPr>
          <w:p w:rsidR="00B16696" w:rsidRPr="00CF5008" w:rsidRDefault="00B16696" w:rsidP="00AA2D0C">
            <w:pPr>
              <w:spacing w:line="240" w:lineRule="auto"/>
              <w:jc w:val="both"/>
              <w:rPr>
                <w:sz w:val="22"/>
                <w:szCs w:val="22"/>
              </w:rPr>
            </w:pPr>
            <w:r w:rsidRPr="00CF5008">
              <w:rPr>
                <w:sz w:val="22"/>
                <w:szCs w:val="22"/>
              </w:rPr>
              <w:t>2,900</w:t>
            </w:r>
          </w:p>
        </w:tc>
        <w:tc>
          <w:tcPr>
            <w:tcW w:w="1843" w:type="dxa"/>
          </w:tcPr>
          <w:p w:rsidR="00B16696" w:rsidRPr="00CF5008" w:rsidRDefault="00B16696" w:rsidP="009B5A00">
            <w:pPr>
              <w:spacing w:line="240" w:lineRule="auto"/>
              <w:jc w:val="both"/>
              <w:rPr>
                <w:sz w:val="22"/>
                <w:szCs w:val="22"/>
              </w:rPr>
            </w:pPr>
            <w:r w:rsidRPr="00CF5008">
              <w:rPr>
                <w:sz w:val="22"/>
                <w:szCs w:val="22"/>
              </w:rPr>
              <w:t>From individual creative entrepreneurs to established and high growth start-ups</w:t>
            </w:r>
          </w:p>
        </w:tc>
        <w:tc>
          <w:tcPr>
            <w:tcW w:w="1559" w:type="dxa"/>
          </w:tcPr>
          <w:p w:rsidR="00B16696" w:rsidRPr="00CF5008" w:rsidRDefault="00700554" w:rsidP="009B5A00">
            <w:pPr>
              <w:spacing w:line="240" w:lineRule="auto"/>
              <w:jc w:val="both"/>
              <w:rPr>
                <w:sz w:val="22"/>
                <w:szCs w:val="22"/>
              </w:rPr>
            </w:pPr>
            <w:proofErr w:type="spellStart"/>
            <w:r w:rsidRPr="00CF5008">
              <w:rPr>
                <w:sz w:val="22"/>
                <w:szCs w:val="22"/>
              </w:rPr>
              <w:t>Footscray</w:t>
            </w:r>
            <w:proofErr w:type="spellEnd"/>
            <w:r w:rsidRPr="00CF5008">
              <w:rPr>
                <w:sz w:val="22"/>
                <w:szCs w:val="22"/>
              </w:rPr>
              <w:t xml:space="preserve"> (8 km from the CBD)</w:t>
            </w:r>
          </w:p>
        </w:tc>
        <w:tc>
          <w:tcPr>
            <w:tcW w:w="2745" w:type="dxa"/>
          </w:tcPr>
          <w:p w:rsidR="00B16696" w:rsidRPr="00CF5008" w:rsidRDefault="00B16696" w:rsidP="00AA2D0C">
            <w:pPr>
              <w:pStyle w:val="ListParagraph"/>
              <w:numPr>
                <w:ilvl w:val="0"/>
                <w:numId w:val="33"/>
              </w:numPr>
              <w:spacing w:line="240" w:lineRule="auto"/>
              <w:ind w:left="176" w:hanging="176"/>
              <w:jc w:val="both"/>
              <w:rPr>
                <w:sz w:val="22"/>
                <w:szCs w:val="22"/>
              </w:rPr>
            </w:pPr>
            <w:r w:rsidRPr="00CF5008">
              <w:rPr>
                <w:sz w:val="22"/>
                <w:szCs w:val="22"/>
              </w:rPr>
              <w:t>Casual – $40 per day or $165 per week</w:t>
            </w:r>
          </w:p>
          <w:p w:rsidR="00B16696" w:rsidRPr="00CF5008" w:rsidRDefault="00B16696" w:rsidP="00AA2D0C">
            <w:pPr>
              <w:pStyle w:val="ListParagraph"/>
              <w:numPr>
                <w:ilvl w:val="0"/>
                <w:numId w:val="33"/>
              </w:numPr>
              <w:spacing w:line="240" w:lineRule="auto"/>
              <w:ind w:left="176" w:hanging="176"/>
              <w:jc w:val="both"/>
              <w:rPr>
                <w:sz w:val="22"/>
                <w:szCs w:val="22"/>
              </w:rPr>
            </w:pPr>
            <w:r w:rsidRPr="00CF5008">
              <w:rPr>
                <w:sz w:val="22"/>
                <w:szCs w:val="22"/>
              </w:rPr>
              <w:t>Part-time residency – $360p.m</w:t>
            </w:r>
          </w:p>
          <w:p w:rsidR="00B16696" w:rsidRPr="00CF5008" w:rsidRDefault="00B16696" w:rsidP="00AA2D0C">
            <w:pPr>
              <w:pStyle w:val="ListParagraph"/>
              <w:numPr>
                <w:ilvl w:val="0"/>
                <w:numId w:val="33"/>
              </w:numPr>
              <w:spacing w:line="240" w:lineRule="auto"/>
              <w:ind w:left="176" w:hanging="176"/>
              <w:jc w:val="both"/>
              <w:rPr>
                <w:sz w:val="22"/>
                <w:szCs w:val="22"/>
              </w:rPr>
            </w:pPr>
            <w:r w:rsidRPr="00CF5008">
              <w:rPr>
                <w:sz w:val="22"/>
                <w:szCs w:val="22"/>
              </w:rPr>
              <w:t>Full-time residency – starts from $550 p.m.</w:t>
            </w:r>
          </w:p>
        </w:tc>
      </w:tr>
      <w:tr w:rsidR="00B16696" w:rsidRPr="00CF5008" w:rsidTr="00700554">
        <w:tc>
          <w:tcPr>
            <w:tcW w:w="1390" w:type="dxa"/>
          </w:tcPr>
          <w:p w:rsidR="00B16696" w:rsidRPr="00CF5008" w:rsidRDefault="00B16696" w:rsidP="00AA2D0C">
            <w:pPr>
              <w:spacing w:line="240" w:lineRule="auto"/>
              <w:jc w:val="both"/>
              <w:rPr>
                <w:sz w:val="22"/>
                <w:szCs w:val="22"/>
              </w:rPr>
            </w:pPr>
            <w:proofErr w:type="spellStart"/>
            <w:r w:rsidRPr="00CF5008">
              <w:rPr>
                <w:sz w:val="22"/>
                <w:szCs w:val="22"/>
              </w:rPr>
              <w:t>Launchpad</w:t>
            </w:r>
            <w:proofErr w:type="spellEnd"/>
          </w:p>
        </w:tc>
        <w:tc>
          <w:tcPr>
            <w:tcW w:w="1128" w:type="dxa"/>
          </w:tcPr>
          <w:p w:rsidR="00B16696" w:rsidRPr="00CF5008" w:rsidRDefault="00B16696" w:rsidP="00AA2D0C">
            <w:pPr>
              <w:spacing w:line="240" w:lineRule="auto"/>
              <w:jc w:val="both"/>
              <w:rPr>
                <w:sz w:val="22"/>
                <w:szCs w:val="22"/>
              </w:rPr>
            </w:pPr>
            <w:r w:rsidRPr="00CF5008">
              <w:rPr>
                <w:sz w:val="22"/>
                <w:szCs w:val="22"/>
              </w:rPr>
              <w:t>2,500</w:t>
            </w:r>
          </w:p>
        </w:tc>
        <w:tc>
          <w:tcPr>
            <w:tcW w:w="1843" w:type="dxa"/>
          </w:tcPr>
          <w:p w:rsidR="00B16696" w:rsidRPr="00CF5008" w:rsidRDefault="00B16696" w:rsidP="009B5A00">
            <w:pPr>
              <w:spacing w:line="240" w:lineRule="auto"/>
              <w:jc w:val="both"/>
              <w:rPr>
                <w:sz w:val="22"/>
                <w:szCs w:val="22"/>
              </w:rPr>
            </w:pPr>
            <w:r w:rsidRPr="00CF5008">
              <w:rPr>
                <w:sz w:val="22"/>
                <w:szCs w:val="22"/>
              </w:rPr>
              <w:t xml:space="preserve">Grown-up, scale-up or start-up businesses </w:t>
            </w:r>
          </w:p>
        </w:tc>
        <w:tc>
          <w:tcPr>
            <w:tcW w:w="1559" w:type="dxa"/>
          </w:tcPr>
          <w:p w:rsidR="00B16696" w:rsidRPr="00CF5008" w:rsidRDefault="00700554" w:rsidP="009B5A00">
            <w:pPr>
              <w:spacing w:line="240" w:lineRule="auto"/>
              <w:jc w:val="both"/>
              <w:rPr>
                <w:sz w:val="22"/>
                <w:szCs w:val="22"/>
              </w:rPr>
            </w:pPr>
            <w:proofErr w:type="spellStart"/>
            <w:r w:rsidRPr="00CF5008">
              <w:rPr>
                <w:sz w:val="22"/>
                <w:szCs w:val="22"/>
              </w:rPr>
              <w:t>Cremorne</w:t>
            </w:r>
            <w:proofErr w:type="spellEnd"/>
            <w:r w:rsidRPr="00CF5008">
              <w:rPr>
                <w:sz w:val="22"/>
                <w:szCs w:val="22"/>
              </w:rPr>
              <w:t xml:space="preserve"> (4 km from the CBD)</w:t>
            </w:r>
          </w:p>
        </w:tc>
        <w:tc>
          <w:tcPr>
            <w:tcW w:w="2745" w:type="dxa"/>
          </w:tcPr>
          <w:p w:rsidR="00B16696" w:rsidRPr="00CF5008" w:rsidRDefault="00B16696" w:rsidP="00AA2D0C">
            <w:pPr>
              <w:pStyle w:val="ListParagraph"/>
              <w:numPr>
                <w:ilvl w:val="0"/>
                <w:numId w:val="39"/>
              </w:numPr>
              <w:spacing w:line="240" w:lineRule="auto"/>
              <w:ind w:left="176" w:hanging="176"/>
              <w:jc w:val="both"/>
              <w:rPr>
                <w:sz w:val="22"/>
                <w:szCs w:val="22"/>
              </w:rPr>
            </w:pPr>
            <w:r w:rsidRPr="00CF5008">
              <w:rPr>
                <w:sz w:val="22"/>
                <w:szCs w:val="22"/>
              </w:rPr>
              <w:t>Early stage business – $99 p.m.</w:t>
            </w:r>
          </w:p>
          <w:p w:rsidR="00B16696" w:rsidRPr="00CF5008" w:rsidRDefault="00B16696" w:rsidP="00AA2D0C">
            <w:pPr>
              <w:pStyle w:val="ListParagraph"/>
              <w:numPr>
                <w:ilvl w:val="0"/>
                <w:numId w:val="39"/>
              </w:numPr>
              <w:spacing w:line="240" w:lineRule="auto"/>
              <w:ind w:left="176" w:hanging="176"/>
              <w:jc w:val="both"/>
              <w:rPr>
                <w:sz w:val="22"/>
                <w:szCs w:val="22"/>
              </w:rPr>
            </w:pPr>
            <w:r w:rsidRPr="00CF5008">
              <w:rPr>
                <w:sz w:val="22"/>
                <w:szCs w:val="22"/>
              </w:rPr>
              <w:t>Established – $345 p.m.</w:t>
            </w:r>
          </w:p>
          <w:p w:rsidR="00B16696" w:rsidRPr="00CF5008" w:rsidRDefault="00B16696" w:rsidP="00AA2D0C">
            <w:pPr>
              <w:pStyle w:val="ListParagraph"/>
              <w:numPr>
                <w:ilvl w:val="0"/>
                <w:numId w:val="39"/>
              </w:numPr>
              <w:spacing w:line="240" w:lineRule="auto"/>
              <w:ind w:left="176" w:hanging="176"/>
              <w:jc w:val="both"/>
              <w:rPr>
                <w:sz w:val="22"/>
                <w:szCs w:val="22"/>
              </w:rPr>
            </w:pPr>
            <w:r w:rsidRPr="00CF5008">
              <w:rPr>
                <w:sz w:val="22"/>
                <w:szCs w:val="22"/>
              </w:rPr>
              <w:t>Dynamic business – $690 p.m.</w:t>
            </w:r>
          </w:p>
          <w:p w:rsidR="00B16696" w:rsidRPr="00CF5008" w:rsidRDefault="00B16696" w:rsidP="004134AB">
            <w:pPr>
              <w:pStyle w:val="ListParagraph"/>
              <w:numPr>
                <w:ilvl w:val="0"/>
                <w:numId w:val="39"/>
              </w:numPr>
              <w:spacing w:line="240" w:lineRule="auto"/>
              <w:ind w:left="176" w:hanging="176"/>
              <w:jc w:val="both"/>
              <w:rPr>
                <w:sz w:val="22"/>
                <w:szCs w:val="22"/>
              </w:rPr>
            </w:pPr>
            <w:r w:rsidRPr="00CF5008">
              <w:rPr>
                <w:sz w:val="22"/>
                <w:szCs w:val="22"/>
              </w:rPr>
              <w:t xml:space="preserve">Growing business – $ 1,518 p.m. </w:t>
            </w:r>
          </w:p>
        </w:tc>
      </w:tr>
      <w:tr w:rsidR="00B16696" w:rsidRPr="00CF5008" w:rsidTr="00700554">
        <w:tc>
          <w:tcPr>
            <w:tcW w:w="1390" w:type="dxa"/>
          </w:tcPr>
          <w:p w:rsidR="00B16696" w:rsidRPr="00CF5008" w:rsidRDefault="00B16696" w:rsidP="00AA2D0C">
            <w:pPr>
              <w:spacing w:line="240" w:lineRule="auto"/>
              <w:jc w:val="both"/>
              <w:rPr>
                <w:sz w:val="22"/>
                <w:szCs w:val="22"/>
              </w:rPr>
            </w:pPr>
            <w:r w:rsidRPr="00CF5008">
              <w:rPr>
                <w:sz w:val="22"/>
                <w:szCs w:val="22"/>
              </w:rPr>
              <w:t>The Cluster</w:t>
            </w:r>
          </w:p>
        </w:tc>
        <w:tc>
          <w:tcPr>
            <w:tcW w:w="1128" w:type="dxa"/>
          </w:tcPr>
          <w:p w:rsidR="00B16696" w:rsidRPr="00CF5008" w:rsidRDefault="00B16696" w:rsidP="00AA2D0C">
            <w:pPr>
              <w:spacing w:line="240" w:lineRule="auto"/>
              <w:jc w:val="both"/>
              <w:rPr>
                <w:sz w:val="22"/>
                <w:szCs w:val="22"/>
              </w:rPr>
            </w:pPr>
            <w:r w:rsidRPr="00CF5008">
              <w:rPr>
                <w:sz w:val="22"/>
                <w:szCs w:val="22"/>
              </w:rPr>
              <w:t>2,500</w:t>
            </w:r>
          </w:p>
        </w:tc>
        <w:tc>
          <w:tcPr>
            <w:tcW w:w="1843" w:type="dxa"/>
          </w:tcPr>
          <w:p w:rsidR="00B16696" w:rsidRPr="00CF5008" w:rsidRDefault="00B16696" w:rsidP="009B5A00">
            <w:pPr>
              <w:spacing w:line="240" w:lineRule="auto"/>
              <w:jc w:val="both"/>
              <w:rPr>
                <w:sz w:val="22"/>
                <w:szCs w:val="22"/>
              </w:rPr>
            </w:pPr>
            <w:r w:rsidRPr="00CF5008">
              <w:rPr>
                <w:sz w:val="22"/>
                <w:szCs w:val="22"/>
              </w:rPr>
              <w:t xml:space="preserve">Diverse business community </w:t>
            </w:r>
          </w:p>
        </w:tc>
        <w:tc>
          <w:tcPr>
            <w:tcW w:w="1559" w:type="dxa"/>
          </w:tcPr>
          <w:p w:rsidR="00B16696" w:rsidRPr="00CF5008" w:rsidRDefault="00700554" w:rsidP="009B5A00">
            <w:pPr>
              <w:spacing w:line="240" w:lineRule="auto"/>
              <w:jc w:val="both"/>
              <w:rPr>
                <w:sz w:val="22"/>
                <w:szCs w:val="22"/>
              </w:rPr>
            </w:pPr>
            <w:r w:rsidRPr="00CF5008">
              <w:rPr>
                <w:sz w:val="22"/>
                <w:szCs w:val="22"/>
              </w:rPr>
              <w:t>CBD</w:t>
            </w:r>
          </w:p>
        </w:tc>
        <w:tc>
          <w:tcPr>
            <w:tcW w:w="2745" w:type="dxa"/>
          </w:tcPr>
          <w:p w:rsidR="00B16696" w:rsidRPr="00CF5008" w:rsidRDefault="00B16696" w:rsidP="00AA2D0C">
            <w:pPr>
              <w:pStyle w:val="ListParagraph"/>
              <w:numPr>
                <w:ilvl w:val="0"/>
                <w:numId w:val="40"/>
              </w:numPr>
              <w:spacing w:line="240" w:lineRule="auto"/>
              <w:ind w:left="176" w:hanging="142"/>
              <w:jc w:val="both"/>
              <w:rPr>
                <w:sz w:val="22"/>
                <w:szCs w:val="22"/>
              </w:rPr>
            </w:pPr>
            <w:r w:rsidRPr="00CF5008">
              <w:rPr>
                <w:sz w:val="22"/>
                <w:szCs w:val="22"/>
              </w:rPr>
              <w:t>Flexi – from $130 per week</w:t>
            </w:r>
          </w:p>
          <w:p w:rsidR="00B16696" w:rsidRPr="00CF5008" w:rsidRDefault="00B16696" w:rsidP="00AA2D0C">
            <w:pPr>
              <w:pStyle w:val="ListParagraph"/>
              <w:numPr>
                <w:ilvl w:val="0"/>
                <w:numId w:val="40"/>
              </w:numPr>
              <w:spacing w:line="240" w:lineRule="auto"/>
              <w:ind w:left="176" w:hanging="142"/>
              <w:jc w:val="both"/>
              <w:rPr>
                <w:sz w:val="22"/>
                <w:szCs w:val="22"/>
              </w:rPr>
            </w:pPr>
            <w:r w:rsidRPr="00CF5008">
              <w:rPr>
                <w:sz w:val="22"/>
                <w:szCs w:val="22"/>
              </w:rPr>
              <w:t>Permanent desk – from $195 per week</w:t>
            </w:r>
          </w:p>
          <w:p w:rsidR="00B16696" w:rsidRPr="00CF5008" w:rsidRDefault="00B16696" w:rsidP="00AA2D0C">
            <w:pPr>
              <w:pStyle w:val="ListParagraph"/>
              <w:numPr>
                <w:ilvl w:val="0"/>
                <w:numId w:val="40"/>
              </w:numPr>
              <w:spacing w:line="240" w:lineRule="auto"/>
              <w:ind w:left="176" w:hanging="142"/>
              <w:jc w:val="both"/>
              <w:rPr>
                <w:sz w:val="22"/>
                <w:szCs w:val="22"/>
              </w:rPr>
            </w:pPr>
            <w:r w:rsidRPr="00CF5008">
              <w:rPr>
                <w:sz w:val="22"/>
                <w:szCs w:val="22"/>
              </w:rPr>
              <w:t>Private office – varies</w:t>
            </w:r>
          </w:p>
          <w:p w:rsidR="00B16696" w:rsidRPr="00CF5008" w:rsidRDefault="00B16696" w:rsidP="00AA2D0C">
            <w:pPr>
              <w:pStyle w:val="ListParagraph"/>
              <w:numPr>
                <w:ilvl w:val="0"/>
                <w:numId w:val="40"/>
              </w:numPr>
              <w:spacing w:line="240" w:lineRule="auto"/>
              <w:ind w:left="176" w:hanging="142"/>
              <w:jc w:val="both"/>
              <w:rPr>
                <w:sz w:val="22"/>
                <w:szCs w:val="22"/>
              </w:rPr>
            </w:pPr>
            <w:r w:rsidRPr="00CF5008">
              <w:rPr>
                <w:sz w:val="22"/>
                <w:szCs w:val="22"/>
              </w:rPr>
              <w:t>Day pass – $40</w:t>
            </w:r>
          </w:p>
        </w:tc>
      </w:tr>
      <w:tr w:rsidR="00B16696" w:rsidRPr="00CF5008" w:rsidTr="00700554">
        <w:tc>
          <w:tcPr>
            <w:tcW w:w="1390" w:type="dxa"/>
          </w:tcPr>
          <w:p w:rsidR="00B16696" w:rsidRPr="00CF5008" w:rsidRDefault="00B16696" w:rsidP="00AA2D0C">
            <w:pPr>
              <w:spacing w:line="240" w:lineRule="auto"/>
              <w:jc w:val="both"/>
              <w:rPr>
                <w:sz w:val="22"/>
                <w:szCs w:val="22"/>
              </w:rPr>
            </w:pPr>
            <w:r w:rsidRPr="00CF5008">
              <w:rPr>
                <w:sz w:val="22"/>
                <w:szCs w:val="22"/>
              </w:rPr>
              <w:t>ACMI X</w:t>
            </w:r>
          </w:p>
        </w:tc>
        <w:tc>
          <w:tcPr>
            <w:tcW w:w="1128" w:type="dxa"/>
          </w:tcPr>
          <w:p w:rsidR="00B16696" w:rsidRPr="00CF5008" w:rsidRDefault="00B16696" w:rsidP="00AA2D0C">
            <w:pPr>
              <w:spacing w:line="240" w:lineRule="auto"/>
              <w:jc w:val="both"/>
              <w:rPr>
                <w:sz w:val="22"/>
                <w:szCs w:val="22"/>
              </w:rPr>
            </w:pPr>
            <w:r w:rsidRPr="00CF5008">
              <w:rPr>
                <w:sz w:val="22"/>
                <w:szCs w:val="22"/>
              </w:rPr>
              <w:t>2,000</w:t>
            </w:r>
          </w:p>
        </w:tc>
        <w:tc>
          <w:tcPr>
            <w:tcW w:w="1843" w:type="dxa"/>
          </w:tcPr>
          <w:p w:rsidR="00B16696" w:rsidRPr="00CF5008" w:rsidRDefault="00B16696" w:rsidP="009B5A00">
            <w:pPr>
              <w:spacing w:line="240" w:lineRule="auto"/>
              <w:jc w:val="both"/>
              <w:rPr>
                <w:sz w:val="22"/>
                <w:szCs w:val="22"/>
              </w:rPr>
            </w:pPr>
            <w:r w:rsidRPr="00CF5008">
              <w:rPr>
                <w:sz w:val="22"/>
                <w:szCs w:val="22"/>
              </w:rPr>
              <w:t>Businesses and individuals from creative industries</w:t>
            </w:r>
          </w:p>
        </w:tc>
        <w:tc>
          <w:tcPr>
            <w:tcW w:w="1559" w:type="dxa"/>
          </w:tcPr>
          <w:p w:rsidR="00B16696" w:rsidRPr="00CF5008" w:rsidRDefault="00700554" w:rsidP="009B5A00">
            <w:pPr>
              <w:spacing w:line="240" w:lineRule="auto"/>
              <w:jc w:val="both"/>
              <w:rPr>
                <w:sz w:val="22"/>
                <w:szCs w:val="22"/>
              </w:rPr>
            </w:pPr>
            <w:r w:rsidRPr="00CF5008">
              <w:rPr>
                <w:sz w:val="22"/>
                <w:szCs w:val="22"/>
              </w:rPr>
              <w:t>Southbank (4 km from the CBD)</w:t>
            </w:r>
          </w:p>
        </w:tc>
        <w:tc>
          <w:tcPr>
            <w:tcW w:w="2745" w:type="dxa"/>
          </w:tcPr>
          <w:p w:rsidR="00B16696" w:rsidRPr="00CF5008" w:rsidRDefault="00B16696" w:rsidP="00AA2D0C">
            <w:pPr>
              <w:pStyle w:val="ListParagraph"/>
              <w:numPr>
                <w:ilvl w:val="0"/>
                <w:numId w:val="41"/>
              </w:numPr>
              <w:spacing w:line="240" w:lineRule="auto"/>
              <w:ind w:left="176" w:hanging="176"/>
              <w:jc w:val="both"/>
              <w:rPr>
                <w:sz w:val="22"/>
                <w:szCs w:val="22"/>
              </w:rPr>
            </w:pPr>
            <w:r w:rsidRPr="00CF5008">
              <w:rPr>
                <w:sz w:val="22"/>
                <w:szCs w:val="22"/>
              </w:rPr>
              <w:t>From $600 p.m.</w:t>
            </w:r>
          </w:p>
        </w:tc>
      </w:tr>
      <w:tr w:rsidR="00B16696" w:rsidRPr="00CF5008" w:rsidTr="00700554">
        <w:tc>
          <w:tcPr>
            <w:tcW w:w="1390" w:type="dxa"/>
          </w:tcPr>
          <w:p w:rsidR="00B16696" w:rsidRPr="00CF5008" w:rsidRDefault="00B16696" w:rsidP="00AA2D0C">
            <w:pPr>
              <w:spacing w:line="240" w:lineRule="auto"/>
              <w:jc w:val="both"/>
              <w:rPr>
                <w:sz w:val="22"/>
                <w:szCs w:val="22"/>
              </w:rPr>
            </w:pPr>
            <w:proofErr w:type="spellStart"/>
            <w:r w:rsidRPr="00CF5008">
              <w:rPr>
                <w:sz w:val="22"/>
                <w:szCs w:val="22"/>
              </w:rPr>
              <w:t>Space&amp;Co</w:t>
            </w:r>
            <w:proofErr w:type="spellEnd"/>
            <w:r w:rsidRPr="00CF5008">
              <w:rPr>
                <w:sz w:val="22"/>
                <w:szCs w:val="22"/>
              </w:rPr>
              <w:t>.</w:t>
            </w:r>
          </w:p>
        </w:tc>
        <w:tc>
          <w:tcPr>
            <w:tcW w:w="1128" w:type="dxa"/>
          </w:tcPr>
          <w:p w:rsidR="00B16696" w:rsidRPr="00CF5008" w:rsidRDefault="00B16696" w:rsidP="00AA2D0C">
            <w:pPr>
              <w:spacing w:line="240" w:lineRule="auto"/>
              <w:jc w:val="both"/>
              <w:rPr>
                <w:sz w:val="22"/>
                <w:szCs w:val="22"/>
              </w:rPr>
            </w:pPr>
            <w:r w:rsidRPr="00CF5008">
              <w:rPr>
                <w:sz w:val="22"/>
                <w:szCs w:val="22"/>
              </w:rPr>
              <w:t>1,863</w:t>
            </w:r>
          </w:p>
        </w:tc>
        <w:tc>
          <w:tcPr>
            <w:tcW w:w="1843" w:type="dxa"/>
          </w:tcPr>
          <w:p w:rsidR="00B16696" w:rsidRPr="00CF5008" w:rsidRDefault="00B16696" w:rsidP="009B5A00">
            <w:pPr>
              <w:spacing w:line="240" w:lineRule="auto"/>
              <w:jc w:val="both"/>
              <w:rPr>
                <w:sz w:val="22"/>
                <w:szCs w:val="22"/>
              </w:rPr>
            </w:pPr>
            <w:r w:rsidRPr="00CF5008">
              <w:rPr>
                <w:sz w:val="22"/>
                <w:szCs w:val="22"/>
              </w:rPr>
              <w:t xml:space="preserve">Diverse business community </w:t>
            </w:r>
          </w:p>
        </w:tc>
        <w:tc>
          <w:tcPr>
            <w:tcW w:w="1559" w:type="dxa"/>
          </w:tcPr>
          <w:p w:rsidR="00B16696" w:rsidRPr="00CF5008" w:rsidRDefault="00700554" w:rsidP="009B5A00">
            <w:pPr>
              <w:spacing w:line="240" w:lineRule="auto"/>
              <w:jc w:val="both"/>
              <w:rPr>
                <w:sz w:val="22"/>
                <w:szCs w:val="22"/>
              </w:rPr>
            </w:pPr>
            <w:r w:rsidRPr="00CF5008">
              <w:rPr>
                <w:sz w:val="22"/>
                <w:szCs w:val="22"/>
              </w:rPr>
              <w:t>CBD</w:t>
            </w:r>
          </w:p>
        </w:tc>
        <w:tc>
          <w:tcPr>
            <w:tcW w:w="2745" w:type="dxa"/>
          </w:tcPr>
          <w:p w:rsidR="00B16696" w:rsidRPr="00CF5008" w:rsidRDefault="00B16696" w:rsidP="00AA2D0C">
            <w:pPr>
              <w:pStyle w:val="ListParagraph"/>
              <w:numPr>
                <w:ilvl w:val="0"/>
                <w:numId w:val="35"/>
              </w:numPr>
              <w:spacing w:line="240" w:lineRule="auto"/>
              <w:ind w:left="176" w:hanging="142"/>
              <w:jc w:val="both"/>
              <w:rPr>
                <w:sz w:val="22"/>
                <w:szCs w:val="22"/>
              </w:rPr>
            </w:pPr>
            <w:r w:rsidRPr="00CF5008">
              <w:rPr>
                <w:sz w:val="22"/>
                <w:szCs w:val="22"/>
              </w:rPr>
              <w:t>Daily – $60</w:t>
            </w:r>
          </w:p>
          <w:p w:rsidR="00B16696" w:rsidRPr="00CF5008" w:rsidRDefault="00B16696" w:rsidP="00AA2D0C">
            <w:pPr>
              <w:pStyle w:val="ListParagraph"/>
              <w:numPr>
                <w:ilvl w:val="0"/>
                <w:numId w:val="35"/>
              </w:numPr>
              <w:spacing w:line="240" w:lineRule="auto"/>
              <w:ind w:left="176" w:hanging="142"/>
              <w:jc w:val="both"/>
              <w:rPr>
                <w:sz w:val="22"/>
                <w:szCs w:val="22"/>
              </w:rPr>
            </w:pPr>
            <w:r w:rsidRPr="00CF5008">
              <w:rPr>
                <w:sz w:val="22"/>
                <w:szCs w:val="22"/>
              </w:rPr>
              <w:t>Part-time – from $210p.m.</w:t>
            </w:r>
          </w:p>
          <w:p w:rsidR="00B16696" w:rsidRPr="00CF5008" w:rsidRDefault="00B16696" w:rsidP="00AA2D0C">
            <w:pPr>
              <w:pStyle w:val="ListParagraph"/>
              <w:numPr>
                <w:ilvl w:val="0"/>
                <w:numId w:val="35"/>
              </w:numPr>
              <w:spacing w:line="240" w:lineRule="auto"/>
              <w:ind w:left="176" w:hanging="142"/>
              <w:jc w:val="both"/>
              <w:rPr>
                <w:sz w:val="22"/>
                <w:szCs w:val="22"/>
              </w:rPr>
            </w:pPr>
            <w:r w:rsidRPr="00CF5008">
              <w:rPr>
                <w:sz w:val="22"/>
                <w:szCs w:val="22"/>
              </w:rPr>
              <w:lastRenderedPageBreak/>
              <w:t>Full-time – from $850p.m.</w:t>
            </w:r>
          </w:p>
        </w:tc>
      </w:tr>
      <w:tr w:rsidR="00CE2760" w:rsidRPr="00CF5008" w:rsidTr="00700554">
        <w:tc>
          <w:tcPr>
            <w:tcW w:w="1390" w:type="dxa"/>
          </w:tcPr>
          <w:p w:rsidR="00CE2760" w:rsidRPr="00CF5008" w:rsidRDefault="00CE2760" w:rsidP="00AA2D0C">
            <w:pPr>
              <w:spacing w:line="240" w:lineRule="auto"/>
              <w:jc w:val="both"/>
              <w:rPr>
                <w:sz w:val="22"/>
                <w:szCs w:val="22"/>
              </w:rPr>
            </w:pPr>
            <w:r w:rsidRPr="00CF5008">
              <w:rPr>
                <w:sz w:val="22"/>
                <w:szCs w:val="22"/>
              </w:rPr>
              <w:lastRenderedPageBreak/>
              <w:t>The Arcade</w:t>
            </w:r>
          </w:p>
        </w:tc>
        <w:tc>
          <w:tcPr>
            <w:tcW w:w="1128" w:type="dxa"/>
          </w:tcPr>
          <w:p w:rsidR="00CE2760" w:rsidRPr="00CF5008" w:rsidRDefault="00CE2760" w:rsidP="00AA2D0C">
            <w:pPr>
              <w:spacing w:line="240" w:lineRule="auto"/>
              <w:jc w:val="both"/>
              <w:rPr>
                <w:sz w:val="22"/>
                <w:szCs w:val="22"/>
              </w:rPr>
            </w:pPr>
            <w:r w:rsidRPr="00CF5008">
              <w:rPr>
                <w:sz w:val="22"/>
                <w:szCs w:val="22"/>
              </w:rPr>
              <w:t>1,230</w:t>
            </w:r>
          </w:p>
        </w:tc>
        <w:tc>
          <w:tcPr>
            <w:tcW w:w="1843" w:type="dxa"/>
          </w:tcPr>
          <w:p w:rsidR="00CE2760" w:rsidRPr="00CF5008" w:rsidRDefault="00CE2760" w:rsidP="00AA2D0C">
            <w:pPr>
              <w:spacing w:line="240" w:lineRule="auto"/>
              <w:jc w:val="both"/>
              <w:rPr>
                <w:sz w:val="22"/>
                <w:szCs w:val="22"/>
              </w:rPr>
            </w:pPr>
            <w:r w:rsidRPr="00CF5008">
              <w:rPr>
                <w:sz w:val="22"/>
                <w:szCs w:val="22"/>
              </w:rPr>
              <w:t>Not for profit space tailored to game developers</w:t>
            </w:r>
          </w:p>
        </w:tc>
        <w:tc>
          <w:tcPr>
            <w:tcW w:w="1559" w:type="dxa"/>
          </w:tcPr>
          <w:p w:rsidR="00CE2760" w:rsidRPr="00CF5008" w:rsidRDefault="00CE2760" w:rsidP="00AA2D0C">
            <w:pPr>
              <w:spacing w:line="240" w:lineRule="auto"/>
              <w:jc w:val="both"/>
              <w:rPr>
                <w:sz w:val="22"/>
                <w:szCs w:val="22"/>
              </w:rPr>
            </w:pPr>
            <w:r w:rsidRPr="00CF5008">
              <w:rPr>
                <w:sz w:val="22"/>
                <w:szCs w:val="22"/>
              </w:rPr>
              <w:t>South Melbourne (3km from the CBD)</w:t>
            </w:r>
          </w:p>
        </w:tc>
        <w:tc>
          <w:tcPr>
            <w:tcW w:w="2745" w:type="dxa"/>
          </w:tcPr>
          <w:p w:rsidR="00CE2760" w:rsidRPr="00CF5008" w:rsidRDefault="00CE2760" w:rsidP="00AA2D0C">
            <w:pPr>
              <w:pStyle w:val="ListParagraph"/>
              <w:numPr>
                <w:ilvl w:val="0"/>
                <w:numId w:val="34"/>
              </w:numPr>
              <w:spacing w:line="240" w:lineRule="auto"/>
              <w:ind w:left="176" w:hanging="142"/>
              <w:jc w:val="both"/>
              <w:rPr>
                <w:sz w:val="22"/>
                <w:szCs w:val="22"/>
              </w:rPr>
            </w:pPr>
            <w:r w:rsidRPr="00CF5008">
              <w:rPr>
                <w:sz w:val="22"/>
                <w:szCs w:val="22"/>
              </w:rPr>
              <w:t xml:space="preserve">$434.72 p.m. </w:t>
            </w:r>
          </w:p>
          <w:p w:rsidR="00CE2760" w:rsidRPr="00CF5008" w:rsidRDefault="00CE2760" w:rsidP="00AA2D0C">
            <w:pPr>
              <w:pStyle w:val="ListParagraph"/>
              <w:numPr>
                <w:ilvl w:val="0"/>
                <w:numId w:val="34"/>
              </w:numPr>
              <w:spacing w:line="240" w:lineRule="auto"/>
              <w:ind w:left="176" w:hanging="142"/>
              <w:jc w:val="both"/>
              <w:rPr>
                <w:sz w:val="22"/>
                <w:szCs w:val="22"/>
              </w:rPr>
            </w:pPr>
            <w:r w:rsidRPr="00CF5008">
              <w:rPr>
                <w:sz w:val="22"/>
                <w:szCs w:val="22"/>
              </w:rPr>
              <w:t>$33 per day</w:t>
            </w:r>
          </w:p>
        </w:tc>
      </w:tr>
      <w:tr w:rsidR="00B16696" w:rsidRPr="00CF5008" w:rsidTr="00700554">
        <w:tc>
          <w:tcPr>
            <w:tcW w:w="1390" w:type="dxa"/>
          </w:tcPr>
          <w:p w:rsidR="00B16696" w:rsidRPr="00CF5008" w:rsidRDefault="00B16696" w:rsidP="00AA2D0C">
            <w:pPr>
              <w:spacing w:line="240" w:lineRule="auto"/>
              <w:jc w:val="both"/>
              <w:rPr>
                <w:sz w:val="22"/>
                <w:szCs w:val="22"/>
              </w:rPr>
            </w:pPr>
            <w:r w:rsidRPr="00CF5008">
              <w:rPr>
                <w:sz w:val="22"/>
                <w:szCs w:val="22"/>
              </w:rPr>
              <w:t>Spaces</w:t>
            </w:r>
          </w:p>
        </w:tc>
        <w:tc>
          <w:tcPr>
            <w:tcW w:w="1128" w:type="dxa"/>
          </w:tcPr>
          <w:p w:rsidR="00B16696" w:rsidRPr="00CF5008" w:rsidRDefault="00B16696" w:rsidP="00AA2D0C">
            <w:pPr>
              <w:spacing w:line="240" w:lineRule="auto"/>
              <w:jc w:val="both"/>
              <w:rPr>
                <w:sz w:val="22"/>
                <w:szCs w:val="22"/>
              </w:rPr>
            </w:pPr>
            <w:r w:rsidRPr="00CF5008">
              <w:rPr>
                <w:sz w:val="22"/>
                <w:szCs w:val="22"/>
              </w:rPr>
              <w:t>1,200</w:t>
            </w:r>
          </w:p>
        </w:tc>
        <w:tc>
          <w:tcPr>
            <w:tcW w:w="1843" w:type="dxa"/>
          </w:tcPr>
          <w:p w:rsidR="00B16696" w:rsidRPr="00CF5008" w:rsidRDefault="00B16696" w:rsidP="009B5A00">
            <w:pPr>
              <w:spacing w:line="240" w:lineRule="auto"/>
              <w:jc w:val="both"/>
              <w:rPr>
                <w:sz w:val="22"/>
                <w:szCs w:val="22"/>
              </w:rPr>
            </w:pPr>
            <w:r w:rsidRPr="00CF5008">
              <w:rPr>
                <w:sz w:val="22"/>
                <w:szCs w:val="22"/>
              </w:rPr>
              <w:t xml:space="preserve">Businesses and individuals from creative industries </w:t>
            </w:r>
          </w:p>
        </w:tc>
        <w:tc>
          <w:tcPr>
            <w:tcW w:w="1559" w:type="dxa"/>
          </w:tcPr>
          <w:p w:rsidR="00B16696" w:rsidRPr="00CF5008" w:rsidRDefault="00CE2760" w:rsidP="009B5A00">
            <w:pPr>
              <w:spacing w:line="240" w:lineRule="auto"/>
              <w:jc w:val="both"/>
              <w:rPr>
                <w:sz w:val="22"/>
                <w:szCs w:val="22"/>
              </w:rPr>
            </w:pPr>
            <w:r w:rsidRPr="00CF5008">
              <w:rPr>
                <w:sz w:val="22"/>
                <w:szCs w:val="22"/>
              </w:rPr>
              <w:t>Richmond (4.5 km from the CBD)</w:t>
            </w:r>
          </w:p>
        </w:tc>
        <w:tc>
          <w:tcPr>
            <w:tcW w:w="2745" w:type="dxa"/>
          </w:tcPr>
          <w:p w:rsidR="00B16696" w:rsidRPr="00CF5008" w:rsidRDefault="00B16696" w:rsidP="00343F60">
            <w:pPr>
              <w:pStyle w:val="ListParagraph"/>
              <w:numPr>
                <w:ilvl w:val="0"/>
                <w:numId w:val="42"/>
              </w:numPr>
              <w:spacing w:line="240" w:lineRule="auto"/>
              <w:ind w:left="176" w:hanging="142"/>
              <w:jc w:val="both"/>
              <w:rPr>
                <w:sz w:val="22"/>
                <w:szCs w:val="22"/>
              </w:rPr>
            </w:pPr>
            <w:r w:rsidRPr="00CF5008">
              <w:rPr>
                <w:sz w:val="22"/>
                <w:szCs w:val="22"/>
              </w:rPr>
              <w:t xml:space="preserve">From $740 p.m. </w:t>
            </w:r>
          </w:p>
        </w:tc>
      </w:tr>
      <w:tr w:rsidR="00B16696" w:rsidRPr="00CF5008" w:rsidTr="00700554">
        <w:tc>
          <w:tcPr>
            <w:tcW w:w="1390" w:type="dxa"/>
          </w:tcPr>
          <w:p w:rsidR="00B16696" w:rsidRPr="00CF5008" w:rsidRDefault="00B16696" w:rsidP="00AA2D0C">
            <w:pPr>
              <w:spacing w:line="240" w:lineRule="auto"/>
              <w:jc w:val="both"/>
              <w:rPr>
                <w:sz w:val="22"/>
                <w:szCs w:val="22"/>
              </w:rPr>
            </w:pPr>
            <w:r w:rsidRPr="00CF5008">
              <w:rPr>
                <w:sz w:val="22"/>
                <w:szCs w:val="22"/>
              </w:rPr>
              <w:t>One Roof Women</w:t>
            </w:r>
          </w:p>
        </w:tc>
        <w:tc>
          <w:tcPr>
            <w:tcW w:w="1128" w:type="dxa"/>
          </w:tcPr>
          <w:p w:rsidR="00B16696" w:rsidRPr="00CF5008" w:rsidRDefault="00B16696" w:rsidP="00AA2D0C">
            <w:pPr>
              <w:spacing w:line="240" w:lineRule="auto"/>
              <w:jc w:val="both"/>
              <w:rPr>
                <w:sz w:val="22"/>
                <w:szCs w:val="22"/>
              </w:rPr>
            </w:pPr>
            <w:r w:rsidRPr="00CF5008">
              <w:rPr>
                <w:sz w:val="22"/>
                <w:szCs w:val="22"/>
              </w:rPr>
              <w:t>1,000</w:t>
            </w:r>
          </w:p>
        </w:tc>
        <w:tc>
          <w:tcPr>
            <w:tcW w:w="1843" w:type="dxa"/>
          </w:tcPr>
          <w:p w:rsidR="00B16696" w:rsidRPr="00CF5008" w:rsidRDefault="00B16696" w:rsidP="009B5A00">
            <w:pPr>
              <w:spacing w:line="240" w:lineRule="auto"/>
              <w:jc w:val="both"/>
              <w:rPr>
                <w:sz w:val="22"/>
                <w:szCs w:val="22"/>
              </w:rPr>
            </w:pPr>
            <w:r w:rsidRPr="00CF5008">
              <w:rPr>
                <w:sz w:val="22"/>
                <w:szCs w:val="22"/>
              </w:rPr>
              <w:t>For women-led businesses</w:t>
            </w:r>
          </w:p>
        </w:tc>
        <w:tc>
          <w:tcPr>
            <w:tcW w:w="1559" w:type="dxa"/>
          </w:tcPr>
          <w:p w:rsidR="00CE2760" w:rsidRPr="00CF5008" w:rsidRDefault="00CE2760" w:rsidP="00CE2760">
            <w:pPr>
              <w:spacing w:line="240" w:lineRule="auto"/>
              <w:jc w:val="both"/>
              <w:rPr>
                <w:sz w:val="22"/>
                <w:szCs w:val="22"/>
              </w:rPr>
            </w:pPr>
            <w:r w:rsidRPr="00CF5008">
              <w:rPr>
                <w:sz w:val="22"/>
                <w:szCs w:val="22"/>
              </w:rPr>
              <w:t>Southbank (2 km from the CBD)</w:t>
            </w:r>
          </w:p>
          <w:p w:rsidR="00B16696" w:rsidRPr="00CF5008" w:rsidRDefault="00CE2760" w:rsidP="00CE2760">
            <w:pPr>
              <w:spacing w:line="240" w:lineRule="auto"/>
              <w:jc w:val="both"/>
              <w:rPr>
                <w:sz w:val="22"/>
                <w:szCs w:val="22"/>
              </w:rPr>
            </w:pPr>
            <w:r w:rsidRPr="00CF5008">
              <w:rPr>
                <w:sz w:val="22"/>
                <w:szCs w:val="22"/>
              </w:rPr>
              <w:t>CBD</w:t>
            </w:r>
          </w:p>
        </w:tc>
        <w:tc>
          <w:tcPr>
            <w:tcW w:w="2745" w:type="dxa"/>
          </w:tcPr>
          <w:p w:rsidR="00B16696" w:rsidRPr="00CF5008" w:rsidRDefault="00B16696" w:rsidP="00AA2D0C">
            <w:pPr>
              <w:pStyle w:val="ListParagraph"/>
              <w:numPr>
                <w:ilvl w:val="0"/>
                <w:numId w:val="36"/>
              </w:numPr>
              <w:spacing w:line="240" w:lineRule="auto"/>
              <w:ind w:left="176" w:hanging="142"/>
              <w:jc w:val="both"/>
              <w:rPr>
                <w:sz w:val="22"/>
                <w:szCs w:val="22"/>
              </w:rPr>
            </w:pPr>
            <w:r w:rsidRPr="00CF5008">
              <w:rPr>
                <w:sz w:val="22"/>
                <w:szCs w:val="22"/>
              </w:rPr>
              <w:t>Part-time – from $320 p.m.</w:t>
            </w:r>
          </w:p>
          <w:p w:rsidR="00B16696" w:rsidRPr="00CF5008" w:rsidRDefault="00B16696" w:rsidP="00AA2D0C">
            <w:pPr>
              <w:pStyle w:val="ListParagraph"/>
              <w:numPr>
                <w:ilvl w:val="0"/>
                <w:numId w:val="36"/>
              </w:numPr>
              <w:spacing w:line="240" w:lineRule="auto"/>
              <w:ind w:left="176" w:hanging="142"/>
              <w:jc w:val="both"/>
              <w:rPr>
                <w:sz w:val="22"/>
                <w:szCs w:val="22"/>
              </w:rPr>
            </w:pPr>
            <w:r w:rsidRPr="00CF5008">
              <w:rPr>
                <w:sz w:val="22"/>
                <w:szCs w:val="22"/>
              </w:rPr>
              <w:t xml:space="preserve">Full-time – from $450 p.m. </w:t>
            </w:r>
          </w:p>
        </w:tc>
      </w:tr>
    </w:tbl>
    <w:p w:rsidR="005632E7" w:rsidRPr="00CF5008" w:rsidRDefault="00B5308B" w:rsidP="004F2491">
      <w:pPr>
        <w:spacing w:line="360" w:lineRule="auto"/>
        <w:jc w:val="both"/>
      </w:pPr>
      <w:r w:rsidRPr="00CF5008">
        <w:t>Source:  Authors</w:t>
      </w:r>
    </w:p>
    <w:p w:rsidR="00B6094C" w:rsidRPr="00CF5008" w:rsidRDefault="00B6094C" w:rsidP="00B5308B">
      <w:pPr>
        <w:spacing w:line="360" w:lineRule="auto"/>
        <w:jc w:val="both"/>
        <w:rPr>
          <w:highlight w:val="yellow"/>
        </w:rPr>
      </w:pPr>
    </w:p>
    <w:p w:rsidR="00B5308B" w:rsidRPr="00CF5008" w:rsidRDefault="00B5308B" w:rsidP="00B5308B">
      <w:pPr>
        <w:spacing w:line="360" w:lineRule="auto"/>
        <w:jc w:val="both"/>
      </w:pPr>
      <w:r w:rsidRPr="00CF5008">
        <w:t xml:space="preserve">As indicated above in Table 1, the membership fees vary significantly with the quality and location of the </w:t>
      </w:r>
      <w:proofErr w:type="spellStart"/>
      <w:r w:rsidRPr="00CF5008">
        <w:t>coworking</w:t>
      </w:r>
      <w:proofErr w:type="spellEnd"/>
      <w:r w:rsidRPr="00CF5008">
        <w:t xml:space="preserve"> spaces. For instance, locations in the CBD or within</w:t>
      </w:r>
      <w:r w:rsidR="00CF5008" w:rsidRPr="00CF5008">
        <w:t xml:space="preserve"> </w:t>
      </w:r>
      <w:r w:rsidRPr="00CF5008">
        <w:t>two kilometre CBD proximity, advertise higher prices.  There is also a competitive standard including benefits such as private offices, dedicated desks, flexi desks and access to meeting rooms.</w:t>
      </w:r>
      <w:r w:rsidR="00CF5008" w:rsidRPr="00CF5008">
        <w:t xml:space="preserve"> </w:t>
      </w:r>
      <w:r w:rsidRPr="00CF5008">
        <w:t>And a variety of locations offer increased access to other amenities such as gyms, showers, onsite cafés, childcare centres, shared spaces, event spaces and wellness rooms. These</w:t>
      </w:r>
      <w:r w:rsidR="003403AB" w:rsidRPr="00CF5008">
        <w:t xml:space="preserve"> </w:t>
      </w:r>
      <w:proofErr w:type="spellStart"/>
      <w:r w:rsidR="003403AB" w:rsidRPr="00CF5008">
        <w:t>coworking</w:t>
      </w:r>
      <w:proofErr w:type="spellEnd"/>
      <w:r w:rsidRPr="00CF5008">
        <w:t xml:space="preserve"> spaces distinguish themselves from serviced offices by offering social and collaborative spaces, knowledge sharing environments, networking events to promote interaction, along with one-to-one educational sessions with industry leaders with the intention of increasing the sense of belonging and community. </w:t>
      </w:r>
      <w:r w:rsidR="003403AB" w:rsidRPr="00CF5008">
        <w:t>The m</w:t>
      </w:r>
      <w:r w:rsidRPr="00CF5008">
        <w:t xml:space="preserve">ajority of the providers </w:t>
      </w:r>
      <w:r w:rsidR="003403AB" w:rsidRPr="00CF5008">
        <w:t xml:space="preserve">analysed above in Table 1, </w:t>
      </w:r>
      <w:r w:rsidRPr="00CF5008">
        <w:t>focus on start-up businesses, creative industries and freelancers as their target market</w:t>
      </w:r>
      <w:r w:rsidR="003403AB" w:rsidRPr="00CF5008">
        <w:t>;</w:t>
      </w:r>
      <w:r w:rsidRPr="00CF5008">
        <w:t xml:space="preserve"> </w:t>
      </w:r>
      <w:r w:rsidR="003403AB" w:rsidRPr="00CF5008">
        <w:t xml:space="preserve">and </w:t>
      </w:r>
      <w:r w:rsidR="003403AB" w:rsidRPr="00CF5008">
        <w:rPr>
          <w:i/>
        </w:rPr>
        <w:t>One Roof Women</w:t>
      </w:r>
      <w:r w:rsidR="003403AB" w:rsidRPr="00CF5008">
        <w:t xml:space="preserve"> aim </w:t>
      </w:r>
      <w:r w:rsidRPr="00CF5008">
        <w:t>for</w:t>
      </w:r>
      <w:r w:rsidR="003403AB" w:rsidRPr="00CF5008">
        <w:t xml:space="preserve"> a more specific group</w:t>
      </w:r>
      <w:r w:rsidRPr="00CF5008">
        <w:t xml:space="preserve"> such as </w:t>
      </w:r>
      <w:r w:rsidR="003403AB" w:rsidRPr="00CF5008">
        <w:t xml:space="preserve">a </w:t>
      </w:r>
      <w:r w:rsidRPr="00CF5008">
        <w:t>women-led business. All space providers have property personnel on their teams to lead</w:t>
      </w:r>
      <w:r w:rsidR="003403AB" w:rsidRPr="00CF5008">
        <w:t xml:space="preserve"> and manage</w:t>
      </w:r>
      <w:r w:rsidRPr="00CF5008">
        <w:t xml:space="preserve"> leasing, landlord and tenant relations, operations and marketing.</w:t>
      </w:r>
    </w:p>
    <w:p w:rsidR="00B5308B" w:rsidRDefault="00B5308B" w:rsidP="00930DB8">
      <w:pPr>
        <w:spacing w:line="360" w:lineRule="auto"/>
        <w:jc w:val="both"/>
      </w:pPr>
    </w:p>
    <w:p w:rsidR="00C432CA" w:rsidRPr="00865E35" w:rsidRDefault="000F07DD" w:rsidP="00930DB8">
      <w:pPr>
        <w:spacing w:line="360" w:lineRule="auto"/>
        <w:jc w:val="both"/>
      </w:pPr>
      <w:r w:rsidRPr="00CF5008">
        <w:t xml:space="preserve">Many landlords are being challenged by </w:t>
      </w:r>
      <w:r w:rsidR="00487EFD" w:rsidRPr="00CF5008">
        <w:t xml:space="preserve">the proliferation of the </w:t>
      </w:r>
      <w:proofErr w:type="spellStart"/>
      <w:r w:rsidR="00487EFD" w:rsidRPr="00CF5008">
        <w:t>coworking</w:t>
      </w:r>
      <w:proofErr w:type="spellEnd"/>
      <w:r w:rsidR="00487EFD" w:rsidRPr="00CF5008">
        <w:t xml:space="preserve"> industry as it has significant implications on the </w:t>
      </w:r>
      <w:r w:rsidR="00CE215B" w:rsidRPr="00CF5008">
        <w:t xml:space="preserve">traditional office format and leasing models. </w:t>
      </w:r>
      <w:r w:rsidR="006D0592" w:rsidRPr="00CF5008">
        <w:t xml:space="preserve">The </w:t>
      </w:r>
      <w:r w:rsidR="004B5AB9" w:rsidRPr="00CF5008">
        <w:t xml:space="preserve">next section of the paper discusses the </w:t>
      </w:r>
      <w:r w:rsidR="00CE215B" w:rsidRPr="00CF5008">
        <w:t xml:space="preserve">opportunities and challenges created by this new space phenomenon </w:t>
      </w:r>
      <w:r w:rsidR="004B5AB9" w:rsidRPr="00CF5008">
        <w:t xml:space="preserve">as opposed to the </w:t>
      </w:r>
      <w:r w:rsidR="00CE215B" w:rsidRPr="00CF5008">
        <w:t>traditional office landlords.</w:t>
      </w:r>
      <w:r w:rsidR="00CE215B" w:rsidRPr="00865E35">
        <w:t xml:space="preserve"> </w:t>
      </w:r>
      <w:r w:rsidR="00C432CA" w:rsidRPr="00865E35">
        <w:t xml:space="preserve"> </w:t>
      </w:r>
    </w:p>
    <w:p w:rsidR="00C432CA" w:rsidRPr="00865E35" w:rsidRDefault="00C432CA" w:rsidP="004F2491">
      <w:pPr>
        <w:spacing w:line="360" w:lineRule="auto"/>
        <w:jc w:val="both"/>
      </w:pPr>
    </w:p>
    <w:p w:rsidR="009C1410" w:rsidRDefault="00C432CA" w:rsidP="004F2491">
      <w:pPr>
        <w:spacing w:line="360" w:lineRule="auto"/>
        <w:jc w:val="both"/>
        <w:rPr>
          <w:b/>
          <w:i/>
        </w:rPr>
      </w:pPr>
      <w:r w:rsidRPr="00865E35">
        <w:rPr>
          <w:b/>
          <w:i/>
        </w:rPr>
        <w:t xml:space="preserve"> </w:t>
      </w:r>
    </w:p>
    <w:p w:rsidR="009C1410" w:rsidRDefault="009C1410" w:rsidP="004F2491">
      <w:pPr>
        <w:spacing w:line="360" w:lineRule="auto"/>
        <w:jc w:val="both"/>
        <w:rPr>
          <w:b/>
          <w:i/>
        </w:rPr>
      </w:pPr>
    </w:p>
    <w:p w:rsidR="009C1410" w:rsidRDefault="009C1410" w:rsidP="004F2491">
      <w:pPr>
        <w:spacing w:line="360" w:lineRule="auto"/>
        <w:jc w:val="both"/>
        <w:rPr>
          <w:b/>
          <w:i/>
        </w:rPr>
      </w:pPr>
    </w:p>
    <w:p w:rsidR="00E549BD" w:rsidRPr="00865E35" w:rsidRDefault="00E549BD" w:rsidP="004F2491">
      <w:pPr>
        <w:spacing w:line="360" w:lineRule="auto"/>
        <w:jc w:val="both"/>
        <w:rPr>
          <w:b/>
          <w:i/>
        </w:rPr>
      </w:pPr>
      <w:r w:rsidRPr="00865E35">
        <w:rPr>
          <w:b/>
          <w:i/>
        </w:rPr>
        <w:lastRenderedPageBreak/>
        <w:t>Opportunities</w:t>
      </w:r>
      <w:r w:rsidR="002F0547" w:rsidRPr="00865E35">
        <w:rPr>
          <w:b/>
          <w:i/>
        </w:rPr>
        <w:t xml:space="preserve"> to office landlords</w:t>
      </w:r>
      <w:r w:rsidRPr="00865E35">
        <w:rPr>
          <w:b/>
          <w:i/>
        </w:rPr>
        <w:t xml:space="preserve"> </w:t>
      </w:r>
    </w:p>
    <w:p w:rsidR="00E549BD" w:rsidRPr="00865E35" w:rsidRDefault="00E549BD" w:rsidP="004F2491">
      <w:pPr>
        <w:spacing w:line="360" w:lineRule="auto"/>
        <w:jc w:val="both"/>
        <w:rPr>
          <w:b/>
        </w:rPr>
      </w:pPr>
    </w:p>
    <w:p w:rsidR="00E70D6D" w:rsidRPr="00CF5008" w:rsidRDefault="00964864" w:rsidP="002E55CE">
      <w:pPr>
        <w:spacing w:line="360" w:lineRule="auto"/>
        <w:jc w:val="both"/>
        <w:rPr>
          <w:lang w:val="en-AU"/>
        </w:rPr>
      </w:pPr>
      <w:r w:rsidRPr="00865E35">
        <w:rPr>
          <w:lang w:val="en-AU"/>
        </w:rPr>
        <w:t xml:space="preserve">There </w:t>
      </w:r>
      <w:r w:rsidR="00F82FCF" w:rsidRPr="00865E35">
        <w:rPr>
          <w:lang w:val="en-AU"/>
        </w:rPr>
        <w:t xml:space="preserve">are a number of </w:t>
      </w:r>
      <w:r w:rsidR="004704B1" w:rsidRPr="00865E35">
        <w:rPr>
          <w:lang w:val="en-AU"/>
        </w:rPr>
        <w:t>strategies for landlords to enter th</w:t>
      </w:r>
      <w:r w:rsidRPr="00865E35">
        <w:rPr>
          <w:lang w:val="en-AU"/>
        </w:rPr>
        <w:t xml:space="preserve">is emerging </w:t>
      </w:r>
      <w:r w:rsidR="004704B1" w:rsidRPr="00865E35">
        <w:rPr>
          <w:lang w:val="en-AU"/>
        </w:rPr>
        <w:t>market. These include</w:t>
      </w:r>
      <w:r w:rsidR="00F82FCF" w:rsidRPr="00865E35">
        <w:rPr>
          <w:lang w:val="en-AU"/>
        </w:rPr>
        <w:t xml:space="preserve"> – leasing space </w:t>
      </w:r>
      <w:r w:rsidR="004704B1" w:rsidRPr="00865E35">
        <w:rPr>
          <w:lang w:val="en-AU"/>
        </w:rPr>
        <w:t xml:space="preserve">to </w:t>
      </w:r>
      <w:proofErr w:type="spellStart"/>
      <w:r w:rsidR="004704B1" w:rsidRPr="00865E35">
        <w:rPr>
          <w:lang w:val="en-AU"/>
        </w:rPr>
        <w:t>coworking</w:t>
      </w:r>
      <w:proofErr w:type="spellEnd"/>
      <w:r w:rsidR="004704B1" w:rsidRPr="00865E35">
        <w:rPr>
          <w:lang w:val="en-AU"/>
        </w:rPr>
        <w:t xml:space="preserve"> operators,</w:t>
      </w:r>
      <w:r w:rsidR="00F82FCF" w:rsidRPr="00865E35">
        <w:rPr>
          <w:lang w:val="en-AU"/>
        </w:rPr>
        <w:t xml:space="preserve"> entering the </w:t>
      </w:r>
      <w:r w:rsidR="004704B1" w:rsidRPr="00865E35">
        <w:rPr>
          <w:lang w:val="en-AU"/>
        </w:rPr>
        <w:t xml:space="preserve">market directly by </w:t>
      </w:r>
      <w:r w:rsidR="00F82FCF" w:rsidRPr="00865E35">
        <w:rPr>
          <w:lang w:val="en-AU"/>
        </w:rPr>
        <w:t xml:space="preserve">developing their own </w:t>
      </w:r>
      <w:proofErr w:type="spellStart"/>
      <w:r w:rsidR="00F82FCF" w:rsidRPr="005C73C1">
        <w:rPr>
          <w:color w:val="FF0000"/>
          <w:lang w:val="en-AU"/>
        </w:rPr>
        <w:t>coworking</w:t>
      </w:r>
      <w:proofErr w:type="spellEnd"/>
      <w:r w:rsidR="00F82FCF" w:rsidRPr="00865E35">
        <w:rPr>
          <w:lang w:val="en-AU"/>
        </w:rPr>
        <w:t xml:space="preserve"> platforms</w:t>
      </w:r>
      <w:r w:rsidRPr="00865E35">
        <w:rPr>
          <w:lang w:val="en-AU"/>
        </w:rPr>
        <w:t>,</w:t>
      </w:r>
      <w:r w:rsidR="00F82FCF" w:rsidRPr="00865E35">
        <w:rPr>
          <w:lang w:val="en-AU"/>
        </w:rPr>
        <w:t xml:space="preserve"> or partnering with </w:t>
      </w:r>
      <w:proofErr w:type="spellStart"/>
      <w:r w:rsidR="00F82FCF" w:rsidRPr="00865E35">
        <w:rPr>
          <w:lang w:val="en-AU"/>
        </w:rPr>
        <w:t>coworking</w:t>
      </w:r>
      <w:proofErr w:type="spellEnd"/>
      <w:r w:rsidR="00F82FCF" w:rsidRPr="00865E35">
        <w:rPr>
          <w:lang w:val="en-AU"/>
        </w:rPr>
        <w:t xml:space="preserve"> operators to </w:t>
      </w:r>
      <w:r w:rsidR="00F82FCF" w:rsidRPr="00CF5008">
        <w:rPr>
          <w:lang w:val="en-AU"/>
        </w:rPr>
        <w:t xml:space="preserve">develop </w:t>
      </w:r>
      <w:proofErr w:type="spellStart"/>
      <w:r w:rsidR="00F82FCF" w:rsidRPr="00CF5008">
        <w:rPr>
          <w:lang w:val="en-AU"/>
        </w:rPr>
        <w:t>coworking</w:t>
      </w:r>
      <w:proofErr w:type="spellEnd"/>
      <w:r w:rsidR="00F82FCF" w:rsidRPr="00CF5008">
        <w:rPr>
          <w:lang w:val="en-AU"/>
        </w:rPr>
        <w:t xml:space="preserve"> spaces. </w:t>
      </w:r>
    </w:p>
    <w:p w:rsidR="00E70D6D" w:rsidRPr="00CF5008" w:rsidRDefault="00E70D6D" w:rsidP="002E55CE">
      <w:pPr>
        <w:spacing w:line="360" w:lineRule="auto"/>
        <w:jc w:val="both"/>
        <w:rPr>
          <w:lang w:val="en-AU"/>
        </w:rPr>
      </w:pPr>
    </w:p>
    <w:p w:rsidR="00C10441" w:rsidRPr="00CF5008" w:rsidRDefault="00E70D6D" w:rsidP="002E55CE">
      <w:pPr>
        <w:spacing w:line="360" w:lineRule="auto"/>
        <w:jc w:val="both"/>
        <w:rPr>
          <w:lang w:val="en-AU"/>
        </w:rPr>
      </w:pPr>
      <w:r w:rsidRPr="00CF5008">
        <w:rPr>
          <w:lang w:val="en-AU"/>
        </w:rPr>
        <w:t xml:space="preserve">The first strategy which is leasing space to </w:t>
      </w:r>
      <w:proofErr w:type="spellStart"/>
      <w:r w:rsidRPr="00CF5008">
        <w:rPr>
          <w:lang w:val="en-AU"/>
        </w:rPr>
        <w:t>coworking</w:t>
      </w:r>
      <w:proofErr w:type="spellEnd"/>
      <w:r w:rsidRPr="00CF5008">
        <w:rPr>
          <w:lang w:val="en-AU"/>
        </w:rPr>
        <w:t xml:space="preserve"> providers </w:t>
      </w:r>
      <w:r w:rsidR="007F6070" w:rsidRPr="00CF5008">
        <w:rPr>
          <w:lang w:val="en-AU"/>
        </w:rPr>
        <w:t xml:space="preserve">has several benefits for landlords, particularly landlords who own less desirable office properties. </w:t>
      </w:r>
      <w:r w:rsidR="00C10441" w:rsidRPr="00CF5008">
        <w:rPr>
          <w:lang w:val="en-AU"/>
        </w:rPr>
        <w:t>As shown in Figure 1</w:t>
      </w:r>
      <w:r w:rsidR="004E69EA" w:rsidRPr="00CF5008">
        <w:rPr>
          <w:lang w:val="en-AU"/>
        </w:rPr>
        <w:t xml:space="preserve"> below</w:t>
      </w:r>
      <w:r w:rsidR="00C10441" w:rsidRPr="00CF5008">
        <w:rPr>
          <w:lang w:val="en-AU"/>
        </w:rPr>
        <w:t>, approximately 80% o</w:t>
      </w:r>
      <w:r w:rsidR="00982236" w:rsidRPr="00CF5008">
        <w:rPr>
          <w:lang w:val="en-AU"/>
        </w:rPr>
        <w:t xml:space="preserve">f </w:t>
      </w:r>
      <w:proofErr w:type="spellStart"/>
      <w:r w:rsidR="00982236" w:rsidRPr="00CF5008">
        <w:rPr>
          <w:lang w:val="en-AU"/>
        </w:rPr>
        <w:t>coworking</w:t>
      </w:r>
      <w:proofErr w:type="spellEnd"/>
      <w:r w:rsidR="00982236" w:rsidRPr="00CF5008">
        <w:rPr>
          <w:lang w:val="en-AU"/>
        </w:rPr>
        <w:t xml:space="preserve"> spaces in the Melbourne are located in the fringe or decentralised areas where tenant demand is lower</w:t>
      </w:r>
      <w:r w:rsidRPr="00CF5008">
        <w:rPr>
          <w:lang w:val="en-AU"/>
        </w:rPr>
        <w:t xml:space="preserve"> and rents are cheaper</w:t>
      </w:r>
      <w:r w:rsidR="00982236" w:rsidRPr="00CF5008">
        <w:rPr>
          <w:lang w:val="en-AU"/>
        </w:rPr>
        <w:t xml:space="preserve">. </w:t>
      </w:r>
      <w:r w:rsidR="004E69EA" w:rsidRPr="00CF5008">
        <w:rPr>
          <w:lang w:val="en-AU"/>
        </w:rPr>
        <w:t xml:space="preserve">However, </w:t>
      </w:r>
      <w:r w:rsidR="005F2C77" w:rsidRPr="00CF5008">
        <w:rPr>
          <w:lang w:val="en-AU"/>
        </w:rPr>
        <w:t>Table 1</w:t>
      </w:r>
      <w:r w:rsidR="004E69EA" w:rsidRPr="00CF5008">
        <w:rPr>
          <w:lang w:val="en-AU"/>
        </w:rPr>
        <w:t xml:space="preserve"> above</w:t>
      </w:r>
      <w:r w:rsidR="005F2C77" w:rsidRPr="00CF5008">
        <w:rPr>
          <w:lang w:val="en-AU"/>
        </w:rPr>
        <w:t xml:space="preserve"> </w:t>
      </w:r>
      <w:r w:rsidR="004E69EA" w:rsidRPr="00CF5008">
        <w:rPr>
          <w:lang w:val="en-AU"/>
        </w:rPr>
        <w:t>indicates 58.33% o</w:t>
      </w:r>
      <w:r w:rsidR="005F2C77" w:rsidRPr="00CF5008">
        <w:rPr>
          <w:lang w:val="en-AU"/>
        </w:rPr>
        <w:t xml:space="preserve">f </w:t>
      </w:r>
      <w:proofErr w:type="spellStart"/>
      <w:r w:rsidR="005F2C77" w:rsidRPr="00CF5008">
        <w:rPr>
          <w:lang w:val="en-AU"/>
        </w:rPr>
        <w:t>coworking</w:t>
      </w:r>
      <w:proofErr w:type="spellEnd"/>
      <w:r w:rsidR="005F2C77" w:rsidRPr="00CF5008">
        <w:rPr>
          <w:lang w:val="en-AU"/>
        </w:rPr>
        <w:t xml:space="preserve"> providers in the study sample are located in the CBD fringe area. </w:t>
      </w:r>
      <w:r w:rsidR="00E344BD" w:rsidRPr="00CF5008">
        <w:rPr>
          <w:lang w:val="en-AU"/>
        </w:rPr>
        <w:t>M</w:t>
      </w:r>
      <w:r w:rsidR="00B71136" w:rsidRPr="00CF5008">
        <w:rPr>
          <w:lang w:val="en-AU"/>
        </w:rPr>
        <w:t>ost of these s</w:t>
      </w:r>
      <w:r w:rsidR="00982236" w:rsidRPr="00CF5008">
        <w:rPr>
          <w:lang w:val="en-AU"/>
        </w:rPr>
        <w:t>paces are located in older, secondary grade office buildings with floor plates that are har</w:t>
      </w:r>
      <w:r w:rsidR="008C6FAE" w:rsidRPr="00CF5008">
        <w:rPr>
          <w:lang w:val="en-AU"/>
        </w:rPr>
        <w:t xml:space="preserve">d to lease for </w:t>
      </w:r>
      <w:r w:rsidR="00B71136" w:rsidRPr="00CF5008">
        <w:rPr>
          <w:lang w:val="en-AU"/>
        </w:rPr>
        <w:t>corporate t</w:t>
      </w:r>
      <w:r w:rsidR="008C6FAE" w:rsidRPr="00CF5008">
        <w:rPr>
          <w:lang w:val="en-AU"/>
        </w:rPr>
        <w:t>enants</w:t>
      </w:r>
      <w:r w:rsidR="00B71136" w:rsidRPr="00CF5008">
        <w:rPr>
          <w:lang w:val="en-AU"/>
        </w:rPr>
        <w:t xml:space="preserve"> or in </w:t>
      </w:r>
      <w:r w:rsidR="005F7715" w:rsidRPr="00CF5008">
        <w:rPr>
          <w:lang w:val="en-AU"/>
        </w:rPr>
        <w:t>converted warehouses</w:t>
      </w:r>
      <w:r w:rsidR="00E344BD" w:rsidRPr="00CF5008">
        <w:rPr>
          <w:lang w:val="en-AU"/>
        </w:rPr>
        <w:t xml:space="preserve"> and </w:t>
      </w:r>
      <w:r w:rsidR="005F7715" w:rsidRPr="00CF5008">
        <w:rPr>
          <w:lang w:val="en-AU"/>
        </w:rPr>
        <w:t>factories</w:t>
      </w:r>
      <w:r w:rsidR="00F268E8" w:rsidRPr="00CF5008">
        <w:rPr>
          <w:lang w:val="en-AU"/>
        </w:rPr>
        <w:t>.</w:t>
      </w:r>
      <w:r w:rsidR="002E55CE" w:rsidRPr="00CF5008">
        <w:rPr>
          <w:lang w:val="en-AU"/>
        </w:rPr>
        <w:t xml:space="preserve"> In addition, some traditional industrial areas closer to the city have been revitalized into commercial hubs by introducing </w:t>
      </w:r>
      <w:proofErr w:type="spellStart"/>
      <w:r w:rsidR="002E55CE" w:rsidRPr="00CF5008">
        <w:rPr>
          <w:lang w:val="en-AU"/>
        </w:rPr>
        <w:t>coworking</w:t>
      </w:r>
      <w:proofErr w:type="spellEnd"/>
      <w:r w:rsidR="002E55CE" w:rsidRPr="00CF5008">
        <w:rPr>
          <w:lang w:val="en-AU"/>
        </w:rPr>
        <w:t xml:space="preserve"> spaces </w:t>
      </w:r>
      <w:r w:rsidR="005F2C77" w:rsidRPr="00CF5008">
        <w:rPr>
          <w:lang w:val="en-AU"/>
        </w:rPr>
        <w:t xml:space="preserve">targeting </w:t>
      </w:r>
      <w:r w:rsidR="002E55CE" w:rsidRPr="00CF5008">
        <w:rPr>
          <w:lang w:val="en-AU"/>
        </w:rPr>
        <w:t xml:space="preserve">technology and creative industries.  </w:t>
      </w:r>
      <w:r w:rsidR="005F7715" w:rsidRPr="00CF5008">
        <w:rPr>
          <w:lang w:val="en-AU"/>
        </w:rPr>
        <w:t xml:space="preserve"> </w:t>
      </w:r>
    </w:p>
    <w:p w:rsidR="00C10441" w:rsidRDefault="00C10441" w:rsidP="005F7715">
      <w:pPr>
        <w:spacing w:line="360" w:lineRule="auto"/>
        <w:jc w:val="both"/>
        <w:rPr>
          <w:lang w:val="en-AU"/>
        </w:rPr>
      </w:pPr>
    </w:p>
    <w:p w:rsidR="00C10441" w:rsidRPr="00CF5008" w:rsidRDefault="00C10441" w:rsidP="005F7715">
      <w:pPr>
        <w:spacing w:line="360" w:lineRule="auto"/>
        <w:jc w:val="both"/>
        <w:rPr>
          <w:lang w:val="en-AU"/>
        </w:rPr>
      </w:pPr>
      <w:r w:rsidRPr="00CF5008">
        <w:rPr>
          <w:lang w:val="en-AU"/>
        </w:rPr>
        <w:t xml:space="preserve">Figure 1: Submarkets of </w:t>
      </w:r>
      <w:proofErr w:type="spellStart"/>
      <w:r w:rsidRPr="00CF5008">
        <w:rPr>
          <w:lang w:val="en-AU"/>
        </w:rPr>
        <w:t>coworking</w:t>
      </w:r>
      <w:proofErr w:type="spellEnd"/>
      <w:r w:rsidRPr="00CF5008">
        <w:rPr>
          <w:lang w:val="en-AU"/>
        </w:rPr>
        <w:t xml:space="preserve"> in Melbourne </w:t>
      </w:r>
    </w:p>
    <w:p w:rsidR="00C10441" w:rsidRPr="00865E35" w:rsidRDefault="00C10441" w:rsidP="005F7715">
      <w:pPr>
        <w:spacing w:line="360" w:lineRule="auto"/>
        <w:jc w:val="both"/>
        <w:rPr>
          <w:lang w:val="en-AU"/>
        </w:rPr>
      </w:pPr>
    </w:p>
    <w:p w:rsidR="00C10441" w:rsidRPr="00865E35" w:rsidRDefault="00C10441" w:rsidP="005F7715">
      <w:pPr>
        <w:spacing w:line="360" w:lineRule="auto"/>
        <w:jc w:val="both"/>
        <w:rPr>
          <w:lang w:val="en-AU"/>
        </w:rPr>
      </w:pPr>
      <w:r w:rsidRPr="00865E35">
        <w:rPr>
          <w:noProof/>
          <w:lang w:val="en-AU" w:eastAsia="en-AU"/>
        </w:rPr>
        <w:drawing>
          <wp:inline distT="0" distB="0" distL="0" distR="0">
            <wp:extent cx="5193792" cy="2987179"/>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6471" cy="2988720"/>
                    </a:xfrm>
                    <a:prstGeom prst="rect">
                      <a:avLst/>
                    </a:prstGeom>
                    <a:noFill/>
                  </pic:spPr>
                </pic:pic>
              </a:graphicData>
            </a:graphic>
          </wp:inline>
        </w:drawing>
      </w:r>
    </w:p>
    <w:p w:rsidR="00C10441" w:rsidRPr="00865E35" w:rsidRDefault="00C10441" w:rsidP="005F7715">
      <w:pPr>
        <w:spacing w:line="360" w:lineRule="auto"/>
        <w:jc w:val="both"/>
        <w:rPr>
          <w:sz w:val="22"/>
          <w:szCs w:val="22"/>
          <w:lang w:val="en-AU"/>
        </w:rPr>
      </w:pPr>
      <w:r w:rsidRPr="00865E35">
        <w:rPr>
          <w:sz w:val="22"/>
          <w:szCs w:val="22"/>
          <w:lang w:val="en-AU"/>
        </w:rPr>
        <w:t>Source: Knight Frank, 2016</w:t>
      </w:r>
    </w:p>
    <w:p w:rsidR="00C10441" w:rsidRPr="00865E35" w:rsidRDefault="00C10441" w:rsidP="005F7715">
      <w:pPr>
        <w:spacing w:line="360" w:lineRule="auto"/>
        <w:jc w:val="both"/>
        <w:rPr>
          <w:lang w:val="en-AU"/>
        </w:rPr>
      </w:pPr>
    </w:p>
    <w:p w:rsidR="0021125B" w:rsidRPr="00CF5008" w:rsidRDefault="001131EB" w:rsidP="005F7715">
      <w:pPr>
        <w:spacing w:line="360" w:lineRule="auto"/>
        <w:jc w:val="both"/>
      </w:pPr>
      <w:r w:rsidRPr="00CF5008">
        <w:rPr>
          <w:lang w:val="en-AU"/>
        </w:rPr>
        <w:lastRenderedPageBreak/>
        <w:t xml:space="preserve">Instead of negotiating rental discounts with individual tenants, landlords are able to lease </w:t>
      </w:r>
      <w:r w:rsidR="00E344BD" w:rsidRPr="00CF5008">
        <w:rPr>
          <w:lang w:val="en-AU"/>
        </w:rPr>
        <w:t xml:space="preserve">these </w:t>
      </w:r>
      <w:r w:rsidRPr="00CF5008">
        <w:rPr>
          <w:lang w:val="en-AU"/>
        </w:rPr>
        <w:t xml:space="preserve">spaces to </w:t>
      </w:r>
      <w:proofErr w:type="spellStart"/>
      <w:r w:rsidRPr="00CF5008">
        <w:rPr>
          <w:lang w:val="en-AU"/>
        </w:rPr>
        <w:t>coworking</w:t>
      </w:r>
      <w:proofErr w:type="spellEnd"/>
      <w:r w:rsidRPr="00CF5008">
        <w:rPr>
          <w:lang w:val="en-AU"/>
        </w:rPr>
        <w:t xml:space="preserve"> operators who bring credibility to buildings. </w:t>
      </w:r>
      <w:proofErr w:type="spellStart"/>
      <w:r w:rsidR="008C6FAE" w:rsidRPr="00CF5008">
        <w:rPr>
          <w:lang w:val="en-AU"/>
        </w:rPr>
        <w:t>Coworking</w:t>
      </w:r>
      <w:proofErr w:type="spellEnd"/>
      <w:r w:rsidR="008C6FAE" w:rsidRPr="00CF5008">
        <w:rPr>
          <w:lang w:val="en-AU"/>
        </w:rPr>
        <w:t xml:space="preserve"> spaces are therefore particularly attractive to landlords with underperforming</w:t>
      </w:r>
      <w:r w:rsidR="00E344BD" w:rsidRPr="00CF5008">
        <w:rPr>
          <w:lang w:val="en-AU"/>
        </w:rPr>
        <w:t xml:space="preserve"> or </w:t>
      </w:r>
      <w:r w:rsidR="008C6FAE" w:rsidRPr="00CF5008">
        <w:rPr>
          <w:lang w:val="en-AU"/>
        </w:rPr>
        <w:t>underutilised assets located in less desirable areas</w:t>
      </w:r>
      <w:r w:rsidR="00E70D6D" w:rsidRPr="00CF5008">
        <w:rPr>
          <w:lang w:val="en-AU"/>
        </w:rPr>
        <w:t xml:space="preserve"> as they allow landlords to improve their financial performance</w:t>
      </w:r>
      <w:r w:rsidR="00343F60" w:rsidRPr="00CF5008">
        <w:rPr>
          <w:lang w:val="en-AU"/>
        </w:rPr>
        <w:t xml:space="preserve">. </w:t>
      </w:r>
      <w:proofErr w:type="spellStart"/>
      <w:r w:rsidR="00967B6F" w:rsidRPr="00CF5008">
        <w:t>Coworking</w:t>
      </w:r>
      <w:proofErr w:type="spellEnd"/>
      <w:r w:rsidR="00967B6F" w:rsidRPr="00CF5008">
        <w:t xml:space="preserve"> practice </w:t>
      </w:r>
      <w:r w:rsidR="003D1792" w:rsidRPr="00CF5008">
        <w:t>may also offer</w:t>
      </w:r>
      <w:r w:rsidR="009F3C71" w:rsidRPr="00CF5008">
        <w:t xml:space="preserve"> </w:t>
      </w:r>
      <w:r w:rsidR="00967B6F" w:rsidRPr="00CF5008">
        <w:t>lower tenant improvement and fit</w:t>
      </w:r>
      <w:r w:rsidR="00E344BD" w:rsidRPr="00CF5008">
        <w:t>-</w:t>
      </w:r>
      <w:r w:rsidR="00967B6F" w:rsidRPr="00CF5008">
        <w:t xml:space="preserve">out costs as many </w:t>
      </w:r>
      <w:proofErr w:type="spellStart"/>
      <w:r w:rsidR="003D1792" w:rsidRPr="00CF5008">
        <w:t>coworking</w:t>
      </w:r>
      <w:proofErr w:type="spellEnd"/>
      <w:r w:rsidR="003D1792" w:rsidRPr="00CF5008">
        <w:t xml:space="preserve"> operators prefer</w:t>
      </w:r>
      <w:r w:rsidR="009F3C71" w:rsidRPr="00CF5008">
        <w:t xml:space="preserve"> </w:t>
      </w:r>
      <w:r w:rsidR="003D1792" w:rsidRPr="00CF5008">
        <w:t xml:space="preserve">to </w:t>
      </w:r>
      <w:r w:rsidR="00967B6F" w:rsidRPr="00CF5008">
        <w:t>lease a ‘blank canvas’ where they are able to rearrange the premises to meet their specific requirements and preferred fit-outs.</w:t>
      </w:r>
      <w:r w:rsidR="005F2C77" w:rsidRPr="00CF5008">
        <w:t xml:space="preserve"> However, with the increasing demand, the next phase of </w:t>
      </w:r>
      <w:proofErr w:type="spellStart"/>
      <w:r w:rsidR="005F2C77" w:rsidRPr="00CF5008">
        <w:t>coworking</w:t>
      </w:r>
      <w:proofErr w:type="spellEnd"/>
      <w:r w:rsidR="005F2C77" w:rsidRPr="00CF5008">
        <w:t xml:space="preserve"> </w:t>
      </w:r>
      <w:r w:rsidR="00131D2D" w:rsidRPr="00CF5008">
        <w:t>may possibly encourage</w:t>
      </w:r>
      <w:r w:rsidR="005F2C77" w:rsidRPr="00CF5008">
        <w:t xml:space="preserve"> </w:t>
      </w:r>
      <w:proofErr w:type="spellStart"/>
      <w:r w:rsidR="005F2C77" w:rsidRPr="00CF5008">
        <w:t>coworking</w:t>
      </w:r>
      <w:proofErr w:type="spellEnd"/>
      <w:r w:rsidR="005F2C77" w:rsidRPr="00CF5008">
        <w:t xml:space="preserve"> operators </w:t>
      </w:r>
      <w:r w:rsidR="00131D2D" w:rsidRPr="00CF5008">
        <w:t>to move</w:t>
      </w:r>
      <w:r w:rsidR="005F2C77" w:rsidRPr="00CF5008">
        <w:t xml:space="preserve"> into prime quality buildings located in prime locations.</w:t>
      </w:r>
    </w:p>
    <w:p w:rsidR="006D083A" w:rsidRPr="00865E35" w:rsidRDefault="006D083A" w:rsidP="005F7715">
      <w:pPr>
        <w:spacing w:line="360" w:lineRule="auto"/>
        <w:jc w:val="both"/>
      </w:pPr>
    </w:p>
    <w:p w:rsidR="006D083A" w:rsidRPr="00CD5D99" w:rsidRDefault="00893148" w:rsidP="008B52C7">
      <w:pPr>
        <w:spacing w:line="360" w:lineRule="auto"/>
        <w:jc w:val="both"/>
        <w:rPr>
          <w:color w:val="FF0000"/>
        </w:rPr>
      </w:pPr>
      <w:r w:rsidRPr="00CF5008">
        <w:t>The second strategy includes landlords entering the market directly by developing</w:t>
      </w:r>
      <w:r w:rsidR="00343F60" w:rsidRPr="00CF5008">
        <w:t xml:space="preserve"> and operating </w:t>
      </w:r>
      <w:r w:rsidRPr="00CF5008">
        <w:t xml:space="preserve">their own </w:t>
      </w:r>
      <w:proofErr w:type="spellStart"/>
      <w:r w:rsidRPr="005C73C1">
        <w:rPr>
          <w:color w:val="FF0000"/>
        </w:rPr>
        <w:t>coworking</w:t>
      </w:r>
      <w:proofErr w:type="spellEnd"/>
      <w:r w:rsidRPr="00CF5008">
        <w:t xml:space="preserve"> platforms. </w:t>
      </w:r>
      <w:r w:rsidR="00E344BD" w:rsidRPr="00CF5008">
        <w:t xml:space="preserve">Several </w:t>
      </w:r>
      <w:r w:rsidR="00131D2D" w:rsidRPr="00CF5008">
        <w:t xml:space="preserve">corporate </w:t>
      </w:r>
      <w:r w:rsidR="00E344BD" w:rsidRPr="00CF5008">
        <w:t>t</w:t>
      </w:r>
      <w:r w:rsidR="00C84C0B" w:rsidRPr="00CF5008">
        <w:t xml:space="preserve">raditional landlords </w:t>
      </w:r>
      <w:r w:rsidRPr="00CF5008">
        <w:t xml:space="preserve">are already </w:t>
      </w:r>
      <w:r w:rsidR="00995232" w:rsidRPr="00CF5008">
        <w:t>pursuing this option</w:t>
      </w:r>
      <w:r w:rsidR="00E344BD" w:rsidRPr="00CF5008">
        <w:t xml:space="preserve">. </w:t>
      </w:r>
      <w:r w:rsidR="00C84C0B" w:rsidRPr="00CF5008">
        <w:t xml:space="preserve">For example, </w:t>
      </w:r>
      <w:r w:rsidR="00C42D23" w:rsidRPr="00CF5008">
        <w:t xml:space="preserve">the GPT Group, one of Australia’s largest listed property trusts, established its own </w:t>
      </w:r>
      <w:proofErr w:type="spellStart"/>
      <w:r w:rsidR="00C42D23" w:rsidRPr="00CF5008">
        <w:t>coworking</w:t>
      </w:r>
      <w:proofErr w:type="spellEnd"/>
      <w:r w:rsidR="00C42D23" w:rsidRPr="00CF5008">
        <w:t xml:space="preserve"> business named ‘</w:t>
      </w:r>
      <w:proofErr w:type="spellStart"/>
      <w:r w:rsidR="00C42D23" w:rsidRPr="00CF5008">
        <w:t>Space&amp;Co</w:t>
      </w:r>
      <w:proofErr w:type="spellEnd"/>
      <w:r w:rsidR="00C42D23" w:rsidRPr="00CF5008">
        <w:t>.’ in 2014 and</w:t>
      </w:r>
      <w:r w:rsidR="008F6CC8" w:rsidRPr="00CF5008">
        <w:t xml:space="preserve"> further expanded its spaces in 2017. </w:t>
      </w:r>
      <w:r w:rsidR="00CD5D99" w:rsidRPr="00CD5D99">
        <w:rPr>
          <w:color w:val="FF0000"/>
        </w:rPr>
        <w:t xml:space="preserve">Landlords could also allocate some spaces in their traditional office buildings for </w:t>
      </w:r>
      <w:proofErr w:type="spellStart"/>
      <w:r w:rsidR="00CD5D99" w:rsidRPr="00CD5D99">
        <w:rPr>
          <w:color w:val="FF0000"/>
        </w:rPr>
        <w:t>coworking</w:t>
      </w:r>
      <w:proofErr w:type="spellEnd"/>
      <w:r w:rsidR="00CD5D99" w:rsidRPr="00CD5D99">
        <w:rPr>
          <w:color w:val="FF0000"/>
        </w:rPr>
        <w:t xml:space="preserve"> practice or offer </w:t>
      </w:r>
      <w:proofErr w:type="spellStart"/>
      <w:r w:rsidR="00CD5D99" w:rsidRPr="00CD5D99">
        <w:rPr>
          <w:color w:val="FF0000"/>
        </w:rPr>
        <w:t>coworking</w:t>
      </w:r>
      <w:proofErr w:type="spellEnd"/>
      <w:r w:rsidR="00CD5D99" w:rsidRPr="00CD5D99">
        <w:rPr>
          <w:color w:val="FF0000"/>
        </w:rPr>
        <w:t xml:space="preserve"> spaces as a further amenity in their mixed use developments. By entering the market directly and cutting out operators is an opportunity for landlords to meet the growing demand of flexible leases and capture a market segment of start-ups and freelancers that otherwise would not fit under their traditional leases. Furthermore, there could be opportunities for landlords to offer </w:t>
      </w:r>
      <w:proofErr w:type="spellStart"/>
      <w:r w:rsidR="00CD5D99" w:rsidRPr="00CD5D99">
        <w:rPr>
          <w:color w:val="FF0000"/>
        </w:rPr>
        <w:t>coworking</w:t>
      </w:r>
      <w:proofErr w:type="spellEnd"/>
      <w:r w:rsidR="00CD5D99" w:rsidRPr="00CD5D99">
        <w:rPr>
          <w:color w:val="FF0000"/>
        </w:rPr>
        <w:t xml:space="preserve"> spaces to their larger existing tenants who seek flexible spaces with flexible leases. The next step of </w:t>
      </w:r>
      <w:proofErr w:type="spellStart"/>
      <w:r w:rsidR="00CD5D99" w:rsidRPr="00CD5D99">
        <w:rPr>
          <w:color w:val="FF0000"/>
        </w:rPr>
        <w:t>coworking</w:t>
      </w:r>
      <w:proofErr w:type="spellEnd"/>
      <w:r w:rsidR="00CD5D99" w:rsidRPr="00CD5D99">
        <w:rPr>
          <w:color w:val="FF0000"/>
        </w:rPr>
        <w:t xml:space="preserve"> could see corporate occupiers seeking buildings where they can lease small corporate offices on traditional leases for their core workforce, but only where there is a large </w:t>
      </w:r>
      <w:proofErr w:type="spellStart"/>
      <w:r w:rsidR="00CD5D99" w:rsidRPr="00CD5D99">
        <w:rPr>
          <w:color w:val="FF0000"/>
        </w:rPr>
        <w:t>coworking</w:t>
      </w:r>
      <w:proofErr w:type="spellEnd"/>
      <w:r w:rsidR="00CD5D99" w:rsidRPr="00CD5D99">
        <w:rPr>
          <w:color w:val="FF0000"/>
        </w:rPr>
        <w:t xml:space="preserve"> space provided within the same building for the peripheral workforce.</w:t>
      </w:r>
    </w:p>
    <w:p w:rsidR="009B0107" w:rsidRPr="00865E35" w:rsidRDefault="009B0107" w:rsidP="00E81F3E">
      <w:pPr>
        <w:spacing w:line="360" w:lineRule="auto"/>
        <w:jc w:val="both"/>
      </w:pPr>
    </w:p>
    <w:p w:rsidR="000404F3" w:rsidRPr="00865E35" w:rsidRDefault="00377EBC" w:rsidP="000404F3">
      <w:pPr>
        <w:spacing w:line="360" w:lineRule="auto"/>
        <w:jc w:val="both"/>
      </w:pPr>
      <w:r w:rsidRPr="00865E35">
        <w:t>The third strategy fo</w:t>
      </w:r>
      <w:r w:rsidR="005A1FDB" w:rsidRPr="00865E35">
        <w:t xml:space="preserve">r landlords </w:t>
      </w:r>
      <w:r w:rsidR="005F07CF">
        <w:t xml:space="preserve">is to develop partnerships </w:t>
      </w:r>
      <w:r w:rsidRPr="00865E35">
        <w:t xml:space="preserve">with </w:t>
      </w:r>
      <w:proofErr w:type="spellStart"/>
      <w:r w:rsidRPr="00865E35">
        <w:t>coworking</w:t>
      </w:r>
      <w:proofErr w:type="spellEnd"/>
      <w:r w:rsidRPr="00865E35">
        <w:t xml:space="preserve"> operators to develop more specific, purpose-</w:t>
      </w:r>
      <w:r w:rsidR="006879C6" w:rsidRPr="00865E35">
        <w:t xml:space="preserve">designed </w:t>
      </w:r>
      <w:proofErr w:type="spellStart"/>
      <w:r w:rsidRPr="00865E35">
        <w:t>coworking</w:t>
      </w:r>
      <w:proofErr w:type="spellEnd"/>
      <w:r w:rsidRPr="00865E35">
        <w:t xml:space="preserve"> spaces. For example, </w:t>
      </w:r>
      <w:proofErr w:type="spellStart"/>
      <w:r w:rsidRPr="00865E35">
        <w:t>Dexus</w:t>
      </w:r>
      <w:proofErr w:type="spellEnd"/>
      <w:r w:rsidRPr="00865E35">
        <w:t xml:space="preserve">, one of AREITs, announced a partnership with </w:t>
      </w:r>
      <w:proofErr w:type="spellStart"/>
      <w:r w:rsidRPr="00865E35">
        <w:t>RocketSpace</w:t>
      </w:r>
      <w:proofErr w:type="spellEnd"/>
      <w:r w:rsidRPr="00865E35">
        <w:t xml:space="preserve">, a US based </w:t>
      </w:r>
      <w:proofErr w:type="spellStart"/>
      <w:r w:rsidRPr="00865E35">
        <w:t>coworking</w:t>
      </w:r>
      <w:proofErr w:type="spellEnd"/>
      <w:r w:rsidRPr="00865E35">
        <w:t xml:space="preserve"> space provider,</w:t>
      </w:r>
      <w:r w:rsidR="00B24FC9" w:rsidRPr="00865E35">
        <w:t xml:space="preserve"> to launch a network of Australian </w:t>
      </w:r>
      <w:proofErr w:type="spellStart"/>
      <w:r w:rsidR="00B24FC9" w:rsidRPr="00865E35">
        <w:t>coworking</w:t>
      </w:r>
      <w:proofErr w:type="spellEnd"/>
      <w:r w:rsidR="00B24FC9" w:rsidRPr="00865E35">
        <w:t xml:space="preserve"> spaces designed specifically to service high-growth tech </w:t>
      </w:r>
      <w:r w:rsidR="00E344BD" w:rsidRPr="00865E35">
        <w:t>start-ups</w:t>
      </w:r>
      <w:r w:rsidR="00B24FC9" w:rsidRPr="00865E35">
        <w:t>.</w:t>
      </w:r>
      <w:r w:rsidRPr="00865E35">
        <w:t xml:space="preserve"> </w:t>
      </w:r>
      <w:r w:rsidR="005A1FDB" w:rsidRPr="00865E35">
        <w:t xml:space="preserve">Alternatively, </w:t>
      </w:r>
      <w:r w:rsidR="00B51914" w:rsidRPr="00865E35">
        <w:t xml:space="preserve">landlords could be able to sign an operating agreement with an experienced </w:t>
      </w:r>
      <w:proofErr w:type="spellStart"/>
      <w:r w:rsidR="00B51914" w:rsidRPr="00865E35">
        <w:t>coworking</w:t>
      </w:r>
      <w:proofErr w:type="spellEnd"/>
      <w:r w:rsidR="00B51914" w:rsidRPr="00865E35">
        <w:t xml:space="preserve"> where they are paid a monthly fee </w:t>
      </w:r>
      <w:r w:rsidR="00B51914" w:rsidRPr="00865E35">
        <w:lastRenderedPageBreak/>
        <w:t xml:space="preserve">for running the space from an operational and community management standpoint. </w:t>
      </w:r>
      <w:r w:rsidR="009B0107" w:rsidRPr="00865E35">
        <w:t xml:space="preserve">By developing partnerships with </w:t>
      </w:r>
      <w:proofErr w:type="spellStart"/>
      <w:r w:rsidR="009B0107" w:rsidRPr="00865E35">
        <w:t>coworking</w:t>
      </w:r>
      <w:proofErr w:type="spellEnd"/>
      <w:r w:rsidR="009B0107" w:rsidRPr="00865E35">
        <w:t xml:space="preserve"> space providers, landlords would be able to utilise the expertise of established </w:t>
      </w:r>
      <w:proofErr w:type="spellStart"/>
      <w:r w:rsidR="009B0107" w:rsidRPr="00865E35">
        <w:t>coworking</w:t>
      </w:r>
      <w:proofErr w:type="spellEnd"/>
      <w:r w:rsidR="009B0107" w:rsidRPr="00865E35">
        <w:t xml:space="preserve"> operators to improve their building stock</w:t>
      </w:r>
      <w:r w:rsidR="005F07CF">
        <w:t xml:space="preserve">. </w:t>
      </w:r>
      <w:r w:rsidR="006879C6" w:rsidRPr="00865E35">
        <w:t xml:space="preserve">  </w:t>
      </w:r>
    </w:p>
    <w:p w:rsidR="00E81F3E" w:rsidRPr="00865E35" w:rsidRDefault="00E81F3E" w:rsidP="00E81F3E">
      <w:pPr>
        <w:spacing w:line="360" w:lineRule="auto"/>
        <w:jc w:val="both"/>
        <w:rPr>
          <w:b/>
        </w:rPr>
      </w:pPr>
    </w:p>
    <w:p w:rsidR="00E549BD" w:rsidRPr="00865E35" w:rsidRDefault="00E549BD" w:rsidP="004F2491">
      <w:pPr>
        <w:spacing w:line="360" w:lineRule="auto"/>
        <w:jc w:val="both"/>
        <w:rPr>
          <w:b/>
          <w:i/>
        </w:rPr>
      </w:pPr>
      <w:r w:rsidRPr="00865E35">
        <w:rPr>
          <w:b/>
          <w:i/>
        </w:rPr>
        <w:t xml:space="preserve">Challenges </w:t>
      </w:r>
      <w:r w:rsidR="002F0547" w:rsidRPr="00865E35">
        <w:rPr>
          <w:b/>
          <w:i/>
        </w:rPr>
        <w:t>to office landlords</w:t>
      </w:r>
    </w:p>
    <w:p w:rsidR="007E74D0" w:rsidRPr="00865E35" w:rsidRDefault="007E74D0" w:rsidP="004F2491">
      <w:pPr>
        <w:spacing w:line="360" w:lineRule="auto"/>
        <w:jc w:val="both"/>
      </w:pPr>
    </w:p>
    <w:p w:rsidR="00EC232F" w:rsidRPr="00865E35" w:rsidRDefault="0066742F" w:rsidP="007E74D0">
      <w:pPr>
        <w:spacing w:line="360" w:lineRule="auto"/>
        <w:jc w:val="both"/>
      </w:pPr>
      <w:r w:rsidRPr="00865E35">
        <w:t xml:space="preserve">The above discussed opportunities however come at a cost for traditional office landlords. </w:t>
      </w:r>
      <w:r w:rsidR="00B51914" w:rsidRPr="00865E35">
        <w:t xml:space="preserve">There are suggestions that the </w:t>
      </w:r>
      <w:proofErr w:type="spellStart"/>
      <w:r w:rsidR="00B51914" w:rsidRPr="00865E35">
        <w:t>coworking</w:t>
      </w:r>
      <w:proofErr w:type="spellEnd"/>
      <w:r w:rsidR="00B51914" w:rsidRPr="00865E35">
        <w:t xml:space="preserve"> phenomenon is the new office market disrupter</w:t>
      </w:r>
      <w:r w:rsidR="00B42B52" w:rsidRPr="00865E35">
        <w:t xml:space="preserve"> or the ‘</w:t>
      </w:r>
      <w:proofErr w:type="spellStart"/>
      <w:r w:rsidR="00B42B52" w:rsidRPr="00865E35">
        <w:t>Uber</w:t>
      </w:r>
      <w:proofErr w:type="spellEnd"/>
      <w:r w:rsidR="00B42B52" w:rsidRPr="00865E35">
        <w:t>’ of the office market</w:t>
      </w:r>
      <w:r w:rsidR="00B51914" w:rsidRPr="00865E35">
        <w:t xml:space="preserve">.  </w:t>
      </w:r>
      <w:r w:rsidR="00634A5B" w:rsidRPr="00865E35">
        <w:t xml:space="preserve">Unlike renting space in traditional offices, members of </w:t>
      </w:r>
      <w:proofErr w:type="spellStart"/>
      <w:r w:rsidR="00634A5B" w:rsidRPr="00865E35">
        <w:t>coworking</w:t>
      </w:r>
      <w:proofErr w:type="spellEnd"/>
      <w:r w:rsidR="00634A5B" w:rsidRPr="00865E35">
        <w:t xml:space="preserve"> spaces are not required to sign long term lease</w:t>
      </w:r>
      <w:r w:rsidR="005A1FDB" w:rsidRPr="00865E35">
        <w:t>s</w:t>
      </w:r>
      <w:r w:rsidR="00634A5B" w:rsidRPr="00865E35">
        <w:t xml:space="preserve">, pay any deposits or spend large capital outlays on fit-outs. </w:t>
      </w:r>
      <w:r w:rsidR="00FB6B6C" w:rsidRPr="00865E35">
        <w:t xml:space="preserve">By simply subscribing to a membership, the occupants receive the right to use </w:t>
      </w:r>
      <w:r w:rsidR="00D77614" w:rsidRPr="00865E35">
        <w:t>the office s</w:t>
      </w:r>
      <w:r w:rsidR="00146D76" w:rsidRPr="00865E35">
        <w:t xml:space="preserve">pace and associated </w:t>
      </w:r>
      <w:r w:rsidR="003F3CCB">
        <w:t>facilities. By l</w:t>
      </w:r>
      <w:r w:rsidR="00146D76" w:rsidRPr="00865E35">
        <w:t xml:space="preserve">easing office spaces to </w:t>
      </w:r>
      <w:proofErr w:type="spellStart"/>
      <w:r w:rsidR="00146D76" w:rsidRPr="00865E35">
        <w:t>coworking</w:t>
      </w:r>
      <w:proofErr w:type="spellEnd"/>
      <w:r w:rsidR="00146D76" w:rsidRPr="00865E35">
        <w:t xml:space="preserve"> operators on long term leases</w:t>
      </w:r>
      <w:r w:rsidR="003F3CCB">
        <w:t xml:space="preserve"> </w:t>
      </w:r>
      <w:r w:rsidR="00146D76" w:rsidRPr="00865E35">
        <w:t xml:space="preserve">landlords completely lose the control over the end-users of their </w:t>
      </w:r>
      <w:r w:rsidR="005A1FDB" w:rsidRPr="00865E35">
        <w:t xml:space="preserve">premises. </w:t>
      </w:r>
      <w:r w:rsidR="00146D76" w:rsidRPr="00865E35">
        <w:t xml:space="preserve"> </w:t>
      </w:r>
    </w:p>
    <w:p w:rsidR="000404F3" w:rsidRPr="00865E35" w:rsidRDefault="000404F3" w:rsidP="007E74D0">
      <w:pPr>
        <w:spacing w:line="360" w:lineRule="auto"/>
        <w:jc w:val="both"/>
      </w:pPr>
    </w:p>
    <w:p w:rsidR="000404F3" w:rsidRPr="00865E35" w:rsidRDefault="00146D76" w:rsidP="007E74D0">
      <w:pPr>
        <w:spacing w:line="360" w:lineRule="auto"/>
        <w:jc w:val="both"/>
      </w:pPr>
      <w:r w:rsidRPr="00865E35">
        <w:t>Landlords may face issues with the operation of the</w:t>
      </w:r>
      <w:r w:rsidR="00C23086" w:rsidRPr="00865E35">
        <w:t xml:space="preserve">ir assets </w:t>
      </w:r>
      <w:r w:rsidRPr="00865E35">
        <w:t>if the lease agreement</w:t>
      </w:r>
      <w:r w:rsidR="00865E35" w:rsidRPr="00865E35">
        <w:t xml:space="preserve"> </w:t>
      </w:r>
      <w:r w:rsidRPr="00865E35">
        <w:t>did not have</w:t>
      </w:r>
      <w:r w:rsidR="005A1FDB" w:rsidRPr="00865E35">
        <w:t xml:space="preserve"> sufficient </w:t>
      </w:r>
      <w:r w:rsidRPr="00865E35">
        <w:t>provisions</w:t>
      </w:r>
      <w:r w:rsidR="00C23086" w:rsidRPr="00865E35">
        <w:t xml:space="preserve"> in relation to </w:t>
      </w:r>
      <w:r w:rsidR="005F07CF">
        <w:t xml:space="preserve">the </w:t>
      </w:r>
      <w:r w:rsidR="00865E35" w:rsidRPr="00865E35">
        <w:t xml:space="preserve">use and operation of the </w:t>
      </w:r>
      <w:r w:rsidR="00C23086" w:rsidRPr="00865E35">
        <w:t>premises</w:t>
      </w:r>
      <w:r w:rsidR="005F07CF">
        <w:t xml:space="preserve"> by operators and their members</w:t>
      </w:r>
      <w:r w:rsidR="00C23086" w:rsidRPr="00865E35">
        <w:t>. Therefore, well-defined provisions</w:t>
      </w:r>
      <w:r w:rsidR="00052B17">
        <w:t xml:space="preserve"> in terms of </w:t>
      </w:r>
      <w:r w:rsidRPr="00865E35">
        <w:t>landlord consent</w:t>
      </w:r>
      <w:r w:rsidR="00C23086" w:rsidRPr="00865E35">
        <w:t xml:space="preserve"> on subleasing</w:t>
      </w:r>
      <w:r w:rsidRPr="00865E35">
        <w:t xml:space="preserve">, terms between the </w:t>
      </w:r>
      <w:r w:rsidR="00C813FD">
        <w:t xml:space="preserve">provider </w:t>
      </w:r>
      <w:r w:rsidRPr="00865E35">
        <w:t>and the end</w:t>
      </w:r>
      <w:r w:rsidR="00C813FD">
        <w:t>-</w:t>
      </w:r>
      <w:r w:rsidRPr="00865E35">
        <w:t xml:space="preserve">user, </w:t>
      </w:r>
      <w:r w:rsidR="00C23086" w:rsidRPr="00865E35">
        <w:t xml:space="preserve">restrictions </w:t>
      </w:r>
      <w:r w:rsidRPr="00865E35">
        <w:t xml:space="preserve">on </w:t>
      </w:r>
      <w:r w:rsidR="00C23086" w:rsidRPr="00865E35">
        <w:t>use of space and associated amenities</w:t>
      </w:r>
      <w:r w:rsidRPr="00865E35">
        <w:t>, minimu</w:t>
      </w:r>
      <w:r w:rsidR="00865E35" w:rsidRPr="00865E35">
        <w:t xml:space="preserve">m space requirements per user, </w:t>
      </w:r>
      <w:r w:rsidR="00C23086" w:rsidRPr="00865E35">
        <w:t xml:space="preserve">building operation and </w:t>
      </w:r>
      <w:r w:rsidRPr="00865E35">
        <w:t>maintenance</w:t>
      </w:r>
      <w:r w:rsidR="00C23086" w:rsidRPr="00865E35">
        <w:t xml:space="preserve"> responsibilities</w:t>
      </w:r>
      <w:r w:rsidR="0089628C">
        <w:t xml:space="preserve"> and </w:t>
      </w:r>
      <w:r w:rsidRPr="00865E35">
        <w:t>termination rights</w:t>
      </w:r>
      <w:r w:rsidR="00C23086" w:rsidRPr="00865E35">
        <w:t xml:space="preserve"> should be included in the </w:t>
      </w:r>
      <w:r w:rsidR="00052B17" w:rsidRPr="00865E35">
        <w:t>head lease</w:t>
      </w:r>
      <w:r w:rsidRPr="00865E35">
        <w:t xml:space="preserve">. </w:t>
      </w:r>
      <w:r w:rsidR="009366B2" w:rsidRPr="00865E35">
        <w:t xml:space="preserve">Particularly </w:t>
      </w:r>
      <w:r w:rsidR="00A72694" w:rsidRPr="00865E35">
        <w:t xml:space="preserve">when introducing </w:t>
      </w:r>
      <w:proofErr w:type="spellStart"/>
      <w:r w:rsidR="00A72694" w:rsidRPr="00865E35">
        <w:t>coworking</w:t>
      </w:r>
      <w:proofErr w:type="spellEnd"/>
      <w:r w:rsidR="00A72694" w:rsidRPr="00865E35">
        <w:t xml:space="preserve"> spaces </w:t>
      </w:r>
      <w:r w:rsidR="009366B2" w:rsidRPr="00865E35">
        <w:t>in</w:t>
      </w:r>
      <w:r w:rsidR="00865E35" w:rsidRPr="00865E35">
        <w:t>to</w:t>
      </w:r>
      <w:r w:rsidR="009366B2" w:rsidRPr="00865E35">
        <w:t xml:space="preserve"> multi-tenanted buildings, landlords need to consider and address several issues </w:t>
      </w:r>
      <w:r w:rsidR="00052B17">
        <w:t xml:space="preserve">such as </w:t>
      </w:r>
      <w:r w:rsidR="00A72694" w:rsidRPr="00865E35">
        <w:t xml:space="preserve">appropriate tenant mix, </w:t>
      </w:r>
      <w:r w:rsidR="00C23086" w:rsidRPr="00865E35">
        <w:t xml:space="preserve">compatibility between different </w:t>
      </w:r>
      <w:r w:rsidR="00052B17" w:rsidRPr="00865E35">
        <w:t>end-users</w:t>
      </w:r>
      <w:r w:rsidR="00052B17">
        <w:t xml:space="preserve">, </w:t>
      </w:r>
      <w:r w:rsidR="00C23086" w:rsidRPr="00865E35">
        <w:t>relationships among other tenants and end</w:t>
      </w:r>
      <w:r w:rsidR="00052B17">
        <w:t>-</w:t>
      </w:r>
      <w:r w:rsidR="00C23086" w:rsidRPr="00865E35">
        <w:t xml:space="preserve">users, clarity as to the use of </w:t>
      </w:r>
      <w:r w:rsidR="00A72694" w:rsidRPr="00865E35">
        <w:t xml:space="preserve">building </w:t>
      </w:r>
      <w:r w:rsidR="00C23086" w:rsidRPr="00865E35">
        <w:t>common areas</w:t>
      </w:r>
      <w:r w:rsidR="00052B17">
        <w:t xml:space="preserve">, </w:t>
      </w:r>
      <w:r w:rsidR="00A72694" w:rsidRPr="00865E35">
        <w:t>and security issues within the building</w:t>
      </w:r>
      <w:r w:rsidR="00C23086" w:rsidRPr="00865E35">
        <w:t>.</w:t>
      </w:r>
      <w:r w:rsidR="00A72694" w:rsidRPr="00865E35">
        <w:t xml:space="preserve"> </w:t>
      </w:r>
    </w:p>
    <w:p w:rsidR="0089628C" w:rsidRDefault="0089628C" w:rsidP="007E74D0">
      <w:pPr>
        <w:spacing w:line="360" w:lineRule="auto"/>
        <w:jc w:val="both"/>
      </w:pPr>
    </w:p>
    <w:p w:rsidR="000404F3" w:rsidRDefault="0089628C" w:rsidP="007E74D0">
      <w:pPr>
        <w:spacing w:line="360" w:lineRule="auto"/>
        <w:jc w:val="both"/>
      </w:pPr>
      <w:r>
        <w:t>T</w:t>
      </w:r>
      <w:r w:rsidR="009E4545" w:rsidRPr="00865E35">
        <w:t xml:space="preserve">here are concerns that the </w:t>
      </w:r>
      <w:proofErr w:type="spellStart"/>
      <w:r w:rsidR="009E4545" w:rsidRPr="00865E35">
        <w:t>coworking</w:t>
      </w:r>
      <w:proofErr w:type="spellEnd"/>
      <w:r w:rsidR="009E4545" w:rsidRPr="00865E35">
        <w:t xml:space="preserve"> practice might have negative implications on the </w:t>
      </w:r>
      <w:r>
        <w:t xml:space="preserve">long-term </w:t>
      </w:r>
      <w:r w:rsidR="009E4545" w:rsidRPr="00865E35">
        <w:t xml:space="preserve">demand for leased office premises and will also reduce the demand for reactive expansion space, resulting in smaller but more stable tenant requirements (Knight Frank, 2016). </w:t>
      </w:r>
      <w:proofErr w:type="spellStart"/>
      <w:r w:rsidR="00295879" w:rsidRPr="00865E35">
        <w:t>Coworking</w:t>
      </w:r>
      <w:proofErr w:type="spellEnd"/>
      <w:r w:rsidR="00295879" w:rsidRPr="00865E35">
        <w:t xml:space="preserve"> spaces </w:t>
      </w:r>
      <w:r w:rsidR="00865E35" w:rsidRPr="00865E35">
        <w:t xml:space="preserve">also </w:t>
      </w:r>
      <w:r w:rsidR="00295879" w:rsidRPr="00865E35">
        <w:t xml:space="preserve">associate with higher occupation density which could cause </w:t>
      </w:r>
      <w:r w:rsidR="006879C6" w:rsidRPr="00865E35">
        <w:t xml:space="preserve">additional structural stress on building services </w:t>
      </w:r>
      <w:r w:rsidR="00865E35" w:rsidRPr="00865E35">
        <w:t xml:space="preserve">that are </w:t>
      </w:r>
      <w:r w:rsidR="006879C6" w:rsidRPr="00865E35">
        <w:t xml:space="preserve">not designed for </w:t>
      </w:r>
      <w:r w:rsidR="006879C6" w:rsidRPr="00CF5008">
        <w:t>higher occupant density.</w:t>
      </w:r>
      <w:r w:rsidR="009E4545" w:rsidRPr="00CF5008">
        <w:t xml:space="preserve"> </w:t>
      </w:r>
      <w:r w:rsidR="00304D87" w:rsidRPr="00CF5008">
        <w:t>Therefore m</w:t>
      </w:r>
      <w:r w:rsidR="009E4545" w:rsidRPr="00CF5008">
        <w:t xml:space="preserve">any </w:t>
      </w:r>
      <w:r w:rsidR="00295879" w:rsidRPr="00CF5008">
        <w:t xml:space="preserve">landlords </w:t>
      </w:r>
      <w:r w:rsidR="00052B17" w:rsidRPr="00CF5008">
        <w:t xml:space="preserve">are required to </w:t>
      </w:r>
      <w:r w:rsidR="00295879" w:rsidRPr="00CF5008">
        <w:t xml:space="preserve">invest substantial </w:t>
      </w:r>
      <w:r w:rsidR="00295879" w:rsidRPr="00CF5008">
        <w:lastRenderedPageBreak/>
        <w:t xml:space="preserve">capital </w:t>
      </w:r>
      <w:r w:rsidR="00304D87" w:rsidRPr="00CF5008">
        <w:t xml:space="preserve">on </w:t>
      </w:r>
      <w:r w:rsidR="00295879" w:rsidRPr="00CF5008">
        <w:t>building upgrades and expansions</w:t>
      </w:r>
      <w:r w:rsidR="00052B17" w:rsidRPr="00CF5008">
        <w:t xml:space="preserve"> </w:t>
      </w:r>
      <w:r w:rsidR="00295879" w:rsidRPr="00CF5008">
        <w:t xml:space="preserve">before leasing </w:t>
      </w:r>
      <w:r w:rsidRPr="00CF5008">
        <w:t xml:space="preserve">spaces </w:t>
      </w:r>
      <w:r w:rsidR="00295879" w:rsidRPr="00CF5008">
        <w:t xml:space="preserve">to </w:t>
      </w:r>
      <w:proofErr w:type="spellStart"/>
      <w:r w:rsidR="00295879" w:rsidRPr="00CF5008">
        <w:t>coworking</w:t>
      </w:r>
      <w:proofErr w:type="spellEnd"/>
      <w:r w:rsidR="00295879" w:rsidRPr="00CF5008">
        <w:t xml:space="preserve"> operators.</w:t>
      </w:r>
      <w:r w:rsidR="009E4545" w:rsidRPr="00CF5008">
        <w:t xml:space="preserve"> </w:t>
      </w:r>
      <w:r w:rsidR="00052B17" w:rsidRPr="00CF5008">
        <w:t xml:space="preserve">However, it </w:t>
      </w:r>
      <w:r w:rsidR="00131D2D" w:rsidRPr="00CF5008">
        <w:t xml:space="preserve">is </w:t>
      </w:r>
      <w:r w:rsidR="00052B17" w:rsidRPr="00CF5008">
        <w:t xml:space="preserve">difficult to conduct rational cost-benefit analysis for such upgrades as there is no hard quantitative evidence available on the benefits of </w:t>
      </w:r>
      <w:r w:rsidR="00304D87" w:rsidRPr="00CF5008">
        <w:t xml:space="preserve">leasing space to </w:t>
      </w:r>
      <w:proofErr w:type="spellStart"/>
      <w:r w:rsidR="00304D87" w:rsidRPr="00CF5008">
        <w:t>coworking</w:t>
      </w:r>
      <w:proofErr w:type="spellEnd"/>
      <w:r w:rsidR="00304D87" w:rsidRPr="00CF5008">
        <w:t xml:space="preserve"> providers</w:t>
      </w:r>
      <w:r w:rsidRPr="00CF5008">
        <w:t>.</w:t>
      </w:r>
      <w:r>
        <w:t xml:space="preserve"> </w:t>
      </w:r>
    </w:p>
    <w:p w:rsidR="00EC232F" w:rsidRDefault="00EC232F" w:rsidP="007E74D0">
      <w:pPr>
        <w:spacing w:line="360" w:lineRule="auto"/>
        <w:jc w:val="both"/>
      </w:pPr>
    </w:p>
    <w:p w:rsidR="004F2491" w:rsidRPr="00CF5008" w:rsidRDefault="00C921B9" w:rsidP="004F2491">
      <w:pPr>
        <w:spacing w:line="360" w:lineRule="auto"/>
        <w:jc w:val="both"/>
        <w:rPr>
          <w:b/>
        </w:rPr>
      </w:pPr>
      <w:r w:rsidRPr="00CF5008">
        <w:rPr>
          <w:b/>
        </w:rPr>
        <w:t>Conclusions</w:t>
      </w:r>
      <w:r w:rsidR="008B26C4" w:rsidRPr="00CF5008">
        <w:rPr>
          <w:b/>
        </w:rPr>
        <w:t xml:space="preserve"> </w:t>
      </w:r>
      <w:r w:rsidR="0041610E" w:rsidRPr="00CF5008">
        <w:rPr>
          <w:b/>
        </w:rPr>
        <w:t xml:space="preserve"> </w:t>
      </w:r>
    </w:p>
    <w:p w:rsidR="0041610E" w:rsidRPr="00CF5008" w:rsidRDefault="0041610E" w:rsidP="0041610E">
      <w:pPr>
        <w:spacing w:line="360" w:lineRule="auto"/>
        <w:jc w:val="both"/>
      </w:pPr>
    </w:p>
    <w:p w:rsidR="00D75E26" w:rsidRDefault="00F553CE" w:rsidP="0041610E">
      <w:pPr>
        <w:spacing w:line="360" w:lineRule="auto"/>
        <w:jc w:val="both"/>
        <w:rPr>
          <w:color w:val="FF0000"/>
        </w:rPr>
      </w:pPr>
      <w:r w:rsidRPr="00F553CE">
        <w:rPr>
          <w:color w:val="FF0000"/>
        </w:rPr>
        <w:t xml:space="preserve">This research </w:t>
      </w:r>
      <w:r>
        <w:rPr>
          <w:color w:val="FF0000"/>
        </w:rPr>
        <w:t xml:space="preserve">investigates the implications of the </w:t>
      </w:r>
      <w:proofErr w:type="spellStart"/>
      <w:r>
        <w:rPr>
          <w:color w:val="FF0000"/>
        </w:rPr>
        <w:t>coworking</w:t>
      </w:r>
      <w:proofErr w:type="spellEnd"/>
      <w:r>
        <w:rPr>
          <w:color w:val="FF0000"/>
        </w:rPr>
        <w:t xml:space="preserve"> </w:t>
      </w:r>
      <w:r w:rsidR="00E20269">
        <w:rPr>
          <w:color w:val="FF0000"/>
        </w:rPr>
        <w:t xml:space="preserve">phenomenon </w:t>
      </w:r>
      <w:r>
        <w:rPr>
          <w:color w:val="FF0000"/>
        </w:rPr>
        <w:t xml:space="preserve">on traditional office landlords. </w:t>
      </w:r>
      <w:r w:rsidR="00E20269">
        <w:rPr>
          <w:color w:val="FF0000"/>
        </w:rPr>
        <w:t xml:space="preserve">The findings presented </w:t>
      </w:r>
      <w:r w:rsidR="00D75E26">
        <w:rPr>
          <w:color w:val="FF0000"/>
        </w:rPr>
        <w:t xml:space="preserve">in this paper </w:t>
      </w:r>
      <w:r w:rsidR="00E20269">
        <w:rPr>
          <w:color w:val="FF0000"/>
        </w:rPr>
        <w:t xml:space="preserve">were developed from the </w:t>
      </w:r>
      <w:r w:rsidRPr="00F553CE">
        <w:rPr>
          <w:color w:val="FF0000"/>
        </w:rPr>
        <w:t>preliminary-exploratory</w:t>
      </w:r>
      <w:r>
        <w:rPr>
          <w:color w:val="FF0000"/>
        </w:rPr>
        <w:t xml:space="preserve"> </w:t>
      </w:r>
      <w:r w:rsidRPr="00F553CE">
        <w:rPr>
          <w:color w:val="FF0000"/>
        </w:rPr>
        <w:t xml:space="preserve">phase </w:t>
      </w:r>
      <w:r w:rsidR="00A25A0F">
        <w:rPr>
          <w:color w:val="FF0000"/>
        </w:rPr>
        <w:t xml:space="preserve">of a wider research </w:t>
      </w:r>
      <w:r w:rsidR="00E20269">
        <w:rPr>
          <w:color w:val="FF0000"/>
        </w:rPr>
        <w:t xml:space="preserve">which </w:t>
      </w:r>
      <w:r w:rsidRPr="00F553CE">
        <w:rPr>
          <w:color w:val="FF0000"/>
        </w:rPr>
        <w:t>aimed at understandi</w:t>
      </w:r>
      <w:r w:rsidR="00E20269">
        <w:rPr>
          <w:color w:val="FF0000"/>
        </w:rPr>
        <w:t xml:space="preserve">ng the nature of </w:t>
      </w:r>
      <w:proofErr w:type="spellStart"/>
      <w:r w:rsidR="00E20269">
        <w:rPr>
          <w:color w:val="FF0000"/>
        </w:rPr>
        <w:t>coworking</w:t>
      </w:r>
      <w:proofErr w:type="spellEnd"/>
      <w:r w:rsidR="00E20269">
        <w:rPr>
          <w:color w:val="FF0000"/>
        </w:rPr>
        <w:t xml:space="preserve"> practice in the office market in Melbourne, Australia. </w:t>
      </w:r>
    </w:p>
    <w:p w:rsidR="00D75E26" w:rsidRDefault="00D75E26" w:rsidP="0041610E">
      <w:pPr>
        <w:spacing w:line="360" w:lineRule="auto"/>
        <w:jc w:val="both"/>
        <w:rPr>
          <w:color w:val="FF0000"/>
        </w:rPr>
      </w:pPr>
    </w:p>
    <w:p w:rsidR="00536854" w:rsidRPr="00CF5008" w:rsidRDefault="00E20269" w:rsidP="0041610E">
      <w:pPr>
        <w:spacing w:line="360" w:lineRule="auto"/>
        <w:jc w:val="both"/>
      </w:pPr>
      <w:r w:rsidRPr="00E20269">
        <w:rPr>
          <w:color w:val="FF0000"/>
        </w:rPr>
        <w:t xml:space="preserve">The findings identify </w:t>
      </w:r>
      <w:proofErr w:type="gramStart"/>
      <w:r w:rsidR="00536854" w:rsidRPr="00E20269">
        <w:rPr>
          <w:strike/>
        </w:rPr>
        <w:t>In</w:t>
      </w:r>
      <w:proofErr w:type="gramEnd"/>
      <w:r w:rsidR="00536854" w:rsidRPr="00E20269">
        <w:rPr>
          <w:strike/>
        </w:rPr>
        <w:t xml:space="preserve"> summary, </w:t>
      </w:r>
      <w:r w:rsidR="0041610E" w:rsidRPr="00E20269">
        <w:rPr>
          <w:strike/>
        </w:rPr>
        <w:t>there are</w:t>
      </w:r>
      <w:r w:rsidR="0041610E" w:rsidRPr="00CF5008">
        <w:t xml:space="preserve"> two main challenges currently </w:t>
      </w:r>
      <w:r w:rsidR="00536854" w:rsidRPr="00CF5008">
        <w:t xml:space="preserve">confronting </w:t>
      </w:r>
      <w:r w:rsidR="00A25A0F">
        <w:t xml:space="preserve">office </w:t>
      </w:r>
      <w:r w:rsidR="0041610E" w:rsidRPr="00CF5008">
        <w:t xml:space="preserve">landlords.  Firstly, the reliance on </w:t>
      </w:r>
      <w:proofErr w:type="spellStart"/>
      <w:r w:rsidR="0041610E" w:rsidRPr="00CF5008">
        <w:t>coworking</w:t>
      </w:r>
      <w:proofErr w:type="spellEnd"/>
      <w:r w:rsidR="0041610E" w:rsidRPr="00CF5008">
        <w:t xml:space="preserve"> operators to perform and survive </w:t>
      </w:r>
      <w:r w:rsidR="001C688C" w:rsidRPr="00CF5008">
        <w:t xml:space="preserve">within </w:t>
      </w:r>
      <w:r w:rsidR="0041610E" w:rsidRPr="00CF5008">
        <w:t xml:space="preserve">changing market conditions in the property industry; and </w:t>
      </w:r>
      <w:r w:rsidR="001C688C" w:rsidRPr="00CF5008">
        <w:t xml:space="preserve">secondly, transforming </w:t>
      </w:r>
      <w:r w:rsidR="0041610E" w:rsidRPr="00CF5008">
        <w:t>traditional office space</w:t>
      </w:r>
      <w:r w:rsidR="001C688C" w:rsidRPr="00CF5008">
        <w:t>s</w:t>
      </w:r>
      <w:r w:rsidR="0041610E" w:rsidRPr="00CF5008">
        <w:t xml:space="preserve"> into engaging </w:t>
      </w:r>
      <w:proofErr w:type="spellStart"/>
      <w:r w:rsidR="0041610E" w:rsidRPr="00CF5008">
        <w:t>coworking</w:t>
      </w:r>
      <w:proofErr w:type="spellEnd"/>
      <w:r w:rsidR="0041610E" w:rsidRPr="00CF5008">
        <w:t xml:space="preserve"> vibrant hubs. </w:t>
      </w:r>
      <w:r w:rsidR="00536854" w:rsidRPr="00CF5008">
        <w:t xml:space="preserve">In this regard, various </w:t>
      </w:r>
      <w:r w:rsidR="00E6028D" w:rsidRPr="00CF5008">
        <w:t>s</w:t>
      </w:r>
      <w:r w:rsidR="00536854" w:rsidRPr="00CF5008">
        <w:t>trategic considerations, if adopted and implement</w:t>
      </w:r>
      <w:r w:rsidR="001B3C26" w:rsidRPr="00CF5008">
        <w:t>ed</w:t>
      </w:r>
      <w:r w:rsidR="00536854" w:rsidRPr="00CF5008">
        <w:t xml:space="preserve"> by landlords, will ensure </w:t>
      </w:r>
      <w:r w:rsidR="001B3C26" w:rsidRPr="00CF5008">
        <w:t xml:space="preserve">an optimum </w:t>
      </w:r>
      <w:r w:rsidR="001D5F8F" w:rsidRPr="00CF5008">
        <w:t>growth</w:t>
      </w:r>
      <w:r w:rsidR="001B3C26" w:rsidRPr="00CF5008">
        <w:t xml:space="preserve"> for their property </w:t>
      </w:r>
      <w:r w:rsidR="001D5F8F" w:rsidRPr="00CF5008">
        <w:t xml:space="preserve">asset </w:t>
      </w:r>
      <w:r w:rsidR="001B3C26" w:rsidRPr="00CF5008">
        <w:t>investment.</w:t>
      </w:r>
    </w:p>
    <w:p w:rsidR="00536854" w:rsidRPr="00CF5008" w:rsidRDefault="00536854" w:rsidP="0041610E">
      <w:pPr>
        <w:spacing w:line="360" w:lineRule="auto"/>
        <w:jc w:val="both"/>
      </w:pPr>
    </w:p>
    <w:p w:rsidR="00BD3E20" w:rsidRPr="00CD5D99" w:rsidRDefault="00E20269" w:rsidP="001C688C">
      <w:pPr>
        <w:spacing w:line="360" w:lineRule="auto"/>
        <w:jc w:val="both"/>
        <w:rPr>
          <w:strike/>
        </w:rPr>
      </w:pPr>
      <w:r w:rsidRPr="00E20269">
        <w:rPr>
          <w:color w:val="FF0000"/>
        </w:rPr>
        <w:t>Th</w:t>
      </w:r>
      <w:r>
        <w:rPr>
          <w:color w:val="FF0000"/>
        </w:rPr>
        <w:t xml:space="preserve">e </w:t>
      </w:r>
      <w:r w:rsidR="00D75E26">
        <w:rPr>
          <w:color w:val="FF0000"/>
        </w:rPr>
        <w:t xml:space="preserve">paper </w:t>
      </w:r>
      <w:r>
        <w:rPr>
          <w:color w:val="FF0000"/>
        </w:rPr>
        <w:t xml:space="preserve">identifies </w:t>
      </w:r>
      <w:r w:rsidRPr="00E20269">
        <w:rPr>
          <w:color w:val="FF0000"/>
        </w:rPr>
        <w:t>a number of strategi</w:t>
      </w:r>
      <w:r w:rsidR="00A25A0F">
        <w:rPr>
          <w:color w:val="FF0000"/>
        </w:rPr>
        <w:t>es for landlords to enter this m</w:t>
      </w:r>
      <w:r w:rsidRPr="00E20269">
        <w:rPr>
          <w:color w:val="FF0000"/>
        </w:rPr>
        <w:t xml:space="preserve">arket. These include – leasing space to </w:t>
      </w:r>
      <w:proofErr w:type="spellStart"/>
      <w:r w:rsidRPr="00E20269">
        <w:rPr>
          <w:color w:val="FF0000"/>
        </w:rPr>
        <w:t>coworking</w:t>
      </w:r>
      <w:proofErr w:type="spellEnd"/>
      <w:r w:rsidRPr="00E20269">
        <w:rPr>
          <w:color w:val="FF0000"/>
        </w:rPr>
        <w:t xml:space="preserve"> operators, entering the market </w:t>
      </w:r>
      <w:r w:rsidRPr="00CD5D99">
        <w:rPr>
          <w:color w:val="FF0000"/>
        </w:rPr>
        <w:t xml:space="preserve">directly by developing their own </w:t>
      </w:r>
      <w:proofErr w:type="spellStart"/>
      <w:r w:rsidRPr="00CD5D99">
        <w:rPr>
          <w:color w:val="FF0000"/>
        </w:rPr>
        <w:t>coworking</w:t>
      </w:r>
      <w:proofErr w:type="spellEnd"/>
      <w:r w:rsidRPr="00CD5D99">
        <w:rPr>
          <w:color w:val="FF0000"/>
        </w:rPr>
        <w:t xml:space="preserve"> platforms, or partnering with </w:t>
      </w:r>
      <w:proofErr w:type="spellStart"/>
      <w:r w:rsidRPr="00CD5D99">
        <w:rPr>
          <w:color w:val="FF0000"/>
        </w:rPr>
        <w:t>coworking</w:t>
      </w:r>
      <w:proofErr w:type="spellEnd"/>
      <w:r w:rsidRPr="00CD5D99">
        <w:rPr>
          <w:color w:val="FF0000"/>
        </w:rPr>
        <w:t xml:space="preserve"> operators to develop </w:t>
      </w:r>
      <w:proofErr w:type="spellStart"/>
      <w:r w:rsidRPr="00CD5D99">
        <w:rPr>
          <w:color w:val="FF0000"/>
        </w:rPr>
        <w:t>coworking</w:t>
      </w:r>
      <w:proofErr w:type="spellEnd"/>
      <w:r w:rsidRPr="00CD5D99">
        <w:rPr>
          <w:color w:val="FF0000"/>
        </w:rPr>
        <w:t xml:space="preserve"> spaces.</w:t>
      </w:r>
      <w:r w:rsidR="00CD5D99" w:rsidRPr="00CD5D99">
        <w:rPr>
          <w:color w:val="FF0000"/>
        </w:rPr>
        <w:t xml:space="preserve"> Leasing spaces to </w:t>
      </w:r>
      <w:proofErr w:type="spellStart"/>
      <w:r w:rsidR="00CD5D99" w:rsidRPr="00CD5D99">
        <w:rPr>
          <w:color w:val="FF0000"/>
        </w:rPr>
        <w:t>coworking</w:t>
      </w:r>
      <w:proofErr w:type="spellEnd"/>
      <w:r w:rsidR="00CD5D99" w:rsidRPr="00CD5D99">
        <w:rPr>
          <w:color w:val="FF0000"/>
        </w:rPr>
        <w:t xml:space="preserve"> operators or choosing to enter the market directly would create an opportunity for landlords to capture a market segment of start-ups and freelancers that otherwise would not fit under their traditional leases. </w:t>
      </w:r>
      <w:r w:rsidR="00A25A0F">
        <w:rPr>
          <w:color w:val="FF0000"/>
        </w:rPr>
        <w:t xml:space="preserve">Entering this emerging market sector would </w:t>
      </w:r>
      <w:r w:rsidR="00D75E26">
        <w:rPr>
          <w:color w:val="FF0000"/>
        </w:rPr>
        <w:t xml:space="preserve">generate </w:t>
      </w:r>
      <w:r w:rsidR="00A25A0F">
        <w:rPr>
          <w:color w:val="FF0000"/>
        </w:rPr>
        <w:t xml:space="preserve">several tangible and intangible benefits for traditional office landlords. </w:t>
      </w:r>
      <w:r w:rsidR="00CD5D99" w:rsidRPr="00CD5D99">
        <w:rPr>
          <w:color w:val="FF0000"/>
        </w:rPr>
        <w:t>Overall, this paper intends to provide a foundation for further exploration of the implications of th</w:t>
      </w:r>
      <w:r w:rsidR="00A25A0F">
        <w:rPr>
          <w:color w:val="FF0000"/>
        </w:rPr>
        <w:t xml:space="preserve">e </w:t>
      </w:r>
      <w:proofErr w:type="spellStart"/>
      <w:r w:rsidR="00A25A0F">
        <w:rPr>
          <w:color w:val="FF0000"/>
        </w:rPr>
        <w:t>coworking</w:t>
      </w:r>
      <w:proofErr w:type="spellEnd"/>
      <w:r w:rsidR="00A25A0F">
        <w:rPr>
          <w:color w:val="FF0000"/>
        </w:rPr>
        <w:t xml:space="preserve"> </w:t>
      </w:r>
      <w:r w:rsidR="00CD5D99" w:rsidRPr="00CD5D99">
        <w:rPr>
          <w:color w:val="FF0000"/>
        </w:rPr>
        <w:t>practice on office market</w:t>
      </w:r>
      <w:r w:rsidR="00D75E26">
        <w:rPr>
          <w:color w:val="FF0000"/>
        </w:rPr>
        <w:t>s</w:t>
      </w:r>
      <w:r w:rsidR="00CD5D99" w:rsidRPr="00CD5D99">
        <w:rPr>
          <w:color w:val="FF0000"/>
        </w:rPr>
        <w:t xml:space="preserve"> and </w:t>
      </w:r>
      <w:r w:rsidR="00D75E26">
        <w:rPr>
          <w:color w:val="FF0000"/>
        </w:rPr>
        <w:t xml:space="preserve">their </w:t>
      </w:r>
      <w:r w:rsidR="00CD5D99" w:rsidRPr="00CD5D99">
        <w:rPr>
          <w:color w:val="FF0000"/>
        </w:rPr>
        <w:t xml:space="preserve">market participants. </w:t>
      </w:r>
      <w:r w:rsidR="00131D2D" w:rsidRPr="00CD5D99">
        <w:rPr>
          <w:strike/>
        </w:rPr>
        <w:t>S</w:t>
      </w:r>
      <w:r w:rsidR="005B2C0F" w:rsidRPr="00CD5D99">
        <w:rPr>
          <w:strike/>
        </w:rPr>
        <w:t xml:space="preserve">trategic considerations include </w:t>
      </w:r>
      <w:r w:rsidR="00536854" w:rsidRPr="00CD5D99">
        <w:rPr>
          <w:strike/>
        </w:rPr>
        <w:t xml:space="preserve">offering </w:t>
      </w:r>
      <w:proofErr w:type="spellStart"/>
      <w:r w:rsidR="00536854" w:rsidRPr="00CD5D99">
        <w:rPr>
          <w:strike/>
        </w:rPr>
        <w:t>coworking</w:t>
      </w:r>
      <w:proofErr w:type="spellEnd"/>
      <w:r w:rsidR="00536854" w:rsidRPr="00CD5D99">
        <w:rPr>
          <w:strike/>
        </w:rPr>
        <w:t xml:space="preserve"> spaces as a further amenity in mixed use properties, or offer</w:t>
      </w:r>
      <w:r w:rsidR="005B2C0F" w:rsidRPr="00CD5D99">
        <w:rPr>
          <w:strike/>
        </w:rPr>
        <w:t>ing</w:t>
      </w:r>
      <w:r w:rsidR="00536854" w:rsidRPr="00CD5D99">
        <w:rPr>
          <w:strike/>
        </w:rPr>
        <w:t xml:space="preserve"> </w:t>
      </w:r>
      <w:proofErr w:type="spellStart"/>
      <w:r w:rsidR="00536854" w:rsidRPr="00CD5D99">
        <w:rPr>
          <w:strike/>
        </w:rPr>
        <w:t>coworking</w:t>
      </w:r>
      <w:proofErr w:type="spellEnd"/>
      <w:r w:rsidR="00536854" w:rsidRPr="00CD5D99">
        <w:rPr>
          <w:strike/>
        </w:rPr>
        <w:t xml:space="preserve"> spaces to their larger existing tenants who seek adaptable spaces with flexible or shorter </w:t>
      </w:r>
      <w:r w:rsidR="001D5F8F" w:rsidRPr="00CD5D99">
        <w:rPr>
          <w:strike/>
        </w:rPr>
        <w:t>term</w:t>
      </w:r>
      <w:r w:rsidR="00536854" w:rsidRPr="00CD5D99">
        <w:rPr>
          <w:strike/>
        </w:rPr>
        <w:t xml:space="preserve"> leases.</w:t>
      </w:r>
      <w:r w:rsidR="00CF5008" w:rsidRPr="00CD5D99">
        <w:rPr>
          <w:strike/>
        </w:rPr>
        <w:t xml:space="preserve"> </w:t>
      </w:r>
      <w:r w:rsidR="00536854" w:rsidRPr="00CD5D99">
        <w:rPr>
          <w:strike/>
        </w:rPr>
        <w:t xml:space="preserve">This </w:t>
      </w:r>
      <w:r w:rsidR="00CF0E22" w:rsidRPr="00CD5D99">
        <w:rPr>
          <w:strike/>
        </w:rPr>
        <w:t xml:space="preserve">approach </w:t>
      </w:r>
      <w:r w:rsidR="00536854" w:rsidRPr="00CD5D99">
        <w:rPr>
          <w:strike/>
        </w:rPr>
        <w:t>will encourage corporate occupiers who seek</w:t>
      </w:r>
      <w:r w:rsidR="00CF0E22" w:rsidRPr="00CD5D99">
        <w:rPr>
          <w:strike/>
        </w:rPr>
        <w:t xml:space="preserve"> </w:t>
      </w:r>
      <w:r w:rsidR="00536854" w:rsidRPr="00CD5D99">
        <w:rPr>
          <w:strike/>
        </w:rPr>
        <w:t xml:space="preserve">buildings with traditional leases to house their core workforce, but </w:t>
      </w:r>
      <w:r w:rsidR="00CF0E22" w:rsidRPr="00CD5D99">
        <w:rPr>
          <w:strike/>
        </w:rPr>
        <w:t xml:space="preserve">may </w:t>
      </w:r>
      <w:r w:rsidR="00536854" w:rsidRPr="00CD5D99">
        <w:rPr>
          <w:strike/>
        </w:rPr>
        <w:t>also require a large</w:t>
      </w:r>
      <w:r w:rsidR="00CF0E22" w:rsidRPr="00CD5D99">
        <w:rPr>
          <w:strike/>
        </w:rPr>
        <w:t xml:space="preserve"> </w:t>
      </w:r>
      <w:proofErr w:type="spellStart"/>
      <w:r w:rsidR="00536854" w:rsidRPr="00CD5D99">
        <w:rPr>
          <w:strike/>
        </w:rPr>
        <w:t>coworking</w:t>
      </w:r>
      <w:proofErr w:type="spellEnd"/>
      <w:r w:rsidR="00536854" w:rsidRPr="00CD5D99">
        <w:rPr>
          <w:strike/>
        </w:rPr>
        <w:t xml:space="preserve"> </w:t>
      </w:r>
      <w:r w:rsidR="00536854" w:rsidRPr="00CD5D99">
        <w:rPr>
          <w:strike/>
        </w:rPr>
        <w:lastRenderedPageBreak/>
        <w:t>space within the same building for the peripheral workforce.</w:t>
      </w:r>
      <w:r w:rsidR="00CF0E22" w:rsidRPr="00CD5D99">
        <w:rPr>
          <w:strike/>
        </w:rPr>
        <w:t xml:space="preserve">  Additionally, there are many opportunities for landlords to partner with </w:t>
      </w:r>
      <w:proofErr w:type="spellStart"/>
      <w:r w:rsidR="00CF0E22" w:rsidRPr="00CD5D99">
        <w:rPr>
          <w:strike/>
        </w:rPr>
        <w:t>coworking</w:t>
      </w:r>
      <w:proofErr w:type="spellEnd"/>
      <w:r w:rsidR="00CF0E22" w:rsidRPr="00CD5D99">
        <w:rPr>
          <w:strike/>
        </w:rPr>
        <w:t xml:space="preserve"> operators, and </w:t>
      </w:r>
      <w:r w:rsidR="00BD3E20" w:rsidRPr="00CD5D99">
        <w:rPr>
          <w:strike/>
        </w:rPr>
        <w:t>capture a market segment of start-ups and freelancers that otherwise would not fit under their traditional leases.</w:t>
      </w:r>
    </w:p>
    <w:p w:rsidR="003E5E4B" w:rsidRDefault="003E5E4B" w:rsidP="004F2491">
      <w:pPr>
        <w:spacing w:line="360" w:lineRule="auto"/>
        <w:jc w:val="both"/>
        <w:rPr>
          <w:b/>
        </w:rPr>
      </w:pPr>
    </w:p>
    <w:p w:rsidR="00D91922" w:rsidRPr="00CF5008" w:rsidRDefault="00D91922" w:rsidP="004F2491">
      <w:pPr>
        <w:spacing w:line="360" w:lineRule="auto"/>
        <w:jc w:val="both"/>
        <w:rPr>
          <w:b/>
        </w:rPr>
      </w:pPr>
      <w:r w:rsidRPr="00CF5008">
        <w:rPr>
          <w:b/>
        </w:rPr>
        <w:t xml:space="preserve">Further Research </w:t>
      </w:r>
      <w:r w:rsidR="00BD3E20" w:rsidRPr="00CF5008">
        <w:rPr>
          <w:b/>
        </w:rPr>
        <w:t xml:space="preserve"> </w:t>
      </w:r>
    </w:p>
    <w:p w:rsidR="000606A1" w:rsidRDefault="000606A1" w:rsidP="004F2491">
      <w:pPr>
        <w:spacing w:line="360" w:lineRule="auto"/>
        <w:jc w:val="both"/>
        <w:rPr>
          <w:lang w:val="en-NZ"/>
        </w:rPr>
      </w:pPr>
    </w:p>
    <w:p w:rsidR="00D91922" w:rsidRDefault="00CF0E22" w:rsidP="004F2491">
      <w:pPr>
        <w:spacing w:line="360" w:lineRule="auto"/>
        <w:jc w:val="both"/>
        <w:rPr>
          <w:b/>
        </w:rPr>
      </w:pPr>
      <w:r w:rsidRPr="00CF5008">
        <w:rPr>
          <w:lang w:val="en-NZ"/>
        </w:rPr>
        <w:t xml:space="preserve">The </w:t>
      </w:r>
      <w:proofErr w:type="spellStart"/>
      <w:r w:rsidRPr="00CF5008">
        <w:rPr>
          <w:lang w:val="en-NZ"/>
        </w:rPr>
        <w:t>coworking</w:t>
      </w:r>
      <w:proofErr w:type="spellEnd"/>
      <w:r w:rsidRPr="00CF5008">
        <w:rPr>
          <w:lang w:val="en-NZ"/>
        </w:rPr>
        <w:t xml:space="preserve"> business model</w:t>
      </w:r>
      <w:r w:rsidR="00114AB0" w:rsidRPr="00CF5008">
        <w:rPr>
          <w:lang w:val="en-NZ"/>
        </w:rPr>
        <w:t xml:space="preserve"> is an emerging area of research which will require testing </w:t>
      </w:r>
      <w:r w:rsidRPr="00CF5008">
        <w:t>under varying property market conditions.  Therefore, as</w:t>
      </w:r>
      <w:r w:rsidR="00D91922" w:rsidRPr="00CF5008">
        <w:rPr>
          <w:lang w:val="en-NZ"/>
        </w:rPr>
        <w:t xml:space="preserve"> part of a wider study the research will expand to explore the implications of the </w:t>
      </w:r>
      <w:proofErr w:type="spellStart"/>
      <w:r w:rsidR="00D91922" w:rsidRPr="00CF5008">
        <w:rPr>
          <w:lang w:val="en-NZ"/>
        </w:rPr>
        <w:t>coworking</w:t>
      </w:r>
      <w:proofErr w:type="spellEnd"/>
      <w:r w:rsidR="00D91922" w:rsidRPr="00CF5008">
        <w:rPr>
          <w:lang w:val="en-NZ"/>
        </w:rPr>
        <w:t xml:space="preserve"> culture on the performance and utilisation of </w:t>
      </w:r>
      <w:r w:rsidR="00D91922" w:rsidRPr="00A132F6">
        <w:rPr>
          <w:strike/>
          <w:lang w:val="en-NZ"/>
        </w:rPr>
        <w:t>corporate</w:t>
      </w:r>
      <w:r w:rsidR="00D91922" w:rsidRPr="00CF5008">
        <w:rPr>
          <w:lang w:val="en-NZ"/>
        </w:rPr>
        <w:t xml:space="preserve"> </w:t>
      </w:r>
      <w:r w:rsidR="00A132F6">
        <w:rPr>
          <w:color w:val="FF0000"/>
          <w:lang w:val="en-NZ"/>
        </w:rPr>
        <w:t xml:space="preserve">commercial </w:t>
      </w:r>
      <w:r w:rsidR="00D91922" w:rsidRPr="00CF5008">
        <w:rPr>
          <w:lang w:val="en-NZ"/>
        </w:rPr>
        <w:t xml:space="preserve">real estate assets, </w:t>
      </w:r>
      <w:proofErr w:type="spellStart"/>
      <w:r w:rsidR="00D91922" w:rsidRPr="00CF5008">
        <w:rPr>
          <w:lang w:val="en-NZ"/>
        </w:rPr>
        <w:t>coworking</w:t>
      </w:r>
      <w:proofErr w:type="spellEnd"/>
      <w:r w:rsidR="00D91922" w:rsidRPr="00CF5008">
        <w:rPr>
          <w:lang w:val="en-NZ"/>
        </w:rPr>
        <w:t xml:space="preserve"> practice</w:t>
      </w:r>
      <w:r w:rsidR="00731DCB" w:rsidRPr="00CF5008">
        <w:rPr>
          <w:lang w:val="en-NZ"/>
        </w:rPr>
        <w:t>,</w:t>
      </w:r>
      <w:r w:rsidR="00D91922" w:rsidRPr="00CF5008">
        <w:rPr>
          <w:lang w:val="en-NZ"/>
        </w:rPr>
        <w:t xml:space="preserve"> and the role of </w:t>
      </w:r>
      <w:proofErr w:type="spellStart"/>
      <w:r w:rsidR="00D91922" w:rsidRPr="00CF5008">
        <w:rPr>
          <w:lang w:val="en-NZ"/>
        </w:rPr>
        <w:t>coworking</w:t>
      </w:r>
      <w:proofErr w:type="spellEnd"/>
      <w:r w:rsidR="00D91922" w:rsidRPr="00CF5008">
        <w:rPr>
          <w:lang w:val="en-NZ"/>
        </w:rPr>
        <w:t xml:space="preserve"> operators and the</w:t>
      </w:r>
      <w:r w:rsidR="00731DCB" w:rsidRPr="00CF5008">
        <w:rPr>
          <w:lang w:val="en-NZ"/>
        </w:rPr>
        <w:t>ir</w:t>
      </w:r>
      <w:r w:rsidR="00D91922" w:rsidRPr="00CF5008">
        <w:rPr>
          <w:lang w:val="en-NZ"/>
        </w:rPr>
        <w:t xml:space="preserve"> relationship with traditional office property landlords.</w:t>
      </w:r>
    </w:p>
    <w:p w:rsidR="009F41F6" w:rsidRDefault="009F41F6" w:rsidP="009F41F6">
      <w:pPr>
        <w:spacing w:line="360" w:lineRule="auto"/>
        <w:jc w:val="both"/>
      </w:pPr>
      <w:r>
        <w:t xml:space="preserve"> </w:t>
      </w:r>
    </w:p>
    <w:p w:rsidR="005300BF" w:rsidRDefault="005300BF" w:rsidP="004F2491">
      <w:pPr>
        <w:spacing w:line="360" w:lineRule="auto"/>
        <w:jc w:val="both"/>
        <w:rPr>
          <w:b/>
        </w:rPr>
      </w:pPr>
    </w:p>
    <w:p w:rsidR="004F2491" w:rsidRDefault="00C921B9" w:rsidP="004F2491">
      <w:pPr>
        <w:spacing w:line="360" w:lineRule="auto"/>
        <w:jc w:val="both"/>
        <w:rPr>
          <w:b/>
        </w:rPr>
      </w:pPr>
      <w:r w:rsidRPr="004F2491">
        <w:rPr>
          <w:b/>
        </w:rPr>
        <w:t>References</w:t>
      </w:r>
    </w:p>
    <w:p w:rsidR="009B6082" w:rsidRDefault="009B6082" w:rsidP="008C21D4">
      <w:pPr>
        <w:spacing w:line="360" w:lineRule="auto"/>
        <w:jc w:val="both"/>
      </w:pPr>
      <w:proofErr w:type="spellStart"/>
      <w:r w:rsidRPr="009B6082">
        <w:t>Bouncken</w:t>
      </w:r>
      <w:proofErr w:type="spellEnd"/>
      <w:r>
        <w:t xml:space="preserve">, R.B. and </w:t>
      </w:r>
      <w:proofErr w:type="spellStart"/>
      <w:r w:rsidRPr="009B6082">
        <w:t>Reuschl</w:t>
      </w:r>
      <w:proofErr w:type="spellEnd"/>
      <w:r w:rsidR="00B60CE0">
        <w:t xml:space="preserve">, A.J. (2016), </w:t>
      </w:r>
      <w:proofErr w:type="spellStart"/>
      <w:r w:rsidRPr="009B6082">
        <w:t>Coworking</w:t>
      </w:r>
      <w:proofErr w:type="spellEnd"/>
      <w:r w:rsidRPr="009B6082">
        <w:t>-spaces: how a phenomenon of the sharing economy builds a novel trend for the workplace and for entrepreneurship</w:t>
      </w:r>
      <w:r w:rsidR="00B60CE0">
        <w:t xml:space="preserve">, </w:t>
      </w:r>
      <w:r w:rsidR="00B60CE0" w:rsidRPr="000E1498">
        <w:rPr>
          <w:rFonts w:hint="eastAsia"/>
          <w:i/>
          <w:color w:val="FF0000"/>
        </w:rPr>
        <w:t>Review of Managerial Science</w:t>
      </w:r>
      <w:r w:rsidR="00B60CE0">
        <w:t xml:space="preserve">, Vol. 3, pp. </w:t>
      </w:r>
      <w:r w:rsidR="00B60CE0">
        <w:rPr>
          <w:rFonts w:hint="eastAsia"/>
        </w:rPr>
        <w:t>1</w:t>
      </w:r>
      <w:r w:rsidR="00B60CE0">
        <w:t>-</w:t>
      </w:r>
      <w:r w:rsidR="00B60CE0" w:rsidRPr="00B60CE0">
        <w:rPr>
          <w:rFonts w:hint="eastAsia"/>
        </w:rPr>
        <w:t>18. </w:t>
      </w:r>
    </w:p>
    <w:p w:rsidR="00C55ACB" w:rsidRPr="00D73D81" w:rsidRDefault="00C55ACB" w:rsidP="009F41F6">
      <w:pPr>
        <w:spacing w:line="360" w:lineRule="auto"/>
        <w:jc w:val="both"/>
      </w:pPr>
      <w:proofErr w:type="spellStart"/>
      <w:proofErr w:type="gramStart"/>
      <w:r w:rsidRPr="00D73D81">
        <w:t>Brodel</w:t>
      </w:r>
      <w:proofErr w:type="spellEnd"/>
      <w:r w:rsidRPr="00D73D81">
        <w:t xml:space="preserve">, D., </w:t>
      </w:r>
      <w:proofErr w:type="spellStart"/>
      <w:r w:rsidRPr="00D73D81">
        <w:t>Disho</w:t>
      </w:r>
      <w:proofErr w:type="spellEnd"/>
      <w:r w:rsidRPr="00D73D81">
        <w:t xml:space="preserve">, S., </w:t>
      </w:r>
      <w:proofErr w:type="spellStart"/>
      <w:r w:rsidRPr="00D73D81">
        <w:t>Pibal</w:t>
      </w:r>
      <w:proofErr w:type="spellEnd"/>
      <w:r w:rsidRPr="00D73D81">
        <w:t>, F., (2015), Alps-</w:t>
      </w:r>
      <w:proofErr w:type="spellStart"/>
      <w:r w:rsidRPr="00D73D81">
        <w:t>Adria</w:t>
      </w:r>
      <w:proofErr w:type="spellEnd"/>
      <w:r w:rsidRPr="00D73D81">
        <w:t xml:space="preserve"> </w:t>
      </w:r>
      <w:proofErr w:type="spellStart"/>
      <w:r w:rsidRPr="00D73D81">
        <w:t>Coworking</w:t>
      </w:r>
      <w:proofErr w:type="spellEnd"/>
      <w:r w:rsidRPr="00D73D81">
        <w:t>.</w:t>
      </w:r>
      <w:proofErr w:type="gramEnd"/>
      <w:r w:rsidRPr="00D73D81">
        <w:t xml:space="preserve"> </w:t>
      </w:r>
      <w:proofErr w:type="gramStart"/>
      <w:r w:rsidRPr="00D73D81">
        <w:t xml:space="preserve">Empiric Survey about the Status Quo and Potential of the </w:t>
      </w:r>
      <w:proofErr w:type="spellStart"/>
      <w:r w:rsidRPr="00D73D81">
        <w:t>Coworking</w:t>
      </w:r>
      <w:proofErr w:type="spellEnd"/>
      <w:r w:rsidRPr="00D73D81">
        <w:t xml:space="preserve"> Concept in the Alps-Adriatic Region.</w:t>
      </w:r>
      <w:proofErr w:type="gramEnd"/>
      <w:r w:rsidRPr="00D73D81">
        <w:t xml:space="preserve"> Carinthia University of Applied Sciences, School of Management</w:t>
      </w:r>
    </w:p>
    <w:p w:rsidR="009F41F6" w:rsidRPr="00D73D81" w:rsidRDefault="009F41F6" w:rsidP="009F41F6">
      <w:pPr>
        <w:spacing w:line="360" w:lineRule="auto"/>
        <w:jc w:val="both"/>
      </w:pPr>
      <w:r w:rsidRPr="00D73D81">
        <w:t xml:space="preserve">Brown, J. (2017), </w:t>
      </w:r>
      <w:proofErr w:type="spellStart"/>
      <w:r w:rsidRPr="00D73D81">
        <w:t>Curating</w:t>
      </w:r>
      <w:proofErr w:type="spellEnd"/>
      <w:r w:rsidRPr="00D73D81">
        <w:t xml:space="preserve"> the “Third Place”? </w:t>
      </w:r>
      <w:proofErr w:type="spellStart"/>
      <w:r w:rsidRPr="00D73D81">
        <w:t>Coworking</w:t>
      </w:r>
      <w:proofErr w:type="spellEnd"/>
      <w:r w:rsidRPr="00D73D81">
        <w:t xml:space="preserve"> and the mediation of creativity,</w:t>
      </w:r>
      <w:r w:rsidR="000E1498">
        <w:t xml:space="preserve"> </w:t>
      </w:r>
      <w:proofErr w:type="spellStart"/>
      <w:r w:rsidRPr="000E1498">
        <w:rPr>
          <w:i/>
          <w:color w:val="FF0000"/>
        </w:rPr>
        <w:t>Geoforum</w:t>
      </w:r>
      <w:proofErr w:type="spellEnd"/>
      <w:r w:rsidRPr="00D73D81">
        <w:t>, Vol. 82, pp. 112–126</w:t>
      </w:r>
    </w:p>
    <w:p w:rsidR="000120B1" w:rsidRPr="00D73D81" w:rsidRDefault="000120B1" w:rsidP="008C21D4">
      <w:pPr>
        <w:spacing w:line="360" w:lineRule="auto"/>
        <w:jc w:val="both"/>
      </w:pPr>
      <w:proofErr w:type="spellStart"/>
      <w:r w:rsidRPr="00D73D81">
        <w:t>Brunelle</w:t>
      </w:r>
      <w:proofErr w:type="spellEnd"/>
      <w:r w:rsidRPr="00D73D81">
        <w:t xml:space="preserve">, E. (2013), Leadership and Mobile Working: The Impact of Distance on the Superior-Subordinate Relationship and the Moderating Effects of Leadership Style, </w:t>
      </w:r>
      <w:r w:rsidRPr="000E1498">
        <w:rPr>
          <w:i/>
          <w:color w:val="FF0000"/>
        </w:rPr>
        <w:t>International Journal of Business and Social Science</w:t>
      </w:r>
      <w:r w:rsidRPr="00D73D81">
        <w:t>, Vol. 4, No. 11, pp. 1-14.</w:t>
      </w:r>
    </w:p>
    <w:p w:rsidR="000120B1" w:rsidRPr="00D73D81" w:rsidRDefault="000120B1" w:rsidP="008C21D4">
      <w:pPr>
        <w:spacing w:line="360" w:lineRule="auto"/>
        <w:jc w:val="both"/>
      </w:pPr>
      <w:r w:rsidRPr="00D73D81">
        <w:t xml:space="preserve">Bryant, S.E. (2003), </w:t>
      </w:r>
      <w:proofErr w:type="gramStart"/>
      <w:r w:rsidRPr="00D73D81">
        <w:t>The</w:t>
      </w:r>
      <w:proofErr w:type="gramEnd"/>
      <w:r w:rsidRPr="00D73D81">
        <w:t xml:space="preserve"> role of transformational and transactional leadership in creating, sharing and exploiting organizational knowledge, </w:t>
      </w:r>
      <w:r w:rsidRPr="000E1498">
        <w:rPr>
          <w:i/>
          <w:color w:val="FF0000"/>
        </w:rPr>
        <w:t>Journal of Leadership &amp; Organizational Studies</w:t>
      </w:r>
      <w:r w:rsidRPr="00D73D81">
        <w:t>, Vol. 9, No. 4, pp. 32- 44.</w:t>
      </w:r>
    </w:p>
    <w:p w:rsidR="000120B1" w:rsidRPr="00D73D81" w:rsidRDefault="000120B1" w:rsidP="008C21D4">
      <w:pPr>
        <w:spacing w:line="360" w:lineRule="auto"/>
        <w:jc w:val="both"/>
      </w:pPr>
      <w:r w:rsidRPr="00D73D81">
        <w:t xml:space="preserve">Cameron, C. (2012), </w:t>
      </w:r>
      <w:proofErr w:type="spellStart"/>
      <w:r w:rsidRPr="00D73D81">
        <w:t>Coworking</w:t>
      </w:r>
      <w:proofErr w:type="spellEnd"/>
      <w:r w:rsidRPr="00D73D81">
        <w:t xml:space="preserve"> Offices– The Emerging Trend and Implications for Queensland in an era of High-speed Broadband, Department of Employment, Economic Development and Innovation, Queensland Government.</w:t>
      </w:r>
    </w:p>
    <w:p w:rsidR="00AC7BB3" w:rsidRDefault="00AC7BB3" w:rsidP="00AC7BB3">
      <w:pPr>
        <w:spacing w:line="360" w:lineRule="auto"/>
        <w:jc w:val="both"/>
      </w:pPr>
      <w:proofErr w:type="spellStart"/>
      <w:r w:rsidRPr="00D73D81">
        <w:lastRenderedPageBreak/>
        <w:t>Chuah</w:t>
      </w:r>
      <w:proofErr w:type="spellEnd"/>
      <w:r w:rsidRPr="00D73D81">
        <w:t xml:space="preserve">, V., </w:t>
      </w:r>
      <w:r w:rsidR="00DF4D69">
        <w:t>(</w:t>
      </w:r>
      <w:r w:rsidRPr="00D73D81">
        <w:t>2016</w:t>
      </w:r>
      <w:r w:rsidR="00DF4D69">
        <w:t xml:space="preserve">), </w:t>
      </w:r>
      <w:r w:rsidRPr="00D73D81">
        <w:t>Beyond the Core: The Role of Co-working Spaces in Local Economic</w:t>
      </w:r>
      <w:r w:rsidR="00DF4D69">
        <w:t xml:space="preserve"> </w:t>
      </w:r>
      <w:r w:rsidRPr="00D73D81">
        <w:t xml:space="preserve">Development. </w:t>
      </w:r>
      <w:proofErr w:type="gramStart"/>
      <w:r w:rsidRPr="00D73D81">
        <w:t>(</w:t>
      </w:r>
      <w:proofErr w:type="spellStart"/>
      <w:r w:rsidRPr="00D73D81">
        <w:t>Masters</w:t>
      </w:r>
      <w:proofErr w:type="spellEnd"/>
      <w:r w:rsidR="00B20F38">
        <w:t xml:space="preserve"> </w:t>
      </w:r>
      <w:r w:rsidRPr="00D73D81">
        <w:t>Thesis).</w:t>
      </w:r>
      <w:proofErr w:type="gramEnd"/>
      <w:r w:rsidR="00D73D81">
        <w:t xml:space="preserve"> </w:t>
      </w:r>
      <w:r w:rsidRPr="00D73D81">
        <w:t>Columbia University Available at</w:t>
      </w:r>
      <w:proofErr w:type="gramStart"/>
      <w:r w:rsidRPr="00D73D81">
        <w:t>:.</w:t>
      </w:r>
      <w:proofErr w:type="gramEnd"/>
      <w:r w:rsidRPr="00D73D81">
        <w:t xml:space="preserve"> </w:t>
      </w:r>
      <w:hyperlink r:id="rId10" w:history="1">
        <w:r w:rsidR="00D73D81" w:rsidRPr="00FB5D60">
          <w:rPr>
            <w:rStyle w:val="Hyperlink"/>
          </w:rPr>
          <w:t>https://academiccommons.columbia.edu/catalog/ac:200240</w:t>
        </w:r>
      </w:hyperlink>
      <w:r w:rsidR="00D73D81">
        <w:t xml:space="preserve"> </w:t>
      </w:r>
      <w:r w:rsidRPr="00D73D81">
        <w:t>(accessed 2/10/17).</w:t>
      </w:r>
    </w:p>
    <w:p w:rsidR="000120B1" w:rsidRDefault="00D4490C" w:rsidP="00AC7BB3">
      <w:pPr>
        <w:spacing w:line="360" w:lineRule="auto"/>
        <w:jc w:val="both"/>
      </w:pPr>
      <w:proofErr w:type="spellStart"/>
      <w:r w:rsidRPr="00D4490C">
        <w:t>Deskmag</w:t>
      </w:r>
      <w:proofErr w:type="spellEnd"/>
      <w:r w:rsidRPr="00D4490C">
        <w:t xml:space="preserve"> (2014), “The </w:t>
      </w:r>
      <w:proofErr w:type="spellStart"/>
      <w:r w:rsidRPr="00D4490C">
        <w:t>Coworking</w:t>
      </w:r>
      <w:proofErr w:type="spellEnd"/>
      <w:r w:rsidRPr="00D4490C">
        <w:t xml:space="preserve"> Forecast 2014”, </w:t>
      </w:r>
      <w:hyperlink r:id="rId11" w:history="1">
        <w:r w:rsidRPr="008E5B46">
          <w:rPr>
            <w:rStyle w:val="Hyperlink"/>
          </w:rPr>
          <w:t>www.deskmag.com/en/the-coworkingmarket-report-forecast-2014</w:t>
        </w:r>
      </w:hyperlink>
      <w:r w:rsidR="005300BF">
        <w:t xml:space="preserve"> (retrieved 15 September 2017). </w:t>
      </w:r>
      <w:r w:rsidRPr="00D4490C">
        <w:cr/>
      </w:r>
      <w:r w:rsidR="00DF4D69">
        <w:t>Dixon, M.</w:t>
      </w:r>
      <w:r w:rsidR="000120B1" w:rsidRPr="00D73D81">
        <w:t xml:space="preserve"> </w:t>
      </w:r>
      <w:r w:rsidR="00055072" w:rsidRPr="00D73D81">
        <w:t>and</w:t>
      </w:r>
      <w:r w:rsidR="000120B1" w:rsidRPr="00D73D81">
        <w:t xml:space="preserve"> Ross, P. (2011)</w:t>
      </w:r>
      <w:r w:rsidR="00055072" w:rsidRPr="00D73D81">
        <w:t xml:space="preserve">, </w:t>
      </w:r>
      <w:proofErr w:type="spellStart"/>
      <w:r w:rsidR="000120B1" w:rsidRPr="00D73D81">
        <w:t>VWork</w:t>
      </w:r>
      <w:proofErr w:type="spellEnd"/>
      <w:r w:rsidR="000120B1" w:rsidRPr="00D73D81">
        <w:t>: Measuring the benef</w:t>
      </w:r>
      <w:r w:rsidR="00055072" w:rsidRPr="00D73D81">
        <w:t>its of agility at work</w:t>
      </w:r>
      <w:r w:rsidR="000120B1" w:rsidRPr="00D73D81">
        <w:t xml:space="preserve">, </w:t>
      </w:r>
      <w:proofErr w:type="spellStart"/>
      <w:r w:rsidR="000120B1" w:rsidRPr="00D73D81">
        <w:t>Regus</w:t>
      </w:r>
      <w:proofErr w:type="spellEnd"/>
      <w:r w:rsidR="000120B1" w:rsidRPr="00D73D81">
        <w:t xml:space="preserve">/Unwired, [On-line] </w:t>
      </w:r>
      <w:hyperlink r:id="rId12" w:history="1">
        <w:r w:rsidR="00D73D81" w:rsidRPr="00FB5D60">
          <w:rPr>
            <w:rStyle w:val="Hyperlink"/>
          </w:rPr>
          <w:t>http://www.regus.com/images/Regus-VWork-7-nocrops_tcm304-39506.pdf</w:t>
        </w:r>
      </w:hyperlink>
      <w:r w:rsidR="00D73D81">
        <w:t xml:space="preserve"> </w:t>
      </w:r>
      <w:r w:rsidR="000120B1" w:rsidRPr="00D73D81">
        <w:t>(May 2011).</w:t>
      </w:r>
    </w:p>
    <w:p w:rsidR="00055072" w:rsidRPr="00D73D81" w:rsidRDefault="00055072" w:rsidP="008C21D4">
      <w:pPr>
        <w:spacing w:line="360" w:lineRule="auto"/>
        <w:jc w:val="both"/>
      </w:pPr>
      <w:r w:rsidRPr="00D73D81">
        <w:t xml:space="preserve">Forbes, T. (2014), Queensland Public Servants Trial Digital Hubs, Flexible Work Arrangements, ABC: News [Online] </w:t>
      </w:r>
      <w:hyperlink r:id="rId13" w:history="1">
        <w:r w:rsidR="00D73D81" w:rsidRPr="00FB5D60">
          <w:rPr>
            <w:rStyle w:val="Hyperlink"/>
          </w:rPr>
          <w:t>http://www.abc.net.au/news/2014-09-07/queensland-public-servants-trial-digital-hubs-flexible-work/5724826?section=qld</w:t>
        </w:r>
      </w:hyperlink>
      <w:r w:rsidR="00D73D81">
        <w:t xml:space="preserve"> </w:t>
      </w:r>
      <w:r w:rsidRPr="00D73D81">
        <w:t>(7 Sep 2014).</w:t>
      </w:r>
    </w:p>
    <w:p w:rsidR="00EE63C4" w:rsidRPr="00D73D81" w:rsidRDefault="00EE63C4" w:rsidP="008C21D4">
      <w:pPr>
        <w:spacing w:line="360" w:lineRule="auto"/>
        <w:jc w:val="both"/>
      </w:pPr>
      <w:proofErr w:type="spellStart"/>
      <w:r w:rsidRPr="00D73D81">
        <w:t>Fuzi</w:t>
      </w:r>
      <w:proofErr w:type="spellEnd"/>
      <w:r w:rsidRPr="00D73D81">
        <w:t>, A. (2015)</w:t>
      </w:r>
      <w:r w:rsidR="007F7494" w:rsidRPr="00D73D81">
        <w:t>,</w:t>
      </w:r>
      <w:r w:rsidRPr="00D73D81">
        <w:t xml:space="preserve"> Co-Working spaces for promoting entrepreneurship in sparse regions:  the case of South Wales. Regional Studies, </w:t>
      </w:r>
      <w:r w:rsidRPr="000E1498">
        <w:rPr>
          <w:i/>
          <w:color w:val="FF0000"/>
        </w:rPr>
        <w:t>Regional Science</w:t>
      </w:r>
      <w:r w:rsidR="00D0549D" w:rsidRPr="00D73D81">
        <w:t xml:space="preserve">, </w:t>
      </w:r>
      <w:proofErr w:type="spellStart"/>
      <w:r w:rsidR="00D0549D" w:rsidRPr="00D73D81">
        <w:t>Vol</w:t>
      </w:r>
      <w:proofErr w:type="spellEnd"/>
      <w:r w:rsidR="00D0549D" w:rsidRPr="00D73D81">
        <w:t xml:space="preserve"> 2</w:t>
      </w:r>
      <w:r w:rsidR="00DF4D69">
        <w:t xml:space="preserve">, No 1, </w:t>
      </w:r>
      <w:r w:rsidR="00D0549D" w:rsidRPr="00D73D81">
        <w:t>pp.462-469</w:t>
      </w:r>
    </w:p>
    <w:p w:rsidR="00A62D66" w:rsidRPr="00D73D81" w:rsidRDefault="00A62D66" w:rsidP="008C21D4">
      <w:pPr>
        <w:spacing w:line="360" w:lineRule="auto"/>
        <w:jc w:val="both"/>
      </w:pPr>
      <w:proofErr w:type="spellStart"/>
      <w:r w:rsidRPr="00D73D81">
        <w:t>Gandini</w:t>
      </w:r>
      <w:proofErr w:type="spellEnd"/>
      <w:r w:rsidRPr="00D73D81">
        <w:t xml:space="preserve">, A. (2015), </w:t>
      </w:r>
      <w:proofErr w:type="gramStart"/>
      <w:r w:rsidRPr="00D73D81">
        <w:t>The</w:t>
      </w:r>
      <w:proofErr w:type="gramEnd"/>
      <w:r w:rsidRPr="00D73D81">
        <w:t xml:space="preserve"> rise of </w:t>
      </w:r>
      <w:proofErr w:type="spellStart"/>
      <w:r w:rsidRPr="00D73D81">
        <w:t>coworking</w:t>
      </w:r>
      <w:proofErr w:type="spellEnd"/>
      <w:r w:rsidRPr="00D73D81">
        <w:t xml:space="preserve"> spaces:  A literature review, Ephemera, </w:t>
      </w:r>
      <w:r w:rsidRPr="000E1498">
        <w:rPr>
          <w:i/>
          <w:color w:val="FF0000"/>
        </w:rPr>
        <w:t>Theory and Politics in Organization</w:t>
      </w:r>
      <w:r w:rsidRPr="00D73D81">
        <w:t xml:space="preserve">, Vol. 15, </w:t>
      </w:r>
      <w:r w:rsidR="00DF4D69">
        <w:t xml:space="preserve">No 1, </w:t>
      </w:r>
      <w:r w:rsidRPr="00D73D81">
        <w:t>pp. 193-205.</w:t>
      </w:r>
    </w:p>
    <w:p w:rsidR="001410F5" w:rsidRDefault="001410F5" w:rsidP="001410F5">
      <w:pPr>
        <w:spacing w:line="360" w:lineRule="auto"/>
        <w:jc w:val="both"/>
      </w:pPr>
      <w:proofErr w:type="spellStart"/>
      <w:r w:rsidRPr="00D73D81">
        <w:t>Gerdenitsch</w:t>
      </w:r>
      <w:proofErr w:type="spellEnd"/>
      <w:r w:rsidRPr="00D73D81">
        <w:t xml:space="preserve"> C., </w:t>
      </w:r>
      <w:proofErr w:type="spellStart"/>
      <w:r w:rsidRPr="00D73D81">
        <w:t>Scheel</w:t>
      </w:r>
      <w:proofErr w:type="spellEnd"/>
      <w:r w:rsidRPr="00D73D81">
        <w:t xml:space="preserve"> T.E., </w:t>
      </w:r>
      <w:proofErr w:type="spellStart"/>
      <w:r w:rsidRPr="00D73D81">
        <w:t>Andorfer</w:t>
      </w:r>
      <w:proofErr w:type="spellEnd"/>
      <w:r w:rsidRPr="00D73D81">
        <w:t xml:space="preserve"> J., </w:t>
      </w:r>
      <w:proofErr w:type="spellStart"/>
      <w:r w:rsidRPr="00D73D81">
        <w:t>Korunka</w:t>
      </w:r>
      <w:proofErr w:type="spellEnd"/>
      <w:r w:rsidRPr="00D73D81">
        <w:t xml:space="preserve"> C. (2016)</w:t>
      </w:r>
      <w:r w:rsidR="007F7494" w:rsidRPr="00D73D81">
        <w:t>,</w:t>
      </w:r>
      <w:r w:rsidR="000E1498">
        <w:t xml:space="preserve"> </w:t>
      </w:r>
      <w:proofErr w:type="spellStart"/>
      <w:r w:rsidRPr="00D73D81">
        <w:t>Coworking</w:t>
      </w:r>
      <w:proofErr w:type="spellEnd"/>
      <w:r w:rsidRPr="00D73D81">
        <w:t xml:space="preserve"> Spaces: A Source of Social Support for Independent Professionals, </w:t>
      </w:r>
      <w:r w:rsidRPr="000E1498">
        <w:rPr>
          <w:i/>
          <w:color w:val="FF0000"/>
        </w:rPr>
        <w:t>Frontiers in Psychology</w:t>
      </w:r>
      <w:r w:rsidRPr="00D73D81">
        <w:t>,   Vol.  7</w:t>
      </w:r>
      <w:r w:rsidR="000E1498">
        <w:t xml:space="preserve">, </w:t>
      </w:r>
      <w:r w:rsidRPr="00D73D81">
        <w:t>article 581.</w:t>
      </w:r>
    </w:p>
    <w:p w:rsidR="00F73D1A" w:rsidRDefault="00F73D1A" w:rsidP="008C21D4">
      <w:pPr>
        <w:spacing w:line="360" w:lineRule="auto"/>
        <w:jc w:val="both"/>
      </w:pPr>
      <w:proofErr w:type="spellStart"/>
      <w:proofErr w:type="gramStart"/>
      <w:r w:rsidRPr="00F73D1A">
        <w:t>Ghauri</w:t>
      </w:r>
      <w:proofErr w:type="spellEnd"/>
      <w:r w:rsidRPr="00F73D1A">
        <w:t xml:space="preserve">, P. and </w:t>
      </w:r>
      <w:proofErr w:type="spellStart"/>
      <w:r w:rsidRPr="00F73D1A">
        <w:t>Gronhaug</w:t>
      </w:r>
      <w:proofErr w:type="spellEnd"/>
      <w:r w:rsidRPr="00F73D1A">
        <w:t>, K. (2005).</w:t>
      </w:r>
      <w:proofErr w:type="gramEnd"/>
      <w:r w:rsidRPr="00F73D1A">
        <w:t xml:space="preserve"> Research methods in business studies, a practical guide (3rd </w:t>
      </w:r>
      <w:proofErr w:type="gramStart"/>
      <w:r w:rsidRPr="00F73D1A">
        <w:t>ed</w:t>
      </w:r>
      <w:proofErr w:type="gramEnd"/>
      <w:r w:rsidRPr="00F73D1A">
        <w:t xml:space="preserve">.). New York: Financial Times Prentice Hall. </w:t>
      </w:r>
    </w:p>
    <w:p w:rsidR="009B6082" w:rsidRPr="00D73D81" w:rsidRDefault="009B6082" w:rsidP="008C21D4">
      <w:pPr>
        <w:spacing w:line="360" w:lineRule="auto"/>
        <w:jc w:val="both"/>
      </w:pPr>
      <w:r w:rsidRPr="009B6082">
        <w:t xml:space="preserve">Green, R. (2014). Collaborate or compete: How do landlords respond to the rise in </w:t>
      </w:r>
      <w:proofErr w:type="spellStart"/>
      <w:r w:rsidRPr="00D73D81">
        <w:t>coworking</w:t>
      </w:r>
      <w:proofErr w:type="spellEnd"/>
      <w:proofErr w:type="gramStart"/>
      <w:r w:rsidRPr="00D73D81">
        <w:t>?</w:t>
      </w:r>
      <w:r w:rsidR="000E1498">
        <w:t>,</w:t>
      </w:r>
      <w:proofErr w:type="gramEnd"/>
      <w:r w:rsidR="000E1498">
        <w:t xml:space="preserve"> </w:t>
      </w:r>
      <w:r w:rsidRPr="000E1498">
        <w:rPr>
          <w:i/>
          <w:color w:val="FF0000"/>
        </w:rPr>
        <w:t>Cornell Real Estate Review</w:t>
      </w:r>
      <w:r w:rsidRPr="00D73D81">
        <w:t>, Vol. 12, pp. 52-59.</w:t>
      </w:r>
    </w:p>
    <w:p w:rsidR="007F7494" w:rsidRPr="00D73D81" w:rsidRDefault="007F7494" w:rsidP="008C21D4">
      <w:pPr>
        <w:spacing w:line="360" w:lineRule="auto"/>
        <w:jc w:val="both"/>
      </w:pPr>
      <w:proofErr w:type="spellStart"/>
      <w:r w:rsidRPr="00D73D81">
        <w:t>Ibert</w:t>
      </w:r>
      <w:proofErr w:type="spellEnd"/>
      <w:r w:rsidRPr="00D73D81">
        <w:t xml:space="preserve">, O. (2010), Relational distance: </w:t>
      </w:r>
      <w:proofErr w:type="spellStart"/>
      <w:r w:rsidRPr="00D73D81">
        <w:t>Sociocultural</w:t>
      </w:r>
      <w:proofErr w:type="spellEnd"/>
      <w:r w:rsidRPr="00D73D81">
        <w:t xml:space="preserve"> and time–spatial tensions in innovation practices, </w:t>
      </w:r>
      <w:r w:rsidRPr="000E1498">
        <w:rPr>
          <w:i/>
          <w:color w:val="FF0000"/>
        </w:rPr>
        <w:t>Environment and planning</w:t>
      </w:r>
      <w:r w:rsidRPr="00D73D81">
        <w:t>, Vol. 42</w:t>
      </w:r>
      <w:r w:rsidR="000E1498">
        <w:t xml:space="preserve">, </w:t>
      </w:r>
      <w:r w:rsidR="00DF4D69">
        <w:t xml:space="preserve">No </w:t>
      </w:r>
      <w:r w:rsidRPr="00D73D81">
        <w:t>1, pp 187.</w:t>
      </w:r>
    </w:p>
    <w:p w:rsidR="00AD6189" w:rsidRDefault="00AD6189" w:rsidP="008638AA">
      <w:pPr>
        <w:spacing w:line="360" w:lineRule="auto"/>
        <w:jc w:val="both"/>
      </w:pPr>
      <w:proofErr w:type="spellStart"/>
      <w:r w:rsidRPr="00D73D81">
        <w:t>Kjaerulff</w:t>
      </w:r>
      <w:proofErr w:type="spellEnd"/>
      <w:r w:rsidRPr="00D73D81">
        <w:t>, J. (2010), Internet and Change, Int</w:t>
      </w:r>
      <w:r w:rsidR="00D73D81">
        <w:t>ervention Press, Arhus, Denmark</w:t>
      </w:r>
    </w:p>
    <w:p w:rsidR="008638AA" w:rsidRDefault="005C73C1" w:rsidP="008638AA">
      <w:pPr>
        <w:spacing w:line="360" w:lineRule="auto"/>
        <w:jc w:val="both"/>
      </w:pPr>
      <w:r>
        <w:t xml:space="preserve">Knight Frank (2016), Sydney </w:t>
      </w:r>
      <w:proofErr w:type="spellStart"/>
      <w:r w:rsidRPr="005C73C1">
        <w:rPr>
          <w:color w:val="FF0000"/>
        </w:rPr>
        <w:t>co</w:t>
      </w:r>
      <w:r w:rsidR="008638AA" w:rsidRPr="005C73C1">
        <w:rPr>
          <w:color w:val="FF0000"/>
        </w:rPr>
        <w:t>working</w:t>
      </w:r>
      <w:proofErr w:type="spellEnd"/>
      <w:r w:rsidR="008638AA">
        <w:t xml:space="preserve"> insight, </w:t>
      </w:r>
      <w:hyperlink r:id="rId14" w:history="1">
        <w:r w:rsidR="008638AA" w:rsidRPr="008E5B46">
          <w:rPr>
            <w:rStyle w:val="Hyperlink"/>
          </w:rPr>
          <w:t>http://research.knightfrank.com.au/resinsight161024.pdf</w:t>
        </w:r>
      </w:hyperlink>
      <w:r w:rsidR="008638AA">
        <w:t xml:space="preserve"> </w:t>
      </w:r>
    </w:p>
    <w:p w:rsidR="008638AA" w:rsidRDefault="008638AA" w:rsidP="008638AA">
      <w:pPr>
        <w:spacing w:line="360" w:lineRule="auto"/>
        <w:jc w:val="both"/>
      </w:pPr>
      <w:r>
        <w:t xml:space="preserve">Knight Frank (2017), </w:t>
      </w:r>
      <w:proofErr w:type="gramStart"/>
      <w:r w:rsidRPr="00D4490C">
        <w:t>Bridging</w:t>
      </w:r>
      <w:proofErr w:type="gramEnd"/>
      <w:r w:rsidRPr="00D4490C">
        <w:t xml:space="preserve"> the Gap: Melbourne’s </w:t>
      </w:r>
      <w:proofErr w:type="spellStart"/>
      <w:r w:rsidRPr="00D4490C">
        <w:t>Coworking</w:t>
      </w:r>
      <w:proofErr w:type="spellEnd"/>
      <w:r w:rsidRPr="00D4490C">
        <w:t xml:space="preserve"> Culture</w:t>
      </w:r>
      <w:r>
        <w:t xml:space="preserve">, </w:t>
      </w:r>
      <w:hyperlink r:id="rId15" w:history="1">
        <w:r w:rsidRPr="008E5B46">
          <w:rPr>
            <w:rStyle w:val="Hyperlink"/>
          </w:rPr>
          <w:t>https://kfcontent.blob.core.windows.net/research/1100/documents/en/melcowork1702-4438.pdf</w:t>
        </w:r>
      </w:hyperlink>
      <w:r>
        <w:t xml:space="preserve">  </w:t>
      </w:r>
      <w:r w:rsidRPr="005300BF">
        <w:t>(retrieved 15 September 2017)</w:t>
      </w:r>
    </w:p>
    <w:p w:rsidR="008C21D4" w:rsidRDefault="008C21D4" w:rsidP="008C21D4">
      <w:pPr>
        <w:spacing w:line="360" w:lineRule="auto"/>
        <w:jc w:val="both"/>
      </w:pPr>
      <w:proofErr w:type="spellStart"/>
      <w:r>
        <w:t>Kojo</w:t>
      </w:r>
      <w:proofErr w:type="spellEnd"/>
      <w:r>
        <w:t xml:space="preserve">, </w:t>
      </w:r>
      <w:r w:rsidR="00CF0A25">
        <w:t xml:space="preserve">I. and </w:t>
      </w:r>
      <w:proofErr w:type="spellStart"/>
      <w:r>
        <w:t>Nenonen</w:t>
      </w:r>
      <w:proofErr w:type="spellEnd"/>
      <w:r>
        <w:t>,</w:t>
      </w:r>
      <w:r w:rsidR="00CF0A25">
        <w:t xml:space="preserve"> S. </w:t>
      </w:r>
      <w:r>
        <w:t>(2016)</w:t>
      </w:r>
      <w:r w:rsidR="00CF0A25">
        <w:t xml:space="preserve">, </w:t>
      </w:r>
      <w:r>
        <w:t>Typologies for co-working spaces in Finland – what and how?</w:t>
      </w:r>
      <w:proofErr w:type="gramStart"/>
      <w:r>
        <w:t>",</w:t>
      </w:r>
      <w:proofErr w:type="gramEnd"/>
      <w:r>
        <w:t xml:space="preserve"> </w:t>
      </w:r>
      <w:r w:rsidRPr="000E1498">
        <w:rPr>
          <w:i/>
          <w:color w:val="FF0000"/>
        </w:rPr>
        <w:t>Facilities</w:t>
      </w:r>
      <w:r>
        <w:t>, Vol. 34</w:t>
      </w:r>
      <w:r w:rsidR="000E1498">
        <w:t xml:space="preserve">, </w:t>
      </w:r>
      <w:r w:rsidR="00447F03">
        <w:t xml:space="preserve">No </w:t>
      </w:r>
      <w:r>
        <w:t>5/6, pp.302-313</w:t>
      </w:r>
    </w:p>
    <w:p w:rsidR="00816B4E" w:rsidRPr="00D73D81" w:rsidRDefault="00816B4E" w:rsidP="004F2491">
      <w:pPr>
        <w:spacing w:line="360" w:lineRule="auto"/>
        <w:jc w:val="both"/>
      </w:pPr>
      <w:proofErr w:type="gramStart"/>
      <w:r w:rsidRPr="00D73D81">
        <w:lastRenderedPageBreak/>
        <w:t xml:space="preserve">Land, C., Otto, B., </w:t>
      </w:r>
      <w:proofErr w:type="spellStart"/>
      <w:r w:rsidRPr="00D73D81">
        <w:t>Böhm</w:t>
      </w:r>
      <w:proofErr w:type="spellEnd"/>
      <w:r w:rsidRPr="00D73D81">
        <w:t>, S. and Johansson, M. (201</w:t>
      </w:r>
      <w:r w:rsidR="00B20F38">
        <w:t>2).</w:t>
      </w:r>
      <w:proofErr w:type="gramEnd"/>
      <w:r w:rsidR="00B20F38">
        <w:t xml:space="preserve"> </w:t>
      </w:r>
      <w:proofErr w:type="gramStart"/>
      <w:r w:rsidRPr="00D73D81">
        <w:t>Creative Community or Co-mutiny?</w:t>
      </w:r>
      <w:proofErr w:type="gramEnd"/>
      <w:r w:rsidRPr="00D73D81">
        <w:t xml:space="preserve"> Practices, Positions and Political Potentials in </w:t>
      </w:r>
      <w:proofErr w:type="spellStart"/>
      <w:r w:rsidRPr="00D73D81">
        <w:t>Coworking</w:t>
      </w:r>
      <w:proofErr w:type="spellEnd"/>
      <w:r w:rsidRPr="00D73D81">
        <w:t xml:space="preserve"> Spaces, Proceedings of the 6th Art of Management and Organization Conference 2012: Creativity &amp; Critique, University of York (4-7 September, 2012), pp. 47-48.</w:t>
      </w:r>
    </w:p>
    <w:p w:rsidR="00B60CE0" w:rsidRPr="00D73D81" w:rsidRDefault="00B60CE0" w:rsidP="004F2491">
      <w:pPr>
        <w:spacing w:line="360" w:lineRule="auto"/>
        <w:jc w:val="both"/>
      </w:pPr>
      <w:proofErr w:type="spellStart"/>
      <w:r w:rsidRPr="00D73D81">
        <w:t>Leclercq-Vandelannoitte</w:t>
      </w:r>
      <w:proofErr w:type="spellEnd"/>
      <w:r w:rsidRPr="00D73D81">
        <w:t xml:space="preserve">, A. and Isaac, H. (2016), </w:t>
      </w:r>
      <w:proofErr w:type="gramStart"/>
      <w:r w:rsidRPr="00D73D81">
        <w:t>The</w:t>
      </w:r>
      <w:proofErr w:type="gramEnd"/>
      <w:r w:rsidRPr="00D73D81">
        <w:t xml:space="preserve"> new office: how </w:t>
      </w:r>
      <w:proofErr w:type="spellStart"/>
      <w:r w:rsidRPr="00D73D81">
        <w:t>coworking</w:t>
      </w:r>
      <w:proofErr w:type="spellEnd"/>
      <w:r w:rsidRPr="00D73D81">
        <w:t xml:space="preserve"> changes the work concept, </w:t>
      </w:r>
      <w:r w:rsidRPr="000E1498">
        <w:rPr>
          <w:i/>
          <w:color w:val="FF0000"/>
        </w:rPr>
        <w:t>Journal of Business Strategy</w:t>
      </w:r>
      <w:r w:rsidRPr="00D73D81">
        <w:t>, Vol. 37, pp. 3-9</w:t>
      </w:r>
    </w:p>
    <w:p w:rsidR="00E84D09" w:rsidRDefault="00E84D09" w:rsidP="00E84D09">
      <w:pPr>
        <w:spacing w:line="360" w:lineRule="auto"/>
        <w:jc w:val="both"/>
      </w:pPr>
      <w:proofErr w:type="spellStart"/>
      <w:r w:rsidRPr="00D73D81">
        <w:t>Liegl</w:t>
      </w:r>
      <w:proofErr w:type="spellEnd"/>
      <w:r w:rsidRPr="00D73D81">
        <w:t>, M., (2014)</w:t>
      </w:r>
      <w:r w:rsidR="007F7494" w:rsidRPr="00D73D81">
        <w:t>,</w:t>
      </w:r>
      <w:r w:rsidRPr="00D73D81">
        <w:t xml:space="preserve"> </w:t>
      </w:r>
      <w:proofErr w:type="spellStart"/>
      <w:r w:rsidRPr="00D73D81">
        <w:t>Nomadicity</w:t>
      </w:r>
      <w:proofErr w:type="spellEnd"/>
      <w:r w:rsidRPr="00D73D81">
        <w:t xml:space="preserve"> and the Care of Place—on the Aesthetic and Affective Organization of Space in Freelance Creative Work, </w:t>
      </w:r>
      <w:r w:rsidRPr="000E1498">
        <w:rPr>
          <w:i/>
          <w:color w:val="FF0000"/>
        </w:rPr>
        <w:t>Computer Supported Cooperative Work (CSCW)</w:t>
      </w:r>
      <w:r w:rsidR="000E1498">
        <w:t xml:space="preserve">, </w:t>
      </w:r>
      <w:r w:rsidRPr="00D73D81">
        <w:t>Vol. 23, pp163–183</w:t>
      </w:r>
    </w:p>
    <w:p w:rsidR="004F2491" w:rsidRDefault="004D0CB5" w:rsidP="004F2491">
      <w:pPr>
        <w:spacing w:line="360" w:lineRule="auto"/>
        <w:jc w:val="both"/>
      </w:pPr>
      <w:r w:rsidRPr="004F2491">
        <w:t xml:space="preserve">Lindsay, N. (2017), Co-working grows 35% in year, The Sydney Morning Herald, </w:t>
      </w:r>
      <w:hyperlink r:id="rId16" w:history="1">
        <w:r w:rsidRPr="00C56C1E">
          <w:rPr>
            <w:rStyle w:val="Hyperlink"/>
          </w:rPr>
          <w:t>http://www.smh.com.au/business/property/coworking-grows-35-in-year-20170209-gu95zx.html</w:t>
        </w:r>
      </w:hyperlink>
      <w:r>
        <w:rPr>
          <w:b/>
        </w:rPr>
        <w:t>,</w:t>
      </w:r>
      <w:r w:rsidRPr="004F2491">
        <w:t xml:space="preserve"> </w:t>
      </w:r>
      <w:r w:rsidR="005300BF">
        <w:t>(</w:t>
      </w:r>
      <w:r w:rsidRPr="004F2491">
        <w:t>retrieved 15 September 2017</w:t>
      </w:r>
      <w:r w:rsidR="005300BF">
        <w:t>)</w:t>
      </w:r>
      <w:r w:rsidR="004F2491" w:rsidRPr="004F2491">
        <w:t xml:space="preserve"> </w:t>
      </w:r>
    </w:p>
    <w:p w:rsidR="00F73D1A" w:rsidRPr="004F2491" w:rsidRDefault="00F73D1A" w:rsidP="004F2491">
      <w:pPr>
        <w:spacing w:line="360" w:lineRule="auto"/>
        <w:jc w:val="both"/>
      </w:pPr>
      <w:proofErr w:type="spellStart"/>
      <w:r w:rsidRPr="00F73D1A">
        <w:t>Mariampolski</w:t>
      </w:r>
      <w:proofErr w:type="spellEnd"/>
      <w:r w:rsidRPr="00F73D1A">
        <w:t>,</w:t>
      </w:r>
      <w:r>
        <w:t xml:space="preserve"> H. (</w:t>
      </w:r>
      <w:r w:rsidRPr="00F73D1A">
        <w:t>2001</w:t>
      </w:r>
      <w:r>
        <w:t>, Qualitative Market Resea</w:t>
      </w:r>
      <w:r w:rsidR="00D73D81">
        <w:t>rch, Sage Publications, London</w:t>
      </w:r>
    </w:p>
    <w:p w:rsidR="00E53010" w:rsidRPr="00D73D81" w:rsidRDefault="00E53010" w:rsidP="004F2491">
      <w:pPr>
        <w:spacing w:line="360" w:lineRule="auto"/>
        <w:jc w:val="both"/>
      </w:pPr>
      <w:r w:rsidRPr="00D73D81">
        <w:t>Merkel, J., (2015)</w:t>
      </w:r>
      <w:r w:rsidR="007F7494" w:rsidRPr="00D73D81">
        <w:t>,</w:t>
      </w:r>
      <w:r w:rsidRPr="00D73D81">
        <w:t xml:space="preserve"> </w:t>
      </w:r>
      <w:proofErr w:type="spellStart"/>
      <w:r w:rsidRPr="00D73D81">
        <w:t>Coworking</w:t>
      </w:r>
      <w:proofErr w:type="spellEnd"/>
      <w:r w:rsidRPr="00D73D81">
        <w:t xml:space="preserve"> in the city, Ephemera, </w:t>
      </w:r>
      <w:r w:rsidRPr="000E1498">
        <w:rPr>
          <w:i/>
          <w:color w:val="FF0000"/>
        </w:rPr>
        <w:t>Theory and Politics in Organization</w:t>
      </w:r>
      <w:r w:rsidRPr="00D73D81">
        <w:t xml:space="preserve">, Vol. 15, </w:t>
      </w:r>
      <w:r w:rsidR="00447F03">
        <w:t xml:space="preserve">No </w:t>
      </w:r>
      <w:r w:rsidRPr="00D73D81">
        <w:t>1, pp. 121-139.</w:t>
      </w:r>
    </w:p>
    <w:p w:rsidR="004F2491" w:rsidRPr="005C73C1" w:rsidRDefault="00AC3FE1" w:rsidP="004F2491">
      <w:pPr>
        <w:spacing w:line="360" w:lineRule="auto"/>
        <w:jc w:val="both"/>
        <w:rPr>
          <w:color w:val="FF0000"/>
        </w:rPr>
      </w:pPr>
      <w:proofErr w:type="spellStart"/>
      <w:r w:rsidRPr="005C73C1">
        <w:rPr>
          <w:color w:val="FF0000"/>
        </w:rPr>
        <w:t>Parrino</w:t>
      </w:r>
      <w:proofErr w:type="spellEnd"/>
      <w:r w:rsidRPr="005C73C1">
        <w:rPr>
          <w:color w:val="FF0000"/>
        </w:rPr>
        <w:t>, L. (2013), “</w:t>
      </w:r>
      <w:proofErr w:type="spellStart"/>
      <w:r w:rsidRPr="005C73C1">
        <w:rPr>
          <w:color w:val="FF0000"/>
        </w:rPr>
        <w:t>Coworking</w:t>
      </w:r>
      <w:proofErr w:type="spellEnd"/>
      <w:r w:rsidRPr="005C73C1">
        <w:rPr>
          <w:color w:val="FF0000"/>
        </w:rPr>
        <w:t>: assessing the role of proximity in knowledge exchange”,</w:t>
      </w:r>
      <w:r w:rsidR="00F37864" w:rsidRPr="005C73C1">
        <w:rPr>
          <w:color w:val="FF0000"/>
        </w:rPr>
        <w:t xml:space="preserve"> </w:t>
      </w:r>
      <w:r w:rsidRPr="005C73C1">
        <w:rPr>
          <w:color w:val="FF0000"/>
        </w:rPr>
        <w:t>Knowledge Management Research &amp; Practice, Vol. 13 No. 3, pp. 261-271.</w:t>
      </w:r>
      <w:r w:rsidR="004F2491" w:rsidRPr="005C73C1">
        <w:rPr>
          <w:color w:val="FF0000"/>
        </w:rPr>
        <w:t xml:space="preserve"> </w:t>
      </w:r>
    </w:p>
    <w:p w:rsidR="00816B4E" w:rsidRPr="00D73D81" w:rsidRDefault="00816B4E" w:rsidP="004F2491">
      <w:pPr>
        <w:spacing w:line="360" w:lineRule="auto"/>
        <w:jc w:val="both"/>
      </w:pPr>
      <w:r w:rsidRPr="00D73D81">
        <w:t xml:space="preserve">Ross, P.K. and Blumenstein, M. (2013), Cloud computing: The Nexus of Strategy and Technology, </w:t>
      </w:r>
      <w:r w:rsidRPr="000E1498">
        <w:rPr>
          <w:i/>
          <w:color w:val="FF0000"/>
        </w:rPr>
        <w:t>Journal of Business Strategy</w:t>
      </w:r>
      <w:r w:rsidRPr="00D73D81">
        <w:t xml:space="preserve">, Vol. 34, </w:t>
      </w:r>
      <w:r w:rsidR="00447F03">
        <w:t xml:space="preserve">No </w:t>
      </w:r>
      <w:r w:rsidRPr="00D73D81">
        <w:t>4, pp. 39-47.</w:t>
      </w:r>
    </w:p>
    <w:p w:rsidR="000719C5" w:rsidRPr="00D73D81" w:rsidRDefault="000719C5" w:rsidP="000719C5">
      <w:pPr>
        <w:spacing w:line="360" w:lineRule="auto"/>
        <w:jc w:val="both"/>
      </w:pPr>
      <w:r w:rsidRPr="00D73D81">
        <w:t xml:space="preserve">Ross, P. and </w:t>
      </w:r>
      <w:proofErr w:type="spellStart"/>
      <w:r w:rsidRPr="00D73D81">
        <w:t>Ressia</w:t>
      </w:r>
      <w:proofErr w:type="spellEnd"/>
      <w:r w:rsidRPr="00D73D81">
        <w:t xml:space="preserve">, S. (2015), </w:t>
      </w:r>
      <w:proofErr w:type="gramStart"/>
      <w:r w:rsidRPr="00D73D81">
        <w:t>Neither</w:t>
      </w:r>
      <w:proofErr w:type="gramEnd"/>
      <w:r w:rsidRPr="00D73D81">
        <w:t xml:space="preserve"> office nor home: </w:t>
      </w:r>
      <w:proofErr w:type="spellStart"/>
      <w:r w:rsidRPr="00D73D81">
        <w:t>Coworking</w:t>
      </w:r>
      <w:proofErr w:type="spellEnd"/>
      <w:r w:rsidRPr="00D73D81">
        <w:t xml:space="preserve"> as an emerging workplace choice, </w:t>
      </w:r>
      <w:r w:rsidRPr="000E1498">
        <w:rPr>
          <w:i/>
          <w:color w:val="FF0000"/>
        </w:rPr>
        <w:t>Employment Relations Record</w:t>
      </w:r>
      <w:r w:rsidR="00447F03">
        <w:t xml:space="preserve">, </w:t>
      </w:r>
      <w:proofErr w:type="spellStart"/>
      <w:r w:rsidR="00447F03">
        <w:t>Vol</w:t>
      </w:r>
      <w:proofErr w:type="spellEnd"/>
      <w:r w:rsidR="00447F03">
        <w:t xml:space="preserve">, 15, No, 1, </w:t>
      </w:r>
      <w:r w:rsidR="00447F03" w:rsidRPr="00447F03">
        <w:rPr>
          <w:color w:val="FF0000"/>
        </w:rPr>
        <w:t xml:space="preserve">pp 42 – 57  </w:t>
      </w:r>
    </w:p>
    <w:p w:rsidR="00CF5008" w:rsidRDefault="00CF5008" w:rsidP="00183C35">
      <w:pPr>
        <w:spacing w:line="360" w:lineRule="auto"/>
        <w:jc w:val="both"/>
      </w:pPr>
      <w:r w:rsidRPr="00CF5008">
        <w:t xml:space="preserve">Silverman, D. </w:t>
      </w:r>
      <w:r>
        <w:t>(</w:t>
      </w:r>
      <w:r w:rsidRPr="00CF5008">
        <w:t>2013</w:t>
      </w:r>
      <w:r>
        <w:t xml:space="preserve">), </w:t>
      </w:r>
      <w:r w:rsidRPr="00CF5008">
        <w:t xml:space="preserve">Doing Qualitative </w:t>
      </w:r>
      <w:r w:rsidR="00B0207E" w:rsidRPr="00CF5008">
        <w:t>Research</w:t>
      </w:r>
      <w:r w:rsidR="00B0207E">
        <w:t>:</w:t>
      </w:r>
      <w:r>
        <w:t xml:space="preserve"> </w:t>
      </w:r>
      <w:r w:rsidRPr="00CF5008">
        <w:t>A Practical Handbook</w:t>
      </w:r>
      <w:r>
        <w:t xml:space="preserve">, </w:t>
      </w:r>
      <w:r w:rsidRPr="00CF5008">
        <w:t>Sage Publications. London.</w:t>
      </w:r>
    </w:p>
    <w:p w:rsidR="00183C35" w:rsidRPr="005C73C1" w:rsidRDefault="00183C35" w:rsidP="00183C35">
      <w:pPr>
        <w:spacing w:line="360" w:lineRule="auto"/>
        <w:jc w:val="both"/>
        <w:rPr>
          <w:color w:val="FF0000"/>
        </w:rPr>
      </w:pPr>
      <w:proofErr w:type="spellStart"/>
      <w:r w:rsidRPr="005C73C1">
        <w:rPr>
          <w:color w:val="FF0000"/>
        </w:rPr>
        <w:t>Spinuzzi</w:t>
      </w:r>
      <w:proofErr w:type="spellEnd"/>
      <w:r w:rsidRPr="005C73C1">
        <w:rPr>
          <w:color w:val="FF0000"/>
        </w:rPr>
        <w:t xml:space="preserve">, C. (2012), “Working alone together: </w:t>
      </w:r>
      <w:proofErr w:type="spellStart"/>
      <w:r w:rsidRPr="005C73C1">
        <w:rPr>
          <w:color w:val="FF0000"/>
        </w:rPr>
        <w:t>coworking</w:t>
      </w:r>
      <w:proofErr w:type="spellEnd"/>
      <w:r w:rsidRPr="005C73C1">
        <w:rPr>
          <w:color w:val="FF0000"/>
        </w:rPr>
        <w:t xml:space="preserve"> as emergent collaborative activity”, Journal of Business and Technical Communication, Vol. 26 No. 4, pp. 399-441. </w:t>
      </w:r>
    </w:p>
    <w:p w:rsidR="00C8669A" w:rsidRPr="004F2491" w:rsidRDefault="00C8669A" w:rsidP="004F2491">
      <w:pPr>
        <w:spacing w:line="360" w:lineRule="auto"/>
        <w:jc w:val="both"/>
      </w:pPr>
      <w:r w:rsidRPr="00D73D81">
        <w:t>Waters-</w:t>
      </w:r>
      <w:proofErr w:type="spellStart"/>
      <w:r w:rsidRPr="00D73D81">
        <w:t>Lyncha</w:t>
      </w:r>
      <w:proofErr w:type="spellEnd"/>
      <w:r w:rsidRPr="00D73D81">
        <w:t>, J., Potts, J., (2017)</w:t>
      </w:r>
      <w:r w:rsidR="00B0207E" w:rsidRPr="00D73D81">
        <w:t xml:space="preserve">, </w:t>
      </w:r>
      <w:proofErr w:type="gramStart"/>
      <w:r w:rsidR="00B0207E" w:rsidRPr="00D73D81">
        <w:t>The</w:t>
      </w:r>
      <w:proofErr w:type="gramEnd"/>
      <w:r w:rsidRPr="00D73D81">
        <w:t xml:space="preserve"> social economy of </w:t>
      </w:r>
      <w:proofErr w:type="spellStart"/>
      <w:r w:rsidRPr="00D73D81">
        <w:t>coworking</w:t>
      </w:r>
      <w:proofErr w:type="spellEnd"/>
      <w:r w:rsidRPr="00D73D81">
        <w:t xml:space="preserve"> spaces:  a focal point model of coordination, </w:t>
      </w:r>
      <w:r w:rsidRPr="000E1498">
        <w:rPr>
          <w:i/>
          <w:color w:val="FF0000"/>
        </w:rPr>
        <w:t>Review of Social Economy</w:t>
      </w:r>
      <w:r w:rsidR="00B0207E" w:rsidRPr="00D73D81">
        <w:t>, Published</w:t>
      </w:r>
      <w:r w:rsidR="00673519" w:rsidRPr="00D73D81">
        <w:t xml:space="preserve"> online 16/1/2017.</w:t>
      </w:r>
      <w:r>
        <w:t xml:space="preserve"> </w:t>
      </w:r>
    </w:p>
    <w:p w:rsidR="004F2491" w:rsidRDefault="00C8669A" w:rsidP="00C8669A">
      <w:pPr>
        <w:spacing w:line="360" w:lineRule="auto"/>
        <w:jc w:val="both"/>
        <w:rPr>
          <w:rFonts w:ascii="Scala" w:hAnsi="Scala" w:cs="Scala"/>
          <w:sz w:val="22"/>
          <w:szCs w:val="22"/>
          <w:lang w:val="en-AU"/>
        </w:rPr>
      </w:pPr>
      <w:r>
        <w:rPr>
          <w:rFonts w:ascii="Scala" w:hAnsi="Scala" w:cs="Scala"/>
          <w:sz w:val="22"/>
          <w:szCs w:val="22"/>
          <w:lang w:val="en-AU"/>
        </w:rPr>
        <w:t xml:space="preserve"> </w:t>
      </w:r>
    </w:p>
    <w:p w:rsidR="009C7B38" w:rsidRDefault="009C7B38" w:rsidP="00C8669A">
      <w:pPr>
        <w:spacing w:line="360" w:lineRule="auto"/>
        <w:jc w:val="both"/>
        <w:rPr>
          <w:rFonts w:ascii="Scala" w:hAnsi="Scala" w:cs="Scala"/>
          <w:sz w:val="22"/>
          <w:szCs w:val="22"/>
          <w:lang w:val="en-AU"/>
        </w:rPr>
      </w:pPr>
    </w:p>
    <w:p w:rsidR="009C7B38" w:rsidRDefault="009C7B38" w:rsidP="00C8669A">
      <w:pPr>
        <w:spacing w:line="360" w:lineRule="auto"/>
        <w:jc w:val="both"/>
        <w:rPr>
          <w:rFonts w:ascii="Scala" w:hAnsi="Scala" w:cs="Scala"/>
          <w:sz w:val="22"/>
          <w:szCs w:val="22"/>
          <w:lang w:val="en-AU"/>
        </w:rPr>
      </w:pPr>
    </w:p>
    <w:p w:rsidR="009C7B38" w:rsidRDefault="009C7B38" w:rsidP="00C8669A">
      <w:pPr>
        <w:spacing w:line="360" w:lineRule="auto"/>
        <w:jc w:val="both"/>
        <w:rPr>
          <w:rFonts w:ascii="Scala" w:hAnsi="Scala" w:cs="Scala"/>
          <w:sz w:val="22"/>
          <w:szCs w:val="22"/>
          <w:lang w:val="en-AU"/>
        </w:rPr>
      </w:pPr>
    </w:p>
    <w:p w:rsidR="009C7B38" w:rsidRDefault="009C7B38" w:rsidP="00C8669A">
      <w:pPr>
        <w:spacing w:line="360" w:lineRule="auto"/>
        <w:jc w:val="both"/>
        <w:rPr>
          <w:rFonts w:ascii="Scala" w:hAnsi="Scala" w:cs="Scala"/>
          <w:sz w:val="22"/>
          <w:szCs w:val="22"/>
          <w:lang w:val="en-AU"/>
        </w:rPr>
      </w:pPr>
      <w:r>
        <w:rPr>
          <w:rFonts w:ascii="Scala" w:hAnsi="Scala" w:cs="Scala"/>
          <w:sz w:val="22"/>
          <w:szCs w:val="22"/>
          <w:lang w:val="en-AU"/>
        </w:rPr>
        <w:t>Pacific Rim Real Estate Society Conference 2018 Auckland</w:t>
      </w:r>
    </w:p>
    <w:p w:rsidR="009C7B38" w:rsidRDefault="009C7B38" w:rsidP="00C8669A">
      <w:pPr>
        <w:spacing w:line="360" w:lineRule="auto"/>
        <w:jc w:val="both"/>
        <w:rPr>
          <w:b/>
        </w:rPr>
      </w:pPr>
      <w:r>
        <w:rPr>
          <w:rFonts w:ascii="Scala" w:hAnsi="Scala" w:cs="Scala"/>
          <w:sz w:val="22"/>
          <w:szCs w:val="22"/>
          <w:lang w:val="en-AU"/>
        </w:rPr>
        <w:t>Refereed Paper</w:t>
      </w:r>
    </w:p>
    <w:sectPr w:rsidR="009C7B38" w:rsidSect="00074B81">
      <w:footerReference w:type="default" r:id="rId17"/>
      <w:pgSz w:w="11901"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D34" w:rsidRDefault="004C2D34" w:rsidP="00AF2C92">
      <w:r>
        <w:separator/>
      </w:r>
    </w:p>
  </w:endnote>
  <w:endnote w:type="continuationSeparator" w:id="0">
    <w:p w:rsidR="004C2D34" w:rsidRDefault="004C2D34" w:rsidP="00AF2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TTec369687">
    <w:panose1 w:val="00000000000000000000"/>
    <w:charset w:val="00"/>
    <w:family w:val="roman"/>
    <w:notTrueType/>
    <w:pitch w:val="default"/>
    <w:sig w:usb0="00000003" w:usb1="00000000" w:usb2="00000000" w:usb3="00000000" w:csb0="00000001" w:csb1="00000000"/>
  </w:font>
  <w:font w:name="Scal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032048"/>
      <w:docPartObj>
        <w:docPartGallery w:val="Page Numbers (Bottom of Page)"/>
        <w:docPartUnique/>
      </w:docPartObj>
    </w:sdtPr>
    <w:sdtEndPr>
      <w:rPr>
        <w:noProof/>
      </w:rPr>
    </w:sdtEndPr>
    <w:sdtContent>
      <w:p w:rsidR="00DF4D69" w:rsidRDefault="00D9307A">
        <w:pPr>
          <w:pStyle w:val="Footer"/>
          <w:jc w:val="center"/>
        </w:pPr>
        <w:r>
          <w:fldChar w:fldCharType="begin"/>
        </w:r>
        <w:r w:rsidR="00DF4D69">
          <w:instrText xml:space="preserve"> PAGE   \* MERGEFORMAT </w:instrText>
        </w:r>
        <w:r>
          <w:fldChar w:fldCharType="separate"/>
        </w:r>
        <w:r w:rsidR="009C7B38">
          <w:rPr>
            <w:noProof/>
          </w:rPr>
          <w:t>16</w:t>
        </w:r>
        <w:r>
          <w:rPr>
            <w:noProof/>
          </w:rPr>
          <w:fldChar w:fldCharType="end"/>
        </w:r>
      </w:p>
    </w:sdtContent>
  </w:sdt>
  <w:p w:rsidR="00DF4D69" w:rsidRDefault="00DF4D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D34" w:rsidRDefault="004C2D34" w:rsidP="00AF2C92">
      <w:r>
        <w:separator/>
      </w:r>
    </w:p>
  </w:footnote>
  <w:footnote w:type="continuationSeparator" w:id="0">
    <w:p w:rsidR="004C2D34" w:rsidRDefault="004C2D34" w:rsidP="00AF2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1F37C57"/>
    <w:multiLevelType w:val="hybridMultilevel"/>
    <w:tmpl w:val="DC3A5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CE02071"/>
    <w:multiLevelType w:val="hybridMultilevel"/>
    <w:tmpl w:val="91062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0A96579"/>
    <w:multiLevelType w:val="hybridMultilevel"/>
    <w:tmpl w:val="1A243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D624EFB"/>
    <w:multiLevelType w:val="hybridMultilevel"/>
    <w:tmpl w:val="5A2A7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F37009A"/>
    <w:multiLevelType w:val="hybridMultilevel"/>
    <w:tmpl w:val="8528C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0590EAE"/>
    <w:multiLevelType w:val="hybridMultilevel"/>
    <w:tmpl w:val="9B8A7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DBC0CC6"/>
    <w:multiLevelType w:val="hybridMultilevel"/>
    <w:tmpl w:val="568CB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EFB60F8"/>
    <w:multiLevelType w:val="hybridMultilevel"/>
    <w:tmpl w:val="875AF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884785C"/>
    <w:multiLevelType w:val="hybridMultilevel"/>
    <w:tmpl w:val="7B086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310B85"/>
    <w:multiLevelType w:val="hybridMultilevel"/>
    <w:tmpl w:val="3432C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407BAD"/>
    <w:multiLevelType w:val="hybridMultilevel"/>
    <w:tmpl w:val="BD002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D0F01E8"/>
    <w:multiLevelType w:val="hybridMultilevel"/>
    <w:tmpl w:val="7D908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3"/>
  </w:num>
  <w:num w:numId="14">
    <w:abstractNumId w:val="29"/>
  </w:num>
  <w:num w:numId="15">
    <w:abstractNumId w:val="17"/>
  </w:num>
  <w:num w:numId="16">
    <w:abstractNumId w:val="22"/>
  </w:num>
  <w:num w:numId="17">
    <w:abstractNumId w:val="12"/>
  </w:num>
  <w:num w:numId="18">
    <w:abstractNumId w:val="0"/>
  </w:num>
  <w:num w:numId="19">
    <w:abstractNumId w:val="14"/>
  </w:num>
  <w:num w:numId="20">
    <w:abstractNumId w:val="29"/>
  </w:num>
  <w:num w:numId="21">
    <w:abstractNumId w:val="29"/>
  </w:num>
  <w:num w:numId="22">
    <w:abstractNumId w:val="29"/>
  </w:num>
  <w:num w:numId="23">
    <w:abstractNumId w:val="29"/>
  </w:num>
  <w:num w:numId="24">
    <w:abstractNumId w:val="23"/>
  </w:num>
  <w:num w:numId="25">
    <w:abstractNumId w:val="24"/>
  </w:num>
  <w:num w:numId="26">
    <w:abstractNumId w:val="30"/>
  </w:num>
  <w:num w:numId="27">
    <w:abstractNumId w:val="32"/>
  </w:num>
  <w:num w:numId="28">
    <w:abstractNumId w:val="29"/>
  </w:num>
  <w:num w:numId="29">
    <w:abstractNumId w:val="16"/>
  </w:num>
  <w:num w:numId="30">
    <w:abstractNumId w:val="34"/>
  </w:num>
  <w:num w:numId="31">
    <w:abstractNumId w:val="19"/>
  </w:num>
  <w:num w:numId="32">
    <w:abstractNumId w:val="31"/>
  </w:num>
  <w:num w:numId="33">
    <w:abstractNumId w:val="33"/>
  </w:num>
  <w:num w:numId="34">
    <w:abstractNumId w:val="35"/>
  </w:num>
  <w:num w:numId="35">
    <w:abstractNumId w:val="21"/>
  </w:num>
  <w:num w:numId="36">
    <w:abstractNumId w:val="28"/>
  </w:num>
  <w:num w:numId="37">
    <w:abstractNumId w:val="25"/>
  </w:num>
  <w:num w:numId="38">
    <w:abstractNumId w:val="11"/>
  </w:num>
  <w:num w:numId="39">
    <w:abstractNumId w:val="20"/>
  </w:num>
  <w:num w:numId="40">
    <w:abstractNumId w:val="13"/>
  </w:num>
  <w:num w:numId="41">
    <w:abstractNumId w:val="15"/>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08"/>
  <w:defaultTabStop w:val="720"/>
  <w:characterSpacingControl w:val="doNotCompress"/>
  <w:hdrShapeDefaults>
    <o:shapedefaults v:ext="edit" spidmax="35842"/>
  </w:hdrShapeDefaults>
  <w:footnotePr>
    <w:footnote w:id="-1"/>
    <w:footnote w:id="0"/>
  </w:footnotePr>
  <w:endnotePr>
    <w:endnote w:id="-1"/>
    <w:endnote w:id="0"/>
  </w:endnotePr>
  <w:compat/>
  <w:rsids>
    <w:rsidRoot w:val="00B06441"/>
    <w:rsid w:val="00001899"/>
    <w:rsid w:val="00003FF3"/>
    <w:rsid w:val="000049AD"/>
    <w:rsid w:val="0000681B"/>
    <w:rsid w:val="000120B1"/>
    <w:rsid w:val="000133C0"/>
    <w:rsid w:val="00014C4E"/>
    <w:rsid w:val="00017107"/>
    <w:rsid w:val="000202E2"/>
    <w:rsid w:val="00022441"/>
    <w:rsid w:val="0002261E"/>
    <w:rsid w:val="00024839"/>
    <w:rsid w:val="00026871"/>
    <w:rsid w:val="00037A98"/>
    <w:rsid w:val="000404F3"/>
    <w:rsid w:val="000427FB"/>
    <w:rsid w:val="0004455E"/>
    <w:rsid w:val="00047CB5"/>
    <w:rsid w:val="00051FAA"/>
    <w:rsid w:val="00052B17"/>
    <w:rsid w:val="00055072"/>
    <w:rsid w:val="000572A9"/>
    <w:rsid w:val="000606A1"/>
    <w:rsid w:val="00061325"/>
    <w:rsid w:val="00066CFF"/>
    <w:rsid w:val="00067D56"/>
    <w:rsid w:val="000719C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427C"/>
    <w:rsid w:val="000C554F"/>
    <w:rsid w:val="000D0DC5"/>
    <w:rsid w:val="000D11B0"/>
    <w:rsid w:val="000D15FF"/>
    <w:rsid w:val="000D28DF"/>
    <w:rsid w:val="000D488B"/>
    <w:rsid w:val="000D68DF"/>
    <w:rsid w:val="000D7F9D"/>
    <w:rsid w:val="000E138D"/>
    <w:rsid w:val="000E1498"/>
    <w:rsid w:val="000E187A"/>
    <w:rsid w:val="000E2D61"/>
    <w:rsid w:val="000E450E"/>
    <w:rsid w:val="000E6259"/>
    <w:rsid w:val="000E6B86"/>
    <w:rsid w:val="000F07DD"/>
    <w:rsid w:val="000F191E"/>
    <w:rsid w:val="000F4677"/>
    <w:rsid w:val="000F5BE0"/>
    <w:rsid w:val="00100587"/>
    <w:rsid w:val="0010284E"/>
    <w:rsid w:val="00103122"/>
    <w:rsid w:val="0010336A"/>
    <w:rsid w:val="00104F44"/>
    <w:rsid w:val="001050F1"/>
    <w:rsid w:val="00105AEA"/>
    <w:rsid w:val="00106DAF"/>
    <w:rsid w:val="00110178"/>
    <w:rsid w:val="0011033E"/>
    <w:rsid w:val="00110796"/>
    <w:rsid w:val="001131EB"/>
    <w:rsid w:val="00114AB0"/>
    <w:rsid w:val="00114ABE"/>
    <w:rsid w:val="00116023"/>
    <w:rsid w:val="00131D2D"/>
    <w:rsid w:val="00134A51"/>
    <w:rsid w:val="00135D52"/>
    <w:rsid w:val="00140727"/>
    <w:rsid w:val="001410F5"/>
    <w:rsid w:val="00142169"/>
    <w:rsid w:val="001466E1"/>
    <w:rsid w:val="00146D76"/>
    <w:rsid w:val="00160628"/>
    <w:rsid w:val="00161344"/>
    <w:rsid w:val="00162195"/>
    <w:rsid w:val="0016322A"/>
    <w:rsid w:val="00165A21"/>
    <w:rsid w:val="001705CE"/>
    <w:rsid w:val="0017714B"/>
    <w:rsid w:val="001804DF"/>
    <w:rsid w:val="00181BDC"/>
    <w:rsid w:val="00181DB0"/>
    <w:rsid w:val="001829E3"/>
    <w:rsid w:val="00183C35"/>
    <w:rsid w:val="001924C0"/>
    <w:rsid w:val="00196A1D"/>
    <w:rsid w:val="0019731E"/>
    <w:rsid w:val="001A09FE"/>
    <w:rsid w:val="001A4914"/>
    <w:rsid w:val="001A67C9"/>
    <w:rsid w:val="001A69DE"/>
    <w:rsid w:val="001A713C"/>
    <w:rsid w:val="001B1C7C"/>
    <w:rsid w:val="001B398F"/>
    <w:rsid w:val="001B3C26"/>
    <w:rsid w:val="001B46C6"/>
    <w:rsid w:val="001B4B48"/>
    <w:rsid w:val="001B4D1F"/>
    <w:rsid w:val="001B7681"/>
    <w:rsid w:val="001B7CAE"/>
    <w:rsid w:val="001C0772"/>
    <w:rsid w:val="001C0D4F"/>
    <w:rsid w:val="001C1584"/>
    <w:rsid w:val="001C19D1"/>
    <w:rsid w:val="001C1BA3"/>
    <w:rsid w:val="001C1DEC"/>
    <w:rsid w:val="001C5736"/>
    <w:rsid w:val="001C6800"/>
    <w:rsid w:val="001C688C"/>
    <w:rsid w:val="001D5981"/>
    <w:rsid w:val="001D5F8F"/>
    <w:rsid w:val="001D647F"/>
    <w:rsid w:val="001D6857"/>
    <w:rsid w:val="001E0572"/>
    <w:rsid w:val="001E0A67"/>
    <w:rsid w:val="001E1028"/>
    <w:rsid w:val="001E14E2"/>
    <w:rsid w:val="001E6302"/>
    <w:rsid w:val="001E7DCB"/>
    <w:rsid w:val="001F3411"/>
    <w:rsid w:val="001F4287"/>
    <w:rsid w:val="001F4DBA"/>
    <w:rsid w:val="0020415E"/>
    <w:rsid w:val="00204FF4"/>
    <w:rsid w:val="002079D3"/>
    <w:rsid w:val="0021056E"/>
    <w:rsid w:val="0021075D"/>
    <w:rsid w:val="0021125B"/>
    <w:rsid w:val="0021165A"/>
    <w:rsid w:val="00211BC9"/>
    <w:rsid w:val="0021620C"/>
    <w:rsid w:val="00216E78"/>
    <w:rsid w:val="00217275"/>
    <w:rsid w:val="00217B11"/>
    <w:rsid w:val="002211DD"/>
    <w:rsid w:val="00235C11"/>
    <w:rsid w:val="00236F4B"/>
    <w:rsid w:val="00242B0D"/>
    <w:rsid w:val="002467C6"/>
    <w:rsid w:val="0024692A"/>
    <w:rsid w:val="00252BBA"/>
    <w:rsid w:val="00253123"/>
    <w:rsid w:val="00253EA0"/>
    <w:rsid w:val="00255672"/>
    <w:rsid w:val="002612DF"/>
    <w:rsid w:val="00262D52"/>
    <w:rsid w:val="00264001"/>
    <w:rsid w:val="002643AA"/>
    <w:rsid w:val="00266354"/>
    <w:rsid w:val="00267A18"/>
    <w:rsid w:val="00273462"/>
    <w:rsid w:val="0027395B"/>
    <w:rsid w:val="00275854"/>
    <w:rsid w:val="00283B41"/>
    <w:rsid w:val="00285F28"/>
    <w:rsid w:val="00286398"/>
    <w:rsid w:val="002914E9"/>
    <w:rsid w:val="00295879"/>
    <w:rsid w:val="002A3C42"/>
    <w:rsid w:val="002A5D75"/>
    <w:rsid w:val="002A7139"/>
    <w:rsid w:val="002B079D"/>
    <w:rsid w:val="002B1B1A"/>
    <w:rsid w:val="002B573D"/>
    <w:rsid w:val="002B7228"/>
    <w:rsid w:val="002B7D6E"/>
    <w:rsid w:val="002C0DE6"/>
    <w:rsid w:val="002C53EE"/>
    <w:rsid w:val="002D07D2"/>
    <w:rsid w:val="002D24F7"/>
    <w:rsid w:val="002D2799"/>
    <w:rsid w:val="002D2CD7"/>
    <w:rsid w:val="002D4DDC"/>
    <w:rsid w:val="002D4F75"/>
    <w:rsid w:val="002D6493"/>
    <w:rsid w:val="002D7AB6"/>
    <w:rsid w:val="002E06D0"/>
    <w:rsid w:val="002E3C27"/>
    <w:rsid w:val="002E403A"/>
    <w:rsid w:val="002E55CE"/>
    <w:rsid w:val="002E7F3A"/>
    <w:rsid w:val="002F0547"/>
    <w:rsid w:val="002F4EDB"/>
    <w:rsid w:val="002F6054"/>
    <w:rsid w:val="00304D87"/>
    <w:rsid w:val="00307B6C"/>
    <w:rsid w:val="00310E13"/>
    <w:rsid w:val="00313BBE"/>
    <w:rsid w:val="00315713"/>
    <w:rsid w:val="0031686C"/>
    <w:rsid w:val="00316FE0"/>
    <w:rsid w:val="003204D2"/>
    <w:rsid w:val="0032605E"/>
    <w:rsid w:val="003275D1"/>
    <w:rsid w:val="00330B2A"/>
    <w:rsid w:val="00331E17"/>
    <w:rsid w:val="00333063"/>
    <w:rsid w:val="003403AB"/>
    <w:rsid w:val="003408E3"/>
    <w:rsid w:val="00341346"/>
    <w:rsid w:val="00343480"/>
    <w:rsid w:val="00343F60"/>
    <w:rsid w:val="00345E89"/>
    <w:rsid w:val="003522A1"/>
    <w:rsid w:val="0035254B"/>
    <w:rsid w:val="00353555"/>
    <w:rsid w:val="00355A28"/>
    <w:rsid w:val="003565D4"/>
    <w:rsid w:val="003607FB"/>
    <w:rsid w:val="00360FD5"/>
    <w:rsid w:val="0036340D"/>
    <w:rsid w:val="003634A5"/>
    <w:rsid w:val="00363F6A"/>
    <w:rsid w:val="00366868"/>
    <w:rsid w:val="00367506"/>
    <w:rsid w:val="00370085"/>
    <w:rsid w:val="003744A7"/>
    <w:rsid w:val="00376235"/>
    <w:rsid w:val="00377EBC"/>
    <w:rsid w:val="00381FB6"/>
    <w:rsid w:val="003836D3"/>
    <w:rsid w:val="00383978"/>
    <w:rsid w:val="00383A52"/>
    <w:rsid w:val="00391652"/>
    <w:rsid w:val="0039507F"/>
    <w:rsid w:val="00395CB4"/>
    <w:rsid w:val="003A1260"/>
    <w:rsid w:val="003A295F"/>
    <w:rsid w:val="003A41DD"/>
    <w:rsid w:val="003A7033"/>
    <w:rsid w:val="003B2061"/>
    <w:rsid w:val="003B248C"/>
    <w:rsid w:val="003B47FE"/>
    <w:rsid w:val="003B5673"/>
    <w:rsid w:val="003B6287"/>
    <w:rsid w:val="003B62C9"/>
    <w:rsid w:val="003C50CA"/>
    <w:rsid w:val="003C7176"/>
    <w:rsid w:val="003D0929"/>
    <w:rsid w:val="003D1792"/>
    <w:rsid w:val="003D2948"/>
    <w:rsid w:val="003D4729"/>
    <w:rsid w:val="003D7DD6"/>
    <w:rsid w:val="003E5AAF"/>
    <w:rsid w:val="003E5E4B"/>
    <w:rsid w:val="003E600D"/>
    <w:rsid w:val="003E64DF"/>
    <w:rsid w:val="003E6A5D"/>
    <w:rsid w:val="003F033E"/>
    <w:rsid w:val="003F193A"/>
    <w:rsid w:val="003F3CCB"/>
    <w:rsid w:val="003F4207"/>
    <w:rsid w:val="003F5C46"/>
    <w:rsid w:val="003F6B6E"/>
    <w:rsid w:val="003F7C0C"/>
    <w:rsid w:val="003F7CBB"/>
    <w:rsid w:val="003F7D34"/>
    <w:rsid w:val="004025D9"/>
    <w:rsid w:val="00410034"/>
    <w:rsid w:val="00412C8E"/>
    <w:rsid w:val="004134AB"/>
    <w:rsid w:val="0041518D"/>
    <w:rsid w:val="0041610E"/>
    <w:rsid w:val="0042221D"/>
    <w:rsid w:val="00424DD3"/>
    <w:rsid w:val="004269C5"/>
    <w:rsid w:val="00435939"/>
    <w:rsid w:val="00437CC7"/>
    <w:rsid w:val="00442B9C"/>
    <w:rsid w:val="00443153"/>
    <w:rsid w:val="00445EFA"/>
    <w:rsid w:val="0044738A"/>
    <w:rsid w:val="004473D3"/>
    <w:rsid w:val="00447F03"/>
    <w:rsid w:val="00452231"/>
    <w:rsid w:val="00460C13"/>
    <w:rsid w:val="00462E2D"/>
    <w:rsid w:val="00463228"/>
    <w:rsid w:val="00463782"/>
    <w:rsid w:val="004642D3"/>
    <w:rsid w:val="004667E0"/>
    <w:rsid w:val="0046760E"/>
    <w:rsid w:val="004704B1"/>
    <w:rsid w:val="00470E10"/>
    <w:rsid w:val="004719E4"/>
    <w:rsid w:val="00472F89"/>
    <w:rsid w:val="004749F2"/>
    <w:rsid w:val="00477A97"/>
    <w:rsid w:val="00481343"/>
    <w:rsid w:val="00481BFD"/>
    <w:rsid w:val="0048549E"/>
    <w:rsid w:val="00487EFD"/>
    <w:rsid w:val="004930C6"/>
    <w:rsid w:val="00493347"/>
    <w:rsid w:val="00496092"/>
    <w:rsid w:val="004A08DB"/>
    <w:rsid w:val="004A25D0"/>
    <w:rsid w:val="004A2721"/>
    <w:rsid w:val="004A37E8"/>
    <w:rsid w:val="004A50CE"/>
    <w:rsid w:val="004A7549"/>
    <w:rsid w:val="004B0010"/>
    <w:rsid w:val="004B0464"/>
    <w:rsid w:val="004B09D4"/>
    <w:rsid w:val="004B309D"/>
    <w:rsid w:val="004B330A"/>
    <w:rsid w:val="004B5AB9"/>
    <w:rsid w:val="004B7C8E"/>
    <w:rsid w:val="004C2D34"/>
    <w:rsid w:val="004C3D3C"/>
    <w:rsid w:val="004D0105"/>
    <w:rsid w:val="004D0CB5"/>
    <w:rsid w:val="004D0EDC"/>
    <w:rsid w:val="004D1220"/>
    <w:rsid w:val="004D14B3"/>
    <w:rsid w:val="004D1529"/>
    <w:rsid w:val="004D2253"/>
    <w:rsid w:val="004D24AA"/>
    <w:rsid w:val="004D4001"/>
    <w:rsid w:val="004D5514"/>
    <w:rsid w:val="004D56C3"/>
    <w:rsid w:val="004E0338"/>
    <w:rsid w:val="004E4FF3"/>
    <w:rsid w:val="004E56A8"/>
    <w:rsid w:val="004E69EA"/>
    <w:rsid w:val="004F1694"/>
    <w:rsid w:val="004F2491"/>
    <w:rsid w:val="004F3B55"/>
    <w:rsid w:val="004F428E"/>
    <w:rsid w:val="004F4E46"/>
    <w:rsid w:val="004F6B7D"/>
    <w:rsid w:val="005015F6"/>
    <w:rsid w:val="005030C4"/>
    <w:rsid w:val="005031C5"/>
    <w:rsid w:val="00504FDC"/>
    <w:rsid w:val="0050579F"/>
    <w:rsid w:val="00506445"/>
    <w:rsid w:val="005120CC"/>
    <w:rsid w:val="005121B2"/>
    <w:rsid w:val="00512B7B"/>
    <w:rsid w:val="00514EA1"/>
    <w:rsid w:val="0051798B"/>
    <w:rsid w:val="00521081"/>
    <w:rsid w:val="00521F5A"/>
    <w:rsid w:val="00525E06"/>
    <w:rsid w:val="00526454"/>
    <w:rsid w:val="005300BF"/>
    <w:rsid w:val="00531823"/>
    <w:rsid w:val="005334CF"/>
    <w:rsid w:val="00534ECC"/>
    <w:rsid w:val="00536854"/>
    <w:rsid w:val="0053720D"/>
    <w:rsid w:val="00540EF5"/>
    <w:rsid w:val="00541BF3"/>
    <w:rsid w:val="00541CD3"/>
    <w:rsid w:val="005436F2"/>
    <w:rsid w:val="005476FA"/>
    <w:rsid w:val="005511FD"/>
    <w:rsid w:val="00554A5F"/>
    <w:rsid w:val="0055595E"/>
    <w:rsid w:val="00557988"/>
    <w:rsid w:val="005612B9"/>
    <w:rsid w:val="00562C49"/>
    <w:rsid w:val="00562DEF"/>
    <w:rsid w:val="0056321A"/>
    <w:rsid w:val="005632E7"/>
    <w:rsid w:val="00563A35"/>
    <w:rsid w:val="00566596"/>
    <w:rsid w:val="00571418"/>
    <w:rsid w:val="005741E9"/>
    <w:rsid w:val="005748CF"/>
    <w:rsid w:val="00580797"/>
    <w:rsid w:val="005835A8"/>
    <w:rsid w:val="00584270"/>
    <w:rsid w:val="00584738"/>
    <w:rsid w:val="005866B9"/>
    <w:rsid w:val="005877D4"/>
    <w:rsid w:val="005907A3"/>
    <w:rsid w:val="00591A62"/>
    <w:rsid w:val="005920B0"/>
    <w:rsid w:val="0059380D"/>
    <w:rsid w:val="00595A8F"/>
    <w:rsid w:val="005977C2"/>
    <w:rsid w:val="00597BF2"/>
    <w:rsid w:val="005A1548"/>
    <w:rsid w:val="005A1770"/>
    <w:rsid w:val="005A1F54"/>
    <w:rsid w:val="005A1FDB"/>
    <w:rsid w:val="005A3020"/>
    <w:rsid w:val="005A7CE2"/>
    <w:rsid w:val="005B134E"/>
    <w:rsid w:val="005B2039"/>
    <w:rsid w:val="005B2C0F"/>
    <w:rsid w:val="005B344F"/>
    <w:rsid w:val="005B3FBA"/>
    <w:rsid w:val="005B4A1D"/>
    <w:rsid w:val="005B674D"/>
    <w:rsid w:val="005C056D"/>
    <w:rsid w:val="005C0A83"/>
    <w:rsid w:val="005C0CBE"/>
    <w:rsid w:val="005C1FCF"/>
    <w:rsid w:val="005C3F41"/>
    <w:rsid w:val="005C4928"/>
    <w:rsid w:val="005C73C1"/>
    <w:rsid w:val="005D1885"/>
    <w:rsid w:val="005D46E6"/>
    <w:rsid w:val="005D4A38"/>
    <w:rsid w:val="005D66D9"/>
    <w:rsid w:val="005E1246"/>
    <w:rsid w:val="005E25D1"/>
    <w:rsid w:val="005E2EEA"/>
    <w:rsid w:val="005E3708"/>
    <w:rsid w:val="005E3CCD"/>
    <w:rsid w:val="005E3D6B"/>
    <w:rsid w:val="005E4EEC"/>
    <w:rsid w:val="005E5B55"/>
    <w:rsid w:val="005E5E4A"/>
    <w:rsid w:val="005E693D"/>
    <w:rsid w:val="005E75BF"/>
    <w:rsid w:val="005E78D1"/>
    <w:rsid w:val="005F07CF"/>
    <w:rsid w:val="005F2C77"/>
    <w:rsid w:val="005F57BA"/>
    <w:rsid w:val="005F61E6"/>
    <w:rsid w:val="005F6C45"/>
    <w:rsid w:val="005F7715"/>
    <w:rsid w:val="00605A69"/>
    <w:rsid w:val="00606644"/>
    <w:rsid w:val="00606C54"/>
    <w:rsid w:val="006079FB"/>
    <w:rsid w:val="00614375"/>
    <w:rsid w:val="00615B0A"/>
    <w:rsid w:val="006168CF"/>
    <w:rsid w:val="0062011B"/>
    <w:rsid w:val="00626DE0"/>
    <w:rsid w:val="00630901"/>
    <w:rsid w:val="00631BE3"/>
    <w:rsid w:val="00631F8E"/>
    <w:rsid w:val="00634A5B"/>
    <w:rsid w:val="00636EE9"/>
    <w:rsid w:val="00640861"/>
    <w:rsid w:val="00640950"/>
    <w:rsid w:val="00641AE7"/>
    <w:rsid w:val="00642629"/>
    <w:rsid w:val="0064782B"/>
    <w:rsid w:val="0065293D"/>
    <w:rsid w:val="00653EFC"/>
    <w:rsid w:val="00654021"/>
    <w:rsid w:val="00654A07"/>
    <w:rsid w:val="00655D00"/>
    <w:rsid w:val="00661045"/>
    <w:rsid w:val="00663D21"/>
    <w:rsid w:val="00666DA8"/>
    <w:rsid w:val="0066726D"/>
    <w:rsid w:val="0066742F"/>
    <w:rsid w:val="00671057"/>
    <w:rsid w:val="00672815"/>
    <w:rsid w:val="006731FF"/>
    <w:rsid w:val="00673519"/>
    <w:rsid w:val="00675AAF"/>
    <w:rsid w:val="0068031A"/>
    <w:rsid w:val="00680577"/>
    <w:rsid w:val="00681B2F"/>
    <w:rsid w:val="0068335F"/>
    <w:rsid w:val="00687217"/>
    <w:rsid w:val="00687558"/>
    <w:rsid w:val="006879C6"/>
    <w:rsid w:val="00693302"/>
    <w:rsid w:val="0069640B"/>
    <w:rsid w:val="006A1B83"/>
    <w:rsid w:val="006A21CD"/>
    <w:rsid w:val="006A5918"/>
    <w:rsid w:val="006B21B2"/>
    <w:rsid w:val="006B3067"/>
    <w:rsid w:val="006B4A4A"/>
    <w:rsid w:val="006C19B2"/>
    <w:rsid w:val="006C4409"/>
    <w:rsid w:val="006C5BB8"/>
    <w:rsid w:val="006C6936"/>
    <w:rsid w:val="006C7B01"/>
    <w:rsid w:val="006D0592"/>
    <w:rsid w:val="006D083A"/>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0554"/>
    <w:rsid w:val="00701072"/>
    <w:rsid w:val="00702054"/>
    <w:rsid w:val="007035A4"/>
    <w:rsid w:val="00711799"/>
    <w:rsid w:val="00712B78"/>
    <w:rsid w:val="0071393B"/>
    <w:rsid w:val="00713EE2"/>
    <w:rsid w:val="00714765"/>
    <w:rsid w:val="007177FC"/>
    <w:rsid w:val="00720C5E"/>
    <w:rsid w:val="00721701"/>
    <w:rsid w:val="00727F46"/>
    <w:rsid w:val="00731835"/>
    <w:rsid w:val="00731DCB"/>
    <w:rsid w:val="00731F0E"/>
    <w:rsid w:val="007341F8"/>
    <w:rsid w:val="00734372"/>
    <w:rsid w:val="00734EB8"/>
    <w:rsid w:val="00735F8B"/>
    <w:rsid w:val="0074090B"/>
    <w:rsid w:val="00742D1F"/>
    <w:rsid w:val="00743EBA"/>
    <w:rsid w:val="00744C8E"/>
    <w:rsid w:val="0074707E"/>
    <w:rsid w:val="00747C8F"/>
    <w:rsid w:val="00750922"/>
    <w:rsid w:val="007516DC"/>
    <w:rsid w:val="00751A84"/>
    <w:rsid w:val="00752088"/>
    <w:rsid w:val="00752E58"/>
    <w:rsid w:val="00754B80"/>
    <w:rsid w:val="007553CC"/>
    <w:rsid w:val="00761918"/>
    <w:rsid w:val="00762F03"/>
    <w:rsid w:val="0076413B"/>
    <w:rsid w:val="007648AE"/>
    <w:rsid w:val="00764BF8"/>
    <w:rsid w:val="0076514D"/>
    <w:rsid w:val="00765739"/>
    <w:rsid w:val="00771003"/>
    <w:rsid w:val="00773D59"/>
    <w:rsid w:val="00781003"/>
    <w:rsid w:val="007911FD"/>
    <w:rsid w:val="00793930"/>
    <w:rsid w:val="00793DD1"/>
    <w:rsid w:val="00794A0C"/>
    <w:rsid w:val="00794FEC"/>
    <w:rsid w:val="007A003E"/>
    <w:rsid w:val="007A1965"/>
    <w:rsid w:val="007A2ED1"/>
    <w:rsid w:val="007A4BE6"/>
    <w:rsid w:val="007A5181"/>
    <w:rsid w:val="007A66FC"/>
    <w:rsid w:val="007B018D"/>
    <w:rsid w:val="007B0DC6"/>
    <w:rsid w:val="007B1094"/>
    <w:rsid w:val="007B1762"/>
    <w:rsid w:val="007B3320"/>
    <w:rsid w:val="007C301F"/>
    <w:rsid w:val="007C4540"/>
    <w:rsid w:val="007C65AF"/>
    <w:rsid w:val="007C758E"/>
    <w:rsid w:val="007D135D"/>
    <w:rsid w:val="007D4372"/>
    <w:rsid w:val="007D730F"/>
    <w:rsid w:val="007D7CD8"/>
    <w:rsid w:val="007E3AA7"/>
    <w:rsid w:val="007E6691"/>
    <w:rsid w:val="007E74D0"/>
    <w:rsid w:val="007F6070"/>
    <w:rsid w:val="007F737D"/>
    <w:rsid w:val="007F7494"/>
    <w:rsid w:val="008018BC"/>
    <w:rsid w:val="0080308E"/>
    <w:rsid w:val="00805303"/>
    <w:rsid w:val="00806705"/>
    <w:rsid w:val="00806738"/>
    <w:rsid w:val="0080694E"/>
    <w:rsid w:val="00816B4E"/>
    <w:rsid w:val="00817443"/>
    <w:rsid w:val="00821321"/>
    <w:rsid w:val="008216D5"/>
    <w:rsid w:val="008249CE"/>
    <w:rsid w:val="00831A50"/>
    <w:rsid w:val="00831B3C"/>
    <w:rsid w:val="00831C89"/>
    <w:rsid w:val="00832114"/>
    <w:rsid w:val="00834C46"/>
    <w:rsid w:val="0084093E"/>
    <w:rsid w:val="00841CE1"/>
    <w:rsid w:val="00842249"/>
    <w:rsid w:val="00842D47"/>
    <w:rsid w:val="00844756"/>
    <w:rsid w:val="008473D8"/>
    <w:rsid w:val="0085136C"/>
    <w:rsid w:val="008528DC"/>
    <w:rsid w:val="00852B8C"/>
    <w:rsid w:val="00854981"/>
    <w:rsid w:val="008638AA"/>
    <w:rsid w:val="00864B2E"/>
    <w:rsid w:val="00865963"/>
    <w:rsid w:val="00865E35"/>
    <w:rsid w:val="00871C1D"/>
    <w:rsid w:val="008728FB"/>
    <w:rsid w:val="00872F23"/>
    <w:rsid w:val="0087450E"/>
    <w:rsid w:val="00875A82"/>
    <w:rsid w:val="00876CA3"/>
    <w:rsid w:val="008772FE"/>
    <w:rsid w:val="008774A9"/>
    <w:rsid w:val="008775F1"/>
    <w:rsid w:val="008821AE"/>
    <w:rsid w:val="00883D3A"/>
    <w:rsid w:val="008854F7"/>
    <w:rsid w:val="00885A9D"/>
    <w:rsid w:val="008929D2"/>
    <w:rsid w:val="00893148"/>
    <w:rsid w:val="00893636"/>
    <w:rsid w:val="00893B94"/>
    <w:rsid w:val="008947CF"/>
    <w:rsid w:val="0089628C"/>
    <w:rsid w:val="00896E9D"/>
    <w:rsid w:val="00896F11"/>
    <w:rsid w:val="0089761D"/>
    <w:rsid w:val="008A1049"/>
    <w:rsid w:val="008A1C98"/>
    <w:rsid w:val="008A322D"/>
    <w:rsid w:val="008A4D72"/>
    <w:rsid w:val="008A6285"/>
    <w:rsid w:val="008A63B2"/>
    <w:rsid w:val="008B26C4"/>
    <w:rsid w:val="008B345D"/>
    <w:rsid w:val="008B52C7"/>
    <w:rsid w:val="008B61D9"/>
    <w:rsid w:val="008C1FC2"/>
    <w:rsid w:val="008C21D4"/>
    <w:rsid w:val="008C2980"/>
    <w:rsid w:val="008C4DD6"/>
    <w:rsid w:val="008C5AFB"/>
    <w:rsid w:val="008C6FAE"/>
    <w:rsid w:val="008D07FB"/>
    <w:rsid w:val="008D0C02"/>
    <w:rsid w:val="008D109D"/>
    <w:rsid w:val="008D357D"/>
    <w:rsid w:val="008D435A"/>
    <w:rsid w:val="008D56B2"/>
    <w:rsid w:val="008E387B"/>
    <w:rsid w:val="008E6087"/>
    <w:rsid w:val="008E758D"/>
    <w:rsid w:val="008F10A7"/>
    <w:rsid w:val="008F6CC8"/>
    <w:rsid w:val="008F755D"/>
    <w:rsid w:val="008F7A39"/>
    <w:rsid w:val="009021E8"/>
    <w:rsid w:val="00903F14"/>
    <w:rsid w:val="00904677"/>
    <w:rsid w:val="00905EE2"/>
    <w:rsid w:val="00907269"/>
    <w:rsid w:val="00911440"/>
    <w:rsid w:val="00911712"/>
    <w:rsid w:val="00911B27"/>
    <w:rsid w:val="009141C5"/>
    <w:rsid w:val="009170BE"/>
    <w:rsid w:val="00920561"/>
    <w:rsid w:val="00920B55"/>
    <w:rsid w:val="00921DEC"/>
    <w:rsid w:val="009262C9"/>
    <w:rsid w:val="00927139"/>
    <w:rsid w:val="00930DB8"/>
    <w:rsid w:val="00930EB9"/>
    <w:rsid w:val="00933DC7"/>
    <w:rsid w:val="009366B2"/>
    <w:rsid w:val="009418F4"/>
    <w:rsid w:val="00942BBC"/>
    <w:rsid w:val="00944180"/>
    <w:rsid w:val="00944AA0"/>
    <w:rsid w:val="00947DA2"/>
    <w:rsid w:val="00951177"/>
    <w:rsid w:val="00963879"/>
    <w:rsid w:val="00964864"/>
    <w:rsid w:val="009673E8"/>
    <w:rsid w:val="00967B6F"/>
    <w:rsid w:val="00974DB8"/>
    <w:rsid w:val="00974E41"/>
    <w:rsid w:val="00975E42"/>
    <w:rsid w:val="00976186"/>
    <w:rsid w:val="00976EBC"/>
    <w:rsid w:val="00980661"/>
    <w:rsid w:val="0098093B"/>
    <w:rsid w:val="00982236"/>
    <w:rsid w:val="009846D9"/>
    <w:rsid w:val="0098640C"/>
    <w:rsid w:val="009876D4"/>
    <w:rsid w:val="009914A5"/>
    <w:rsid w:val="0099446C"/>
    <w:rsid w:val="00994F72"/>
    <w:rsid w:val="00995232"/>
    <w:rsid w:val="0099548E"/>
    <w:rsid w:val="00996456"/>
    <w:rsid w:val="00996A12"/>
    <w:rsid w:val="00997B0F"/>
    <w:rsid w:val="009A0CC3"/>
    <w:rsid w:val="009A1CAD"/>
    <w:rsid w:val="009A3440"/>
    <w:rsid w:val="009A5832"/>
    <w:rsid w:val="009A6838"/>
    <w:rsid w:val="009B0107"/>
    <w:rsid w:val="009B24B5"/>
    <w:rsid w:val="009B4EBC"/>
    <w:rsid w:val="009B5A00"/>
    <w:rsid w:val="009B5ABB"/>
    <w:rsid w:val="009B5CBC"/>
    <w:rsid w:val="009B6082"/>
    <w:rsid w:val="009B73CE"/>
    <w:rsid w:val="009C0806"/>
    <w:rsid w:val="009C1410"/>
    <w:rsid w:val="009C2461"/>
    <w:rsid w:val="009C5A15"/>
    <w:rsid w:val="009C5F98"/>
    <w:rsid w:val="009C6FE2"/>
    <w:rsid w:val="009C7674"/>
    <w:rsid w:val="009C7B38"/>
    <w:rsid w:val="009D004A"/>
    <w:rsid w:val="009D06F4"/>
    <w:rsid w:val="009D35A6"/>
    <w:rsid w:val="009D5880"/>
    <w:rsid w:val="009E1FD4"/>
    <w:rsid w:val="009E3B07"/>
    <w:rsid w:val="009E4545"/>
    <w:rsid w:val="009E51D1"/>
    <w:rsid w:val="009E5531"/>
    <w:rsid w:val="009F171E"/>
    <w:rsid w:val="009F3C71"/>
    <w:rsid w:val="009F3D2F"/>
    <w:rsid w:val="009F41F6"/>
    <w:rsid w:val="009F7052"/>
    <w:rsid w:val="00A01AA9"/>
    <w:rsid w:val="00A02156"/>
    <w:rsid w:val="00A02668"/>
    <w:rsid w:val="00A02801"/>
    <w:rsid w:val="00A06A39"/>
    <w:rsid w:val="00A07F58"/>
    <w:rsid w:val="00A131CB"/>
    <w:rsid w:val="00A132F6"/>
    <w:rsid w:val="00A14847"/>
    <w:rsid w:val="00A16D6D"/>
    <w:rsid w:val="00A1710B"/>
    <w:rsid w:val="00A179C8"/>
    <w:rsid w:val="00A21383"/>
    <w:rsid w:val="00A2199F"/>
    <w:rsid w:val="00A21B31"/>
    <w:rsid w:val="00A2360E"/>
    <w:rsid w:val="00A25A0F"/>
    <w:rsid w:val="00A26E0C"/>
    <w:rsid w:val="00A32FCB"/>
    <w:rsid w:val="00A34C25"/>
    <w:rsid w:val="00A3507D"/>
    <w:rsid w:val="00A354B5"/>
    <w:rsid w:val="00A3717A"/>
    <w:rsid w:val="00A4088C"/>
    <w:rsid w:val="00A43698"/>
    <w:rsid w:val="00A4456B"/>
    <w:rsid w:val="00A448D4"/>
    <w:rsid w:val="00A452E0"/>
    <w:rsid w:val="00A506DF"/>
    <w:rsid w:val="00A51EA5"/>
    <w:rsid w:val="00A53742"/>
    <w:rsid w:val="00A557A1"/>
    <w:rsid w:val="00A62D66"/>
    <w:rsid w:val="00A63059"/>
    <w:rsid w:val="00A63AE3"/>
    <w:rsid w:val="00A651A4"/>
    <w:rsid w:val="00A71361"/>
    <w:rsid w:val="00A72694"/>
    <w:rsid w:val="00A746E2"/>
    <w:rsid w:val="00A81FF2"/>
    <w:rsid w:val="00A83904"/>
    <w:rsid w:val="00A85ADD"/>
    <w:rsid w:val="00A90A79"/>
    <w:rsid w:val="00A937CB"/>
    <w:rsid w:val="00A963A7"/>
    <w:rsid w:val="00A96B30"/>
    <w:rsid w:val="00AA13F0"/>
    <w:rsid w:val="00AA2D0C"/>
    <w:rsid w:val="00AA442D"/>
    <w:rsid w:val="00AA59B5"/>
    <w:rsid w:val="00AA64E2"/>
    <w:rsid w:val="00AA7777"/>
    <w:rsid w:val="00AA7B84"/>
    <w:rsid w:val="00AB6723"/>
    <w:rsid w:val="00AB7A92"/>
    <w:rsid w:val="00AC09A6"/>
    <w:rsid w:val="00AC0B4C"/>
    <w:rsid w:val="00AC1164"/>
    <w:rsid w:val="00AC2296"/>
    <w:rsid w:val="00AC23B4"/>
    <w:rsid w:val="00AC2754"/>
    <w:rsid w:val="00AC3FE1"/>
    <w:rsid w:val="00AC48B0"/>
    <w:rsid w:val="00AC4ACD"/>
    <w:rsid w:val="00AC4E03"/>
    <w:rsid w:val="00AC5DFB"/>
    <w:rsid w:val="00AC7BB3"/>
    <w:rsid w:val="00AD13DC"/>
    <w:rsid w:val="00AD1580"/>
    <w:rsid w:val="00AD6189"/>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07E"/>
    <w:rsid w:val="00B024B9"/>
    <w:rsid w:val="00B06441"/>
    <w:rsid w:val="00B077FA"/>
    <w:rsid w:val="00B111AC"/>
    <w:rsid w:val="00B127D7"/>
    <w:rsid w:val="00B13B0C"/>
    <w:rsid w:val="00B14408"/>
    <w:rsid w:val="00B14458"/>
    <w:rsid w:val="00B1453A"/>
    <w:rsid w:val="00B16696"/>
    <w:rsid w:val="00B20F38"/>
    <w:rsid w:val="00B20F82"/>
    <w:rsid w:val="00B24FC9"/>
    <w:rsid w:val="00B25BD5"/>
    <w:rsid w:val="00B34079"/>
    <w:rsid w:val="00B35EA6"/>
    <w:rsid w:val="00B36D51"/>
    <w:rsid w:val="00B3793A"/>
    <w:rsid w:val="00B401BA"/>
    <w:rsid w:val="00B407E4"/>
    <w:rsid w:val="00B425B6"/>
    <w:rsid w:val="00B42A72"/>
    <w:rsid w:val="00B42B52"/>
    <w:rsid w:val="00B441AE"/>
    <w:rsid w:val="00B45A65"/>
    <w:rsid w:val="00B45F33"/>
    <w:rsid w:val="00B46D50"/>
    <w:rsid w:val="00B500FC"/>
    <w:rsid w:val="00B51914"/>
    <w:rsid w:val="00B5308B"/>
    <w:rsid w:val="00B53170"/>
    <w:rsid w:val="00B548B9"/>
    <w:rsid w:val="00B56DBE"/>
    <w:rsid w:val="00B6094C"/>
    <w:rsid w:val="00B60CE0"/>
    <w:rsid w:val="00B62868"/>
    <w:rsid w:val="00B62999"/>
    <w:rsid w:val="00B63BE3"/>
    <w:rsid w:val="00B642FD"/>
    <w:rsid w:val="00B64885"/>
    <w:rsid w:val="00B64FA3"/>
    <w:rsid w:val="00B66810"/>
    <w:rsid w:val="00B71136"/>
    <w:rsid w:val="00B72BE3"/>
    <w:rsid w:val="00B73B80"/>
    <w:rsid w:val="00B75F6D"/>
    <w:rsid w:val="00B770C7"/>
    <w:rsid w:val="00B80F26"/>
    <w:rsid w:val="00B822BD"/>
    <w:rsid w:val="00B842F4"/>
    <w:rsid w:val="00B91A7B"/>
    <w:rsid w:val="00B929DD"/>
    <w:rsid w:val="00B93AF6"/>
    <w:rsid w:val="00B945E2"/>
    <w:rsid w:val="00B95405"/>
    <w:rsid w:val="00B963F1"/>
    <w:rsid w:val="00BA020A"/>
    <w:rsid w:val="00BA34BF"/>
    <w:rsid w:val="00BA660C"/>
    <w:rsid w:val="00BB025A"/>
    <w:rsid w:val="00BB02A4"/>
    <w:rsid w:val="00BB1270"/>
    <w:rsid w:val="00BB1E44"/>
    <w:rsid w:val="00BB5267"/>
    <w:rsid w:val="00BB52B8"/>
    <w:rsid w:val="00BB59D8"/>
    <w:rsid w:val="00BB6C75"/>
    <w:rsid w:val="00BB7E69"/>
    <w:rsid w:val="00BC0E51"/>
    <w:rsid w:val="00BC3C1F"/>
    <w:rsid w:val="00BC7CE7"/>
    <w:rsid w:val="00BD295E"/>
    <w:rsid w:val="00BD3E20"/>
    <w:rsid w:val="00BD4664"/>
    <w:rsid w:val="00BD6900"/>
    <w:rsid w:val="00BE1193"/>
    <w:rsid w:val="00BF4849"/>
    <w:rsid w:val="00BF49C8"/>
    <w:rsid w:val="00BF4EA7"/>
    <w:rsid w:val="00BF5A25"/>
    <w:rsid w:val="00BF6525"/>
    <w:rsid w:val="00C00EDB"/>
    <w:rsid w:val="00C02863"/>
    <w:rsid w:val="00C0383A"/>
    <w:rsid w:val="00C0476D"/>
    <w:rsid w:val="00C062EA"/>
    <w:rsid w:val="00C067FF"/>
    <w:rsid w:val="00C079C5"/>
    <w:rsid w:val="00C10441"/>
    <w:rsid w:val="00C12862"/>
    <w:rsid w:val="00C13D28"/>
    <w:rsid w:val="00C14585"/>
    <w:rsid w:val="00C165A0"/>
    <w:rsid w:val="00C216CE"/>
    <w:rsid w:val="00C2184F"/>
    <w:rsid w:val="00C22A78"/>
    <w:rsid w:val="00C23086"/>
    <w:rsid w:val="00C23C7E"/>
    <w:rsid w:val="00C246C5"/>
    <w:rsid w:val="00C25A82"/>
    <w:rsid w:val="00C30A2A"/>
    <w:rsid w:val="00C33993"/>
    <w:rsid w:val="00C3621D"/>
    <w:rsid w:val="00C4069E"/>
    <w:rsid w:val="00C41ADC"/>
    <w:rsid w:val="00C42D23"/>
    <w:rsid w:val="00C432CA"/>
    <w:rsid w:val="00C44149"/>
    <w:rsid w:val="00C44410"/>
    <w:rsid w:val="00C44A15"/>
    <w:rsid w:val="00C4630A"/>
    <w:rsid w:val="00C523F0"/>
    <w:rsid w:val="00C526D2"/>
    <w:rsid w:val="00C53A91"/>
    <w:rsid w:val="00C55ACB"/>
    <w:rsid w:val="00C5794E"/>
    <w:rsid w:val="00C60968"/>
    <w:rsid w:val="00C63D39"/>
    <w:rsid w:val="00C63EDD"/>
    <w:rsid w:val="00C65B36"/>
    <w:rsid w:val="00C7292E"/>
    <w:rsid w:val="00C74E88"/>
    <w:rsid w:val="00C80924"/>
    <w:rsid w:val="00C813FD"/>
    <w:rsid w:val="00C8286B"/>
    <w:rsid w:val="00C84C0B"/>
    <w:rsid w:val="00C8669A"/>
    <w:rsid w:val="00C90C16"/>
    <w:rsid w:val="00C921B9"/>
    <w:rsid w:val="00C947F8"/>
    <w:rsid w:val="00C94B38"/>
    <w:rsid w:val="00C94EC7"/>
    <w:rsid w:val="00C9515F"/>
    <w:rsid w:val="00C963C5"/>
    <w:rsid w:val="00CA030C"/>
    <w:rsid w:val="00CA1261"/>
    <w:rsid w:val="00CA1F41"/>
    <w:rsid w:val="00CA32EE"/>
    <w:rsid w:val="00CA5771"/>
    <w:rsid w:val="00CA6A1A"/>
    <w:rsid w:val="00CB141B"/>
    <w:rsid w:val="00CC1E75"/>
    <w:rsid w:val="00CC2004"/>
    <w:rsid w:val="00CC2E0E"/>
    <w:rsid w:val="00CC361C"/>
    <w:rsid w:val="00CC474B"/>
    <w:rsid w:val="00CC658C"/>
    <w:rsid w:val="00CC67BF"/>
    <w:rsid w:val="00CD0843"/>
    <w:rsid w:val="00CD3D04"/>
    <w:rsid w:val="00CD4E31"/>
    <w:rsid w:val="00CD5A78"/>
    <w:rsid w:val="00CD5D99"/>
    <w:rsid w:val="00CD7345"/>
    <w:rsid w:val="00CE215B"/>
    <w:rsid w:val="00CE2760"/>
    <w:rsid w:val="00CE372E"/>
    <w:rsid w:val="00CF0A1B"/>
    <w:rsid w:val="00CF0A25"/>
    <w:rsid w:val="00CF0E22"/>
    <w:rsid w:val="00CF19F6"/>
    <w:rsid w:val="00CF2F4F"/>
    <w:rsid w:val="00CF5008"/>
    <w:rsid w:val="00CF536D"/>
    <w:rsid w:val="00D02E9D"/>
    <w:rsid w:val="00D0549D"/>
    <w:rsid w:val="00D10CB8"/>
    <w:rsid w:val="00D12806"/>
    <w:rsid w:val="00D12D44"/>
    <w:rsid w:val="00D15018"/>
    <w:rsid w:val="00D158AC"/>
    <w:rsid w:val="00D1694C"/>
    <w:rsid w:val="00D1775D"/>
    <w:rsid w:val="00D20F5E"/>
    <w:rsid w:val="00D23B76"/>
    <w:rsid w:val="00D24B4A"/>
    <w:rsid w:val="00D25D87"/>
    <w:rsid w:val="00D305A2"/>
    <w:rsid w:val="00D3633E"/>
    <w:rsid w:val="00D379A3"/>
    <w:rsid w:val="00D42E41"/>
    <w:rsid w:val="00D4490C"/>
    <w:rsid w:val="00D45FF3"/>
    <w:rsid w:val="00D46F37"/>
    <w:rsid w:val="00D512CF"/>
    <w:rsid w:val="00D528B9"/>
    <w:rsid w:val="00D53186"/>
    <w:rsid w:val="00D5487D"/>
    <w:rsid w:val="00D60140"/>
    <w:rsid w:val="00D6024A"/>
    <w:rsid w:val="00D608B5"/>
    <w:rsid w:val="00D64739"/>
    <w:rsid w:val="00D6730C"/>
    <w:rsid w:val="00D71F99"/>
    <w:rsid w:val="00D73CA4"/>
    <w:rsid w:val="00D73D71"/>
    <w:rsid w:val="00D73D81"/>
    <w:rsid w:val="00D74396"/>
    <w:rsid w:val="00D75E26"/>
    <w:rsid w:val="00D77614"/>
    <w:rsid w:val="00D80284"/>
    <w:rsid w:val="00D81F71"/>
    <w:rsid w:val="00D83F87"/>
    <w:rsid w:val="00D8642D"/>
    <w:rsid w:val="00D90A5E"/>
    <w:rsid w:val="00D91922"/>
    <w:rsid w:val="00D91A68"/>
    <w:rsid w:val="00D9307A"/>
    <w:rsid w:val="00D95A68"/>
    <w:rsid w:val="00DA17C7"/>
    <w:rsid w:val="00DA1BB6"/>
    <w:rsid w:val="00DA6A9A"/>
    <w:rsid w:val="00DB003E"/>
    <w:rsid w:val="00DB1EFD"/>
    <w:rsid w:val="00DB3EAF"/>
    <w:rsid w:val="00DB46C6"/>
    <w:rsid w:val="00DB5A81"/>
    <w:rsid w:val="00DC3203"/>
    <w:rsid w:val="00DC3C99"/>
    <w:rsid w:val="00DC52F5"/>
    <w:rsid w:val="00DC5FD0"/>
    <w:rsid w:val="00DD0354"/>
    <w:rsid w:val="00DD27D7"/>
    <w:rsid w:val="00DD458C"/>
    <w:rsid w:val="00DD5437"/>
    <w:rsid w:val="00DD7043"/>
    <w:rsid w:val="00DD72E9"/>
    <w:rsid w:val="00DD7605"/>
    <w:rsid w:val="00DE2020"/>
    <w:rsid w:val="00DE3476"/>
    <w:rsid w:val="00DE7BEA"/>
    <w:rsid w:val="00DF4D69"/>
    <w:rsid w:val="00DF5B84"/>
    <w:rsid w:val="00DF6CD0"/>
    <w:rsid w:val="00DF6D5B"/>
    <w:rsid w:val="00DF771B"/>
    <w:rsid w:val="00DF7EE2"/>
    <w:rsid w:val="00E01BAA"/>
    <w:rsid w:val="00E01F04"/>
    <w:rsid w:val="00E0282A"/>
    <w:rsid w:val="00E02F9B"/>
    <w:rsid w:val="00E07E14"/>
    <w:rsid w:val="00E10316"/>
    <w:rsid w:val="00E14F94"/>
    <w:rsid w:val="00E17336"/>
    <w:rsid w:val="00E17D15"/>
    <w:rsid w:val="00E20269"/>
    <w:rsid w:val="00E22B95"/>
    <w:rsid w:val="00E30331"/>
    <w:rsid w:val="00E30BB8"/>
    <w:rsid w:val="00E31F9C"/>
    <w:rsid w:val="00E32516"/>
    <w:rsid w:val="00E344BD"/>
    <w:rsid w:val="00E40488"/>
    <w:rsid w:val="00E50367"/>
    <w:rsid w:val="00E50C8D"/>
    <w:rsid w:val="00E51ABA"/>
    <w:rsid w:val="00E524CB"/>
    <w:rsid w:val="00E53010"/>
    <w:rsid w:val="00E549BD"/>
    <w:rsid w:val="00E6028D"/>
    <w:rsid w:val="00E65456"/>
    <w:rsid w:val="00E65A91"/>
    <w:rsid w:val="00E66188"/>
    <w:rsid w:val="00E664FB"/>
    <w:rsid w:val="00E672F0"/>
    <w:rsid w:val="00E70373"/>
    <w:rsid w:val="00E70809"/>
    <w:rsid w:val="00E70D6D"/>
    <w:rsid w:val="00E72E40"/>
    <w:rsid w:val="00E73665"/>
    <w:rsid w:val="00E73999"/>
    <w:rsid w:val="00E73B4A"/>
    <w:rsid w:val="00E73BDC"/>
    <w:rsid w:val="00E73E9E"/>
    <w:rsid w:val="00E77777"/>
    <w:rsid w:val="00E80AE8"/>
    <w:rsid w:val="00E81660"/>
    <w:rsid w:val="00E81F3E"/>
    <w:rsid w:val="00E84D09"/>
    <w:rsid w:val="00E854FE"/>
    <w:rsid w:val="00E906CC"/>
    <w:rsid w:val="00E93706"/>
    <w:rsid w:val="00E939A0"/>
    <w:rsid w:val="00E97E4E"/>
    <w:rsid w:val="00EA1CC2"/>
    <w:rsid w:val="00EA2D76"/>
    <w:rsid w:val="00EA4644"/>
    <w:rsid w:val="00EA758A"/>
    <w:rsid w:val="00EB096F"/>
    <w:rsid w:val="00EB199F"/>
    <w:rsid w:val="00EB21A4"/>
    <w:rsid w:val="00EB27C4"/>
    <w:rsid w:val="00EB34CE"/>
    <w:rsid w:val="00EB5387"/>
    <w:rsid w:val="00EB5C10"/>
    <w:rsid w:val="00EB7322"/>
    <w:rsid w:val="00EC0FE9"/>
    <w:rsid w:val="00EC192B"/>
    <w:rsid w:val="00EC198B"/>
    <w:rsid w:val="00EC19D1"/>
    <w:rsid w:val="00EC232F"/>
    <w:rsid w:val="00EC426D"/>
    <w:rsid w:val="00EC571B"/>
    <w:rsid w:val="00EC57D7"/>
    <w:rsid w:val="00EC6385"/>
    <w:rsid w:val="00EC7778"/>
    <w:rsid w:val="00ED1DE9"/>
    <w:rsid w:val="00ED23D4"/>
    <w:rsid w:val="00ED5E0B"/>
    <w:rsid w:val="00ED6423"/>
    <w:rsid w:val="00EE1A11"/>
    <w:rsid w:val="00EE37B6"/>
    <w:rsid w:val="00EE63C4"/>
    <w:rsid w:val="00EF0F45"/>
    <w:rsid w:val="00EF7463"/>
    <w:rsid w:val="00EF7971"/>
    <w:rsid w:val="00F002EF"/>
    <w:rsid w:val="00F01EE9"/>
    <w:rsid w:val="00F04900"/>
    <w:rsid w:val="00F065A4"/>
    <w:rsid w:val="00F0667B"/>
    <w:rsid w:val="00F119EE"/>
    <w:rsid w:val="00F126B9"/>
    <w:rsid w:val="00F12715"/>
    <w:rsid w:val="00F1274E"/>
    <w:rsid w:val="00F144D5"/>
    <w:rsid w:val="00F146F0"/>
    <w:rsid w:val="00F15039"/>
    <w:rsid w:val="00F16992"/>
    <w:rsid w:val="00F20FF3"/>
    <w:rsid w:val="00F2190B"/>
    <w:rsid w:val="00F228B5"/>
    <w:rsid w:val="00F2389C"/>
    <w:rsid w:val="00F24AF1"/>
    <w:rsid w:val="00F25B94"/>
    <w:rsid w:val="00F25C67"/>
    <w:rsid w:val="00F268E8"/>
    <w:rsid w:val="00F30DFF"/>
    <w:rsid w:val="00F32B80"/>
    <w:rsid w:val="00F340EB"/>
    <w:rsid w:val="00F35285"/>
    <w:rsid w:val="00F37864"/>
    <w:rsid w:val="00F43B9D"/>
    <w:rsid w:val="00F44D5E"/>
    <w:rsid w:val="00F5022A"/>
    <w:rsid w:val="00F53A35"/>
    <w:rsid w:val="00F54913"/>
    <w:rsid w:val="00F553CE"/>
    <w:rsid w:val="00F55A3D"/>
    <w:rsid w:val="00F5744B"/>
    <w:rsid w:val="00F61209"/>
    <w:rsid w:val="00F6259E"/>
    <w:rsid w:val="00F65DD4"/>
    <w:rsid w:val="00F672B2"/>
    <w:rsid w:val="00F73D1A"/>
    <w:rsid w:val="00F768ED"/>
    <w:rsid w:val="00F82FCF"/>
    <w:rsid w:val="00F83973"/>
    <w:rsid w:val="00F845A2"/>
    <w:rsid w:val="00F87FA3"/>
    <w:rsid w:val="00F904B4"/>
    <w:rsid w:val="00F93D8C"/>
    <w:rsid w:val="00FA3102"/>
    <w:rsid w:val="00FA44F2"/>
    <w:rsid w:val="00FA48D4"/>
    <w:rsid w:val="00FA54FA"/>
    <w:rsid w:val="00FA6D39"/>
    <w:rsid w:val="00FB227E"/>
    <w:rsid w:val="00FB3D61"/>
    <w:rsid w:val="00FB44CE"/>
    <w:rsid w:val="00FB5009"/>
    <w:rsid w:val="00FB6B6C"/>
    <w:rsid w:val="00FB73B2"/>
    <w:rsid w:val="00FB76AB"/>
    <w:rsid w:val="00FC1159"/>
    <w:rsid w:val="00FD00D8"/>
    <w:rsid w:val="00FD03FE"/>
    <w:rsid w:val="00FD126E"/>
    <w:rsid w:val="00FD13AA"/>
    <w:rsid w:val="00FD18D7"/>
    <w:rsid w:val="00FD3C36"/>
    <w:rsid w:val="00FD4D81"/>
    <w:rsid w:val="00FD7498"/>
    <w:rsid w:val="00FD7FB3"/>
    <w:rsid w:val="00FE4713"/>
    <w:rsid w:val="00FE477C"/>
    <w:rsid w:val="00FF1F44"/>
    <w:rsid w:val="00FF225E"/>
    <w:rsid w:val="00FF452B"/>
    <w:rsid w:val="00FF5999"/>
    <w:rsid w:val="00FF672C"/>
    <w:rsid w:val="00FF6CE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3B248C"/>
    <w:rPr>
      <w:color w:val="0000FF" w:themeColor="hyperlink"/>
      <w:u w:val="single"/>
    </w:rPr>
  </w:style>
  <w:style w:type="table" w:styleId="TableGrid">
    <w:name w:val="Table Grid"/>
    <w:basedOn w:val="TableNormal"/>
    <w:rsid w:val="00563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410034"/>
    <w:pPr>
      <w:ind w:left="720"/>
      <w:contextualSpacing/>
    </w:pPr>
  </w:style>
  <w:style w:type="paragraph" w:styleId="BalloonText">
    <w:name w:val="Balloon Text"/>
    <w:basedOn w:val="Normal"/>
    <w:link w:val="BalloonTextChar"/>
    <w:semiHidden/>
    <w:unhideWhenUsed/>
    <w:rsid w:val="007D437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3B248C"/>
    <w:rPr>
      <w:color w:val="0000FF" w:themeColor="hyperlink"/>
      <w:u w:val="single"/>
    </w:rPr>
  </w:style>
  <w:style w:type="table" w:styleId="TableGrid">
    <w:name w:val="Table Grid"/>
    <w:basedOn w:val="TableNormal"/>
    <w:rsid w:val="00563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410034"/>
    <w:pPr>
      <w:ind w:left="720"/>
      <w:contextualSpacing/>
    </w:pPr>
  </w:style>
  <w:style w:type="paragraph" w:styleId="BalloonText">
    <w:name w:val="Balloon Text"/>
    <w:basedOn w:val="Normal"/>
    <w:link w:val="BalloonTextChar"/>
    <w:semiHidden/>
    <w:unhideWhenUsed/>
    <w:rsid w:val="007D437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lani.halvitigala@rmit.edu.au" TargetMode="External"/><Relationship Id="rId13" Type="http://schemas.openxmlformats.org/officeDocument/2006/relationships/hyperlink" Target="http://www.abc.net.au/news/2014-09-07/queensland-public-servants-trial-digital-hubs-flexible-work/5724826?section=ql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us.com/images/Regus-VWork-7-nocrops_tcm304-3950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mh.com.au/business/property/coworking-grows-35-in-year-20170209-gu95zx.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kmag.com/en/the-coworkingmarket-report-forecast-2014" TargetMode="External"/><Relationship Id="rId5" Type="http://schemas.openxmlformats.org/officeDocument/2006/relationships/webSettings" Target="webSettings.xml"/><Relationship Id="rId15" Type="http://schemas.openxmlformats.org/officeDocument/2006/relationships/hyperlink" Target="https://kfcontent.blob.core.windows.net/research/1100/documents/en/melcowork1702-4438.pdf" TargetMode="External"/><Relationship Id="rId10" Type="http://schemas.openxmlformats.org/officeDocument/2006/relationships/hyperlink" Target="https://academiccommons.columbia.edu/catalog/ac:2002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research.knightfrank.com.au/resinsight1610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DFB41-6894-46D0-B4E3-B11D8D2C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5048</Words>
  <Characters>28776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PRRES2018-Paper-Template</vt:lpstr>
    </vt:vector>
  </TitlesOfParts>
  <LinksUpToDate>false</LinksUpToDate>
  <CharactersWithSpaces>33757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PRRES2018-Paper-Template</dc:title>
  <dc:creator/>
  <cp:lastModifiedBy/>
  <cp:revision>1</cp:revision>
  <cp:lastPrinted>2011-07-22T14:54:00Z</cp:lastPrinted>
  <dcterms:created xsi:type="dcterms:W3CDTF">2018-02-02T23:34:00Z</dcterms:created>
  <dcterms:modified xsi:type="dcterms:W3CDTF">2019-03-12T12:17:00Z</dcterms:modified>
</cp:coreProperties>
</file>