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405C8" w14:textId="77777777" w:rsidR="00D75B0E" w:rsidRPr="00D75B0E" w:rsidRDefault="00D75B0E" w:rsidP="00D75B0E">
      <w:pPr>
        <w:spacing w:line="480" w:lineRule="auto"/>
        <w:jc w:val="center"/>
        <w:outlineLvl w:val="0"/>
        <w:rPr>
          <w:b/>
          <w:sz w:val="20"/>
          <w:szCs w:val="20"/>
        </w:rPr>
      </w:pPr>
      <w:r w:rsidRPr="00D75B0E">
        <w:rPr>
          <w:b/>
          <w:sz w:val="20"/>
          <w:szCs w:val="20"/>
        </w:rPr>
        <w:t xml:space="preserve">Pre-publication version: </w:t>
      </w:r>
    </w:p>
    <w:p w14:paraId="27EEB554" w14:textId="2B20D838" w:rsidR="00D75B0E" w:rsidRPr="00D75B0E" w:rsidRDefault="00D75B0E" w:rsidP="00D75B0E">
      <w:pPr>
        <w:spacing w:line="480" w:lineRule="auto"/>
        <w:jc w:val="center"/>
        <w:outlineLvl w:val="0"/>
        <w:rPr>
          <w:sz w:val="20"/>
          <w:szCs w:val="20"/>
        </w:rPr>
      </w:pPr>
      <w:r>
        <w:rPr>
          <w:sz w:val="20"/>
          <w:szCs w:val="20"/>
        </w:rPr>
        <w:t>Brady, B., Kneebone, I. I., &amp; Bailey, P. B.  (accepted 2018</w:t>
      </w:r>
      <w:r w:rsidRPr="00D75B0E">
        <w:rPr>
          <w:sz w:val="20"/>
          <w:szCs w:val="20"/>
        </w:rPr>
        <w:t xml:space="preserve">). Validation of the </w:t>
      </w:r>
      <w:proofErr w:type="gramStart"/>
      <w:r w:rsidRPr="00D75B0E">
        <w:rPr>
          <w:sz w:val="20"/>
          <w:szCs w:val="20"/>
        </w:rPr>
        <w:t>Five Facet</w:t>
      </w:r>
      <w:proofErr w:type="gramEnd"/>
      <w:r w:rsidRPr="00D75B0E">
        <w:rPr>
          <w:sz w:val="20"/>
          <w:szCs w:val="20"/>
        </w:rPr>
        <w:t xml:space="preserve"> Mindfulness Questionnaire Among Community-Dwelling Older Adults</w:t>
      </w:r>
      <w:r>
        <w:rPr>
          <w:sz w:val="20"/>
          <w:szCs w:val="20"/>
        </w:rPr>
        <w:t xml:space="preserve">. </w:t>
      </w:r>
      <w:r w:rsidRPr="00323E6E">
        <w:rPr>
          <w:i/>
          <w:sz w:val="20"/>
          <w:szCs w:val="20"/>
        </w:rPr>
        <w:t>Mindfulness.</w:t>
      </w:r>
      <w:r w:rsidRPr="00D75B0E">
        <w:rPr>
          <w:sz w:val="20"/>
          <w:szCs w:val="20"/>
        </w:rPr>
        <w:t xml:space="preserve"> </w:t>
      </w:r>
    </w:p>
    <w:p w14:paraId="5BA0E980" w14:textId="0BAF321C" w:rsidR="00FC2BD8" w:rsidRPr="00D75B0E" w:rsidRDefault="00D75B0E" w:rsidP="00D75B0E">
      <w:pPr>
        <w:spacing w:line="480" w:lineRule="auto"/>
        <w:jc w:val="center"/>
        <w:outlineLvl w:val="0"/>
        <w:rPr>
          <w:sz w:val="20"/>
          <w:szCs w:val="20"/>
        </w:rPr>
      </w:pPr>
      <w:r w:rsidRPr="00D75B0E">
        <w:rPr>
          <w:sz w:val="20"/>
          <w:szCs w:val="20"/>
        </w:rPr>
        <w:t>This paper is not the copy of record and may not exactly replicate the authoritative document published in the journal.</w:t>
      </w:r>
    </w:p>
    <w:p w14:paraId="737ACC9F" w14:textId="4908D477" w:rsidR="00FC2BD8" w:rsidRDefault="00FC2BD8" w:rsidP="00895799">
      <w:pPr>
        <w:spacing w:line="480" w:lineRule="auto"/>
        <w:jc w:val="center"/>
        <w:outlineLvl w:val="0"/>
        <w:rPr>
          <w:sz w:val="20"/>
          <w:szCs w:val="20"/>
        </w:rPr>
      </w:pPr>
    </w:p>
    <w:p w14:paraId="72CBB7DD" w14:textId="0C5982F0" w:rsidR="00FC2BD8" w:rsidRDefault="00FC2BD8" w:rsidP="00895799">
      <w:pPr>
        <w:spacing w:line="480" w:lineRule="auto"/>
        <w:jc w:val="center"/>
        <w:outlineLvl w:val="0"/>
        <w:rPr>
          <w:sz w:val="20"/>
          <w:szCs w:val="20"/>
        </w:rPr>
      </w:pPr>
    </w:p>
    <w:p w14:paraId="6100E928" w14:textId="6D754035" w:rsidR="00FC2BD8" w:rsidRDefault="00FC2BD8" w:rsidP="00895799">
      <w:pPr>
        <w:spacing w:line="480" w:lineRule="auto"/>
        <w:jc w:val="center"/>
        <w:outlineLvl w:val="0"/>
        <w:rPr>
          <w:sz w:val="20"/>
          <w:szCs w:val="20"/>
        </w:rPr>
      </w:pPr>
    </w:p>
    <w:p w14:paraId="462D144F" w14:textId="4A70F9A2" w:rsidR="00FC2BD8" w:rsidRDefault="00FC2BD8" w:rsidP="00895799">
      <w:pPr>
        <w:spacing w:line="480" w:lineRule="auto"/>
        <w:jc w:val="center"/>
        <w:outlineLvl w:val="0"/>
        <w:rPr>
          <w:sz w:val="20"/>
          <w:szCs w:val="20"/>
        </w:rPr>
      </w:pPr>
    </w:p>
    <w:p w14:paraId="6B259B02" w14:textId="1CB88FCB" w:rsidR="00FC2BD8" w:rsidRDefault="00FC2BD8" w:rsidP="00895799">
      <w:pPr>
        <w:spacing w:line="480" w:lineRule="auto"/>
        <w:jc w:val="center"/>
        <w:outlineLvl w:val="0"/>
        <w:rPr>
          <w:sz w:val="20"/>
          <w:szCs w:val="20"/>
        </w:rPr>
      </w:pPr>
      <w:bookmarkStart w:id="0" w:name="_GoBack"/>
      <w:bookmarkEnd w:id="0"/>
    </w:p>
    <w:p w14:paraId="6F712028" w14:textId="61EB8E53" w:rsidR="00FC2BD8" w:rsidRDefault="00FC2BD8" w:rsidP="00895799">
      <w:pPr>
        <w:spacing w:line="480" w:lineRule="auto"/>
        <w:jc w:val="center"/>
        <w:outlineLvl w:val="0"/>
        <w:rPr>
          <w:sz w:val="20"/>
          <w:szCs w:val="20"/>
        </w:rPr>
      </w:pPr>
    </w:p>
    <w:p w14:paraId="24BFE04B" w14:textId="700C646D" w:rsidR="00FC2BD8" w:rsidRDefault="00FC2BD8" w:rsidP="00895799">
      <w:pPr>
        <w:spacing w:line="480" w:lineRule="auto"/>
        <w:jc w:val="center"/>
        <w:outlineLvl w:val="0"/>
        <w:rPr>
          <w:sz w:val="20"/>
          <w:szCs w:val="20"/>
        </w:rPr>
      </w:pPr>
    </w:p>
    <w:p w14:paraId="267598DE" w14:textId="08764C73" w:rsidR="00FC2BD8" w:rsidRDefault="00FC2BD8" w:rsidP="00895799">
      <w:pPr>
        <w:spacing w:line="480" w:lineRule="auto"/>
        <w:jc w:val="center"/>
        <w:outlineLvl w:val="0"/>
        <w:rPr>
          <w:sz w:val="20"/>
          <w:szCs w:val="20"/>
        </w:rPr>
      </w:pPr>
    </w:p>
    <w:p w14:paraId="3D5F9C6A" w14:textId="77777777" w:rsidR="00FC2BD8" w:rsidRDefault="00FC2BD8" w:rsidP="00836204">
      <w:pPr>
        <w:spacing w:line="480" w:lineRule="auto"/>
        <w:jc w:val="center"/>
        <w:outlineLvl w:val="0"/>
        <w:rPr>
          <w:sz w:val="20"/>
          <w:szCs w:val="20"/>
        </w:rPr>
      </w:pPr>
    </w:p>
    <w:p w14:paraId="4EE97689" w14:textId="77777777" w:rsidR="00FC2BD8" w:rsidRPr="00836204" w:rsidRDefault="00FC2BD8" w:rsidP="00836204">
      <w:pPr>
        <w:spacing w:line="480" w:lineRule="auto"/>
        <w:jc w:val="center"/>
        <w:rPr>
          <w:b/>
          <w:sz w:val="20"/>
          <w:szCs w:val="20"/>
        </w:rPr>
      </w:pPr>
      <w:r w:rsidRPr="00836204">
        <w:rPr>
          <w:b/>
          <w:sz w:val="20"/>
          <w:szCs w:val="20"/>
        </w:rPr>
        <w:t xml:space="preserve">Validation of the </w:t>
      </w:r>
      <w:proofErr w:type="gramStart"/>
      <w:r w:rsidRPr="00836204">
        <w:rPr>
          <w:b/>
          <w:sz w:val="20"/>
          <w:szCs w:val="20"/>
        </w:rPr>
        <w:t>Five Facet</w:t>
      </w:r>
      <w:proofErr w:type="gramEnd"/>
      <w:r w:rsidRPr="00836204">
        <w:rPr>
          <w:b/>
          <w:sz w:val="20"/>
          <w:szCs w:val="20"/>
        </w:rPr>
        <w:t xml:space="preserve"> Mindfulness Questionnaire Among Community-Dwelling Older Adults</w:t>
      </w:r>
    </w:p>
    <w:p w14:paraId="62A7228B" w14:textId="77777777" w:rsidR="00836204" w:rsidRDefault="00836204" w:rsidP="00836204">
      <w:pPr>
        <w:spacing w:line="480" w:lineRule="auto"/>
        <w:jc w:val="center"/>
        <w:outlineLvl w:val="0"/>
        <w:rPr>
          <w:sz w:val="20"/>
        </w:rPr>
      </w:pPr>
    </w:p>
    <w:p w14:paraId="0D54912A" w14:textId="185A7E2C" w:rsidR="00836204" w:rsidRPr="00836204" w:rsidRDefault="00836204" w:rsidP="00836204">
      <w:pPr>
        <w:spacing w:line="480" w:lineRule="auto"/>
        <w:jc w:val="center"/>
        <w:outlineLvl w:val="0"/>
        <w:rPr>
          <w:sz w:val="20"/>
        </w:rPr>
      </w:pPr>
      <w:r w:rsidRPr="00836204">
        <w:rPr>
          <w:sz w:val="20"/>
        </w:rPr>
        <w:t>Brooke Brady</w:t>
      </w:r>
      <w:r w:rsidRPr="00836204">
        <w:rPr>
          <w:sz w:val="20"/>
          <w:vertAlign w:val="superscript"/>
        </w:rPr>
        <w:t>1</w:t>
      </w:r>
      <w:r w:rsidRPr="00836204">
        <w:rPr>
          <w:sz w:val="20"/>
        </w:rPr>
        <w:t>, Ian I. Kneebone</w:t>
      </w:r>
      <w:r w:rsidRPr="00836204">
        <w:rPr>
          <w:sz w:val="20"/>
          <w:vertAlign w:val="superscript"/>
        </w:rPr>
        <w:t>2</w:t>
      </w:r>
      <w:r w:rsidRPr="00836204" w:rsidDel="00596FD7">
        <w:rPr>
          <w:sz w:val="20"/>
        </w:rPr>
        <w:t xml:space="preserve"> </w:t>
      </w:r>
      <w:r w:rsidRPr="00836204">
        <w:rPr>
          <w:sz w:val="20"/>
        </w:rPr>
        <w:t>and Phoebe E. Bailey</w:t>
      </w:r>
      <w:r w:rsidRPr="00836204">
        <w:rPr>
          <w:sz w:val="20"/>
          <w:vertAlign w:val="superscript"/>
        </w:rPr>
        <w:t>1</w:t>
      </w:r>
    </w:p>
    <w:p w14:paraId="0051A957" w14:textId="77777777" w:rsidR="00836204" w:rsidRPr="00836204" w:rsidRDefault="00836204" w:rsidP="00836204">
      <w:pPr>
        <w:spacing w:line="480" w:lineRule="auto"/>
        <w:jc w:val="center"/>
        <w:rPr>
          <w:sz w:val="20"/>
        </w:rPr>
      </w:pPr>
    </w:p>
    <w:p w14:paraId="57DA211B" w14:textId="77777777" w:rsidR="00836204" w:rsidRPr="00836204" w:rsidRDefault="00836204" w:rsidP="00836204">
      <w:pPr>
        <w:spacing w:line="480" w:lineRule="auto"/>
        <w:jc w:val="center"/>
        <w:outlineLvl w:val="0"/>
        <w:rPr>
          <w:sz w:val="20"/>
        </w:rPr>
      </w:pPr>
      <w:r w:rsidRPr="00836204">
        <w:rPr>
          <w:sz w:val="20"/>
          <w:vertAlign w:val="superscript"/>
        </w:rPr>
        <w:t>1</w:t>
      </w:r>
      <w:r w:rsidRPr="00836204">
        <w:rPr>
          <w:sz w:val="20"/>
        </w:rPr>
        <w:t>School of Social Sciences and Psychology, Western Sydney University, Sydney, Australia</w:t>
      </w:r>
    </w:p>
    <w:p w14:paraId="6634F2FB" w14:textId="77777777" w:rsidR="00836204" w:rsidRPr="00836204" w:rsidRDefault="00836204" w:rsidP="00836204">
      <w:pPr>
        <w:spacing w:line="480" w:lineRule="auto"/>
        <w:jc w:val="center"/>
        <w:rPr>
          <w:sz w:val="20"/>
        </w:rPr>
      </w:pPr>
      <w:r w:rsidRPr="00836204">
        <w:rPr>
          <w:sz w:val="20"/>
          <w:vertAlign w:val="superscript"/>
        </w:rPr>
        <w:t>2</w:t>
      </w:r>
      <w:r w:rsidRPr="00836204">
        <w:rPr>
          <w:sz w:val="20"/>
        </w:rPr>
        <w:t>Discipline of Clinical Psychology, Graduate School of Health, University of Technology Sydney, Sydney, Australia</w:t>
      </w:r>
    </w:p>
    <w:p w14:paraId="6DB069CA" w14:textId="77777777" w:rsidR="00FC2BD8" w:rsidRDefault="00FC2BD8" w:rsidP="00836204">
      <w:pPr>
        <w:spacing w:line="480" w:lineRule="auto"/>
        <w:jc w:val="center"/>
        <w:outlineLvl w:val="0"/>
        <w:rPr>
          <w:sz w:val="20"/>
          <w:szCs w:val="20"/>
        </w:rPr>
      </w:pPr>
    </w:p>
    <w:p w14:paraId="4D67FBD6" w14:textId="77777777" w:rsidR="00FC2BD8" w:rsidRDefault="00FC2BD8" w:rsidP="00895799">
      <w:pPr>
        <w:spacing w:line="480" w:lineRule="auto"/>
        <w:jc w:val="center"/>
        <w:outlineLvl w:val="0"/>
        <w:rPr>
          <w:sz w:val="20"/>
          <w:szCs w:val="20"/>
        </w:rPr>
        <w:sectPr w:rsidR="00FC2BD8" w:rsidSect="0020048D">
          <w:headerReference w:type="even" r:id="rId7"/>
          <w:headerReference w:type="default" r:id="rId8"/>
          <w:pgSz w:w="11900" w:h="16840"/>
          <w:pgMar w:top="1440" w:right="1440" w:bottom="1440" w:left="1440" w:header="708" w:footer="708" w:gutter="0"/>
          <w:cols w:space="708"/>
          <w:docGrid w:linePitch="360"/>
        </w:sectPr>
      </w:pPr>
    </w:p>
    <w:p w14:paraId="506627FD" w14:textId="472ABB80" w:rsidR="00106DD5" w:rsidRPr="00895799" w:rsidRDefault="00106DD5" w:rsidP="00895799">
      <w:pPr>
        <w:spacing w:line="480" w:lineRule="auto"/>
        <w:jc w:val="center"/>
        <w:outlineLvl w:val="0"/>
        <w:rPr>
          <w:sz w:val="20"/>
          <w:szCs w:val="20"/>
        </w:rPr>
      </w:pPr>
      <w:r w:rsidRPr="00895799">
        <w:rPr>
          <w:sz w:val="20"/>
          <w:szCs w:val="20"/>
        </w:rPr>
        <w:lastRenderedPageBreak/>
        <w:t>Abstract</w:t>
      </w:r>
    </w:p>
    <w:p w14:paraId="3305DC2A" w14:textId="46F857B7" w:rsidR="0058685C" w:rsidRPr="00895799" w:rsidRDefault="0058685C" w:rsidP="00895799">
      <w:pPr>
        <w:spacing w:line="480" w:lineRule="auto"/>
        <w:rPr>
          <w:sz w:val="20"/>
          <w:szCs w:val="20"/>
        </w:rPr>
      </w:pPr>
      <w:r w:rsidRPr="00895799">
        <w:rPr>
          <w:sz w:val="20"/>
          <w:szCs w:val="20"/>
        </w:rPr>
        <w:t>The 24-item Five Facet Mindfulness Questionnaire</w:t>
      </w:r>
      <w:r w:rsidR="00EF5546" w:rsidRPr="00895799">
        <w:rPr>
          <w:sz w:val="20"/>
          <w:szCs w:val="20"/>
        </w:rPr>
        <w:t xml:space="preserve"> – Short Form</w:t>
      </w:r>
      <w:r w:rsidRPr="00895799">
        <w:rPr>
          <w:sz w:val="20"/>
          <w:szCs w:val="20"/>
        </w:rPr>
        <w:t xml:space="preserve"> (FFMQ-SF) </w:t>
      </w:r>
      <w:proofErr w:type="gramStart"/>
      <w:r w:rsidRPr="00895799">
        <w:rPr>
          <w:sz w:val="20"/>
          <w:szCs w:val="20"/>
        </w:rPr>
        <w:t>was developed</w:t>
      </w:r>
      <w:proofErr w:type="gramEnd"/>
      <w:r w:rsidRPr="00895799">
        <w:rPr>
          <w:sz w:val="20"/>
          <w:szCs w:val="20"/>
        </w:rPr>
        <w:t xml:space="preserve"> to measure five facets of dispositional mindfulness: observing, describing, acting with awareness, non-judgment of inner experience</w:t>
      </w:r>
      <w:r w:rsidR="00E14AAC" w:rsidRPr="00895799">
        <w:rPr>
          <w:sz w:val="20"/>
          <w:szCs w:val="20"/>
        </w:rPr>
        <w:t>,</w:t>
      </w:r>
      <w:r w:rsidRPr="00895799">
        <w:rPr>
          <w:sz w:val="20"/>
          <w:szCs w:val="20"/>
        </w:rPr>
        <w:t xml:space="preserve"> and non-reactivity to inner experience.</w:t>
      </w:r>
      <w:r w:rsidR="0073709F" w:rsidRPr="00895799">
        <w:rPr>
          <w:sz w:val="20"/>
          <w:szCs w:val="20"/>
        </w:rPr>
        <w:t xml:space="preserve"> </w:t>
      </w:r>
      <w:r w:rsidRPr="00895799">
        <w:rPr>
          <w:sz w:val="20"/>
          <w:szCs w:val="20"/>
        </w:rPr>
        <w:t>The FFMQ</w:t>
      </w:r>
      <w:r w:rsidR="0073709F" w:rsidRPr="00895799">
        <w:rPr>
          <w:sz w:val="20"/>
          <w:szCs w:val="20"/>
        </w:rPr>
        <w:t>-SF</w:t>
      </w:r>
      <w:r w:rsidRPr="00895799">
        <w:rPr>
          <w:sz w:val="20"/>
          <w:szCs w:val="20"/>
        </w:rPr>
        <w:t xml:space="preserve"> </w:t>
      </w:r>
      <w:proofErr w:type="gramStart"/>
      <w:r w:rsidRPr="00895799">
        <w:rPr>
          <w:sz w:val="20"/>
          <w:szCs w:val="20"/>
        </w:rPr>
        <w:t>is increasingly used</w:t>
      </w:r>
      <w:proofErr w:type="gramEnd"/>
      <w:r w:rsidRPr="00895799">
        <w:rPr>
          <w:sz w:val="20"/>
          <w:szCs w:val="20"/>
        </w:rPr>
        <w:t xml:space="preserve"> with older adult populations, despite not having been appropriately validated for such use. The present study examined the psychometric properties of the FFMQ</w:t>
      </w:r>
      <w:r w:rsidR="0073709F" w:rsidRPr="00895799">
        <w:rPr>
          <w:sz w:val="20"/>
          <w:szCs w:val="20"/>
        </w:rPr>
        <w:t>-SF</w:t>
      </w:r>
      <w:r w:rsidRPr="00895799">
        <w:rPr>
          <w:sz w:val="20"/>
          <w:szCs w:val="20"/>
        </w:rPr>
        <w:t xml:space="preserve"> among community-dwelling older adults (</w:t>
      </w:r>
      <w:r w:rsidRPr="00FE1D67">
        <w:rPr>
          <w:i/>
          <w:sz w:val="20"/>
          <w:szCs w:val="20"/>
        </w:rPr>
        <w:t>N</w:t>
      </w:r>
      <w:r w:rsidRPr="00FE1D67">
        <w:rPr>
          <w:sz w:val="20"/>
          <w:szCs w:val="20"/>
        </w:rPr>
        <w:t xml:space="preserve"> = 2</w:t>
      </w:r>
      <w:r w:rsidR="00FE1D67" w:rsidRPr="00D0112B">
        <w:rPr>
          <w:sz w:val="20"/>
          <w:szCs w:val="20"/>
        </w:rPr>
        <w:t>1</w:t>
      </w:r>
      <w:r w:rsidR="00FE1D67">
        <w:rPr>
          <w:sz w:val="20"/>
          <w:szCs w:val="20"/>
        </w:rPr>
        <w:t>0</w:t>
      </w:r>
      <w:r w:rsidRPr="00FE1D67">
        <w:rPr>
          <w:sz w:val="20"/>
          <w:szCs w:val="20"/>
        </w:rPr>
        <w:t>).</w:t>
      </w:r>
      <w:r w:rsidRPr="00895799">
        <w:rPr>
          <w:sz w:val="20"/>
          <w:szCs w:val="20"/>
        </w:rPr>
        <w:t xml:space="preserve"> The five subscales of the FFMQ</w:t>
      </w:r>
      <w:r w:rsidR="0073709F" w:rsidRPr="00895799">
        <w:rPr>
          <w:sz w:val="20"/>
          <w:szCs w:val="20"/>
        </w:rPr>
        <w:t>-SF</w:t>
      </w:r>
      <w:r w:rsidRPr="00895799">
        <w:rPr>
          <w:sz w:val="20"/>
          <w:szCs w:val="20"/>
        </w:rPr>
        <w:t xml:space="preserve"> </w:t>
      </w:r>
      <w:proofErr w:type="gramStart"/>
      <w:r w:rsidRPr="00895799">
        <w:rPr>
          <w:sz w:val="20"/>
          <w:szCs w:val="20"/>
        </w:rPr>
        <w:t>were found</w:t>
      </w:r>
      <w:proofErr w:type="gramEnd"/>
      <w:r w:rsidRPr="00895799">
        <w:rPr>
          <w:sz w:val="20"/>
          <w:szCs w:val="20"/>
        </w:rPr>
        <w:t xml:space="preserve"> to be internally consistent.</w:t>
      </w:r>
      <w:r w:rsidR="00014F70" w:rsidRPr="00895799">
        <w:rPr>
          <w:sz w:val="20"/>
          <w:szCs w:val="20"/>
        </w:rPr>
        <w:t xml:space="preserve"> </w:t>
      </w:r>
      <w:r w:rsidR="00CA2672" w:rsidRPr="00895799">
        <w:rPr>
          <w:color w:val="212121"/>
          <w:sz w:val="20"/>
          <w:szCs w:val="20"/>
          <w:shd w:val="clear" w:color="auto" w:fill="FFFFFF"/>
        </w:rPr>
        <w:t>Convergent</w:t>
      </w:r>
      <w:r w:rsidRPr="00895799">
        <w:rPr>
          <w:sz w:val="20"/>
          <w:szCs w:val="20"/>
        </w:rPr>
        <w:t xml:space="preserve"> validity </w:t>
      </w:r>
      <w:r w:rsidR="00AB4BE3" w:rsidRPr="00895799">
        <w:rPr>
          <w:sz w:val="20"/>
          <w:szCs w:val="20"/>
        </w:rPr>
        <w:t xml:space="preserve">analyses </w:t>
      </w:r>
      <w:r w:rsidRPr="00895799">
        <w:rPr>
          <w:sz w:val="20"/>
          <w:szCs w:val="20"/>
        </w:rPr>
        <w:t xml:space="preserve">revealed that </w:t>
      </w:r>
      <w:r w:rsidR="00014F70" w:rsidRPr="00895799">
        <w:rPr>
          <w:sz w:val="20"/>
          <w:szCs w:val="20"/>
        </w:rPr>
        <w:t xml:space="preserve">all five facets of mindfulness </w:t>
      </w:r>
      <w:proofErr w:type="gramStart"/>
      <w:r w:rsidR="00014F70" w:rsidRPr="00895799">
        <w:rPr>
          <w:sz w:val="20"/>
          <w:szCs w:val="20"/>
        </w:rPr>
        <w:t>were negatively correlated</w:t>
      </w:r>
      <w:proofErr w:type="gramEnd"/>
      <w:r w:rsidR="00014F70" w:rsidRPr="00895799">
        <w:rPr>
          <w:sz w:val="20"/>
          <w:szCs w:val="20"/>
        </w:rPr>
        <w:t xml:space="preserve"> with negative affect, and all facets except for non-judgment were positively correlated with positive affect.</w:t>
      </w:r>
      <w:r w:rsidR="00AB4BE3" w:rsidRPr="00895799">
        <w:rPr>
          <w:sz w:val="20"/>
          <w:szCs w:val="20"/>
        </w:rPr>
        <w:t xml:space="preserve"> Similarly, all facets except for non-judgment </w:t>
      </w:r>
      <w:proofErr w:type="gramStart"/>
      <w:r w:rsidR="00014F70" w:rsidRPr="00895799">
        <w:rPr>
          <w:sz w:val="20"/>
          <w:szCs w:val="20"/>
        </w:rPr>
        <w:t>were positively correlated</w:t>
      </w:r>
      <w:proofErr w:type="gramEnd"/>
      <w:r w:rsidR="00014F70" w:rsidRPr="00895799">
        <w:rPr>
          <w:sz w:val="20"/>
          <w:szCs w:val="20"/>
        </w:rPr>
        <w:t xml:space="preserve"> with cognitive reappraisal</w:t>
      </w:r>
      <w:r w:rsidR="00AB4BE3" w:rsidRPr="00895799">
        <w:rPr>
          <w:sz w:val="20"/>
          <w:szCs w:val="20"/>
        </w:rPr>
        <w:t xml:space="preserve"> emotion regulation</w:t>
      </w:r>
      <w:r w:rsidR="00014F70" w:rsidRPr="00895799">
        <w:rPr>
          <w:sz w:val="20"/>
          <w:szCs w:val="20"/>
        </w:rPr>
        <w:t xml:space="preserve"> tendencies. </w:t>
      </w:r>
      <w:r w:rsidR="00AB4BE3" w:rsidRPr="00895799">
        <w:rPr>
          <w:sz w:val="20"/>
          <w:szCs w:val="20"/>
        </w:rPr>
        <w:t xml:space="preserve">Only </w:t>
      </w:r>
      <w:r w:rsidR="00014F70" w:rsidRPr="00895799">
        <w:rPr>
          <w:sz w:val="20"/>
          <w:szCs w:val="20"/>
        </w:rPr>
        <w:t xml:space="preserve">describing, acting </w:t>
      </w:r>
      <w:r w:rsidR="00AB4BE3" w:rsidRPr="00895799">
        <w:rPr>
          <w:sz w:val="20"/>
          <w:szCs w:val="20"/>
        </w:rPr>
        <w:t>with awareness</w:t>
      </w:r>
      <w:r w:rsidR="00EF5546" w:rsidRPr="00895799">
        <w:rPr>
          <w:sz w:val="20"/>
          <w:szCs w:val="20"/>
        </w:rPr>
        <w:t>,</w:t>
      </w:r>
      <w:r w:rsidR="00AB4BE3" w:rsidRPr="00895799">
        <w:rPr>
          <w:sz w:val="20"/>
          <w:szCs w:val="20"/>
        </w:rPr>
        <w:t xml:space="preserve"> and non-judgment</w:t>
      </w:r>
      <w:r w:rsidR="00014F70" w:rsidRPr="00895799">
        <w:rPr>
          <w:sz w:val="20"/>
          <w:szCs w:val="20"/>
        </w:rPr>
        <w:t xml:space="preserve"> </w:t>
      </w:r>
      <w:proofErr w:type="gramStart"/>
      <w:r w:rsidR="00014F70" w:rsidRPr="00895799">
        <w:rPr>
          <w:sz w:val="20"/>
          <w:szCs w:val="20"/>
        </w:rPr>
        <w:t>were negatively correlat</w:t>
      </w:r>
      <w:r w:rsidR="00AB4BE3" w:rsidRPr="00895799">
        <w:rPr>
          <w:sz w:val="20"/>
          <w:szCs w:val="20"/>
        </w:rPr>
        <w:t>ed</w:t>
      </w:r>
      <w:proofErr w:type="gramEnd"/>
      <w:r w:rsidR="00AB4BE3" w:rsidRPr="00895799">
        <w:rPr>
          <w:sz w:val="20"/>
          <w:szCs w:val="20"/>
        </w:rPr>
        <w:t xml:space="preserve"> with expressive suppression tendencies. </w:t>
      </w:r>
      <w:r w:rsidR="00014F70" w:rsidRPr="00895799">
        <w:rPr>
          <w:sz w:val="20"/>
          <w:szCs w:val="20"/>
        </w:rPr>
        <w:t>The original five-factor structure of the FFMQ</w:t>
      </w:r>
      <w:r w:rsidR="0073709F" w:rsidRPr="00895799">
        <w:rPr>
          <w:sz w:val="20"/>
          <w:szCs w:val="20"/>
        </w:rPr>
        <w:t>-SF</w:t>
      </w:r>
      <w:r w:rsidRPr="00895799">
        <w:rPr>
          <w:sz w:val="20"/>
          <w:szCs w:val="20"/>
        </w:rPr>
        <w:t xml:space="preserve"> </w:t>
      </w:r>
      <w:proofErr w:type="gramStart"/>
      <w:r w:rsidRPr="00895799">
        <w:rPr>
          <w:sz w:val="20"/>
          <w:szCs w:val="20"/>
        </w:rPr>
        <w:t>was supported</w:t>
      </w:r>
      <w:proofErr w:type="gramEnd"/>
      <w:r w:rsidRPr="00895799">
        <w:rPr>
          <w:sz w:val="20"/>
          <w:szCs w:val="20"/>
        </w:rPr>
        <w:t xml:space="preserve"> by confirmatory factor analyses. </w:t>
      </w:r>
      <w:r w:rsidR="00014F70" w:rsidRPr="00895799">
        <w:rPr>
          <w:sz w:val="20"/>
          <w:szCs w:val="20"/>
        </w:rPr>
        <w:t>The two-factor higher order structure</w:t>
      </w:r>
      <w:r w:rsidR="00AB4BE3" w:rsidRPr="00895799">
        <w:rPr>
          <w:sz w:val="20"/>
          <w:szCs w:val="20"/>
        </w:rPr>
        <w:t xml:space="preserve"> of the FFMQ</w:t>
      </w:r>
      <w:r w:rsidR="0073709F" w:rsidRPr="00895799">
        <w:rPr>
          <w:sz w:val="20"/>
          <w:szCs w:val="20"/>
        </w:rPr>
        <w:t>-SF</w:t>
      </w:r>
      <w:r w:rsidR="00AB4BE3" w:rsidRPr="00895799">
        <w:rPr>
          <w:sz w:val="20"/>
          <w:szCs w:val="20"/>
        </w:rPr>
        <w:t xml:space="preserve"> </w:t>
      </w:r>
      <w:proofErr w:type="gramStart"/>
      <w:r w:rsidR="00AB4BE3" w:rsidRPr="00895799">
        <w:rPr>
          <w:sz w:val="20"/>
          <w:szCs w:val="20"/>
        </w:rPr>
        <w:t>was also supported</w:t>
      </w:r>
      <w:proofErr w:type="gramEnd"/>
      <w:r w:rsidR="00AB4BE3" w:rsidRPr="00895799">
        <w:rPr>
          <w:sz w:val="20"/>
          <w:szCs w:val="20"/>
        </w:rPr>
        <w:t xml:space="preserve">. </w:t>
      </w:r>
      <w:r w:rsidR="00014F70" w:rsidRPr="00895799">
        <w:rPr>
          <w:sz w:val="20"/>
          <w:szCs w:val="20"/>
        </w:rPr>
        <w:t>Overall, the</w:t>
      </w:r>
      <w:r w:rsidRPr="00895799">
        <w:rPr>
          <w:sz w:val="20"/>
          <w:szCs w:val="20"/>
        </w:rPr>
        <w:t xml:space="preserve"> results support the ps</w:t>
      </w:r>
      <w:r w:rsidR="00014F70" w:rsidRPr="00895799">
        <w:rPr>
          <w:sz w:val="20"/>
          <w:szCs w:val="20"/>
        </w:rPr>
        <w:t>ychometric properties of the FFMQ-SF</w:t>
      </w:r>
      <w:r w:rsidRPr="00895799">
        <w:rPr>
          <w:sz w:val="20"/>
          <w:szCs w:val="20"/>
        </w:rPr>
        <w:t xml:space="preserve"> for use with older adult samples. </w:t>
      </w:r>
    </w:p>
    <w:p w14:paraId="6B8DE6FF" w14:textId="77777777" w:rsidR="00230E08" w:rsidRPr="00895799" w:rsidRDefault="00230E08" w:rsidP="00895799">
      <w:pPr>
        <w:spacing w:line="480" w:lineRule="auto"/>
        <w:rPr>
          <w:sz w:val="20"/>
          <w:szCs w:val="20"/>
        </w:rPr>
      </w:pPr>
    </w:p>
    <w:p w14:paraId="3DE3A8AB" w14:textId="5834C317" w:rsidR="00230E08" w:rsidRPr="00895799" w:rsidRDefault="00E00AAB" w:rsidP="00895799">
      <w:pPr>
        <w:spacing w:line="480" w:lineRule="auto"/>
        <w:rPr>
          <w:sz w:val="20"/>
          <w:szCs w:val="20"/>
        </w:rPr>
      </w:pPr>
      <w:r w:rsidRPr="00895799">
        <w:rPr>
          <w:i/>
          <w:sz w:val="20"/>
          <w:szCs w:val="20"/>
        </w:rPr>
        <w:t>Key</w:t>
      </w:r>
      <w:r w:rsidR="00230E08" w:rsidRPr="00895799">
        <w:rPr>
          <w:i/>
          <w:sz w:val="20"/>
          <w:szCs w:val="20"/>
        </w:rPr>
        <w:t>words:</w:t>
      </w:r>
      <w:r w:rsidR="00CA5EB3" w:rsidRPr="00895799">
        <w:rPr>
          <w:sz w:val="20"/>
          <w:szCs w:val="20"/>
        </w:rPr>
        <w:t xml:space="preserve"> Mindfulness;</w:t>
      </w:r>
      <w:r w:rsidR="00230E08" w:rsidRPr="00895799">
        <w:rPr>
          <w:sz w:val="20"/>
          <w:szCs w:val="20"/>
        </w:rPr>
        <w:t xml:space="preserve"> Older Adults; Validation; Psychometric Properties</w:t>
      </w:r>
      <w:r w:rsidR="00DD2A5B" w:rsidRPr="00895799">
        <w:rPr>
          <w:sz w:val="20"/>
          <w:szCs w:val="20"/>
        </w:rPr>
        <w:t>; Emotion Regulation</w:t>
      </w:r>
    </w:p>
    <w:p w14:paraId="5966B2E1" w14:textId="77777777" w:rsidR="00106DD5" w:rsidRPr="00895799" w:rsidRDefault="00106DD5" w:rsidP="00895799">
      <w:pPr>
        <w:spacing w:line="480" w:lineRule="auto"/>
        <w:rPr>
          <w:sz w:val="20"/>
          <w:szCs w:val="20"/>
        </w:rPr>
      </w:pPr>
      <w:r w:rsidRPr="00895799">
        <w:rPr>
          <w:sz w:val="20"/>
          <w:szCs w:val="20"/>
        </w:rPr>
        <w:br w:type="page"/>
      </w:r>
    </w:p>
    <w:p w14:paraId="051704A1" w14:textId="77777777" w:rsidR="001B616A" w:rsidRPr="00895799" w:rsidRDefault="001B616A" w:rsidP="00895799">
      <w:pPr>
        <w:spacing w:line="480" w:lineRule="auto"/>
        <w:jc w:val="center"/>
        <w:rPr>
          <w:sz w:val="20"/>
          <w:szCs w:val="20"/>
        </w:rPr>
      </w:pPr>
      <w:r w:rsidRPr="00895799">
        <w:rPr>
          <w:sz w:val="20"/>
          <w:szCs w:val="20"/>
        </w:rPr>
        <w:lastRenderedPageBreak/>
        <w:t xml:space="preserve">Validation of the </w:t>
      </w:r>
      <w:proofErr w:type="gramStart"/>
      <w:r w:rsidRPr="00895799">
        <w:rPr>
          <w:sz w:val="20"/>
          <w:szCs w:val="20"/>
        </w:rPr>
        <w:t>Five Facet</w:t>
      </w:r>
      <w:proofErr w:type="gramEnd"/>
      <w:r w:rsidRPr="00895799">
        <w:rPr>
          <w:sz w:val="20"/>
          <w:szCs w:val="20"/>
        </w:rPr>
        <w:t xml:space="preserve"> Mindfulness Questionnaire Among Community-Dwelling Older Adults</w:t>
      </w:r>
    </w:p>
    <w:p w14:paraId="5B82F596" w14:textId="0BCC1604" w:rsidR="006C25A4" w:rsidRPr="00895799" w:rsidRDefault="006C25A4" w:rsidP="00895799">
      <w:pPr>
        <w:spacing w:line="480" w:lineRule="auto"/>
        <w:ind w:firstLine="720"/>
        <w:rPr>
          <w:sz w:val="20"/>
          <w:szCs w:val="20"/>
        </w:rPr>
      </w:pPr>
      <w:r w:rsidRPr="00895799">
        <w:rPr>
          <w:sz w:val="20"/>
          <w:szCs w:val="20"/>
        </w:rPr>
        <w:t xml:space="preserve">The global population is aging rapidly. According to the United Nations (2015), virtually every country in the world is experiencing accelerating growth in the proportion of adults over the age of 60 years. By 2030, the number of people in the world aged over 60 </w:t>
      </w:r>
      <w:proofErr w:type="gramStart"/>
      <w:r w:rsidRPr="00895799">
        <w:rPr>
          <w:sz w:val="20"/>
          <w:szCs w:val="20"/>
        </w:rPr>
        <w:t>is projected</w:t>
      </w:r>
      <w:proofErr w:type="gramEnd"/>
      <w:r w:rsidRPr="00895799">
        <w:rPr>
          <w:sz w:val="20"/>
          <w:szCs w:val="20"/>
        </w:rPr>
        <w:t xml:space="preserve"> to grow by 56% to 1.4 billion. Preparing for social shifts associated with the aging boom is essential, including research into supporting healthy aging</w:t>
      </w:r>
      <w:r w:rsidR="00B14235" w:rsidRPr="00895799">
        <w:rPr>
          <w:sz w:val="20"/>
          <w:szCs w:val="20"/>
        </w:rPr>
        <w:t xml:space="preserve">. </w:t>
      </w:r>
      <w:r w:rsidRPr="00895799">
        <w:rPr>
          <w:sz w:val="20"/>
          <w:szCs w:val="20"/>
        </w:rPr>
        <w:t>Mindfulness, defined as non-judgmental present-moment awareness and attention (</w:t>
      </w:r>
      <w:proofErr w:type="spellStart"/>
      <w:r w:rsidRPr="00895799">
        <w:rPr>
          <w:sz w:val="20"/>
          <w:szCs w:val="20"/>
        </w:rPr>
        <w:t>Kabat</w:t>
      </w:r>
      <w:proofErr w:type="spellEnd"/>
      <w:r w:rsidRPr="00895799">
        <w:rPr>
          <w:sz w:val="20"/>
          <w:szCs w:val="20"/>
        </w:rPr>
        <w:t xml:space="preserve">-Zinn, 1994), </w:t>
      </w:r>
      <w:proofErr w:type="gramStart"/>
      <w:r w:rsidRPr="00895799">
        <w:rPr>
          <w:sz w:val="20"/>
          <w:szCs w:val="20"/>
        </w:rPr>
        <w:t>has been identified</w:t>
      </w:r>
      <w:proofErr w:type="gramEnd"/>
      <w:r w:rsidRPr="00895799">
        <w:rPr>
          <w:sz w:val="20"/>
          <w:szCs w:val="20"/>
        </w:rPr>
        <w:t xml:space="preserve"> as one potentially important tool for maintaining wellbeing in older age</w:t>
      </w:r>
      <w:r w:rsidR="0035550B" w:rsidRPr="00895799">
        <w:rPr>
          <w:sz w:val="20"/>
          <w:szCs w:val="20"/>
        </w:rPr>
        <w:t xml:space="preserve"> (Prakash et al., 2014)</w:t>
      </w:r>
      <w:r w:rsidRPr="00895799">
        <w:rPr>
          <w:sz w:val="20"/>
          <w:szCs w:val="20"/>
        </w:rPr>
        <w:t xml:space="preserve">. </w:t>
      </w:r>
    </w:p>
    <w:p w14:paraId="13CFB140" w14:textId="4049ED62" w:rsidR="00B14235" w:rsidRPr="00895799" w:rsidRDefault="006C25A4" w:rsidP="00895799">
      <w:pPr>
        <w:spacing w:line="480" w:lineRule="auto"/>
        <w:ind w:firstLine="720"/>
        <w:rPr>
          <w:sz w:val="20"/>
          <w:szCs w:val="20"/>
        </w:rPr>
      </w:pPr>
      <w:r w:rsidRPr="00895799">
        <w:rPr>
          <w:sz w:val="20"/>
          <w:szCs w:val="20"/>
        </w:rPr>
        <w:t xml:space="preserve">While no dominant theory of mindfulness considers </w:t>
      </w:r>
      <w:r w:rsidR="00880FA9" w:rsidRPr="00895799">
        <w:rPr>
          <w:sz w:val="20"/>
          <w:szCs w:val="20"/>
        </w:rPr>
        <w:t>developmental</w:t>
      </w:r>
      <w:r w:rsidRPr="00895799">
        <w:rPr>
          <w:sz w:val="20"/>
          <w:szCs w:val="20"/>
        </w:rPr>
        <w:t xml:space="preserve"> shifts in older adulthood, theories of emotion and aging offer some insight into potential improvements in dispositional mindfulness in older age (Charles &amp; </w:t>
      </w:r>
      <w:proofErr w:type="spellStart"/>
      <w:r w:rsidRPr="00895799">
        <w:rPr>
          <w:sz w:val="20"/>
          <w:szCs w:val="20"/>
        </w:rPr>
        <w:t>Cars</w:t>
      </w:r>
      <w:r w:rsidR="003A655C" w:rsidRPr="00895799">
        <w:rPr>
          <w:sz w:val="20"/>
          <w:szCs w:val="20"/>
        </w:rPr>
        <w:t>tensen</w:t>
      </w:r>
      <w:proofErr w:type="spellEnd"/>
      <w:r w:rsidR="003A655C" w:rsidRPr="00895799">
        <w:rPr>
          <w:sz w:val="20"/>
          <w:szCs w:val="20"/>
        </w:rPr>
        <w:t xml:space="preserve">, 2007; </w:t>
      </w:r>
      <w:proofErr w:type="spellStart"/>
      <w:r w:rsidR="003A655C" w:rsidRPr="00895799">
        <w:rPr>
          <w:sz w:val="20"/>
          <w:szCs w:val="20"/>
        </w:rPr>
        <w:t>Urry</w:t>
      </w:r>
      <w:proofErr w:type="spellEnd"/>
      <w:r w:rsidR="003A655C" w:rsidRPr="00895799">
        <w:rPr>
          <w:sz w:val="20"/>
          <w:szCs w:val="20"/>
        </w:rPr>
        <w:t xml:space="preserve"> &amp; Gross, 2010</w:t>
      </w:r>
      <w:r w:rsidRPr="00895799">
        <w:rPr>
          <w:sz w:val="20"/>
          <w:szCs w:val="20"/>
        </w:rPr>
        <w:t xml:space="preserve">). Socioemotional Selectivity Theory (SST; Charles &amp; </w:t>
      </w:r>
      <w:proofErr w:type="spellStart"/>
      <w:r w:rsidRPr="00895799">
        <w:rPr>
          <w:sz w:val="20"/>
          <w:szCs w:val="20"/>
        </w:rPr>
        <w:t>Carstensen</w:t>
      </w:r>
      <w:proofErr w:type="spellEnd"/>
      <w:r w:rsidRPr="00895799">
        <w:rPr>
          <w:sz w:val="20"/>
          <w:szCs w:val="20"/>
        </w:rPr>
        <w:t xml:space="preserve">, 2007) </w:t>
      </w:r>
      <w:r w:rsidR="00112503" w:rsidRPr="00895799">
        <w:rPr>
          <w:sz w:val="20"/>
          <w:szCs w:val="20"/>
        </w:rPr>
        <w:t xml:space="preserve">for instance </w:t>
      </w:r>
      <w:r w:rsidRPr="00895799">
        <w:rPr>
          <w:sz w:val="20"/>
          <w:szCs w:val="20"/>
        </w:rPr>
        <w:t>posit</w:t>
      </w:r>
      <w:r w:rsidR="00935493">
        <w:rPr>
          <w:sz w:val="20"/>
          <w:szCs w:val="20"/>
        </w:rPr>
        <w:t>s</w:t>
      </w:r>
      <w:r w:rsidRPr="00895799">
        <w:rPr>
          <w:sz w:val="20"/>
          <w:szCs w:val="20"/>
        </w:rPr>
        <w:t xml:space="preserve"> that aging is associated with a greater awareness of the limited nature of time left to live and a shift away from future-oriented goals toward more emotionally mean</w:t>
      </w:r>
      <w:r w:rsidR="0035550B" w:rsidRPr="00895799">
        <w:rPr>
          <w:sz w:val="20"/>
          <w:szCs w:val="20"/>
        </w:rPr>
        <w:t>ingful present-moment goals. This</w:t>
      </w:r>
      <w:r w:rsidRPr="00895799">
        <w:rPr>
          <w:sz w:val="20"/>
          <w:szCs w:val="20"/>
        </w:rPr>
        <w:t xml:space="preserve"> present moment awareness and purposeful direction of attention to maintain emotional wellbeing </w:t>
      </w:r>
      <w:r w:rsidR="0035550B" w:rsidRPr="00895799">
        <w:rPr>
          <w:sz w:val="20"/>
          <w:szCs w:val="20"/>
        </w:rPr>
        <w:t>is consistent</w:t>
      </w:r>
      <w:r w:rsidRPr="00895799">
        <w:rPr>
          <w:sz w:val="20"/>
          <w:szCs w:val="20"/>
        </w:rPr>
        <w:t xml:space="preserve"> with recent models of mindfulness</w:t>
      </w:r>
      <w:r w:rsidR="00A22517" w:rsidRPr="00895799">
        <w:rPr>
          <w:sz w:val="20"/>
          <w:szCs w:val="20"/>
        </w:rPr>
        <w:t>. Indeed, r</w:t>
      </w:r>
      <w:r w:rsidRPr="00895799">
        <w:rPr>
          <w:sz w:val="20"/>
          <w:szCs w:val="20"/>
        </w:rPr>
        <w:t>esearch suggests that dispositional mindfulness increases with age (</w:t>
      </w:r>
      <w:proofErr w:type="spellStart"/>
      <w:r w:rsidRPr="00895799">
        <w:rPr>
          <w:sz w:val="20"/>
          <w:szCs w:val="20"/>
        </w:rPr>
        <w:t>Hohaus</w:t>
      </w:r>
      <w:proofErr w:type="spellEnd"/>
      <w:r w:rsidRPr="00895799">
        <w:rPr>
          <w:sz w:val="20"/>
          <w:szCs w:val="20"/>
        </w:rPr>
        <w:t xml:space="preserve"> &amp; Spark, 2013). Among older adults, mindfulness is associated with reduced anxiety, depression and stress ratings (Geiger et al., 2016)</w:t>
      </w:r>
      <w:r w:rsidR="00EF5546" w:rsidRPr="00895799">
        <w:rPr>
          <w:sz w:val="20"/>
          <w:szCs w:val="20"/>
        </w:rPr>
        <w:t>,</w:t>
      </w:r>
      <w:r w:rsidRPr="00895799">
        <w:rPr>
          <w:sz w:val="20"/>
          <w:szCs w:val="20"/>
        </w:rPr>
        <w:t xml:space="preserve"> as well as improvements in </w:t>
      </w:r>
      <w:r w:rsidR="00472C0A" w:rsidRPr="00895799">
        <w:rPr>
          <w:sz w:val="20"/>
          <w:szCs w:val="20"/>
        </w:rPr>
        <w:t>executive functioning (</w:t>
      </w:r>
      <w:proofErr w:type="spellStart"/>
      <w:r w:rsidRPr="00895799">
        <w:rPr>
          <w:sz w:val="20"/>
          <w:szCs w:val="20"/>
        </w:rPr>
        <w:t>Mallya</w:t>
      </w:r>
      <w:proofErr w:type="spellEnd"/>
      <w:r w:rsidR="00472C0A" w:rsidRPr="00895799">
        <w:rPr>
          <w:sz w:val="20"/>
          <w:szCs w:val="20"/>
        </w:rPr>
        <w:t xml:space="preserve"> &amp; </w:t>
      </w:r>
      <w:proofErr w:type="spellStart"/>
      <w:r w:rsidR="00472C0A" w:rsidRPr="00895799">
        <w:rPr>
          <w:sz w:val="20"/>
          <w:szCs w:val="20"/>
        </w:rPr>
        <w:t>Fiocco</w:t>
      </w:r>
      <w:proofErr w:type="spellEnd"/>
      <w:r w:rsidR="00472C0A" w:rsidRPr="00895799">
        <w:rPr>
          <w:sz w:val="20"/>
          <w:szCs w:val="20"/>
        </w:rPr>
        <w:t>, 2016</w:t>
      </w:r>
      <w:r w:rsidRPr="00895799">
        <w:rPr>
          <w:sz w:val="20"/>
          <w:szCs w:val="20"/>
        </w:rPr>
        <w:t xml:space="preserve">), protection from stress (de Frias &amp; </w:t>
      </w:r>
      <w:proofErr w:type="spellStart"/>
      <w:r w:rsidRPr="00895799">
        <w:rPr>
          <w:sz w:val="20"/>
          <w:szCs w:val="20"/>
        </w:rPr>
        <w:t>Whyne</w:t>
      </w:r>
      <w:proofErr w:type="spellEnd"/>
      <w:r w:rsidRPr="00895799">
        <w:rPr>
          <w:sz w:val="20"/>
          <w:szCs w:val="20"/>
        </w:rPr>
        <w:t xml:space="preserve">, 2015) and pain acceptance (Geiger et al., 2016). </w:t>
      </w:r>
      <w:r w:rsidR="00A22517" w:rsidRPr="00895799">
        <w:rPr>
          <w:sz w:val="20"/>
          <w:szCs w:val="20"/>
        </w:rPr>
        <w:t xml:space="preserve">Consistent with these findings, </w:t>
      </w:r>
      <w:r w:rsidRPr="00895799">
        <w:rPr>
          <w:sz w:val="20"/>
          <w:szCs w:val="20"/>
        </w:rPr>
        <w:t xml:space="preserve">Prakash et al. (2014) </w:t>
      </w:r>
      <w:r w:rsidR="00935493">
        <w:rPr>
          <w:sz w:val="20"/>
          <w:szCs w:val="20"/>
        </w:rPr>
        <w:t xml:space="preserve">have </w:t>
      </w:r>
      <w:r w:rsidRPr="00895799">
        <w:rPr>
          <w:sz w:val="20"/>
          <w:szCs w:val="20"/>
        </w:rPr>
        <w:t>suggest</w:t>
      </w:r>
      <w:r w:rsidR="00935493">
        <w:rPr>
          <w:sz w:val="20"/>
          <w:szCs w:val="20"/>
        </w:rPr>
        <w:t>ed</w:t>
      </w:r>
      <w:r w:rsidRPr="00895799">
        <w:rPr>
          <w:sz w:val="20"/>
          <w:szCs w:val="20"/>
        </w:rPr>
        <w:t xml:space="preserve"> that mindfulness-based therapies, with a focus on present-focused attention and regulation of reflexive operations of the mind, have the potential to enhance the cognitive operations of older adults. </w:t>
      </w:r>
      <w:r w:rsidR="00112503" w:rsidRPr="00895799">
        <w:rPr>
          <w:sz w:val="20"/>
          <w:szCs w:val="20"/>
        </w:rPr>
        <w:t xml:space="preserve"> </w:t>
      </w:r>
    </w:p>
    <w:p w14:paraId="249CABE5" w14:textId="0B1335C3" w:rsidR="00732618" w:rsidRPr="00895799" w:rsidRDefault="00225959" w:rsidP="00895799">
      <w:pPr>
        <w:spacing w:line="480" w:lineRule="auto"/>
        <w:ind w:firstLine="720"/>
        <w:rPr>
          <w:sz w:val="20"/>
          <w:szCs w:val="20"/>
        </w:rPr>
      </w:pPr>
      <w:proofErr w:type="gramStart"/>
      <w:r w:rsidRPr="00895799">
        <w:rPr>
          <w:sz w:val="20"/>
          <w:szCs w:val="20"/>
        </w:rPr>
        <w:t>One of the most commonly administered measures of mindfulness, the Five Facet Mindfulness Questionnaire (</w:t>
      </w:r>
      <w:r w:rsidR="004C59A2" w:rsidRPr="00895799">
        <w:rPr>
          <w:sz w:val="20"/>
          <w:szCs w:val="20"/>
        </w:rPr>
        <w:t xml:space="preserve">FFMQ; </w:t>
      </w:r>
      <w:r w:rsidRPr="00895799">
        <w:rPr>
          <w:sz w:val="20"/>
          <w:szCs w:val="20"/>
        </w:rPr>
        <w:t xml:space="preserve">Baer et al., 2006; 2008; </w:t>
      </w:r>
      <w:proofErr w:type="spellStart"/>
      <w:r w:rsidRPr="00895799">
        <w:rPr>
          <w:sz w:val="20"/>
          <w:szCs w:val="20"/>
        </w:rPr>
        <w:t>Bohlmeijer</w:t>
      </w:r>
      <w:proofErr w:type="spellEnd"/>
      <w:r w:rsidRPr="00895799">
        <w:rPr>
          <w:sz w:val="20"/>
          <w:szCs w:val="20"/>
        </w:rPr>
        <w:t xml:space="preserve"> et al., 2011)</w:t>
      </w:r>
      <w:r w:rsidR="004C59A2" w:rsidRPr="00895799">
        <w:rPr>
          <w:sz w:val="20"/>
          <w:szCs w:val="20"/>
        </w:rPr>
        <w:t xml:space="preserve"> measures </w:t>
      </w:r>
      <w:r w:rsidR="00A0769C" w:rsidRPr="00895799">
        <w:rPr>
          <w:sz w:val="20"/>
          <w:szCs w:val="20"/>
        </w:rPr>
        <w:t xml:space="preserve">five distinct facets of mindfulness: </w:t>
      </w:r>
      <w:r w:rsidR="00EA6703" w:rsidRPr="00895799">
        <w:rPr>
          <w:i/>
          <w:sz w:val="20"/>
          <w:szCs w:val="20"/>
        </w:rPr>
        <w:t>Observing</w:t>
      </w:r>
      <w:r w:rsidR="00EA6703" w:rsidRPr="00895799">
        <w:rPr>
          <w:sz w:val="20"/>
          <w:szCs w:val="20"/>
        </w:rPr>
        <w:t xml:space="preserve">, defined as the tendency to notice and attend to internal and external experiences; </w:t>
      </w:r>
      <w:r w:rsidR="00EA6703" w:rsidRPr="00895799">
        <w:rPr>
          <w:i/>
          <w:sz w:val="20"/>
          <w:szCs w:val="20"/>
        </w:rPr>
        <w:t>Describing</w:t>
      </w:r>
      <w:r w:rsidR="00EA6703" w:rsidRPr="00895799">
        <w:rPr>
          <w:sz w:val="20"/>
          <w:szCs w:val="20"/>
        </w:rPr>
        <w:t>, defined as the ability to label internal experiences</w:t>
      </w:r>
      <w:r w:rsidR="00A0769C" w:rsidRPr="00895799">
        <w:rPr>
          <w:sz w:val="20"/>
          <w:szCs w:val="20"/>
        </w:rPr>
        <w:t xml:space="preserve">; </w:t>
      </w:r>
      <w:r w:rsidR="00A0769C" w:rsidRPr="00895799">
        <w:rPr>
          <w:i/>
          <w:sz w:val="20"/>
          <w:szCs w:val="20"/>
        </w:rPr>
        <w:t>Acting with Awareness</w:t>
      </w:r>
      <w:r w:rsidR="00A0769C" w:rsidRPr="00895799">
        <w:rPr>
          <w:sz w:val="20"/>
          <w:szCs w:val="20"/>
        </w:rPr>
        <w:t>, defined as the ability to attend to ex</w:t>
      </w:r>
      <w:r w:rsidR="007048BB" w:rsidRPr="00895799">
        <w:rPr>
          <w:sz w:val="20"/>
          <w:szCs w:val="20"/>
        </w:rPr>
        <w:t xml:space="preserve">periences of the present moment; </w:t>
      </w:r>
      <w:r w:rsidR="00A0769C" w:rsidRPr="00895799">
        <w:rPr>
          <w:i/>
          <w:sz w:val="20"/>
          <w:szCs w:val="20"/>
        </w:rPr>
        <w:t>Non-Judgement of Inner Experience</w:t>
      </w:r>
      <w:r w:rsidR="00A0769C" w:rsidRPr="00895799">
        <w:rPr>
          <w:sz w:val="20"/>
          <w:szCs w:val="20"/>
        </w:rPr>
        <w:t xml:space="preserve">, defined as the tendency to take a non-evaluative stance toward thoughts and feelings; and </w:t>
      </w:r>
      <w:r w:rsidR="00A0769C" w:rsidRPr="00895799">
        <w:rPr>
          <w:i/>
          <w:sz w:val="20"/>
          <w:szCs w:val="20"/>
        </w:rPr>
        <w:t>Non-Reactivity to Inner Experience</w:t>
      </w:r>
      <w:r w:rsidR="00A0769C" w:rsidRPr="00895799">
        <w:rPr>
          <w:sz w:val="20"/>
          <w:szCs w:val="20"/>
        </w:rPr>
        <w:t>, defined as the ability to let thoughts and feelings come and go without getting caught up or carried away by them.</w:t>
      </w:r>
      <w:proofErr w:type="gramEnd"/>
      <w:r w:rsidR="00A0769C" w:rsidRPr="00895799">
        <w:rPr>
          <w:sz w:val="20"/>
          <w:szCs w:val="20"/>
        </w:rPr>
        <w:t xml:space="preserve"> </w:t>
      </w:r>
    </w:p>
    <w:p w14:paraId="3502043D" w14:textId="6F24A3A3" w:rsidR="00A0769C" w:rsidRPr="00895799" w:rsidRDefault="00B33E3C" w:rsidP="00895799">
      <w:pPr>
        <w:spacing w:line="480" w:lineRule="auto"/>
        <w:ind w:firstLine="720"/>
        <w:rPr>
          <w:sz w:val="20"/>
          <w:szCs w:val="20"/>
        </w:rPr>
      </w:pPr>
      <w:r w:rsidRPr="00895799">
        <w:rPr>
          <w:sz w:val="20"/>
          <w:szCs w:val="20"/>
        </w:rPr>
        <w:t xml:space="preserve">A </w:t>
      </w:r>
      <w:r w:rsidR="007F6033" w:rsidRPr="00895799">
        <w:rPr>
          <w:sz w:val="20"/>
          <w:szCs w:val="20"/>
        </w:rPr>
        <w:t xml:space="preserve">24-item </w:t>
      </w:r>
      <w:r w:rsidR="00A0769C" w:rsidRPr="00895799">
        <w:rPr>
          <w:sz w:val="20"/>
          <w:szCs w:val="20"/>
        </w:rPr>
        <w:t>short form of th</w:t>
      </w:r>
      <w:r w:rsidR="007F6033" w:rsidRPr="00895799">
        <w:rPr>
          <w:sz w:val="20"/>
          <w:szCs w:val="20"/>
        </w:rPr>
        <w:t>e FFMQ</w:t>
      </w:r>
      <w:r w:rsidR="00A0769C" w:rsidRPr="00895799">
        <w:rPr>
          <w:sz w:val="20"/>
          <w:szCs w:val="20"/>
        </w:rPr>
        <w:t xml:space="preserve"> </w:t>
      </w:r>
      <w:r w:rsidR="001F0453" w:rsidRPr="00895799">
        <w:rPr>
          <w:sz w:val="20"/>
          <w:szCs w:val="20"/>
        </w:rPr>
        <w:t>(FFMQ-SF</w:t>
      </w:r>
      <w:r w:rsidR="004C59A2" w:rsidRPr="00895799">
        <w:rPr>
          <w:sz w:val="20"/>
          <w:szCs w:val="20"/>
        </w:rPr>
        <w:t xml:space="preserve">; </w:t>
      </w:r>
      <w:proofErr w:type="spellStart"/>
      <w:r w:rsidR="004C59A2" w:rsidRPr="00895799">
        <w:rPr>
          <w:sz w:val="20"/>
          <w:szCs w:val="20"/>
        </w:rPr>
        <w:t>Bohlmeijer</w:t>
      </w:r>
      <w:proofErr w:type="spellEnd"/>
      <w:r w:rsidR="004C59A2" w:rsidRPr="00895799">
        <w:rPr>
          <w:sz w:val="20"/>
          <w:szCs w:val="20"/>
        </w:rPr>
        <w:t xml:space="preserve"> et al., 2011</w:t>
      </w:r>
      <w:r w:rsidR="001F0453" w:rsidRPr="00895799">
        <w:rPr>
          <w:sz w:val="20"/>
          <w:szCs w:val="20"/>
        </w:rPr>
        <w:t>)</w:t>
      </w:r>
      <w:r w:rsidR="00732618" w:rsidRPr="00895799">
        <w:rPr>
          <w:sz w:val="20"/>
          <w:szCs w:val="20"/>
        </w:rPr>
        <w:t xml:space="preserve"> demonstrated comparable internal consistency as well as </w:t>
      </w:r>
      <w:r w:rsidR="004C59A2" w:rsidRPr="00895799">
        <w:rPr>
          <w:sz w:val="20"/>
          <w:szCs w:val="20"/>
        </w:rPr>
        <w:t>better model fit compared to the original measure for a correlated five factor model, likely due to the removal of low-loading items. The</w:t>
      </w:r>
      <w:r w:rsidR="007048BB" w:rsidRPr="00895799">
        <w:rPr>
          <w:sz w:val="20"/>
          <w:szCs w:val="20"/>
        </w:rPr>
        <w:t xml:space="preserve"> </w:t>
      </w:r>
      <w:r w:rsidR="00A0769C" w:rsidRPr="00895799">
        <w:rPr>
          <w:sz w:val="20"/>
          <w:szCs w:val="20"/>
        </w:rPr>
        <w:t>FFMQ</w:t>
      </w:r>
      <w:r w:rsidR="00410959" w:rsidRPr="00895799">
        <w:rPr>
          <w:sz w:val="20"/>
          <w:szCs w:val="20"/>
        </w:rPr>
        <w:t xml:space="preserve">-SF </w:t>
      </w:r>
      <w:r w:rsidR="004C59A2" w:rsidRPr="00895799">
        <w:rPr>
          <w:sz w:val="20"/>
          <w:szCs w:val="20"/>
        </w:rPr>
        <w:t>also</w:t>
      </w:r>
      <w:r w:rsidR="00A0769C" w:rsidRPr="00895799">
        <w:rPr>
          <w:sz w:val="20"/>
          <w:szCs w:val="20"/>
        </w:rPr>
        <w:t xml:space="preserve"> demonstrated better model fit </w:t>
      </w:r>
      <w:r w:rsidR="00A0769C" w:rsidRPr="00895799">
        <w:rPr>
          <w:sz w:val="20"/>
          <w:szCs w:val="20"/>
        </w:rPr>
        <w:lastRenderedPageBreak/>
        <w:t>compared to the original version</w:t>
      </w:r>
      <w:r w:rsidR="00410959" w:rsidRPr="00895799">
        <w:rPr>
          <w:sz w:val="20"/>
          <w:szCs w:val="20"/>
        </w:rPr>
        <w:t xml:space="preserve"> for a hierarchical </w:t>
      </w:r>
      <w:proofErr w:type="gramStart"/>
      <w:r w:rsidR="00410959" w:rsidRPr="00895799">
        <w:rPr>
          <w:sz w:val="20"/>
          <w:szCs w:val="20"/>
        </w:rPr>
        <w:t>five factor</w:t>
      </w:r>
      <w:proofErr w:type="gramEnd"/>
      <w:r w:rsidR="00410959" w:rsidRPr="00895799">
        <w:rPr>
          <w:sz w:val="20"/>
          <w:szCs w:val="20"/>
        </w:rPr>
        <w:t xml:space="preserve"> model with a single overarching mindfulness factor</w:t>
      </w:r>
      <w:r w:rsidR="00A0769C" w:rsidRPr="00895799">
        <w:rPr>
          <w:sz w:val="20"/>
          <w:szCs w:val="20"/>
        </w:rPr>
        <w:t xml:space="preserve">, although acceptable model fit was attained for both measures. </w:t>
      </w:r>
      <w:r w:rsidR="00A0769C" w:rsidRPr="00895799">
        <w:rPr>
          <w:color w:val="000000"/>
          <w:sz w:val="20"/>
          <w:szCs w:val="20"/>
        </w:rPr>
        <w:t>The FFMQ-SF has been used to measure dispositional mindfulness among community-dwelling older adults who experience memory complaints (Chan, 2015), and sleep disturbances (Black et al., 2015), as well as depressed older adults living in assisted care (</w:t>
      </w:r>
      <w:r w:rsidR="009C7D90" w:rsidRPr="00895799">
        <w:rPr>
          <w:color w:val="000000"/>
          <w:sz w:val="20"/>
          <w:szCs w:val="20"/>
        </w:rPr>
        <w:t xml:space="preserve">Di </w:t>
      </w:r>
      <w:r w:rsidR="00A0769C" w:rsidRPr="00895799">
        <w:rPr>
          <w:color w:val="000000"/>
          <w:sz w:val="20"/>
          <w:szCs w:val="20"/>
        </w:rPr>
        <w:t xml:space="preserve">Toro, 2016), </w:t>
      </w:r>
      <w:r w:rsidR="009A4323" w:rsidRPr="00895799">
        <w:rPr>
          <w:color w:val="000000"/>
          <w:sz w:val="20"/>
          <w:szCs w:val="20"/>
        </w:rPr>
        <w:t xml:space="preserve">but </w:t>
      </w:r>
      <w:r w:rsidR="009C7D90" w:rsidRPr="00895799">
        <w:rPr>
          <w:color w:val="000000"/>
          <w:sz w:val="20"/>
          <w:szCs w:val="20"/>
        </w:rPr>
        <w:t>its psychometric properties have</w:t>
      </w:r>
      <w:r w:rsidR="009A4323" w:rsidRPr="00895799">
        <w:rPr>
          <w:color w:val="000000"/>
          <w:sz w:val="20"/>
          <w:szCs w:val="20"/>
        </w:rPr>
        <w:t xml:space="preserve"> yet to be </w:t>
      </w:r>
      <w:r w:rsidR="007048BB" w:rsidRPr="00895799">
        <w:rPr>
          <w:color w:val="000000"/>
          <w:sz w:val="20"/>
          <w:szCs w:val="20"/>
        </w:rPr>
        <w:t xml:space="preserve">assessed </w:t>
      </w:r>
      <w:r w:rsidR="00A8403E" w:rsidRPr="00895799">
        <w:rPr>
          <w:color w:val="000000"/>
          <w:sz w:val="20"/>
          <w:szCs w:val="20"/>
        </w:rPr>
        <w:t>among</w:t>
      </w:r>
      <w:r w:rsidR="004C59A2" w:rsidRPr="00895799">
        <w:rPr>
          <w:color w:val="000000"/>
          <w:sz w:val="20"/>
          <w:szCs w:val="20"/>
        </w:rPr>
        <w:t xml:space="preserve"> healthy community-dwelling </w:t>
      </w:r>
      <w:r w:rsidR="00A8403E" w:rsidRPr="00895799">
        <w:rPr>
          <w:color w:val="000000"/>
          <w:sz w:val="20"/>
          <w:szCs w:val="20"/>
        </w:rPr>
        <w:t>older adults</w:t>
      </w:r>
      <w:r w:rsidR="009A4323" w:rsidRPr="00895799">
        <w:rPr>
          <w:color w:val="000000"/>
          <w:sz w:val="20"/>
          <w:szCs w:val="20"/>
        </w:rPr>
        <w:t>.</w:t>
      </w:r>
    </w:p>
    <w:p w14:paraId="31711AED" w14:textId="2301579F" w:rsidR="001B711A" w:rsidRPr="00895799" w:rsidRDefault="00A0769C" w:rsidP="00895799">
      <w:pPr>
        <w:spacing w:line="480" w:lineRule="auto"/>
        <w:rPr>
          <w:sz w:val="20"/>
          <w:szCs w:val="20"/>
        </w:rPr>
      </w:pPr>
      <w:r w:rsidRPr="00895799">
        <w:rPr>
          <w:sz w:val="20"/>
          <w:szCs w:val="20"/>
        </w:rPr>
        <w:tab/>
        <w:t>More recently, a two-factor higher order structure of the FFMQ</w:t>
      </w:r>
      <w:r w:rsidR="00BD6E4A" w:rsidRPr="00895799">
        <w:rPr>
          <w:sz w:val="20"/>
          <w:szCs w:val="20"/>
        </w:rPr>
        <w:t xml:space="preserve"> among non</w:t>
      </w:r>
      <w:r w:rsidR="007048BB" w:rsidRPr="00895799">
        <w:rPr>
          <w:sz w:val="20"/>
          <w:szCs w:val="20"/>
        </w:rPr>
        <w:t>-</w:t>
      </w:r>
      <w:r w:rsidR="00BD6E4A" w:rsidRPr="00895799">
        <w:rPr>
          <w:sz w:val="20"/>
          <w:szCs w:val="20"/>
        </w:rPr>
        <w:t>meditators</w:t>
      </w:r>
      <w:r w:rsidRPr="00895799">
        <w:rPr>
          <w:sz w:val="20"/>
          <w:szCs w:val="20"/>
        </w:rPr>
        <w:t xml:space="preserve"> </w:t>
      </w:r>
      <w:proofErr w:type="gramStart"/>
      <w:r w:rsidRPr="00895799">
        <w:rPr>
          <w:sz w:val="20"/>
          <w:szCs w:val="20"/>
        </w:rPr>
        <w:t>has been proposed</w:t>
      </w:r>
      <w:proofErr w:type="gramEnd"/>
      <w:r w:rsidRPr="00895799">
        <w:rPr>
          <w:sz w:val="20"/>
          <w:szCs w:val="20"/>
        </w:rPr>
        <w:t xml:space="preserve">. Tran, </w:t>
      </w:r>
      <w:proofErr w:type="spellStart"/>
      <w:r w:rsidRPr="00895799">
        <w:rPr>
          <w:sz w:val="20"/>
          <w:szCs w:val="20"/>
        </w:rPr>
        <w:t>Glück</w:t>
      </w:r>
      <w:proofErr w:type="spellEnd"/>
      <w:r w:rsidRPr="00895799">
        <w:rPr>
          <w:sz w:val="20"/>
          <w:szCs w:val="20"/>
        </w:rPr>
        <w:t>, and Nader (2013) explored the higher order factor structure of the FFMQ</w:t>
      </w:r>
      <w:r w:rsidR="009E5AEE" w:rsidRPr="00895799">
        <w:rPr>
          <w:sz w:val="20"/>
          <w:szCs w:val="20"/>
        </w:rPr>
        <w:t xml:space="preserve"> in Austrian community and student samples</w:t>
      </w:r>
      <w:r w:rsidRPr="00895799">
        <w:rPr>
          <w:sz w:val="20"/>
          <w:szCs w:val="20"/>
        </w:rPr>
        <w:t xml:space="preserve"> in light of </w:t>
      </w:r>
      <w:r w:rsidR="009A4323" w:rsidRPr="00895799">
        <w:rPr>
          <w:sz w:val="20"/>
          <w:szCs w:val="20"/>
        </w:rPr>
        <w:t>theory</w:t>
      </w:r>
      <w:r w:rsidRPr="00895799">
        <w:rPr>
          <w:sz w:val="20"/>
          <w:szCs w:val="20"/>
        </w:rPr>
        <w:t xml:space="preserve"> that propose</w:t>
      </w:r>
      <w:r w:rsidR="009A4323" w:rsidRPr="00895799">
        <w:rPr>
          <w:sz w:val="20"/>
          <w:szCs w:val="20"/>
        </w:rPr>
        <w:t>s</w:t>
      </w:r>
      <w:r w:rsidRPr="00895799">
        <w:rPr>
          <w:sz w:val="20"/>
          <w:szCs w:val="20"/>
        </w:rPr>
        <w:t xml:space="preserve"> that mindfulness is comprised of two broad constructs, </w:t>
      </w:r>
      <w:r w:rsidRPr="00895799">
        <w:rPr>
          <w:i/>
          <w:sz w:val="20"/>
          <w:szCs w:val="20"/>
        </w:rPr>
        <w:t>self-regulated attention</w:t>
      </w:r>
      <w:r w:rsidRPr="00895799">
        <w:rPr>
          <w:sz w:val="20"/>
          <w:szCs w:val="20"/>
        </w:rPr>
        <w:t xml:space="preserve"> and </w:t>
      </w:r>
      <w:r w:rsidRPr="00895799">
        <w:rPr>
          <w:i/>
          <w:sz w:val="20"/>
          <w:szCs w:val="20"/>
        </w:rPr>
        <w:t>orientation to experience</w:t>
      </w:r>
      <w:r w:rsidRPr="00895799">
        <w:rPr>
          <w:sz w:val="20"/>
          <w:szCs w:val="20"/>
        </w:rPr>
        <w:t xml:space="preserve"> (Bishop et al., 2004). </w:t>
      </w:r>
      <w:r w:rsidR="009E5AEE" w:rsidRPr="00895799">
        <w:rPr>
          <w:sz w:val="20"/>
          <w:szCs w:val="20"/>
        </w:rPr>
        <w:t xml:space="preserve">Using exploratory structural equation modelling, the authors found </w:t>
      </w:r>
      <w:r w:rsidRPr="00895799">
        <w:rPr>
          <w:sz w:val="20"/>
          <w:szCs w:val="20"/>
        </w:rPr>
        <w:t xml:space="preserve">that </w:t>
      </w:r>
      <w:r w:rsidRPr="00895799">
        <w:rPr>
          <w:i/>
          <w:sz w:val="20"/>
          <w:szCs w:val="20"/>
        </w:rPr>
        <w:t>acting</w:t>
      </w:r>
      <w:r w:rsidR="0051165B" w:rsidRPr="00895799">
        <w:rPr>
          <w:i/>
          <w:sz w:val="20"/>
          <w:szCs w:val="20"/>
        </w:rPr>
        <w:t xml:space="preserve"> with</w:t>
      </w:r>
      <w:r w:rsidRPr="00895799">
        <w:rPr>
          <w:i/>
          <w:sz w:val="20"/>
          <w:szCs w:val="20"/>
        </w:rPr>
        <w:t xml:space="preserve"> aware</w:t>
      </w:r>
      <w:r w:rsidR="0051165B" w:rsidRPr="00895799">
        <w:rPr>
          <w:i/>
          <w:sz w:val="20"/>
          <w:szCs w:val="20"/>
        </w:rPr>
        <w:t>ness</w:t>
      </w:r>
      <w:r w:rsidRPr="00895799">
        <w:rPr>
          <w:sz w:val="20"/>
          <w:szCs w:val="20"/>
        </w:rPr>
        <w:t xml:space="preserve"> and </w:t>
      </w:r>
      <w:r w:rsidRPr="00895799">
        <w:rPr>
          <w:i/>
          <w:sz w:val="20"/>
          <w:szCs w:val="20"/>
        </w:rPr>
        <w:t>non</w:t>
      </w:r>
      <w:r w:rsidR="007F6033" w:rsidRPr="00895799">
        <w:rPr>
          <w:i/>
          <w:sz w:val="20"/>
          <w:szCs w:val="20"/>
        </w:rPr>
        <w:t>-</w:t>
      </w:r>
      <w:r w:rsidR="009A4323" w:rsidRPr="00895799">
        <w:rPr>
          <w:i/>
          <w:sz w:val="20"/>
          <w:szCs w:val="20"/>
        </w:rPr>
        <w:t>judgement</w:t>
      </w:r>
      <w:r w:rsidRPr="00895799">
        <w:rPr>
          <w:i/>
          <w:sz w:val="20"/>
          <w:szCs w:val="20"/>
        </w:rPr>
        <w:t xml:space="preserve"> of inner experience</w:t>
      </w:r>
      <w:r w:rsidR="009E5AEE" w:rsidRPr="00895799">
        <w:rPr>
          <w:sz w:val="20"/>
          <w:szCs w:val="20"/>
        </w:rPr>
        <w:t xml:space="preserve"> loaded highest </w:t>
      </w:r>
      <w:r w:rsidRPr="00895799">
        <w:rPr>
          <w:sz w:val="20"/>
          <w:szCs w:val="20"/>
        </w:rPr>
        <w:t xml:space="preserve">on the </w:t>
      </w:r>
      <w:r w:rsidRPr="00895799">
        <w:rPr>
          <w:i/>
          <w:sz w:val="20"/>
          <w:szCs w:val="20"/>
        </w:rPr>
        <w:t>orientation to experience</w:t>
      </w:r>
      <w:r w:rsidRPr="00895799">
        <w:rPr>
          <w:sz w:val="20"/>
          <w:szCs w:val="20"/>
        </w:rPr>
        <w:t xml:space="preserve"> factor. </w:t>
      </w:r>
      <w:r w:rsidRPr="00895799">
        <w:rPr>
          <w:i/>
          <w:sz w:val="20"/>
          <w:szCs w:val="20"/>
        </w:rPr>
        <w:t>Observe</w:t>
      </w:r>
      <w:r w:rsidRPr="00895799">
        <w:rPr>
          <w:sz w:val="20"/>
          <w:szCs w:val="20"/>
        </w:rPr>
        <w:t xml:space="preserve"> </w:t>
      </w:r>
      <w:r w:rsidR="009E5AEE" w:rsidRPr="00895799">
        <w:rPr>
          <w:sz w:val="20"/>
          <w:szCs w:val="20"/>
        </w:rPr>
        <w:t>loaded highest</w:t>
      </w:r>
      <w:r w:rsidRPr="00895799">
        <w:rPr>
          <w:sz w:val="20"/>
          <w:szCs w:val="20"/>
        </w:rPr>
        <w:t xml:space="preserve"> on the </w:t>
      </w:r>
      <w:r w:rsidRPr="00895799">
        <w:rPr>
          <w:i/>
          <w:sz w:val="20"/>
          <w:szCs w:val="20"/>
        </w:rPr>
        <w:t>self-regulated attention</w:t>
      </w:r>
      <w:r w:rsidRPr="00895799">
        <w:rPr>
          <w:sz w:val="20"/>
          <w:szCs w:val="20"/>
        </w:rPr>
        <w:t xml:space="preserve"> factor, and both </w:t>
      </w:r>
      <w:r w:rsidRPr="00895799">
        <w:rPr>
          <w:i/>
          <w:sz w:val="20"/>
          <w:szCs w:val="20"/>
        </w:rPr>
        <w:t>describe</w:t>
      </w:r>
      <w:r w:rsidRPr="00895799">
        <w:rPr>
          <w:sz w:val="20"/>
          <w:szCs w:val="20"/>
        </w:rPr>
        <w:t xml:space="preserve"> and </w:t>
      </w:r>
      <w:r w:rsidRPr="00895799">
        <w:rPr>
          <w:i/>
          <w:sz w:val="20"/>
          <w:szCs w:val="20"/>
        </w:rPr>
        <w:t>non-reactivity to inner experience</w:t>
      </w:r>
      <w:r w:rsidRPr="00895799">
        <w:rPr>
          <w:sz w:val="20"/>
          <w:szCs w:val="20"/>
        </w:rPr>
        <w:t xml:space="preserve"> </w:t>
      </w:r>
      <w:r w:rsidR="009E5AEE" w:rsidRPr="00895799">
        <w:rPr>
          <w:sz w:val="20"/>
          <w:szCs w:val="20"/>
        </w:rPr>
        <w:t xml:space="preserve">loaded high </w:t>
      </w:r>
      <w:r w:rsidRPr="00895799">
        <w:rPr>
          <w:sz w:val="20"/>
          <w:szCs w:val="20"/>
        </w:rPr>
        <w:t>on both higher order factors.</w:t>
      </w:r>
      <w:r w:rsidR="00977190" w:rsidRPr="00895799">
        <w:rPr>
          <w:sz w:val="20"/>
          <w:szCs w:val="20"/>
        </w:rPr>
        <w:t xml:space="preserve"> The two-factor hierarchical structure demonstrated good model fit, which </w:t>
      </w:r>
      <w:proofErr w:type="gramStart"/>
      <w:r w:rsidR="00977190" w:rsidRPr="00895799">
        <w:rPr>
          <w:sz w:val="20"/>
          <w:szCs w:val="20"/>
        </w:rPr>
        <w:t>has been replicated</w:t>
      </w:r>
      <w:proofErr w:type="gramEnd"/>
      <w:r w:rsidR="00977190" w:rsidRPr="00895799">
        <w:rPr>
          <w:sz w:val="20"/>
          <w:szCs w:val="20"/>
        </w:rPr>
        <w:t xml:space="preserve"> in large samples of </w:t>
      </w:r>
      <w:r w:rsidRPr="00895799">
        <w:rPr>
          <w:sz w:val="20"/>
          <w:szCs w:val="20"/>
        </w:rPr>
        <w:t xml:space="preserve">German and Spanish meditators (Tran et al., 2014). While a two-factor higher order structure of the FFMQ appears to fit the data from </w:t>
      </w:r>
      <w:r w:rsidR="00C359F3" w:rsidRPr="00895799">
        <w:rPr>
          <w:sz w:val="20"/>
          <w:szCs w:val="20"/>
        </w:rPr>
        <w:t>predominantly young</w:t>
      </w:r>
      <w:r w:rsidRPr="00895799">
        <w:rPr>
          <w:sz w:val="20"/>
          <w:szCs w:val="20"/>
        </w:rPr>
        <w:t xml:space="preserve"> samples, it is not clear whether this extends to community-dwelling older adults</w:t>
      </w:r>
      <w:r w:rsidR="008A2208" w:rsidRPr="00895799">
        <w:rPr>
          <w:sz w:val="20"/>
          <w:szCs w:val="20"/>
        </w:rPr>
        <w:t xml:space="preserve"> or the FFMQ-SF</w:t>
      </w:r>
      <w:r w:rsidRPr="00895799">
        <w:rPr>
          <w:sz w:val="20"/>
          <w:szCs w:val="20"/>
        </w:rPr>
        <w:t xml:space="preserve">. </w:t>
      </w:r>
    </w:p>
    <w:p w14:paraId="2F864B45" w14:textId="6BA698A7" w:rsidR="00BB04C5" w:rsidRPr="00895799" w:rsidRDefault="00EB4D80" w:rsidP="00895799">
      <w:pPr>
        <w:spacing w:line="480" w:lineRule="auto"/>
        <w:ind w:firstLine="720"/>
        <w:rPr>
          <w:sz w:val="20"/>
          <w:szCs w:val="20"/>
        </w:rPr>
      </w:pPr>
      <w:r w:rsidRPr="00895799">
        <w:rPr>
          <w:sz w:val="20"/>
          <w:szCs w:val="20"/>
        </w:rPr>
        <w:t>In light of theories of emotion regulation and aging mentioned earlier, it is both interesting and informative to explore c</w:t>
      </w:r>
      <w:r w:rsidR="00C359F3" w:rsidRPr="00895799">
        <w:rPr>
          <w:sz w:val="20"/>
          <w:szCs w:val="20"/>
        </w:rPr>
        <w:t>onvergent validity between FFMQ</w:t>
      </w:r>
      <w:r w:rsidRPr="00895799">
        <w:rPr>
          <w:sz w:val="20"/>
          <w:szCs w:val="20"/>
        </w:rPr>
        <w:t>-SF</w:t>
      </w:r>
      <w:r w:rsidR="00C359F3" w:rsidRPr="00895799">
        <w:rPr>
          <w:sz w:val="20"/>
          <w:szCs w:val="20"/>
        </w:rPr>
        <w:t xml:space="preserve"> subscale scores, affective states and emotion regulation tendencies among older adults. </w:t>
      </w:r>
      <w:r w:rsidR="00916D4D" w:rsidRPr="00895799">
        <w:rPr>
          <w:sz w:val="20"/>
          <w:szCs w:val="20"/>
        </w:rPr>
        <w:t>Research</w:t>
      </w:r>
      <w:r w:rsidR="00C359F3" w:rsidRPr="00895799">
        <w:rPr>
          <w:sz w:val="20"/>
          <w:szCs w:val="20"/>
        </w:rPr>
        <w:t xml:space="preserve"> using </w:t>
      </w:r>
      <w:r w:rsidR="00235649" w:rsidRPr="00895799">
        <w:rPr>
          <w:sz w:val="20"/>
          <w:szCs w:val="20"/>
        </w:rPr>
        <w:t xml:space="preserve">younger student and </w:t>
      </w:r>
      <w:r w:rsidR="00C359F3" w:rsidRPr="00895799">
        <w:rPr>
          <w:sz w:val="20"/>
          <w:szCs w:val="20"/>
        </w:rPr>
        <w:t>community samples</w:t>
      </w:r>
      <w:r w:rsidR="00235649" w:rsidRPr="00895799">
        <w:rPr>
          <w:sz w:val="20"/>
          <w:szCs w:val="20"/>
        </w:rPr>
        <w:t xml:space="preserve"> </w:t>
      </w:r>
      <w:r w:rsidR="00916D4D" w:rsidRPr="00895799">
        <w:rPr>
          <w:sz w:val="20"/>
          <w:szCs w:val="20"/>
        </w:rPr>
        <w:t>indicate</w:t>
      </w:r>
      <w:r w:rsidR="00935493">
        <w:rPr>
          <w:sz w:val="20"/>
          <w:szCs w:val="20"/>
        </w:rPr>
        <w:t>d</w:t>
      </w:r>
      <w:r w:rsidR="00916D4D" w:rsidRPr="00895799">
        <w:rPr>
          <w:sz w:val="20"/>
          <w:szCs w:val="20"/>
        </w:rPr>
        <w:t xml:space="preserve"> that </w:t>
      </w:r>
      <w:r w:rsidR="00E510DB" w:rsidRPr="00895799">
        <w:rPr>
          <w:sz w:val="20"/>
          <w:szCs w:val="20"/>
        </w:rPr>
        <w:t>describing, acting with awareness, non-judgment</w:t>
      </w:r>
      <w:r w:rsidR="005D6208" w:rsidRPr="00895799">
        <w:rPr>
          <w:sz w:val="20"/>
          <w:szCs w:val="20"/>
        </w:rPr>
        <w:t>,</w:t>
      </w:r>
      <w:r w:rsidR="00E510DB" w:rsidRPr="00895799">
        <w:rPr>
          <w:sz w:val="20"/>
          <w:szCs w:val="20"/>
        </w:rPr>
        <w:t xml:space="preserve"> and non-reactivity to inner experiences</w:t>
      </w:r>
      <w:r w:rsidR="00916D4D" w:rsidRPr="00895799">
        <w:rPr>
          <w:sz w:val="20"/>
          <w:szCs w:val="20"/>
        </w:rPr>
        <w:t xml:space="preserve"> </w:t>
      </w:r>
      <w:r w:rsidR="00E510DB" w:rsidRPr="00895799">
        <w:rPr>
          <w:sz w:val="20"/>
          <w:szCs w:val="20"/>
        </w:rPr>
        <w:t xml:space="preserve">are positively correlated with life satisfaction (Christopher et al., 2012) and negatively correlated with depression and anxiety (Tran et al., 2013). Observing </w:t>
      </w:r>
      <w:proofErr w:type="gramStart"/>
      <w:r w:rsidR="00E510DB" w:rsidRPr="00895799">
        <w:rPr>
          <w:sz w:val="20"/>
          <w:szCs w:val="20"/>
        </w:rPr>
        <w:t>was not related</w:t>
      </w:r>
      <w:proofErr w:type="gramEnd"/>
      <w:r w:rsidR="00E510DB" w:rsidRPr="00895799">
        <w:rPr>
          <w:sz w:val="20"/>
          <w:szCs w:val="20"/>
        </w:rPr>
        <w:t xml:space="preserve"> to life satisfaction, depression or anxiety. In a</w:t>
      </w:r>
      <w:r w:rsidR="00D23A67" w:rsidRPr="00895799">
        <w:rPr>
          <w:sz w:val="20"/>
          <w:szCs w:val="20"/>
        </w:rPr>
        <w:t xml:space="preserve"> </w:t>
      </w:r>
      <w:r w:rsidR="00E510DB" w:rsidRPr="00895799">
        <w:rPr>
          <w:sz w:val="20"/>
          <w:szCs w:val="20"/>
        </w:rPr>
        <w:t xml:space="preserve">depressed sample, all five facets of mindfulness </w:t>
      </w:r>
      <w:proofErr w:type="gramStart"/>
      <w:r w:rsidR="00E510DB" w:rsidRPr="00895799">
        <w:rPr>
          <w:sz w:val="20"/>
          <w:szCs w:val="20"/>
        </w:rPr>
        <w:t xml:space="preserve">were </w:t>
      </w:r>
      <w:r w:rsidR="00916D4D" w:rsidRPr="00895799">
        <w:rPr>
          <w:sz w:val="20"/>
          <w:szCs w:val="20"/>
        </w:rPr>
        <w:t>positively correlated</w:t>
      </w:r>
      <w:proofErr w:type="gramEnd"/>
      <w:r w:rsidR="00916D4D" w:rsidRPr="00895799">
        <w:rPr>
          <w:sz w:val="20"/>
          <w:szCs w:val="20"/>
        </w:rPr>
        <w:t xml:space="preserve"> with </w:t>
      </w:r>
      <w:r w:rsidR="00980AB3" w:rsidRPr="00895799">
        <w:rPr>
          <w:sz w:val="20"/>
          <w:szCs w:val="20"/>
        </w:rPr>
        <w:t xml:space="preserve">good </w:t>
      </w:r>
      <w:r w:rsidR="00916D4D" w:rsidRPr="00895799">
        <w:rPr>
          <w:sz w:val="20"/>
          <w:szCs w:val="20"/>
        </w:rPr>
        <w:t>mental health (</w:t>
      </w:r>
      <w:proofErr w:type="spellStart"/>
      <w:r w:rsidR="00916D4D" w:rsidRPr="00895799">
        <w:rPr>
          <w:sz w:val="20"/>
          <w:szCs w:val="20"/>
        </w:rPr>
        <w:t>Bohlmeijer</w:t>
      </w:r>
      <w:proofErr w:type="spellEnd"/>
      <w:r w:rsidR="00916D4D" w:rsidRPr="00895799">
        <w:rPr>
          <w:sz w:val="20"/>
          <w:szCs w:val="20"/>
        </w:rPr>
        <w:t xml:space="preserve"> et al., 2011).</w:t>
      </w:r>
      <w:r w:rsidR="00E510DB" w:rsidRPr="00895799">
        <w:rPr>
          <w:sz w:val="20"/>
          <w:szCs w:val="20"/>
        </w:rPr>
        <w:t xml:space="preserve"> </w:t>
      </w:r>
      <w:r w:rsidR="001F0D7C" w:rsidRPr="00895799">
        <w:rPr>
          <w:sz w:val="20"/>
          <w:szCs w:val="20"/>
        </w:rPr>
        <w:t>Further i</w:t>
      </w:r>
      <w:r w:rsidR="002A65FE" w:rsidRPr="00895799">
        <w:rPr>
          <w:sz w:val="20"/>
          <w:szCs w:val="20"/>
        </w:rPr>
        <w:t xml:space="preserve">n a </w:t>
      </w:r>
      <w:r w:rsidR="001F0D7C" w:rsidRPr="00895799">
        <w:rPr>
          <w:sz w:val="20"/>
          <w:szCs w:val="20"/>
        </w:rPr>
        <w:t xml:space="preserve">younger adult </w:t>
      </w:r>
      <w:r w:rsidR="002A65FE" w:rsidRPr="00895799">
        <w:rPr>
          <w:sz w:val="20"/>
          <w:szCs w:val="20"/>
        </w:rPr>
        <w:t xml:space="preserve">community sample, the tendency to regulate emotion by suppressing emotional expressivity was negatively correlated with all five facets of mindfulness measured </w:t>
      </w:r>
      <w:r w:rsidR="00FD1461" w:rsidRPr="00895799">
        <w:rPr>
          <w:sz w:val="20"/>
          <w:szCs w:val="20"/>
        </w:rPr>
        <w:t xml:space="preserve">by </w:t>
      </w:r>
      <w:r w:rsidR="002A65FE" w:rsidRPr="00895799">
        <w:rPr>
          <w:sz w:val="20"/>
          <w:szCs w:val="20"/>
        </w:rPr>
        <w:t>the FFMQ, whereas regulating emotion by reappraising emotional experiences was positively correlated with observing, describing</w:t>
      </w:r>
      <w:r w:rsidR="00980AB3" w:rsidRPr="00895799">
        <w:rPr>
          <w:sz w:val="20"/>
          <w:szCs w:val="20"/>
        </w:rPr>
        <w:t>,</w:t>
      </w:r>
      <w:r w:rsidR="002A65FE" w:rsidRPr="00895799">
        <w:rPr>
          <w:sz w:val="20"/>
          <w:szCs w:val="20"/>
        </w:rPr>
        <w:t xml:space="preserve"> and non-reactivity to inner experience</w:t>
      </w:r>
      <w:r w:rsidRPr="00895799">
        <w:rPr>
          <w:sz w:val="20"/>
          <w:szCs w:val="20"/>
        </w:rPr>
        <w:t xml:space="preserve"> only </w:t>
      </w:r>
      <w:r w:rsidR="002A65FE" w:rsidRPr="00895799">
        <w:rPr>
          <w:sz w:val="20"/>
          <w:szCs w:val="20"/>
        </w:rPr>
        <w:t xml:space="preserve">(Tran, </w:t>
      </w:r>
      <w:proofErr w:type="spellStart"/>
      <w:r w:rsidR="002A65FE" w:rsidRPr="00895799">
        <w:rPr>
          <w:sz w:val="20"/>
          <w:szCs w:val="20"/>
        </w:rPr>
        <w:t>Glück</w:t>
      </w:r>
      <w:proofErr w:type="spellEnd"/>
      <w:r w:rsidR="002A65FE" w:rsidRPr="00895799">
        <w:rPr>
          <w:sz w:val="20"/>
          <w:szCs w:val="20"/>
        </w:rPr>
        <w:t>, &amp; Nader, 2013).</w:t>
      </w:r>
      <w:r w:rsidR="005119DE" w:rsidRPr="00895799">
        <w:rPr>
          <w:sz w:val="20"/>
          <w:szCs w:val="20"/>
        </w:rPr>
        <w:t xml:space="preserve"> </w:t>
      </w:r>
    </w:p>
    <w:p w14:paraId="72EDE540" w14:textId="3487269A" w:rsidR="00065F43" w:rsidRPr="00D0112B" w:rsidRDefault="00065F43" w:rsidP="00C52AC4">
      <w:pPr>
        <w:spacing w:line="480" w:lineRule="auto"/>
        <w:ind w:firstLine="720"/>
        <w:rPr>
          <w:sz w:val="20"/>
          <w:szCs w:val="20"/>
        </w:rPr>
      </w:pPr>
      <w:r w:rsidRPr="00895799">
        <w:rPr>
          <w:sz w:val="20"/>
          <w:szCs w:val="20"/>
        </w:rPr>
        <w:t>The current study aimed to assess the internal consistency, con</w:t>
      </w:r>
      <w:r w:rsidR="00CA2672" w:rsidRPr="00895799">
        <w:rPr>
          <w:sz w:val="20"/>
          <w:szCs w:val="20"/>
        </w:rPr>
        <w:t>vergent</w:t>
      </w:r>
      <w:r w:rsidRPr="00895799">
        <w:rPr>
          <w:sz w:val="20"/>
          <w:szCs w:val="20"/>
        </w:rPr>
        <w:t xml:space="preserve"> validity and factor</w:t>
      </w:r>
      <w:r w:rsidR="00CA2672" w:rsidRPr="00895799">
        <w:rPr>
          <w:sz w:val="20"/>
          <w:szCs w:val="20"/>
        </w:rPr>
        <w:t xml:space="preserve"> structure</w:t>
      </w:r>
      <w:r w:rsidRPr="00895799">
        <w:rPr>
          <w:sz w:val="20"/>
          <w:szCs w:val="20"/>
        </w:rPr>
        <w:t xml:space="preserve"> of the FFMQ-SF</w:t>
      </w:r>
      <w:r w:rsidR="0003697C" w:rsidRPr="00895799">
        <w:rPr>
          <w:sz w:val="20"/>
          <w:szCs w:val="20"/>
        </w:rPr>
        <w:t xml:space="preserve"> among</w:t>
      </w:r>
      <w:r w:rsidRPr="00895799">
        <w:rPr>
          <w:sz w:val="20"/>
          <w:szCs w:val="20"/>
        </w:rPr>
        <w:t xml:space="preserve"> community-dwelling </w:t>
      </w:r>
      <w:r w:rsidR="0003697C" w:rsidRPr="00895799">
        <w:rPr>
          <w:sz w:val="20"/>
          <w:szCs w:val="20"/>
        </w:rPr>
        <w:t xml:space="preserve">older </w:t>
      </w:r>
      <w:r w:rsidRPr="00895799">
        <w:rPr>
          <w:sz w:val="20"/>
          <w:szCs w:val="20"/>
        </w:rPr>
        <w:t xml:space="preserve">adults. </w:t>
      </w:r>
      <w:proofErr w:type="gramStart"/>
      <w:r w:rsidRPr="00895799">
        <w:rPr>
          <w:sz w:val="20"/>
          <w:szCs w:val="20"/>
        </w:rPr>
        <w:t>Based on previous psychometric studies</w:t>
      </w:r>
      <w:r w:rsidR="00FD1461" w:rsidRPr="00895799">
        <w:rPr>
          <w:sz w:val="20"/>
          <w:szCs w:val="20"/>
        </w:rPr>
        <w:t>,</w:t>
      </w:r>
      <w:r w:rsidRPr="00895799">
        <w:rPr>
          <w:sz w:val="20"/>
          <w:szCs w:val="20"/>
        </w:rPr>
        <w:t xml:space="preserve"> </w:t>
      </w:r>
      <w:r w:rsidR="00FD1461" w:rsidRPr="00895799">
        <w:rPr>
          <w:sz w:val="20"/>
          <w:szCs w:val="20"/>
        </w:rPr>
        <w:t xml:space="preserve">theories of </w:t>
      </w:r>
      <w:r w:rsidR="00FD1461" w:rsidRPr="00895799">
        <w:rPr>
          <w:sz w:val="20"/>
          <w:szCs w:val="20"/>
        </w:rPr>
        <w:lastRenderedPageBreak/>
        <w:t xml:space="preserve">socioemotional aging, and empirical data supporting the successful use of mindfulness in older age, </w:t>
      </w:r>
      <w:r w:rsidRPr="00895799">
        <w:rPr>
          <w:sz w:val="20"/>
          <w:szCs w:val="20"/>
        </w:rPr>
        <w:t xml:space="preserve">it </w:t>
      </w:r>
      <w:r w:rsidR="00FD1461" w:rsidRPr="00895799">
        <w:rPr>
          <w:sz w:val="20"/>
          <w:szCs w:val="20"/>
        </w:rPr>
        <w:t>wa</w:t>
      </w:r>
      <w:r w:rsidRPr="00895799">
        <w:rPr>
          <w:sz w:val="20"/>
          <w:szCs w:val="20"/>
        </w:rPr>
        <w:t>s hypothesi</w:t>
      </w:r>
      <w:r w:rsidR="00FD1461" w:rsidRPr="00895799">
        <w:rPr>
          <w:sz w:val="20"/>
          <w:szCs w:val="20"/>
        </w:rPr>
        <w:t>z</w:t>
      </w:r>
      <w:r w:rsidRPr="00895799">
        <w:rPr>
          <w:sz w:val="20"/>
          <w:szCs w:val="20"/>
        </w:rPr>
        <w:t>ed that</w:t>
      </w:r>
      <w:r w:rsidR="00153650">
        <w:rPr>
          <w:sz w:val="20"/>
          <w:szCs w:val="20"/>
        </w:rPr>
        <w:t xml:space="preserve">: (a) </w:t>
      </w:r>
      <w:r w:rsidR="009B06B1">
        <w:rPr>
          <w:sz w:val="20"/>
          <w:szCs w:val="20"/>
        </w:rPr>
        <w:t>T</w:t>
      </w:r>
      <w:r w:rsidRPr="00D0112B">
        <w:rPr>
          <w:sz w:val="20"/>
          <w:szCs w:val="20"/>
        </w:rPr>
        <w:t xml:space="preserve">he FFMQ-SF </w:t>
      </w:r>
      <w:r w:rsidR="00FD1461" w:rsidRPr="00D0112B">
        <w:rPr>
          <w:sz w:val="20"/>
          <w:szCs w:val="20"/>
        </w:rPr>
        <w:t xml:space="preserve">would </w:t>
      </w:r>
      <w:r w:rsidRPr="00D0112B">
        <w:rPr>
          <w:sz w:val="20"/>
          <w:szCs w:val="20"/>
        </w:rPr>
        <w:t>demonstrate satisfactory internal consistency</w:t>
      </w:r>
      <w:r w:rsidR="00153650">
        <w:rPr>
          <w:sz w:val="20"/>
          <w:szCs w:val="20"/>
        </w:rPr>
        <w:t xml:space="preserve">; (b) </w:t>
      </w:r>
      <w:r w:rsidR="009B06B1">
        <w:rPr>
          <w:sz w:val="20"/>
          <w:szCs w:val="20"/>
        </w:rPr>
        <w:t>T</w:t>
      </w:r>
      <w:r w:rsidRPr="00D0112B">
        <w:rPr>
          <w:sz w:val="20"/>
          <w:szCs w:val="20"/>
        </w:rPr>
        <w:t xml:space="preserve">he FFMQ-SF </w:t>
      </w:r>
      <w:r w:rsidR="00FD1461" w:rsidRPr="00D0112B">
        <w:rPr>
          <w:sz w:val="20"/>
          <w:szCs w:val="20"/>
        </w:rPr>
        <w:t xml:space="preserve">would </w:t>
      </w:r>
      <w:r w:rsidRPr="00D0112B">
        <w:rPr>
          <w:sz w:val="20"/>
          <w:szCs w:val="20"/>
        </w:rPr>
        <w:t xml:space="preserve">demonstrate adequate </w:t>
      </w:r>
      <w:r w:rsidR="00CA2672" w:rsidRPr="00D0112B">
        <w:rPr>
          <w:sz w:val="20"/>
          <w:szCs w:val="20"/>
        </w:rPr>
        <w:t xml:space="preserve">convergent </w:t>
      </w:r>
      <w:r w:rsidRPr="00D0112B">
        <w:rPr>
          <w:sz w:val="20"/>
          <w:szCs w:val="20"/>
        </w:rPr>
        <w:t xml:space="preserve">validity, that is the five sub scales of the FFMQ-SF </w:t>
      </w:r>
      <w:r w:rsidR="00FD1461" w:rsidRPr="00D0112B">
        <w:rPr>
          <w:sz w:val="20"/>
          <w:szCs w:val="20"/>
        </w:rPr>
        <w:t xml:space="preserve">would </w:t>
      </w:r>
      <w:r w:rsidRPr="00D0112B">
        <w:rPr>
          <w:sz w:val="20"/>
          <w:szCs w:val="20"/>
        </w:rPr>
        <w:t>be positively correlated</w:t>
      </w:r>
      <w:r w:rsidR="00FC6F4C" w:rsidRPr="00D0112B">
        <w:rPr>
          <w:sz w:val="20"/>
          <w:szCs w:val="20"/>
        </w:rPr>
        <w:t xml:space="preserve"> with </w:t>
      </w:r>
      <w:r w:rsidRPr="00D0112B">
        <w:rPr>
          <w:sz w:val="20"/>
          <w:szCs w:val="20"/>
        </w:rPr>
        <w:t>positive affect and</w:t>
      </w:r>
      <w:r w:rsidR="00600741" w:rsidRPr="00D0112B">
        <w:rPr>
          <w:sz w:val="20"/>
          <w:szCs w:val="20"/>
        </w:rPr>
        <w:t xml:space="preserve"> cognitive reappraisal tendencies, and</w:t>
      </w:r>
      <w:r w:rsidRPr="00D0112B">
        <w:rPr>
          <w:sz w:val="20"/>
          <w:szCs w:val="20"/>
        </w:rPr>
        <w:t xml:space="preserve"> negatively correlated with</w:t>
      </w:r>
      <w:r w:rsidR="00600741" w:rsidRPr="00D0112B">
        <w:rPr>
          <w:sz w:val="20"/>
          <w:szCs w:val="20"/>
        </w:rPr>
        <w:t xml:space="preserve"> negative affect and expressive suppression tendencies</w:t>
      </w:r>
      <w:r w:rsidR="00153650">
        <w:rPr>
          <w:sz w:val="20"/>
          <w:szCs w:val="20"/>
        </w:rPr>
        <w:t xml:space="preserve">; (c) </w:t>
      </w:r>
      <w:r w:rsidR="009B06B1">
        <w:rPr>
          <w:sz w:val="20"/>
          <w:szCs w:val="20"/>
        </w:rPr>
        <w:t>A</w:t>
      </w:r>
      <w:r w:rsidRPr="00D0112B">
        <w:rPr>
          <w:sz w:val="20"/>
          <w:szCs w:val="20"/>
        </w:rPr>
        <w:t xml:space="preserve"> five-factor (observe, describe, act aware, non-judgement, non-reactive) structure </w:t>
      </w:r>
      <w:r w:rsidR="00FD1461" w:rsidRPr="00D0112B">
        <w:rPr>
          <w:sz w:val="20"/>
          <w:szCs w:val="20"/>
        </w:rPr>
        <w:t xml:space="preserve">would </w:t>
      </w:r>
      <w:r w:rsidRPr="00D0112B">
        <w:rPr>
          <w:sz w:val="20"/>
          <w:szCs w:val="20"/>
        </w:rPr>
        <w:t>be confirmed for the FFMQ-SF</w:t>
      </w:r>
      <w:r w:rsidR="00153650">
        <w:rPr>
          <w:sz w:val="20"/>
          <w:szCs w:val="20"/>
        </w:rPr>
        <w:t xml:space="preserve">; </w:t>
      </w:r>
      <w:r w:rsidR="009B06B1">
        <w:rPr>
          <w:sz w:val="20"/>
          <w:szCs w:val="20"/>
        </w:rPr>
        <w:t xml:space="preserve">and </w:t>
      </w:r>
      <w:r w:rsidR="00153650">
        <w:rPr>
          <w:sz w:val="20"/>
          <w:szCs w:val="20"/>
        </w:rPr>
        <w:t xml:space="preserve">(d) </w:t>
      </w:r>
      <w:r w:rsidR="009B06B1">
        <w:rPr>
          <w:sz w:val="20"/>
          <w:szCs w:val="20"/>
        </w:rPr>
        <w:t>T</w:t>
      </w:r>
      <w:r w:rsidR="00153650" w:rsidRPr="00D0112B">
        <w:rPr>
          <w:sz w:val="20"/>
          <w:szCs w:val="20"/>
        </w:rPr>
        <w:t>esting of the hierarchical structure of the FFMQ-SF will provide stronger evidence for a hierarchical model with two higher-order factors compared to a hierarchical mod</w:t>
      </w:r>
      <w:r w:rsidR="00153650" w:rsidRPr="008436EB">
        <w:rPr>
          <w:sz w:val="20"/>
          <w:szCs w:val="20"/>
        </w:rPr>
        <w:t>el with one higher-order factor</w:t>
      </w:r>
      <w:r w:rsidR="00153650">
        <w:rPr>
          <w:sz w:val="20"/>
          <w:szCs w:val="20"/>
        </w:rPr>
        <w:t>.</w:t>
      </w:r>
      <w:proofErr w:type="gramEnd"/>
    </w:p>
    <w:p w14:paraId="0249EA26" w14:textId="7B76D489" w:rsidR="004B44C8" w:rsidRPr="00895799" w:rsidRDefault="002C6307" w:rsidP="00895799">
      <w:pPr>
        <w:spacing w:line="480" w:lineRule="auto"/>
        <w:jc w:val="center"/>
        <w:outlineLvl w:val="0"/>
        <w:rPr>
          <w:b/>
          <w:sz w:val="20"/>
          <w:szCs w:val="20"/>
        </w:rPr>
      </w:pPr>
      <w:r w:rsidRPr="00895799">
        <w:rPr>
          <w:b/>
          <w:sz w:val="20"/>
          <w:szCs w:val="20"/>
        </w:rPr>
        <w:t>Method</w:t>
      </w:r>
    </w:p>
    <w:p w14:paraId="5FBD47C2" w14:textId="451599D5" w:rsidR="002C6307" w:rsidRPr="00895799" w:rsidRDefault="002C6307" w:rsidP="00895799">
      <w:pPr>
        <w:spacing w:line="480" w:lineRule="auto"/>
        <w:outlineLvl w:val="0"/>
        <w:rPr>
          <w:b/>
          <w:sz w:val="20"/>
          <w:szCs w:val="20"/>
        </w:rPr>
      </w:pPr>
      <w:r w:rsidRPr="00895799">
        <w:rPr>
          <w:b/>
          <w:sz w:val="20"/>
          <w:szCs w:val="20"/>
        </w:rPr>
        <w:t>Participants</w:t>
      </w:r>
    </w:p>
    <w:p w14:paraId="676ED150" w14:textId="3EF46AFB" w:rsidR="008436EB" w:rsidRPr="00D0112B" w:rsidRDefault="001E4D5C">
      <w:pPr>
        <w:spacing w:line="480" w:lineRule="auto"/>
        <w:ind w:firstLine="720"/>
        <w:rPr>
          <w:sz w:val="20"/>
          <w:szCs w:val="20"/>
          <w:highlight w:val="yellow"/>
        </w:rPr>
      </w:pPr>
      <w:proofErr w:type="gramStart"/>
      <w:r w:rsidRPr="00895799">
        <w:rPr>
          <w:sz w:val="20"/>
          <w:szCs w:val="20"/>
        </w:rPr>
        <w:t>A total of 213</w:t>
      </w:r>
      <w:proofErr w:type="gramEnd"/>
      <w:r w:rsidRPr="00895799">
        <w:rPr>
          <w:sz w:val="20"/>
          <w:szCs w:val="20"/>
        </w:rPr>
        <w:t xml:space="preserve"> older adult volunteers (</w:t>
      </w:r>
      <w:r w:rsidR="00AB5685" w:rsidRPr="00895799">
        <w:rPr>
          <w:i/>
          <w:sz w:val="20"/>
          <w:szCs w:val="20"/>
        </w:rPr>
        <w:t>M</w:t>
      </w:r>
      <w:r w:rsidR="00AB5685" w:rsidRPr="00895799">
        <w:rPr>
          <w:sz w:val="20"/>
          <w:szCs w:val="20"/>
        </w:rPr>
        <w:t xml:space="preserve"> </w:t>
      </w:r>
      <w:r w:rsidRPr="00895799">
        <w:rPr>
          <w:sz w:val="20"/>
          <w:szCs w:val="20"/>
        </w:rPr>
        <w:t xml:space="preserve">age </w:t>
      </w:r>
      <w:r w:rsidR="00F23CD6" w:rsidRPr="00895799">
        <w:rPr>
          <w:sz w:val="20"/>
          <w:szCs w:val="20"/>
        </w:rPr>
        <w:t>65.51</w:t>
      </w:r>
      <w:r w:rsidRPr="00895799">
        <w:rPr>
          <w:sz w:val="20"/>
          <w:szCs w:val="20"/>
        </w:rPr>
        <w:t xml:space="preserve"> years,</w:t>
      </w:r>
      <w:r w:rsidR="004E6E28" w:rsidRPr="00895799">
        <w:rPr>
          <w:sz w:val="20"/>
          <w:szCs w:val="20"/>
        </w:rPr>
        <w:t xml:space="preserve"> age range 60 to 89 years;</w:t>
      </w:r>
      <w:r w:rsidRPr="00895799">
        <w:rPr>
          <w:sz w:val="20"/>
          <w:szCs w:val="20"/>
        </w:rPr>
        <w:t xml:space="preserve"> </w:t>
      </w:r>
      <w:r w:rsidR="00F23CD6" w:rsidRPr="00895799">
        <w:rPr>
          <w:sz w:val="20"/>
          <w:szCs w:val="20"/>
        </w:rPr>
        <w:t>45</w:t>
      </w:r>
      <w:r w:rsidRPr="00895799">
        <w:rPr>
          <w:sz w:val="20"/>
          <w:szCs w:val="20"/>
        </w:rPr>
        <w:t>% female) were recruited for a short “Emotional Life Survey”.</w:t>
      </w:r>
      <w:r w:rsidR="006975C0" w:rsidRPr="00895799">
        <w:rPr>
          <w:sz w:val="20"/>
          <w:szCs w:val="20"/>
        </w:rPr>
        <w:t xml:space="preserve"> </w:t>
      </w:r>
      <w:r w:rsidR="0084048B">
        <w:rPr>
          <w:sz w:val="20"/>
          <w:szCs w:val="20"/>
        </w:rPr>
        <w:t xml:space="preserve">Data from three participants </w:t>
      </w:r>
      <w:proofErr w:type="gramStart"/>
      <w:r w:rsidR="0084048B">
        <w:rPr>
          <w:sz w:val="20"/>
          <w:szCs w:val="20"/>
        </w:rPr>
        <w:t>was removed</w:t>
      </w:r>
      <w:proofErr w:type="gramEnd"/>
      <w:r w:rsidR="0084048B">
        <w:rPr>
          <w:sz w:val="20"/>
          <w:szCs w:val="20"/>
        </w:rPr>
        <w:t>: o</w:t>
      </w:r>
      <w:r w:rsidR="006975C0" w:rsidRPr="00895799">
        <w:rPr>
          <w:sz w:val="20"/>
          <w:szCs w:val="20"/>
        </w:rPr>
        <w:t xml:space="preserve">ne due to </w:t>
      </w:r>
      <w:r w:rsidR="00D65AD7" w:rsidRPr="00895799">
        <w:rPr>
          <w:sz w:val="20"/>
          <w:szCs w:val="20"/>
        </w:rPr>
        <w:t>missing data</w:t>
      </w:r>
      <w:r w:rsidR="0084048B">
        <w:rPr>
          <w:sz w:val="20"/>
          <w:szCs w:val="20"/>
        </w:rPr>
        <w:t xml:space="preserve">, one due </w:t>
      </w:r>
      <w:r w:rsidR="0084048B" w:rsidRPr="0084048B">
        <w:rPr>
          <w:sz w:val="20"/>
          <w:szCs w:val="20"/>
        </w:rPr>
        <w:t xml:space="preserve">to current diagnosis of </w:t>
      </w:r>
      <w:proofErr w:type="spellStart"/>
      <w:r w:rsidR="0084048B" w:rsidRPr="0084048B">
        <w:rPr>
          <w:sz w:val="20"/>
          <w:szCs w:val="20"/>
        </w:rPr>
        <w:t>Alzeimer’s</w:t>
      </w:r>
      <w:proofErr w:type="spellEnd"/>
      <w:r w:rsidR="0084048B" w:rsidRPr="0084048B">
        <w:rPr>
          <w:sz w:val="20"/>
          <w:szCs w:val="20"/>
        </w:rPr>
        <w:t xml:space="preserve"> disease, and one due to self-reported “impaired consciousness”.</w:t>
      </w:r>
      <w:r w:rsidR="00D65AD7" w:rsidRPr="0084048B">
        <w:rPr>
          <w:sz w:val="20"/>
          <w:szCs w:val="20"/>
        </w:rPr>
        <w:t xml:space="preserve"> </w:t>
      </w:r>
      <w:r w:rsidR="0084048B" w:rsidRPr="00D0112B">
        <w:rPr>
          <w:sz w:val="20"/>
          <w:szCs w:val="20"/>
        </w:rPr>
        <w:t>Five participants reported experiencing at least one stroke. Nine participants reported the presence of a current mood disorder. Data from these participants were included in analyses in order to maintain the representativeness of the current sample.</w:t>
      </w:r>
      <w:r w:rsidR="0084048B">
        <w:rPr>
          <w:sz w:val="20"/>
          <w:szCs w:val="20"/>
        </w:rPr>
        <w:t xml:space="preserve"> </w:t>
      </w:r>
      <w:r w:rsidR="006975C0" w:rsidRPr="00895799">
        <w:rPr>
          <w:sz w:val="20"/>
          <w:szCs w:val="20"/>
        </w:rPr>
        <w:t xml:space="preserve">After exclusions, data from </w:t>
      </w:r>
      <w:r w:rsidR="006975C0" w:rsidRPr="003C0915">
        <w:rPr>
          <w:sz w:val="20"/>
          <w:szCs w:val="20"/>
        </w:rPr>
        <w:t>2</w:t>
      </w:r>
      <w:r w:rsidR="0084048B" w:rsidRPr="00D0112B">
        <w:rPr>
          <w:sz w:val="20"/>
          <w:szCs w:val="20"/>
        </w:rPr>
        <w:t>10</w:t>
      </w:r>
      <w:r w:rsidR="006975C0" w:rsidRPr="003C0915">
        <w:rPr>
          <w:sz w:val="20"/>
          <w:szCs w:val="20"/>
        </w:rPr>
        <w:t xml:space="preserve"> older a</w:t>
      </w:r>
      <w:r w:rsidR="0008765E" w:rsidRPr="003C0915">
        <w:rPr>
          <w:sz w:val="20"/>
          <w:szCs w:val="20"/>
        </w:rPr>
        <w:t xml:space="preserve">dults </w:t>
      </w:r>
      <w:r w:rsidR="00B84FCD" w:rsidRPr="003C0915">
        <w:rPr>
          <w:sz w:val="20"/>
          <w:szCs w:val="20"/>
        </w:rPr>
        <w:t xml:space="preserve">were </w:t>
      </w:r>
      <w:r w:rsidR="0008765E" w:rsidRPr="003C0915">
        <w:rPr>
          <w:sz w:val="20"/>
          <w:szCs w:val="20"/>
        </w:rPr>
        <w:t>included in analyse</w:t>
      </w:r>
      <w:r w:rsidR="004242FF" w:rsidRPr="003C0915">
        <w:rPr>
          <w:sz w:val="20"/>
          <w:szCs w:val="20"/>
        </w:rPr>
        <w:t>s.</w:t>
      </w:r>
      <w:r w:rsidRPr="003C0915">
        <w:rPr>
          <w:sz w:val="20"/>
          <w:szCs w:val="20"/>
        </w:rPr>
        <w:t xml:space="preserve"> </w:t>
      </w:r>
      <w:r w:rsidR="009A0871" w:rsidRPr="00D0112B">
        <w:rPr>
          <w:sz w:val="20"/>
          <w:szCs w:val="20"/>
        </w:rPr>
        <w:t>81</w:t>
      </w:r>
      <w:r w:rsidR="008436EB" w:rsidRPr="003C0915">
        <w:rPr>
          <w:sz w:val="20"/>
          <w:szCs w:val="20"/>
        </w:rPr>
        <w:t>% o</w:t>
      </w:r>
      <w:r w:rsidR="009A0871" w:rsidRPr="00D0112B">
        <w:rPr>
          <w:sz w:val="20"/>
          <w:szCs w:val="20"/>
        </w:rPr>
        <w:t>f the sample were Caucasian, 4.8</w:t>
      </w:r>
      <w:r w:rsidR="008436EB" w:rsidRPr="003C0915">
        <w:rPr>
          <w:sz w:val="20"/>
          <w:szCs w:val="20"/>
        </w:rPr>
        <w:t>% African, 4</w:t>
      </w:r>
      <w:r w:rsidR="003C0915" w:rsidRPr="00D0112B">
        <w:rPr>
          <w:sz w:val="20"/>
          <w:szCs w:val="20"/>
        </w:rPr>
        <w:t>.3% East or south East Asian, 3.3% South Asian, 3.8</w:t>
      </w:r>
      <w:r w:rsidR="008436EB" w:rsidRPr="003C0915">
        <w:rPr>
          <w:sz w:val="20"/>
          <w:szCs w:val="20"/>
        </w:rPr>
        <w:t>% Latin, Central and South American</w:t>
      </w:r>
      <w:r w:rsidR="003C0915" w:rsidRPr="00D0112B">
        <w:rPr>
          <w:sz w:val="20"/>
          <w:szCs w:val="20"/>
        </w:rPr>
        <w:t xml:space="preserve">, and 3% ‘Other’ ethnicity. </w:t>
      </w:r>
      <w:proofErr w:type="gramStart"/>
      <w:r w:rsidR="003C0915" w:rsidRPr="00D0112B">
        <w:rPr>
          <w:sz w:val="20"/>
          <w:szCs w:val="20"/>
        </w:rPr>
        <w:t>63.3%</w:t>
      </w:r>
      <w:proofErr w:type="gramEnd"/>
      <w:r w:rsidR="003C0915" w:rsidRPr="00D0112B">
        <w:rPr>
          <w:sz w:val="20"/>
          <w:szCs w:val="20"/>
        </w:rPr>
        <w:t xml:space="preserve"> reported their religion as Christianity, 2.4% Buddhism, 1.9% Hinduism, 1.9% Islam, 1.4% Judaism, 26.7% no religion, and 2.4% other religion. 58.1</w:t>
      </w:r>
      <w:r w:rsidR="008436EB" w:rsidRPr="003C0915">
        <w:rPr>
          <w:sz w:val="20"/>
          <w:szCs w:val="20"/>
        </w:rPr>
        <w:t>% reported their</w:t>
      </w:r>
      <w:r w:rsidR="003C0915" w:rsidRPr="00D0112B">
        <w:rPr>
          <w:sz w:val="20"/>
          <w:szCs w:val="20"/>
        </w:rPr>
        <w:t xml:space="preserve"> marital status as married, 16.2</w:t>
      </w:r>
      <w:r w:rsidR="008436EB" w:rsidRPr="003C0915">
        <w:rPr>
          <w:sz w:val="20"/>
          <w:szCs w:val="20"/>
        </w:rPr>
        <w:t xml:space="preserve">% single, </w:t>
      </w:r>
      <w:proofErr w:type="gramStart"/>
      <w:r w:rsidR="008436EB" w:rsidRPr="003C0915">
        <w:rPr>
          <w:sz w:val="20"/>
          <w:szCs w:val="20"/>
        </w:rPr>
        <w:t>12</w:t>
      </w:r>
      <w:r w:rsidR="003C0915" w:rsidRPr="00D0112B">
        <w:rPr>
          <w:sz w:val="20"/>
          <w:szCs w:val="20"/>
        </w:rPr>
        <w:t>.4</w:t>
      </w:r>
      <w:proofErr w:type="gramEnd"/>
      <w:r w:rsidR="008436EB" w:rsidRPr="003C0915">
        <w:rPr>
          <w:sz w:val="20"/>
          <w:szCs w:val="20"/>
        </w:rPr>
        <w:t>% divorced, 9</w:t>
      </w:r>
      <w:r w:rsidR="003C0915" w:rsidRPr="00D0112B">
        <w:rPr>
          <w:sz w:val="20"/>
          <w:szCs w:val="20"/>
        </w:rPr>
        <w:t>.5</w:t>
      </w:r>
      <w:r w:rsidR="008436EB" w:rsidRPr="003C0915">
        <w:rPr>
          <w:sz w:val="20"/>
          <w:szCs w:val="20"/>
        </w:rPr>
        <w:t>% widowed and 1%</w:t>
      </w:r>
      <w:r w:rsidR="003C0915" w:rsidRPr="00D0112B">
        <w:rPr>
          <w:sz w:val="20"/>
          <w:szCs w:val="20"/>
        </w:rPr>
        <w:t xml:space="preserve"> dating. 32.9</w:t>
      </w:r>
      <w:r w:rsidR="008436EB" w:rsidRPr="003C0915">
        <w:rPr>
          <w:sz w:val="20"/>
          <w:szCs w:val="20"/>
        </w:rPr>
        <w:t>% of the sample had completed at l</w:t>
      </w:r>
      <w:r w:rsidR="003C0915" w:rsidRPr="00D0112B">
        <w:rPr>
          <w:sz w:val="20"/>
          <w:szCs w:val="20"/>
        </w:rPr>
        <w:t>east some graduate schooling, 60.1% at least some college, 13.8</w:t>
      </w:r>
      <w:r w:rsidR="008436EB" w:rsidRPr="003C0915">
        <w:rPr>
          <w:sz w:val="20"/>
          <w:szCs w:val="20"/>
        </w:rPr>
        <w:t>% had attained their High School Ce</w:t>
      </w:r>
      <w:r w:rsidR="003C0915" w:rsidRPr="00D0112B">
        <w:rPr>
          <w:sz w:val="20"/>
          <w:szCs w:val="20"/>
        </w:rPr>
        <w:t>rtificate or equivalent, and 3.3</w:t>
      </w:r>
      <w:r w:rsidR="008436EB" w:rsidRPr="003C0915">
        <w:rPr>
          <w:sz w:val="20"/>
          <w:szCs w:val="20"/>
        </w:rPr>
        <w:t>% had completed some High School or less.</w:t>
      </w:r>
      <w:r w:rsidR="008436EB">
        <w:rPr>
          <w:sz w:val="20"/>
          <w:szCs w:val="20"/>
        </w:rPr>
        <w:t xml:space="preserve"> </w:t>
      </w:r>
    </w:p>
    <w:p w14:paraId="45E1F660" w14:textId="77777777" w:rsidR="005629F3" w:rsidRDefault="005629F3" w:rsidP="00D0112B">
      <w:pPr>
        <w:spacing w:line="480" w:lineRule="auto"/>
        <w:rPr>
          <w:color w:val="000000" w:themeColor="text1"/>
          <w:sz w:val="20"/>
          <w:szCs w:val="20"/>
        </w:rPr>
      </w:pPr>
      <w:r w:rsidRPr="00895799">
        <w:rPr>
          <w:sz w:val="20"/>
          <w:szCs w:val="20"/>
        </w:rPr>
        <w:t xml:space="preserve">Participants who completed the survey in person </w:t>
      </w:r>
      <w:proofErr w:type="gramStart"/>
      <w:r w:rsidRPr="00895799">
        <w:rPr>
          <w:sz w:val="20"/>
          <w:szCs w:val="20"/>
        </w:rPr>
        <w:t>were recruited</w:t>
      </w:r>
      <w:proofErr w:type="gramEnd"/>
      <w:r w:rsidRPr="00895799">
        <w:rPr>
          <w:sz w:val="20"/>
          <w:szCs w:val="20"/>
        </w:rPr>
        <w:t xml:space="preserve"> via a university research volunteer database. Online participants </w:t>
      </w:r>
      <w:proofErr w:type="gramStart"/>
      <w:r w:rsidRPr="00895799">
        <w:rPr>
          <w:sz w:val="20"/>
          <w:szCs w:val="20"/>
        </w:rPr>
        <w:t>were recruited</w:t>
      </w:r>
      <w:proofErr w:type="gramEnd"/>
      <w:r w:rsidRPr="00895799">
        <w:rPr>
          <w:sz w:val="20"/>
          <w:szCs w:val="20"/>
        </w:rPr>
        <w:t xml:space="preserve"> via advertisements on </w:t>
      </w:r>
      <w:proofErr w:type="spellStart"/>
      <w:r w:rsidRPr="00895799">
        <w:rPr>
          <w:sz w:val="20"/>
          <w:szCs w:val="20"/>
        </w:rPr>
        <w:t>MicroWorkers</w:t>
      </w:r>
      <w:proofErr w:type="spellEnd"/>
      <w:r w:rsidRPr="00895799">
        <w:rPr>
          <w:sz w:val="20"/>
          <w:szCs w:val="20"/>
        </w:rPr>
        <w:t xml:space="preserve"> and Mechanical Turk. </w:t>
      </w:r>
      <w:proofErr w:type="spellStart"/>
      <w:r w:rsidRPr="00895799">
        <w:rPr>
          <w:sz w:val="20"/>
          <w:szCs w:val="20"/>
        </w:rPr>
        <w:t>MicroWorkers</w:t>
      </w:r>
      <w:proofErr w:type="spellEnd"/>
      <w:r w:rsidRPr="00895799">
        <w:rPr>
          <w:sz w:val="20"/>
          <w:szCs w:val="20"/>
        </w:rPr>
        <w:t xml:space="preserve"> is a crowd sourcing platform used to recruit participants for short online tasks which has been validated for use collecting data from Australian participants (Crone &amp; Williams, 2016).  Mechanical Turk is Amazon’s international crowd sourcing platform commonly used for online psychological research, which </w:t>
      </w:r>
      <w:proofErr w:type="gramStart"/>
      <w:r w:rsidRPr="00895799">
        <w:rPr>
          <w:sz w:val="20"/>
          <w:szCs w:val="20"/>
        </w:rPr>
        <w:t>was used</w:t>
      </w:r>
      <w:proofErr w:type="gramEnd"/>
      <w:r w:rsidRPr="00895799">
        <w:rPr>
          <w:sz w:val="20"/>
          <w:szCs w:val="20"/>
        </w:rPr>
        <w:t xml:space="preserve"> to collect data from participants residing in the Australia and New Zealand region</w:t>
      </w:r>
      <w:r w:rsidRPr="003071BD">
        <w:rPr>
          <w:sz w:val="20"/>
          <w:szCs w:val="20"/>
        </w:rPr>
        <w:t xml:space="preserve">. </w:t>
      </w:r>
      <w:r w:rsidRPr="003D1D3C">
        <w:rPr>
          <w:color w:val="000000" w:themeColor="text1"/>
          <w:sz w:val="20"/>
          <w:szCs w:val="20"/>
        </w:rPr>
        <w:t>A geographic restriction was placed on “</w:t>
      </w:r>
      <w:proofErr w:type="spellStart"/>
      <w:r w:rsidRPr="003D1D3C">
        <w:rPr>
          <w:color w:val="000000" w:themeColor="text1"/>
          <w:sz w:val="20"/>
          <w:szCs w:val="20"/>
        </w:rPr>
        <w:t>Turker</w:t>
      </w:r>
      <w:proofErr w:type="spellEnd"/>
      <w:r w:rsidRPr="003D1D3C">
        <w:rPr>
          <w:color w:val="000000" w:themeColor="text1"/>
          <w:sz w:val="20"/>
          <w:szCs w:val="20"/>
        </w:rPr>
        <w:t xml:space="preserve">” location in an attempt to ensure that online respondents where from a similar socio-cultural background to participants who completed the study in person at a large Australian University. </w:t>
      </w:r>
    </w:p>
    <w:p w14:paraId="3968E1C4" w14:textId="67055DDC" w:rsidR="0066662A" w:rsidRPr="00D0112B" w:rsidRDefault="0066662A" w:rsidP="00D0112B">
      <w:pPr>
        <w:spacing w:line="480" w:lineRule="auto"/>
        <w:rPr>
          <w:b/>
          <w:sz w:val="20"/>
          <w:szCs w:val="20"/>
        </w:rPr>
      </w:pPr>
      <w:r w:rsidRPr="0066662A">
        <w:rPr>
          <w:b/>
          <w:sz w:val="20"/>
          <w:szCs w:val="20"/>
        </w:rPr>
        <w:lastRenderedPageBreak/>
        <w:t>Procedure</w:t>
      </w:r>
    </w:p>
    <w:p w14:paraId="121DAF6A" w14:textId="05746857" w:rsidR="00DD0FBB" w:rsidRDefault="0066662A" w:rsidP="0066662A">
      <w:pPr>
        <w:spacing w:line="480" w:lineRule="auto"/>
        <w:ind w:firstLine="720"/>
        <w:rPr>
          <w:sz w:val="20"/>
          <w:szCs w:val="20"/>
        </w:rPr>
      </w:pPr>
      <w:r w:rsidRPr="00895799">
        <w:rPr>
          <w:sz w:val="20"/>
          <w:szCs w:val="20"/>
        </w:rPr>
        <w:t>Twent</w:t>
      </w:r>
      <w:r w:rsidR="003C0915">
        <w:rPr>
          <w:sz w:val="20"/>
          <w:szCs w:val="20"/>
        </w:rPr>
        <w:t>y-five</w:t>
      </w:r>
      <w:r w:rsidRPr="00895799">
        <w:rPr>
          <w:sz w:val="20"/>
          <w:szCs w:val="20"/>
        </w:rPr>
        <w:t xml:space="preserve"> participants completed the survey in p</w:t>
      </w:r>
      <w:r w:rsidR="003C0915">
        <w:rPr>
          <w:sz w:val="20"/>
          <w:szCs w:val="20"/>
        </w:rPr>
        <w:t>erson at the university, and 185</w:t>
      </w:r>
      <w:r w:rsidRPr="00895799">
        <w:rPr>
          <w:sz w:val="20"/>
          <w:szCs w:val="20"/>
        </w:rPr>
        <w:t xml:space="preserve"> completed the survey online. </w:t>
      </w:r>
      <w:r w:rsidRPr="003071BD">
        <w:rPr>
          <w:sz w:val="20"/>
          <w:szCs w:val="20"/>
        </w:rPr>
        <w:t>Data</w:t>
      </w:r>
      <w:r w:rsidRPr="00895799">
        <w:rPr>
          <w:sz w:val="20"/>
          <w:szCs w:val="20"/>
        </w:rPr>
        <w:t xml:space="preserve"> from face-to-face and online participants </w:t>
      </w:r>
      <w:proofErr w:type="gramStart"/>
      <w:r w:rsidRPr="00895799">
        <w:rPr>
          <w:sz w:val="20"/>
          <w:szCs w:val="20"/>
        </w:rPr>
        <w:t>were combined</w:t>
      </w:r>
      <w:proofErr w:type="gramEnd"/>
      <w:r w:rsidRPr="00895799">
        <w:rPr>
          <w:sz w:val="20"/>
          <w:szCs w:val="20"/>
        </w:rPr>
        <w:t xml:space="preserve"> in light of evidence that online and paper versions of questionnaires return similarly reliable results (Ritter, </w:t>
      </w:r>
      <w:proofErr w:type="spellStart"/>
      <w:r w:rsidRPr="00895799">
        <w:rPr>
          <w:sz w:val="20"/>
          <w:szCs w:val="20"/>
        </w:rPr>
        <w:t>Lorig</w:t>
      </w:r>
      <w:proofErr w:type="spellEnd"/>
      <w:r w:rsidRPr="00895799">
        <w:rPr>
          <w:sz w:val="20"/>
          <w:szCs w:val="20"/>
        </w:rPr>
        <w:t xml:space="preserve">, Laurent, &amp; Matthews, 2004). </w:t>
      </w:r>
      <w:proofErr w:type="gramStart"/>
      <w:r w:rsidRPr="00895799">
        <w:rPr>
          <w:sz w:val="20"/>
          <w:szCs w:val="20"/>
        </w:rPr>
        <w:t>This research was approved by the</w:t>
      </w:r>
      <w:r>
        <w:rPr>
          <w:sz w:val="20"/>
          <w:szCs w:val="20"/>
        </w:rPr>
        <w:t xml:space="preserve"> Western Sydney University </w:t>
      </w:r>
      <w:r w:rsidRPr="00895799">
        <w:rPr>
          <w:sz w:val="20"/>
          <w:szCs w:val="20"/>
        </w:rPr>
        <w:t>Human Research Ethics Committee (approval number H11503)</w:t>
      </w:r>
      <w:proofErr w:type="gramEnd"/>
      <w:r w:rsidRPr="00895799">
        <w:rPr>
          <w:sz w:val="20"/>
          <w:szCs w:val="20"/>
        </w:rPr>
        <w:t xml:space="preserve">. Participant responses to the Emotion Regulation Questionnaire (ERQ; Gross &amp; John, 2003) reported in this study have been used in a separate study to validate the psychometric properties of the ERQ. </w:t>
      </w:r>
    </w:p>
    <w:p w14:paraId="780BA647" w14:textId="77777777" w:rsidR="004D1FAC" w:rsidRPr="00895799" w:rsidRDefault="004D1FAC" w:rsidP="00895799">
      <w:pPr>
        <w:spacing w:line="480" w:lineRule="auto"/>
        <w:outlineLvl w:val="0"/>
        <w:rPr>
          <w:b/>
          <w:sz w:val="20"/>
          <w:szCs w:val="20"/>
        </w:rPr>
      </w:pPr>
      <w:r w:rsidRPr="00895799">
        <w:rPr>
          <w:b/>
          <w:sz w:val="20"/>
          <w:szCs w:val="20"/>
        </w:rPr>
        <w:t>Measures</w:t>
      </w:r>
    </w:p>
    <w:p w14:paraId="0F4CC631" w14:textId="66F2EBAD" w:rsidR="00A95A5E" w:rsidRPr="005A5A76" w:rsidRDefault="00A95A5E" w:rsidP="005A5A76">
      <w:pPr>
        <w:spacing w:line="480" w:lineRule="auto"/>
        <w:ind w:firstLine="720"/>
        <w:rPr>
          <w:b/>
          <w:sz w:val="20"/>
          <w:szCs w:val="20"/>
        </w:rPr>
      </w:pPr>
      <w:r w:rsidRPr="005A5A76">
        <w:rPr>
          <w:b/>
          <w:sz w:val="20"/>
          <w:szCs w:val="20"/>
        </w:rPr>
        <w:t>Five Facet Mindfulness Questionnaire – Short Form (</w:t>
      </w:r>
      <w:r w:rsidR="006C2C08" w:rsidRPr="005A5A76">
        <w:rPr>
          <w:b/>
          <w:sz w:val="20"/>
          <w:szCs w:val="20"/>
        </w:rPr>
        <w:t xml:space="preserve">FFMQ-SF; </w:t>
      </w:r>
      <w:proofErr w:type="spellStart"/>
      <w:r w:rsidRPr="005A5A76">
        <w:rPr>
          <w:b/>
          <w:sz w:val="20"/>
          <w:szCs w:val="20"/>
        </w:rPr>
        <w:t>Bohlmeijer</w:t>
      </w:r>
      <w:proofErr w:type="spellEnd"/>
      <w:r w:rsidRPr="005A5A76">
        <w:rPr>
          <w:b/>
          <w:sz w:val="20"/>
          <w:szCs w:val="20"/>
        </w:rPr>
        <w:t xml:space="preserve"> et al., 2011)</w:t>
      </w:r>
    </w:p>
    <w:p w14:paraId="139F6E52" w14:textId="7FEC625C" w:rsidR="00A95A5E" w:rsidRPr="00895799" w:rsidRDefault="008E4116" w:rsidP="00895799">
      <w:pPr>
        <w:spacing w:line="480" w:lineRule="auto"/>
        <w:rPr>
          <w:sz w:val="20"/>
          <w:szCs w:val="20"/>
        </w:rPr>
      </w:pPr>
      <w:r w:rsidRPr="00895799">
        <w:rPr>
          <w:sz w:val="20"/>
          <w:szCs w:val="20"/>
        </w:rPr>
        <w:tab/>
        <w:t xml:space="preserve">The </w:t>
      </w:r>
      <w:r w:rsidR="004E18CD" w:rsidRPr="00895799">
        <w:rPr>
          <w:sz w:val="20"/>
          <w:szCs w:val="20"/>
        </w:rPr>
        <w:t xml:space="preserve">24-item </w:t>
      </w:r>
      <w:r w:rsidRPr="00895799">
        <w:rPr>
          <w:sz w:val="20"/>
          <w:szCs w:val="20"/>
        </w:rPr>
        <w:t xml:space="preserve">FFMQ-SF evaluates five facets of dispositional mindfulness, including observing, describing, acting with awareness, non-judgment of </w:t>
      </w:r>
      <w:r w:rsidR="001C0780" w:rsidRPr="00895799">
        <w:rPr>
          <w:sz w:val="20"/>
          <w:szCs w:val="20"/>
        </w:rPr>
        <w:t xml:space="preserve">inner </w:t>
      </w:r>
      <w:r w:rsidRPr="00895799">
        <w:rPr>
          <w:sz w:val="20"/>
          <w:szCs w:val="20"/>
        </w:rPr>
        <w:t xml:space="preserve">experiences, and non-reactivity to </w:t>
      </w:r>
      <w:r w:rsidR="001C0780" w:rsidRPr="00895799">
        <w:rPr>
          <w:sz w:val="20"/>
          <w:szCs w:val="20"/>
        </w:rPr>
        <w:t xml:space="preserve">inner </w:t>
      </w:r>
      <w:r w:rsidRPr="00895799">
        <w:rPr>
          <w:sz w:val="20"/>
          <w:szCs w:val="20"/>
        </w:rPr>
        <w:t xml:space="preserve">experiences. </w:t>
      </w:r>
      <w:proofErr w:type="gramStart"/>
      <w:r w:rsidR="00F52E5E" w:rsidRPr="00895799">
        <w:rPr>
          <w:sz w:val="20"/>
          <w:szCs w:val="20"/>
        </w:rPr>
        <w:t>Sample items include: “</w:t>
      </w:r>
      <w:r w:rsidR="001759E5" w:rsidRPr="00895799">
        <w:rPr>
          <w:sz w:val="20"/>
          <w:szCs w:val="20"/>
        </w:rPr>
        <w:t xml:space="preserve">I pay attention to physical experiences, such as the wind in my hair or sun on my face </w:t>
      </w:r>
      <w:r w:rsidR="00F52E5E" w:rsidRPr="00895799">
        <w:rPr>
          <w:sz w:val="20"/>
          <w:szCs w:val="20"/>
        </w:rPr>
        <w:t>(Observe)”</w:t>
      </w:r>
      <w:r w:rsidR="001759E5" w:rsidRPr="00895799">
        <w:rPr>
          <w:sz w:val="20"/>
          <w:szCs w:val="20"/>
        </w:rPr>
        <w:t xml:space="preserve">, </w:t>
      </w:r>
      <w:r w:rsidR="00F52E5E" w:rsidRPr="00895799">
        <w:rPr>
          <w:sz w:val="20"/>
          <w:szCs w:val="20"/>
        </w:rPr>
        <w:t>“</w:t>
      </w:r>
      <w:r w:rsidR="008C42B5" w:rsidRPr="00895799">
        <w:rPr>
          <w:sz w:val="20"/>
          <w:szCs w:val="20"/>
        </w:rPr>
        <w:t>I’m good at finding the words to describe my feelings</w:t>
      </w:r>
      <w:r w:rsidR="00F52E5E" w:rsidRPr="00895799">
        <w:rPr>
          <w:sz w:val="20"/>
          <w:szCs w:val="20"/>
        </w:rPr>
        <w:t xml:space="preserve"> (Describe)”</w:t>
      </w:r>
      <w:r w:rsidR="001759E5" w:rsidRPr="00895799">
        <w:rPr>
          <w:sz w:val="20"/>
          <w:szCs w:val="20"/>
        </w:rPr>
        <w:t xml:space="preserve">, </w:t>
      </w:r>
      <w:r w:rsidR="00F52E5E" w:rsidRPr="00895799">
        <w:rPr>
          <w:sz w:val="20"/>
          <w:szCs w:val="20"/>
        </w:rPr>
        <w:t>“</w:t>
      </w:r>
      <w:r w:rsidR="001759E5" w:rsidRPr="00895799">
        <w:rPr>
          <w:sz w:val="20"/>
          <w:szCs w:val="20"/>
        </w:rPr>
        <w:t xml:space="preserve">I find myself doing things without paying attention </w:t>
      </w:r>
      <w:r w:rsidR="00F52E5E" w:rsidRPr="00895799">
        <w:rPr>
          <w:sz w:val="20"/>
          <w:szCs w:val="20"/>
        </w:rPr>
        <w:t>(Act</w:t>
      </w:r>
      <w:r w:rsidR="001759E5" w:rsidRPr="00895799">
        <w:rPr>
          <w:sz w:val="20"/>
          <w:szCs w:val="20"/>
        </w:rPr>
        <w:t xml:space="preserve"> </w:t>
      </w:r>
      <w:r w:rsidR="00F52E5E" w:rsidRPr="00895799">
        <w:rPr>
          <w:sz w:val="20"/>
          <w:szCs w:val="20"/>
        </w:rPr>
        <w:t>Aware)”</w:t>
      </w:r>
      <w:r w:rsidR="001759E5" w:rsidRPr="00895799">
        <w:rPr>
          <w:sz w:val="20"/>
          <w:szCs w:val="20"/>
        </w:rPr>
        <w:t xml:space="preserve">, </w:t>
      </w:r>
      <w:r w:rsidR="00F52E5E" w:rsidRPr="00895799">
        <w:rPr>
          <w:sz w:val="20"/>
          <w:szCs w:val="20"/>
        </w:rPr>
        <w:t>“</w:t>
      </w:r>
      <w:r w:rsidR="001759E5" w:rsidRPr="00895799">
        <w:rPr>
          <w:sz w:val="20"/>
          <w:szCs w:val="20"/>
        </w:rPr>
        <w:t>I disapprove of myself when I have illogical ideas</w:t>
      </w:r>
      <w:r w:rsidR="00F52E5E" w:rsidRPr="00895799">
        <w:rPr>
          <w:sz w:val="20"/>
          <w:szCs w:val="20"/>
        </w:rPr>
        <w:t xml:space="preserve"> (Non-Judgment)”</w:t>
      </w:r>
      <w:r w:rsidR="001759E5" w:rsidRPr="00895799">
        <w:rPr>
          <w:sz w:val="20"/>
          <w:szCs w:val="20"/>
        </w:rPr>
        <w:t xml:space="preserve">, </w:t>
      </w:r>
      <w:r w:rsidR="00F52E5E" w:rsidRPr="00895799">
        <w:rPr>
          <w:sz w:val="20"/>
          <w:szCs w:val="20"/>
        </w:rPr>
        <w:t>“</w:t>
      </w:r>
      <w:r w:rsidR="004B5F28" w:rsidRPr="00895799">
        <w:rPr>
          <w:sz w:val="20"/>
          <w:szCs w:val="20"/>
        </w:rPr>
        <w:t>I watch my</w:t>
      </w:r>
      <w:r w:rsidR="008C42B5" w:rsidRPr="00895799">
        <w:rPr>
          <w:sz w:val="20"/>
          <w:szCs w:val="20"/>
        </w:rPr>
        <w:t xml:space="preserve"> feelings without getting carried away by them </w:t>
      </w:r>
      <w:r w:rsidR="00F52E5E" w:rsidRPr="00895799">
        <w:rPr>
          <w:sz w:val="20"/>
          <w:szCs w:val="20"/>
        </w:rPr>
        <w:t>(Non-Reactivity)”.</w:t>
      </w:r>
      <w:proofErr w:type="gramEnd"/>
      <w:r w:rsidR="001759E5" w:rsidRPr="00895799">
        <w:rPr>
          <w:sz w:val="20"/>
          <w:szCs w:val="20"/>
        </w:rPr>
        <w:t xml:space="preserve"> </w:t>
      </w:r>
      <w:r w:rsidR="0003461D" w:rsidRPr="00895799">
        <w:rPr>
          <w:sz w:val="20"/>
          <w:szCs w:val="20"/>
        </w:rPr>
        <w:t xml:space="preserve">Respondents are asked to rate their agreement with items using a five-point Likert-type scale from </w:t>
      </w:r>
      <w:proofErr w:type="gramStart"/>
      <w:r w:rsidR="0003461D" w:rsidRPr="00895799">
        <w:rPr>
          <w:sz w:val="20"/>
          <w:szCs w:val="20"/>
        </w:rPr>
        <w:t>1</w:t>
      </w:r>
      <w:proofErr w:type="gramEnd"/>
      <w:r w:rsidR="0003461D" w:rsidRPr="00895799">
        <w:rPr>
          <w:sz w:val="20"/>
          <w:szCs w:val="20"/>
        </w:rPr>
        <w:t xml:space="preserve"> (never or very rarely true) to 5 (very often or always true).</w:t>
      </w:r>
      <w:r w:rsidR="001759E5" w:rsidRPr="00895799">
        <w:rPr>
          <w:sz w:val="20"/>
          <w:szCs w:val="20"/>
        </w:rPr>
        <w:t xml:space="preserve"> </w:t>
      </w:r>
      <w:r w:rsidR="004D03F3" w:rsidRPr="00895799">
        <w:rPr>
          <w:sz w:val="20"/>
          <w:szCs w:val="20"/>
        </w:rPr>
        <w:t xml:space="preserve">After reverse coding of negatively worded items, higher scores on each subscale indicate greater mindfulness. </w:t>
      </w:r>
      <w:r w:rsidRPr="00895799">
        <w:rPr>
          <w:sz w:val="20"/>
          <w:szCs w:val="20"/>
        </w:rPr>
        <w:t xml:space="preserve">The development and psychometric properties of the FFMQ-SF </w:t>
      </w:r>
      <w:proofErr w:type="gramStart"/>
      <w:r w:rsidRPr="00895799">
        <w:rPr>
          <w:sz w:val="20"/>
          <w:szCs w:val="20"/>
        </w:rPr>
        <w:t>were r</w:t>
      </w:r>
      <w:r w:rsidR="001C0780" w:rsidRPr="00895799">
        <w:rPr>
          <w:sz w:val="20"/>
          <w:szCs w:val="20"/>
        </w:rPr>
        <w:t>eviewed</w:t>
      </w:r>
      <w:proofErr w:type="gramEnd"/>
      <w:r w:rsidR="001C0780" w:rsidRPr="00895799">
        <w:rPr>
          <w:sz w:val="20"/>
          <w:szCs w:val="20"/>
        </w:rPr>
        <w:t xml:space="preserve"> earlier in this article.</w:t>
      </w:r>
      <w:r w:rsidR="008436EB">
        <w:rPr>
          <w:sz w:val="20"/>
          <w:szCs w:val="20"/>
        </w:rPr>
        <w:t xml:space="preserve"> Table 1</w:t>
      </w:r>
      <w:r w:rsidR="00303554" w:rsidRPr="00895799">
        <w:rPr>
          <w:sz w:val="20"/>
          <w:szCs w:val="20"/>
        </w:rPr>
        <w:t xml:space="preserve"> displays measures of Cronbach’</w:t>
      </w:r>
      <w:r w:rsidR="00272328" w:rsidRPr="00895799">
        <w:rPr>
          <w:sz w:val="20"/>
          <w:szCs w:val="20"/>
        </w:rPr>
        <w:t>s alpha for the FFMQ</w:t>
      </w:r>
      <w:r w:rsidR="00303554" w:rsidRPr="00895799">
        <w:rPr>
          <w:sz w:val="20"/>
          <w:szCs w:val="20"/>
        </w:rPr>
        <w:t xml:space="preserve">-SF subscales in the present sample. </w:t>
      </w:r>
    </w:p>
    <w:p w14:paraId="354D43A2" w14:textId="77777777" w:rsidR="004D1FAC" w:rsidRPr="005A5A76" w:rsidRDefault="004D1FAC" w:rsidP="005A5A76">
      <w:pPr>
        <w:spacing w:line="480" w:lineRule="auto"/>
        <w:ind w:firstLine="720"/>
        <w:rPr>
          <w:b/>
          <w:sz w:val="20"/>
          <w:szCs w:val="20"/>
        </w:rPr>
      </w:pPr>
      <w:r w:rsidRPr="005A5A76">
        <w:rPr>
          <w:b/>
          <w:sz w:val="20"/>
          <w:szCs w:val="20"/>
        </w:rPr>
        <w:t>Positive and Negative Affect Schedule – 10 (PANAS-10; Mackinnon et al., 1999)</w:t>
      </w:r>
    </w:p>
    <w:p w14:paraId="1EFC1A0F" w14:textId="07D2AD63" w:rsidR="005E514C" w:rsidRPr="00895799" w:rsidRDefault="004D1FAC" w:rsidP="00895799">
      <w:pPr>
        <w:spacing w:line="480" w:lineRule="auto"/>
        <w:ind w:firstLine="720"/>
        <w:rPr>
          <w:sz w:val="20"/>
          <w:szCs w:val="20"/>
        </w:rPr>
      </w:pPr>
      <w:r w:rsidRPr="00895799">
        <w:rPr>
          <w:sz w:val="20"/>
          <w:szCs w:val="20"/>
        </w:rPr>
        <w:t xml:space="preserve">The PANAS-10 is a ten-item scale designed to measure the experience of positive (inspired, alert, excited, enthusiastic, </w:t>
      </w:r>
      <w:proofErr w:type="gramStart"/>
      <w:r w:rsidRPr="00895799">
        <w:rPr>
          <w:sz w:val="20"/>
          <w:szCs w:val="20"/>
        </w:rPr>
        <w:t>determined</w:t>
      </w:r>
      <w:proofErr w:type="gramEnd"/>
      <w:r w:rsidRPr="00895799">
        <w:rPr>
          <w:sz w:val="20"/>
          <w:szCs w:val="20"/>
        </w:rPr>
        <w:t xml:space="preserve">) and negative (afraid, upset, nervous, scared, upset) emotional states. Respondents are asked to indicate how frequently they have experienced the emotions in the last few weeks using a Likert-type scale from 1 (very slightly or not at all) to 5 (Extremely). Item responses </w:t>
      </w:r>
      <w:proofErr w:type="gramStart"/>
      <w:r w:rsidRPr="00895799">
        <w:rPr>
          <w:sz w:val="20"/>
          <w:szCs w:val="20"/>
        </w:rPr>
        <w:t>are summed</w:t>
      </w:r>
      <w:proofErr w:type="gramEnd"/>
      <w:r w:rsidRPr="00895799">
        <w:rPr>
          <w:sz w:val="20"/>
          <w:szCs w:val="20"/>
        </w:rPr>
        <w:t xml:space="preserve"> for each </w:t>
      </w:r>
      <w:r w:rsidR="007F1969" w:rsidRPr="00895799">
        <w:rPr>
          <w:sz w:val="20"/>
          <w:szCs w:val="20"/>
        </w:rPr>
        <w:t>sub</w:t>
      </w:r>
      <w:r w:rsidRPr="00895799">
        <w:rPr>
          <w:sz w:val="20"/>
          <w:szCs w:val="20"/>
        </w:rPr>
        <w:t xml:space="preserve">scale resulting in a single positive affect score and a single negative affect score. Higher scores on each subscale indicate greater experience of affect. In the initial validation study, age was not found to </w:t>
      </w:r>
      <w:proofErr w:type="gramStart"/>
      <w:r w:rsidRPr="00895799">
        <w:rPr>
          <w:sz w:val="20"/>
          <w:szCs w:val="20"/>
        </w:rPr>
        <w:t>impact</w:t>
      </w:r>
      <w:proofErr w:type="gramEnd"/>
      <w:r w:rsidRPr="00895799">
        <w:rPr>
          <w:sz w:val="20"/>
          <w:szCs w:val="20"/>
        </w:rPr>
        <w:t xml:space="preserve"> the factor structure or factor correlations among a large sample (</w:t>
      </w:r>
      <w:r w:rsidRPr="00895799">
        <w:rPr>
          <w:i/>
          <w:sz w:val="20"/>
          <w:szCs w:val="20"/>
        </w:rPr>
        <w:t>N</w:t>
      </w:r>
      <w:r w:rsidRPr="00895799">
        <w:rPr>
          <w:sz w:val="20"/>
          <w:szCs w:val="20"/>
        </w:rPr>
        <w:t xml:space="preserve"> = 2651) of adults, including older adults (Mackinnon et al., 1999).</w:t>
      </w:r>
      <w:r w:rsidR="00835A89" w:rsidRPr="00895799">
        <w:rPr>
          <w:sz w:val="20"/>
          <w:szCs w:val="20"/>
        </w:rPr>
        <w:t xml:space="preserve"> The positive and negative affect subscales of the PANAS-10 were found to be internally consistent in the present sample (Cronbach’s alphas of .84 and .91, respectively).</w:t>
      </w:r>
    </w:p>
    <w:p w14:paraId="019D936D" w14:textId="48807ED1" w:rsidR="005E514C" w:rsidRPr="005A5A76" w:rsidRDefault="005E514C" w:rsidP="005A5A76">
      <w:pPr>
        <w:spacing w:line="480" w:lineRule="auto"/>
        <w:ind w:firstLine="720"/>
        <w:rPr>
          <w:b/>
          <w:sz w:val="20"/>
          <w:szCs w:val="20"/>
        </w:rPr>
      </w:pPr>
      <w:r w:rsidRPr="005A5A76">
        <w:rPr>
          <w:b/>
          <w:sz w:val="20"/>
          <w:szCs w:val="20"/>
        </w:rPr>
        <w:t>Emotion Regulation Questionnaire (ERQ; Gross &amp; John, 2003)</w:t>
      </w:r>
    </w:p>
    <w:p w14:paraId="23C0F318" w14:textId="727A1AC6" w:rsidR="007271A8" w:rsidRPr="00895799" w:rsidRDefault="005E514C" w:rsidP="00895799">
      <w:pPr>
        <w:spacing w:line="480" w:lineRule="auto"/>
        <w:ind w:firstLine="720"/>
        <w:rPr>
          <w:color w:val="000000" w:themeColor="text1"/>
          <w:sz w:val="20"/>
          <w:szCs w:val="20"/>
        </w:rPr>
      </w:pPr>
      <w:r w:rsidRPr="00895799">
        <w:rPr>
          <w:sz w:val="20"/>
          <w:szCs w:val="20"/>
        </w:rPr>
        <w:lastRenderedPageBreak/>
        <w:t>The Emotion Regulation Questionnaire is comprised of 10-items designed to measure trait tendencies to regulate emotion using either suppression or reappraisal</w:t>
      </w:r>
      <w:proofErr w:type="gramStart"/>
      <w:r w:rsidRPr="00895799">
        <w:rPr>
          <w:sz w:val="20"/>
          <w:szCs w:val="20"/>
        </w:rPr>
        <w:t>;</w:t>
      </w:r>
      <w:proofErr w:type="gramEnd"/>
      <w:r w:rsidRPr="00895799">
        <w:rPr>
          <w:sz w:val="20"/>
          <w:szCs w:val="20"/>
        </w:rPr>
        <w:t xml:space="preserve"> each of which is the basis of one of two subscales. The reappraisal subscale includes six items measuring</w:t>
      </w:r>
      <w:r w:rsidRPr="00895799">
        <w:rPr>
          <w:color w:val="000000" w:themeColor="text1"/>
          <w:sz w:val="20"/>
          <w:szCs w:val="20"/>
        </w:rPr>
        <w:t xml:space="preserve"> tendency to control emotions by changing the way one thinks about emotional events. An example </w:t>
      </w:r>
      <w:proofErr w:type="gramStart"/>
      <w:r w:rsidRPr="00895799">
        <w:rPr>
          <w:color w:val="000000" w:themeColor="text1"/>
          <w:sz w:val="20"/>
          <w:szCs w:val="20"/>
        </w:rPr>
        <w:t>item</w:t>
      </w:r>
      <w:proofErr w:type="gramEnd"/>
      <w:r w:rsidRPr="00895799">
        <w:rPr>
          <w:color w:val="000000" w:themeColor="text1"/>
          <w:sz w:val="20"/>
          <w:szCs w:val="20"/>
        </w:rPr>
        <w:t xml:space="preserve"> is “</w:t>
      </w:r>
      <w:proofErr w:type="gramStart"/>
      <w:r w:rsidRPr="00895799">
        <w:rPr>
          <w:color w:val="000000" w:themeColor="text1"/>
          <w:sz w:val="20"/>
          <w:szCs w:val="20"/>
          <w:shd w:val="clear" w:color="auto" w:fill="FFFFFF"/>
        </w:rPr>
        <w:t>When</w:t>
      </w:r>
      <w:proofErr w:type="gramEnd"/>
      <w:r w:rsidRPr="00895799">
        <w:rPr>
          <w:color w:val="000000" w:themeColor="text1"/>
          <w:sz w:val="20"/>
          <w:szCs w:val="20"/>
          <w:shd w:val="clear" w:color="auto" w:fill="FFFFFF"/>
        </w:rPr>
        <w:t xml:space="preserve"> I want to feel more positive emotion, I change the way I’m thinking about the situation</w:t>
      </w:r>
      <w:r w:rsidRPr="00895799">
        <w:rPr>
          <w:color w:val="000000" w:themeColor="text1"/>
          <w:sz w:val="20"/>
          <w:szCs w:val="20"/>
        </w:rPr>
        <w:t xml:space="preserve">”. The suppression subscale includes four items that measure the tendency to control emotion by suppressing one’s </w:t>
      </w:r>
      <w:proofErr w:type="spellStart"/>
      <w:r w:rsidRPr="00895799">
        <w:rPr>
          <w:color w:val="000000" w:themeColor="text1"/>
          <w:sz w:val="20"/>
          <w:szCs w:val="20"/>
        </w:rPr>
        <w:t>behavioral</w:t>
      </w:r>
      <w:proofErr w:type="spellEnd"/>
      <w:r w:rsidRPr="00895799">
        <w:rPr>
          <w:color w:val="000000" w:themeColor="text1"/>
          <w:sz w:val="20"/>
          <w:szCs w:val="20"/>
        </w:rPr>
        <w:t xml:space="preserve"> expression. An example item is “</w:t>
      </w:r>
      <w:r w:rsidRPr="00895799">
        <w:rPr>
          <w:color w:val="000000" w:themeColor="text1"/>
          <w:sz w:val="20"/>
          <w:szCs w:val="20"/>
          <w:shd w:val="clear" w:color="auto" w:fill="FFFFFF"/>
        </w:rPr>
        <w:t xml:space="preserve">I control my emotions by not expressing them”. </w:t>
      </w:r>
      <w:r w:rsidRPr="00895799">
        <w:rPr>
          <w:color w:val="000000" w:themeColor="text1"/>
          <w:sz w:val="20"/>
          <w:szCs w:val="20"/>
        </w:rPr>
        <w:t xml:space="preserve">Respondents are asked to rate their agreement with items using a 7-point Likert-type scale from </w:t>
      </w:r>
      <w:proofErr w:type="gramStart"/>
      <w:r w:rsidRPr="00895799">
        <w:rPr>
          <w:color w:val="000000" w:themeColor="text1"/>
          <w:sz w:val="20"/>
          <w:szCs w:val="20"/>
        </w:rPr>
        <w:t>1</w:t>
      </w:r>
      <w:proofErr w:type="gramEnd"/>
      <w:r w:rsidRPr="00895799">
        <w:rPr>
          <w:color w:val="000000" w:themeColor="text1"/>
          <w:sz w:val="20"/>
          <w:szCs w:val="20"/>
        </w:rPr>
        <w:t xml:space="preserve"> (strongly disagree) to 7 (strongly agree). Scores are averaged for the items within each scale to provide a single reappraisal score and a single suppression score, ranging from </w:t>
      </w:r>
      <w:proofErr w:type="gramStart"/>
      <w:r w:rsidRPr="00895799">
        <w:rPr>
          <w:color w:val="000000" w:themeColor="text1"/>
          <w:sz w:val="20"/>
          <w:szCs w:val="20"/>
        </w:rPr>
        <w:t>1</w:t>
      </w:r>
      <w:proofErr w:type="gramEnd"/>
      <w:r w:rsidRPr="00895799">
        <w:rPr>
          <w:color w:val="000000" w:themeColor="text1"/>
          <w:sz w:val="20"/>
          <w:szCs w:val="20"/>
        </w:rPr>
        <w:t xml:space="preserve"> to 7. High scores on each subscale indicate higher trait reappraisal and suppression, respectively.</w:t>
      </w:r>
      <w:r w:rsidR="004B5F28" w:rsidRPr="00895799">
        <w:rPr>
          <w:color w:val="000000" w:themeColor="text1"/>
          <w:sz w:val="20"/>
          <w:szCs w:val="20"/>
        </w:rPr>
        <w:t xml:space="preserve"> The ERQ </w:t>
      </w:r>
      <w:proofErr w:type="gramStart"/>
      <w:r w:rsidR="004B5F28" w:rsidRPr="00895799">
        <w:rPr>
          <w:color w:val="000000" w:themeColor="text1"/>
          <w:sz w:val="20"/>
          <w:szCs w:val="20"/>
        </w:rPr>
        <w:t>has been validated</w:t>
      </w:r>
      <w:proofErr w:type="gramEnd"/>
      <w:r w:rsidR="004B5F28" w:rsidRPr="00895799">
        <w:rPr>
          <w:color w:val="000000" w:themeColor="text1"/>
          <w:sz w:val="20"/>
          <w:szCs w:val="20"/>
        </w:rPr>
        <w:t xml:space="preserve"> in a sample of older women (John &amp; Gross, 2004).</w:t>
      </w:r>
      <w:r w:rsidR="00835A89" w:rsidRPr="00895799">
        <w:rPr>
          <w:sz w:val="20"/>
          <w:szCs w:val="20"/>
        </w:rPr>
        <w:t xml:space="preserve"> The reappraisal and suppression subscales of the ERQ were found to be internally consistent in the present sample (Cronbach’s alphas of .90 and .82, respectively).</w:t>
      </w:r>
    </w:p>
    <w:p w14:paraId="4F4AE3AE" w14:textId="51620807" w:rsidR="004D1FAC" w:rsidRPr="00895799" w:rsidRDefault="00051D51" w:rsidP="00895799">
      <w:pPr>
        <w:spacing w:line="480" w:lineRule="auto"/>
        <w:outlineLvl w:val="0"/>
        <w:rPr>
          <w:b/>
          <w:sz w:val="20"/>
          <w:szCs w:val="20"/>
        </w:rPr>
      </w:pPr>
      <w:r>
        <w:rPr>
          <w:b/>
          <w:sz w:val="20"/>
          <w:szCs w:val="20"/>
        </w:rPr>
        <w:t>Data</w:t>
      </w:r>
      <w:r w:rsidR="004D1FAC" w:rsidRPr="00895799">
        <w:rPr>
          <w:b/>
          <w:sz w:val="20"/>
          <w:szCs w:val="20"/>
        </w:rPr>
        <w:t xml:space="preserve"> Analys</w:t>
      </w:r>
      <w:r w:rsidR="0066662A">
        <w:rPr>
          <w:b/>
          <w:sz w:val="20"/>
          <w:szCs w:val="20"/>
        </w:rPr>
        <w:t>es</w:t>
      </w:r>
    </w:p>
    <w:p w14:paraId="414AD237" w14:textId="7F505CEF" w:rsidR="00254362" w:rsidRPr="00895799" w:rsidRDefault="004D1FAC" w:rsidP="00895799">
      <w:pPr>
        <w:spacing w:line="480" w:lineRule="auto"/>
        <w:ind w:firstLine="720"/>
        <w:rPr>
          <w:sz w:val="20"/>
          <w:szCs w:val="20"/>
        </w:rPr>
      </w:pPr>
      <w:r w:rsidRPr="00895799">
        <w:rPr>
          <w:sz w:val="20"/>
          <w:szCs w:val="20"/>
        </w:rPr>
        <w:t xml:space="preserve">Internal consistency of the </w:t>
      </w:r>
      <w:r w:rsidR="00B257AF" w:rsidRPr="00895799">
        <w:rPr>
          <w:sz w:val="20"/>
          <w:szCs w:val="20"/>
        </w:rPr>
        <w:t>five subscales of the FFMQ-SF</w:t>
      </w:r>
      <w:r w:rsidRPr="00895799">
        <w:rPr>
          <w:sz w:val="20"/>
          <w:szCs w:val="20"/>
        </w:rPr>
        <w:t xml:space="preserve"> </w:t>
      </w:r>
      <w:proofErr w:type="gramStart"/>
      <w:r w:rsidR="005052E4" w:rsidRPr="00895799">
        <w:rPr>
          <w:sz w:val="20"/>
          <w:szCs w:val="20"/>
        </w:rPr>
        <w:t>was</w:t>
      </w:r>
      <w:r w:rsidRPr="00895799">
        <w:rPr>
          <w:sz w:val="20"/>
          <w:szCs w:val="20"/>
        </w:rPr>
        <w:t xml:space="preserve"> evaluated</w:t>
      </w:r>
      <w:proofErr w:type="gramEnd"/>
      <w:r w:rsidRPr="00895799">
        <w:rPr>
          <w:sz w:val="20"/>
          <w:szCs w:val="20"/>
        </w:rPr>
        <w:t xml:space="preserve"> using Cronbach’s alpha. Pearson’s product moment correlations </w:t>
      </w:r>
      <w:r w:rsidR="005052E4" w:rsidRPr="00895799">
        <w:rPr>
          <w:sz w:val="20"/>
          <w:szCs w:val="20"/>
        </w:rPr>
        <w:t>were</w:t>
      </w:r>
      <w:r w:rsidRPr="00895799">
        <w:rPr>
          <w:sz w:val="20"/>
          <w:szCs w:val="20"/>
        </w:rPr>
        <w:t xml:space="preserve"> used to evaluat</w:t>
      </w:r>
      <w:r w:rsidR="00B257AF" w:rsidRPr="00895799">
        <w:rPr>
          <w:sz w:val="20"/>
          <w:szCs w:val="20"/>
        </w:rPr>
        <w:t>e con</w:t>
      </w:r>
      <w:r w:rsidR="00CA2672" w:rsidRPr="00895799">
        <w:rPr>
          <w:sz w:val="20"/>
          <w:szCs w:val="20"/>
        </w:rPr>
        <w:t xml:space="preserve">vergent </w:t>
      </w:r>
      <w:r w:rsidR="00B257AF" w:rsidRPr="00895799">
        <w:rPr>
          <w:sz w:val="20"/>
          <w:szCs w:val="20"/>
        </w:rPr>
        <w:t>validity between FFMQ</w:t>
      </w:r>
      <w:r w:rsidRPr="00895799">
        <w:rPr>
          <w:sz w:val="20"/>
          <w:szCs w:val="20"/>
        </w:rPr>
        <w:t xml:space="preserve"> subscales and positive and negative a</w:t>
      </w:r>
      <w:r w:rsidR="00BE1D56" w:rsidRPr="00895799">
        <w:rPr>
          <w:sz w:val="20"/>
          <w:szCs w:val="20"/>
        </w:rPr>
        <w:t>ffect as measured by the</w:t>
      </w:r>
      <w:r w:rsidRPr="00895799">
        <w:rPr>
          <w:sz w:val="20"/>
          <w:szCs w:val="20"/>
        </w:rPr>
        <w:t xml:space="preserve"> PANAS</w:t>
      </w:r>
      <w:r w:rsidR="00C30B13" w:rsidRPr="00895799">
        <w:rPr>
          <w:sz w:val="20"/>
          <w:szCs w:val="20"/>
        </w:rPr>
        <w:t>-10</w:t>
      </w:r>
      <w:r w:rsidRPr="00895799">
        <w:rPr>
          <w:sz w:val="20"/>
          <w:szCs w:val="20"/>
        </w:rPr>
        <w:t xml:space="preserve"> (M</w:t>
      </w:r>
      <w:r w:rsidR="00B257AF" w:rsidRPr="00895799">
        <w:rPr>
          <w:sz w:val="20"/>
          <w:szCs w:val="20"/>
        </w:rPr>
        <w:t>ackinnon et al., 1999), as well as trait reappraisal and suppre</w:t>
      </w:r>
      <w:r w:rsidR="00BE1D56" w:rsidRPr="00895799">
        <w:rPr>
          <w:sz w:val="20"/>
          <w:szCs w:val="20"/>
        </w:rPr>
        <w:t>ssion as measured by the</w:t>
      </w:r>
      <w:r w:rsidR="00B257AF" w:rsidRPr="00895799">
        <w:rPr>
          <w:sz w:val="20"/>
          <w:szCs w:val="20"/>
        </w:rPr>
        <w:t xml:space="preserve"> ERQ (Gross &amp; John, 2003).</w:t>
      </w:r>
      <w:r w:rsidR="009A7CEB" w:rsidRPr="00895799">
        <w:rPr>
          <w:sz w:val="20"/>
          <w:szCs w:val="20"/>
        </w:rPr>
        <w:t xml:space="preserve"> </w:t>
      </w:r>
    </w:p>
    <w:p w14:paraId="797FEA54" w14:textId="3E5749D3" w:rsidR="00737ED0" w:rsidRPr="00895799" w:rsidRDefault="004D1FAC" w:rsidP="00895799">
      <w:pPr>
        <w:spacing w:line="480" w:lineRule="auto"/>
        <w:ind w:firstLine="720"/>
        <w:rPr>
          <w:sz w:val="20"/>
          <w:szCs w:val="20"/>
        </w:rPr>
      </w:pPr>
      <w:r w:rsidRPr="00895799">
        <w:rPr>
          <w:sz w:val="20"/>
          <w:szCs w:val="20"/>
        </w:rPr>
        <w:t>Facto</w:t>
      </w:r>
      <w:r w:rsidR="00CA2672" w:rsidRPr="00895799">
        <w:rPr>
          <w:sz w:val="20"/>
          <w:szCs w:val="20"/>
        </w:rPr>
        <w:t>r structure</w:t>
      </w:r>
      <w:r w:rsidRPr="00895799">
        <w:rPr>
          <w:sz w:val="20"/>
          <w:szCs w:val="20"/>
        </w:rPr>
        <w:t xml:space="preserve"> </w:t>
      </w:r>
      <w:r w:rsidR="005052E4" w:rsidRPr="00895799">
        <w:rPr>
          <w:sz w:val="20"/>
          <w:szCs w:val="20"/>
        </w:rPr>
        <w:t>was</w:t>
      </w:r>
      <w:r w:rsidR="00BE1D56" w:rsidRPr="00895799">
        <w:rPr>
          <w:sz w:val="20"/>
          <w:szCs w:val="20"/>
        </w:rPr>
        <w:t xml:space="preserve"> </w:t>
      </w:r>
      <w:r w:rsidR="00112503" w:rsidRPr="00895799">
        <w:rPr>
          <w:sz w:val="20"/>
          <w:szCs w:val="20"/>
        </w:rPr>
        <w:t>assess</w:t>
      </w:r>
      <w:r w:rsidR="00BE1D56" w:rsidRPr="00895799">
        <w:rPr>
          <w:sz w:val="20"/>
          <w:szCs w:val="20"/>
        </w:rPr>
        <w:t>ed using CFA</w:t>
      </w:r>
      <w:r w:rsidRPr="00895799">
        <w:rPr>
          <w:sz w:val="20"/>
          <w:szCs w:val="20"/>
        </w:rPr>
        <w:t xml:space="preserve"> as this method allows for pre-specification of the number of factors as well as the relationship between fac</w:t>
      </w:r>
      <w:r w:rsidR="00140E69" w:rsidRPr="00895799">
        <w:rPr>
          <w:sz w:val="20"/>
          <w:szCs w:val="20"/>
        </w:rPr>
        <w:t>tors and indicators (Brown, 2014</w:t>
      </w:r>
      <w:r w:rsidRPr="00895799">
        <w:rPr>
          <w:sz w:val="20"/>
          <w:szCs w:val="20"/>
        </w:rPr>
        <w:t>), which is appropriate when evaluating a well-established measure.</w:t>
      </w:r>
      <w:r w:rsidR="00B257AF" w:rsidRPr="00895799">
        <w:rPr>
          <w:sz w:val="20"/>
          <w:szCs w:val="20"/>
        </w:rPr>
        <w:t xml:space="preserve"> </w:t>
      </w:r>
      <w:r w:rsidR="00254362" w:rsidRPr="00895799">
        <w:rPr>
          <w:sz w:val="20"/>
          <w:szCs w:val="20"/>
        </w:rPr>
        <w:t xml:space="preserve">CFA </w:t>
      </w:r>
      <w:proofErr w:type="gramStart"/>
      <w:r w:rsidR="00112503" w:rsidRPr="00895799">
        <w:rPr>
          <w:sz w:val="20"/>
          <w:szCs w:val="20"/>
        </w:rPr>
        <w:t>was</w:t>
      </w:r>
      <w:r w:rsidR="008450D7" w:rsidRPr="00895799">
        <w:rPr>
          <w:sz w:val="20"/>
          <w:szCs w:val="20"/>
        </w:rPr>
        <w:t xml:space="preserve"> </w:t>
      </w:r>
      <w:r w:rsidR="00C30B13" w:rsidRPr="00895799">
        <w:rPr>
          <w:sz w:val="20"/>
          <w:szCs w:val="20"/>
        </w:rPr>
        <w:t>performed</w:t>
      </w:r>
      <w:proofErr w:type="gramEnd"/>
      <w:r w:rsidR="00C30B13" w:rsidRPr="00895799">
        <w:rPr>
          <w:sz w:val="20"/>
          <w:szCs w:val="20"/>
        </w:rPr>
        <w:t xml:space="preserve"> using AMOS 25</w:t>
      </w:r>
      <w:r w:rsidR="00254362" w:rsidRPr="00895799">
        <w:rPr>
          <w:sz w:val="20"/>
          <w:szCs w:val="20"/>
        </w:rPr>
        <w:t xml:space="preserve"> (Arbuckle, 2017). </w:t>
      </w:r>
      <w:r w:rsidR="009E1733" w:rsidRPr="00895799">
        <w:rPr>
          <w:sz w:val="20"/>
          <w:szCs w:val="20"/>
        </w:rPr>
        <w:t>A</w:t>
      </w:r>
      <w:r w:rsidR="00254362" w:rsidRPr="00895799">
        <w:rPr>
          <w:sz w:val="20"/>
          <w:szCs w:val="20"/>
        </w:rPr>
        <w:t xml:space="preserve"> t</w:t>
      </w:r>
      <w:r w:rsidR="009E1733" w:rsidRPr="00895799">
        <w:rPr>
          <w:sz w:val="20"/>
          <w:szCs w:val="20"/>
        </w:rPr>
        <w:t>wo-</w:t>
      </w:r>
      <w:r w:rsidR="00254362" w:rsidRPr="00895799">
        <w:rPr>
          <w:sz w:val="20"/>
          <w:szCs w:val="20"/>
        </w:rPr>
        <w:t xml:space="preserve">stage approach to factor analysis </w:t>
      </w:r>
      <w:proofErr w:type="gramStart"/>
      <w:r w:rsidR="009E1733" w:rsidRPr="00895799">
        <w:rPr>
          <w:sz w:val="20"/>
          <w:szCs w:val="20"/>
        </w:rPr>
        <w:t>was</w:t>
      </w:r>
      <w:r w:rsidR="00254362" w:rsidRPr="00895799">
        <w:rPr>
          <w:sz w:val="20"/>
          <w:szCs w:val="20"/>
        </w:rPr>
        <w:t xml:space="preserve"> employed</w:t>
      </w:r>
      <w:proofErr w:type="gramEnd"/>
      <w:r w:rsidR="00254362" w:rsidRPr="00895799">
        <w:rPr>
          <w:sz w:val="20"/>
          <w:szCs w:val="20"/>
        </w:rPr>
        <w:t xml:space="preserve">. First, a five-factor correlated model </w:t>
      </w:r>
      <w:r w:rsidR="00C657AE" w:rsidRPr="00895799">
        <w:rPr>
          <w:sz w:val="20"/>
          <w:szCs w:val="20"/>
        </w:rPr>
        <w:t xml:space="preserve">was considered </w:t>
      </w:r>
      <w:r w:rsidR="00254362" w:rsidRPr="00895799">
        <w:rPr>
          <w:sz w:val="20"/>
          <w:szCs w:val="20"/>
        </w:rPr>
        <w:t>to determine if the proposed five facet structure of the FFMQ-SF demonstrate</w:t>
      </w:r>
      <w:r w:rsidR="00C657AE" w:rsidRPr="00895799">
        <w:rPr>
          <w:sz w:val="20"/>
          <w:szCs w:val="20"/>
        </w:rPr>
        <w:t>d</w:t>
      </w:r>
      <w:r w:rsidR="00254362" w:rsidRPr="00895799">
        <w:rPr>
          <w:sz w:val="20"/>
          <w:szCs w:val="20"/>
        </w:rPr>
        <w:t xml:space="preserve"> acceptable mod</w:t>
      </w:r>
      <w:r w:rsidR="00C30B13" w:rsidRPr="00895799">
        <w:rPr>
          <w:sz w:val="20"/>
          <w:szCs w:val="20"/>
        </w:rPr>
        <w:t>el fit among an older community-</w:t>
      </w:r>
      <w:r w:rsidR="00254362" w:rsidRPr="00895799">
        <w:rPr>
          <w:sz w:val="20"/>
          <w:szCs w:val="20"/>
        </w:rPr>
        <w:t xml:space="preserve">dwelling sample. </w:t>
      </w:r>
      <w:r w:rsidR="009E1733" w:rsidRPr="00895799">
        <w:rPr>
          <w:sz w:val="20"/>
          <w:szCs w:val="20"/>
        </w:rPr>
        <w:t>Second</w:t>
      </w:r>
      <w:r w:rsidR="00254362" w:rsidRPr="00895799">
        <w:rPr>
          <w:sz w:val="20"/>
          <w:szCs w:val="20"/>
        </w:rPr>
        <w:t xml:space="preserve">, the </w:t>
      </w:r>
      <w:r w:rsidR="003D6123" w:rsidRPr="00895799">
        <w:rPr>
          <w:sz w:val="20"/>
          <w:szCs w:val="20"/>
        </w:rPr>
        <w:t>h</w:t>
      </w:r>
      <w:r w:rsidR="003D6123">
        <w:rPr>
          <w:sz w:val="20"/>
          <w:szCs w:val="20"/>
        </w:rPr>
        <w:t>ierarchical</w:t>
      </w:r>
      <w:r w:rsidR="00254362" w:rsidRPr="00895799">
        <w:rPr>
          <w:sz w:val="20"/>
          <w:szCs w:val="20"/>
        </w:rPr>
        <w:t xml:space="preserve"> structure of the FFMQ-SF </w:t>
      </w:r>
      <w:proofErr w:type="gramStart"/>
      <w:r w:rsidR="00C657AE" w:rsidRPr="00895799">
        <w:rPr>
          <w:sz w:val="20"/>
          <w:szCs w:val="20"/>
        </w:rPr>
        <w:t xml:space="preserve">was </w:t>
      </w:r>
      <w:r w:rsidR="00254362" w:rsidRPr="00895799">
        <w:rPr>
          <w:sz w:val="20"/>
          <w:szCs w:val="20"/>
        </w:rPr>
        <w:t>explored</w:t>
      </w:r>
      <w:proofErr w:type="gramEnd"/>
      <w:r w:rsidR="00254362" w:rsidRPr="00895799">
        <w:rPr>
          <w:sz w:val="20"/>
          <w:szCs w:val="20"/>
        </w:rPr>
        <w:t xml:space="preserve"> to determine whether a one- or two-factor higher order structure offers best fit </w:t>
      </w:r>
      <w:r w:rsidR="00C657AE" w:rsidRPr="00895799">
        <w:rPr>
          <w:sz w:val="20"/>
          <w:szCs w:val="20"/>
        </w:rPr>
        <w:t>for</w:t>
      </w:r>
      <w:r w:rsidR="00C90002" w:rsidRPr="00895799">
        <w:rPr>
          <w:sz w:val="20"/>
          <w:szCs w:val="20"/>
        </w:rPr>
        <w:t xml:space="preserve"> </w:t>
      </w:r>
      <w:r w:rsidR="00254362" w:rsidRPr="00895799">
        <w:rPr>
          <w:sz w:val="20"/>
          <w:szCs w:val="20"/>
        </w:rPr>
        <w:t xml:space="preserve">older adults. </w:t>
      </w:r>
      <w:r w:rsidR="00B257AF" w:rsidRPr="00895799">
        <w:rPr>
          <w:sz w:val="20"/>
          <w:szCs w:val="20"/>
        </w:rPr>
        <w:t xml:space="preserve">In all CFA analyses, items </w:t>
      </w:r>
      <w:proofErr w:type="gramStart"/>
      <w:r w:rsidR="00C657AE" w:rsidRPr="00895799">
        <w:rPr>
          <w:sz w:val="20"/>
          <w:szCs w:val="20"/>
        </w:rPr>
        <w:t xml:space="preserve">were </w:t>
      </w:r>
      <w:r w:rsidR="00B257AF" w:rsidRPr="00895799">
        <w:rPr>
          <w:sz w:val="20"/>
          <w:szCs w:val="20"/>
        </w:rPr>
        <w:t xml:space="preserve">used as individual </w:t>
      </w:r>
      <w:r w:rsidR="00A67F10" w:rsidRPr="00895799">
        <w:rPr>
          <w:sz w:val="20"/>
          <w:szCs w:val="20"/>
        </w:rPr>
        <w:t>indicators</w:t>
      </w:r>
      <w:r w:rsidR="00B257AF" w:rsidRPr="00895799">
        <w:rPr>
          <w:sz w:val="20"/>
          <w:szCs w:val="20"/>
        </w:rPr>
        <w:t xml:space="preserve">, rather than parcelled in small groups of items as </w:t>
      </w:r>
      <w:r w:rsidR="00C353B8" w:rsidRPr="00895799">
        <w:rPr>
          <w:sz w:val="20"/>
          <w:szCs w:val="20"/>
        </w:rPr>
        <w:t>in</w:t>
      </w:r>
      <w:r w:rsidR="00B257AF" w:rsidRPr="00895799">
        <w:rPr>
          <w:sz w:val="20"/>
          <w:szCs w:val="20"/>
        </w:rPr>
        <w:t xml:space="preserve"> previous research (Baer et al., 2006; 2008)</w:t>
      </w:r>
      <w:proofErr w:type="gramEnd"/>
      <w:r w:rsidR="00B257AF" w:rsidRPr="00895799">
        <w:rPr>
          <w:sz w:val="20"/>
          <w:szCs w:val="20"/>
        </w:rPr>
        <w:t xml:space="preserve">. </w:t>
      </w:r>
      <w:r w:rsidR="008D41FF" w:rsidRPr="00895799">
        <w:rPr>
          <w:sz w:val="20"/>
          <w:szCs w:val="20"/>
        </w:rPr>
        <w:t>Includ</w:t>
      </w:r>
      <w:r w:rsidR="009A7CEB" w:rsidRPr="00895799">
        <w:rPr>
          <w:sz w:val="20"/>
          <w:szCs w:val="20"/>
        </w:rPr>
        <w:t>ing items as individual indicators</w:t>
      </w:r>
      <w:r w:rsidR="00B56D71" w:rsidRPr="00895799">
        <w:rPr>
          <w:sz w:val="20"/>
          <w:szCs w:val="20"/>
        </w:rPr>
        <w:t xml:space="preserve"> allows for examination of</w:t>
      </w:r>
      <w:r w:rsidR="008D41FF" w:rsidRPr="00895799">
        <w:rPr>
          <w:sz w:val="20"/>
          <w:szCs w:val="20"/>
        </w:rPr>
        <w:t xml:space="preserve"> the relationship between individual items and factor</w:t>
      </w:r>
      <w:r w:rsidR="00B56D71" w:rsidRPr="00895799">
        <w:rPr>
          <w:sz w:val="20"/>
          <w:szCs w:val="20"/>
        </w:rPr>
        <w:t>s</w:t>
      </w:r>
      <w:r w:rsidR="008D41FF" w:rsidRPr="00895799">
        <w:rPr>
          <w:sz w:val="20"/>
          <w:szCs w:val="20"/>
        </w:rPr>
        <w:t xml:space="preserve"> in a scale that </w:t>
      </w:r>
      <w:proofErr w:type="gramStart"/>
      <w:r w:rsidR="008D41FF" w:rsidRPr="00895799">
        <w:rPr>
          <w:sz w:val="20"/>
          <w:szCs w:val="20"/>
        </w:rPr>
        <w:t>can be missed</w:t>
      </w:r>
      <w:proofErr w:type="gramEnd"/>
      <w:r w:rsidR="008D41FF" w:rsidRPr="00895799">
        <w:rPr>
          <w:sz w:val="20"/>
          <w:szCs w:val="20"/>
        </w:rPr>
        <w:t xml:space="preserve"> when items are parcelled (</w:t>
      </w:r>
      <w:proofErr w:type="spellStart"/>
      <w:r w:rsidR="00B56D71" w:rsidRPr="00895799">
        <w:rPr>
          <w:sz w:val="20"/>
          <w:szCs w:val="20"/>
        </w:rPr>
        <w:t>Bandolos</w:t>
      </w:r>
      <w:proofErr w:type="spellEnd"/>
      <w:r w:rsidR="00B56D71" w:rsidRPr="00895799">
        <w:rPr>
          <w:sz w:val="20"/>
          <w:szCs w:val="20"/>
        </w:rPr>
        <w:t xml:space="preserve"> &amp; Finney, 2001; </w:t>
      </w:r>
      <w:r w:rsidR="00702873" w:rsidRPr="00895799">
        <w:rPr>
          <w:sz w:val="20"/>
          <w:szCs w:val="20"/>
        </w:rPr>
        <w:t xml:space="preserve">Christopher et al., 2012; </w:t>
      </w:r>
      <w:r w:rsidR="00B56D71" w:rsidRPr="00895799">
        <w:rPr>
          <w:sz w:val="20"/>
          <w:szCs w:val="20"/>
        </w:rPr>
        <w:t>Worthington &amp; Whittaker, 2006).</w:t>
      </w:r>
      <w:r w:rsidR="00BE1D56" w:rsidRPr="00895799">
        <w:rPr>
          <w:sz w:val="20"/>
          <w:szCs w:val="20"/>
        </w:rPr>
        <w:t xml:space="preserve"> </w:t>
      </w:r>
      <w:r w:rsidR="007E774C" w:rsidRPr="00895799">
        <w:rPr>
          <w:sz w:val="20"/>
          <w:szCs w:val="20"/>
        </w:rPr>
        <w:t xml:space="preserve">Model fit </w:t>
      </w:r>
      <w:proofErr w:type="gramStart"/>
      <w:r w:rsidR="007E774C" w:rsidRPr="00895799">
        <w:rPr>
          <w:sz w:val="20"/>
          <w:szCs w:val="20"/>
        </w:rPr>
        <w:t>was assessed</w:t>
      </w:r>
      <w:proofErr w:type="gramEnd"/>
      <w:r w:rsidR="007E774C" w:rsidRPr="00895799">
        <w:rPr>
          <w:sz w:val="20"/>
          <w:szCs w:val="20"/>
        </w:rPr>
        <w:t xml:space="preserve"> using </w:t>
      </w:r>
      <w:r w:rsidR="00254362" w:rsidRPr="00895799">
        <w:rPr>
          <w:sz w:val="20"/>
          <w:szCs w:val="20"/>
        </w:rPr>
        <w:t xml:space="preserve">chi-square, the comparative fit index (CFI; </w:t>
      </w:r>
      <w:proofErr w:type="spellStart"/>
      <w:r w:rsidR="00254362" w:rsidRPr="00895799">
        <w:rPr>
          <w:sz w:val="20"/>
          <w:szCs w:val="20"/>
        </w:rPr>
        <w:t>Bentler</w:t>
      </w:r>
      <w:proofErr w:type="spellEnd"/>
      <w:r w:rsidR="00254362" w:rsidRPr="00895799">
        <w:rPr>
          <w:sz w:val="20"/>
          <w:szCs w:val="20"/>
        </w:rPr>
        <w:t xml:space="preserve">, 1990), Tucker-Lewis Index (TLI; Tucker-Lewis, 1973), and the root-mean-square error of approximation (RMSEA; </w:t>
      </w:r>
      <w:proofErr w:type="spellStart"/>
      <w:r w:rsidR="00254362" w:rsidRPr="00895799">
        <w:rPr>
          <w:sz w:val="20"/>
          <w:szCs w:val="20"/>
        </w:rPr>
        <w:t>Ste</w:t>
      </w:r>
      <w:r w:rsidR="007E774C" w:rsidRPr="00895799">
        <w:rPr>
          <w:sz w:val="20"/>
          <w:szCs w:val="20"/>
        </w:rPr>
        <w:t>iger</w:t>
      </w:r>
      <w:proofErr w:type="spellEnd"/>
      <w:r w:rsidR="007E774C" w:rsidRPr="00895799">
        <w:rPr>
          <w:sz w:val="20"/>
          <w:szCs w:val="20"/>
        </w:rPr>
        <w:t xml:space="preserve"> &amp; Lind, 1980). Model fit was considered</w:t>
      </w:r>
      <w:r w:rsidR="00254362" w:rsidRPr="00895799">
        <w:rPr>
          <w:sz w:val="20"/>
          <w:szCs w:val="20"/>
        </w:rPr>
        <w:t xml:space="preserve"> </w:t>
      </w:r>
      <w:r w:rsidR="007E774C" w:rsidRPr="00895799">
        <w:rPr>
          <w:sz w:val="20"/>
          <w:szCs w:val="20"/>
        </w:rPr>
        <w:t xml:space="preserve">acceptable when chi </w:t>
      </w:r>
      <w:r w:rsidR="007E774C" w:rsidRPr="00895799">
        <w:rPr>
          <w:sz w:val="20"/>
          <w:szCs w:val="20"/>
        </w:rPr>
        <w:lastRenderedPageBreak/>
        <w:t>square was</w:t>
      </w:r>
      <w:r w:rsidR="00254362" w:rsidRPr="00895799">
        <w:rPr>
          <w:sz w:val="20"/>
          <w:szCs w:val="20"/>
        </w:rPr>
        <w:t xml:space="preserve"> non-significant</w:t>
      </w:r>
      <w:r w:rsidR="007E774C" w:rsidRPr="00895799">
        <w:rPr>
          <w:sz w:val="20"/>
          <w:szCs w:val="20"/>
        </w:rPr>
        <w:t>,</w:t>
      </w:r>
      <w:r w:rsidR="00C657AE" w:rsidRPr="00895799">
        <w:rPr>
          <w:sz w:val="20"/>
          <w:szCs w:val="20"/>
        </w:rPr>
        <w:t xml:space="preserve"> </w:t>
      </w:r>
      <w:r w:rsidR="007E774C" w:rsidRPr="00895799">
        <w:rPr>
          <w:sz w:val="20"/>
          <w:szCs w:val="20"/>
        </w:rPr>
        <w:t>CFI and TLI values</w:t>
      </w:r>
      <w:r w:rsidR="00254362" w:rsidRPr="00895799">
        <w:rPr>
          <w:sz w:val="20"/>
          <w:szCs w:val="20"/>
        </w:rPr>
        <w:t xml:space="preserve"> above .90 (Kline, 2</w:t>
      </w:r>
      <w:r w:rsidR="007E774C" w:rsidRPr="00895799">
        <w:rPr>
          <w:sz w:val="20"/>
          <w:szCs w:val="20"/>
        </w:rPr>
        <w:t>004), and RMSEA</w:t>
      </w:r>
      <w:r w:rsidR="00254362" w:rsidRPr="00895799">
        <w:rPr>
          <w:sz w:val="20"/>
          <w:szCs w:val="20"/>
        </w:rPr>
        <w:t xml:space="preserve"> below .08 (Browne &amp; </w:t>
      </w:r>
      <w:proofErr w:type="spellStart"/>
      <w:r w:rsidR="00254362" w:rsidRPr="00895799">
        <w:rPr>
          <w:sz w:val="20"/>
          <w:szCs w:val="20"/>
        </w:rPr>
        <w:t>Cudeck</w:t>
      </w:r>
      <w:proofErr w:type="spellEnd"/>
      <w:r w:rsidR="00254362" w:rsidRPr="00895799">
        <w:rPr>
          <w:sz w:val="20"/>
          <w:szCs w:val="20"/>
        </w:rPr>
        <w:t xml:space="preserve">, 1993). </w:t>
      </w:r>
    </w:p>
    <w:p w14:paraId="2B80F5AA" w14:textId="0D5D398D" w:rsidR="00737ED0" w:rsidRPr="00895799" w:rsidRDefault="00737ED0" w:rsidP="00895799">
      <w:pPr>
        <w:spacing w:line="480" w:lineRule="auto"/>
        <w:jc w:val="center"/>
        <w:outlineLvl w:val="0"/>
        <w:rPr>
          <w:b/>
          <w:sz w:val="20"/>
          <w:szCs w:val="20"/>
        </w:rPr>
      </w:pPr>
      <w:r w:rsidRPr="003C0915">
        <w:rPr>
          <w:b/>
          <w:sz w:val="20"/>
          <w:szCs w:val="20"/>
        </w:rPr>
        <w:t>Results</w:t>
      </w:r>
    </w:p>
    <w:p w14:paraId="18C47DAA" w14:textId="44E26E62" w:rsidR="002C6307" w:rsidRPr="00895799" w:rsidRDefault="007D1904" w:rsidP="00895799">
      <w:pPr>
        <w:spacing w:line="480" w:lineRule="auto"/>
        <w:outlineLvl w:val="0"/>
        <w:rPr>
          <w:b/>
          <w:sz w:val="20"/>
          <w:szCs w:val="20"/>
        </w:rPr>
      </w:pPr>
      <w:r w:rsidRPr="00895799">
        <w:rPr>
          <w:b/>
          <w:sz w:val="20"/>
          <w:szCs w:val="20"/>
        </w:rPr>
        <w:t>Internal Consistency</w:t>
      </w:r>
    </w:p>
    <w:p w14:paraId="7D6263BA" w14:textId="6D766899" w:rsidR="006F1B13" w:rsidRPr="00895799" w:rsidRDefault="00AC321D" w:rsidP="00895799">
      <w:pPr>
        <w:spacing w:line="480" w:lineRule="auto"/>
        <w:ind w:firstLine="720"/>
        <w:rPr>
          <w:sz w:val="20"/>
          <w:szCs w:val="20"/>
        </w:rPr>
      </w:pPr>
      <w:r w:rsidRPr="00895799">
        <w:rPr>
          <w:sz w:val="20"/>
          <w:szCs w:val="20"/>
        </w:rPr>
        <w:t xml:space="preserve">Table </w:t>
      </w:r>
      <w:r w:rsidR="008436EB">
        <w:rPr>
          <w:sz w:val="20"/>
          <w:szCs w:val="20"/>
        </w:rPr>
        <w:t>1</w:t>
      </w:r>
      <w:r w:rsidRPr="00895799">
        <w:rPr>
          <w:sz w:val="20"/>
          <w:szCs w:val="20"/>
        </w:rPr>
        <w:t xml:space="preserve"> displays reliability results, mean scores and scale inter-correlations. </w:t>
      </w:r>
      <w:r w:rsidR="00A55706" w:rsidRPr="00895799">
        <w:rPr>
          <w:sz w:val="20"/>
          <w:szCs w:val="20"/>
        </w:rPr>
        <w:t xml:space="preserve">Overall, the five subscales of the FFMQ-SF demonstrated </w:t>
      </w:r>
      <w:r w:rsidR="00713D07" w:rsidRPr="00895799">
        <w:rPr>
          <w:sz w:val="20"/>
          <w:szCs w:val="20"/>
        </w:rPr>
        <w:t>acceptable</w:t>
      </w:r>
      <w:r w:rsidR="00A55706" w:rsidRPr="00895799">
        <w:rPr>
          <w:sz w:val="20"/>
          <w:szCs w:val="20"/>
        </w:rPr>
        <w:t xml:space="preserve"> internal consistency</w:t>
      </w:r>
      <w:r w:rsidR="00713D07" w:rsidRPr="00895799">
        <w:rPr>
          <w:sz w:val="20"/>
          <w:szCs w:val="20"/>
        </w:rPr>
        <w:t xml:space="preserve"> in older adults</w:t>
      </w:r>
      <w:r w:rsidR="00A55706" w:rsidRPr="00895799">
        <w:rPr>
          <w:sz w:val="20"/>
          <w:szCs w:val="20"/>
        </w:rPr>
        <w:t>.</w:t>
      </w:r>
      <w:r w:rsidR="001621CA" w:rsidRPr="00895799">
        <w:rPr>
          <w:sz w:val="20"/>
          <w:szCs w:val="20"/>
        </w:rPr>
        <w:t xml:space="preserve"> Alpha values ranged from .7</w:t>
      </w:r>
      <w:r w:rsidR="00493BB0">
        <w:rPr>
          <w:sz w:val="20"/>
          <w:szCs w:val="20"/>
        </w:rPr>
        <w:t>2</w:t>
      </w:r>
      <w:r w:rsidR="001621CA" w:rsidRPr="00895799">
        <w:rPr>
          <w:sz w:val="20"/>
          <w:szCs w:val="20"/>
        </w:rPr>
        <w:t xml:space="preserve"> for the non-reactivity to inner experience subscale to .85 for both the acting with awareness and non-judgment of </w:t>
      </w:r>
      <w:r w:rsidR="00125DD4" w:rsidRPr="00895799">
        <w:rPr>
          <w:sz w:val="20"/>
          <w:szCs w:val="20"/>
        </w:rPr>
        <w:t>inner experience scales.</w:t>
      </w:r>
      <w:r w:rsidR="007271A8" w:rsidRPr="00895799">
        <w:rPr>
          <w:sz w:val="20"/>
          <w:szCs w:val="20"/>
        </w:rPr>
        <w:t xml:space="preserve"> </w:t>
      </w:r>
    </w:p>
    <w:p w14:paraId="08D42B4F" w14:textId="6C394E51" w:rsidR="007D1904" w:rsidRPr="00895799" w:rsidRDefault="007D1904" w:rsidP="00895799">
      <w:pPr>
        <w:spacing w:line="480" w:lineRule="auto"/>
        <w:outlineLvl w:val="0"/>
        <w:rPr>
          <w:b/>
          <w:sz w:val="20"/>
          <w:szCs w:val="20"/>
        </w:rPr>
      </w:pPr>
      <w:r w:rsidRPr="00895799">
        <w:rPr>
          <w:b/>
          <w:sz w:val="20"/>
          <w:szCs w:val="20"/>
        </w:rPr>
        <w:t>Con</w:t>
      </w:r>
      <w:r w:rsidR="00CA2672" w:rsidRPr="00895799">
        <w:rPr>
          <w:b/>
          <w:sz w:val="20"/>
          <w:szCs w:val="20"/>
        </w:rPr>
        <w:t>vergent</w:t>
      </w:r>
      <w:r w:rsidRPr="00895799">
        <w:rPr>
          <w:b/>
          <w:sz w:val="20"/>
          <w:szCs w:val="20"/>
        </w:rPr>
        <w:t xml:space="preserve"> Validity </w:t>
      </w:r>
    </w:p>
    <w:p w14:paraId="1EA5D24F" w14:textId="30A4A3A8" w:rsidR="00D31E41" w:rsidRPr="00895799" w:rsidRDefault="00B97832" w:rsidP="00895799">
      <w:pPr>
        <w:spacing w:line="480" w:lineRule="auto"/>
        <w:ind w:firstLine="720"/>
        <w:rPr>
          <w:sz w:val="20"/>
          <w:szCs w:val="20"/>
        </w:rPr>
      </w:pPr>
      <w:r w:rsidRPr="00895799">
        <w:rPr>
          <w:sz w:val="20"/>
          <w:szCs w:val="20"/>
        </w:rPr>
        <w:t xml:space="preserve">As shown in Table </w:t>
      </w:r>
      <w:r w:rsidR="008436EB">
        <w:rPr>
          <w:sz w:val="20"/>
          <w:szCs w:val="20"/>
        </w:rPr>
        <w:t>2</w:t>
      </w:r>
      <w:r w:rsidR="00F42433" w:rsidRPr="00895799">
        <w:rPr>
          <w:sz w:val="20"/>
          <w:szCs w:val="20"/>
        </w:rPr>
        <w:t>,</w:t>
      </w:r>
      <w:r w:rsidR="00997366" w:rsidRPr="00895799">
        <w:rPr>
          <w:sz w:val="20"/>
          <w:szCs w:val="20"/>
        </w:rPr>
        <w:t xml:space="preserve"> all mindfulness subscales </w:t>
      </w:r>
      <w:proofErr w:type="gramStart"/>
      <w:r w:rsidR="00997366" w:rsidRPr="00895799">
        <w:rPr>
          <w:sz w:val="20"/>
          <w:szCs w:val="20"/>
        </w:rPr>
        <w:t xml:space="preserve">were positively </w:t>
      </w:r>
      <w:r w:rsidR="00F42433" w:rsidRPr="00895799">
        <w:rPr>
          <w:sz w:val="20"/>
          <w:szCs w:val="20"/>
        </w:rPr>
        <w:t>correlated</w:t>
      </w:r>
      <w:proofErr w:type="gramEnd"/>
      <w:r w:rsidR="00F42433" w:rsidRPr="00895799">
        <w:rPr>
          <w:sz w:val="20"/>
          <w:szCs w:val="20"/>
        </w:rPr>
        <w:t xml:space="preserve"> with positive affect,</w:t>
      </w:r>
      <w:r w:rsidR="00997366" w:rsidRPr="00895799">
        <w:rPr>
          <w:sz w:val="20"/>
          <w:szCs w:val="20"/>
        </w:rPr>
        <w:t xml:space="preserve"> except for </w:t>
      </w:r>
      <w:r w:rsidR="00F42433" w:rsidRPr="00895799">
        <w:rPr>
          <w:sz w:val="20"/>
          <w:szCs w:val="20"/>
        </w:rPr>
        <w:t>non-judgment</w:t>
      </w:r>
      <w:r w:rsidR="0066209F" w:rsidRPr="00895799">
        <w:rPr>
          <w:sz w:val="20"/>
          <w:szCs w:val="20"/>
        </w:rPr>
        <w:t xml:space="preserve">. </w:t>
      </w:r>
      <w:r w:rsidR="009B2961" w:rsidRPr="00F0153E">
        <w:rPr>
          <w:sz w:val="20"/>
          <w:szCs w:val="20"/>
        </w:rPr>
        <w:t>A</w:t>
      </w:r>
      <w:r w:rsidR="00F42433" w:rsidRPr="00F0153E">
        <w:rPr>
          <w:sz w:val="20"/>
          <w:szCs w:val="20"/>
        </w:rPr>
        <w:t xml:space="preserve">ll subscales of the FFMQ </w:t>
      </w:r>
      <w:proofErr w:type="gramStart"/>
      <w:r w:rsidR="004C0F1D" w:rsidRPr="00F0153E">
        <w:rPr>
          <w:sz w:val="20"/>
          <w:szCs w:val="20"/>
        </w:rPr>
        <w:t xml:space="preserve">were negatively </w:t>
      </w:r>
      <w:r w:rsidR="00F42433" w:rsidRPr="00F0153E">
        <w:rPr>
          <w:sz w:val="20"/>
          <w:szCs w:val="20"/>
        </w:rPr>
        <w:t>correlat</w:t>
      </w:r>
      <w:r w:rsidR="004C0F1D" w:rsidRPr="00F0153E">
        <w:rPr>
          <w:sz w:val="20"/>
          <w:szCs w:val="20"/>
        </w:rPr>
        <w:t>ed</w:t>
      </w:r>
      <w:proofErr w:type="gramEnd"/>
      <w:r w:rsidR="00F42433" w:rsidRPr="00F0153E">
        <w:rPr>
          <w:sz w:val="20"/>
          <w:szCs w:val="20"/>
        </w:rPr>
        <w:t xml:space="preserve"> with negative affect, </w:t>
      </w:r>
      <w:r w:rsidR="009B2961" w:rsidRPr="00F0153E">
        <w:rPr>
          <w:sz w:val="20"/>
          <w:szCs w:val="20"/>
        </w:rPr>
        <w:t>except for</w:t>
      </w:r>
      <w:r w:rsidR="00844341" w:rsidRPr="00F0153E">
        <w:rPr>
          <w:sz w:val="20"/>
          <w:szCs w:val="20"/>
        </w:rPr>
        <w:t xml:space="preserve"> </w:t>
      </w:r>
      <w:r w:rsidR="00F42433" w:rsidRPr="00F0153E">
        <w:rPr>
          <w:sz w:val="20"/>
          <w:szCs w:val="20"/>
        </w:rPr>
        <w:t>observing.</w:t>
      </w:r>
      <w:r w:rsidR="00B164C4" w:rsidRPr="00895799">
        <w:rPr>
          <w:sz w:val="20"/>
          <w:szCs w:val="20"/>
        </w:rPr>
        <w:t xml:space="preserve"> The other four</w:t>
      </w:r>
      <w:r w:rsidR="00F42433" w:rsidRPr="00895799">
        <w:rPr>
          <w:sz w:val="20"/>
          <w:szCs w:val="20"/>
        </w:rPr>
        <w:t xml:space="preserve"> facets of mindfulness </w:t>
      </w:r>
      <w:r w:rsidR="00B95A8E" w:rsidRPr="00895799">
        <w:rPr>
          <w:sz w:val="20"/>
          <w:szCs w:val="20"/>
        </w:rPr>
        <w:t>demonstrated small to moderate</w:t>
      </w:r>
      <w:r w:rsidR="00500DAA" w:rsidRPr="00895799">
        <w:rPr>
          <w:sz w:val="20"/>
          <w:szCs w:val="20"/>
        </w:rPr>
        <w:t xml:space="preserve"> correlations, indicating that </w:t>
      </w:r>
      <w:r w:rsidR="004845D2" w:rsidRPr="00895799">
        <w:rPr>
          <w:sz w:val="20"/>
          <w:szCs w:val="20"/>
        </w:rPr>
        <w:t>strengths in at least four facets of mindfulness are</w:t>
      </w:r>
      <w:r w:rsidR="00D14CC3" w:rsidRPr="00895799">
        <w:rPr>
          <w:sz w:val="20"/>
          <w:szCs w:val="20"/>
        </w:rPr>
        <w:t xml:space="preserve"> associated with </w:t>
      </w:r>
      <w:r w:rsidR="00B95A8E" w:rsidRPr="00895799">
        <w:rPr>
          <w:sz w:val="20"/>
          <w:szCs w:val="20"/>
        </w:rPr>
        <w:t>reduced</w:t>
      </w:r>
      <w:r w:rsidR="00500DAA" w:rsidRPr="00895799">
        <w:rPr>
          <w:sz w:val="20"/>
          <w:szCs w:val="20"/>
        </w:rPr>
        <w:t xml:space="preserve"> negative affect among older adults. </w:t>
      </w:r>
    </w:p>
    <w:p w14:paraId="018A98EC" w14:textId="03801074" w:rsidR="00792E51" w:rsidRPr="00895799" w:rsidRDefault="00A40FE4" w:rsidP="00895799">
      <w:pPr>
        <w:spacing w:line="480" w:lineRule="auto"/>
        <w:ind w:firstLine="720"/>
        <w:rPr>
          <w:b/>
          <w:sz w:val="20"/>
          <w:szCs w:val="20"/>
        </w:rPr>
      </w:pPr>
      <w:r>
        <w:rPr>
          <w:sz w:val="20"/>
          <w:szCs w:val="20"/>
        </w:rPr>
        <w:t>F</w:t>
      </w:r>
      <w:r w:rsidR="00821D6B" w:rsidRPr="00895799">
        <w:rPr>
          <w:sz w:val="20"/>
          <w:szCs w:val="20"/>
        </w:rPr>
        <w:t>our facets of mindfulness (</w:t>
      </w:r>
      <w:r w:rsidR="001E3B37" w:rsidRPr="00895799">
        <w:rPr>
          <w:sz w:val="20"/>
          <w:szCs w:val="20"/>
        </w:rPr>
        <w:t>excluding</w:t>
      </w:r>
      <w:r w:rsidR="00821D6B" w:rsidRPr="00895799">
        <w:rPr>
          <w:sz w:val="20"/>
          <w:szCs w:val="20"/>
        </w:rPr>
        <w:t xml:space="preserve"> non-judgment) </w:t>
      </w:r>
      <w:proofErr w:type="gramStart"/>
      <w:r w:rsidR="00821D6B" w:rsidRPr="00895799">
        <w:rPr>
          <w:sz w:val="20"/>
          <w:szCs w:val="20"/>
        </w:rPr>
        <w:t>were positively correlated</w:t>
      </w:r>
      <w:proofErr w:type="gramEnd"/>
      <w:r w:rsidR="00821D6B" w:rsidRPr="00895799">
        <w:rPr>
          <w:sz w:val="20"/>
          <w:szCs w:val="20"/>
        </w:rPr>
        <w:t xml:space="preserve"> with cognitive reappraisal tendencies. Although, </w:t>
      </w:r>
      <w:r w:rsidR="00B164C4" w:rsidRPr="00895799">
        <w:rPr>
          <w:sz w:val="20"/>
          <w:szCs w:val="20"/>
        </w:rPr>
        <w:t>the correlation between acting with awareness and reappraisal</w:t>
      </w:r>
      <w:r w:rsidR="00821D6B" w:rsidRPr="00895799">
        <w:rPr>
          <w:sz w:val="20"/>
          <w:szCs w:val="20"/>
        </w:rPr>
        <w:t xml:space="preserve"> was </w:t>
      </w:r>
      <w:r w:rsidR="00B63841" w:rsidRPr="00895799">
        <w:rPr>
          <w:sz w:val="20"/>
          <w:szCs w:val="20"/>
        </w:rPr>
        <w:t>low</w:t>
      </w:r>
      <w:r w:rsidR="008450D7" w:rsidRPr="00895799">
        <w:rPr>
          <w:sz w:val="20"/>
          <w:szCs w:val="20"/>
        </w:rPr>
        <w:t xml:space="preserve"> </w:t>
      </w:r>
      <w:r w:rsidR="00821D6B" w:rsidRPr="00895799">
        <w:rPr>
          <w:sz w:val="20"/>
          <w:szCs w:val="20"/>
        </w:rPr>
        <w:t>(</w:t>
      </w:r>
      <w:r w:rsidR="00B164C4" w:rsidRPr="00895799">
        <w:rPr>
          <w:i/>
          <w:sz w:val="20"/>
          <w:szCs w:val="20"/>
        </w:rPr>
        <w:t>r</w:t>
      </w:r>
      <w:r w:rsidR="00B164C4" w:rsidRPr="00895799">
        <w:rPr>
          <w:sz w:val="20"/>
          <w:szCs w:val="20"/>
        </w:rPr>
        <w:t xml:space="preserve"> = </w:t>
      </w:r>
      <w:r w:rsidR="00821D6B" w:rsidRPr="00895799">
        <w:rPr>
          <w:sz w:val="20"/>
          <w:szCs w:val="20"/>
        </w:rPr>
        <w:t>.1</w:t>
      </w:r>
      <w:r>
        <w:rPr>
          <w:sz w:val="20"/>
          <w:szCs w:val="20"/>
        </w:rPr>
        <w:t>5</w:t>
      </w:r>
      <w:r w:rsidR="00B164C4" w:rsidRPr="00895799">
        <w:rPr>
          <w:sz w:val="20"/>
          <w:szCs w:val="20"/>
        </w:rPr>
        <w:t xml:space="preserve">, </w:t>
      </w:r>
      <w:r w:rsidR="00B164C4" w:rsidRPr="00895799">
        <w:rPr>
          <w:i/>
          <w:sz w:val="20"/>
          <w:szCs w:val="20"/>
        </w:rPr>
        <w:t>p</w:t>
      </w:r>
      <w:r w:rsidR="00B164C4" w:rsidRPr="00895799">
        <w:rPr>
          <w:sz w:val="20"/>
          <w:szCs w:val="20"/>
        </w:rPr>
        <w:t xml:space="preserve"> &lt; .05). Three </w:t>
      </w:r>
      <w:r>
        <w:rPr>
          <w:sz w:val="20"/>
          <w:szCs w:val="20"/>
        </w:rPr>
        <w:t>face</w:t>
      </w:r>
      <w:r w:rsidR="00B164C4" w:rsidRPr="00895799">
        <w:rPr>
          <w:sz w:val="20"/>
          <w:szCs w:val="20"/>
        </w:rPr>
        <w:t>ts of mindfulness (describing, acting with awareness</w:t>
      </w:r>
      <w:r w:rsidR="001E3B37" w:rsidRPr="00895799">
        <w:rPr>
          <w:sz w:val="20"/>
          <w:szCs w:val="20"/>
        </w:rPr>
        <w:t>,</w:t>
      </w:r>
      <w:r w:rsidR="00B164C4" w:rsidRPr="00895799">
        <w:rPr>
          <w:sz w:val="20"/>
          <w:szCs w:val="20"/>
        </w:rPr>
        <w:t xml:space="preserve"> and non-judgment) </w:t>
      </w:r>
      <w:proofErr w:type="gramStart"/>
      <w:r w:rsidR="00B164C4" w:rsidRPr="00895799">
        <w:rPr>
          <w:sz w:val="20"/>
          <w:szCs w:val="20"/>
        </w:rPr>
        <w:t>were negatively correlated</w:t>
      </w:r>
      <w:proofErr w:type="gramEnd"/>
      <w:r w:rsidR="00B164C4" w:rsidRPr="00895799">
        <w:rPr>
          <w:sz w:val="20"/>
          <w:szCs w:val="20"/>
        </w:rPr>
        <w:t xml:space="preserve"> with suppression tendencies. Observing and non-reactivity </w:t>
      </w:r>
      <w:proofErr w:type="gramStart"/>
      <w:r w:rsidR="00B164C4" w:rsidRPr="00895799">
        <w:rPr>
          <w:sz w:val="20"/>
          <w:szCs w:val="20"/>
        </w:rPr>
        <w:t>were not related</w:t>
      </w:r>
      <w:proofErr w:type="gramEnd"/>
      <w:r w:rsidR="00B164C4" w:rsidRPr="00895799">
        <w:rPr>
          <w:sz w:val="20"/>
          <w:szCs w:val="20"/>
        </w:rPr>
        <w:t xml:space="preserve"> to suppression among older adults.</w:t>
      </w:r>
      <w:r w:rsidR="00792E51" w:rsidRPr="00895799">
        <w:rPr>
          <w:b/>
          <w:sz w:val="20"/>
          <w:szCs w:val="20"/>
        </w:rPr>
        <w:t xml:space="preserve"> </w:t>
      </w:r>
    </w:p>
    <w:p w14:paraId="08FA3F16" w14:textId="420173EC" w:rsidR="007D1904" w:rsidRPr="00895799" w:rsidRDefault="007D1904" w:rsidP="00895799">
      <w:pPr>
        <w:spacing w:line="480" w:lineRule="auto"/>
        <w:outlineLvl w:val="0"/>
        <w:rPr>
          <w:b/>
          <w:sz w:val="20"/>
          <w:szCs w:val="20"/>
        </w:rPr>
      </w:pPr>
      <w:r w:rsidRPr="00895799">
        <w:rPr>
          <w:b/>
          <w:sz w:val="20"/>
          <w:szCs w:val="20"/>
        </w:rPr>
        <w:t>Factor</w:t>
      </w:r>
      <w:r w:rsidR="00CA2672" w:rsidRPr="00895799">
        <w:rPr>
          <w:b/>
          <w:sz w:val="20"/>
          <w:szCs w:val="20"/>
        </w:rPr>
        <w:t xml:space="preserve"> Structure</w:t>
      </w:r>
      <w:r w:rsidRPr="00895799">
        <w:rPr>
          <w:b/>
          <w:sz w:val="20"/>
          <w:szCs w:val="20"/>
        </w:rPr>
        <w:t xml:space="preserve"> </w:t>
      </w:r>
    </w:p>
    <w:p w14:paraId="15C863DE" w14:textId="6303EBFC" w:rsidR="001678AA" w:rsidRPr="00895799" w:rsidRDefault="001678AA" w:rsidP="00895799">
      <w:pPr>
        <w:spacing w:line="480" w:lineRule="auto"/>
        <w:ind w:firstLine="720"/>
        <w:rPr>
          <w:sz w:val="20"/>
          <w:szCs w:val="20"/>
        </w:rPr>
      </w:pPr>
      <w:r w:rsidRPr="00895799">
        <w:rPr>
          <w:sz w:val="20"/>
          <w:szCs w:val="20"/>
        </w:rPr>
        <w:t xml:space="preserve">Model fit statistics for all tested models </w:t>
      </w:r>
      <w:proofErr w:type="gramStart"/>
      <w:r w:rsidR="00D26417" w:rsidRPr="00895799">
        <w:rPr>
          <w:sz w:val="20"/>
          <w:szCs w:val="20"/>
        </w:rPr>
        <w:t>are</w:t>
      </w:r>
      <w:r w:rsidR="001A66E9" w:rsidRPr="00895799">
        <w:rPr>
          <w:sz w:val="20"/>
          <w:szCs w:val="20"/>
        </w:rPr>
        <w:t xml:space="preserve"> displayed</w:t>
      </w:r>
      <w:proofErr w:type="gramEnd"/>
      <w:r w:rsidR="001A66E9" w:rsidRPr="00895799">
        <w:rPr>
          <w:sz w:val="20"/>
          <w:szCs w:val="20"/>
        </w:rPr>
        <w:t xml:space="preserve"> in Table </w:t>
      </w:r>
      <w:r w:rsidR="008436EB">
        <w:rPr>
          <w:sz w:val="20"/>
          <w:szCs w:val="20"/>
        </w:rPr>
        <w:t>3</w:t>
      </w:r>
      <w:r w:rsidRPr="00895799">
        <w:rPr>
          <w:sz w:val="20"/>
          <w:szCs w:val="20"/>
        </w:rPr>
        <w:t xml:space="preserve">. </w:t>
      </w:r>
      <w:r w:rsidR="00C90002" w:rsidRPr="00895799">
        <w:rPr>
          <w:sz w:val="20"/>
          <w:szCs w:val="20"/>
        </w:rPr>
        <w:t>First</w:t>
      </w:r>
      <w:r w:rsidRPr="00895799">
        <w:rPr>
          <w:sz w:val="20"/>
          <w:szCs w:val="20"/>
        </w:rPr>
        <w:t xml:space="preserve">, model fit for the original five-factor correlated model </w:t>
      </w:r>
      <w:proofErr w:type="gramStart"/>
      <w:r w:rsidRPr="00895799">
        <w:rPr>
          <w:sz w:val="20"/>
          <w:szCs w:val="20"/>
        </w:rPr>
        <w:t xml:space="preserve">was </w:t>
      </w:r>
      <w:r w:rsidR="008450D7" w:rsidRPr="00895799">
        <w:rPr>
          <w:sz w:val="20"/>
          <w:szCs w:val="20"/>
        </w:rPr>
        <w:t>assess</w:t>
      </w:r>
      <w:r w:rsidRPr="00895799">
        <w:rPr>
          <w:sz w:val="20"/>
          <w:szCs w:val="20"/>
        </w:rPr>
        <w:t>ed</w:t>
      </w:r>
      <w:proofErr w:type="gramEnd"/>
      <w:r w:rsidRPr="00895799">
        <w:rPr>
          <w:sz w:val="20"/>
          <w:szCs w:val="20"/>
        </w:rPr>
        <w:t xml:space="preserve">. Inspection of the modification indices revealed high indices among a number of the item error terms from the describing factor. To combat this, error terms for a number of describing items </w:t>
      </w:r>
      <w:proofErr w:type="gramStart"/>
      <w:r w:rsidRPr="00895799">
        <w:rPr>
          <w:sz w:val="20"/>
          <w:szCs w:val="20"/>
        </w:rPr>
        <w:t>were allowed</w:t>
      </w:r>
      <w:proofErr w:type="gramEnd"/>
      <w:r w:rsidRPr="00895799">
        <w:rPr>
          <w:sz w:val="20"/>
          <w:szCs w:val="20"/>
        </w:rPr>
        <w:t xml:space="preserve"> to co-vary. The correlated five-factor model demonstrated acceptable model fit. Standardized item loadings, factor correlations and error co-variances for the five-factor model </w:t>
      </w:r>
      <w:proofErr w:type="gramStart"/>
      <w:r w:rsidRPr="00895799">
        <w:rPr>
          <w:sz w:val="20"/>
          <w:szCs w:val="20"/>
        </w:rPr>
        <w:t>are displayed</w:t>
      </w:r>
      <w:proofErr w:type="gramEnd"/>
      <w:r w:rsidRPr="00895799">
        <w:rPr>
          <w:sz w:val="20"/>
          <w:szCs w:val="20"/>
        </w:rPr>
        <w:t xml:space="preserve"> in Figure 1. </w:t>
      </w:r>
    </w:p>
    <w:p w14:paraId="7EAA0B4C" w14:textId="11D40060" w:rsidR="008B1574" w:rsidRPr="00895799" w:rsidRDefault="009E1733" w:rsidP="00895799">
      <w:pPr>
        <w:spacing w:line="480" w:lineRule="auto"/>
        <w:ind w:firstLine="720"/>
        <w:rPr>
          <w:sz w:val="20"/>
          <w:szCs w:val="20"/>
        </w:rPr>
      </w:pPr>
      <w:r w:rsidRPr="00895799">
        <w:rPr>
          <w:sz w:val="20"/>
          <w:szCs w:val="20"/>
        </w:rPr>
        <w:t>Next, the</w:t>
      </w:r>
      <w:r w:rsidR="00FE3EC7" w:rsidRPr="00895799">
        <w:rPr>
          <w:sz w:val="20"/>
          <w:szCs w:val="20"/>
        </w:rPr>
        <w:t xml:space="preserve"> higher order structure</w:t>
      </w:r>
      <w:r w:rsidR="00125DD4" w:rsidRPr="00895799">
        <w:rPr>
          <w:sz w:val="20"/>
          <w:szCs w:val="20"/>
        </w:rPr>
        <w:t xml:space="preserve"> of the FFMQ-SF </w:t>
      </w:r>
      <w:proofErr w:type="gramStart"/>
      <w:r w:rsidR="00125DD4" w:rsidRPr="00895799">
        <w:rPr>
          <w:sz w:val="20"/>
          <w:szCs w:val="20"/>
        </w:rPr>
        <w:t>w</w:t>
      </w:r>
      <w:r w:rsidR="00B63841" w:rsidRPr="00895799">
        <w:rPr>
          <w:sz w:val="20"/>
          <w:szCs w:val="20"/>
        </w:rPr>
        <w:t>as</w:t>
      </w:r>
      <w:r w:rsidR="00FE3EC7" w:rsidRPr="00895799">
        <w:rPr>
          <w:sz w:val="20"/>
          <w:szCs w:val="20"/>
        </w:rPr>
        <w:t xml:space="preserve"> </w:t>
      </w:r>
      <w:r w:rsidR="00B63841" w:rsidRPr="00895799">
        <w:rPr>
          <w:sz w:val="20"/>
          <w:szCs w:val="20"/>
        </w:rPr>
        <w:t>considered</w:t>
      </w:r>
      <w:proofErr w:type="gramEnd"/>
      <w:r w:rsidR="00FE3EC7" w:rsidRPr="00895799">
        <w:rPr>
          <w:sz w:val="20"/>
          <w:szCs w:val="20"/>
        </w:rPr>
        <w:t xml:space="preserve">. </w:t>
      </w:r>
      <w:r w:rsidR="00151C15" w:rsidRPr="00895799">
        <w:rPr>
          <w:sz w:val="20"/>
          <w:szCs w:val="20"/>
        </w:rPr>
        <w:t xml:space="preserve">The one-factor higher order model, </w:t>
      </w:r>
      <w:r w:rsidR="000B4A7A" w:rsidRPr="00895799">
        <w:rPr>
          <w:sz w:val="20"/>
          <w:szCs w:val="20"/>
        </w:rPr>
        <w:t xml:space="preserve">treating </w:t>
      </w:r>
      <w:r w:rsidR="00151C15" w:rsidRPr="00895799">
        <w:rPr>
          <w:sz w:val="20"/>
          <w:szCs w:val="20"/>
        </w:rPr>
        <w:t xml:space="preserve">the five facets of the FFMQ-SF </w:t>
      </w:r>
      <w:r w:rsidR="000B4A7A" w:rsidRPr="00895799">
        <w:rPr>
          <w:sz w:val="20"/>
          <w:szCs w:val="20"/>
        </w:rPr>
        <w:t>as</w:t>
      </w:r>
      <w:r w:rsidR="003D6123">
        <w:rPr>
          <w:sz w:val="20"/>
          <w:szCs w:val="20"/>
        </w:rPr>
        <w:t xml:space="preserve"> indicators of</w:t>
      </w:r>
      <w:r w:rsidR="00151C15" w:rsidRPr="00895799">
        <w:rPr>
          <w:sz w:val="20"/>
          <w:szCs w:val="20"/>
        </w:rPr>
        <w:t xml:space="preserve"> a single mindfulness construct, was found to be acceptable </w:t>
      </w:r>
      <w:r w:rsidR="00C6343F" w:rsidRPr="00895799">
        <w:rPr>
          <w:sz w:val="20"/>
          <w:szCs w:val="20"/>
        </w:rPr>
        <w:t>based on CFI and RMSEA</w:t>
      </w:r>
      <w:r w:rsidR="00151C15" w:rsidRPr="00895799">
        <w:rPr>
          <w:sz w:val="20"/>
          <w:szCs w:val="20"/>
        </w:rPr>
        <w:t xml:space="preserve"> fit statistics. However, T</w:t>
      </w:r>
      <w:r w:rsidR="001C25E6" w:rsidRPr="00895799">
        <w:rPr>
          <w:sz w:val="20"/>
          <w:szCs w:val="20"/>
        </w:rPr>
        <w:t>L</w:t>
      </w:r>
      <w:r w:rsidR="00151C15" w:rsidRPr="00895799">
        <w:rPr>
          <w:sz w:val="20"/>
          <w:szCs w:val="20"/>
        </w:rPr>
        <w:t xml:space="preserve">I was just below the recommended value of .90. </w:t>
      </w:r>
      <w:r w:rsidR="000617A6" w:rsidRPr="00895799">
        <w:rPr>
          <w:sz w:val="20"/>
          <w:szCs w:val="20"/>
        </w:rPr>
        <w:t xml:space="preserve">Figure 2 displays standardized parameters for the one-factor higher order model of the FFMQ. </w:t>
      </w:r>
      <w:r w:rsidR="00151C15" w:rsidRPr="00895799">
        <w:rPr>
          <w:sz w:val="20"/>
          <w:szCs w:val="20"/>
        </w:rPr>
        <w:t>The two-factor higher order model, w</w:t>
      </w:r>
      <w:r w:rsidR="00125DD4" w:rsidRPr="00895799">
        <w:rPr>
          <w:sz w:val="20"/>
          <w:szCs w:val="20"/>
        </w:rPr>
        <w:t>here the five facets of the FFM</w:t>
      </w:r>
      <w:r w:rsidR="00151C15" w:rsidRPr="00895799">
        <w:rPr>
          <w:sz w:val="20"/>
          <w:szCs w:val="20"/>
        </w:rPr>
        <w:t xml:space="preserve">Q-SF were treated as indicators of orientation to </w:t>
      </w:r>
      <w:r w:rsidR="00151C15" w:rsidRPr="00895799">
        <w:rPr>
          <w:sz w:val="20"/>
          <w:szCs w:val="20"/>
        </w:rPr>
        <w:lastRenderedPageBreak/>
        <w:t>experience and</w:t>
      </w:r>
      <w:r w:rsidR="00FE3EC7" w:rsidRPr="00895799">
        <w:rPr>
          <w:sz w:val="20"/>
          <w:szCs w:val="20"/>
        </w:rPr>
        <w:t>/or</w:t>
      </w:r>
      <w:r w:rsidR="00151C15" w:rsidRPr="00895799">
        <w:rPr>
          <w:sz w:val="20"/>
          <w:szCs w:val="20"/>
        </w:rPr>
        <w:t xml:space="preserve"> self-regulated attention</w:t>
      </w:r>
      <w:r w:rsidR="00C6343F" w:rsidRPr="00895799">
        <w:rPr>
          <w:sz w:val="20"/>
          <w:szCs w:val="20"/>
        </w:rPr>
        <w:t>,</w:t>
      </w:r>
      <w:r w:rsidR="00151C15" w:rsidRPr="00895799">
        <w:rPr>
          <w:sz w:val="20"/>
          <w:szCs w:val="20"/>
        </w:rPr>
        <w:t xml:space="preserve"> demonstrated better model fit, with CFI, T</w:t>
      </w:r>
      <w:r w:rsidR="001C25E6" w:rsidRPr="00895799">
        <w:rPr>
          <w:sz w:val="20"/>
          <w:szCs w:val="20"/>
        </w:rPr>
        <w:t>L</w:t>
      </w:r>
      <w:r w:rsidR="00151C15" w:rsidRPr="00895799">
        <w:rPr>
          <w:sz w:val="20"/>
          <w:szCs w:val="20"/>
        </w:rPr>
        <w:t xml:space="preserve">I and RMSEA values </w:t>
      </w:r>
      <w:r w:rsidR="00FE3EC7" w:rsidRPr="00895799">
        <w:rPr>
          <w:sz w:val="20"/>
          <w:szCs w:val="20"/>
        </w:rPr>
        <w:t xml:space="preserve">all </w:t>
      </w:r>
      <w:r w:rsidR="00151C15" w:rsidRPr="00895799">
        <w:rPr>
          <w:sz w:val="20"/>
          <w:szCs w:val="20"/>
        </w:rPr>
        <w:t xml:space="preserve">within the recommended range. Figure </w:t>
      </w:r>
      <w:r w:rsidR="000617A6" w:rsidRPr="00895799">
        <w:rPr>
          <w:sz w:val="20"/>
          <w:szCs w:val="20"/>
        </w:rPr>
        <w:t>3</w:t>
      </w:r>
      <w:r w:rsidR="00151C15" w:rsidRPr="00895799">
        <w:rPr>
          <w:sz w:val="20"/>
          <w:szCs w:val="20"/>
        </w:rPr>
        <w:t xml:space="preserve"> displays </w:t>
      </w:r>
      <w:r w:rsidR="0067288E" w:rsidRPr="00895799">
        <w:rPr>
          <w:sz w:val="20"/>
          <w:szCs w:val="20"/>
        </w:rPr>
        <w:t xml:space="preserve">standardized parameters for </w:t>
      </w:r>
      <w:r w:rsidR="00151C15" w:rsidRPr="00895799">
        <w:rPr>
          <w:sz w:val="20"/>
          <w:szCs w:val="20"/>
        </w:rPr>
        <w:t xml:space="preserve">the two-factor </w:t>
      </w:r>
      <w:r w:rsidR="00C6343F" w:rsidRPr="00895799">
        <w:rPr>
          <w:sz w:val="20"/>
          <w:szCs w:val="20"/>
        </w:rPr>
        <w:t>higher order model of the FFMQ.</w:t>
      </w:r>
    </w:p>
    <w:p w14:paraId="6BB3421B" w14:textId="3B52C0DE" w:rsidR="007D1904" w:rsidRPr="00895799" w:rsidRDefault="00EF64D0" w:rsidP="00895799">
      <w:pPr>
        <w:spacing w:line="480" w:lineRule="auto"/>
        <w:jc w:val="center"/>
        <w:outlineLvl w:val="0"/>
        <w:rPr>
          <w:b/>
          <w:sz w:val="20"/>
          <w:szCs w:val="20"/>
        </w:rPr>
      </w:pPr>
      <w:r w:rsidRPr="00895799">
        <w:rPr>
          <w:b/>
          <w:sz w:val="20"/>
          <w:szCs w:val="20"/>
        </w:rPr>
        <w:t>Discussion</w:t>
      </w:r>
    </w:p>
    <w:p w14:paraId="7C240638" w14:textId="1B6BD208" w:rsidR="00C26CAB" w:rsidRPr="00895799" w:rsidRDefault="00AA2605" w:rsidP="00895799">
      <w:pPr>
        <w:spacing w:line="480" w:lineRule="auto"/>
        <w:ind w:firstLine="567"/>
        <w:rPr>
          <w:sz w:val="20"/>
          <w:szCs w:val="20"/>
        </w:rPr>
      </w:pPr>
      <w:r w:rsidRPr="00895799">
        <w:rPr>
          <w:sz w:val="20"/>
          <w:szCs w:val="20"/>
        </w:rPr>
        <w:t>The FFMQ-SF is a common</w:t>
      </w:r>
      <w:r w:rsidR="00D9312D" w:rsidRPr="00895799">
        <w:rPr>
          <w:sz w:val="20"/>
          <w:szCs w:val="20"/>
        </w:rPr>
        <w:t xml:space="preserve">ly cited measure of dispositional mindfulness, however, the reliability and validity of this measure among healthy, community-dwelling older adults </w:t>
      </w:r>
      <w:proofErr w:type="gramStart"/>
      <w:r w:rsidR="00D9312D" w:rsidRPr="00895799">
        <w:rPr>
          <w:sz w:val="20"/>
          <w:szCs w:val="20"/>
        </w:rPr>
        <w:t>ha</w:t>
      </w:r>
      <w:r w:rsidR="0082705F" w:rsidRPr="00895799">
        <w:rPr>
          <w:sz w:val="20"/>
          <w:szCs w:val="20"/>
        </w:rPr>
        <w:t>d not previously been explored</w:t>
      </w:r>
      <w:proofErr w:type="gramEnd"/>
      <w:r w:rsidR="0082705F" w:rsidRPr="00895799">
        <w:rPr>
          <w:sz w:val="20"/>
          <w:szCs w:val="20"/>
        </w:rPr>
        <w:t xml:space="preserve">. </w:t>
      </w:r>
      <w:r w:rsidR="00D9312D" w:rsidRPr="00895799">
        <w:rPr>
          <w:sz w:val="20"/>
          <w:szCs w:val="20"/>
        </w:rPr>
        <w:t xml:space="preserve">The results of the present study confirm the internal consistency of the five subscales of the FFMQ-SF among </w:t>
      </w:r>
      <w:r w:rsidR="00495322" w:rsidRPr="00895799">
        <w:rPr>
          <w:sz w:val="20"/>
          <w:szCs w:val="20"/>
        </w:rPr>
        <w:t>this sample</w:t>
      </w:r>
      <w:r w:rsidR="00DC62D7" w:rsidRPr="00895799">
        <w:rPr>
          <w:sz w:val="20"/>
          <w:szCs w:val="20"/>
        </w:rPr>
        <w:t xml:space="preserve"> for the first time</w:t>
      </w:r>
      <w:r w:rsidR="00D661BE" w:rsidRPr="00895799">
        <w:rPr>
          <w:sz w:val="20"/>
          <w:szCs w:val="20"/>
        </w:rPr>
        <w:t xml:space="preserve">. Indeed, </w:t>
      </w:r>
      <w:r w:rsidR="00214E14" w:rsidRPr="00895799">
        <w:rPr>
          <w:sz w:val="20"/>
          <w:szCs w:val="20"/>
        </w:rPr>
        <w:t>the findings are broadly in line with our</w:t>
      </w:r>
      <w:r w:rsidR="00D661BE" w:rsidRPr="00895799">
        <w:rPr>
          <w:sz w:val="20"/>
          <w:szCs w:val="20"/>
        </w:rPr>
        <w:t xml:space="preserve"> hypotheses</w:t>
      </w:r>
      <w:r w:rsidR="00D9312D" w:rsidRPr="00895799">
        <w:rPr>
          <w:sz w:val="20"/>
          <w:szCs w:val="20"/>
        </w:rPr>
        <w:t xml:space="preserve">. </w:t>
      </w:r>
      <w:proofErr w:type="gramStart"/>
      <w:r w:rsidR="00D9312D" w:rsidRPr="00895799">
        <w:rPr>
          <w:sz w:val="20"/>
          <w:szCs w:val="20"/>
        </w:rPr>
        <w:t>Con</w:t>
      </w:r>
      <w:r w:rsidR="00CA2672" w:rsidRPr="00895799">
        <w:rPr>
          <w:sz w:val="20"/>
          <w:szCs w:val="20"/>
        </w:rPr>
        <w:t>vergent</w:t>
      </w:r>
      <w:r w:rsidR="00D9312D" w:rsidRPr="00895799">
        <w:rPr>
          <w:sz w:val="20"/>
          <w:szCs w:val="20"/>
        </w:rPr>
        <w:t xml:space="preserve"> validity </w:t>
      </w:r>
      <w:r w:rsidR="00F41BA5" w:rsidRPr="00895799">
        <w:rPr>
          <w:sz w:val="20"/>
          <w:szCs w:val="20"/>
        </w:rPr>
        <w:t xml:space="preserve">is </w:t>
      </w:r>
      <w:r w:rsidR="00D9312D" w:rsidRPr="00895799">
        <w:rPr>
          <w:sz w:val="20"/>
          <w:szCs w:val="20"/>
        </w:rPr>
        <w:t>supported by associations with affect</w:t>
      </w:r>
      <w:r w:rsidR="00F277D4" w:rsidRPr="00895799">
        <w:rPr>
          <w:sz w:val="20"/>
          <w:szCs w:val="20"/>
        </w:rPr>
        <w:t xml:space="preserve"> and emotion regulation</w:t>
      </w:r>
      <w:proofErr w:type="gramEnd"/>
      <w:r w:rsidR="000130E7" w:rsidRPr="00895799">
        <w:rPr>
          <w:sz w:val="20"/>
          <w:szCs w:val="20"/>
        </w:rPr>
        <w:t xml:space="preserve">. </w:t>
      </w:r>
      <w:r w:rsidR="00264D80" w:rsidRPr="00895799">
        <w:rPr>
          <w:sz w:val="20"/>
          <w:szCs w:val="20"/>
        </w:rPr>
        <w:t>Confirmatory factor analysis</w:t>
      </w:r>
      <w:r w:rsidR="00D661BE" w:rsidRPr="00895799">
        <w:rPr>
          <w:sz w:val="20"/>
          <w:szCs w:val="20"/>
        </w:rPr>
        <w:t xml:space="preserve"> support</w:t>
      </w:r>
      <w:r w:rsidR="00F41BA5" w:rsidRPr="00895799">
        <w:rPr>
          <w:sz w:val="20"/>
          <w:szCs w:val="20"/>
        </w:rPr>
        <w:t>s</w:t>
      </w:r>
      <w:r w:rsidR="00D661BE" w:rsidRPr="00895799">
        <w:rPr>
          <w:sz w:val="20"/>
          <w:szCs w:val="20"/>
        </w:rPr>
        <w:t xml:space="preserve"> the five-factor structure of the FFMQ-SF</w:t>
      </w:r>
      <w:r w:rsidR="00264D80" w:rsidRPr="00895799">
        <w:rPr>
          <w:sz w:val="20"/>
          <w:szCs w:val="20"/>
        </w:rPr>
        <w:t xml:space="preserve">. </w:t>
      </w:r>
      <w:r w:rsidR="00D9312D" w:rsidRPr="00895799">
        <w:rPr>
          <w:sz w:val="20"/>
          <w:szCs w:val="20"/>
        </w:rPr>
        <w:t xml:space="preserve">Preliminary evidence </w:t>
      </w:r>
      <w:r w:rsidR="00A676CD" w:rsidRPr="00895799">
        <w:rPr>
          <w:sz w:val="20"/>
          <w:szCs w:val="20"/>
        </w:rPr>
        <w:t>consistent with</w:t>
      </w:r>
      <w:r w:rsidR="00D9312D" w:rsidRPr="00895799">
        <w:rPr>
          <w:sz w:val="20"/>
          <w:szCs w:val="20"/>
        </w:rPr>
        <w:t xml:space="preserve"> a two-factor higher order structure of the FFMQ-SF </w:t>
      </w:r>
      <w:proofErr w:type="gramStart"/>
      <w:r w:rsidR="00D9312D" w:rsidRPr="00895799">
        <w:rPr>
          <w:sz w:val="20"/>
          <w:szCs w:val="20"/>
        </w:rPr>
        <w:t>was also found</w:t>
      </w:r>
      <w:proofErr w:type="gramEnd"/>
      <w:r w:rsidR="00D9312D" w:rsidRPr="00895799">
        <w:rPr>
          <w:sz w:val="20"/>
          <w:szCs w:val="20"/>
        </w:rPr>
        <w:t xml:space="preserve">. Overall, the FFMQ-SF appears to be a valid and reliable measure of dispositional mindfulness for use with older adults. </w:t>
      </w:r>
    </w:p>
    <w:p w14:paraId="36DEC14C" w14:textId="5BC4603C" w:rsidR="00E32674" w:rsidRPr="00895799" w:rsidRDefault="00A676CD" w:rsidP="00895799">
      <w:pPr>
        <w:spacing w:line="480" w:lineRule="auto"/>
        <w:ind w:firstLine="720"/>
        <w:rPr>
          <w:sz w:val="20"/>
          <w:szCs w:val="20"/>
        </w:rPr>
      </w:pPr>
      <w:r w:rsidRPr="00895799">
        <w:rPr>
          <w:sz w:val="20"/>
          <w:szCs w:val="20"/>
        </w:rPr>
        <w:t>T</w:t>
      </w:r>
      <w:r w:rsidR="00A33D67" w:rsidRPr="00895799">
        <w:rPr>
          <w:sz w:val="20"/>
          <w:szCs w:val="20"/>
        </w:rPr>
        <w:t>he five subscales of the FFMQ-SF demonstrated acceptable internal consistency</w:t>
      </w:r>
      <w:r w:rsidR="009B0EF7" w:rsidRPr="00895799">
        <w:rPr>
          <w:sz w:val="20"/>
          <w:szCs w:val="20"/>
        </w:rPr>
        <w:t xml:space="preserve"> among older adults. This is in-line with previous</w:t>
      </w:r>
      <w:r w:rsidR="00301270" w:rsidRPr="00895799">
        <w:rPr>
          <w:sz w:val="20"/>
          <w:szCs w:val="20"/>
        </w:rPr>
        <w:t xml:space="preserve"> research</w:t>
      </w:r>
      <w:r w:rsidR="009B0EF7" w:rsidRPr="00895799">
        <w:rPr>
          <w:sz w:val="20"/>
          <w:szCs w:val="20"/>
        </w:rPr>
        <w:t xml:space="preserve"> </w:t>
      </w:r>
      <w:r w:rsidRPr="00895799">
        <w:rPr>
          <w:sz w:val="20"/>
          <w:szCs w:val="20"/>
        </w:rPr>
        <w:t xml:space="preserve">assessing this measure among </w:t>
      </w:r>
      <w:r w:rsidR="009B0EF7" w:rsidRPr="00895799">
        <w:rPr>
          <w:sz w:val="20"/>
          <w:szCs w:val="20"/>
        </w:rPr>
        <w:t>adult clinical samples (</w:t>
      </w:r>
      <w:proofErr w:type="spellStart"/>
      <w:r w:rsidR="009B0EF7" w:rsidRPr="00895799">
        <w:rPr>
          <w:sz w:val="20"/>
          <w:szCs w:val="20"/>
        </w:rPr>
        <w:t>Bohlmeijer</w:t>
      </w:r>
      <w:proofErr w:type="spellEnd"/>
      <w:r w:rsidR="009B0EF7" w:rsidRPr="00895799">
        <w:rPr>
          <w:sz w:val="20"/>
          <w:szCs w:val="20"/>
        </w:rPr>
        <w:t xml:space="preserve">, et al., 2011; </w:t>
      </w:r>
      <w:proofErr w:type="spellStart"/>
      <w:r w:rsidR="009B0EF7" w:rsidRPr="00895799">
        <w:rPr>
          <w:sz w:val="20"/>
          <w:szCs w:val="20"/>
        </w:rPr>
        <w:t>Veehof</w:t>
      </w:r>
      <w:proofErr w:type="spellEnd"/>
      <w:r w:rsidR="009B0EF7" w:rsidRPr="00895799">
        <w:rPr>
          <w:sz w:val="20"/>
          <w:szCs w:val="20"/>
        </w:rPr>
        <w:t xml:space="preserve"> et al., 2011). </w:t>
      </w:r>
      <w:r w:rsidR="0082705F" w:rsidRPr="00895799">
        <w:rPr>
          <w:sz w:val="20"/>
          <w:szCs w:val="20"/>
        </w:rPr>
        <w:t xml:space="preserve">The subscales of the FFMQ-SF </w:t>
      </w:r>
      <w:proofErr w:type="gramStart"/>
      <w:r w:rsidR="0082705F" w:rsidRPr="00895799">
        <w:rPr>
          <w:sz w:val="20"/>
          <w:szCs w:val="20"/>
        </w:rPr>
        <w:t>were also found</w:t>
      </w:r>
      <w:proofErr w:type="gramEnd"/>
      <w:r w:rsidR="0082705F" w:rsidRPr="00895799">
        <w:rPr>
          <w:sz w:val="20"/>
          <w:szCs w:val="20"/>
        </w:rPr>
        <w:t xml:space="preserve"> to be inter-correlated</w:t>
      </w:r>
      <w:r w:rsidR="007F6A75" w:rsidRPr="00895799">
        <w:rPr>
          <w:sz w:val="20"/>
          <w:szCs w:val="20"/>
        </w:rPr>
        <w:t xml:space="preserve"> which supports the notion that</w:t>
      </w:r>
      <w:r w:rsidR="00301270" w:rsidRPr="00895799">
        <w:rPr>
          <w:sz w:val="20"/>
          <w:szCs w:val="20"/>
        </w:rPr>
        <w:t>, like the original FFMQ,</w:t>
      </w:r>
      <w:r w:rsidR="0082705F" w:rsidRPr="00895799">
        <w:rPr>
          <w:sz w:val="20"/>
          <w:szCs w:val="20"/>
        </w:rPr>
        <w:t xml:space="preserve"> </w:t>
      </w:r>
      <w:r w:rsidRPr="00895799">
        <w:rPr>
          <w:sz w:val="20"/>
          <w:szCs w:val="20"/>
        </w:rPr>
        <w:t xml:space="preserve">they </w:t>
      </w:r>
      <w:r w:rsidR="0082705F" w:rsidRPr="00895799">
        <w:rPr>
          <w:sz w:val="20"/>
          <w:szCs w:val="20"/>
        </w:rPr>
        <w:t xml:space="preserve">measure related but distinct </w:t>
      </w:r>
      <w:r w:rsidR="000F0E6E" w:rsidRPr="00895799">
        <w:rPr>
          <w:sz w:val="20"/>
          <w:szCs w:val="20"/>
        </w:rPr>
        <w:t>constructs</w:t>
      </w:r>
      <w:r w:rsidR="00301270" w:rsidRPr="00895799">
        <w:rPr>
          <w:sz w:val="20"/>
          <w:szCs w:val="20"/>
        </w:rPr>
        <w:t xml:space="preserve"> (Baer et al., 2006; 2008)</w:t>
      </w:r>
      <w:r w:rsidR="0082705F" w:rsidRPr="00895799">
        <w:rPr>
          <w:sz w:val="20"/>
          <w:szCs w:val="20"/>
        </w:rPr>
        <w:t xml:space="preserve">. </w:t>
      </w:r>
    </w:p>
    <w:p w14:paraId="238D67F0" w14:textId="28810514" w:rsidR="00650210" w:rsidRPr="00895799" w:rsidRDefault="009B0EF7" w:rsidP="00895799">
      <w:pPr>
        <w:spacing w:line="480" w:lineRule="auto"/>
        <w:ind w:firstLine="720"/>
        <w:rPr>
          <w:sz w:val="20"/>
          <w:szCs w:val="20"/>
        </w:rPr>
      </w:pPr>
      <w:r w:rsidRPr="00895799">
        <w:rPr>
          <w:sz w:val="20"/>
          <w:szCs w:val="20"/>
        </w:rPr>
        <w:t>Con</w:t>
      </w:r>
      <w:r w:rsidR="00CA2672" w:rsidRPr="00895799">
        <w:rPr>
          <w:sz w:val="20"/>
          <w:szCs w:val="20"/>
        </w:rPr>
        <w:t>vergent</w:t>
      </w:r>
      <w:r w:rsidRPr="00895799">
        <w:rPr>
          <w:sz w:val="20"/>
          <w:szCs w:val="20"/>
        </w:rPr>
        <w:t xml:space="preserve"> validity </w:t>
      </w:r>
      <w:proofErr w:type="gramStart"/>
      <w:r w:rsidRPr="00895799">
        <w:rPr>
          <w:sz w:val="20"/>
          <w:szCs w:val="20"/>
        </w:rPr>
        <w:t>was explored</w:t>
      </w:r>
      <w:proofErr w:type="gramEnd"/>
      <w:r w:rsidRPr="00895799">
        <w:rPr>
          <w:sz w:val="20"/>
          <w:szCs w:val="20"/>
        </w:rPr>
        <w:t xml:space="preserve"> with the PANAS-10 (</w:t>
      </w:r>
      <w:r w:rsidRPr="00895799">
        <w:rPr>
          <w:rFonts w:eastAsia="Tsukushi B Round Gothic"/>
          <w:sz w:val="20"/>
          <w:szCs w:val="20"/>
        </w:rPr>
        <w:t>Mackinnon et al., 1999)</w:t>
      </w:r>
      <w:r w:rsidRPr="00895799">
        <w:rPr>
          <w:sz w:val="20"/>
          <w:szCs w:val="20"/>
        </w:rPr>
        <w:t xml:space="preserve"> and the ERQ (Gross &amp; John, 2003). </w:t>
      </w:r>
      <w:r w:rsidR="00D7682E" w:rsidRPr="00895799">
        <w:rPr>
          <w:sz w:val="20"/>
          <w:szCs w:val="20"/>
        </w:rPr>
        <w:t xml:space="preserve">Positive correlations </w:t>
      </w:r>
      <w:proofErr w:type="gramStart"/>
      <w:r w:rsidR="00D7682E" w:rsidRPr="00895799">
        <w:rPr>
          <w:sz w:val="20"/>
          <w:szCs w:val="20"/>
        </w:rPr>
        <w:t>were found</w:t>
      </w:r>
      <w:proofErr w:type="gramEnd"/>
      <w:r w:rsidR="00D7682E" w:rsidRPr="00895799">
        <w:rPr>
          <w:sz w:val="20"/>
          <w:szCs w:val="20"/>
        </w:rPr>
        <w:t xml:space="preserve"> between</w:t>
      </w:r>
      <w:r w:rsidR="0035427D" w:rsidRPr="00895799">
        <w:rPr>
          <w:sz w:val="20"/>
          <w:szCs w:val="20"/>
        </w:rPr>
        <w:t xml:space="preserve"> positive affect </w:t>
      </w:r>
      <w:r w:rsidR="00D7682E" w:rsidRPr="00895799">
        <w:rPr>
          <w:sz w:val="20"/>
          <w:szCs w:val="20"/>
        </w:rPr>
        <w:t>and</w:t>
      </w:r>
      <w:r w:rsidR="0035427D" w:rsidRPr="00895799">
        <w:rPr>
          <w:sz w:val="20"/>
          <w:szCs w:val="20"/>
        </w:rPr>
        <w:t xml:space="preserve"> </w:t>
      </w:r>
      <w:r w:rsidR="001C118D" w:rsidRPr="00895799">
        <w:rPr>
          <w:sz w:val="20"/>
          <w:szCs w:val="20"/>
        </w:rPr>
        <w:t>all</w:t>
      </w:r>
      <w:r w:rsidR="0035427D" w:rsidRPr="00895799">
        <w:rPr>
          <w:sz w:val="20"/>
          <w:szCs w:val="20"/>
        </w:rPr>
        <w:t xml:space="preserve"> mindfulness </w:t>
      </w:r>
      <w:r w:rsidR="001C118D" w:rsidRPr="00895799">
        <w:rPr>
          <w:sz w:val="20"/>
          <w:szCs w:val="20"/>
        </w:rPr>
        <w:t>subscales except for n</w:t>
      </w:r>
      <w:r w:rsidR="0035427D" w:rsidRPr="00895799">
        <w:rPr>
          <w:sz w:val="20"/>
          <w:szCs w:val="20"/>
        </w:rPr>
        <w:t>on-j</w:t>
      </w:r>
      <w:r w:rsidR="00D67151" w:rsidRPr="00895799">
        <w:rPr>
          <w:sz w:val="20"/>
          <w:szCs w:val="20"/>
        </w:rPr>
        <w:t>udgment of inner experience</w:t>
      </w:r>
      <w:r w:rsidR="00D7682E" w:rsidRPr="00895799">
        <w:rPr>
          <w:sz w:val="20"/>
          <w:szCs w:val="20"/>
        </w:rPr>
        <w:t xml:space="preserve">. </w:t>
      </w:r>
      <w:r w:rsidR="0051165B" w:rsidRPr="00895799">
        <w:rPr>
          <w:sz w:val="20"/>
          <w:szCs w:val="20"/>
        </w:rPr>
        <w:t>N</w:t>
      </w:r>
      <w:r w:rsidR="0035427D" w:rsidRPr="00895799">
        <w:rPr>
          <w:sz w:val="20"/>
          <w:szCs w:val="20"/>
        </w:rPr>
        <w:t xml:space="preserve">egative affect </w:t>
      </w:r>
      <w:proofErr w:type="gramStart"/>
      <w:r w:rsidR="0035427D" w:rsidRPr="00895799">
        <w:rPr>
          <w:sz w:val="20"/>
          <w:szCs w:val="20"/>
        </w:rPr>
        <w:t xml:space="preserve">was </w:t>
      </w:r>
      <w:r w:rsidR="0051165B" w:rsidRPr="00895799">
        <w:rPr>
          <w:sz w:val="20"/>
          <w:szCs w:val="20"/>
        </w:rPr>
        <w:t>negatively correlated</w:t>
      </w:r>
      <w:proofErr w:type="gramEnd"/>
      <w:r w:rsidR="0051165B" w:rsidRPr="00895799">
        <w:rPr>
          <w:sz w:val="20"/>
          <w:szCs w:val="20"/>
        </w:rPr>
        <w:t xml:space="preserve"> with scores on</w:t>
      </w:r>
      <w:r w:rsidR="0035427D" w:rsidRPr="00895799">
        <w:rPr>
          <w:sz w:val="20"/>
          <w:szCs w:val="20"/>
        </w:rPr>
        <w:t xml:space="preserve"> all five facets of the FFMQ-SF. However, the negative correlation between negative affect and observing was negligible</w:t>
      </w:r>
      <w:r w:rsidR="00EE0ACE" w:rsidRPr="00895799">
        <w:rPr>
          <w:sz w:val="20"/>
          <w:szCs w:val="20"/>
        </w:rPr>
        <w:t xml:space="preserve">. </w:t>
      </w:r>
      <w:r w:rsidR="00237E76" w:rsidRPr="00895799">
        <w:rPr>
          <w:sz w:val="20"/>
          <w:szCs w:val="20"/>
        </w:rPr>
        <w:t>This result adds to growing evidence for a complex relationship betwee</w:t>
      </w:r>
      <w:r w:rsidR="00575661" w:rsidRPr="00895799">
        <w:rPr>
          <w:sz w:val="20"/>
          <w:szCs w:val="20"/>
        </w:rPr>
        <w:t xml:space="preserve">n observing and negative </w:t>
      </w:r>
      <w:r w:rsidR="00237E76" w:rsidRPr="00895799">
        <w:rPr>
          <w:sz w:val="20"/>
          <w:szCs w:val="20"/>
        </w:rPr>
        <w:t xml:space="preserve">symptomology. For example, Baer et al (2008) found that observing and negative symptomology were negatively correlated among experienced meditators, uncorrelated among both community samples and those who are </w:t>
      </w:r>
      <w:proofErr w:type="gramStart"/>
      <w:r w:rsidR="00237E76" w:rsidRPr="00895799">
        <w:rPr>
          <w:sz w:val="20"/>
          <w:szCs w:val="20"/>
        </w:rPr>
        <w:t>highly-educated</w:t>
      </w:r>
      <w:proofErr w:type="gramEnd"/>
      <w:r w:rsidR="00237E76" w:rsidRPr="00895799">
        <w:rPr>
          <w:sz w:val="20"/>
          <w:szCs w:val="20"/>
        </w:rPr>
        <w:t>, and positively correlated among a student sample.</w:t>
      </w:r>
      <w:r w:rsidR="0035427D" w:rsidRPr="00895799">
        <w:rPr>
          <w:sz w:val="20"/>
          <w:szCs w:val="20"/>
        </w:rPr>
        <w:t xml:space="preserve"> </w:t>
      </w:r>
      <w:r w:rsidR="00575661" w:rsidRPr="00895799">
        <w:rPr>
          <w:sz w:val="20"/>
          <w:szCs w:val="20"/>
        </w:rPr>
        <w:t>T</w:t>
      </w:r>
      <w:r w:rsidR="00650210" w:rsidRPr="00895799">
        <w:rPr>
          <w:sz w:val="20"/>
          <w:szCs w:val="20"/>
        </w:rPr>
        <w:t>hese results are</w:t>
      </w:r>
      <w:r w:rsidR="00575661" w:rsidRPr="00895799">
        <w:rPr>
          <w:sz w:val="20"/>
          <w:szCs w:val="20"/>
        </w:rPr>
        <w:t xml:space="preserve"> also</w:t>
      </w:r>
      <w:r w:rsidR="00650210" w:rsidRPr="00895799">
        <w:rPr>
          <w:sz w:val="20"/>
          <w:szCs w:val="20"/>
        </w:rPr>
        <w:t xml:space="preserve"> </w:t>
      </w:r>
      <w:r w:rsidR="000934EC" w:rsidRPr="00895799">
        <w:rPr>
          <w:sz w:val="20"/>
          <w:szCs w:val="20"/>
        </w:rPr>
        <w:t xml:space="preserve">broadly </w:t>
      </w:r>
      <w:r w:rsidR="00650210" w:rsidRPr="00895799">
        <w:rPr>
          <w:sz w:val="20"/>
          <w:szCs w:val="20"/>
        </w:rPr>
        <w:t xml:space="preserve">consistent with research </w:t>
      </w:r>
      <w:r w:rsidR="003D6123">
        <w:rPr>
          <w:sz w:val="20"/>
          <w:szCs w:val="20"/>
        </w:rPr>
        <w:t>that has demonstrated</w:t>
      </w:r>
      <w:r w:rsidR="003D6123" w:rsidRPr="00895799">
        <w:rPr>
          <w:sz w:val="20"/>
          <w:szCs w:val="20"/>
        </w:rPr>
        <w:t xml:space="preserve"> </w:t>
      </w:r>
      <w:r w:rsidR="008671D1" w:rsidRPr="00895799">
        <w:rPr>
          <w:sz w:val="20"/>
          <w:szCs w:val="20"/>
        </w:rPr>
        <w:t xml:space="preserve">a positive correlation between dispositional mindfulness and </w:t>
      </w:r>
      <w:r w:rsidR="000934EC" w:rsidRPr="00895799">
        <w:rPr>
          <w:sz w:val="20"/>
          <w:szCs w:val="20"/>
        </w:rPr>
        <w:t>positive mental health</w:t>
      </w:r>
      <w:r w:rsidR="00575661" w:rsidRPr="00895799">
        <w:rPr>
          <w:sz w:val="20"/>
          <w:szCs w:val="20"/>
        </w:rPr>
        <w:t xml:space="preserve"> </w:t>
      </w:r>
      <w:r w:rsidR="000934EC" w:rsidRPr="00895799">
        <w:rPr>
          <w:sz w:val="20"/>
          <w:szCs w:val="20"/>
        </w:rPr>
        <w:t>(</w:t>
      </w:r>
      <w:proofErr w:type="spellStart"/>
      <w:r w:rsidR="000934EC" w:rsidRPr="00895799">
        <w:rPr>
          <w:sz w:val="20"/>
          <w:szCs w:val="20"/>
        </w:rPr>
        <w:t>Bohlmeijer</w:t>
      </w:r>
      <w:proofErr w:type="spellEnd"/>
      <w:r w:rsidR="000934EC" w:rsidRPr="00895799">
        <w:rPr>
          <w:sz w:val="20"/>
          <w:szCs w:val="20"/>
        </w:rPr>
        <w:t xml:space="preserve"> et al., 2011</w:t>
      </w:r>
      <w:r w:rsidR="008671D1" w:rsidRPr="00895799">
        <w:rPr>
          <w:sz w:val="20"/>
          <w:szCs w:val="20"/>
        </w:rPr>
        <w:t xml:space="preserve">). </w:t>
      </w:r>
    </w:p>
    <w:p w14:paraId="39E32BB8" w14:textId="2B6F4999" w:rsidR="00AA432C" w:rsidRPr="00895799" w:rsidRDefault="0051165B" w:rsidP="00895799">
      <w:pPr>
        <w:spacing w:line="480" w:lineRule="auto"/>
        <w:ind w:firstLine="720"/>
        <w:rPr>
          <w:sz w:val="20"/>
          <w:szCs w:val="20"/>
        </w:rPr>
      </w:pPr>
      <w:r w:rsidRPr="00895799">
        <w:rPr>
          <w:sz w:val="20"/>
          <w:szCs w:val="20"/>
        </w:rPr>
        <w:t xml:space="preserve">Cognitive reappraisal </w:t>
      </w:r>
      <w:proofErr w:type="gramStart"/>
      <w:r w:rsidRPr="00895799">
        <w:rPr>
          <w:sz w:val="20"/>
          <w:szCs w:val="20"/>
        </w:rPr>
        <w:t xml:space="preserve">was </w:t>
      </w:r>
      <w:r w:rsidR="00E42FB8" w:rsidRPr="00895799">
        <w:rPr>
          <w:sz w:val="20"/>
          <w:szCs w:val="20"/>
        </w:rPr>
        <w:t xml:space="preserve">found to be </w:t>
      </w:r>
      <w:r w:rsidRPr="00895799">
        <w:rPr>
          <w:sz w:val="20"/>
          <w:szCs w:val="20"/>
        </w:rPr>
        <w:t>positively correlated</w:t>
      </w:r>
      <w:proofErr w:type="gramEnd"/>
      <w:r w:rsidRPr="00895799">
        <w:rPr>
          <w:sz w:val="20"/>
          <w:szCs w:val="20"/>
        </w:rPr>
        <w:t xml:space="preserve"> with</w:t>
      </w:r>
      <w:r w:rsidR="00E42FB8" w:rsidRPr="00895799">
        <w:rPr>
          <w:sz w:val="20"/>
          <w:szCs w:val="20"/>
        </w:rPr>
        <w:t xml:space="preserve"> </w:t>
      </w:r>
      <w:r w:rsidRPr="00895799">
        <w:rPr>
          <w:sz w:val="20"/>
          <w:szCs w:val="20"/>
        </w:rPr>
        <w:t xml:space="preserve">all mindfulness </w:t>
      </w:r>
      <w:r w:rsidR="0035427D" w:rsidRPr="00895799">
        <w:rPr>
          <w:sz w:val="20"/>
          <w:szCs w:val="20"/>
        </w:rPr>
        <w:t>facets</w:t>
      </w:r>
      <w:r w:rsidRPr="00895799">
        <w:rPr>
          <w:sz w:val="20"/>
          <w:szCs w:val="20"/>
        </w:rPr>
        <w:t xml:space="preserve"> measured by the FFMQ-SF</w:t>
      </w:r>
      <w:r w:rsidR="0035427D" w:rsidRPr="00895799">
        <w:rPr>
          <w:sz w:val="20"/>
          <w:szCs w:val="20"/>
        </w:rPr>
        <w:t xml:space="preserve"> except for non-judgment of inner experience</w:t>
      </w:r>
      <w:r w:rsidR="00020410" w:rsidRPr="00895799">
        <w:rPr>
          <w:sz w:val="20"/>
          <w:szCs w:val="20"/>
        </w:rPr>
        <w:t>. This is understandable insofar as adaptive emotion regulation often requires the purposeful</w:t>
      </w:r>
      <w:r w:rsidR="00EF1AC5" w:rsidRPr="00895799">
        <w:rPr>
          <w:sz w:val="20"/>
          <w:szCs w:val="20"/>
        </w:rPr>
        <w:t xml:space="preserve"> (conscious or otherwise)</w:t>
      </w:r>
      <w:r w:rsidR="00020410" w:rsidRPr="00895799">
        <w:rPr>
          <w:sz w:val="20"/>
          <w:szCs w:val="20"/>
        </w:rPr>
        <w:t xml:space="preserve"> judgment of emotional experiences in order to </w:t>
      </w:r>
      <w:r w:rsidR="008D6FBB" w:rsidRPr="00895799">
        <w:rPr>
          <w:sz w:val="20"/>
          <w:szCs w:val="20"/>
        </w:rPr>
        <w:lastRenderedPageBreak/>
        <w:t>decide which emotions are to be experienced and when (Gross, 1998)</w:t>
      </w:r>
      <w:r w:rsidR="00020410" w:rsidRPr="00895799">
        <w:rPr>
          <w:sz w:val="20"/>
          <w:szCs w:val="20"/>
        </w:rPr>
        <w:t xml:space="preserve">. </w:t>
      </w:r>
      <w:r w:rsidR="006243E9" w:rsidRPr="00895799">
        <w:rPr>
          <w:sz w:val="20"/>
          <w:szCs w:val="20"/>
        </w:rPr>
        <w:t xml:space="preserve">In addition, </w:t>
      </w:r>
      <w:r w:rsidR="00E42FB8" w:rsidRPr="00895799">
        <w:rPr>
          <w:sz w:val="20"/>
          <w:szCs w:val="20"/>
        </w:rPr>
        <w:t>the positive correlation between cognitive reappraisal and acting with awareness was we</w:t>
      </w:r>
      <w:r w:rsidR="00F849EF" w:rsidRPr="00895799">
        <w:rPr>
          <w:sz w:val="20"/>
          <w:szCs w:val="20"/>
        </w:rPr>
        <w:t>ak.</w:t>
      </w:r>
      <w:r w:rsidR="00856028" w:rsidRPr="00895799">
        <w:rPr>
          <w:sz w:val="20"/>
          <w:szCs w:val="20"/>
        </w:rPr>
        <w:t xml:space="preserve"> </w:t>
      </w:r>
      <w:r w:rsidR="00FA4678" w:rsidRPr="00895799">
        <w:rPr>
          <w:sz w:val="20"/>
          <w:szCs w:val="20"/>
        </w:rPr>
        <w:t>Overall, these findings are</w:t>
      </w:r>
      <w:r w:rsidR="00856028" w:rsidRPr="00895799">
        <w:rPr>
          <w:sz w:val="20"/>
          <w:szCs w:val="20"/>
        </w:rPr>
        <w:t xml:space="preserve"> in line with previous research using the original </w:t>
      </w:r>
      <w:proofErr w:type="gramStart"/>
      <w:r w:rsidR="00856028" w:rsidRPr="00895799">
        <w:rPr>
          <w:sz w:val="20"/>
          <w:szCs w:val="20"/>
        </w:rPr>
        <w:t>FFMQ which</w:t>
      </w:r>
      <w:proofErr w:type="gramEnd"/>
      <w:r w:rsidR="00856028" w:rsidRPr="00895799">
        <w:rPr>
          <w:sz w:val="20"/>
          <w:szCs w:val="20"/>
        </w:rPr>
        <w:t xml:space="preserve"> reported positive correlations between cognitive reappraisal and observing, describing and non-reactivity among a </w:t>
      </w:r>
      <w:r w:rsidR="00020BCA" w:rsidRPr="00895799">
        <w:rPr>
          <w:sz w:val="20"/>
          <w:szCs w:val="20"/>
        </w:rPr>
        <w:t xml:space="preserve">younger adult </w:t>
      </w:r>
      <w:r w:rsidR="00856028" w:rsidRPr="00895799">
        <w:rPr>
          <w:sz w:val="20"/>
          <w:szCs w:val="20"/>
        </w:rPr>
        <w:t xml:space="preserve">community sample (Tran, </w:t>
      </w:r>
      <w:proofErr w:type="spellStart"/>
      <w:r w:rsidR="00856028" w:rsidRPr="00895799">
        <w:rPr>
          <w:sz w:val="20"/>
          <w:szCs w:val="20"/>
        </w:rPr>
        <w:t>Glück</w:t>
      </w:r>
      <w:proofErr w:type="spellEnd"/>
      <w:r w:rsidR="00856028" w:rsidRPr="00895799">
        <w:rPr>
          <w:sz w:val="20"/>
          <w:szCs w:val="20"/>
        </w:rPr>
        <w:t>, &amp; Nader, 2013).</w:t>
      </w:r>
      <w:r w:rsidR="00F849EF" w:rsidRPr="00895799">
        <w:rPr>
          <w:sz w:val="20"/>
          <w:szCs w:val="20"/>
        </w:rPr>
        <w:t xml:space="preserve"> </w:t>
      </w:r>
    </w:p>
    <w:p w14:paraId="159B9EBD" w14:textId="4D51A6F3" w:rsidR="00603D93" w:rsidRPr="00895799" w:rsidRDefault="00856028" w:rsidP="00895799">
      <w:pPr>
        <w:spacing w:line="480" w:lineRule="auto"/>
        <w:ind w:firstLine="720"/>
        <w:rPr>
          <w:sz w:val="20"/>
          <w:szCs w:val="20"/>
        </w:rPr>
      </w:pPr>
      <w:r w:rsidRPr="00895799">
        <w:rPr>
          <w:sz w:val="20"/>
          <w:szCs w:val="20"/>
        </w:rPr>
        <w:t>While previous research has reported that t</w:t>
      </w:r>
      <w:r w:rsidR="0035427D" w:rsidRPr="00895799">
        <w:rPr>
          <w:sz w:val="20"/>
          <w:szCs w:val="20"/>
        </w:rPr>
        <w:t xml:space="preserve">he tendency to regulate emotion by suppressing emotional expression </w:t>
      </w:r>
      <w:proofErr w:type="gramStart"/>
      <w:r w:rsidRPr="00895799">
        <w:rPr>
          <w:sz w:val="20"/>
          <w:szCs w:val="20"/>
        </w:rPr>
        <w:t>is negatively correlated</w:t>
      </w:r>
      <w:proofErr w:type="gramEnd"/>
      <w:r w:rsidRPr="00895799">
        <w:rPr>
          <w:sz w:val="20"/>
          <w:szCs w:val="20"/>
        </w:rPr>
        <w:t xml:space="preserve"> with all five facets of mindfulness as measured by the </w:t>
      </w:r>
      <w:r w:rsidR="00743A23" w:rsidRPr="00895799">
        <w:rPr>
          <w:sz w:val="20"/>
          <w:szCs w:val="20"/>
        </w:rPr>
        <w:t xml:space="preserve">original </w:t>
      </w:r>
      <w:r w:rsidRPr="00895799">
        <w:rPr>
          <w:sz w:val="20"/>
          <w:szCs w:val="20"/>
        </w:rPr>
        <w:t xml:space="preserve">FFMQ (Tran, </w:t>
      </w:r>
      <w:proofErr w:type="spellStart"/>
      <w:r w:rsidRPr="00895799">
        <w:rPr>
          <w:sz w:val="20"/>
          <w:szCs w:val="20"/>
        </w:rPr>
        <w:t>Glück</w:t>
      </w:r>
      <w:proofErr w:type="spellEnd"/>
      <w:r w:rsidRPr="00895799">
        <w:rPr>
          <w:sz w:val="20"/>
          <w:szCs w:val="20"/>
        </w:rPr>
        <w:t xml:space="preserve">, &amp; Nader, 2013), we found that expressive suppression </w:t>
      </w:r>
      <w:r w:rsidR="0035427D" w:rsidRPr="00895799">
        <w:rPr>
          <w:sz w:val="20"/>
          <w:szCs w:val="20"/>
        </w:rPr>
        <w:t xml:space="preserve">was </w:t>
      </w:r>
      <w:r w:rsidR="0051165B" w:rsidRPr="00895799">
        <w:rPr>
          <w:sz w:val="20"/>
          <w:szCs w:val="20"/>
        </w:rPr>
        <w:t>negatively correlated with</w:t>
      </w:r>
      <w:r w:rsidR="00E42FB8" w:rsidRPr="00895799">
        <w:rPr>
          <w:sz w:val="20"/>
          <w:szCs w:val="20"/>
        </w:rPr>
        <w:t xml:space="preserve"> ratings on the describing, acting with awareness and non-judgment of inner experience facets only. </w:t>
      </w:r>
      <w:r w:rsidR="00DD018D" w:rsidRPr="00895799">
        <w:rPr>
          <w:sz w:val="20"/>
          <w:szCs w:val="20"/>
        </w:rPr>
        <w:t xml:space="preserve">The absence of a relationship between </w:t>
      </w:r>
      <w:r w:rsidR="00064CE8" w:rsidRPr="00895799">
        <w:rPr>
          <w:sz w:val="20"/>
          <w:szCs w:val="20"/>
        </w:rPr>
        <w:t xml:space="preserve">maladaptive </w:t>
      </w:r>
      <w:r w:rsidR="00DD018D" w:rsidRPr="00895799">
        <w:rPr>
          <w:sz w:val="20"/>
          <w:szCs w:val="20"/>
        </w:rPr>
        <w:t xml:space="preserve">expressive suppression and </w:t>
      </w:r>
      <w:r w:rsidR="00064CE8" w:rsidRPr="00895799">
        <w:rPr>
          <w:sz w:val="20"/>
          <w:szCs w:val="20"/>
        </w:rPr>
        <w:t>mindful observing and non-reactivity in the present sample may</w:t>
      </w:r>
      <w:r w:rsidR="00DD018D" w:rsidRPr="00895799">
        <w:rPr>
          <w:sz w:val="20"/>
          <w:szCs w:val="20"/>
        </w:rPr>
        <w:t xml:space="preserve"> </w:t>
      </w:r>
      <w:r w:rsidR="00575661" w:rsidRPr="00895799">
        <w:rPr>
          <w:sz w:val="20"/>
          <w:szCs w:val="20"/>
        </w:rPr>
        <w:t xml:space="preserve">contribute to understanding of </w:t>
      </w:r>
      <w:r w:rsidR="003755EA" w:rsidRPr="00895799">
        <w:rPr>
          <w:sz w:val="20"/>
          <w:szCs w:val="20"/>
        </w:rPr>
        <w:t xml:space="preserve">the protective influence of </w:t>
      </w:r>
      <w:r w:rsidR="001E745D" w:rsidRPr="00895799">
        <w:rPr>
          <w:sz w:val="20"/>
          <w:szCs w:val="20"/>
        </w:rPr>
        <w:t xml:space="preserve">emotion regulation in older age. That is, a </w:t>
      </w:r>
      <w:r w:rsidR="00DD018D" w:rsidRPr="00895799">
        <w:rPr>
          <w:sz w:val="20"/>
          <w:szCs w:val="20"/>
        </w:rPr>
        <w:t xml:space="preserve">well-documented </w:t>
      </w:r>
      <w:r w:rsidR="008C58FF" w:rsidRPr="00895799">
        <w:rPr>
          <w:sz w:val="20"/>
          <w:szCs w:val="20"/>
        </w:rPr>
        <w:t>prioritisation of emotional wellbeing using present moment awareness and purposeful direction of attention</w:t>
      </w:r>
      <w:r w:rsidR="003755EA" w:rsidRPr="00895799">
        <w:rPr>
          <w:sz w:val="20"/>
          <w:szCs w:val="20"/>
        </w:rPr>
        <w:t xml:space="preserve"> in older adulthood</w:t>
      </w:r>
      <w:r w:rsidR="008C58FF" w:rsidRPr="00895799">
        <w:rPr>
          <w:sz w:val="20"/>
          <w:szCs w:val="20"/>
        </w:rPr>
        <w:t xml:space="preserve"> (Charles &amp; </w:t>
      </w:r>
      <w:proofErr w:type="spellStart"/>
      <w:r w:rsidR="008C58FF" w:rsidRPr="00895799">
        <w:rPr>
          <w:sz w:val="20"/>
          <w:szCs w:val="20"/>
        </w:rPr>
        <w:t>Carstensen</w:t>
      </w:r>
      <w:proofErr w:type="spellEnd"/>
      <w:r w:rsidR="008C58FF" w:rsidRPr="00895799">
        <w:rPr>
          <w:sz w:val="20"/>
          <w:szCs w:val="20"/>
        </w:rPr>
        <w:t>, 2007).</w:t>
      </w:r>
      <w:r w:rsidR="00DD018D" w:rsidRPr="00895799">
        <w:rPr>
          <w:sz w:val="20"/>
          <w:szCs w:val="20"/>
        </w:rPr>
        <w:t xml:space="preserve"> </w:t>
      </w:r>
      <w:r w:rsidR="00A5415D" w:rsidRPr="00895799">
        <w:rPr>
          <w:sz w:val="20"/>
          <w:szCs w:val="20"/>
        </w:rPr>
        <w:t xml:space="preserve">Future research should explore age-related differences in the association between </w:t>
      </w:r>
      <w:r w:rsidR="003755EA" w:rsidRPr="00895799">
        <w:rPr>
          <w:sz w:val="20"/>
          <w:szCs w:val="20"/>
        </w:rPr>
        <w:t xml:space="preserve">dispositional </w:t>
      </w:r>
      <w:r w:rsidR="00A5415D" w:rsidRPr="00895799">
        <w:rPr>
          <w:sz w:val="20"/>
          <w:szCs w:val="20"/>
        </w:rPr>
        <w:t>mindfulness and emotion regulation</w:t>
      </w:r>
      <w:r w:rsidR="003755EA" w:rsidRPr="00895799">
        <w:rPr>
          <w:sz w:val="20"/>
          <w:szCs w:val="20"/>
        </w:rPr>
        <w:t xml:space="preserve"> tendencies</w:t>
      </w:r>
      <w:r w:rsidR="00E639BB" w:rsidRPr="00895799">
        <w:rPr>
          <w:sz w:val="20"/>
          <w:szCs w:val="20"/>
        </w:rPr>
        <w:t>.</w:t>
      </w:r>
    </w:p>
    <w:p w14:paraId="3D2B3F96" w14:textId="2BE039F5" w:rsidR="00E32674" w:rsidRPr="00895799" w:rsidRDefault="0082705F" w:rsidP="00895799">
      <w:pPr>
        <w:spacing w:line="480" w:lineRule="auto"/>
        <w:ind w:firstLine="720"/>
        <w:rPr>
          <w:sz w:val="20"/>
          <w:szCs w:val="20"/>
        </w:rPr>
      </w:pPr>
      <w:r w:rsidRPr="00895799">
        <w:rPr>
          <w:sz w:val="20"/>
          <w:szCs w:val="20"/>
        </w:rPr>
        <w:t>CFA showed good model fit for a correlated five-factor structure of the FFMQ-SF</w:t>
      </w:r>
      <w:r w:rsidR="0014277C" w:rsidRPr="00895799">
        <w:rPr>
          <w:sz w:val="20"/>
          <w:szCs w:val="20"/>
        </w:rPr>
        <w:t xml:space="preserve"> among older adults, which is in line with past research using depressed and fibromyalgia samples (</w:t>
      </w:r>
      <w:proofErr w:type="spellStart"/>
      <w:r w:rsidR="0014277C" w:rsidRPr="00895799">
        <w:rPr>
          <w:sz w:val="20"/>
          <w:szCs w:val="20"/>
        </w:rPr>
        <w:t>Bohlmeijer</w:t>
      </w:r>
      <w:proofErr w:type="spellEnd"/>
      <w:r w:rsidR="0014277C" w:rsidRPr="00895799">
        <w:rPr>
          <w:sz w:val="20"/>
          <w:szCs w:val="20"/>
        </w:rPr>
        <w:t xml:space="preserve"> et al., 2011), as well as earlier studies exploring the factor structure of the </w:t>
      </w:r>
      <w:r w:rsidR="00867FC5" w:rsidRPr="00895799">
        <w:rPr>
          <w:sz w:val="20"/>
          <w:szCs w:val="20"/>
        </w:rPr>
        <w:t>original</w:t>
      </w:r>
      <w:r w:rsidR="0014277C" w:rsidRPr="00895799">
        <w:rPr>
          <w:sz w:val="20"/>
          <w:szCs w:val="20"/>
        </w:rPr>
        <w:t xml:space="preserve"> FFMQ (Baer et al., 2006; 2008).</w:t>
      </w:r>
    </w:p>
    <w:p w14:paraId="43FB5C87" w14:textId="4A06759B" w:rsidR="005A5A76" w:rsidRDefault="00DD7FB8" w:rsidP="005A5A76">
      <w:pPr>
        <w:spacing w:line="480" w:lineRule="auto"/>
        <w:rPr>
          <w:sz w:val="20"/>
          <w:szCs w:val="20"/>
        </w:rPr>
      </w:pPr>
      <w:r w:rsidRPr="00895799">
        <w:rPr>
          <w:sz w:val="20"/>
          <w:szCs w:val="20"/>
        </w:rPr>
        <w:tab/>
      </w:r>
      <w:r w:rsidR="00C5356A" w:rsidRPr="00895799">
        <w:rPr>
          <w:sz w:val="20"/>
          <w:szCs w:val="20"/>
        </w:rPr>
        <w:t>Support for a</w:t>
      </w:r>
      <w:r w:rsidRPr="00895799">
        <w:rPr>
          <w:sz w:val="20"/>
          <w:szCs w:val="20"/>
        </w:rPr>
        <w:t xml:space="preserve"> two-factor higher order structures </w:t>
      </w:r>
      <w:proofErr w:type="gramStart"/>
      <w:r w:rsidR="00C5356A" w:rsidRPr="00895799">
        <w:rPr>
          <w:sz w:val="20"/>
          <w:szCs w:val="20"/>
        </w:rPr>
        <w:t>was found</w:t>
      </w:r>
      <w:proofErr w:type="gramEnd"/>
      <w:r w:rsidR="00C5356A" w:rsidRPr="00895799">
        <w:rPr>
          <w:sz w:val="20"/>
          <w:szCs w:val="20"/>
        </w:rPr>
        <w:t xml:space="preserve">. </w:t>
      </w:r>
      <w:r w:rsidR="00657EB3" w:rsidRPr="00895799">
        <w:rPr>
          <w:sz w:val="20"/>
          <w:szCs w:val="20"/>
        </w:rPr>
        <w:t xml:space="preserve">The correlation </w:t>
      </w:r>
      <w:r w:rsidR="00165304" w:rsidRPr="00895799">
        <w:rPr>
          <w:sz w:val="20"/>
          <w:szCs w:val="20"/>
        </w:rPr>
        <w:t>between higher-</w:t>
      </w:r>
      <w:r w:rsidR="00657EB3" w:rsidRPr="00895799">
        <w:rPr>
          <w:sz w:val="20"/>
          <w:szCs w:val="20"/>
        </w:rPr>
        <w:t xml:space="preserve">order factors was low, which confirms that self-regulated attention and orientation to experience are distinct </w:t>
      </w:r>
      <w:r w:rsidR="00165304" w:rsidRPr="00895799">
        <w:rPr>
          <w:sz w:val="20"/>
          <w:szCs w:val="20"/>
        </w:rPr>
        <w:t>higher-</w:t>
      </w:r>
      <w:r w:rsidR="00657EB3" w:rsidRPr="00895799">
        <w:rPr>
          <w:sz w:val="20"/>
          <w:szCs w:val="20"/>
        </w:rPr>
        <w:t xml:space="preserve">order constructs among older adults. </w:t>
      </w:r>
      <w:r w:rsidR="00165304" w:rsidRPr="00895799">
        <w:rPr>
          <w:sz w:val="20"/>
          <w:szCs w:val="20"/>
        </w:rPr>
        <w:t xml:space="preserve">This is consistent with past research </w:t>
      </w:r>
      <w:r w:rsidR="003D6123">
        <w:rPr>
          <w:sz w:val="20"/>
          <w:szCs w:val="20"/>
        </w:rPr>
        <w:t>that has investigated</w:t>
      </w:r>
      <w:r w:rsidR="003D6123" w:rsidRPr="00895799">
        <w:rPr>
          <w:sz w:val="20"/>
          <w:szCs w:val="20"/>
        </w:rPr>
        <w:t xml:space="preserve"> </w:t>
      </w:r>
      <w:r w:rsidR="00165304" w:rsidRPr="00895799">
        <w:rPr>
          <w:sz w:val="20"/>
          <w:szCs w:val="20"/>
        </w:rPr>
        <w:t>th</w:t>
      </w:r>
      <w:r w:rsidR="00C91D80" w:rsidRPr="00895799">
        <w:rPr>
          <w:sz w:val="20"/>
          <w:szCs w:val="20"/>
        </w:rPr>
        <w:t xml:space="preserve">e higher order structure of alternative forms of the </w:t>
      </w:r>
      <w:r w:rsidR="00165304" w:rsidRPr="00895799">
        <w:rPr>
          <w:sz w:val="20"/>
          <w:szCs w:val="20"/>
        </w:rPr>
        <w:t>FFMQ</w:t>
      </w:r>
      <w:r w:rsidR="00657EB3" w:rsidRPr="00895799">
        <w:rPr>
          <w:sz w:val="20"/>
          <w:szCs w:val="20"/>
        </w:rPr>
        <w:t xml:space="preserve"> (</w:t>
      </w:r>
      <w:r w:rsidR="00165304" w:rsidRPr="00895799">
        <w:rPr>
          <w:sz w:val="20"/>
          <w:szCs w:val="20"/>
        </w:rPr>
        <w:t xml:space="preserve">Tran, </w:t>
      </w:r>
      <w:proofErr w:type="spellStart"/>
      <w:r w:rsidR="00165304" w:rsidRPr="00895799">
        <w:rPr>
          <w:sz w:val="20"/>
          <w:szCs w:val="20"/>
        </w:rPr>
        <w:t>Glück</w:t>
      </w:r>
      <w:proofErr w:type="spellEnd"/>
      <w:r w:rsidR="00165304" w:rsidRPr="00895799">
        <w:rPr>
          <w:sz w:val="20"/>
          <w:szCs w:val="20"/>
        </w:rPr>
        <w:t>, &amp; Nader, 2013; 2014</w:t>
      </w:r>
      <w:r w:rsidR="00657EB3" w:rsidRPr="00895799">
        <w:rPr>
          <w:sz w:val="20"/>
          <w:szCs w:val="20"/>
        </w:rPr>
        <w:t>)</w:t>
      </w:r>
      <w:r w:rsidR="00165304" w:rsidRPr="00895799">
        <w:rPr>
          <w:sz w:val="20"/>
          <w:szCs w:val="20"/>
        </w:rPr>
        <w:t xml:space="preserve">, and </w:t>
      </w:r>
      <w:r w:rsidR="00ED09B0" w:rsidRPr="00895799">
        <w:rPr>
          <w:sz w:val="20"/>
          <w:szCs w:val="20"/>
        </w:rPr>
        <w:t>provides evidence</w:t>
      </w:r>
      <w:r w:rsidR="00165304" w:rsidRPr="00895799">
        <w:rPr>
          <w:sz w:val="20"/>
          <w:szCs w:val="20"/>
        </w:rPr>
        <w:t xml:space="preserve"> that the more recently developed short form maintains the intended factor structure among older community</w:t>
      </w:r>
      <w:r w:rsidR="00575661" w:rsidRPr="00895799">
        <w:rPr>
          <w:sz w:val="20"/>
          <w:szCs w:val="20"/>
        </w:rPr>
        <w:t>-</w:t>
      </w:r>
      <w:r w:rsidR="00165304" w:rsidRPr="00895799">
        <w:rPr>
          <w:sz w:val="20"/>
          <w:szCs w:val="20"/>
        </w:rPr>
        <w:t>dwelling adults.</w:t>
      </w:r>
    </w:p>
    <w:p w14:paraId="777AA3DF" w14:textId="44A1B02C" w:rsidR="005A5A76" w:rsidRPr="005A5A76" w:rsidRDefault="005A5A76" w:rsidP="005A5A76">
      <w:pPr>
        <w:spacing w:line="480" w:lineRule="auto"/>
        <w:rPr>
          <w:b/>
          <w:sz w:val="20"/>
          <w:szCs w:val="20"/>
        </w:rPr>
      </w:pPr>
      <w:r w:rsidRPr="005A5A76">
        <w:rPr>
          <w:b/>
          <w:sz w:val="20"/>
          <w:szCs w:val="20"/>
        </w:rPr>
        <w:t>Limit</w:t>
      </w:r>
      <w:r>
        <w:rPr>
          <w:b/>
          <w:sz w:val="20"/>
          <w:szCs w:val="20"/>
        </w:rPr>
        <w:t>ations and Future Research</w:t>
      </w:r>
    </w:p>
    <w:p w14:paraId="5536C73B" w14:textId="1738C783" w:rsidR="00A01416" w:rsidRPr="00895799" w:rsidRDefault="007C476A" w:rsidP="005A5A76">
      <w:pPr>
        <w:spacing w:line="480" w:lineRule="auto"/>
        <w:ind w:firstLine="567"/>
        <w:rPr>
          <w:sz w:val="20"/>
          <w:szCs w:val="20"/>
        </w:rPr>
      </w:pPr>
      <w:r w:rsidRPr="00895799">
        <w:rPr>
          <w:sz w:val="20"/>
          <w:szCs w:val="20"/>
        </w:rPr>
        <w:t xml:space="preserve">A </w:t>
      </w:r>
      <w:r w:rsidR="00620FCE" w:rsidRPr="00895799">
        <w:rPr>
          <w:sz w:val="20"/>
          <w:szCs w:val="20"/>
        </w:rPr>
        <w:t xml:space="preserve">potential </w:t>
      </w:r>
      <w:r w:rsidRPr="00895799">
        <w:rPr>
          <w:sz w:val="20"/>
          <w:szCs w:val="20"/>
        </w:rPr>
        <w:t>limitation of the present study is that we did not assess the meditation experience of the older adults sampled. Previous research (Baer et al., 2008) has demonstrated that the factor structure of the original FFMQ is different among meditator and non-meditator samples. Fu</w:t>
      </w:r>
      <w:r w:rsidR="00B328DE" w:rsidRPr="00895799">
        <w:rPr>
          <w:sz w:val="20"/>
          <w:szCs w:val="20"/>
        </w:rPr>
        <w:t>ture research should explore the impact of mindfulness experience on the factor</w:t>
      </w:r>
      <w:r w:rsidR="00CA2672" w:rsidRPr="00895799">
        <w:rPr>
          <w:sz w:val="20"/>
          <w:szCs w:val="20"/>
        </w:rPr>
        <w:t xml:space="preserve"> structure</w:t>
      </w:r>
      <w:r w:rsidRPr="00895799">
        <w:rPr>
          <w:sz w:val="20"/>
          <w:szCs w:val="20"/>
        </w:rPr>
        <w:t xml:space="preserve"> of the FFMQ-SF among healthy community</w:t>
      </w:r>
      <w:r w:rsidR="00575661" w:rsidRPr="00895799">
        <w:rPr>
          <w:sz w:val="20"/>
          <w:szCs w:val="20"/>
        </w:rPr>
        <w:t>-</w:t>
      </w:r>
      <w:r w:rsidRPr="00895799">
        <w:rPr>
          <w:sz w:val="20"/>
          <w:szCs w:val="20"/>
        </w:rPr>
        <w:t xml:space="preserve">dwelling older adults. </w:t>
      </w:r>
      <w:r w:rsidR="00E67763" w:rsidRPr="00895799">
        <w:rPr>
          <w:sz w:val="20"/>
          <w:szCs w:val="20"/>
        </w:rPr>
        <w:t xml:space="preserve">Future research should also </w:t>
      </w:r>
      <w:r w:rsidR="00BF6FEE" w:rsidRPr="00895799">
        <w:rPr>
          <w:sz w:val="20"/>
          <w:szCs w:val="20"/>
        </w:rPr>
        <w:t xml:space="preserve">investigate the psychometric properties of the FFMQ-SF among older adult </w:t>
      </w:r>
      <w:r w:rsidR="00BF6FEE" w:rsidRPr="00895799">
        <w:rPr>
          <w:sz w:val="20"/>
          <w:szCs w:val="20"/>
        </w:rPr>
        <w:lastRenderedPageBreak/>
        <w:t>samples that experience common age-related clinical symptoms</w:t>
      </w:r>
      <w:r w:rsidR="00FB1824" w:rsidRPr="00895799">
        <w:rPr>
          <w:sz w:val="20"/>
          <w:szCs w:val="20"/>
        </w:rPr>
        <w:t>.</w:t>
      </w:r>
      <w:r w:rsidR="00BF6FEE" w:rsidRPr="00895799">
        <w:rPr>
          <w:sz w:val="20"/>
          <w:szCs w:val="20"/>
        </w:rPr>
        <w:t xml:space="preserve"> </w:t>
      </w:r>
      <w:r w:rsidR="00EE48BC" w:rsidRPr="00895799">
        <w:rPr>
          <w:sz w:val="20"/>
          <w:szCs w:val="20"/>
        </w:rPr>
        <w:t xml:space="preserve">While this measure has been used to measure dispositional mindfulness among older clinical samples </w:t>
      </w:r>
      <w:r w:rsidR="00EE48BC" w:rsidRPr="00895799">
        <w:rPr>
          <w:color w:val="000000"/>
          <w:sz w:val="20"/>
          <w:szCs w:val="20"/>
        </w:rPr>
        <w:t xml:space="preserve">(Black et al., 2015; Chan, 2015; </w:t>
      </w:r>
      <w:r w:rsidR="009C7D90" w:rsidRPr="00895799">
        <w:rPr>
          <w:color w:val="000000"/>
          <w:sz w:val="20"/>
          <w:szCs w:val="20"/>
        </w:rPr>
        <w:t xml:space="preserve">Di </w:t>
      </w:r>
      <w:r w:rsidR="00EE48BC" w:rsidRPr="00895799">
        <w:rPr>
          <w:color w:val="000000"/>
          <w:sz w:val="20"/>
          <w:szCs w:val="20"/>
        </w:rPr>
        <w:t xml:space="preserve">Toro, 2016), </w:t>
      </w:r>
      <w:r w:rsidR="00EE48BC" w:rsidRPr="00895799">
        <w:rPr>
          <w:sz w:val="20"/>
          <w:szCs w:val="20"/>
        </w:rPr>
        <w:t>no previous study ha</w:t>
      </w:r>
      <w:r w:rsidR="00DC31B2">
        <w:rPr>
          <w:sz w:val="20"/>
          <w:szCs w:val="20"/>
        </w:rPr>
        <w:t>s</w:t>
      </w:r>
      <w:r w:rsidR="00EE48BC" w:rsidRPr="00895799">
        <w:rPr>
          <w:sz w:val="20"/>
          <w:szCs w:val="20"/>
        </w:rPr>
        <w:t xml:space="preserve"> examined the validity of the measure for such use.</w:t>
      </w:r>
      <w:r w:rsidR="009D4C52" w:rsidRPr="00895799">
        <w:rPr>
          <w:sz w:val="20"/>
          <w:szCs w:val="20"/>
        </w:rPr>
        <w:t xml:space="preserve"> The temporal stability (test re-test reliability) </w:t>
      </w:r>
      <w:r w:rsidR="00020BCA" w:rsidRPr="00895799">
        <w:rPr>
          <w:sz w:val="20"/>
          <w:szCs w:val="20"/>
        </w:rPr>
        <w:t xml:space="preserve">and sensitivity </w:t>
      </w:r>
      <w:r w:rsidR="009D4C52" w:rsidRPr="00895799">
        <w:rPr>
          <w:sz w:val="20"/>
          <w:szCs w:val="20"/>
        </w:rPr>
        <w:t xml:space="preserve">of the measure </w:t>
      </w:r>
      <w:r w:rsidR="00CF401D" w:rsidRPr="00895799">
        <w:rPr>
          <w:sz w:val="20"/>
          <w:szCs w:val="20"/>
        </w:rPr>
        <w:t>to change (e.g., though therap</w:t>
      </w:r>
      <w:r w:rsidR="00020BCA" w:rsidRPr="00895799">
        <w:rPr>
          <w:sz w:val="20"/>
          <w:szCs w:val="20"/>
        </w:rPr>
        <w:t xml:space="preserve">y) </w:t>
      </w:r>
      <w:r w:rsidR="009D4C52" w:rsidRPr="00895799">
        <w:rPr>
          <w:sz w:val="20"/>
          <w:szCs w:val="20"/>
        </w:rPr>
        <w:t>should also be established in older adults.</w:t>
      </w:r>
    </w:p>
    <w:p w14:paraId="632EF323" w14:textId="3492E720" w:rsidR="00D37016" w:rsidRPr="00895799" w:rsidRDefault="003C5B7D" w:rsidP="00895799">
      <w:pPr>
        <w:spacing w:line="480" w:lineRule="auto"/>
        <w:ind w:firstLine="567"/>
        <w:rPr>
          <w:sz w:val="20"/>
          <w:szCs w:val="20"/>
        </w:rPr>
      </w:pPr>
      <w:r w:rsidRPr="00895799">
        <w:rPr>
          <w:sz w:val="20"/>
          <w:szCs w:val="20"/>
        </w:rPr>
        <w:t xml:space="preserve">In light of the rapidly aging global population, </w:t>
      </w:r>
      <w:r w:rsidR="00D37016" w:rsidRPr="00895799">
        <w:rPr>
          <w:sz w:val="20"/>
          <w:szCs w:val="20"/>
        </w:rPr>
        <w:t xml:space="preserve">this study aimed to validate a commonly used measure of dispositional mindfulness, the FFMQ-SF, for use among healthy community-dwelling older adults. Overall, the results support the FFMQ-SF as a valid and reliable measure of five facets of mindfulness for use with </w:t>
      </w:r>
      <w:r w:rsidR="003D6123">
        <w:rPr>
          <w:sz w:val="20"/>
          <w:szCs w:val="20"/>
        </w:rPr>
        <w:t xml:space="preserve">healthy </w:t>
      </w:r>
      <w:r w:rsidR="00D37016" w:rsidRPr="00895799">
        <w:rPr>
          <w:sz w:val="20"/>
          <w:szCs w:val="20"/>
        </w:rPr>
        <w:t xml:space="preserve">older adult samples. </w:t>
      </w:r>
      <w:r w:rsidRPr="00895799">
        <w:rPr>
          <w:sz w:val="20"/>
          <w:szCs w:val="20"/>
        </w:rPr>
        <w:t xml:space="preserve">All five subscales of the FFMQ-SF </w:t>
      </w:r>
      <w:proofErr w:type="gramStart"/>
      <w:r w:rsidRPr="00895799">
        <w:rPr>
          <w:sz w:val="20"/>
          <w:szCs w:val="20"/>
        </w:rPr>
        <w:t>were found</w:t>
      </w:r>
      <w:proofErr w:type="gramEnd"/>
      <w:r w:rsidRPr="00895799">
        <w:rPr>
          <w:sz w:val="20"/>
          <w:szCs w:val="20"/>
        </w:rPr>
        <w:t xml:space="preserve"> to be internally consistent. Con</w:t>
      </w:r>
      <w:r w:rsidR="00CA2672" w:rsidRPr="00895799">
        <w:rPr>
          <w:sz w:val="20"/>
          <w:szCs w:val="20"/>
        </w:rPr>
        <w:t>vergent</w:t>
      </w:r>
      <w:r w:rsidRPr="00895799">
        <w:rPr>
          <w:sz w:val="20"/>
          <w:szCs w:val="20"/>
        </w:rPr>
        <w:t xml:space="preserve"> validity analyses revealed expected relationships between mindfulness facets and positive affect, negative affect, and emotion regulation tendencies. The original five-factor structure of the FFMQ-SF </w:t>
      </w:r>
      <w:proofErr w:type="gramStart"/>
      <w:r w:rsidRPr="00895799">
        <w:rPr>
          <w:sz w:val="20"/>
          <w:szCs w:val="20"/>
        </w:rPr>
        <w:t>was supported</w:t>
      </w:r>
      <w:proofErr w:type="gramEnd"/>
      <w:r w:rsidRPr="00895799">
        <w:rPr>
          <w:sz w:val="20"/>
          <w:szCs w:val="20"/>
        </w:rPr>
        <w:t xml:space="preserve"> by confirmatory factor analyses</w:t>
      </w:r>
      <w:r w:rsidR="00B100BF">
        <w:rPr>
          <w:sz w:val="20"/>
          <w:szCs w:val="20"/>
        </w:rPr>
        <w:t xml:space="preserve">. </w:t>
      </w:r>
      <w:r w:rsidR="002A2D2F">
        <w:rPr>
          <w:sz w:val="20"/>
          <w:szCs w:val="20"/>
        </w:rPr>
        <w:t>The</w:t>
      </w:r>
      <w:r w:rsidRPr="00895799">
        <w:rPr>
          <w:sz w:val="20"/>
          <w:szCs w:val="20"/>
        </w:rPr>
        <w:t xml:space="preserve"> two-factor higher order structure of the FFMQ-SF</w:t>
      </w:r>
      <w:r w:rsidR="00DC31B2">
        <w:rPr>
          <w:sz w:val="20"/>
          <w:szCs w:val="20"/>
        </w:rPr>
        <w:t xml:space="preserve"> </w:t>
      </w:r>
      <w:proofErr w:type="gramStart"/>
      <w:r w:rsidR="00DC31B2">
        <w:rPr>
          <w:sz w:val="20"/>
          <w:szCs w:val="20"/>
        </w:rPr>
        <w:t xml:space="preserve">was </w:t>
      </w:r>
      <w:r w:rsidR="002A2D2F">
        <w:rPr>
          <w:sz w:val="20"/>
          <w:szCs w:val="20"/>
        </w:rPr>
        <w:t xml:space="preserve">also </w:t>
      </w:r>
      <w:r w:rsidR="00DC31B2">
        <w:rPr>
          <w:sz w:val="20"/>
          <w:szCs w:val="20"/>
        </w:rPr>
        <w:t>supported</w:t>
      </w:r>
      <w:proofErr w:type="gramEnd"/>
      <w:r w:rsidRPr="00895799">
        <w:rPr>
          <w:sz w:val="20"/>
          <w:szCs w:val="20"/>
        </w:rPr>
        <w:t xml:space="preserve">. </w:t>
      </w:r>
      <w:r w:rsidR="008644F0" w:rsidRPr="00895799">
        <w:rPr>
          <w:sz w:val="20"/>
          <w:szCs w:val="20"/>
        </w:rPr>
        <w:t xml:space="preserve">Future research should explore whether mindfulness experience </w:t>
      </w:r>
      <w:proofErr w:type="gramStart"/>
      <w:r w:rsidR="008644F0" w:rsidRPr="00895799">
        <w:rPr>
          <w:sz w:val="20"/>
          <w:szCs w:val="20"/>
        </w:rPr>
        <w:t>impacts</w:t>
      </w:r>
      <w:proofErr w:type="gramEnd"/>
      <w:r w:rsidR="008644F0" w:rsidRPr="00895799">
        <w:rPr>
          <w:sz w:val="20"/>
          <w:szCs w:val="20"/>
        </w:rPr>
        <w:t xml:space="preserve"> the factor structure of the FFMQ-SF among a larger </w:t>
      </w:r>
      <w:r w:rsidR="00A65AFB" w:rsidRPr="00895799">
        <w:rPr>
          <w:sz w:val="20"/>
          <w:szCs w:val="20"/>
        </w:rPr>
        <w:t xml:space="preserve">older adult sample, as well as those with </w:t>
      </w:r>
      <w:r w:rsidR="00DD4699" w:rsidRPr="00895799">
        <w:rPr>
          <w:sz w:val="20"/>
          <w:szCs w:val="20"/>
        </w:rPr>
        <w:t>common age-related c</w:t>
      </w:r>
      <w:r w:rsidR="00CF5C90" w:rsidRPr="00895799">
        <w:rPr>
          <w:sz w:val="20"/>
          <w:szCs w:val="20"/>
        </w:rPr>
        <w:t>linical symptoms</w:t>
      </w:r>
      <w:r w:rsidR="00DD4699" w:rsidRPr="00895799">
        <w:rPr>
          <w:sz w:val="20"/>
          <w:szCs w:val="20"/>
        </w:rPr>
        <w:t>.</w:t>
      </w:r>
    </w:p>
    <w:p w14:paraId="4891DB2E" w14:textId="77777777" w:rsidR="00C26CAB" w:rsidRPr="00895799" w:rsidRDefault="00C26CAB" w:rsidP="00895799">
      <w:pPr>
        <w:spacing w:line="480" w:lineRule="auto"/>
        <w:rPr>
          <w:sz w:val="20"/>
          <w:szCs w:val="20"/>
        </w:rPr>
        <w:sectPr w:rsidR="00C26CAB" w:rsidRPr="00895799" w:rsidSect="0020048D">
          <w:pgSz w:w="11900" w:h="16840"/>
          <w:pgMar w:top="1440" w:right="1440" w:bottom="1440" w:left="1440" w:header="708" w:footer="708" w:gutter="0"/>
          <w:cols w:space="708"/>
          <w:docGrid w:linePitch="360"/>
        </w:sectPr>
      </w:pPr>
    </w:p>
    <w:p w14:paraId="5636A600" w14:textId="1B567971" w:rsidR="00667E8B" w:rsidRPr="005A5A76" w:rsidRDefault="00667E8B" w:rsidP="005A5A76">
      <w:pPr>
        <w:spacing w:line="480" w:lineRule="auto"/>
        <w:jc w:val="center"/>
        <w:outlineLvl w:val="0"/>
        <w:rPr>
          <w:b/>
          <w:color w:val="212121"/>
          <w:sz w:val="20"/>
          <w:szCs w:val="20"/>
          <w:shd w:val="clear" w:color="auto" w:fill="FFFFFF"/>
        </w:rPr>
      </w:pPr>
      <w:r w:rsidRPr="00895799">
        <w:rPr>
          <w:b/>
          <w:color w:val="212121"/>
          <w:sz w:val="20"/>
          <w:szCs w:val="20"/>
          <w:shd w:val="clear" w:color="auto" w:fill="FFFFFF"/>
        </w:rPr>
        <w:lastRenderedPageBreak/>
        <w:t xml:space="preserve">Compliance with Ethical </w:t>
      </w:r>
      <w:proofErr w:type="gramStart"/>
      <w:r w:rsidRPr="00895799">
        <w:rPr>
          <w:b/>
          <w:color w:val="212121"/>
          <w:sz w:val="20"/>
          <w:szCs w:val="20"/>
          <w:shd w:val="clear" w:color="auto" w:fill="FFFFFF"/>
        </w:rPr>
        <w:t>Standards</w:t>
      </w:r>
      <w:r w:rsidRPr="00895799">
        <w:rPr>
          <w:b/>
          <w:color w:val="212121"/>
          <w:sz w:val="20"/>
          <w:szCs w:val="20"/>
        </w:rPr>
        <w:br/>
      </w:r>
      <w:r w:rsidRPr="00895799">
        <w:rPr>
          <w:color w:val="212121"/>
          <w:sz w:val="20"/>
          <w:szCs w:val="20"/>
          <w:shd w:val="clear" w:color="auto" w:fill="FFFFFF"/>
        </w:rPr>
        <w:t>Funding: This study was funded by the Australian Research Council (</w:t>
      </w:r>
      <w:r w:rsidRPr="00895799">
        <w:rPr>
          <w:sz w:val="20"/>
          <w:szCs w:val="20"/>
          <w:shd w:val="clear" w:color="auto" w:fill="FFFFFF"/>
        </w:rPr>
        <w:t>grant number DP130101420</w:t>
      </w:r>
      <w:r w:rsidRPr="00895799">
        <w:rPr>
          <w:color w:val="212121"/>
          <w:sz w:val="20"/>
          <w:szCs w:val="20"/>
          <w:shd w:val="clear" w:color="auto" w:fill="FFFFFF"/>
        </w:rPr>
        <w:t>)</w:t>
      </w:r>
      <w:proofErr w:type="gramEnd"/>
      <w:r w:rsidRPr="00895799">
        <w:rPr>
          <w:color w:val="212121"/>
          <w:sz w:val="20"/>
          <w:szCs w:val="20"/>
          <w:shd w:val="clear" w:color="auto" w:fill="FFFFFF"/>
        </w:rPr>
        <w:t xml:space="preserve">. </w:t>
      </w:r>
      <w:r w:rsidRPr="00895799">
        <w:rPr>
          <w:sz w:val="20"/>
          <w:szCs w:val="20"/>
          <w:shd w:val="clear" w:color="auto" w:fill="FFFFFF"/>
        </w:rPr>
        <w:t xml:space="preserve">The ARC </w:t>
      </w:r>
      <w:r w:rsidRPr="00895799">
        <w:rPr>
          <w:sz w:val="20"/>
          <w:szCs w:val="20"/>
          <w:lang w:val="en"/>
        </w:rPr>
        <w:t>had no role in the study design, collection, analysis or interpretation of the data, writing the manuscript, or the decision to submit the paper for publication.</w:t>
      </w:r>
    </w:p>
    <w:p w14:paraId="782687EA" w14:textId="20F9B8A9" w:rsidR="00667E8B" w:rsidRPr="00895799" w:rsidRDefault="00667E8B" w:rsidP="005A5A76">
      <w:pPr>
        <w:spacing w:line="480" w:lineRule="auto"/>
        <w:jc w:val="center"/>
        <w:rPr>
          <w:sz w:val="20"/>
          <w:szCs w:val="20"/>
        </w:rPr>
      </w:pPr>
      <w:r w:rsidRPr="00895799">
        <w:rPr>
          <w:color w:val="212121"/>
          <w:sz w:val="20"/>
          <w:szCs w:val="20"/>
          <w:shd w:val="clear" w:color="auto" w:fill="FFFFFF"/>
        </w:rPr>
        <w:t xml:space="preserve">Ethical approval: All procedures performed in studies involving human participants were in accordance with the ethical standards of the </w:t>
      </w:r>
      <w:r w:rsidR="00DC31B2">
        <w:rPr>
          <w:color w:val="212121"/>
          <w:sz w:val="20"/>
          <w:szCs w:val="20"/>
          <w:shd w:val="clear" w:color="auto" w:fill="FFFFFF"/>
        </w:rPr>
        <w:t>Western Sydney University IRB</w:t>
      </w:r>
      <w:r w:rsidRPr="00895799">
        <w:rPr>
          <w:color w:val="212121"/>
          <w:sz w:val="20"/>
          <w:szCs w:val="20"/>
          <w:shd w:val="clear" w:color="auto" w:fill="FFFFFF"/>
        </w:rPr>
        <w:t xml:space="preserve"> committee</w:t>
      </w:r>
      <w:r w:rsidR="00DC31B2">
        <w:rPr>
          <w:color w:val="212121"/>
          <w:sz w:val="20"/>
          <w:szCs w:val="20"/>
          <w:shd w:val="clear" w:color="auto" w:fill="FFFFFF"/>
        </w:rPr>
        <w:t xml:space="preserve"> (approval number H11503)</w:t>
      </w:r>
      <w:r w:rsidRPr="00895799">
        <w:rPr>
          <w:color w:val="212121"/>
          <w:sz w:val="20"/>
          <w:szCs w:val="20"/>
          <w:shd w:val="clear" w:color="auto" w:fill="FFFFFF"/>
        </w:rPr>
        <w:t xml:space="preserve"> and with the 1964 Helsinki declaration and its later amendments or comparable ethical standards.</w:t>
      </w:r>
    </w:p>
    <w:p w14:paraId="60D7D72E" w14:textId="08B0C82C" w:rsidR="00D53C08" w:rsidRDefault="004E7E1D" w:rsidP="005A5A76">
      <w:pPr>
        <w:spacing w:line="480" w:lineRule="auto"/>
        <w:jc w:val="center"/>
        <w:rPr>
          <w:sz w:val="20"/>
          <w:szCs w:val="20"/>
        </w:rPr>
      </w:pPr>
      <w:r w:rsidRPr="00895799">
        <w:rPr>
          <w:color w:val="212121"/>
          <w:sz w:val="20"/>
          <w:szCs w:val="20"/>
          <w:shd w:val="clear" w:color="auto" w:fill="FFFFFF"/>
        </w:rPr>
        <w:t xml:space="preserve">Informed consent:  Informed consent </w:t>
      </w:r>
      <w:proofErr w:type="gramStart"/>
      <w:r w:rsidRPr="00895799">
        <w:rPr>
          <w:color w:val="212121"/>
          <w:sz w:val="20"/>
          <w:szCs w:val="20"/>
          <w:shd w:val="clear" w:color="auto" w:fill="FFFFFF"/>
        </w:rPr>
        <w:t>was obtained</w:t>
      </w:r>
      <w:proofErr w:type="gramEnd"/>
      <w:r w:rsidRPr="00895799">
        <w:rPr>
          <w:color w:val="212121"/>
          <w:sz w:val="20"/>
          <w:szCs w:val="20"/>
          <w:shd w:val="clear" w:color="auto" w:fill="FFFFFF"/>
        </w:rPr>
        <w:t xml:space="preserve"> from all individual participants included in the study.</w:t>
      </w:r>
    </w:p>
    <w:p w14:paraId="05EF6997" w14:textId="4CB273F0" w:rsidR="00541C25" w:rsidRPr="00541C25" w:rsidRDefault="00541C25" w:rsidP="00541C25">
      <w:pPr>
        <w:spacing w:line="480" w:lineRule="auto"/>
        <w:rPr>
          <w:sz w:val="20"/>
          <w:szCs w:val="20"/>
        </w:rPr>
      </w:pPr>
    </w:p>
    <w:p w14:paraId="6A5E8C15" w14:textId="48310235" w:rsidR="00541C25" w:rsidRPr="00541C25" w:rsidRDefault="00541C25" w:rsidP="00541C25">
      <w:pPr>
        <w:spacing w:line="480" w:lineRule="auto"/>
        <w:jc w:val="center"/>
        <w:rPr>
          <w:b/>
          <w:sz w:val="20"/>
          <w:szCs w:val="20"/>
        </w:rPr>
      </w:pPr>
      <w:r w:rsidRPr="00541C25">
        <w:rPr>
          <w:b/>
          <w:sz w:val="20"/>
          <w:szCs w:val="20"/>
        </w:rPr>
        <w:t>Author Contributions</w:t>
      </w:r>
    </w:p>
    <w:p w14:paraId="6D09E17C" w14:textId="0A34CDF7" w:rsidR="00541C25" w:rsidRPr="00541C25" w:rsidRDefault="00541C25" w:rsidP="00541C25">
      <w:pPr>
        <w:spacing w:line="480" w:lineRule="auto"/>
        <w:rPr>
          <w:sz w:val="20"/>
          <w:szCs w:val="20"/>
        </w:rPr>
      </w:pPr>
      <w:r>
        <w:rPr>
          <w:sz w:val="20"/>
          <w:szCs w:val="20"/>
        </w:rPr>
        <w:t>BB</w:t>
      </w:r>
      <w:r w:rsidRPr="00541C25">
        <w:rPr>
          <w:sz w:val="20"/>
          <w:szCs w:val="20"/>
        </w:rPr>
        <w:t xml:space="preserve">: designed and executed the study, </w:t>
      </w:r>
      <w:r>
        <w:rPr>
          <w:sz w:val="20"/>
          <w:szCs w:val="20"/>
        </w:rPr>
        <w:t>completed</w:t>
      </w:r>
      <w:r w:rsidRPr="00541C25">
        <w:rPr>
          <w:sz w:val="20"/>
          <w:szCs w:val="20"/>
        </w:rPr>
        <w:t xml:space="preserve"> the data a</w:t>
      </w:r>
      <w:r>
        <w:rPr>
          <w:sz w:val="20"/>
          <w:szCs w:val="20"/>
        </w:rPr>
        <w:t>nalyses, and wrote the paper. IK</w:t>
      </w:r>
      <w:r w:rsidRPr="00541C25">
        <w:rPr>
          <w:sz w:val="20"/>
          <w:szCs w:val="20"/>
        </w:rPr>
        <w:t>: collaborated with the des</w:t>
      </w:r>
      <w:r>
        <w:rPr>
          <w:sz w:val="20"/>
          <w:szCs w:val="20"/>
        </w:rPr>
        <w:t>ign and writing of the study. PB</w:t>
      </w:r>
      <w:r w:rsidRPr="00541C25">
        <w:rPr>
          <w:sz w:val="20"/>
          <w:szCs w:val="20"/>
        </w:rPr>
        <w:t>: collaborated with the des</w:t>
      </w:r>
      <w:r>
        <w:rPr>
          <w:sz w:val="20"/>
          <w:szCs w:val="20"/>
        </w:rPr>
        <w:t>ign and writing of the study</w:t>
      </w:r>
      <w:r w:rsidRPr="00541C25">
        <w:rPr>
          <w:sz w:val="20"/>
          <w:szCs w:val="20"/>
        </w:rPr>
        <w:t xml:space="preserve">. </w:t>
      </w:r>
    </w:p>
    <w:p w14:paraId="75168CDC" w14:textId="77777777" w:rsidR="00812801" w:rsidRPr="00D0112B" w:rsidRDefault="00812801" w:rsidP="00D0112B">
      <w:pPr>
        <w:spacing w:line="480" w:lineRule="auto"/>
        <w:rPr>
          <w:sz w:val="20"/>
          <w:szCs w:val="20"/>
        </w:rPr>
        <w:sectPr w:rsidR="00812801" w:rsidRPr="00D0112B" w:rsidSect="00E37650">
          <w:pgSz w:w="11900" w:h="16840"/>
          <w:pgMar w:top="1440" w:right="1440" w:bottom="1440" w:left="1440" w:header="708" w:footer="708" w:gutter="0"/>
          <w:cols w:space="708"/>
          <w:docGrid w:linePitch="360"/>
        </w:sectPr>
      </w:pPr>
    </w:p>
    <w:p w14:paraId="63A61BD9" w14:textId="6FBF0B8F" w:rsidR="00694F1E" w:rsidRPr="00895799" w:rsidRDefault="00694F1E" w:rsidP="00895799">
      <w:pPr>
        <w:spacing w:line="480" w:lineRule="auto"/>
        <w:ind w:left="567" w:hanging="567"/>
        <w:jc w:val="center"/>
        <w:outlineLvl w:val="0"/>
        <w:rPr>
          <w:sz w:val="20"/>
          <w:szCs w:val="20"/>
        </w:rPr>
      </w:pPr>
      <w:r w:rsidRPr="00895799">
        <w:rPr>
          <w:sz w:val="20"/>
          <w:szCs w:val="20"/>
        </w:rPr>
        <w:lastRenderedPageBreak/>
        <w:t>References</w:t>
      </w:r>
    </w:p>
    <w:p w14:paraId="76872D98" w14:textId="77777777" w:rsidR="00694F1E" w:rsidRPr="00895799" w:rsidRDefault="00694F1E" w:rsidP="00895799">
      <w:pPr>
        <w:spacing w:line="480" w:lineRule="auto"/>
        <w:ind w:left="567" w:hanging="567"/>
        <w:rPr>
          <w:sz w:val="20"/>
          <w:szCs w:val="20"/>
        </w:rPr>
      </w:pPr>
      <w:r w:rsidRPr="00895799">
        <w:rPr>
          <w:sz w:val="20"/>
          <w:szCs w:val="20"/>
        </w:rPr>
        <w:t xml:space="preserve">Arbuckle, J. L. (2017). </w:t>
      </w:r>
      <w:r w:rsidRPr="00895799">
        <w:rPr>
          <w:i/>
          <w:sz w:val="20"/>
          <w:szCs w:val="20"/>
        </w:rPr>
        <w:t>IBM SPSS AMOS 24 User Guide.</w:t>
      </w:r>
      <w:r w:rsidRPr="00895799">
        <w:rPr>
          <w:sz w:val="20"/>
          <w:szCs w:val="20"/>
        </w:rPr>
        <w:t xml:space="preserve"> Chicago, IL: </w:t>
      </w:r>
      <w:proofErr w:type="spellStart"/>
      <w:r w:rsidRPr="00895799">
        <w:rPr>
          <w:sz w:val="20"/>
          <w:szCs w:val="20"/>
        </w:rPr>
        <w:t>Smallwaters</w:t>
      </w:r>
      <w:proofErr w:type="spellEnd"/>
      <w:r w:rsidRPr="00895799">
        <w:rPr>
          <w:sz w:val="20"/>
          <w:szCs w:val="20"/>
        </w:rPr>
        <w:t>.</w:t>
      </w:r>
    </w:p>
    <w:p w14:paraId="3AED1149" w14:textId="77777777"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 xml:space="preserve">Baer, R. A., Smith, G. T., Hopkins, J., </w:t>
      </w:r>
      <w:proofErr w:type="spellStart"/>
      <w:r w:rsidRPr="00895799">
        <w:rPr>
          <w:color w:val="222222"/>
          <w:sz w:val="20"/>
          <w:szCs w:val="20"/>
          <w:shd w:val="clear" w:color="auto" w:fill="FFFFFF"/>
        </w:rPr>
        <w:t>Krietemeyer</w:t>
      </w:r>
      <w:proofErr w:type="spellEnd"/>
      <w:r w:rsidRPr="00895799">
        <w:rPr>
          <w:color w:val="222222"/>
          <w:sz w:val="20"/>
          <w:szCs w:val="20"/>
          <w:shd w:val="clear" w:color="auto" w:fill="FFFFFF"/>
        </w:rPr>
        <w:t>, J., &amp; Toney, L. (2006). Using self-report assessment methods to explore facets of mindfulness. </w:t>
      </w:r>
      <w:r w:rsidRPr="00895799">
        <w:rPr>
          <w:i/>
          <w:iCs/>
          <w:color w:val="222222"/>
          <w:sz w:val="20"/>
          <w:szCs w:val="20"/>
          <w:shd w:val="clear" w:color="auto" w:fill="FFFFFF"/>
        </w:rPr>
        <w:t>Assessment</w:t>
      </w:r>
      <w:r w:rsidRPr="00895799">
        <w:rPr>
          <w:color w:val="222222"/>
          <w:sz w:val="20"/>
          <w:szCs w:val="20"/>
          <w:shd w:val="clear" w:color="auto" w:fill="FFFFFF"/>
        </w:rPr>
        <w:t>, </w:t>
      </w:r>
      <w:r w:rsidRPr="00895799">
        <w:rPr>
          <w:i/>
          <w:iCs/>
          <w:color w:val="222222"/>
          <w:sz w:val="20"/>
          <w:szCs w:val="20"/>
          <w:shd w:val="clear" w:color="auto" w:fill="FFFFFF"/>
        </w:rPr>
        <w:t>13</w:t>
      </w:r>
      <w:r w:rsidRPr="00895799">
        <w:rPr>
          <w:color w:val="222222"/>
          <w:sz w:val="20"/>
          <w:szCs w:val="20"/>
          <w:shd w:val="clear" w:color="auto" w:fill="FFFFFF"/>
        </w:rPr>
        <w:t xml:space="preserve">(1), 27-45.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shd w:val="clear" w:color="auto" w:fill="FFFFFF"/>
        </w:rPr>
        <w:t>10.1177/1073191105283504</w:t>
      </w:r>
    </w:p>
    <w:p w14:paraId="33BCFB1B" w14:textId="479BF426"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 xml:space="preserve">Baer, R. A., Smith, G. T., </w:t>
      </w:r>
      <w:proofErr w:type="spellStart"/>
      <w:r w:rsidRPr="00895799">
        <w:rPr>
          <w:color w:val="222222"/>
          <w:sz w:val="20"/>
          <w:szCs w:val="20"/>
          <w:shd w:val="clear" w:color="auto" w:fill="FFFFFF"/>
        </w:rPr>
        <w:t>Lykins</w:t>
      </w:r>
      <w:proofErr w:type="spellEnd"/>
      <w:r w:rsidRPr="00895799">
        <w:rPr>
          <w:color w:val="222222"/>
          <w:sz w:val="20"/>
          <w:szCs w:val="20"/>
          <w:shd w:val="clear" w:color="auto" w:fill="FFFFFF"/>
        </w:rPr>
        <w:t xml:space="preserve">, E., Button, D., </w:t>
      </w:r>
      <w:proofErr w:type="spellStart"/>
      <w:r w:rsidRPr="00895799">
        <w:rPr>
          <w:color w:val="222222"/>
          <w:sz w:val="20"/>
          <w:szCs w:val="20"/>
          <w:shd w:val="clear" w:color="auto" w:fill="FFFFFF"/>
        </w:rPr>
        <w:t>Krietemeyer</w:t>
      </w:r>
      <w:proofErr w:type="spellEnd"/>
      <w:r w:rsidRPr="00895799">
        <w:rPr>
          <w:color w:val="222222"/>
          <w:sz w:val="20"/>
          <w:szCs w:val="20"/>
          <w:shd w:val="clear" w:color="auto" w:fill="FFFFFF"/>
        </w:rPr>
        <w:t>, J., Sauer, S</w:t>
      </w:r>
      <w:proofErr w:type="gramStart"/>
      <w:r w:rsidRPr="00895799">
        <w:rPr>
          <w:color w:val="222222"/>
          <w:sz w:val="20"/>
          <w:szCs w:val="20"/>
          <w:shd w:val="clear" w:color="auto" w:fill="FFFFFF"/>
        </w:rPr>
        <w:t>., ...</w:t>
      </w:r>
      <w:proofErr w:type="gramEnd"/>
      <w:r w:rsidRPr="00895799">
        <w:rPr>
          <w:color w:val="222222"/>
          <w:sz w:val="20"/>
          <w:szCs w:val="20"/>
          <w:shd w:val="clear" w:color="auto" w:fill="FFFFFF"/>
        </w:rPr>
        <w:t xml:space="preserve"> &amp; Williams, J. M. G. (2008). Construct validity of the </w:t>
      </w:r>
      <w:proofErr w:type="gramStart"/>
      <w:r w:rsidRPr="00895799">
        <w:rPr>
          <w:color w:val="222222"/>
          <w:sz w:val="20"/>
          <w:szCs w:val="20"/>
          <w:shd w:val="clear" w:color="auto" w:fill="FFFFFF"/>
        </w:rPr>
        <w:t>five facet</w:t>
      </w:r>
      <w:proofErr w:type="gramEnd"/>
      <w:r w:rsidRPr="00895799">
        <w:rPr>
          <w:color w:val="222222"/>
          <w:sz w:val="20"/>
          <w:szCs w:val="20"/>
          <w:shd w:val="clear" w:color="auto" w:fill="FFFFFF"/>
        </w:rPr>
        <w:t xml:space="preserve"> mindfulness questionnaire in meditating and non</w:t>
      </w:r>
      <w:r w:rsidR="00AB2BD2" w:rsidRPr="00895799">
        <w:rPr>
          <w:color w:val="222222"/>
          <w:sz w:val="20"/>
          <w:szCs w:val="20"/>
          <w:shd w:val="clear" w:color="auto" w:fill="FFFFFF"/>
        </w:rPr>
        <w:t>-</w:t>
      </w:r>
      <w:r w:rsidRPr="00895799">
        <w:rPr>
          <w:color w:val="222222"/>
          <w:sz w:val="20"/>
          <w:szCs w:val="20"/>
          <w:shd w:val="clear" w:color="auto" w:fill="FFFFFF"/>
        </w:rPr>
        <w:t>meditating samples. </w:t>
      </w:r>
      <w:r w:rsidRPr="00895799">
        <w:rPr>
          <w:i/>
          <w:iCs/>
          <w:color w:val="222222"/>
          <w:sz w:val="20"/>
          <w:szCs w:val="20"/>
          <w:shd w:val="clear" w:color="auto" w:fill="FFFFFF"/>
        </w:rPr>
        <w:t>Assessment</w:t>
      </w:r>
      <w:r w:rsidRPr="00895799">
        <w:rPr>
          <w:color w:val="222222"/>
          <w:sz w:val="20"/>
          <w:szCs w:val="20"/>
          <w:shd w:val="clear" w:color="auto" w:fill="FFFFFF"/>
        </w:rPr>
        <w:t>, </w:t>
      </w:r>
      <w:r w:rsidRPr="00895799">
        <w:rPr>
          <w:i/>
          <w:iCs/>
          <w:color w:val="222222"/>
          <w:sz w:val="20"/>
          <w:szCs w:val="20"/>
          <w:shd w:val="clear" w:color="auto" w:fill="FFFFFF"/>
        </w:rPr>
        <w:t>15</w:t>
      </w:r>
      <w:r w:rsidRPr="00895799">
        <w:rPr>
          <w:color w:val="222222"/>
          <w:sz w:val="20"/>
          <w:szCs w:val="20"/>
          <w:shd w:val="clear" w:color="auto" w:fill="FFFFFF"/>
        </w:rPr>
        <w:t xml:space="preserve">(3), 329-342.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shd w:val="clear" w:color="auto" w:fill="FFFFFF"/>
        </w:rPr>
        <w:t>10.1177/1073191107313003</w:t>
      </w:r>
    </w:p>
    <w:p w14:paraId="73FA0FA0" w14:textId="77777777"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Baer, R. A., Smith, G. T., &amp; Allen, K. B. (2004). Assessment of mindfulness by self-report: The Kentucky Inventory of Mindfulness Skills. </w:t>
      </w:r>
      <w:r w:rsidRPr="00895799">
        <w:rPr>
          <w:i/>
          <w:iCs/>
          <w:color w:val="222222"/>
          <w:sz w:val="20"/>
          <w:szCs w:val="20"/>
          <w:shd w:val="clear" w:color="auto" w:fill="FFFFFF"/>
        </w:rPr>
        <w:t>Assessment</w:t>
      </w:r>
      <w:r w:rsidRPr="00895799">
        <w:rPr>
          <w:color w:val="222222"/>
          <w:sz w:val="20"/>
          <w:szCs w:val="20"/>
          <w:shd w:val="clear" w:color="auto" w:fill="FFFFFF"/>
        </w:rPr>
        <w:t>, </w:t>
      </w:r>
      <w:r w:rsidRPr="00895799">
        <w:rPr>
          <w:i/>
          <w:iCs/>
          <w:color w:val="222222"/>
          <w:sz w:val="20"/>
          <w:szCs w:val="20"/>
          <w:shd w:val="clear" w:color="auto" w:fill="FFFFFF"/>
        </w:rPr>
        <w:t>11</w:t>
      </w:r>
      <w:r w:rsidRPr="00895799">
        <w:rPr>
          <w:color w:val="222222"/>
          <w:sz w:val="20"/>
          <w:szCs w:val="20"/>
          <w:shd w:val="clear" w:color="auto" w:fill="FFFFFF"/>
        </w:rPr>
        <w:t xml:space="preserve">(3), 191-206.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shd w:val="clear" w:color="auto" w:fill="FFFFFF"/>
        </w:rPr>
        <w:t>10.1177/1073191104268029</w:t>
      </w:r>
    </w:p>
    <w:p w14:paraId="5B365EA4" w14:textId="77777777" w:rsidR="00694F1E" w:rsidRPr="00895799" w:rsidRDefault="00694F1E" w:rsidP="00895799">
      <w:pPr>
        <w:spacing w:line="480" w:lineRule="auto"/>
        <w:ind w:left="567" w:hanging="567"/>
        <w:rPr>
          <w:sz w:val="20"/>
          <w:szCs w:val="20"/>
        </w:rPr>
      </w:pPr>
      <w:proofErr w:type="spellStart"/>
      <w:r w:rsidRPr="00895799">
        <w:rPr>
          <w:color w:val="222222"/>
          <w:sz w:val="20"/>
          <w:szCs w:val="20"/>
          <w:shd w:val="clear" w:color="auto" w:fill="FFFFFF"/>
        </w:rPr>
        <w:t>Balzarotti</w:t>
      </w:r>
      <w:proofErr w:type="spellEnd"/>
      <w:r w:rsidRPr="00895799">
        <w:rPr>
          <w:color w:val="222222"/>
          <w:sz w:val="20"/>
          <w:szCs w:val="20"/>
          <w:shd w:val="clear" w:color="auto" w:fill="FFFFFF"/>
        </w:rPr>
        <w:t>, S., John, O. P., &amp; Gross, J. J. (2010). An Italian adaptation of the emotion regulation questionnaire. </w:t>
      </w:r>
      <w:r w:rsidRPr="00895799">
        <w:rPr>
          <w:i/>
          <w:iCs/>
          <w:color w:val="222222"/>
          <w:sz w:val="20"/>
          <w:szCs w:val="20"/>
          <w:shd w:val="clear" w:color="auto" w:fill="FFFFFF"/>
        </w:rPr>
        <w:t>European Journal of Psychological Assessment</w:t>
      </w:r>
      <w:r w:rsidRPr="00895799">
        <w:rPr>
          <w:color w:val="222222"/>
          <w:sz w:val="20"/>
          <w:szCs w:val="20"/>
          <w:shd w:val="clear" w:color="auto" w:fill="FFFFFF"/>
        </w:rPr>
        <w:t>,</w:t>
      </w:r>
      <w:r w:rsidRPr="00895799">
        <w:rPr>
          <w:i/>
          <w:color w:val="222222"/>
          <w:sz w:val="20"/>
          <w:szCs w:val="20"/>
          <w:shd w:val="clear" w:color="auto" w:fill="FFFFFF"/>
        </w:rPr>
        <w:t xml:space="preserve"> 26</w:t>
      </w:r>
      <w:r w:rsidRPr="00895799">
        <w:rPr>
          <w:color w:val="222222"/>
          <w:sz w:val="20"/>
          <w:szCs w:val="20"/>
          <w:shd w:val="clear" w:color="auto" w:fill="FFFFFF"/>
        </w:rPr>
        <w:t xml:space="preserve">, 61-67.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shd w:val="clear" w:color="auto" w:fill="FFFFFF"/>
        </w:rPr>
        <w:t>10.1027/1015-5759/a000009</w:t>
      </w:r>
    </w:p>
    <w:p w14:paraId="4FD99A9C" w14:textId="77777777" w:rsidR="00694F1E" w:rsidRPr="00895799" w:rsidRDefault="00694F1E" w:rsidP="00895799">
      <w:pPr>
        <w:spacing w:line="480" w:lineRule="auto"/>
        <w:ind w:left="567" w:hanging="567"/>
        <w:rPr>
          <w:color w:val="222222"/>
          <w:sz w:val="20"/>
          <w:szCs w:val="20"/>
          <w:shd w:val="clear" w:color="auto" w:fill="FFFFFF"/>
        </w:rPr>
      </w:pPr>
      <w:proofErr w:type="spellStart"/>
      <w:r w:rsidRPr="00895799">
        <w:rPr>
          <w:color w:val="222222"/>
          <w:sz w:val="20"/>
          <w:szCs w:val="20"/>
          <w:shd w:val="clear" w:color="auto" w:fill="FFFFFF"/>
        </w:rPr>
        <w:t>Bandalos</w:t>
      </w:r>
      <w:proofErr w:type="spellEnd"/>
      <w:r w:rsidRPr="00895799">
        <w:rPr>
          <w:color w:val="222222"/>
          <w:sz w:val="20"/>
          <w:szCs w:val="20"/>
          <w:shd w:val="clear" w:color="auto" w:fill="FFFFFF"/>
        </w:rPr>
        <w:t xml:space="preserve">, D. L., &amp; Finney, S. J. (2001). Item </w:t>
      </w:r>
      <w:proofErr w:type="spellStart"/>
      <w:r w:rsidRPr="00895799">
        <w:rPr>
          <w:color w:val="222222"/>
          <w:sz w:val="20"/>
          <w:szCs w:val="20"/>
          <w:shd w:val="clear" w:color="auto" w:fill="FFFFFF"/>
        </w:rPr>
        <w:t>parceling</w:t>
      </w:r>
      <w:proofErr w:type="spellEnd"/>
      <w:r w:rsidRPr="00895799">
        <w:rPr>
          <w:color w:val="222222"/>
          <w:sz w:val="20"/>
          <w:szCs w:val="20"/>
          <w:shd w:val="clear" w:color="auto" w:fill="FFFFFF"/>
        </w:rPr>
        <w:t xml:space="preserve"> issues in structural equation </w:t>
      </w:r>
      <w:proofErr w:type="spellStart"/>
      <w:r w:rsidRPr="00895799">
        <w:rPr>
          <w:color w:val="222222"/>
          <w:sz w:val="20"/>
          <w:szCs w:val="20"/>
          <w:shd w:val="clear" w:color="auto" w:fill="FFFFFF"/>
        </w:rPr>
        <w:t>modeling</w:t>
      </w:r>
      <w:proofErr w:type="spellEnd"/>
      <w:r w:rsidRPr="00895799">
        <w:rPr>
          <w:color w:val="222222"/>
          <w:sz w:val="20"/>
          <w:szCs w:val="20"/>
          <w:shd w:val="clear" w:color="auto" w:fill="FFFFFF"/>
        </w:rPr>
        <w:t xml:space="preserve">. In G. A. </w:t>
      </w:r>
      <w:proofErr w:type="spellStart"/>
      <w:r w:rsidRPr="00895799">
        <w:rPr>
          <w:color w:val="222222"/>
          <w:sz w:val="20"/>
          <w:szCs w:val="20"/>
          <w:shd w:val="clear" w:color="auto" w:fill="FFFFFF"/>
        </w:rPr>
        <w:t>Marcoulides</w:t>
      </w:r>
      <w:proofErr w:type="spellEnd"/>
      <w:r w:rsidRPr="00895799">
        <w:rPr>
          <w:color w:val="222222"/>
          <w:sz w:val="20"/>
          <w:szCs w:val="20"/>
          <w:shd w:val="clear" w:color="auto" w:fill="FFFFFF"/>
        </w:rPr>
        <w:t xml:space="preserve"> and R. E. </w:t>
      </w:r>
      <w:proofErr w:type="spellStart"/>
      <w:r w:rsidRPr="00895799">
        <w:rPr>
          <w:color w:val="222222"/>
          <w:sz w:val="20"/>
          <w:szCs w:val="20"/>
          <w:shd w:val="clear" w:color="auto" w:fill="FFFFFF"/>
        </w:rPr>
        <w:t>Schumacker</w:t>
      </w:r>
      <w:proofErr w:type="spellEnd"/>
      <w:r w:rsidRPr="00895799">
        <w:rPr>
          <w:color w:val="222222"/>
          <w:sz w:val="20"/>
          <w:szCs w:val="20"/>
          <w:shd w:val="clear" w:color="auto" w:fill="FFFFFF"/>
        </w:rPr>
        <w:t xml:space="preserve"> (Eds.) </w:t>
      </w:r>
      <w:r w:rsidRPr="00895799">
        <w:rPr>
          <w:i/>
          <w:iCs/>
          <w:color w:val="222222"/>
          <w:sz w:val="20"/>
          <w:szCs w:val="20"/>
          <w:shd w:val="clear" w:color="auto" w:fill="FFFFFF"/>
        </w:rPr>
        <w:t xml:space="preserve">New Developments and Techniques in Structural Equation </w:t>
      </w:r>
      <w:proofErr w:type="spellStart"/>
      <w:r w:rsidRPr="00895799">
        <w:rPr>
          <w:i/>
          <w:iCs/>
          <w:color w:val="222222"/>
          <w:sz w:val="20"/>
          <w:szCs w:val="20"/>
          <w:shd w:val="clear" w:color="auto" w:fill="FFFFFF"/>
        </w:rPr>
        <w:t>Modeling</w:t>
      </w:r>
      <w:proofErr w:type="spellEnd"/>
      <w:r w:rsidRPr="00895799">
        <w:rPr>
          <w:color w:val="222222"/>
          <w:sz w:val="20"/>
          <w:szCs w:val="20"/>
          <w:shd w:val="clear" w:color="auto" w:fill="FFFFFF"/>
        </w:rPr>
        <w:t xml:space="preserve"> (p. 269-285). London, UK: Psychology Press.</w:t>
      </w:r>
    </w:p>
    <w:p w14:paraId="6A0D3520" w14:textId="77777777" w:rsidR="00694F1E" w:rsidRPr="00895799" w:rsidRDefault="00694F1E" w:rsidP="00895799">
      <w:pPr>
        <w:spacing w:line="480" w:lineRule="auto"/>
        <w:ind w:left="567" w:hanging="567"/>
        <w:rPr>
          <w:sz w:val="20"/>
          <w:szCs w:val="20"/>
        </w:rPr>
      </w:pPr>
      <w:proofErr w:type="spellStart"/>
      <w:r w:rsidRPr="00895799">
        <w:rPr>
          <w:sz w:val="20"/>
          <w:szCs w:val="20"/>
        </w:rPr>
        <w:t>Bentler</w:t>
      </w:r>
      <w:proofErr w:type="spellEnd"/>
      <w:r w:rsidRPr="00895799">
        <w:rPr>
          <w:sz w:val="20"/>
          <w:szCs w:val="20"/>
        </w:rPr>
        <w:t xml:space="preserve">, P. M. (1990). Comparative fit indexes in structural models. </w:t>
      </w:r>
      <w:r w:rsidRPr="00895799">
        <w:rPr>
          <w:i/>
          <w:sz w:val="20"/>
          <w:szCs w:val="20"/>
        </w:rPr>
        <w:t>Psychological Bulletin, 107</w:t>
      </w:r>
      <w:r w:rsidRPr="00895799">
        <w:rPr>
          <w:sz w:val="20"/>
          <w:szCs w:val="20"/>
        </w:rPr>
        <w:t xml:space="preserve">, 238-246. </w:t>
      </w:r>
    </w:p>
    <w:p w14:paraId="7D541E9D" w14:textId="736BBDE8" w:rsidR="00222A9E" w:rsidRPr="00895799" w:rsidRDefault="00431D2F" w:rsidP="00895799">
      <w:pPr>
        <w:spacing w:line="480" w:lineRule="auto"/>
        <w:ind w:left="567" w:hanging="567"/>
        <w:rPr>
          <w:sz w:val="20"/>
          <w:szCs w:val="20"/>
        </w:rPr>
      </w:pPr>
      <w:r w:rsidRPr="00895799">
        <w:rPr>
          <w:sz w:val="20"/>
          <w:szCs w:val="20"/>
        </w:rPr>
        <w:t>Bishop, S. R., Lau, M., Shapiro, S., Carlson, I., Anderson, N. D. et al.</w:t>
      </w:r>
      <w:r w:rsidR="00222A9E" w:rsidRPr="00895799">
        <w:rPr>
          <w:sz w:val="20"/>
          <w:szCs w:val="20"/>
        </w:rPr>
        <w:t xml:space="preserve"> </w:t>
      </w:r>
      <w:r w:rsidRPr="00895799">
        <w:rPr>
          <w:sz w:val="20"/>
          <w:szCs w:val="20"/>
        </w:rPr>
        <w:t>(</w:t>
      </w:r>
      <w:r w:rsidR="00222A9E" w:rsidRPr="00895799">
        <w:rPr>
          <w:sz w:val="20"/>
          <w:szCs w:val="20"/>
        </w:rPr>
        <w:t>2004</w:t>
      </w:r>
      <w:r w:rsidRPr="00895799">
        <w:rPr>
          <w:sz w:val="20"/>
          <w:szCs w:val="20"/>
        </w:rPr>
        <w:t xml:space="preserve">). Mindfulness: A proposed operational definition. </w:t>
      </w:r>
      <w:r w:rsidRPr="00895799">
        <w:rPr>
          <w:i/>
          <w:sz w:val="20"/>
          <w:szCs w:val="20"/>
        </w:rPr>
        <w:t>Clinical Psychology, 11,</w:t>
      </w:r>
      <w:r w:rsidRPr="00895799">
        <w:rPr>
          <w:sz w:val="20"/>
          <w:szCs w:val="20"/>
        </w:rPr>
        <w:t xml:space="preserve"> 230-241. </w:t>
      </w:r>
    </w:p>
    <w:p w14:paraId="39C75878" w14:textId="4FB552E7" w:rsidR="005F52C6" w:rsidRPr="00895799" w:rsidRDefault="005F52C6" w:rsidP="00895799">
      <w:pPr>
        <w:spacing w:line="480" w:lineRule="auto"/>
        <w:ind w:left="567" w:hanging="567"/>
        <w:rPr>
          <w:color w:val="000000" w:themeColor="text1"/>
          <w:sz w:val="20"/>
          <w:szCs w:val="20"/>
        </w:rPr>
      </w:pPr>
      <w:r w:rsidRPr="00895799">
        <w:rPr>
          <w:color w:val="000000" w:themeColor="text1"/>
          <w:sz w:val="20"/>
          <w:szCs w:val="20"/>
          <w:shd w:val="clear" w:color="auto" w:fill="FFFFFF"/>
        </w:rPr>
        <w:t>Black, D. S., O’Reilly, G. A., Olmstead, R., Breen, E. C., &amp; Irwin, M. R. (2015). Mindfulness meditation and improvement in sleep quality and daytime impairment among older adults with sleep disturbances: a randomized clinical trial. </w:t>
      </w:r>
      <w:r w:rsidRPr="00895799">
        <w:rPr>
          <w:i/>
          <w:iCs/>
          <w:color w:val="000000" w:themeColor="text1"/>
          <w:sz w:val="20"/>
          <w:szCs w:val="20"/>
          <w:shd w:val="clear" w:color="auto" w:fill="FFFFFF"/>
        </w:rPr>
        <w:t>JAMA Internal Medicine</w:t>
      </w:r>
      <w:r w:rsidRPr="00895799">
        <w:rPr>
          <w:color w:val="000000" w:themeColor="text1"/>
          <w:sz w:val="20"/>
          <w:szCs w:val="20"/>
          <w:shd w:val="clear" w:color="auto" w:fill="FFFFFF"/>
        </w:rPr>
        <w:t>, </w:t>
      </w:r>
      <w:r w:rsidRPr="00895799">
        <w:rPr>
          <w:i/>
          <w:iCs/>
          <w:color w:val="000000" w:themeColor="text1"/>
          <w:sz w:val="20"/>
          <w:szCs w:val="20"/>
          <w:shd w:val="clear" w:color="auto" w:fill="FFFFFF"/>
        </w:rPr>
        <w:t>175</w:t>
      </w:r>
      <w:r w:rsidRPr="00895799">
        <w:rPr>
          <w:color w:val="000000" w:themeColor="text1"/>
          <w:sz w:val="20"/>
          <w:szCs w:val="20"/>
          <w:shd w:val="clear" w:color="auto" w:fill="FFFFFF"/>
        </w:rPr>
        <w:t>(4), 494-501.</w:t>
      </w:r>
    </w:p>
    <w:p w14:paraId="2267C828" w14:textId="09AE432F" w:rsidR="00694F1E" w:rsidRPr="00895799" w:rsidRDefault="00694F1E" w:rsidP="00895799">
      <w:pPr>
        <w:spacing w:line="480" w:lineRule="auto"/>
        <w:ind w:left="567" w:hanging="567"/>
        <w:rPr>
          <w:sz w:val="20"/>
          <w:szCs w:val="20"/>
        </w:rPr>
      </w:pPr>
      <w:proofErr w:type="spellStart"/>
      <w:r w:rsidRPr="00895799">
        <w:rPr>
          <w:color w:val="000000" w:themeColor="text1"/>
          <w:sz w:val="20"/>
          <w:szCs w:val="20"/>
          <w:shd w:val="clear" w:color="auto" w:fill="FFFFFF"/>
        </w:rPr>
        <w:t>Bohlmeijer</w:t>
      </w:r>
      <w:proofErr w:type="spellEnd"/>
      <w:r w:rsidRPr="00895799">
        <w:rPr>
          <w:color w:val="000000" w:themeColor="text1"/>
          <w:sz w:val="20"/>
          <w:szCs w:val="20"/>
          <w:shd w:val="clear" w:color="auto" w:fill="FFFFFF"/>
        </w:rPr>
        <w:t xml:space="preserve">, E., ten </w:t>
      </w:r>
      <w:proofErr w:type="spellStart"/>
      <w:r w:rsidRPr="00895799">
        <w:rPr>
          <w:color w:val="000000" w:themeColor="text1"/>
          <w:sz w:val="20"/>
          <w:szCs w:val="20"/>
          <w:shd w:val="clear" w:color="auto" w:fill="FFFFFF"/>
        </w:rPr>
        <w:t>Klooster</w:t>
      </w:r>
      <w:proofErr w:type="spellEnd"/>
      <w:r w:rsidRPr="00895799">
        <w:rPr>
          <w:color w:val="000000" w:themeColor="text1"/>
          <w:sz w:val="20"/>
          <w:szCs w:val="20"/>
          <w:shd w:val="clear" w:color="auto" w:fill="FFFFFF"/>
        </w:rPr>
        <w:t xml:space="preserve">, P. M., </w:t>
      </w:r>
      <w:proofErr w:type="spellStart"/>
      <w:r w:rsidRPr="00895799">
        <w:rPr>
          <w:color w:val="000000" w:themeColor="text1"/>
          <w:sz w:val="20"/>
          <w:szCs w:val="20"/>
          <w:shd w:val="clear" w:color="auto" w:fill="FFFFFF"/>
        </w:rPr>
        <w:t>Fledderus</w:t>
      </w:r>
      <w:proofErr w:type="spellEnd"/>
      <w:r w:rsidRPr="00895799">
        <w:rPr>
          <w:color w:val="000000" w:themeColor="text1"/>
          <w:sz w:val="20"/>
          <w:szCs w:val="20"/>
          <w:shd w:val="clear" w:color="auto" w:fill="FFFFFF"/>
        </w:rPr>
        <w:t xml:space="preserve">, M., </w:t>
      </w:r>
      <w:proofErr w:type="spellStart"/>
      <w:r w:rsidRPr="00895799">
        <w:rPr>
          <w:color w:val="000000" w:themeColor="text1"/>
          <w:sz w:val="20"/>
          <w:szCs w:val="20"/>
          <w:shd w:val="clear" w:color="auto" w:fill="FFFFFF"/>
        </w:rPr>
        <w:t>Veehof</w:t>
      </w:r>
      <w:proofErr w:type="spellEnd"/>
      <w:r w:rsidRPr="00895799">
        <w:rPr>
          <w:color w:val="000000" w:themeColor="text1"/>
          <w:sz w:val="20"/>
          <w:szCs w:val="20"/>
          <w:shd w:val="clear" w:color="auto" w:fill="FFFFFF"/>
        </w:rPr>
        <w:t xml:space="preserve">, M., &amp; Baer, R. (2011). </w:t>
      </w:r>
      <w:r w:rsidRPr="00895799">
        <w:rPr>
          <w:color w:val="222222"/>
          <w:sz w:val="20"/>
          <w:szCs w:val="20"/>
          <w:shd w:val="clear" w:color="auto" w:fill="FFFFFF"/>
        </w:rPr>
        <w:t xml:space="preserve">Psychometric properties of the </w:t>
      </w:r>
      <w:proofErr w:type="gramStart"/>
      <w:r w:rsidRPr="00895799">
        <w:rPr>
          <w:color w:val="222222"/>
          <w:sz w:val="20"/>
          <w:szCs w:val="20"/>
          <w:shd w:val="clear" w:color="auto" w:fill="FFFFFF"/>
        </w:rPr>
        <w:t>five facet</w:t>
      </w:r>
      <w:proofErr w:type="gramEnd"/>
      <w:r w:rsidRPr="00895799">
        <w:rPr>
          <w:color w:val="222222"/>
          <w:sz w:val="20"/>
          <w:szCs w:val="20"/>
          <w:shd w:val="clear" w:color="auto" w:fill="FFFFFF"/>
        </w:rPr>
        <w:t xml:space="preserve"> mindfulness questionnaire in depressed adults and development of a short form. </w:t>
      </w:r>
      <w:r w:rsidRPr="00895799">
        <w:rPr>
          <w:i/>
          <w:iCs/>
          <w:color w:val="222222"/>
          <w:sz w:val="20"/>
          <w:szCs w:val="20"/>
          <w:shd w:val="clear" w:color="auto" w:fill="FFFFFF"/>
        </w:rPr>
        <w:t>Assessment</w:t>
      </w:r>
      <w:r w:rsidRPr="00895799">
        <w:rPr>
          <w:color w:val="222222"/>
          <w:sz w:val="20"/>
          <w:szCs w:val="20"/>
          <w:shd w:val="clear" w:color="auto" w:fill="FFFFFF"/>
        </w:rPr>
        <w:t>, </w:t>
      </w:r>
      <w:r w:rsidRPr="00895799">
        <w:rPr>
          <w:i/>
          <w:iCs/>
          <w:color w:val="222222"/>
          <w:sz w:val="20"/>
          <w:szCs w:val="20"/>
          <w:shd w:val="clear" w:color="auto" w:fill="FFFFFF"/>
        </w:rPr>
        <w:t>18</w:t>
      </w:r>
      <w:r w:rsidRPr="00895799">
        <w:rPr>
          <w:color w:val="222222"/>
          <w:sz w:val="20"/>
          <w:szCs w:val="20"/>
          <w:shd w:val="clear" w:color="auto" w:fill="FFFFFF"/>
        </w:rPr>
        <w:t xml:space="preserve">(3), 308-320.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shd w:val="clear" w:color="auto" w:fill="FFFFFF"/>
        </w:rPr>
        <w:t>10.1177/1073191111408231</w:t>
      </w:r>
    </w:p>
    <w:p w14:paraId="4403A51E" w14:textId="5AE23727" w:rsidR="003F23CE" w:rsidRPr="00895799" w:rsidRDefault="003F23CE" w:rsidP="00895799">
      <w:pPr>
        <w:spacing w:line="480" w:lineRule="auto"/>
        <w:ind w:left="567" w:hanging="567"/>
        <w:rPr>
          <w:sz w:val="20"/>
          <w:szCs w:val="20"/>
        </w:rPr>
      </w:pPr>
      <w:r w:rsidRPr="00895799">
        <w:rPr>
          <w:color w:val="222222"/>
          <w:sz w:val="20"/>
          <w:szCs w:val="20"/>
          <w:shd w:val="clear" w:color="auto" w:fill="FFFFFF"/>
        </w:rPr>
        <w:t>Brown, T. A. (2014). </w:t>
      </w:r>
      <w:r w:rsidRPr="00895799">
        <w:rPr>
          <w:i/>
          <w:iCs/>
          <w:color w:val="222222"/>
          <w:sz w:val="20"/>
          <w:szCs w:val="20"/>
          <w:shd w:val="clear" w:color="auto" w:fill="FFFFFF"/>
        </w:rPr>
        <w:t>Confirmatory factor analysis for applied research</w:t>
      </w:r>
      <w:r w:rsidRPr="00895799">
        <w:rPr>
          <w:color w:val="222222"/>
          <w:sz w:val="20"/>
          <w:szCs w:val="20"/>
          <w:shd w:val="clear" w:color="auto" w:fill="FFFFFF"/>
        </w:rPr>
        <w:t>. New York, NY: Guilford Publications.</w:t>
      </w:r>
    </w:p>
    <w:p w14:paraId="161F1A16" w14:textId="77777777"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Brown, K. W., &amp; Ryan, R. M. (2003). The benefits of being present: mindfulness and its role in psychological well-being. </w:t>
      </w:r>
      <w:r w:rsidRPr="00895799">
        <w:rPr>
          <w:i/>
          <w:iCs/>
          <w:color w:val="222222"/>
          <w:sz w:val="20"/>
          <w:szCs w:val="20"/>
          <w:shd w:val="clear" w:color="auto" w:fill="FFFFFF"/>
        </w:rPr>
        <w:t>Journal of Personality and Social Psychology</w:t>
      </w:r>
      <w:r w:rsidRPr="00895799">
        <w:rPr>
          <w:color w:val="222222"/>
          <w:sz w:val="20"/>
          <w:szCs w:val="20"/>
          <w:shd w:val="clear" w:color="auto" w:fill="FFFFFF"/>
        </w:rPr>
        <w:t>, </w:t>
      </w:r>
      <w:r w:rsidRPr="00895799">
        <w:rPr>
          <w:i/>
          <w:iCs/>
          <w:color w:val="222222"/>
          <w:sz w:val="20"/>
          <w:szCs w:val="20"/>
          <w:shd w:val="clear" w:color="auto" w:fill="FFFFFF"/>
        </w:rPr>
        <w:t>84</w:t>
      </w:r>
      <w:r w:rsidRPr="00895799">
        <w:rPr>
          <w:color w:val="222222"/>
          <w:sz w:val="20"/>
          <w:szCs w:val="20"/>
          <w:shd w:val="clear" w:color="auto" w:fill="FFFFFF"/>
        </w:rPr>
        <w:t xml:space="preserve">(4), 822-48.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shd w:val="clear" w:color="auto" w:fill="FFFFFF"/>
        </w:rPr>
        <w:t>10.1037/0022-3514.84.4.822</w:t>
      </w:r>
    </w:p>
    <w:p w14:paraId="42386C86" w14:textId="77777777"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 xml:space="preserve">Browne, M. W., &amp; </w:t>
      </w:r>
      <w:proofErr w:type="spellStart"/>
      <w:r w:rsidRPr="00895799">
        <w:rPr>
          <w:color w:val="222222"/>
          <w:sz w:val="20"/>
          <w:szCs w:val="20"/>
          <w:shd w:val="clear" w:color="auto" w:fill="FFFFFF"/>
        </w:rPr>
        <w:t>Cudeck</w:t>
      </w:r>
      <w:proofErr w:type="spellEnd"/>
      <w:r w:rsidRPr="00895799">
        <w:rPr>
          <w:color w:val="222222"/>
          <w:sz w:val="20"/>
          <w:szCs w:val="20"/>
          <w:shd w:val="clear" w:color="auto" w:fill="FFFFFF"/>
        </w:rPr>
        <w:t>, R. (1993). Alternative ways of assessing model fit. </w:t>
      </w:r>
      <w:r w:rsidRPr="00895799">
        <w:rPr>
          <w:i/>
          <w:iCs/>
          <w:color w:val="222222"/>
          <w:sz w:val="20"/>
          <w:szCs w:val="20"/>
          <w:shd w:val="clear" w:color="auto" w:fill="FFFFFF"/>
        </w:rPr>
        <w:t>Sage Focus Editions</w:t>
      </w:r>
      <w:r w:rsidRPr="00895799">
        <w:rPr>
          <w:color w:val="222222"/>
          <w:sz w:val="20"/>
          <w:szCs w:val="20"/>
          <w:shd w:val="clear" w:color="auto" w:fill="FFFFFF"/>
        </w:rPr>
        <w:t>, </w:t>
      </w:r>
      <w:r w:rsidRPr="00895799">
        <w:rPr>
          <w:i/>
          <w:iCs/>
          <w:color w:val="222222"/>
          <w:sz w:val="20"/>
          <w:szCs w:val="20"/>
          <w:shd w:val="clear" w:color="auto" w:fill="FFFFFF"/>
        </w:rPr>
        <w:t>154</w:t>
      </w:r>
      <w:r w:rsidRPr="00895799">
        <w:rPr>
          <w:color w:val="222222"/>
          <w:sz w:val="20"/>
          <w:szCs w:val="20"/>
          <w:shd w:val="clear" w:color="auto" w:fill="FFFFFF"/>
        </w:rPr>
        <w:t>, 136-136.</w:t>
      </w:r>
    </w:p>
    <w:p w14:paraId="09A839CF" w14:textId="77777777" w:rsidR="00694F1E" w:rsidRPr="00895799" w:rsidRDefault="00694F1E" w:rsidP="00895799">
      <w:pPr>
        <w:spacing w:line="480" w:lineRule="auto"/>
        <w:ind w:left="567" w:hanging="567"/>
        <w:rPr>
          <w:color w:val="000000" w:themeColor="text1"/>
          <w:sz w:val="20"/>
          <w:szCs w:val="20"/>
          <w:shd w:val="clear" w:color="auto" w:fill="FFFFFF"/>
        </w:rPr>
      </w:pPr>
      <w:r w:rsidRPr="00895799">
        <w:rPr>
          <w:color w:val="222222"/>
          <w:sz w:val="20"/>
          <w:szCs w:val="20"/>
          <w:shd w:val="clear" w:color="auto" w:fill="FFFFFF"/>
        </w:rPr>
        <w:lastRenderedPageBreak/>
        <w:t xml:space="preserve">Chadwick, P., </w:t>
      </w:r>
      <w:proofErr w:type="spellStart"/>
      <w:r w:rsidRPr="00895799">
        <w:rPr>
          <w:color w:val="222222"/>
          <w:sz w:val="20"/>
          <w:szCs w:val="20"/>
          <w:shd w:val="clear" w:color="auto" w:fill="FFFFFF"/>
        </w:rPr>
        <w:t>Hember</w:t>
      </w:r>
      <w:proofErr w:type="spellEnd"/>
      <w:r w:rsidRPr="00895799">
        <w:rPr>
          <w:color w:val="222222"/>
          <w:sz w:val="20"/>
          <w:szCs w:val="20"/>
          <w:shd w:val="clear" w:color="auto" w:fill="FFFFFF"/>
        </w:rPr>
        <w:t xml:space="preserve">, M., Mead, S., Lilley, B., &amp; </w:t>
      </w:r>
      <w:proofErr w:type="spellStart"/>
      <w:r w:rsidRPr="00895799">
        <w:rPr>
          <w:color w:val="222222"/>
          <w:sz w:val="20"/>
          <w:szCs w:val="20"/>
          <w:shd w:val="clear" w:color="auto" w:fill="FFFFFF"/>
        </w:rPr>
        <w:t>Dagnan</w:t>
      </w:r>
      <w:proofErr w:type="spellEnd"/>
      <w:r w:rsidRPr="00895799">
        <w:rPr>
          <w:color w:val="222222"/>
          <w:sz w:val="20"/>
          <w:szCs w:val="20"/>
          <w:shd w:val="clear" w:color="auto" w:fill="FFFFFF"/>
        </w:rPr>
        <w:t xml:space="preserve">, D. (2005). Responding mindfully to unpleasant thoughts and images: Reliability and validity of the Mindfulness Questionnaire. As cited in RA Baer, GT Smith, &amp; Allen, KB (2004). Assessment of mindfulness by self-report: The Kentucky Inventory of Mindfulness </w:t>
      </w:r>
      <w:r w:rsidRPr="00895799">
        <w:rPr>
          <w:color w:val="000000" w:themeColor="text1"/>
          <w:sz w:val="20"/>
          <w:szCs w:val="20"/>
          <w:shd w:val="clear" w:color="auto" w:fill="FFFFFF"/>
        </w:rPr>
        <w:t>Skills. </w:t>
      </w:r>
      <w:r w:rsidRPr="00895799">
        <w:rPr>
          <w:i/>
          <w:iCs/>
          <w:color w:val="000000" w:themeColor="text1"/>
          <w:sz w:val="20"/>
          <w:szCs w:val="20"/>
          <w:shd w:val="clear" w:color="auto" w:fill="FFFFFF"/>
        </w:rPr>
        <w:t>Assessment</w:t>
      </w:r>
      <w:r w:rsidRPr="00895799">
        <w:rPr>
          <w:color w:val="000000" w:themeColor="text1"/>
          <w:sz w:val="20"/>
          <w:szCs w:val="20"/>
          <w:shd w:val="clear" w:color="auto" w:fill="FFFFFF"/>
        </w:rPr>
        <w:t>, </w:t>
      </w:r>
      <w:r w:rsidRPr="00895799">
        <w:rPr>
          <w:i/>
          <w:iCs/>
          <w:color w:val="000000" w:themeColor="text1"/>
          <w:sz w:val="20"/>
          <w:szCs w:val="20"/>
          <w:shd w:val="clear" w:color="auto" w:fill="FFFFFF"/>
        </w:rPr>
        <w:t>11</w:t>
      </w:r>
      <w:r w:rsidRPr="00895799">
        <w:rPr>
          <w:color w:val="000000" w:themeColor="text1"/>
          <w:sz w:val="20"/>
          <w:szCs w:val="20"/>
          <w:shd w:val="clear" w:color="auto" w:fill="FFFFFF"/>
        </w:rPr>
        <w:t>, 206-216.</w:t>
      </w:r>
    </w:p>
    <w:p w14:paraId="17256F8D" w14:textId="1C5CB8A3" w:rsidR="00F06302" w:rsidRPr="00895799" w:rsidRDefault="00F06302" w:rsidP="00895799">
      <w:pPr>
        <w:spacing w:line="480" w:lineRule="auto"/>
        <w:ind w:left="567" w:hanging="567"/>
        <w:rPr>
          <w:color w:val="000000" w:themeColor="text1"/>
          <w:sz w:val="20"/>
          <w:szCs w:val="20"/>
        </w:rPr>
      </w:pPr>
      <w:r w:rsidRPr="00895799">
        <w:rPr>
          <w:color w:val="000000" w:themeColor="text1"/>
          <w:sz w:val="20"/>
          <w:szCs w:val="20"/>
          <w:shd w:val="clear" w:color="auto" w:fill="FFFFFF"/>
        </w:rPr>
        <w:t>Chan, M. Y. (2015). </w:t>
      </w:r>
      <w:r w:rsidRPr="00895799">
        <w:rPr>
          <w:i/>
          <w:iCs/>
          <w:color w:val="000000" w:themeColor="text1"/>
          <w:sz w:val="20"/>
          <w:szCs w:val="20"/>
          <w:shd w:val="clear" w:color="auto" w:fill="FFFFFF"/>
        </w:rPr>
        <w:t>A Mindfulness Programme for People with Dementia in Care Homes: A Feasibility Pilot Study</w:t>
      </w:r>
      <w:r w:rsidR="00A33F71" w:rsidRPr="00895799">
        <w:rPr>
          <w:color w:val="000000" w:themeColor="text1"/>
          <w:sz w:val="20"/>
          <w:szCs w:val="20"/>
          <w:shd w:val="clear" w:color="auto" w:fill="FFFFFF"/>
        </w:rPr>
        <w:t xml:space="preserve">. </w:t>
      </w:r>
      <w:r w:rsidRPr="00895799">
        <w:rPr>
          <w:color w:val="000000" w:themeColor="text1"/>
          <w:sz w:val="20"/>
          <w:szCs w:val="20"/>
          <w:shd w:val="clear" w:color="auto" w:fill="FFFFFF"/>
        </w:rPr>
        <w:t>Doctoral dissertation, University College London.</w:t>
      </w:r>
    </w:p>
    <w:p w14:paraId="15BE679C" w14:textId="77777777" w:rsidR="00694F1E" w:rsidRPr="00895799" w:rsidRDefault="00694F1E" w:rsidP="00895799">
      <w:pPr>
        <w:spacing w:line="480" w:lineRule="auto"/>
        <w:ind w:left="567" w:hanging="567"/>
        <w:rPr>
          <w:color w:val="000000" w:themeColor="text1"/>
          <w:sz w:val="20"/>
          <w:szCs w:val="20"/>
        </w:rPr>
      </w:pPr>
      <w:r w:rsidRPr="00895799">
        <w:rPr>
          <w:color w:val="000000" w:themeColor="text1"/>
          <w:sz w:val="20"/>
          <w:szCs w:val="20"/>
          <w:shd w:val="clear" w:color="auto" w:fill="FFFFFF"/>
        </w:rPr>
        <w:t xml:space="preserve">Charles, S. T., &amp; </w:t>
      </w:r>
      <w:proofErr w:type="spellStart"/>
      <w:r w:rsidRPr="00895799">
        <w:rPr>
          <w:color w:val="000000" w:themeColor="text1"/>
          <w:sz w:val="20"/>
          <w:szCs w:val="20"/>
          <w:shd w:val="clear" w:color="auto" w:fill="FFFFFF"/>
        </w:rPr>
        <w:t>Carstensen</w:t>
      </w:r>
      <w:proofErr w:type="spellEnd"/>
      <w:r w:rsidRPr="00895799">
        <w:rPr>
          <w:color w:val="000000" w:themeColor="text1"/>
          <w:sz w:val="20"/>
          <w:szCs w:val="20"/>
          <w:shd w:val="clear" w:color="auto" w:fill="FFFFFF"/>
        </w:rPr>
        <w:t>, L. L. (2007). Emotion regulation and aging.</w:t>
      </w:r>
      <w:r w:rsidRPr="00895799">
        <w:rPr>
          <w:color w:val="000000" w:themeColor="text1"/>
          <w:sz w:val="20"/>
          <w:szCs w:val="20"/>
        </w:rPr>
        <w:t xml:space="preserve"> In J. J. Gross (Ed) </w:t>
      </w:r>
      <w:r w:rsidRPr="00895799">
        <w:rPr>
          <w:i/>
          <w:color w:val="000000" w:themeColor="text1"/>
          <w:sz w:val="20"/>
          <w:szCs w:val="20"/>
        </w:rPr>
        <w:t xml:space="preserve">Handbook of emotion regulation </w:t>
      </w:r>
      <w:r w:rsidRPr="00895799">
        <w:rPr>
          <w:color w:val="000000" w:themeColor="text1"/>
          <w:sz w:val="20"/>
          <w:szCs w:val="20"/>
        </w:rPr>
        <w:t>(pp. 307-327). New York: Guilford Press.</w:t>
      </w:r>
    </w:p>
    <w:p w14:paraId="7C3C5D12" w14:textId="11D3AD7B" w:rsidR="00222A9E" w:rsidRPr="00895799" w:rsidRDefault="00222A9E" w:rsidP="00895799">
      <w:pPr>
        <w:spacing w:line="480" w:lineRule="auto"/>
        <w:ind w:left="567" w:hanging="567"/>
        <w:rPr>
          <w:color w:val="000000"/>
          <w:sz w:val="20"/>
          <w:szCs w:val="20"/>
        </w:rPr>
      </w:pPr>
      <w:r w:rsidRPr="00895799">
        <w:rPr>
          <w:sz w:val="20"/>
          <w:szCs w:val="20"/>
        </w:rPr>
        <w:t xml:space="preserve">Christopher, M. S., </w:t>
      </w:r>
      <w:proofErr w:type="spellStart"/>
      <w:r w:rsidRPr="00895799">
        <w:rPr>
          <w:sz w:val="20"/>
          <w:szCs w:val="20"/>
        </w:rPr>
        <w:t>Neuser</w:t>
      </w:r>
      <w:proofErr w:type="spellEnd"/>
      <w:r w:rsidRPr="00895799">
        <w:rPr>
          <w:sz w:val="20"/>
          <w:szCs w:val="20"/>
        </w:rPr>
        <w:t xml:space="preserve">, N. J., Michael, P. J., &amp; </w:t>
      </w:r>
      <w:proofErr w:type="spellStart"/>
      <w:r w:rsidRPr="00895799">
        <w:rPr>
          <w:sz w:val="20"/>
          <w:szCs w:val="20"/>
        </w:rPr>
        <w:t>Baitmangalkar</w:t>
      </w:r>
      <w:proofErr w:type="spellEnd"/>
      <w:r w:rsidRPr="00895799">
        <w:rPr>
          <w:sz w:val="20"/>
          <w:szCs w:val="20"/>
        </w:rPr>
        <w:t xml:space="preserve">, A. (2012). Exploring the psychometric properties of the </w:t>
      </w:r>
      <w:proofErr w:type="gramStart"/>
      <w:r w:rsidRPr="00895799">
        <w:rPr>
          <w:sz w:val="20"/>
          <w:szCs w:val="20"/>
        </w:rPr>
        <w:t>five facet</w:t>
      </w:r>
      <w:proofErr w:type="gramEnd"/>
      <w:r w:rsidRPr="00895799">
        <w:rPr>
          <w:sz w:val="20"/>
          <w:szCs w:val="20"/>
        </w:rPr>
        <w:t xml:space="preserve"> mindfulness questionnaire. </w:t>
      </w:r>
      <w:r w:rsidRPr="00895799">
        <w:rPr>
          <w:i/>
          <w:sz w:val="20"/>
          <w:szCs w:val="20"/>
        </w:rPr>
        <w:t>Mindfulness, 3</w:t>
      </w:r>
      <w:r w:rsidRPr="00895799">
        <w:rPr>
          <w:sz w:val="20"/>
          <w:szCs w:val="20"/>
        </w:rPr>
        <w:t xml:space="preserve">, 124-131. </w:t>
      </w:r>
      <w:proofErr w:type="spellStart"/>
      <w:proofErr w:type="gramStart"/>
      <w:r w:rsidRPr="00895799">
        <w:rPr>
          <w:sz w:val="20"/>
          <w:szCs w:val="20"/>
        </w:rPr>
        <w:t>doi</w:t>
      </w:r>
      <w:proofErr w:type="spellEnd"/>
      <w:proofErr w:type="gramEnd"/>
      <w:r w:rsidRPr="00895799">
        <w:rPr>
          <w:sz w:val="20"/>
          <w:szCs w:val="20"/>
        </w:rPr>
        <w:t>: 10.1007/s12671-011-0086-x</w:t>
      </w:r>
    </w:p>
    <w:p w14:paraId="449981FF" w14:textId="18A7CF4D" w:rsidR="00694F1E" w:rsidRPr="00895799" w:rsidRDefault="00694F1E" w:rsidP="00895799">
      <w:pPr>
        <w:spacing w:line="480" w:lineRule="auto"/>
        <w:ind w:left="567" w:hanging="567"/>
        <w:rPr>
          <w:color w:val="000000"/>
          <w:sz w:val="20"/>
          <w:szCs w:val="20"/>
        </w:rPr>
      </w:pPr>
      <w:r w:rsidRPr="00895799">
        <w:rPr>
          <w:color w:val="222222"/>
          <w:sz w:val="20"/>
          <w:szCs w:val="20"/>
          <w:shd w:val="clear" w:color="auto" w:fill="FFFFFF"/>
        </w:rPr>
        <w:t>Crone, D. L., &amp; Williams, L. A. (2016). Crowdsourcing participants for psychological researc</w:t>
      </w:r>
      <w:r w:rsidR="00AB2BD2" w:rsidRPr="00895799">
        <w:rPr>
          <w:color w:val="222222"/>
          <w:sz w:val="20"/>
          <w:szCs w:val="20"/>
          <w:shd w:val="clear" w:color="auto" w:fill="FFFFFF"/>
        </w:rPr>
        <w:t xml:space="preserve">h in Australia: A test of </w:t>
      </w:r>
      <w:proofErr w:type="spellStart"/>
      <w:r w:rsidR="00AB2BD2" w:rsidRPr="00895799">
        <w:rPr>
          <w:color w:val="222222"/>
          <w:sz w:val="20"/>
          <w:szCs w:val="20"/>
          <w:shd w:val="clear" w:color="auto" w:fill="FFFFFF"/>
        </w:rPr>
        <w:t>MicroW</w:t>
      </w:r>
      <w:r w:rsidRPr="00895799">
        <w:rPr>
          <w:color w:val="222222"/>
          <w:sz w:val="20"/>
          <w:szCs w:val="20"/>
          <w:shd w:val="clear" w:color="auto" w:fill="FFFFFF"/>
        </w:rPr>
        <w:t>orkers</w:t>
      </w:r>
      <w:proofErr w:type="spellEnd"/>
      <w:r w:rsidRPr="00895799">
        <w:rPr>
          <w:color w:val="222222"/>
          <w:sz w:val="20"/>
          <w:szCs w:val="20"/>
          <w:shd w:val="clear" w:color="auto" w:fill="FFFFFF"/>
        </w:rPr>
        <w:t>. </w:t>
      </w:r>
      <w:r w:rsidRPr="00895799">
        <w:rPr>
          <w:i/>
          <w:iCs/>
          <w:color w:val="222222"/>
          <w:sz w:val="20"/>
          <w:szCs w:val="20"/>
          <w:shd w:val="clear" w:color="auto" w:fill="FFFFFF"/>
        </w:rPr>
        <w:t>Australian Journal of Psychology</w:t>
      </w:r>
      <w:r w:rsidRPr="00895799">
        <w:rPr>
          <w:color w:val="222222"/>
          <w:sz w:val="20"/>
          <w:szCs w:val="20"/>
          <w:shd w:val="clear" w:color="auto" w:fill="FFFFFF"/>
        </w:rPr>
        <w:t>, </w:t>
      </w:r>
      <w:r w:rsidRPr="00895799">
        <w:rPr>
          <w:i/>
          <w:iCs/>
          <w:color w:val="222222"/>
          <w:sz w:val="20"/>
          <w:szCs w:val="20"/>
          <w:shd w:val="clear" w:color="auto" w:fill="FFFFFF"/>
        </w:rPr>
        <w:t>69</w:t>
      </w:r>
      <w:r w:rsidRPr="00895799">
        <w:rPr>
          <w:color w:val="222222"/>
          <w:sz w:val="20"/>
          <w:szCs w:val="20"/>
          <w:shd w:val="clear" w:color="auto" w:fill="FFFFFF"/>
        </w:rPr>
        <w:t xml:space="preserve">(1), 39-47.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color w:val="333333"/>
          <w:sz w:val="20"/>
          <w:szCs w:val="20"/>
          <w:shd w:val="clear" w:color="auto" w:fill="FFFFFF"/>
        </w:rPr>
        <w:t>10.1111/ajpy.12110</w:t>
      </w:r>
    </w:p>
    <w:p w14:paraId="501CE190" w14:textId="77777777" w:rsidR="00694F1E" w:rsidRPr="00895799" w:rsidRDefault="00694F1E" w:rsidP="00895799">
      <w:pPr>
        <w:spacing w:line="480" w:lineRule="auto"/>
        <w:ind w:left="567" w:hanging="567"/>
        <w:rPr>
          <w:sz w:val="20"/>
          <w:szCs w:val="20"/>
        </w:rPr>
      </w:pPr>
      <w:proofErr w:type="gramStart"/>
      <w:r w:rsidRPr="00895799">
        <w:rPr>
          <w:color w:val="222222"/>
          <w:sz w:val="20"/>
          <w:szCs w:val="20"/>
          <w:shd w:val="clear" w:color="auto" w:fill="FFFFFF"/>
        </w:rPr>
        <w:t>de</w:t>
      </w:r>
      <w:proofErr w:type="gramEnd"/>
      <w:r w:rsidRPr="00895799">
        <w:rPr>
          <w:color w:val="222222"/>
          <w:sz w:val="20"/>
          <w:szCs w:val="20"/>
          <w:shd w:val="clear" w:color="auto" w:fill="FFFFFF"/>
        </w:rPr>
        <w:t xml:space="preserve"> Frias, C. M., &amp; </w:t>
      </w:r>
      <w:proofErr w:type="spellStart"/>
      <w:r w:rsidRPr="00895799">
        <w:rPr>
          <w:color w:val="222222"/>
          <w:sz w:val="20"/>
          <w:szCs w:val="20"/>
          <w:shd w:val="clear" w:color="auto" w:fill="FFFFFF"/>
        </w:rPr>
        <w:t>Whyne</w:t>
      </w:r>
      <w:proofErr w:type="spellEnd"/>
      <w:r w:rsidRPr="00895799">
        <w:rPr>
          <w:color w:val="222222"/>
          <w:sz w:val="20"/>
          <w:szCs w:val="20"/>
          <w:shd w:val="clear" w:color="auto" w:fill="FFFFFF"/>
        </w:rPr>
        <w:t>, E. (2015). Stress on health-related quality of life in older adults: The protective nature of mindfulness. </w:t>
      </w:r>
      <w:r w:rsidRPr="00895799">
        <w:rPr>
          <w:i/>
          <w:iCs/>
          <w:color w:val="222222"/>
          <w:sz w:val="20"/>
          <w:szCs w:val="20"/>
          <w:shd w:val="clear" w:color="auto" w:fill="FFFFFF"/>
        </w:rPr>
        <w:t>Aging &amp; Mental Health</w:t>
      </w:r>
      <w:r w:rsidRPr="00895799">
        <w:rPr>
          <w:color w:val="222222"/>
          <w:sz w:val="20"/>
          <w:szCs w:val="20"/>
          <w:shd w:val="clear" w:color="auto" w:fill="FFFFFF"/>
        </w:rPr>
        <w:t>, </w:t>
      </w:r>
      <w:r w:rsidRPr="00895799">
        <w:rPr>
          <w:i/>
          <w:iCs/>
          <w:color w:val="222222"/>
          <w:sz w:val="20"/>
          <w:szCs w:val="20"/>
          <w:shd w:val="clear" w:color="auto" w:fill="FFFFFF"/>
        </w:rPr>
        <w:t>19</w:t>
      </w:r>
      <w:r w:rsidRPr="00895799">
        <w:rPr>
          <w:color w:val="222222"/>
          <w:sz w:val="20"/>
          <w:szCs w:val="20"/>
          <w:shd w:val="clear" w:color="auto" w:fill="FFFFFF"/>
        </w:rPr>
        <w:t xml:space="preserve">(3), 201-206.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rPr>
        <w:t>10.1080/13607863.2014.924090</w:t>
      </w:r>
    </w:p>
    <w:p w14:paraId="30FCD5DC" w14:textId="614E23A5" w:rsidR="008B6F2F" w:rsidRPr="00895799" w:rsidRDefault="008B6F2F" w:rsidP="00895799">
      <w:pPr>
        <w:spacing w:line="480" w:lineRule="auto"/>
        <w:ind w:left="567" w:hanging="567"/>
        <w:rPr>
          <w:color w:val="000000" w:themeColor="text1"/>
          <w:sz w:val="20"/>
          <w:szCs w:val="20"/>
        </w:rPr>
      </w:pPr>
      <w:r w:rsidRPr="00895799">
        <w:rPr>
          <w:color w:val="000000" w:themeColor="text1"/>
          <w:sz w:val="20"/>
          <w:szCs w:val="20"/>
          <w:shd w:val="clear" w:color="auto" w:fill="FFFFFF"/>
        </w:rPr>
        <w:t>Di Toro, B. M. (2016). </w:t>
      </w:r>
      <w:r w:rsidRPr="00895799">
        <w:rPr>
          <w:i/>
          <w:iCs/>
          <w:color w:val="000000" w:themeColor="text1"/>
          <w:sz w:val="20"/>
          <w:szCs w:val="20"/>
          <w:shd w:val="clear" w:color="auto" w:fill="FFFFFF"/>
        </w:rPr>
        <w:t>A pilot study of feasibility factors in mindfulness-based cognitive therapy in depressed primary care patients </w:t>
      </w:r>
      <w:r w:rsidRPr="00895799">
        <w:rPr>
          <w:color w:val="000000" w:themeColor="text1"/>
          <w:sz w:val="20"/>
          <w:szCs w:val="20"/>
          <w:shd w:val="clear" w:color="auto" w:fill="FFFFFF"/>
        </w:rPr>
        <w:t>(Order No. 10112687). Available from ProQuest Dissertations &amp; Theses A&amp;I. (1794655942). Retrieved from https://search-proquest-com.ezproxy.uws.edu.au/docview/1794655942?accountid=36155</w:t>
      </w:r>
    </w:p>
    <w:p w14:paraId="676D5EE4" w14:textId="77777777" w:rsidR="00694F1E" w:rsidRPr="00895799" w:rsidRDefault="00694F1E" w:rsidP="00895799">
      <w:pPr>
        <w:spacing w:line="480" w:lineRule="auto"/>
        <w:ind w:left="567" w:hanging="567"/>
        <w:rPr>
          <w:color w:val="222222"/>
          <w:sz w:val="20"/>
          <w:szCs w:val="20"/>
          <w:shd w:val="clear" w:color="auto" w:fill="FFFFFF"/>
        </w:rPr>
      </w:pPr>
      <w:r w:rsidRPr="00895799">
        <w:rPr>
          <w:color w:val="222222"/>
          <w:sz w:val="20"/>
          <w:szCs w:val="20"/>
          <w:shd w:val="clear" w:color="auto" w:fill="FFFFFF"/>
        </w:rPr>
        <w:t xml:space="preserve">Geiger, P. J., </w:t>
      </w:r>
      <w:proofErr w:type="spellStart"/>
      <w:r w:rsidRPr="00895799">
        <w:rPr>
          <w:color w:val="222222"/>
          <w:sz w:val="20"/>
          <w:szCs w:val="20"/>
          <w:shd w:val="clear" w:color="auto" w:fill="FFFFFF"/>
        </w:rPr>
        <w:t>Boggero</w:t>
      </w:r>
      <w:proofErr w:type="spellEnd"/>
      <w:r w:rsidRPr="00895799">
        <w:rPr>
          <w:color w:val="222222"/>
          <w:sz w:val="20"/>
          <w:szCs w:val="20"/>
          <w:shd w:val="clear" w:color="auto" w:fill="FFFFFF"/>
        </w:rPr>
        <w:t>, I. A., Brake, C. A., Caldera, C. A., Combs, H. L., Peters, J. R., &amp; Baer, R. A. (2016). Mindfulness-based interventions for older adults: a review of the effects on physical and emotional well-being. </w:t>
      </w:r>
      <w:r w:rsidRPr="00895799">
        <w:rPr>
          <w:i/>
          <w:iCs/>
          <w:color w:val="222222"/>
          <w:sz w:val="20"/>
          <w:szCs w:val="20"/>
          <w:shd w:val="clear" w:color="auto" w:fill="FFFFFF"/>
        </w:rPr>
        <w:t>Mindfulness</w:t>
      </w:r>
      <w:r w:rsidRPr="00895799">
        <w:rPr>
          <w:color w:val="222222"/>
          <w:sz w:val="20"/>
          <w:szCs w:val="20"/>
          <w:shd w:val="clear" w:color="auto" w:fill="FFFFFF"/>
        </w:rPr>
        <w:t>, </w:t>
      </w:r>
      <w:r w:rsidRPr="00895799">
        <w:rPr>
          <w:i/>
          <w:iCs/>
          <w:color w:val="222222"/>
          <w:sz w:val="20"/>
          <w:szCs w:val="20"/>
          <w:shd w:val="clear" w:color="auto" w:fill="FFFFFF"/>
        </w:rPr>
        <w:t>7</w:t>
      </w:r>
      <w:r w:rsidRPr="00895799">
        <w:rPr>
          <w:color w:val="222222"/>
          <w:sz w:val="20"/>
          <w:szCs w:val="20"/>
          <w:shd w:val="clear" w:color="auto" w:fill="FFFFFF"/>
        </w:rPr>
        <w:t>(2), 296-307.</w:t>
      </w:r>
    </w:p>
    <w:p w14:paraId="7B08E240" w14:textId="3EC01585" w:rsidR="007460D1" w:rsidRPr="00895799" w:rsidRDefault="007460D1" w:rsidP="00895799">
      <w:pPr>
        <w:spacing w:line="480" w:lineRule="auto"/>
        <w:ind w:left="567" w:hanging="567"/>
        <w:rPr>
          <w:sz w:val="20"/>
          <w:szCs w:val="20"/>
        </w:rPr>
      </w:pPr>
      <w:r w:rsidRPr="00895799">
        <w:rPr>
          <w:color w:val="222222"/>
          <w:sz w:val="20"/>
          <w:szCs w:val="20"/>
          <w:shd w:val="clear" w:color="auto" w:fill="FFFFFF"/>
        </w:rPr>
        <w:t xml:space="preserve">Gross, J. J. (1998). </w:t>
      </w:r>
      <w:r w:rsidR="00BB2BCD" w:rsidRPr="00895799">
        <w:rPr>
          <w:color w:val="222222"/>
          <w:sz w:val="20"/>
          <w:szCs w:val="20"/>
          <w:shd w:val="clear" w:color="auto" w:fill="FFFFFF"/>
        </w:rPr>
        <w:t>The emerging field of emotion regulation: An integrative review. </w:t>
      </w:r>
      <w:r w:rsidR="00BB2BCD" w:rsidRPr="00895799">
        <w:rPr>
          <w:i/>
          <w:iCs/>
          <w:color w:val="222222"/>
          <w:sz w:val="20"/>
          <w:szCs w:val="20"/>
          <w:shd w:val="clear" w:color="auto" w:fill="FFFFFF"/>
        </w:rPr>
        <w:t>Review of General Psychology</w:t>
      </w:r>
      <w:r w:rsidR="00BB2BCD" w:rsidRPr="00895799">
        <w:rPr>
          <w:color w:val="222222"/>
          <w:sz w:val="20"/>
          <w:szCs w:val="20"/>
          <w:shd w:val="clear" w:color="auto" w:fill="FFFFFF"/>
        </w:rPr>
        <w:t>, </w:t>
      </w:r>
      <w:r w:rsidR="00BB2BCD" w:rsidRPr="00895799">
        <w:rPr>
          <w:i/>
          <w:iCs/>
          <w:color w:val="222222"/>
          <w:sz w:val="20"/>
          <w:szCs w:val="20"/>
          <w:shd w:val="clear" w:color="auto" w:fill="FFFFFF"/>
        </w:rPr>
        <w:t>2</w:t>
      </w:r>
      <w:r w:rsidR="00BB2BCD" w:rsidRPr="00895799">
        <w:rPr>
          <w:color w:val="222222"/>
          <w:sz w:val="20"/>
          <w:szCs w:val="20"/>
          <w:shd w:val="clear" w:color="auto" w:fill="FFFFFF"/>
        </w:rPr>
        <w:t xml:space="preserve">(3), 271-299. </w:t>
      </w:r>
      <w:proofErr w:type="spellStart"/>
      <w:proofErr w:type="gramStart"/>
      <w:r w:rsidR="00BB2BCD" w:rsidRPr="00895799">
        <w:rPr>
          <w:color w:val="000000" w:themeColor="text1"/>
          <w:sz w:val="20"/>
          <w:szCs w:val="20"/>
          <w:shd w:val="clear" w:color="auto" w:fill="FFFFFF"/>
        </w:rPr>
        <w:t>doi</w:t>
      </w:r>
      <w:proofErr w:type="spellEnd"/>
      <w:proofErr w:type="gramEnd"/>
      <w:r w:rsidR="00BB2BCD" w:rsidRPr="00895799">
        <w:rPr>
          <w:color w:val="000000" w:themeColor="text1"/>
          <w:sz w:val="20"/>
          <w:szCs w:val="20"/>
          <w:shd w:val="clear" w:color="auto" w:fill="FFFFFF"/>
        </w:rPr>
        <w:t>: 10.1037/1089-2680.2.3.271</w:t>
      </w:r>
    </w:p>
    <w:p w14:paraId="69DE415E" w14:textId="77777777"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Gross, J. J., &amp; John, O. P. (2003). Individual differences in two emotion regulation processes: implications for affect, relationships, and well-being. </w:t>
      </w:r>
      <w:r w:rsidRPr="00895799">
        <w:rPr>
          <w:i/>
          <w:iCs/>
          <w:color w:val="222222"/>
          <w:sz w:val="20"/>
          <w:szCs w:val="20"/>
          <w:shd w:val="clear" w:color="auto" w:fill="FFFFFF"/>
        </w:rPr>
        <w:t>Journal of Personality and Social Psychology</w:t>
      </w:r>
      <w:r w:rsidRPr="00895799">
        <w:rPr>
          <w:color w:val="222222"/>
          <w:sz w:val="20"/>
          <w:szCs w:val="20"/>
          <w:shd w:val="clear" w:color="auto" w:fill="FFFFFF"/>
        </w:rPr>
        <w:t>, </w:t>
      </w:r>
      <w:r w:rsidRPr="00895799">
        <w:rPr>
          <w:i/>
          <w:iCs/>
          <w:color w:val="222222"/>
          <w:sz w:val="20"/>
          <w:szCs w:val="20"/>
          <w:shd w:val="clear" w:color="auto" w:fill="FFFFFF"/>
        </w:rPr>
        <w:t>85</w:t>
      </w:r>
      <w:r w:rsidRPr="00895799">
        <w:rPr>
          <w:color w:val="222222"/>
          <w:sz w:val="20"/>
          <w:szCs w:val="20"/>
          <w:shd w:val="clear" w:color="auto" w:fill="FFFFFF"/>
        </w:rPr>
        <w:t xml:space="preserve">(2), 348-362.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shd w:val="clear" w:color="auto" w:fill="FFFFFF"/>
        </w:rPr>
        <w:t>10.1037/0022-3514.85.2.348</w:t>
      </w:r>
    </w:p>
    <w:p w14:paraId="0E7EAC9C" w14:textId="77777777"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Hayes, A. M., &amp; Feldman, G. (2004). Clarifying the construct of mindfulness in the context of emotion regulation and the process of change in therapy. </w:t>
      </w:r>
      <w:r w:rsidRPr="00895799">
        <w:rPr>
          <w:i/>
          <w:iCs/>
          <w:color w:val="222222"/>
          <w:sz w:val="20"/>
          <w:szCs w:val="20"/>
          <w:shd w:val="clear" w:color="auto" w:fill="FFFFFF"/>
        </w:rPr>
        <w:t>Clinical Psychology: Science and Practice</w:t>
      </w:r>
      <w:r w:rsidRPr="00895799">
        <w:rPr>
          <w:color w:val="222222"/>
          <w:sz w:val="20"/>
          <w:szCs w:val="20"/>
          <w:shd w:val="clear" w:color="auto" w:fill="FFFFFF"/>
        </w:rPr>
        <w:t>, </w:t>
      </w:r>
      <w:r w:rsidRPr="00895799">
        <w:rPr>
          <w:i/>
          <w:iCs/>
          <w:color w:val="222222"/>
          <w:sz w:val="20"/>
          <w:szCs w:val="20"/>
          <w:shd w:val="clear" w:color="auto" w:fill="FFFFFF"/>
        </w:rPr>
        <w:t>11</w:t>
      </w:r>
      <w:r w:rsidRPr="00895799">
        <w:rPr>
          <w:color w:val="222222"/>
          <w:sz w:val="20"/>
          <w:szCs w:val="20"/>
          <w:shd w:val="clear" w:color="auto" w:fill="FFFFFF"/>
        </w:rPr>
        <w:t xml:space="preserve">(3), 255-262.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color w:val="333333"/>
          <w:sz w:val="20"/>
          <w:szCs w:val="20"/>
          <w:shd w:val="clear" w:color="auto" w:fill="FFFFFF"/>
        </w:rPr>
        <w:t>10.1093/clipsy.bph080</w:t>
      </w:r>
    </w:p>
    <w:p w14:paraId="2CB0A102" w14:textId="77777777" w:rsidR="00694F1E" w:rsidRPr="00895799" w:rsidRDefault="00694F1E" w:rsidP="00895799">
      <w:pPr>
        <w:spacing w:line="480" w:lineRule="auto"/>
        <w:ind w:left="567" w:hanging="567"/>
        <w:rPr>
          <w:sz w:val="20"/>
          <w:szCs w:val="20"/>
        </w:rPr>
      </w:pPr>
      <w:proofErr w:type="spellStart"/>
      <w:r w:rsidRPr="00895799">
        <w:rPr>
          <w:color w:val="222222"/>
          <w:sz w:val="20"/>
          <w:szCs w:val="20"/>
          <w:shd w:val="clear" w:color="auto" w:fill="FFFFFF"/>
        </w:rPr>
        <w:lastRenderedPageBreak/>
        <w:t>Hohaus</w:t>
      </w:r>
      <w:proofErr w:type="spellEnd"/>
      <w:r w:rsidRPr="00895799">
        <w:rPr>
          <w:color w:val="222222"/>
          <w:sz w:val="20"/>
          <w:szCs w:val="20"/>
          <w:shd w:val="clear" w:color="auto" w:fill="FFFFFF"/>
        </w:rPr>
        <w:t xml:space="preserve">, L. C., &amp; Spark, J. (2013). </w:t>
      </w:r>
      <w:proofErr w:type="gramStart"/>
      <w:r w:rsidRPr="00895799">
        <w:rPr>
          <w:color w:val="222222"/>
          <w:sz w:val="20"/>
          <w:szCs w:val="20"/>
          <w:shd w:val="clear" w:color="auto" w:fill="FFFFFF"/>
        </w:rPr>
        <w:t>2672–Getting</w:t>
      </w:r>
      <w:proofErr w:type="gramEnd"/>
      <w:r w:rsidRPr="00895799">
        <w:rPr>
          <w:color w:val="222222"/>
          <w:sz w:val="20"/>
          <w:szCs w:val="20"/>
          <w:shd w:val="clear" w:color="auto" w:fill="FFFFFF"/>
        </w:rPr>
        <w:t xml:space="preserve"> better with age: do mindfulness &amp; psychological well-being improve in old age? </w:t>
      </w:r>
      <w:r w:rsidRPr="00895799">
        <w:rPr>
          <w:i/>
          <w:iCs/>
          <w:color w:val="222222"/>
          <w:sz w:val="20"/>
          <w:szCs w:val="20"/>
          <w:shd w:val="clear" w:color="auto" w:fill="FFFFFF"/>
        </w:rPr>
        <w:t>European Psychiatry</w:t>
      </w:r>
      <w:r w:rsidRPr="00895799">
        <w:rPr>
          <w:color w:val="222222"/>
          <w:sz w:val="20"/>
          <w:szCs w:val="20"/>
          <w:shd w:val="clear" w:color="auto" w:fill="FFFFFF"/>
        </w:rPr>
        <w:t>, </w:t>
      </w:r>
      <w:r w:rsidRPr="00895799">
        <w:rPr>
          <w:i/>
          <w:iCs/>
          <w:color w:val="222222"/>
          <w:sz w:val="20"/>
          <w:szCs w:val="20"/>
          <w:shd w:val="clear" w:color="auto" w:fill="FFFFFF"/>
        </w:rPr>
        <w:t>28</w:t>
      </w:r>
      <w:r w:rsidRPr="00895799">
        <w:rPr>
          <w:color w:val="222222"/>
          <w:sz w:val="20"/>
          <w:szCs w:val="20"/>
          <w:shd w:val="clear" w:color="auto" w:fill="FFFFFF"/>
        </w:rPr>
        <w:t xml:space="preserve">, 1-13.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rPr>
        <w:t>10.1016/S0924-9338(13)77295-X</w:t>
      </w:r>
    </w:p>
    <w:p w14:paraId="0F1D9662" w14:textId="77777777"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John, O. P., &amp; Gross, J. J. (2004). Healthy and unhealthy emotion regulation: Personality processes, individual differences, and life span development. </w:t>
      </w:r>
      <w:r w:rsidRPr="00895799">
        <w:rPr>
          <w:i/>
          <w:iCs/>
          <w:color w:val="222222"/>
          <w:sz w:val="20"/>
          <w:szCs w:val="20"/>
          <w:shd w:val="clear" w:color="auto" w:fill="FFFFFF"/>
        </w:rPr>
        <w:t>Journal of Personality</w:t>
      </w:r>
      <w:r w:rsidRPr="00895799">
        <w:rPr>
          <w:color w:val="222222"/>
          <w:sz w:val="20"/>
          <w:szCs w:val="20"/>
          <w:shd w:val="clear" w:color="auto" w:fill="FFFFFF"/>
        </w:rPr>
        <w:t>, </w:t>
      </w:r>
      <w:r w:rsidRPr="00895799">
        <w:rPr>
          <w:i/>
          <w:iCs/>
          <w:color w:val="222222"/>
          <w:sz w:val="20"/>
          <w:szCs w:val="20"/>
          <w:shd w:val="clear" w:color="auto" w:fill="FFFFFF"/>
        </w:rPr>
        <w:t>72</w:t>
      </w:r>
      <w:r w:rsidRPr="00895799">
        <w:rPr>
          <w:color w:val="222222"/>
          <w:sz w:val="20"/>
          <w:szCs w:val="20"/>
          <w:shd w:val="clear" w:color="auto" w:fill="FFFFFF"/>
        </w:rPr>
        <w:t xml:space="preserve">(6), 1301-1334.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color w:val="333333"/>
          <w:sz w:val="20"/>
          <w:szCs w:val="20"/>
          <w:shd w:val="clear" w:color="auto" w:fill="FFFFFF"/>
        </w:rPr>
        <w:t>10.1111/j.1467-6494.2004.00298.x</w:t>
      </w:r>
    </w:p>
    <w:p w14:paraId="7D1EDA1B" w14:textId="77777777" w:rsidR="00694F1E" w:rsidRPr="00895799" w:rsidRDefault="00694F1E" w:rsidP="00895799">
      <w:pPr>
        <w:spacing w:line="480" w:lineRule="auto"/>
        <w:ind w:left="567" w:hanging="567"/>
        <w:rPr>
          <w:color w:val="222222"/>
          <w:sz w:val="20"/>
          <w:szCs w:val="20"/>
        </w:rPr>
      </w:pPr>
      <w:proofErr w:type="spellStart"/>
      <w:r w:rsidRPr="00895799">
        <w:rPr>
          <w:color w:val="222222"/>
          <w:sz w:val="20"/>
          <w:szCs w:val="20"/>
        </w:rPr>
        <w:t>Kabat</w:t>
      </w:r>
      <w:proofErr w:type="spellEnd"/>
      <w:r w:rsidRPr="00895799">
        <w:rPr>
          <w:color w:val="222222"/>
          <w:sz w:val="20"/>
          <w:szCs w:val="20"/>
        </w:rPr>
        <w:t>-Zinn, J. (1994). Wherever you go. </w:t>
      </w:r>
      <w:r w:rsidRPr="00895799">
        <w:rPr>
          <w:i/>
          <w:iCs/>
          <w:color w:val="222222"/>
          <w:sz w:val="20"/>
          <w:szCs w:val="20"/>
        </w:rPr>
        <w:t xml:space="preserve">There You </w:t>
      </w:r>
      <w:proofErr w:type="gramStart"/>
      <w:r w:rsidRPr="00895799">
        <w:rPr>
          <w:i/>
          <w:iCs/>
          <w:color w:val="222222"/>
          <w:sz w:val="20"/>
          <w:szCs w:val="20"/>
        </w:rPr>
        <w:t>Are:</w:t>
      </w:r>
      <w:proofErr w:type="gramEnd"/>
      <w:r w:rsidRPr="00895799">
        <w:rPr>
          <w:i/>
          <w:iCs/>
          <w:color w:val="222222"/>
          <w:sz w:val="20"/>
          <w:szCs w:val="20"/>
        </w:rPr>
        <w:t xml:space="preserve"> Mindfulness Meditation in Everyday Life</w:t>
      </w:r>
      <w:r w:rsidRPr="00895799">
        <w:rPr>
          <w:color w:val="222222"/>
          <w:sz w:val="20"/>
          <w:szCs w:val="20"/>
        </w:rPr>
        <w:t>. New York, NY: Hachette Books.</w:t>
      </w:r>
    </w:p>
    <w:p w14:paraId="23A239F8" w14:textId="77777777"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 xml:space="preserve">Kline, R. B. (2004). </w:t>
      </w:r>
      <w:proofErr w:type="gramStart"/>
      <w:r w:rsidRPr="00895799">
        <w:rPr>
          <w:i/>
          <w:color w:val="222222"/>
          <w:sz w:val="20"/>
          <w:szCs w:val="20"/>
          <w:shd w:val="clear" w:color="auto" w:fill="FFFFFF"/>
        </w:rPr>
        <w:t>What's</w:t>
      </w:r>
      <w:proofErr w:type="gramEnd"/>
      <w:r w:rsidRPr="00895799">
        <w:rPr>
          <w:i/>
          <w:color w:val="222222"/>
          <w:sz w:val="20"/>
          <w:szCs w:val="20"/>
          <w:shd w:val="clear" w:color="auto" w:fill="FFFFFF"/>
        </w:rPr>
        <w:t xml:space="preserve"> wrong with statistical tests and where we go from here. </w:t>
      </w:r>
      <w:r w:rsidRPr="00895799">
        <w:rPr>
          <w:color w:val="222222"/>
          <w:sz w:val="20"/>
          <w:szCs w:val="20"/>
          <w:shd w:val="clear" w:color="auto" w:fill="FFFFFF"/>
        </w:rPr>
        <w:t>Carolina, US: East Carolina University.</w:t>
      </w:r>
    </w:p>
    <w:p w14:paraId="219691D3" w14:textId="77777777"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 xml:space="preserve">Mackinnon, A., </w:t>
      </w:r>
      <w:proofErr w:type="spellStart"/>
      <w:r w:rsidRPr="00895799">
        <w:rPr>
          <w:color w:val="222222"/>
          <w:sz w:val="20"/>
          <w:szCs w:val="20"/>
          <w:shd w:val="clear" w:color="auto" w:fill="FFFFFF"/>
        </w:rPr>
        <w:t>Jorm</w:t>
      </w:r>
      <w:proofErr w:type="spellEnd"/>
      <w:r w:rsidRPr="00895799">
        <w:rPr>
          <w:color w:val="222222"/>
          <w:sz w:val="20"/>
          <w:szCs w:val="20"/>
          <w:shd w:val="clear" w:color="auto" w:fill="FFFFFF"/>
        </w:rPr>
        <w:t xml:space="preserve">, A. F., Christensen, H., </w:t>
      </w:r>
      <w:proofErr w:type="spellStart"/>
      <w:r w:rsidRPr="00895799">
        <w:rPr>
          <w:color w:val="222222"/>
          <w:sz w:val="20"/>
          <w:szCs w:val="20"/>
          <w:shd w:val="clear" w:color="auto" w:fill="FFFFFF"/>
        </w:rPr>
        <w:t>Korten</w:t>
      </w:r>
      <w:proofErr w:type="spellEnd"/>
      <w:r w:rsidRPr="00895799">
        <w:rPr>
          <w:color w:val="222222"/>
          <w:sz w:val="20"/>
          <w:szCs w:val="20"/>
          <w:shd w:val="clear" w:color="auto" w:fill="FFFFFF"/>
        </w:rPr>
        <w:t xml:space="preserve">, A. E., </w:t>
      </w:r>
      <w:proofErr w:type="spellStart"/>
      <w:r w:rsidRPr="00895799">
        <w:rPr>
          <w:color w:val="222222"/>
          <w:sz w:val="20"/>
          <w:szCs w:val="20"/>
          <w:shd w:val="clear" w:color="auto" w:fill="FFFFFF"/>
        </w:rPr>
        <w:t>Jacomb</w:t>
      </w:r>
      <w:proofErr w:type="spellEnd"/>
      <w:r w:rsidRPr="00895799">
        <w:rPr>
          <w:color w:val="222222"/>
          <w:sz w:val="20"/>
          <w:szCs w:val="20"/>
          <w:shd w:val="clear" w:color="auto" w:fill="FFFFFF"/>
        </w:rPr>
        <w:t>, P. A., &amp; Rodgers, B. (1999). A short form of the Positive and Negative Affect Schedule: Evaluation of factorial validity and invariance across demographic variables in a community sample. </w:t>
      </w:r>
      <w:r w:rsidRPr="00895799">
        <w:rPr>
          <w:i/>
          <w:iCs/>
          <w:color w:val="222222"/>
          <w:sz w:val="20"/>
          <w:szCs w:val="20"/>
          <w:shd w:val="clear" w:color="auto" w:fill="FFFFFF"/>
        </w:rPr>
        <w:t>Personality and Individual Differences</w:t>
      </w:r>
      <w:r w:rsidRPr="00895799">
        <w:rPr>
          <w:color w:val="222222"/>
          <w:sz w:val="20"/>
          <w:szCs w:val="20"/>
          <w:shd w:val="clear" w:color="auto" w:fill="FFFFFF"/>
        </w:rPr>
        <w:t>, </w:t>
      </w:r>
      <w:r w:rsidRPr="00895799">
        <w:rPr>
          <w:i/>
          <w:iCs/>
          <w:color w:val="222222"/>
          <w:sz w:val="20"/>
          <w:szCs w:val="20"/>
          <w:shd w:val="clear" w:color="auto" w:fill="FFFFFF"/>
        </w:rPr>
        <w:t>27</w:t>
      </w:r>
      <w:r w:rsidRPr="00895799">
        <w:rPr>
          <w:color w:val="222222"/>
          <w:sz w:val="20"/>
          <w:szCs w:val="20"/>
          <w:shd w:val="clear" w:color="auto" w:fill="FFFFFF"/>
        </w:rPr>
        <w:t xml:space="preserve">(3), 405-416.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rPr>
        <w:t>10.1016/S0191-8869(98)00251-7</w:t>
      </w:r>
    </w:p>
    <w:p w14:paraId="54016AA2" w14:textId="72CCA4F5" w:rsidR="001B049E" w:rsidRPr="00895799" w:rsidRDefault="001B049E" w:rsidP="00895799">
      <w:pPr>
        <w:spacing w:line="480" w:lineRule="auto"/>
        <w:ind w:left="567" w:hanging="567"/>
        <w:jc w:val="both"/>
        <w:rPr>
          <w:sz w:val="20"/>
          <w:szCs w:val="20"/>
        </w:rPr>
      </w:pPr>
      <w:proofErr w:type="spellStart"/>
      <w:r w:rsidRPr="00895799">
        <w:rPr>
          <w:color w:val="222222"/>
          <w:sz w:val="20"/>
          <w:szCs w:val="20"/>
          <w:shd w:val="clear" w:color="auto" w:fill="FFFFFF"/>
        </w:rPr>
        <w:t>Mallya</w:t>
      </w:r>
      <w:proofErr w:type="spellEnd"/>
      <w:r w:rsidRPr="00895799">
        <w:rPr>
          <w:color w:val="222222"/>
          <w:sz w:val="20"/>
          <w:szCs w:val="20"/>
          <w:shd w:val="clear" w:color="auto" w:fill="FFFFFF"/>
        </w:rPr>
        <w:t xml:space="preserve">, S., &amp; </w:t>
      </w:r>
      <w:proofErr w:type="spellStart"/>
      <w:r w:rsidRPr="00895799">
        <w:rPr>
          <w:color w:val="222222"/>
          <w:sz w:val="20"/>
          <w:szCs w:val="20"/>
          <w:shd w:val="clear" w:color="auto" w:fill="FFFFFF"/>
        </w:rPr>
        <w:t>Fiocco</w:t>
      </w:r>
      <w:proofErr w:type="spellEnd"/>
      <w:r w:rsidRPr="00895799">
        <w:rPr>
          <w:color w:val="222222"/>
          <w:sz w:val="20"/>
          <w:szCs w:val="20"/>
          <w:shd w:val="clear" w:color="auto" w:fill="FFFFFF"/>
        </w:rPr>
        <w:t>, A. J. (2016). Effects of mindfulness training on cognition and well-being in healthy older adults. </w:t>
      </w:r>
      <w:r w:rsidRPr="00895799">
        <w:rPr>
          <w:i/>
          <w:iCs/>
          <w:color w:val="222222"/>
          <w:sz w:val="20"/>
          <w:szCs w:val="20"/>
          <w:shd w:val="clear" w:color="auto" w:fill="FFFFFF"/>
        </w:rPr>
        <w:t>Mindfulness</w:t>
      </w:r>
      <w:r w:rsidRPr="00895799">
        <w:rPr>
          <w:color w:val="222222"/>
          <w:sz w:val="20"/>
          <w:szCs w:val="20"/>
          <w:shd w:val="clear" w:color="auto" w:fill="FFFFFF"/>
        </w:rPr>
        <w:t>, </w:t>
      </w:r>
      <w:r w:rsidRPr="00895799">
        <w:rPr>
          <w:i/>
          <w:iCs/>
          <w:color w:val="222222"/>
          <w:sz w:val="20"/>
          <w:szCs w:val="20"/>
          <w:shd w:val="clear" w:color="auto" w:fill="FFFFFF"/>
        </w:rPr>
        <w:t>7</w:t>
      </w:r>
      <w:r w:rsidRPr="00895799">
        <w:rPr>
          <w:color w:val="222222"/>
          <w:sz w:val="20"/>
          <w:szCs w:val="20"/>
          <w:shd w:val="clear" w:color="auto" w:fill="FFFFFF"/>
        </w:rPr>
        <w:t xml:space="preserve">(2), 453-465.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color w:val="333333"/>
          <w:spacing w:val="4"/>
          <w:sz w:val="20"/>
          <w:szCs w:val="20"/>
          <w:shd w:val="clear" w:color="auto" w:fill="FCFCFC"/>
        </w:rPr>
        <w:t>10.1007/s12671-015-0468-6</w:t>
      </w:r>
    </w:p>
    <w:p w14:paraId="4571489A" w14:textId="2FE133FB"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t xml:space="preserve">Prakash, R. S., De Leon, A. A., Patterson, B., </w:t>
      </w:r>
      <w:proofErr w:type="spellStart"/>
      <w:r w:rsidRPr="00895799">
        <w:rPr>
          <w:color w:val="222222"/>
          <w:sz w:val="20"/>
          <w:szCs w:val="20"/>
          <w:shd w:val="clear" w:color="auto" w:fill="FFFFFF"/>
        </w:rPr>
        <w:t>Schirda</w:t>
      </w:r>
      <w:proofErr w:type="spellEnd"/>
      <w:r w:rsidRPr="00895799">
        <w:rPr>
          <w:color w:val="222222"/>
          <w:sz w:val="20"/>
          <w:szCs w:val="20"/>
          <w:shd w:val="clear" w:color="auto" w:fill="FFFFFF"/>
        </w:rPr>
        <w:t>, B. L., &amp; Janssen, A. L. (2014). Mindfulness and the aging brain: a proposed paradigm shift. </w:t>
      </w:r>
      <w:r w:rsidRPr="00895799">
        <w:rPr>
          <w:i/>
          <w:iCs/>
          <w:color w:val="222222"/>
          <w:sz w:val="20"/>
          <w:szCs w:val="20"/>
          <w:shd w:val="clear" w:color="auto" w:fill="FFFFFF"/>
        </w:rPr>
        <w:t>Frontiers in Aging Neuroscience</w:t>
      </w:r>
      <w:r w:rsidRPr="00895799">
        <w:rPr>
          <w:color w:val="222222"/>
          <w:sz w:val="20"/>
          <w:szCs w:val="20"/>
          <w:shd w:val="clear" w:color="auto" w:fill="FFFFFF"/>
        </w:rPr>
        <w:t>, </w:t>
      </w:r>
      <w:r w:rsidRPr="00895799">
        <w:rPr>
          <w:i/>
          <w:iCs/>
          <w:color w:val="222222"/>
          <w:sz w:val="20"/>
          <w:szCs w:val="20"/>
          <w:shd w:val="clear" w:color="auto" w:fill="FFFFFF"/>
        </w:rPr>
        <w:t>6</w:t>
      </w:r>
      <w:r w:rsidRPr="00895799">
        <w:rPr>
          <w:color w:val="222222"/>
          <w:sz w:val="20"/>
          <w:szCs w:val="20"/>
          <w:shd w:val="clear" w:color="auto" w:fill="FFFFFF"/>
        </w:rPr>
        <w:t xml:space="preserve">.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shd w:val="clear" w:color="auto" w:fill="FFFFFF"/>
        </w:rPr>
        <w:t>10.3389/fnagi.2014.00120</w:t>
      </w:r>
    </w:p>
    <w:p w14:paraId="25FB066D" w14:textId="77777777" w:rsidR="00694F1E" w:rsidRPr="00895799" w:rsidRDefault="00694F1E" w:rsidP="00895799">
      <w:pPr>
        <w:shd w:val="clear" w:color="auto" w:fill="FFFFFF"/>
        <w:spacing w:line="480" w:lineRule="auto"/>
        <w:ind w:left="567" w:hanging="567"/>
        <w:textAlignment w:val="top"/>
        <w:rPr>
          <w:color w:val="000000"/>
          <w:sz w:val="20"/>
          <w:szCs w:val="20"/>
        </w:rPr>
      </w:pPr>
      <w:r w:rsidRPr="00895799">
        <w:rPr>
          <w:color w:val="222222"/>
          <w:sz w:val="20"/>
          <w:szCs w:val="20"/>
          <w:shd w:val="clear" w:color="auto" w:fill="FFFFFF"/>
        </w:rPr>
        <w:t xml:space="preserve">Ritter, P., </w:t>
      </w:r>
      <w:proofErr w:type="spellStart"/>
      <w:r w:rsidRPr="00895799">
        <w:rPr>
          <w:color w:val="222222"/>
          <w:sz w:val="20"/>
          <w:szCs w:val="20"/>
          <w:shd w:val="clear" w:color="auto" w:fill="FFFFFF"/>
        </w:rPr>
        <w:t>Lorig</w:t>
      </w:r>
      <w:proofErr w:type="spellEnd"/>
      <w:r w:rsidRPr="00895799">
        <w:rPr>
          <w:color w:val="222222"/>
          <w:sz w:val="20"/>
          <w:szCs w:val="20"/>
          <w:shd w:val="clear" w:color="auto" w:fill="FFFFFF"/>
        </w:rPr>
        <w:t>, K., Laurent, D., &amp; Matthews, K. (2004). Internet versus mailed questionnaires: a randomized comparison. </w:t>
      </w:r>
      <w:r w:rsidRPr="00895799">
        <w:rPr>
          <w:i/>
          <w:iCs/>
          <w:color w:val="222222"/>
          <w:sz w:val="20"/>
          <w:szCs w:val="20"/>
          <w:shd w:val="clear" w:color="auto" w:fill="FFFFFF"/>
        </w:rPr>
        <w:t>Journal of Medical Internet Research</w:t>
      </w:r>
      <w:r w:rsidRPr="00895799">
        <w:rPr>
          <w:color w:val="222222"/>
          <w:sz w:val="20"/>
          <w:szCs w:val="20"/>
          <w:shd w:val="clear" w:color="auto" w:fill="FFFFFF"/>
        </w:rPr>
        <w:t>, </w:t>
      </w:r>
      <w:r w:rsidRPr="00895799">
        <w:rPr>
          <w:i/>
          <w:iCs/>
          <w:color w:val="222222"/>
          <w:sz w:val="20"/>
          <w:szCs w:val="20"/>
          <w:shd w:val="clear" w:color="auto" w:fill="FFFFFF"/>
        </w:rPr>
        <w:t>6</w:t>
      </w:r>
      <w:r w:rsidRPr="00895799">
        <w:rPr>
          <w:color w:val="222222"/>
          <w:sz w:val="20"/>
          <w:szCs w:val="20"/>
          <w:shd w:val="clear" w:color="auto" w:fill="FFFFFF"/>
        </w:rPr>
        <w:t xml:space="preserve">(3), e29.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rStyle w:val="doi"/>
          <w:color w:val="000000"/>
          <w:sz w:val="20"/>
          <w:szCs w:val="20"/>
        </w:rPr>
        <w:t>10.2196/jmir.6.3.e29</w:t>
      </w:r>
    </w:p>
    <w:p w14:paraId="2A324C34" w14:textId="77777777" w:rsidR="00694F1E" w:rsidRPr="00895799" w:rsidRDefault="00694F1E" w:rsidP="00895799">
      <w:pPr>
        <w:spacing w:line="480" w:lineRule="auto"/>
        <w:ind w:left="567" w:hanging="567"/>
        <w:rPr>
          <w:sz w:val="20"/>
          <w:szCs w:val="20"/>
        </w:rPr>
      </w:pPr>
      <w:proofErr w:type="spellStart"/>
      <w:r w:rsidRPr="00895799">
        <w:rPr>
          <w:sz w:val="20"/>
          <w:szCs w:val="20"/>
        </w:rPr>
        <w:t>Steiger</w:t>
      </w:r>
      <w:proofErr w:type="spellEnd"/>
      <w:r w:rsidRPr="00895799">
        <w:rPr>
          <w:sz w:val="20"/>
          <w:szCs w:val="20"/>
        </w:rPr>
        <w:t xml:space="preserve">, J. H., &amp; Lind, J. C. (1980). </w:t>
      </w:r>
      <w:r w:rsidRPr="00895799">
        <w:rPr>
          <w:i/>
          <w:sz w:val="20"/>
          <w:szCs w:val="20"/>
        </w:rPr>
        <w:t>Statistically based tests for the number of factors.</w:t>
      </w:r>
      <w:r w:rsidRPr="00895799">
        <w:rPr>
          <w:sz w:val="20"/>
          <w:szCs w:val="20"/>
        </w:rPr>
        <w:t xml:space="preserve"> Paper presented at the annual meeting of the Psychometric Society, Iowa City, IA. </w:t>
      </w:r>
    </w:p>
    <w:p w14:paraId="3B82C23E" w14:textId="0DC33E60" w:rsidR="00222A9E" w:rsidRPr="00895799" w:rsidRDefault="00222A9E" w:rsidP="00895799">
      <w:pPr>
        <w:spacing w:line="480" w:lineRule="auto"/>
        <w:ind w:left="567" w:hanging="567"/>
        <w:rPr>
          <w:sz w:val="20"/>
          <w:szCs w:val="20"/>
        </w:rPr>
      </w:pPr>
      <w:r w:rsidRPr="00895799">
        <w:rPr>
          <w:sz w:val="20"/>
          <w:szCs w:val="20"/>
        </w:rPr>
        <w:t xml:space="preserve">Tran, U. S., </w:t>
      </w:r>
      <w:proofErr w:type="spellStart"/>
      <w:r w:rsidRPr="00895799">
        <w:rPr>
          <w:sz w:val="20"/>
          <w:szCs w:val="20"/>
        </w:rPr>
        <w:t>Glück</w:t>
      </w:r>
      <w:proofErr w:type="spellEnd"/>
      <w:r w:rsidRPr="00895799">
        <w:rPr>
          <w:sz w:val="20"/>
          <w:szCs w:val="20"/>
        </w:rPr>
        <w:t xml:space="preserve">, T.M., &amp; Nader, I.W. (2013). Investigating the </w:t>
      </w:r>
      <w:proofErr w:type="gramStart"/>
      <w:r w:rsidRPr="00895799">
        <w:rPr>
          <w:sz w:val="20"/>
          <w:szCs w:val="20"/>
        </w:rPr>
        <w:t>five facet</w:t>
      </w:r>
      <w:proofErr w:type="gramEnd"/>
      <w:r w:rsidRPr="00895799">
        <w:rPr>
          <w:sz w:val="20"/>
          <w:szCs w:val="20"/>
        </w:rPr>
        <w:t xml:space="preserve"> mindfulness questionnaire (FFMQ): Construction of a short form and evidence of a two-factor higher order structure of mindfulness. </w:t>
      </w:r>
      <w:r w:rsidRPr="00895799">
        <w:rPr>
          <w:i/>
          <w:sz w:val="20"/>
          <w:szCs w:val="20"/>
        </w:rPr>
        <w:t>Journal of Clinical Psychology, 69</w:t>
      </w:r>
      <w:r w:rsidRPr="00895799">
        <w:rPr>
          <w:sz w:val="20"/>
          <w:szCs w:val="20"/>
        </w:rPr>
        <w:t xml:space="preserve">(9), </w:t>
      </w:r>
      <w:r w:rsidR="004239FC" w:rsidRPr="00895799">
        <w:rPr>
          <w:sz w:val="20"/>
          <w:szCs w:val="20"/>
        </w:rPr>
        <w:t xml:space="preserve">951-965. </w:t>
      </w:r>
      <w:proofErr w:type="spellStart"/>
      <w:proofErr w:type="gramStart"/>
      <w:r w:rsidR="004239FC" w:rsidRPr="00895799">
        <w:rPr>
          <w:sz w:val="20"/>
          <w:szCs w:val="20"/>
        </w:rPr>
        <w:t>doi</w:t>
      </w:r>
      <w:proofErr w:type="spellEnd"/>
      <w:proofErr w:type="gramEnd"/>
      <w:r w:rsidR="004239FC" w:rsidRPr="00895799">
        <w:rPr>
          <w:sz w:val="20"/>
          <w:szCs w:val="20"/>
        </w:rPr>
        <w:t>: 10.1002/jclp.21996</w:t>
      </w:r>
    </w:p>
    <w:p w14:paraId="004B5E36" w14:textId="3BF24143" w:rsidR="004239FC" w:rsidRPr="00895799" w:rsidRDefault="004239FC" w:rsidP="00895799">
      <w:pPr>
        <w:spacing w:line="480" w:lineRule="auto"/>
        <w:ind w:left="567" w:hanging="567"/>
        <w:rPr>
          <w:sz w:val="20"/>
          <w:szCs w:val="20"/>
        </w:rPr>
      </w:pPr>
      <w:r w:rsidRPr="00895799">
        <w:rPr>
          <w:sz w:val="20"/>
          <w:szCs w:val="20"/>
        </w:rPr>
        <w:t xml:space="preserve">Tran, U. S., </w:t>
      </w:r>
      <w:proofErr w:type="spellStart"/>
      <w:r w:rsidRPr="00895799">
        <w:rPr>
          <w:sz w:val="20"/>
          <w:szCs w:val="20"/>
        </w:rPr>
        <w:t>Cebolla</w:t>
      </w:r>
      <w:proofErr w:type="spellEnd"/>
      <w:r w:rsidRPr="00895799">
        <w:rPr>
          <w:sz w:val="20"/>
          <w:szCs w:val="20"/>
        </w:rPr>
        <w:t xml:space="preserve">, A., </w:t>
      </w:r>
      <w:proofErr w:type="spellStart"/>
      <w:r w:rsidRPr="00895799">
        <w:rPr>
          <w:sz w:val="20"/>
          <w:szCs w:val="20"/>
        </w:rPr>
        <w:t>Glück</w:t>
      </w:r>
      <w:proofErr w:type="spellEnd"/>
      <w:r w:rsidRPr="00895799">
        <w:rPr>
          <w:sz w:val="20"/>
          <w:szCs w:val="20"/>
        </w:rPr>
        <w:t xml:space="preserve">, T.M., </w:t>
      </w:r>
      <w:proofErr w:type="spellStart"/>
      <w:r w:rsidRPr="00895799">
        <w:rPr>
          <w:sz w:val="20"/>
          <w:szCs w:val="20"/>
        </w:rPr>
        <w:t>Soler</w:t>
      </w:r>
      <w:proofErr w:type="spellEnd"/>
      <w:r w:rsidRPr="00895799">
        <w:rPr>
          <w:sz w:val="20"/>
          <w:szCs w:val="20"/>
        </w:rPr>
        <w:t>, J., Garcia-</w:t>
      </w:r>
      <w:proofErr w:type="spellStart"/>
      <w:r w:rsidRPr="00895799">
        <w:rPr>
          <w:sz w:val="20"/>
          <w:szCs w:val="20"/>
        </w:rPr>
        <w:t>Campayo</w:t>
      </w:r>
      <w:proofErr w:type="spellEnd"/>
      <w:r w:rsidRPr="00895799">
        <w:rPr>
          <w:sz w:val="20"/>
          <w:szCs w:val="20"/>
        </w:rPr>
        <w:t xml:space="preserve">, J., &amp; von Moy, T. (2014). The serenity of the meditating mind: A cross-cultural psychometric study on a two-factor higher order structure of mindfulness, its effects, and mechanisms related to mental health among experienced meditators. </w:t>
      </w:r>
      <w:r w:rsidRPr="00895799">
        <w:rPr>
          <w:i/>
          <w:sz w:val="20"/>
          <w:szCs w:val="20"/>
        </w:rPr>
        <w:t>PLOS ONE, 9</w:t>
      </w:r>
      <w:r w:rsidRPr="00895799">
        <w:rPr>
          <w:sz w:val="20"/>
          <w:szCs w:val="20"/>
        </w:rPr>
        <w:t>(10), e110192.</w:t>
      </w:r>
    </w:p>
    <w:p w14:paraId="66A2411A" w14:textId="6669E4E1" w:rsidR="00694F1E" w:rsidRPr="00895799" w:rsidRDefault="00694F1E" w:rsidP="00895799">
      <w:pPr>
        <w:spacing w:line="480" w:lineRule="auto"/>
        <w:ind w:left="567" w:hanging="567"/>
        <w:rPr>
          <w:sz w:val="20"/>
          <w:szCs w:val="20"/>
        </w:rPr>
      </w:pPr>
      <w:r w:rsidRPr="00895799">
        <w:rPr>
          <w:color w:val="222222"/>
          <w:sz w:val="20"/>
          <w:szCs w:val="20"/>
          <w:shd w:val="clear" w:color="auto" w:fill="FFFFFF"/>
        </w:rPr>
        <w:lastRenderedPageBreak/>
        <w:t>Tucker, L. R., &amp; Lewis, C. (1973). A reliability coefficient for maximum likelihood factor analysis. </w:t>
      </w:r>
      <w:proofErr w:type="spellStart"/>
      <w:r w:rsidRPr="00895799">
        <w:rPr>
          <w:i/>
          <w:iCs/>
          <w:color w:val="222222"/>
          <w:sz w:val="20"/>
          <w:szCs w:val="20"/>
          <w:shd w:val="clear" w:color="auto" w:fill="FFFFFF"/>
        </w:rPr>
        <w:t>Psychometrika</w:t>
      </w:r>
      <w:proofErr w:type="spellEnd"/>
      <w:r w:rsidRPr="00895799">
        <w:rPr>
          <w:color w:val="222222"/>
          <w:sz w:val="20"/>
          <w:szCs w:val="20"/>
          <w:shd w:val="clear" w:color="auto" w:fill="FFFFFF"/>
        </w:rPr>
        <w:t>, </w:t>
      </w:r>
      <w:r w:rsidRPr="00895799">
        <w:rPr>
          <w:i/>
          <w:iCs/>
          <w:color w:val="222222"/>
          <w:sz w:val="20"/>
          <w:szCs w:val="20"/>
          <w:shd w:val="clear" w:color="auto" w:fill="FFFFFF"/>
        </w:rPr>
        <w:t>38</w:t>
      </w:r>
      <w:r w:rsidRPr="00895799">
        <w:rPr>
          <w:color w:val="222222"/>
          <w:sz w:val="20"/>
          <w:szCs w:val="20"/>
          <w:shd w:val="clear" w:color="auto" w:fill="FFFFFF"/>
        </w:rPr>
        <w:t>, 1-10.</w:t>
      </w:r>
    </w:p>
    <w:p w14:paraId="79A876F5" w14:textId="77777777" w:rsidR="00694F1E" w:rsidRPr="00895799" w:rsidRDefault="00694F1E" w:rsidP="00895799">
      <w:pPr>
        <w:spacing w:line="480" w:lineRule="auto"/>
        <w:ind w:left="567" w:hanging="567"/>
        <w:rPr>
          <w:sz w:val="20"/>
          <w:szCs w:val="20"/>
        </w:rPr>
      </w:pPr>
      <w:r w:rsidRPr="00895799">
        <w:rPr>
          <w:sz w:val="20"/>
          <w:szCs w:val="20"/>
        </w:rPr>
        <w:t xml:space="preserve">United Nations (2015). </w:t>
      </w:r>
      <w:r w:rsidRPr="00895799">
        <w:rPr>
          <w:i/>
          <w:sz w:val="20"/>
          <w:szCs w:val="20"/>
        </w:rPr>
        <w:t>World Populations Prospects: The 2015 Revision.</w:t>
      </w:r>
      <w:r w:rsidRPr="00895799">
        <w:rPr>
          <w:sz w:val="20"/>
          <w:szCs w:val="20"/>
        </w:rPr>
        <w:t xml:space="preserve"> Geneva: United Nations Publications.</w:t>
      </w:r>
    </w:p>
    <w:p w14:paraId="4EE88027" w14:textId="77777777" w:rsidR="00694F1E" w:rsidRPr="00895799" w:rsidRDefault="00694F1E" w:rsidP="00895799">
      <w:pPr>
        <w:spacing w:line="480" w:lineRule="auto"/>
        <w:ind w:left="567" w:hanging="567"/>
        <w:rPr>
          <w:sz w:val="20"/>
          <w:szCs w:val="20"/>
        </w:rPr>
      </w:pPr>
      <w:proofErr w:type="spellStart"/>
      <w:r w:rsidRPr="00895799">
        <w:rPr>
          <w:color w:val="222222"/>
          <w:sz w:val="20"/>
          <w:szCs w:val="20"/>
          <w:shd w:val="clear" w:color="auto" w:fill="FFFFFF"/>
        </w:rPr>
        <w:t>Urry</w:t>
      </w:r>
      <w:proofErr w:type="spellEnd"/>
      <w:r w:rsidRPr="00895799">
        <w:rPr>
          <w:color w:val="222222"/>
          <w:sz w:val="20"/>
          <w:szCs w:val="20"/>
          <w:shd w:val="clear" w:color="auto" w:fill="FFFFFF"/>
        </w:rPr>
        <w:t>, H. L., &amp; Gross, J. J. (2010). Emotion regulation in older age. </w:t>
      </w:r>
      <w:r w:rsidRPr="00895799">
        <w:rPr>
          <w:i/>
          <w:iCs/>
          <w:color w:val="222222"/>
          <w:sz w:val="20"/>
          <w:szCs w:val="20"/>
          <w:shd w:val="clear" w:color="auto" w:fill="FFFFFF"/>
        </w:rPr>
        <w:t>Current Directions in Psychological Science</w:t>
      </w:r>
      <w:r w:rsidRPr="00895799">
        <w:rPr>
          <w:color w:val="222222"/>
          <w:sz w:val="20"/>
          <w:szCs w:val="20"/>
          <w:shd w:val="clear" w:color="auto" w:fill="FFFFFF"/>
        </w:rPr>
        <w:t>, </w:t>
      </w:r>
      <w:r w:rsidRPr="00895799">
        <w:rPr>
          <w:i/>
          <w:iCs/>
          <w:color w:val="222222"/>
          <w:sz w:val="20"/>
          <w:szCs w:val="20"/>
          <w:shd w:val="clear" w:color="auto" w:fill="FFFFFF"/>
        </w:rPr>
        <w:t>19</w:t>
      </w:r>
      <w:r w:rsidRPr="00895799">
        <w:rPr>
          <w:color w:val="222222"/>
          <w:sz w:val="20"/>
          <w:szCs w:val="20"/>
          <w:shd w:val="clear" w:color="auto" w:fill="FFFFFF"/>
        </w:rPr>
        <w:t xml:space="preserve">(6), 352-357.doi: </w:t>
      </w:r>
      <w:r w:rsidRPr="00895799">
        <w:rPr>
          <w:sz w:val="20"/>
          <w:szCs w:val="20"/>
          <w:shd w:val="clear" w:color="auto" w:fill="FFFFFF"/>
        </w:rPr>
        <w:t>10.1177/0963721410388395</w:t>
      </w:r>
    </w:p>
    <w:p w14:paraId="50E058F4" w14:textId="77777777" w:rsidR="00694F1E" w:rsidRPr="00895799" w:rsidRDefault="00694F1E" w:rsidP="00895799">
      <w:pPr>
        <w:spacing w:line="480" w:lineRule="auto"/>
        <w:ind w:left="567" w:hanging="567"/>
        <w:rPr>
          <w:sz w:val="20"/>
          <w:szCs w:val="20"/>
        </w:rPr>
      </w:pPr>
      <w:proofErr w:type="spellStart"/>
      <w:r w:rsidRPr="00895799">
        <w:rPr>
          <w:color w:val="222222"/>
          <w:sz w:val="20"/>
          <w:szCs w:val="20"/>
          <w:shd w:val="clear" w:color="auto" w:fill="FFFFFF"/>
        </w:rPr>
        <w:t>Walach</w:t>
      </w:r>
      <w:proofErr w:type="spellEnd"/>
      <w:r w:rsidRPr="00895799">
        <w:rPr>
          <w:color w:val="222222"/>
          <w:sz w:val="20"/>
          <w:szCs w:val="20"/>
          <w:shd w:val="clear" w:color="auto" w:fill="FFFFFF"/>
        </w:rPr>
        <w:t xml:space="preserve">, H., </w:t>
      </w:r>
      <w:proofErr w:type="spellStart"/>
      <w:r w:rsidRPr="00895799">
        <w:rPr>
          <w:color w:val="222222"/>
          <w:sz w:val="20"/>
          <w:szCs w:val="20"/>
          <w:shd w:val="clear" w:color="auto" w:fill="FFFFFF"/>
        </w:rPr>
        <w:t>Buchheld</w:t>
      </w:r>
      <w:proofErr w:type="spellEnd"/>
      <w:r w:rsidRPr="00895799">
        <w:rPr>
          <w:color w:val="222222"/>
          <w:sz w:val="20"/>
          <w:szCs w:val="20"/>
          <w:shd w:val="clear" w:color="auto" w:fill="FFFFFF"/>
        </w:rPr>
        <w:t xml:space="preserve">, N., </w:t>
      </w:r>
      <w:proofErr w:type="spellStart"/>
      <w:r w:rsidRPr="00895799">
        <w:rPr>
          <w:color w:val="222222"/>
          <w:sz w:val="20"/>
          <w:szCs w:val="20"/>
          <w:shd w:val="clear" w:color="auto" w:fill="FFFFFF"/>
        </w:rPr>
        <w:t>Buttenmüller</w:t>
      </w:r>
      <w:proofErr w:type="spellEnd"/>
      <w:r w:rsidRPr="00895799">
        <w:rPr>
          <w:color w:val="222222"/>
          <w:sz w:val="20"/>
          <w:szCs w:val="20"/>
          <w:shd w:val="clear" w:color="auto" w:fill="FFFFFF"/>
        </w:rPr>
        <w:t xml:space="preserve">, V., </w:t>
      </w:r>
      <w:proofErr w:type="spellStart"/>
      <w:r w:rsidRPr="00895799">
        <w:rPr>
          <w:color w:val="222222"/>
          <w:sz w:val="20"/>
          <w:szCs w:val="20"/>
          <w:shd w:val="clear" w:color="auto" w:fill="FFFFFF"/>
        </w:rPr>
        <w:t>Kleinknecht</w:t>
      </w:r>
      <w:proofErr w:type="spellEnd"/>
      <w:r w:rsidRPr="00895799">
        <w:rPr>
          <w:color w:val="222222"/>
          <w:sz w:val="20"/>
          <w:szCs w:val="20"/>
          <w:shd w:val="clear" w:color="auto" w:fill="FFFFFF"/>
        </w:rPr>
        <w:t>, N., &amp; Schmidt, S. (2006). Measuring mindfulness—the Freiburg mindfulness inventory (FMI). </w:t>
      </w:r>
      <w:r w:rsidRPr="00895799">
        <w:rPr>
          <w:i/>
          <w:iCs/>
          <w:color w:val="222222"/>
          <w:sz w:val="20"/>
          <w:szCs w:val="20"/>
          <w:shd w:val="clear" w:color="auto" w:fill="FFFFFF"/>
        </w:rPr>
        <w:t>Personality and Individual Differences</w:t>
      </w:r>
      <w:r w:rsidRPr="00895799">
        <w:rPr>
          <w:color w:val="222222"/>
          <w:sz w:val="20"/>
          <w:szCs w:val="20"/>
          <w:shd w:val="clear" w:color="auto" w:fill="FFFFFF"/>
        </w:rPr>
        <w:t>, </w:t>
      </w:r>
      <w:r w:rsidRPr="00895799">
        <w:rPr>
          <w:i/>
          <w:iCs/>
          <w:color w:val="222222"/>
          <w:sz w:val="20"/>
          <w:szCs w:val="20"/>
          <w:shd w:val="clear" w:color="auto" w:fill="FFFFFF"/>
        </w:rPr>
        <w:t>40</w:t>
      </w:r>
      <w:r w:rsidRPr="00895799">
        <w:rPr>
          <w:color w:val="222222"/>
          <w:sz w:val="20"/>
          <w:szCs w:val="20"/>
          <w:shd w:val="clear" w:color="auto" w:fill="FFFFFF"/>
        </w:rPr>
        <w:t xml:space="preserve">(8), 1543-1555.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rPr>
        <w:t>10.1016/j.paid.2005.11.025</w:t>
      </w:r>
    </w:p>
    <w:p w14:paraId="37E58DEF" w14:textId="77777777" w:rsidR="00792E51" w:rsidRPr="00895799" w:rsidRDefault="00694F1E" w:rsidP="00895799">
      <w:pPr>
        <w:spacing w:line="480" w:lineRule="auto"/>
        <w:ind w:left="567" w:hanging="567"/>
        <w:rPr>
          <w:sz w:val="20"/>
          <w:szCs w:val="20"/>
          <w:shd w:val="clear" w:color="auto" w:fill="FFFFFF"/>
        </w:rPr>
        <w:sectPr w:rsidR="00792E51" w:rsidRPr="00895799" w:rsidSect="00E37650">
          <w:pgSz w:w="11900" w:h="16840"/>
          <w:pgMar w:top="1440" w:right="1440" w:bottom="1440" w:left="1440" w:header="708" w:footer="708" w:gutter="0"/>
          <w:cols w:space="708"/>
          <w:docGrid w:linePitch="360"/>
        </w:sectPr>
      </w:pPr>
      <w:r w:rsidRPr="00895799">
        <w:rPr>
          <w:color w:val="222222"/>
          <w:sz w:val="20"/>
          <w:szCs w:val="20"/>
          <w:shd w:val="clear" w:color="auto" w:fill="FFFFFF"/>
        </w:rPr>
        <w:t>Worthington, R. L., &amp; Whittaker, T. A. (2006). Scale development research: A content analysis and recommendations for best practices. </w:t>
      </w:r>
      <w:r w:rsidRPr="00895799">
        <w:rPr>
          <w:i/>
          <w:iCs/>
          <w:color w:val="222222"/>
          <w:sz w:val="20"/>
          <w:szCs w:val="20"/>
          <w:shd w:val="clear" w:color="auto" w:fill="FFFFFF"/>
        </w:rPr>
        <w:t xml:space="preserve">The </w:t>
      </w:r>
      <w:proofErr w:type="spellStart"/>
      <w:r w:rsidRPr="00895799">
        <w:rPr>
          <w:i/>
          <w:iCs/>
          <w:color w:val="222222"/>
          <w:sz w:val="20"/>
          <w:szCs w:val="20"/>
          <w:shd w:val="clear" w:color="auto" w:fill="FFFFFF"/>
        </w:rPr>
        <w:t>Counseling</w:t>
      </w:r>
      <w:proofErr w:type="spellEnd"/>
      <w:r w:rsidRPr="00895799">
        <w:rPr>
          <w:i/>
          <w:iCs/>
          <w:color w:val="222222"/>
          <w:sz w:val="20"/>
          <w:szCs w:val="20"/>
          <w:shd w:val="clear" w:color="auto" w:fill="FFFFFF"/>
        </w:rPr>
        <w:t xml:space="preserve"> Psychologist</w:t>
      </w:r>
      <w:r w:rsidRPr="00895799">
        <w:rPr>
          <w:color w:val="222222"/>
          <w:sz w:val="20"/>
          <w:szCs w:val="20"/>
          <w:shd w:val="clear" w:color="auto" w:fill="FFFFFF"/>
        </w:rPr>
        <w:t>, </w:t>
      </w:r>
      <w:r w:rsidRPr="00895799">
        <w:rPr>
          <w:i/>
          <w:iCs/>
          <w:color w:val="222222"/>
          <w:sz w:val="20"/>
          <w:szCs w:val="20"/>
          <w:shd w:val="clear" w:color="auto" w:fill="FFFFFF"/>
        </w:rPr>
        <w:t>34</w:t>
      </w:r>
      <w:r w:rsidRPr="00895799">
        <w:rPr>
          <w:color w:val="222222"/>
          <w:sz w:val="20"/>
          <w:szCs w:val="20"/>
          <w:shd w:val="clear" w:color="auto" w:fill="FFFFFF"/>
        </w:rPr>
        <w:t xml:space="preserve">(6), 806-838. </w:t>
      </w:r>
      <w:proofErr w:type="spellStart"/>
      <w:proofErr w:type="gramStart"/>
      <w:r w:rsidRPr="00895799">
        <w:rPr>
          <w:color w:val="222222"/>
          <w:sz w:val="20"/>
          <w:szCs w:val="20"/>
          <w:shd w:val="clear" w:color="auto" w:fill="FFFFFF"/>
        </w:rPr>
        <w:t>doi</w:t>
      </w:r>
      <w:proofErr w:type="spellEnd"/>
      <w:proofErr w:type="gramEnd"/>
      <w:r w:rsidRPr="00895799">
        <w:rPr>
          <w:color w:val="222222"/>
          <w:sz w:val="20"/>
          <w:szCs w:val="20"/>
          <w:shd w:val="clear" w:color="auto" w:fill="FFFFFF"/>
        </w:rPr>
        <w:t xml:space="preserve">: </w:t>
      </w:r>
      <w:r w:rsidRPr="00895799">
        <w:rPr>
          <w:sz w:val="20"/>
          <w:szCs w:val="20"/>
          <w:shd w:val="clear" w:color="auto" w:fill="FFFFFF"/>
        </w:rPr>
        <w:t>10.1177/0011000006288127</w:t>
      </w:r>
    </w:p>
    <w:p w14:paraId="14B4C2CC" w14:textId="7578D739" w:rsidR="00EF64D0" w:rsidRPr="00895799" w:rsidRDefault="00EF64D0" w:rsidP="00D0112B">
      <w:pPr>
        <w:spacing w:line="480" w:lineRule="auto"/>
        <w:rPr>
          <w:sz w:val="20"/>
          <w:szCs w:val="20"/>
        </w:rPr>
      </w:pPr>
    </w:p>
    <w:p w14:paraId="07B28035" w14:textId="77777777" w:rsidR="00792E51" w:rsidRPr="00895799" w:rsidRDefault="00792E51" w:rsidP="00895799">
      <w:pPr>
        <w:spacing w:line="480" w:lineRule="auto"/>
        <w:ind w:left="567" w:hanging="567"/>
        <w:rPr>
          <w:sz w:val="20"/>
          <w:szCs w:val="20"/>
        </w:rPr>
        <w:sectPr w:rsidR="00792E51" w:rsidRPr="00895799" w:rsidSect="00E37650">
          <w:pgSz w:w="11900" w:h="16840"/>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50"/>
        <w:gridCol w:w="1550"/>
        <w:gridCol w:w="1550"/>
        <w:gridCol w:w="1550"/>
        <w:gridCol w:w="1550"/>
        <w:gridCol w:w="1550"/>
        <w:gridCol w:w="1550"/>
        <w:gridCol w:w="1550"/>
      </w:tblGrid>
      <w:tr w:rsidR="00792E51" w:rsidRPr="00895799" w14:paraId="2934D3EE" w14:textId="77777777" w:rsidTr="009E1733">
        <w:tc>
          <w:tcPr>
            <w:tcW w:w="13950" w:type="dxa"/>
            <w:gridSpan w:val="9"/>
            <w:tcBorders>
              <w:bottom w:val="single" w:sz="4" w:space="0" w:color="auto"/>
            </w:tcBorders>
          </w:tcPr>
          <w:p w14:paraId="007CACA0" w14:textId="272DDFD9" w:rsidR="00792E51" w:rsidRPr="00895799" w:rsidRDefault="00792E51" w:rsidP="00895799">
            <w:pPr>
              <w:spacing w:line="480" w:lineRule="auto"/>
              <w:rPr>
                <w:sz w:val="20"/>
                <w:szCs w:val="20"/>
              </w:rPr>
            </w:pPr>
            <w:r w:rsidRPr="00895799">
              <w:rPr>
                <w:sz w:val="20"/>
                <w:szCs w:val="20"/>
              </w:rPr>
              <w:lastRenderedPageBreak/>
              <w:t xml:space="preserve">Table </w:t>
            </w:r>
            <w:r w:rsidR="008436EB">
              <w:rPr>
                <w:sz w:val="20"/>
                <w:szCs w:val="20"/>
              </w:rPr>
              <w:t>1</w:t>
            </w:r>
          </w:p>
          <w:p w14:paraId="49F72435" w14:textId="77777777" w:rsidR="00792E51" w:rsidRPr="00895799" w:rsidRDefault="00792E51" w:rsidP="00895799">
            <w:pPr>
              <w:spacing w:line="480" w:lineRule="auto"/>
              <w:rPr>
                <w:b/>
                <w:sz w:val="20"/>
                <w:szCs w:val="20"/>
              </w:rPr>
            </w:pPr>
            <w:r w:rsidRPr="00895799">
              <w:rPr>
                <w:i/>
                <w:sz w:val="20"/>
                <w:szCs w:val="20"/>
              </w:rPr>
              <w:t>Reliability, Means, and Pearson’s Product Moment Correlations Between FFMQ-SF Subscale Scores.</w:t>
            </w:r>
          </w:p>
        </w:tc>
      </w:tr>
      <w:tr w:rsidR="00792E51" w:rsidRPr="00895799" w14:paraId="77373D68" w14:textId="77777777" w:rsidTr="009E1733">
        <w:tc>
          <w:tcPr>
            <w:tcW w:w="1550" w:type="dxa"/>
            <w:tcBorders>
              <w:top w:val="single" w:sz="4" w:space="0" w:color="auto"/>
              <w:bottom w:val="single" w:sz="4" w:space="0" w:color="auto"/>
            </w:tcBorders>
          </w:tcPr>
          <w:p w14:paraId="6AB32C1F" w14:textId="77777777" w:rsidR="00792E51" w:rsidRPr="00895799" w:rsidRDefault="00792E51" w:rsidP="00895799">
            <w:pPr>
              <w:spacing w:line="480" w:lineRule="auto"/>
              <w:rPr>
                <w:b/>
                <w:sz w:val="20"/>
                <w:szCs w:val="20"/>
              </w:rPr>
            </w:pPr>
          </w:p>
        </w:tc>
        <w:tc>
          <w:tcPr>
            <w:tcW w:w="1550" w:type="dxa"/>
            <w:tcBorders>
              <w:top w:val="single" w:sz="4" w:space="0" w:color="auto"/>
              <w:bottom w:val="single" w:sz="4" w:space="0" w:color="auto"/>
            </w:tcBorders>
            <w:vAlign w:val="bottom"/>
          </w:tcPr>
          <w:p w14:paraId="76B09938" w14:textId="77777777" w:rsidR="00792E51" w:rsidRPr="00895799" w:rsidRDefault="00792E51" w:rsidP="00895799">
            <w:pPr>
              <w:spacing w:line="480" w:lineRule="auto"/>
              <w:jc w:val="center"/>
              <w:rPr>
                <w:sz w:val="20"/>
                <w:szCs w:val="20"/>
              </w:rPr>
            </w:pPr>
            <w:r w:rsidRPr="00895799">
              <w:rPr>
                <w:sz w:val="20"/>
                <w:szCs w:val="20"/>
              </w:rPr>
              <w:t>No. of items</w:t>
            </w:r>
          </w:p>
        </w:tc>
        <w:tc>
          <w:tcPr>
            <w:tcW w:w="1550" w:type="dxa"/>
            <w:tcBorders>
              <w:top w:val="single" w:sz="4" w:space="0" w:color="auto"/>
              <w:bottom w:val="single" w:sz="4" w:space="0" w:color="auto"/>
            </w:tcBorders>
            <w:vAlign w:val="bottom"/>
          </w:tcPr>
          <w:p w14:paraId="6FF2F220" w14:textId="77777777" w:rsidR="00792E51" w:rsidRPr="00895799" w:rsidRDefault="00792E51" w:rsidP="00895799">
            <w:pPr>
              <w:spacing w:line="480" w:lineRule="auto"/>
              <w:jc w:val="center"/>
              <w:rPr>
                <w:rFonts w:ascii="Symbol" w:hAnsi="Symbol"/>
                <w:sz w:val="20"/>
                <w:szCs w:val="20"/>
              </w:rPr>
            </w:pPr>
            <w:r w:rsidRPr="00895799">
              <w:rPr>
                <w:rFonts w:ascii="Symbol" w:hAnsi="Symbol"/>
                <w:sz w:val="20"/>
                <w:szCs w:val="20"/>
              </w:rPr>
              <w:t></w:t>
            </w:r>
          </w:p>
        </w:tc>
        <w:tc>
          <w:tcPr>
            <w:tcW w:w="1550" w:type="dxa"/>
            <w:tcBorders>
              <w:top w:val="single" w:sz="4" w:space="0" w:color="auto"/>
              <w:bottom w:val="single" w:sz="4" w:space="0" w:color="auto"/>
            </w:tcBorders>
            <w:vAlign w:val="bottom"/>
          </w:tcPr>
          <w:p w14:paraId="563FAE55" w14:textId="77777777" w:rsidR="00792E51" w:rsidRPr="00895799" w:rsidRDefault="00792E51" w:rsidP="00895799">
            <w:pPr>
              <w:spacing w:line="480" w:lineRule="auto"/>
              <w:jc w:val="center"/>
              <w:rPr>
                <w:i/>
                <w:sz w:val="20"/>
                <w:szCs w:val="20"/>
              </w:rPr>
            </w:pPr>
            <w:r w:rsidRPr="00895799">
              <w:rPr>
                <w:i/>
                <w:sz w:val="20"/>
                <w:szCs w:val="20"/>
              </w:rPr>
              <w:t>M</w:t>
            </w:r>
          </w:p>
        </w:tc>
        <w:tc>
          <w:tcPr>
            <w:tcW w:w="1550" w:type="dxa"/>
            <w:tcBorders>
              <w:top w:val="single" w:sz="4" w:space="0" w:color="auto"/>
              <w:bottom w:val="single" w:sz="4" w:space="0" w:color="auto"/>
            </w:tcBorders>
            <w:vAlign w:val="bottom"/>
          </w:tcPr>
          <w:p w14:paraId="640FE4B1" w14:textId="77777777" w:rsidR="00792E51" w:rsidRPr="00895799" w:rsidRDefault="00792E51" w:rsidP="00895799">
            <w:pPr>
              <w:spacing w:line="480" w:lineRule="auto"/>
              <w:jc w:val="center"/>
              <w:rPr>
                <w:i/>
                <w:sz w:val="20"/>
                <w:szCs w:val="20"/>
              </w:rPr>
            </w:pPr>
            <w:r w:rsidRPr="00895799">
              <w:rPr>
                <w:i/>
                <w:sz w:val="20"/>
                <w:szCs w:val="20"/>
              </w:rPr>
              <w:t>SD</w:t>
            </w:r>
          </w:p>
        </w:tc>
        <w:tc>
          <w:tcPr>
            <w:tcW w:w="1550" w:type="dxa"/>
            <w:tcBorders>
              <w:top w:val="single" w:sz="4" w:space="0" w:color="auto"/>
              <w:bottom w:val="single" w:sz="4" w:space="0" w:color="auto"/>
            </w:tcBorders>
            <w:vAlign w:val="bottom"/>
          </w:tcPr>
          <w:p w14:paraId="50C55721" w14:textId="77777777" w:rsidR="00792E51" w:rsidRPr="00895799" w:rsidRDefault="00792E51" w:rsidP="00895799">
            <w:pPr>
              <w:spacing w:line="480" w:lineRule="auto"/>
              <w:jc w:val="center"/>
              <w:rPr>
                <w:sz w:val="20"/>
                <w:szCs w:val="20"/>
              </w:rPr>
            </w:pPr>
            <w:r w:rsidRPr="00895799">
              <w:rPr>
                <w:sz w:val="20"/>
                <w:szCs w:val="20"/>
              </w:rPr>
              <w:t>Observe</w:t>
            </w:r>
          </w:p>
        </w:tc>
        <w:tc>
          <w:tcPr>
            <w:tcW w:w="1550" w:type="dxa"/>
            <w:tcBorders>
              <w:top w:val="single" w:sz="4" w:space="0" w:color="auto"/>
              <w:bottom w:val="single" w:sz="4" w:space="0" w:color="auto"/>
            </w:tcBorders>
            <w:vAlign w:val="bottom"/>
          </w:tcPr>
          <w:p w14:paraId="3DAC7E5B" w14:textId="77777777" w:rsidR="00792E51" w:rsidRPr="00895799" w:rsidRDefault="00792E51" w:rsidP="00895799">
            <w:pPr>
              <w:spacing w:line="480" w:lineRule="auto"/>
              <w:jc w:val="center"/>
              <w:rPr>
                <w:sz w:val="20"/>
                <w:szCs w:val="20"/>
              </w:rPr>
            </w:pPr>
            <w:r w:rsidRPr="00895799">
              <w:rPr>
                <w:sz w:val="20"/>
                <w:szCs w:val="20"/>
              </w:rPr>
              <w:t>Describe</w:t>
            </w:r>
          </w:p>
        </w:tc>
        <w:tc>
          <w:tcPr>
            <w:tcW w:w="1550" w:type="dxa"/>
            <w:tcBorders>
              <w:top w:val="single" w:sz="4" w:space="0" w:color="auto"/>
              <w:bottom w:val="single" w:sz="4" w:space="0" w:color="auto"/>
            </w:tcBorders>
            <w:vAlign w:val="bottom"/>
          </w:tcPr>
          <w:p w14:paraId="1D783C15" w14:textId="77777777" w:rsidR="00792E51" w:rsidRPr="00895799" w:rsidRDefault="00792E51" w:rsidP="00895799">
            <w:pPr>
              <w:spacing w:line="480" w:lineRule="auto"/>
              <w:jc w:val="center"/>
              <w:rPr>
                <w:sz w:val="20"/>
                <w:szCs w:val="20"/>
              </w:rPr>
            </w:pPr>
            <w:proofErr w:type="spellStart"/>
            <w:r w:rsidRPr="00895799">
              <w:rPr>
                <w:sz w:val="20"/>
                <w:szCs w:val="20"/>
              </w:rPr>
              <w:t>ActAware</w:t>
            </w:r>
            <w:proofErr w:type="spellEnd"/>
          </w:p>
        </w:tc>
        <w:tc>
          <w:tcPr>
            <w:tcW w:w="1550" w:type="dxa"/>
            <w:tcBorders>
              <w:top w:val="single" w:sz="4" w:space="0" w:color="auto"/>
              <w:bottom w:val="single" w:sz="4" w:space="0" w:color="auto"/>
            </w:tcBorders>
            <w:vAlign w:val="bottom"/>
          </w:tcPr>
          <w:p w14:paraId="28A5AEFF" w14:textId="77777777" w:rsidR="00792E51" w:rsidRPr="00895799" w:rsidRDefault="00792E51" w:rsidP="00895799">
            <w:pPr>
              <w:spacing w:line="480" w:lineRule="auto"/>
              <w:jc w:val="center"/>
              <w:rPr>
                <w:sz w:val="20"/>
                <w:szCs w:val="20"/>
              </w:rPr>
            </w:pPr>
            <w:proofErr w:type="spellStart"/>
            <w:r w:rsidRPr="00895799">
              <w:rPr>
                <w:sz w:val="20"/>
                <w:szCs w:val="20"/>
              </w:rPr>
              <w:t>NonJudge</w:t>
            </w:r>
            <w:proofErr w:type="spellEnd"/>
          </w:p>
        </w:tc>
      </w:tr>
      <w:tr w:rsidR="00792E51" w:rsidRPr="00895799" w14:paraId="6A4AD3DE" w14:textId="77777777" w:rsidTr="009E1733">
        <w:tc>
          <w:tcPr>
            <w:tcW w:w="1550" w:type="dxa"/>
            <w:tcBorders>
              <w:top w:val="single" w:sz="4" w:space="0" w:color="auto"/>
            </w:tcBorders>
          </w:tcPr>
          <w:p w14:paraId="1D3BB7A5" w14:textId="77777777" w:rsidR="00792E51" w:rsidRPr="00895799" w:rsidRDefault="00792E51" w:rsidP="00895799">
            <w:pPr>
              <w:spacing w:line="480" w:lineRule="auto"/>
              <w:rPr>
                <w:sz w:val="20"/>
                <w:szCs w:val="20"/>
              </w:rPr>
            </w:pPr>
            <w:r w:rsidRPr="00895799">
              <w:rPr>
                <w:sz w:val="20"/>
                <w:szCs w:val="20"/>
              </w:rPr>
              <w:t>Observe</w:t>
            </w:r>
          </w:p>
        </w:tc>
        <w:tc>
          <w:tcPr>
            <w:tcW w:w="1550" w:type="dxa"/>
            <w:tcBorders>
              <w:top w:val="single" w:sz="4" w:space="0" w:color="auto"/>
            </w:tcBorders>
          </w:tcPr>
          <w:p w14:paraId="1700E7F8" w14:textId="77777777" w:rsidR="00792E51" w:rsidRPr="00895799" w:rsidRDefault="00792E51" w:rsidP="00895799">
            <w:pPr>
              <w:spacing w:line="480" w:lineRule="auto"/>
              <w:jc w:val="center"/>
              <w:rPr>
                <w:sz w:val="20"/>
                <w:szCs w:val="20"/>
              </w:rPr>
            </w:pPr>
            <w:r w:rsidRPr="00895799">
              <w:rPr>
                <w:sz w:val="20"/>
                <w:szCs w:val="20"/>
              </w:rPr>
              <w:t>4</w:t>
            </w:r>
          </w:p>
        </w:tc>
        <w:tc>
          <w:tcPr>
            <w:tcW w:w="1550" w:type="dxa"/>
            <w:tcBorders>
              <w:top w:val="single" w:sz="4" w:space="0" w:color="auto"/>
            </w:tcBorders>
          </w:tcPr>
          <w:p w14:paraId="18CFE352" w14:textId="25F15802" w:rsidR="00792E51" w:rsidRPr="00895799" w:rsidRDefault="00792E51" w:rsidP="00895799">
            <w:pPr>
              <w:spacing w:line="480" w:lineRule="auto"/>
              <w:jc w:val="center"/>
              <w:rPr>
                <w:sz w:val="20"/>
                <w:szCs w:val="20"/>
              </w:rPr>
            </w:pPr>
            <w:r w:rsidRPr="00895799">
              <w:rPr>
                <w:sz w:val="20"/>
                <w:szCs w:val="20"/>
              </w:rPr>
              <w:t>.7</w:t>
            </w:r>
            <w:r w:rsidR="003E7A98">
              <w:rPr>
                <w:sz w:val="20"/>
                <w:szCs w:val="20"/>
              </w:rPr>
              <w:t>7</w:t>
            </w:r>
          </w:p>
        </w:tc>
        <w:tc>
          <w:tcPr>
            <w:tcW w:w="1550" w:type="dxa"/>
            <w:tcBorders>
              <w:top w:val="single" w:sz="4" w:space="0" w:color="auto"/>
            </w:tcBorders>
          </w:tcPr>
          <w:p w14:paraId="7A508C8A" w14:textId="36CA05D7" w:rsidR="00792E51" w:rsidRPr="00895799" w:rsidRDefault="00792E51" w:rsidP="00895799">
            <w:pPr>
              <w:spacing w:line="480" w:lineRule="auto"/>
              <w:jc w:val="center"/>
              <w:rPr>
                <w:sz w:val="20"/>
                <w:szCs w:val="20"/>
              </w:rPr>
            </w:pPr>
            <w:r w:rsidRPr="00895799">
              <w:rPr>
                <w:sz w:val="20"/>
                <w:szCs w:val="20"/>
              </w:rPr>
              <w:t>14.</w:t>
            </w:r>
            <w:r w:rsidR="003E7A98">
              <w:rPr>
                <w:sz w:val="20"/>
                <w:szCs w:val="20"/>
              </w:rPr>
              <w:t>31</w:t>
            </w:r>
          </w:p>
        </w:tc>
        <w:tc>
          <w:tcPr>
            <w:tcW w:w="1550" w:type="dxa"/>
            <w:tcBorders>
              <w:top w:val="single" w:sz="4" w:space="0" w:color="auto"/>
            </w:tcBorders>
          </w:tcPr>
          <w:p w14:paraId="7F2C7C78" w14:textId="7F4EDD06" w:rsidR="00792E51" w:rsidRPr="00895799" w:rsidRDefault="00792E51" w:rsidP="00895799">
            <w:pPr>
              <w:spacing w:line="480" w:lineRule="auto"/>
              <w:jc w:val="center"/>
              <w:rPr>
                <w:sz w:val="20"/>
                <w:szCs w:val="20"/>
              </w:rPr>
            </w:pPr>
            <w:r w:rsidRPr="00895799">
              <w:rPr>
                <w:sz w:val="20"/>
                <w:szCs w:val="20"/>
              </w:rPr>
              <w:t>3.1</w:t>
            </w:r>
            <w:r w:rsidR="003E7A98">
              <w:rPr>
                <w:sz w:val="20"/>
                <w:szCs w:val="20"/>
              </w:rPr>
              <w:t>7</w:t>
            </w:r>
          </w:p>
        </w:tc>
        <w:tc>
          <w:tcPr>
            <w:tcW w:w="1550" w:type="dxa"/>
            <w:tcBorders>
              <w:top w:val="single" w:sz="4" w:space="0" w:color="auto"/>
            </w:tcBorders>
          </w:tcPr>
          <w:p w14:paraId="68B00EFD" w14:textId="77777777" w:rsidR="00792E51" w:rsidRPr="00895799" w:rsidRDefault="00792E51" w:rsidP="00895799">
            <w:pPr>
              <w:spacing w:line="480" w:lineRule="auto"/>
              <w:jc w:val="center"/>
              <w:rPr>
                <w:sz w:val="20"/>
                <w:szCs w:val="20"/>
              </w:rPr>
            </w:pPr>
          </w:p>
        </w:tc>
        <w:tc>
          <w:tcPr>
            <w:tcW w:w="1550" w:type="dxa"/>
            <w:tcBorders>
              <w:top w:val="single" w:sz="4" w:space="0" w:color="auto"/>
            </w:tcBorders>
          </w:tcPr>
          <w:p w14:paraId="453BE271" w14:textId="77777777" w:rsidR="00792E51" w:rsidRPr="00895799" w:rsidRDefault="00792E51" w:rsidP="00895799">
            <w:pPr>
              <w:spacing w:line="480" w:lineRule="auto"/>
              <w:jc w:val="center"/>
              <w:rPr>
                <w:sz w:val="20"/>
                <w:szCs w:val="20"/>
              </w:rPr>
            </w:pPr>
          </w:p>
        </w:tc>
        <w:tc>
          <w:tcPr>
            <w:tcW w:w="1550" w:type="dxa"/>
            <w:tcBorders>
              <w:top w:val="single" w:sz="4" w:space="0" w:color="auto"/>
            </w:tcBorders>
          </w:tcPr>
          <w:p w14:paraId="256ADD6C" w14:textId="77777777" w:rsidR="00792E51" w:rsidRPr="00895799" w:rsidRDefault="00792E51" w:rsidP="00895799">
            <w:pPr>
              <w:spacing w:line="480" w:lineRule="auto"/>
              <w:jc w:val="center"/>
              <w:rPr>
                <w:sz w:val="20"/>
                <w:szCs w:val="20"/>
              </w:rPr>
            </w:pPr>
          </w:p>
        </w:tc>
        <w:tc>
          <w:tcPr>
            <w:tcW w:w="1550" w:type="dxa"/>
            <w:tcBorders>
              <w:top w:val="single" w:sz="4" w:space="0" w:color="auto"/>
            </w:tcBorders>
          </w:tcPr>
          <w:p w14:paraId="0FBD3FF2" w14:textId="77777777" w:rsidR="00792E51" w:rsidRPr="00895799" w:rsidRDefault="00792E51" w:rsidP="00895799">
            <w:pPr>
              <w:spacing w:line="480" w:lineRule="auto"/>
              <w:jc w:val="center"/>
              <w:rPr>
                <w:sz w:val="20"/>
                <w:szCs w:val="20"/>
              </w:rPr>
            </w:pPr>
          </w:p>
        </w:tc>
      </w:tr>
      <w:tr w:rsidR="00792E51" w:rsidRPr="00895799" w14:paraId="1B0B8D62" w14:textId="77777777" w:rsidTr="009E1733">
        <w:tc>
          <w:tcPr>
            <w:tcW w:w="1550" w:type="dxa"/>
          </w:tcPr>
          <w:p w14:paraId="53AEEB40" w14:textId="77777777" w:rsidR="00792E51" w:rsidRPr="00895799" w:rsidRDefault="00792E51" w:rsidP="00895799">
            <w:pPr>
              <w:spacing w:line="480" w:lineRule="auto"/>
              <w:rPr>
                <w:sz w:val="20"/>
                <w:szCs w:val="20"/>
              </w:rPr>
            </w:pPr>
            <w:r w:rsidRPr="00895799">
              <w:rPr>
                <w:sz w:val="20"/>
                <w:szCs w:val="20"/>
              </w:rPr>
              <w:t>Describe</w:t>
            </w:r>
          </w:p>
        </w:tc>
        <w:tc>
          <w:tcPr>
            <w:tcW w:w="1550" w:type="dxa"/>
          </w:tcPr>
          <w:p w14:paraId="7883DCE6" w14:textId="77777777" w:rsidR="00792E51" w:rsidRPr="00895799" w:rsidRDefault="00792E51" w:rsidP="00895799">
            <w:pPr>
              <w:spacing w:line="480" w:lineRule="auto"/>
              <w:jc w:val="center"/>
              <w:rPr>
                <w:sz w:val="20"/>
                <w:szCs w:val="20"/>
              </w:rPr>
            </w:pPr>
            <w:r w:rsidRPr="00895799">
              <w:rPr>
                <w:sz w:val="20"/>
                <w:szCs w:val="20"/>
              </w:rPr>
              <w:t>5</w:t>
            </w:r>
          </w:p>
        </w:tc>
        <w:tc>
          <w:tcPr>
            <w:tcW w:w="1550" w:type="dxa"/>
          </w:tcPr>
          <w:p w14:paraId="75BE5DE9" w14:textId="77777777" w:rsidR="00792E51" w:rsidRPr="00895799" w:rsidRDefault="00792E51" w:rsidP="00895799">
            <w:pPr>
              <w:spacing w:line="480" w:lineRule="auto"/>
              <w:jc w:val="center"/>
              <w:rPr>
                <w:sz w:val="20"/>
                <w:szCs w:val="20"/>
              </w:rPr>
            </w:pPr>
            <w:r w:rsidRPr="00895799">
              <w:rPr>
                <w:sz w:val="20"/>
                <w:szCs w:val="20"/>
              </w:rPr>
              <w:t>.79</w:t>
            </w:r>
          </w:p>
        </w:tc>
        <w:tc>
          <w:tcPr>
            <w:tcW w:w="1550" w:type="dxa"/>
          </w:tcPr>
          <w:p w14:paraId="2325A550" w14:textId="0F8219CE" w:rsidR="00792E51" w:rsidRPr="00895799" w:rsidRDefault="00792E51" w:rsidP="00895799">
            <w:pPr>
              <w:spacing w:line="480" w:lineRule="auto"/>
              <w:jc w:val="center"/>
              <w:rPr>
                <w:sz w:val="20"/>
                <w:szCs w:val="20"/>
              </w:rPr>
            </w:pPr>
            <w:r w:rsidRPr="00895799">
              <w:rPr>
                <w:sz w:val="20"/>
                <w:szCs w:val="20"/>
              </w:rPr>
              <w:t>17.5</w:t>
            </w:r>
            <w:r w:rsidR="003C0915">
              <w:rPr>
                <w:sz w:val="20"/>
                <w:szCs w:val="20"/>
              </w:rPr>
              <w:t>0</w:t>
            </w:r>
          </w:p>
        </w:tc>
        <w:tc>
          <w:tcPr>
            <w:tcW w:w="1550" w:type="dxa"/>
          </w:tcPr>
          <w:p w14:paraId="7643B6AA" w14:textId="0D24B999" w:rsidR="00792E51" w:rsidRPr="00895799" w:rsidRDefault="00792E51" w:rsidP="00895799">
            <w:pPr>
              <w:spacing w:line="480" w:lineRule="auto"/>
              <w:jc w:val="center"/>
              <w:rPr>
                <w:sz w:val="20"/>
                <w:szCs w:val="20"/>
              </w:rPr>
            </w:pPr>
            <w:r w:rsidRPr="00895799">
              <w:rPr>
                <w:sz w:val="20"/>
                <w:szCs w:val="20"/>
              </w:rPr>
              <w:t>3.9</w:t>
            </w:r>
            <w:r w:rsidR="003C0915">
              <w:rPr>
                <w:sz w:val="20"/>
                <w:szCs w:val="20"/>
              </w:rPr>
              <w:t>6</w:t>
            </w:r>
          </w:p>
        </w:tc>
        <w:tc>
          <w:tcPr>
            <w:tcW w:w="1550" w:type="dxa"/>
          </w:tcPr>
          <w:p w14:paraId="1EC39856" w14:textId="54F0DA2E" w:rsidR="00792E51" w:rsidRPr="00895799" w:rsidRDefault="00BC5BA9" w:rsidP="00895799">
            <w:pPr>
              <w:spacing w:line="480" w:lineRule="auto"/>
              <w:jc w:val="center"/>
              <w:rPr>
                <w:sz w:val="20"/>
                <w:szCs w:val="20"/>
              </w:rPr>
            </w:pPr>
            <w:r w:rsidRPr="00895799">
              <w:rPr>
                <w:sz w:val="20"/>
                <w:szCs w:val="20"/>
              </w:rPr>
              <w:t xml:space="preserve">   .3</w:t>
            </w:r>
            <w:r w:rsidR="00493BB0">
              <w:rPr>
                <w:sz w:val="20"/>
                <w:szCs w:val="20"/>
              </w:rPr>
              <w:t>3</w:t>
            </w:r>
            <w:r w:rsidR="00792E51" w:rsidRPr="00895799">
              <w:rPr>
                <w:sz w:val="20"/>
                <w:szCs w:val="20"/>
              </w:rPr>
              <w:t>**</w:t>
            </w:r>
          </w:p>
        </w:tc>
        <w:tc>
          <w:tcPr>
            <w:tcW w:w="1550" w:type="dxa"/>
          </w:tcPr>
          <w:p w14:paraId="50B7E964" w14:textId="77777777" w:rsidR="00792E51" w:rsidRPr="00895799" w:rsidRDefault="00792E51" w:rsidP="00895799">
            <w:pPr>
              <w:spacing w:line="480" w:lineRule="auto"/>
              <w:jc w:val="center"/>
              <w:rPr>
                <w:sz w:val="20"/>
                <w:szCs w:val="20"/>
              </w:rPr>
            </w:pPr>
          </w:p>
        </w:tc>
        <w:tc>
          <w:tcPr>
            <w:tcW w:w="1550" w:type="dxa"/>
          </w:tcPr>
          <w:p w14:paraId="3A818C7A" w14:textId="77777777" w:rsidR="00792E51" w:rsidRPr="00895799" w:rsidRDefault="00792E51" w:rsidP="00895799">
            <w:pPr>
              <w:spacing w:line="480" w:lineRule="auto"/>
              <w:jc w:val="center"/>
              <w:rPr>
                <w:sz w:val="20"/>
                <w:szCs w:val="20"/>
              </w:rPr>
            </w:pPr>
          </w:p>
        </w:tc>
        <w:tc>
          <w:tcPr>
            <w:tcW w:w="1550" w:type="dxa"/>
          </w:tcPr>
          <w:p w14:paraId="16F6F46C" w14:textId="77777777" w:rsidR="00792E51" w:rsidRPr="00895799" w:rsidRDefault="00792E51" w:rsidP="00895799">
            <w:pPr>
              <w:spacing w:line="480" w:lineRule="auto"/>
              <w:jc w:val="center"/>
              <w:rPr>
                <w:sz w:val="20"/>
                <w:szCs w:val="20"/>
              </w:rPr>
            </w:pPr>
          </w:p>
        </w:tc>
      </w:tr>
      <w:tr w:rsidR="00792E51" w:rsidRPr="00895799" w14:paraId="173AFF30" w14:textId="77777777" w:rsidTr="009E1733">
        <w:tc>
          <w:tcPr>
            <w:tcW w:w="1550" w:type="dxa"/>
          </w:tcPr>
          <w:p w14:paraId="253B9A48" w14:textId="77777777" w:rsidR="00792E51" w:rsidRPr="00895799" w:rsidRDefault="00792E51" w:rsidP="00895799">
            <w:pPr>
              <w:spacing w:line="480" w:lineRule="auto"/>
              <w:rPr>
                <w:sz w:val="20"/>
                <w:szCs w:val="20"/>
              </w:rPr>
            </w:pPr>
            <w:proofErr w:type="spellStart"/>
            <w:r w:rsidRPr="00895799">
              <w:rPr>
                <w:sz w:val="20"/>
                <w:szCs w:val="20"/>
              </w:rPr>
              <w:t>ActAware</w:t>
            </w:r>
            <w:proofErr w:type="spellEnd"/>
          </w:p>
        </w:tc>
        <w:tc>
          <w:tcPr>
            <w:tcW w:w="1550" w:type="dxa"/>
          </w:tcPr>
          <w:p w14:paraId="7A9A800A" w14:textId="77777777" w:rsidR="00792E51" w:rsidRPr="00895799" w:rsidRDefault="00792E51" w:rsidP="00895799">
            <w:pPr>
              <w:spacing w:line="480" w:lineRule="auto"/>
              <w:jc w:val="center"/>
              <w:rPr>
                <w:sz w:val="20"/>
                <w:szCs w:val="20"/>
              </w:rPr>
            </w:pPr>
            <w:r w:rsidRPr="00895799">
              <w:rPr>
                <w:sz w:val="20"/>
                <w:szCs w:val="20"/>
              </w:rPr>
              <w:t>5</w:t>
            </w:r>
          </w:p>
        </w:tc>
        <w:tc>
          <w:tcPr>
            <w:tcW w:w="1550" w:type="dxa"/>
          </w:tcPr>
          <w:p w14:paraId="142EEF34" w14:textId="77777777" w:rsidR="00792E51" w:rsidRPr="00895799" w:rsidRDefault="00792E51" w:rsidP="00895799">
            <w:pPr>
              <w:spacing w:line="480" w:lineRule="auto"/>
              <w:jc w:val="center"/>
              <w:rPr>
                <w:sz w:val="20"/>
                <w:szCs w:val="20"/>
              </w:rPr>
            </w:pPr>
            <w:r w:rsidRPr="00895799">
              <w:rPr>
                <w:sz w:val="20"/>
                <w:szCs w:val="20"/>
              </w:rPr>
              <w:t>.85</w:t>
            </w:r>
          </w:p>
        </w:tc>
        <w:tc>
          <w:tcPr>
            <w:tcW w:w="1550" w:type="dxa"/>
          </w:tcPr>
          <w:p w14:paraId="679B6332" w14:textId="36EEE802" w:rsidR="00792E51" w:rsidRPr="00895799" w:rsidRDefault="00792E51" w:rsidP="00895799">
            <w:pPr>
              <w:spacing w:line="480" w:lineRule="auto"/>
              <w:jc w:val="center"/>
              <w:rPr>
                <w:sz w:val="20"/>
                <w:szCs w:val="20"/>
              </w:rPr>
            </w:pPr>
            <w:r w:rsidRPr="00895799">
              <w:rPr>
                <w:sz w:val="20"/>
                <w:szCs w:val="20"/>
              </w:rPr>
              <w:t>17.</w:t>
            </w:r>
            <w:r w:rsidR="00C72AE7">
              <w:rPr>
                <w:sz w:val="20"/>
                <w:szCs w:val="20"/>
              </w:rPr>
              <w:t>78</w:t>
            </w:r>
          </w:p>
        </w:tc>
        <w:tc>
          <w:tcPr>
            <w:tcW w:w="1550" w:type="dxa"/>
          </w:tcPr>
          <w:p w14:paraId="4F39760A" w14:textId="77777777" w:rsidR="00792E51" w:rsidRPr="00895799" w:rsidRDefault="00792E51" w:rsidP="00895799">
            <w:pPr>
              <w:spacing w:line="480" w:lineRule="auto"/>
              <w:jc w:val="center"/>
              <w:rPr>
                <w:sz w:val="20"/>
                <w:szCs w:val="20"/>
              </w:rPr>
            </w:pPr>
            <w:r w:rsidRPr="00895799">
              <w:rPr>
                <w:sz w:val="20"/>
                <w:szCs w:val="20"/>
              </w:rPr>
              <w:t>4.21</w:t>
            </w:r>
          </w:p>
        </w:tc>
        <w:tc>
          <w:tcPr>
            <w:tcW w:w="1550" w:type="dxa"/>
          </w:tcPr>
          <w:p w14:paraId="6A7247A7" w14:textId="7DDF5D0B" w:rsidR="00792E51" w:rsidRPr="00895799" w:rsidRDefault="00BC5BA9" w:rsidP="00895799">
            <w:pPr>
              <w:spacing w:line="480" w:lineRule="auto"/>
              <w:jc w:val="center"/>
              <w:rPr>
                <w:sz w:val="20"/>
                <w:szCs w:val="20"/>
              </w:rPr>
            </w:pPr>
            <w:r w:rsidRPr="00895799">
              <w:rPr>
                <w:sz w:val="20"/>
                <w:szCs w:val="20"/>
              </w:rPr>
              <w:t xml:space="preserve">   .</w:t>
            </w:r>
            <w:r w:rsidR="00493BB0">
              <w:rPr>
                <w:sz w:val="20"/>
                <w:szCs w:val="20"/>
              </w:rPr>
              <w:t>16</w:t>
            </w:r>
            <w:r w:rsidR="00792E51" w:rsidRPr="00895799">
              <w:rPr>
                <w:sz w:val="20"/>
                <w:szCs w:val="20"/>
              </w:rPr>
              <w:t>*</w:t>
            </w:r>
          </w:p>
        </w:tc>
        <w:tc>
          <w:tcPr>
            <w:tcW w:w="1550" w:type="dxa"/>
          </w:tcPr>
          <w:p w14:paraId="3D33D2B2" w14:textId="7D015F3C" w:rsidR="00792E51" w:rsidRPr="00895799" w:rsidRDefault="00BC5BA9" w:rsidP="00895799">
            <w:pPr>
              <w:spacing w:line="480" w:lineRule="auto"/>
              <w:jc w:val="center"/>
              <w:rPr>
                <w:sz w:val="20"/>
                <w:szCs w:val="20"/>
              </w:rPr>
            </w:pPr>
            <w:r w:rsidRPr="00895799">
              <w:rPr>
                <w:sz w:val="20"/>
                <w:szCs w:val="20"/>
              </w:rPr>
              <w:t>.5</w:t>
            </w:r>
            <w:r w:rsidR="00493BB0">
              <w:rPr>
                <w:sz w:val="20"/>
                <w:szCs w:val="20"/>
              </w:rPr>
              <w:t>6</w:t>
            </w:r>
            <w:r w:rsidR="00792E51" w:rsidRPr="00895799">
              <w:rPr>
                <w:sz w:val="20"/>
                <w:szCs w:val="20"/>
              </w:rPr>
              <w:t>**</w:t>
            </w:r>
          </w:p>
        </w:tc>
        <w:tc>
          <w:tcPr>
            <w:tcW w:w="1550" w:type="dxa"/>
          </w:tcPr>
          <w:p w14:paraId="0826C844" w14:textId="77777777" w:rsidR="00792E51" w:rsidRPr="00895799" w:rsidRDefault="00792E51" w:rsidP="00895799">
            <w:pPr>
              <w:spacing w:line="480" w:lineRule="auto"/>
              <w:jc w:val="center"/>
              <w:rPr>
                <w:sz w:val="20"/>
                <w:szCs w:val="20"/>
              </w:rPr>
            </w:pPr>
          </w:p>
        </w:tc>
        <w:tc>
          <w:tcPr>
            <w:tcW w:w="1550" w:type="dxa"/>
          </w:tcPr>
          <w:p w14:paraId="52DD84C3" w14:textId="77777777" w:rsidR="00792E51" w:rsidRPr="00895799" w:rsidRDefault="00792E51" w:rsidP="00895799">
            <w:pPr>
              <w:spacing w:line="480" w:lineRule="auto"/>
              <w:jc w:val="center"/>
              <w:rPr>
                <w:sz w:val="20"/>
                <w:szCs w:val="20"/>
              </w:rPr>
            </w:pPr>
          </w:p>
        </w:tc>
      </w:tr>
      <w:tr w:rsidR="00792E51" w:rsidRPr="00895799" w14:paraId="74716D96" w14:textId="77777777" w:rsidTr="009E1733">
        <w:tc>
          <w:tcPr>
            <w:tcW w:w="1550" w:type="dxa"/>
          </w:tcPr>
          <w:p w14:paraId="4D5C9FD1" w14:textId="77777777" w:rsidR="00792E51" w:rsidRPr="00895799" w:rsidRDefault="00792E51" w:rsidP="00895799">
            <w:pPr>
              <w:spacing w:line="480" w:lineRule="auto"/>
              <w:rPr>
                <w:sz w:val="20"/>
                <w:szCs w:val="20"/>
              </w:rPr>
            </w:pPr>
            <w:proofErr w:type="spellStart"/>
            <w:r w:rsidRPr="00895799">
              <w:rPr>
                <w:sz w:val="20"/>
                <w:szCs w:val="20"/>
              </w:rPr>
              <w:t>NonJudge</w:t>
            </w:r>
            <w:proofErr w:type="spellEnd"/>
          </w:p>
        </w:tc>
        <w:tc>
          <w:tcPr>
            <w:tcW w:w="1550" w:type="dxa"/>
          </w:tcPr>
          <w:p w14:paraId="756BE46C" w14:textId="77777777" w:rsidR="00792E51" w:rsidRPr="00895799" w:rsidRDefault="00792E51" w:rsidP="00895799">
            <w:pPr>
              <w:spacing w:line="480" w:lineRule="auto"/>
              <w:jc w:val="center"/>
              <w:rPr>
                <w:sz w:val="20"/>
                <w:szCs w:val="20"/>
              </w:rPr>
            </w:pPr>
            <w:r w:rsidRPr="00895799">
              <w:rPr>
                <w:sz w:val="20"/>
                <w:szCs w:val="20"/>
              </w:rPr>
              <w:t>5</w:t>
            </w:r>
          </w:p>
        </w:tc>
        <w:tc>
          <w:tcPr>
            <w:tcW w:w="1550" w:type="dxa"/>
          </w:tcPr>
          <w:p w14:paraId="4726F8B9" w14:textId="77777777" w:rsidR="00792E51" w:rsidRPr="00895799" w:rsidRDefault="00792E51" w:rsidP="00895799">
            <w:pPr>
              <w:spacing w:line="480" w:lineRule="auto"/>
              <w:jc w:val="center"/>
              <w:rPr>
                <w:sz w:val="20"/>
                <w:szCs w:val="20"/>
              </w:rPr>
            </w:pPr>
            <w:r w:rsidRPr="00895799">
              <w:rPr>
                <w:sz w:val="20"/>
                <w:szCs w:val="20"/>
              </w:rPr>
              <w:t>.85</w:t>
            </w:r>
          </w:p>
        </w:tc>
        <w:tc>
          <w:tcPr>
            <w:tcW w:w="1550" w:type="dxa"/>
          </w:tcPr>
          <w:p w14:paraId="3D20A3DA" w14:textId="38AF84E5" w:rsidR="00792E51" w:rsidRPr="00895799" w:rsidRDefault="00792E51" w:rsidP="00895799">
            <w:pPr>
              <w:spacing w:line="480" w:lineRule="auto"/>
              <w:jc w:val="center"/>
              <w:rPr>
                <w:sz w:val="20"/>
                <w:szCs w:val="20"/>
              </w:rPr>
            </w:pPr>
            <w:r w:rsidRPr="00895799">
              <w:rPr>
                <w:sz w:val="20"/>
                <w:szCs w:val="20"/>
              </w:rPr>
              <w:t>16.</w:t>
            </w:r>
            <w:r w:rsidR="003E7A98">
              <w:rPr>
                <w:sz w:val="20"/>
                <w:szCs w:val="20"/>
              </w:rPr>
              <w:t>37</w:t>
            </w:r>
          </w:p>
        </w:tc>
        <w:tc>
          <w:tcPr>
            <w:tcW w:w="1550" w:type="dxa"/>
          </w:tcPr>
          <w:p w14:paraId="283AC973" w14:textId="408A2806" w:rsidR="00792E51" w:rsidRPr="00895799" w:rsidRDefault="00792E51" w:rsidP="00895799">
            <w:pPr>
              <w:spacing w:line="480" w:lineRule="auto"/>
              <w:jc w:val="center"/>
              <w:rPr>
                <w:sz w:val="20"/>
                <w:szCs w:val="20"/>
              </w:rPr>
            </w:pPr>
            <w:r w:rsidRPr="00895799">
              <w:rPr>
                <w:sz w:val="20"/>
                <w:szCs w:val="20"/>
              </w:rPr>
              <w:t>4.</w:t>
            </w:r>
            <w:r w:rsidR="003E7A98">
              <w:rPr>
                <w:sz w:val="20"/>
                <w:szCs w:val="20"/>
              </w:rPr>
              <w:t>61</w:t>
            </w:r>
          </w:p>
        </w:tc>
        <w:tc>
          <w:tcPr>
            <w:tcW w:w="1550" w:type="dxa"/>
          </w:tcPr>
          <w:p w14:paraId="724EFFCA" w14:textId="0F2E3810" w:rsidR="00792E51" w:rsidRPr="00895799" w:rsidRDefault="00493BB0" w:rsidP="00895799">
            <w:pPr>
              <w:spacing w:line="480" w:lineRule="auto"/>
              <w:jc w:val="center"/>
              <w:rPr>
                <w:sz w:val="20"/>
                <w:szCs w:val="20"/>
              </w:rPr>
            </w:pPr>
            <w:r>
              <w:rPr>
                <w:sz w:val="20"/>
                <w:szCs w:val="20"/>
              </w:rPr>
              <w:t>-</w:t>
            </w:r>
            <w:r w:rsidR="00792E51" w:rsidRPr="00895799">
              <w:rPr>
                <w:sz w:val="20"/>
                <w:szCs w:val="20"/>
              </w:rPr>
              <w:t>.0</w:t>
            </w:r>
            <w:r>
              <w:rPr>
                <w:sz w:val="20"/>
                <w:szCs w:val="20"/>
              </w:rPr>
              <w:t>1</w:t>
            </w:r>
          </w:p>
        </w:tc>
        <w:tc>
          <w:tcPr>
            <w:tcW w:w="1550" w:type="dxa"/>
          </w:tcPr>
          <w:p w14:paraId="5BB7DF5E" w14:textId="7B297508" w:rsidR="00792E51" w:rsidRPr="00895799" w:rsidRDefault="00BC5BA9" w:rsidP="00895799">
            <w:pPr>
              <w:spacing w:line="480" w:lineRule="auto"/>
              <w:jc w:val="center"/>
              <w:rPr>
                <w:sz w:val="20"/>
                <w:szCs w:val="20"/>
              </w:rPr>
            </w:pPr>
            <w:r w:rsidRPr="00895799">
              <w:rPr>
                <w:sz w:val="20"/>
                <w:szCs w:val="20"/>
              </w:rPr>
              <w:t>.</w:t>
            </w:r>
            <w:r w:rsidR="00493BB0">
              <w:rPr>
                <w:sz w:val="20"/>
                <w:szCs w:val="20"/>
              </w:rPr>
              <w:t>39</w:t>
            </w:r>
            <w:r w:rsidR="00792E51" w:rsidRPr="00895799">
              <w:rPr>
                <w:sz w:val="20"/>
                <w:szCs w:val="20"/>
              </w:rPr>
              <w:t>**</w:t>
            </w:r>
          </w:p>
        </w:tc>
        <w:tc>
          <w:tcPr>
            <w:tcW w:w="1550" w:type="dxa"/>
          </w:tcPr>
          <w:p w14:paraId="38010412" w14:textId="007BAF18" w:rsidR="00792E51" w:rsidRPr="00895799" w:rsidRDefault="00BC5BA9" w:rsidP="00895799">
            <w:pPr>
              <w:spacing w:line="480" w:lineRule="auto"/>
              <w:jc w:val="center"/>
              <w:rPr>
                <w:sz w:val="20"/>
                <w:szCs w:val="20"/>
              </w:rPr>
            </w:pPr>
            <w:r w:rsidRPr="00895799">
              <w:rPr>
                <w:sz w:val="20"/>
                <w:szCs w:val="20"/>
              </w:rPr>
              <w:t>.5</w:t>
            </w:r>
            <w:r w:rsidR="00493BB0">
              <w:rPr>
                <w:sz w:val="20"/>
                <w:szCs w:val="20"/>
              </w:rPr>
              <w:t>5</w:t>
            </w:r>
            <w:r w:rsidR="00792E51" w:rsidRPr="00895799">
              <w:rPr>
                <w:sz w:val="20"/>
                <w:szCs w:val="20"/>
              </w:rPr>
              <w:t>**</w:t>
            </w:r>
          </w:p>
        </w:tc>
        <w:tc>
          <w:tcPr>
            <w:tcW w:w="1550" w:type="dxa"/>
          </w:tcPr>
          <w:p w14:paraId="1A060819" w14:textId="77777777" w:rsidR="00792E51" w:rsidRPr="00895799" w:rsidRDefault="00792E51" w:rsidP="00895799">
            <w:pPr>
              <w:spacing w:line="480" w:lineRule="auto"/>
              <w:jc w:val="center"/>
              <w:rPr>
                <w:sz w:val="20"/>
                <w:szCs w:val="20"/>
              </w:rPr>
            </w:pPr>
          </w:p>
        </w:tc>
      </w:tr>
      <w:tr w:rsidR="00792E51" w:rsidRPr="00895799" w14:paraId="1AF17C0D" w14:textId="77777777" w:rsidTr="009E1733">
        <w:tc>
          <w:tcPr>
            <w:tcW w:w="1550" w:type="dxa"/>
            <w:tcBorders>
              <w:bottom w:val="single" w:sz="4" w:space="0" w:color="auto"/>
            </w:tcBorders>
          </w:tcPr>
          <w:p w14:paraId="3E8610C6" w14:textId="77777777" w:rsidR="00792E51" w:rsidRPr="00895799" w:rsidRDefault="00792E51" w:rsidP="00895799">
            <w:pPr>
              <w:spacing w:line="480" w:lineRule="auto"/>
              <w:rPr>
                <w:sz w:val="20"/>
                <w:szCs w:val="20"/>
              </w:rPr>
            </w:pPr>
            <w:proofErr w:type="spellStart"/>
            <w:r w:rsidRPr="00895799">
              <w:rPr>
                <w:sz w:val="20"/>
                <w:szCs w:val="20"/>
              </w:rPr>
              <w:t>NonReact</w:t>
            </w:r>
            <w:proofErr w:type="spellEnd"/>
          </w:p>
        </w:tc>
        <w:tc>
          <w:tcPr>
            <w:tcW w:w="1550" w:type="dxa"/>
            <w:tcBorders>
              <w:bottom w:val="single" w:sz="4" w:space="0" w:color="auto"/>
            </w:tcBorders>
          </w:tcPr>
          <w:p w14:paraId="383E4A61" w14:textId="77777777" w:rsidR="00792E51" w:rsidRPr="00895799" w:rsidRDefault="00792E51" w:rsidP="00895799">
            <w:pPr>
              <w:spacing w:line="480" w:lineRule="auto"/>
              <w:jc w:val="center"/>
              <w:rPr>
                <w:sz w:val="20"/>
                <w:szCs w:val="20"/>
              </w:rPr>
            </w:pPr>
            <w:r w:rsidRPr="00895799">
              <w:rPr>
                <w:sz w:val="20"/>
                <w:szCs w:val="20"/>
              </w:rPr>
              <w:t>5</w:t>
            </w:r>
          </w:p>
        </w:tc>
        <w:tc>
          <w:tcPr>
            <w:tcW w:w="1550" w:type="dxa"/>
            <w:tcBorders>
              <w:bottom w:val="single" w:sz="4" w:space="0" w:color="auto"/>
            </w:tcBorders>
          </w:tcPr>
          <w:p w14:paraId="48B84BE5" w14:textId="23F8D083" w:rsidR="00792E51" w:rsidRPr="00895799" w:rsidRDefault="00792E51" w:rsidP="00895799">
            <w:pPr>
              <w:spacing w:line="480" w:lineRule="auto"/>
              <w:jc w:val="center"/>
              <w:rPr>
                <w:sz w:val="20"/>
                <w:szCs w:val="20"/>
              </w:rPr>
            </w:pPr>
            <w:r w:rsidRPr="00895799">
              <w:rPr>
                <w:sz w:val="20"/>
                <w:szCs w:val="20"/>
              </w:rPr>
              <w:t>.7</w:t>
            </w:r>
            <w:r w:rsidR="003C0915">
              <w:rPr>
                <w:sz w:val="20"/>
                <w:szCs w:val="20"/>
              </w:rPr>
              <w:t>2</w:t>
            </w:r>
          </w:p>
        </w:tc>
        <w:tc>
          <w:tcPr>
            <w:tcW w:w="1550" w:type="dxa"/>
            <w:tcBorders>
              <w:bottom w:val="single" w:sz="4" w:space="0" w:color="auto"/>
            </w:tcBorders>
          </w:tcPr>
          <w:p w14:paraId="6144762B" w14:textId="1B63EC30" w:rsidR="00792E51" w:rsidRPr="00895799" w:rsidRDefault="00792E51" w:rsidP="00895799">
            <w:pPr>
              <w:spacing w:line="480" w:lineRule="auto"/>
              <w:jc w:val="center"/>
              <w:rPr>
                <w:sz w:val="20"/>
                <w:szCs w:val="20"/>
              </w:rPr>
            </w:pPr>
            <w:r w:rsidRPr="00895799">
              <w:rPr>
                <w:sz w:val="20"/>
                <w:szCs w:val="20"/>
              </w:rPr>
              <w:t>16.7</w:t>
            </w:r>
            <w:r w:rsidR="003E7A98">
              <w:rPr>
                <w:sz w:val="20"/>
                <w:szCs w:val="20"/>
              </w:rPr>
              <w:t>7</w:t>
            </w:r>
          </w:p>
        </w:tc>
        <w:tc>
          <w:tcPr>
            <w:tcW w:w="1550" w:type="dxa"/>
            <w:tcBorders>
              <w:bottom w:val="single" w:sz="4" w:space="0" w:color="auto"/>
            </w:tcBorders>
          </w:tcPr>
          <w:p w14:paraId="1A7631A1" w14:textId="6368AE10" w:rsidR="00792E51" w:rsidRPr="00895799" w:rsidRDefault="00792E51" w:rsidP="00895799">
            <w:pPr>
              <w:spacing w:line="480" w:lineRule="auto"/>
              <w:jc w:val="center"/>
              <w:rPr>
                <w:sz w:val="20"/>
                <w:szCs w:val="20"/>
              </w:rPr>
            </w:pPr>
            <w:r w:rsidRPr="00895799">
              <w:rPr>
                <w:sz w:val="20"/>
                <w:szCs w:val="20"/>
              </w:rPr>
              <w:t>3.2</w:t>
            </w:r>
            <w:r w:rsidR="003E7A98">
              <w:rPr>
                <w:sz w:val="20"/>
                <w:szCs w:val="20"/>
              </w:rPr>
              <w:t>3</w:t>
            </w:r>
          </w:p>
        </w:tc>
        <w:tc>
          <w:tcPr>
            <w:tcW w:w="1550" w:type="dxa"/>
            <w:tcBorders>
              <w:bottom w:val="single" w:sz="4" w:space="0" w:color="auto"/>
            </w:tcBorders>
          </w:tcPr>
          <w:p w14:paraId="435AB771" w14:textId="3705C7BE" w:rsidR="00792E51" w:rsidRPr="00895799" w:rsidRDefault="00BC5BA9" w:rsidP="00895799">
            <w:pPr>
              <w:spacing w:line="480" w:lineRule="auto"/>
              <w:jc w:val="center"/>
              <w:rPr>
                <w:sz w:val="20"/>
                <w:szCs w:val="20"/>
              </w:rPr>
            </w:pPr>
            <w:r w:rsidRPr="00895799">
              <w:rPr>
                <w:sz w:val="20"/>
                <w:szCs w:val="20"/>
              </w:rPr>
              <w:t xml:space="preserve">   .27</w:t>
            </w:r>
            <w:r w:rsidR="00792E51" w:rsidRPr="00895799">
              <w:rPr>
                <w:sz w:val="20"/>
                <w:szCs w:val="20"/>
              </w:rPr>
              <w:t>**</w:t>
            </w:r>
          </w:p>
        </w:tc>
        <w:tc>
          <w:tcPr>
            <w:tcW w:w="1550" w:type="dxa"/>
            <w:tcBorders>
              <w:bottom w:val="single" w:sz="4" w:space="0" w:color="auto"/>
            </w:tcBorders>
          </w:tcPr>
          <w:p w14:paraId="0A3C4E9C" w14:textId="41EA7BFC" w:rsidR="00792E51" w:rsidRPr="00895799" w:rsidRDefault="00BC5BA9" w:rsidP="00895799">
            <w:pPr>
              <w:spacing w:line="480" w:lineRule="auto"/>
              <w:jc w:val="center"/>
              <w:rPr>
                <w:sz w:val="20"/>
                <w:szCs w:val="20"/>
              </w:rPr>
            </w:pPr>
            <w:r w:rsidRPr="00895799">
              <w:rPr>
                <w:sz w:val="20"/>
                <w:szCs w:val="20"/>
              </w:rPr>
              <w:t>.4</w:t>
            </w:r>
            <w:r w:rsidR="00493BB0">
              <w:rPr>
                <w:sz w:val="20"/>
                <w:szCs w:val="20"/>
              </w:rPr>
              <w:t>4</w:t>
            </w:r>
            <w:r w:rsidR="00792E51" w:rsidRPr="00895799">
              <w:rPr>
                <w:sz w:val="20"/>
                <w:szCs w:val="20"/>
              </w:rPr>
              <w:t>**</w:t>
            </w:r>
          </w:p>
        </w:tc>
        <w:tc>
          <w:tcPr>
            <w:tcW w:w="1550" w:type="dxa"/>
            <w:tcBorders>
              <w:bottom w:val="single" w:sz="4" w:space="0" w:color="auto"/>
            </w:tcBorders>
          </w:tcPr>
          <w:p w14:paraId="46A06102" w14:textId="5BA33E5F" w:rsidR="00792E51" w:rsidRPr="00895799" w:rsidRDefault="00BC5BA9" w:rsidP="00895799">
            <w:pPr>
              <w:spacing w:line="480" w:lineRule="auto"/>
              <w:jc w:val="center"/>
              <w:rPr>
                <w:sz w:val="20"/>
                <w:szCs w:val="20"/>
              </w:rPr>
            </w:pPr>
            <w:r w:rsidRPr="00895799">
              <w:rPr>
                <w:sz w:val="20"/>
                <w:szCs w:val="20"/>
              </w:rPr>
              <w:t>.3</w:t>
            </w:r>
            <w:r w:rsidR="00493BB0">
              <w:rPr>
                <w:sz w:val="20"/>
                <w:szCs w:val="20"/>
              </w:rPr>
              <w:t>0</w:t>
            </w:r>
            <w:r w:rsidR="00792E51" w:rsidRPr="00895799">
              <w:rPr>
                <w:sz w:val="20"/>
                <w:szCs w:val="20"/>
              </w:rPr>
              <w:t>**</w:t>
            </w:r>
          </w:p>
        </w:tc>
        <w:tc>
          <w:tcPr>
            <w:tcW w:w="1550" w:type="dxa"/>
            <w:tcBorders>
              <w:bottom w:val="single" w:sz="4" w:space="0" w:color="auto"/>
            </w:tcBorders>
          </w:tcPr>
          <w:p w14:paraId="11B65542" w14:textId="209CBBD3" w:rsidR="00792E51" w:rsidRPr="00895799" w:rsidRDefault="00BC5BA9" w:rsidP="00895799">
            <w:pPr>
              <w:spacing w:line="480" w:lineRule="auto"/>
              <w:jc w:val="center"/>
              <w:rPr>
                <w:sz w:val="20"/>
                <w:szCs w:val="20"/>
              </w:rPr>
            </w:pPr>
            <w:r w:rsidRPr="00895799">
              <w:rPr>
                <w:sz w:val="20"/>
                <w:szCs w:val="20"/>
              </w:rPr>
              <w:t>.2</w:t>
            </w:r>
            <w:r w:rsidR="00493BB0">
              <w:rPr>
                <w:sz w:val="20"/>
                <w:szCs w:val="20"/>
              </w:rPr>
              <w:t>7</w:t>
            </w:r>
            <w:r w:rsidR="00792E51" w:rsidRPr="00895799">
              <w:rPr>
                <w:sz w:val="20"/>
                <w:szCs w:val="20"/>
              </w:rPr>
              <w:t>**</w:t>
            </w:r>
          </w:p>
        </w:tc>
      </w:tr>
      <w:tr w:rsidR="00792E51" w:rsidRPr="00895799" w14:paraId="13199EB5" w14:textId="77777777" w:rsidTr="009E1733">
        <w:trPr>
          <w:trHeight w:val="800"/>
        </w:trPr>
        <w:tc>
          <w:tcPr>
            <w:tcW w:w="13950" w:type="dxa"/>
            <w:gridSpan w:val="9"/>
            <w:tcBorders>
              <w:top w:val="single" w:sz="4" w:space="0" w:color="auto"/>
            </w:tcBorders>
          </w:tcPr>
          <w:p w14:paraId="3D30C59B" w14:textId="24ABED9E" w:rsidR="00792E51" w:rsidRPr="00895799" w:rsidRDefault="00792E51" w:rsidP="00895799">
            <w:pPr>
              <w:spacing w:line="480" w:lineRule="auto"/>
              <w:rPr>
                <w:sz w:val="20"/>
                <w:szCs w:val="20"/>
              </w:rPr>
            </w:pPr>
            <w:r w:rsidRPr="00895799">
              <w:rPr>
                <w:i/>
                <w:sz w:val="20"/>
                <w:szCs w:val="20"/>
              </w:rPr>
              <w:t xml:space="preserve">Note. </w:t>
            </w:r>
            <w:r w:rsidRPr="00895799">
              <w:rPr>
                <w:sz w:val="20"/>
                <w:szCs w:val="20"/>
              </w:rPr>
              <w:t xml:space="preserve">FFMQ-SF = Five Facet Mindfulness Questionnaire – Short Form; </w:t>
            </w:r>
            <w:proofErr w:type="spellStart"/>
            <w:r w:rsidRPr="00895799">
              <w:rPr>
                <w:sz w:val="20"/>
                <w:szCs w:val="20"/>
              </w:rPr>
              <w:t>ActAware</w:t>
            </w:r>
            <w:proofErr w:type="spellEnd"/>
            <w:r w:rsidRPr="00895799">
              <w:rPr>
                <w:sz w:val="20"/>
                <w:szCs w:val="20"/>
              </w:rPr>
              <w:t xml:space="preserve"> = Acting with awareness; </w:t>
            </w:r>
            <w:proofErr w:type="spellStart"/>
            <w:r w:rsidRPr="00895799">
              <w:rPr>
                <w:sz w:val="20"/>
                <w:szCs w:val="20"/>
              </w:rPr>
              <w:t>NonJudge</w:t>
            </w:r>
            <w:proofErr w:type="spellEnd"/>
            <w:r w:rsidRPr="00895799">
              <w:rPr>
                <w:sz w:val="20"/>
                <w:szCs w:val="20"/>
              </w:rPr>
              <w:t xml:space="preserve"> = Non-judgement of inner experience; </w:t>
            </w:r>
            <w:proofErr w:type="spellStart"/>
            <w:r w:rsidRPr="00895799">
              <w:rPr>
                <w:sz w:val="20"/>
                <w:szCs w:val="20"/>
              </w:rPr>
              <w:t>NonReact</w:t>
            </w:r>
            <w:proofErr w:type="spellEnd"/>
            <w:r w:rsidRPr="00895799">
              <w:rPr>
                <w:sz w:val="20"/>
                <w:szCs w:val="20"/>
              </w:rPr>
              <w:t xml:space="preserve"> = Non-reactivity to inner experience. </w:t>
            </w:r>
            <w:r w:rsidR="00EE5424">
              <w:rPr>
                <w:sz w:val="20"/>
                <w:szCs w:val="20"/>
              </w:rPr>
              <w:t xml:space="preserve">* = </w:t>
            </w:r>
            <w:r w:rsidR="00EE5424" w:rsidRPr="00D0112B">
              <w:rPr>
                <w:i/>
                <w:sz w:val="20"/>
                <w:szCs w:val="20"/>
              </w:rPr>
              <w:t>p</w:t>
            </w:r>
            <w:r w:rsidR="00EE5424">
              <w:rPr>
                <w:sz w:val="20"/>
                <w:szCs w:val="20"/>
              </w:rPr>
              <w:t xml:space="preserve"> &lt;.05. </w:t>
            </w:r>
            <w:r w:rsidRPr="00895799">
              <w:rPr>
                <w:sz w:val="20"/>
                <w:szCs w:val="20"/>
              </w:rPr>
              <w:t xml:space="preserve">** = </w:t>
            </w:r>
            <w:r w:rsidRPr="00895799">
              <w:rPr>
                <w:i/>
                <w:sz w:val="20"/>
                <w:szCs w:val="20"/>
              </w:rPr>
              <w:t>p</w:t>
            </w:r>
            <w:r w:rsidRPr="00895799">
              <w:rPr>
                <w:sz w:val="20"/>
                <w:szCs w:val="20"/>
              </w:rPr>
              <w:t xml:space="preserve"> &lt; .01.</w:t>
            </w:r>
          </w:p>
        </w:tc>
      </w:tr>
    </w:tbl>
    <w:p w14:paraId="162FF365" w14:textId="77777777" w:rsidR="00792E51" w:rsidRPr="00895799" w:rsidRDefault="00792E51" w:rsidP="00895799">
      <w:pPr>
        <w:spacing w:line="480" w:lineRule="auto"/>
        <w:rPr>
          <w:sz w:val="20"/>
          <w:szCs w:val="20"/>
        </w:rPr>
        <w:sectPr w:rsidR="00792E51" w:rsidRPr="00895799" w:rsidSect="00792E51">
          <w:pgSz w:w="16840" w:h="11900" w:orient="landscape"/>
          <w:pgMar w:top="1440" w:right="1440" w:bottom="1440" w:left="1440" w:header="708" w:footer="708" w:gutter="0"/>
          <w:cols w:space="708"/>
          <w:docGrid w:linePitch="360"/>
        </w:sectPr>
      </w:pPr>
    </w:p>
    <w:p w14:paraId="58EA3F99" w14:textId="59CC85A5" w:rsidR="00792E51" w:rsidRPr="00895799" w:rsidRDefault="00792E51" w:rsidP="00895799">
      <w:pPr>
        <w:spacing w:line="480" w:lineRule="auto"/>
        <w:rPr>
          <w:sz w:val="20"/>
          <w:szCs w:val="20"/>
        </w:rPr>
      </w:pPr>
    </w:p>
    <w:tbl>
      <w:tblPr>
        <w:tblStyle w:val="TableGrid"/>
        <w:tblW w:w="12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1909"/>
        <w:gridCol w:w="1959"/>
        <w:gridCol w:w="1793"/>
        <w:gridCol w:w="1903"/>
        <w:gridCol w:w="2054"/>
      </w:tblGrid>
      <w:tr w:rsidR="00792E51" w:rsidRPr="00895799" w14:paraId="176E12FE" w14:textId="77777777" w:rsidTr="009E1733">
        <w:trPr>
          <w:trHeight w:val="272"/>
        </w:trPr>
        <w:tc>
          <w:tcPr>
            <w:tcW w:w="12841" w:type="dxa"/>
            <w:gridSpan w:val="6"/>
            <w:tcBorders>
              <w:bottom w:val="single" w:sz="4" w:space="0" w:color="auto"/>
            </w:tcBorders>
          </w:tcPr>
          <w:p w14:paraId="2D96B31D" w14:textId="37DE440D" w:rsidR="00792E51" w:rsidRPr="00895799" w:rsidRDefault="00792E51" w:rsidP="00895799">
            <w:pPr>
              <w:spacing w:line="480" w:lineRule="auto"/>
              <w:rPr>
                <w:sz w:val="20"/>
                <w:szCs w:val="20"/>
              </w:rPr>
            </w:pPr>
            <w:r w:rsidRPr="00895799">
              <w:rPr>
                <w:sz w:val="20"/>
                <w:szCs w:val="20"/>
              </w:rPr>
              <w:t xml:space="preserve">Table </w:t>
            </w:r>
            <w:r w:rsidR="008436EB">
              <w:rPr>
                <w:sz w:val="20"/>
                <w:szCs w:val="20"/>
              </w:rPr>
              <w:t>2</w:t>
            </w:r>
          </w:p>
          <w:p w14:paraId="096233E8" w14:textId="77777777" w:rsidR="00792E51" w:rsidRPr="00895799" w:rsidRDefault="00792E51" w:rsidP="00895799">
            <w:pPr>
              <w:spacing w:line="480" w:lineRule="auto"/>
              <w:rPr>
                <w:sz w:val="20"/>
                <w:szCs w:val="20"/>
              </w:rPr>
            </w:pPr>
            <w:r w:rsidRPr="00895799">
              <w:rPr>
                <w:i/>
                <w:sz w:val="20"/>
                <w:szCs w:val="20"/>
              </w:rPr>
              <w:t>Pearson’s Product Moment Correlations Between FFMQ-SF Subscale Scores, Affect and Emotion Regulation.</w:t>
            </w:r>
          </w:p>
        </w:tc>
      </w:tr>
      <w:tr w:rsidR="00792E51" w:rsidRPr="00895799" w14:paraId="5BBD29ED" w14:textId="77777777" w:rsidTr="009E1733">
        <w:trPr>
          <w:trHeight w:val="466"/>
        </w:trPr>
        <w:tc>
          <w:tcPr>
            <w:tcW w:w="3223" w:type="dxa"/>
            <w:tcBorders>
              <w:top w:val="single" w:sz="4" w:space="0" w:color="auto"/>
              <w:bottom w:val="single" w:sz="4" w:space="0" w:color="auto"/>
            </w:tcBorders>
            <w:vAlign w:val="bottom"/>
          </w:tcPr>
          <w:p w14:paraId="74DB473A" w14:textId="77777777" w:rsidR="00792E51" w:rsidRPr="00895799" w:rsidRDefault="00792E51" w:rsidP="00895799">
            <w:pPr>
              <w:spacing w:line="480" w:lineRule="auto"/>
              <w:jc w:val="center"/>
              <w:rPr>
                <w:sz w:val="20"/>
                <w:szCs w:val="20"/>
              </w:rPr>
            </w:pPr>
            <w:r w:rsidRPr="00895799">
              <w:rPr>
                <w:sz w:val="20"/>
                <w:szCs w:val="20"/>
              </w:rPr>
              <w:t>Construct</w:t>
            </w:r>
          </w:p>
        </w:tc>
        <w:tc>
          <w:tcPr>
            <w:tcW w:w="1909" w:type="dxa"/>
            <w:tcBorders>
              <w:top w:val="single" w:sz="4" w:space="0" w:color="auto"/>
              <w:bottom w:val="single" w:sz="4" w:space="0" w:color="auto"/>
            </w:tcBorders>
            <w:vAlign w:val="bottom"/>
          </w:tcPr>
          <w:p w14:paraId="1B487BAD" w14:textId="77777777" w:rsidR="00792E51" w:rsidRPr="00895799" w:rsidRDefault="00792E51" w:rsidP="00895799">
            <w:pPr>
              <w:spacing w:line="480" w:lineRule="auto"/>
              <w:jc w:val="center"/>
              <w:rPr>
                <w:sz w:val="20"/>
                <w:szCs w:val="20"/>
              </w:rPr>
            </w:pPr>
            <w:r w:rsidRPr="00895799">
              <w:rPr>
                <w:sz w:val="20"/>
                <w:szCs w:val="20"/>
              </w:rPr>
              <w:t>Observe</w:t>
            </w:r>
          </w:p>
        </w:tc>
        <w:tc>
          <w:tcPr>
            <w:tcW w:w="1959" w:type="dxa"/>
            <w:tcBorders>
              <w:top w:val="single" w:sz="4" w:space="0" w:color="auto"/>
              <w:bottom w:val="single" w:sz="4" w:space="0" w:color="auto"/>
            </w:tcBorders>
            <w:vAlign w:val="bottom"/>
          </w:tcPr>
          <w:p w14:paraId="46BD5C36" w14:textId="77777777" w:rsidR="00792E51" w:rsidRPr="00895799" w:rsidRDefault="00792E51" w:rsidP="00895799">
            <w:pPr>
              <w:spacing w:line="480" w:lineRule="auto"/>
              <w:jc w:val="center"/>
              <w:rPr>
                <w:sz w:val="20"/>
                <w:szCs w:val="20"/>
              </w:rPr>
            </w:pPr>
            <w:r w:rsidRPr="00895799">
              <w:rPr>
                <w:sz w:val="20"/>
                <w:szCs w:val="20"/>
              </w:rPr>
              <w:t>Describe</w:t>
            </w:r>
          </w:p>
        </w:tc>
        <w:tc>
          <w:tcPr>
            <w:tcW w:w="1793" w:type="dxa"/>
            <w:tcBorders>
              <w:top w:val="single" w:sz="4" w:space="0" w:color="auto"/>
              <w:bottom w:val="single" w:sz="4" w:space="0" w:color="auto"/>
            </w:tcBorders>
            <w:vAlign w:val="bottom"/>
          </w:tcPr>
          <w:p w14:paraId="69875E94" w14:textId="77777777" w:rsidR="00792E51" w:rsidRPr="00895799" w:rsidRDefault="00792E51" w:rsidP="00895799">
            <w:pPr>
              <w:spacing w:line="480" w:lineRule="auto"/>
              <w:jc w:val="center"/>
              <w:rPr>
                <w:sz w:val="20"/>
                <w:szCs w:val="20"/>
              </w:rPr>
            </w:pPr>
            <w:proofErr w:type="spellStart"/>
            <w:r w:rsidRPr="00895799">
              <w:rPr>
                <w:sz w:val="20"/>
                <w:szCs w:val="20"/>
              </w:rPr>
              <w:t>ActAware</w:t>
            </w:r>
            <w:proofErr w:type="spellEnd"/>
          </w:p>
        </w:tc>
        <w:tc>
          <w:tcPr>
            <w:tcW w:w="1903" w:type="dxa"/>
            <w:tcBorders>
              <w:top w:val="single" w:sz="4" w:space="0" w:color="auto"/>
              <w:bottom w:val="single" w:sz="4" w:space="0" w:color="auto"/>
            </w:tcBorders>
            <w:vAlign w:val="bottom"/>
          </w:tcPr>
          <w:p w14:paraId="0944413D" w14:textId="77777777" w:rsidR="00792E51" w:rsidRPr="00895799" w:rsidRDefault="00792E51" w:rsidP="00895799">
            <w:pPr>
              <w:spacing w:line="480" w:lineRule="auto"/>
              <w:jc w:val="center"/>
              <w:rPr>
                <w:sz w:val="20"/>
                <w:szCs w:val="20"/>
              </w:rPr>
            </w:pPr>
            <w:proofErr w:type="spellStart"/>
            <w:r w:rsidRPr="00895799">
              <w:rPr>
                <w:sz w:val="20"/>
                <w:szCs w:val="20"/>
              </w:rPr>
              <w:t>NonJudge</w:t>
            </w:r>
            <w:proofErr w:type="spellEnd"/>
          </w:p>
        </w:tc>
        <w:tc>
          <w:tcPr>
            <w:tcW w:w="2054" w:type="dxa"/>
            <w:tcBorders>
              <w:top w:val="single" w:sz="4" w:space="0" w:color="auto"/>
              <w:bottom w:val="single" w:sz="4" w:space="0" w:color="auto"/>
            </w:tcBorders>
            <w:vAlign w:val="bottom"/>
          </w:tcPr>
          <w:p w14:paraId="1A87831A" w14:textId="77777777" w:rsidR="00792E51" w:rsidRPr="00895799" w:rsidRDefault="00792E51" w:rsidP="00895799">
            <w:pPr>
              <w:spacing w:line="480" w:lineRule="auto"/>
              <w:jc w:val="center"/>
              <w:rPr>
                <w:sz w:val="20"/>
                <w:szCs w:val="20"/>
              </w:rPr>
            </w:pPr>
            <w:proofErr w:type="spellStart"/>
            <w:r w:rsidRPr="00895799">
              <w:rPr>
                <w:sz w:val="20"/>
                <w:szCs w:val="20"/>
              </w:rPr>
              <w:t>NonReact</w:t>
            </w:r>
            <w:proofErr w:type="spellEnd"/>
          </w:p>
        </w:tc>
      </w:tr>
      <w:tr w:rsidR="00792E51" w:rsidRPr="00895799" w14:paraId="756FCE42" w14:textId="77777777" w:rsidTr="009E1733">
        <w:trPr>
          <w:trHeight w:val="272"/>
        </w:trPr>
        <w:tc>
          <w:tcPr>
            <w:tcW w:w="3223" w:type="dxa"/>
          </w:tcPr>
          <w:p w14:paraId="02FE4CC2" w14:textId="77777777" w:rsidR="00792E51" w:rsidRPr="00895799" w:rsidRDefault="00792E51" w:rsidP="00895799">
            <w:pPr>
              <w:spacing w:line="480" w:lineRule="auto"/>
              <w:ind w:left="318"/>
              <w:rPr>
                <w:sz w:val="20"/>
                <w:szCs w:val="20"/>
              </w:rPr>
            </w:pPr>
            <w:r w:rsidRPr="00895799">
              <w:rPr>
                <w:sz w:val="20"/>
                <w:szCs w:val="20"/>
              </w:rPr>
              <w:t>Positive Affect</w:t>
            </w:r>
          </w:p>
        </w:tc>
        <w:tc>
          <w:tcPr>
            <w:tcW w:w="1909" w:type="dxa"/>
            <w:vAlign w:val="center"/>
          </w:tcPr>
          <w:p w14:paraId="70D351EA" w14:textId="64E57B9D" w:rsidR="00792E51" w:rsidRPr="00895799" w:rsidRDefault="00792E51" w:rsidP="00895799">
            <w:pPr>
              <w:spacing w:line="480" w:lineRule="auto"/>
              <w:jc w:val="center"/>
              <w:rPr>
                <w:sz w:val="20"/>
                <w:szCs w:val="20"/>
              </w:rPr>
            </w:pPr>
            <w:r w:rsidRPr="00895799">
              <w:rPr>
                <w:sz w:val="20"/>
                <w:szCs w:val="20"/>
              </w:rPr>
              <w:t xml:space="preserve">   </w:t>
            </w:r>
            <w:r w:rsidR="00F11EA0" w:rsidRPr="00895799">
              <w:rPr>
                <w:sz w:val="20"/>
                <w:szCs w:val="20"/>
              </w:rPr>
              <w:t xml:space="preserve">   .</w:t>
            </w:r>
            <w:r w:rsidR="00BA2A31">
              <w:rPr>
                <w:sz w:val="20"/>
                <w:szCs w:val="20"/>
              </w:rPr>
              <w:t>26</w:t>
            </w:r>
            <w:r w:rsidRPr="00895799">
              <w:rPr>
                <w:sz w:val="20"/>
                <w:szCs w:val="20"/>
              </w:rPr>
              <w:t>**</w:t>
            </w:r>
          </w:p>
        </w:tc>
        <w:tc>
          <w:tcPr>
            <w:tcW w:w="1959" w:type="dxa"/>
            <w:vAlign w:val="center"/>
          </w:tcPr>
          <w:p w14:paraId="75FA7AFD" w14:textId="52C42E85" w:rsidR="00792E51" w:rsidRPr="00895799" w:rsidRDefault="00F11EA0" w:rsidP="00895799">
            <w:pPr>
              <w:spacing w:line="480" w:lineRule="auto"/>
              <w:jc w:val="center"/>
              <w:rPr>
                <w:sz w:val="20"/>
                <w:szCs w:val="20"/>
              </w:rPr>
            </w:pPr>
            <w:r w:rsidRPr="00895799">
              <w:rPr>
                <w:sz w:val="20"/>
                <w:szCs w:val="20"/>
              </w:rPr>
              <w:t xml:space="preserve">  .2</w:t>
            </w:r>
            <w:r w:rsidR="009B2961">
              <w:rPr>
                <w:sz w:val="20"/>
                <w:szCs w:val="20"/>
              </w:rPr>
              <w:t>8</w:t>
            </w:r>
            <w:r w:rsidR="00792E51" w:rsidRPr="00895799">
              <w:rPr>
                <w:sz w:val="20"/>
                <w:szCs w:val="20"/>
              </w:rPr>
              <w:t>**</w:t>
            </w:r>
          </w:p>
        </w:tc>
        <w:tc>
          <w:tcPr>
            <w:tcW w:w="1793" w:type="dxa"/>
            <w:vAlign w:val="center"/>
          </w:tcPr>
          <w:p w14:paraId="254D2BEE" w14:textId="4B398127" w:rsidR="00792E51" w:rsidRPr="00895799" w:rsidRDefault="00F11EA0" w:rsidP="00895799">
            <w:pPr>
              <w:spacing w:line="480" w:lineRule="auto"/>
              <w:jc w:val="center"/>
              <w:rPr>
                <w:sz w:val="20"/>
                <w:szCs w:val="20"/>
              </w:rPr>
            </w:pPr>
            <w:r w:rsidRPr="00895799">
              <w:rPr>
                <w:sz w:val="20"/>
                <w:szCs w:val="20"/>
              </w:rPr>
              <w:t xml:space="preserve">  .2</w:t>
            </w:r>
            <w:r w:rsidR="009B2961">
              <w:rPr>
                <w:sz w:val="20"/>
                <w:szCs w:val="20"/>
              </w:rPr>
              <w:t>7</w:t>
            </w:r>
            <w:r w:rsidR="00792E51" w:rsidRPr="00895799">
              <w:rPr>
                <w:sz w:val="20"/>
                <w:szCs w:val="20"/>
              </w:rPr>
              <w:t>**</w:t>
            </w:r>
          </w:p>
        </w:tc>
        <w:tc>
          <w:tcPr>
            <w:tcW w:w="1903" w:type="dxa"/>
            <w:vAlign w:val="center"/>
          </w:tcPr>
          <w:p w14:paraId="1C9B1238" w14:textId="781C9107" w:rsidR="00792E51" w:rsidRPr="00895799" w:rsidRDefault="00792E51" w:rsidP="00895799">
            <w:pPr>
              <w:spacing w:line="480" w:lineRule="auto"/>
              <w:jc w:val="center"/>
              <w:rPr>
                <w:sz w:val="20"/>
                <w:szCs w:val="20"/>
              </w:rPr>
            </w:pPr>
            <w:r w:rsidRPr="00895799">
              <w:rPr>
                <w:sz w:val="20"/>
                <w:szCs w:val="20"/>
              </w:rPr>
              <w:t>.1</w:t>
            </w:r>
            <w:r w:rsidR="009B2961">
              <w:rPr>
                <w:sz w:val="20"/>
                <w:szCs w:val="20"/>
              </w:rPr>
              <w:t>3</w:t>
            </w:r>
          </w:p>
        </w:tc>
        <w:tc>
          <w:tcPr>
            <w:tcW w:w="2054" w:type="dxa"/>
            <w:vAlign w:val="center"/>
          </w:tcPr>
          <w:p w14:paraId="0416B023" w14:textId="7AF4ADE7" w:rsidR="00792E51" w:rsidRPr="00895799" w:rsidRDefault="00792E51" w:rsidP="00895799">
            <w:pPr>
              <w:spacing w:line="480" w:lineRule="auto"/>
              <w:jc w:val="center"/>
              <w:rPr>
                <w:sz w:val="20"/>
                <w:szCs w:val="20"/>
              </w:rPr>
            </w:pPr>
            <w:r w:rsidRPr="00895799">
              <w:rPr>
                <w:sz w:val="20"/>
                <w:szCs w:val="20"/>
              </w:rPr>
              <w:t xml:space="preserve">   </w:t>
            </w:r>
            <w:r w:rsidR="00F11EA0" w:rsidRPr="00895799">
              <w:rPr>
                <w:sz w:val="20"/>
                <w:szCs w:val="20"/>
              </w:rPr>
              <w:t xml:space="preserve"> .2</w:t>
            </w:r>
            <w:r w:rsidR="009B2961">
              <w:rPr>
                <w:sz w:val="20"/>
                <w:szCs w:val="20"/>
              </w:rPr>
              <w:t>6</w:t>
            </w:r>
            <w:r w:rsidRPr="00895799">
              <w:rPr>
                <w:sz w:val="20"/>
                <w:szCs w:val="20"/>
              </w:rPr>
              <w:t>**</w:t>
            </w:r>
          </w:p>
        </w:tc>
      </w:tr>
      <w:tr w:rsidR="00792E51" w:rsidRPr="00895799" w14:paraId="76212CE0" w14:textId="77777777" w:rsidTr="009E1733">
        <w:trPr>
          <w:trHeight w:val="272"/>
        </w:trPr>
        <w:tc>
          <w:tcPr>
            <w:tcW w:w="3223" w:type="dxa"/>
          </w:tcPr>
          <w:p w14:paraId="5D48A5DF" w14:textId="77777777" w:rsidR="00792E51" w:rsidRPr="00895799" w:rsidRDefault="00792E51" w:rsidP="00895799">
            <w:pPr>
              <w:spacing w:line="480" w:lineRule="auto"/>
              <w:ind w:left="318"/>
              <w:rPr>
                <w:sz w:val="20"/>
                <w:szCs w:val="20"/>
              </w:rPr>
            </w:pPr>
            <w:r w:rsidRPr="00895799">
              <w:rPr>
                <w:sz w:val="20"/>
                <w:szCs w:val="20"/>
              </w:rPr>
              <w:t>Negative Affect</w:t>
            </w:r>
          </w:p>
        </w:tc>
        <w:tc>
          <w:tcPr>
            <w:tcW w:w="1909" w:type="dxa"/>
            <w:vAlign w:val="center"/>
          </w:tcPr>
          <w:p w14:paraId="47104B6E" w14:textId="4E2AEC0F" w:rsidR="00792E51" w:rsidRPr="00895799" w:rsidRDefault="00792E51" w:rsidP="00895799">
            <w:pPr>
              <w:spacing w:line="480" w:lineRule="auto"/>
              <w:jc w:val="center"/>
              <w:rPr>
                <w:sz w:val="20"/>
                <w:szCs w:val="20"/>
              </w:rPr>
            </w:pPr>
            <w:r w:rsidRPr="00895799">
              <w:rPr>
                <w:sz w:val="20"/>
                <w:szCs w:val="20"/>
              </w:rPr>
              <w:t xml:space="preserve">   </w:t>
            </w:r>
            <w:r w:rsidR="00F11EA0" w:rsidRPr="00895799">
              <w:rPr>
                <w:sz w:val="20"/>
                <w:szCs w:val="20"/>
              </w:rPr>
              <w:t>-.1</w:t>
            </w:r>
            <w:r w:rsidR="009B2961">
              <w:rPr>
                <w:sz w:val="20"/>
                <w:szCs w:val="20"/>
              </w:rPr>
              <w:t>3</w:t>
            </w:r>
          </w:p>
        </w:tc>
        <w:tc>
          <w:tcPr>
            <w:tcW w:w="1959" w:type="dxa"/>
            <w:vAlign w:val="center"/>
          </w:tcPr>
          <w:p w14:paraId="572A989F" w14:textId="0DBBB0CB" w:rsidR="00792E51" w:rsidRPr="00895799" w:rsidRDefault="00F11EA0" w:rsidP="00895799">
            <w:pPr>
              <w:spacing w:line="480" w:lineRule="auto"/>
              <w:jc w:val="center"/>
              <w:rPr>
                <w:sz w:val="20"/>
                <w:szCs w:val="20"/>
              </w:rPr>
            </w:pPr>
            <w:r w:rsidRPr="00895799">
              <w:rPr>
                <w:sz w:val="20"/>
                <w:szCs w:val="20"/>
              </w:rPr>
              <w:t>-.41</w:t>
            </w:r>
            <w:r w:rsidR="00792E51" w:rsidRPr="00895799">
              <w:rPr>
                <w:sz w:val="20"/>
                <w:szCs w:val="20"/>
              </w:rPr>
              <w:t>**</w:t>
            </w:r>
          </w:p>
        </w:tc>
        <w:tc>
          <w:tcPr>
            <w:tcW w:w="1793" w:type="dxa"/>
            <w:vAlign w:val="center"/>
          </w:tcPr>
          <w:p w14:paraId="182DE78D" w14:textId="19C3CED3" w:rsidR="00792E51" w:rsidRPr="00895799" w:rsidRDefault="00792E51" w:rsidP="00895799">
            <w:pPr>
              <w:spacing w:line="480" w:lineRule="auto"/>
              <w:jc w:val="center"/>
              <w:rPr>
                <w:sz w:val="20"/>
                <w:szCs w:val="20"/>
              </w:rPr>
            </w:pPr>
            <w:r w:rsidRPr="00895799">
              <w:rPr>
                <w:sz w:val="20"/>
                <w:szCs w:val="20"/>
              </w:rPr>
              <w:t xml:space="preserve"> </w:t>
            </w:r>
            <w:r w:rsidR="00F11EA0" w:rsidRPr="00895799">
              <w:rPr>
                <w:sz w:val="20"/>
                <w:szCs w:val="20"/>
              </w:rPr>
              <w:t>-.55</w:t>
            </w:r>
            <w:r w:rsidRPr="00895799">
              <w:rPr>
                <w:sz w:val="20"/>
                <w:szCs w:val="20"/>
              </w:rPr>
              <w:t>**</w:t>
            </w:r>
          </w:p>
        </w:tc>
        <w:tc>
          <w:tcPr>
            <w:tcW w:w="1903" w:type="dxa"/>
            <w:vAlign w:val="center"/>
          </w:tcPr>
          <w:p w14:paraId="3418D341" w14:textId="2FD858C9" w:rsidR="00792E51" w:rsidRPr="00895799" w:rsidRDefault="00F11EA0" w:rsidP="00895799">
            <w:pPr>
              <w:spacing w:line="480" w:lineRule="auto"/>
              <w:jc w:val="center"/>
              <w:rPr>
                <w:sz w:val="20"/>
                <w:szCs w:val="20"/>
              </w:rPr>
            </w:pPr>
            <w:r w:rsidRPr="00895799">
              <w:rPr>
                <w:sz w:val="20"/>
                <w:szCs w:val="20"/>
              </w:rPr>
              <w:t xml:space="preserve">   -.49</w:t>
            </w:r>
            <w:r w:rsidR="00792E51" w:rsidRPr="00895799">
              <w:rPr>
                <w:sz w:val="20"/>
                <w:szCs w:val="20"/>
              </w:rPr>
              <w:t>**</w:t>
            </w:r>
          </w:p>
        </w:tc>
        <w:tc>
          <w:tcPr>
            <w:tcW w:w="2054" w:type="dxa"/>
            <w:vAlign w:val="center"/>
          </w:tcPr>
          <w:p w14:paraId="376D45F2" w14:textId="5FAEDE0E" w:rsidR="00792E51" w:rsidRPr="00895799" w:rsidRDefault="00792E51" w:rsidP="00895799">
            <w:pPr>
              <w:spacing w:line="480" w:lineRule="auto"/>
              <w:jc w:val="center"/>
              <w:rPr>
                <w:sz w:val="20"/>
                <w:szCs w:val="20"/>
              </w:rPr>
            </w:pPr>
            <w:r w:rsidRPr="00895799">
              <w:rPr>
                <w:sz w:val="20"/>
                <w:szCs w:val="20"/>
              </w:rPr>
              <w:t xml:space="preserve">   </w:t>
            </w:r>
            <w:r w:rsidR="00F11EA0" w:rsidRPr="00895799">
              <w:rPr>
                <w:sz w:val="20"/>
                <w:szCs w:val="20"/>
              </w:rPr>
              <w:t>-.2</w:t>
            </w:r>
            <w:r w:rsidR="009B2961">
              <w:rPr>
                <w:sz w:val="20"/>
                <w:szCs w:val="20"/>
              </w:rPr>
              <w:t>7</w:t>
            </w:r>
            <w:r w:rsidRPr="00895799">
              <w:rPr>
                <w:sz w:val="20"/>
                <w:szCs w:val="20"/>
              </w:rPr>
              <w:t>**</w:t>
            </w:r>
          </w:p>
        </w:tc>
      </w:tr>
      <w:tr w:rsidR="00792E51" w:rsidRPr="00895799" w14:paraId="0F6219A4" w14:textId="77777777" w:rsidTr="009E1733">
        <w:trPr>
          <w:trHeight w:val="272"/>
        </w:trPr>
        <w:tc>
          <w:tcPr>
            <w:tcW w:w="3223" w:type="dxa"/>
          </w:tcPr>
          <w:p w14:paraId="71C39704" w14:textId="77777777" w:rsidR="00792E51" w:rsidRPr="00895799" w:rsidRDefault="00792E51" w:rsidP="00895799">
            <w:pPr>
              <w:spacing w:line="480" w:lineRule="auto"/>
              <w:ind w:left="318"/>
              <w:rPr>
                <w:sz w:val="20"/>
                <w:szCs w:val="20"/>
              </w:rPr>
            </w:pPr>
            <w:r w:rsidRPr="00895799">
              <w:rPr>
                <w:sz w:val="20"/>
                <w:szCs w:val="20"/>
              </w:rPr>
              <w:t>Cognitive Reappraisal</w:t>
            </w:r>
          </w:p>
        </w:tc>
        <w:tc>
          <w:tcPr>
            <w:tcW w:w="1909" w:type="dxa"/>
            <w:vAlign w:val="center"/>
          </w:tcPr>
          <w:p w14:paraId="77856837" w14:textId="52899A6C" w:rsidR="00792E51" w:rsidRPr="00895799" w:rsidRDefault="00F11EA0" w:rsidP="00895799">
            <w:pPr>
              <w:spacing w:line="480" w:lineRule="auto"/>
              <w:jc w:val="center"/>
              <w:rPr>
                <w:sz w:val="20"/>
                <w:szCs w:val="20"/>
              </w:rPr>
            </w:pPr>
            <w:r w:rsidRPr="00895799">
              <w:rPr>
                <w:sz w:val="20"/>
                <w:szCs w:val="20"/>
              </w:rPr>
              <w:t xml:space="preserve">      .</w:t>
            </w:r>
            <w:r w:rsidR="009B2961">
              <w:rPr>
                <w:sz w:val="20"/>
                <w:szCs w:val="20"/>
              </w:rPr>
              <w:t>29</w:t>
            </w:r>
            <w:r w:rsidR="00792E51" w:rsidRPr="00895799">
              <w:rPr>
                <w:sz w:val="20"/>
                <w:szCs w:val="20"/>
              </w:rPr>
              <w:t>**</w:t>
            </w:r>
          </w:p>
        </w:tc>
        <w:tc>
          <w:tcPr>
            <w:tcW w:w="1959" w:type="dxa"/>
            <w:vAlign w:val="center"/>
          </w:tcPr>
          <w:p w14:paraId="53FBF83F" w14:textId="03F60B30" w:rsidR="00792E51" w:rsidRPr="00895799" w:rsidRDefault="00F11EA0" w:rsidP="00895799">
            <w:pPr>
              <w:spacing w:line="480" w:lineRule="auto"/>
              <w:jc w:val="center"/>
              <w:rPr>
                <w:sz w:val="20"/>
                <w:szCs w:val="20"/>
              </w:rPr>
            </w:pPr>
            <w:r w:rsidRPr="00895799">
              <w:rPr>
                <w:sz w:val="20"/>
                <w:szCs w:val="20"/>
              </w:rPr>
              <w:t xml:space="preserve"> .2</w:t>
            </w:r>
            <w:r w:rsidR="009B2961">
              <w:rPr>
                <w:sz w:val="20"/>
                <w:szCs w:val="20"/>
              </w:rPr>
              <w:t>8</w:t>
            </w:r>
            <w:r w:rsidR="00792E51" w:rsidRPr="00895799">
              <w:rPr>
                <w:sz w:val="20"/>
                <w:szCs w:val="20"/>
              </w:rPr>
              <w:t>**</w:t>
            </w:r>
          </w:p>
        </w:tc>
        <w:tc>
          <w:tcPr>
            <w:tcW w:w="1793" w:type="dxa"/>
            <w:vAlign w:val="center"/>
          </w:tcPr>
          <w:p w14:paraId="046F62E1" w14:textId="1117DDC6" w:rsidR="00792E51" w:rsidRPr="00895799" w:rsidRDefault="00F11EA0" w:rsidP="00895799">
            <w:pPr>
              <w:spacing w:line="480" w:lineRule="auto"/>
              <w:jc w:val="center"/>
              <w:rPr>
                <w:sz w:val="20"/>
                <w:szCs w:val="20"/>
              </w:rPr>
            </w:pPr>
            <w:r w:rsidRPr="00895799">
              <w:rPr>
                <w:sz w:val="20"/>
                <w:szCs w:val="20"/>
              </w:rPr>
              <w:t>.1</w:t>
            </w:r>
            <w:r w:rsidR="009B2961">
              <w:rPr>
                <w:sz w:val="20"/>
                <w:szCs w:val="20"/>
              </w:rPr>
              <w:t>5</w:t>
            </w:r>
            <w:r w:rsidR="00792E51" w:rsidRPr="00895799">
              <w:rPr>
                <w:sz w:val="20"/>
                <w:szCs w:val="20"/>
              </w:rPr>
              <w:t>*</w:t>
            </w:r>
          </w:p>
        </w:tc>
        <w:tc>
          <w:tcPr>
            <w:tcW w:w="1903" w:type="dxa"/>
            <w:vAlign w:val="center"/>
          </w:tcPr>
          <w:p w14:paraId="40310AFC" w14:textId="5BA3A448" w:rsidR="00792E51" w:rsidRPr="00895799" w:rsidRDefault="00F11EA0" w:rsidP="00895799">
            <w:pPr>
              <w:spacing w:line="480" w:lineRule="auto"/>
              <w:jc w:val="center"/>
              <w:rPr>
                <w:sz w:val="20"/>
                <w:szCs w:val="20"/>
              </w:rPr>
            </w:pPr>
            <w:r w:rsidRPr="00895799">
              <w:rPr>
                <w:sz w:val="20"/>
                <w:szCs w:val="20"/>
              </w:rPr>
              <w:t>.</w:t>
            </w:r>
            <w:r w:rsidR="009B2961">
              <w:rPr>
                <w:sz w:val="20"/>
                <w:szCs w:val="20"/>
              </w:rPr>
              <w:t>03</w:t>
            </w:r>
          </w:p>
        </w:tc>
        <w:tc>
          <w:tcPr>
            <w:tcW w:w="2054" w:type="dxa"/>
            <w:vAlign w:val="center"/>
          </w:tcPr>
          <w:p w14:paraId="347F36B2" w14:textId="2FE25691" w:rsidR="00792E51" w:rsidRPr="00895799" w:rsidRDefault="00F11EA0" w:rsidP="00895799">
            <w:pPr>
              <w:spacing w:line="480" w:lineRule="auto"/>
              <w:jc w:val="center"/>
              <w:rPr>
                <w:sz w:val="20"/>
                <w:szCs w:val="20"/>
              </w:rPr>
            </w:pPr>
            <w:r w:rsidRPr="00895799">
              <w:rPr>
                <w:sz w:val="20"/>
                <w:szCs w:val="20"/>
              </w:rPr>
              <w:t xml:space="preserve">     .2</w:t>
            </w:r>
            <w:r w:rsidR="009B2961">
              <w:rPr>
                <w:sz w:val="20"/>
                <w:szCs w:val="20"/>
              </w:rPr>
              <w:t>1</w:t>
            </w:r>
            <w:r w:rsidR="00792E51" w:rsidRPr="00895799">
              <w:rPr>
                <w:sz w:val="20"/>
                <w:szCs w:val="20"/>
              </w:rPr>
              <w:t>**</w:t>
            </w:r>
          </w:p>
        </w:tc>
      </w:tr>
      <w:tr w:rsidR="00792E51" w:rsidRPr="00895799" w14:paraId="4BE00923" w14:textId="77777777" w:rsidTr="009E1733">
        <w:trPr>
          <w:trHeight w:val="272"/>
        </w:trPr>
        <w:tc>
          <w:tcPr>
            <w:tcW w:w="3223" w:type="dxa"/>
            <w:tcBorders>
              <w:bottom w:val="single" w:sz="4" w:space="0" w:color="auto"/>
            </w:tcBorders>
          </w:tcPr>
          <w:p w14:paraId="417E6D4A" w14:textId="77777777" w:rsidR="00792E51" w:rsidRPr="00895799" w:rsidRDefault="00792E51" w:rsidP="00895799">
            <w:pPr>
              <w:spacing w:line="480" w:lineRule="auto"/>
              <w:ind w:left="318"/>
              <w:rPr>
                <w:sz w:val="20"/>
                <w:szCs w:val="20"/>
              </w:rPr>
            </w:pPr>
            <w:r w:rsidRPr="00895799">
              <w:rPr>
                <w:sz w:val="20"/>
                <w:szCs w:val="20"/>
              </w:rPr>
              <w:t>Expressive Suppression</w:t>
            </w:r>
          </w:p>
        </w:tc>
        <w:tc>
          <w:tcPr>
            <w:tcW w:w="1909" w:type="dxa"/>
            <w:tcBorders>
              <w:bottom w:val="single" w:sz="4" w:space="0" w:color="auto"/>
            </w:tcBorders>
            <w:vAlign w:val="center"/>
          </w:tcPr>
          <w:p w14:paraId="2A337904" w14:textId="74438A7A" w:rsidR="00792E51" w:rsidRPr="00895799" w:rsidRDefault="00792E51" w:rsidP="00895799">
            <w:pPr>
              <w:spacing w:line="480" w:lineRule="auto"/>
              <w:jc w:val="center"/>
              <w:rPr>
                <w:sz w:val="20"/>
                <w:szCs w:val="20"/>
              </w:rPr>
            </w:pPr>
            <w:r w:rsidRPr="00895799">
              <w:rPr>
                <w:sz w:val="20"/>
                <w:szCs w:val="20"/>
              </w:rPr>
              <w:t xml:space="preserve">  -.</w:t>
            </w:r>
            <w:r w:rsidR="009B2961">
              <w:rPr>
                <w:sz w:val="20"/>
                <w:szCs w:val="20"/>
              </w:rPr>
              <w:t>08</w:t>
            </w:r>
          </w:p>
        </w:tc>
        <w:tc>
          <w:tcPr>
            <w:tcW w:w="1959" w:type="dxa"/>
            <w:tcBorders>
              <w:bottom w:val="single" w:sz="4" w:space="0" w:color="auto"/>
            </w:tcBorders>
            <w:vAlign w:val="center"/>
          </w:tcPr>
          <w:p w14:paraId="13B64CB9" w14:textId="5E245E4F" w:rsidR="00792E51" w:rsidRPr="00895799" w:rsidRDefault="00F11EA0" w:rsidP="00895799">
            <w:pPr>
              <w:spacing w:line="480" w:lineRule="auto"/>
              <w:jc w:val="center"/>
              <w:rPr>
                <w:sz w:val="20"/>
                <w:szCs w:val="20"/>
              </w:rPr>
            </w:pPr>
            <w:r w:rsidRPr="00895799">
              <w:rPr>
                <w:sz w:val="20"/>
                <w:szCs w:val="20"/>
              </w:rPr>
              <w:t>-.4</w:t>
            </w:r>
            <w:r w:rsidR="009B2961">
              <w:rPr>
                <w:sz w:val="20"/>
                <w:szCs w:val="20"/>
              </w:rPr>
              <w:t>7</w:t>
            </w:r>
            <w:r w:rsidR="00792E51" w:rsidRPr="00895799">
              <w:rPr>
                <w:sz w:val="20"/>
                <w:szCs w:val="20"/>
              </w:rPr>
              <w:t>**</w:t>
            </w:r>
          </w:p>
        </w:tc>
        <w:tc>
          <w:tcPr>
            <w:tcW w:w="1793" w:type="dxa"/>
            <w:tcBorders>
              <w:bottom w:val="single" w:sz="4" w:space="0" w:color="auto"/>
            </w:tcBorders>
            <w:vAlign w:val="center"/>
          </w:tcPr>
          <w:p w14:paraId="53AA0682" w14:textId="3442DD6F" w:rsidR="00792E51" w:rsidRPr="00895799" w:rsidRDefault="00F11EA0" w:rsidP="00895799">
            <w:pPr>
              <w:spacing w:line="480" w:lineRule="auto"/>
              <w:jc w:val="center"/>
              <w:rPr>
                <w:sz w:val="20"/>
                <w:szCs w:val="20"/>
              </w:rPr>
            </w:pPr>
            <w:r w:rsidRPr="00895799">
              <w:rPr>
                <w:sz w:val="20"/>
                <w:szCs w:val="20"/>
              </w:rPr>
              <w:t xml:space="preserve"> -.3</w:t>
            </w:r>
            <w:r w:rsidR="009B2961">
              <w:rPr>
                <w:sz w:val="20"/>
                <w:szCs w:val="20"/>
              </w:rPr>
              <w:t>4</w:t>
            </w:r>
            <w:r w:rsidR="00792E51" w:rsidRPr="00895799">
              <w:rPr>
                <w:sz w:val="20"/>
                <w:szCs w:val="20"/>
              </w:rPr>
              <w:t>**</w:t>
            </w:r>
          </w:p>
        </w:tc>
        <w:tc>
          <w:tcPr>
            <w:tcW w:w="1903" w:type="dxa"/>
            <w:tcBorders>
              <w:bottom w:val="single" w:sz="4" w:space="0" w:color="auto"/>
            </w:tcBorders>
            <w:vAlign w:val="center"/>
          </w:tcPr>
          <w:p w14:paraId="3CC896FF" w14:textId="0435B1E9" w:rsidR="00792E51" w:rsidRPr="00895799" w:rsidRDefault="00F11EA0" w:rsidP="00895799">
            <w:pPr>
              <w:spacing w:line="480" w:lineRule="auto"/>
              <w:jc w:val="center"/>
              <w:rPr>
                <w:sz w:val="20"/>
                <w:szCs w:val="20"/>
              </w:rPr>
            </w:pPr>
            <w:r w:rsidRPr="00895799">
              <w:rPr>
                <w:sz w:val="20"/>
                <w:szCs w:val="20"/>
              </w:rPr>
              <w:t xml:space="preserve">   -.2</w:t>
            </w:r>
            <w:r w:rsidR="009B2961">
              <w:rPr>
                <w:sz w:val="20"/>
                <w:szCs w:val="20"/>
              </w:rPr>
              <w:t>6</w:t>
            </w:r>
            <w:r w:rsidR="00792E51" w:rsidRPr="00895799">
              <w:rPr>
                <w:sz w:val="20"/>
                <w:szCs w:val="20"/>
              </w:rPr>
              <w:t>**</w:t>
            </w:r>
          </w:p>
        </w:tc>
        <w:tc>
          <w:tcPr>
            <w:tcW w:w="2054" w:type="dxa"/>
            <w:tcBorders>
              <w:bottom w:val="single" w:sz="4" w:space="0" w:color="auto"/>
            </w:tcBorders>
            <w:vAlign w:val="center"/>
          </w:tcPr>
          <w:p w14:paraId="76559272" w14:textId="1AF6EF2B" w:rsidR="00792E51" w:rsidRPr="00895799" w:rsidRDefault="00792E51" w:rsidP="00895799">
            <w:pPr>
              <w:spacing w:line="480" w:lineRule="auto"/>
              <w:jc w:val="center"/>
              <w:rPr>
                <w:sz w:val="20"/>
                <w:szCs w:val="20"/>
              </w:rPr>
            </w:pPr>
            <w:r w:rsidRPr="00895799">
              <w:rPr>
                <w:sz w:val="20"/>
                <w:szCs w:val="20"/>
              </w:rPr>
              <w:t>-.1</w:t>
            </w:r>
            <w:r w:rsidR="009B2961">
              <w:rPr>
                <w:sz w:val="20"/>
                <w:szCs w:val="20"/>
              </w:rPr>
              <w:t>0</w:t>
            </w:r>
          </w:p>
        </w:tc>
      </w:tr>
      <w:tr w:rsidR="00792E51" w:rsidRPr="00895799" w14:paraId="5285CE99" w14:textId="77777777" w:rsidTr="009E1733">
        <w:trPr>
          <w:trHeight w:val="272"/>
        </w:trPr>
        <w:tc>
          <w:tcPr>
            <w:tcW w:w="12841" w:type="dxa"/>
            <w:gridSpan w:val="6"/>
            <w:tcBorders>
              <w:top w:val="single" w:sz="4" w:space="0" w:color="auto"/>
            </w:tcBorders>
            <w:vAlign w:val="center"/>
          </w:tcPr>
          <w:p w14:paraId="6CCB68F1" w14:textId="77777777" w:rsidR="00792E51" w:rsidRPr="00895799" w:rsidRDefault="00792E51" w:rsidP="00895799">
            <w:pPr>
              <w:spacing w:line="480" w:lineRule="auto"/>
              <w:rPr>
                <w:i/>
                <w:sz w:val="20"/>
                <w:szCs w:val="20"/>
              </w:rPr>
            </w:pPr>
            <w:r w:rsidRPr="00895799">
              <w:rPr>
                <w:i/>
                <w:sz w:val="20"/>
                <w:szCs w:val="20"/>
              </w:rPr>
              <w:t>Note.</w:t>
            </w:r>
            <w:r w:rsidRPr="00895799">
              <w:rPr>
                <w:sz w:val="20"/>
                <w:szCs w:val="20"/>
              </w:rPr>
              <w:t xml:space="preserve"> FFMQ-SF = Five Facet Mindfulness Questionnaire – Short Form; </w:t>
            </w:r>
            <w:proofErr w:type="spellStart"/>
            <w:r w:rsidRPr="00895799">
              <w:rPr>
                <w:sz w:val="20"/>
                <w:szCs w:val="20"/>
              </w:rPr>
              <w:t>ActAware</w:t>
            </w:r>
            <w:proofErr w:type="spellEnd"/>
            <w:r w:rsidRPr="00895799">
              <w:rPr>
                <w:sz w:val="20"/>
                <w:szCs w:val="20"/>
              </w:rPr>
              <w:t xml:space="preserve"> = Acting with awareness; </w:t>
            </w:r>
            <w:proofErr w:type="spellStart"/>
            <w:r w:rsidRPr="00895799">
              <w:rPr>
                <w:sz w:val="20"/>
                <w:szCs w:val="20"/>
              </w:rPr>
              <w:t>NonJudge</w:t>
            </w:r>
            <w:proofErr w:type="spellEnd"/>
            <w:r w:rsidRPr="00895799">
              <w:rPr>
                <w:sz w:val="20"/>
                <w:szCs w:val="20"/>
              </w:rPr>
              <w:t xml:space="preserve"> = Non-judgement of inner experience; </w:t>
            </w:r>
            <w:proofErr w:type="spellStart"/>
            <w:r w:rsidRPr="00895799">
              <w:rPr>
                <w:sz w:val="20"/>
                <w:szCs w:val="20"/>
              </w:rPr>
              <w:t>NonReact</w:t>
            </w:r>
            <w:proofErr w:type="spellEnd"/>
            <w:r w:rsidRPr="00895799">
              <w:rPr>
                <w:sz w:val="20"/>
                <w:szCs w:val="20"/>
              </w:rPr>
              <w:t xml:space="preserve"> = Non-reactivity to inner experience.  * </w:t>
            </w:r>
            <w:proofErr w:type="gramStart"/>
            <w:r w:rsidRPr="00895799">
              <w:rPr>
                <w:i/>
                <w:sz w:val="20"/>
                <w:szCs w:val="20"/>
              </w:rPr>
              <w:t>p</w:t>
            </w:r>
            <w:proofErr w:type="gramEnd"/>
            <w:r w:rsidRPr="00895799">
              <w:rPr>
                <w:sz w:val="20"/>
                <w:szCs w:val="20"/>
              </w:rPr>
              <w:t xml:space="preserve"> &lt; .05, ** </w:t>
            </w:r>
            <w:r w:rsidRPr="00895799">
              <w:rPr>
                <w:i/>
                <w:sz w:val="20"/>
                <w:szCs w:val="20"/>
              </w:rPr>
              <w:t>p</w:t>
            </w:r>
            <w:r w:rsidRPr="00895799">
              <w:rPr>
                <w:sz w:val="20"/>
                <w:szCs w:val="20"/>
              </w:rPr>
              <w:t xml:space="preserve"> &lt; .01.</w:t>
            </w:r>
          </w:p>
        </w:tc>
      </w:tr>
    </w:tbl>
    <w:p w14:paraId="109C5DF0" w14:textId="77777777" w:rsidR="00792E51" w:rsidRPr="00895799" w:rsidRDefault="00792E51" w:rsidP="00895799">
      <w:pPr>
        <w:spacing w:line="480" w:lineRule="auto"/>
        <w:ind w:left="567" w:hanging="567"/>
        <w:rPr>
          <w:sz w:val="20"/>
          <w:szCs w:val="20"/>
        </w:rPr>
        <w:sectPr w:rsidR="00792E51" w:rsidRPr="00895799" w:rsidSect="00792E51">
          <w:pgSz w:w="16840" w:h="11900" w:orient="landscape"/>
          <w:pgMar w:top="1440" w:right="1440" w:bottom="1440" w:left="1440" w:header="708" w:footer="708" w:gutter="0"/>
          <w:cols w:space="708"/>
          <w:docGrid w:linePitch="360"/>
        </w:sectPr>
      </w:pPr>
    </w:p>
    <w:tbl>
      <w:tblPr>
        <w:tblStyle w:val="TableGrid"/>
        <w:tblpPr w:leftFromText="180" w:rightFromText="180" w:vertAnchor="text" w:horzAnchor="page" w:tblpX="1450" w:tblpY="-66"/>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116"/>
        <w:gridCol w:w="1031"/>
        <w:gridCol w:w="949"/>
        <w:gridCol w:w="921"/>
        <w:gridCol w:w="2390"/>
      </w:tblGrid>
      <w:tr w:rsidR="00792E51" w:rsidRPr="00895799" w14:paraId="5E98EBAB" w14:textId="77777777" w:rsidTr="009E1733">
        <w:trPr>
          <w:trHeight w:val="853"/>
        </w:trPr>
        <w:tc>
          <w:tcPr>
            <w:tcW w:w="9652" w:type="dxa"/>
            <w:gridSpan w:val="6"/>
            <w:tcBorders>
              <w:bottom w:val="single" w:sz="4" w:space="0" w:color="auto"/>
            </w:tcBorders>
          </w:tcPr>
          <w:p w14:paraId="488950F6" w14:textId="0E420EF4" w:rsidR="00792E51" w:rsidRPr="00895799" w:rsidRDefault="00792E51" w:rsidP="00895799">
            <w:pPr>
              <w:spacing w:line="480" w:lineRule="auto"/>
              <w:rPr>
                <w:sz w:val="20"/>
                <w:szCs w:val="20"/>
              </w:rPr>
            </w:pPr>
            <w:r w:rsidRPr="00895799">
              <w:rPr>
                <w:sz w:val="20"/>
                <w:szCs w:val="20"/>
              </w:rPr>
              <w:lastRenderedPageBreak/>
              <w:t xml:space="preserve">Table </w:t>
            </w:r>
            <w:r w:rsidR="008436EB">
              <w:rPr>
                <w:sz w:val="20"/>
                <w:szCs w:val="20"/>
              </w:rPr>
              <w:t>3</w:t>
            </w:r>
          </w:p>
          <w:p w14:paraId="56F3B5F9" w14:textId="77777777" w:rsidR="00792E51" w:rsidRPr="00895799" w:rsidRDefault="00792E51" w:rsidP="00895799">
            <w:pPr>
              <w:spacing w:line="480" w:lineRule="auto"/>
              <w:rPr>
                <w:i/>
                <w:sz w:val="20"/>
                <w:szCs w:val="20"/>
              </w:rPr>
            </w:pPr>
            <w:r w:rsidRPr="00895799">
              <w:rPr>
                <w:i/>
                <w:sz w:val="20"/>
                <w:szCs w:val="20"/>
              </w:rPr>
              <w:t>Results of Confirmatory Factor Analyses of the FFMQ-SF Among Community-Dwelling Older Adults.</w:t>
            </w:r>
          </w:p>
        </w:tc>
      </w:tr>
      <w:tr w:rsidR="00792E51" w:rsidRPr="00895799" w14:paraId="16664F42" w14:textId="77777777" w:rsidTr="009E1733">
        <w:trPr>
          <w:trHeight w:val="387"/>
        </w:trPr>
        <w:tc>
          <w:tcPr>
            <w:tcW w:w="3245" w:type="dxa"/>
            <w:tcBorders>
              <w:top w:val="single" w:sz="4" w:space="0" w:color="auto"/>
              <w:bottom w:val="single" w:sz="4" w:space="0" w:color="auto"/>
            </w:tcBorders>
          </w:tcPr>
          <w:p w14:paraId="2B95F3A3" w14:textId="77777777" w:rsidR="00792E51" w:rsidRPr="00895799" w:rsidRDefault="00792E51" w:rsidP="00895799">
            <w:pPr>
              <w:spacing w:line="480" w:lineRule="auto"/>
              <w:rPr>
                <w:sz w:val="20"/>
                <w:szCs w:val="20"/>
              </w:rPr>
            </w:pPr>
          </w:p>
        </w:tc>
        <w:tc>
          <w:tcPr>
            <w:tcW w:w="1116" w:type="dxa"/>
            <w:tcBorders>
              <w:top w:val="single" w:sz="4" w:space="0" w:color="auto"/>
              <w:bottom w:val="single" w:sz="4" w:space="0" w:color="auto"/>
            </w:tcBorders>
            <w:vAlign w:val="bottom"/>
          </w:tcPr>
          <w:p w14:paraId="32B07900" w14:textId="77777777" w:rsidR="00792E51" w:rsidRPr="00895799" w:rsidRDefault="00792E51" w:rsidP="00895799">
            <w:pPr>
              <w:spacing w:line="480" w:lineRule="auto"/>
              <w:jc w:val="center"/>
              <w:rPr>
                <w:i/>
                <w:sz w:val="20"/>
                <w:szCs w:val="20"/>
                <w:vertAlign w:val="superscript"/>
              </w:rPr>
            </w:pPr>
            <w:r w:rsidRPr="00895799">
              <w:rPr>
                <w:i/>
                <w:sz w:val="20"/>
                <w:szCs w:val="20"/>
              </w:rPr>
              <w:t>X</w:t>
            </w:r>
            <w:r w:rsidRPr="00895799">
              <w:rPr>
                <w:i/>
                <w:sz w:val="20"/>
                <w:szCs w:val="20"/>
                <w:vertAlign w:val="superscript"/>
              </w:rPr>
              <w:t>2</w:t>
            </w:r>
          </w:p>
        </w:tc>
        <w:tc>
          <w:tcPr>
            <w:tcW w:w="1031" w:type="dxa"/>
            <w:tcBorders>
              <w:top w:val="single" w:sz="4" w:space="0" w:color="auto"/>
              <w:bottom w:val="single" w:sz="4" w:space="0" w:color="auto"/>
            </w:tcBorders>
            <w:vAlign w:val="bottom"/>
          </w:tcPr>
          <w:p w14:paraId="371EC519" w14:textId="77777777" w:rsidR="00792E51" w:rsidRPr="00895799" w:rsidRDefault="00792E51" w:rsidP="00895799">
            <w:pPr>
              <w:spacing w:line="480" w:lineRule="auto"/>
              <w:jc w:val="center"/>
              <w:rPr>
                <w:i/>
                <w:sz w:val="20"/>
                <w:szCs w:val="20"/>
              </w:rPr>
            </w:pPr>
            <w:proofErr w:type="spellStart"/>
            <w:r w:rsidRPr="00895799">
              <w:rPr>
                <w:i/>
                <w:sz w:val="20"/>
                <w:szCs w:val="20"/>
              </w:rPr>
              <w:t>df</w:t>
            </w:r>
            <w:proofErr w:type="spellEnd"/>
          </w:p>
        </w:tc>
        <w:tc>
          <w:tcPr>
            <w:tcW w:w="949" w:type="dxa"/>
            <w:tcBorders>
              <w:top w:val="single" w:sz="4" w:space="0" w:color="auto"/>
              <w:bottom w:val="single" w:sz="4" w:space="0" w:color="auto"/>
            </w:tcBorders>
            <w:vAlign w:val="bottom"/>
          </w:tcPr>
          <w:p w14:paraId="327C3097" w14:textId="77777777" w:rsidR="00792E51" w:rsidRPr="00895799" w:rsidRDefault="00792E51" w:rsidP="00895799">
            <w:pPr>
              <w:spacing w:line="480" w:lineRule="auto"/>
              <w:jc w:val="center"/>
              <w:rPr>
                <w:sz w:val="20"/>
                <w:szCs w:val="20"/>
              </w:rPr>
            </w:pPr>
            <w:r w:rsidRPr="00895799">
              <w:rPr>
                <w:sz w:val="20"/>
                <w:szCs w:val="20"/>
              </w:rPr>
              <w:t>CFI</w:t>
            </w:r>
          </w:p>
        </w:tc>
        <w:tc>
          <w:tcPr>
            <w:tcW w:w="921" w:type="dxa"/>
            <w:tcBorders>
              <w:top w:val="single" w:sz="4" w:space="0" w:color="auto"/>
              <w:bottom w:val="single" w:sz="4" w:space="0" w:color="auto"/>
            </w:tcBorders>
            <w:vAlign w:val="bottom"/>
          </w:tcPr>
          <w:p w14:paraId="6160E8E5" w14:textId="77777777" w:rsidR="00792E51" w:rsidRPr="00895799" w:rsidRDefault="00792E51" w:rsidP="00895799">
            <w:pPr>
              <w:spacing w:line="480" w:lineRule="auto"/>
              <w:jc w:val="center"/>
              <w:rPr>
                <w:sz w:val="20"/>
                <w:szCs w:val="20"/>
              </w:rPr>
            </w:pPr>
            <w:r w:rsidRPr="00895799">
              <w:rPr>
                <w:sz w:val="20"/>
                <w:szCs w:val="20"/>
              </w:rPr>
              <w:t>TLI</w:t>
            </w:r>
          </w:p>
        </w:tc>
        <w:tc>
          <w:tcPr>
            <w:tcW w:w="2390" w:type="dxa"/>
            <w:tcBorders>
              <w:top w:val="single" w:sz="4" w:space="0" w:color="auto"/>
              <w:bottom w:val="single" w:sz="4" w:space="0" w:color="auto"/>
            </w:tcBorders>
            <w:vAlign w:val="bottom"/>
          </w:tcPr>
          <w:p w14:paraId="5DD38370" w14:textId="77777777" w:rsidR="00792E51" w:rsidRPr="00895799" w:rsidRDefault="00792E51" w:rsidP="00895799">
            <w:pPr>
              <w:spacing w:line="480" w:lineRule="auto"/>
              <w:jc w:val="center"/>
              <w:rPr>
                <w:sz w:val="20"/>
                <w:szCs w:val="20"/>
              </w:rPr>
            </w:pPr>
            <w:r w:rsidRPr="00895799">
              <w:rPr>
                <w:sz w:val="20"/>
                <w:szCs w:val="20"/>
              </w:rPr>
              <w:t>RMSEA [90% CI]</w:t>
            </w:r>
          </w:p>
        </w:tc>
      </w:tr>
      <w:tr w:rsidR="00792E51" w:rsidRPr="00895799" w14:paraId="4EEA7D30" w14:textId="77777777" w:rsidTr="009E1733">
        <w:trPr>
          <w:trHeight w:val="407"/>
        </w:trPr>
        <w:tc>
          <w:tcPr>
            <w:tcW w:w="3245" w:type="dxa"/>
          </w:tcPr>
          <w:p w14:paraId="7F706E9A" w14:textId="77777777" w:rsidR="00792E51" w:rsidRPr="00895799" w:rsidRDefault="00792E51" w:rsidP="00895799">
            <w:pPr>
              <w:spacing w:line="480" w:lineRule="auto"/>
              <w:rPr>
                <w:sz w:val="20"/>
                <w:szCs w:val="20"/>
              </w:rPr>
            </w:pPr>
            <w:r w:rsidRPr="00895799">
              <w:rPr>
                <w:sz w:val="20"/>
                <w:szCs w:val="20"/>
              </w:rPr>
              <w:t>Correlated five-factor model</w:t>
            </w:r>
          </w:p>
        </w:tc>
        <w:tc>
          <w:tcPr>
            <w:tcW w:w="1116" w:type="dxa"/>
          </w:tcPr>
          <w:p w14:paraId="174FF59F" w14:textId="17446150" w:rsidR="00792E51" w:rsidRPr="00895799" w:rsidRDefault="00587277" w:rsidP="00895799">
            <w:pPr>
              <w:spacing w:line="480" w:lineRule="auto"/>
              <w:jc w:val="center"/>
              <w:rPr>
                <w:sz w:val="20"/>
                <w:szCs w:val="20"/>
              </w:rPr>
            </w:pPr>
            <w:r>
              <w:rPr>
                <w:sz w:val="20"/>
                <w:szCs w:val="20"/>
              </w:rPr>
              <w:t>401.</w:t>
            </w:r>
            <w:r w:rsidR="000112A2">
              <w:rPr>
                <w:sz w:val="20"/>
                <w:szCs w:val="20"/>
              </w:rPr>
              <w:t>895</w:t>
            </w:r>
          </w:p>
        </w:tc>
        <w:tc>
          <w:tcPr>
            <w:tcW w:w="1031" w:type="dxa"/>
          </w:tcPr>
          <w:p w14:paraId="718E88FC" w14:textId="77777777" w:rsidR="00792E51" w:rsidRPr="00895799" w:rsidRDefault="00792E51" w:rsidP="00895799">
            <w:pPr>
              <w:spacing w:line="480" w:lineRule="auto"/>
              <w:jc w:val="center"/>
              <w:rPr>
                <w:sz w:val="20"/>
                <w:szCs w:val="20"/>
              </w:rPr>
            </w:pPr>
            <w:r w:rsidRPr="00895799">
              <w:rPr>
                <w:sz w:val="20"/>
                <w:szCs w:val="20"/>
              </w:rPr>
              <w:t>237</w:t>
            </w:r>
          </w:p>
        </w:tc>
        <w:tc>
          <w:tcPr>
            <w:tcW w:w="949" w:type="dxa"/>
          </w:tcPr>
          <w:p w14:paraId="042A1C8B" w14:textId="3555F628" w:rsidR="00792E51" w:rsidRPr="00895799" w:rsidRDefault="00792E51" w:rsidP="00895799">
            <w:pPr>
              <w:spacing w:line="480" w:lineRule="auto"/>
              <w:jc w:val="center"/>
              <w:rPr>
                <w:sz w:val="20"/>
                <w:szCs w:val="20"/>
              </w:rPr>
            </w:pPr>
            <w:r w:rsidRPr="00895799">
              <w:rPr>
                <w:sz w:val="20"/>
                <w:szCs w:val="20"/>
              </w:rPr>
              <w:t>.91</w:t>
            </w:r>
            <w:r w:rsidR="000112A2">
              <w:rPr>
                <w:sz w:val="20"/>
                <w:szCs w:val="20"/>
              </w:rPr>
              <w:t>5</w:t>
            </w:r>
          </w:p>
        </w:tc>
        <w:tc>
          <w:tcPr>
            <w:tcW w:w="921" w:type="dxa"/>
          </w:tcPr>
          <w:p w14:paraId="5E95B0AC" w14:textId="3DD129EF" w:rsidR="00792E51" w:rsidRPr="00895799" w:rsidRDefault="00792E51" w:rsidP="00895799">
            <w:pPr>
              <w:spacing w:line="480" w:lineRule="auto"/>
              <w:jc w:val="center"/>
              <w:rPr>
                <w:sz w:val="20"/>
                <w:szCs w:val="20"/>
              </w:rPr>
            </w:pPr>
            <w:r w:rsidRPr="00895799">
              <w:rPr>
                <w:sz w:val="20"/>
                <w:szCs w:val="20"/>
              </w:rPr>
              <w:t>.90</w:t>
            </w:r>
            <w:r w:rsidR="000112A2">
              <w:rPr>
                <w:sz w:val="20"/>
                <w:szCs w:val="20"/>
              </w:rPr>
              <w:t>1</w:t>
            </w:r>
          </w:p>
        </w:tc>
        <w:tc>
          <w:tcPr>
            <w:tcW w:w="2390" w:type="dxa"/>
          </w:tcPr>
          <w:p w14:paraId="2FA7AED2" w14:textId="3E74B69D" w:rsidR="00792E51" w:rsidRPr="00895799" w:rsidRDefault="00792E51" w:rsidP="00895799">
            <w:pPr>
              <w:spacing w:line="480" w:lineRule="auto"/>
              <w:jc w:val="center"/>
              <w:rPr>
                <w:sz w:val="20"/>
                <w:szCs w:val="20"/>
              </w:rPr>
            </w:pPr>
            <w:r w:rsidRPr="00895799">
              <w:rPr>
                <w:sz w:val="20"/>
                <w:szCs w:val="20"/>
              </w:rPr>
              <w:t>.05</w:t>
            </w:r>
            <w:r w:rsidR="000112A2">
              <w:rPr>
                <w:sz w:val="20"/>
                <w:szCs w:val="20"/>
              </w:rPr>
              <w:t>8</w:t>
            </w:r>
            <w:r w:rsidRPr="00895799">
              <w:rPr>
                <w:sz w:val="20"/>
                <w:szCs w:val="20"/>
              </w:rPr>
              <w:t xml:space="preserve"> [.04</w:t>
            </w:r>
            <w:r w:rsidR="000112A2">
              <w:rPr>
                <w:sz w:val="20"/>
                <w:szCs w:val="20"/>
              </w:rPr>
              <w:t>8</w:t>
            </w:r>
            <w:r w:rsidRPr="00895799">
              <w:rPr>
                <w:sz w:val="20"/>
                <w:szCs w:val="20"/>
              </w:rPr>
              <w:t>, .067]</w:t>
            </w:r>
          </w:p>
        </w:tc>
      </w:tr>
      <w:tr w:rsidR="00792E51" w:rsidRPr="00895799" w14:paraId="2C05523B" w14:textId="77777777" w:rsidTr="009E1733">
        <w:trPr>
          <w:trHeight w:val="407"/>
        </w:trPr>
        <w:tc>
          <w:tcPr>
            <w:tcW w:w="3245" w:type="dxa"/>
          </w:tcPr>
          <w:p w14:paraId="14D17E8B" w14:textId="77777777" w:rsidR="00792E51" w:rsidRPr="00895799" w:rsidRDefault="00792E51" w:rsidP="00895799">
            <w:pPr>
              <w:spacing w:line="480" w:lineRule="auto"/>
              <w:rPr>
                <w:sz w:val="20"/>
                <w:szCs w:val="20"/>
              </w:rPr>
            </w:pPr>
            <w:r w:rsidRPr="00895799">
              <w:rPr>
                <w:sz w:val="20"/>
                <w:szCs w:val="20"/>
              </w:rPr>
              <w:t>Hierarchical one-factor model</w:t>
            </w:r>
          </w:p>
        </w:tc>
        <w:tc>
          <w:tcPr>
            <w:tcW w:w="1116" w:type="dxa"/>
          </w:tcPr>
          <w:p w14:paraId="43F067BF" w14:textId="1E8E81CC" w:rsidR="00792E51" w:rsidRPr="00895799" w:rsidRDefault="00792E51" w:rsidP="00895799">
            <w:pPr>
              <w:spacing w:line="480" w:lineRule="auto"/>
              <w:jc w:val="center"/>
              <w:rPr>
                <w:sz w:val="20"/>
                <w:szCs w:val="20"/>
              </w:rPr>
            </w:pPr>
            <w:r w:rsidRPr="00895799">
              <w:rPr>
                <w:sz w:val="20"/>
                <w:szCs w:val="20"/>
              </w:rPr>
              <w:t>4</w:t>
            </w:r>
            <w:r w:rsidR="004C4E9A">
              <w:rPr>
                <w:sz w:val="20"/>
                <w:szCs w:val="20"/>
              </w:rPr>
              <w:t>26.346</w:t>
            </w:r>
          </w:p>
        </w:tc>
        <w:tc>
          <w:tcPr>
            <w:tcW w:w="1031" w:type="dxa"/>
          </w:tcPr>
          <w:p w14:paraId="78C8EEA3" w14:textId="77777777" w:rsidR="00792E51" w:rsidRPr="00895799" w:rsidRDefault="00792E51" w:rsidP="00895799">
            <w:pPr>
              <w:spacing w:line="480" w:lineRule="auto"/>
              <w:jc w:val="center"/>
              <w:rPr>
                <w:sz w:val="20"/>
                <w:szCs w:val="20"/>
              </w:rPr>
            </w:pPr>
            <w:r w:rsidRPr="00895799">
              <w:rPr>
                <w:sz w:val="20"/>
                <w:szCs w:val="20"/>
              </w:rPr>
              <w:t>242</w:t>
            </w:r>
          </w:p>
        </w:tc>
        <w:tc>
          <w:tcPr>
            <w:tcW w:w="949" w:type="dxa"/>
          </w:tcPr>
          <w:p w14:paraId="4F77E4C4" w14:textId="5C164400" w:rsidR="00792E51" w:rsidRPr="00895799" w:rsidRDefault="004C4E9A" w:rsidP="00895799">
            <w:pPr>
              <w:spacing w:line="480" w:lineRule="auto"/>
              <w:jc w:val="center"/>
              <w:rPr>
                <w:sz w:val="20"/>
                <w:szCs w:val="20"/>
              </w:rPr>
            </w:pPr>
            <w:r>
              <w:rPr>
                <w:sz w:val="20"/>
                <w:szCs w:val="20"/>
              </w:rPr>
              <w:t>.905</w:t>
            </w:r>
          </w:p>
        </w:tc>
        <w:tc>
          <w:tcPr>
            <w:tcW w:w="921" w:type="dxa"/>
          </w:tcPr>
          <w:p w14:paraId="45900F4A" w14:textId="5D3BAC7C" w:rsidR="00792E51" w:rsidRPr="00895799" w:rsidRDefault="00792E51" w:rsidP="00895799">
            <w:pPr>
              <w:spacing w:line="480" w:lineRule="auto"/>
              <w:jc w:val="center"/>
              <w:rPr>
                <w:sz w:val="20"/>
                <w:szCs w:val="20"/>
              </w:rPr>
            </w:pPr>
            <w:r w:rsidRPr="00895799">
              <w:rPr>
                <w:sz w:val="20"/>
                <w:szCs w:val="20"/>
              </w:rPr>
              <w:t>.89</w:t>
            </w:r>
            <w:r w:rsidR="004C4E9A">
              <w:rPr>
                <w:sz w:val="20"/>
                <w:szCs w:val="20"/>
              </w:rPr>
              <w:t>2</w:t>
            </w:r>
          </w:p>
        </w:tc>
        <w:tc>
          <w:tcPr>
            <w:tcW w:w="2390" w:type="dxa"/>
          </w:tcPr>
          <w:p w14:paraId="42A76CCA" w14:textId="70481BBA" w:rsidR="00792E51" w:rsidRPr="00895799" w:rsidRDefault="00792E51" w:rsidP="00895799">
            <w:pPr>
              <w:spacing w:line="480" w:lineRule="auto"/>
              <w:jc w:val="center"/>
              <w:rPr>
                <w:sz w:val="20"/>
                <w:szCs w:val="20"/>
              </w:rPr>
            </w:pPr>
            <w:r w:rsidRPr="00895799">
              <w:rPr>
                <w:sz w:val="20"/>
                <w:szCs w:val="20"/>
              </w:rPr>
              <w:t>.0</w:t>
            </w:r>
            <w:r w:rsidR="004C4E9A">
              <w:rPr>
                <w:sz w:val="20"/>
                <w:szCs w:val="20"/>
              </w:rPr>
              <w:t>60</w:t>
            </w:r>
            <w:r w:rsidRPr="00895799">
              <w:rPr>
                <w:sz w:val="20"/>
                <w:szCs w:val="20"/>
              </w:rPr>
              <w:t xml:space="preserve"> [.0</w:t>
            </w:r>
            <w:r w:rsidR="004C4E9A">
              <w:rPr>
                <w:sz w:val="20"/>
                <w:szCs w:val="20"/>
              </w:rPr>
              <w:t>51</w:t>
            </w:r>
            <w:r w:rsidRPr="00895799">
              <w:rPr>
                <w:sz w:val="20"/>
                <w:szCs w:val="20"/>
              </w:rPr>
              <w:t>, .0</w:t>
            </w:r>
            <w:r w:rsidR="004C4E9A">
              <w:rPr>
                <w:sz w:val="20"/>
                <w:szCs w:val="20"/>
              </w:rPr>
              <w:t>70</w:t>
            </w:r>
            <w:r w:rsidRPr="00895799">
              <w:rPr>
                <w:sz w:val="20"/>
                <w:szCs w:val="20"/>
              </w:rPr>
              <w:t>]</w:t>
            </w:r>
          </w:p>
        </w:tc>
      </w:tr>
      <w:tr w:rsidR="00792E51" w:rsidRPr="00895799" w14:paraId="2BB3F10D" w14:textId="77777777" w:rsidTr="009E1733">
        <w:trPr>
          <w:trHeight w:val="407"/>
        </w:trPr>
        <w:tc>
          <w:tcPr>
            <w:tcW w:w="3245" w:type="dxa"/>
            <w:tcBorders>
              <w:bottom w:val="single" w:sz="4" w:space="0" w:color="auto"/>
            </w:tcBorders>
          </w:tcPr>
          <w:p w14:paraId="63307AE5" w14:textId="77777777" w:rsidR="00792E51" w:rsidRPr="00895799" w:rsidRDefault="00792E51" w:rsidP="00895799">
            <w:pPr>
              <w:spacing w:line="480" w:lineRule="auto"/>
              <w:rPr>
                <w:sz w:val="20"/>
                <w:szCs w:val="20"/>
              </w:rPr>
            </w:pPr>
            <w:r w:rsidRPr="00895799">
              <w:rPr>
                <w:sz w:val="20"/>
                <w:szCs w:val="20"/>
              </w:rPr>
              <w:t>Hierarchical two-factor model</w:t>
            </w:r>
          </w:p>
        </w:tc>
        <w:tc>
          <w:tcPr>
            <w:tcW w:w="1116" w:type="dxa"/>
            <w:tcBorders>
              <w:bottom w:val="single" w:sz="4" w:space="0" w:color="auto"/>
            </w:tcBorders>
          </w:tcPr>
          <w:p w14:paraId="55E79EBF" w14:textId="195CB226" w:rsidR="00792E51" w:rsidRPr="00895799" w:rsidRDefault="00913010" w:rsidP="00895799">
            <w:pPr>
              <w:spacing w:line="480" w:lineRule="auto"/>
              <w:jc w:val="center"/>
              <w:rPr>
                <w:sz w:val="20"/>
                <w:szCs w:val="20"/>
              </w:rPr>
            </w:pPr>
            <w:r>
              <w:rPr>
                <w:sz w:val="20"/>
                <w:szCs w:val="20"/>
              </w:rPr>
              <w:t>406.134</w:t>
            </w:r>
          </w:p>
        </w:tc>
        <w:tc>
          <w:tcPr>
            <w:tcW w:w="1031" w:type="dxa"/>
            <w:tcBorders>
              <w:bottom w:val="single" w:sz="4" w:space="0" w:color="auto"/>
            </w:tcBorders>
          </w:tcPr>
          <w:p w14:paraId="31C1F362" w14:textId="77777777" w:rsidR="00792E51" w:rsidRPr="00895799" w:rsidRDefault="00792E51" w:rsidP="00895799">
            <w:pPr>
              <w:spacing w:line="480" w:lineRule="auto"/>
              <w:jc w:val="center"/>
              <w:rPr>
                <w:sz w:val="20"/>
                <w:szCs w:val="20"/>
              </w:rPr>
            </w:pPr>
            <w:r w:rsidRPr="00895799">
              <w:rPr>
                <w:sz w:val="20"/>
                <w:szCs w:val="20"/>
              </w:rPr>
              <w:t>239</w:t>
            </w:r>
          </w:p>
        </w:tc>
        <w:tc>
          <w:tcPr>
            <w:tcW w:w="949" w:type="dxa"/>
            <w:tcBorders>
              <w:bottom w:val="single" w:sz="4" w:space="0" w:color="auto"/>
            </w:tcBorders>
          </w:tcPr>
          <w:p w14:paraId="78A2C2F3" w14:textId="142B0DC9" w:rsidR="00792E51" w:rsidRPr="00895799" w:rsidRDefault="00792E51" w:rsidP="00895799">
            <w:pPr>
              <w:spacing w:line="480" w:lineRule="auto"/>
              <w:jc w:val="center"/>
              <w:rPr>
                <w:sz w:val="20"/>
                <w:szCs w:val="20"/>
              </w:rPr>
            </w:pPr>
            <w:r w:rsidRPr="00895799">
              <w:rPr>
                <w:sz w:val="20"/>
                <w:szCs w:val="20"/>
              </w:rPr>
              <w:t>.91</w:t>
            </w:r>
            <w:r w:rsidR="00913010">
              <w:rPr>
                <w:sz w:val="20"/>
                <w:szCs w:val="20"/>
              </w:rPr>
              <w:t>4</w:t>
            </w:r>
          </w:p>
        </w:tc>
        <w:tc>
          <w:tcPr>
            <w:tcW w:w="921" w:type="dxa"/>
            <w:tcBorders>
              <w:bottom w:val="single" w:sz="4" w:space="0" w:color="auto"/>
            </w:tcBorders>
          </w:tcPr>
          <w:p w14:paraId="171DE801" w14:textId="52BC916A" w:rsidR="00792E51" w:rsidRPr="00895799" w:rsidRDefault="00792E51" w:rsidP="00895799">
            <w:pPr>
              <w:spacing w:line="480" w:lineRule="auto"/>
              <w:jc w:val="center"/>
              <w:rPr>
                <w:sz w:val="20"/>
                <w:szCs w:val="20"/>
              </w:rPr>
            </w:pPr>
            <w:r w:rsidRPr="00895799">
              <w:rPr>
                <w:sz w:val="20"/>
                <w:szCs w:val="20"/>
              </w:rPr>
              <w:t>.90</w:t>
            </w:r>
            <w:r w:rsidR="00913010">
              <w:rPr>
                <w:sz w:val="20"/>
                <w:szCs w:val="20"/>
              </w:rPr>
              <w:t>1</w:t>
            </w:r>
          </w:p>
        </w:tc>
        <w:tc>
          <w:tcPr>
            <w:tcW w:w="2390" w:type="dxa"/>
            <w:tcBorders>
              <w:bottom w:val="single" w:sz="4" w:space="0" w:color="auto"/>
            </w:tcBorders>
          </w:tcPr>
          <w:p w14:paraId="715A2E6D" w14:textId="155683F4" w:rsidR="00792E51" w:rsidRPr="00895799" w:rsidRDefault="00792E51" w:rsidP="00895799">
            <w:pPr>
              <w:spacing w:line="480" w:lineRule="auto"/>
              <w:jc w:val="center"/>
              <w:rPr>
                <w:sz w:val="20"/>
                <w:szCs w:val="20"/>
              </w:rPr>
            </w:pPr>
            <w:r w:rsidRPr="00895799">
              <w:rPr>
                <w:sz w:val="20"/>
                <w:szCs w:val="20"/>
              </w:rPr>
              <w:t>.05</w:t>
            </w:r>
            <w:r w:rsidR="00913010">
              <w:rPr>
                <w:sz w:val="20"/>
                <w:szCs w:val="20"/>
              </w:rPr>
              <w:t>8</w:t>
            </w:r>
            <w:r w:rsidRPr="00895799">
              <w:rPr>
                <w:sz w:val="20"/>
                <w:szCs w:val="20"/>
              </w:rPr>
              <w:t xml:space="preserve"> [.04</w:t>
            </w:r>
            <w:r w:rsidR="00913010">
              <w:rPr>
                <w:sz w:val="20"/>
                <w:szCs w:val="20"/>
              </w:rPr>
              <w:t>8</w:t>
            </w:r>
            <w:r w:rsidRPr="00895799">
              <w:rPr>
                <w:sz w:val="20"/>
                <w:szCs w:val="20"/>
              </w:rPr>
              <w:t>, .067]</w:t>
            </w:r>
          </w:p>
        </w:tc>
      </w:tr>
      <w:tr w:rsidR="00792E51" w:rsidRPr="00895799" w14:paraId="19AF3E9C" w14:textId="77777777" w:rsidTr="009E1733">
        <w:trPr>
          <w:trHeight w:val="1182"/>
        </w:trPr>
        <w:tc>
          <w:tcPr>
            <w:tcW w:w="9652" w:type="dxa"/>
            <w:gridSpan w:val="6"/>
            <w:tcBorders>
              <w:top w:val="single" w:sz="4" w:space="0" w:color="auto"/>
            </w:tcBorders>
          </w:tcPr>
          <w:p w14:paraId="31335777" w14:textId="77777777" w:rsidR="00792E51" w:rsidRPr="00895799" w:rsidRDefault="00792E51" w:rsidP="00895799">
            <w:pPr>
              <w:spacing w:line="480" w:lineRule="auto"/>
              <w:rPr>
                <w:sz w:val="20"/>
                <w:szCs w:val="20"/>
              </w:rPr>
            </w:pPr>
            <w:r w:rsidRPr="00895799">
              <w:rPr>
                <w:i/>
                <w:sz w:val="20"/>
                <w:szCs w:val="20"/>
              </w:rPr>
              <w:t>Note.</w:t>
            </w:r>
            <w:r w:rsidRPr="00895799">
              <w:rPr>
                <w:sz w:val="20"/>
                <w:szCs w:val="20"/>
              </w:rPr>
              <w:t xml:space="preserve"> FFMQ-SF = Five Facet Mindfulness Questionnaire – Short Form; CFI = comparative fit index; TLI = Tucker-Lewis index; RMSEA = root mean square error of approximation; CI = confidence interval.</w:t>
            </w:r>
          </w:p>
        </w:tc>
      </w:tr>
    </w:tbl>
    <w:p w14:paraId="1F7DB5BD" w14:textId="77777777" w:rsidR="00792E51" w:rsidRPr="00895799" w:rsidRDefault="00792E51" w:rsidP="00895799">
      <w:pPr>
        <w:spacing w:line="480" w:lineRule="auto"/>
        <w:ind w:left="567" w:hanging="567"/>
        <w:rPr>
          <w:sz w:val="20"/>
          <w:szCs w:val="20"/>
        </w:rPr>
        <w:sectPr w:rsidR="00792E51" w:rsidRPr="00895799" w:rsidSect="00792E51">
          <w:pgSz w:w="11900" w:h="16840"/>
          <w:pgMar w:top="1440" w:right="1440" w:bottom="1440" w:left="1440" w:header="708" w:footer="708" w:gutter="0"/>
          <w:cols w:space="708"/>
          <w:docGrid w:linePitch="360"/>
        </w:sectPr>
      </w:pPr>
    </w:p>
    <w:p w14:paraId="5A8432AD" w14:textId="77777777" w:rsidR="00792E51" w:rsidRPr="00895799" w:rsidRDefault="00792E51" w:rsidP="00895799">
      <w:pPr>
        <w:spacing w:line="480" w:lineRule="auto"/>
        <w:rPr>
          <w:sz w:val="20"/>
          <w:szCs w:val="20"/>
        </w:rPr>
      </w:pPr>
    </w:p>
    <w:p w14:paraId="1C98FABB" w14:textId="3310ED1A" w:rsidR="00792E51" w:rsidRPr="00895799" w:rsidRDefault="00AE5360" w:rsidP="00895799">
      <w:pPr>
        <w:spacing w:line="480" w:lineRule="auto"/>
        <w:rPr>
          <w:sz w:val="20"/>
          <w:szCs w:val="20"/>
        </w:rPr>
      </w:pPr>
      <w:r>
        <w:rPr>
          <w:noProof/>
          <w:sz w:val="20"/>
          <w:szCs w:val="20"/>
        </w:rPr>
        <w:drawing>
          <wp:inline distT="0" distB="0" distL="0" distR="0" wp14:anchorId="4907200C" wp14:editId="362614D7">
            <wp:extent cx="5624333" cy="52705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17 at 11.53.36 am.png"/>
                    <pic:cNvPicPr/>
                  </pic:nvPicPr>
                  <pic:blipFill rotWithShape="1">
                    <a:blip r:embed="rId9" cstate="print">
                      <a:extLst>
                        <a:ext uri="{28A0092B-C50C-407E-A947-70E740481C1C}">
                          <a14:useLocalDpi xmlns:a14="http://schemas.microsoft.com/office/drawing/2010/main" val="0"/>
                        </a:ext>
                      </a:extLst>
                    </a:blip>
                    <a:srcRect l="1805"/>
                    <a:stretch/>
                  </pic:blipFill>
                  <pic:spPr bwMode="auto">
                    <a:xfrm>
                      <a:off x="0" y="0"/>
                      <a:ext cx="5624333" cy="5270500"/>
                    </a:xfrm>
                    <a:prstGeom prst="rect">
                      <a:avLst/>
                    </a:prstGeom>
                    <a:ln>
                      <a:noFill/>
                    </a:ln>
                    <a:extLst>
                      <a:ext uri="{53640926-AAD7-44D8-BBD7-CCE9431645EC}">
                        <a14:shadowObscured xmlns:a14="http://schemas.microsoft.com/office/drawing/2010/main"/>
                      </a:ext>
                    </a:extLst>
                  </pic:spPr>
                </pic:pic>
              </a:graphicData>
            </a:graphic>
          </wp:inline>
        </w:drawing>
      </w:r>
    </w:p>
    <w:p w14:paraId="33D79048" w14:textId="77777777" w:rsidR="00792E51" w:rsidRPr="00895799" w:rsidRDefault="00792E51" w:rsidP="00895799">
      <w:pPr>
        <w:spacing w:line="480" w:lineRule="auto"/>
        <w:rPr>
          <w:sz w:val="20"/>
          <w:szCs w:val="20"/>
        </w:rPr>
      </w:pPr>
      <w:r w:rsidRPr="00895799">
        <w:rPr>
          <w:i/>
          <w:sz w:val="20"/>
          <w:szCs w:val="20"/>
        </w:rPr>
        <w:t>Figure 1.</w:t>
      </w:r>
      <w:r w:rsidRPr="00895799">
        <w:rPr>
          <w:sz w:val="20"/>
          <w:szCs w:val="20"/>
        </w:rPr>
        <w:t xml:space="preserve"> Correlated five-factor structure of the FFMQ-SF in an older adult sample. FFMQ = Five Facet Mindfulness Questionnaire – Short Form; </w:t>
      </w:r>
      <w:proofErr w:type="spellStart"/>
      <w:r w:rsidRPr="00895799">
        <w:rPr>
          <w:sz w:val="20"/>
          <w:szCs w:val="20"/>
        </w:rPr>
        <w:t>ActAware</w:t>
      </w:r>
      <w:proofErr w:type="spellEnd"/>
      <w:r w:rsidRPr="00895799">
        <w:rPr>
          <w:sz w:val="20"/>
          <w:szCs w:val="20"/>
        </w:rPr>
        <w:t xml:space="preserve"> = Acting with awareness; </w:t>
      </w:r>
      <w:proofErr w:type="spellStart"/>
      <w:r w:rsidRPr="00895799">
        <w:rPr>
          <w:sz w:val="20"/>
          <w:szCs w:val="20"/>
        </w:rPr>
        <w:t>NonJudge</w:t>
      </w:r>
      <w:proofErr w:type="spellEnd"/>
      <w:r w:rsidRPr="00895799">
        <w:rPr>
          <w:sz w:val="20"/>
          <w:szCs w:val="20"/>
        </w:rPr>
        <w:t xml:space="preserve"> = Non-judgement of inner experience; </w:t>
      </w:r>
      <w:proofErr w:type="spellStart"/>
      <w:r w:rsidRPr="00895799">
        <w:rPr>
          <w:sz w:val="20"/>
          <w:szCs w:val="20"/>
        </w:rPr>
        <w:t>NonReact</w:t>
      </w:r>
      <w:proofErr w:type="spellEnd"/>
      <w:r w:rsidRPr="00895799">
        <w:rPr>
          <w:sz w:val="20"/>
          <w:szCs w:val="20"/>
        </w:rPr>
        <w:t xml:space="preserve"> = Non-reactivity to inner experience; R = item reverse coded; e = item error term. </w:t>
      </w:r>
    </w:p>
    <w:p w14:paraId="54E0CD25" w14:textId="44ABE8B1" w:rsidR="00792E51" w:rsidRPr="00895799" w:rsidRDefault="00792E51" w:rsidP="00895799">
      <w:pPr>
        <w:spacing w:line="480" w:lineRule="auto"/>
        <w:ind w:left="567" w:hanging="567"/>
        <w:rPr>
          <w:sz w:val="20"/>
          <w:szCs w:val="20"/>
        </w:rPr>
      </w:pPr>
    </w:p>
    <w:p w14:paraId="2AF061E9" w14:textId="77777777" w:rsidR="000617A6" w:rsidRPr="00895799" w:rsidRDefault="000617A6" w:rsidP="00895799">
      <w:pPr>
        <w:spacing w:line="480" w:lineRule="auto"/>
        <w:ind w:left="567" w:hanging="567"/>
        <w:rPr>
          <w:sz w:val="20"/>
          <w:szCs w:val="20"/>
        </w:rPr>
        <w:sectPr w:rsidR="000617A6" w:rsidRPr="00895799" w:rsidSect="00792E51">
          <w:pgSz w:w="11900" w:h="16840"/>
          <w:pgMar w:top="1440" w:right="1440" w:bottom="1440" w:left="1440" w:header="708" w:footer="708" w:gutter="0"/>
          <w:cols w:space="708"/>
          <w:docGrid w:linePitch="360"/>
        </w:sectPr>
      </w:pPr>
    </w:p>
    <w:p w14:paraId="44F7A710" w14:textId="0C13AFA8" w:rsidR="000617A6" w:rsidRPr="00895799" w:rsidRDefault="004C4E9A" w:rsidP="00895799">
      <w:pPr>
        <w:spacing w:line="480" w:lineRule="auto"/>
        <w:ind w:left="567" w:hanging="567"/>
        <w:rPr>
          <w:sz w:val="20"/>
          <w:szCs w:val="20"/>
        </w:rPr>
      </w:pPr>
      <w:r>
        <w:rPr>
          <w:noProof/>
          <w:sz w:val="20"/>
          <w:szCs w:val="20"/>
        </w:rPr>
        <w:lastRenderedPageBreak/>
        <w:drawing>
          <wp:inline distT="0" distB="0" distL="0" distR="0" wp14:anchorId="7E74DB8E" wp14:editId="3AE332FC">
            <wp:extent cx="5727700" cy="23990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17 at 12.09.36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2399030"/>
                    </a:xfrm>
                    <a:prstGeom prst="rect">
                      <a:avLst/>
                    </a:prstGeom>
                  </pic:spPr>
                </pic:pic>
              </a:graphicData>
            </a:graphic>
          </wp:inline>
        </w:drawing>
      </w:r>
    </w:p>
    <w:p w14:paraId="39D9B5AC" w14:textId="511C276C" w:rsidR="000617A6" w:rsidRPr="00895799" w:rsidRDefault="000617A6" w:rsidP="00895799">
      <w:pPr>
        <w:spacing w:line="480" w:lineRule="auto"/>
        <w:rPr>
          <w:sz w:val="20"/>
          <w:szCs w:val="20"/>
        </w:rPr>
      </w:pPr>
      <w:r w:rsidRPr="00895799">
        <w:rPr>
          <w:i/>
          <w:sz w:val="20"/>
          <w:szCs w:val="20"/>
        </w:rPr>
        <w:t>Figure 2.</w:t>
      </w:r>
      <w:r w:rsidRPr="00895799">
        <w:rPr>
          <w:sz w:val="20"/>
          <w:szCs w:val="20"/>
        </w:rPr>
        <w:t xml:space="preserve"> One-factor higher order structure of the Five Facet Mindfulness Questionnaire – Short Form. </w:t>
      </w:r>
      <w:proofErr w:type="spellStart"/>
      <w:r w:rsidRPr="00895799">
        <w:rPr>
          <w:sz w:val="20"/>
          <w:szCs w:val="20"/>
        </w:rPr>
        <w:t>ActAware</w:t>
      </w:r>
      <w:proofErr w:type="spellEnd"/>
      <w:r w:rsidRPr="00895799">
        <w:rPr>
          <w:sz w:val="20"/>
          <w:szCs w:val="20"/>
        </w:rPr>
        <w:t xml:space="preserve"> = Acting with awareness; </w:t>
      </w:r>
      <w:proofErr w:type="spellStart"/>
      <w:r w:rsidRPr="00895799">
        <w:rPr>
          <w:sz w:val="20"/>
          <w:szCs w:val="20"/>
        </w:rPr>
        <w:t>NonJudge</w:t>
      </w:r>
      <w:proofErr w:type="spellEnd"/>
      <w:r w:rsidRPr="00895799">
        <w:rPr>
          <w:sz w:val="20"/>
          <w:szCs w:val="20"/>
        </w:rPr>
        <w:t xml:space="preserve"> = Non-judgement of inner experience; </w:t>
      </w:r>
      <w:proofErr w:type="spellStart"/>
      <w:r w:rsidRPr="00895799">
        <w:rPr>
          <w:sz w:val="20"/>
          <w:szCs w:val="20"/>
        </w:rPr>
        <w:t>NonReact</w:t>
      </w:r>
      <w:proofErr w:type="spellEnd"/>
      <w:r w:rsidRPr="00895799">
        <w:rPr>
          <w:sz w:val="20"/>
          <w:szCs w:val="20"/>
        </w:rPr>
        <w:t xml:space="preserve"> = Non-reactivity to inner experience.</w:t>
      </w:r>
    </w:p>
    <w:p w14:paraId="25B48EF5" w14:textId="77777777" w:rsidR="000617A6" w:rsidRPr="00895799" w:rsidRDefault="000617A6" w:rsidP="00895799">
      <w:pPr>
        <w:spacing w:line="480" w:lineRule="auto"/>
        <w:ind w:left="567" w:hanging="567"/>
        <w:rPr>
          <w:sz w:val="20"/>
          <w:szCs w:val="20"/>
        </w:rPr>
        <w:sectPr w:rsidR="000617A6" w:rsidRPr="00895799" w:rsidSect="00792E51">
          <w:pgSz w:w="11900" w:h="16840"/>
          <w:pgMar w:top="1440" w:right="1440" w:bottom="1440" w:left="1440" w:header="708" w:footer="708" w:gutter="0"/>
          <w:cols w:space="708"/>
          <w:docGrid w:linePitch="360"/>
        </w:sectPr>
      </w:pPr>
    </w:p>
    <w:p w14:paraId="775F2A27" w14:textId="2E86A150" w:rsidR="00792E51" w:rsidRPr="00895799" w:rsidRDefault="00913010" w:rsidP="00895799">
      <w:pPr>
        <w:spacing w:line="480" w:lineRule="auto"/>
        <w:rPr>
          <w:sz w:val="20"/>
          <w:szCs w:val="20"/>
        </w:rPr>
      </w:pPr>
      <w:r>
        <w:rPr>
          <w:noProof/>
          <w:sz w:val="20"/>
          <w:szCs w:val="20"/>
        </w:rPr>
        <w:lastRenderedPageBreak/>
        <w:drawing>
          <wp:inline distT="0" distB="0" distL="0" distR="0" wp14:anchorId="5E4610C2" wp14:editId="5048923E">
            <wp:extent cx="5600479" cy="2788920"/>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6-17 at 12.05.45 pm.png"/>
                    <pic:cNvPicPr/>
                  </pic:nvPicPr>
                  <pic:blipFill rotWithShape="1">
                    <a:blip r:embed="rId11" cstate="print">
                      <a:extLst>
                        <a:ext uri="{28A0092B-C50C-407E-A947-70E740481C1C}">
                          <a14:useLocalDpi xmlns:a14="http://schemas.microsoft.com/office/drawing/2010/main" val="0"/>
                        </a:ext>
                      </a:extLst>
                    </a:blip>
                    <a:srcRect l="2222"/>
                    <a:stretch/>
                  </pic:blipFill>
                  <pic:spPr bwMode="auto">
                    <a:xfrm>
                      <a:off x="0" y="0"/>
                      <a:ext cx="5600479" cy="2788920"/>
                    </a:xfrm>
                    <a:prstGeom prst="rect">
                      <a:avLst/>
                    </a:prstGeom>
                    <a:ln>
                      <a:noFill/>
                    </a:ln>
                    <a:extLst>
                      <a:ext uri="{53640926-AAD7-44D8-BBD7-CCE9431645EC}">
                        <a14:shadowObscured xmlns:a14="http://schemas.microsoft.com/office/drawing/2010/main"/>
                      </a:ext>
                    </a:extLst>
                  </pic:spPr>
                </pic:pic>
              </a:graphicData>
            </a:graphic>
          </wp:inline>
        </w:drawing>
      </w:r>
    </w:p>
    <w:p w14:paraId="18E11727" w14:textId="4A590899" w:rsidR="00792E51" w:rsidRPr="00895799" w:rsidRDefault="00792E51" w:rsidP="00895799">
      <w:pPr>
        <w:spacing w:line="480" w:lineRule="auto"/>
        <w:rPr>
          <w:sz w:val="20"/>
          <w:szCs w:val="20"/>
        </w:rPr>
      </w:pPr>
      <w:r w:rsidRPr="00895799">
        <w:rPr>
          <w:i/>
          <w:sz w:val="20"/>
          <w:szCs w:val="20"/>
        </w:rPr>
        <w:t xml:space="preserve">Figure </w:t>
      </w:r>
      <w:r w:rsidR="000617A6" w:rsidRPr="00895799">
        <w:rPr>
          <w:i/>
          <w:sz w:val="20"/>
          <w:szCs w:val="20"/>
        </w:rPr>
        <w:t>3</w:t>
      </w:r>
      <w:r w:rsidRPr="00895799">
        <w:rPr>
          <w:i/>
          <w:sz w:val="20"/>
          <w:szCs w:val="20"/>
        </w:rPr>
        <w:t>.</w:t>
      </w:r>
      <w:r w:rsidRPr="00895799">
        <w:rPr>
          <w:sz w:val="20"/>
          <w:szCs w:val="20"/>
        </w:rPr>
        <w:t xml:space="preserve"> Two-factor higher order structure of the Five Facet Mindfulness Questionnaire – Short Form. </w:t>
      </w:r>
      <w:proofErr w:type="spellStart"/>
      <w:r w:rsidRPr="00895799">
        <w:rPr>
          <w:sz w:val="20"/>
          <w:szCs w:val="20"/>
        </w:rPr>
        <w:t>ActAware</w:t>
      </w:r>
      <w:proofErr w:type="spellEnd"/>
      <w:r w:rsidRPr="00895799">
        <w:rPr>
          <w:sz w:val="20"/>
          <w:szCs w:val="20"/>
        </w:rPr>
        <w:t xml:space="preserve"> = Acting with awareness; </w:t>
      </w:r>
      <w:proofErr w:type="spellStart"/>
      <w:r w:rsidRPr="00895799">
        <w:rPr>
          <w:sz w:val="20"/>
          <w:szCs w:val="20"/>
        </w:rPr>
        <w:t>NonJudge</w:t>
      </w:r>
      <w:proofErr w:type="spellEnd"/>
      <w:r w:rsidRPr="00895799">
        <w:rPr>
          <w:sz w:val="20"/>
          <w:szCs w:val="20"/>
        </w:rPr>
        <w:t xml:space="preserve"> = Non-judgement of inner experience; </w:t>
      </w:r>
      <w:proofErr w:type="spellStart"/>
      <w:r w:rsidRPr="00895799">
        <w:rPr>
          <w:sz w:val="20"/>
          <w:szCs w:val="20"/>
        </w:rPr>
        <w:t>NonReact</w:t>
      </w:r>
      <w:proofErr w:type="spellEnd"/>
      <w:r w:rsidRPr="00895799">
        <w:rPr>
          <w:sz w:val="20"/>
          <w:szCs w:val="20"/>
        </w:rPr>
        <w:t xml:space="preserve"> = Non-reactivity to inner experience.</w:t>
      </w:r>
    </w:p>
    <w:p w14:paraId="707A8D35" w14:textId="45BF9AE2" w:rsidR="00792E51" w:rsidRPr="00895799" w:rsidRDefault="00792E51" w:rsidP="00895799">
      <w:pPr>
        <w:spacing w:line="480" w:lineRule="auto"/>
        <w:ind w:left="567" w:hanging="567"/>
        <w:rPr>
          <w:sz w:val="20"/>
          <w:szCs w:val="20"/>
        </w:rPr>
      </w:pPr>
    </w:p>
    <w:sectPr w:rsidR="00792E51" w:rsidRPr="00895799" w:rsidSect="00792E5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816E" w14:textId="77777777" w:rsidR="00130428" w:rsidRDefault="00130428" w:rsidP="00295B43">
      <w:r>
        <w:separator/>
      </w:r>
    </w:p>
  </w:endnote>
  <w:endnote w:type="continuationSeparator" w:id="0">
    <w:p w14:paraId="586E0B38" w14:textId="77777777" w:rsidR="00130428" w:rsidRDefault="00130428" w:rsidP="0029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sukushi B Round Gothic">
    <w:charset w:val="80"/>
    <w:family w:val="auto"/>
    <w:pitch w:val="variable"/>
    <w:sig w:usb0="800002CF" w:usb1="68C7FCFC" w:usb2="00000012"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8613" w14:textId="77777777" w:rsidR="00130428" w:rsidRDefault="00130428" w:rsidP="00295B43">
      <w:r>
        <w:separator/>
      </w:r>
    </w:p>
  </w:footnote>
  <w:footnote w:type="continuationSeparator" w:id="0">
    <w:p w14:paraId="0D154694" w14:textId="77777777" w:rsidR="00130428" w:rsidRDefault="00130428" w:rsidP="0029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70FE" w14:textId="77777777" w:rsidR="009E1733" w:rsidRDefault="009E1733" w:rsidP="00616A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2BFEB" w14:textId="77777777" w:rsidR="009E1733" w:rsidRDefault="009E1733" w:rsidP="00295B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37EF" w14:textId="590E9572" w:rsidR="009E1733" w:rsidRDefault="009E1733" w:rsidP="00616A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E6E">
      <w:rPr>
        <w:rStyle w:val="PageNumber"/>
        <w:noProof/>
      </w:rPr>
      <w:t>22</w:t>
    </w:r>
    <w:r>
      <w:rPr>
        <w:rStyle w:val="PageNumber"/>
      </w:rPr>
      <w:fldChar w:fldCharType="end"/>
    </w:r>
  </w:p>
  <w:p w14:paraId="6C82DFF9" w14:textId="7D46F20A" w:rsidR="009E1733" w:rsidRDefault="009E1733" w:rsidP="00295B43">
    <w:pPr>
      <w:pStyle w:val="Header"/>
      <w:ind w:right="360"/>
    </w:pPr>
    <w:r>
      <w:t>FFMQ VALIDATION OLDER ADULTS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F74"/>
    <w:multiLevelType w:val="hybridMultilevel"/>
    <w:tmpl w:val="BAF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4C9"/>
    <w:multiLevelType w:val="hybridMultilevel"/>
    <w:tmpl w:val="9CE4647A"/>
    <w:lvl w:ilvl="0" w:tplc="A20C285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D58A1"/>
    <w:multiLevelType w:val="hybridMultilevel"/>
    <w:tmpl w:val="AB68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0896"/>
    <w:multiLevelType w:val="hybridMultilevel"/>
    <w:tmpl w:val="24AC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127BC"/>
    <w:multiLevelType w:val="hybridMultilevel"/>
    <w:tmpl w:val="9CE4647A"/>
    <w:lvl w:ilvl="0" w:tplc="A20C285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08626B"/>
    <w:multiLevelType w:val="hybridMultilevel"/>
    <w:tmpl w:val="F95A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706CC"/>
    <w:multiLevelType w:val="hybridMultilevel"/>
    <w:tmpl w:val="F36C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BE"/>
    <w:rsid w:val="000008B3"/>
    <w:rsid w:val="0001109E"/>
    <w:rsid w:val="000112A2"/>
    <w:rsid w:val="000130E7"/>
    <w:rsid w:val="00014E27"/>
    <w:rsid w:val="00014F70"/>
    <w:rsid w:val="00016E1C"/>
    <w:rsid w:val="00020410"/>
    <w:rsid w:val="00020BCA"/>
    <w:rsid w:val="00021284"/>
    <w:rsid w:val="000244F9"/>
    <w:rsid w:val="000256D0"/>
    <w:rsid w:val="00027B93"/>
    <w:rsid w:val="000326EE"/>
    <w:rsid w:val="0003461D"/>
    <w:rsid w:val="000368D4"/>
    <w:rsid w:val="0003697C"/>
    <w:rsid w:val="00040A9C"/>
    <w:rsid w:val="000438DF"/>
    <w:rsid w:val="000451A7"/>
    <w:rsid w:val="00045358"/>
    <w:rsid w:val="00051D51"/>
    <w:rsid w:val="00053D3E"/>
    <w:rsid w:val="000571BC"/>
    <w:rsid w:val="00057D91"/>
    <w:rsid w:val="00060757"/>
    <w:rsid w:val="000617A6"/>
    <w:rsid w:val="00062EA2"/>
    <w:rsid w:val="00063C87"/>
    <w:rsid w:val="00064C60"/>
    <w:rsid w:val="00064CE8"/>
    <w:rsid w:val="00065F43"/>
    <w:rsid w:val="0006661E"/>
    <w:rsid w:val="00066FD7"/>
    <w:rsid w:val="0006775F"/>
    <w:rsid w:val="00067E11"/>
    <w:rsid w:val="0007479E"/>
    <w:rsid w:val="000761F1"/>
    <w:rsid w:val="00077CC8"/>
    <w:rsid w:val="00080C0E"/>
    <w:rsid w:val="0008144D"/>
    <w:rsid w:val="000858F5"/>
    <w:rsid w:val="0008592C"/>
    <w:rsid w:val="0008765E"/>
    <w:rsid w:val="0009297F"/>
    <w:rsid w:val="000933F4"/>
    <w:rsid w:val="000934EC"/>
    <w:rsid w:val="000975CD"/>
    <w:rsid w:val="000A06FA"/>
    <w:rsid w:val="000A1700"/>
    <w:rsid w:val="000A6A38"/>
    <w:rsid w:val="000B4A7A"/>
    <w:rsid w:val="000B7965"/>
    <w:rsid w:val="000C3322"/>
    <w:rsid w:val="000C7400"/>
    <w:rsid w:val="000D08FD"/>
    <w:rsid w:val="000D2393"/>
    <w:rsid w:val="000D47A2"/>
    <w:rsid w:val="000D7D79"/>
    <w:rsid w:val="000E535C"/>
    <w:rsid w:val="000E6579"/>
    <w:rsid w:val="000F0E6E"/>
    <w:rsid w:val="000F122D"/>
    <w:rsid w:val="000F749F"/>
    <w:rsid w:val="000F7AA6"/>
    <w:rsid w:val="000F7B4B"/>
    <w:rsid w:val="000F7D22"/>
    <w:rsid w:val="00106DD5"/>
    <w:rsid w:val="00107C23"/>
    <w:rsid w:val="00112503"/>
    <w:rsid w:val="00112AEA"/>
    <w:rsid w:val="00112C1F"/>
    <w:rsid w:val="0012244F"/>
    <w:rsid w:val="001228B3"/>
    <w:rsid w:val="00125DD4"/>
    <w:rsid w:val="00127607"/>
    <w:rsid w:val="00130428"/>
    <w:rsid w:val="00133DC6"/>
    <w:rsid w:val="001360C8"/>
    <w:rsid w:val="00140520"/>
    <w:rsid w:val="00140E69"/>
    <w:rsid w:val="0014277C"/>
    <w:rsid w:val="001441EE"/>
    <w:rsid w:val="00151C15"/>
    <w:rsid w:val="00153650"/>
    <w:rsid w:val="00154060"/>
    <w:rsid w:val="00154334"/>
    <w:rsid w:val="001544F8"/>
    <w:rsid w:val="0015760C"/>
    <w:rsid w:val="001601FD"/>
    <w:rsid w:val="00160A7A"/>
    <w:rsid w:val="00161095"/>
    <w:rsid w:val="001621CA"/>
    <w:rsid w:val="00165304"/>
    <w:rsid w:val="001678AA"/>
    <w:rsid w:val="001759E5"/>
    <w:rsid w:val="00180683"/>
    <w:rsid w:val="001843C9"/>
    <w:rsid w:val="00184599"/>
    <w:rsid w:val="00186259"/>
    <w:rsid w:val="00197301"/>
    <w:rsid w:val="001A66E9"/>
    <w:rsid w:val="001B01ED"/>
    <w:rsid w:val="001B049E"/>
    <w:rsid w:val="001B616A"/>
    <w:rsid w:val="001B711A"/>
    <w:rsid w:val="001B71AA"/>
    <w:rsid w:val="001C0780"/>
    <w:rsid w:val="001C118D"/>
    <w:rsid w:val="001C25E6"/>
    <w:rsid w:val="001C2C62"/>
    <w:rsid w:val="001C5B04"/>
    <w:rsid w:val="001D3864"/>
    <w:rsid w:val="001D4938"/>
    <w:rsid w:val="001E0994"/>
    <w:rsid w:val="001E3B37"/>
    <w:rsid w:val="001E3F3D"/>
    <w:rsid w:val="001E4CBC"/>
    <w:rsid w:val="001E4D5C"/>
    <w:rsid w:val="001E58A9"/>
    <w:rsid w:val="001E6281"/>
    <w:rsid w:val="001E6D2F"/>
    <w:rsid w:val="001E745D"/>
    <w:rsid w:val="001E7BBA"/>
    <w:rsid w:val="001F0453"/>
    <w:rsid w:val="001F0D7C"/>
    <w:rsid w:val="001F182C"/>
    <w:rsid w:val="001F29A8"/>
    <w:rsid w:val="0020026B"/>
    <w:rsid w:val="0020048D"/>
    <w:rsid w:val="002025F1"/>
    <w:rsid w:val="00202A3B"/>
    <w:rsid w:val="0020453E"/>
    <w:rsid w:val="00210ED2"/>
    <w:rsid w:val="002125FE"/>
    <w:rsid w:val="00214E14"/>
    <w:rsid w:val="002153E4"/>
    <w:rsid w:val="00222A9E"/>
    <w:rsid w:val="00225959"/>
    <w:rsid w:val="00225B7E"/>
    <w:rsid w:val="00230E08"/>
    <w:rsid w:val="0023129C"/>
    <w:rsid w:val="002335F6"/>
    <w:rsid w:val="00234D42"/>
    <w:rsid w:val="00235649"/>
    <w:rsid w:val="00237ACA"/>
    <w:rsid w:val="00237E76"/>
    <w:rsid w:val="00242FA1"/>
    <w:rsid w:val="00244880"/>
    <w:rsid w:val="0025132C"/>
    <w:rsid w:val="00254362"/>
    <w:rsid w:val="00254CB2"/>
    <w:rsid w:val="00256630"/>
    <w:rsid w:val="002568DD"/>
    <w:rsid w:val="002619E2"/>
    <w:rsid w:val="00264D80"/>
    <w:rsid w:val="00265D2B"/>
    <w:rsid w:val="002664FB"/>
    <w:rsid w:val="00267CFF"/>
    <w:rsid w:val="00270A5D"/>
    <w:rsid w:val="00271A3B"/>
    <w:rsid w:val="00272328"/>
    <w:rsid w:val="00276D19"/>
    <w:rsid w:val="00282200"/>
    <w:rsid w:val="00286811"/>
    <w:rsid w:val="00290459"/>
    <w:rsid w:val="00293019"/>
    <w:rsid w:val="00295B43"/>
    <w:rsid w:val="002A18AC"/>
    <w:rsid w:val="002A2D2F"/>
    <w:rsid w:val="002A3981"/>
    <w:rsid w:val="002A64DF"/>
    <w:rsid w:val="002A65FE"/>
    <w:rsid w:val="002B14AA"/>
    <w:rsid w:val="002B278B"/>
    <w:rsid w:val="002B4517"/>
    <w:rsid w:val="002C5C1F"/>
    <w:rsid w:val="002C5F0D"/>
    <w:rsid w:val="002C6307"/>
    <w:rsid w:val="002D29C3"/>
    <w:rsid w:val="002E01E6"/>
    <w:rsid w:val="002E082D"/>
    <w:rsid w:val="002E2CB2"/>
    <w:rsid w:val="002E5863"/>
    <w:rsid w:val="002E5E1A"/>
    <w:rsid w:val="002F0D08"/>
    <w:rsid w:val="002F208C"/>
    <w:rsid w:val="002F5814"/>
    <w:rsid w:val="00301270"/>
    <w:rsid w:val="003031BE"/>
    <w:rsid w:val="00303554"/>
    <w:rsid w:val="003071BD"/>
    <w:rsid w:val="00312082"/>
    <w:rsid w:val="0031767C"/>
    <w:rsid w:val="003214C1"/>
    <w:rsid w:val="00323E6E"/>
    <w:rsid w:val="00325326"/>
    <w:rsid w:val="00341F2D"/>
    <w:rsid w:val="003429D6"/>
    <w:rsid w:val="00344297"/>
    <w:rsid w:val="0035427D"/>
    <w:rsid w:val="0035550B"/>
    <w:rsid w:val="003602E6"/>
    <w:rsid w:val="00361CBB"/>
    <w:rsid w:val="00362783"/>
    <w:rsid w:val="00363C57"/>
    <w:rsid w:val="00364A0F"/>
    <w:rsid w:val="00373E6F"/>
    <w:rsid w:val="003755EA"/>
    <w:rsid w:val="00375EF7"/>
    <w:rsid w:val="00375FD7"/>
    <w:rsid w:val="00382469"/>
    <w:rsid w:val="00387FA1"/>
    <w:rsid w:val="00392729"/>
    <w:rsid w:val="003975FD"/>
    <w:rsid w:val="003A08B4"/>
    <w:rsid w:val="003A10E7"/>
    <w:rsid w:val="003A45AC"/>
    <w:rsid w:val="003A655C"/>
    <w:rsid w:val="003A69F5"/>
    <w:rsid w:val="003A7CFA"/>
    <w:rsid w:val="003A7D1D"/>
    <w:rsid w:val="003B2A57"/>
    <w:rsid w:val="003B497A"/>
    <w:rsid w:val="003B5CAD"/>
    <w:rsid w:val="003B5D3F"/>
    <w:rsid w:val="003C0915"/>
    <w:rsid w:val="003C5B7D"/>
    <w:rsid w:val="003C7C4F"/>
    <w:rsid w:val="003D6123"/>
    <w:rsid w:val="003D7042"/>
    <w:rsid w:val="003D7A14"/>
    <w:rsid w:val="003E01A6"/>
    <w:rsid w:val="003E0466"/>
    <w:rsid w:val="003E0B2D"/>
    <w:rsid w:val="003E0B8F"/>
    <w:rsid w:val="003E1C90"/>
    <w:rsid w:val="003E1C96"/>
    <w:rsid w:val="003E3B64"/>
    <w:rsid w:val="003E7A98"/>
    <w:rsid w:val="003F23CE"/>
    <w:rsid w:val="003F2570"/>
    <w:rsid w:val="003F415B"/>
    <w:rsid w:val="003F5340"/>
    <w:rsid w:val="003F5F95"/>
    <w:rsid w:val="004009EB"/>
    <w:rsid w:val="00410959"/>
    <w:rsid w:val="00413FB8"/>
    <w:rsid w:val="004148CC"/>
    <w:rsid w:val="00416FA6"/>
    <w:rsid w:val="004239FC"/>
    <w:rsid w:val="004242FF"/>
    <w:rsid w:val="00431D2F"/>
    <w:rsid w:val="00435BCC"/>
    <w:rsid w:val="00436041"/>
    <w:rsid w:val="00440FD3"/>
    <w:rsid w:val="0044668B"/>
    <w:rsid w:val="00450B9B"/>
    <w:rsid w:val="00450DCC"/>
    <w:rsid w:val="004554E0"/>
    <w:rsid w:val="00455F99"/>
    <w:rsid w:val="00464539"/>
    <w:rsid w:val="00471E78"/>
    <w:rsid w:val="00472C0A"/>
    <w:rsid w:val="004735EF"/>
    <w:rsid w:val="00475832"/>
    <w:rsid w:val="00481385"/>
    <w:rsid w:val="0048260D"/>
    <w:rsid w:val="00483D1A"/>
    <w:rsid w:val="004845D2"/>
    <w:rsid w:val="00491FA1"/>
    <w:rsid w:val="0049209C"/>
    <w:rsid w:val="00493BB0"/>
    <w:rsid w:val="004946DE"/>
    <w:rsid w:val="00495322"/>
    <w:rsid w:val="00497C93"/>
    <w:rsid w:val="00497DA7"/>
    <w:rsid w:val="004A1F0A"/>
    <w:rsid w:val="004A257C"/>
    <w:rsid w:val="004A3EA5"/>
    <w:rsid w:val="004A5B00"/>
    <w:rsid w:val="004B0E83"/>
    <w:rsid w:val="004B44C8"/>
    <w:rsid w:val="004B5F28"/>
    <w:rsid w:val="004B7FB2"/>
    <w:rsid w:val="004C0F1D"/>
    <w:rsid w:val="004C4E9A"/>
    <w:rsid w:val="004C59A2"/>
    <w:rsid w:val="004D03F3"/>
    <w:rsid w:val="004D1FAC"/>
    <w:rsid w:val="004D2154"/>
    <w:rsid w:val="004E18CD"/>
    <w:rsid w:val="004E28A4"/>
    <w:rsid w:val="004E6472"/>
    <w:rsid w:val="004E6E28"/>
    <w:rsid w:val="004E7E1D"/>
    <w:rsid w:val="00500DAA"/>
    <w:rsid w:val="005052E4"/>
    <w:rsid w:val="00507DE9"/>
    <w:rsid w:val="0051165B"/>
    <w:rsid w:val="005119DE"/>
    <w:rsid w:val="005129A1"/>
    <w:rsid w:val="00512AEB"/>
    <w:rsid w:val="00514C65"/>
    <w:rsid w:val="0051661A"/>
    <w:rsid w:val="00522961"/>
    <w:rsid w:val="00525CFD"/>
    <w:rsid w:val="005266CC"/>
    <w:rsid w:val="0053042D"/>
    <w:rsid w:val="00530683"/>
    <w:rsid w:val="00530EB7"/>
    <w:rsid w:val="00535415"/>
    <w:rsid w:val="0053653F"/>
    <w:rsid w:val="00541C25"/>
    <w:rsid w:val="00542964"/>
    <w:rsid w:val="00544144"/>
    <w:rsid w:val="00551EB7"/>
    <w:rsid w:val="005577F6"/>
    <w:rsid w:val="00562262"/>
    <w:rsid w:val="0056238F"/>
    <w:rsid w:val="005629F3"/>
    <w:rsid w:val="00563352"/>
    <w:rsid w:val="0056608C"/>
    <w:rsid w:val="00566422"/>
    <w:rsid w:val="00574308"/>
    <w:rsid w:val="00575661"/>
    <w:rsid w:val="00580429"/>
    <w:rsid w:val="00581E4E"/>
    <w:rsid w:val="00582420"/>
    <w:rsid w:val="0058685C"/>
    <w:rsid w:val="00586915"/>
    <w:rsid w:val="00587277"/>
    <w:rsid w:val="00587662"/>
    <w:rsid w:val="00590374"/>
    <w:rsid w:val="0059245F"/>
    <w:rsid w:val="0059384A"/>
    <w:rsid w:val="00595637"/>
    <w:rsid w:val="005A2EE4"/>
    <w:rsid w:val="005A3FEC"/>
    <w:rsid w:val="005A5A76"/>
    <w:rsid w:val="005B0810"/>
    <w:rsid w:val="005B46D1"/>
    <w:rsid w:val="005B5ABC"/>
    <w:rsid w:val="005B7BB1"/>
    <w:rsid w:val="005C4A59"/>
    <w:rsid w:val="005D5B9E"/>
    <w:rsid w:val="005D6208"/>
    <w:rsid w:val="005D6C2F"/>
    <w:rsid w:val="005D6D95"/>
    <w:rsid w:val="005E1022"/>
    <w:rsid w:val="005E514C"/>
    <w:rsid w:val="005E5436"/>
    <w:rsid w:val="005E7EEC"/>
    <w:rsid w:val="005F02AA"/>
    <w:rsid w:val="005F0541"/>
    <w:rsid w:val="005F0896"/>
    <w:rsid w:val="005F18AD"/>
    <w:rsid w:val="005F3915"/>
    <w:rsid w:val="005F52C6"/>
    <w:rsid w:val="005F678C"/>
    <w:rsid w:val="005F6B2C"/>
    <w:rsid w:val="00600741"/>
    <w:rsid w:val="00603D93"/>
    <w:rsid w:val="00613330"/>
    <w:rsid w:val="006145FC"/>
    <w:rsid w:val="00616A7B"/>
    <w:rsid w:val="00620945"/>
    <w:rsid w:val="00620FCE"/>
    <w:rsid w:val="006243E9"/>
    <w:rsid w:val="00630B76"/>
    <w:rsid w:val="00630C3E"/>
    <w:rsid w:val="00632A3E"/>
    <w:rsid w:val="0064133F"/>
    <w:rsid w:val="006464F5"/>
    <w:rsid w:val="00650210"/>
    <w:rsid w:val="00650D65"/>
    <w:rsid w:val="006512F2"/>
    <w:rsid w:val="00655056"/>
    <w:rsid w:val="00657EB3"/>
    <w:rsid w:val="0066209F"/>
    <w:rsid w:val="006634ED"/>
    <w:rsid w:val="006635FA"/>
    <w:rsid w:val="006643DD"/>
    <w:rsid w:val="0066662A"/>
    <w:rsid w:val="00666FF7"/>
    <w:rsid w:val="00667E8B"/>
    <w:rsid w:val="0067288E"/>
    <w:rsid w:val="00677D47"/>
    <w:rsid w:val="006823A1"/>
    <w:rsid w:val="00693137"/>
    <w:rsid w:val="00694F1E"/>
    <w:rsid w:val="006975C0"/>
    <w:rsid w:val="006A41FD"/>
    <w:rsid w:val="006A43EB"/>
    <w:rsid w:val="006A48E7"/>
    <w:rsid w:val="006A7492"/>
    <w:rsid w:val="006B114F"/>
    <w:rsid w:val="006B2B69"/>
    <w:rsid w:val="006B3A6D"/>
    <w:rsid w:val="006B58E7"/>
    <w:rsid w:val="006B66C9"/>
    <w:rsid w:val="006C0AE2"/>
    <w:rsid w:val="006C1663"/>
    <w:rsid w:val="006C25A4"/>
    <w:rsid w:val="006C2C08"/>
    <w:rsid w:val="006C355F"/>
    <w:rsid w:val="006C460D"/>
    <w:rsid w:val="006D377C"/>
    <w:rsid w:val="006D7416"/>
    <w:rsid w:val="006E27F8"/>
    <w:rsid w:val="006E4162"/>
    <w:rsid w:val="006E58CE"/>
    <w:rsid w:val="006E5BD8"/>
    <w:rsid w:val="006E67B8"/>
    <w:rsid w:val="006E7103"/>
    <w:rsid w:val="006E742D"/>
    <w:rsid w:val="006F1B13"/>
    <w:rsid w:val="00702873"/>
    <w:rsid w:val="007048BB"/>
    <w:rsid w:val="00706BC9"/>
    <w:rsid w:val="007118A7"/>
    <w:rsid w:val="00713D07"/>
    <w:rsid w:val="007158AE"/>
    <w:rsid w:val="0071632C"/>
    <w:rsid w:val="00720B11"/>
    <w:rsid w:val="00722F5A"/>
    <w:rsid w:val="00724968"/>
    <w:rsid w:val="007271A8"/>
    <w:rsid w:val="00727532"/>
    <w:rsid w:val="0072768A"/>
    <w:rsid w:val="0073203F"/>
    <w:rsid w:val="00732618"/>
    <w:rsid w:val="00735A55"/>
    <w:rsid w:val="0073709F"/>
    <w:rsid w:val="00737B47"/>
    <w:rsid w:val="00737ED0"/>
    <w:rsid w:val="00741042"/>
    <w:rsid w:val="007417D3"/>
    <w:rsid w:val="00743A23"/>
    <w:rsid w:val="00743AA1"/>
    <w:rsid w:val="007460D1"/>
    <w:rsid w:val="00752652"/>
    <w:rsid w:val="0075590C"/>
    <w:rsid w:val="007565EA"/>
    <w:rsid w:val="00760CB4"/>
    <w:rsid w:val="00761C09"/>
    <w:rsid w:val="00763814"/>
    <w:rsid w:val="00763F31"/>
    <w:rsid w:val="00772A7C"/>
    <w:rsid w:val="007739DA"/>
    <w:rsid w:val="00773AE9"/>
    <w:rsid w:val="00773F51"/>
    <w:rsid w:val="00774579"/>
    <w:rsid w:val="00775140"/>
    <w:rsid w:val="0077584E"/>
    <w:rsid w:val="007759A1"/>
    <w:rsid w:val="007837FD"/>
    <w:rsid w:val="0078444A"/>
    <w:rsid w:val="00792E51"/>
    <w:rsid w:val="00796FC7"/>
    <w:rsid w:val="007A3D37"/>
    <w:rsid w:val="007B0D31"/>
    <w:rsid w:val="007B2313"/>
    <w:rsid w:val="007B3F52"/>
    <w:rsid w:val="007B5872"/>
    <w:rsid w:val="007B5AEA"/>
    <w:rsid w:val="007B7DC4"/>
    <w:rsid w:val="007C115B"/>
    <w:rsid w:val="007C476A"/>
    <w:rsid w:val="007D0E0A"/>
    <w:rsid w:val="007D14F2"/>
    <w:rsid w:val="007D1904"/>
    <w:rsid w:val="007D2370"/>
    <w:rsid w:val="007D2936"/>
    <w:rsid w:val="007D40C9"/>
    <w:rsid w:val="007D46FC"/>
    <w:rsid w:val="007D4C6C"/>
    <w:rsid w:val="007D5837"/>
    <w:rsid w:val="007D5BF1"/>
    <w:rsid w:val="007E1AB1"/>
    <w:rsid w:val="007E774C"/>
    <w:rsid w:val="007F0DD6"/>
    <w:rsid w:val="007F10C9"/>
    <w:rsid w:val="007F152E"/>
    <w:rsid w:val="007F1969"/>
    <w:rsid w:val="007F1B97"/>
    <w:rsid w:val="007F6033"/>
    <w:rsid w:val="007F6A75"/>
    <w:rsid w:val="00801B33"/>
    <w:rsid w:val="008053F5"/>
    <w:rsid w:val="00811243"/>
    <w:rsid w:val="00812298"/>
    <w:rsid w:val="00812801"/>
    <w:rsid w:val="00814A48"/>
    <w:rsid w:val="0081616E"/>
    <w:rsid w:val="00821D6B"/>
    <w:rsid w:val="00821E87"/>
    <w:rsid w:val="00823F39"/>
    <w:rsid w:val="0082705F"/>
    <w:rsid w:val="00827DD5"/>
    <w:rsid w:val="008316CE"/>
    <w:rsid w:val="00835A89"/>
    <w:rsid w:val="00836204"/>
    <w:rsid w:val="00840244"/>
    <w:rsid w:val="0084048B"/>
    <w:rsid w:val="008436EB"/>
    <w:rsid w:val="00844341"/>
    <w:rsid w:val="00844BA7"/>
    <w:rsid w:val="008450D7"/>
    <w:rsid w:val="00846E58"/>
    <w:rsid w:val="0084737B"/>
    <w:rsid w:val="00851578"/>
    <w:rsid w:val="00851BC7"/>
    <w:rsid w:val="008546CC"/>
    <w:rsid w:val="0085584C"/>
    <w:rsid w:val="00856028"/>
    <w:rsid w:val="00856059"/>
    <w:rsid w:val="008614E5"/>
    <w:rsid w:val="00862E9D"/>
    <w:rsid w:val="00863AA6"/>
    <w:rsid w:val="008644F0"/>
    <w:rsid w:val="00865952"/>
    <w:rsid w:val="00865BCF"/>
    <w:rsid w:val="008671D1"/>
    <w:rsid w:val="00867FC5"/>
    <w:rsid w:val="0087169E"/>
    <w:rsid w:val="00877608"/>
    <w:rsid w:val="008800A5"/>
    <w:rsid w:val="00880A26"/>
    <w:rsid w:val="00880FA9"/>
    <w:rsid w:val="008816AC"/>
    <w:rsid w:val="0088205A"/>
    <w:rsid w:val="00884EA5"/>
    <w:rsid w:val="00887F3B"/>
    <w:rsid w:val="00893EA8"/>
    <w:rsid w:val="00895799"/>
    <w:rsid w:val="00897FF5"/>
    <w:rsid w:val="008A2208"/>
    <w:rsid w:val="008A2F18"/>
    <w:rsid w:val="008A4985"/>
    <w:rsid w:val="008A4ABE"/>
    <w:rsid w:val="008A5982"/>
    <w:rsid w:val="008A6E1C"/>
    <w:rsid w:val="008B1574"/>
    <w:rsid w:val="008B6E05"/>
    <w:rsid w:val="008B6F2F"/>
    <w:rsid w:val="008B7EEA"/>
    <w:rsid w:val="008C3305"/>
    <w:rsid w:val="008C4197"/>
    <w:rsid w:val="008C42B5"/>
    <w:rsid w:val="008C541E"/>
    <w:rsid w:val="008C58FF"/>
    <w:rsid w:val="008C6DBE"/>
    <w:rsid w:val="008D2787"/>
    <w:rsid w:val="008D32E4"/>
    <w:rsid w:val="008D41FF"/>
    <w:rsid w:val="008D6FBB"/>
    <w:rsid w:val="008E0580"/>
    <w:rsid w:val="008E4116"/>
    <w:rsid w:val="008F27E7"/>
    <w:rsid w:val="008F2A90"/>
    <w:rsid w:val="008F2EFD"/>
    <w:rsid w:val="008F314D"/>
    <w:rsid w:val="008F4FC5"/>
    <w:rsid w:val="008F51C9"/>
    <w:rsid w:val="008F65A3"/>
    <w:rsid w:val="00900E2C"/>
    <w:rsid w:val="009040EC"/>
    <w:rsid w:val="0090462F"/>
    <w:rsid w:val="009126F2"/>
    <w:rsid w:val="00913010"/>
    <w:rsid w:val="00913F9A"/>
    <w:rsid w:val="00914110"/>
    <w:rsid w:val="00916D4D"/>
    <w:rsid w:val="00920AC1"/>
    <w:rsid w:val="00921253"/>
    <w:rsid w:val="00922764"/>
    <w:rsid w:val="0092453A"/>
    <w:rsid w:val="009268BA"/>
    <w:rsid w:val="00932035"/>
    <w:rsid w:val="00935493"/>
    <w:rsid w:val="00941E0F"/>
    <w:rsid w:val="009474AF"/>
    <w:rsid w:val="00947831"/>
    <w:rsid w:val="0095404B"/>
    <w:rsid w:val="00955352"/>
    <w:rsid w:val="009553C4"/>
    <w:rsid w:val="00955403"/>
    <w:rsid w:val="00955B53"/>
    <w:rsid w:val="00956555"/>
    <w:rsid w:val="00957EA1"/>
    <w:rsid w:val="00971200"/>
    <w:rsid w:val="00971EA8"/>
    <w:rsid w:val="009757DD"/>
    <w:rsid w:val="00977190"/>
    <w:rsid w:val="0097756D"/>
    <w:rsid w:val="009779D5"/>
    <w:rsid w:val="00980AB3"/>
    <w:rsid w:val="00983C1D"/>
    <w:rsid w:val="00984052"/>
    <w:rsid w:val="00985BAD"/>
    <w:rsid w:val="00987339"/>
    <w:rsid w:val="00991C20"/>
    <w:rsid w:val="00991CB8"/>
    <w:rsid w:val="0099293F"/>
    <w:rsid w:val="009935A1"/>
    <w:rsid w:val="00997366"/>
    <w:rsid w:val="009A0871"/>
    <w:rsid w:val="009A3CD3"/>
    <w:rsid w:val="009A402D"/>
    <w:rsid w:val="009A4323"/>
    <w:rsid w:val="009A50D4"/>
    <w:rsid w:val="009A5A65"/>
    <w:rsid w:val="009A6777"/>
    <w:rsid w:val="009A74EB"/>
    <w:rsid w:val="009A7CEB"/>
    <w:rsid w:val="009B06B1"/>
    <w:rsid w:val="009B0BD2"/>
    <w:rsid w:val="009B0EF7"/>
    <w:rsid w:val="009B2961"/>
    <w:rsid w:val="009B4D78"/>
    <w:rsid w:val="009B5A32"/>
    <w:rsid w:val="009C037E"/>
    <w:rsid w:val="009C223B"/>
    <w:rsid w:val="009C6451"/>
    <w:rsid w:val="009C7D90"/>
    <w:rsid w:val="009D3FA8"/>
    <w:rsid w:val="009D4C52"/>
    <w:rsid w:val="009D672C"/>
    <w:rsid w:val="009D7016"/>
    <w:rsid w:val="009E1733"/>
    <w:rsid w:val="009E5AEE"/>
    <w:rsid w:val="009F047F"/>
    <w:rsid w:val="009F1238"/>
    <w:rsid w:val="009F1B02"/>
    <w:rsid w:val="009F5959"/>
    <w:rsid w:val="00A0004B"/>
    <w:rsid w:val="00A01416"/>
    <w:rsid w:val="00A02741"/>
    <w:rsid w:val="00A029AB"/>
    <w:rsid w:val="00A0769C"/>
    <w:rsid w:val="00A10849"/>
    <w:rsid w:val="00A22517"/>
    <w:rsid w:val="00A232C9"/>
    <w:rsid w:val="00A252C2"/>
    <w:rsid w:val="00A25908"/>
    <w:rsid w:val="00A30329"/>
    <w:rsid w:val="00A33464"/>
    <w:rsid w:val="00A33D67"/>
    <w:rsid w:val="00A33F71"/>
    <w:rsid w:val="00A37EC2"/>
    <w:rsid w:val="00A40395"/>
    <w:rsid w:val="00A40FE4"/>
    <w:rsid w:val="00A411BB"/>
    <w:rsid w:val="00A41E1B"/>
    <w:rsid w:val="00A45E88"/>
    <w:rsid w:val="00A5098D"/>
    <w:rsid w:val="00A51917"/>
    <w:rsid w:val="00A5192A"/>
    <w:rsid w:val="00A5415D"/>
    <w:rsid w:val="00A55706"/>
    <w:rsid w:val="00A57912"/>
    <w:rsid w:val="00A60480"/>
    <w:rsid w:val="00A62E81"/>
    <w:rsid w:val="00A64DAA"/>
    <w:rsid w:val="00A64F90"/>
    <w:rsid w:val="00A65AFB"/>
    <w:rsid w:val="00A667A9"/>
    <w:rsid w:val="00A66C52"/>
    <w:rsid w:val="00A676CD"/>
    <w:rsid w:val="00A67F10"/>
    <w:rsid w:val="00A724C8"/>
    <w:rsid w:val="00A8343A"/>
    <w:rsid w:val="00A8403E"/>
    <w:rsid w:val="00A87E1F"/>
    <w:rsid w:val="00A9141E"/>
    <w:rsid w:val="00A9323B"/>
    <w:rsid w:val="00A95A5E"/>
    <w:rsid w:val="00A9729D"/>
    <w:rsid w:val="00A97AF4"/>
    <w:rsid w:val="00AA0F74"/>
    <w:rsid w:val="00AA1EF2"/>
    <w:rsid w:val="00AA2605"/>
    <w:rsid w:val="00AA3287"/>
    <w:rsid w:val="00AA409F"/>
    <w:rsid w:val="00AA432C"/>
    <w:rsid w:val="00AA4B83"/>
    <w:rsid w:val="00AB1F45"/>
    <w:rsid w:val="00AB2BD2"/>
    <w:rsid w:val="00AB4BE3"/>
    <w:rsid w:val="00AB5685"/>
    <w:rsid w:val="00AC2A8E"/>
    <w:rsid w:val="00AC2DAD"/>
    <w:rsid w:val="00AC321D"/>
    <w:rsid w:val="00AC7FA9"/>
    <w:rsid w:val="00AD2240"/>
    <w:rsid w:val="00AD2396"/>
    <w:rsid w:val="00AD3DAD"/>
    <w:rsid w:val="00AE2761"/>
    <w:rsid w:val="00AE5360"/>
    <w:rsid w:val="00AE6CC7"/>
    <w:rsid w:val="00AE6F6E"/>
    <w:rsid w:val="00AF622D"/>
    <w:rsid w:val="00AF6800"/>
    <w:rsid w:val="00B03444"/>
    <w:rsid w:val="00B03C3B"/>
    <w:rsid w:val="00B100BF"/>
    <w:rsid w:val="00B1018A"/>
    <w:rsid w:val="00B14235"/>
    <w:rsid w:val="00B15331"/>
    <w:rsid w:val="00B164C4"/>
    <w:rsid w:val="00B257AF"/>
    <w:rsid w:val="00B26382"/>
    <w:rsid w:val="00B328DE"/>
    <w:rsid w:val="00B32B1B"/>
    <w:rsid w:val="00B33E3C"/>
    <w:rsid w:val="00B35661"/>
    <w:rsid w:val="00B35F37"/>
    <w:rsid w:val="00B45DA0"/>
    <w:rsid w:val="00B522B5"/>
    <w:rsid w:val="00B56D71"/>
    <w:rsid w:val="00B613A2"/>
    <w:rsid w:val="00B63841"/>
    <w:rsid w:val="00B67404"/>
    <w:rsid w:val="00B71445"/>
    <w:rsid w:val="00B72A55"/>
    <w:rsid w:val="00B84B72"/>
    <w:rsid w:val="00B84E47"/>
    <w:rsid w:val="00B84FCD"/>
    <w:rsid w:val="00B85CC1"/>
    <w:rsid w:val="00B8630D"/>
    <w:rsid w:val="00B923D3"/>
    <w:rsid w:val="00B9406F"/>
    <w:rsid w:val="00B942F9"/>
    <w:rsid w:val="00B9506A"/>
    <w:rsid w:val="00B95A8E"/>
    <w:rsid w:val="00B95FD2"/>
    <w:rsid w:val="00B97832"/>
    <w:rsid w:val="00BA2A31"/>
    <w:rsid w:val="00BA3872"/>
    <w:rsid w:val="00BA5348"/>
    <w:rsid w:val="00BB04C5"/>
    <w:rsid w:val="00BB0CF7"/>
    <w:rsid w:val="00BB1D47"/>
    <w:rsid w:val="00BB2BCD"/>
    <w:rsid w:val="00BB31FE"/>
    <w:rsid w:val="00BB492E"/>
    <w:rsid w:val="00BB5BE0"/>
    <w:rsid w:val="00BB629E"/>
    <w:rsid w:val="00BB671B"/>
    <w:rsid w:val="00BC011B"/>
    <w:rsid w:val="00BC2A52"/>
    <w:rsid w:val="00BC36A6"/>
    <w:rsid w:val="00BC4FFF"/>
    <w:rsid w:val="00BC5BA9"/>
    <w:rsid w:val="00BD6E4A"/>
    <w:rsid w:val="00BD7E66"/>
    <w:rsid w:val="00BE1D56"/>
    <w:rsid w:val="00BE5DCA"/>
    <w:rsid w:val="00BF0232"/>
    <w:rsid w:val="00BF34A5"/>
    <w:rsid w:val="00BF36AF"/>
    <w:rsid w:val="00BF4A79"/>
    <w:rsid w:val="00BF6FEE"/>
    <w:rsid w:val="00C0719F"/>
    <w:rsid w:val="00C100A0"/>
    <w:rsid w:val="00C111CA"/>
    <w:rsid w:val="00C13445"/>
    <w:rsid w:val="00C1528E"/>
    <w:rsid w:val="00C22CFF"/>
    <w:rsid w:val="00C23065"/>
    <w:rsid w:val="00C24352"/>
    <w:rsid w:val="00C24389"/>
    <w:rsid w:val="00C24490"/>
    <w:rsid w:val="00C260D9"/>
    <w:rsid w:val="00C26CAB"/>
    <w:rsid w:val="00C30B13"/>
    <w:rsid w:val="00C312BF"/>
    <w:rsid w:val="00C31603"/>
    <w:rsid w:val="00C353B8"/>
    <w:rsid w:val="00C359F3"/>
    <w:rsid w:val="00C35C24"/>
    <w:rsid w:val="00C37B4D"/>
    <w:rsid w:val="00C40481"/>
    <w:rsid w:val="00C44807"/>
    <w:rsid w:val="00C46710"/>
    <w:rsid w:val="00C47A8C"/>
    <w:rsid w:val="00C5225F"/>
    <w:rsid w:val="00C52AC4"/>
    <w:rsid w:val="00C5356A"/>
    <w:rsid w:val="00C544C4"/>
    <w:rsid w:val="00C55A58"/>
    <w:rsid w:val="00C55C13"/>
    <w:rsid w:val="00C5738B"/>
    <w:rsid w:val="00C62698"/>
    <w:rsid w:val="00C6343F"/>
    <w:rsid w:val="00C657AE"/>
    <w:rsid w:val="00C7019B"/>
    <w:rsid w:val="00C70C7F"/>
    <w:rsid w:val="00C72AE7"/>
    <w:rsid w:val="00C73F56"/>
    <w:rsid w:val="00C74C4F"/>
    <w:rsid w:val="00C74F76"/>
    <w:rsid w:val="00C7534E"/>
    <w:rsid w:val="00C80485"/>
    <w:rsid w:val="00C84180"/>
    <w:rsid w:val="00C84B9C"/>
    <w:rsid w:val="00C90002"/>
    <w:rsid w:val="00C9068A"/>
    <w:rsid w:val="00C91D80"/>
    <w:rsid w:val="00C920FC"/>
    <w:rsid w:val="00C928C0"/>
    <w:rsid w:val="00C93090"/>
    <w:rsid w:val="00C962EB"/>
    <w:rsid w:val="00C96B3A"/>
    <w:rsid w:val="00CA0B39"/>
    <w:rsid w:val="00CA1B56"/>
    <w:rsid w:val="00CA2672"/>
    <w:rsid w:val="00CA5EB3"/>
    <w:rsid w:val="00CB472B"/>
    <w:rsid w:val="00CC2A26"/>
    <w:rsid w:val="00CC4613"/>
    <w:rsid w:val="00CC5C2F"/>
    <w:rsid w:val="00CC6F24"/>
    <w:rsid w:val="00CC7493"/>
    <w:rsid w:val="00CD2A7F"/>
    <w:rsid w:val="00CE428E"/>
    <w:rsid w:val="00CF3F13"/>
    <w:rsid w:val="00CF401D"/>
    <w:rsid w:val="00CF45E9"/>
    <w:rsid w:val="00CF5C90"/>
    <w:rsid w:val="00CF6B88"/>
    <w:rsid w:val="00CF6E2E"/>
    <w:rsid w:val="00D0112B"/>
    <w:rsid w:val="00D04196"/>
    <w:rsid w:val="00D04734"/>
    <w:rsid w:val="00D06C07"/>
    <w:rsid w:val="00D1436A"/>
    <w:rsid w:val="00D14CC3"/>
    <w:rsid w:val="00D1647B"/>
    <w:rsid w:val="00D23A67"/>
    <w:rsid w:val="00D23BCC"/>
    <w:rsid w:val="00D26417"/>
    <w:rsid w:val="00D30A87"/>
    <w:rsid w:val="00D31E41"/>
    <w:rsid w:val="00D32A71"/>
    <w:rsid w:val="00D362C2"/>
    <w:rsid w:val="00D37016"/>
    <w:rsid w:val="00D4599D"/>
    <w:rsid w:val="00D4686F"/>
    <w:rsid w:val="00D473EC"/>
    <w:rsid w:val="00D52DF3"/>
    <w:rsid w:val="00D53C08"/>
    <w:rsid w:val="00D56BB1"/>
    <w:rsid w:val="00D57996"/>
    <w:rsid w:val="00D640CE"/>
    <w:rsid w:val="00D65AD7"/>
    <w:rsid w:val="00D661BE"/>
    <w:rsid w:val="00D67151"/>
    <w:rsid w:val="00D72B2D"/>
    <w:rsid w:val="00D73B1E"/>
    <w:rsid w:val="00D7556F"/>
    <w:rsid w:val="00D75657"/>
    <w:rsid w:val="00D75B0E"/>
    <w:rsid w:val="00D761B9"/>
    <w:rsid w:val="00D7682E"/>
    <w:rsid w:val="00D8410C"/>
    <w:rsid w:val="00D84A9C"/>
    <w:rsid w:val="00D91B1E"/>
    <w:rsid w:val="00D9312D"/>
    <w:rsid w:val="00DA7408"/>
    <w:rsid w:val="00DA7DCF"/>
    <w:rsid w:val="00DB0F24"/>
    <w:rsid w:val="00DB6C55"/>
    <w:rsid w:val="00DC19AD"/>
    <w:rsid w:val="00DC31B2"/>
    <w:rsid w:val="00DC62D7"/>
    <w:rsid w:val="00DC673B"/>
    <w:rsid w:val="00DC67D7"/>
    <w:rsid w:val="00DC7F30"/>
    <w:rsid w:val="00DD018D"/>
    <w:rsid w:val="00DD0FBB"/>
    <w:rsid w:val="00DD2989"/>
    <w:rsid w:val="00DD2A5B"/>
    <w:rsid w:val="00DD3F45"/>
    <w:rsid w:val="00DD4699"/>
    <w:rsid w:val="00DD504E"/>
    <w:rsid w:val="00DD7BE0"/>
    <w:rsid w:val="00DD7FB8"/>
    <w:rsid w:val="00DF0047"/>
    <w:rsid w:val="00DF0ED9"/>
    <w:rsid w:val="00DF1201"/>
    <w:rsid w:val="00DF7259"/>
    <w:rsid w:val="00DF7EFC"/>
    <w:rsid w:val="00E00009"/>
    <w:rsid w:val="00E00AAB"/>
    <w:rsid w:val="00E0505D"/>
    <w:rsid w:val="00E10393"/>
    <w:rsid w:val="00E14AAC"/>
    <w:rsid w:val="00E164A4"/>
    <w:rsid w:val="00E16BD5"/>
    <w:rsid w:val="00E20002"/>
    <w:rsid w:val="00E215CA"/>
    <w:rsid w:val="00E2285E"/>
    <w:rsid w:val="00E23E99"/>
    <w:rsid w:val="00E26876"/>
    <w:rsid w:val="00E26E3F"/>
    <w:rsid w:val="00E30144"/>
    <w:rsid w:val="00E3261D"/>
    <w:rsid w:val="00E32674"/>
    <w:rsid w:val="00E3395A"/>
    <w:rsid w:val="00E33D76"/>
    <w:rsid w:val="00E37650"/>
    <w:rsid w:val="00E41D1C"/>
    <w:rsid w:val="00E42FB8"/>
    <w:rsid w:val="00E4517D"/>
    <w:rsid w:val="00E510DB"/>
    <w:rsid w:val="00E54C88"/>
    <w:rsid w:val="00E5595F"/>
    <w:rsid w:val="00E6235C"/>
    <w:rsid w:val="00E639BB"/>
    <w:rsid w:val="00E63AA5"/>
    <w:rsid w:val="00E64B97"/>
    <w:rsid w:val="00E67763"/>
    <w:rsid w:val="00E7029F"/>
    <w:rsid w:val="00E744A4"/>
    <w:rsid w:val="00E768AB"/>
    <w:rsid w:val="00E806EA"/>
    <w:rsid w:val="00E81169"/>
    <w:rsid w:val="00E83AF2"/>
    <w:rsid w:val="00E8482B"/>
    <w:rsid w:val="00E849A9"/>
    <w:rsid w:val="00E910A3"/>
    <w:rsid w:val="00E92CB9"/>
    <w:rsid w:val="00E93AFF"/>
    <w:rsid w:val="00E95AD9"/>
    <w:rsid w:val="00E97F56"/>
    <w:rsid w:val="00EA12BC"/>
    <w:rsid w:val="00EA6703"/>
    <w:rsid w:val="00EB334F"/>
    <w:rsid w:val="00EB3918"/>
    <w:rsid w:val="00EB4D80"/>
    <w:rsid w:val="00EB4EDA"/>
    <w:rsid w:val="00EB787B"/>
    <w:rsid w:val="00EC2D89"/>
    <w:rsid w:val="00EC3206"/>
    <w:rsid w:val="00ED09B0"/>
    <w:rsid w:val="00ED0B2A"/>
    <w:rsid w:val="00ED11A4"/>
    <w:rsid w:val="00ED20D9"/>
    <w:rsid w:val="00ED4758"/>
    <w:rsid w:val="00ED4A10"/>
    <w:rsid w:val="00ED56CE"/>
    <w:rsid w:val="00ED62C3"/>
    <w:rsid w:val="00EE0ACE"/>
    <w:rsid w:val="00EE1A6C"/>
    <w:rsid w:val="00EE1CD1"/>
    <w:rsid w:val="00EE462A"/>
    <w:rsid w:val="00EE48BC"/>
    <w:rsid w:val="00EE5424"/>
    <w:rsid w:val="00EF1003"/>
    <w:rsid w:val="00EF1AC5"/>
    <w:rsid w:val="00EF2022"/>
    <w:rsid w:val="00EF5546"/>
    <w:rsid w:val="00EF64D0"/>
    <w:rsid w:val="00EF6D4D"/>
    <w:rsid w:val="00F0153E"/>
    <w:rsid w:val="00F027B8"/>
    <w:rsid w:val="00F0416F"/>
    <w:rsid w:val="00F06302"/>
    <w:rsid w:val="00F116CD"/>
    <w:rsid w:val="00F11EA0"/>
    <w:rsid w:val="00F11EBA"/>
    <w:rsid w:val="00F13283"/>
    <w:rsid w:val="00F158A3"/>
    <w:rsid w:val="00F15928"/>
    <w:rsid w:val="00F17794"/>
    <w:rsid w:val="00F23CD6"/>
    <w:rsid w:val="00F25D6C"/>
    <w:rsid w:val="00F277D4"/>
    <w:rsid w:val="00F328BF"/>
    <w:rsid w:val="00F41BA5"/>
    <w:rsid w:val="00F42433"/>
    <w:rsid w:val="00F42F16"/>
    <w:rsid w:val="00F450C0"/>
    <w:rsid w:val="00F457F2"/>
    <w:rsid w:val="00F45CB9"/>
    <w:rsid w:val="00F525CD"/>
    <w:rsid w:val="00F52E5E"/>
    <w:rsid w:val="00F54DBC"/>
    <w:rsid w:val="00F656DA"/>
    <w:rsid w:val="00F65913"/>
    <w:rsid w:val="00F743ED"/>
    <w:rsid w:val="00F800F9"/>
    <w:rsid w:val="00F80B99"/>
    <w:rsid w:val="00F80D26"/>
    <w:rsid w:val="00F823C9"/>
    <w:rsid w:val="00F8279D"/>
    <w:rsid w:val="00F849EF"/>
    <w:rsid w:val="00F86CF9"/>
    <w:rsid w:val="00F86EE9"/>
    <w:rsid w:val="00F877B9"/>
    <w:rsid w:val="00F91C99"/>
    <w:rsid w:val="00F970D9"/>
    <w:rsid w:val="00F97BEA"/>
    <w:rsid w:val="00FA0E0E"/>
    <w:rsid w:val="00FA26C9"/>
    <w:rsid w:val="00FA349C"/>
    <w:rsid w:val="00FA3D1C"/>
    <w:rsid w:val="00FA4678"/>
    <w:rsid w:val="00FA7A4A"/>
    <w:rsid w:val="00FB0C41"/>
    <w:rsid w:val="00FB1780"/>
    <w:rsid w:val="00FB1824"/>
    <w:rsid w:val="00FB5067"/>
    <w:rsid w:val="00FB79BB"/>
    <w:rsid w:val="00FC03C3"/>
    <w:rsid w:val="00FC2BD8"/>
    <w:rsid w:val="00FC6F4C"/>
    <w:rsid w:val="00FD1461"/>
    <w:rsid w:val="00FD51CC"/>
    <w:rsid w:val="00FD5E9B"/>
    <w:rsid w:val="00FE1D67"/>
    <w:rsid w:val="00FE3EC7"/>
    <w:rsid w:val="00FE544A"/>
    <w:rsid w:val="00FE6804"/>
    <w:rsid w:val="00FF2444"/>
    <w:rsid w:val="00FF2789"/>
    <w:rsid w:val="00FF3E00"/>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1C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C25"/>
    <w:rPr>
      <w:rFonts w:ascii="Times New Roman" w:eastAsia="Times New Roman" w:hAnsi="Times New Roman" w:cs="Times New Roman"/>
      <w:lang w:val="en-AU" w:eastAsia="en-AU"/>
    </w:rPr>
  </w:style>
  <w:style w:type="paragraph" w:styleId="Heading1">
    <w:name w:val="heading 1"/>
    <w:basedOn w:val="Normal"/>
    <w:link w:val="Heading1Char"/>
    <w:uiPriority w:val="9"/>
    <w:qFormat/>
    <w:rsid w:val="008B6F2F"/>
    <w:pPr>
      <w:spacing w:before="100" w:beforeAutospacing="1" w:after="100" w:afterAutospacing="1"/>
      <w:outlineLvl w:val="0"/>
    </w:pPr>
    <w:rPr>
      <w:rFonts w:eastAsiaTheme="minorHAnsi"/>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6DD5"/>
    <w:rPr>
      <w:color w:val="0000FF"/>
      <w:u w:val="single"/>
    </w:rPr>
  </w:style>
  <w:style w:type="paragraph" w:styleId="Header">
    <w:name w:val="header"/>
    <w:basedOn w:val="Normal"/>
    <w:link w:val="HeaderChar"/>
    <w:uiPriority w:val="99"/>
    <w:unhideWhenUsed/>
    <w:rsid w:val="00295B43"/>
    <w:pPr>
      <w:tabs>
        <w:tab w:val="center" w:pos="4513"/>
        <w:tab w:val="right" w:pos="9026"/>
      </w:tabs>
    </w:pPr>
    <w:rPr>
      <w:rFonts w:eastAsiaTheme="minorHAnsi"/>
      <w:lang w:val="en-US" w:eastAsia="en-US"/>
    </w:rPr>
  </w:style>
  <w:style w:type="character" w:customStyle="1" w:styleId="HeaderChar">
    <w:name w:val="Header Char"/>
    <w:basedOn w:val="DefaultParagraphFont"/>
    <w:link w:val="Header"/>
    <w:uiPriority w:val="99"/>
    <w:rsid w:val="00295B43"/>
    <w:rPr>
      <w:rFonts w:ascii="Times New Roman" w:hAnsi="Times New Roman" w:cs="Times New Roman"/>
    </w:rPr>
  </w:style>
  <w:style w:type="character" w:styleId="PageNumber">
    <w:name w:val="page number"/>
    <w:basedOn w:val="DefaultParagraphFont"/>
    <w:uiPriority w:val="99"/>
    <w:semiHidden/>
    <w:unhideWhenUsed/>
    <w:rsid w:val="00295B43"/>
  </w:style>
  <w:style w:type="paragraph" w:styleId="Footer">
    <w:name w:val="footer"/>
    <w:basedOn w:val="Normal"/>
    <w:link w:val="FooterChar"/>
    <w:uiPriority w:val="99"/>
    <w:unhideWhenUsed/>
    <w:rsid w:val="00295B43"/>
    <w:pPr>
      <w:tabs>
        <w:tab w:val="center" w:pos="4513"/>
        <w:tab w:val="right" w:pos="9026"/>
      </w:tabs>
    </w:pPr>
    <w:rPr>
      <w:rFonts w:eastAsiaTheme="minorHAnsi"/>
      <w:lang w:val="en-US" w:eastAsia="en-US"/>
    </w:rPr>
  </w:style>
  <w:style w:type="character" w:customStyle="1" w:styleId="FooterChar">
    <w:name w:val="Footer Char"/>
    <w:basedOn w:val="DefaultParagraphFont"/>
    <w:link w:val="Footer"/>
    <w:uiPriority w:val="99"/>
    <w:rsid w:val="00295B43"/>
    <w:rPr>
      <w:rFonts w:ascii="Times New Roman" w:hAnsi="Times New Roman" w:cs="Times New Roman"/>
    </w:rPr>
  </w:style>
  <w:style w:type="paragraph" w:styleId="ListParagraph">
    <w:name w:val="List Paragraph"/>
    <w:basedOn w:val="Normal"/>
    <w:uiPriority w:val="34"/>
    <w:qFormat/>
    <w:rsid w:val="00065F43"/>
    <w:pPr>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C3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694F1E"/>
  </w:style>
  <w:style w:type="character" w:styleId="CommentReference">
    <w:name w:val="annotation reference"/>
    <w:basedOn w:val="DefaultParagraphFont"/>
    <w:uiPriority w:val="99"/>
    <w:semiHidden/>
    <w:unhideWhenUsed/>
    <w:rsid w:val="00880FA9"/>
    <w:rPr>
      <w:sz w:val="18"/>
      <w:szCs w:val="18"/>
    </w:rPr>
  </w:style>
  <w:style w:type="paragraph" w:styleId="CommentText">
    <w:name w:val="annotation text"/>
    <w:basedOn w:val="Normal"/>
    <w:link w:val="CommentTextChar"/>
    <w:uiPriority w:val="99"/>
    <w:semiHidden/>
    <w:unhideWhenUsed/>
    <w:rsid w:val="00880FA9"/>
    <w:rPr>
      <w:rFonts w:eastAsiaTheme="minorHAnsi"/>
      <w:lang w:val="en-US" w:eastAsia="en-US"/>
    </w:rPr>
  </w:style>
  <w:style w:type="character" w:customStyle="1" w:styleId="CommentTextChar">
    <w:name w:val="Comment Text Char"/>
    <w:basedOn w:val="DefaultParagraphFont"/>
    <w:link w:val="CommentText"/>
    <w:uiPriority w:val="99"/>
    <w:semiHidden/>
    <w:rsid w:val="00880FA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80FA9"/>
    <w:rPr>
      <w:b/>
      <w:bCs/>
      <w:sz w:val="20"/>
      <w:szCs w:val="20"/>
    </w:rPr>
  </w:style>
  <w:style w:type="character" w:customStyle="1" w:styleId="CommentSubjectChar">
    <w:name w:val="Comment Subject Char"/>
    <w:basedOn w:val="CommentTextChar"/>
    <w:link w:val="CommentSubject"/>
    <w:uiPriority w:val="99"/>
    <w:semiHidden/>
    <w:rsid w:val="00880F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80FA9"/>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880FA9"/>
    <w:rPr>
      <w:rFonts w:ascii="Times New Roman" w:hAnsi="Times New Roman" w:cs="Times New Roman"/>
      <w:sz w:val="18"/>
      <w:szCs w:val="18"/>
    </w:rPr>
  </w:style>
  <w:style w:type="character" w:customStyle="1" w:styleId="titleauthoretc">
    <w:name w:val="titleauthoretc"/>
    <w:basedOn w:val="DefaultParagraphFont"/>
    <w:rsid w:val="008B6F2F"/>
  </w:style>
  <w:style w:type="character" w:customStyle="1" w:styleId="Heading1Char">
    <w:name w:val="Heading 1 Char"/>
    <w:basedOn w:val="DefaultParagraphFont"/>
    <w:link w:val="Heading1"/>
    <w:uiPriority w:val="9"/>
    <w:rsid w:val="008B6F2F"/>
    <w:rPr>
      <w:rFonts w:ascii="Times New Roman" w:hAnsi="Times New Roman" w:cs="Times New Roman"/>
      <w:b/>
      <w:bCs/>
      <w:kern w:val="36"/>
      <w:sz w:val="48"/>
      <w:szCs w:val="48"/>
    </w:rPr>
  </w:style>
  <w:style w:type="paragraph" w:styleId="Revision">
    <w:name w:val="Revision"/>
    <w:hidden/>
    <w:uiPriority w:val="99"/>
    <w:semiHidden/>
    <w:rsid w:val="0011250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8414">
      <w:bodyDiv w:val="1"/>
      <w:marLeft w:val="0"/>
      <w:marRight w:val="0"/>
      <w:marTop w:val="0"/>
      <w:marBottom w:val="0"/>
      <w:divBdr>
        <w:top w:val="none" w:sz="0" w:space="0" w:color="auto"/>
        <w:left w:val="none" w:sz="0" w:space="0" w:color="auto"/>
        <w:bottom w:val="none" w:sz="0" w:space="0" w:color="auto"/>
        <w:right w:val="none" w:sz="0" w:space="0" w:color="auto"/>
      </w:divBdr>
    </w:div>
    <w:div w:id="159929392">
      <w:bodyDiv w:val="1"/>
      <w:marLeft w:val="0"/>
      <w:marRight w:val="0"/>
      <w:marTop w:val="0"/>
      <w:marBottom w:val="0"/>
      <w:divBdr>
        <w:top w:val="none" w:sz="0" w:space="0" w:color="auto"/>
        <w:left w:val="none" w:sz="0" w:space="0" w:color="auto"/>
        <w:bottom w:val="none" w:sz="0" w:space="0" w:color="auto"/>
        <w:right w:val="none" w:sz="0" w:space="0" w:color="auto"/>
      </w:divBdr>
    </w:div>
    <w:div w:id="488596587">
      <w:bodyDiv w:val="1"/>
      <w:marLeft w:val="0"/>
      <w:marRight w:val="0"/>
      <w:marTop w:val="0"/>
      <w:marBottom w:val="0"/>
      <w:divBdr>
        <w:top w:val="none" w:sz="0" w:space="0" w:color="auto"/>
        <w:left w:val="none" w:sz="0" w:space="0" w:color="auto"/>
        <w:bottom w:val="none" w:sz="0" w:space="0" w:color="auto"/>
        <w:right w:val="none" w:sz="0" w:space="0" w:color="auto"/>
      </w:divBdr>
    </w:div>
    <w:div w:id="548496058">
      <w:bodyDiv w:val="1"/>
      <w:marLeft w:val="0"/>
      <w:marRight w:val="0"/>
      <w:marTop w:val="0"/>
      <w:marBottom w:val="0"/>
      <w:divBdr>
        <w:top w:val="none" w:sz="0" w:space="0" w:color="auto"/>
        <w:left w:val="none" w:sz="0" w:space="0" w:color="auto"/>
        <w:bottom w:val="none" w:sz="0" w:space="0" w:color="auto"/>
        <w:right w:val="none" w:sz="0" w:space="0" w:color="auto"/>
      </w:divBdr>
    </w:div>
    <w:div w:id="602765736">
      <w:bodyDiv w:val="1"/>
      <w:marLeft w:val="0"/>
      <w:marRight w:val="0"/>
      <w:marTop w:val="0"/>
      <w:marBottom w:val="0"/>
      <w:divBdr>
        <w:top w:val="none" w:sz="0" w:space="0" w:color="auto"/>
        <w:left w:val="none" w:sz="0" w:space="0" w:color="auto"/>
        <w:bottom w:val="none" w:sz="0" w:space="0" w:color="auto"/>
        <w:right w:val="none" w:sz="0" w:space="0" w:color="auto"/>
      </w:divBdr>
    </w:div>
    <w:div w:id="938635135">
      <w:bodyDiv w:val="1"/>
      <w:marLeft w:val="0"/>
      <w:marRight w:val="0"/>
      <w:marTop w:val="0"/>
      <w:marBottom w:val="0"/>
      <w:divBdr>
        <w:top w:val="none" w:sz="0" w:space="0" w:color="auto"/>
        <w:left w:val="none" w:sz="0" w:space="0" w:color="auto"/>
        <w:bottom w:val="none" w:sz="0" w:space="0" w:color="auto"/>
        <w:right w:val="none" w:sz="0" w:space="0" w:color="auto"/>
      </w:divBdr>
    </w:div>
    <w:div w:id="1094278316">
      <w:bodyDiv w:val="1"/>
      <w:marLeft w:val="0"/>
      <w:marRight w:val="0"/>
      <w:marTop w:val="0"/>
      <w:marBottom w:val="0"/>
      <w:divBdr>
        <w:top w:val="none" w:sz="0" w:space="0" w:color="auto"/>
        <w:left w:val="none" w:sz="0" w:space="0" w:color="auto"/>
        <w:bottom w:val="none" w:sz="0" w:space="0" w:color="auto"/>
        <w:right w:val="none" w:sz="0" w:space="0" w:color="auto"/>
      </w:divBdr>
    </w:div>
    <w:div w:id="1531725575">
      <w:bodyDiv w:val="1"/>
      <w:marLeft w:val="0"/>
      <w:marRight w:val="0"/>
      <w:marTop w:val="0"/>
      <w:marBottom w:val="0"/>
      <w:divBdr>
        <w:top w:val="none" w:sz="0" w:space="0" w:color="auto"/>
        <w:left w:val="none" w:sz="0" w:space="0" w:color="auto"/>
        <w:bottom w:val="none" w:sz="0" w:space="0" w:color="auto"/>
        <w:right w:val="none" w:sz="0" w:space="0" w:color="auto"/>
      </w:divBdr>
    </w:div>
    <w:div w:id="1593003707">
      <w:bodyDiv w:val="1"/>
      <w:marLeft w:val="0"/>
      <w:marRight w:val="0"/>
      <w:marTop w:val="0"/>
      <w:marBottom w:val="0"/>
      <w:divBdr>
        <w:top w:val="none" w:sz="0" w:space="0" w:color="auto"/>
        <w:left w:val="none" w:sz="0" w:space="0" w:color="auto"/>
        <w:bottom w:val="none" w:sz="0" w:space="0" w:color="auto"/>
        <w:right w:val="none" w:sz="0" w:space="0" w:color="auto"/>
      </w:divBdr>
    </w:div>
    <w:div w:id="1625383319">
      <w:bodyDiv w:val="1"/>
      <w:marLeft w:val="0"/>
      <w:marRight w:val="0"/>
      <w:marTop w:val="0"/>
      <w:marBottom w:val="0"/>
      <w:divBdr>
        <w:top w:val="none" w:sz="0" w:space="0" w:color="auto"/>
        <w:left w:val="none" w:sz="0" w:space="0" w:color="auto"/>
        <w:bottom w:val="none" w:sz="0" w:space="0" w:color="auto"/>
        <w:right w:val="none" w:sz="0" w:space="0" w:color="auto"/>
      </w:divBdr>
    </w:div>
    <w:div w:id="1739548752">
      <w:bodyDiv w:val="1"/>
      <w:marLeft w:val="0"/>
      <w:marRight w:val="0"/>
      <w:marTop w:val="0"/>
      <w:marBottom w:val="0"/>
      <w:divBdr>
        <w:top w:val="none" w:sz="0" w:space="0" w:color="auto"/>
        <w:left w:val="none" w:sz="0" w:space="0" w:color="auto"/>
        <w:bottom w:val="none" w:sz="0" w:space="0" w:color="auto"/>
        <w:right w:val="none" w:sz="0" w:space="0" w:color="auto"/>
      </w:divBdr>
    </w:div>
    <w:div w:id="1883637112">
      <w:bodyDiv w:val="1"/>
      <w:marLeft w:val="0"/>
      <w:marRight w:val="0"/>
      <w:marTop w:val="0"/>
      <w:marBottom w:val="0"/>
      <w:divBdr>
        <w:top w:val="none" w:sz="0" w:space="0" w:color="auto"/>
        <w:left w:val="none" w:sz="0" w:space="0" w:color="auto"/>
        <w:bottom w:val="none" w:sz="0" w:space="0" w:color="auto"/>
        <w:right w:val="none" w:sz="0" w:space="0" w:color="auto"/>
      </w:divBdr>
    </w:div>
    <w:div w:id="2008510610">
      <w:bodyDiv w:val="1"/>
      <w:marLeft w:val="0"/>
      <w:marRight w:val="0"/>
      <w:marTop w:val="0"/>
      <w:marBottom w:val="0"/>
      <w:divBdr>
        <w:top w:val="none" w:sz="0" w:space="0" w:color="auto"/>
        <w:left w:val="none" w:sz="0" w:space="0" w:color="auto"/>
        <w:bottom w:val="none" w:sz="0" w:space="0" w:color="auto"/>
        <w:right w:val="none" w:sz="0" w:space="0" w:color="auto"/>
      </w:divBdr>
    </w:div>
    <w:div w:id="209289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5725</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Brady</dc:creator>
  <cp:keywords/>
  <dc:description/>
  <cp:lastModifiedBy>Ian Kneebone</cp:lastModifiedBy>
  <cp:revision>6</cp:revision>
  <dcterms:created xsi:type="dcterms:W3CDTF">2018-06-27T00:04:00Z</dcterms:created>
  <dcterms:modified xsi:type="dcterms:W3CDTF">2018-06-27T23:54:00Z</dcterms:modified>
</cp:coreProperties>
</file>