
<file path=[Content_Types].xml><?xml version="1.0" encoding="utf-8"?>
<Types xmlns="http://schemas.openxmlformats.org/package/2006/content-types">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52FFF65" w14:textId="3781683B" w:rsidR="00FB563D" w:rsidRPr="00FB563D" w:rsidRDefault="00BE140D" w:rsidP="00FB563D">
      <w:pPr>
        <w:pStyle w:val="MDPI13authornames"/>
        <w:spacing w:after="240" w:line="360" w:lineRule="auto"/>
        <w:jc w:val="center"/>
        <w:rPr>
          <w:rFonts w:ascii="Times New Roman" w:hAnsi="Times New Roman"/>
          <w:snapToGrid w:val="0"/>
          <w:sz w:val="24"/>
          <w:szCs w:val="24"/>
          <w:lang w:val="en-GB"/>
        </w:rPr>
      </w:pPr>
      <w:r>
        <w:rPr>
          <w:rFonts w:ascii="Times New Roman" w:hAnsi="Times New Roman"/>
          <w:snapToGrid w:val="0"/>
          <w:sz w:val="24"/>
          <w:szCs w:val="24"/>
          <w:lang w:val="en-GB"/>
        </w:rPr>
        <w:t>A</w:t>
      </w:r>
      <w:bookmarkStart w:id="0" w:name="_GoBack"/>
      <w:bookmarkEnd w:id="0"/>
      <w:r w:rsidRPr="00FB563D">
        <w:rPr>
          <w:rFonts w:ascii="Times New Roman" w:hAnsi="Times New Roman"/>
          <w:snapToGrid w:val="0"/>
          <w:sz w:val="24"/>
          <w:szCs w:val="24"/>
          <w:lang w:val="en-GB"/>
        </w:rPr>
        <w:t xml:space="preserve"> mitochondrial specific antioxidant reverses metabolic dysfunction and fatty liver induced by maternal cigarette smoke in mice</w:t>
      </w:r>
    </w:p>
    <w:p w14:paraId="7D65BC26" w14:textId="77777777" w:rsidR="00FB563D" w:rsidRPr="00FB563D" w:rsidRDefault="00FB563D" w:rsidP="00FB563D">
      <w:pPr>
        <w:pStyle w:val="MDPI13authornames"/>
        <w:spacing w:line="360" w:lineRule="auto"/>
        <w:rPr>
          <w:rFonts w:ascii="Times New Roman" w:hAnsi="Times New Roman"/>
          <w:b w:val="0"/>
          <w:sz w:val="24"/>
          <w:szCs w:val="24"/>
          <w:lang w:val="en-GB"/>
        </w:rPr>
      </w:pPr>
      <w:r w:rsidRPr="00FB563D">
        <w:rPr>
          <w:rFonts w:ascii="Times New Roman" w:hAnsi="Times New Roman"/>
          <w:b w:val="0"/>
          <w:sz w:val="24"/>
          <w:szCs w:val="24"/>
          <w:lang w:val="en-GB"/>
        </w:rPr>
        <w:t xml:space="preserve">Gerard Li </w:t>
      </w:r>
      <w:r w:rsidRPr="00FB563D">
        <w:rPr>
          <w:rFonts w:ascii="Times New Roman" w:hAnsi="Times New Roman"/>
          <w:b w:val="0"/>
          <w:sz w:val="24"/>
          <w:szCs w:val="24"/>
          <w:vertAlign w:val="superscript"/>
          <w:lang w:val="en-GB"/>
        </w:rPr>
        <w:t>1</w:t>
      </w:r>
      <w:r w:rsidRPr="00FB563D">
        <w:rPr>
          <w:rFonts w:ascii="Times New Roman" w:hAnsi="Times New Roman"/>
          <w:b w:val="0"/>
          <w:sz w:val="24"/>
          <w:szCs w:val="24"/>
          <w:lang w:val="en-GB"/>
        </w:rPr>
        <w:t xml:space="preserve">, Yik Lung Chan </w:t>
      </w:r>
      <w:r w:rsidRPr="00FB563D">
        <w:rPr>
          <w:rFonts w:ascii="Times New Roman" w:hAnsi="Times New Roman"/>
          <w:b w:val="0"/>
          <w:sz w:val="24"/>
          <w:szCs w:val="24"/>
          <w:vertAlign w:val="superscript"/>
          <w:lang w:val="en-GB"/>
        </w:rPr>
        <w:t>1,2</w:t>
      </w:r>
      <w:r w:rsidRPr="00FB563D">
        <w:rPr>
          <w:rFonts w:ascii="Times New Roman" w:hAnsi="Times New Roman"/>
          <w:b w:val="0"/>
          <w:sz w:val="24"/>
          <w:szCs w:val="24"/>
          <w:lang w:val="en-GB"/>
        </w:rPr>
        <w:t xml:space="preserve">, Suporn Sukjamnong </w:t>
      </w:r>
      <w:r w:rsidRPr="00FB563D">
        <w:rPr>
          <w:rFonts w:ascii="Times New Roman" w:hAnsi="Times New Roman"/>
          <w:b w:val="0"/>
          <w:sz w:val="24"/>
          <w:szCs w:val="24"/>
          <w:vertAlign w:val="superscript"/>
          <w:lang w:val="en-GB"/>
        </w:rPr>
        <w:t>3</w:t>
      </w:r>
      <w:r w:rsidRPr="00FB563D">
        <w:rPr>
          <w:rFonts w:ascii="Times New Roman" w:hAnsi="Times New Roman"/>
          <w:b w:val="0"/>
          <w:sz w:val="24"/>
          <w:szCs w:val="24"/>
          <w:lang w:val="en-GB"/>
        </w:rPr>
        <w:t xml:space="preserve">, Ayad G. Anwer </w:t>
      </w:r>
      <w:r w:rsidRPr="00FB563D">
        <w:rPr>
          <w:rFonts w:ascii="Times New Roman" w:hAnsi="Times New Roman"/>
          <w:b w:val="0"/>
          <w:sz w:val="24"/>
          <w:szCs w:val="24"/>
          <w:vertAlign w:val="superscript"/>
          <w:lang w:val="en-GB"/>
        </w:rPr>
        <w:t>4</w:t>
      </w:r>
      <w:r w:rsidRPr="00FB563D">
        <w:rPr>
          <w:rFonts w:ascii="Times New Roman" w:hAnsi="Times New Roman"/>
          <w:b w:val="0"/>
          <w:sz w:val="24"/>
          <w:szCs w:val="24"/>
          <w:lang w:val="en-GB"/>
        </w:rPr>
        <w:t>, Howard Vindin</w:t>
      </w:r>
      <w:r w:rsidRPr="00FB563D">
        <w:rPr>
          <w:rFonts w:ascii="Times New Roman" w:hAnsi="Times New Roman"/>
          <w:b w:val="0"/>
          <w:sz w:val="24"/>
          <w:szCs w:val="24"/>
          <w:vertAlign w:val="superscript"/>
          <w:lang w:val="en-GB"/>
        </w:rPr>
        <w:t xml:space="preserve"> 2</w:t>
      </w:r>
      <w:r w:rsidRPr="00FB563D">
        <w:rPr>
          <w:rFonts w:ascii="Times New Roman" w:hAnsi="Times New Roman"/>
          <w:b w:val="0"/>
          <w:sz w:val="24"/>
          <w:szCs w:val="24"/>
          <w:lang w:val="en-GB"/>
        </w:rPr>
        <w:t xml:space="preserve">, Matthew Padula </w:t>
      </w:r>
      <w:r w:rsidRPr="00FB563D">
        <w:rPr>
          <w:rFonts w:ascii="Times New Roman" w:hAnsi="Times New Roman"/>
          <w:b w:val="0"/>
          <w:sz w:val="24"/>
          <w:szCs w:val="24"/>
          <w:vertAlign w:val="superscript"/>
          <w:lang w:val="en-GB"/>
        </w:rPr>
        <w:t>1</w:t>
      </w:r>
      <w:r w:rsidRPr="00FB563D">
        <w:rPr>
          <w:rFonts w:ascii="Times New Roman" w:hAnsi="Times New Roman"/>
          <w:b w:val="0"/>
          <w:sz w:val="24"/>
          <w:szCs w:val="24"/>
          <w:lang w:val="en-GB"/>
        </w:rPr>
        <w:t xml:space="preserve">, Razia Zakarya </w:t>
      </w:r>
      <w:r w:rsidRPr="00FB563D">
        <w:rPr>
          <w:rFonts w:ascii="Times New Roman" w:hAnsi="Times New Roman"/>
          <w:b w:val="0"/>
          <w:sz w:val="24"/>
          <w:szCs w:val="24"/>
          <w:vertAlign w:val="superscript"/>
          <w:lang w:val="en-GB"/>
        </w:rPr>
        <w:t>1,2</w:t>
      </w:r>
      <w:r w:rsidRPr="00FB563D">
        <w:rPr>
          <w:rFonts w:ascii="Times New Roman" w:hAnsi="Times New Roman"/>
          <w:b w:val="0"/>
          <w:sz w:val="24"/>
          <w:szCs w:val="24"/>
          <w:lang w:val="en-GB"/>
        </w:rPr>
        <w:t xml:space="preserve">, Jacob George </w:t>
      </w:r>
      <w:r w:rsidRPr="00FB563D">
        <w:rPr>
          <w:rFonts w:ascii="Times New Roman" w:hAnsi="Times New Roman"/>
          <w:b w:val="0"/>
          <w:sz w:val="24"/>
          <w:szCs w:val="24"/>
          <w:vertAlign w:val="superscript"/>
          <w:lang w:val="en-GB"/>
        </w:rPr>
        <w:t>5</w:t>
      </w:r>
      <w:r w:rsidRPr="00FB563D">
        <w:rPr>
          <w:rFonts w:ascii="Times New Roman" w:hAnsi="Times New Roman"/>
          <w:b w:val="0"/>
          <w:sz w:val="24"/>
          <w:szCs w:val="24"/>
          <w:lang w:val="en-GB"/>
        </w:rPr>
        <w:t xml:space="preserve">, Brian G. Oliver </w:t>
      </w:r>
      <w:r w:rsidRPr="00FB563D">
        <w:rPr>
          <w:rFonts w:ascii="Times New Roman" w:hAnsi="Times New Roman"/>
          <w:b w:val="0"/>
          <w:sz w:val="24"/>
          <w:szCs w:val="24"/>
          <w:vertAlign w:val="superscript"/>
          <w:lang w:val="en-GB"/>
        </w:rPr>
        <w:t>1,2</w:t>
      </w:r>
      <w:r w:rsidRPr="00FB563D">
        <w:rPr>
          <w:rFonts w:ascii="Times New Roman" w:hAnsi="Times New Roman"/>
          <w:b w:val="0"/>
          <w:sz w:val="24"/>
          <w:szCs w:val="24"/>
          <w:lang w:val="en-GB"/>
        </w:rPr>
        <w:t xml:space="preserve">, Sonia Saad </w:t>
      </w:r>
      <w:r w:rsidRPr="00FB563D">
        <w:rPr>
          <w:rFonts w:ascii="Times New Roman" w:hAnsi="Times New Roman"/>
          <w:b w:val="0"/>
          <w:sz w:val="24"/>
          <w:szCs w:val="24"/>
          <w:vertAlign w:val="superscript"/>
          <w:lang w:val="en-GB"/>
        </w:rPr>
        <w:t>1,6</w:t>
      </w:r>
      <w:r w:rsidRPr="00FB563D">
        <w:rPr>
          <w:rFonts w:ascii="Times New Roman" w:hAnsi="Times New Roman"/>
          <w:b w:val="0"/>
          <w:sz w:val="24"/>
          <w:szCs w:val="24"/>
          <w:lang w:val="en-GB"/>
        </w:rPr>
        <w:t xml:space="preserve"> and Hui Chen </w:t>
      </w:r>
      <w:r w:rsidRPr="00FB563D">
        <w:rPr>
          <w:rFonts w:ascii="Times New Roman" w:hAnsi="Times New Roman"/>
          <w:b w:val="0"/>
          <w:sz w:val="24"/>
          <w:szCs w:val="24"/>
          <w:vertAlign w:val="superscript"/>
          <w:lang w:val="en-GB"/>
        </w:rPr>
        <w:t>1,7</w:t>
      </w:r>
      <w:r w:rsidRPr="00FB563D">
        <w:rPr>
          <w:rFonts w:ascii="Times New Roman" w:hAnsi="Times New Roman"/>
          <w:b w:val="0"/>
          <w:sz w:val="24"/>
          <w:szCs w:val="24"/>
          <w:lang w:val="en-GB"/>
        </w:rPr>
        <w:t>*</w:t>
      </w:r>
    </w:p>
    <w:p w14:paraId="42F004AD" w14:textId="77777777" w:rsidR="00FB563D" w:rsidRPr="00FB563D" w:rsidRDefault="00FB563D" w:rsidP="00FB563D">
      <w:pPr>
        <w:pStyle w:val="MDPI16affiliation"/>
        <w:spacing w:line="360" w:lineRule="auto"/>
        <w:rPr>
          <w:rFonts w:ascii="Times New Roman" w:hAnsi="Times New Roman"/>
          <w:sz w:val="24"/>
          <w:szCs w:val="24"/>
          <w:lang w:val="en-GB"/>
        </w:rPr>
      </w:pPr>
      <w:r w:rsidRPr="00FB563D">
        <w:rPr>
          <w:rFonts w:ascii="Times New Roman" w:hAnsi="Times New Roman"/>
          <w:sz w:val="24"/>
          <w:szCs w:val="24"/>
          <w:vertAlign w:val="superscript"/>
          <w:lang w:val="en-GB"/>
        </w:rPr>
        <w:t>1</w:t>
      </w:r>
      <w:r w:rsidRPr="00FB563D">
        <w:rPr>
          <w:rFonts w:ascii="Times New Roman" w:hAnsi="Times New Roman"/>
          <w:sz w:val="24"/>
          <w:szCs w:val="24"/>
          <w:lang w:val="en-GB"/>
        </w:rPr>
        <w:tab/>
        <w:t>School of Life Sciences, Faculty of Science, University of Technology Sydney, Sydney, NSW 2007, Australia</w:t>
      </w:r>
    </w:p>
    <w:p w14:paraId="0CF038E4" w14:textId="77777777" w:rsidR="00FB563D" w:rsidRPr="00FB563D" w:rsidRDefault="00FB563D" w:rsidP="00FB563D">
      <w:pPr>
        <w:pStyle w:val="MDPI16affiliation"/>
        <w:spacing w:line="360" w:lineRule="auto"/>
        <w:rPr>
          <w:rFonts w:ascii="Times New Roman" w:hAnsi="Times New Roman"/>
          <w:sz w:val="24"/>
          <w:szCs w:val="24"/>
          <w:lang w:val="en-GB"/>
        </w:rPr>
      </w:pPr>
      <w:r w:rsidRPr="00FB563D">
        <w:rPr>
          <w:rFonts w:ascii="Times New Roman" w:hAnsi="Times New Roman"/>
          <w:sz w:val="24"/>
          <w:szCs w:val="24"/>
          <w:vertAlign w:val="superscript"/>
          <w:lang w:val="en-GB"/>
        </w:rPr>
        <w:t>2</w:t>
      </w:r>
      <w:r w:rsidRPr="00FB563D">
        <w:rPr>
          <w:rFonts w:ascii="Times New Roman" w:hAnsi="Times New Roman"/>
          <w:sz w:val="24"/>
          <w:szCs w:val="24"/>
          <w:lang w:val="en-GB"/>
        </w:rPr>
        <w:tab/>
        <w:t>Respiratory Cellular and Molecular Biology, Woolcock Institute of Medical Research, The University of Sydney, Sydney, NSW 2037, Australia</w:t>
      </w:r>
    </w:p>
    <w:p w14:paraId="76C346B6" w14:textId="77777777" w:rsidR="00FB563D" w:rsidRPr="00FB563D" w:rsidRDefault="00FB563D" w:rsidP="00FB563D">
      <w:pPr>
        <w:pStyle w:val="MDPI16affiliation"/>
        <w:spacing w:line="360" w:lineRule="auto"/>
        <w:rPr>
          <w:rFonts w:ascii="Times New Roman" w:hAnsi="Times New Roman"/>
          <w:sz w:val="24"/>
          <w:szCs w:val="24"/>
          <w:lang w:val="en-GB"/>
        </w:rPr>
      </w:pPr>
      <w:r w:rsidRPr="00FB563D">
        <w:rPr>
          <w:rFonts w:ascii="Times New Roman" w:hAnsi="Times New Roman"/>
          <w:sz w:val="24"/>
          <w:szCs w:val="24"/>
          <w:vertAlign w:val="superscript"/>
          <w:lang w:val="en-GB"/>
        </w:rPr>
        <w:t>3</w:t>
      </w:r>
      <w:r w:rsidRPr="00FB563D">
        <w:rPr>
          <w:rFonts w:ascii="Times New Roman" w:hAnsi="Times New Roman"/>
          <w:sz w:val="24"/>
          <w:szCs w:val="24"/>
          <w:lang w:val="en-GB"/>
        </w:rPr>
        <w:tab/>
        <w:t>Department of Clinical Chemistry, Faculty of Allied Health Sciences, Chulalongkorn University, Pathum Wan, Bangkok 10330, Thailand</w:t>
      </w:r>
    </w:p>
    <w:p w14:paraId="3C7CA3B0" w14:textId="77777777" w:rsidR="00FB563D" w:rsidRPr="00FB563D" w:rsidRDefault="00FB563D" w:rsidP="00FB563D">
      <w:pPr>
        <w:pStyle w:val="MDPI16affiliation"/>
        <w:spacing w:line="360" w:lineRule="auto"/>
        <w:rPr>
          <w:rFonts w:ascii="Times New Roman" w:hAnsi="Times New Roman"/>
          <w:sz w:val="24"/>
          <w:szCs w:val="24"/>
          <w:lang w:val="en-GB"/>
        </w:rPr>
      </w:pPr>
      <w:r w:rsidRPr="00FB563D">
        <w:rPr>
          <w:rFonts w:ascii="Times New Roman" w:hAnsi="Times New Roman"/>
          <w:sz w:val="24"/>
          <w:szCs w:val="24"/>
          <w:vertAlign w:val="superscript"/>
          <w:lang w:val="en-GB"/>
        </w:rPr>
        <w:t>4</w:t>
      </w:r>
      <w:r w:rsidRPr="00FB563D">
        <w:rPr>
          <w:rFonts w:ascii="Times New Roman" w:hAnsi="Times New Roman"/>
          <w:sz w:val="24"/>
          <w:szCs w:val="24"/>
          <w:lang w:val="en-GB"/>
        </w:rPr>
        <w:tab/>
        <w:t>Graduate School of Biomedical Engineering, University of New South Wales, Sydney, NSW 2052, Australia</w:t>
      </w:r>
    </w:p>
    <w:p w14:paraId="14A05C40" w14:textId="77777777" w:rsidR="00FB563D" w:rsidRPr="00FB563D" w:rsidRDefault="00FB563D" w:rsidP="00FB563D">
      <w:pPr>
        <w:pStyle w:val="MDPI16affiliation"/>
        <w:spacing w:line="360" w:lineRule="auto"/>
        <w:rPr>
          <w:rFonts w:ascii="Times New Roman" w:hAnsi="Times New Roman"/>
          <w:sz w:val="24"/>
          <w:szCs w:val="24"/>
          <w:lang w:val="en-GB"/>
        </w:rPr>
      </w:pPr>
      <w:r w:rsidRPr="00FB563D">
        <w:rPr>
          <w:rFonts w:ascii="Times New Roman" w:hAnsi="Times New Roman"/>
          <w:sz w:val="24"/>
          <w:szCs w:val="24"/>
          <w:vertAlign w:val="superscript"/>
          <w:lang w:val="en-GB"/>
        </w:rPr>
        <w:t>5</w:t>
      </w:r>
      <w:r w:rsidRPr="00FB563D">
        <w:rPr>
          <w:rFonts w:ascii="Times New Roman" w:hAnsi="Times New Roman"/>
          <w:sz w:val="24"/>
          <w:szCs w:val="24"/>
          <w:lang w:val="en-GB"/>
        </w:rPr>
        <w:tab/>
        <w:t>Storr Liver Centre, The Westmead Institute for Medical Research, Westmead Hospital and The University of Sydney, Sydney, NSW 2037, Australia</w:t>
      </w:r>
    </w:p>
    <w:p w14:paraId="66FFB766" w14:textId="77777777" w:rsidR="00FB563D" w:rsidRPr="00FB563D" w:rsidRDefault="00FB563D" w:rsidP="00FB563D">
      <w:pPr>
        <w:pStyle w:val="MDPI16affiliation"/>
        <w:spacing w:line="360" w:lineRule="auto"/>
        <w:rPr>
          <w:rFonts w:ascii="Times New Roman" w:hAnsi="Times New Roman"/>
          <w:sz w:val="24"/>
          <w:szCs w:val="24"/>
          <w:lang w:val="en-GB"/>
        </w:rPr>
      </w:pPr>
      <w:r w:rsidRPr="00FB563D">
        <w:rPr>
          <w:rFonts w:ascii="Times New Roman" w:hAnsi="Times New Roman"/>
          <w:sz w:val="24"/>
          <w:szCs w:val="24"/>
          <w:vertAlign w:val="superscript"/>
          <w:lang w:val="en-GB"/>
        </w:rPr>
        <w:t>6</w:t>
      </w:r>
      <w:r w:rsidRPr="00FB563D">
        <w:rPr>
          <w:rFonts w:ascii="Times New Roman" w:hAnsi="Times New Roman"/>
          <w:sz w:val="24"/>
          <w:szCs w:val="24"/>
          <w:lang w:val="en-GB"/>
        </w:rPr>
        <w:tab/>
        <w:t>Kolling Institute of Medical Research, Royal North Shore Hospital, The University of Sydney, Sydney, NSW</w:t>
      </w:r>
      <w:r w:rsidRPr="00FB563D" w:rsidDel="00093C8D">
        <w:rPr>
          <w:rFonts w:ascii="Times New Roman" w:hAnsi="Times New Roman"/>
          <w:sz w:val="24"/>
          <w:szCs w:val="24"/>
          <w:lang w:val="en-GB"/>
        </w:rPr>
        <w:t xml:space="preserve"> </w:t>
      </w:r>
      <w:r w:rsidRPr="00FB563D">
        <w:rPr>
          <w:rFonts w:ascii="Times New Roman" w:hAnsi="Times New Roman"/>
          <w:sz w:val="24"/>
          <w:szCs w:val="24"/>
          <w:lang w:val="en-GB"/>
        </w:rPr>
        <w:t>2065, Australia</w:t>
      </w:r>
    </w:p>
    <w:p w14:paraId="7B2BAE13" w14:textId="77777777" w:rsidR="00FB563D" w:rsidRDefault="00FB563D" w:rsidP="00FB563D">
      <w:pPr>
        <w:pStyle w:val="MDPI16affiliation"/>
        <w:spacing w:line="360" w:lineRule="auto"/>
        <w:rPr>
          <w:rFonts w:ascii="Times New Roman" w:hAnsi="Times New Roman"/>
          <w:bCs/>
          <w:iCs/>
          <w:sz w:val="24"/>
          <w:szCs w:val="24"/>
        </w:rPr>
      </w:pPr>
      <w:r w:rsidRPr="00FB563D">
        <w:rPr>
          <w:rFonts w:ascii="Times New Roman" w:hAnsi="Times New Roman"/>
          <w:sz w:val="24"/>
          <w:szCs w:val="24"/>
          <w:vertAlign w:val="superscript"/>
          <w:lang w:val="en-GB"/>
        </w:rPr>
        <w:t xml:space="preserve">7   </w:t>
      </w:r>
      <w:r w:rsidRPr="00FB563D">
        <w:rPr>
          <w:rFonts w:ascii="Times New Roman" w:hAnsi="Times New Roman"/>
          <w:bCs/>
          <w:iCs/>
          <w:sz w:val="24"/>
          <w:szCs w:val="24"/>
        </w:rPr>
        <w:t>Faculty of Basic Medical Sciences, Chengdu University of Traditional Chinese Medicine, Chengdu, Sichuan 610072, China</w:t>
      </w:r>
    </w:p>
    <w:p w14:paraId="55C20FEE" w14:textId="77777777" w:rsidR="00FB563D" w:rsidRPr="00FB563D" w:rsidRDefault="00FB563D" w:rsidP="00FB563D">
      <w:pPr>
        <w:pStyle w:val="MDPI16affiliation"/>
        <w:spacing w:line="360" w:lineRule="auto"/>
        <w:rPr>
          <w:rFonts w:ascii="Times New Roman" w:hAnsi="Times New Roman"/>
          <w:sz w:val="24"/>
          <w:szCs w:val="24"/>
          <w:vertAlign w:val="superscript"/>
          <w:lang w:val="en-GB"/>
        </w:rPr>
      </w:pPr>
    </w:p>
    <w:p w14:paraId="10E9EF36" w14:textId="77777777" w:rsidR="00FB563D" w:rsidRDefault="00FB563D" w:rsidP="00FB563D">
      <w:pPr>
        <w:pStyle w:val="MDPI14history"/>
        <w:spacing w:before="0" w:line="360" w:lineRule="auto"/>
        <w:ind w:left="311" w:hanging="198"/>
        <w:rPr>
          <w:rFonts w:ascii="Times New Roman" w:hAnsi="Times New Roman"/>
          <w:sz w:val="24"/>
          <w:szCs w:val="24"/>
          <w:lang w:val="en-GB"/>
        </w:rPr>
      </w:pPr>
      <w:r w:rsidRPr="00FB563D">
        <w:rPr>
          <w:rFonts w:ascii="Times New Roman" w:hAnsi="Times New Roman"/>
          <w:b/>
          <w:sz w:val="24"/>
          <w:szCs w:val="24"/>
          <w:lang w:val="en-GB"/>
        </w:rPr>
        <w:t>*</w:t>
      </w:r>
      <w:r w:rsidRPr="00FB563D">
        <w:rPr>
          <w:rFonts w:ascii="Times New Roman" w:hAnsi="Times New Roman"/>
          <w:sz w:val="24"/>
          <w:szCs w:val="24"/>
          <w:lang w:val="en-GB"/>
        </w:rPr>
        <w:tab/>
        <w:t xml:space="preserve">Correspondence: </w:t>
      </w:r>
    </w:p>
    <w:p w14:paraId="798AA49C" w14:textId="77777777" w:rsidR="00FB563D" w:rsidRPr="00FB563D" w:rsidRDefault="00FB563D" w:rsidP="00FB563D">
      <w:pPr>
        <w:pStyle w:val="MDPI14history"/>
        <w:spacing w:before="0" w:line="360" w:lineRule="auto"/>
        <w:ind w:left="311" w:hanging="198"/>
        <w:rPr>
          <w:rFonts w:ascii="Times New Roman" w:hAnsi="Times New Roman"/>
          <w:sz w:val="24"/>
          <w:szCs w:val="24"/>
          <w:lang w:val="en-GB"/>
        </w:rPr>
      </w:pPr>
      <w:r w:rsidRPr="00FB563D">
        <w:rPr>
          <w:rFonts w:ascii="Times New Roman" w:hAnsi="Times New Roman"/>
          <w:sz w:val="24"/>
          <w:szCs w:val="24"/>
          <w:lang w:val="en-GB"/>
        </w:rPr>
        <w:t>Hui.Chen-1@uts.edu.au; Tel.: +61-2-9514-1328</w:t>
      </w:r>
    </w:p>
    <w:p w14:paraId="56D9E523" w14:textId="77777777" w:rsidR="00FB563D" w:rsidRPr="00FB563D" w:rsidRDefault="00FB563D" w:rsidP="00FB563D">
      <w:pPr>
        <w:pStyle w:val="MDPI17abstract"/>
        <w:pageBreakBefore/>
        <w:spacing w:line="360" w:lineRule="auto"/>
        <w:rPr>
          <w:rFonts w:ascii="Times New Roman" w:hAnsi="Times New Roman"/>
          <w:sz w:val="24"/>
          <w:szCs w:val="24"/>
          <w:lang w:val="en-GB"/>
        </w:rPr>
      </w:pPr>
      <w:r w:rsidRPr="00FB563D">
        <w:rPr>
          <w:rFonts w:ascii="Times New Roman" w:hAnsi="Times New Roman"/>
          <w:b/>
          <w:sz w:val="24"/>
          <w:szCs w:val="24"/>
          <w:lang w:val="en-GB"/>
        </w:rPr>
        <w:lastRenderedPageBreak/>
        <w:t xml:space="preserve">Abstract: </w:t>
      </w:r>
      <w:r w:rsidRPr="00FB563D">
        <w:rPr>
          <w:rFonts w:ascii="Times New Roman" w:hAnsi="Times New Roman"/>
          <w:sz w:val="24"/>
          <w:szCs w:val="24"/>
          <w:lang w:val="en-GB"/>
        </w:rPr>
        <w:t>Maternal smoking leads to glucose and lipid metabolic disorders and hepatic damage in the offspring, potentially due to mitochondrial oxidative stress. Mitoquinone mesylate (MitoQ) is a mitochondrial targeted antioxidant with high bioavailability. This study aimed to examine the impact of maternal cigarette smoke exposure (SE) on offspring’s metabolic profile and hepatic damage, and whether maternal MitoQ supplementation during gestation can affect these changes. Female Balb/c mice (eight weeks) were either exposed to air or SE for six weeks prior to mating and throughout gestation and lactation. A subset of the SE dams were supplied with MitoQ in the drinking water (500</w:t>
      </w:r>
      <w:r w:rsidRPr="00FB563D">
        <w:rPr>
          <w:rFonts w:ascii="Times New Roman" w:eastAsiaTheme="minorEastAsia" w:hAnsi="Times New Roman"/>
          <w:sz w:val="24"/>
          <w:szCs w:val="24"/>
          <w:lang w:val="en-GB" w:eastAsia="zh-CN"/>
        </w:rPr>
        <w:t xml:space="preserve"> </w:t>
      </w:r>
      <w:r w:rsidRPr="00FB563D">
        <w:rPr>
          <w:rFonts w:ascii="Times New Roman" w:hAnsi="Times New Roman"/>
          <w:sz w:val="24"/>
          <w:szCs w:val="24"/>
          <w:lang w:val="en-GB"/>
        </w:rPr>
        <w:t>µmol/</w:t>
      </w:r>
      <w:r w:rsidRPr="00FB563D">
        <w:rPr>
          <w:rFonts w:ascii="Times New Roman" w:eastAsiaTheme="minorEastAsia" w:hAnsi="Times New Roman"/>
          <w:sz w:val="24"/>
          <w:szCs w:val="24"/>
          <w:lang w:val="en-GB" w:eastAsia="zh-CN"/>
        </w:rPr>
        <w:t>L</w:t>
      </w:r>
      <w:r w:rsidRPr="00FB563D">
        <w:rPr>
          <w:rFonts w:ascii="Times New Roman" w:hAnsi="Times New Roman"/>
          <w:sz w:val="24"/>
          <w:szCs w:val="24"/>
          <w:lang w:val="en-GB"/>
        </w:rPr>
        <w:t>) during gestation and lactation. Intraperitoneal glucose tolerance test was performed in the male offspring at 12 weeks and the livers and plasma were collected at 13 weeks. Maternal SE induced glucose intolerance, hepatic steatosis, mitochondrial oxidative stress and related damage in the adult offspring. Maternal MitoQ supplementation reduced hepatic mitochondrial oxidative stress and improved markers of mitophagy and mitochondrial biogenesis. This may restore hepatic mitochondrial health and was associated with an amelioration of glucose intolerance, hepatic steatosis and pathological changes induced by maternal SE. MitoQ supplementation may potentially prevent metabolic dysfunction and hepatic pathology induced by intrauterine SE.</w:t>
      </w:r>
    </w:p>
    <w:p w14:paraId="00386249" w14:textId="77777777" w:rsidR="00FB563D" w:rsidRPr="00FB563D" w:rsidRDefault="00FB563D" w:rsidP="00FB563D">
      <w:pPr>
        <w:pStyle w:val="MDPI18keywords"/>
        <w:spacing w:line="360" w:lineRule="auto"/>
        <w:rPr>
          <w:rFonts w:ascii="Times New Roman" w:hAnsi="Times New Roman"/>
          <w:sz w:val="24"/>
          <w:szCs w:val="24"/>
          <w:lang w:val="en-GB"/>
        </w:rPr>
      </w:pPr>
      <w:r w:rsidRPr="00FB563D">
        <w:rPr>
          <w:rFonts w:ascii="Times New Roman" w:hAnsi="Times New Roman"/>
          <w:b/>
          <w:sz w:val="24"/>
          <w:szCs w:val="24"/>
          <w:lang w:val="en-GB"/>
        </w:rPr>
        <w:t xml:space="preserve">Keywords: </w:t>
      </w:r>
      <w:r w:rsidRPr="00FB563D">
        <w:rPr>
          <w:rFonts w:ascii="Times New Roman" w:hAnsi="Times New Roman"/>
          <w:sz w:val="24"/>
          <w:szCs w:val="24"/>
          <w:lang w:val="en-GB"/>
        </w:rPr>
        <w:t>ROS; liver fibrosis; MitoQ; glucose intolerance</w:t>
      </w:r>
    </w:p>
    <w:p w14:paraId="0E1F3395" w14:textId="77777777" w:rsidR="00FB563D" w:rsidRPr="00FB563D" w:rsidRDefault="00FB563D" w:rsidP="00FB563D">
      <w:pPr>
        <w:pStyle w:val="MDPI19line"/>
        <w:pBdr>
          <w:bottom w:val="none" w:sz="0" w:space="0" w:color="auto"/>
        </w:pBdr>
        <w:spacing w:after="480" w:line="360" w:lineRule="auto"/>
        <w:rPr>
          <w:rFonts w:ascii="Times New Roman" w:hAnsi="Times New Roman" w:cs="Times New Roman"/>
          <w:sz w:val="24"/>
          <w:lang w:val="en-GB"/>
        </w:rPr>
      </w:pPr>
    </w:p>
    <w:p w14:paraId="5E0AA349" w14:textId="77777777" w:rsidR="00FB563D" w:rsidRPr="00FB563D" w:rsidRDefault="00FB563D" w:rsidP="00FB563D">
      <w:pPr>
        <w:pStyle w:val="MDPI21heading1"/>
        <w:spacing w:line="360" w:lineRule="auto"/>
        <w:rPr>
          <w:rFonts w:ascii="Times New Roman" w:hAnsi="Times New Roman"/>
          <w:sz w:val="24"/>
          <w:szCs w:val="24"/>
          <w:lang w:val="en-GB"/>
        </w:rPr>
      </w:pPr>
      <w:r w:rsidRPr="00FB563D">
        <w:rPr>
          <w:rFonts w:ascii="Times New Roman" w:hAnsi="Times New Roman"/>
          <w:sz w:val="24"/>
          <w:szCs w:val="24"/>
          <w:lang w:val="en-GB" w:eastAsia="zh-CN"/>
        </w:rPr>
        <w:t xml:space="preserve">1. </w:t>
      </w:r>
      <w:r w:rsidRPr="00FB563D">
        <w:rPr>
          <w:rFonts w:ascii="Times New Roman" w:hAnsi="Times New Roman"/>
          <w:sz w:val="24"/>
          <w:szCs w:val="24"/>
          <w:lang w:val="en-GB"/>
        </w:rPr>
        <w:t>Introduction</w:t>
      </w:r>
    </w:p>
    <w:p w14:paraId="59270CA7" w14:textId="77777777" w:rsidR="00FB563D" w:rsidRPr="00FB563D" w:rsidRDefault="00FB563D" w:rsidP="00FB563D">
      <w:pPr>
        <w:pStyle w:val="MDPI31text"/>
        <w:spacing w:line="360" w:lineRule="auto"/>
        <w:rPr>
          <w:rFonts w:ascii="Times New Roman" w:hAnsi="Times New Roman"/>
          <w:sz w:val="24"/>
          <w:szCs w:val="24"/>
          <w:lang w:val="en-GB"/>
        </w:rPr>
      </w:pPr>
      <w:bookmarkStart w:id="1" w:name="OLE_LINK1"/>
      <w:bookmarkStart w:id="2" w:name="OLE_LINK2"/>
      <w:r w:rsidRPr="00FB563D">
        <w:rPr>
          <w:rFonts w:ascii="Times New Roman" w:hAnsi="Times New Roman"/>
          <w:sz w:val="24"/>
          <w:szCs w:val="24"/>
          <w:lang w:val="en-GB"/>
        </w:rPr>
        <w:t xml:space="preserve">Tobacco cigarette smoking during pregnancy has been associated with an increased risk of metabolic disorders in the offspring, especially type 2 diabetes in adulthood [1]. In utero smoke exposure (SE) increases oxidative stress and damage in the offspring’s liver [2], which can lead to mitochondrial dysfunction. Mitochondria are essential for glucose and fatty acid metabolism to generate energy in the form of ATP. The process of mitochondrial oxidative phosphorylation results in the generation of reactive oxygen species (ROS), which are normally cleared by endogenous mitochondrial antioxidants [3]. Within the mitochondria, the imbalance between excessive ROS and antioxidant capacity leads to oxidative stress and mitochondrial damage. Adaptive mechanisms respond to damaged mitochondria through the processes of mitophagy and mitochondrial biogenesis [4]. However hepatic mitochondrial dysfunction (increased oxidative stress or impaired adaptive mechanisms) can lead to glucose intolerance and triglyceride accumulation, which could underlie the development of type 2 diabetes and non-alcoholic fatty liver disease [5]. Increasing evidence, including our own work, has </w:t>
      </w:r>
      <w:r w:rsidRPr="00FB563D">
        <w:rPr>
          <w:rFonts w:ascii="Times New Roman" w:hAnsi="Times New Roman"/>
          <w:sz w:val="24"/>
          <w:szCs w:val="24"/>
          <w:lang w:val="en-GB"/>
        </w:rPr>
        <w:lastRenderedPageBreak/>
        <w:t>suggested that</w:t>
      </w:r>
      <w:r w:rsidRPr="00FB563D">
        <w:rPr>
          <w:rFonts w:ascii="Times New Roman" w:hAnsi="Times New Roman"/>
          <w:iCs/>
          <w:sz w:val="24"/>
          <w:szCs w:val="24"/>
          <w:lang w:val="en-GB"/>
        </w:rPr>
        <w:t xml:space="preserve"> in utero </w:t>
      </w:r>
      <w:r w:rsidRPr="00FB563D">
        <w:rPr>
          <w:rFonts w:ascii="Times New Roman" w:hAnsi="Times New Roman"/>
          <w:sz w:val="24"/>
          <w:szCs w:val="24"/>
          <w:lang w:val="en-GB"/>
        </w:rPr>
        <w:t>SE can induce mitochondrial damage in multiple organs, increasing mitochondrial ROS output and impairing metabolic function [6–9]. Therefore, the impacts of maternal SE on metabolic disorders in the offspring could be related to liver mitochondrial damage. As a result, the liver was chosen as the focus of this study because it represents an important and novel field of investigation.</w:t>
      </w:r>
    </w:p>
    <w:p w14:paraId="4A1D4C9E" w14:textId="77777777" w:rsidR="00FB563D" w:rsidRPr="00FB563D" w:rsidRDefault="00FB563D" w:rsidP="00FB563D">
      <w:pPr>
        <w:pStyle w:val="MDPI31text"/>
        <w:spacing w:line="360" w:lineRule="auto"/>
        <w:rPr>
          <w:rFonts w:ascii="Times New Roman" w:hAnsi="Times New Roman"/>
          <w:sz w:val="24"/>
          <w:szCs w:val="24"/>
          <w:lang w:val="en-GB"/>
        </w:rPr>
      </w:pPr>
      <w:r w:rsidRPr="00FB563D">
        <w:rPr>
          <w:rFonts w:ascii="Times New Roman" w:hAnsi="Times New Roman"/>
          <w:sz w:val="24"/>
          <w:szCs w:val="24"/>
          <w:lang w:val="en-GB"/>
        </w:rPr>
        <w:t>Mitoquinone mesylate (MitoQ) is a mitochondrial targeted antioxidant with high oral bioavailability, derived from covalently attaching a triphenylphosphonium cation moiety to Coenzyme Q10 (CoQ10) [10]. CoQ10 is an endogenous antioxidant with reduced levels in the plasma of smokers [11] and diabetic patients [12]. The positively charged moiety of MitoQ promotes its accumulation within the negatively charged inner mitochondria membrane, directly reducing mitochondrial oxidative stress [10]. We have demonstrated that maternal MitoQ supplementation during gestation and lactation alleviates the adverse effects of maternal smoking in the offspring’s lung and kidney [13,14]. Additionally, in a phase II clinical trial on patients with chronic hepatitis C, oral MitoQ administration decreased plasma alanine aminotransferase (ALT) activity, a marker of liver damage [10]. Thus, in a mouse model, we aimed to determine if maternal MitoQ supplementation during gestation and lactation could ameliorate the metabolic dysfunction and hepatic damage caused by SE.</w:t>
      </w:r>
    </w:p>
    <w:bookmarkEnd w:id="1"/>
    <w:bookmarkEnd w:id="2"/>
    <w:p w14:paraId="61111D17" w14:textId="77777777" w:rsidR="00FB563D" w:rsidRPr="00FB563D" w:rsidRDefault="00FB563D" w:rsidP="00FB563D">
      <w:pPr>
        <w:pStyle w:val="MDPI21heading1"/>
        <w:spacing w:line="360" w:lineRule="auto"/>
        <w:rPr>
          <w:rFonts w:ascii="Times New Roman" w:hAnsi="Times New Roman"/>
          <w:sz w:val="24"/>
          <w:szCs w:val="24"/>
          <w:lang w:val="en-GB"/>
        </w:rPr>
      </w:pPr>
      <w:r w:rsidRPr="00FB563D">
        <w:rPr>
          <w:rFonts w:ascii="Times New Roman" w:hAnsi="Times New Roman"/>
          <w:sz w:val="24"/>
          <w:szCs w:val="24"/>
          <w:lang w:val="en-GB" w:eastAsia="zh-CN"/>
        </w:rPr>
        <w:t xml:space="preserve">2. </w:t>
      </w:r>
      <w:r w:rsidRPr="00FB563D">
        <w:rPr>
          <w:rFonts w:ascii="Times New Roman" w:hAnsi="Times New Roman"/>
          <w:sz w:val="24"/>
          <w:szCs w:val="24"/>
          <w:lang w:val="en-GB"/>
        </w:rPr>
        <w:t xml:space="preserve">Materials and Methods </w:t>
      </w:r>
    </w:p>
    <w:p w14:paraId="6895F76F" w14:textId="77777777" w:rsidR="00FB563D" w:rsidRPr="00FB563D" w:rsidRDefault="00FB563D" w:rsidP="00FB563D">
      <w:pPr>
        <w:pStyle w:val="MDPI22heading2"/>
        <w:kinsoku/>
        <w:overflowPunct/>
        <w:autoSpaceDE/>
        <w:autoSpaceDN/>
        <w:spacing w:line="360" w:lineRule="auto"/>
        <w:rPr>
          <w:rFonts w:ascii="Times New Roman" w:hAnsi="Times New Roman"/>
          <w:noProof w:val="0"/>
          <w:sz w:val="24"/>
          <w:szCs w:val="24"/>
          <w:lang w:val="en-GB"/>
        </w:rPr>
      </w:pPr>
      <w:r w:rsidRPr="00FB563D">
        <w:rPr>
          <w:rFonts w:ascii="Times New Roman" w:hAnsi="Times New Roman"/>
          <w:noProof w:val="0"/>
          <w:sz w:val="24"/>
          <w:szCs w:val="24"/>
          <w:lang w:val="en-GB"/>
        </w:rPr>
        <w:t>2.1. Animal Model</w:t>
      </w:r>
    </w:p>
    <w:p w14:paraId="5C4255BC" w14:textId="77777777" w:rsidR="00FB563D" w:rsidRPr="00FB563D" w:rsidRDefault="00FB563D" w:rsidP="00FB563D">
      <w:pPr>
        <w:pStyle w:val="MDPI31text"/>
        <w:spacing w:line="360" w:lineRule="auto"/>
        <w:rPr>
          <w:rFonts w:ascii="Times New Roman" w:hAnsi="Times New Roman"/>
          <w:sz w:val="24"/>
          <w:szCs w:val="24"/>
          <w:lang w:val="en-GB"/>
        </w:rPr>
      </w:pPr>
      <w:r w:rsidRPr="00FB563D">
        <w:rPr>
          <w:rFonts w:ascii="Times New Roman" w:hAnsi="Times New Roman"/>
          <w:sz w:val="24"/>
          <w:szCs w:val="24"/>
          <w:lang w:val="en-GB"/>
        </w:rPr>
        <w:t xml:space="preserve">The animal experiments were approved by the Animal Care and Ethics Committee of the University of Technology Sydney (ACEC#2014-638 and ACEC # 2016-419) and carried out according to the Australian National Health and Medical Research Council Guide for the Care and Use of Laboratory Animals. After acclimatisation, virgin female Balb/c mice (eight weeks old, Animal Resource Centre, WA, Australia) were randomly assigned to two groups with equal starting body weight. Mice were either exposed to ambient air (Sham group, </w:t>
      </w:r>
      <w:r w:rsidRPr="00FB563D">
        <w:rPr>
          <w:rFonts w:ascii="Times New Roman" w:hAnsi="Times New Roman"/>
          <w:i/>
          <w:sz w:val="24"/>
          <w:szCs w:val="24"/>
          <w:lang w:val="en-GB"/>
        </w:rPr>
        <w:t>n</w:t>
      </w:r>
      <w:r w:rsidRPr="00FB563D">
        <w:rPr>
          <w:rFonts w:ascii="Times New Roman" w:hAnsi="Times New Roman"/>
          <w:sz w:val="24"/>
          <w:szCs w:val="24"/>
          <w:lang w:val="en-GB"/>
        </w:rPr>
        <w:t xml:space="preserve"> = 9) or cigarette smoke (SE group, </w:t>
      </w:r>
      <w:r w:rsidRPr="00FB563D">
        <w:rPr>
          <w:rFonts w:ascii="Times New Roman" w:hAnsi="Times New Roman"/>
          <w:i/>
          <w:sz w:val="24"/>
          <w:szCs w:val="24"/>
          <w:lang w:val="en-GB"/>
        </w:rPr>
        <w:t>n</w:t>
      </w:r>
      <w:r w:rsidRPr="00FB563D">
        <w:rPr>
          <w:rFonts w:ascii="Times New Roman" w:hAnsi="Times New Roman"/>
          <w:sz w:val="24"/>
          <w:szCs w:val="24"/>
          <w:lang w:val="en-GB"/>
        </w:rPr>
        <w:t xml:space="preserve"> = 19) generated from two cigarettes (Winfield Red, ≤16 mg tar, ≤1.2 mg nicotine, and ≤15 mg of CO; VIC, Australia) twice daily for six weeks prior to mating and throughout gestation and lactation as previously described [15]. The female mice were exposed to the smoke generated by each cigarette for 15 minutes, with a 5-minute interval between the two cigarettes. As indicated by plasma cotinine concentrations in both mothers and offspring, this model represents light human smokers, as we have previously published [8,16]. At mating, a sub-group of the SE dams were administered with MitoQ in the drinking </w:t>
      </w:r>
      <w:r w:rsidRPr="00FB563D">
        <w:rPr>
          <w:rFonts w:ascii="Times New Roman" w:hAnsi="Times New Roman"/>
          <w:sz w:val="24"/>
          <w:szCs w:val="24"/>
          <w:lang w:val="en-GB"/>
        </w:rPr>
        <w:lastRenderedPageBreak/>
        <w:t xml:space="preserve">water (500 µmol/L) during gestation and lactation (SE+MQ group, </w:t>
      </w:r>
      <w:r w:rsidRPr="00FB563D">
        <w:rPr>
          <w:rFonts w:ascii="Times New Roman" w:hAnsi="Times New Roman"/>
          <w:i/>
          <w:sz w:val="24"/>
          <w:szCs w:val="24"/>
          <w:lang w:val="en-GB"/>
        </w:rPr>
        <w:t>n</w:t>
      </w:r>
      <w:r w:rsidRPr="00FB563D">
        <w:rPr>
          <w:rFonts w:ascii="Times New Roman" w:hAnsi="Times New Roman"/>
          <w:sz w:val="24"/>
          <w:szCs w:val="24"/>
          <w:lang w:val="en-GB"/>
        </w:rPr>
        <w:t xml:space="preserve"> = 9) [13]. MitoQ in the drinking water provided to the dams has previously been shown to reach the neonatal liver [17]. Male breeders and suckling pups were not exposed to cigarette smoke.</w:t>
      </w:r>
    </w:p>
    <w:p w14:paraId="77DFE329" w14:textId="77777777" w:rsidR="00FB563D" w:rsidRPr="00FB563D" w:rsidRDefault="00FB563D" w:rsidP="00FB563D">
      <w:pPr>
        <w:pStyle w:val="MDPI31text"/>
        <w:spacing w:line="360" w:lineRule="auto"/>
        <w:rPr>
          <w:rFonts w:ascii="Times New Roman" w:hAnsi="Times New Roman"/>
          <w:sz w:val="24"/>
          <w:szCs w:val="24"/>
          <w:lang w:val="en-GB"/>
        </w:rPr>
      </w:pPr>
      <w:r w:rsidRPr="00FB563D">
        <w:rPr>
          <w:rFonts w:ascii="Times New Roman" w:hAnsi="Times New Roman"/>
          <w:sz w:val="24"/>
          <w:szCs w:val="24"/>
          <w:lang w:val="en-GB"/>
        </w:rPr>
        <w:t>Male offspring were studied because they are more susceptible to the adverse impacts of maternal smoking, as elucidated in our previous studies [8,15]. Male offspring were weaned at postnatal day 20 and maintained without additional intervention until 12 weeks of age, when an intraperitoneal glucose tolerance test (IPGTT) was performed as previously described [18]. After 5 hours of fasting, baseline blood glucose levels were measured followed by glucose injection (2 g/kg, ip). Blood glucose was measured at 15, 30, 60, and 90 minutes post-injection. The area under the curve (AUC) of the blood glucose curve was calculated for each mouse. At 13 weeks of age, after the induction of deep anaesthesia (4% isoflurane), blood was collected via cardiac puncture and the plasma was stored at −20 °C for further analysis. The livers were weighed and then snap frozen at –80 °C or fixed in 10% neutral buffered formalin for further analysis. One male offspring from each litter was used for tissue analyses (Figure 1).</w:t>
      </w:r>
    </w:p>
    <w:p w14:paraId="631AA23D" w14:textId="77777777" w:rsidR="00FB563D" w:rsidRPr="00FB563D" w:rsidRDefault="00FB563D" w:rsidP="00FB563D">
      <w:pPr>
        <w:pStyle w:val="MDPI31text"/>
        <w:spacing w:before="240" w:line="360" w:lineRule="auto"/>
        <w:ind w:firstLine="0"/>
        <w:jc w:val="center"/>
        <w:rPr>
          <w:rFonts w:ascii="Times New Roman" w:hAnsi="Times New Roman"/>
          <w:sz w:val="24"/>
          <w:szCs w:val="24"/>
          <w:lang w:val="en-GB"/>
        </w:rPr>
      </w:pPr>
    </w:p>
    <w:p w14:paraId="0FCEF23A" w14:textId="77777777" w:rsidR="00FB563D" w:rsidRPr="00FB563D" w:rsidRDefault="00FB563D" w:rsidP="00FB563D">
      <w:pPr>
        <w:pStyle w:val="MDPI31text"/>
        <w:spacing w:before="240" w:line="360" w:lineRule="auto"/>
        <w:ind w:firstLine="0"/>
        <w:jc w:val="center"/>
        <w:rPr>
          <w:rFonts w:ascii="Times New Roman" w:hAnsi="Times New Roman"/>
          <w:sz w:val="24"/>
          <w:szCs w:val="24"/>
          <w:lang w:val="en-GB"/>
        </w:rPr>
      </w:pPr>
      <w:r w:rsidRPr="00FB563D">
        <w:rPr>
          <w:rFonts w:ascii="Times New Roman" w:hAnsi="Times New Roman"/>
          <w:noProof/>
          <w:sz w:val="24"/>
          <w:szCs w:val="24"/>
          <w:lang w:val="en-AU" w:eastAsia="zh-CN" w:bidi="ar-SA"/>
        </w:rPr>
        <w:drawing>
          <wp:inline distT="0" distB="0" distL="0" distR="0" wp14:anchorId="0BF5AA4F" wp14:editId="6A935DC8">
            <wp:extent cx="5615940" cy="2713555"/>
            <wp:effectExtent l="0" t="0" r="0" b="0"/>
            <wp:docPr id="7" name="Picture 7" descr="C:\Users\11412525\Desktop\Figure 1.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11412525\Desktop\Figure 1.tif"/>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15940" cy="2713555"/>
                    </a:xfrm>
                    <a:prstGeom prst="rect">
                      <a:avLst/>
                    </a:prstGeom>
                    <a:noFill/>
                    <a:ln>
                      <a:noFill/>
                    </a:ln>
                  </pic:spPr>
                </pic:pic>
              </a:graphicData>
            </a:graphic>
          </wp:inline>
        </w:drawing>
      </w:r>
    </w:p>
    <w:p w14:paraId="112F5C69" w14:textId="77777777" w:rsidR="00FB563D" w:rsidRPr="00FB563D" w:rsidRDefault="00FB563D" w:rsidP="00FB563D">
      <w:pPr>
        <w:pStyle w:val="MDPI51figurecaption"/>
        <w:spacing w:line="360" w:lineRule="auto"/>
        <w:rPr>
          <w:rFonts w:ascii="Times New Roman" w:hAnsi="Times New Roman"/>
          <w:sz w:val="24"/>
          <w:szCs w:val="24"/>
          <w:lang w:val="en-GB"/>
        </w:rPr>
      </w:pPr>
      <w:r w:rsidRPr="00FB563D">
        <w:rPr>
          <w:rFonts w:ascii="Times New Roman" w:hAnsi="Times New Roman"/>
          <w:b/>
          <w:sz w:val="24"/>
          <w:szCs w:val="24"/>
          <w:lang w:val="en-GB"/>
        </w:rPr>
        <w:t>Figure 1.</w:t>
      </w:r>
      <w:r w:rsidRPr="00FB563D">
        <w:rPr>
          <w:rFonts w:ascii="Times New Roman" w:hAnsi="Times New Roman"/>
          <w:sz w:val="24"/>
          <w:szCs w:val="24"/>
          <w:lang w:val="en-GB"/>
        </w:rPr>
        <w:t xml:space="preserve"> Schematic diagram of animal experiments. SE: cigarette smoke exposure, SE+MQ: SE with mitoquinone mesylate (MitoQ) supplementation.</w:t>
      </w:r>
    </w:p>
    <w:p w14:paraId="60F8EA9B" w14:textId="77777777" w:rsidR="00FB563D" w:rsidRPr="00FB563D" w:rsidRDefault="00FB563D" w:rsidP="00FB563D">
      <w:pPr>
        <w:pStyle w:val="MDPI22heading2"/>
        <w:spacing w:line="360" w:lineRule="auto"/>
        <w:rPr>
          <w:rFonts w:ascii="Times New Roman" w:hAnsi="Times New Roman"/>
          <w:noProof w:val="0"/>
          <w:sz w:val="24"/>
          <w:szCs w:val="24"/>
          <w:lang w:val="en-GB"/>
        </w:rPr>
      </w:pPr>
      <w:r w:rsidRPr="00FB563D">
        <w:rPr>
          <w:rFonts w:ascii="Times New Roman" w:hAnsi="Times New Roman"/>
          <w:noProof w:val="0"/>
          <w:sz w:val="24"/>
          <w:szCs w:val="24"/>
          <w:lang w:val="en-GB"/>
        </w:rPr>
        <w:t>2.2. Bioassays</w:t>
      </w:r>
    </w:p>
    <w:p w14:paraId="484D1A91" w14:textId="77777777" w:rsidR="00FB563D" w:rsidRPr="00FB563D" w:rsidRDefault="00FB563D" w:rsidP="00FB563D">
      <w:pPr>
        <w:pStyle w:val="MDPI31text"/>
        <w:spacing w:line="360" w:lineRule="auto"/>
        <w:rPr>
          <w:rFonts w:ascii="Times New Roman" w:hAnsi="Times New Roman"/>
          <w:sz w:val="24"/>
          <w:szCs w:val="24"/>
          <w:lang w:val="en-GB"/>
        </w:rPr>
      </w:pPr>
      <w:r w:rsidRPr="00FB563D">
        <w:rPr>
          <w:rFonts w:ascii="Times New Roman" w:hAnsi="Times New Roman"/>
          <w:sz w:val="24"/>
          <w:szCs w:val="24"/>
          <w:lang w:val="en-GB"/>
        </w:rPr>
        <w:t>Plasma ALT activity was measured using the Alanine Transaminase Colorimetric Activity Assay Kit (</w:t>
      </w:r>
      <w:bookmarkStart w:id="3" w:name="OLE_LINK3"/>
      <w:bookmarkStart w:id="4" w:name="OLE_LINK4"/>
      <w:r w:rsidRPr="00FB563D">
        <w:rPr>
          <w:rFonts w:ascii="Times New Roman" w:hAnsi="Times New Roman"/>
          <w:sz w:val="24"/>
          <w:szCs w:val="24"/>
          <w:lang w:val="en-GB"/>
        </w:rPr>
        <w:t>Cayman Chemical, Ann Arbor, MI, USA</w:t>
      </w:r>
      <w:bookmarkEnd w:id="3"/>
      <w:bookmarkEnd w:id="4"/>
      <w:r w:rsidRPr="00FB563D">
        <w:rPr>
          <w:rFonts w:ascii="Times New Roman" w:hAnsi="Times New Roman"/>
          <w:sz w:val="24"/>
          <w:szCs w:val="24"/>
          <w:lang w:val="en-GB"/>
        </w:rPr>
        <w:t xml:space="preserve">) according to the manufacturer’s instructions. Plasma insulin concentration was measured by ELISA </w:t>
      </w:r>
      <w:bookmarkStart w:id="5" w:name="OLE_LINK5"/>
      <w:bookmarkStart w:id="6" w:name="OLE_LINK6"/>
      <w:r w:rsidRPr="00FB563D">
        <w:rPr>
          <w:rFonts w:ascii="Times New Roman" w:hAnsi="Times New Roman"/>
          <w:sz w:val="24"/>
          <w:szCs w:val="24"/>
          <w:lang w:val="en-GB"/>
        </w:rPr>
        <w:t>(Abnova, Taiwan)</w:t>
      </w:r>
      <w:bookmarkEnd w:id="5"/>
      <w:bookmarkEnd w:id="6"/>
      <w:r w:rsidRPr="00FB563D">
        <w:rPr>
          <w:rFonts w:ascii="Times New Roman" w:hAnsi="Times New Roman"/>
          <w:sz w:val="24"/>
          <w:szCs w:val="24"/>
          <w:lang w:val="en-GB"/>
        </w:rPr>
        <w:t xml:space="preserve"> </w:t>
      </w:r>
      <w:r w:rsidRPr="00FB563D">
        <w:rPr>
          <w:rFonts w:ascii="Times New Roman" w:hAnsi="Times New Roman"/>
          <w:sz w:val="24"/>
          <w:szCs w:val="24"/>
          <w:lang w:val="en-GB"/>
        </w:rPr>
        <w:lastRenderedPageBreak/>
        <w:t xml:space="preserve">according to the manufacturer’s instructions. Liver lipids were extracted using the Folch method [19]. Briefly, liver samples were homogenised in a chloroform:methanol (2:1) mixture. After agitation, the samples were washed with 0.6% saline solution and centrifuged at low speeds. The lower organic phase was then extracted and dried. Plasma, liver extracts and glycerol standards (Sigma-Aldrich, MO, USA) were incubated with triacylglycerol reagent (Roche Diagnostics, Basel, Switzerland) using an in-house assay [18].  </w:t>
      </w:r>
    </w:p>
    <w:p w14:paraId="510119D8" w14:textId="77777777" w:rsidR="00FB563D" w:rsidRPr="00FB563D" w:rsidRDefault="00FB563D" w:rsidP="00FB563D">
      <w:pPr>
        <w:pStyle w:val="MDPI22heading2"/>
        <w:kinsoku/>
        <w:overflowPunct/>
        <w:autoSpaceDE/>
        <w:autoSpaceDN/>
        <w:spacing w:line="360" w:lineRule="auto"/>
        <w:rPr>
          <w:rFonts w:ascii="Times New Roman" w:hAnsi="Times New Roman"/>
          <w:noProof w:val="0"/>
          <w:sz w:val="24"/>
          <w:szCs w:val="24"/>
          <w:lang w:val="en-GB"/>
        </w:rPr>
      </w:pPr>
      <w:r w:rsidRPr="00FB563D">
        <w:rPr>
          <w:rFonts w:ascii="Times New Roman" w:hAnsi="Times New Roman"/>
          <w:noProof w:val="0"/>
          <w:sz w:val="24"/>
          <w:szCs w:val="24"/>
          <w:lang w:val="en-GB"/>
        </w:rPr>
        <w:t>2.3. Real Time-PCR</w:t>
      </w:r>
    </w:p>
    <w:p w14:paraId="32496643" w14:textId="77777777" w:rsidR="00FB563D" w:rsidRPr="00FB563D" w:rsidRDefault="00FB563D" w:rsidP="00FB563D">
      <w:pPr>
        <w:pStyle w:val="MDPI31text"/>
        <w:spacing w:line="360" w:lineRule="auto"/>
        <w:rPr>
          <w:rFonts w:ascii="Times New Roman" w:hAnsi="Times New Roman"/>
          <w:sz w:val="24"/>
          <w:szCs w:val="24"/>
          <w:lang w:val="en-GB"/>
        </w:rPr>
      </w:pPr>
      <w:r w:rsidRPr="00FB563D">
        <w:rPr>
          <w:rFonts w:ascii="Times New Roman" w:hAnsi="Times New Roman"/>
          <w:sz w:val="24"/>
          <w:szCs w:val="24"/>
          <w:lang w:val="en-GB"/>
        </w:rPr>
        <w:t>Total mRNA was extracted from frozen liver tissue with TriZol reagent (Life Technologies, CA, USA) and first strand cDNA was generated using M-MLV Reverse Transcriptase, RNase H, Point Mutant Kit (</w:t>
      </w:r>
      <w:bookmarkStart w:id="7" w:name="OLE_LINK7"/>
      <w:bookmarkStart w:id="8" w:name="OLE_LINK8"/>
      <w:r w:rsidRPr="00FB563D">
        <w:rPr>
          <w:rFonts w:ascii="Times New Roman" w:hAnsi="Times New Roman"/>
          <w:sz w:val="24"/>
          <w:szCs w:val="24"/>
          <w:lang w:val="en-GB"/>
        </w:rPr>
        <w:t>Promega, Madison, WI, USA</w:t>
      </w:r>
      <w:bookmarkEnd w:id="7"/>
      <w:bookmarkEnd w:id="8"/>
      <w:r w:rsidRPr="00FB563D">
        <w:rPr>
          <w:rFonts w:ascii="Times New Roman" w:hAnsi="Times New Roman"/>
          <w:sz w:val="24"/>
          <w:szCs w:val="24"/>
          <w:lang w:val="en-GB"/>
        </w:rPr>
        <w:t xml:space="preserve">). Target gene expression was quantified with manufacturer pre-optimised and validated TaqMan primers and probes (Table S1, </w:t>
      </w:r>
      <w:bookmarkStart w:id="9" w:name="OLE_LINK9"/>
      <w:r w:rsidRPr="00FB563D">
        <w:rPr>
          <w:rFonts w:ascii="Times New Roman" w:hAnsi="Times New Roman"/>
          <w:sz w:val="24"/>
          <w:szCs w:val="24"/>
          <w:lang w:val="en-GB"/>
        </w:rPr>
        <w:t>Thermo Fisher, San Jose, CA, USA</w:t>
      </w:r>
      <w:bookmarkEnd w:id="9"/>
      <w:r w:rsidRPr="00FB563D">
        <w:rPr>
          <w:rFonts w:ascii="Times New Roman" w:hAnsi="Times New Roman"/>
          <w:sz w:val="24"/>
          <w:szCs w:val="24"/>
          <w:lang w:val="en-GB"/>
        </w:rPr>
        <w:t>) and standardised to 18S RNA. The probes of the target genes were labelled with FAM and those for housekeeping 18S RNA were labelled with VIC. The Sham group was assigned the calibrator against which all other results were expressed as fold changes.</w:t>
      </w:r>
    </w:p>
    <w:p w14:paraId="44E4D64E" w14:textId="77777777" w:rsidR="00FB563D" w:rsidRPr="00FB563D" w:rsidRDefault="00FB563D" w:rsidP="00FB563D">
      <w:pPr>
        <w:pStyle w:val="MDPI22heading2"/>
        <w:kinsoku/>
        <w:overflowPunct/>
        <w:autoSpaceDE/>
        <w:autoSpaceDN/>
        <w:spacing w:line="360" w:lineRule="auto"/>
        <w:rPr>
          <w:rFonts w:ascii="Times New Roman" w:hAnsi="Times New Roman"/>
          <w:noProof w:val="0"/>
          <w:sz w:val="24"/>
          <w:szCs w:val="24"/>
          <w:lang w:val="en-GB"/>
        </w:rPr>
      </w:pPr>
      <w:r w:rsidRPr="00FB563D">
        <w:rPr>
          <w:rFonts w:ascii="Times New Roman" w:hAnsi="Times New Roman"/>
          <w:noProof w:val="0"/>
          <w:sz w:val="24"/>
          <w:szCs w:val="24"/>
          <w:lang w:val="en-GB"/>
        </w:rPr>
        <w:t>2.4. Western Blotting</w:t>
      </w:r>
    </w:p>
    <w:p w14:paraId="19FE507F" w14:textId="77777777" w:rsidR="00FB563D" w:rsidRPr="00FB563D" w:rsidRDefault="00FB563D" w:rsidP="00FB563D">
      <w:pPr>
        <w:pStyle w:val="MDPI31text"/>
        <w:widowControl w:val="0"/>
        <w:spacing w:line="360" w:lineRule="auto"/>
        <w:rPr>
          <w:rFonts w:ascii="Times New Roman" w:hAnsi="Times New Roman"/>
          <w:sz w:val="24"/>
          <w:szCs w:val="24"/>
          <w:lang w:val="en-GB"/>
        </w:rPr>
      </w:pPr>
      <w:r w:rsidRPr="00FB563D">
        <w:rPr>
          <w:rFonts w:ascii="Times New Roman" w:hAnsi="Times New Roman"/>
          <w:sz w:val="24"/>
          <w:szCs w:val="24"/>
          <w:lang w:val="en-GB"/>
        </w:rPr>
        <w:t>Protein samples were separated on NuPage Novex 4%–12% Bis–Tris gels (</w:t>
      </w:r>
      <w:bookmarkStart w:id="10" w:name="OLE_LINK12"/>
      <w:bookmarkStart w:id="11" w:name="OLE_LINK13"/>
      <w:r w:rsidRPr="00FB563D">
        <w:rPr>
          <w:rFonts w:ascii="Times New Roman" w:hAnsi="Times New Roman"/>
          <w:sz w:val="24"/>
          <w:szCs w:val="24"/>
          <w:lang w:val="en-GB"/>
        </w:rPr>
        <w:t>Life Technologies, Carlsbad, CA, USA</w:t>
      </w:r>
      <w:bookmarkEnd w:id="10"/>
      <w:bookmarkEnd w:id="11"/>
      <w:r w:rsidRPr="00FB563D">
        <w:rPr>
          <w:rFonts w:ascii="Times New Roman" w:hAnsi="Times New Roman"/>
          <w:sz w:val="24"/>
          <w:szCs w:val="24"/>
          <w:lang w:val="en-GB"/>
        </w:rPr>
        <w:t>) and transferred to PVDF membranes (</w:t>
      </w:r>
      <w:bookmarkStart w:id="12" w:name="OLE_LINK10"/>
      <w:bookmarkStart w:id="13" w:name="OLE_LINK11"/>
      <w:bookmarkStart w:id="14" w:name="OLE_LINK14"/>
      <w:r w:rsidRPr="00FB563D">
        <w:rPr>
          <w:rFonts w:ascii="Times New Roman" w:hAnsi="Times New Roman"/>
          <w:sz w:val="24"/>
          <w:szCs w:val="24"/>
          <w:lang w:val="en-GB"/>
        </w:rPr>
        <w:t>Pierce, Rockford, IL, USA</w:t>
      </w:r>
      <w:bookmarkEnd w:id="12"/>
      <w:bookmarkEnd w:id="13"/>
      <w:bookmarkEnd w:id="14"/>
      <w:r w:rsidRPr="00FB563D">
        <w:rPr>
          <w:rFonts w:ascii="Times New Roman" w:hAnsi="Times New Roman"/>
          <w:sz w:val="24"/>
          <w:szCs w:val="24"/>
          <w:lang w:val="en-GB"/>
        </w:rPr>
        <w:t xml:space="preserve">). After blocking with 5% skim milk, the membranes were incubated with primary antibodies (microtubule associated 1A/1B light chain protein 3 (LC3A/B, 1:2000, Cat# 4108 S, </w:t>
      </w:r>
      <w:bookmarkStart w:id="15" w:name="OLE_LINK15"/>
      <w:bookmarkStart w:id="16" w:name="OLE_LINK16"/>
      <w:r w:rsidRPr="00FB563D">
        <w:rPr>
          <w:rFonts w:ascii="Times New Roman" w:hAnsi="Times New Roman"/>
          <w:sz w:val="24"/>
          <w:szCs w:val="24"/>
          <w:lang w:val="en-GB"/>
        </w:rPr>
        <w:t>Cell Signalling Technology, Danvers, MA, USA</w:t>
      </w:r>
      <w:bookmarkEnd w:id="15"/>
      <w:bookmarkEnd w:id="16"/>
      <w:r w:rsidRPr="00FB563D">
        <w:rPr>
          <w:rFonts w:ascii="Times New Roman" w:hAnsi="Times New Roman"/>
          <w:sz w:val="24"/>
          <w:szCs w:val="24"/>
          <w:lang w:val="en-GB"/>
        </w:rPr>
        <w:t>), manganese superoxide dismutase (MnSOD, 1:2000, Cat# 06-984, Millipore, MA, USA), glutathione peroxidase 1 (GPx1, 1:250, Cat# AF3798, R&amp;D systems, Minneapolis, MN, USA), mitochondrial dynamin like GTPase (OPA-1, 1:2000, Cat# NB110-55290, Novus Biotechnology, Centennial, CO, USA), dynamin related protein 1 (DRP-1, Cat# NB110-55237, 1:2000, Novus Biotechnology, Centennial, CO, USA), fission 1 protein (Fis-1, 1:500, Cat# FL-152, Santa Cruz Biotechnology, Dallas, TX, USA), EGF-like module-containing mucin-like hormone receptor-like 1 (F4/80, 1:1000 Cat# sab5500103, Sigma-Aldrich, St. Louis MO, USA)) followed by the corresponding secondary antibody (Abcam, Cambridge, UK). Bands were detected with SuperSignal West Pico Chemiluminescent substrate (Thermo Fisher Scientific, CA, USA) and Fujifilm LAS-3000 (Fujifilm, Tokyo, Japan) and then quantified with ImageJ (National Institutes of Health, Bethesda, MD, USA). Results were expressed as a ratio against the housekeeping protein β-</w:t>
      </w:r>
      <w:r w:rsidRPr="00FB563D">
        <w:rPr>
          <w:rFonts w:ascii="Times New Roman" w:hAnsi="Times New Roman"/>
          <w:sz w:val="24"/>
          <w:szCs w:val="24"/>
          <w:lang w:val="en-GB"/>
        </w:rPr>
        <w:lastRenderedPageBreak/>
        <w:t>actin or cytochrome c oxidase subunit (COX) IV.</w:t>
      </w:r>
    </w:p>
    <w:p w14:paraId="4C62C9AA" w14:textId="77777777" w:rsidR="00FB563D" w:rsidRPr="00FB563D" w:rsidRDefault="00FB563D" w:rsidP="00FB563D">
      <w:pPr>
        <w:pStyle w:val="MDPI22heading2"/>
        <w:kinsoku/>
        <w:overflowPunct/>
        <w:autoSpaceDE/>
        <w:autoSpaceDN/>
        <w:spacing w:line="360" w:lineRule="auto"/>
        <w:rPr>
          <w:rFonts w:ascii="Times New Roman" w:hAnsi="Times New Roman"/>
          <w:noProof w:val="0"/>
          <w:sz w:val="24"/>
          <w:szCs w:val="24"/>
          <w:lang w:val="en-GB"/>
        </w:rPr>
      </w:pPr>
      <w:r w:rsidRPr="00FB563D">
        <w:rPr>
          <w:rFonts w:ascii="Times New Roman" w:hAnsi="Times New Roman"/>
          <w:noProof w:val="0"/>
          <w:sz w:val="24"/>
          <w:szCs w:val="24"/>
          <w:lang w:val="en-GB"/>
        </w:rPr>
        <w:t xml:space="preserve">2.5. Immunohistochemistry </w:t>
      </w:r>
    </w:p>
    <w:p w14:paraId="04DF5B13" w14:textId="77777777" w:rsidR="00FB563D" w:rsidRPr="00FB563D" w:rsidRDefault="00FB563D" w:rsidP="00FB563D">
      <w:pPr>
        <w:pStyle w:val="MDPI31text"/>
        <w:spacing w:line="360" w:lineRule="auto"/>
        <w:rPr>
          <w:rFonts w:ascii="Times New Roman" w:hAnsi="Times New Roman"/>
          <w:sz w:val="24"/>
          <w:szCs w:val="24"/>
          <w:lang w:val="en-GB"/>
        </w:rPr>
      </w:pPr>
      <w:r w:rsidRPr="00FB563D">
        <w:rPr>
          <w:rFonts w:ascii="Times New Roman" w:hAnsi="Times New Roman"/>
          <w:sz w:val="24"/>
          <w:szCs w:val="24"/>
          <w:lang w:val="en-GB"/>
        </w:rPr>
        <w:t xml:space="preserve">Formalin fixed, paraffin embedded livers were sectioned at 5 µm. Sections were deparaffinised and rehydrated in xylene and decreasing grades of ethanol. Antigen retrieval was performed [7] before the sections were incubated with anti-rabbit collagen III (1:50, Cat# NB600-594, Novus Biotechnology, Centennial, CO, USA) or </w:t>
      </w:r>
      <w:r w:rsidRPr="00FB563D">
        <w:rPr>
          <w:rFonts w:ascii="Times New Roman" w:hAnsi="Times New Roman"/>
          <w:sz w:val="24"/>
          <w:szCs w:val="24"/>
        </w:rPr>
        <w:t>cluster of differentiation 68 (</w:t>
      </w:r>
      <w:r w:rsidRPr="00FB563D">
        <w:rPr>
          <w:rFonts w:ascii="Times New Roman" w:hAnsi="Times New Roman"/>
          <w:sz w:val="24"/>
          <w:szCs w:val="24"/>
          <w:lang w:val="en-GB"/>
        </w:rPr>
        <w:t xml:space="preserve">CD68) (1:600, Cat# OABB00472, Aviva Systems Biology, San Diego, CA, USA) primary antibody and horseradish peroxidase anti-rabbit Envision system (Dako Cytochemistry, Tokyo, Japan). Sections were counterstained with haematoxylin and quantified with ImageJ (National Institutes of Health, Bethesda, MD, USA).  </w:t>
      </w:r>
    </w:p>
    <w:p w14:paraId="07B592FD" w14:textId="77777777" w:rsidR="00FB563D" w:rsidRPr="00FB563D" w:rsidRDefault="00FB563D" w:rsidP="00FB563D">
      <w:pPr>
        <w:pStyle w:val="MDPI22heading2"/>
        <w:kinsoku/>
        <w:overflowPunct/>
        <w:autoSpaceDE/>
        <w:autoSpaceDN/>
        <w:spacing w:line="360" w:lineRule="auto"/>
        <w:rPr>
          <w:rFonts w:ascii="Times New Roman" w:hAnsi="Times New Roman"/>
          <w:noProof w:val="0"/>
          <w:sz w:val="24"/>
          <w:szCs w:val="24"/>
          <w:lang w:val="en-GB"/>
        </w:rPr>
      </w:pPr>
      <w:r w:rsidRPr="00FB563D">
        <w:rPr>
          <w:rFonts w:ascii="Times New Roman" w:hAnsi="Times New Roman"/>
          <w:noProof w:val="0"/>
          <w:sz w:val="24"/>
          <w:szCs w:val="24"/>
          <w:lang w:val="en-GB"/>
        </w:rPr>
        <w:t>2.6. Second Harmonic Generation</w:t>
      </w:r>
    </w:p>
    <w:p w14:paraId="5BD4B865" w14:textId="77777777" w:rsidR="00FB563D" w:rsidRPr="00FB563D" w:rsidRDefault="00FB563D" w:rsidP="00FB563D">
      <w:pPr>
        <w:pStyle w:val="MDPI31text"/>
        <w:spacing w:line="360" w:lineRule="auto"/>
        <w:rPr>
          <w:rFonts w:ascii="Times New Roman" w:hAnsi="Times New Roman"/>
          <w:sz w:val="24"/>
          <w:szCs w:val="24"/>
          <w:lang w:val="en-GB"/>
        </w:rPr>
      </w:pPr>
      <w:r w:rsidRPr="00FB563D">
        <w:rPr>
          <w:rFonts w:ascii="Times New Roman" w:hAnsi="Times New Roman"/>
          <w:sz w:val="24"/>
          <w:szCs w:val="24"/>
          <w:lang w:val="en-GB"/>
        </w:rPr>
        <w:t>Images were acquired on a Leica SP8 multi-photon microscope equipped with a Mai Tai DeepSee laser tuned to 930 nm. Second harmonic generation signal was collected between 455–475 nm using a HyD detector in photon counting mode and the autofluorescence was collected from 480–600 nm. Channel separation and stitching were performed within the Leica Application Suite X software (Leica Microsystems, Wetzlar, Germany) controlling the microscope, before being deconvolved with Huygens Professional version 18.04 (Scientific Volume Imaging, Hilversum, The Netherlands). The data was 3D median filtered to remove noise, the background subtracted, and the amount of collagen quantified using ImageJ (National Institutes of Health, Bethesda, MD, USA). A Fast Fourier Transform (FFT) filter was applied to the autofluorescence channel to remove stitching artifacts. Image projections are summed slices of the 3D z stack, and to enable visualisation of the total amount of collagen, spanning the entire dynamic range in a single image, a gamma correction of 0.2 was applied.</w:t>
      </w:r>
    </w:p>
    <w:p w14:paraId="0AB2D549" w14:textId="77777777" w:rsidR="00FB563D" w:rsidRPr="00FB563D" w:rsidRDefault="00FB563D" w:rsidP="00FB563D">
      <w:pPr>
        <w:pStyle w:val="MDPI22heading2"/>
        <w:kinsoku/>
        <w:overflowPunct/>
        <w:autoSpaceDE/>
        <w:autoSpaceDN/>
        <w:spacing w:line="360" w:lineRule="auto"/>
        <w:rPr>
          <w:rFonts w:ascii="Times New Roman" w:hAnsi="Times New Roman"/>
          <w:noProof w:val="0"/>
          <w:sz w:val="24"/>
          <w:szCs w:val="24"/>
          <w:lang w:val="en-GB"/>
        </w:rPr>
      </w:pPr>
      <w:r w:rsidRPr="00FB563D">
        <w:rPr>
          <w:rFonts w:ascii="Times New Roman" w:hAnsi="Times New Roman"/>
          <w:noProof w:val="0"/>
          <w:sz w:val="24"/>
          <w:szCs w:val="24"/>
          <w:lang w:val="en-GB"/>
        </w:rPr>
        <w:t>2.7. Mitochondrial Density and ROS</w:t>
      </w:r>
    </w:p>
    <w:p w14:paraId="09ACF5CA" w14:textId="77777777" w:rsidR="00FB563D" w:rsidRPr="00FB563D" w:rsidRDefault="00FB563D" w:rsidP="00FB563D">
      <w:pPr>
        <w:pStyle w:val="MDPI31text"/>
        <w:spacing w:line="360" w:lineRule="auto"/>
        <w:rPr>
          <w:rFonts w:ascii="Times New Roman" w:hAnsi="Times New Roman"/>
          <w:sz w:val="24"/>
          <w:szCs w:val="24"/>
          <w:lang w:val="en-GB"/>
        </w:rPr>
      </w:pPr>
      <w:r w:rsidRPr="00FB563D">
        <w:rPr>
          <w:rFonts w:ascii="Times New Roman" w:hAnsi="Times New Roman"/>
          <w:sz w:val="24"/>
          <w:szCs w:val="24"/>
          <w:lang w:val="en-GB"/>
        </w:rPr>
        <w:t xml:space="preserve">Frozen livers were sectioned to quantify mitochondrial density and ROS levels. Liver mitochondria were visualised using MitoTracker Green (Thermo Fisher Scientific, Waltham, Ma, USA) and images were acquired at 488 nm excitation wavelength and detected in the 510–550 nm emission range as previously reported [14]. For total reactive oxygen species (ROS), CellROX Deep Red (Thermo Fisher Scientific, Waltham, Ma, USA) was used and images were acquired at 633 nm excitation wavelength and detected in the 640–680 nm emission range. All imaging parameters including laser intensities, photomultiplier tubes voltage and pinholes were </w:t>
      </w:r>
      <w:r w:rsidRPr="00FB563D">
        <w:rPr>
          <w:rFonts w:ascii="Times New Roman" w:hAnsi="Times New Roman"/>
          <w:sz w:val="24"/>
          <w:szCs w:val="24"/>
          <w:lang w:val="en-GB"/>
        </w:rPr>
        <w:lastRenderedPageBreak/>
        <w:t>kept constant during imaging. The MitoTracker and CellRox images were overlayed to provide information on mitochondrial specific ROS. Data were generated using ImageJ (National Institutes of Health, Bethesda, MD, USA).</w:t>
      </w:r>
    </w:p>
    <w:p w14:paraId="4B5DF690" w14:textId="77777777" w:rsidR="00FB563D" w:rsidRPr="00FB563D" w:rsidRDefault="00FB563D" w:rsidP="00FB563D">
      <w:pPr>
        <w:pStyle w:val="MDPI22heading2"/>
        <w:kinsoku/>
        <w:overflowPunct/>
        <w:autoSpaceDE/>
        <w:autoSpaceDN/>
        <w:spacing w:line="360" w:lineRule="auto"/>
        <w:rPr>
          <w:rFonts w:ascii="Times New Roman" w:hAnsi="Times New Roman"/>
          <w:noProof w:val="0"/>
          <w:sz w:val="24"/>
          <w:szCs w:val="24"/>
          <w:lang w:val="en-GB"/>
        </w:rPr>
      </w:pPr>
      <w:r w:rsidRPr="00FB563D">
        <w:rPr>
          <w:rFonts w:ascii="Times New Roman" w:hAnsi="Times New Roman"/>
          <w:noProof w:val="0"/>
          <w:sz w:val="24"/>
          <w:szCs w:val="24"/>
          <w:lang w:val="en-GB"/>
        </w:rPr>
        <w:t>2.8. Lipidomics</w:t>
      </w:r>
    </w:p>
    <w:p w14:paraId="6EC8C448" w14:textId="77777777" w:rsidR="00FB563D" w:rsidRPr="00FB563D" w:rsidRDefault="00FB563D" w:rsidP="00FB563D">
      <w:pPr>
        <w:pStyle w:val="MDPI31text"/>
        <w:spacing w:line="360" w:lineRule="auto"/>
        <w:rPr>
          <w:rFonts w:ascii="Times New Roman" w:hAnsi="Times New Roman"/>
          <w:sz w:val="24"/>
          <w:szCs w:val="24"/>
          <w:lang w:val="en-GB"/>
        </w:rPr>
      </w:pPr>
      <w:r w:rsidRPr="00FB563D">
        <w:rPr>
          <w:rFonts w:ascii="Times New Roman" w:hAnsi="Times New Roman"/>
          <w:sz w:val="24"/>
          <w:szCs w:val="24"/>
          <w:lang w:val="en-GB"/>
        </w:rPr>
        <w:t>Lipids were extracted from frozen liver tissue using methyl-tert-butyl ether [20]. Cryohomogenised liver tissues were incubated with methanol and then methyl-tert-butyl ether, before centrifugation to induce phase separation. The top organic phase was dried and then resuspended in methanol:isopropanol (2:1) mixture.</w:t>
      </w:r>
    </w:p>
    <w:p w14:paraId="271EF36C" w14:textId="77777777" w:rsidR="00FB563D" w:rsidRPr="00FB563D" w:rsidRDefault="00FB563D" w:rsidP="00FB563D">
      <w:pPr>
        <w:pStyle w:val="MDPI31text"/>
        <w:spacing w:line="360" w:lineRule="auto"/>
        <w:rPr>
          <w:rFonts w:ascii="Times New Roman" w:hAnsi="Times New Roman"/>
          <w:sz w:val="24"/>
          <w:szCs w:val="24"/>
          <w:lang w:val="en-GB"/>
        </w:rPr>
      </w:pPr>
      <w:r w:rsidRPr="00FB563D">
        <w:rPr>
          <w:rFonts w:ascii="Times New Roman" w:hAnsi="Times New Roman"/>
          <w:sz w:val="24"/>
          <w:szCs w:val="24"/>
          <w:lang w:val="en-GB"/>
        </w:rPr>
        <w:t>Using a Vanquish Ultra Performance Liquid Chromatography (UPLC) system (Thermo Fisher Scientific, Waltham, Ma, USA), 2 µL of the sample was loaded at 400 mL/min onto an Accucore™ C30 (2.1 × 150 mm, 2.6 μm) column with a 70:30 A:B solvent mix (A: 60% Acetonitrile/40% H</w:t>
      </w:r>
      <w:r w:rsidRPr="00FB563D">
        <w:rPr>
          <w:rFonts w:ascii="Times New Roman" w:hAnsi="Times New Roman"/>
          <w:sz w:val="24"/>
          <w:szCs w:val="24"/>
          <w:vertAlign w:val="subscript"/>
          <w:lang w:val="en-GB"/>
        </w:rPr>
        <w:t>2</w:t>
      </w:r>
      <w:r w:rsidRPr="00FB563D">
        <w:rPr>
          <w:rFonts w:ascii="Times New Roman" w:hAnsi="Times New Roman"/>
          <w:sz w:val="24"/>
          <w:szCs w:val="24"/>
          <w:lang w:val="en-GB"/>
        </w:rPr>
        <w:t xml:space="preserve">O containing 10 mM ammonium formate and 0.1% formic acid (FA). B: 90% isopropyl alcohal IPA/10% </w:t>
      </w:r>
      <w:r w:rsidRPr="00FB563D">
        <w:rPr>
          <w:rStyle w:val="st"/>
          <w:rFonts w:ascii="Times New Roman" w:hAnsi="Times New Roman"/>
          <w:sz w:val="24"/>
          <w:szCs w:val="24"/>
        </w:rPr>
        <w:t>Acetonitrile</w:t>
      </w:r>
      <w:r w:rsidRPr="00FB563D">
        <w:rPr>
          <w:rFonts w:ascii="Times New Roman" w:hAnsi="Times New Roman"/>
          <w:sz w:val="24"/>
          <w:szCs w:val="24"/>
          <w:lang w:val="en-GB"/>
        </w:rPr>
        <w:t xml:space="preserve"> (ACN) containing 10 mM ammonium formate and 0.1% FA). Retained lipids were eluted from the column and into the Q Exactive Plus mass spectrometer (Thermo Fisher Scientific, Waltham, Ma, USA) using the following program: 30–43% B over 2 min, 43–55% B over 0.1 min, 55–65% B for 9.9 min, 65–85% for 6 min, 85–100% B over 2 min, held at 100% B for 5 min, 30%–100% B over 0.1 min and re-equilibration for 5 min. The eluting peptides were ionised. A data dependent MS/MS and selected ion monitoring (dd-MS2 – dd-SIM) experiment was performed, with a survey scan of 250–1200 Da performed at 140,000 resolution with an AGC target of 1 × 10</w:t>
      </w:r>
      <w:r w:rsidRPr="00FB563D">
        <w:rPr>
          <w:rFonts w:ascii="Times New Roman" w:hAnsi="Times New Roman"/>
          <w:sz w:val="24"/>
          <w:szCs w:val="24"/>
          <w:vertAlign w:val="superscript"/>
          <w:lang w:val="en-GB"/>
        </w:rPr>
        <w:t>6</w:t>
      </w:r>
      <w:r w:rsidRPr="00FB563D">
        <w:rPr>
          <w:rFonts w:ascii="Times New Roman" w:hAnsi="Times New Roman"/>
          <w:sz w:val="24"/>
          <w:szCs w:val="24"/>
          <w:lang w:val="en-GB"/>
        </w:rPr>
        <w:t xml:space="preserve"> and maximum injection time of 100 ms. Ions listed on the inclusion list were selected for fragmentation in the higher-energy collisional dissociation cell using an isolation window of 1.0 m/z, an AGC target of 1 × 10</w:t>
      </w:r>
      <w:r w:rsidRPr="00FB563D">
        <w:rPr>
          <w:rFonts w:ascii="Times New Roman" w:hAnsi="Times New Roman"/>
          <w:sz w:val="24"/>
          <w:szCs w:val="24"/>
          <w:vertAlign w:val="superscript"/>
          <w:lang w:val="en-GB"/>
        </w:rPr>
        <w:t>5</w:t>
      </w:r>
      <w:r w:rsidRPr="00FB563D">
        <w:rPr>
          <w:rFonts w:ascii="Times New Roman" w:hAnsi="Times New Roman"/>
          <w:sz w:val="24"/>
          <w:szCs w:val="24"/>
          <w:lang w:val="en-GB"/>
        </w:rPr>
        <w:t xml:space="preserve"> and maximum injection time of 100 ms. Fragments were scanned in the Orbitrap analyser at 17,500 resolution and the production fragment masses measured over a mass range of 200–2000 Da. The mass of the precursor peptide was then excluded. The data files were searched using the Lipidex software package [21] in conjunction with Compound Discoverer (Thermo Fisher Scientific, Waltham, Ma, USA).</w:t>
      </w:r>
    </w:p>
    <w:p w14:paraId="696D340C" w14:textId="77777777" w:rsidR="00FB563D" w:rsidRPr="00FB563D" w:rsidRDefault="00FB563D" w:rsidP="00FB563D">
      <w:pPr>
        <w:pStyle w:val="MDPI22heading2"/>
        <w:kinsoku/>
        <w:overflowPunct/>
        <w:autoSpaceDE/>
        <w:autoSpaceDN/>
        <w:spacing w:line="360" w:lineRule="auto"/>
        <w:rPr>
          <w:rFonts w:ascii="Times New Roman" w:hAnsi="Times New Roman"/>
          <w:noProof w:val="0"/>
          <w:sz w:val="24"/>
          <w:szCs w:val="24"/>
          <w:lang w:val="en-GB"/>
        </w:rPr>
      </w:pPr>
      <w:r w:rsidRPr="00FB563D">
        <w:rPr>
          <w:rFonts w:ascii="Times New Roman" w:hAnsi="Times New Roman"/>
          <w:noProof w:val="0"/>
          <w:sz w:val="24"/>
          <w:szCs w:val="24"/>
          <w:lang w:val="en-GB"/>
        </w:rPr>
        <w:t xml:space="preserve">2.9. Statistical Analysis </w:t>
      </w:r>
    </w:p>
    <w:p w14:paraId="1D72AAF2" w14:textId="77777777" w:rsidR="00FB563D" w:rsidRPr="00FB563D" w:rsidRDefault="00FB563D" w:rsidP="00FB563D">
      <w:pPr>
        <w:pStyle w:val="MDPI31text"/>
        <w:spacing w:line="360" w:lineRule="auto"/>
        <w:rPr>
          <w:rFonts w:ascii="Times New Roman" w:hAnsi="Times New Roman"/>
          <w:sz w:val="24"/>
          <w:szCs w:val="24"/>
          <w:lang w:val="en-GB"/>
        </w:rPr>
      </w:pPr>
      <w:r w:rsidRPr="00FB563D">
        <w:rPr>
          <w:rFonts w:ascii="Times New Roman" w:hAnsi="Times New Roman"/>
          <w:sz w:val="24"/>
          <w:szCs w:val="24"/>
          <w:lang w:val="en-GB"/>
        </w:rPr>
        <w:t xml:space="preserve">Results are expressed as mean ± SEM and were analysed using one-way ANOVA with Fisher’s least significant post hoc test if the data were normally distributed. If the data were not normally distributed, they were log transformed to achieve normality of distribution before </w:t>
      </w:r>
      <w:r w:rsidRPr="00FB563D">
        <w:rPr>
          <w:rFonts w:ascii="Times New Roman" w:hAnsi="Times New Roman"/>
          <w:sz w:val="24"/>
          <w:szCs w:val="24"/>
          <w:lang w:val="en-GB"/>
        </w:rPr>
        <w:lastRenderedPageBreak/>
        <w:t>analysis (</w:t>
      </w:r>
      <w:bookmarkStart w:id="17" w:name="OLE_LINK20"/>
      <w:r w:rsidRPr="00FB563D">
        <w:rPr>
          <w:rFonts w:ascii="Times New Roman" w:hAnsi="Times New Roman"/>
          <w:sz w:val="24"/>
          <w:szCs w:val="24"/>
          <w:lang w:val="en-GB"/>
        </w:rPr>
        <w:t xml:space="preserve">GraphPad Prism </w:t>
      </w:r>
      <w:bookmarkEnd w:id="17"/>
      <w:r w:rsidRPr="00FB563D">
        <w:rPr>
          <w:rFonts w:ascii="Times New Roman" w:hAnsi="Times New Roman"/>
          <w:sz w:val="24"/>
          <w:szCs w:val="24"/>
          <w:lang w:val="en-GB"/>
        </w:rPr>
        <w:t xml:space="preserve">7.03, San Diego, CA, USA). </w:t>
      </w:r>
      <w:r w:rsidRPr="00FB563D">
        <w:rPr>
          <w:rFonts w:ascii="Times New Roman" w:hAnsi="Times New Roman"/>
          <w:i/>
          <w:sz w:val="24"/>
          <w:szCs w:val="24"/>
          <w:lang w:val="en-GB"/>
        </w:rPr>
        <w:t>p</w:t>
      </w:r>
      <w:r w:rsidRPr="00FB563D">
        <w:rPr>
          <w:rFonts w:ascii="Times New Roman" w:hAnsi="Times New Roman"/>
          <w:sz w:val="24"/>
          <w:szCs w:val="24"/>
          <w:lang w:val="en-GB"/>
        </w:rPr>
        <w:t xml:space="preserve"> &lt; 0.05 was considered the threshold for statistical significance.</w:t>
      </w:r>
    </w:p>
    <w:p w14:paraId="5314BFAF" w14:textId="77777777" w:rsidR="00FB563D" w:rsidRPr="00FB563D" w:rsidRDefault="00FB563D" w:rsidP="00FB563D">
      <w:pPr>
        <w:pStyle w:val="MDPI21heading1"/>
        <w:spacing w:line="360" w:lineRule="auto"/>
        <w:rPr>
          <w:rFonts w:ascii="Times New Roman" w:hAnsi="Times New Roman"/>
          <w:sz w:val="24"/>
          <w:szCs w:val="24"/>
          <w:lang w:val="en-GB"/>
        </w:rPr>
      </w:pPr>
      <w:r w:rsidRPr="00FB563D">
        <w:rPr>
          <w:rFonts w:ascii="Times New Roman" w:hAnsi="Times New Roman"/>
          <w:sz w:val="24"/>
          <w:szCs w:val="24"/>
          <w:lang w:val="en-GB"/>
        </w:rPr>
        <w:t>3. Results</w:t>
      </w:r>
    </w:p>
    <w:p w14:paraId="5E0A7823" w14:textId="77777777" w:rsidR="00FB563D" w:rsidRPr="00FB563D" w:rsidRDefault="00FB563D" w:rsidP="00FB563D">
      <w:pPr>
        <w:pStyle w:val="MDPI22heading2"/>
        <w:kinsoku/>
        <w:overflowPunct/>
        <w:autoSpaceDE/>
        <w:autoSpaceDN/>
        <w:spacing w:line="360" w:lineRule="auto"/>
        <w:rPr>
          <w:rFonts w:ascii="Times New Roman" w:hAnsi="Times New Roman"/>
          <w:noProof w:val="0"/>
          <w:sz w:val="24"/>
          <w:szCs w:val="24"/>
          <w:lang w:val="en-GB"/>
        </w:rPr>
      </w:pPr>
      <w:r w:rsidRPr="00FB563D">
        <w:rPr>
          <w:rFonts w:ascii="Times New Roman" w:hAnsi="Times New Roman"/>
          <w:noProof w:val="0"/>
          <w:sz w:val="24"/>
          <w:szCs w:val="24"/>
          <w:lang w:val="en-GB"/>
        </w:rPr>
        <w:t>3.1. Body and Liver Weights</w:t>
      </w:r>
    </w:p>
    <w:p w14:paraId="52AFAF34" w14:textId="77777777" w:rsidR="00FB563D" w:rsidRPr="00FB563D" w:rsidRDefault="00FB563D" w:rsidP="00FB563D">
      <w:pPr>
        <w:pStyle w:val="MDPI31text"/>
        <w:spacing w:line="360" w:lineRule="auto"/>
        <w:rPr>
          <w:rFonts w:ascii="Times New Roman" w:hAnsi="Times New Roman"/>
          <w:sz w:val="24"/>
          <w:szCs w:val="24"/>
          <w:lang w:val="en-GB"/>
        </w:rPr>
      </w:pPr>
      <w:r w:rsidRPr="00FB563D">
        <w:rPr>
          <w:rFonts w:ascii="Times New Roman" w:hAnsi="Times New Roman"/>
          <w:sz w:val="24"/>
          <w:szCs w:val="24"/>
          <w:lang w:val="en-GB"/>
        </w:rPr>
        <w:t>Birth weight and body weight can be used as an indication of intrauterine and postnatal development in mice. Male offspring from SE mothers had lower birth weight compared to male offspring from Sham mothers, which was normalised when MitoQ was administered to the SE mothers (</w:t>
      </w:r>
      <w:r w:rsidRPr="00FB563D">
        <w:rPr>
          <w:rFonts w:ascii="Times New Roman" w:hAnsi="Times New Roman"/>
          <w:i/>
          <w:sz w:val="24"/>
          <w:szCs w:val="24"/>
          <w:lang w:val="en-GB"/>
        </w:rPr>
        <w:t>p</w:t>
      </w:r>
      <w:r w:rsidRPr="00FB563D">
        <w:rPr>
          <w:rFonts w:ascii="Times New Roman" w:hAnsi="Times New Roman"/>
          <w:sz w:val="24"/>
          <w:szCs w:val="24"/>
          <w:lang w:val="en-GB"/>
        </w:rPr>
        <w:t xml:space="preserve"> &lt; 0.01, SE+MQ vs. SE, Table 1). At 13 weeks, SE offspring remained smaller compared to the Sham offspring (</w:t>
      </w:r>
      <w:r w:rsidRPr="00FB563D">
        <w:rPr>
          <w:rFonts w:ascii="Times New Roman" w:hAnsi="Times New Roman"/>
          <w:i/>
          <w:sz w:val="24"/>
          <w:szCs w:val="24"/>
          <w:lang w:val="en-GB"/>
        </w:rPr>
        <w:t>p</w:t>
      </w:r>
      <w:r w:rsidRPr="00FB563D">
        <w:rPr>
          <w:rFonts w:ascii="Times New Roman" w:hAnsi="Times New Roman"/>
          <w:sz w:val="24"/>
          <w:szCs w:val="24"/>
          <w:lang w:val="en-GB"/>
        </w:rPr>
        <w:t xml:space="preserve"> &lt; 0.05), which was reversed in the SE+MQ group (</w:t>
      </w:r>
      <w:r w:rsidRPr="00FB563D">
        <w:rPr>
          <w:rFonts w:ascii="Times New Roman" w:hAnsi="Times New Roman"/>
          <w:i/>
          <w:sz w:val="24"/>
          <w:szCs w:val="24"/>
          <w:lang w:val="en-GB"/>
        </w:rPr>
        <w:t>p</w:t>
      </w:r>
      <w:r w:rsidRPr="00FB563D">
        <w:rPr>
          <w:rFonts w:ascii="Times New Roman" w:hAnsi="Times New Roman"/>
          <w:sz w:val="24"/>
          <w:szCs w:val="24"/>
          <w:lang w:val="en-GB"/>
        </w:rPr>
        <w:t xml:space="preserve"> &lt; 0.01, Table 1). SE offspring also had reduced liver weights when compared to the Sham offspring (</w:t>
      </w:r>
      <w:r w:rsidRPr="00FB563D">
        <w:rPr>
          <w:rFonts w:ascii="Times New Roman" w:hAnsi="Times New Roman"/>
          <w:i/>
          <w:sz w:val="24"/>
          <w:szCs w:val="24"/>
          <w:lang w:val="en-GB"/>
        </w:rPr>
        <w:t>p</w:t>
      </w:r>
      <w:r w:rsidRPr="00FB563D">
        <w:rPr>
          <w:rFonts w:ascii="Times New Roman" w:hAnsi="Times New Roman"/>
          <w:sz w:val="24"/>
          <w:szCs w:val="24"/>
          <w:lang w:val="en-GB"/>
        </w:rPr>
        <w:t xml:space="preserve"> &lt; 0.05) at 13 weeks; again, this was reversed by maternal MitoQ supplementation (</w:t>
      </w:r>
      <w:r w:rsidRPr="00FB563D">
        <w:rPr>
          <w:rFonts w:ascii="Times New Roman" w:hAnsi="Times New Roman"/>
          <w:i/>
          <w:sz w:val="24"/>
          <w:szCs w:val="24"/>
          <w:lang w:val="en-GB"/>
        </w:rPr>
        <w:t>p</w:t>
      </w:r>
      <w:r w:rsidRPr="00FB563D">
        <w:rPr>
          <w:rFonts w:ascii="Times New Roman" w:hAnsi="Times New Roman"/>
          <w:sz w:val="24"/>
          <w:szCs w:val="24"/>
          <w:lang w:val="en-GB"/>
        </w:rPr>
        <w:t xml:space="preserve"> &lt; 0.01, SE+MQ vs. SE, Table 1). However, when liver weights were expressed as a percentage of body weight, there were no differences among the three groups. Maternal SE resulted in intrauterine growth restriction in male offspring, which was reversed by MitoQ supplementation during pregnancy.  </w:t>
      </w:r>
    </w:p>
    <w:p w14:paraId="38E14B96" w14:textId="77777777" w:rsidR="00FB563D" w:rsidRPr="00FB563D" w:rsidRDefault="00FB563D" w:rsidP="00FB563D">
      <w:pPr>
        <w:pStyle w:val="MDPI41tablecaption"/>
        <w:spacing w:line="360" w:lineRule="auto"/>
        <w:jc w:val="center"/>
        <w:rPr>
          <w:rFonts w:ascii="Times New Roman" w:hAnsi="Times New Roman" w:cs="Times New Roman"/>
          <w:snapToGrid w:val="0"/>
          <w:sz w:val="24"/>
          <w:szCs w:val="24"/>
          <w:lang w:val="en-GB"/>
        </w:rPr>
      </w:pPr>
      <w:r w:rsidRPr="00FB563D">
        <w:rPr>
          <w:rFonts w:ascii="Times New Roman" w:hAnsi="Times New Roman" w:cs="Times New Roman"/>
          <w:b/>
          <w:snapToGrid w:val="0"/>
          <w:sz w:val="24"/>
          <w:szCs w:val="24"/>
          <w:lang w:val="en-GB"/>
        </w:rPr>
        <w:t>Table 1.</w:t>
      </w:r>
      <w:r w:rsidRPr="00FB563D">
        <w:rPr>
          <w:rFonts w:ascii="Times New Roman" w:hAnsi="Times New Roman" w:cs="Times New Roman"/>
          <w:snapToGrid w:val="0"/>
          <w:sz w:val="24"/>
          <w:szCs w:val="24"/>
          <w:lang w:val="en-GB"/>
        </w:rPr>
        <w:t xml:space="preserve"> Birth weight and parameters in 13 weeks old male offspring.</w:t>
      </w:r>
    </w:p>
    <w:tbl>
      <w:tblPr>
        <w:tblStyle w:val="TableGrid"/>
        <w:tblW w:w="5175" w:type="pct"/>
        <w:jc w:val="center"/>
        <w:tblBorders>
          <w:top w:val="single" w:sz="8" w:space="0" w:color="auto"/>
          <w:left w:val="none" w:sz="0" w:space="0" w:color="auto"/>
          <w:bottom w:val="single" w:sz="8" w:space="0" w:color="auto"/>
          <w:right w:val="none" w:sz="0" w:space="0" w:color="auto"/>
          <w:insideH w:val="none" w:sz="0" w:space="0" w:color="auto"/>
          <w:insideV w:val="none" w:sz="0" w:space="0" w:color="auto"/>
        </w:tblBorders>
        <w:tblLook w:val="04A0" w:firstRow="1" w:lastRow="0" w:firstColumn="1" w:lastColumn="0" w:noHBand="0" w:noVBand="1"/>
      </w:tblPr>
      <w:tblGrid>
        <w:gridCol w:w="3470"/>
        <w:gridCol w:w="1773"/>
        <w:gridCol w:w="2142"/>
        <w:gridCol w:w="1957"/>
      </w:tblGrid>
      <w:tr w:rsidR="00FB563D" w:rsidRPr="00FB563D" w14:paraId="365275E4" w14:textId="77777777" w:rsidTr="00A7694C">
        <w:trPr>
          <w:jc w:val="center"/>
        </w:trPr>
        <w:tc>
          <w:tcPr>
            <w:tcW w:w="0" w:type="auto"/>
            <w:tcBorders>
              <w:top w:val="single" w:sz="8" w:space="0" w:color="auto"/>
              <w:bottom w:val="single" w:sz="4" w:space="0" w:color="auto"/>
            </w:tcBorders>
            <w:shd w:val="clear" w:color="auto" w:fill="auto"/>
            <w:vAlign w:val="center"/>
          </w:tcPr>
          <w:p w14:paraId="361D9056" w14:textId="77777777" w:rsidR="00FB563D" w:rsidRPr="00FB563D" w:rsidRDefault="00FB563D" w:rsidP="00FB563D">
            <w:pPr>
              <w:pStyle w:val="MDPI42tablebody"/>
              <w:autoSpaceDE w:val="0"/>
              <w:autoSpaceDN w:val="0"/>
              <w:spacing w:line="360" w:lineRule="auto"/>
              <w:rPr>
                <w:rFonts w:ascii="Times New Roman" w:hAnsi="Times New Roman"/>
                <w:sz w:val="24"/>
                <w:szCs w:val="24"/>
                <w:lang w:val="en-GB"/>
              </w:rPr>
            </w:pPr>
          </w:p>
        </w:tc>
        <w:tc>
          <w:tcPr>
            <w:tcW w:w="0" w:type="auto"/>
            <w:tcBorders>
              <w:top w:val="single" w:sz="8" w:space="0" w:color="auto"/>
              <w:bottom w:val="single" w:sz="4" w:space="0" w:color="auto"/>
            </w:tcBorders>
            <w:shd w:val="clear" w:color="auto" w:fill="auto"/>
            <w:vAlign w:val="center"/>
          </w:tcPr>
          <w:p w14:paraId="2736FABA" w14:textId="77777777" w:rsidR="00FB563D" w:rsidRPr="00FB563D" w:rsidRDefault="00FB563D" w:rsidP="00FB563D">
            <w:pPr>
              <w:pStyle w:val="MDPI42tablebody"/>
              <w:autoSpaceDE w:val="0"/>
              <w:autoSpaceDN w:val="0"/>
              <w:spacing w:line="360" w:lineRule="auto"/>
              <w:rPr>
                <w:rFonts w:ascii="Times New Roman" w:hAnsi="Times New Roman"/>
                <w:b/>
                <w:sz w:val="24"/>
                <w:szCs w:val="24"/>
                <w:lang w:val="en-GB"/>
              </w:rPr>
            </w:pPr>
            <w:r w:rsidRPr="00FB563D">
              <w:rPr>
                <w:rFonts w:ascii="Times New Roman" w:hAnsi="Times New Roman"/>
                <w:b/>
                <w:sz w:val="24"/>
                <w:szCs w:val="24"/>
                <w:lang w:val="en-GB"/>
              </w:rPr>
              <w:t>Sham</w:t>
            </w:r>
          </w:p>
          <w:p w14:paraId="033D6FFD" w14:textId="77777777" w:rsidR="00FB563D" w:rsidRPr="00FB563D" w:rsidRDefault="00FB563D" w:rsidP="00FB563D">
            <w:pPr>
              <w:pStyle w:val="MDPI42tablebody"/>
              <w:autoSpaceDE w:val="0"/>
              <w:autoSpaceDN w:val="0"/>
              <w:spacing w:line="360" w:lineRule="auto"/>
              <w:rPr>
                <w:rFonts w:ascii="Times New Roman" w:hAnsi="Times New Roman"/>
                <w:b/>
                <w:sz w:val="24"/>
                <w:szCs w:val="24"/>
                <w:lang w:val="en-GB"/>
              </w:rPr>
            </w:pPr>
            <w:r w:rsidRPr="00FB563D">
              <w:rPr>
                <w:rFonts w:ascii="Times New Roman" w:hAnsi="Times New Roman"/>
                <w:b/>
                <w:sz w:val="24"/>
                <w:szCs w:val="24"/>
                <w:lang w:val="en-GB"/>
              </w:rPr>
              <w:t>(</w:t>
            </w:r>
            <w:r w:rsidRPr="00FB563D">
              <w:rPr>
                <w:rFonts w:ascii="Times New Roman" w:hAnsi="Times New Roman"/>
                <w:b/>
                <w:i/>
                <w:sz w:val="24"/>
                <w:szCs w:val="24"/>
                <w:lang w:val="en-GB"/>
              </w:rPr>
              <w:t>n</w:t>
            </w:r>
            <w:r w:rsidRPr="00FB563D">
              <w:rPr>
                <w:rFonts w:ascii="Times New Roman" w:hAnsi="Times New Roman"/>
                <w:b/>
                <w:sz w:val="24"/>
                <w:szCs w:val="24"/>
                <w:lang w:val="en-GB"/>
              </w:rPr>
              <w:t xml:space="preserve"> = 19)</w:t>
            </w:r>
          </w:p>
        </w:tc>
        <w:tc>
          <w:tcPr>
            <w:tcW w:w="0" w:type="auto"/>
            <w:tcBorders>
              <w:top w:val="single" w:sz="8" w:space="0" w:color="auto"/>
              <w:bottom w:val="single" w:sz="4" w:space="0" w:color="auto"/>
            </w:tcBorders>
            <w:shd w:val="clear" w:color="auto" w:fill="auto"/>
            <w:vAlign w:val="center"/>
          </w:tcPr>
          <w:p w14:paraId="66FDFC26" w14:textId="77777777" w:rsidR="00FB563D" w:rsidRPr="00FB563D" w:rsidRDefault="00FB563D" w:rsidP="00FB563D">
            <w:pPr>
              <w:pStyle w:val="MDPI42tablebody"/>
              <w:autoSpaceDE w:val="0"/>
              <w:autoSpaceDN w:val="0"/>
              <w:spacing w:line="360" w:lineRule="auto"/>
              <w:rPr>
                <w:rFonts w:ascii="Times New Roman" w:hAnsi="Times New Roman"/>
                <w:b/>
                <w:sz w:val="24"/>
                <w:szCs w:val="24"/>
                <w:lang w:val="en-GB"/>
              </w:rPr>
            </w:pPr>
            <w:r w:rsidRPr="00FB563D">
              <w:rPr>
                <w:rFonts w:ascii="Times New Roman" w:hAnsi="Times New Roman"/>
                <w:b/>
                <w:sz w:val="24"/>
                <w:szCs w:val="24"/>
                <w:lang w:val="en-GB"/>
              </w:rPr>
              <w:t>SE</w:t>
            </w:r>
          </w:p>
          <w:p w14:paraId="38BF2356" w14:textId="77777777" w:rsidR="00FB563D" w:rsidRPr="00FB563D" w:rsidRDefault="00FB563D" w:rsidP="00FB563D">
            <w:pPr>
              <w:pStyle w:val="MDPI42tablebody"/>
              <w:autoSpaceDE w:val="0"/>
              <w:autoSpaceDN w:val="0"/>
              <w:spacing w:line="360" w:lineRule="auto"/>
              <w:rPr>
                <w:rFonts w:ascii="Times New Roman" w:hAnsi="Times New Roman"/>
                <w:b/>
                <w:sz w:val="24"/>
                <w:szCs w:val="24"/>
                <w:lang w:val="en-GB"/>
              </w:rPr>
            </w:pPr>
            <w:r w:rsidRPr="00FB563D">
              <w:rPr>
                <w:rFonts w:ascii="Times New Roman" w:hAnsi="Times New Roman"/>
                <w:b/>
                <w:sz w:val="24"/>
                <w:szCs w:val="24"/>
                <w:lang w:val="en-GB"/>
              </w:rPr>
              <w:t>(</w:t>
            </w:r>
            <w:r w:rsidRPr="00FB563D">
              <w:rPr>
                <w:rFonts w:ascii="Times New Roman" w:hAnsi="Times New Roman"/>
                <w:b/>
                <w:i/>
                <w:sz w:val="24"/>
                <w:szCs w:val="24"/>
                <w:lang w:val="en-GB"/>
              </w:rPr>
              <w:t>n</w:t>
            </w:r>
            <w:r w:rsidRPr="00FB563D">
              <w:rPr>
                <w:rFonts w:ascii="Times New Roman" w:hAnsi="Times New Roman"/>
                <w:b/>
                <w:sz w:val="24"/>
                <w:szCs w:val="24"/>
                <w:lang w:val="en-GB"/>
              </w:rPr>
              <w:t xml:space="preserve"> = 20)</w:t>
            </w:r>
          </w:p>
        </w:tc>
        <w:tc>
          <w:tcPr>
            <w:tcW w:w="0" w:type="auto"/>
            <w:tcBorders>
              <w:top w:val="single" w:sz="8" w:space="0" w:color="auto"/>
              <w:bottom w:val="single" w:sz="4" w:space="0" w:color="auto"/>
            </w:tcBorders>
            <w:shd w:val="clear" w:color="auto" w:fill="auto"/>
            <w:vAlign w:val="center"/>
          </w:tcPr>
          <w:p w14:paraId="17BB6972" w14:textId="77777777" w:rsidR="00FB563D" w:rsidRPr="00FB563D" w:rsidRDefault="00FB563D" w:rsidP="00FB563D">
            <w:pPr>
              <w:pStyle w:val="MDPI42tablebody"/>
              <w:autoSpaceDE w:val="0"/>
              <w:autoSpaceDN w:val="0"/>
              <w:spacing w:line="360" w:lineRule="auto"/>
              <w:rPr>
                <w:rFonts w:ascii="Times New Roman" w:hAnsi="Times New Roman"/>
                <w:b/>
                <w:sz w:val="24"/>
                <w:szCs w:val="24"/>
                <w:lang w:val="en-GB"/>
              </w:rPr>
            </w:pPr>
            <w:r w:rsidRPr="00FB563D">
              <w:rPr>
                <w:rFonts w:ascii="Times New Roman" w:hAnsi="Times New Roman"/>
                <w:b/>
                <w:sz w:val="24"/>
                <w:szCs w:val="24"/>
                <w:lang w:val="en-GB"/>
              </w:rPr>
              <w:t>SE+MQ</w:t>
            </w:r>
          </w:p>
          <w:p w14:paraId="0BC8EDAB" w14:textId="77777777" w:rsidR="00FB563D" w:rsidRPr="00FB563D" w:rsidRDefault="00FB563D" w:rsidP="00FB563D">
            <w:pPr>
              <w:pStyle w:val="MDPI42tablebody"/>
              <w:autoSpaceDE w:val="0"/>
              <w:autoSpaceDN w:val="0"/>
              <w:spacing w:line="360" w:lineRule="auto"/>
              <w:rPr>
                <w:rFonts w:ascii="Times New Roman" w:hAnsi="Times New Roman"/>
                <w:b/>
                <w:sz w:val="24"/>
                <w:szCs w:val="24"/>
                <w:lang w:val="en-GB"/>
              </w:rPr>
            </w:pPr>
            <w:r w:rsidRPr="00FB563D">
              <w:rPr>
                <w:rFonts w:ascii="Times New Roman" w:hAnsi="Times New Roman"/>
                <w:b/>
                <w:sz w:val="24"/>
                <w:szCs w:val="24"/>
                <w:lang w:val="en-GB"/>
              </w:rPr>
              <w:t>(</w:t>
            </w:r>
            <w:r w:rsidRPr="00FB563D">
              <w:rPr>
                <w:rFonts w:ascii="Times New Roman" w:hAnsi="Times New Roman"/>
                <w:b/>
                <w:i/>
                <w:sz w:val="24"/>
                <w:szCs w:val="24"/>
                <w:lang w:val="en-GB"/>
              </w:rPr>
              <w:t>n</w:t>
            </w:r>
            <w:r w:rsidRPr="00FB563D">
              <w:rPr>
                <w:rFonts w:ascii="Times New Roman" w:hAnsi="Times New Roman"/>
                <w:b/>
                <w:sz w:val="24"/>
                <w:szCs w:val="24"/>
                <w:lang w:val="en-GB"/>
              </w:rPr>
              <w:t xml:space="preserve"> = 14)</w:t>
            </w:r>
          </w:p>
        </w:tc>
      </w:tr>
      <w:tr w:rsidR="00FB563D" w:rsidRPr="00FB563D" w14:paraId="69F1430C" w14:textId="77777777" w:rsidTr="00A7694C">
        <w:trPr>
          <w:jc w:val="center"/>
        </w:trPr>
        <w:tc>
          <w:tcPr>
            <w:tcW w:w="0" w:type="auto"/>
            <w:tcBorders>
              <w:top w:val="single" w:sz="4" w:space="0" w:color="auto"/>
            </w:tcBorders>
            <w:shd w:val="clear" w:color="auto" w:fill="auto"/>
            <w:vAlign w:val="center"/>
          </w:tcPr>
          <w:p w14:paraId="14816B38" w14:textId="77777777" w:rsidR="00FB563D" w:rsidRPr="00FB563D" w:rsidRDefault="00FB563D" w:rsidP="00FB563D">
            <w:pPr>
              <w:pStyle w:val="MDPI42tablebody"/>
              <w:autoSpaceDE w:val="0"/>
              <w:autoSpaceDN w:val="0"/>
              <w:spacing w:line="360" w:lineRule="auto"/>
              <w:rPr>
                <w:rFonts w:ascii="Times New Roman" w:hAnsi="Times New Roman"/>
                <w:sz w:val="24"/>
                <w:szCs w:val="24"/>
                <w:lang w:val="en-GB"/>
              </w:rPr>
            </w:pPr>
            <w:r w:rsidRPr="00FB563D">
              <w:rPr>
                <w:rFonts w:ascii="Times New Roman" w:hAnsi="Times New Roman"/>
                <w:sz w:val="24"/>
                <w:szCs w:val="24"/>
                <w:lang w:val="en-GB"/>
              </w:rPr>
              <w:t>Birth weight (g)</w:t>
            </w:r>
          </w:p>
        </w:tc>
        <w:tc>
          <w:tcPr>
            <w:tcW w:w="0" w:type="auto"/>
            <w:tcBorders>
              <w:top w:val="single" w:sz="4" w:space="0" w:color="auto"/>
            </w:tcBorders>
            <w:shd w:val="clear" w:color="auto" w:fill="auto"/>
            <w:vAlign w:val="center"/>
          </w:tcPr>
          <w:p w14:paraId="43FB1072" w14:textId="77777777" w:rsidR="00FB563D" w:rsidRPr="00FB563D" w:rsidRDefault="00FB563D" w:rsidP="00FB563D">
            <w:pPr>
              <w:pStyle w:val="MDPI42tablebody"/>
              <w:autoSpaceDE w:val="0"/>
              <w:autoSpaceDN w:val="0"/>
              <w:spacing w:line="360" w:lineRule="auto"/>
              <w:rPr>
                <w:rFonts w:ascii="Times New Roman" w:hAnsi="Times New Roman"/>
                <w:sz w:val="24"/>
                <w:szCs w:val="24"/>
                <w:lang w:val="en-GB"/>
              </w:rPr>
            </w:pPr>
            <w:r w:rsidRPr="00FB563D">
              <w:rPr>
                <w:rFonts w:ascii="Times New Roman" w:hAnsi="Times New Roman"/>
                <w:bCs/>
                <w:sz w:val="24"/>
                <w:szCs w:val="24"/>
                <w:lang w:val="en-GB"/>
              </w:rPr>
              <w:t>1.51 ± 0.03</w:t>
            </w:r>
          </w:p>
        </w:tc>
        <w:tc>
          <w:tcPr>
            <w:tcW w:w="0" w:type="auto"/>
            <w:tcBorders>
              <w:top w:val="single" w:sz="4" w:space="0" w:color="auto"/>
            </w:tcBorders>
            <w:shd w:val="clear" w:color="auto" w:fill="auto"/>
            <w:vAlign w:val="center"/>
          </w:tcPr>
          <w:p w14:paraId="11B2BBBC" w14:textId="77777777" w:rsidR="00FB563D" w:rsidRPr="00FB563D" w:rsidRDefault="00FB563D" w:rsidP="00FB563D">
            <w:pPr>
              <w:pStyle w:val="MDPI42tablebody"/>
              <w:autoSpaceDE w:val="0"/>
              <w:autoSpaceDN w:val="0"/>
              <w:spacing w:line="360" w:lineRule="auto"/>
              <w:rPr>
                <w:rFonts w:ascii="Times New Roman" w:hAnsi="Times New Roman"/>
                <w:sz w:val="24"/>
                <w:szCs w:val="24"/>
                <w:lang w:val="en-GB"/>
              </w:rPr>
            </w:pPr>
            <w:r w:rsidRPr="00FB563D">
              <w:rPr>
                <w:rFonts w:ascii="Times New Roman" w:hAnsi="Times New Roman"/>
                <w:bCs/>
                <w:sz w:val="24"/>
                <w:szCs w:val="24"/>
                <w:lang w:val="en-GB"/>
              </w:rPr>
              <w:t>1.30 ± 0.06 **</w:t>
            </w:r>
          </w:p>
        </w:tc>
        <w:tc>
          <w:tcPr>
            <w:tcW w:w="0" w:type="auto"/>
            <w:tcBorders>
              <w:top w:val="single" w:sz="4" w:space="0" w:color="auto"/>
            </w:tcBorders>
            <w:shd w:val="clear" w:color="auto" w:fill="auto"/>
            <w:vAlign w:val="center"/>
          </w:tcPr>
          <w:p w14:paraId="10D8D85E" w14:textId="77777777" w:rsidR="00FB563D" w:rsidRPr="00FB563D" w:rsidRDefault="00FB563D" w:rsidP="00FB563D">
            <w:pPr>
              <w:pStyle w:val="MDPI42tablebody"/>
              <w:autoSpaceDE w:val="0"/>
              <w:autoSpaceDN w:val="0"/>
              <w:spacing w:line="360" w:lineRule="auto"/>
              <w:rPr>
                <w:rFonts w:ascii="Times New Roman" w:hAnsi="Times New Roman"/>
                <w:sz w:val="24"/>
                <w:szCs w:val="24"/>
                <w:lang w:val="en-GB"/>
              </w:rPr>
            </w:pPr>
            <w:r w:rsidRPr="00FB563D">
              <w:rPr>
                <w:rFonts w:ascii="Times New Roman" w:hAnsi="Times New Roman"/>
                <w:bCs/>
                <w:sz w:val="24"/>
                <w:szCs w:val="24"/>
                <w:lang w:val="en-GB"/>
              </w:rPr>
              <w:t xml:space="preserve">1.65 ± 0.05 </w:t>
            </w:r>
            <w:r w:rsidRPr="00FB563D">
              <w:rPr>
                <w:rFonts w:ascii="Times New Roman" w:hAnsi="Times New Roman"/>
                <w:bCs/>
                <w:sz w:val="24"/>
                <w:szCs w:val="24"/>
                <w:vertAlign w:val="superscript"/>
                <w:lang w:val="en-GB"/>
              </w:rPr>
              <w:t>##</w:t>
            </w:r>
          </w:p>
        </w:tc>
      </w:tr>
      <w:tr w:rsidR="00FB563D" w:rsidRPr="00FB563D" w14:paraId="383E2D5A" w14:textId="77777777" w:rsidTr="00A7694C">
        <w:trPr>
          <w:jc w:val="center"/>
        </w:trPr>
        <w:tc>
          <w:tcPr>
            <w:tcW w:w="0" w:type="auto"/>
            <w:shd w:val="clear" w:color="auto" w:fill="auto"/>
            <w:vAlign w:val="center"/>
          </w:tcPr>
          <w:p w14:paraId="67A60656" w14:textId="77777777" w:rsidR="00FB563D" w:rsidRPr="00FB563D" w:rsidRDefault="00FB563D" w:rsidP="00FB563D">
            <w:pPr>
              <w:pStyle w:val="MDPI42tablebody"/>
              <w:autoSpaceDE w:val="0"/>
              <w:autoSpaceDN w:val="0"/>
              <w:spacing w:line="360" w:lineRule="auto"/>
              <w:rPr>
                <w:rFonts w:ascii="Times New Roman" w:hAnsi="Times New Roman"/>
                <w:sz w:val="24"/>
                <w:szCs w:val="24"/>
                <w:lang w:val="en-GB"/>
              </w:rPr>
            </w:pPr>
            <w:r w:rsidRPr="00FB563D">
              <w:rPr>
                <w:rFonts w:ascii="Times New Roman" w:hAnsi="Times New Roman"/>
                <w:sz w:val="24"/>
                <w:szCs w:val="24"/>
                <w:lang w:val="en-GB"/>
              </w:rPr>
              <w:t>Body weight at 13 weeks (g)</w:t>
            </w:r>
          </w:p>
        </w:tc>
        <w:tc>
          <w:tcPr>
            <w:tcW w:w="0" w:type="auto"/>
            <w:shd w:val="clear" w:color="auto" w:fill="auto"/>
            <w:vAlign w:val="center"/>
          </w:tcPr>
          <w:p w14:paraId="674E0F6B" w14:textId="77777777" w:rsidR="00FB563D" w:rsidRPr="00FB563D" w:rsidRDefault="00FB563D" w:rsidP="00FB563D">
            <w:pPr>
              <w:pStyle w:val="MDPI42tablebody"/>
              <w:autoSpaceDE w:val="0"/>
              <w:autoSpaceDN w:val="0"/>
              <w:spacing w:line="360" w:lineRule="auto"/>
              <w:rPr>
                <w:rFonts w:ascii="Times New Roman" w:hAnsi="Times New Roman"/>
                <w:sz w:val="24"/>
                <w:szCs w:val="24"/>
                <w:lang w:val="en-GB"/>
              </w:rPr>
            </w:pPr>
            <w:r w:rsidRPr="00FB563D">
              <w:rPr>
                <w:rFonts w:ascii="Times New Roman" w:hAnsi="Times New Roman"/>
                <w:sz w:val="24"/>
                <w:szCs w:val="24"/>
                <w:lang w:val="en-GB"/>
              </w:rPr>
              <w:t>25.2 ± 0.2</w:t>
            </w:r>
          </w:p>
        </w:tc>
        <w:tc>
          <w:tcPr>
            <w:tcW w:w="0" w:type="auto"/>
            <w:shd w:val="clear" w:color="auto" w:fill="auto"/>
            <w:vAlign w:val="center"/>
          </w:tcPr>
          <w:p w14:paraId="38B27794" w14:textId="77777777" w:rsidR="00FB563D" w:rsidRPr="00FB563D" w:rsidRDefault="00FB563D" w:rsidP="00FB563D">
            <w:pPr>
              <w:pStyle w:val="MDPI42tablebody"/>
              <w:autoSpaceDE w:val="0"/>
              <w:autoSpaceDN w:val="0"/>
              <w:spacing w:line="360" w:lineRule="auto"/>
              <w:rPr>
                <w:rFonts w:ascii="Times New Roman" w:hAnsi="Times New Roman"/>
                <w:sz w:val="24"/>
                <w:szCs w:val="24"/>
                <w:lang w:val="en-GB"/>
              </w:rPr>
            </w:pPr>
            <w:r w:rsidRPr="00FB563D">
              <w:rPr>
                <w:rFonts w:ascii="Times New Roman" w:hAnsi="Times New Roman"/>
                <w:sz w:val="24"/>
                <w:szCs w:val="24"/>
                <w:lang w:val="en-GB"/>
              </w:rPr>
              <w:t>24.2 ± 0.2 **</w:t>
            </w:r>
          </w:p>
        </w:tc>
        <w:tc>
          <w:tcPr>
            <w:tcW w:w="0" w:type="auto"/>
            <w:shd w:val="clear" w:color="auto" w:fill="auto"/>
            <w:vAlign w:val="center"/>
          </w:tcPr>
          <w:p w14:paraId="31A23E56" w14:textId="77777777" w:rsidR="00FB563D" w:rsidRPr="00FB563D" w:rsidRDefault="00FB563D" w:rsidP="00FB563D">
            <w:pPr>
              <w:pStyle w:val="MDPI42tablebody"/>
              <w:autoSpaceDE w:val="0"/>
              <w:autoSpaceDN w:val="0"/>
              <w:spacing w:line="360" w:lineRule="auto"/>
              <w:rPr>
                <w:rFonts w:ascii="Times New Roman" w:hAnsi="Times New Roman"/>
                <w:sz w:val="24"/>
                <w:szCs w:val="24"/>
                <w:lang w:val="en-GB"/>
              </w:rPr>
            </w:pPr>
            <w:r w:rsidRPr="00FB563D">
              <w:rPr>
                <w:rFonts w:ascii="Times New Roman" w:hAnsi="Times New Roman"/>
                <w:sz w:val="24"/>
                <w:szCs w:val="24"/>
                <w:lang w:val="en-GB"/>
              </w:rPr>
              <w:t xml:space="preserve">25.1 ± 0.2 </w:t>
            </w:r>
            <w:r w:rsidRPr="00FB563D">
              <w:rPr>
                <w:rFonts w:ascii="Times New Roman" w:hAnsi="Times New Roman"/>
                <w:sz w:val="24"/>
                <w:szCs w:val="24"/>
                <w:vertAlign w:val="superscript"/>
                <w:lang w:val="en-GB"/>
              </w:rPr>
              <w:t>##</w:t>
            </w:r>
          </w:p>
        </w:tc>
      </w:tr>
      <w:tr w:rsidR="00FB563D" w:rsidRPr="00FB563D" w14:paraId="11B1BEF8" w14:textId="77777777" w:rsidTr="00A7694C">
        <w:trPr>
          <w:jc w:val="center"/>
        </w:trPr>
        <w:tc>
          <w:tcPr>
            <w:tcW w:w="0" w:type="auto"/>
            <w:shd w:val="clear" w:color="auto" w:fill="auto"/>
            <w:vAlign w:val="center"/>
          </w:tcPr>
          <w:p w14:paraId="445EB3CE" w14:textId="77777777" w:rsidR="00FB563D" w:rsidRPr="00FB563D" w:rsidRDefault="00FB563D" w:rsidP="00FB563D">
            <w:pPr>
              <w:pStyle w:val="MDPI42tablebody"/>
              <w:autoSpaceDE w:val="0"/>
              <w:autoSpaceDN w:val="0"/>
              <w:spacing w:line="360" w:lineRule="auto"/>
              <w:rPr>
                <w:rFonts w:ascii="Times New Roman" w:hAnsi="Times New Roman"/>
                <w:sz w:val="24"/>
                <w:szCs w:val="24"/>
                <w:lang w:val="en-GB"/>
              </w:rPr>
            </w:pPr>
            <w:r w:rsidRPr="00FB563D">
              <w:rPr>
                <w:rFonts w:ascii="Times New Roman" w:hAnsi="Times New Roman"/>
                <w:sz w:val="24"/>
                <w:szCs w:val="24"/>
                <w:lang w:val="en-GB"/>
              </w:rPr>
              <w:t>Liver weight (g)</w:t>
            </w:r>
          </w:p>
        </w:tc>
        <w:tc>
          <w:tcPr>
            <w:tcW w:w="0" w:type="auto"/>
            <w:shd w:val="clear" w:color="auto" w:fill="auto"/>
            <w:vAlign w:val="center"/>
          </w:tcPr>
          <w:p w14:paraId="0024C513" w14:textId="77777777" w:rsidR="00FB563D" w:rsidRPr="00FB563D" w:rsidRDefault="00FB563D" w:rsidP="00FB563D">
            <w:pPr>
              <w:pStyle w:val="MDPI42tablebody"/>
              <w:autoSpaceDE w:val="0"/>
              <w:autoSpaceDN w:val="0"/>
              <w:spacing w:line="360" w:lineRule="auto"/>
              <w:rPr>
                <w:rFonts w:ascii="Times New Roman" w:hAnsi="Times New Roman"/>
                <w:sz w:val="24"/>
                <w:szCs w:val="24"/>
                <w:lang w:val="en-GB"/>
              </w:rPr>
            </w:pPr>
            <w:r w:rsidRPr="00FB563D">
              <w:rPr>
                <w:rFonts w:ascii="Times New Roman" w:hAnsi="Times New Roman"/>
                <w:sz w:val="24"/>
                <w:szCs w:val="24"/>
                <w:lang w:val="en-GB"/>
              </w:rPr>
              <w:t>1.12 ± 0.019</w:t>
            </w:r>
          </w:p>
        </w:tc>
        <w:tc>
          <w:tcPr>
            <w:tcW w:w="0" w:type="auto"/>
            <w:shd w:val="clear" w:color="auto" w:fill="auto"/>
            <w:vAlign w:val="center"/>
          </w:tcPr>
          <w:p w14:paraId="1DA91836" w14:textId="77777777" w:rsidR="00FB563D" w:rsidRPr="00FB563D" w:rsidRDefault="00FB563D" w:rsidP="00FB563D">
            <w:pPr>
              <w:pStyle w:val="MDPI42tablebody"/>
              <w:autoSpaceDE w:val="0"/>
              <w:autoSpaceDN w:val="0"/>
              <w:spacing w:line="360" w:lineRule="auto"/>
              <w:rPr>
                <w:rFonts w:ascii="Times New Roman" w:hAnsi="Times New Roman"/>
                <w:sz w:val="24"/>
                <w:szCs w:val="24"/>
                <w:lang w:val="en-GB"/>
              </w:rPr>
            </w:pPr>
            <w:r w:rsidRPr="00FB563D">
              <w:rPr>
                <w:rFonts w:ascii="Times New Roman" w:hAnsi="Times New Roman"/>
                <w:sz w:val="24"/>
                <w:szCs w:val="24"/>
                <w:lang w:val="en-GB"/>
              </w:rPr>
              <w:t>1.05 ± 0.019 *</w:t>
            </w:r>
          </w:p>
        </w:tc>
        <w:tc>
          <w:tcPr>
            <w:tcW w:w="0" w:type="auto"/>
            <w:shd w:val="clear" w:color="auto" w:fill="auto"/>
            <w:vAlign w:val="center"/>
          </w:tcPr>
          <w:p w14:paraId="7B128CD5" w14:textId="77777777" w:rsidR="00FB563D" w:rsidRPr="00FB563D" w:rsidRDefault="00FB563D" w:rsidP="00FB563D">
            <w:pPr>
              <w:pStyle w:val="MDPI42tablebody"/>
              <w:autoSpaceDE w:val="0"/>
              <w:autoSpaceDN w:val="0"/>
              <w:spacing w:line="360" w:lineRule="auto"/>
              <w:rPr>
                <w:rFonts w:ascii="Times New Roman" w:hAnsi="Times New Roman"/>
                <w:sz w:val="24"/>
                <w:szCs w:val="24"/>
                <w:lang w:val="en-GB"/>
              </w:rPr>
            </w:pPr>
            <w:r w:rsidRPr="00FB563D">
              <w:rPr>
                <w:rFonts w:ascii="Times New Roman" w:hAnsi="Times New Roman"/>
                <w:sz w:val="24"/>
                <w:szCs w:val="24"/>
                <w:lang w:val="en-GB"/>
              </w:rPr>
              <w:t xml:space="preserve">1.15 ± 0.02 </w:t>
            </w:r>
            <w:r w:rsidRPr="00FB563D">
              <w:rPr>
                <w:rFonts w:ascii="Times New Roman" w:hAnsi="Times New Roman"/>
                <w:sz w:val="24"/>
                <w:szCs w:val="24"/>
                <w:vertAlign w:val="superscript"/>
                <w:lang w:val="en-GB"/>
              </w:rPr>
              <w:t>##</w:t>
            </w:r>
          </w:p>
        </w:tc>
      </w:tr>
      <w:tr w:rsidR="00FB563D" w:rsidRPr="00FB563D" w14:paraId="2065EB7D" w14:textId="77777777" w:rsidTr="00A7694C">
        <w:trPr>
          <w:jc w:val="center"/>
        </w:trPr>
        <w:tc>
          <w:tcPr>
            <w:tcW w:w="0" w:type="auto"/>
            <w:shd w:val="clear" w:color="auto" w:fill="auto"/>
            <w:vAlign w:val="center"/>
          </w:tcPr>
          <w:p w14:paraId="6AF7DFAC" w14:textId="77777777" w:rsidR="00FB563D" w:rsidRPr="00FB563D" w:rsidRDefault="00FB563D" w:rsidP="00FB563D">
            <w:pPr>
              <w:pStyle w:val="MDPI42tablebody"/>
              <w:autoSpaceDE w:val="0"/>
              <w:autoSpaceDN w:val="0"/>
              <w:spacing w:line="360" w:lineRule="auto"/>
              <w:rPr>
                <w:rFonts w:ascii="Times New Roman" w:hAnsi="Times New Roman"/>
                <w:sz w:val="24"/>
                <w:szCs w:val="24"/>
                <w:lang w:val="en-GB"/>
              </w:rPr>
            </w:pPr>
            <w:r w:rsidRPr="00FB563D">
              <w:rPr>
                <w:rFonts w:ascii="Times New Roman" w:hAnsi="Times New Roman"/>
                <w:sz w:val="24"/>
                <w:szCs w:val="24"/>
                <w:lang w:val="en-GB"/>
              </w:rPr>
              <w:t>Liver weight (% of body weight)</w:t>
            </w:r>
          </w:p>
        </w:tc>
        <w:tc>
          <w:tcPr>
            <w:tcW w:w="0" w:type="auto"/>
            <w:shd w:val="clear" w:color="auto" w:fill="auto"/>
            <w:vAlign w:val="center"/>
          </w:tcPr>
          <w:p w14:paraId="424CB070" w14:textId="77777777" w:rsidR="00FB563D" w:rsidRPr="00FB563D" w:rsidRDefault="00FB563D" w:rsidP="00FB563D">
            <w:pPr>
              <w:pStyle w:val="MDPI42tablebody"/>
              <w:autoSpaceDE w:val="0"/>
              <w:autoSpaceDN w:val="0"/>
              <w:spacing w:line="360" w:lineRule="auto"/>
              <w:rPr>
                <w:rFonts w:ascii="Times New Roman" w:hAnsi="Times New Roman"/>
                <w:sz w:val="24"/>
                <w:szCs w:val="24"/>
                <w:lang w:val="en-GB"/>
              </w:rPr>
            </w:pPr>
            <w:r w:rsidRPr="00FB563D">
              <w:rPr>
                <w:rFonts w:ascii="Times New Roman" w:hAnsi="Times New Roman"/>
                <w:sz w:val="24"/>
                <w:szCs w:val="24"/>
                <w:lang w:val="en-GB"/>
              </w:rPr>
              <w:t>4.42 ± 0.073</w:t>
            </w:r>
          </w:p>
        </w:tc>
        <w:tc>
          <w:tcPr>
            <w:tcW w:w="0" w:type="auto"/>
            <w:shd w:val="clear" w:color="auto" w:fill="auto"/>
            <w:vAlign w:val="center"/>
          </w:tcPr>
          <w:p w14:paraId="13198258" w14:textId="77777777" w:rsidR="00FB563D" w:rsidRPr="00FB563D" w:rsidRDefault="00FB563D" w:rsidP="00FB563D">
            <w:pPr>
              <w:pStyle w:val="MDPI42tablebody"/>
              <w:autoSpaceDE w:val="0"/>
              <w:autoSpaceDN w:val="0"/>
              <w:spacing w:line="360" w:lineRule="auto"/>
              <w:rPr>
                <w:rFonts w:ascii="Times New Roman" w:hAnsi="Times New Roman"/>
                <w:sz w:val="24"/>
                <w:szCs w:val="24"/>
                <w:lang w:val="en-GB"/>
              </w:rPr>
            </w:pPr>
            <w:r w:rsidRPr="00FB563D">
              <w:rPr>
                <w:rFonts w:ascii="Times New Roman" w:hAnsi="Times New Roman"/>
                <w:sz w:val="24"/>
                <w:szCs w:val="24"/>
                <w:lang w:val="en-GB"/>
              </w:rPr>
              <w:t>4.37 ± 0.079</w:t>
            </w:r>
          </w:p>
        </w:tc>
        <w:tc>
          <w:tcPr>
            <w:tcW w:w="0" w:type="auto"/>
            <w:shd w:val="clear" w:color="auto" w:fill="auto"/>
            <w:vAlign w:val="center"/>
          </w:tcPr>
          <w:p w14:paraId="54AA32A6" w14:textId="77777777" w:rsidR="00FB563D" w:rsidRPr="00FB563D" w:rsidRDefault="00FB563D" w:rsidP="00FB563D">
            <w:pPr>
              <w:pStyle w:val="MDPI42tablebody"/>
              <w:autoSpaceDE w:val="0"/>
              <w:autoSpaceDN w:val="0"/>
              <w:spacing w:line="360" w:lineRule="auto"/>
              <w:rPr>
                <w:rFonts w:ascii="Times New Roman" w:hAnsi="Times New Roman"/>
                <w:sz w:val="24"/>
                <w:szCs w:val="24"/>
                <w:lang w:val="en-GB"/>
              </w:rPr>
            </w:pPr>
            <w:r w:rsidRPr="00FB563D">
              <w:rPr>
                <w:rFonts w:ascii="Times New Roman" w:hAnsi="Times New Roman"/>
                <w:sz w:val="24"/>
                <w:szCs w:val="24"/>
                <w:lang w:val="en-GB"/>
              </w:rPr>
              <w:t>4.55 ± 0.08</w:t>
            </w:r>
          </w:p>
        </w:tc>
      </w:tr>
      <w:tr w:rsidR="00FB563D" w:rsidRPr="00FB563D" w14:paraId="5E40303D" w14:textId="77777777" w:rsidTr="00A7694C">
        <w:trPr>
          <w:jc w:val="center"/>
        </w:trPr>
        <w:tc>
          <w:tcPr>
            <w:tcW w:w="0" w:type="auto"/>
            <w:shd w:val="clear" w:color="auto" w:fill="auto"/>
            <w:vAlign w:val="center"/>
          </w:tcPr>
          <w:p w14:paraId="0107E472" w14:textId="77777777" w:rsidR="00FB563D" w:rsidRPr="00FB563D" w:rsidRDefault="00FB563D" w:rsidP="00FB563D">
            <w:pPr>
              <w:pStyle w:val="MDPI42tablebody"/>
              <w:autoSpaceDE w:val="0"/>
              <w:autoSpaceDN w:val="0"/>
              <w:spacing w:line="360" w:lineRule="auto"/>
              <w:rPr>
                <w:rFonts w:ascii="Times New Roman" w:hAnsi="Times New Roman"/>
                <w:sz w:val="24"/>
                <w:szCs w:val="24"/>
                <w:lang w:val="en-GB"/>
              </w:rPr>
            </w:pPr>
            <w:r w:rsidRPr="00FB563D">
              <w:rPr>
                <w:rFonts w:ascii="Times New Roman" w:hAnsi="Times New Roman"/>
                <w:sz w:val="24"/>
                <w:szCs w:val="24"/>
                <w:lang w:val="en-GB"/>
              </w:rPr>
              <w:t>Liver triglycerides (mg/g liver)</w:t>
            </w:r>
          </w:p>
        </w:tc>
        <w:tc>
          <w:tcPr>
            <w:tcW w:w="0" w:type="auto"/>
            <w:shd w:val="clear" w:color="auto" w:fill="auto"/>
            <w:vAlign w:val="center"/>
          </w:tcPr>
          <w:p w14:paraId="26D38836" w14:textId="77777777" w:rsidR="00FB563D" w:rsidRPr="00FB563D" w:rsidRDefault="00FB563D" w:rsidP="00FB563D">
            <w:pPr>
              <w:pStyle w:val="MDPI42tablebody"/>
              <w:autoSpaceDE w:val="0"/>
              <w:autoSpaceDN w:val="0"/>
              <w:spacing w:line="360" w:lineRule="auto"/>
              <w:rPr>
                <w:rFonts w:ascii="Times New Roman" w:hAnsi="Times New Roman"/>
                <w:sz w:val="24"/>
                <w:szCs w:val="24"/>
                <w:lang w:val="en-GB"/>
              </w:rPr>
            </w:pPr>
            <w:r w:rsidRPr="00FB563D">
              <w:rPr>
                <w:rFonts w:ascii="Times New Roman" w:hAnsi="Times New Roman"/>
                <w:sz w:val="24"/>
                <w:szCs w:val="24"/>
                <w:lang w:val="en-GB"/>
              </w:rPr>
              <w:t>4.08 ± 0.41</w:t>
            </w:r>
          </w:p>
        </w:tc>
        <w:tc>
          <w:tcPr>
            <w:tcW w:w="0" w:type="auto"/>
            <w:shd w:val="clear" w:color="auto" w:fill="auto"/>
            <w:vAlign w:val="center"/>
          </w:tcPr>
          <w:p w14:paraId="1C1D4C33" w14:textId="77777777" w:rsidR="00FB563D" w:rsidRPr="00FB563D" w:rsidRDefault="00FB563D" w:rsidP="00FB563D">
            <w:pPr>
              <w:pStyle w:val="MDPI42tablebody"/>
              <w:autoSpaceDE w:val="0"/>
              <w:autoSpaceDN w:val="0"/>
              <w:spacing w:line="360" w:lineRule="auto"/>
              <w:rPr>
                <w:rFonts w:ascii="Times New Roman" w:hAnsi="Times New Roman"/>
                <w:sz w:val="24"/>
                <w:szCs w:val="24"/>
                <w:lang w:val="en-GB"/>
              </w:rPr>
            </w:pPr>
            <w:r w:rsidRPr="00FB563D">
              <w:rPr>
                <w:rFonts w:ascii="Times New Roman" w:hAnsi="Times New Roman"/>
                <w:sz w:val="24"/>
                <w:szCs w:val="24"/>
                <w:lang w:val="en-GB"/>
              </w:rPr>
              <w:t>6.03 ± 0.49 *</w:t>
            </w:r>
          </w:p>
        </w:tc>
        <w:tc>
          <w:tcPr>
            <w:tcW w:w="0" w:type="auto"/>
            <w:shd w:val="clear" w:color="auto" w:fill="auto"/>
            <w:vAlign w:val="center"/>
          </w:tcPr>
          <w:p w14:paraId="2B00F192" w14:textId="77777777" w:rsidR="00FB563D" w:rsidRPr="00FB563D" w:rsidRDefault="00FB563D" w:rsidP="00FB563D">
            <w:pPr>
              <w:pStyle w:val="MDPI42tablebody"/>
              <w:autoSpaceDE w:val="0"/>
              <w:autoSpaceDN w:val="0"/>
              <w:spacing w:line="360" w:lineRule="auto"/>
              <w:rPr>
                <w:rFonts w:ascii="Times New Roman" w:hAnsi="Times New Roman"/>
                <w:sz w:val="24"/>
                <w:szCs w:val="24"/>
                <w:lang w:val="en-GB"/>
              </w:rPr>
            </w:pPr>
            <w:r w:rsidRPr="00FB563D">
              <w:rPr>
                <w:rFonts w:ascii="Times New Roman" w:hAnsi="Times New Roman"/>
                <w:sz w:val="24"/>
                <w:szCs w:val="24"/>
                <w:lang w:val="en-GB"/>
              </w:rPr>
              <w:t xml:space="preserve">4.04 ± 0.61 </w:t>
            </w:r>
            <w:r w:rsidRPr="00FB563D">
              <w:rPr>
                <w:rFonts w:ascii="Times New Roman" w:hAnsi="Times New Roman"/>
                <w:sz w:val="24"/>
                <w:szCs w:val="24"/>
                <w:vertAlign w:val="superscript"/>
                <w:lang w:val="en-GB"/>
              </w:rPr>
              <w:t>#</w:t>
            </w:r>
          </w:p>
        </w:tc>
      </w:tr>
      <w:tr w:rsidR="00FB563D" w:rsidRPr="00FB563D" w14:paraId="57346F6C" w14:textId="77777777" w:rsidTr="00A7694C">
        <w:trPr>
          <w:jc w:val="center"/>
        </w:trPr>
        <w:tc>
          <w:tcPr>
            <w:tcW w:w="0" w:type="auto"/>
            <w:shd w:val="clear" w:color="auto" w:fill="auto"/>
            <w:vAlign w:val="center"/>
          </w:tcPr>
          <w:p w14:paraId="5F876D36" w14:textId="77777777" w:rsidR="00FB563D" w:rsidRPr="00FB563D" w:rsidRDefault="00FB563D" w:rsidP="00FB563D">
            <w:pPr>
              <w:pStyle w:val="MDPI42tablebody"/>
              <w:autoSpaceDE w:val="0"/>
              <w:autoSpaceDN w:val="0"/>
              <w:spacing w:line="360" w:lineRule="auto"/>
              <w:rPr>
                <w:rFonts w:ascii="Times New Roman" w:hAnsi="Times New Roman"/>
                <w:sz w:val="24"/>
                <w:szCs w:val="24"/>
                <w:lang w:val="en-GB"/>
              </w:rPr>
            </w:pPr>
            <w:r w:rsidRPr="00FB563D">
              <w:rPr>
                <w:rFonts w:ascii="Times New Roman" w:hAnsi="Times New Roman"/>
                <w:sz w:val="24"/>
                <w:szCs w:val="24"/>
                <w:lang w:val="en-GB"/>
              </w:rPr>
              <w:t>Liver PE 34:1 intensity (cps)</w:t>
            </w:r>
          </w:p>
        </w:tc>
        <w:tc>
          <w:tcPr>
            <w:tcW w:w="0" w:type="auto"/>
            <w:shd w:val="clear" w:color="auto" w:fill="auto"/>
            <w:vAlign w:val="center"/>
          </w:tcPr>
          <w:p w14:paraId="69759911" w14:textId="77777777" w:rsidR="00FB563D" w:rsidRPr="00FB563D" w:rsidRDefault="00FB563D" w:rsidP="00FB563D">
            <w:pPr>
              <w:pStyle w:val="MDPI42tablebody"/>
              <w:autoSpaceDE w:val="0"/>
              <w:autoSpaceDN w:val="0"/>
              <w:spacing w:line="360" w:lineRule="auto"/>
              <w:rPr>
                <w:rFonts w:ascii="Times New Roman" w:hAnsi="Times New Roman"/>
                <w:sz w:val="24"/>
                <w:szCs w:val="24"/>
                <w:lang w:val="en-GB"/>
              </w:rPr>
            </w:pPr>
            <w:r w:rsidRPr="00FB563D">
              <w:rPr>
                <w:rFonts w:ascii="Times New Roman" w:hAnsi="Times New Roman"/>
                <w:sz w:val="24"/>
                <w:szCs w:val="24"/>
                <w:lang w:val="en-GB"/>
              </w:rPr>
              <w:t>121,000 ± 8900</w:t>
            </w:r>
          </w:p>
        </w:tc>
        <w:tc>
          <w:tcPr>
            <w:tcW w:w="0" w:type="auto"/>
            <w:shd w:val="clear" w:color="auto" w:fill="auto"/>
            <w:vAlign w:val="center"/>
          </w:tcPr>
          <w:p w14:paraId="5F7E02F5" w14:textId="77777777" w:rsidR="00FB563D" w:rsidRPr="00FB563D" w:rsidRDefault="00FB563D" w:rsidP="00FB563D">
            <w:pPr>
              <w:pStyle w:val="MDPI42tablebody"/>
              <w:autoSpaceDE w:val="0"/>
              <w:autoSpaceDN w:val="0"/>
              <w:spacing w:line="360" w:lineRule="auto"/>
              <w:rPr>
                <w:rFonts w:ascii="Times New Roman" w:hAnsi="Times New Roman"/>
                <w:sz w:val="24"/>
                <w:szCs w:val="24"/>
                <w:lang w:val="en-GB"/>
              </w:rPr>
            </w:pPr>
            <w:r w:rsidRPr="00FB563D">
              <w:rPr>
                <w:rFonts w:ascii="Times New Roman" w:hAnsi="Times New Roman"/>
                <w:sz w:val="24"/>
                <w:szCs w:val="24"/>
                <w:lang w:val="en-GB"/>
              </w:rPr>
              <w:t>203,000 ± 29,000 *</w:t>
            </w:r>
          </w:p>
        </w:tc>
        <w:tc>
          <w:tcPr>
            <w:tcW w:w="0" w:type="auto"/>
            <w:shd w:val="clear" w:color="auto" w:fill="auto"/>
            <w:vAlign w:val="center"/>
          </w:tcPr>
          <w:p w14:paraId="00444C6C" w14:textId="77777777" w:rsidR="00FB563D" w:rsidRPr="00FB563D" w:rsidRDefault="00FB563D" w:rsidP="00FB563D">
            <w:pPr>
              <w:pStyle w:val="MDPI42tablebody"/>
              <w:autoSpaceDE w:val="0"/>
              <w:autoSpaceDN w:val="0"/>
              <w:spacing w:line="360" w:lineRule="auto"/>
              <w:rPr>
                <w:rFonts w:ascii="Times New Roman" w:hAnsi="Times New Roman"/>
                <w:sz w:val="24"/>
                <w:szCs w:val="24"/>
                <w:lang w:val="en-GB"/>
              </w:rPr>
            </w:pPr>
            <w:r w:rsidRPr="00FB563D">
              <w:rPr>
                <w:rFonts w:ascii="Times New Roman" w:hAnsi="Times New Roman"/>
                <w:sz w:val="24"/>
                <w:szCs w:val="24"/>
                <w:lang w:val="en-GB"/>
              </w:rPr>
              <w:t>170,000 ± 19,000</w:t>
            </w:r>
          </w:p>
        </w:tc>
      </w:tr>
      <w:tr w:rsidR="00FB563D" w:rsidRPr="00FB563D" w14:paraId="4375C184" w14:textId="77777777" w:rsidTr="00A7694C">
        <w:trPr>
          <w:jc w:val="center"/>
        </w:trPr>
        <w:tc>
          <w:tcPr>
            <w:tcW w:w="0" w:type="auto"/>
            <w:shd w:val="clear" w:color="auto" w:fill="auto"/>
            <w:vAlign w:val="center"/>
          </w:tcPr>
          <w:p w14:paraId="11A3782D" w14:textId="77777777" w:rsidR="00FB563D" w:rsidRPr="00FB563D" w:rsidRDefault="00FB563D" w:rsidP="00FB563D">
            <w:pPr>
              <w:pStyle w:val="MDPI42tablebody"/>
              <w:autoSpaceDE w:val="0"/>
              <w:autoSpaceDN w:val="0"/>
              <w:spacing w:line="360" w:lineRule="auto"/>
              <w:rPr>
                <w:rFonts w:ascii="Times New Roman" w:hAnsi="Times New Roman"/>
                <w:sz w:val="24"/>
                <w:szCs w:val="24"/>
                <w:lang w:val="en-GB"/>
              </w:rPr>
            </w:pPr>
            <w:r w:rsidRPr="00FB563D">
              <w:rPr>
                <w:rFonts w:ascii="Times New Roman" w:hAnsi="Times New Roman"/>
                <w:sz w:val="24"/>
                <w:szCs w:val="24"/>
                <w:lang w:val="en-GB"/>
              </w:rPr>
              <w:t>Liver PE 38:1 intensity (cps)</w:t>
            </w:r>
          </w:p>
        </w:tc>
        <w:tc>
          <w:tcPr>
            <w:tcW w:w="0" w:type="auto"/>
            <w:shd w:val="clear" w:color="auto" w:fill="auto"/>
            <w:vAlign w:val="center"/>
          </w:tcPr>
          <w:p w14:paraId="47461477" w14:textId="77777777" w:rsidR="00FB563D" w:rsidRPr="00FB563D" w:rsidRDefault="00FB563D" w:rsidP="00FB563D">
            <w:pPr>
              <w:pStyle w:val="MDPI42tablebody"/>
              <w:autoSpaceDE w:val="0"/>
              <w:autoSpaceDN w:val="0"/>
              <w:spacing w:line="360" w:lineRule="auto"/>
              <w:rPr>
                <w:rFonts w:ascii="Times New Roman" w:hAnsi="Times New Roman"/>
                <w:sz w:val="24"/>
                <w:szCs w:val="24"/>
                <w:lang w:val="en-GB"/>
              </w:rPr>
            </w:pPr>
            <w:r w:rsidRPr="00FB563D">
              <w:rPr>
                <w:rFonts w:ascii="Times New Roman" w:hAnsi="Times New Roman"/>
                <w:sz w:val="24"/>
                <w:szCs w:val="24"/>
                <w:lang w:val="en-GB"/>
              </w:rPr>
              <w:t>13,100 ± 1600</w:t>
            </w:r>
          </w:p>
        </w:tc>
        <w:tc>
          <w:tcPr>
            <w:tcW w:w="0" w:type="auto"/>
            <w:shd w:val="clear" w:color="auto" w:fill="auto"/>
            <w:vAlign w:val="center"/>
          </w:tcPr>
          <w:p w14:paraId="668BE2F5" w14:textId="77777777" w:rsidR="00FB563D" w:rsidRPr="00FB563D" w:rsidRDefault="00FB563D" w:rsidP="00FB563D">
            <w:pPr>
              <w:pStyle w:val="MDPI42tablebody"/>
              <w:autoSpaceDE w:val="0"/>
              <w:autoSpaceDN w:val="0"/>
              <w:spacing w:line="360" w:lineRule="auto"/>
              <w:rPr>
                <w:rFonts w:ascii="Times New Roman" w:hAnsi="Times New Roman"/>
                <w:sz w:val="24"/>
                <w:szCs w:val="24"/>
                <w:lang w:val="en-GB"/>
              </w:rPr>
            </w:pPr>
            <w:r w:rsidRPr="00FB563D">
              <w:rPr>
                <w:rFonts w:ascii="Times New Roman" w:hAnsi="Times New Roman"/>
                <w:sz w:val="24"/>
                <w:szCs w:val="24"/>
                <w:lang w:val="en-GB"/>
              </w:rPr>
              <w:t>21,700 ± 3000 *</w:t>
            </w:r>
          </w:p>
        </w:tc>
        <w:tc>
          <w:tcPr>
            <w:tcW w:w="0" w:type="auto"/>
            <w:shd w:val="clear" w:color="auto" w:fill="auto"/>
            <w:vAlign w:val="center"/>
          </w:tcPr>
          <w:p w14:paraId="1F8EC705" w14:textId="77777777" w:rsidR="00FB563D" w:rsidRPr="00FB563D" w:rsidRDefault="00FB563D" w:rsidP="00FB563D">
            <w:pPr>
              <w:pStyle w:val="MDPI42tablebody"/>
              <w:autoSpaceDE w:val="0"/>
              <w:autoSpaceDN w:val="0"/>
              <w:spacing w:line="360" w:lineRule="auto"/>
              <w:rPr>
                <w:rFonts w:ascii="Times New Roman" w:hAnsi="Times New Roman"/>
                <w:sz w:val="24"/>
                <w:szCs w:val="24"/>
                <w:lang w:val="en-GB"/>
              </w:rPr>
            </w:pPr>
            <w:r w:rsidRPr="00FB563D">
              <w:rPr>
                <w:rFonts w:ascii="Times New Roman" w:hAnsi="Times New Roman"/>
                <w:sz w:val="24"/>
                <w:szCs w:val="24"/>
                <w:lang w:val="en-GB"/>
              </w:rPr>
              <w:t>17,000 ± 1900</w:t>
            </w:r>
          </w:p>
        </w:tc>
      </w:tr>
      <w:tr w:rsidR="00FB563D" w:rsidRPr="00FB563D" w14:paraId="5443716A" w14:textId="77777777" w:rsidTr="00A7694C">
        <w:trPr>
          <w:jc w:val="center"/>
        </w:trPr>
        <w:tc>
          <w:tcPr>
            <w:tcW w:w="0" w:type="auto"/>
            <w:shd w:val="clear" w:color="auto" w:fill="auto"/>
            <w:vAlign w:val="center"/>
          </w:tcPr>
          <w:p w14:paraId="178DAF5C" w14:textId="77777777" w:rsidR="00FB563D" w:rsidRPr="00FB563D" w:rsidRDefault="00FB563D" w:rsidP="00FB563D">
            <w:pPr>
              <w:pStyle w:val="MDPI42tablebody"/>
              <w:autoSpaceDE w:val="0"/>
              <w:autoSpaceDN w:val="0"/>
              <w:spacing w:line="360" w:lineRule="auto"/>
              <w:rPr>
                <w:rFonts w:ascii="Times New Roman" w:hAnsi="Times New Roman"/>
                <w:sz w:val="24"/>
                <w:szCs w:val="24"/>
                <w:lang w:val="en-GB"/>
              </w:rPr>
            </w:pPr>
            <w:r w:rsidRPr="00FB563D">
              <w:rPr>
                <w:rFonts w:ascii="Times New Roman" w:hAnsi="Times New Roman"/>
                <w:sz w:val="24"/>
                <w:szCs w:val="24"/>
                <w:lang w:val="en-GB"/>
              </w:rPr>
              <w:t>Liver PE 38:2 intensity (cps)</w:t>
            </w:r>
          </w:p>
        </w:tc>
        <w:tc>
          <w:tcPr>
            <w:tcW w:w="0" w:type="auto"/>
            <w:shd w:val="clear" w:color="auto" w:fill="auto"/>
            <w:vAlign w:val="center"/>
          </w:tcPr>
          <w:p w14:paraId="318D1E0F" w14:textId="77777777" w:rsidR="00FB563D" w:rsidRPr="00FB563D" w:rsidRDefault="00FB563D" w:rsidP="00FB563D">
            <w:pPr>
              <w:pStyle w:val="MDPI42tablebody"/>
              <w:autoSpaceDE w:val="0"/>
              <w:autoSpaceDN w:val="0"/>
              <w:spacing w:line="360" w:lineRule="auto"/>
              <w:rPr>
                <w:rFonts w:ascii="Times New Roman" w:hAnsi="Times New Roman"/>
                <w:sz w:val="24"/>
                <w:szCs w:val="24"/>
                <w:lang w:val="en-GB"/>
              </w:rPr>
            </w:pPr>
            <w:r w:rsidRPr="00FB563D">
              <w:rPr>
                <w:rFonts w:ascii="Times New Roman" w:hAnsi="Times New Roman"/>
                <w:sz w:val="24"/>
                <w:szCs w:val="24"/>
                <w:lang w:val="en-GB"/>
              </w:rPr>
              <w:t>12,500 ± 2400</w:t>
            </w:r>
          </w:p>
        </w:tc>
        <w:tc>
          <w:tcPr>
            <w:tcW w:w="0" w:type="auto"/>
            <w:shd w:val="clear" w:color="auto" w:fill="auto"/>
            <w:vAlign w:val="center"/>
          </w:tcPr>
          <w:p w14:paraId="0DC703CA" w14:textId="77777777" w:rsidR="00FB563D" w:rsidRPr="00FB563D" w:rsidRDefault="00FB563D" w:rsidP="00FB563D">
            <w:pPr>
              <w:pStyle w:val="MDPI42tablebody"/>
              <w:autoSpaceDE w:val="0"/>
              <w:autoSpaceDN w:val="0"/>
              <w:spacing w:line="360" w:lineRule="auto"/>
              <w:rPr>
                <w:rFonts w:ascii="Times New Roman" w:hAnsi="Times New Roman"/>
                <w:sz w:val="24"/>
                <w:szCs w:val="24"/>
                <w:lang w:val="en-GB"/>
              </w:rPr>
            </w:pPr>
            <w:r w:rsidRPr="00FB563D">
              <w:rPr>
                <w:rFonts w:ascii="Times New Roman" w:hAnsi="Times New Roman"/>
                <w:sz w:val="24"/>
                <w:szCs w:val="24"/>
                <w:lang w:val="en-GB"/>
              </w:rPr>
              <w:t>23,000 ± 4700 *</w:t>
            </w:r>
          </w:p>
        </w:tc>
        <w:tc>
          <w:tcPr>
            <w:tcW w:w="0" w:type="auto"/>
            <w:shd w:val="clear" w:color="auto" w:fill="auto"/>
            <w:vAlign w:val="center"/>
          </w:tcPr>
          <w:p w14:paraId="26E903CC" w14:textId="77777777" w:rsidR="00FB563D" w:rsidRPr="00FB563D" w:rsidRDefault="00FB563D" w:rsidP="00FB563D">
            <w:pPr>
              <w:pStyle w:val="MDPI42tablebody"/>
              <w:autoSpaceDE w:val="0"/>
              <w:autoSpaceDN w:val="0"/>
              <w:spacing w:line="360" w:lineRule="auto"/>
              <w:rPr>
                <w:rFonts w:ascii="Times New Roman" w:hAnsi="Times New Roman"/>
                <w:sz w:val="24"/>
                <w:szCs w:val="24"/>
                <w:lang w:val="en-GB"/>
              </w:rPr>
            </w:pPr>
            <w:r w:rsidRPr="00FB563D">
              <w:rPr>
                <w:rFonts w:ascii="Times New Roman" w:hAnsi="Times New Roman"/>
                <w:sz w:val="24"/>
                <w:szCs w:val="24"/>
                <w:lang w:val="en-GB"/>
              </w:rPr>
              <w:t xml:space="preserve">12,700 ± 1200 </w:t>
            </w:r>
            <w:r w:rsidRPr="00FB563D">
              <w:rPr>
                <w:rFonts w:ascii="Times New Roman" w:hAnsi="Times New Roman"/>
                <w:sz w:val="24"/>
                <w:szCs w:val="24"/>
                <w:vertAlign w:val="superscript"/>
                <w:lang w:val="en-GB"/>
              </w:rPr>
              <w:t>#</w:t>
            </w:r>
          </w:p>
        </w:tc>
      </w:tr>
      <w:tr w:rsidR="00FB563D" w:rsidRPr="00FB563D" w14:paraId="7ABD3B9A" w14:textId="77777777" w:rsidTr="00A7694C">
        <w:trPr>
          <w:jc w:val="center"/>
        </w:trPr>
        <w:tc>
          <w:tcPr>
            <w:tcW w:w="0" w:type="auto"/>
            <w:shd w:val="clear" w:color="auto" w:fill="auto"/>
            <w:vAlign w:val="center"/>
          </w:tcPr>
          <w:p w14:paraId="3A62D436" w14:textId="77777777" w:rsidR="00FB563D" w:rsidRPr="00FB563D" w:rsidRDefault="00FB563D" w:rsidP="00FB563D">
            <w:pPr>
              <w:pStyle w:val="MDPI42tablebody"/>
              <w:autoSpaceDE w:val="0"/>
              <w:autoSpaceDN w:val="0"/>
              <w:spacing w:line="360" w:lineRule="auto"/>
              <w:rPr>
                <w:rFonts w:ascii="Times New Roman" w:hAnsi="Times New Roman"/>
                <w:sz w:val="24"/>
                <w:szCs w:val="24"/>
                <w:lang w:val="en-GB"/>
              </w:rPr>
            </w:pPr>
            <w:r w:rsidRPr="00FB563D">
              <w:rPr>
                <w:rFonts w:ascii="Times New Roman" w:hAnsi="Times New Roman"/>
                <w:sz w:val="24"/>
                <w:szCs w:val="24"/>
                <w:lang w:val="en-GB"/>
              </w:rPr>
              <w:t>Liver PE 40:5 intensity (cps)</w:t>
            </w:r>
          </w:p>
        </w:tc>
        <w:tc>
          <w:tcPr>
            <w:tcW w:w="0" w:type="auto"/>
            <w:shd w:val="clear" w:color="auto" w:fill="auto"/>
            <w:vAlign w:val="center"/>
          </w:tcPr>
          <w:p w14:paraId="7C73FA40" w14:textId="77777777" w:rsidR="00FB563D" w:rsidRPr="00FB563D" w:rsidRDefault="00FB563D" w:rsidP="00FB563D">
            <w:pPr>
              <w:pStyle w:val="MDPI42tablebody"/>
              <w:autoSpaceDE w:val="0"/>
              <w:autoSpaceDN w:val="0"/>
              <w:spacing w:line="360" w:lineRule="auto"/>
              <w:rPr>
                <w:rFonts w:ascii="Times New Roman" w:hAnsi="Times New Roman"/>
                <w:sz w:val="24"/>
                <w:szCs w:val="24"/>
                <w:lang w:val="en-GB"/>
              </w:rPr>
            </w:pPr>
            <w:r w:rsidRPr="00FB563D">
              <w:rPr>
                <w:rFonts w:ascii="Times New Roman" w:hAnsi="Times New Roman"/>
                <w:sz w:val="24"/>
                <w:szCs w:val="24"/>
                <w:lang w:val="en-GB"/>
              </w:rPr>
              <w:t>88,200 ± 7000</w:t>
            </w:r>
          </w:p>
        </w:tc>
        <w:tc>
          <w:tcPr>
            <w:tcW w:w="0" w:type="auto"/>
            <w:shd w:val="clear" w:color="auto" w:fill="auto"/>
            <w:vAlign w:val="center"/>
          </w:tcPr>
          <w:p w14:paraId="085452E7" w14:textId="77777777" w:rsidR="00FB563D" w:rsidRPr="00FB563D" w:rsidRDefault="00FB563D" w:rsidP="00FB563D">
            <w:pPr>
              <w:pStyle w:val="MDPI42tablebody"/>
              <w:autoSpaceDE w:val="0"/>
              <w:autoSpaceDN w:val="0"/>
              <w:spacing w:line="360" w:lineRule="auto"/>
              <w:rPr>
                <w:rFonts w:ascii="Times New Roman" w:hAnsi="Times New Roman"/>
                <w:sz w:val="24"/>
                <w:szCs w:val="24"/>
                <w:lang w:val="en-GB"/>
              </w:rPr>
            </w:pPr>
            <w:r w:rsidRPr="00FB563D">
              <w:rPr>
                <w:rFonts w:ascii="Times New Roman" w:hAnsi="Times New Roman"/>
                <w:sz w:val="24"/>
                <w:szCs w:val="24"/>
                <w:lang w:val="en-GB"/>
              </w:rPr>
              <w:t>156,000 ± 25,000 *</w:t>
            </w:r>
          </w:p>
        </w:tc>
        <w:tc>
          <w:tcPr>
            <w:tcW w:w="0" w:type="auto"/>
            <w:shd w:val="clear" w:color="auto" w:fill="auto"/>
            <w:vAlign w:val="center"/>
          </w:tcPr>
          <w:p w14:paraId="25FD1FE4" w14:textId="77777777" w:rsidR="00FB563D" w:rsidRPr="00FB563D" w:rsidRDefault="00FB563D" w:rsidP="00FB563D">
            <w:pPr>
              <w:pStyle w:val="MDPI42tablebody"/>
              <w:autoSpaceDE w:val="0"/>
              <w:autoSpaceDN w:val="0"/>
              <w:spacing w:line="360" w:lineRule="auto"/>
              <w:rPr>
                <w:rFonts w:ascii="Times New Roman" w:hAnsi="Times New Roman"/>
                <w:sz w:val="24"/>
                <w:szCs w:val="24"/>
                <w:lang w:val="en-GB"/>
              </w:rPr>
            </w:pPr>
            <w:r w:rsidRPr="00FB563D">
              <w:rPr>
                <w:rFonts w:ascii="Times New Roman" w:hAnsi="Times New Roman"/>
                <w:sz w:val="24"/>
                <w:szCs w:val="24"/>
                <w:lang w:val="en-GB"/>
              </w:rPr>
              <w:t>104,000 ± 15,000</w:t>
            </w:r>
          </w:p>
        </w:tc>
      </w:tr>
      <w:tr w:rsidR="00FB563D" w:rsidRPr="00FB563D" w14:paraId="1B6F1E95" w14:textId="77777777" w:rsidTr="00A7694C">
        <w:trPr>
          <w:jc w:val="center"/>
        </w:trPr>
        <w:tc>
          <w:tcPr>
            <w:tcW w:w="0" w:type="auto"/>
            <w:shd w:val="clear" w:color="auto" w:fill="auto"/>
            <w:vAlign w:val="center"/>
          </w:tcPr>
          <w:p w14:paraId="48A4719D" w14:textId="77777777" w:rsidR="00FB563D" w:rsidRPr="00FB563D" w:rsidRDefault="00FB563D" w:rsidP="00FB563D">
            <w:pPr>
              <w:pStyle w:val="MDPI42tablebody"/>
              <w:autoSpaceDE w:val="0"/>
              <w:autoSpaceDN w:val="0"/>
              <w:spacing w:line="360" w:lineRule="auto"/>
              <w:rPr>
                <w:rFonts w:ascii="Times New Roman" w:hAnsi="Times New Roman"/>
                <w:sz w:val="24"/>
                <w:szCs w:val="24"/>
                <w:lang w:val="en-GB"/>
              </w:rPr>
            </w:pPr>
            <w:r w:rsidRPr="00FB563D">
              <w:rPr>
                <w:rFonts w:ascii="Times New Roman" w:hAnsi="Times New Roman"/>
                <w:sz w:val="24"/>
                <w:szCs w:val="24"/>
                <w:lang w:val="en-GB"/>
              </w:rPr>
              <w:t>Plasma triglycerides (mg/mL)</w:t>
            </w:r>
          </w:p>
        </w:tc>
        <w:tc>
          <w:tcPr>
            <w:tcW w:w="0" w:type="auto"/>
            <w:shd w:val="clear" w:color="auto" w:fill="auto"/>
            <w:vAlign w:val="center"/>
          </w:tcPr>
          <w:p w14:paraId="67A778D0" w14:textId="77777777" w:rsidR="00FB563D" w:rsidRPr="00FB563D" w:rsidRDefault="00FB563D" w:rsidP="00FB563D">
            <w:pPr>
              <w:pStyle w:val="MDPI42tablebody"/>
              <w:autoSpaceDE w:val="0"/>
              <w:autoSpaceDN w:val="0"/>
              <w:spacing w:line="360" w:lineRule="auto"/>
              <w:rPr>
                <w:rFonts w:ascii="Times New Roman" w:hAnsi="Times New Roman"/>
                <w:sz w:val="24"/>
                <w:szCs w:val="24"/>
                <w:lang w:val="en-GB"/>
              </w:rPr>
            </w:pPr>
            <w:r w:rsidRPr="00FB563D">
              <w:rPr>
                <w:rFonts w:ascii="Times New Roman" w:hAnsi="Times New Roman"/>
                <w:sz w:val="24"/>
                <w:szCs w:val="24"/>
                <w:lang w:val="en-GB"/>
              </w:rPr>
              <w:t>2.36 ± 0.19</w:t>
            </w:r>
          </w:p>
        </w:tc>
        <w:tc>
          <w:tcPr>
            <w:tcW w:w="0" w:type="auto"/>
            <w:shd w:val="clear" w:color="auto" w:fill="auto"/>
            <w:vAlign w:val="center"/>
          </w:tcPr>
          <w:p w14:paraId="1ED2A92B" w14:textId="77777777" w:rsidR="00FB563D" w:rsidRPr="00FB563D" w:rsidRDefault="00FB563D" w:rsidP="00FB563D">
            <w:pPr>
              <w:pStyle w:val="MDPI42tablebody"/>
              <w:autoSpaceDE w:val="0"/>
              <w:autoSpaceDN w:val="0"/>
              <w:spacing w:line="360" w:lineRule="auto"/>
              <w:rPr>
                <w:rFonts w:ascii="Times New Roman" w:hAnsi="Times New Roman"/>
                <w:sz w:val="24"/>
                <w:szCs w:val="24"/>
                <w:lang w:val="en-GB"/>
              </w:rPr>
            </w:pPr>
            <w:r w:rsidRPr="00FB563D">
              <w:rPr>
                <w:rFonts w:ascii="Times New Roman" w:hAnsi="Times New Roman"/>
                <w:sz w:val="24"/>
                <w:szCs w:val="24"/>
                <w:lang w:val="en-GB"/>
              </w:rPr>
              <w:t>2.31 ± 0.21</w:t>
            </w:r>
          </w:p>
        </w:tc>
        <w:tc>
          <w:tcPr>
            <w:tcW w:w="0" w:type="auto"/>
            <w:shd w:val="clear" w:color="auto" w:fill="auto"/>
            <w:vAlign w:val="center"/>
          </w:tcPr>
          <w:p w14:paraId="12B095CA" w14:textId="77777777" w:rsidR="00FB563D" w:rsidRPr="00FB563D" w:rsidRDefault="00FB563D" w:rsidP="00FB563D">
            <w:pPr>
              <w:pStyle w:val="MDPI42tablebody"/>
              <w:autoSpaceDE w:val="0"/>
              <w:autoSpaceDN w:val="0"/>
              <w:spacing w:line="360" w:lineRule="auto"/>
              <w:rPr>
                <w:rFonts w:ascii="Times New Roman" w:hAnsi="Times New Roman"/>
                <w:sz w:val="24"/>
                <w:szCs w:val="24"/>
                <w:lang w:val="en-GB"/>
              </w:rPr>
            </w:pPr>
            <w:r w:rsidRPr="00FB563D">
              <w:rPr>
                <w:rFonts w:ascii="Times New Roman" w:hAnsi="Times New Roman"/>
                <w:sz w:val="24"/>
                <w:szCs w:val="24"/>
                <w:lang w:val="en-GB"/>
              </w:rPr>
              <w:t>2.40 ± 0.29</w:t>
            </w:r>
          </w:p>
        </w:tc>
      </w:tr>
      <w:tr w:rsidR="00FB563D" w:rsidRPr="00FB563D" w14:paraId="1AE6ECC9" w14:textId="77777777" w:rsidTr="00A7694C">
        <w:trPr>
          <w:jc w:val="center"/>
        </w:trPr>
        <w:tc>
          <w:tcPr>
            <w:tcW w:w="0" w:type="auto"/>
            <w:shd w:val="clear" w:color="auto" w:fill="auto"/>
            <w:vAlign w:val="center"/>
          </w:tcPr>
          <w:p w14:paraId="10F4F673" w14:textId="77777777" w:rsidR="00FB563D" w:rsidRPr="00FB563D" w:rsidRDefault="00FB563D" w:rsidP="00FB563D">
            <w:pPr>
              <w:pStyle w:val="MDPI42tablebody"/>
              <w:autoSpaceDE w:val="0"/>
              <w:autoSpaceDN w:val="0"/>
              <w:spacing w:line="360" w:lineRule="auto"/>
              <w:rPr>
                <w:rFonts w:ascii="Times New Roman" w:hAnsi="Times New Roman"/>
                <w:sz w:val="24"/>
                <w:szCs w:val="24"/>
                <w:lang w:val="en-GB"/>
              </w:rPr>
            </w:pPr>
            <w:r w:rsidRPr="00FB563D">
              <w:rPr>
                <w:rFonts w:ascii="Times New Roman" w:hAnsi="Times New Roman"/>
                <w:sz w:val="24"/>
                <w:szCs w:val="24"/>
                <w:lang w:val="en-GB"/>
              </w:rPr>
              <w:t>Plasma ALT (U/L)</w:t>
            </w:r>
          </w:p>
        </w:tc>
        <w:tc>
          <w:tcPr>
            <w:tcW w:w="0" w:type="auto"/>
            <w:shd w:val="clear" w:color="auto" w:fill="auto"/>
            <w:vAlign w:val="center"/>
          </w:tcPr>
          <w:p w14:paraId="209F55B9" w14:textId="77777777" w:rsidR="00FB563D" w:rsidRPr="00FB563D" w:rsidRDefault="00FB563D" w:rsidP="00FB563D">
            <w:pPr>
              <w:pStyle w:val="MDPI42tablebody"/>
              <w:autoSpaceDE w:val="0"/>
              <w:autoSpaceDN w:val="0"/>
              <w:spacing w:line="360" w:lineRule="auto"/>
              <w:rPr>
                <w:rFonts w:ascii="Times New Roman" w:hAnsi="Times New Roman"/>
                <w:sz w:val="24"/>
                <w:szCs w:val="24"/>
                <w:lang w:val="en-GB"/>
              </w:rPr>
            </w:pPr>
            <w:r w:rsidRPr="00FB563D">
              <w:rPr>
                <w:rFonts w:ascii="Times New Roman" w:hAnsi="Times New Roman"/>
                <w:sz w:val="24"/>
                <w:szCs w:val="24"/>
                <w:lang w:val="en-GB"/>
              </w:rPr>
              <w:t>8.03 ± 1.1</w:t>
            </w:r>
          </w:p>
        </w:tc>
        <w:tc>
          <w:tcPr>
            <w:tcW w:w="0" w:type="auto"/>
            <w:shd w:val="clear" w:color="auto" w:fill="auto"/>
            <w:vAlign w:val="center"/>
          </w:tcPr>
          <w:p w14:paraId="1BA859AD" w14:textId="77777777" w:rsidR="00FB563D" w:rsidRPr="00FB563D" w:rsidRDefault="00FB563D" w:rsidP="00FB563D">
            <w:pPr>
              <w:pStyle w:val="MDPI42tablebody"/>
              <w:autoSpaceDE w:val="0"/>
              <w:autoSpaceDN w:val="0"/>
              <w:spacing w:line="360" w:lineRule="auto"/>
              <w:rPr>
                <w:rFonts w:ascii="Times New Roman" w:hAnsi="Times New Roman"/>
                <w:sz w:val="24"/>
                <w:szCs w:val="24"/>
                <w:lang w:val="en-GB"/>
              </w:rPr>
            </w:pPr>
            <w:r w:rsidRPr="00FB563D">
              <w:rPr>
                <w:rFonts w:ascii="Times New Roman" w:hAnsi="Times New Roman"/>
                <w:sz w:val="24"/>
                <w:szCs w:val="24"/>
                <w:lang w:val="en-GB"/>
              </w:rPr>
              <w:t>11.2 ± 0.9 *</w:t>
            </w:r>
          </w:p>
        </w:tc>
        <w:tc>
          <w:tcPr>
            <w:tcW w:w="0" w:type="auto"/>
            <w:shd w:val="clear" w:color="auto" w:fill="auto"/>
            <w:vAlign w:val="center"/>
          </w:tcPr>
          <w:p w14:paraId="2484EF8E" w14:textId="77777777" w:rsidR="00FB563D" w:rsidRPr="00FB563D" w:rsidRDefault="00FB563D" w:rsidP="00FB563D">
            <w:pPr>
              <w:pStyle w:val="MDPI42tablebody"/>
              <w:autoSpaceDE w:val="0"/>
              <w:autoSpaceDN w:val="0"/>
              <w:spacing w:line="360" w:lineRule="auto"/>
              <w:rPr>
                <w:rFonts w:ascii="Times New Roman" w:hAnsi="Times New Roman"/>
                <w:sz w:val="24"/>
                <w:szCs w:val="24"/>
                <w:lang w:val="en-GB"/>
              </w:rPr>
            </w:pPr>
            <w:r w:rsidRPr="00FB563D">
              <w:rPr>
                <w:rFonts w:ascii="Times New Roman" w:hAnsi="Times New Roman"/>
                <w:sz w:val="24"/>
                <w:szCs w:val="24"/>
                <w:lang w:val="en-GB"/>
              </w:rPr>
              <w:t xml:space="preserve">7.75 ± 0.7 </w:t>
            </w:r>
            <w:r w:rsidRPr="00FB563D">
              <w:rPr>
                <w:rFonts w:ascii="Times New Roman" w:hAnsi="Times New Roman"/>
                <w:sz w:val="24"/>
                <w:szCs w:val="24"/>
                <w:vertAlign w:val="superscript"/>
                <w:lang w:val="en-GB"/>
              </w:rPr>
              <w:t>#</w:t>
            </w:r>
          </w:p>
        </w:tc>
      </w:tr>
      <w:tr w:rsidR="00FB563D" w:rsidRPr="00FB563D" w14:paraId="5703A175" w14:textId="77777777" w:rsidTr="00A7694C">
        <w:trPr>
          <w:jc w:val="center"/>
        </w:trPr>
        <w:tc>
          <w:tcPr>
            <w:tcW w:w="0" w:type="auto"/>
            <w:shd w:val="clear" w:color="auto" w:fill="auto"/>
            <w:vAlign w:val="center"/>
          </w:tcPr>
          <w:p w14:paraId="28169876" w14:textId="77777777" w:rsidR="00FB563D" w:rsidRPr="00FB563D" w:rsidRDefault="00FB563D" w:rsidP="00FB563D">
            <w:pPr>
              <w:pStyle w:val="MDPI42tablebody"/>
              <w:autoSpaceDE w:val="0"/>
              <w:autoSpaceDN w:val="0"/>
              <w:spacing w:line="360" w:lineRule="auto"/>
              <w:rPr>
                <w:rFonts w:ascii="Times New Roman" w:hAnsi="Times New Roman"/>
                <w:sz w:val="24"/>
                <w:szCs w:val="24"/>
                <w:lang w:val="en-GB"/>
              </w:rPr>
            </w:pPr>
            <w:r w:rsidRPr="00FB563D">
              <w:rPr>
                <w:rFonts w:ascii="Times New Roman" w:hAnsi="Times New Roman"/>
                <w:sz w:val="24"/>
                <w:szCs w:val="24"/>
                <w:lang w:val="en-GB"/>
              </w:rPr>
              <w:t>Plasma insulin (ng/mL)</w:t>
            </w:r>
          </w:p>
        </w:tc>
        <w:tc>
          <w:tcPr>
            <w:tcW w:w="0" w:type="auto"/>
            <w:shd w:val="clear" w:color="auto" w:fill="auto"/>
            <w:vAlign w:val="center"/>
          </w:tcPr>
          <w:p w14:paraId="05E3BE9D" w14:textId="77777777" w:rsidR="00FB563D" w:rsidRPr="00FB563D" w:rsidRDefault="00FB563D" w:rsidP="00FB563D">
            <w:pPr>
              <w:pStyle w:val="MDPI42tablebody"/>
              <w:autoSpaceDE w:val="0"/>
              <w:autoSpaceDN w:val="0"/>
              <w:spacing w:line="360" w:lineRule="auto"/>
              <w:rPr>
                <w:rFonts w:ascii="Times New Roman" w:hAnsi="Times New Roman"/>
                <w:sz w:val="24"/>
                <w:szCs w:val="24"/>
                <w:lang w:val="en-GB"/>
              </w:rPr>
            </w:pPr>
            <w:r w:rsidRPr="00FB563D">
              <w:rPr>
                <w:rFonts w:ascii="Times New Roman" w:hAnsi="Times New Roman"/>
                <w:sz w:val="24"/>
                <w:szCs w:val="24"/>
                <w:lang w:val="en-GB"/>
              </w:rPr>
              <w:t>0.0702 ± 0.014</w:t>
            </w:r>
          </w:p>
        </w:tc>
        <w:tc>
          <w:tcPr>
            <w:tcW w:w="0" w:type="auto"/>
            <w:shd w:val="clear" w:color="auto" w:fill="auto"/>
            <w:vAlign w:val="center"/>
          </w:tcPr>
          <w:p w14:paraId="0D14350D" w14:textId="77777777" w:rsidR="00FB563D" w:rsidRPr="00FB563D" w:rsidRDefault="00FB563D" w:rsidP="00FB563D">
            <w:pPr>
              <w:pStyle w:val="MDPI42tablebody"/>
              <w:autoSpaceDE w:val="0"/>
              <w:autoSpaceDN w:val="0"/>
              <w:spacing w:line="360" w:lineRule="auto"/>
              <w:rPr>
                <w:rFonts w:ascii="Times New Roman" w:hAnsi="Times New Roman"/>
                <w:sz w:val="24"/>
                <w:szCs w:val="24"/>
                <w:lang w:val="en-GB"/>
              </w:rPr>
            </w:pPr>
            <w:r w:rsidRPr="00FB563D">
              <w:rPr>
                <w:rFonts w:ascii="Times New Roman" w:hAnsi="Times New Roman"/>
                <w:sz w:val="24"/>
                <w:szCs w:val="24"/>
                <w:lang w:val="en-GB"/>
              </w:rPr>
              <w:t>0.103 ± 0.083</w:t>
            </w:r>
          </w:p>
        </w:tc>
        <w:tc>
          <w:tcPr>
            <w:tcW w:w="0" w:type="auto"/>
            <w:shd w:val="clear" w:color="auto" w:fill="auto"/>
            <w:vAlign w:val="center"/>
          </w:tcPr>
          <w:p w14:paraId="5B43E70C" w14:textId="77777777" w:rsidR="00FB563D" w:rsidRPr="00FB563D" w:rsidRDefault="00FB563D" w:rsidP="00FB563D">
            <w:pPr>
              <w:pStyle w:val="MDPI42tablebody"/>
              <w:autoSpaceDE w:val="0"/>
              <w:autoSpaceDN w:val="0"/>
              <w:spacing w:line="360" w:lineRule="auto"/>
              <w:rPr>
                <w:rFonts w:ascii="Times New Roman" w:hAnsi="Times New Roman"/>
                <w:sz w:val="24"/>
                <w:szCs w:val="24"/>
                <w:lang w:val="en-GB"/>
              </w:rPr>
            </w:pPr>
            <w:r w:rsidRPr="00FB563D">
              <w:rPr>
                <w:rFonts w:ascii="Times New Roman" w:hAnsi="Times New Roman"/>
                <w:sz w:val="24"/>
                <w:szCs w:val="24"/>
                <w:lang w:val="en-GB"/>
              </w:rPr>
              <w:t>0.111 ± 0.010</w:t>
            </w:r>
          </w:p>
        </w:tc>
      </w:tr>
      <w:tr w:rsidR="00FB563D" w:rsidRPr="00FB563D" w14:paraId="0CA38BEC" w14:textId="77777777" w:rsidTr="00A7694C">
        <w:trPr>
          <w:jc w:val="center"/>
        </w:trPr>
        <w:tc>
          <w:tcPr>
            <w:tcW w:w="0" w:type="auto"/>
            <w:shd w:val="clear" w:color="auto" w:fill="auto"/>
            <w:vAlign w:val="center"/>
          </w:tcPr>
          <w:p w14:paraId="4155E723" w14:textId="77777777" w:rsidR="00FB563D" w:rsidRPr="00FB563D" w:rsidRDefault="00FB563D" w:rsidP="00FB563D">
            <w:pPr>
              <w:pStyle w:val="MDPI42tablebody"/>
              <w:autoSpaceDE w:val="0"/>
              <w:autoSpaceDN w:val="0"/>
              <w:spacing w:line="360" w:lineRule="auto"/>
              <w:rPr>
                <w:rFonts w:ascii="Times New Roman" w:hAnsi="Times New Roman"/>
                <w:sz w:val="24"/>
                <w:szCs w:val="24"/>
                <w:lang w:val="en-GB"/>
              </w:rPr>
            </w:pPr>
            <w:r w:rsidRPr="00FB563D">
              <w:rPr>
                <w:rFonts w:ascii="Times New Roman" w:hAnsi="Times New Roman"/>
                <w:sz w:val="24"/>
                <w:szCs w:val="24"/>
                <w:lang w:val="en-GB"/>
              </w:rPr>
              <w:t>AUC of IPGTT (mM·min)</w:t>
            </w:r>
          </w:p>
        </w:tc>
        <w:tc>
          <w:tcPr>
            <w:tcW w:w="0" w:type="auto"/>
            <w:shd w:val="clear" w:color="auto" w:fill="auto"/>
            <w:vAlign w:val="center"/>
          </w:tcPr>
          <w:p w14:paraId="1790F732" w14:textId="77777777" w:rsidR="00FB563D" w:rsidRPr="00FB563D" w:rsidRDefault="00FB563D" w:rsidP="00FB563D">
            <w:pPr>
              <w:pStyle w:val="MDPI42tablebody"/>
              <w:autoSpaceDE w:val="0"/>
              <w:autoSpaceDN w:val="0"/>
              <w:spacing w:line="360" w:lineRule="auto"/>
              <w:rPr>
                <w:rFonts w:ascii="Times New Roman" w:hAnsi="Times New Roman"/>
                <w:sz w:val="24"/>
                <w:szCs w:val="24"/>
                <w:lang w:val="en-GB"/>
              </w:rPr>
            </w:pPr>
            <w:r w:rsidRPr="00FB563D">
              <w:rPr>
                <w:rFonts w:ascii="Times New Roman" w:hAnsi="Times New Roman"/>
                <w:sz w:val="24"/>
                <w:szCs w:val="24"/>
                <w:lang w:val="en-GB"/>
              </w:rPr>
              <w:t>1150 ± 20</w:t>
            </w:r>
          </w:p>
        </w:tc>
        <w:tc>
          <w:tcPr>
            <w:tcW w:w="0" w:type="auto"/>
            <w:shd w:val="clear" w:color="auto" w:fill="auto"/>
            <w:vAlign w:val="center"/>
          </w:tcPr>
          <w:p w14:paraId="2F67E599" w14:textId="77777777" w:rsidR="00FB563D" w:rsidRPr="00FB563D" w:rsidRDefault="00FB563D" w:rsidP="00FB563D">
            <w:pPr>
              <w:pStyle w:val="MDPI42tablebody"/>
              <w:autoSpaceDE w:val="0"/>
              <w:autoSpaceDN w:val="0"/>
              <w:spacing w:line="360" w:lineRule="auto"/>
              <w:rPr>
                <w:rFonts w:ascii="Times New Roman" w:hAnsi="Times New Roman"/>
                <w:sz w:val="24"/>
                <w:szCs w:val="24"/>
                <w:lang w:val="en-GB"/>
              </w:rPr>
            </w:pPr>
            <w:r w:rsidRPr="00FB563D">
              <w:rPr>
                <w:rFonts w:ascii="Times New Roman" w:hAnsi="Times New Roman"/>
                <w:sz w:val="24"/>
                <w:szCs w:val="24"/>
                <w:lang w:val="en-GB"/>
              </w:rPr>
              <w:t>1280 ± 41 *</w:t>
            </w:r>
          </w:p>
        </w:tc>
        <w:tc>
          <w:tcPr>
            <w:tcW w:w="0" w:type="auto"/>
            <w:shd w:val="clear" w:color="auto" w:fill="auto"/>
            <w:vAlign w:val="center"/>
          </w:tcPr>
          <w:p w14:paraId="3FDFED68" w14:textId="77777777" w:rsidR="00FB563D" w:rsidRPr="00FB563D" w:rsidRDefault="00FB563D" w:rsidP="00FB563D">
            <w:pPr>
              <w:pStyle w:val="MDPI42tablebody"/>
              <w:autoSpaceDE w:val="0"/>
              <w:autoSpaceDN w:val="0"/>
              <w:spacing w:line="360" w:lineRule="auto"/>
              <w:rPr>
                <w:rFonts w:ascii="Times New Roman" w:hAnsi="Times New Roman"/>
                <w:sz w:val="24"/>
                <w:szCs w:val="24"/>
                <w:lang w:val="en-GB"/>
              </w:rPr>
            </w:pPr>
            <w:r w:rsidRPr="00FB563D">
              <w:rPr>
                <w:rFonts w:ascii="Times New Roman" w:hAnsi="Times New Roman"/>
                <w:sz w:val="24"/>
                <w:szCs w:val="24"/>
                <w:lang w:val="en-GB"/>
              </w:rPr>
              <w:t xml:space="preserve">1130 ± 38 </w:t>
            </w:r>
            <w:r w:rsidRPr="00FB563D">
              <w:rPr>
                <w:rFonts w:ascii="Times New Roman" w:hAnsi="Times New Roman"/>
                <w:sz w:val="24"/>
                <w:szCs w:val="24"/>
                <w:vertAlign w:val="superscript"/>
                <w:lang w:val="en-GB"/>
              </w:rPr>
              <w:t>#</w:t>
            </w:r>
          </w:p>
        </w:tc>
      </w:tr>
    </w:tbl>
    <w:p w14:paraId="793B87BD" w14:textId="77777777" w:rsidR="00FB563D" w:rsidRPr="00FB563D" w:rsidRDefault="00FB563D" w:rsidP="00FB563D">
      <w:pPr>
        <w:pStyle w:val="MDPI43tablefooter"/>
        <w:spacing w:line="360" w:lineRule="auto"/>
        <w:ind w:left="425" w:right="425"/>
        <w:rPr>
          <w:rFonts w:ascii="Times New Roman" w:hAnsi="Times New Roman" w:cs="Times New Roman"/>
          <w:snapToGrid w:val="0"/>
          <w:sz w:val="24"/>
          <w:szCs w:val="24"/>
          <w:lang w:val="en-GB"/>
        </w:rPr>
      </w:pPr>
      <w:r w:rsidRPr="00FB563D">
        <w:rPr>
          <w:rFonts w:ascii="Times New Roman" w:hAnsi="Times New Roman" w:cs="Times New Roman"/>
          <w:snapToGrid w:val="0"/>
          <w:sz w:val="24"/>
          <w:szCs w:val="24"/>
          <w:lang w:val="en-GB"/>
        </w:rPr>
        <w:lastRenderedPageBreak/>
        <w:t>Data are expressed as mean ± SEM (</w:t>
      </w:r>
      <w:r w:rsidRPr="00FB563D">
        <w:rPr>
          <w:rFonts w:ascii="Times New Roman" w:hAnsi="Times New Roman" w:cs="Times New Roman"/>
          <w:i/>
          <w:snapToGrid w:val="0"/>
          <w:sz w:val="24"/>
          <w:szCs w:val="24"/>
          <w:lang w:val="en-GB"/>
        </w:rPr>
        <w:t>n</w:t>
      </w:r>
      <w:r w:rsidRPr="00FB563D">
        <w:rPr>
          <w:rFonts w:ascii="Times New Roman" w:hAnsi="Times New Roman" w:cs="Times New Roman"/>
          <w:snapToGrid w:val="0"/>
          <w:sz w:val="24"/>
          <w:szCs w:val="24"/>
          <w:lang w:val="en-GB"/>
        </w:rPr>
        <w:t xml:space="preserve"> = 14–20 for birth weight, body weight at 13 weeks, liver weight, and AUC of IPGTT; </w:t>
      </w:r>
      <w:r w:rsidRPr="00FB563D">
        <w:rPr>
          <w:rFonts w:ascii="Times New Roman" w:hAnsi="Times New Roman" w:cs="Times New Roman"/>
          <w:i/>
          <w:snapToGrid w:val="0"/>
          <w:sz w:val="24"/>
          <w:szCs w:val="24"/>
          <w:lang w:val="en-GB"/>
        </w:rPr>
        <w:t>n</w:t>
      </w:r>
      <w:r w:rsidRPr="00FB563D">
        <w:rPr>
          <w:rFonts w:ascii="Times New Roman" w:hAnsi="Times New Roman" w:cs="Times New Roman"/>
          <w:snapToGrid w:val="0"/>
          <w:sz w:val="24"/>
          <w:szCs w:val="24"/>
          <w:lang w:val="en-GB"/>
        </w:rPr>
        <w:t xml:space="preserve"> = 6–8 for liver triglycerides, plasma triglycerides, plasma ALT, plasma insulin; </w:t>
      </w:r>
      <w:r w:rsidRPr="00FB563D">
        <w:rPr>
          <w:rFonts w:ascii="Times New Roman" w:hAnsi="Times New Roman" w:cs="Times New Roman"/>
          <w:i/>
          <w:snapToGrid w:val="0"/>
          <w:sz w:val="24"/>
          <w:szCs w:val="24"/>
          <w:lang w:val="en-GB"/>
        </w:rPr>
        <w:t>n</w:t>
      </w:r>
      <w:r w:rsidRPr="00FB563D">
        <w:rPr>
          <w:rFonts w:ascii="Times New Roman" w:hAnsi="Times New Roman" w:cs="Times New Roman"/>
          <w:snapToGrid w:val="0"/>
          <w:sz w:val="24"/>
          <w:szCs w:val="24"/>
          <w:lang w:val="en-GB"/>
        </w:rPr>
        <w:t xml:space="preserve"> = 5 for liver PE). * </w:t>
      </w:r>
      <w:r w:rsidRPr="00FB563D">
        <w:rPr>
          <w:rFonts w:ascii="Times New Roman" w:hAnsi="Times New Roman" w:cs="Times New Roman"/>
          <w:i/>
          <w:snapToGrid w:val="0"/>
          <w:sz w:val="24"/>
          <w:szCs w:val="24"/>
          <w:lang w:val="en-GB"/>
        </w:rPr>
        <w:t>p</w:t>
      </w:r>
      <w:r w:rsidRPr="00FB563D">
        <w:rPr>
          <w:rFonts w:ascii="Times New Roman" w:hAnsi="Times New Roman" w:cs="Times New Roman"/>
          <w:snapToGrid w:val="0"/>
          <w:sz w:val="24"/>
          <w:szCs w:val="24"/>
          <w:lang w:val="en-GB"/>
        </w:rPr>
        <w:t xml:space="preserve"> &lt; 0.05, ** </w:t>
      </w:r>
      <w:r w:rsidRPr="00FB563D">
        <w:rPr>
          <w:rFonts w:ascii="Times New Roman" w:hAnsi="Times New Roman" w:cs="Times New Roman"/>
          <w:i/>
          <w:snapToGrid w:val="0"/>
          <w:sz w:val="24"/>
          <w:szCs w:val="24"/>
          <w:lang w:val="en-GB"/>
        </w:rPr>
        <w:t xml:space="preserve">p </w:t>
      </w:r>
      <w:r w:rsidRPr="00FB563D">
        <w:rPr>
          <w:rFonts w:ascii="Times New Roman" w:hAnsi="Times New Roman" w:cs="Times New Roman"/>
          <w:snapToGrid w:val="0"/>
          <w:sz w:val="24"/>
          <w:szCs w:val="24"/>
          <w:lang w:val="en-GB"/>
        </w:rPr>
        <w:t xml:space="preserve">&lt; 0.01 vs. Sham. </w:t>
      </w:r>
      <w:r w:rsidRPr="00FB563D">
        <w:rPr>
          <w:rFonts w:ascii="Times New Roman" w:hAnsi="Times New Roman" w:cs="Times New Roman"/>
          <w:snapToGrid w:val="0"/>
          <w:sz w:val="24"/>
          <w:szCs w:val="24"/>
          <w:vertAlign w:val="superscript"/>
          <w:lang w:val="en-GB"/>
        </w:rPr>
        <w:t>#</w:t>
      </w:r>
      <w:r w:rsidRPr="00FB563D">
        <w:rPr>
          <w:rFonts w:ascii="Times New Roman" w:hAnsi="Times New Roman" w:cs="Times New Roman"/>
          <w:i/>
          <w:snapToGrid w:val="0"/>
          <w:sz w:val="24"/>
          <w:szCs w:val="24"/>
          <w:lang w:val="en-GB"/>
        </w:rPr>
        <w:t xml:space="preserve"> p </w:t>
      </w:r>
      <w:r w:rsidRPr="00FB563D">
        <w:rPr>
          <w:rFonts w:ascii="Times New Roman" w:hAnsi="Times New Roman" w:cs="Times New Roman"/>
          <w:snapToGrid w:val="0"/>
          <w:sz w:val="24"/>
          <w:szCs w:val="24"/>
          <w:lang w:val="en-GB"/>
        </w:rPr>
        <w:t xml:space="preserve">&lt; 0.05, </w:t>
      </w:r>
      <w:r w:rsidRPr="00FB563D">
        <w:rPr>
          <w:rFonts w:ascii="Times New Roman" w:hAnsi="Times New Roman" w:cs="Times New Roman"/>
          <w:snapToGrid w:val="0"/>
          <w:sz w:val="24"/>
          <w:szCs w:val="24"/>
          <w:vertAlign w:val="superscript"/>
          <w:lang w:val="en-GB"/>
        </w:rPr>
        <w:t>##</w:t>
      </w:r>
      <w:r w:rsidRPr="00FB563D">
        <w:rPr>
          <w:rFonts w:ascii="Times New Roman" w:hAnsi="Times New Roman" w:cs="Times New Roman"/>
          <w:i/>
          <w:snapToGrid w:val="0"/>
          <w:sz w:val="24"/>
          <w:szCs w:val="24"/>
          <w:lang w:val="en-GB"/>
        </w:rPr>
        <w:t xml:space="preserve"> p </w:t>
      </w:r>
      <w:r w:rsidRPr="00FB563D">
        <w:rPr>
          <w:rFonts w:ascii="Times New Roman" w:hAnsi="Times New Roman" w:cs="Times New Roman"/>
          <w:snapToGrid w:val="0"/>
          <w:sz w:val="24"/>
          <w:szCs w:val="24"/>
          <w:lang w:val="en-GB"/>
        </w:rPr>
        <w:t>&lt; 0.01 vs. SE. ALT: alanine aminotransferase, AUC: area under the curve, IPGTT: intraperitoneal glucose tolerance test, PE: phosphatidylethanolamine, SE: cigarette smoke exposure, SE+MQ: SE with MitoQ supplementation.</w:t>
      </w:r>
    </w:p>
    <w:p w14:paraId="7BD367E6" w14:textId="77777777" w:rsidR="00FB563D" w:rsidRPr="00FB563D" w:rsidRDefault="00FB563D" w:rsidP="00FB563D">
      <w:pPr>
        <w:pStyle w:val="MDPI22heading2"/>
        <w:kinsoku/>
        <w:overflowPunct/>
        <w:autoSpaceDE/>
        <w:autoSpaceDN/>
        <w:spacing w:line="360" w:lineRule="auto"/>
        <w:rPr>
          <w:rFonts w:ascii="Times New Roman" w:hAnsi="Times New Roman"/>
          <w:noProof w:val="0"/>
          <w:sz w:val="24"/>
          <w:szCs w:val="24"/>
          <w:lang w:val="en-GB"/>
        </w:rPr>
      </w:pPr>
      <w:r w:rsidRPr="00FB563D">
        <w:rPr>
          <w:rFonts w:ascii="Times New Roman" w:hAnsi="Times New Roman"/>
          <w:noProof w:val="0"/>
          <w:sz w:val="24"/>
          <w:szCs w:val="24"/>
          <w:lang w:val="en-GB"/>
        </w:rPr>
        <w:t xml:space="preserve">3.2. Glucose Metabolic Markers </w:t>
      </w:r>
    </w:p>
    <w:p w14:paraId="7845E7B3" w14:textId="77777777" w:rsidR="00FB563D" w:rsidRPr="00FB563D" w:rsidRDefault="00FB563D" w:rsidP="00FB563D">
      <w:pPr>
        <w:pStyle w:val="MDPI31text"/>
        <w:widowControl w:val="0"/>
        <w:spacing w:line="360" w:lineRule="auto"/>
        <w:rPr>
          <w:rFonts w:ascii="Times New Roman" w:hAnsi="Times New Roman"/>
          <w:sz w:val="24"/>
          <w:szCs w:val="24"/>
          <w:lang w:val="en-GB"/>
        </w:rPr>
      </w:pPr>
      <w:r w:rsidRPr="00FB563D">
        <w:rPr>
          <w:rFonts w:ascii="Times New Roman" w:hAnsi="Times New Roman"/>
          <w:sz w:val="24"/>
          <w:szCs w:val="24"/>
          <w:lang w:val="en-GB"/>
        </w:rPr>
        <w:t>Impaired glucose clearance is associated with insulin resistance and type 2 diabetes. The IPGTT demonstrated that blood glucose was increased in the SE group compared to Sham group (</w:t>
      </w:r>
      <w:r w:rsidRPr="00FB563D">
        <w:rPr>
          <w:rFonts w:ascii="Times New Roman" w:hAnsi="Times New Roman"/>
          <w:i/>
          <w:sz w:val="24"/>
          <w:szCs w:val="24"/>
          <w:lang w:val="en-GB"/>
        </w:rPr>
        <w:t>p</w:t>
      </w:r>
      <w:r w:rsidRPr="00FB563D">
        <w:rPr>
          <w:rFonts w:ascii="Times New Roman" w:hAnsi="Times New Roman"/>
          <w:sz w:val="24"/>
          <w:szCs w:val="24"/>
          <w:lang w:val="en-GB"/>
        </w:rPr>
        <w:t xml:space="preserve"> &lt; 0.05) which was normalised in the SE+MQ group (</w:t>
      </w:r>
      <w:r w:rsidRPr="00FB563D">
        <w:rPr>
          <w:rFonts w:ascii="Times New Roman" w:hAnsi="Times New Roman"/>
          <w:i/>
          <w:sz w:val="24"/>
          <w:szCs w:val="24"/>
          <w:lang w:val="en-GB"/>
        </w:rPr>
        <w:t>p</w:t>
      </w:r>
      <w:r w:rsidRPr="00FB563D">
        <w:rPr>
          <w:rFonts w:ascii="Times New Roman" w:hAnsi="Times New Roman"/>
          <w:sz w:val="24"/>
          <w:szCs w:val="24"/>
          <w:lang w:val="en-GB"/>
        </w:rPr>
        <w:t xml:space="preserve"> &lt; 0.05 vs. SE, Table 1). However, hepatic expression of glucose transporters (Glut1, Glut2, and Glut4), glycolysis marker phosphofructokinase (PFK), gluconeogenesis markers (phosphoenolpyruvate carboxykinase 1 (PCK1), and forkhead box protein O1 (FOXO1)), and liver insulin sensing marker peroxisome proliferator-activated receptor gamma (PPAR-γ) were not different among the groups (Figure 2a–g). Maternal MitoQ supplementation reversed glucose intolerance induced by intrauterine tobacco smoke exposure, however, hepatic glucose metabolic markers were not affected.  </w:t>
      </w:r>
    </w:p>
    <w:p w14:paraId="2CD6B5B0" w14:textId="77777777" w:rsidR="00FB563D" w:rsidRPr="00FB563D" w:rsidRDefault="00FB563D" w:rsidP="00FB563D">
      <w:pPr>
        <w:pStyle w:val="MDPI31text"/>
        <w:spacing w:before="240" w:line="360" w:lineRule="auto"/>
        <w:ind w:firstLine="0"/>
        <w:jc w:val="center"/>
        <w:rPr>
          <w:rFonts w:ascii="Times New Roman" w:hAnsi="Times New Roman"/>
          <w:sz w:val="24"/>
          <w:szCs w:val="24"/>
          <w:lang w:val="en-GB"/>
        </w:rPr>
      </w:pPr>
      <w:r w:rsidRPr="00FB563D">
        <w:rPr>
          <w:rFonts w:ascii="Times New Roman" w:hAnsi="Times New Roman"/>
          <w:noProof/>
          <w:sz w:val="24"/>
          <w:szCs w:val="24"/>
          <w:lang w:val="en-AU" w:eastAsia="zh-CN" w:bidi="ar-SA"/>
        </w:rPr>
        <w:lastRenderedPageBreak/>
        <w:drawing>
          <wp:inline distT="0" distB="0" distL="0" distR="0" wp14:anchorId="3281ADA1" wp14:editId="33EEC983">
            <wp:extent cx="5615940" cy="5936019"/>
            <wp:effectExtent l="0" t="0" r="3810" b="7620"/>
            <wp:docPr id="2" name="Picture 2" descr="C:\Users\11412525\ownCloud\4. MitoQ W13 Liver\Figures\Figure 2 (600dpi) (04-Jul-20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412525\ownCloud\4. MitoQ W13 Liver\Figures\Figure 2 (600dpi) (04-Jul-2019).tif"/>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615940" cy="5936019"/>
                    </a:xfrm>
                    <a:prstGeom prst="rect">
                      <a:avLst/>
                    </a:prstGeom>
                    <a:noFill/>
                    <a:ln>
                      <a:noFill/>
                    </a:ln>
                  </pic:spPr>
                </pic:pic>
              </a:graphicData>
            </a:graphic>
          </wp:inline>
        </w:drawing>
      </w:r>
    </w:p>
    <w:p w14:paraId="4404FDEC" w14:textId="77777777" w:rsidR="00FB563D" w:rsidRPr="00FB563D" w:rsidRDefault="00FB563D" w:rsidP="00FB563D">
      <w:pPr>
        <w:pStyle w:val="MDPI51figurecaption"/>
        <w:spacing w:line="360" w:lineRule="auto"/>
        <w:rPr>
          <w:rFonts w:ascii="Times New Roman" w:hAnsi="Times New Roman"/>
          <w:sz w:val="24"/>
          <w:szCs w:val="24"/>
          <w:lang w:val="en-GB"/>
        </w:rPr>
      </w:pPr>
      <w:r w:rsidRPr="00FB563D">
        <w:rPr>
          <w:rFonts w:ascii="Times New Roman" w:hAnsi="Times New Roman"/>
          <w:b/>
          <w:sz w:val="24"/>
          <w:szCs w:val="24"/>
          <w:lang w:val="en-GB"/>
        </w:rPr>
        <w:t>Figure 2.</w:t>
      </w:r>
      <w:r w:rsidRPr="00FB563D">
        <w:rPr>
          <w:rFonts w:ascii="Times New Roman" w:hAnsi="Times New Roman"/>
          <w:sz w:val="24"/>
          <w:szCs w:val="24"/>
          <w:lang w:val="en-GB"/>
        </w:rPr>
        <w:t xml:space="preserve"> Liver mRNA expression of markers involved in glucose metabolism (</w:t>
      </w:r>
      <w:r w:rsidRPr="00FB563D">
        <w:rPr>
          <w:rFonts w:ascii="Times New Roman" w:hAnsi="Times New Roman"/>
          <w:b/>
          <w:sz w:val="24"/>
          <w:szCs w:val="24"/>
          <w:lang w:val="en-GB"/>
        </w:rPr>
        <w:t>a–g</w:t>
      </w:r>
      <w:r w:rsidRPr="00FB563D">
        <w:rPr>
          <w:rFonts w:ascii="Times New Roman" w:hAnsi="Times New Roman"/>
          <w:sz w:val="24"/>
          <w:szCs w:val="24"/>
          <w:lang w:val="en-GB"/>
        </w:rPr>
        <w:t>) and lipid metabolism (</w:t>
      </w:r>
      <w:r w:rsidRPr="00FB563D">
        <w:rPr>
          <w:rFonts w:ascii="Times New Roman" w:hAnsi="Times New Roman"/>
          <w:b/>
          <w:sz w:val="24"/>
          <w:szCs w:val="24"/>
          <w:lang w:val="en-GB"/>
        </w:rPr>
        <w:t>h–j</w:t>
      </w:r>
      <w:r w:rsidRPr="00FB563D">
        <w:rPr>
          <w:rFonts w:ascii="Times New Roman" w:hAnsi="Times New Roman"/>
          <w:sz w:val="24"/>
          <w:szCs w:val="24"/>
          <w:lang w:val="en-GB"/>
        </w:rPr>
        <w:t>) in 13 weeks old male offspring. Results are expressed as mean ± SEM (</w:t>
      </w:r>
      <w:r w:rsidRPr="00FB563D">
        <w:rPr>
          <w:rFonts w:ascii="Times New Roman" w:hAnsi="Times New Roman"/>
          <w:i/>
          <w:sz w:val="24"/>
          <w:szCs w:val="24"/>
          <w:lang w:val="en-GB"/>
        </w:rPr>
        <w:t>n</w:t>
      </w:r>
      <w:r w:rsidRPr="00FB563D">
        <w:rPr>
          <w:rFonts w:ascii="Times New Roman" w:hAnsi="Times New Roman"/>
          <w:sz w:val="24"/>
          <w:szCs w:val="24"/>
          <w:lang w:val="en-GB"/>
        </w:rPr>
        <w:t xml:space="preserve"> = 6–8). * </w:t>
      </w:r>
      <w:r w:rsidRPr="00FB563D">
        <w:rPr>
          <w:rFonts w:ascii="Times New Roman" w:hAnsi="Times New Roman"/>
          <w:i/>
          <w:sz w:val="24"/>
          <w:szCs w:val="24"/>
          <w:lang w:val="en-GB"/>
        </w:rPr>
        <w:t>p</w:t>
      </w:r>
      <w:r w:rsidRPr="00FB563D">
        <w:rPr>
          <w:rFonts w:ascii="Times New Roman" w:hAnsi="Times New Roman"/>
          <w:sz w:val="24"/>
          <w:szCs w:val="24"/>
          <w:lang w:val="en-GB"/>
        </w:rPr>
        <w:t xml:space="preserve"> &lt; 0.05. ATGL: adipose triglyceride lipase, CPT1a: carnitine palmitoyltransferase 1a, FASN: fatty acid synthase, FOXO1: forkhead box protein O1, Glut: glucose transporter, PFK: phosphofructokinase, PPAR-γ: peroxisome proliferator-activated receptor gamma, SE: cigarette smoke exposure, SE+MQ: SE with MitoQ supplementation.</w:t>
      </w:r>
    </w:p>
    <w:p w14:paraId="0E8E3089" w14:textId="77777777" w:rsidR="00FB563D" w:rsidRPr="00FB563D" w:rsidRDefault="00FB563D" w:rsidP="00FB563D">
      <w:pPr>
        <w:pStyle w:val="MDPI22heading2"/>
        <w:kinsoku/>
        <w:overflowPunct/>
        <w:autoSpaceDE/>
        <w:autoSpaceDN/>
        <w:spacing w:line="360" w:lineRule="auto"/>
        <w:rPr>
          <w:rFonts w:ascii="Times New Roman" w:hAnsi="Times New Roman"/>
          <w:noProof w:val="0"/>
          <w:sz w:val="24"/>
          <w:szCs w:val="24"/>
          <w:lang w:val="en-GB"/>
        </w:rPr>
      </w:pPr>
      <w:r w:rsidRPr="00FB563D">
        <w:rPr>
          <w:rFonts w:ascii="Times New Roman" w:hAnsi="Times New Roman"/>
          <w:noProof w:val="0"/>
          <w:sz w:val="24"/>
          <w:szCs w:val="24"/>
          <w:lang w:val="en-GB"/>
        </w:rPr>
        <w:t xml:space="preserve">3.3. Lipid Metabolic Markers </w:t>
      </w:r>
    </w:p>
    <w:p w14:paraId="7FE8BD86" w14:textId="77777777" w:rsidR="00FB563D" w:rsidRPr="00FB563D" w:rsidRDefault="00FB563D" w:rsidP="00FB563D">
      <w:pPr>
        <w:pStyle w:val="MDPI31text"/>
        <w:widowControl w:val="0"/>
        <w:spacing w:line="360" w:lineRule="auto"/>
        <w:rPr>
          <w:rFonts w:ascii="Times New Roman" w:hAnsi="Times New Roman"/>
          <w:sz w:val="24"/>
          <w:szCs w:val="24"/>
          <w:lang w:val="en-GB"/>
        </w:rPr>
      </w:pPr>
      <w:r w:rsidRPr="00FB563D">
        <w:rPr>
          <w:rFonts w:ascii="Times New Roman" w:hAnsi="Times New Roman"/>
          <w:sz w:val="24"/>
          <w:szCs w:val="24"/>
          <w:lang w:val="en-GB"/>
        </w:rPr>
        <w:t xml:space="preserve">Since blood glucose was increased in the SE group and hepatic steatosis is closely </w:t>
      </w:r>
      <w:r w:rsidRPr="00FB563D">
        <w:rPr>
          <w:rFonts w:ascii="Times New Roman" w:hAnsi="Times New Roman"/>
          <w:sz w:val="24"/>
          <w:szCs w:val="24"/>
          <w:lang w:val="en-GB"/>
        </w:rPr>
        <w:lastRenderedPageBreak/>
        <w:t>associated with the development of type 2 diabetes, liver lipid content was evaluated. Hepatic triglyceride (TG) concentration was increased in the SE group compared to the Sham group (</w:t>
      </w:r>
      <w:r w:rsidRPr="00FB563D">
        <w:rPr>
          <w:rFonts w:ascii="Times New Roman" w:hAnsi="Times New Roman"/>
          <w:i/>
          <w:sz w:val="24"/>
          <w:szCs w:val="24"/>
          <w:lang w:val="en-GB"/>
        </w:rPr>
        <w:t>p</w:t>
      </w:r>
      <w:r w:rsidRPr="00FB563D">
        <w:rPr>
          <w:rFonts w:ascii="Times New Roman" w:hAnsi="Times New Roman"/>
          <w:sz w:val="24"/>
          <w:szCs w:val="24"/>
          <w:lang w:val="en-GB"/>
        </w:rPr>
        <w:t xml:space="preserve"> &lt; 0.05), which was normalised in the SE+MQ group (</w:t>
      </w:r>
      <w:r w:rsidRPr="00FB563D">
        <w:rPr>
          <w:rFonts w:ascii="Times New Roman" w:hAnsi="Times New Roman"/>
          <w:i/>
          <w:sz w:val="24"/>
          <w:szCs w:val="24"/>
          <w:lang w:val="en-GB"/>
        </w:rPr>
        <w:t>p</w:t>
      </w:r>
      <w:r w:rsidRPr="00FB563D">
        <w:rPr>
          <w:rFonts w:ascii="Times New Roman" w:hAnsi="Times New Roman"/>
          <w:sz w:val="24"/>
          <w:szCs w:val="24"/>
          <w:lang w:val="en-GB"/>
        </w:rPr>
        <w:t xml:space="preserve"> &lt; 0.05 vs. SE, Table 1). Hepatic fatty acid synthase (FASN) mRNA expression was significantly increased in the SE group compared to the Sham group (</w:t>
      </w:r>
      <w:r w:rsidRPr="00FB563D">
        <w:rPr>
          <w:rFonts w:ascii="Times New Roman" w:hAnsi="Times New Roman"/>
          <w:i/>
          <w:sz w:val="24"/>
          <w:szCs w:val="24"/>
          <w:lang w:val="en-GB"/>
        </w:rPr>
        <w:t>p</w:t>
      </w:r>
      <w:r w:rsidRPr="00FB563D">
        <w:rPr>
          <w:rFonts w:ascii="Times New Roman" w:hAnsi="Times New Roman"/>
          <w:sz w:val="24"/>
          <w:szCs w:val="24"/>
          <w:lang w:val="en-GB"/>
        </w:rPr>
        <w:t xml:space="preserve"> &lt; 0.05) which again was normalised in the SE+MQ offspring (</w:t>
      </w:r>
      <w:r w:rsidRPr="00FB563D">
        <w:rPr>
          <w:rFonts w:ascii="Times New Roman" w:hAnsi="Times New Roman"/>
          <w:i/>
          <w:sz w:val="24"/>
          <w:szCs w:val="24"/>
          <w:lang w:val="en-GB"/>
        </w:rPr>
        <w:t>p</w:t>
      </w:r>
      <w:r w:rsidRPr="00FB563D">
        <w:rPr>
          <w:rFonts w:ascii="Times New Roman" w:hAnsi="Times New Roman"/>
          <w:sz w:val="24"/>
          <w:szCs w:val="24"/>
          <w:lang w:val="en-GB"/>
        </w:rPr>
        <w:t xml:space="preserve"> &lt; 0.01 vs. SE, Figure 2h). Adipose triglyceride lipase (ATGL) and carnitine palmitoyltransferase 1a (CPT1a) mRNA levels were only increased in the SE+MQ group (</w:t>
      </w:r>
      <w:r w:rsidRPr="00FB563D">
        <w:rPr>
          <w:rFonts w:ascii="Times New Roman" w:hAnsi="Times New Roman"/>
          <w:i/>
          <w:sz w:val="24"/>
          <w:szCs w:val="24"/>
          <w:lang w:val="en-GB"/>
        </w:rPr>
        <w:t>p</w:t>
      </w:r>
      <w:r w:rsidRPr="00FB563D">
        <w:rPr>
          <w:rFonts w:ascii="Times New Roman" w:hAnsi="Times New Roman"/>
          <w:sz w:val="24"/>
          <w:szCs w:val="24"/>
          <w:lang w:val="en-GB"/>
        </w:rPr>
        <w:t xml:space="preserve"> &lt; 0.05 vs. Sham, Figure 2i,j). </w:t>
      </w:r>
    </w:p>
    <w:p w14:paraId="1EBBC201" w14:textId="77777777" w:rsidR="00FB563D" w:rsidRPr="00FB563D" w:rsidRDefault="00FB563D" w:rsidP="00FB563D">
      <w:pPr>
        <w:pStyle w:val="MDPI31text"/>
        <w:spacing w:line="360" w:lineRule="auto"/>
        <w:rPr>
          <w:rFonts w:ascii="Times New Roman" w:hAnsi="Times New Roman"/>
          <w:sz w:val="24"/>
          <w:szCs w:val="24"/>
          <w:lang w:val="en-GB"/>
        </w:rPr>
      </w:pPr>
      <w:r w:rsidRPr="00FB563D">
        <w:rPr>
          <w:rFonts w:ascii="Times New Roman" w:hAnsi="Times New Roman"/>
          <w:sz w:val="24"/>
          <w:szCs w:val="24"/>
          <w:lang w:val="en-GB"/>
        </w:rPr>
        <w:t>From lipidomics analysis, liver concentrations of certain phosphatidylethanolamine (PE) species, specifically PE 34:1, PE 38:1, PE 38:2, and PE 40:5 were increased in the SE group compared to the Sham group (</w:t>
      </w:r>
      <w:r w:rsidRPr="00FB563D">
        <w:rPr>
          <w:rFonts w:ascii="Times New Roman" w:hAnsi="Times New Roman"/>
          <w:i/>
          <w:sz w:val="24"/>
          <w:szCs w:val="24"/>
          <w:lang w:val="en-GB"/>
        </w:rPr>
        <w:t>p</w:t>
      </w:r>
      <w:r w:rsidRPr="00FB563D">
        <w:rPr>
          <w:rFonts w:ascii="Times New Roman" w:hAnsi="Times New Roman"/>
          <w:sz w:val="24"/>
          <w:szCs w:val="24"/>
          <w:lang w:val="en-GB"/>
        </w:rPr>
        <w:t xml:space="preserve"> &lt; 0.05), with PE 38:2 being normalised in the SE+ MQ group (</w:t>
      </w:r>
      <w:r w:rsidRPr="00FB563D">
        <w:rPr>
          <w:rFonts w:ascii="Times New Roman" w:hAnsi="Times New Roman"/>
          <w:i/>
          <w:sz w:val="24"/>
          <w:szCs w:val="24"/>
          <w:lang w:val="en-GB"/>
        </w:rPr>
        <w:t>p</w:t>
      </w:r>
      <w:r w:rsidRPr="00FB563D">
        <w:rPr>
          <w:rFonts w:ascii="Times New Roman" w:hAnsi="Times New Roman"/>
          <w:sz w:val="24"/>
          <w:szCs w:val="24"/>
          <w:lang w:val="en-GB"/>
        </w:rPr>
        <w:t xml:space="preserve"> &lt; 0.05 vs. SE, Table 1). No differences in other lipid species detected during lipidomics analysis were observed (see Table S2). In addition, plasma TG concentrations were not different among the three groups (Table 1). Overall, increased hepatic </w:t>
      </w:r>
      <w:r w:rsidRPr="00FB563D">
        <w:rPr>
          <w:rFonts w:ascii="Times New Roman" w:hAnsi="Times New Roman"/>
          <w:iCs/>
          <w:sz w:val="24"/>
          <w:szCs w:val="24"/>
          <w:lang w:val="en-GB"/>
        </w:rPr>
        <w:t>de novo</w:t>
      </w:r>
      <w:r w:rsidRPr="00FB563D">
        <w:rPr>
          <w:rFonts w:ascii="Times New Roman" w:hAnsi="Times New Roman"/>
          <w:sz w:val="24"/>
          <w:szCs w:val="24"/>
          <w:lang w:val="en-GB"/>
        </w:rPr>
        <w:t xml:space="preserve"> lipogenesis could be responsible for elevated hepatic TG concentrations in the SE group. Furthermore, maternal MitoQ supplementation normalised liver TG concentration in the offspring via a normalisation of </w:t>
      </w:r>
      <w:r w:rsidRPr="00FB563D">
        <w:rPr>
          <w:rFonts w:ascii="Times New Roman" w:hAnsi="Times New Roman"/>
          <w:iCs/>
          <w:sz w:val="24"/>
          <w:szCs w:val="24"/>
          <w:lang w:val="en-GB"/>
        </w:rPr>
        <w:t>de novo</w:t>
      </w:r>
      <w:r w:rsidRPr="00FB563D">
        <w:rPr>
          <w:rFonts w:ascii="Times New Roman" w:hAnsi="Times New Roman"/>
          <w:sz w:val="24"/>
          <w:szCs w:val="24"/>
          <w:lang w:val="en-GB"/>
        </w:rPr>
        <w:t xml:space="preserve"> lipogenesis and an increase in mitochondrial fatty acid β-oxidation.   </w:t>
      </w:r>
    </w:p>
    <w:p w14:paraId="240E71D0" w14:textId="77777777" w:rsidR="00FB563D" w:rsidRPr="00FB563D" w:rsidRDefault="00FB563D" w:rsidP="00FB563D">
      <w:pPr>
        <w:pStyle w:val="MDPI22heading2"/>
        <w:kinsoku/>
        <w:overflowPunct/>
        <w:autoSpaceDE/>
        <w:autoSpaceDN/>
        <w:spacing w:line="360" w:lineRule="auto"/>
        <w:rPr>
          <w:rFonts w:ascii="Times New Roman" w:hAnsi="Times New Roman"/>
          <w:noProof w:val="0"/>
          <w:sz w:val="24"/>
          <w:szCs w:val="24"/>
          <w:lang w:val="en-GB"/>
        </w:rPr>
      </w:pPr>
      <w:r w:rsidRPr="00FB563D">
        <w:rPr>
          <w:rFonts w:ascii="Times New Roman" w:hAnsi="Times New Roman"/>
          <w:noProof w:val="0"/>
          <w:sz w:val="24"/>
          <w:szCs w:val="24"/>
          <w:lang w:val="en-GB"/>
        </w:rPr>
        <w:t xml:space="preserve">3.4. Liver Injury Markers </w:t>
      </w:r>
    </w:p>
    <w:p w14:paraId="5930FD0C" w14:textId="77777777" w:rsidR="00FB563D" w:rsidRPr="00FB563D" w:rsidRDefault="00FB563D" w:rsidP="00FB563D">
      <w:pPr>
        <w:pStyle w:val="MDPI31text"/>
        <w:spacing w:line="360" w:lineRule="auto"/>
        <w:rPr>
          <w:rFonts w:ascii="Times New Roman" w:hAnsi="Times New Roman"/>
          <w:sz w:val="24"/>
          <w:szCs w:val="24"/>
          <w:lang w:val="en-GB"/>
        </w:rPr>
      </w:pPr>
      <w:r w:rsidRPr="00FB563D">
        <w:rPr>
          <w:rFonts w:ascii="Times New Roman" w:hAnsi="Times New Roman"/>
          <w:sz w:val="24"/>
          <w:szCs w:val="24"/>
          <w:lang w:val="en-GB"/>
        </w:rPr>
        <w:t>Plasma ALT activity and hepatic markers of inflammation and fibrosis are often elevated during liver injury. Plasma ALT was significantly increased in the SE group compared to the Sham group (</w:t>
      </w:r>
      <w:r w:rsidRPr="00FB563D">
        <w:rPr>
          <w:rFonts w:ascii="Times New Roman" w:hAnsi="Times New Roman"/>
          <w:i/>
          <w:sz w:val="24"/>
          <w:szCs w:val="24"/>
          <w:lang w:val="en-GB"/>
        </w:rPr>
        <w:t>p</w:t>
      </w:r>
      <w:r w:rsidRPr="00FB563D">
        <w:rPr>
          <w:rFonts w:ascii="Times New Roman" w:hAnsi="Times New Roman"/>
          <w:sz w:val="24"/>
          <w:szCs w:val="24"/>
          <w:lang w:val="en-GB"/>
        </w:rPr>
        <w:t xml:space="preserve"> &lt; 0.05); this was reversed in the SE+MQ group (</w:t>
      </w:r>
      <w:r w:rsidRPr="00FB563D">
        <w:rPr>
          <w:rFonts w:ascii="Times New Roman" w:hAnsi="Times New Roman"/>
          <w:i/>
          <w:sz w:val="24"/>
          <w:szCs w:val="24"/>
          <w:lang w:val="en-GB"/>
        </w:rPr>
        <w:t>p</w:t>
      </w:r>
      <w:r w:rsidRPr="00FB563D">
        <w:rPr>
          <w:rFonts w:ascii="Times New Roman" w:hAnsi="Times New Roman"/>
          <w:sz w:val="24"/>
          <w:szCs w:val="24"/>
          <w:lang w:val="en-GB"/>
        </w:rPr>
        <w:t xml:space="preserve"> &lt; 0.05 vs. SE, Table 1). Hepatic tumour necrosis factor (TNF)-α mRNA expression was significantly increased in the SE group compared to the Sham group (</w:t>
      </w:r>
      <w:r w:rsidRPr="00FB563D">
        <w:rPr>
          <w:rFonts w:ascii="Times New Roman" w:hAnsi="Times New Roman"/>
          <w:i/>
          <w:sz w:val="24"/>
          <w:szCs w:val="24"/>
          <w:lang w:val="en-GB"/>
        </w:rPr>
        <w:t>p</w:t>
      </w:r>
      <w:r w:rsidRPr="00FB563D">
        <w:rPr>
          <w:rFonts w:ascii="Times New Roman" w:hAnsi="Times New Roman"/>
          <w:sz w:val="24"/>
          <w:szCs w:val="24"/>
          <w:lang w:val="en-GB"/>
        </w:rPr>
        <w:t xml:space="preserve"> &lt; 0.01, Figure 3a) and was nearly normalised in the SE+MQ offspring (</w:t>
      </w:r>
      <w:r w:rsidRPr="00FB563D">
        <w:rPr>
          <w:rFonts w:ascii="Times New Roman" w:hAnsi="Times New Roman"/>
          <w:i/>
          <w:sz w:val="24"/>
          <w:szCs w:val="24"/>
          <w:lang w:val="en-GB"/>
        </w:rPr>
        <w:t>p</w:t>
      </w:r>
      <w:r w:rsidRPr="00FB563D">
        <w:rPr>
          <w:rFonts w:ascii="Times New Roman" w:hAnsi="Times New Roman"/>
          <w:sz w:val="24"/>
          <w:szCs w:val="24"/>
          <w:lang w:val="en-GB"/>
        </w:rPr>
        <w:t xml:space="preserve"> = 0.06 vs. SE, Figure 3a). However, mRNA expression of interleukin (IL)-1β was not different between the groups (Figure 3b). Protein expression of surface macrophage markers, CD68 and F4/80, and mRNA expression of the macrophage chemokine, monocyte chemoattractant protein 1 (MCP-1), were not different among the three groups (Figure 3c–e). Stellate cell activity marker, α-</w:t>
      </w:r>
      <w:r w:rsidRPr="00FB563D">
        <w:rPr>
          <w:rStyle w:val="st"/>
          <w:rFonts w:ascii="Times New Roman" w:hAnsi="Times New Roman"/>
          <w:sz w:val="24"/>
          <w:szCs w:val="24"/>
          <w:lang w:val="en-GB"/>
        </w:rPr>
        <w:t>smooth muscle actin</w:t>
      </w:r>
      <w:r w:rsidRPr="00FB563D">
        <w:rPr>
          <w:rFonts w:ascii="Times New Roman" w:hAnsi="Times New Roman"/>
          <w:sz w:val="24"/>
          <w:szCs w:val="24"/>
          <w:lang w:val="en-GB"/>
        </w:rPr>
        <w:t xml:space="preserve"> (α-SMA), was increased in the SE group (</w:t>
      </w:r>
      <w:r w:rsidRPr="00FB563D">
        <w:rPr>
          <w:rFonts w:ascii="Times New Roman" w:hAnsi="Times New Roman"/>
          <w:i/>
          <w:sz w:val="24"/>
          <w:szCs w:val="24"/>
          <w:lang w:val="en-GB"/>
        </w:rPr>
        <w:t>p</w:t>
      </w:r>
      <w:r w:rsidRPr="00FB563D">
        <w:rPr>
          <w:rFonts w:ascii="Times New Roman" w:hAnsi="Times New Roman"/>
          <w:sz w:val="24"/>
          <w:szCs w:val="24"/>
          <w:lang w:val="en-GB"/>
        </w:rPr>
        <w:t xml:space="preserve"> &lt; 0.05 vs. Sham, Figure 3f) which was reversed in the SE+MQ group (</w:t>
      </w:r>
      <w:r w:rsidRPr="00FB563D">
        <w:rPr>
          <w:rFonts w:ascii="Times New Roman" w:hAnsi="Times New Roman"/>
          <w:i/>
          <w:sz w:val="24"/>
          <w:szCs w:val="24"/>
          <w:lang w:val="en-GB"/>
        </w:rPr>
        <w:t>p</w:t>
      </w:r>
      <w:r w:rsidRPr="00FB563D">
        <w:rPr>
          <w:rFonts w:ascii="Times New Roman" w:hAnsi="Times New Roman"/>
          <w:sz w:val="24"/>
          <w:szCs w:val="24"/>
          <w:lang w:val="en-GB"/>
        </w:rPr>
        <w:t xml:space="preserve"> &lt; 0.05 vs. SE, Figure 3f). The deposition of hepatic collagen 1a1, collagen III and total collagen was increased in the SE group compared to the Sham group (</w:t>
      </w:r>
      <w:r w:rsidRPr="00FB563D">
        <w:rPr>
          <w:rFonts w:ascii="Times New Roman" w:hAnsi="Times New Roman"/>
          <w:i/>
          <w:sz w:val="24"/>
          <w:szCs w:val="24"/>
          <w:lang w:val="en-GB"/>
        </w:rPr>
        <w:t>p</w:t>
      </w:r>
      <w:r w:rsidRPr="00FB563D">
        <w:rPr>
          <w:rFonts w:ascii="Times New Roman" w:hAnsi="Times New Roman"/>
          <w:sz w:val="24"/>
          <w:szCs w:val="24"/>
          <w:lang w:val="en-GB"/>
        </w:rPr>
        <w:t xml:space="preserve"> &lt; 0.05, Figure 3g–i), with collagen1a1 deposition being normalised in the SE+MQ group (</w:t>
      </w:r>
      <w:r w:rsidRPr="00FB563D">
        <w:rPr>
          <w:rFonts w:ascii="Times New Roman" w:hAnsi="Times New Roman"/>
          <w:i/>
          <w:sz w:val="24"/>
          <w:szCs w:val="24"/>
          <w:lang w:val="en-GB"/>
        </w:rPr>
        <w:t>p</w:t>
      </w:r>
      <w:r w:rsidRPr="00FB563D">
        <w:rPr>
          <w:rFonts w:ascii="Times New Roman" w:hAnsi="Times New Roman"/>
          <w:sz w:val="24"/>
          <w:szCs w:val="24"/>
          <w:lang w:val="en-GB"/>
        </w:rPr>
        <w:t xml:space="preserve"> &lt; 0.05 vs. SE, Figure 3g). Elevated liver injury markers in the offspring from the SE dams were mostly reversed by </w:t>
      </w:r>
      <w:r w:rsidRPr="00FB563D">
        <w:rPr>
          <w:rFonts w:ascii="Times New Roman" w:hAnsi="Times New Roman"/>
          <w:sz w:val="24"/>
          <w:szCs w:val="24"/>
          <w:lang w:val="en-GB"/>
        </w:rPr>
        <w:lastRenderedPageBreak/>
        <w:t xml:space="preserve">maternal MitoQ supplementation during pregnancy. However, this did not seem to be associated with changes in resident macrophages. </w:t>
      </w:r>
    </w:p>
    <w:p w14:paraId="47688FF3" w14:textId="77777777" w:rsidR="00FB563D" w:rsidRPr="00FB563D" w:rsidRDefault="00FB563D" w:rsidP="00FB563D">
      <w:pPr>
        <w:pStyle w:val="MDPI31text"/>
        <w:spacing w:before="240" w:line="360" w:lineRule="auto"/>
        <w:ind w:firstLine="0"/>
        <w:jc w:val="center"/>
        <w:rPr>
          <w:rFonts w:ascii="Times New Roman" w:hAnsi="Times New Roman"/>
          <w:sz w:val="24"/>
          <w:szCs w:val="24"/>
          <w:lang w:val="en-GB"/>
        </w:rPr>
      </w:pPr>
      <w:r w:rsidRPr="00FB563D">
        <w:rPr>
          <w:rFonts w:ascii="Times New Roman" w:hAnsi="Times New Roman"/>
          <w:noProof/>
          <w:sz w:val="24"/>
          <w:szCs w:val="24"/>
          <w:lang w:val="en-AU" w:eastAsia="zh-CN" w:bidi="ar-SA"/>
        </w:rPr>
        <w:drawing>
          <wp:inline distT="0" distB="0" distL="0" distR="0" wp14:anchorId="6AB58020" wp14:editId="50014E26">
            <wp:extent cx="5615940" cy="7055405"/>
            <wp:effectExtent l="0" t="0" r="3810" b="0"/>
            <wp:docPr id="6" name="Picture 6" descr="C:\Users\11412525\ownCloud\4. MitoQ W13 Liver\Figures\Figure 3 (07-July-20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412525\ownCloud\4. MitoQ W13 Liver\Figures\Figure 3 (07-July-2019).tif"/>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615940" cy="7055405"/>
                    </a:xfrm>
                    <a:prstGeom prst="rect">
                      <a:avLst/>
                    </a:prstGeom>
                    <a:noFill/>
                    <a:ln>
                      <a:noFill/>
                    </a:ln>
                  </pic:spPr>
                </pic:pic>
              </a:graphicData>
            </a:graphic>
          </wp:inline>
        </w:drawing>
      </w:r>
    </w:p>
    <w:p w14:paraId="116727E9" w14:textId="77777777" w:rsidR="00FB563D" w:rsidRPr="00FB563D" w:rsidRDefault="00FB563D" w:rsidP="00FB563D">
      <w:pPr>
        <w:pStyle w:val="MDPI51figurecaption"/>
        <w:spacing w:line="360" w:lineRule="auto"/>
        <w:rPr>
          <w:rFonts w:ascii="Times New Roman" w:hAnsi="Times New Roman"/>
          <w:sz w:val="24"/>
          <w:szCs w:val="24"/>
          <w:lang w:val="en-GB"/>
        </w:rPr>
      </w:pPr>
      <w:r w:rsidRPr="00FB563D">
        <w:rPr>
          <w:rFonts w:ascii="Times New Roman" w:hAnsi="Times New Roman"/>
          <w:b/>
          <w:sz w:val="24"/>
          <w:szCs w:val="24"/>
          <w:lang w:val="en-GB"/>
        </w:rPr>
        <w:t>Figure 3.</w:t>
      </w:r>
      <w:r w:rsidRPr="00FB563D">
        <w:rPr>
          <w:rFonts w:ascii="Times New Roman" w:hAnsi="Times New Roman"/>
          <w:sz w:val="24"/>
          <w:szCs w:val="24"/>
          <w:lang w:val="en-GB"/>
        </w:rPr>
        <w:t xml:space="preserve"> Markers of liver inflammation TNF-α, IL-1β (</w:t>
      </w:r>
      <w:r w:rsidRPr="00FB563D">
        <w:rPr>
          <w:rFonts w:ascii="Times New Roman" w:hAnsi="Times New Roman"/>
          <w:b/>
          <w:sz w:val="24"/>
          <w:szCs w:val="24"/>
          <w:lang w:val="en-GB"/>
        </w:rPr>
        <w:t>a,b</w:t>
      </w:r>
      <w:r w:rsidRPr="00FB563D">
        <w:rPr>
          <w:rFonts w:ascii="Times New Roman" w:hAnsi="Times New Roman"/>
          <w:sz w:val="24"/>
          <w:szCs w:val="24"/>
          <w:lang w:val="en-GB"/>
        </w:rPr>
        <w:t>), macrophage markers MCP-1, CD68 and F4/80 (</w:t>
      </w:r>
      <w:r w:rsidRPr="00FB563D">
        <w:rPr>
          <w:rFonts w:ascii="Times New Roman" w:hAnsi="Times New Roman"/>
          <w:b/>
          <w:sz w:val="24"/>
          <w:szCs w:val="24"/>
          <w:lang w:val="en-GB"/>
        </w:rPr>
        <w:t>c–e</w:t>
      </w:r>
      <w:r w:rsidRPr="00FB563D">
        <w:rPr>
          <w:rFonts w:ascii="Times New Roman" w:hAnsi="Times New Roman"/>
          <w:sz w:val="24"/>
          <w:szCs w:val="24"/>
          <w:lang w:val="en-GB"/>
        </w:rPr>
        <w:t>), stellate cell activation marker α- SMA (</w:t>
      </w:r>
      <w:r w:rsidRPr="00FB563D">
        <w:rPr>
          <w:rFonts w:ascii="Times New Roman" w:hAnsi="Times New Roman"/>
          <w:b/>
          <w:sz w:val="24"/>
          <w:szCs w:val="24"/>
          <w:lang w:val="en-GB"/>
        </w:rPr>
        <w:t>f</w:t>
      </w:r>
      <w:r w:rsidRPr="00FB563D">
        <w:rPr>
          <w:rFonts w:ascii="Times New Roman" w:hAnsi="Times New Roman"/>
          <w:sz w:val="24"/>
          <w:szCs w:val="24"/>
          <w:lang w:val="en-GB"/>
        </w:rPr>
        <w:t>) and fibrous deposition of collagen 1a1, collagen III, and total collagen (</w:t>
      </w:r>
      <w:r w:rsidRPr="00FB563D">
        <w:rPr>
          <w:rFonts w:ascii="Times New Roman" w:hAnsi="Times New Roman"/>
          <w:b/>
          <w:sz w:val="24"/>
          <w:szCs w:val="24"/>
          <w:lang w:val="en-GB"/>
        </w:rPr>
        <w:t>g–i</w:t>
      </w:r>
      <w:r w:rsidRPr="00FB563D">
        <w:rPr>
          <w:rFonts w:ascii="Times New Roman" w:hAnsi="Times New Roman"/>
          <w:sz w:val="24"/>
          <w:szCs w:val="24"/>
          <w:lang w:val="en-GB"/>
        </w:rPr>
        <w:t>) in 13 weeks old male offspring. Results are expressed as mean ± SEM (</w:t>
      </w:r>
      <w:r w:rsidRPr="00FB563D">
        <w:rPr>
          <w:rFonts w:ascii="Times New Roman" w:hAnsi="Times New Roman"/>
          <w:i/>
          <w:sz w:val="24"/>
          <w:szCs w:val="24"/>
          <w:lang w:val="en-GB"/>
        </w:rPr>
        <w:t>n</w:t>
      </w:r>
      <w:r w:rsidRPr="00FB563D">
        <w:rPr>
          <w:rFonts w:ascii="Times New Roman" w:hAnsi="Times New Roman"/>
          <w:sz w:val="24"/>
          <w:szCs w:val="24"/>
          <w:lang w:val="en-GB"/>
        </w:rPr>
        <w:t xml:space="preserve"> = 4–8). *</w:t>
      </w:r>
      <w:r w:rsidRPr="00FB563D">
        <w:rPr>
          <w:rFonts w:ascii="Times New Roman" w:hAnsi="Times New Roman"/>
          <w:i/>
          <w:sz w:val="24"/>
          <w:szCs w:val="24"/>
          <w:lang w:val="en-GB"/>
        </w:rPr>
        <w:t xml:space="preserve"> p</w:t>
      </w:r>
      <w:r w:rsidRPr="00FB563D">
        <w:rPr>
          <w:rFonts w:ascii="Times New Roman" w:hAnsi="Times New Roman"/>
          <w:sz w:val="24"/>
          <w:szCs w:val="24"/>
          <w:lang w:val="en-GB"/>
        </w:rPr>
        <w:t xml:space="preserve"> &lt; 0.05, **</w:t>
      </w:r>
      <w:r w:rsidRPr="00FB563D">
        <w:rPr>
          <w:rFonts w:ascii="Times New Roman" w:hAnsi="Times New Roman"/>
          <w:i/>
          <w:sz w:val="24"/>
          <w:szCs w:val="24"/>
          <w:lang w:val="en-GB"/>
        </w:rPr>
        <w:t xml:space="preserve"> p</w:t>
      </w:r>
      <w:r w:rsidRPr="00FB563D">
        <w:rPr>
          <w:rFonts w:ascii="Times New Roman" w:hAnsi="Times New Roman"/>
          <w:sz w:val="24"/>
          <w:szCs w:val="24"/>
          <w:lang w:val="en-GB"/>
        </w:rPr>
        <w:t xml:space="preserve"> &lt; 0.01. </w:t>
      </w:r>
      <w:r w:rsidRPr="00FB563D">
        <w:rPr>
          <w:rFonts w:ascii="Times New Roman" w:hAnsi="Times New Roman"/>
          <w:sz w:val="24"/>
          <w:szCs w:val="24"/>
          <w:lang w:val="en-GB"/>
        </w:rPr>
        <w:lastRenderedPageBreak/>
        <w:t>Representative images of hepatic CD68 (</w:t>
      </w:r>
      <w:r w:rsidRPr="00FB563D">
        <w:rPr>
          <w:rFonts w:ascii="Times New Roman" w:hAnsi="Times New Roman"/>
          <w:b/>
          <w:sz w:val="24"/>
          <w:szCs w:val="24"/>
          <w:lang w:val="en-GB"/>
        </w:rPr>
        <w:t>j</w:t>
      </w:r>
      <w:r w:rsidRPr="00FB563D">
        <w:rPr>
          <w:rFonts w:ascii="Times New Roman" w:hAnsi="Times New Roman"/>
          <w:sz w:val="24"/>
          <w:szCs w:val="24"/>
          <w:lang w:val="en-GB"/>
        </w:rPr>
        <w:t>, positive staining indicated by arrows) and collagen III (</w:t>
      </w:r>
      <w:r w:rsidRPr="00FB563D">
        <w:rPr>
          <w:rFonts w:ascii="Times New Roman" w:hAnsi="Times New Roman"/>
          <w:b/>
          <w:sz w:val="24"/>
          <w:szCs w:val="24"/>
          <w:lang w:val="en-GB"/>
        </w:rPr>
        <w:t>k</w:t>
      </w:r>
      <w:r w:rsidRPr="00FB563D">
        <w:rPr>
          <w:rFonts w:ascii="Times New Roman" w:hAnsi="Times New Roman"/>
          <w:sz w:val="24"/>
          <w:szCs w:val="24"/>
          <w:lang w:val="en-GB"/>
        </w:rPr>
        <w:t>, positive staining indicated by arrows) immunohistochemistry staining in 13 weeks old male offspring, bar = 50 µm. (</w:t>
      </w:r>
      <w:r w:rsidRPr="00FB563D">
        <w:rPr>
          <w:rFonts w:ascii="Times New Roman" w:hAnsi="Times New Roman"/>
          <w:b/>
          <w:sz w:val="24"/>
          <w:szCs w:val="24"/>
          <w:lang w:val="en-GB"/>
        </w:rPr>
        <w:t>l</w:t>
      </w:r>
      <w:r w:rsidRPr="00FB563D">
        <w:rPr>
          <w:rFonts w:ascii="Times New Roman" w:hAnsi="Times New Roman"/>
          <w:sz w:val="24"/>
          <w:szCs w:val="24"/>
          <w:lang w:val="en-GB"/>
        </w:rPr>
        <w:t>) Representative images of SHG showing total collagen staining after gamma correction (collagen is green/yellow), bar = 1000 µm. α-SMA: alpha-smooth muscle actin, CD68: cluster of differentiation 68, F4/80: EGF-like module-containing mucin-like hormone receptor-like 1, IL-1β: interleukin 1 beta, MCP-1: monocyte chemoattractant protein 1, SE: cigarette smoke exposure, SE+MQ: SE with MitoQ supplementation, SHG: second harmonic generation, TNF-α: tumour necrosis factor-α.</w:t>
      </w:r>
    </w:p>
    <w:p w14:paraId="3D72C5D3" w14:textId="77777777" w:rsidR="00FB563D" w:rsidRPr="00FB563D" w:rsidRDefault="00FB563D" w:rsidP="00FB563D">
      <w:pPr>
        <w:pStyle w:val="MDPI22heading2"/>
        <w:kinsoku/>
        <w:overflowPunct/>
        <w:autoSpaceDE/>
        <w:autoSpaceDN/>
        <w:spacing w:line="360" w:lineRule="auto"/>
        <w:rPr>
          <w:rFonts w:ascii="Times New Roman" w:hAnsi="Times New Roman"/>
          <w:noProof w:val="0"/>
          <w:sz w:val="24"/>
          <w:szCs w:val="24"/>
          <w:lang w:val="en-GB"/>
        </w:rPr>
      </w:pPr>
      <w:r w:rsidRPr="00FB563D">
        <w:rPr>
          <w:rFonts w:ascii="Times New Roman" w:hAnsi="Times New Roman"/>
          <w:noProof w:val="0"/>
          <w:sz w:val="24"/>
          <w:szCs w:val="24"/>
          <w:lang w:val="en-GB"/>
        </w:rPr>
        <w:t xml:space="preserve">3.5. Oxidative Stress and Mitochondrial Integrity </w:t>
      </w:r>
    </w:p>
    <w:p w14:paraId="771C019F" w14:textId="77777777" w:rsidR="00FB563D" w:rsidRPr="00FB563D" w:rsidRDefault="00FB563D" w:rsidP="00FB563D">
      <w:pPr>
        <w:pStyle w:val="MDPI31text"/>
        <w:spacing w:line="360" w:lineRule="auto"/>
        <w:rPr>
          <w:rFonts w:ascii="Times New Roman" w:hAnsi="Times New Roman"/>
          <w:sz w:val="24"/>
          <w:szCs w:val="24"/>
          <w:lang w:val="en-GB"/>
        </w:rPr>
      </w:pPr>
      <w:r w:rsidRPr="00FB563D">
        <w:rPr>
          <w:rFonts w:ascii="Times New Roman" w:hAnsi="Times New Roman"/>
          <w:sz w:val="24"/>
          <w:szCs w:val="24"/>
          <w:lang w:val="en-GB"/>
        </w:rPr>
        <w:t>Oxidative stress and mitochondrial damage are implicated in the development of metabolic disorders and hepatic steatosis. There was a significant decrease in mitochondrial density in the SE group compared to the Sham group (</w:t>
      </w:r>
      <w:r w:rsidRPr="00FB563D">
        <w:rPr>
          <w:rFonts w:ascii="Times New Roman" w:hAnsi="Times New Roman"/>
          <w:i/>
          <w:sz w:val="24"/>
          <w:szCs w:val="24"/>
          <w:lang w:val="en-GB"/>
        </w:rPr>
        <w:t>p</w:t>
      </w:r>
      <w:r w:rsidRPr="00FB563D">
        <w:rPr>
          <w:rFonts w:ascii="Times New Roman" w:hAnsi="Times New Roman"/>
          <w:sz w:val="24"/>
          <w:szCs w:val="24"/>
          <w:lang w:val="en-GB"/>
        </w:rPr>
        <w:t xml:space="preserve"> &lt; 0.05) which was normalised in the SE+MQ group (</w:t>
      </w:r>
      <w:r w:rsidRPr="00FB563D">
        <w:rPr>
          <w:rFonts w:ascii="Times New Roman" w:hAnsi="Times New Roman"/>
          <w:i/>
          <w:sz w:val="24"/>
          <w:szCs w:val="24"/>
          <w:lang w:val="en-GB"/>
        </w:rPr>
        <w:t>p</w:t>
      </w:r>
      <w:r w:rsidRPr="00FB563D">
        <w:rPr>
          <w:rFonts w:ascii="Times New Roman" w:hAnsi="Times New Roman"/>
          <w:sz w:val="24"/>
          <w:szCs w:val="24"/>
          <w:lang w:val="en-GB"/>
        </w:rPr>
        <w:t xml:space="preserve"> &lt; 0.05 vs. SE, Figure 4a). Furthermore, an increase in total ROS and mitochondrial ROS levels was observed in the SE group compared to the Sham group (</w:t>
      </w:r>
      <w:r w:rsidRPr="00FB563D">
        <w:rPr>
          <w:rFonts w:ascii="Times New Roman" w:hAnsi="Times New Roman"/>
          <w:i/>
          <w:sz w:val="24"/>
          <w:szCs w:val="24"/>
          <w:lang w:val="en-GB"/>
        </w:rPr>
        <w:t>p</w:t>
      </w:r>
      <w:r w:rsidRPr="00FB563D">
        <w:rPr>
          <w:rFonts w:ascii="Times New Roman" w:hAnsi="Times New Roman"/>
          <w:sz w:val="24"/>
          <w:szCs w:val="24"/>
          <w:lang w:val="en-GB"/>
        </w:rPr>
        <w:t xml:space="preserve"> &lt; 0.05), which was normalised in the SE+MQ group (</w:t>
      </w:r>
      <w:r w:rsidRPr="00FB563D">
        <w:rPr>
          <w:rFonts w:ascii="Times New Roman" w:hAnsi="Times New Roman"/>
          <w:i/>
          <w:sz w:val="24"/>
          <w:szCs w:val="24"/>
          <w:lang w:val="en-GB"/>
        </w:rPr>
        <w:t>p</w:t>
      </w:r>
      <w:r w:rsidRPr="00FB563D">
        <w:rPr>
          <w:rFonts w:ascii="Times New Roman" w:hAnsi="Times New Roman"/>
          <w:sz w:val="24"/>
          <w:szCs w:val="24"/>
          <w:lang w:val="en-GB"/>
        </w:rPr>
        <w:t xml:space="preserve"> &lt; 0.05 vs. SE, Figure 4b,c). Protein expression of the endogenous antioxidant MnSOD was reduced in both SE and SE+MQ groups compared to the Sham group (</w:t>
      </w:r>
      <w:r w:rsidRPr="00FB563D">
        <w:rPr>
          <w:rFonts w:ascii="Times New Roman" w:hAnsi="Times New Roman"/>
          <w:i/>
          <w:sz w:val="24"/>
          <w:szCs w:val="24"/>
          <w:lang w:val="en-GB"/>
        </w:rPr>
        <w:t>p</w:t>
      </w:r>
      <w:r w:rsidRPr="00FB563D">
        <w:rPr>
          <w:rFonts w:ascii="Times New Roman" w:hAnsi="Times New Roman"/>
          <w:sz w:val="24"/>
          <w:szCs w:val="24"/>
          <w:lang w:val="en-GB"/>
        </w:rPr>
        <w:t xml:space="preserve"> &lt; 0.05 and </w:t>
      </w:r>
      <w:r w:rsidRPr="00FB563D">
        <w:rPr>
          <w:rFonts w:ascii="Times New Roman" w:hAnsi="Times New Roman"/>
          <w:i/>
          <w:sz w:val="24"/>
          <w:szCs w:val="24"/>
          <w:lang w:val="en-GB"/>
        </w:rPr>
        <w:t>p</w:t>
      </w:r>
      <w:r w:rsidRPr="00FB563D">
        <w:rPr>
          <w:rFonts w:ascii="Times New Roman" w:hAnsi="Times New Roman"/>
          <w:sz w:val="24"/>
          <w:szCs w:val="24"/>
          <w:lang w:val="en-GB"/>
        </w:rPr>
        <w:t xml:space="preserve"> &lt; 0.01 respectively, Figure 4d); whereas, GPx1 protein was increased in the SE+MQ offspring compared to both the Sham and SE offspring (</w:t>
      </w:r>
      <w:r w:rsidRPr="00FB563D">
        <w:rPr>
          <w:rFonts w:ascii="Times New Roman" w:hAnsi="Times New Roman"/>
          <w:i/>
          <w:sz w:val="24"/>
          <w:szCs w:val="24"/>
          <w:lang w:val="en-GB"/>
        </w:rPr>
        <w:t>p</w:t>
      </w:r>
      <w:r w:rsidRPr="00FB563D">
        <w:rPr>
          <w:rFonts w:ascii="Times New Roman" w:hAnsi="Times New Roman"/>
          <w:sz w:val="24"/>
          <w:szCs w:val="24"/>
          <w:lang w:val="en-GB"/>
        </w:rPr>
        <w:t xml:space="preserve"> &lt; 0.05, Figure 4e). Mitochondrial biogenesis marker </w:t>
      </w:r>
      <w:r w:rsidRPr="00FB563D">
        <w:rPr>
          <w:rStyle w:val="st"/>
          <w:rFonts w:ascii="Times New Roman" w:hAnsi="Times New Roman"/>
          <w:sz w:val="24"/>
          <w:szCs w:val="24"/>
          <w:lang w:val="en-GB"/>
        </w:rPr>
        <w:t xml:space="preserve">peroxisome proliferator-activated receptor gamma </w:t>
      </w:r>
      <w:r w:rsidRPr="00FB563D">
        <w:rPr>
          <w:rStyle w:val="Emphasis"/>
          <w:rFonts w:ascii="Times New Roman" w:hAnsi="Times New Roman"/>
          <w:i w:val="0"/>
          <w:sz w:val="24"/>
          <w:szCs w:val="24"/>
          <w:lang w:val="en-GB"/>
        </w:rPr>
        <w:t xml:space="preserve">coactivator </w:t>
      </w:r>
      <w:r w:rsidRPr="00FB563D">
        <w:rPr>
          <w:rFonts w:ascii="Times New Roman" w:hAnsi="Times New Roman"/>
          <w:sz w:val="24"/>
          <w:szCs w:val="24"/>
          <w:lang w:val="en-GB"/>
        </w:rPr>
        <w:t>(PGC)-1a mRNA expression was increased in the SE+MQ group (</w:t>
      </w:r>
      <w:r w:rsidRPr="00FB563D">
        <w:rPr>
          <w:rFonts w:ascii="Times New Roman" w:hAnsi="Times New Roman"/>
          <w:i/>
          <w:sz w:val="24"/>
          <w:szCs w:val="24"/>
          <w:lang w:val="en-GB"/>
        </w:rPr>
        <w:t>p</w:t>
      </w:r>
      <w:r w:rsidRPr="00FB563D">
        <w:rPr>
          <w:rFonts w:ascii="Times New Roman" w:hAnsi="Times New Roman"/>
          <w:sz w:val="24"/>
          <w:szCs w:val="24"/>
          <w:lang w:val="en-GB"/>
        </w:rPr>
        <w:t xml:space="preserve"> &lt; 0.01 vs. Sham, Figure 4f). </w:t>
      </w:r>
    </w:p>
    <w:p w14:paraId="08772607" w14:textId="77777777" w:rsidR="00FB563D" w:rsidRPr="00FB563D" w:rsidRDefault="00FB563D" w:rsidP="00FB563D">
      <w:pPr>
        <w:pStyle w:val="MDPI31text"/>
        <w:spacing w:line="360" w:lineRule="auto"/>
        <w:rPr>
          <w:rFonts w:ascii="Times New Roman" w:hAnsi="Times New Roman"/>
          <w:sz w:val="24"/>
          <w:szCs w:val="24"/>
          <w:lang w:val="en-GB"/>
        </w:rPr>
      </w:pPr>
      <w:r w:rsidRPr="00FB563D">
        <w:rPr>
          <w:rFonts w:ascii="Times New Roman" w:hAnsi="Times New Roman"/>
          <w:sz w:val="24"/>
          <w:szCs w:val="24"/>
          <w:lang w:val="en-GB"/>
        </w:rPr>
        <w:t>Both mitochondrial fission markers DRP-1 and Fis-1 were not significantly changed in the SE offspring, but increased in the SE+MQ group compared to both the Sham and SE groups (</w:t>
      </w:r>
      <w:r w:rsidRPr="00FB563D">
        <w:rPr>
          <w:rFonts w:ascii="Times New Roman" w:hAnsi="Times New Roman"/>
          <w:i/>
          <w:sz w:val="24"/>
          <w:szCs w:val="24"/>
          <w:lang w:val="en-GB"/>
        </w:rPr>
        <w:t>p</w:t>
      </w:r>
      <w:r w:rsidRPr="00FB563D">
        <w:rPr>
          <w:rFonts w:ascii="Times New Roman" w:hAnsi="Times New Roman"/>
          <w:sz w:val="24"/>
          <w:szCs w:val="24"/>
          <w:lang w:val="en-GB"/>
        </w:rPr>
        <w:t xml:space="preserve"> &lt; 0.05, Figure 4g,h). Mitochondrial fusion marker OPA-1 was not altered in the SE offspring, but significantly increased in the SE+MQ group (</w:t>
      </w:r>
      <w:r w:rsidRPr="00FB563D">
        <w:rPr>
          <w:rFonts w:ascii="Times New Roman" w:hAnsi="Times New Roman"/>
          <w:i/>
          <w:iCs/>
          <w:sz w:val="24"/>
          <w:szCs w:val="24"/>
          <w:lang w:val="en-GB"/>
        </w:rPr>
        <w:t>p</w:t>
      </w:r>
      <w:r w:rsidRPr="00FB563D">
        <w:rPr>
          <w:rFonts w:ascii="Times New Roman" w:hAnsi="Times New Roman"/>
          <w:sz w:val="24"/>
          <w:szCs w:val="24"/>
          <w:lang w:val="en-GB"/>
        </w:rPr>
        <w:t xml:space="preserve"> &lt; 0.05 vs. Sham, Figure 4i). The ratio of LC3A/B II to LC3A/B I was reduced in the SE group (</w:t>
      </w:r>
      <w:r w:rsidRPr="00FB563D">
        <w:rPr>
          <w:rFonts w:ascii="Times New Roman" w:hAnsi="Times New Roman"/>
          <w:i/>
          <w:sz w:val="24"/>
          <w:szCs w:val="24"/>
          <w:lang w:val="en-GB"/>
        </w:rPr>
        <w:t>p</w:t>
      </w:r>
      <w:r w:rsidRPr="00FB563D">
        <w:rPr>
          <w:rFonts w:ascii="Times New Roman" w:hAnsi="Times New Roman"/>
          <w:sz w:val="24"/>
          <w:szCs w:val="24"/>
          <w:lang w:val="en-GB"/>
        </w:rPr>
        <w:t xml:space="preserve"> &lt; 0.05 vs. Sham) but normalised in the SE+MQ group (</w:t>
      </w:r>
      <w:r w:rsidRPr="00FB563D">
        <w:rPr>
          <w:rFonts w:ascii="Times New Roman" w:hAnsi="Times New Roman"/>
          <w:i/>
          <w:sz w:val="24"/>
          <w:szCs w:val="24"/>
          <w:lang w:val="en-GB"/>
        </w:rPr>
        <w:t>p</w:t>
      </w:r>
      <w:r w:rsidRPr="00FB563D">
        <w:rPr>
          <w:rFonts w:ascii="Times New Roman" w:hAnsi="Times New Roman"/>
          <w:sz w:val="24"/>
          <w:szCs w:val="24"/>
          <w:lang w:val="en-GB"/>
        </w:rPr>
        <w:t xml:space="preserve"> &lt; 0.05 vs. SE, Figure 4j). Increased liver steatosis and damage in the SE offspring could be due to increased mitochondrial injury and impaired mitochondrial antioxidant defense capacity, leading to mitochondrial ROS accumulation. Increased liver markers of mitophagy and mitochondrial biogenesis by maternal MitoQ supplementation suggest an improvement in mitochondrial repair machinery. This was associated with a normalisation of mitochondrial ROS level, and improved hepatic steatosis and liver damage.   </w:t>
      </w:r>
    </w:p>
    <w:p w14:paraId="5DFA985B" w14:textId="77777777" w:rsidR="00FB563D" w:rsidRPr="00FB563D" w:rsidRDefault="00FB563D" w:rsidP="00FB563D">
      <w:pPr>
        <w:pStyle w:val="MDPI31text"/>
        <w:spacing w:before="240" w:line="360" w:lineRule="auto"/>
        <w:ind w:firstLine="0"/>
        <w:jc w:val="center"/>
        <w:rPr>
          <w:rFonts w:ascii="Times New Roman" w:hAnsi="Times New Roman"/>
          <w:sz w:val="24"/>
          <w:szCs w:val="24"/>
          <w:lang w:val="en-GB"/>
        </w:rPr>
      </w:pPr>
    </w:p>
    <w:p w14:paraId="71B3D5A3" w14:textId="77777777" w:rsidR="00FB563D" w:rsidRPr="00FB563D" w:rsidRDefault="00FB563D" w:rsidP="00FB563D">
      <w:pPr>
        <w:pStyle w:val="MDPI31text"/>
        <w:spacing w:before="240" w:line="360" w:lineRule="auto"/>
        <w:ind w:firstLine="0"/>
        <w:jc w:val="center"/>
        <w:rPr>
          <w:rFonts w:ascii="Times New Roman" w:hAnsi="Times New Roman"/>
          <w:sz w:val="24"/>
          <w:szCs w:val="24"/>
          <w:lang w:val="en-GB"/>
        </w:rPr>
      </w:pPr>
      <w:r w:rsidRPr="00FB563D">
        <w:rPr>
          <w:rFonts w:ascii="Times New Roman" w:hAnsi="Times New Roman"/>
          <w:noProof/>
          <w:sz w:val="24"/>
          <w:szCs w:val="24"/>
          <w:lang w:val="en-AU" w:eastAsia="zh-CN" w:bidi="ar-SA"/>
        </w:rPr>
        <w:drawing>
          <wp:inline distT="0" distB="0" distL="0" distR="0" wp14:anchorId="5D1FF1AD" wp14:editId="2D876CF0">
            <wp:extent cx="5615940" cy="6892625"/>
            <wp:effectExtent l="0" t="0" r="3810" b="3810"/>
            <wp:docPr id="3" name="Picture 3" descr="C:\Users\11412525\ownCloud\4. MitoQ W13 Liver\Figures\Figure 4 (19-07-19).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11412525\ownCloud\4. MitoQ W13 Liver\Figures\Figure 4 (19-07-19).tif"/>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615940" cy="6892625"/>
                    </a:xfrm>
                    <a:prstGeom prst="rect">
                      <a:avLst/>
                    </a:prstGeom>
                    <a:noFill/>
                    <a:ln>
                      <a:noFill/>
                    </a:ln>
                  </pic:spPr>
                </pic:pic>
              </a:graphicData>
            </a:graphic>
          </wp:inline>
        </w:drawing>
      </w:r>
    </w:p>
    <w:p w14:paraId="1B17D4B7" w14:textId="77777777" w:rsidR="00FB563D" w:rsidRPr="00FB563D" w:rsidRDefault="00FB563D" w:rsidP="00FB563D">
      <w:pPr>
        <w:pStyle w:val="MDPI51figurecaption"/>
        <w:spacing w:line="360" w:lineRule="auto"/>
        <w:rPr>
          <w:rFonts w:ascii="Times New Roman" w:hAnsi="Times New Roman"/>
          <w:sz w:val="24"/>
          <w:szCs w:val="24"/>
          <w:lang w:val="en-GB"/>
        </w:rPr>
      </w:pPr>
      <w:r w:rsidRPr="00FB563D">
        <w:rPr>
          <w:rFonts w:ascii="Times New Roman" w:hAnsi="Times New Roman"/>
          <w:b/>
          <w:sz w:val="24"/>
          <w:szCs w:val="24"/>
          <w:lang w:val="en-GB"/>
        </w:rPr>
        <w:t>Figure 4.</w:t>
      </w:r>
      <w:r w:rsidRPr="00FB563D">
        <w:rPr>
          <w:rFonts w:ascii="Times New Roman" w:hAnsi="Times New Roman"/>
          <w:sz w:val="24"/>
          <w:szCs w:val="24"/>
          <w:lang w:val="en-GB"/>
        </w:rPr>
        <w:t xml:space="preserve"> Hepatic mitochondrial density (</w:t>
      </w:r>
      <w:r w:rsidRPr="00FB563D">
        <w:rPr>
          <w:rFonts w:ascii="Times New Roman" w:hAnsi="Times New Roman"/>
          <w:b/>
          <w:sz w:val="24"/>
          <w:szCs w:val="24"/>
          <w:lang w:val="en-GB"/>
        </w:rPr>
        <w:t>a</w:t>
      </w:r>
      <w:r w:rsidRPr="00FB563D">
        <w:rPr>
          <w:rFonts w:ascii="Times New Roman" w:hAnsi="Times New Roman"/>
          <w:sz w:val="24"/>
          <w:szCs w:val="24"/>
          <w:lang w:val="en-GB"/>
        </w:rPr>
        <w:t>, green signal), ROS (</w:t>
      </w:r>
      <w:r w:rsidRPr="00FB563D">
        <w:rPr>
          <w:rFonts w:ascii="Times New Roman" w:hAnsi="Times New Roman"/>
          <w:b/>
          <w:sz w:val="24"/>
          <w:szCs w:val="24"/>
          <w:lang w:val="en-GB"/>
        </w:rPr>
        <w:t>b</w:t>
      </w:r>
      <w:r w:rsidRPr="00FB563D">
        <w:rPr>
          <w:rFonts w:ascii="Times New Roman" w:hAnsi="Times New Roman"/>
          <w:sz w:val="24"/>
          <w:szCs w:val="24"/>
          <w:lang w:val="en-GB"/>
        </w:rPr>
        <w:t>, red signal) and mitochondrial specific ROS (</w:t>
      </w:r>
      <w:r w:rsidRPr="00FB563D">
        <w:rPr>
          <w:rFonts w:ascii="Times New Roman" w:hAnsi="Times New Roman"/>
          <w:b/>
          <w:sz w:val="24"/>
          <w:szCs w:val="24"/>
          <w:lang w:val="en-GB"/>
        </w:rPr>
        <w:t>c</w:t>
      </w:r>
      <w:r w:rsidRPr="00FB563D">
        <w:rPr>
          <w:rFonts w:ascii="Times New Roman" w:hAnsi="Times New Roman"/>
          <w:sz w:val="24"/>
          <w:szCs w:val="24"/>
          <w:lang w:val="en-GB"/>
        </w:rPr>
        <w:t>, orange signal), endogenous mitochondrial antioxidants MnSOD (</w:t>
      </w:r>
      <w:r w:rsidRPr="00FB563D">
        <w:rPr>
          <w:rFonts w:ascii="Times New Roman" w:hAnsi="Times New Roman"/>
          <w:b/>
          <w:sz w:val="24"/>
          <w:szCs w:val="24"/>
          <w:lang w:val="en-GB"/>
        </w:rPr>
        <w:t>d</w:t>
      </w:r>
      <w:r w:rsidRPr="00FB563D">
        <w:rPr>
          <w:rFonts w:ascii="Times New Roman" w:hAnsi="Times New Roman"/>
          <w:sz w:val="24"/>
          <w:szCs w:val="24"/>
          <w:lang w:val="en-GB"/>
        </w:rPr>
        <w:t>) and GPx1 (</w:t>
      </w:r>
      <w:r w:rsidRPr="00FB563D">
        <w:rPr>
          <w:rFonts w:ascii="Times New Roman" w:hAnsi="Times New Roman"/>
          <w:b/>
          <w:sz w:val="24"/>
          <w:szCs w:val="24"/>
          <w:lang w:val="en-GB"/>
        </w:rPr>
        <w:t>e</w:t>
      </w:r>
      <w:r w:rsidRPr="00FB563D">
        <w:rPr>
          <w:rFonts w:ascii="Times New Roman" w:hAnsi="Times New Roman"/>
          <w:sz w:val="24"/>
          <w:szCs w:val="24"/>
          <w:lang w:val="en-GB"/>
        </w:rPr>
        <w:t>), marker of mitochondrial biogenesis PGC-1α (</w:t>
      </w:r>
      <w:r w:rsidRPr="00FB563D">
        <w:rPr>
          <w:rFonts w:ascii="Times New Roman" w:hAnsi="Times New Roman"/>
          <w:b/>
          <w:sz w:val="24"/>
          <w:szCs w:val="24"/>
          <w:lang w:val="en-GB"/>
        </w:rPr>
        <w:t>f</w:t>
      </w:r>
      <w:r w:rsidRPr="00FB563D">
        <w:rPr>
          <w:rFonts w:ascii="Times New Roman" w:hAnsi="Times New Roman"/>
          <w:sz w:val="24"/>
          <w:szCs w:val="24"/>
          <w:lang w:val="en-GB"/>
        </w:rPr>
        <w:t>) and markers of mitophagy (</w:t>
      </w:r>
      <w:r w:rsidRPr="00FB563D">
        <w:rPr>
          <w:rFonts w:ascii="Times New Roman" w:hAnsi="Times New Roman"/>
          <w:b/>
          <w:bCs/>
          <w:sz w:val="24"/>
          <w:szCs w:val="24"/>
          <w:lang w:val="en-GB"/>
        </w:rPr>
        <w:t>g–j</w:t>
      </w:r>
      <w:r w:rsidRPr="00FB563D">
        <w:rPr>
          <w:rFonts w:ascii="Times New Roman" w:hAnsi="Times New Roman"/>
          <w:sz w:val="24"/>
          <w:szCs w:val="24"/>
          <w:lang w:val="en-GB"/>
        </w:rPr>
        <w:t>) in 13 weeks old male offspring. Results are expressed as mean ± SEM (</w:t>
      </w:r>
      <w:r w:rsidRPr="00FB563D">
        <w:rPr>
          <w:rFonts w:ascii="Times New Roman" w:hAnsi="Times New Roman"/>
          <w:i/>
          <w:sz w:val="24"/>
          <w:szCs w:val="24"/>
          <w:lang w:val="en-GB"/>
        </w:rPr>
        <w:t>n</w:t>
      </w:r>
      <w:r w:rsidRPr="00FB563D">
        <w:rPr>
          <w:rFonts w:ascii="Times New Roman" w:hAnsi="Times New Roman"/>
          <w:sz w:val="24"/>
          <w:szCs w:val="24"/>
          <w:lang w:val="en-GB"/>
        </w:rPr>
        <w:t xml:space="preserve"> = 6–8). *</w:t>
      </w:r>
      <w:r w:rsidRPr="00FB563D">
        <w:rPr>
          <w:rFonts w:ascii="Times New Roman" w:hAnsi="Times New Roman"/>
          <w:i/>
          <w:sz w:val="24"/>
          <w:szCs w:val="24"/>
          <w:lang w:val="en-GB"/>
        </w:rPr>
        <w:t xml:space="preserve"> p</w:t>
      </w:r>
      <w:r w:rsidRPr="00FB563D">
        <w:rPr>
          <w:rFonts w:ascii="Times New Roman" w:hAnsi="Times New Roman"/>
          <w:sz w:val="24"/>
          <w:szCs w:val="24"/>
          <w:lang w:val="en-GB"/>
        </w:rPr>
        <w:t xml:space="preserve"> &lt; 0.5, **</w:t>
      </w:r>
      <w:r w:rsidRPr="00FB563D">
        <w:rPr>
          <w:rFonts w:ascii="Times New Roman" w:hAnsi="Times New Roman"/>
          <w:i/>
          <w:sz w:val="24"/>
          <w:szCs w:val="24"/>
          <w:lang w:val="en-GB"/>
        </w:rPr>
        <w:t xml:space="preserve"> p</w:t>
      </w:r>
      <w:r w:rsidRPr="00FB563D">
        <w:rPr>
          <w:rFonts w:ascii="Times New Roman" w:hAnsi="Times New Roman"/>
          <w:sz w:val="24"/>
          <w:szCs w:val="24"/>
          <w:lang w:val="en-GB"/>
        </w:rPr>
        <w:t xml:space="preserve"> &lt; 0.01. DRP-1: dynamin related </w:t>
      </w:r>
      <w:r w:rsidRPr="00FB563D">
        <w:rPr>
          <w:rFonts w:ascii="Times New Roman" w:hAnsi="Times New Roman"/>
          <w:sz w:val="24"/>
          <w:szCs w:val="24"/>
          <w:lang w:val="en-GB"/>
        </w:rPr>
        <w:lastRenderedPageBreak/>
        <w:t>protein 1, Fis-1: fission 1 protein, GPx1: glutathione peroxidase 1, LC3A/B II/I: microtubule associated 1A/1B light chain protein 3, MnSOD: manganese superoxide dismutase, OPA-1: mitochondrial dynamin like GTPase, PGC-1α: peroxisome proliferator-activated receptor gamma coactivator 1-α, ROS: reactive oxygen species, SE: cigarette smoke exposure, SE+MQ: SE with MitoQ supplementation.</w:t>
      </w:r>
    </w:p>
    <w:p w14:paraId="7C4825C0" w14:textId="77777777" w:rsidR="00FB563D" w:rsidRPr="00FB563D" w:rsidRDefault="00FB563D" w:rsidP="00FB563D">
      <w:pPr>
        <w:pStyle w:val="MDPI21heading1"/>
        <w:spacing w:line="360" w:lineRule="auto"/>
        <w:rPr>
          <w:rFonts w:ascii="Times New Roman" w:hAnsi="Times New Roman"/>
          <w:sz w:val="24"/>
          <w:szCs w:val="24"/>
          <w:lang w:val="en-GB"/>
        </w:rPr>
      </w:pPr>
      <w:r w:rsidRPr="00FB563D">
        <w:rPr>
          <w:rFonts w:ascii="Times New Roman" w:hAnsi="Times New Roman"/>
          <w:sz w:val="24"/>
          <w:szCs w:val="24"/>
          <w:lang w:val="en-GB"/>
        </w:rPr>
        <w:t>4. Discussion</w:t>
      </w:r>
    </w:p>
    <w:p w14:paraId="76DD3C92" w14:textId="77777777" w:rsidR="00FB563D" w:rsidRPr="00FB563D" w:rsidRDefault="00FB563D" w:rsidP="00FB563D">
      <w:pPr>
        <w:pStyle w:val="MDPI31text"/>
        <w:spacing w:line="360" w:lineRule="auto"/>
        <w:rPr>
          <w:rFonts w:ascii="Times New Roman" w:hAnsi="Times New Roman"/>
          <w:sz w:val="24"/>
          <w:szCs w:val="24"/>
          <w:lang w:val="en-GB"/>
        </w:rPr>
      </w:pPr>
      <w:r w:rsidRPr="00FB563D">
        <w:rPr>
          <w:rFonts w:ascii="Times New Roman" w:hAnsi="Times New Roman"/>
          <w:sz w:val="24"/>
          <w:szCs w:val="24"/>
          <w:lang w:val="en-GB"/>
        </w:rPr>
        <w:t>The mechanisms underlying intrauterine underdevelopment and disease induced by maternal smoking are not well understood. Evidence from genetically modified mice suggests that these changes could be due to increased oxidative stress, rather than nicotine [22]. In this study, increased mitochondrial oxidative stress and resulting mitochondrial insufficiency are proposed as the underlying mechanisms. In our model, the offspring from the SE mothers had low birth weight, glucose intolerance, hepatic steatosis, inflammation, and fibrosis in adulthood. Maternal supplementation with the mitochondrial-targeted antioxidant, MitoQ, during gestation and lactation rescued body weight at birth, and decreased mitochondrial oxidative stress in the offspring’s liver, preventing hepatic changes in the offspring. As MitoQ reduces mitochondrial oxidative stress, our results suggest that it could be used as a novel treatment to prevent the metabolic dysfunction and liver damage induced by maternal SE.</w:t>
      </w:r>
    </w:p>
    <w:p w14:paraId="206996C4" w14:textId="77777777" w:rsidR="00FB563D" w:rsidRPr="00FB563D" w:rsidRDefault="00FB563D" w:rsidP="00FB563D">
      <w:pPr>
        <w:pStyle w:val="MDPI31text"/>
        <w:spacing w:line="360" w:lineRule="auto"/>
        <w:ind w:firstLine="420"/>
        <w:rPr>
          <w:rFonts w:ascii="Times New Roman" w:hAnsi="Times New Roman"/>
          <w:sz w:val="24"/>
          <w:szCs w:val="24"/>
          <w:lang w:val="en-GB"/>
        </w:rPr>
      </w:pPr>
      <w:r w:rsidRPr="00FB563D">
        <w:rPr>
          <w:rFonts w:ascii="Times New Roman" w:hAnsi="Times New Roman"/>
          <w:sz w:val="24"/>
          <w:szCs w:val="24"/>
          <w:lang w:val="en-GB"/>
        </w:rPr>
        <w:t xml:space="preserve">In humans, intrauterine exposure to tobacco cigarette smoke leads to intrauterine growth restriction [23], insulin resistance [24], and hepatic steatosis [25], which were all observed in this study. In conjunction with our previous studies, this indicates the reproducibility and reliability of our model in reflecting human pathophysiology [1,8,9,15,25–29]. Cigarette smoke exposure causes vasoconstriction, limiting placental nutrient delivery and increasing the risk of low birth weight, leading to the development of type 2 diabetes and non-alcoholic fatty liver disease (NAFLD) in adulthood [25,26]. Inflammation is also important, as it leads to insulin resistance, interrupting lipid metabolism and causing liver steatosis and cellular damage, leading to fibrosis [30]. However, previous studies have only found modifications of genes related to fibrosis in the human male foetus, suggesting an increased risk of cirrhosis, but not steatosis [31]. In the present study, although hepatic glucose metabolic markers were not affected by maternal SE, </w:t>
      </w:r>
      <w:r w:rsidRPr="00FB563D">
        <w:rPr>
          <w:rFonts w:ascii="Times New Roman" w:hAnsi="Times New Roman"/>
          <w:iCs/>
          <w:sz w:val="24"/>
          <w:szCs w:val="24"/>
          <w:lang w:val="en-GB"/>
        </w:rPr>
        <w:t>de novo</w:t>
      </w:r>
      <w:r w:rsidRPr="00FB563D">
        <w:rPr>
          <w:rFonts w:ascii="Times New Roman" w:hAnsi="Times New Roman"/>
          <w:sz w:val="24"/>
          <w:szCs w:val="24"/>
          <w:lang w:val="en-GB"/>
        </w:rPr>
        <w:t xml:space="preserve"> lipogenesis as indicated by upregulated FASN expression in adult SE offspring, contributing to increased liver triglyceride accumulation. Plasma PE levels are increased in patients with non-alcoholic steatohepatitis (NASH) [32]. We found increased PE levels in the SE offspring, accompanied by increased inflammation and fibrosis, suggesting an increased risk of NASH.</w:t>
      </w:r>
    </w:p>
    <w:p w14:paraId="0DC99C12" w14:textId="77777777" w:rsidR="00FB563D" w:rsidRPr="00FB563D" w:rsidRDefault="00FB563D" w:rsidP="00FB563D">
      <w:pPr>
        <w:pStyle w:val="MDPI31text"/>
        <w:spacing w:line="360" w:lineRule="auto"/>
        <w:ind w:firstLine="420"/>
        <w:rPr>
          <w:rFonts w:ascii="Times New Roman" w:hAnsi="Times New Roman"/>
          <w:sz w:val="24"/>
          <w:szCs w:val="24"/>
          <w:lang w:val="en-GB"/>
        </w:rPr>
      </w:pPr>
      <w:r w:rsidRPr="00FB563D">
        <w:rPr>
          <w:rFonts w:ascii="Times New Roman" w:hAnsi="Times New Roman"/>
          <w:sz w:val="24"/>
          <w:szCs w:val="24"/>
          <w:lang w:val="en-GB"/>
        </w:rPr>
        <w:lastRenderedPageBreak/>
        <w:t>Of particular interest, maternal MitoQ supplementation reversed intrauterine growth restriction in the offspring. MitoQ has been shown to improve vascular function in both human and animal studies [33,34]. Therefore, we postulate that MitoQ may prevent the vasoconstriction induced by maternal SE, restoring nutrient supply to the foetus. This was reflected by an increase in birth weight in the SE+MQ offspring compared to the SE offspring, indicating better nutrient supply and intrauterine development. This may be due to increased uterine vasodilation since oxidative stress is closely related to smoking-induced vasoconstriction [35].</w:t>
      </w:r>
      <w:r w:rsidRPr="00FB563D" w:rsidDel="003F1DFF">
        <w:rPr>
          <w:rFonts w:ascii="Times New Roman" w:hAnsi="Times New Roman"/>
          <w:sz w:val="24"/>
          <w:szCs w:val="24"/>
          <w:lang w:val="en-GB"/>
        </w:rPr>
        <w:t xml:space="preserve"> </w:t>
      </w:r>
      <w:r w:rsidRPr="00FB563D">
        <w:rPr>
          <w:rFonts w:ascii="Times New Roman" w:hAnsi="Times New Roman"/>
          <w:sz w:val="24"/>
          <w:szCs w:val="24"/>
          <w:lang w:val="en-GB"/>
        </w:rPr>
        <w:t xml:space="preserve">Previous studies have shown that MitoQ supplementation or increased cellular CoQ10 levels can reverse hepatic steatosis by inhibiting </w:t>
      </w:r>
      <w:r w:rsidRPr="00FB563D">
        <w:rPr>
          <w:rFonts w:ascii="Times New Roman" w:hAnsi="Times New Roman"/>
          <w:iCs/>
          <w:sz w:val="24"/>
          <w:szCs w:val="24"/>
          <w:lang w:val="en-GB"/>
        </w:rPr>
        <w:t>de novo</w:t>
      </w:r>
      <w:r w:rsidRPr="00FB563D">
        <w:rPr>
          <w:rFonts w:ascii="Times New Roman" w:hAnsi="Times New Roman"/>
          <w:sz w:val="24"/>
          <w:szCs w:val="24"/>
          <w:lang w:val="en-GB"/>
        </w:rPr>
        <w:t xml:space="preserve"> lipogenesis and enhancing fatty acid β-oxidation [36–38]. Consistently, maternal MitoQ supplementation not only normalised systemic glucose metabolism and a marker of </w:t>
      </w:r>
      <w:r w:rsidRPr="00FB563D">
        <w:rPr>
          <w:rFonts w:ascii="Times New Roman" w:hAnsi="Times New Roman"/>
          <w:iCs/>
          <w:sz w:val="24"/>
          <w:szCs w:val="24"/>
          <w:lang w:val="en-GB"/>
        </w:rPr>
        <w:t>de novo</w:t>
      </w:r>
      <w:r w:rsidRPr="00FB563D">
        <w:rPr>
          <w:rFonts w:ascii="Times New Roman" w:hAnsi="Times New Roman"/>
          <w:sz w:val="24"/>
          <w:szCs w:val="24"/>
          <w:lang w:val="en-GB"/>
        </w:rPr>
        <w:t xml:space="preserve"> lipogenesis (FASN), but also increased expression of lipid catabolism markers (ATGL and CPT-1α) in the offspring. </w:t>
      </w:r>
    </w:p>
    <w:p w14:paraId="0A75213B" w14:textId="77777777" w:rsidR="00FB563D" w:rsidRPr="00FB563D" w:rsidRDefault="00FB563D" w:rsidP="00FB563D">
      <w:pPr>
        <w:pStyle w:val="MDPI31text"/>
        <w:spacing w:line="360" w:lineRule="auto"/>
        <w:rPr>
          <w:rFonts w:ascii="Times New Roman" w:hAnsi="Times New Roman"/>
          <w:sz w:val="24"/>
          <w:szCs w:val="24"/>
          <w:lang w:val="en-GB"/>
        </w:rPr>
      </w:pPr>
      <w:r w:rsidRPr="00FB563D">
        <w:rPr>
          <w:rFonts w:ascii="Times New Roman" w:hAnsi="Times New Roman"/>
          <w:sz w:val="24"/>
          <w:szCs w:val="24"/>
          <w:lang w:val="en-GB"/>
        </w:rPr>
        <w:t xml:space="preserve">Mitochondrial oxidative stress and injury have been observed in patients with NAFLD and NASH [39,40]. In this study, we identified mitochondrial oxidative stress and mitochondrial insufficiency as a critical mechanism in the foetal origin of hepatic steatosis and fibrosis resulting from maternal smoking. In addition, a similar situation was found in the brain and kidneys, associated with functional disorders [8,9,13,28]. We found maternal SE impaired markers of mitophagy, which may be due to both oxidative stress and lipid overaccumulation [41]. Mitochondrial oxidative stress is a well-known trigger of inflammation and in this study was reflected by increased production of TNF-α in the SE offspring. Interestingly, this did not appear to be the result of increased macrophage numbers (CD68 and F4/80 positive cells). Thus, the increase in TNF-α expression could be due to increased macrophage activity, or increased inflammatory responses within hepatocytes or stellate cells [42]. Reduced levels of the endogenous mitochondrial antioxidant MnSOD has been consistently observed in multiple organs from </w:t>
      </w:r>
      <w:r w:rsidRPr="00FB563D">
        <w:rPr>
          <w:rFonts w:ascii="Times New Roman" w:hAnsi="Times New Roman"/>
          <w:iCs/>
          <w:sz w:val="24"/>
          <w:szCs w:val="24"/>
          <w:lang w:val="en-GB"/>
        </w:rPr>
        <w:t>in utero</w:t>
      </w:r>
      <w:r w:rsidRPr="00FB563D">
        <w:rPr>
          <w:rFonts w:ascii="Times New Roman" w:hAnsi="Times New Roman"/>
          <w:sz w:val="24"/>
          <w:szCs w:val="24"/>
          <w:lang w:val="en-GB"/>
        </w:rPr>
        <w:t xml:space="preserve"> cigarette smoke exposure in murine [13,14,43] and non-human primate models [44]. This study, together with those from a series of studies in the same model [13,14], have established the key role of systemic mitochondrial insufficiency and mitochondrial specific oxidative stress in foetal underdevelopment induced by maternal smoking [27]. </w:t>
      </w:r>
    </w:p>
    <w:p w14:paraId="4A887ADF" w14:textId="77777777" w:rsidR="00FB563D" w:rsidRPr="00FB563D" w:rsidRDefault="00FB563D" w:rsidP="00FB563D">
      <w:pPr>
        <w:pStyle w:val="MDPI31text"/>
        <w:spacing w:line="360" w:lineRule="auto"/>
        <w:ind w:firstLine="420"/>
        <w:rPr>
          <w:rFonts w:ascii="Times New Roman" w:hAnsi="Times New Roman"/>
          <w:sz w:val="24"/>
          <w:szCs w:val="24"/>
          <w:lang w:val="en-GB"/>
        </w:rPr>
      </w:pPr>
      <w:r w:rsidRPr="00FB563D">
        <w:rPr>
          <w:rFonts w:ascii="Times New Roman" w:hAnsi="Times New Roman"/>
          <w:sz w:val="24"/>
          <w:szCs w:val="24"/>
          <w:lang w:val="en-GB"/>
        </w:rPr>
        <w:t xml:space="preserve">Unlike other conventional antioxidants, MitoQ rapidly accumulates within the inner mitochondrial membrane to suppress oxidative stress [10]. In the MitoQ treated mothers, the offspring had a normal hepatic mitochondrial function, accompanied by reduced inflammation, fibrosis and lipid profiles. We suggest that this is an effect not driven by the inhibition of inflammation, as previous studies have found that depletion of Kupffer cells (resident liver macrophages) failed to protect the liver from fibrotic injury [33]; thus, normalising </w:t>
      </w:r>
      <w:r w:rsidRPr="00FB563D">
        <w:rPr>
          <w:rFonts w:ascii="Times New Roman" w:hAnsi="Times New Roman"/>
          <w:sz w:val="24"/>
          <w:szCs w:val="24"/>
          <w:lang w:val="en-GB"/>
        </w:rPr>
        <w:lastRenderedPageBreak/>
        <w:t>mitochondrial oxidative stress is the key. Oxidative stress may promote the activation of fibrogenic myofibroblasts, as indicated by α-SMA expression which was associated with ROS and fibrosis levels [45]. Here, there was an increase in the endogenous mitochondrial antioxidant GPx1, the mitochondrial biogenesis mediator PCG1a, and the mitochondrial self-renew machinery—DRP-1, Fis-1, OPA-1, and LC3A/B. However, another mitochondrial antioxidant MnSOD was not changed. It has been suggested that MitoQ mimics the function of MnSOD, which neutralises superoxide radicals. Therefore, there may be no need to increase MnSOD in the presence of MitoQ. However, the level of GPx1, which acts downstream of MnSOD, was increased, suggesting enhanced ROS scavenging capacity. Increased DRP-1 and Fis-1 by maternal MitoQ supplementation can facilitate the separation of healthy and damaged mitochondrial fragments due to oxidative injury. Increased OPA-1 can improve the recycling of healthy mitochondrial fragments to generate new mitochondria. The damaged fragments are further degraded by autophagosomes formed by LC3A/B to protect cells from their toxic effects [4]. Thus, taken together, maternal MitoQ supplementation restored mitochondrial integrity and oxidative stress level in the offspring’s liver and prevented the development of metabolic disorders. MitoQ also appears to protect offspring from liver steatosis better than the non-mitochondrial targeted antioxidant L-carnitine as we showed previously [27].</w:t>
      </w:r>
    </w:p>
    <w:p w14:paraId="70DE9DD1" w14:textId="77777777" w:rsidR="00FB563D" w:rsidRPr="00FB563D" w:rsidRDefault="00FB563D" w:rsidP="00FB563D">
      <w:pPr>
        <w:pStyle w:val="MDPI31text"/>
        <w:spacing w:line="360" w:lineRule="auto"/>
        <w:rPr>
          <w:rFonts w:ascii="Times New Roman" w:hAnsi="Times New Roman"/>
          <w:sz w:val="24"/>
          <w:szCs w:val="24"/>
          <w:lang w:val="en-GB"/>
        </w:rPr>
      </w:pPr>
      <w:r w:rsidRPr="00FB563D">
        <w:rPr>
          <w:rFonts w:ascii="Times New Roman" w:hAnsi="Times New Roman"/>
          <w:sz w:val="24"/>
          <w:szCs w:val="24"/>
          <w:lang w:val="en-GB"/>
        </w:rPr>
        <w:t>In this study, a low dosage of tobacco cigarette smoke was administered to the mothers, which may only apply to light smokers who continue to smoke during pregnancy. The effect of maternal MitoQ supplementation in mice exposed to high doses of cigarette smoke requires further investigation. In addition, the offspring were fed a balanced diet after weaning. Future studies can add a secondary insult (e.g., high fat diet or high carbohydrate diet [46]) to determine whether the risk of metabolic disorders in the liver can be mitigated.</w:t>
      </w:r>
    </w:p>
    <w:p w14:paraId="27594ED7" w14:textId="77777777" w:rsidR="00FB563D" w:rsidRPr="00FB563D" w:rsidRDefault="00FB563D" w:rsidP="00FB563D">
      <w:pPr>
        <w:pStyle w:val="MDPI31text"/>
        <w:spacing w:line="360" w:lineRule="auto"/>
        <w:rPr>
          <w:rFonts w:ascii="Times New Roman" w:hAnsi="Times New Roman"/>
          <w:sz w:val="24"/>
          <w:szCs w:val="24"/>
          <w:lang w:val="en-GB"/>
        </w:rPr>
      </w:pPr>
      <w:r w:rsidRPr="00FB563D">
        <w:rPr>
          <w:rFonts w:ascii="Times New Roman" w:hAnsi="Times New Roman"/>
          <w:sz w:val="24"/>
          <w:szCs w:val="24"/>
          <w:lang w:val="en-GB"/>
        </w:rPr>
        <w:t xml:space="preserve">We suggest that MitoQ can inhibit some of the detrimental effects of </w:t>
      </w:r>
      <w:r w:rsidRPr="00FB563D">
        <w:rPr>
          <w:rFonts w:ascii="Times New Roman" w:hAnsi="Times New Roman"/>
          <w:iCs/>
          <w:sz w:val="24"/>
          <w:szCs w:val="24"/>
          <w:lang w:val="en-GB"/>
        </w:rPr>
        <w:t>in utero</w:t>
      </w:r>
      <w:r w:rsidRPr="00FB563D">
        <w:rPr>
          <w:rFonts w:ascii="Times New Roman" w:hAnsi="Times New Roman"/>
          <w:sz w:val="24"/>
          <w:szCs w:val="24"/>
          <w:lang w:val="en-GB"/>
        </w:rPr>
        <w:t xml:space="preserve"> cigarette smoke exposure on liver health. We are not suggesting that it is safe to smoke and use MitoQ, but in situations where mothers are unable to quit smoking there might be a beneficial effect of using MitoQ. Similarly, there might be efficacy against the detrimental effects of other endogenous inhaled oxidants, such as pollution or workplace noxious gasses. Although sold as an over-the-counter supplement, the safety of MitoQ during pregnancy has not been evaluated in humans. Nevertheless, the current study provides evidence for MitoQ supplementation in women who are unable to quit smoking during pregnancy to protect offspring from metabolic dysfunction.</w:t>
      </w:r>
    </w:p>
    <w:p w14:paraId="283267F2" w14:textId="77777777" w:rsidR="00FB563D" w:rsidRPr="00FB563D" w:rsidRDefault="00FB563D" w:rsidP="00FB563D">
      <w:pPr>
        <w:pStyle w:val="MDPI62Acknowledgments"/>
        <w:spacing w:line="360" w:lineRule="auto"/>
        <w:rPr>
          <w:rFonts w:ascii="Times New Roman" w:hAnsi="Times New Roman"/>
          <w:sz w:val="24"/>
          <w:szCs w:val="24"/>
          <w:lang w:val="en-GB"/>
        </w:rPr>
      </w:pPr>
      <w:r w:rsidRPr="00FB563D">
        <w:rPr>
          <w:rFonts w:ascii="Times New Roman" w:hAnsi="Times New Roman"/>
          <w:b/>
          <w:sz w:val="24"/>
          <w:szCs w:val="24"/>
          <w:lang w:val="en-GB"/>
        </w:rPr>
        <w:lastRenderedPageBreak/>
        <w:t xml:space="preserve">Supplementary Materials: </w:t>
      </w:r>
      <w:r w:rsidRPr="00FB563D">
        <w:rPr>
          <w:rFonts w:ascii="Times New Roman" w:hAnsi="Times New Roman"/>
          <w:sz w:val="24"/>
          <w:szCs w:val="24"/>
          <w:lang w:val="en-GB"/>
        </w:rPr>
        <w:t xml:space="preserve">The following are available online at www.mdpi.com/xxx/s1, Table S1: TaqMan Probe sequence (Life Technologies, CA, USA) used for rt-PCR, Table S2: Lipid species in the liver detected by lipidomics analysis. </w:t>
      </w:r>
    </w:p>
    <w:p w14:paraId="30CA8096" w14:textId="77777777" w:rsidR="00FB563D" w:rsidRPr="00FB563D" w:rsidRDefault="00FB563D" w:rsidP="00FB563D">
      <w:pPr>
        <w:pStyle w:val="MDPI62Acknowledgments"/>
        <w:spacing w:line="360" w:lineRule="auto"/>
        <w:rPr>
          <w:rFonts w:ascii="Times New Roman" w:hAnsi="Times New Roman"/>
          <w:sz w:val="24"/>
          <w:szCs w:val="24"/>
          <w:lang w:val="en-GB"/>
        </w:rPr>
      </w:pPr>
      <w:r w:rsidRPr="00FB563D">
        <w:rPr>
          <w:rFonts w:ascii="Times New Roman" w:hAnsi="Times New Roman"/>
          <w:b/>
          <w:sz w:val="24"/>
          <w:szCs w:val="24"/>
          <w:lang w:val="en-GB"/>
        </w:rPr>
        <w:t xml:space="preserve">Author Contributions: </w:t>
      </w:r>
      <w:r w:rsidRPr="00FB563D">
        <w:rPr>
          <w:rFonts w:ascii="Times New Roman" w:hAnsi="Times New Roman"/>
          <w:sz w:val="24"/>
          <w:szCs w:val="24"/>
          <w:lang w:val="en-GB"/>
        </w:rPr>
        <w:t>Conceptualisation, B.G.O., S. Sa., and H.C.; investigation, G.L., Y.C., S. Su., A.G.A., H.V., M.P., and R.Z.; writing, G.L., J.G., B.G.O., S. Sa., and H.C.</w:t>
      </w:r>
    </w:p>
    <w:p w14:paraId="63B3D3E1" w14:textId="77777777" w:rsidR="00FB563D" w:rsidRPr="00FB563D" w:rsidRDefault="00FB563D" w:rsidP="00FB563D">
      <w:pPr>
        <w:pStyle w:val="MDPI62Acknowledgments"/>
        <w:spacing w:line="360" w:lineRule="auto"/>
        <w:rPr>
          <w:rFonts w:ascii="Times New Roman" w:hAnsi="Times New Roman"/>
          <w:sz w:val="24"/>
          <w:szCs w:val="24"/>
          <w:lang w:val="en-GB"/>
        </w:rPr>
      </w:pPr>
      <w:r w:rsidRPr="00FB563D">
        <w:rPr>
          <w:rFonts w:ascii="Times New Roman" w:hAnsi="Times New Roman"/>
          <w:b/>
          <w:sz w:val="24"/>
          <w:szCs w:val="24"/>
          <w:lang w:val="en-GB"/>
        </w:rPr>
        <w:t xml:space="preserve">Funding: </w:t>
      </w:r>
      <w:r w:rsidRPr="00FB563D">
        <w:rPr>
          <w:rFonts w:ascii="Times New Roman" w:hAnsi="Times New Roman"/>
          <w:sz w:val="24"/>
          <w:szCs w:val="24"/>
          <w:lang w:val="en-GB"/>
        </w:rPr>
        <w:t>This study was supported by a postgraduate research support provided by the Faculty of Science, University of Technology Sydney. This work was partially supported by the Australian Research Council (CE140100003). Mr Gerard Li and Mr Howard Vindin are supported by Strategic Scholarships provided by Faculty of Science, University of Technology Sydney. Ms Razia Zakarya is supported by an Australia Postgraduate Award. Dr Yik Lung Chan is supported by National Health and Medical Research Council Peter Doherty Fellowship. A/Prof Oliver is supported by National Health and Medical Research Council Career Development II Fellowship (APP1110368). Professor Jacob George is supported by the Robert W Storr Bequest to the University of Sydney.</w:t>
      </w:r>
    </w:p>
    <w:p w14:paraId="04D45355" w14:textId="77777777" w:rsidR="00FB563D" w:rsidRPr="00FB563D" w:rsidRDefault="00FB563D" w:rsidP="00FB563D">
      <w:pPr>
        <w:pStyle w:val="MDPI62Acknowledgments"/>
        <w:spacing w:line="360" w:lineRule="auto"/>
        <w:rPr>
          <w:rFonts w:ascii="Times New Roman" w:hAnsi="Times New Roman"/>
          <w:sz w:val="24"/>
          <w:szCs w:val="24"/>
          <w:lang w:val="en-GB"/>
        </w:rPr>
      </w:pPr>
      <w:r w:rsidRPr="00FB563D">
        <w:rPr>
          <w:rFonts w:ascii="Times New Roman" w:hAnsi="Times New Roman"/>
          <w:b/>
          <w:sz w:val="24"/>
          <w:szCs w:val="24"/>
          <w:lang w:val="en-GB"/>
        </w:rPr>
        <w:t xml:space="preserve">Acknowledgments: </w:t>
      </w:r>
      <w:r w:rsidRPr="00FB563D">
        <w:rPr>
          <w:rFonts w:ascii="Times New Roman" w:hAnsi="Times New Roman"/>
          <w:sz w:val="24"/>
          <w:szCs w:val="24"/>
          <w:lang w:val="en-GB"/>
        </w:rPr>
        <w:t xml:space="preserve">The authors acknowledge the facilities and technical assistance of Microscopy Australia at the Australian Centre for Microscopy and Microanalysis at the University of Sydney and Cherrie Xia for her assistance with image analysis. The MitoQ was provided by MitoQ Limited, New Zealand. </w:t>
      </w:r>
    </w:p>
    <w:p w14:paraId="608D8944" w14:textId="77777777" w:rsidR="00FB563D" w:rsidRPr="00FB563D" w:rsidRDefault="00FB563D" w:rsidP="00FB563D">
      <w:pPr>
        <w:pStyle w:val="MDPI62Acknowledgments"/>
        <w:spacing w:line="360" w:lineRule="auto"/>
        <w:rPr>
          <w:rFonts w:ascii="Times New Roman" w:hAnsi="Times New Roman"/>
          <w:sz w:val="24"/>
          <w:szCs w:val="24"/>
          <w:lang w:val="en-GB"/>
        </w:rPr>
      </w:pPr>
      <w:r w:rsidRPr="00FB563D">
        <w:rPr>
          <w:rFonts w:ascii="Times New Roman" w:hAnsi="Times New Roman"/>
          <w:b/>
          <w:sz w:val="24"/>
          <w:szCs w:val="24"/>
          <w:lang w:val="en-GB"/>
        </w:rPr>
        <w:t xml:space="preserve">Conflicts of Interest: </w:t>
      </w:r>
      <w:r w:rsidRPr="00FB563D">
        <w:rPr>
          <w:rFonts w:ascii="Times New Roman" w:hAnsi="Times New Roman"/>
          <w:sz w:val="24"/>
          <w:szCs w:val="24"/>
          <w:lang w:val="en-GB"/>
        </w:rPr>
        <w:t>The authors declare no conflict of interest.</w:t>
      </w:r>
    </w:p>
    <w:p w14:paraId="30D7E80C" w14:textId="77777777" w:rsidR="00FB563D" w:rsidRPr="00FB563D" w:rsidRDefault="00FB563D" w:rsidP="00FB563D">
      <w:pPr>
        <w:pStyle w:val="MDPI21heading1"/>
        <w:spacing w:line="360" w:lineRule="auto"/>
        <w:rPr>
          <w:rFonts w:ascii="Times New Roman" w:hAnsi="Times New Roman"/>
          <w:sz w:val="24"/>
          <w:szCs w:val="24"/>
          <w:lang w:val="en-GB"/>
        </w:rPr>
      </w:pPr>
      <w:r w:rsidRPr="00FB563D">
        <w:rPr>
          <w:rFonts w:ascii="Times New Roman" w:hAnsi="Times New Roman"/>
          <w:sz w:val="24"/>
          <w:szCs w:val="24"/>
          <w:lang w:val="en-GB"/>
        </w:rPr>
        <w:t>References</w:t>
      </w:r>
    </w:p>
    <w:p w14:paraId="65EDCEE0" w14:textId="77777777" w:rsidR="00FB563D" w:rsidRPr="00FB563D" w:rsidRDefault="00FB563D" w:rsidP="00FB563D">
      <w:pPr>
        <w:pStyle w:val="EndNoteBibliography"/>
        <w:numPr>
          <w:ilvl w:val="0"/>
          <w:numId w:val="5"/>
        </w:numPr>
        <w:adjustRightInd w:val="0"/>
        <w:snapToGrid w:val="0"/>
        <w:spacing w:line="360" w:lineRule="auto"/>
        <w:ind w:left="425" w:hanging="425"/>
        <w:rPr>
          <w:rFonts w:ascii="Times New Roman" w:hAnsi="Times New Roman"/>
          <w:noProof w:val="0"/>
          <w:sz w:val="24"/>
          <w:szCs w:val="24"/>
          <w:lang w:val="en-GB"/>
        </w:rPr>
      </w:pPr>
      <w:r w:rsidRPr="00FB563D">
        <w:rPr>
          <w:rFonts w:ascii="Times New Roman" w:hAnsi="Times New Roman"/>
          <w:noProof w:val="0"/>
          <w:sz w:val="24"/>
          <w:szCs w:val="24"/>
          <w:lang w:val="en-GB"/>
        </w:rPr>
        <w:t xml:space="preserve">Jaddoe, V.W.; De Jonge, L.L.; Van Dam, R.M.; Willett, W.C.; Harris, H.; Stampfer, M.J.; Hu, F.B.; Michels, K.B. Fetal exposure to parental smoking and the risk of type 2 diabetes in adult women. </w:t>
      </w:r>
      <w:r w:rsidRPr="00FB563D">
        <w:rPr>
          <w:rFonts w:ascii="Times New Roman" w:hAnsi="Times New Roman"/>
          <w:i/>
          <w:noProof w:val="0"/>
          <w:sz w:val="24"/>
          <w:szCs w:val="24"/>
          <w:lang w:val="en-GB"/>
        </w:rPr>
        <w:t>Diabetes</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Care</w:t>
      </w:r>
      <w:r w:rsidRPr="00FB563D">
        <w:rPr>
          <w:rFonts w:ascii="Times New Roman" w:hAnsi="Times New Roman"/>
          <w:noProof w:val="0"/>
          <w:sz w:val="24"/>
          <w:szCs w:val="24"/>
          <w:lang w:val="en-GB"/>
        </w:rPr>
        <w:t xml:space="preserve"> </w:t>
      </w:r>
      <w:r w:rsidRPr="00FB563D">
        <w:rPr>
          <w:rFonts w:ascii="Times New Roman" w:hAnsi="Times New Roman"/>
          <w:b/>
          <w:noProof w:val="0"/>
          <w:sz w:val="24"/>
          <w:szCs w:val="24"/>
          <w:lang w:val="en-GB"/>
        </w:rPr>
        <w:t>2014</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37</w:t>
      </w:r>
      <w:r w:rsidRPr="00FB563D">
        <w:rPr>
          <w:rFonts w:ascii="Times New Roman" w:hAnsi="Times New Roman"/>
          <w:noProof w:val="0"/>
          <w:sz w:val="24"/>
          <w:szCs w:val="24"/>
          <w:lang w:val="en-GB"/>
        </w:rPr>
        <w:t>, 2966–2973.</w:t>
      </w:r>
    </w:p>
    <w:p w14:paraId="6F266241" w14:textId="77777777" w:rsidR="00FB563D" w:rsidRPr="00FB563D" w:rsidRDefault="00FB563D" w:rsidP="00FB563D">
      <w:pPr>
        <w:pStyle w:val="EndNoteBibliography"/>
        <w:numPr>
          <w:ilvl w:val="0"/>
          <w:numId w:val="5"/>
        </w:numPr>
        <w:adjustRightInd w:val="0"/>
        <w:snapToGrid w:val="0"/>
        <w:spacing w:line="360" w:lineRule="auto"/>
        <w:ind w:left="425" w:hanging="425"/>
        <w:rPr>
          <w:rFonts w:ascii="Times New Roman" w:hAnsi="Times New Roman"/>
          <w:noProof w:val="0"/>
          <w:sz w:val="24"/>
          <w:szCs w:val="24"/>
          <w:lang w:val="en-GB"/>
        </w:rPr>
      </w:pPr>
      <w:r w:rsidRPr="00FB563D">
        <w:rPr>
          <w:rFonts w:ascii="Times New Roman" w:hAnsi="Times New Roman"/>
          <w:noProof w:val="0"/>
          <w:sz w:val="24"/>
          <w:szCs w:val="24"/>
          <w:lang w:val="en-GB"/>
        </w:rPr>
        <w:t xml:space="preserve">Izzotti, A.; Balansky, R.M.; Cartiglia, C.; Camoirano, A.; Longobardi, M.; De Flora, S. Genomic and transcriptional alterations in mouse fetus liver after transplacental exposure to cigarette smoke. </w:t>
      </w:r>
      <w:r w:rsidRPr="00FB563D">
        <w:rPr>
          <w:rFonts w:ascii="Times New Roman" w:hAnsi="Times New Roman"/>
          <w:i/>
          <w:noProof w:val="0"/>
          <w:sz w:val="24"/>
          <w:szCs w:val="24"/>
          <w:lang w:val="en-GB"/>
        </w:rPr>
        <w:t>FASEB</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J.</w:t>
      </w:r>
      <w:r w:rsidRPr="00FB563D">
        <w:rPr>
          <w:rFonts w:ascii="Times New Roman" w:hAnsi="Times New Roman"/>
          <w:noProof w:val="0"/>
          <w:sz w:val="24"/>
          <w:szCs w:val="24"/>
          <w:lang w:val="en-GB"/>
        </w:rPr>
        <w:t xml:space="preserve"> </w:t>
      </w:r>
      <w:r w:rsidRPr="00FB563D">
        <w:rPr>
          <w:rFonts w:ascii="Times New Roman" w:hAnsi="Times New Roman"/>
          <w:b/>
          <w:noProof w:val="0"/>
          <w:sz w:val="24"/>
          <w:szCs w:val="24"/>
          <w:lang w:val="en-GB"/>
        </w:rPr>
        <w:t>2003</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17</w:t>
      </w:r>
      <w:r w:rsidRPr="00FB563D">
        <w:rPr>
          <w:rFonts w:ascii="Times New Roman" w:hAnsi="Times New Roman"/>
          <w:noProof w:val="0"/>
          <w:sz w:val="24"/>
          <w:szCs w:val="24"/>
          <w:lang w:val="en-GB"/>
        </w:rPr>
        <w:t>, 1127–1129.</w:t>
      </w:r>
    </w:p>
    <w:p w14:paraId="2E94539F" w14:textId="77777777" w:rsidR="00FB563D" w:rsidRPr="00FB563D" w:rsidRDefault="00FB563D" w:rsidP="00FB563D">
      <w:pPr>
        <w:pStyle w:val="EndNoteBibliography"/>
        <w:numPr>
          <w:ilvl w:val="0"/>
          <w:numId w:val="5"/>
        </w:numPr>
        <w:adjustRightInd w:val="0"/>
        <w:snapToGrid w:val="0"/>
        <w:spacing w:line="360" w:lineRule="auto"/>
        <w:ind w:left="425" w:hanging="425"/>
        <w:rPr>
          <w:rFonts w:ascii="Times New Roman" w:hAnsi="Times New Roman"/>
          <w:noProof w:val="0"/>
          <w:sz w:val="24"/>
          <w:szCs w:val="24"/>
          <w:lang w:val="en-GB"/>
        </w:rPr>
      </w:pPr>
      <w:r w:rsidRPr="00FB563D">
        <w:rPr>
          <w:rFonts w:ascii="Times New Roman" w:hAnsi="Times New Roman"/>
          <w:noProof w:val="0"/>
          <w:sz w:val="24"/>
          <w:szCs w:val="24"/>
          <w:lang w:val="en-GB"/>
        </w:rPr>
        <w:t xml:space="preserve">Pisoschi, A.M.; Pop, A. The role of antioxidants in the chemistry of oxidative stress: A review. </w:t>
      </w:r>
      <w:r w:rsidRPr="00FB563D">
        <w:rPr>
          <w:rFonts w:ascii="Times New Roman" w:hAnsi="Times New Roman"/>
          <w:i/>
          <w:noProof w:val="0"/>
          <w:sz w:val="24"/>
          <w:szCs w:val="24"/>
          <w:lang w:val="en-GB"/>
        </w:rPr>
        <w:t>Eur.</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J.</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Med.</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Chem.</w:t>
      </w:r>
      <w:r w:rsidRPr="00FB563D">
        <w:rPr>
          <w:rFonts w:ascii="Times New Roman" w:hAnsi="Times New Roman"/>
          <w:noProof w:val="0"/>
          <w:sz w:val="24"/>
          <w:szCs w:val="24"/>
          <w:lang w:val="en-GB"/>
        </w:rPr>
        <w:t xml:space="preserve"> </w:t>
      </w:r>
      <w:r w:rsidRPr="00FB563D">
        <w:rPr>
          <w:rFonts w:ascii="Times New Roman" w:hAnsi="Times New Roman"/>
          <w:b/>
          <w:noProof w:val="0"/>
          <w:sz w:val="24"/>
          <w:szCs w:val="24"/>
          <w:lang w:val="en-GB"/>
        </w:rPr>
        <w:t>2015</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97</w:t>
      </w:r>
      <w:r w:rsidRPr="00FB563D">
        <w:rPr>
          <w:rFonts w:ascii="Times New Roman" w:hAnsi="Times New Roman"/>
          <w:noProof w:val="0"/>
          <w:sz w:val="24"/>
          <w:szCs w:val="24"/>
          <w:lang w:val="en-GB"/>
        </w:rPr>
        <w:t>, 55–74.</w:t>
      </w:r>
    </w:p>
    <w:p w14:paraId="0B58C5EB" w14:textId="77777777" w:rsidR="00FB563D" w:rsidRPr="00FB563D" w:rsidRDefault="00FB563D" w:rsidP="00FB563D">
      <w:pPr>
        <w:pStyle w:val="EndNoteBibliography"/>
        <w:numPr>
          <w:ilvl w:val="0"/>
          <w:numId w:val="5"/>
        </w:numPr>
        <w:adjustRightInd w:val="0"/>
        <w:snapToGrid w:val="0"/>
        <w:spacing w:line="360" w:lineRule="auto"/>
        <w:ind w:left="425" w:hanging="425"/>
        <w:rPr>
          <w:rFonts w:ascii="Times New Roman" w:hAnsi="Times New Roman"/>
          <w:noProof w:val="0"/>
          <w:sz w:val="24"/>
          <w:szCs w:val="24"/>
          <w:lang w:val="en-GB"/>
        </w:rPr>
      </w:pPr>
      <w:r w:rsidRPr="00FB563D">
        <w:rPr>
          <w:rFonts w:ascii="Times New Roman" w:hAnsi="Times New Roman"/>
          <w:noProof w:val="0"/>
          <w:sz w:val="24"/>
          <w:szCs w:val="24"/>
          <w:lang w:val="en-GB"/>
        </w:rPr>
        <w:t xml:space="preserve">Palikaras, K.; Tavernarakis, N. Mitochondrial homeostasis: The interplay between mitophagy and mitochondrial biogenesis. </w:t>
      </w:r>
      <w:r w:rsidRPr="00FB563D">
        <w:rPr>
          <w:rFonts w:ascii="Times New Roman" w:hAnsi="Times New Roman"/>
          <w:i/>
          <w:noProof w:val="0"/>
          <w:sz w:val="24"/>
          <w:szCs w:val="24"/>
          <w:lang w:val="en-GB"/>
        </w:rPr>
        <w:t>Exp.</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Gerontol.</w:t>
      </w:r>
      <w:r w:rsidRPr="00FB563D">
        <w:rPr>
          <w:rFonts w:ascii="Times New Roman" w:hAnsi="Times New Roman"/>
          <w:noProof w:val="0"/>
          <w:sz w:val="24"/>
          <w:szCs w:val="24"/>
          <w:lang w:val="en-GB"/>
        </w:rPr>
        <w:t xml:space="preserve"> </w:t>
      </w:r>
      <w:r w:rsidRPr="00FB563D">
        <w:rPr>
          <w:rFonts w:ascii="Times New Roman" w:hAnsi="Times New Roman"/>
          <w:b/>
          <w:noProof w:val="0"/>
          <w:sz w:val="24"/>
          <w:szCs w:val="24"/>
          <w:lang w:val="en-GB"/>
        </w:rPr>
        <w:t>2014</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56</w:t>
      </w:r>
      <w:r w:rsidRPr="00FB563D">
        <w:rPr>
          <w:rFonts w:ascii="Times New Roman" w:hAnsi="Times New Roman"/>
          <w:noProof w:val="0"/>
          <w:sz w:val="24"/>
          <w:szCs w:val="24"/>
          <w:lang w:val="en-GB"/>
        </w:rPr>
        <w:t>, 182–188.</w:t>
      </w:r>
    </w:p>
    <w:p w14:paraId="67AD82F7" w14:textId="77777777" w:rsidR="00FB563D" w:rsidRPr="00FB563D" w:rsidRDefault="00FB563D" w:rsidP="00FB563D">
      <w:pPr>
        <w:pStyle w:val="EndNoteBibliography"/>
        <w:numPr>
          <w:ilvl w:val="0"/>
          <w:numId w:val="5"/>
        </w:numPr>
        <w:adjustRightInd w:val="0"/>
        <w:snapToGrid w:val="0"/>
        <w:spacing w:line="360" w:lineRule="auto"/>
        <w:ind w:left="425" w:hanging="425"/>
        <w:rPr>
          <w:rFonts w:ascii="Times New Roman" w:hAnsi="Times New Roman"/>
          <w:noProof w:val="0"/>
          <w:sz w:val="24"/>
          <w:szCs w:val="24"/>
          <w:lang w:val="en-GB"/>
        </w:rPr>
      </w:pPr>
      <w:r w:rsidRPr="00FB563D">
        <w:rPr>
          <w:rFonts w:ascii="Times New Roman" w:hAnsi="Times New Roman"/>
          <w:noProof w:val="0"/>
          <w:sz w:val="24"/>
          <w:szCs w:val="24"/>
          <w:lang w:val="en-GB"/>
        </w:rPr>
        <w:t xml:space="preserve">Hu, F.; Liu, F. Mitochondrial stress: A bridge between mitochondrial dysfunction and metabolic diseases? </w:t>
      </w:r>
      <w:r w:rsidRPr="00FB563D">
        <w:rPr>
          <w:rFonts w:ascii="Times New Roman" w:hAnsi="Times New Roman"/>
          <w:i/>
          <w:noProof w:val="0"/>
          <w:sz w:val="24"/>
          <w:szCs w:val="24"/>
          <w:lang w:val="en-GB"/>
        </w:rPr>
        <w:t>Cell.</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Signal.</w:t>
      </w:r>
      <w:r w:rsidRPr="00FB563D">
        <w:rPr>
          <w:rFonts w:ascii="Times New Roman" w:hAnsi="Times New Roman"/>
          <w:noProof w:val="0"/>
          <w:sz w:val="24"/>
          <w:szCs w:val="24"/>
          <w:lang w:val="en-GB"/>
        </w:rPr>
        <w:t xml:space="preserve"> </w:t>
      </w:r>
      <w:r w:rsidRPr="00FB563D">
        <w:rPr>
          <w:rFonts w:ascii="Times New Roman" w:hAnsi="Times New Roman"/>
          <w:b/>
          <w:noProof w:val="0"/>
          <w:sz w:val="24"/>
          <w:szCs w:val="24"/>
          <w:lang w:val="en-GB"/>
        </w:rPr>
        <w:t>2011</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23</w:t>
      </w:r>
      <w:r w:rsidRPr="00FB563D">
        <w:rPr>
          <w:rFonts w:ascii="Times New Roman" w:hAnsi="Times New Roman"/>
          <w:noProof w:val="0"/>
          <w:sz w:val="24"/>
          <w:szCs w:val="24"/>
          <w:lang w:val="en-GB"/>
        </w:rPr>
        <w:t>, 1528–1533.</w:t>
      </w:r>
    </w:p>
    <w:p w14:paraId="06861939" w14:textId="77777777" w:rsidR="00FB563D" w:rsidRPr="00FB563D" w:rsidRDefault="00FB563D" w:rsidP="00FB563D">
      <w:pPr>
        <w:pStyle w:val="EndNoteBibliography"/>
        <w:numPr>
          <w:ilvl w:val="0"/>
          <w:numId w:val="5"/>
        </w:numPr>
        <w:adjustRightInd w:val="0"/>
        <w:snapToGrid w:val="0"/>
        <w:spacing w:line="360" w:lineRule="auto"/>
        <w:ind w:left="425" w:hanging="425"/>
        <w:rPr>
          <w:rFonts w:ascii="Times New Roman" w:hAnsi="Times New Roman"/>
          <w:noProof w:val="0"/>
          <w:sz w:val="24"/>
          <w:szCs w:val="24"/>
          <w:lang w:val="en-GB"/>
        </w:rPr>
      </w:pPr>
      <w:r w:rsidRPr="00FB563D">
        <w:rPr>
          <w:rFonts w:ascii="Times New Roman" w:hAnsi="Times New Roman"/>
          <w:noProof w:val="0"/>
          <w:sz w:val="24"/>
          <w:szCs w:val="24"/>
          <w:lang w:val="en-GB"/>
        </w:rPr>
        <w:lastRenderedPageBreak/>
        <w:t xml:space="preserve">Yang, Z.; Harrison, C.M.; Chuang, G.C.; Ballinger, S.W. The role of tobacco smoke induced mitochondrial damage in vascular dysfunction and atherosclerosis. </w:t>
      </w:r>
      <w:r w:rsidRPr="00FB563D">
        <w:rPr>
          <w:rFonts w:ascii="Times New Roman" w:hAnsi="Times New Roman"/>
          <w:i/>
          <w:noProof w:val="0"/>
          <w:sz w:val="24"/>
          <w:szCs w:val="24"/>
          <w:lang w:val="en-GB"/>
        </w:rPr>
        <w:t>Mutat.</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Res.</w:t>
      </w:r>
      <w:r w:rsidRPr="00FB563D">
        <w:rPr>
          <w:rFonts w:ascii="Times New Roman" w:hAnsi="Times New Roman"/>
          <w:noProof w:val="0"/>
          <w:sz w:val="24"/>
          <w:szCs w:val="24"/>
          <w:lang w:val="en-GB"/>
        </w:rPr>
        <w:t xml:space="preserve"> </w:t>
      </w:r>
      <w:r w:rsidRPr="00FB563D">
        <w:rPr>
          <w:rFonts w:ascii="Times New Roman" w:hAnsi="Times New Roman"/>
          <w:b/>
          <w:noProof w:val="0"/>
          <w:sz w:val="24"/>
          <w:szCs w:val="24"/>
          <w:lang w:val="en-GB"/>
        </w:rPr>
        <w:t>2007</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621</w:t>
      </w:r>
      <w:r w:rsidRPr="00FB563D">
        <w:rPr>
          <w:rFonts w:ascii="Times New Roman" w:hAnsi="Times New Roman"/>
          <w:noProof w:val="0"/>
          <w:sz w:val="24"/>
          <w:szCs w:val="24"/>
          <w:lang w:val="en-GB"/>
        </w:rPr>
        <w:t>, 61–74.</w:t>
      </w:r>
    </w:p>
    <w:p w14:paraId="61824ADD" w14:textId="77777777" w:rsidR="00FB563D" w:rsidRPr="00FB563D" w:rsidRDefault="00FB563D" w:rsidP="00FB563D">
      <w:pPr>
        <w:pStyle w:val="EndNoteBibliography"/>
        <w:numPr>
          <w:ilvl w:val="0"/>
          <w:numId w:val="5"/>
        </w:numPr>
        <w:adjustRightInd w:val="0"/>
        <w:snapToGrid w:val="0"/>
        <w:spacing w:line="360" w:lineRule="auto"/>
        <w:ind w:left="425" w:hanging="425"/>
        <w:rPr>
          <w:rFonts w:ascii="Times New Roman" w:hAnsi="Times New Roman"/>
          <w:noProof w:val="0"/>
          <w:sz w:val="24"/>
          <w:szCs w:val="24"/>
          <w:lang w:val="en-GB"/>
        </w:rPr>
      </w:pPr>
      <w:r w:rsidRPr="00FB563D">
        <w:rPr>
          <w:rFonts w:ascii="Times New Roman" w:hAnsi="Times New Roman"/>
          <w:noProof w:val="0"/>
          <w:sz w:val="24"/>
          <w:szCs w:val="24"/>
          <w:lang w:val="en-GB"/>
        </w:rPr>
        <w:t xml:space="preserve">Chan, Y.L.; Saad, S.; Al-Odat, I.; Oliver, B.G.; Pollock, C.; Jones, N.M.; Chen, H. Maternal l-carnitine supplementation improves brain health in offspring from cigarette smoke exposed mothers. </w:t>
      </w:r>
      <w:r w:rsidRPr="00FB563D">
        <w:rPr>
          <w:rFonts w:ascii="Times New Roman" w:hAnsi="Times New Roman"/>
          <w:i/>
          <w:noProof w:val="0"/>
          <w:sz w:val="24"/>
          <w:szCs w:val="24"/>
          <w:lang w:val="en-GB"/>
        </w:rPr>
        <w:t>Front.</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Mol.</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Neurosci.</w:t>
      </w:r>
      <w:r w:rsidRPr="00FB563D">
        <w:rPr>
          <w:rFonts w:ascii="Times New Roman" w:hAnsi="Times New Roman"/>
          <w:noProof w:val="0"/>
          <w:sz w:val="24"/>
          <w:szCs w:val="24"/>
          <w:lang w:val="en-GB"/>
        </w:rPr>
        <w:t xml:space="preserve"> </w:t>
      </w:r>
      <w:r w:rsidRPr="00FB563D">
        <w:rPr>
          <w:rFonts w:ascii="Times New Roman" w:hAnsi="Times New Roman"/>
          <w:b/>
          <w:noProof w:val="0"/>
          <w:sz w:val="24"/>
          <w:szCs w:val="24"/>
          <w:lang w:val="en-GB"/>
        </w:rPr>
        <w:t>2017</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10</w:t>
      </w:r>
      <w:r w:rsidRPr="00FB563D">
        <w:rPr>
          <w:rFonts w:ascii="Times New Roman" w:hAnsi="Times New Roman"/>
          <w:noProof w:val="0"/>
          <w:sz w:val="24"/>
          <w:szCs w:val="24"/>
          <w:lang w:val="en-GB"/>
        </w:rPr>
        <w:t>, 33.</w:t>
      </w:r>
    </w:p>
    <w:p w14:paraId="5E7EF21A" w14:textId="77777777" w:rsidR="00FB563D" w:rsidRPr="00FB563D" w:rsidRDefault="00FB563D" w:rsidP="00FB563D">
      <w:pPr>
        <w:pStyle w:val="EndNoteBibliography"/>
        <w:numPr>
          <w:ilvl w:val="0"/>
          <w:numId w:val="5"/>
        </w:numPr>
        <w:adjustRightInd w:val="0"/>
        <w:snapToGrid w:val="0"/>
        <w:spacing w:line="360" w:lineRule="auto"/>
        <w:ind w:left="425" w:hanging="425"/>
        <w:rPr>
          <w:rFonts w:ascii="Times New Roman" w:hAnsi="Times New Roman"/>
          <w:noProof w:val="0"/>
          <w:sz w:val="24"/>
          <w:szCs w:val="24"/>
          <w:lang w:val="en-GB"/>
        </w:rPr>
      </w:pPr>
      <w:r w:rsidRPr="00FB563D">
        <w:rPr>
          <w:rFonts w:ascii="Times New Roman" w:hAnsi="Times New Roman"/>
          <w:noProof w:val="0"/>
          <w:sz w:val="24"/>
          <w:szCs w:val="24"/>
          <w:lang w:val="en-GB"/>
        </w:rPr>
        <w:t xml:space="preserve">Chan, Y.L.; Saad, S.; Pollock, C.; Oliver, B.; Al-Odat, I.; Zaky, A.A.; Jones, N.; Chen, H. Impact of maternal cigarette smoke exposure on brain inflammation and oxidative stress in male mice offspring. </w:t>
      </w:r>
      <w:r w:rsidRPr="00FB563D">
        <w:rPr>
          <w:rFonts w:ascii="Times New Roman" w:hAnsi="Times New Roman"/>
          <w:i/>
          <w:noProof w:val="0"/>
          <w:sz w:val="24"/>
          <w:szCs w:val="24"/>
          <w:lang w:val="en-GB"/>
        </w:rPr>
        <w:t>Sci.</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Rep.</w:t>
      </w:r>
      <w:r w:rsidRPr="00FB563D">
        <w:rPr>
          <w:rFonts w:ascii="Times New Roman" w:hAnsi="Times New Roman"/>
          <w:noProof w:val="0"/>
          <w:sz w:val="24"/>
          <w:szCs w:val="24"/>
          <w:lang w:val="en-GB"/>
        </w:rPr>
        <w:t xml:space="preserve"> </w:t>
      </w:r>
      <w:r w:rsidRPr="00FB563D">
        <w:rPr>
          <w:rFonts w:ascii="Times New Roman" w:hAnsi="Times New Roman"/>
          <w:b/>
          <w:noProof w:val="0"/>
          <w:sz w:val="24"/>
          <w:szCs w:val="24"/>
          <w:lang w:val="en-GB"/>
        </w:rPr>
        <w:t>2016</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6</w:t>
      </w:r>
      <w:r w:rsidRPr="00FB563D">
        <w:rPr>
          <w:rFonts w:ascii="Times New Roman" w:hAnsi="Times New Roman"/>
          <w:noProof w:val="0"/>
          <w:sz w:val="24"/>
          <w:szCs w:val="24"/>
          <w:lang w:val="en-GB"/>
        </w:rPr>
        <w:t>, 25881.</w:t>
      </w:r>
    </w:p>
    <w:p w14:paraId="471AA5EA" w14:textId="77777777" w:rsidR="00FB563D" w:rsidRPr="00FB563D" w:rsidRDefault="00FB563D" w:rsidP="00FB563D">
      <w:pPr>
        <w:pStyle w:val="EndNoteBibliography"/>
        <w:numPr>
          <w:ilvl w:val="0"/>
          <w:numId w:val="5"/>
        </w:numPr>
        <w:adjustRightInd w:val="0"/>
        <w:snapToGrid w:val="0"/>
        <w:spacing w:line="360" w:lineRule="auto"/>
        <w:ind w:left="425" w:hanging="425"/>
        <w:rPr>
          <w:rFonts w:ascii="Times New Roman" w:hAnsi="Times New Roman"/>
          <w:noProof w:val="0"/>
          <w:sz w:val="24"/>
          <w:szCs w:val="24"/>
          <w:lang w:val="en-GB"/>
        </w:rPr>
      </w:pPr>
      <w:r w:rsidRPr="00FB563D">
        <w:rPr>
          <w:rFonts w:ascii="Times New Roman" w:hAnsi="Times New Roman"/>
          <w:noProof w:val="0"/>
          <w:sz w:val="24"/>
          <w:szCs w:val="24"/>
          <w:lang w:val="en-GB"/>
        </w:rPr>
        <w:t xml:space="preserve">Stangenberg, S.; Nguyen, L.T.; Chen, H.; Al-Odat, I.; Killingsworth, M.C.; Gosnell, M.E.; Anwer, A.G.; Goldys, E.M.; Pollock, C.A.; Saad, S. Oxidative stress, mitochondrial perturbations and fetal programming of renal disease induced by maternal smoking. </w:t>
      </w:r>
      <w:r w:rsidRPr="00FB563D">
        <w:rPr>
          <w:rFonts w:ascii="Times New Roman" w:hAnsi="Times New Roman"/>
          <w:i/>
          <w:noProof w:val="0"/>
          <w:sz w:val="24"/>
          <w:szCs w:val="24"/>
          <w:lang w:val="en-GB"/>
        </w:rPr>
        <w:t>Int.</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J.</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Biochem.</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Cell</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Biol.</w:t>
      </w:r>
      <w:r w:rsidRPr="00FB563D">
        <w:rPr>
          <w:rFonts w:ascii="Times New Roman" w:hAnsi="Times New Roman"/>
          <w:noProof w:val="0"/>
          <w:sz w:val="24"/>
          <w:szCs w:val="24"/>
          <w:lang w:val="en-GB"/>
        </w:rPr>
        <w:t xml:space="preserve"> </w:t>
      </w:r>
      <w:r w:rsidRPr="00FB563D">
        <w:rPr>
          <w:rFonts w:ascii="Times New Roman" w:hAnsi="Times New Roman"/>
          <w:b/>
          <w:noProof w:val="0"/>
          <w:sz w:val="24"/>
          <w:szCs w:val="24"/>
          <w:lang w:val="en-GB"/>
        </w:rPr>
        <w:t>2015</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64</w:t>
      </w:r>
      <w:r w:rsidRPr="00FB563D">
        <w:rPr>
          <w:rFonts w:ascii="Times New Roman" w:hAnsi="Times New Roman"/>
          <w:noProof w:val="0"/>
          <w:sz w:val="24"/>
          <w:szCs w:val="24"/>
          <w:lang w:val="en-GB"/>
        </w:rPr>
        <w:t>, 81–90.</w:t>
      </w:r>
    </w:p>
    <w:p w14:paraId="645BCD02" w14:textId="77777777" w:rsidR="00FB563D" w:rsidRPr="00FB563D" w:rsidRDefault="00FB563D" w:rsidP="00FB563D">
      <w:pPr>
        <w:pStyle w:val="EndNoteBibliography"/>
        <w:numPr>
          <w:ilvl w:val="0"/>
          <w:numId w:val="5"/>
        </w:numPr>
        <w:adjustRightInd w:val="0"/>
        <w:snapToGrid w:val="0"/>
        <w:spacing w:line="360" w:lineRule="auto"/>
        <w:ind w:left="425" w:hanging="425"/>
        <w:rPr>
          <w:rFonts w:ascii="Times New Roman" w:hAnsi="Times New Roman"/>
          <w:noProof w:val="0"/>
          <w:sz w:val="24"/>
          <w:szCs w:val="24"/>
          <w:lang w:val="en-GB"/>
        </w:rPr>
      </w:pPr>
      <w:r w:rsidRPr="00FB563D">
        <w:rPr>
          <w:rFonts w:ascii="Times New Roman" w:hAnsi="Times New Roman"/>
          <w:noProof w:val="0"/>
          <w:sz w:val="24"/>
          <w:szCs w:val="24"/>
          <w:lang w:val="en-GB"/>
        </w:rPr>
        <w:t xml:space="preserve">Smith, R.A.; Murphy, M.P. Animal and human studies with the mitochondria-targeted antioxidant mitoq. </w:t>
      </w:r>
      <w:r w:rsidRPr="00FB563D">
        <w:rPr>
          <w:rFonts w:ascii="Times New Roman" w:hAnsi="Times New Roman"/>
          <w:i/>
          <w:noProof w:val="0"/>
          <w:sz w:val="24"/>
          <w:szCs w:val="24"/>
          <w:lang w:val="en-GB"/>
        </w:rPr>
        <w:t>Ann.</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N.</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Y.</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Acad.</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Sci.</w:t>
      </w:r>
      <w:r w:rsidRPr="00FB563D">
        <w:rPr>
          <w:rFonts w:ascii="Times New Roman" w:hAnsi="Times New Roman"/>
          <w:noProof w:val="0"/>
          <w:sz w:val="24"/>
          <w:szCs w:val="24"/>
          <w:lang w:val="en-GB"/>
        </w:rPr>
        <w:t xml:space="preserve"> </w:t>
      </w:r>
      <w:r w:rsidRPr="00FB563D">
        <w:rPr>
          <w:rFonts w:ascii="Times New Roman" w:hAnsi="Times New Roman"/>
          <w:b/>
          <w:noProof w:val="0"/>
          <w:sz w:val="24"/>
          <w:szCs w:val="24"/>
          <w:lang w:val="en-GB"/>
        </w:rPr>
        <w:t>2010</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1201</w:t>
      </w:r>
      <w:r w:rsidRPr="00FB563D">
        <w:rPr>
          <w:rFonts w:ascii="Times New Roman" w:hAnsi="Times New Roman"/>
          <w:noProof w:val="0"/>
          <w:sz w:val="24"/>
          <w:szCs w:val="24"/>
          <w:lang w:val="en-GB"/>
        </w:rPr>
        <w:t>, 96–103.</w:t>
      </w:r>
    </w:p>
    <w:p w14:paraId="30D4BF1D" w14:textId="77777777" w:rsidR="00FB563D" w:rsidRPr="00FB563D" w:rsidRDefault="00FB563D" w:rsidP="00FB563D">
      <w:pPr>
        <w:pStyle w:val="EndNoteBibliography"/>
        <w:numPr>
          <w:ilvl w:val="0"/>
          <w:numId w:val="5"/>
        </w:numPr>
        <w:adjustRightInd w:val="0"/>
        <w:snapToGrid w:val="0"/>
        <w:spacing w:line="360" w:lineRule="auto"/>
        <w:ind w:left="425" w:hanging="425"/>
        <w:rPr>
          <w:rFonts w:ascii="Times New Roman" w:hAnsi="Times New Roman"/>
          <w:noProof w:val="0"/>
          <w:sz w:val="24"/>
          <w:szCs w:val="24"/>
          <w:lang w:val="en-GB"/>
        </w:rPr>
      </w:pPr>
      <w:r w:rsidRPr="00FB563D">
        <w:rPr>
          <w:rFonts w:ascii="Times New Roman" w:hAnsi="Times New Roman"/>
          <w:noProof w:val="0"/>
          <w:sz w:val="24"/>
          <w:szCs w:val="24"/>
          <w:lang w:val="en-GB"/>
        </w:rPr>
        <w:t xml:space="preserve">Al-Bazi, M.M.; Elshal, M.F.; Khoja, S.M. Reduced coenzyme q(10) in female smokers and its association with lipid profile in a young healthy adult population. </w:t>
      </w:r>
      <w:r w:rsidRPr="00FB563D">
        <w:rPr>
          <w:rFonts w:ascii="Times New Roman" w:hAnsi="Times New Roman"/>
          <w:i/>
          <w:noProof w:val="0"/>
          <w:sz w:val="24"/>
          <w:szCs w:val="24"/>
          <w:lang w:val="en-GB"/>
        </w:rPr>
        <w:t>Arch.</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Med</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Sci.</w:t>
      </w:r>
      <w:r w:rsidRPr="00FB563D">
        <w:rPr>
          <w:rFonts w:ascii="Times New Roman" w:hAnsi="Times New Roman"/>
          <w:noProof w:val="0"/>
          <w:sz w:val="24"/>
          <w:szCs w:val="24"/>
          <w:lang w:val="en-GB"/>
        </w:rPr>
        <w:t xml:space="preserve"> </w:t>
      </w:r>
      <w:r w:rsidRPr="00FB563D">
        <w:rPr>
          <w:rFonts w:ascii="Times New Roman" w:hAnsi="Times New Roman"/>
          <w:b/>
          <w:noProof w:val="0"/>
          <w:sz w:val="24"/>
          <w:szCs w:val="24"/>
          <w:lang w:val="en-GB"/>
        </w:rPr>
        <w:t>2011</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7</w:t>
      </w:r>
      <w:r w:rsidRPr="00FB563D">
        <w:rPr>
          <w:rFonts w:ascii="Times New Roman" w:hAnsi="Times New Roman"/>
          <w:noProof w:val="0"/>
          <w:sz w:val="24"/>
          <w:szCs w:val="24"/>
          <w:lang w:val="en-GB"/>
        </w:rPr>
        <w:t>, 948–954.</w:t>
      </w:r>
    </w:p>
    <w:p w14:paraId="6CB478E6" w14:textId="77777777" w:rsidR="00FB563D" w:rsidRPr="00FB563D" w:rsidRDefault="00FB563D" w:rsidP="00FB563D">
      <w:pPr>
        <w:pStyle w:val="EndNoteBibliography"/>
        <w:numPr>
          <w:ilvl w:val="0"/>
          <w:numId w:val="5"/>
        </w:numPr>
        <w:adjustRightInd w:val="0"/>
        <w:snapToGrid w:val="0"/>
        <w:spacing w:line="360" w:lineRule="auto"/>
        <w:ind w:left="425" w:hanging="425"/>
        <w:rPr>
          <w:rFonts w:ascii="Times New Roman" w:hAnsi="Times New Roman"/>
          <w:noProof w:val="0"/>
          <w:sz w:val="24"/>
          <w:szCs w:val="24"/>
          <w:lang w:val="en-GB"/>
        </w:rPr>
      </w:pPr>
      <w:r w:rsidRPr="00FB563D">
        <w:rPr>
          <w:rFonts w:ascii="Times New Roman" w:hAnsi="Times New Roman"/>
          <w:noProof w:val="0"/>
          <w:sz w:val="24"/>
          <w:szCs w:val="24"/>
          <w:lang w:val="en-GB"/>
        </w:rPr>
        <w:t xml:space="preserve">Lim, S.C.; Tan, H.H.; Goh, S.K.; Subramaniam, T.; Sum, C.F.; Tan, I.K.; Lee, B.L.; Ong, C.N. Oxidative burden in prediabetic and diabetic individuals: Evidence from plasma coenzyme q(10). </w:t>
      </w:r>
      <w:r w:rsidRPr="00FB563D">
        <w:rPr>
          <w:rFonts w:ascii="Times New Roman" w:hAnsi="Times New Roman"/>
          <w:i/>
          <w:noProof w:val="0"/>
          <w:sz w:val="24"/>
          <w:szCs w:val="24"/>
          <w:lang w:val="en-GB"/>
        </w:rPr>
        <w:t>Diabet.</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Med.</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A</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J.</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Br.</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Diabet.</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Assoc.</w:t>
      </w:r>
      <w:r w:rsidRPr="00FB563D">
        <w:rPr>
          <w:rFonts w:ascii="Times New Roman" w:hAnsi="Times New Roman"/>
          <w:noProof w:val="0"/>
          <w:sz w:val="24"/>
          <w:szCs w:val="24"/>
          <w:lang w:val="en-GB"/>
        </w:rPr>
        <w:t xml:space="preserve"> </w:t>
      </w:r>
      <w:r w:rsidRPr="00FB563D">
        <w:rPr>
          <w:rFonts w:ascii="Times New Roman" w:hAnsi="Times New Roman"/>
          <w:b/>
          <w:noProof w:val="0"/>
          <w:sz w:val="24"/>
          <w:szCs w:val="24"/>
          <w:lang w:val="en-GB"/>
        </w:rPr>
        <w:t>2006</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23</w:t>
      </w:r>
      <w:r w:rsidRPr="00FB563D">
        <w:rPr>
          <w:rFonts w:ascii="Times New Roman" w:hAnsi="Times New Roman"/>
          <w:noProof w:val="0"/>
          <w:sz w:val="24"/>
          <w:szCs w:val="24"/>
          <w:lang w:val="en-GB"/>
        </w:rPr>
        <w:t>, 1344–1349.</w:t>
      </w:r>
    </w:p>
    <w:p w14:paraId="628F06B0" w14:textId="77777777" w:rsidR="00FB563D" w:rsidRPr="00FB563D" w:rsidRDefault="00FB563D" w:rsidP="00FB563D">
      <w:pPr>
        <w:pStyle w:val="EndNoteBibliography"/>
        <w:numPr>
          <w:ilvl w:val="0"/>
          <w:numId w:val="5"/>
        </w:numPr>
        <w:adjustRightInd w:val="0"/>
        <w:snapToGrid w:val="0"/>
        <w:spacing w:line="360" w:lineRule="auto"/>
        <w:ind w:left="425" w:hanging="425"/>
        <w:rPr>
          <w:rFonts w:ascii="Times New Roman" w:hAnsi="Times New Roman"/>
          <w:noProof w:val="0"/>
          <w:sz w:val="24"/>
          <w:szCs w:val="24"/>
          <w:lang w:val="en-GB"/>
        </w:rPr>
      </w:pPr>
      <w:r w:rsidRPr="00FB563D">
        <w:rPr>
          <w:rFonts w:ascii="Times New Roman" w:hAnsi="Times New Roman"/>
          <w:noProof w:val="0"/>
          <w:sz w:val="24"/>
          <w:szCs w:val="24"/>
          <w:lang w:val="en-GB"/>
        </w:rPr>
        <w:t xml:space="preserve">Sukjamnong, S.; Chan, Y.L.; Zakarya, R.; Saad, S.; Sharma, P.; Santiyanont, R.; Chen, H.; Oliver, B.G. Effect of long-term maternal smoking on the offspring’s lung health. </w:t>
      </w:r>
      <w:r w:rsidRPr="00FB563D">
        <w:rPr>
          <w:rFonts w:ascii="Times New Roman" w:hAnsi="Times New Roman"/>
          <w:i/>
          <w:noProof w:val="0"/>
          <w:sz w:val="24"/>
          <w:szCs w:val="24"/>
          <w:lang w:val="en-GB"/>
        </w:rPr>
        <w:t>Am.</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J.</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Physiol.</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Lung</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Cell.</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Mol.</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Physiol.</w:t>
      </w:r>
      <w:r w:rsidRPr="00FB563D">
        <w:rPr>
          <w:rFonts w:ascii="Times New Roman" w:hAnsi="Times New Roman"/>
          <w:noProof w:val="0"/>
          <w:sz w:val="24"/>
          <w:szCs w:val="24"/>
          <w:lang w:val="en-GB"/>
        </w:rPr>
        <w:t xml:space="preserve"> </w:t>
      </w:r>
      <w:r w:rsidRPr="00FB563D">
        <w:rPr>
          <w:rFonts w:ascii="Times New Roman" w:hAnsi="Times New Roman"/>
          <w:b/>
          <w:noProof w:val="0"/>
          <w:sz w:val="24"/>
          <w:szCs w:val="24"/>
          <w:lang w:val="en-GB"/>
        </w:rPr>
        <w:t>2017</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313</w:t>
      </w:r>
      <w:r w:rsidRPr="00FB563D">
        <w:rPr>
          <w:rFonts w:ascii="Times New Roman" w:hAnsi="Times New Roman"/>
          <w:noProof w:val="0"/>
          <w:sz w:val="24"/>
          <w:szCs w:val="24"/>
          <w:lang w:val="en-GB"/>
        </w:rPr>
        <w:t>, L416–L423.</w:t>
      </w:r>
    </w:p>
    <w:p w14:paraId="240086F3" w14:textId="77777777" w:rsidR="00FB563D" w:rsidRPr="00FB563D" w:rsidRDefault="00FB563D" w:rsidP="00FB563D">
      <w:pPr>
        <w:pStyle w:val="EndNoteBibliography"/>
        <w:numPr>
          <w:ilvl w:val="0"/>
          <w:numId w:val="5"/>
        </w:numPr>
        <w:adjustRightInd w:val="0"/>
        <w:snapToGrid w:val="0"/>
        <w:spacing w:line="360" w:lineRule="auto"/>
        <w:ind w:left="425" w:hanging="425"/>
        <w:rPr>
          <w:rFonts w:ascii="Times New Roman" w:hAnsi="Times New Roman"/>
          <w:noProof w:val="0"/>
          <w:sz w:val="24"/>
          <w:szCs w:val="24"/>
          <w:lang w:val="en-GB"/>
        </w:rPr>
      </w:pPr>
      <w:r w:rsidRPr="00FB563D">
        <w:rPr>
          <w:rFonts w:ascii="Times New Roman" w:hAnsi="Times New Roman"/>
          <w:noProof w:val="0"/>
          <w:sz w:val="24"/>
          <w:szCs w:val="24"/>
          <w:lang w:val="en-GB"/>
        </w:rPr>
        <w:t xml:space="preserve">Sukjamnong, S.; Chan, Y.L.; Zakarya, R.; Nguyen, L.T.; Anwer, A.G.; Zaky, A.A.; Santiyanont, R.; Oliver, B.G.; Goldys, E.; Pollock, C.A.; et al. Mitoq supplementation prevent long-term impact of maternal smoking on renal development, oxidative stress and mitochondrial density in male mice offspring. </w:t>
      </w:r>
      <w:r w:rsidRPr="00FB563D">
        <w:rPr>
          <w:rFonts w:ascii="Times New Roman" w:hAnsi="Times New Roman"/>
          <w:i/>
          <w:noProof w:val="0"/>
          <w:sz w:val="24"/>
          <w:szCs w:val="24"/>
          <w:lang w:val="en-GB"/>
        </w:rPr>
        <w:t>Sci.</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Rep.</w:t>
      </w:r>
      <w:r w:rsidRPr="00FB563D">
        <w:rPr>
          <w:rFonts w:ascii="Times New Roman" w:hAnsi="Times New Roman"/>
          <w:noProof w:val="0"/>
          <w:sz w:val="24"/>
          <w:szCs w:val="24"/>
          <w:lang w:val="en-GB"/>
        </w:rPr>
        <w:t xml:space="preserve"> </w:t>
      </w:r>
      <w:r w:rsidRPr="00FB563D">
        <w:rPr>
          <w:rFonts w:ascii="Times New Roman" w:hAnsi="Times New Roman"/>
          <w:b/>
          <w:noProof w:val="0"/>
          <w:sz w:val="24"/>
          <w:szCs w:val="24"/>
          <w:lang w:val="en-GB"/>
        </w:rPr>
        <w:t>2018</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8</w:t>
      </w:r>
      <w:r w:rsidRPr="00FB563D">
        <w:rPr>
          <w:rFonts w:ascii="Times New Roman" w:hAnsi="Times New Roman"/>
          <w:noProof w:val="0"/>
          <w:sz w:val="24"/>
          <w:szCs w:val="24"/>
          <w:lang w:val="en-GB"/>
        </w:rPr>
        <w:t>, 6631.</w:t>
      </w:r>
    </w:p>
    <w:p w14:paraId="4345D92A" w14:textId="77777777" w:rsidR="00FB563D" w:rsidRPr="00FB563D" w:rsidRDefault="00FB563D" w:rsidP="00FB563D">
      <w:pPr>
        <w:pStyle w:val="EndNoteBibliography"/>
        <w:numPr>
          <w:ilvl w:val="0"/>
          <w:numId w:val="5"/>
        </w:numPr>
        <w:adjustRightInd w:val="0"/>
        <w:snapToGrid w:val="0"/>
        <w:spacing w:line="360" w:lineRule="auto"/>
        <w:ind w:left="425" w:hanging="425"/>
        <w:rPr>
          <w:rFonts w:ascii="Times New Roman" w:hAnsi="Times New Roman"/>
          <w:noProof w:val="0"/>
          <w:sz w:val="24"/>
          <w:szCs w:val="24"/>
          <w:lang w:val="en-GB"/>
        </w:rPr>
      </w:pPr>
      <w:r w:rsidRPr="00FB563D">
        <w:rPr>
          <w:rFonts w:ascii="Times New Roman" w:hAnsi="Times New Roman"/>
          <w:noProof w:val="0"/>
          <w:sz w:val="24"/>
          <w:szCs w:val="24"/>
          <w:lang w:val="en-GB"/>
        </w:rPr>
        <w:t xml:space="preserve">Al-Odat, I.; Chen, H.; Chan, Y.L.; Amgad, S.; Wong, M.G.; Gill, A.; Pollock, C.; Saad, S. The impact of maternal cigarette smoke exposure in a rodent model on renal development in the offspring. </w:t>
      </w:r>
      <w:r w:rsidRPr="00FB563D">
        <w:rPr>
          <w:rFonts w:ascii="Times New Roman" w:hAnsi="Times New Roman"/>
          <w:i/>
          <w:noProof w:val="0"/>
          <w:sz w:val="24"/>
          <w:szCs w:val="24"/>
          <w:lang w:val="en-GB"/>
        </w:rPr>
        <w:t>PLoS</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ONE</w:t>
      </w:r>
      <w:r w:rsidRPr="00FB563D">
        <w:rPr>
          <w:rFonts w:ascii="Times New Roman" w:hAnsi="Times New Roman"/>
          <w:noProof w:val="0"/>
          <w:sz w:val="24"/>
          <w:szCs w:val="24"/>
          <w:lang w:val="en-GB"/>
        </w:rPr>
        <w:t xml:space="preserve"> </w:t>
      </w:r>
      <w:r w:rsidRPr="00FB563D">
        <w:rPr>
          <w:rFonts w:ascii="Times New Roman" w:hAnsi="Times New Roman"/>
          <w:b/>
          <w:noProof w:val="0"/>
          <w:sz w:val="24"/>
          <w:szCs w:val="24"/>
          <w:lang w:val="en-GB"/>
        </w:rPr>
        <w:t>2014</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9</w:t>
      </w:r>
      <w:r w:rsidRPr="00FB563D">
        <w:rPr>
          <w:rFonts w:ascii="Times New Roman" w:hAnsi="Times New Roman"/>
          <w:noProof w:val="0"/>
          <w:sz w:val="24"/>
          <w:szCs w:val="24"/>
          <w:lang w:val="en-GB"/>
        </w:rPr>
        <w:t>, e103443.</w:t>
      </w:r>
    </w:p>
    <w:p w14:paraId="69A905A2" w14:textId="77777777" w:rsidR="00FB563D" w:rsidRPr="00FB563D" w:rsidRDefault="00FB563D" w:rsidP="00FB563D">
      <w:pPr>
        <w:pStyle w:val="EndNoteBibliography"/>
        <w:numPr>
          <w:ilvl w:val="0"/>
          <w:numId w:val="5"/>
        </w:numPr>
        <w:adjustRightInd w:val="0"/>
        <w:snapToGrid w:val="0"/>
        <w:spacing w:line="360" w:lineRule="auto"/>
        <w:ind w:left="425" w:hanging="425"/>
        <w:rPr>
          <w:rFonts w:ascii="Times New Roman" w:hAnsi="Times New Roman"/>
          <w:noProof w:val="0"/>
          <w:sz w:val="24"/>
          <w:szCs w:val="24"/>
          <w:lang w:val="en-GB"/>
        </w:rPr>
      </w:pPr>
      <w:r w:rsidRPr="00FB563D">
        <w:rPr>
          <w:rFonts w:ascii="Times New Roman" w:hAnsi="Times New Roman"/>
          <w:noProof w:val="0"/>
          <w:sz w:val="24"/>
          <w:szCs w:val="24"/>
          <w:lang w:val="en-GB"/>
        </w:rPr>
        <w:t xml:space="preserve">Vivekanandarajah, A.; Chan, Y.L.; Chen, H.; Machaalani, R. Prenatal cigarette smoke exposure effects on apoptotic and nicotinic acetylcholine receptor expression in the infant mouse brainstem. </w:t>
      </w:r>
      <w:r w:rsidRPr="00FB563D">
        <w:rPr>
          <w:rFonts w:ascii="Times New Roman" w:hAnsi="Times New Roman"/>
          <w:i/>
          <w:noProof w:val="0"/>
          <w:sz w:val="24"/>
          <w:szCs w:val="24"/>
          <w:lang w:val="en-GB"/>
        </w:rPr>
        <w:t>Neurotoxicology</w:t>
      </w:r>
      <w:r w:rsidRPr="00FB563D">
        <w:rPr>
          <w:rFonts w:ascii="Times New Roman" w:hAnsi="Times New Roman"/>
          <w:noProof w:val="0"/>
          <w:sz w:val="24"/>
          <w:szCs w:val="24"/>
          <w:lang w:val="en-GB"/>
        </w:rPr>
        <w:t xml:space="preserve"> </w:t>
      </w:r>
      <w:r w:rsidRPr="00FB563D">
        <w:rPr>
          <w:rFonts w:ascii="Times New Roman" w:hAnsi="Times New Roman"/>
          <w:b/>
          <w:noProof w:val="0"/>
          <w:sz w:val="24"/>
          <w:szCs w:val="24"/>
          <w:lang w:val="en-GB"/>
        </w:rPr>
        <w:t>2016</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53</w:t>
      </w:r>
      <w:r w:rsidRPr="00FB563D">
        <w:rPr>
          <w:rFonts w:ascii="Times New Roman" w:hAnsi="Times New Roman"/>
          <w:noProof w:val="0"/>
          <w:sz w:val="24"/>
          <w:szCs w:val="24"/>
          <w:lang w:val="en-GB"/>
        </w:rPr>
        <w:t>, 53–63.</w:t>
      </w:r>
    </w:p>
    <w:p w14:paraId="144A0ED7" w14:textId="77777777" w:rsidR="00FB563D" w:rsidRPr="00FB563D" w:rsidRDefault="00FB563D" w:rsidP="00FB563D">
      <w:pPr>
        <w:pStyle w:val="EndNoteBibliography"/>
        <w:numPr>
          <w:ilvl w:val="0"/>
          <w:numId w:val="5"/>
        </w:numPr>
        <w:adjustRightInd w:val="0"/>
        <w:snapToGrid w:val="0"/>
        <w:spacing w:line="360" w:lineRule="auto"/>
        <w:ind w:left="425" w:hanging="425"/>
        <w:rPr>
          <w:rFonts w:ascii="Times New Roman" w:hAnsi="Times New Roman"/>
          <w:noProof w:val="0"/>
          <w:sz w:val="24"/>
          <w:szCs w:val="24"/>
          <w:lang w:val="en-GB"/>
        </w:rPr>
      </w:pPr>
      <w:r w:rsidRPr="00FB563D">
        <w:rPr>
          <w:rFonts w:ascii="Times New Roman" w:hAnsi="Times New Roman"/>
          <w:noProof w:val="0"/>
          <w:sz w:val="24"/>
          <w:szCs w:val="24"/>
          <w:lang w:val="en-GB"/>
        </w:rPr>
        <w:lastRenderedPageBreak/>
        <w:t xml:space="preserve">Smith, R.A.; Porteous, C.M.; Gane, A.M.; Murphy, M.P. Delivery of bioactive molecules to mitochondria in vivo. </w:t>
      </w:r>
      <w:r w:rsidRPr="00FB563D">
        <w:rPr>
          <w:rFonts w:ascii="Times New Roman" w:hAnsi="Times New Roman"/>
          <w:i/>
          <w:noProof w:val="0"/>
          <w:sz w:val="24"/>
          <w:szCs w:val="24"/>
          <w:lang w:val="en-GB"/>
        </w:rPr>
        <w:t>Proc.</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Natl.</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Acad.</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Sci.</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 xml:space="preserve">USA </w:t>
      </w:r>
      <w:r w:rsidRPr="00FB563D">
        <w:rPr>
          <w:rFonts w:ascii="Times New Roman" w:hAnsi="Times New Roman"/>
          <w:b/>
          <w:noProof w:val="0"/>
          <w:sz w:val="24"/>
          <w:szCs w:val="24"/>
          <w:lang w:val="en-GB"/>
        </w:rPr>
        <w:t>2003</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100</w:t>
      </w:r>
      <w:r w:rsidRPr="00FB563D">
        <w:rPr>
          <w:rFonts w:ascii="Times New Roman" w:hAnsi="Times New Roman"/>
          <w:noProof w:val="0"/>
          <w:sz w:val="24"/>
          <w:szCs w:val="24"/>
          <w:lang w:val="en-GB"/>
        </w:rPr>
        <w:t>, 5407–5412.</w:t>
      </w:r>
    </w:p>
    <w:p w14:paraId="782812A9" w14:textId="77777777" w:rsidR="00FB563D" w:rsidRPr="00FB563D" w:rsidRDefault="00FB563D" w:rsidP="00FB563D">
      <w:pPr>
        <w:pStyle w:val="EndNoteBibliography"/>
        <w:numPr>
          <w:ilvl w:val="0"/>
          <w:numId w:val="5"/>
        </w:numPr>
        <w:adjustRightInd w:val="0"/>
        <w:snapToGrid w:val="0"/>
        <w:spacing w:line="360" w:lineRule="auto"/>
        <w:ind w:left="425" w:hanging="425"/>
        <w:rPr>
          <w:rFonts w:ascii="Times New Roman" w:hAnsi="Times New Roman"/>
          <w:noProof w:val="0"/>
          <w:sz w:val="24"/>
          <w:szCs w:val="24"/>
          <w:lang w:val="en-GB"/>
        </w:rPr>
      </w:pPr>
      <w:r w:rsidRPr="00FB563D">
        <w:rPr>
          <w:rFonts w:ascii="Times New Roman" w:hAnsi="Times New Roman"/>
          <w:noProof w:val="0"/>
          <w:sz w:val="24"/>
          <w:szCs w:val="24"/>
          <w:lang w:val="en-GB"/>
        </w:rPr>
        <w:t xml:space="preserve">Chen, H.; Simar, D.; Pegg, K.; Saad, S.; Palmer, C.; Morris, M.J. Exendin-4 is effective against metabolic disorders induced by intrauterine and postnatal overnutrition in rodents. </w:t>
      </w:r>
      <w:r w:rsidRPr="00FB563D">
        <w:rPr>
          <w:rFonts w:ascii="Times New Roman" w:hAnsi="Times New Roman"/>
          <w:i/>
          <w:noProof w:val="0"/>
          <w:sz w:val="24"/>
          <w:szCs w:val="24"/>
          <w:lang w:val="en-GB"/>
        </w:rPr>
        <w:t>Diabetologia</w:t>
      </w:r>
      <w:r w:rsidRPr="00FB563D">
        <w:rPr>
          <w:rFonts w:ascii="Times New Roman" w:hAnsi="Times New Roman"/>
          <w:noProof w:val="0"/>
          <w:sz w:val="24"/>
          <w:szCs w:val="24"/>
          <w:lang w:val="en-GB"/>
        </w:rPr>
        <w:t xml:space="preserve"> </w:t>
      </w:r>
      <w:r w:rsidRPr="00FB563D">
        <w:rPr>
          <w:rFonts w:ascii="Times New Roman" w:hAnsi="Times New Roman"/>
          <w:b/>
          <w:noProof w:val="0"/>
          <w:sz w:val="24"/>
          <w:szCs w:val="24"/>
          <w:lang w:val="en-GB"/>
        </w:rPr>
        <w:t>2014</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57</w:t>
      </w:r>
      <w:r w:rsidRPr="00FB563D">
        <w:rPr>
          <w:rFonts w:ascii="Times New Roman" w:hAnsi="Times New Roman"/>
          <w:noProof w:val="0"/>
          <w:sz w:val="24"/>
          <w:szCs w:val="24"/>
          <w:lang w:val="en-GB"/>
        </w:rPr>
        <w:t>, 614–622.</w:t>
      </w:r>
    </w:p>
    <w:p w14:paraId="3460E551" w14:textId="77777777" w:rsidR="00FB563D" w:rsidRPr="00FB563D" w:rsidRDefault="00FB563D" w:rsidP="00FB563D">
      <w:pPr>
        <w:pStyle w:val="EndNoteBibliography"/>
        <w:numPr>
          <w:ilvl w:val="0"/>
          <w:numId w:val="5"/>
        </w:numPr>
        <w:adjustRightInd w:val="0"/>
        <w:snapToGrid w:val="0"/>
        <w:spacing w:line="360" w:lineRule="auto"/>
        <w:ind w:left="425" w:hanging="425"/>
        <w:rPr>
          <w:rFonts w:ascii="Times New Roman" w:hAnsi="Times New Roman"/>
          <w:noProof w:val="0"/>
          <w:sz w:val="24"/>
          <w:szCs w:val="24"/>
          <w:lang w:val="en-GB"/>
        </w:rPr>
      </w:pPr>
      <w:r w:rsidRPr="00FB563D">
        <w:rPr>
          <w:rFonts w:ascii="Times New Roman" w:hAnsi="Times New Roman"/>
          <w:noProof w:val="0"/>
          <w:sz w:val="24"/>
          <w:szCs w:val="24"/>
          <w:lang w:val="en-GB"/>
        </w:rPr>
        <w:t xml:space="preserve">Folch, J.; Lees, M.; Sloane Stanley, G.H. A simple method for the isolation and purification of total lipides from animal tissues. </w:t>
      </w:r>
      <w:r w:rsidRPr="00FB563D">
        <w:rPr>
          <w:rFonts w:ascii="Times New Roman" w:hAnsi="Times New Roman"/>
          <w:i/>
          <w:noProof w:val="0"/>
          <w:sz w:val="24"/>
          <w:szCs w:val="24"/>
          <w:lang w:val="en-GB"/>
        </w:rPr>
        <w:t>J.</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Biol.</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Chem.</w:t>
      </w:r>
      <w:r w:rsidRPr="00FB563D">
        <w:rPr>
          <w:rFonts w:ascii="Times New Roman" w:hAnsi="Times New Roman"/>
          <w:noProof w:val="0"/>
          <w:sz w:val="24"/>
          <w:szCs w:val="24"/>
          <w:lang w:val="en-GB"/>
        </w:rPr>
        <w:t xml:space="preserve"> </w:t>
      </w:r>
      <w:r w:rsidRPr="00FB563D">
        <w:rPr>
          <w:rFonts w:ascii="Times New Roman" w:hAnsi="Times New Roman"/>
          <w:b/>
          <w:noProof w:val="0"/>
          <w:sz w:val="24"/>
          <w:szCs w:val="24"/>
          <w:lang w:val="en-GB"/>
        </w:rPr>
        <w:t>1957</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226</w:t>
      </w:r>
      <w:r w:rsidRPr="00FB563D">
        <w:rPr>
          <w:rFonts w:ascii="Times New Roman" w:hAnsi="Times New Roman"/>
          <w:noProof w:val="0"/>
          <w:sz w:val="24"/>
          <w:szCs w:val="24"/>
          <w:lang w:val="en-GB"/>
        </w:rPr>
        <w:t>, 497–509.</w:t>
      </w:r>
    </w:p>
    <w:p w14:paraId="044A1B16" w14:textId="77777777" w:rsidR="00FB563D" w:rsidRPr="00FB563D" w:rsidRDefault="00FB563D" w:rsidP="00FB563D">
      <w:pPr>
        <w:pStyle w:val="EndNoteBibliography"/>
        <w:numPr>
          <w:ilvl w:val="0"/>
          <w:numId w:val="5"/>
        </w:numPr>
        <w:adjustRightInd w:val="0"/>
        <w:snapToGrid w:val="0"/>
        <w:spacing w:line="360" w:lineRule="auto"/>
        <w:ind w:left="425" w:hanging="425"/>
        <w:rPr>
          <w:rFonts w:ascii="Times New Roman" w:hAnsi="Times New Roman"/>
          <w:noProof w:val="0"/>
          <w:sz w:val="24"/>
          <w:szCs w:val="24"/>
          <w:lang w:val="en-GB"/>
        </w:rPr>
      </w:pPr>
      <w:r w:rsidRPr="00FB563D">
        <w:rPr>
          <w:rFonts w:ascii="Times New Roman" w:hAnsi="Times New Roman"/>
          <w:noProof w:val="0"/>
          <w:sz w:val="24"/>
          <w:szCs w:val="24"/>
          <w:lang w:val="en-GB"/>
        </w:rPr>
        <w:t xml:space="preserve">Matyash, V.; Liebisch, G.; Kurzchalia, T.V.; Shevchenko, A.; Schwudke, D. Lipid extraction by methyl-tert-butyl ether for high-throughput lipidomics. </w:t>
      </w:r>
      <w:r w:rsidRPr="00FB563D">
        <w:rPr>
          <w:rFonts w:ascii="Times New Roman" w:hAnsi="Times New Roman"/>
          <w:i/>
          <w:noProof w:val="0"/>
          <w:sz w:val="24"/>
          <w:szCs w:val="24"/>
          <w:lang w:val="en-GB"/>
        </w:rPr>
        <w:t>J.</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Lipid</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Res.</w:t>
      </w:r>
      <w:r w:rsidRPr="00FB563D">
        <w:rPr>
          <w:rFonts w:ascii="Times New Roman" w:hAnsi="Times New Roman"/>
          <w:noProof w:val="0"/>
          <w:sz w:val="24"/>
          <w:szCs w:val="24"/>
          <w:lang w:val="en-GB"/>
        </w:rPr>
        <w:t xml:space="preserve"> </w:t>
      </w:r>
      <w:r w:rsidRPr="00FB563D">
        <w:rPr>
          <w:rFonts w:ascii="Times New Roman" w:hAnsi="Times New Roman"/>
          <w:b/>
          <w:noProof w:val="0"/>
          <w:sz w:val="24"/>
          <w:szCs w:val="24"/>
          <w:lang w:val="en-GB"/>
        </w:rPr>
        <w:t>2008</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49</w:t>
      </w:r>
      <w:r w:rsidRPr="00FB563D">
        <w:rPr>
          <w:rFonts w:ascii="Times New Roman" w:hAnsi="Times New Roman"/>
          <w:noProof w:val="0"/>
          <w:sz w:val="24"/>
          <w:szCs w:val="24"/>
          <w:lang w:val="en-GB"/>
        </w:rPr>
        <w:t>, 1137–1146.</w:t>
      </w:r>
    </w:p>
    <w:p w14:paraId="29FDD97C" w14:textId="77777777" w:rsidR="00FB563D" w:rsidRPr="00FB563D" w:rsidRDefault="00FB563D" w:rsidP="00FB563D">
      <w:pPr>
        <w:pStyle w:val="EndNoteBibliography"/>
        <w:numPr>
          <w:ilvl w:val="0"/>
          <w:numId w:val="5"/>
        </w:numPr>
        <w:adjustRightInd w:val="0"/>
        <w:snapToGrid w:val="0"/>
        <w:spacing w:line="360" w:lineRule="auto"/>
        <w:ind w:left="425" w:hanging="425"/>
        <w:rPr>
          <w:rFonts w:ascii="Times New Roman" w:hAnsi="Times New Roman"/>
          <w:noProof w:val="0"/>
          <w:sz w:val="24"/>
          <w:szCs w:val="24"/>
          <w:lang w:val="en-GB"/>
        </w:rPr>
      </w:pPr>
      <w:r w:rsidRPr="00FB563D">
        <w:rPr>
          <w:rFonts w:ascii="Times New Roman" w:hAnsi="Times New Roman"/>
          <w:noProof w:val="0"/>
          <w:sz w:val="24"/>
          <w:szCs w:val="24"/>
          <w:lang w:val="en-GB"/>
        </w:rPr>
        <w:t xml:space="preserve">Hutchins, P.D.; Russell, J.D.; Coon, J.J. Lipidex: An integrated software package for high-confidence lipid identification. </w:t>
      </w:r>
      <w:r w:rsidRPr="00FB563D">
        <w:rPr>
          <w:rFonts w:ascii="Times New Roman" w:hAnsi="Times New Roman"/>
          <w:i/>
          <w:noProof w:val="0"/>
          <w:sz w:val="24"/>
          <w:szCs w:val="24"/>
          <w:lang w:val="en-GB"/>
        </w:rPr>
        <w:t>Cell</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Syst.</w:t>
      </w:r>
      <w:r w:rsidRPr="00FB563D">
        <w:rPr>
          <w:rFonts w:ascii="Times New Roman" w:hAnsi="Times New Roman"/>
          <w:noProof w:val="0"/>
          <w:sz w:val="24"/>
          <w:szCs w:val="24"/>
          <w:lang w:val="en-GB"/>
        </w:rPr>
        <w:t xml:space="preserve"> </w:t>
      </w:r>
      <w:r w:rsidRPr="00FB563D">
        <w:rPr>
          <w:rFonts w:ascii="Times New Roman" w:hAnsi="Times New Roman"/>
          <w:b/>
          <w:noProof w:val="0"/>
          <w:sz w:val="24"/>
          <w:szCs w:val="24"/>
          <w:lang w:val="en-GB"/>
        </w:rPr>
        <w:t>2018</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6</w:t>
      </w:r>
      <w:r w:rsidRPr="00FB563D">
        <w:rPr>
          <w:rFonts w:ascii="Times New Roman" w:hAnsi="Times New Roman"/>
          <w:noProof w:val="0"/>
          <w:sz w:val="24"/>
          <w:szCs w:val="24"/>
          <w:lang w:val="en-GB"/>
        </w:rPr>
        <w:t>, 621–625.</w:t>
      </w:r>
    </w:p>
    <w:p w14:paraId="0A8D3042" w14:textId="77777777" w:rsidR="00FB563D" w:rsidRPr="00FB563D" w:rsidRDefault="00FB563D" w:rsidP="00FB563D">
      <w:pPr>
        <w:pStyle w:val="EndNoteBibliography"/>
        <w:numPr>
          <w:ilvl w:val="0"/>
          <w:numId w:val="5"/>
        </w:numPr>
        <w:adjustRightInd w:val="0"/>
        <w:snapToGrid w:val="0"/>
        <w:spacing w:line="360" w:lineRule="auto"/>
        <w:ind w:left="425" w:hanging="425"/>
        <w:rPr>
          <w:rFonts w:ascii="Times New Roman" w:hAnsi="Times New Roman"/>
          <w:noProof w:val="0"/>
          <w:sz w:val="24"/>
          <w:szCs w:val="24"/>
          <w:lang w:val="en-GB"/>
        </w:rPr>
      </w:pPr>
      <w:r w:rsidRPr="00FB563D">
        <w:rPr>
          <w:rFonts w:ascii="Times New Roman" w:hAnsi="Times New Roman"/>
          <w:noProof w:val="0"/>
          <w:sz w:val="24"/>
          <w:szCs w:val="24"/>
          <w:lang w:val="en-GB"/>
        </w:rPr>
        <w:t xml:space="preserve">Owens, L.; Laing, I.A.; Murdzoska, J.; Zhang, G.; Turner, S.W.; Le Souef, P.N. </w:t>
      </w:r>
      <w:bookmarkStart w:id="18" w:name="OLE_LINK17"/>
      <w:bookmarkStart w:id="19" w:name="OLE_LINK18"/>
      <w:bookmarkStart w:id="20" w:name="OLE_LINK19"/>
      <w:r w:rsidRPr="00FB563D">
        <w:rPr>
          <w:rFonts w:ascii="Times New Roman" w:hAnsi="Times New Roman"/>
          <w:noProof w:val="0"/>
          <w:sz w:val="24"/>
          <w:szCs w:val="24"/>
          <w:lang w:val="en-GB"/>
        </w:rPr>
        <w:t>Glutathione s-transferase genotype protects against in utero tobacco linked lung function deficits</w:t>
      </w:r>
      <w:bookmarkEnd w:id="18"/>
      <w:bookmarkEnd w:id="19"/>
      <w:bookmarkEnd w:id="20"/>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Am.</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J.</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Respir.</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Crit.</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Care</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Med.</w:t>
      </w:r>
      <w:r w:rsidRPr="00FB563D">
        <w:rPr>
          <w:rFonts w:ascii="Times New Roman" w:hAnsi="Times New Roman"/>
          <w:noProof w:val="0"/>
          <w:sz w:val="24"/>
          <w:szCs w:val="24"/>
          <w:lang w:val="en-GB"/>
        </w:rPr>
        <w:t xml:space="preserve"> </w:t>
      </w:r>
      <w:r w:rsidRPr="00FB563D">
        <w:rPr>
          <w:rFonts w:ascii="Times New Roman" w:hAnsi="Times New Roman"/>
          <w:b/>
          <w:noProof w:val="0"/>
          <w:sz w:val="24"/>
          <w:szCs w:val="24"/>
          <w:lang w:val="en-GB"/>
        </w:rPr>
        <w:t>2019</w:t>
      </w:r>
      <w:r w:rsidRPr="00FB563D">
        <w:rPr>
          <w:rFonts w:ascii="Times New Roman" w:hAnsi="Times New Roman"/>
          <w:noProof w:val="0"/>
          <w:sz w:val="24"/>
          <w:szCs w:val="24"/>
          <w:lang w:val="en-GB"/>
        </w:rPr>
        <w:t xml:space="preserve">. doi:10.1164/rccm.201807-1332OC. </w:t>
      </w:r>
    </w:p>
    <w:p w14:paraId="65810F05" w14:textId="77777777" w:rsidR="00FB563D" w:rsidRPr="00FB563D" w:rsidRDefault="00FB563D" w:rsidP="00FB563D">
      <w:pPr>
        <w:pStyle w:val="EndNoteBibliography"/>
        <w:numPr>
          <w:ilvl w:val="0"/>
          <w:numId w:val="5"/>
        </w:numPr>
        <w:adjustRightInd w:val="0"/>
        <w:snapToGrid w:val="0"/>
        <w:spacing w:line="360" w:lineRule="auto"/>
        <w:ind w:left="425" w:hanging="425"/>
        <w:rPr>
          <w:rFonts w:ascii="Times New Roman" w:hAnsi="Times New Roman"/>
          <w:noProof w:val="0"/>
          <w:sz w:val="24"/>
          <w:szCs w:val="24"/>
          <w:lang w:val="en-GB"/>
        </w:rPr>
      </w:pPr>
      <w:r w:rsidRPr="00FB563D">
        <w:rPr>
          <w:rFonts w:ascii="Times New Roman" w:hAnsi="Times New Roman"/>
          <w:noProof w:val="0"/>
          <w:sz w:val="24"/>
          <w:szCs w:val="24"/>
          <w:lang w:val="en-GB"/>
        </w:rPr>
        <w:t xml:space="preserve">Horta, B.L.; Victora, C.G.; Menezes, A.M.; Halpern, R.; Barros, F.C. Low birthweight, preterm births and intrauterine growth retardation in relation to maternal smoking. </w:t>
      </w:r>
      <w:r w:rsidRPr="00FB563D">
        <w:rPr>
          <w:rFonts w:ascii="Times New Roman" w:hAnsi="Times New Roman"/>
          <w:i/>
          <w:noProof w:val="0"/>
          <w:sz w:val="24"/>
          <w:szCs w:val="24"/>
          <w:lang w:val="en-GB"/>
        </w:rPr>
        <w:t>Paediatr.</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Perinat.</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Epidemiol.</w:t>
      </w:r>
      <w:r w:rsidRPr="00FB563D">
        <w:rPr>
          <w:rFonts w:ascii="Times New Roman" w:hAnsi="Times New Roman"/>
          <w:noProof w:val="0"/>
          <w:sz w:val="24"/>
          <w:szCs w:val="24"/>
          <w:lang w:val="en-GB"/>
        </w:rPr>
        <w:t xml:space="preserve"> </w:t>
      </w:r>
      <w:r w:rsidRPr="00FB563D">
        <w:rPr>
          <w:rFonts w:ascii="Times New Roman" w:hAnsi="Times New Roman"/>
          <w:b/>
          <w:noProof w:val="0"/>
          <w:sz w:val="24"/>
          <w:szCs w:val="24"/>
          <w:lang w:val="en-GB"/>
        </w:rPr>
        <w:t>1997</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11</w:t>
      </w:r>
      <w:r w:rsidRPr="00FB563D">
        <w:rPr>
          <w:rFonts w:ascii="Times New Roman" w:hAnsi="Times New Roman"/>
          <w:noProof w:val="0"/>
          <w:sz w:val="24"/>
          <w:szCs w:val="24"/>
          <w:lang w:val="en-GB"/>
        </w:rPr>
        <w:t>, 140–151.</w:t>
      </w:r>
    </w:p>
    <w:p w14:paraId="232A11C1" w14:textId="77777777" w:rsidR="00FB563D" w:rsidRPr="00FB563D" w:rsidRDefault="00FB563D" w:rsidP="00FB563D">
      <w:pPr>
        <w:pStyle w:val="EndNoteBibliography"/>
        <w:numPr>
          <w:ilvl w:val="0"/>
          <w:numId w:val="5"/>
        </w:numPr>
        <w:adjustRightInd w:val="0"/>
        <w:snapToGrid w:val="0"/>
        <w:spacing w:line="360" w:lineRule="auto"/>
        <w:ind w:left="425" w:hanging="425"/>
        <w:rPr>
          <w:rFonts w:ascii="Times New Roman" w:hAnsi="Times New Roman"/>
          <w:noProof w:val="0"/>
          <w:sz w:val="24"/>
          <w:szCs w:val="24"/>
          <w:lang w:val="en-GB"/>
        </w:rPr>
      </w:pPr>
      <w:r w:rsidRPr="00FB563D">
        <w:rPr>
          <w:rFonts w:ascii="Times New Roman" w:hAnsi="Times New Roman"/>
          <w:noProof w:val="0"/>
          <w:sz w:val="24"/>
          <w:szCs w:val="24"/>
          <w:lang w:val="en-GB"/>
        </w:rPr>
        <w:t xml:space="preserve">Thiering, E.; Brüske, I.; Kratzsch, J.; Thiery, J.; Sausenthaler, S.; Meisinger, C.; Koletzko, S.; Bauer, C.-P.; Schaaf, B.; Von Berg, A.; et al. Prenatal and postnatal tobacco smoke exposure and development of insulin resistance in 10 year old children. </w:t>
      </w:r>
      <w:r w:rsidRPr="00FB563D">
        <w:rPr>
          <w:rFonts w:ascii="Times New Roman" w:hAnsi="Times New Roman"/>
          <w:i/>
          <w:noProof w:val="0"/>
          <w:sz w:val="24"/>
          <w:szCs w:val="24"/>
          <w:lang w:val="en-GB"/>
        </w:rPr>
        <w:t>Int.</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J.</w:t>
      </w:r>
      <w:r w:rsidRPr="00FB563D">
        <w:rPr>
          <w:rFonts w:ascii="Times New Roman" w:hAnsi="Times New Roman"/>
          <w:noProof w:val="0"/>
          <w:sz w:val="24"/>
          <w:szCs w:val="24"/>
          <w:lang w:val="en-GB"/>
        </w:rPr>
        <w:t xml:space="preserve"> </w:t>
      </w:r>
      <w:r w:rsidRPr="00FB563D">
        <w:rPr>
          <w:rFonts w:ascii="Times New Roman" w:hAnsi="Times New Roman"/>
          <w:i/>
          <w:iCs/>
          <w:noProof w:val="0"/>
          <w:sz w:val="24"/>
          <w:szCs w:val="24"/>
          <w:lang w:val="en-GB"/>
        </w:rPr>
        <w:t xml:space="preserve">Hyg. </w:t>
      </w:r>
      <w:r w:rsidRPr="00FB563D">
        <w:rPr>
          <w:rFonts w:ascii="Times New Roman" w:hAnsi="Times New Roman"/>
          <w:i/>
          <w:noProof w:val="0"/>
          <w:sz w:val="24"/>
          <w:szCs w:val="24"/>
          <w:lang w:val="en-GB"/>
        </w:rPr>
        <w:t>Environ.</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Health</w:t>
      </w:r>
      <w:r w:rsidRPr="00FB563D">
        <w:rPr>
          <w:rFonts w:ascii="Times New Roman" w:hAnsi="Times New Roman"/>
          <w:noProof w:val="0"/>
          <w:sz w:val="24"/>
          <w:szCs w:val="24"/>
          <w:lang w:val="en-GB"/>
        </w:rPr>
        <w:t xml:space="preserve"> </w:t>
      </w:r>
      <w:r w:rsidRPr="00FB563D">
        <w:rPr>
          <w:rFonts w:ascii="Times New Roman" w:hAnsi="Times New Roman"/>
          <w:b/>
          <w:noProof w:val="0"/>
          <w:sz w:val="24"/>
          <w:szCs w:val="24"/>
          <w:lang w:val="en-GB"/>
        </w:rPr>
        <w:t>2011</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214</w:t>
      </w:r>
      <w:r w:rsidRPr="00FB563D">
        <w:rPr>
          <w:rFonts w:ascii="Times New Roman" w:hAnsi="Times New Roman"/>
          <w:noProof w:val="0"/>
          <w:sz w:val="24"/>
          <w:szCs w:val="24"/>
          <w:lang w:val="en-GB"/>
        </w:rPr>
        <w:t>, 361–368.</w:t>
      </w:r>
    </w:p>
    <w:p w14:paraId="1FF7D1E9" w14:textId="77777777" w:rsidR="00FB563D" w:rsidRPr="00FB563D" w:rsidRDefault="00FB563D" w:rsidP="00FB563D">
      <w:pPr>
        <w:pStyle w:val="EndNoteBibliography"/>
        <w:numPr>
          <w:ilvl w:val="0"/>
          <w:numId w:val="5"/>
        </w:numPr>
        <w:adjustRightInd w:val="0"/>
        <w:snapToGrid w:val="0"/>
        <w:spacing w:line="360" w:lineRule="auto"/>
        <w:ind w:left="425" w:hanging="425"/>
        <w:rPr>
          <w:rFonts w:ascii="Times New Roman" w:hAnsi="Times New Roman"/>
          <w:noProof w:val="0"/>
          <w:sz w:val="24"/>
          <w:szCs w:val="24"/>
          <w:lang w:val="en-GB"/>
        </w:rPr>
      </w:pPr>
      <w:r w:rsidRPr="00FB563D">
        <w:rPr>
          <w:rFonts w:ascii="Times New Roman" w:hAnsi="Times New Roman"/>
          <w:noProof w:val="0"/>
          <w:sz w:val="24"/>
          <w:szCs w:val="24"/>
          <w:lang w:val="en-GB"/>
        </w:rPr>
        <w:t xml:space="preserve">Ayonrinde, O.T.; Adams, L.A.; Mori, T.A.; Beilin, L.J.; De Klerk, N.; Pennell, C.E.; White, S.; Olynyk, J.K. Sex differences between parental pregnancy characteristics and nonalcoholic fatty liver disease in adolescents. </w:t>
      </w:r>
      <w:r w:rsidRPr="00FB563D">
        <w:rPr>
          <w:rFonts w:ascii="Times New Roman" w:hAnsi="Times New Roman"/>
          <w:i/>
          <w:noProof w:val="0"/>
          <w:sz w:val="24"/>
          <w:szCs w:val="24"/>
          <w:lang w:val="en-GB"/>
        </w:rPr>
        <w:t>Hepatology</w:t>
      </w:r>
      <w:r w:rsidRPr="00FB563D">
        <w:rPr>
          <w:rFonts w:ascii="Times New Roman" w:hAnsi="Times New Roman"/>
          <w:noProof w:val="0"/>
          <w:sz w:val="24"/>
          <w:szCs w:val="24"/>
          <w:lang w:val="en-GB"/>
        </w:rPr>
        <w:t xml:space="preserve"> </w:t>
      </w:r>
      <w:r w:rsidRPr="00FB563D">
        <w:rPr>
          <w:rFonts w:ascii="Times New Roman" w:hAnsi="Times New Roman"/>
          <w:b/>
          <w:noProof w:val="0"/>
          <w:sz w:val="24"/>
          <w:szCs w:val="24"/>
          <w:lang w:val="en-GB"/>
        </w:rPr>
        <w:t>2018</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67</w:t>
      </w:r>
      <w:r w:rsidRPr="00FB563D">
        <w:rPr>
          <w:rFonts w:ascii="Times New Roman" w:hAnsi="Times New Roman"/>
          <w:noProof w:val="0"/>
          <w:sz w:val="24"/>
          <w:szCs w:val="24"/>
          <w:lang w:val="en-GB"/>
        </w:rPr>
        <w:t>, 108–122.</w:t>
      </w:r>
    </w:p>
    <w:p w14:paraId="013CA559" w14:textId="77777777" w:rsidR="00FB563D" w:rsidRPr="00FB563D" w:rsidRDefault="00FB563D" w:rsidP="00FB563D">
      <w:pPr>
        <w:pStyle w:val="EndNoteBibliography"/>
        <w:numPr>
          <w:ilvl w:val="0"/>
          <w:numId w:val="5"/>
        </w:numPr>
        <w:adjustRightInd w:val="0"/>
        <w:snapToGrid w:val="0"/>
        <w:spacing w:line="360" w:lineRule="auto"/>
        <w:ind w:left="425" w:hanging="425"/>
        <w:rPr>
          <w:rFonts w:ascii="Times New Roman" w:hAnsi="Times New Roman"/>
          <w:noProof w:val="0"/>
          <w:sz w:val="24"/>
          <w:szCs w:val="24"/>
          <w:lang w:val="en-GB"/>
        </w:rPr>
      </w:pPr>
      <w:r w:rsidRPr="00FB563D">
        <w:rPr>
          <w:rFonts w:ascii="Times New Roman" w:hAnsi="Times New Roman"/>
          <w:noProof w:val="0"/>
          <w:sz w:val="24"/>
          <w:szCs w:val="24"/>
          <w:lang w:val="en-GB"/>
        </w:rPr>
        <w:t xml:space="preserve">Chen, H.; Morris, M.J. Maternal smoking-a contributor to the obesity epidemic? </w:t>
      </w:r>
      <w:r w:rsidRPr="00FB563D">
        <w:rPr>
          <w:rFonts w:ascii="Times New Roman" w:hAnsi="Times New Roman"/>
          <w:i/>
          <w:noProof w:val="0"/>
          <w:sz w:val="24"/>
          <w:szCs w:val="24"/>
          <w:lang w:val="en-GB"/>
        </w:rPr>
        <w:t>Obes.</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Res.</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Clin.</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Pract.</w:t>
      </w:r>
      <w:r w:rsidRPr="00FB563D">
        <w:rPr>
          <w:rFonts w:ascii="Times New Roman" w:hAnsi="Times New Roman"/>
          <w:noProof w:val="0"/>
          <w:sz w:val="24"/>
          <w:szCs w:val="24"/>
          <w:lang w:val="en-GB"/>
        </w:rPr>
        <w:t xml:space="preserve"> </w:t>
      </w:r>
      <w:r w:rsidRPr="00FB563D">
        <w:rPr>
          <w:rFonts w:ascii="Times New Roman" w:hAnsi="Times New Roman"/>
          <w:b/>
          <w:noProof w:val="0"/>
          <w:sz w:val="24"/>
          <w:szCs w:val="24"/>
          <w:lang w:val="en-GB"/>
        </w:rPr>
        <w:t>2007</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1</w:t>
      </w:r>
      <w:r w:rsidRPr="00FB563D">
        <w:rPr>
          <w:rFonts w:ascii="Times New Roman" w:hAnsi="Times New Roman"/>
          <w:noProof w:val="0"/>
          <w:sz w:val="24"/>
          <w:szCs w:val="24"/>
          <w:lang w:val="en-GB"/>
        </w:rPr>
        <w:t>, 155–163.</w:t>
      </w:r>
    </w:p>
    <w:p w14:paraId="0EA008AC" w14:textId="77777777" w:rsidR="00FB563D" w:rsidRPr="00FB563D" w:rsidRDefault="00FB563D" w:rsidP="00FB563D">
      <w:pPr>
        <w:pStyle w:val="EndNoteBibliography"/>
        <w:numPr>
          <w:ilvl w:val="0"/>
          <w:numId w:val="5"/>
        </w:numPr>
        <w:adjustRightInd w:val="0"/>
        <w:snapToGrid w:val="0"/>
        <w:spacing w:line="360" w:lineRule="auto"/>
        <w:ind w:left="425" w:hanging="425"/>
        <w:rPr>
          <w:rFonts w:ascii="Times New Roman" w:hAnsi="Times New Roman"/>
          <w:noProof w:val="0"/>
          <w:sz w:val="24"/>
          <w:szCs w:val="24"/>
          <w:lang w:val="en-GB"/>
        </w:rPr>
      </w:pPr>
      <w:r w:rsidRPr="00FB563D">
        <w:rPr>
          <w:rFonts w:ascii="Times New Roman" w:hAnsi="Times New Roman"/>
          <w:noProof w:val="0"/>
          <w:sz w:val="24"/>
          <w:szCs w:val="24"/>
          <w:lang w:val="en-GB"/>
        </w:rPr>
        <w:t xml:space="preserve">Saad, S.; Al-Odat, I.; Chan, Y.L.; McGrath, K.C.; Pollock, C.A.; Oliver, B.G.; Chen, H. Maternal l-carnitine supplementation improves glucose and lipid profiles in female offspring of dams exposed to cigarette smoke. </w:t>
      </w:r>
      <w:r w:rsidRPr="00FB563D">
        <w:rPr>
          <w:rFonts w:ascii="Times New Roman" w:hAnsi="Times New Roman"/>
          <w:i/>
          <w:noProof w:val="0"/>
          <w:sz w:val="24"/>
          <w:szCs w:val="24"/>
          <w:lang w:val="en-GB"/>
        </w:rPr>
        <w:t>Clin.</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Exp.</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Pharmacol.</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Physiol.</w:t>
      </w:r>
      <w:r w:rsidRPr="00FB563D">
        <w:rPr>
          <w:rFonts w:ascii="Times New Roman" w:hAnsi="Times New Roman"/>
          <w:noProof w:val="0"/>
          <w:sz w:val="24"/>
          <w:szCs w:val="24"/>
          <w:lang w:val="en-GB"/>
        </w:rPr>
        <w:t xml:space="preserve"> </w:t>
      </w:r>
      <w:r w:rsidRPr="00FB563D">
        <w:rPr>
          <w:rFonts w:ascii="Times New Roman" w:hAnsi="Times New Roman"/>
          <w:b/>
          <w:noProof w:val="0"/>
          <w:sz w:val="24"/>
          <w:szCs w:val="24"/>
          <w:lang w:val="en-GB"/>
        </w:rPr>
        <w:t>2018</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45</w:t>
      </w:r>
      <w:r w:rsidRPr="00FB563D">
        <w:rPr>
          <w:rFonts w:ascii="Times New Roman" w:hAnsi="Times New Roman"/>
          <w:noProof w:val="0"/>
          <w:sz w:val="24"/>
          <w:szCs w:val="24"/>
          <w:lang w:val="en-GB"/>
        </w:rPr>
        <w:t>, 694–703.</w:t>
      </w:r>
    </w:p>
    <w:p w14:paraId="2C7970F3" w14:textId="77777777" w:rsidR="00FB563D" w:rsidRPr="00FB563D" w:rsidRDefault="00FB563D" w:rsidP="00FB563D">
      <w:pPr>
        <w:pStyle w:val="EndNoteBibliography"/>
        <w:numPr>
          <w:ilvl w:val="0"/>
          <w:numId w:val="5"/>
        </w:numPr>
        <w:adjustRightInd w:val="0"/>
        <w:snapToGrid w:val="0"/>
        <w:spacing w:line="360" w:lineRule="auto"/>
        <w:ind w:left="425" w:hanging="425"/>
        <w:rPr>
          <w:rFonts w:ascii="Times New Roman" w:hAnsi="Times New Roman"/>
          <w:noProof w:val="0"/>
          <w:sz w:val="24"/>
          <w:szCs w:val="24"/>
          <w:lang w:val="en-GB"/>
        </w:rPr>
      </w:pPr>
      <w:r w:rsidRPr="00FB563D">
        <w:rPr>
          <w:rFonts w:ascii="Times New Roman" w:hAnsi="Times New Roman"/>
          <w:noProof w:val="0"/>
          <w:sz w:val="24"/>
          <w:szCs w:val="24"/>
          <w:lang w:val="en-GB"/>
        </w:rPr>
        <w:t xml:space="preserve">Nguyen, L.T.; Stangenberg, S.; Chen, H.; Al-Odat, I.; Chan, Y.L.; Gosnell, M.E.; Anwer, A.G.; Goldys, E.M.; Pollock, C.A.; Saad, S. L-carnitine reverses maternal cigarette smoke </w:t>
      </w:r>
      <w:r w:rsidRPr="00FB563D">
        <w:rPr>
          <w:rFonts w:ascii="Times New Roman" w:hAnsi="Times New Roman"/>
          <w:noProof w:val="0"/>
          <w:sz w:val="24"/>
          <w:szCs w:val="24"/>
          <w:lang w:val="en-GB"/>
        </w:rPr>
        <w:lastRenderedPageBreak/>
        <w:t xml:space="preserve">exposure-induced renal oxidative stress and mitochondrial dysfunction in mouse offspring. </w:t>
      </w:r>
      <w:r w:rsidRPr="00FB563D">
        <w:rPr>
          <w:rFonts w:ascii="Times New Roman" w:hAnsi="Times New Roman"/>
          <w:i/>
          <w:noProof w:val="0"/>
          <w:sz w:val="24"/>
          <w:szCs w:val="24"/>
          <w:lang w:val="en-GB"/>
        </w:rPr>
        <w:t>Am.</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J.</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Physiol.</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Ren.</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Physiol.</w:t>
      </w:r>
      <w:r w:rsidRPr="00FB563D">
        <w:rPr>
          <w:rFonts w:ascii="Times New Roman" w:hAnsi="Times New Roman"/>
          <w:noProof w:val="0"/>
          <w:sz w:val="24"/>
          <w:szCs w:val="24"/>
          <w:lang w:val="en-GB"/>
        </w:rPr>
        <w:t xml:space="preserve"> </w:t>
      </w:r>
      <w:r w:rsidRPr="00FB563D">
        <w:rPr>
          <w:rFonts w:ascii="Times New Roman" w:hAnsi="Times New Roman"/>
          <w:b/>
          <w:noProof w:val="0"/>
          <w:sz w:val="24"/>
          <w:szCs w:val="24"/>
          <w:lang w:val="en-GB"/>
        </w:rPr>
        <w:t>2015</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308</w:t>
      </w:r>
      <w:r w:rsidRPr="00FB563D">
        <w:rPr>
          <w:rFonts w:ascii="Times New Roman" w:hAnsi="Times New Roman"/>
          <w:noProof w:val="0"/>
          <w:sz w:val="24"/>
          <w:szCs w:val="24"/>
          <w:lang w:val="en-GB"/>
        </w:rPr>
        <w:t>, F689–F696.</w:t>
      </w:r>
    </w:p>
    <w:p w14:paraId="49EEDDAD" w14:textId="77777777" w:rsidR="00FB563D" w:rsidRPr="00FB563D" w:rsidRDefault="00FB563D" w:rsidP="00FB563D">
      <w:pPr>
        <w:pStyle w:val="EndNoteBibliography"/>
        <w:numPr>
          <w:ilvl w:val="0"/>
          <w:numId w:val="5"/>
        </w:numPr>
        <w:adjustRightInd w:val="0"/>
        <w:snapToGrid w:val="0"/>
        <w:spacing w:line="360" w:lineRule="auto"/>
        <w:ind w:left="425" w:hanging="425"/>
        <w:rPr>
          <w:rFonts w:ascii="Times New Roman" w:hAnsi="Times New Roman"/>
          <w:noProof w:val="0"/>
          <w:sz w:val="24"/>
          <w:szCs w:val="24"/>
          <w:lang w:val="en-GB"/>
        </w:rPr>
      </w:pPr>
      <w:r w:rsidRPr="00FB563D">
        <w:rPr>
          <w:rFonts w:ascii="Times New Roman" w:hAnsi="Times New Roman"/>
          <w:noProof w:val="0"/>
          <w:sz w:val="24"/>
          <w:szCs w:val="24"/>
          <w:lang w:val="en-GB"/>
        </w:rPr>
        <w:t xml:space="preserve">Montgomery, S.M.; Ekbom, A. Smoking during pregnancy and diabetes mellitus in a british longitudinal birth cohort. </w:t>
      </w:r>
      <w:r w:rsidRPr="00FB563D">
        <w:rPr>
          <w:rFonts w:ascii="Times New Roman" w:hAnsi="Times New Roman"/>
          <w:i/>
          <w:noProof w:val="0"/>
          <w:sz w:val="24"/>
          <w:szCs w:val="24"/>
          <w:lang w:val="en-GB"/>
        </w:rPr>
        <w:t>BMJ</w:t>
      </w:r>
      <w:r w:rsidRPr="00FB563D">
        <w:rPr>
          <w:rFonts w:ascii="Times New Roman" w:hAnsi="Times New Roman"/>
          <w:noProof w:val="0"/>
          <w:sz w:val="24"/>
          <w:szCs w:val="24"/>
          <w:lang w:val="en-GB"/>
        </w:rPr>
        <w:t xml:space="preserve"> </w:t>
      </w:r>
      <w:r w:rsidRPr="00FB563D">
        <w:rPr>
          <w:rFonts w:ascii="Times New Roman" w:hAnsi="Times New Roman"/>
          <w:b/>
          <w:noProof w:val="0"/>
          <w:sz w:val="24"/>
          <w:szCs w:val="24"/>
          <w:lang w:val="en-GB"/>
        </w:rPr>
        <w:t>2002</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324</w:t>
      </w:r>
      <w:r w:rsidRPr="00FB563D">
        <w:rPr>
          <w:rFonts w:ascii="Times New Roman" w:hAnsi="Times New Roman"/>
          <w:noProof w:val="0"/>
          <w:sz w:val="24"/>
          <w:szCs w:val="24"/>
          <w:lang w:val="en-GB"/>
        </w:rPr>
        <w:t>, 26–27.</w:t>
      </w:r>
    </w:p>
    <w:p w14:paraId="6BBB0B4D" w14:textId="77777777" w:rsidR="00FB563D" w:rsidRPr="00FB563D" w:rsidDel="002B47D7" w:rsidRDefault="00FB563D" w:rsidP="00FB563D">
      <w:pPr>
        <w:pStyle w:val="EndNoteBibliography"/>
        <w:numPr>
          <w:ilvl w:val="0"/>
          <w:numId w:val="5"/>
        </w:numPr>
        <w:adjustRightInd w:val="0"/>
        <w:snapToGrid w:val="0"/>
        <w:spacing w:line="360" w:lineRule="auto"/>
        <w:ind w:left="425" w:hanging="425"/>
        <w:rPr>
          <w:rFonts w:ascii="Times New Roman" w:hAnsi="Times New Roman"/>
          <w:noProof w:val="0"/>
          <w:sz w:val="24"/>
          <w:szCs w:val="24"/>
          <w:lang w:val="en-GB"/>
        </w:rPr>
      </w:pPr>
      <w:r w:rsidRPr="00FB563D" w:rsidDel="002B47D7">
        <w:rPr>
          <w:rFonts w:ascii="Times New Roman" w:hAnsi="Times New Roman"/>
          <w:noProof w:val="0"/>
          <w:sz w:val="24"/>
          <w:szCs w:val="24"/>
          <w:lang w:val="en-GB"/>
        </w:rPr>
        <w:t xml:space="preserve">Song, M.; Schuschke, D.A.; Zhou, Z.; Zhong, W.; Zhang, J.; Zhang, X.; Wang, Y.; McClain, C.J. Kupffer cell depletion protects against the steatosis, but not the liver damage, induced by marginal-copper, high-fructose diet in male rats. </w:t>
      </w:r>
      <w:r w:rsidRPr="00FB563D" w:rsidDel="002B47D7">
        <w:rPr>
          <w:rFonts w:ascii="Times New Roman" w:hAnsi="Times New Roman"/>
          <w:i/>
          <w:noProof w:val="0"/>
          <w:sz w:val="24"/>
          <w:szCs w:val="24"/>
          <w:lang w:val="en-GB"/>
        </w:rPr>
        <w:t>Am.</w:t>
      </w:r>
      <w:r w:rsidRPr="00FB563D" w:rsidDel="002B47D7">
        <w:rPr>
          <w:rFonts w:ascii="Times New Roman" w:hAnsi="Times New Roman"/>
          <w:noProof w:val="0"/>
          <w:sz w:val="24"/>
          <w:szCs w:val="24"/>
          <w:lang w:val="en-GB"/>
        </w:rPr>
        <w:t xml:space="preserve"> </w:t>
      </w:r>
      <w:r w:rsidRPr="00FB563D" w:rsidDel="002B47D7">
        <w:rPr>
          <w:rFonts w:ascii="Times New Roman" w:hAnsi="Times New Roman"/>
          <w:i/>
          <w:noProof w:val="0"/>
          <w:sz w:val="24"/>
          <w:szCs w:val="24"/>
          <w:lang w:val="en-GB"/>
        </w:rPr>
        <w:t>J.</w:t>
      </w:r>
      <w:r w:rsidRPr="00FB563D" w:rsidDel="002B47D7">
        <w:rPr>
          <w:rFonts w:ascii="Times New Roman" w:hAnsi="Times New Roman"/>
          <w:noProof w:val="0"/>
          <w:sz w:val="24"/>
          <w:szCs w:val="24"/>
          <w:lang w:val="en-GB"/>
        </w:rPr>
        <w:t xml:space="preserve"> </w:t>
      </w:r>
      <w:r w:rsidRPr="00FB563D" w:rsidDel="002B47D7">
        <w:rPr>
          <w:rFonts w:ascii="Times New Roman" w:hAnsi="Times New Roman"/>
          <w:i/>
          <w:noProof w:val="0"/>
          <w:sz w:val="24"/>
          <w:szCs w:val="24"/>
          <w:lang w:val="en-GB"/>
        </w:rPr>
        <w:t>Physiol.</w:t>
      </w:r>
      <w:r w:rsidRPr="00FB563D" w:rsidDel="002B47D7">
        <w:rPr>
          <w:rFonts w:ascii="Times New Roman" w:hAnsi="Times New Roman"/>
          <w:noProof w:val="0"/>
          <w:sz w:val="24"/>
          <w:szCs w:val="24"/>
          <w:lang w:val="en-GB"/>
        </w:rPr>
        <w:t xml:space="preserve"> </w:t>
      </w:r>
      <w:r w:rsidRPr="00FB563D" w:rsidDel="002B47D7">
        <w:rPr>
          <w:rFonts w:ascii="Times New Roman" w:hAnsi="Times New Roman"/>
          <w:i/>
          <w:noProof w:val="0"/>
          <w:sz w:val="24"/>
          <w:szCs w:val="24"/>
          <w:lang w:val="en-GB"/>
        </w:rPr>
        <w:t>Gastrointest.</w:t>
      </w:r>
      <w:r w:rsidRPr="00FB563D" w:rsidDel="002B47D7">
        <w:rPr>
          <w:rFonts w:ascii="Times New Roman" w:hAnsi="Times New Roman"/>
          <w:noProof w:val="0"/>
          <w:sz w:val="24"/>
          <w:szCs w:val="24"/>
          <w:lang w:val="en-GB"/>
        </w:rPr>
        <w:t xml:space="preserve"> </w:t>
      </w:r>
      <w:r w:rsidRPr="00FB563D" w:rsidDel="002B47D7">
        <w:rPr>
          <w:rFonts w:ascii="Times New Roman" w:hAnsi="Times New Roman"/>
          <w:i/>
          <w:noProof w:val="0"/>
          <w:sz w:val="24"/>
          <w:szCs w:val="24"/>
          <w:lang w:val="en-GB"/>
        </w:rPr>
        <w:t>Liver</w:t>
      </w:r>
      <w:r w:rsidRPr="00FB563D" w:rsidDel="002B47D7">
        <w:rPr>
          <w:rFonts w:ascii="Times New Roman" w:hAnsi="Times New Roman"/>
          <w:noProof w:val="0"/>
          <w:sz w:val="24"/>
          <w:szCs w:val="24"/>
          <w:lang w:val="en-GB"/>
        </w:rPr>
        <w:t xml:space="preserve"> </w:t>
      </w:r>
      <w:r w:rsidRPr="00FB563D" w:rsidDel="002B47D7">
        <w:rPr>
          <w:rFonts w:ascii="Times New Roman" w:hAnsi="Times New Roman"/>
          <w:i/>
          <w:noProof w:val="0"/>
          <w:sz w:val="24"/>
          <w:szCs w:val="24"/>
          <w:lang w:val="en-GB"/>
        </w:rPr>
        <w:t>Physiol.</w:t>
      </w:r>
      <w:r w:rsidRPr="00FB563D" w:rsidDel="002B47D7">
        <w:rPr>
          <w:rFonts w:ascii="Times New Roman" w:hAnsi="Times New Roman"/>
          <w:noProof w:val="0"/>
          <w:sz w:val="24"/>
          <w:szCs w:val="24"/>
          <w:lang w:val="en-GB"/>
        </w:rPr>
        <w:t xml:space="preserve"> </w:t>
      </w:r>
      <w:r w:rsidRPr="00FB563D" w:rsidDel="002B47D7">
        <w:rPr>
          <w:rFonts w:ascii="Times New Roman" w:hAnsi="Times New Roman"/>
          <w:b/>
          <w:noProof w:val="0"/>
          <w:sz w:val="24"/>
          <w:szCs w:val="24"/>
          <w:lang w:val="en-GB"/>
        </w:rPr>
        <w:t>2015</w:t>
      </w:r>
      <w:r w:rsidRPr="00FB563D" w:rsidDel="002B47D7">
        <w:rPr>
          <w:rFonts w:ascii="Times New Roman" w:hAnsi="Times New Roman"/>
          <w:noProof w:val="0"/>
          <w:sz w:val="24"/>
          <w:szCs w:val="24"/>
          <w:lang w:val="en-GB"/>
        </w:rPr>
        <w:t xml:space="preserve">, </w:t>
      </w:r>
      <w:r w:rsidRPr="00FB563D" w:rsidDel="002B47D7">
        <w:rPr>
          <w:rFonts w:ascii="Times New Roman" w:hAnsi="Times New Roman"/>
          <w:i/>
          <w:noProof w:val="0"/>
          <w:sz w:val="24"/>
          <w:szCs w:val="24"/>
          <w:lang w:val="en-GB"/>
        </w:rPr>
        <w:t>308</w:t>
      </w:r>
      <w:r w:rsidRPr="00FB563D" w:rsidDel="002B47D7">
        <w:rPr>
          <w:rFonts w:ascii="Times New Roman" w:hAnsi="Times New Roman"/>
          <w:noProof w:val="0"/>
          <w:sz w:val="24"/>
          <w:szCs w:val="24"/>
          <w:lang w:val="en-GB"/>
        </w:rPr>
        <w:t>, G934–G945.</w:t>
      </w:r>
    </w:p>
    <w:p w14:paraId="01AD7C37" w14:textId="77777777" w:rsidR="00FB563D" w:rsidRPr="00FB563D" w:rsidRDefault="00FB563D" w:rsidP="00FB563D">
      <w:pPr>
        <w:pStyle w:val="EndNoteBibliography"/>
        <w:numPr>
          <w:ilvl w:val="0"/>
          <w:numId w:val="5"/>
        </w:numPr>
        <w:adjustRightInd w:val="0"/>
        <w:snapToGrid w:val="0"/>
        <w:spacing w:line="360" w:lineRule="auto"/>
        <w:ind w:left="425" w:hanging="425"/>
        <w:rPr>
          <w:rFonts w:ascii="Times New Roman" w:hAnsi="Times New Roman"/>
          <w:noProof w:val="0"/>
          <w:sz w:val="24"/>
          <w:szCs w:val="24"/>
          <w:lang w:val="en-GB"/>
        </w:rPr>
      </w:pPr>
      <w:r w:rsidRPr="00FB563D">
        <w:rPr>
          <w:rFonts w:ascii="Times New Roman" w:hAnsi="Times New Roman"/>
          <w:noProof w:val="0"/>
          <w:sz w:val="24"/>
          <w:szCs w:val="24"/>
          <w:lang w:val="en-GB"/>
        </w:rPr>
        <w:t xml:space="preserve">Filis, P.; Nagrath, N.; Fraser, M.; Hay, D.C.; Iredale, J.P.; O’Shaughnessy, P.; Fowler, P.A. Maternal smoking dysregulates protein expression in second trimester human fetal livers in a sex-specific manner. </w:t>
      </w:r>
      <w:r w:rsidRPr="00FB563D">
        <w:rPr>
          <w:rFonts w:ascii="Times New Roman" w:hAnsi="Times New Roman"/>
          <w:i/>
          <w:noProof w:val="0"/>
          <w:sz w:val="24"/>
          <w:szCs w:val="24"/>
          <w:lang w:val="en-GB"/>
        </w:rPr>
        <w:t>J.</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Clin.</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Endocrinol.</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Metab.</w:t>
      </w:r>
      <w:r w:rsidRPr="00FB563D">
        <w:rPr>
          <w:rFonts w:ascii="Times New Roman" w:hAnsi="Times New Roman"/>
          <w:noProof w:val="0"/>
          <w:sz w:val="24"/>
          <w:szCs w:val="24"/>
          <w:lang w:val="en-GB"/>
        </w:rPr>
        <w:t xml:space="preserve"> </w:t>
      </w:r>
      <w:r w:rsidRPr="00FB563D">
        <w:rPr>
          <w:rFonts w:ascii="Times New Roman" w:hAnsi="Times New Roman"/>
          <w:b/>
          <w:noProof w:val="0"/>
          <w:sz w:val="24"/>
          <w:szCs w:val="24"/>
          <w:lang w:val="en-GB"/>
        </w:rPr>
        <w:t>2015</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100</w:t>
      </w:r>
      <w:r w:rsidRPr="00FB563D">
        <w:rPr>
          <w:rFonts w:ascii="Times New Roman" w:hAnsi="Times New Roman"/>
          <w:noProof w:val="0"/>
          <w:sz w:val="24"/>
          <w:szCs w:val="24"/>
          <w:lang w:val="en-GB"/>
        </w:rPr>
        <w:t>, E861–E870.</w:t>
      </w:r>
    </w:p>
    <w:p w14:paraId="77830B8A" w14:textId="77777777" w:rsidR="00FB563D" w:rsidRPr="00FB563D" w:rsidRDefault="00FB563D" w:rsidP="00FB563D">
      <w:pPr>
        <w:pStyle w:val="EndNoteBibliography"/>
        <w:numPr>
          <w:ilvl w:val="0"/>
          <w:numId w:val="5"/>
        </w:numPr>
        <w:adjustRightInd w:val="0"/>
        <w:snapToGrid w:val="0"/>
        <w:spacing w:line="360" w:lineRule="auto"/>
        <w:ind w:left="425" w:hanging="425"/>
        <w:rPr>
          <w:rFonts w:ascii="Times New Roman" w:hAnsi="Times New Roman"/>
          <w:noProof w:val="0"/>
          <w:sz w:val="24"/>
          <w:szCs w:val="24"/>
          <w:lang w:val="en-GB"/>
        </w:rPr>
      </w:pPr>
      <w:r w:rsidRPr="00FB563D">
        <w:rPr>
          <w:rFonts w:ascii="Times New Roman" w:hAnsi="Times New Roman"/>
          <w:noProof w:val="0"/>
          <w:sz w:val="24"/>
          <w:szCs w:val="24"/>
          <w:lang w:val="en-GB"/>
        </w:rPr>
        <w:t xml:space="preserve">Ma, D.W.; Arendt, B.M.; Hillyer, L.M.; Fung, S.K.; McGilvray, I.; Guindi, M.; Allard, J.P. Plasma phospholipids and fatty acid composition differ between liver biopsy-proven nonalcoholic fatty liver disease and healthy subjects. </w:t>
      </w:r>
      <w:r w:rsidRPr="00FB563D">
        <w:rPr>
          <w:rFonts w:ascii="Times New Roman" w:hAnsi="Times New Roman"/>
          <w:i/>
          <w:noProof w:val="0"/>
          <w:sz w:val="24"/>
          <w:szCs w:val="24"/>
          <w:lang w:val="en-GB"/>
        </w:rPr>
        <w:t>Nutr.</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Diabetes</w:t>
      </w:r>
      <w:r w:rsidRPr="00FB563D">
        <w:rPr>
          <w:rFonts w:ascii="Times New Roman" w:hAnsi="Times New Roman"/>
          <w:noProof w:val="0"/>
          <w:sz w:val="24"/>
          <w:szCs w:val="24"/>
          <w:lang w:val="en-GB"/>
        </w:rPr>
        <w:t xml:space="preserve"> </w:t>
      </w:r>
      <w:r w:rsidRPr="00FB563D">
        <w:rPr>
          <w:rFonts w:ascii="Times New Roman" w:hAnsi="Times New Roman"/>
          <w:b/>
          <w:noProof w:val="0"/>
          <w:sz w:val="24"/>
          <w:szCs w:val="24"/>
          <w:lang w:val="en-GB"/>
        </w:rPr>
        <w:t>2016</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6</w:t>
      </w:r>
      <w:r w:rsidRPr="00FB563D">
        <w:rPr>
          <w:rFonts w:ascii="Times New Roman" w:hAnsi="Times New Roman"/>
          <w:noProof w:val="0"/>
          <w:sz w:val="24"/>
          <w:szCs w:val="24"/>
          <w:lang w:val="en-GB"/>
        </w:rPr>
        <w:t>, e220.</w:t>
      </w:r>
    </w:p>
    <w:p w14:paraId="795EAADD" w14:textId="77777777" w:rsidR="00FB563D" w:rsidRPr="00FB563D" w:rsidRDefault="00FB563D" w:rsidP="00FB563D">
      <w:pPr>
        <w:pStyle w:val="EndNoteBibliography"/>
        <w:numPr>
          <w:ilvl w:val="0"/>
          <w:numId w:val="5"/>
        </w:numPr>
        <w:adjustRightInd w:val="0"/>
        <w:snapToGrid w:val="0"/>
        <w:spacing w:line="360" w:lineRule="auto"/>
        <w:ind w:left="425" w:hanging="425"/>
        <w:rPr>
          <w:rFonts w:ascii="Times New Roman" w:hAnsi="Times New Roman"/>
          <w:noProof w:val="0"/>
          <w:sz w:val="24"/>
          <w:szCs w:val="24"/>
          <w:lang w:val="en-GB"/>
        </w:rPr>
      </w:pPr>
      <w:r w:rsidRPr="00FB563D">
        <w:rPr>
          <w:rFonts w:ascii="Times New Roman" w:hAnsi="Times New Roman"/>
          <w:noProof w:val="0"/>
          <w:sz w:val="24"/>
          <w:szCs w:val="24"/>
          <w:lang w:val="en-GB"/>
        </w:rPr>
        <w:t xml:space="preserve">Rossman, M.J.; Santos-Parker, J.R.; Steward, C.A.C.; Bispham, N.Z.; Cuevas, L.M.; Rosenberg, H.L.; Woodward, K.A.; Chonchol, M.; Gioscia-Ryan, R.A.; Murphy, M.P.; et al. Chronic supplementation with a mitochondrial antioxidant (mitoq) improves vascular function in healthy older adults. </w:t>
      </w:r>
      <w:r w:rsidRPr="00FB563D">
        <w:rPr>
          <w:rFonts w:ascii="Times New Roman" w:hAnsi="Times New Roman"/>
          <w:i/>
          <w:noProof w:val="0"/>
          <w:sz w:val="24"/>
          <w:szCs w:val="24"/>
          <w:lang w:val="en-GB"/>
        </w:rPr>
        <w:t>Hypertension</w:t>
      </w:r>
      <w:r w:rsidRPr="00FB563D">
        <w:rPr>
          <w:rFonts w:ascii="Times New Roman" w:hAnsi="Times New Roman"/>
          <w:noProof w:val="0"/>
          <w:sz w:val="24"/>
          <w:szCs w:val="24"/>
          <w:lang w:val="en-GB"/>
        </w:rPr>
        <w:t xml:space="preserve"> </w:t>
      </w:r>
      <w:r w:rsidRPr="00FB563D">
        <w:rPr>
          <w:rFonts w:ascii="Times New Roman" w:hAnsi="Times New Roman"/>
          <w:b/>
          <w:noProof w:val="0"/>
          <w:sz w:val="24"/>
          <w:szCs w:val="24"/>
          <w:lang w:val="en-GB"/>
        </w:rPr>
        <w:t>2018</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71</w:t>
      </w:r>
      <w:r w:rsidRPr="00FB563D">
        <w:rPr>
          <w:rFonts w:ascii="Times New Roman" w:hAnsi="Times New Roman"/>
          <w:noProof w:val="0"/>
          <w:sz w:val="24"/>
          <w:szCs w:val="24"/>
          <w:lang w:val="en-GB"/>
        </w:rPr>
        <w:t>, 1056–1063.</w:t>
      </w:r>
    </w:p>
    <w:p w14:paraId="3FCDC943" w14:textId="77777777" w:rsidR="00FB563D" w:rsidRPr="00FB563D" w:rsidRDefault="00FB563D" w:rsidP="00FB563D">
      <w:pPr>
        <w:pStyle w:val="EndNoteBibliography"/>
        <w:numPr>
          <w:ilvl w:val="0"/>
          <w:numId w:val="5"/>
        </w:numPr>
        <w:adjustRightInd w:val="0"/>
        <w:snapToGrid w:val="0"/>
        <w:spacing w:line="360" w:lineRule="auto"/>
        <w:ind w:left="425" w:hanging="425"/>
        <w:rPr>
          <w:rFonts w:ascii="Times New Roman" w:hAnsi="Times New Roman"/>
          <w:noProof w:val="0"/>
          <w:sz w:val="24"/>
          <w:szCs w:val="24"/>
          <w:lang w:val="en-GB"/>
        </w:rPr>
      </w:pPr>
      <w:r w:rsidRPr="00FB563D">
        <w:rPr>
          <w:rFonts w:ascii="Times New Roman" w:hAnsi="Times New Roman"/>
          <w:noProof w:val="0"/>
          <w:sz w:val="24"/>
          <w:szCs w:val="24"/>
          <w:lang w:val="en-GB"/>
        </w:rPr>
        <w:t xml:space="preserve">Gioscia-Ryan, R.A.; LaRocca, T.J.; Sindler, A.L.; Zigler, M.C.; Murphy, M.P.; Seals, D.R. Mitochondria-targeted antioxidant (mitoq) ameliorates age-related arterial endothelial dysfunction in mice. </w:t>
      </w:r>
      <w:r w:rsidRPr="00FB563D">
        <w:rPr>
          <w:rFonts w:ascii="Times New Roman" w:hAnsi="Times New Roman"/>
          <w:i/>
          <w:noProof w:val="0"/>
          <w:sz w:val="24"/>
          <w:szCs w:val="24"/>
          <w:lang w:val="en-GB"/>
        </w:rPr>
        <w:t>J.</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Physiol.</w:t>
      </w:r>
      <w:r w:rsidRPr="00FB563D">
        <w:rPr>
          <w:rFonts w:ascii="Times New Roman" w:hAnsi="Times New Roman"/>
          <w:noProof w:val="0"/>
          <w:sz w:val="24"/>
          <w:szCs w:val="24"/>
          <w:lang w:val="en-GB"/>
        </w:rPr>
        <w:t xml:space="preserve"> </w:t>
      </w:r>
      <w:r w:rsidRPr="00FB563D">
        <w:rPr>
          <w:rFonts w:ascii="Times New Roman" w:hAnsi="Times New Roman"/>
          <w:b/>
          <w:noProof w:val="0"/>
          <w:sz w:val="24"/>
          <w:szCs w:val="24"/>
          <w:lang w:val="en-GB"/>
        </w:rPr>
        <w:t>2014</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592</w:t>
      </w:r>
      <w:r w:rsidRPr="00FB563D">
        <w:rPr>
          <w:rFonts w:ascii="Times New Roman" w:hAnsi="Times New Roman"/>
          <w:noProof w:val="0"/>
          <w:sz w:val="24"/>
          <w:szCs w:val="24"/>
          <w:lang w:val="en-GB"/>
        </w:rPr>
        <w:t>, 2549–2561.</w:t>
      </w:r>
    </w:p>
    <w:p w14:paraId="54AED53F" w14:textId="77777777" w:rsidR="00FB563D" w:rsidRPr="00FB563D" w:rsidRDefault="00FB563D" w:rsidP="00FB563D">
      <w:pPr>
        <w:pStyle w:val="EndNoteBibliography"/>
        <w:numPr>
          <w:ilvl w:val="0"/>
          <w:numId w:val="5"/>
        </w:numPr>
        <w:adjustRightInd w:val="0"/>
        <w:snapToGrid w:val="0"/>
        <w:spacing w:line="360" w:lineRule="auto"/>
        <w:ind w:left="425" w:hanging="425"/>
        <w:rPr>
          <w:rFonts w:ascii="Times New Roman" w:hAnsi="Times New Roman"/>
          <w:noProof w:val="0"/>
          <w:sz w:val="24"/>
          <w:szCs w:val="24"/>
          <w:lang w:val="en-GB"/>
        </w:rPr>
      </w:pPr>
      <w:r w:rsidRPr="00FB563D">
        <w:rPr>
          <w:rFonts w:ascii="Times New Roman" w:hAnsi="Times New Roman"/>
          <w:noProof w:val="0"/>
          <w:sz w:val="24"/>
          <w:szCs w:val="24"/>
          <w:lang w:val="en-GB"/>
        </w:rPr>
        <w:t xml:space="preserve">Toda, N.; Okamura, T. Cigarette smoking impairs nitric oxide-mediated cerebral blood flow increase: Implications for alzheimer’s disease. </w:t>
      </w:r>
      <w:r w:rsidRPr="00FB563D">
        <w:rPr>
          <w:rFonts w:ascii="Times New Roman" w:hAnsi="Times New Roman"/>
          <w:i/>
          <w:noProof w:val="0"/>
          <w:sz w:val="24"/>
          <w:szCs w:val="24"/>
          <w:lang w:val="en-GB"/>
        </w:rPr>
        <w:t>J.</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Pharmacol.</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Sci.</w:t>
      </w:r>
      <w:r w:rsidRPr="00FB563D">
        <w:rPr>
          <w:rFonts w:ascii="Times New Roman" w:hAnsi="Times New Roman"/>
          <w:noProof w:val="0"/>
          <w:sz w:val="24"/>
          <w:szCs w:val="24"/>
          <w:lang w:val="en-GB"/>
        </w:rPr>
        <w:t xml:space="preserve"> </w:t>
      </w:r>
      <w:r w:rsidRPr="00FB563D">
        <w:rPr>
          <w:rFonts w:ascii="Times New Roman" w:hAnsi="Times New Roman"/>
          <w:b/>
          <w:noProof w:val="0"/>
          <w:sz w:val="24"/>
          <w:szCs w:val="24"/>
          <w:lang w:val="en-GB"/>
        </w:rPr>
        <w:t>2016</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131</w:t>
      </w:r>
      <w:r w:rsidRPr="00FB563D">
        <w:rPr>
          <w:rFonts w:ascii="Times New Roman" w:hAnsi="Times New Roman"/>
          <w:noProof w:val="0"/>
          <w:sz w:val="24"/>
          <w:szCs w:val="24"/>
          <w:lang w:val="en-GB"/>
        </w:rPr>
        <w:t>, 223–232.</w:t>
      </w:r>
    </w:p>
    <w:p w14:paraId="5237BDC8" w14:textId="77777777" w:rsidR="00FB563D" w:rsidRPr="00FB563D" w:rsidRDefault="00FB563D" w:rsidP="00FB563D">
      <w:pPr>
        <w:pStyle w:val="EndNoteBibliography"/>
        <w:numPr>
          <w:ilvl w:val="0"/>
          <w:numId w:val="5"/>
        </w:numPr>
        <w:adjustRightInd w:val="0"/>
        <w:snapToGrid w:val="0"/>
        <w:spacing w:line="360" w:lineRule="auto"/>
        <w:ind w:left="425" w:hanging="425"/>
        <w:rPr>
          <w:rFonts w:ascii="Times New Roman" w:hAnsi="Times New Roman"/>
          <w:noProof w:val="0"/>
          <w:sz w:val="24"/>
          <w:szCs w:val="24"/>
          <w:lang w:val="en-GB"/>
        </w:rPr>
      </w:pPr>
      <w:r w:rsidRPr="00FB563D">
        <w:rPr>
          <w:rFonts w:ascii="Times New Roman" w:hAnsi="Times New Roman"/>
          <w:noProof w:val="0"/>
          <w:sz w:val="24"/>
          <w:szCs w:val="24"/>
          <w:lang w:val="en-GB"/>
        </w:rPr>
        <w:t xml:space="preserve">Xu, Z.; Huo, J.; Ding, X.; Yang, M.; Li, L.; Dai, J.; Hosoe, K.; Kubo, H.; Mori, M.; Higuchi, K.; et al. Coenzyme q10 improves lipid metabolism and ameliorates obesity by regulating camkii-mediated pde4 inhibition. </w:t>
      </w:r>
      <w:r w:rsidRPr="00FB563D">
        <w:rPr>
          <w:rFonts w:ascii="Times New Roman" w:hAnsi="Times New Roman"/>
          <w:i/>
          <w:noProof w:val="0"/>
          <w:sz w:val="24"/>
          <w:szCs w:val="24"/>
          <w:lang w:val="en-GB"/>
        </w:rPr>
        <w:t>Sci.</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Rep.</w:t>
      </w:r>
      <w:r w:rsidRPr="00FB563D">
        <w:rPr>
          <w:rFonts w:ascii="Times New Roman" w:hAnsi="Times New Roman"/>
          <w:noProof w:val="0"/>
          <w:sz w:val="24"/>
          <w:szCs w:val="24"/>
          <w:lang w:val="en-GB"/>
        </w:rPr>
        <w:t xml:space="preserve"> </w:t>
      </w:r>
      <w:r w:rsidRPr="00FB563D">
        <w:rPr>
          <w:rFonts w:ascii="Times New Roman" w:hAnsi="Times New Roman"/>
          <w:b/>
          <w:noProof w:val="0"/>
          <w:sz w:val="24"/>
          <w:szCs w:val="24"/>
          <w:lang w:val="en-GB"/>
        </w:rPr>
        <w:t>2017</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7</w:t>
      </w:r>
      <w:r w:rsidRPr="00FB563D">
        <w:rPr>
          <w:rFonts w:ascii="Times New Roman" w:hAnsi="Times New Roman"/>
          <w:noProof w:val="0"/>
          <w:sz w:val="24"/>
          <w:szCs w:val="24"/>
          <w:lang w:val="en-GB"/>
        </w:rPr>
        <w:t>, 8253.</w:t>
      </w:r>
    </w:p>
    <w:p w14:paraId="3F789113" w14:textId="77777777" w:rsidR="00FB563D" w:rsidRPr="00FB563D" w:rsidRDefault="00FB563D" w:rsidP="00FB563D">
      <w:pPr>
        <w:pStyle w:val="EndNoteBibliography"/>
        <w:numPr>
          <w:ilvl w:val="0"/>
          <w:numId w:val="5"/>
        </w:numPr>
        <w:adjustRightInd w:val="0"/>
        <w:snapToGrid w:val="0"/>
        <w:spacing w:line="360" w:lineRule="auto"/>
        <w:ind w:left="425" w:hanging="425"/>
        <w:rPr>
          <w:rFonts w:ascii="Times New Roman" w:hAnsi="Times New Roman"/>
          <w:noProof w:val="0"/>
          <w:sz w:val="24"/>
          <w:szCs w:val="24"/>
          <w:lang w:val="en-GB"/>
        </w:rPr>
      </w:pPr>
      <w:r w:rsidRPr="00FB563D">
        <w:rPr>
          <w:rFonts w:ascii="Times New Roman" w:hAnsi="Times New Roman"/>
          <w:noProof w:val="0"/>
          <w:sz w:val="24"/>
          <w:szCs w:val="24"/>
          <w:lang w:val="en-GB"/>
        </w:rPr>
        <w:t xml:space="preserve">Feillet-Coudray, C.; Fouret, G.; Ebabe Elle, R.; Rieusset, J.; Bonafos, B.; Chabi, B.; Crouzier, D.; Zarkovic, K.; Zarkovic, N.; Ramos, J.; et al. The mitochondrial-targeted antioxidant mitoq ameliorates metabolic syndrome features in obesogenic diet-fed rats better than apocynin or allopurinol. </w:t>
      </w:r>
      <w:r w:rsidRPr="00FB563D">
        <w:rPr>
          <w:rFonts w:ascii="Times New Roman" w:hAnsi="Times New Roman"/>
          <w:i/>
          <w:noProof w:val="0"/>
          <w:sz w:val="24"/>
          <w:szCs w:val="24"/>
          <w:lang w:val="en-GB"/>
        </w:rPr>
        <w:t>Free</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Radic.</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Res.</w:t>
      </w:r>
      <w:r w:rsidRPr="00FB563D">
        <w:rPr>
          <w:rFonts w:ascii="Times New Roman" w:hAnsi="Times New Roman"/>
          <w:noProof w:val="0"/>
          <w:sz w:val="24"/>
          <w:szCs w:val="24"/>
          <w:lang w:val="en-GB"/>
        </w:rPr>
        <w:t xml:space="preserve"> </w:t>
      </w:r>
      <w:r w:rsidRPr="00FB563D">
        <w:rPr>
          <w:rFonts w:ascii="Times New Roman" w:hAnsi="Times New Roman"/>
          <w:b/>
          <w:noProof w:val="0"/>
          <w:sz w:val="24"/>
          <w:szCs w:val="24"/>
          <w:lang w:val="en-GB"/>
        </w:rPr>
        <w:t>2014</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48</w:t>
      </w:r>
      <w:r w:rsidRPr="00FB563D">
        <w:rPr>
          <w:rFonts w:ascii="Times New Roman" w:hAnsi="Times New Roman"/>
          <w:noProof w:val="0"/>
          <w:sz w:val="24"/>
          <w:szCs w:val="24"/>
          <w:lang w:val="en-GB"/>
        </w:rPr>
        <w:t>, 1232–1246.</w:t>
      </w:r>
    </w:p>
    <w:p w14:paraId="0F626391" w14:textId="77777777" w:rsidR="00FB563D" w:rsidRPr="00FB563D" w:rsidRDefault="00FB563D" w:rsidP="00FB563D">
      <w:pPr>
        <w:pStyle w:val="EndNoteBibliography"/>
        <w:numPr>
          <w:ilvl w:val="0"/>
          <w:numId w:val="5"/>
        </w:numPr>
        <w:adjustRightInd w:val="0"/>
        <w:snapToGrid w:val="0"/>
        <w:spacing w:line="360" w:lineRule="auto"/>
        <w:ind w:left="425" w:hanging="425"/>
        <w:rPr>
          <w:rFonts w:ascii="Times New Roman" w:hAnsi="Times New Roman"/>
          <w:noProof w:val="0"/>
          <w:sz w:val="24"/>
          <w:szCs w:val="24"/>
          <w:lang w:val="en-GB"/>
        </w:rPr>
      </w:pPr>
      <w:r w:rsidRPr="00FB563D">
        <w:rPr>
          <w:rFonts w:ascii="Times New Roman" w:hAnsi="Times New Roman"/>
          <w:noProof w:val="0"/>
          <w:sz w:val="24"/>
          <w:szCs w:val="24"/>
          <w:lang w:val="en-GB"/>
        </w:rPr>
        <w:t xml:space="preserve">Mercer, J.R.; Yu, E.; Figg, N.; Cheng, K.K.; Prime, T.A.; Griffin, J.L.; Masoodi, M.; Vidal-Puig, A.; Murphy, M.P.; Bennett, M.R. The mitochondria-targeted antioxidant </w:t>
      </w:r>
      <w:r w:rsidRPr="00FB563D">
        <w:rPr>
          <w:rFonts w:ascii="Times New Roman" w:hAnsi="Times New Roman"/>
          <w:noProof w:val="0"/>
          <w:sz w:val="24"/>
          <w:szCs w:val="24"/>
          <w:lang w:val="en-GB"/>
        </w:rPr>
        <w:lastRenderedPageBreak/>
        <w:t xml:space="preserve">mitoq decreases features of the metabolic syndrome in atm+/-/apoe-/-mice. </w:t>
      </w:r>
      <w:r w:rsidRPr="00FB563D">
        <w:rPr>
          <w:rFonts w:ascii="Times New Roman" w:hAnsi="Times New Roman"/>
          <w:i/>
          <w:noProof w:val="0"/>
          <w:sz w:val="24"/>
          <w:szCs w:val="24"/>
          <w:lang w:val="en-GB"/>
        </w:rPr>
        <w:t>Free</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Radic.</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Biol.</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Med.</w:t>
      </w:r>
      <w:r w:rsidRPr="00FB563D">
        <w:rPr>
          <w:rFonts w:ascii="Times New Roman" w:hAnsi="Times New Roman"/>
          <w:noProof w:val="0"/>
          <w:sz w:val="24"/>
          <w:szCs w:val="24"/>
          <w:lang w:val="en-GB"/>
        </w:rPr>
        <w:t xml:space="preserve"> </w:t>
      </w:r>
      <w:r w:rsidRPr="00FB563D">
        <w:rPr>
          <w:rFonts w:ascii="Times New Roman" w:hAnsi="Times New Roman"/>
          <w:b/>
          <w:noProof w:val="0"/>
          <w:sz w:val="24"/>
          <w:szCs w:val="24"/>
          <w:lang w:val="en-GB"/>
        </w:rPr>
        <w:t>2012</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52</w:t>
      </w:r>
      <w:r w:rsidRPr="00FB563D">
        <w:rPr>
          <w:rFonts w:ascii="Times New Roman" w:hAnsi="Times New Roman"/>
          <w:noProof w:val="0"/>
          <w:sz w:val="24"/>
          <w:szCs w:val="24"/>
          <w:lang w:val="en-GB"/>
        </w:rPr>
        <w:t>, 841–849.</w:t>
      </w:r>
    </w:p>
    <w:p w14:paraId="4C926719" w14:textId="77777777" w:rsidR="00FB563D" w:rsidRPr="00FB563D" w:rsidRDefault="00FB563D" w:rsidP="00FB563D">
      <w:pPr>
        <w:pStyle w:val="EndNoteBibliography"/>
        <w:numPr>
          <w:ilvl w:val="0"/>
          <w:numId w:val="5"/>
        </w:numPr>
        <w:adjustRightInd w:val="0"/>
        <w:snapToGrid w:val="0"/>
        <w:spacing w:line="360" w:lineRule="auto"/>
        <w:ind w:left="425" w:hanging="425"/>
        <w:rPr>
          <w:rFonts w:ascii="Times New Roman" w:hAnsi="Times New Roman"/>
          <w:noProof w:val="0"/>
          <w:sz w:val="24"/>
          <w:szCs w:val="24"/>
          <w:lang w:val="en-GB"/>
        </w:rPr>
      </w:pPr>
      <w:r w:rsidRPr="00FB563D">
        <w:rPr>
          <w:rFonts w:ascii="Times New Roman" w:hAnsi="Times New Roman"/>
          <w:noProof w:val="0"/>
          <w:sz w:val="24"/>
          <w:szCs w:val="24"/>
          <w:lang w:val="en-GB"/>
        </w:rPr>
        <w:t xml:space="preserve">Caldwell, S.H.; Swerdlow, R.H.; Khan, E.M.; Iezzoni, J.C.; Hespenheide, E.E.; Parks, J.K.; Parker, W.D., Jr. Mitochondrial abnormalities in non-alcoholic steatohepatitis. </w:t>
      </w:r>
      <w:r w:rsidRPr="00FB563D">
        <w:rPr>
          <w:rFonts w:ascii="Times New Roman" w:hAnsi="Times New Roman"/>
          <w:i/>
          <w:noProof w:val="0"/>
          <w:sz w:val="24"/>
          <w:szCs w:val="24"/>
          <w:lang w:val="en-GB"/>
        </w:rPr>
        <w:t>J.</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Hepatol.</w:t>
      </w:r>
      <w:r w:rsidRPr="00FB563D">
        <w:rPr>
          <w:rFonts w:ascii="Times New Roman" w:hAnsi="Times New Roman"/>
          <w:noProof w:val="0"/>
          <w:sz w:val="24"/>
          <w:szCs w:val="24"/>
          <w:lang w:val="en-GB"/>
        </w:rPr>
        <w:t xml:space="preserve"> </w:t>
      </w:r>
      <w:r w:rsidRPr="00FB563D">
        <w:rPr>
          <w:rFonts w:ascii="Times New Roman" w:hAnsi="Times New Roman"/>
          <w:b/>
          <w:noProof w:val="0"/>
          <w:sz w:val="24"/>
          <w:szCs w:val="24"/>
          <w:lang w:val="en-GB"/>
        </w:rPr>
        <w:t>1999</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31</w:t>
      </w:r>
      <w:r w:rsidRPr="00FB563D">
        <w:rPr>
          <w:rFonts w:ascii="Times New Roman" w:hAnsi="Times New Roman"/>
          <w:noProof w:val="0"/>
          <w:sz w:val="24"/>
          <w:szCs w:val="24"/>
          <w:lang w:val="en-GB"/>
        </w:rPr>
        <w:t>, 430–434.</w:t>
      </w:r>
    </w:p>
    <w:p w14:paraId="278A177B" w14:textId="77777777" w:rsidR="00FB563D" w:rsidRPr="00FB563D" w:rsidRDefault="00FB563D" w:rsidP="00FB563D">
      <w:pPr>
        <w:pStyle w:val="EndNoteBibliography"/>
        <w:numPr>
          <w:ilvl w:val="0"/>
          <w:numId w:val="5"/>
        </w:numPr>
        <w:adjustRightInd w:val="0"/>
        <w:snapToGrid w:val="0"/>
        <w:spacing w:line="360" w:lineRule="auto"/>
        <w:ind w:left="425" w:hanging="425"/>
        <w:rPr>
          <w:rFonts w:ascii="Times New Roman" w:hAnsi="Times New Roman"/>
          <w:noProof w:val="0"/>
          <w:sz w:val="24"/>
          <w:szCs w:val="24"/>
          <w:lang w:val="en-GB"/>
        </w:rPr>
      </w:pPr>
      <w:r w:rsidRPr="00FB563D">
        <w:rPr>
          <w:rFonts w:ascii="Times New Roman" w:hAnsi="Times New Roman"/>
          <w:noProof w:val="0"/>
          <w:sz w:val="24"/>
          <w:szCs w:val="24"/>
          <w:lang w:val="en-GB"/>
        </w:rPr>
        <w:t xml:space="preserve">Seki, S.; Kitada, T.; Yamada, T.; Sakaguchi, H.; Nakatani, K.; Wakasa, K. In situ detection of lipid peroxidation and oxidative DNA damage in non-alcoholic fatty liver diseases. </w:t>
      </w:r>
      <w:r w:rsidRPr="00FB563D">
        <w:rPr>
          <w:rFonts w:ascii="Times New Roman" w:hAnsi="Times New Roman"/>
          <w:i/>
          <w:noProof w:val="0"/>
          <w:sz w:val="24"/>
          <w:szCs w:val="24"/>
          <w:lang w:val="en-GB"/>
        </w:rPr>
        <w:t>J.</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Hepatol.</w:t>
      </w:r>
      <w:r w:rsidRPr="00FB563D">
        <w:rPr>
          <w:rFonts w:ascii="Times New Roman" w:hAnsi="Times New Roman"/>
          <w:noProof w:val="0"/>
          <w:sz w:val="24"/>
          <w:szCs w:val="24"/>
          <w:lang w:val="en-GB"/>
        </w:rPr>
        <w:t xml:space="preserve"> </w:t>
      </w:r>
      <w:r w:rsidRPr="00FB563D">
        <w:rPr>
          <w:rFonts w:ascii="Times New Roman" w:hAnsi="Times New Roman"/>
          <w:b/>
          <w:noProof w:val="0"/>
          <w:sz w:val="24"/>
          <w:szCs w:val="24"/>
          <w:lang w:val="en-GB"/>
        </w:rPr>
        <w:t>2002</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37</w:t>
      </w:r>
      <w:r w:rsidRPr="00FB563D">
        <w:rPr>
          <w:rFonts w:ascii="Times New Roman" w:hAnsi="Times New Roman"/>
          <w:noProof w:val="0"/>
          <w:sz w:val="24"/>
          <w:szCs w:val="24"/>
          <w:lang w:val="en-GB"/>
        </w:rPr>
        <w:t>, 56–62.</w:t>
      </w:r>
    </w:p>
    <w:p w14:paraId="77B384A6" w14:textId="77777777" w:rsidR="00FB563D" w:rsidRPr="00FB563D" w:rsidRDefault="00FB563D" w:rsidP="00FB563D">
      <w:pPr>
        <w:pStyle w:val="EndNoteBibliography"/>
        <w:numPr>
          <w:ilvl w:val="0"/>
          <w:numId w:val="5"/>
        </w:numPr>
        <w:adjustRightInd w:val="0"/>
        <w:snapToGrid w:val="0"/>
        <w:spacing w:line="360" w:lineRule="auto"/>
        <w:ind w:left="425" w:hanging="425"/>
        <w:rPr>
          <w:rFonts w:ascii="Times New Roman" w:hAnsi="Times New Roman"/>
          <w:noProof w:val="0"/>
          <w:sz w:val="24"/>
          <w:szCs w:val="24"/>
          <w:lang w:val="en-GB"/>
        </w:rPr>
      </w:pPr>
      <w:r w:rsidRPr="00FB563D">
        <w:rPr>
          <w:rFonts w:ascii="Times New Roman" w:hAnsi="Times New Roman"/>
          <w:noProof w:val="0"/>
          <w:sz w:val="24"/>
          <w:szCs w:val="24"/>
          <w:lang w:val="en-GB"/>
        </w:rPr>
        <w:t xml:space="preserve">Amir, M.; Czaja, M.J. Autophagy in nonalcoholic steatohepatitis. </w:t>
      </w:r>
      <w:r w:rsidRPr="00FB563D">
        <w:rPr>
          <w:rFonts w:ascii="Times New Roman" w:hAnsi="Times New Roman"/>
          <w:i/>
          <w:noProof w:val="0"/>
          <w:sz w:val="24"/>
          <w:szCs w:val="24"/>
          <w:lang w:val="en-GB"/>
        </w:rPr>
        <w:t>Expert</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Rev.</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Gastroenterol.</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Hepatol.</w:t>
      </w:r>
      <w:r w:rsidRPr="00FB563D">
        <w:rPr>
          <w:rFonts w:ascii="Times New Roman" w:hAnsi="Times New Roman"/>
          <w:noProof w:val="0"/>
          <w:sz w:val="24"/>
          <w:szCs w:val="24"/>
          <w:lang w:val="en-GB"/>
        </w:rPr>
        <w:t xml:space="preserve"> </w:t>
      </w:r>
      <w:r w:rsidRPr="00FB563D">
        <w:rPr>
          <w:rFonts w:ascii="Times New Roman" w:hAnsi="Times New Roman"/>
          <w:b/>
          <w:noProof w:val="0"/>
          <w:sz w:val="24"/>
          <w:szCs w:val="24"/>
          <w:lang w:val="en-GB"/>
        </w:rPr>
        <w:t>2011</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5</w:t>
      </w:r>
      <w:r w:rsidRPr="00FB563D">
        <w:rPr>
          <w:rFonts w:ascii="Times New Roman" w:hAnsi="Times New Roman"/>
          <w:noProof w:val="0"/>
          <w:sz w:val="24"/>
          <w:szCs w:val="24"/>
          <w:lang w:val="en-GB"/>
        </w:rPr>
        <w:t>, 159–166.</w:t>
      </w:r>
    </w:p>
    <w:p w14:paraId="3CF4D2A2" w14:textId="77777777" w:rsidR="00FB563D" w:rsidRPr="00FB563D" w:rsidRDefault="00FB563D" w:rsidP="00FB563D">
      <w:pPr>
        <w:pStyle w:val="EndNoteBibliography"/>
        <w:numPr>
          <w:ilvl w:val="0"/>
          <w:numId w:val="5"/>
        </w:numPr>
        <w:adjustRightInd w:val="0"/>
        <w:snapToGrid w:val="0"/>
        <w:spacing w:line="360" w:lineRule="auto"/>
        <w:ind w:left="425" w:hanging="425"/>
        <w:rPr>
          <w:rFonts w:ascii="Times New Roman" w:hAnsi="Times New Roman"/>
          <w:noProof w:val="0"/>
          <w:sz w:val="24"/>
          <w:szCs w:val="24"/>
          <w:lang w:val="en-GB"/>
        </w:rPr>
      </w:pPr>
      <w:r w:rsidRPr="00FB563D">
        <w:rPr>
          <w:rFonts w:ascii="Times New Roman" w:hAnsi="Times New Roman"/>
          <w:noProof w:val="0"/>
          <w:sz w:val="24"/>
          <w:szCs w:val="24"/>
          <w:lang w:val="en-GB"/>
        </w:rPr>
        <w:t xml:space="preserve">Spencer, N.Y.; Zhou, W.; Li, Q.; Zhang, Y.; Luo, M.; Yan, Z.; Lynch, T.J.; Abbott, D.; Banfi, B.; Engelhardt, J.F. Hepatocytes produce tnf-alpha following hypoxia-reoxygenation and liver ischemia-reperfusion in a nadph oxidase-and c-src-dependent manner. </w:t>
      </w:r>
      <w:r w:rsidRPr="00FB563D">
        <w:rPr>
          <w:rFonts w:ascii="Times New Roman" w:hAnsi="Times New Roman"/>
          <w:i/>
          <w:noProof w:val="0"/>
          <w:sz w:val="24"/>
          <w:szCs w:val="24"/>
          <w:lang w:val="en-GB"/>
        </w:rPr>
        <w:t>Am.</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J.</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Physiol.</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Gastrointest.</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Liver</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Physiol.</w:t>
      </w:r>
      <w:r w:rsidRPr="00FB563D">
        <w:rPr>
          <w:rFonts w:ascii="Times New Roman" w:hAnsi="Times New Roman"/>
          <w:noProof w:val="0"/>
          <w:sz w:val="24"/>
          <w:szCs w:val="24"/>
          <w:lang w:val="en-GB"/>
        </w:rPr>
        <w:t xml:space="preserve"> </w:t>
      </w:r>
      <w:r w:rsidRPr="00FB563D">
        <w:rPr>
          <w:rFonts w:ascii="Times New Roman" w:hAnsi="Times New Roman"/>
          <w:b/>
          <w:noProof w:val="0"/>
          <w:sz w:val="24"/>
          <w:szCs w:val="24"/>
          <w:lang w:val="en-GB"/>
        </w:rPr>
        <w:t>2013</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305</w:t>
      </w:r>
      <w:r w:rsidRPr="00FB563D">
        <w:rPr>
          <w:rFonts w:ascii="Times New Roman" w:hAnsi="Times New Roman"/>
          <w:noProof w:val="0"/>
          <w:sz w:val="24"/>
          <w:szCs w:val="24"/>
          <w:lang w:val="en-GB"/>
        </w:rPr>
        <w:t>, G84–G94.</w:t>
      </w:r>
    </w:p>
    <w:p w14:paraId="17417449" w14:textId="77777777" w:rsidR="00FB563D" w:rsidRPr="00FB563D" w:rsidRDefault="00FB563D" w:rsidP="00FB563D">
      <w:pPr>
        <w:pStyle w:val="EndNoteBibliography"/>
        <w:numPr>
          <w:ilvl w:val="0"/>
          <w:numId w:val="5"/>
        </w:numPr>
        <w:adjustRightInd w:val="0"/>
        <w:snapToGrid w:val="0"/>
        <w:spacing w:line="360" w:lineRule="auto"/>
        <w:ind w:left="425" w:hanging="425"/>
        <w:rPr>
          <w:rFonts w:ascii="Times New Roman" w:hAnsi="Times New Roman"/>
          <w:noProof w:val="0"/>
          <w:sz w:val="24"/>
          <w:szCs w:val="24"/>
          <w:lang w:val="en-GB"/>
        </w:rPr>
      </w:pPr>
      <w:r w:rsidRPr="00FB563D">
        <w:rPr>
          <w:rFonts w:ascii="Times New Roman" w:hAnsi="Times New Roman"/>
          <w:noProof w:val="0"/>
          <w:sz w:val="24"/>
          <w:szCs w:val="24"/>
          <w:lang w:val="en-GB"/>
        </w:rPr>
        <w:t xml:space="preserve">Fetterman, J.L.; Pompilius, M.; Westbrook, D.G.; Uyeminami, D.; Brown, J.; Pinkerton, K.E.; Ballinger, S.W. Developmental exposure to second-hand smoke increases adult atherogenesis and alters mitochondrial DNA copy number and deletions in apoe(-/-) mice. </w:t>
      </w:r>
      <w:r w:rsidRPr="00FB563D">
        <w:rPr>
          <w:rFonts w:ascii="Times New Roman" w:hAnsi="Times New Roman"/>
          <w:i/>
          <w:noProof w:val="0"/>
          <w:sz w:val="24"/>
          <w:szCs w:val="24"/>
          <w:lang w:val="en-GB"/>
        </w:rPr>
        <w:t>PLoS</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ONE</w:t>
      </w:r>
      <w:r w:rsidRPr="00FB563D">
        <w:rPr>
          <w:rFonts w:ascii="Times New Roman" w:hAnsi="Times New Roman"/>
          <w:noProof w:val="0"/>
          <w:sz w:val="24"/>
          <w:szCs w:val="24"/>
          <w:lang w:val="en-GB"/>
        </w:rPr>
        <w:t xml:space="preserve"> </w:t>
      </w:r>
      <w:r w:rsidRPr="00FB563D">
        <w:rPr>
          <w:rFonts w:ascii="Times New Roman" w:hAnsi="Times New Roman"/>
          <w:b/>
          <w:noProof w:val="0"/>
          <w:sz w:val="24"/>
          <w:szCs w:val="24"/>
          <w:lang w:val="en-GB"/>
        </w:rPr>
        <w:t>2013</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8</w:t>
      </w:r>
      <w:r w:rsidRPr="00FB563D">
        <w:rPr>
          <w:rFonts w:ascii="Times New Roman" w:hAnsi="Times New Roman"/>
          <w:noProof w:val="0"/>
          <w:sz w:val="24"/>
          <w:szCs w:val="24"/>
          <w:lang w:val="en-GB"/>
        </w:rPr>
        <w:t>, e66835.</w:t>
      </w:r>
    </w:p>
    <w:p w14:paraId="4516C96B" w14:textId="77777777" w:rsidR="00FB563D" w:rsidRPr="00FB563D" w:rsidRDefault="00FB563D" w:rsidP="00FB563D">
      <w:pPr>
        <w:pStyle w:val="EndNoteBibliography"/>
        <w:numPr>
          <w:ilvl w:val="0"/>
          <w:numId w:val="5"/>
        </w:numPr>
        <w:adjustRightInd w:val="0"/>
        <w:snapToGrid w:val="0"/>
        <w:spacing w:line="360" w:lineRule="auto"/>
        <w:ind w:left="425" w:hanging="425"/>
        <w:rPr>
          <w:rFonts w:ascii="Times New Roman" w:hAnsi="Times New Roman"/>
          <w:noProof w:val="0"/>
          <w:sz w:val="24"/>
          <w:szCs w:val="24"/>
          <w:lang w:val="en-GB"/>
        </w:rPr>
      </w:pPr>
      <w:r w:rsidRPr="00FB563D">
        <w:rPr>
          <w:rFonts w:ascii="Times New Roman" w:hAnsi="Times New Roman"/>
          <w:noProof w:val="0"/>
          <w:sz w:val="24"/>
          <w:szCs w:val="24"/>
          <w:lang w:val="en-GB"/>
        </w:rPr>
        <w:t xml:space="preserve">Westbrook, D.G.; Anderson, P.G.; Pinkerton, K.E.; Ballinger, S.W. Perinatal tobacco smoke exposure increases vascular oxidative stress and mitochondrial damage in non-human primates. </w:t>
      </w:r>
      <w:r w:rsidRPr="00FB563D">
        <w:rPr>
          <w:rFonts w:ascii="Times New Roman" w:hAnsi="Times New Roman"/>
          <w:i/>
          <w:noProof w:val="0"/>
          <w:sz w:val="24"/>
          <w:szCs w:val="24"/>
          <w:lang w:val="en-GB"/>
        </w:rPr>
        <w:t>Cardiovasc.</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Toxicol.</w:t>
      </w:r>
      <w:r w:rsidRPr="00FB563D">
        <w:rPr>
          <w:rFonts w:ascii="Times New Roman" w:hAnsi="Times New Roman"/>
          <w:noProof w:val="0"/>
          <w:sz w:val="24"/>
          <w:szCs w:val="24"/>
          <w:lang w:val="en-GB"/>
        </w:rPr>
        <w:t xml:space="preserve"> </w:t>
      </w:r>
      <w:r w:rsidRPr="00FB563D">
        <w:rPr>
          <w:rFonts w:ascii="Times New Roman" w:hAnsi="Times New Roman"/>
          <w:b/>
          <w:noProof w:val="0"/>
          <w:sz w:val="24"/>
          <w:szCs w:val="24"/>
          <w:lang w:val="en-GB"/>
        </w:rPr>
        <w:t>2010</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10</w:t>
      </w:r>
      <w:r w:rsidRPr="00FB563D">
        <w:rPr>
          <w:rFonts w:ascii="Times New Roman" w:hAnsi="Times New Roman"/>
          <w:noProof w:val="0"/>
          <w:sz w:val="24"/>
          <w:szCs w:val="24"/>
          <w:lang w:val="en-GB"/>
        </w:rPr>
        <w:t>, 216–226.</w:t>
      </w:r>
    </w:p>
    <w:p w14:paraId="1639F0DB" w14:textId="77777777" w:rsidR="00FB563D" w:rsidRPr="00FB563D" w:rsidRDefault="00FB563D" w:rsidP="00FB563D">
      <w:pPr>
        <w:pStyle w:val="EndNoteBibliography"/>
        <w:numPr>
          <w:ilvl w:val="0"/>
          <w:numId w:val="5"/>
        </w:numPr>
        <w:adjustRightInd w:val="0"/>
        <w:snapToGrid w:val="0"/>
        <w:spacing w:line="360" w:lineRule="auto"/>
        <w:ind w:left="425" w:hanging="425"/>
        <w:rPr>
          <w:rFonts w:ascii="Times New Roman" w:hAnsi="Times New Roman"/>
          <w:noProof w:val="0"/>
          <w:sz w:val="24"/>
          <w:szCs w:val="24"/>
          <w:lang w:val="en-GB"/>
        </w:rPr>
      </w:pPr>
      <w:r w:rsidRPr="00FB563D">
        <w:rPr>
          <w:rFonts w:ascii="Times New Roman" w:hAnsi="Times New Roman"/>
          <w:noProof w:val="0"/>
          <w:sz w:val="24"/>
          <w:szCs w:val="24"/>
          <w:lang w:val="en-GB"/>
        </w:rPr>
        <w:t xml:space="preserve">Sanchez-Valle, V.; Chavez-Tapia, N.C.; Uribe, M.; Mendez-Sanchez, N. Role of oxidative stress and molecular changes in liver fibrosis: A review. </w:t>
      </w:r>
      <w:r w:rsidRPr="00FB563D">
        <w:rPr>
          <w:rFonts w:ascii="Times New Roman" w:hAnsi="Times New Roman"/>
          <w:i/>
          <w:noProof w:val="0"/>
          <w:sz w:val="24"/>
          <w:szCs w:val="24"/>
          <w:lang w:val="en-GB"/>
        </w:rPr>
        <w:t>Curr.</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Med.</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Chem.</w:t>
      </w:r>
      <w:r w:rsidRPr="00FB563D">
        <w:rPr>
          <w:rFonts w:ascii="Times New Roman" w:hAnsi="Times New Roman"/>
          <w:noProof w:val="0"/>
          <w:sz w:val="24"/>
          <w:szCs w:val="24"/>
          <w:lang w:val="en-GB"/>
        </w:rPr>
        <w:t xml:space="preserve"> </w:t>
      </w:r>
      <w:r w:rsidRPr="00FB563D">
        <w:rPr>
          <w:rFonts w:ascii="Times New Roman" w:hAnsi="Times New Roman"/>
          <w:b/>
          <w:noProof w:val="0"/>
          <w:sz w:val="24"/>
          <w:szCs w:val="24"/>
          <w:lang w:val="en-GB"/>
        </w:rPr>
        <w:t>2012</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19</w:t>
      </w:r>
      <w:r w:rsidRPr="00FB563D">
        <w:rPr>
          <w:rFonts w:ascii="Times New Roman" w:hAnsi="Times New Roman"/>
          <w:noProof w:val="0"/>
          <w:sz w:val="24"/>
          <w:szCs w:val="24"/>
          <w:lang w:val="en-GB"/>
        </w:rPr>
        <w:t>, 4850–4860.</w:t>
      </w:r>
    </w:p>
    <w:p w14:paraId="47D9B303" w14:textId="77777777" w:rsidR="00FB563D" w:rsidRPr="00FB563D" w:rsidRDefault="00FB563D" w:rsidP="00FB563D">
      <w:pPr>
        <w:pStyle w:val="EndNoteBibliography"/>
        <w:numPr>
          <w:ilvl w:val="0"/>
          <w:numId w:val="5"/>
        </w:numPr>
        <w:adjustRightInd w:val="0"/>
        <w:snapToGrid w:val="0"/>
        <w:spacing w:line="360" w:lineRule="auto"/>
        <w:ind w:left="425" w:hanging="425"/>
        <w:rPr>
          <w:rFonts w:ascii="Times New Roman" w:hAnsi="Times New Roman"/>
          <w:noProof w:val="0"/>
          <w:sz w:val="24"/>
          <w:szCs w:val="24"/>
          <w:lang w:val="en-GB"/>
        </w:rPr>
      </w:pPr>
      <w:r w:rsidRPr="00FB563D">
        <w:rPr>
          <w:rFonts w:ascii="Times New Roman" w:hAnsi="Times New Roman"/>
          <w:noProof w:val="0"/>
          <w:sz w:val="24"/>
          <w:szCs w:val="24"/>
          <w:lang w:val="en-GB"/>
        </w:rPr>
        <w:t xml:space="preserve">Seth, R.K.; Kumar, A.; Das, S.; Kadiiska, M.B.; Michelotti, G.; Diehl, A.M.; Chatterjee, S. Environmental toxin-linked nonalcoholic steatohepatitis and hepatic metabolic reprogramming in obese mice. </w:t>
      </w:r>
      <w:r w:rsidRPr="00FB563D">
        <w:rPr>
          <w:rFonts w:ascii="Times New Roman" w:hAnsi="Times New Roman"/>
          <w:i/>
          <w:noProof w:val="0"/>
          <w:sz w:val="24"/>
          <w:szCs w:val="24"/>
          <w:lang w:val="en-GB"/>
        </w:rPr>
        <w:t>Toxicol.</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Sci.</w:t>
      </w:r>
      <w:r w:rsidRPr="00FB563D">
        <w:rPr>
          <w:rFonts w:ascii="Times New Roman" w:hAnsi="Times New Roman"/>
          <w:noProof w:val="0"/>
          <w:sz w:val="24"/>
          <w:szCs w:val="24"/>
          <w:lang w:val="en-GB"/>
        </w:rPr>
        <w:t xml:space="preserve"> </w:t>
      </w:r>
      <w:r w:rsidRPr="00FB563D">
        <w:rPr>
          <w:rFonts w:ascii="Times New Roman" w:hAnsi="Times New Roman"/>
          <w:b/>
          <w:noProof w:val="0"/>
          <w:sz w:val="24"/>
          <w:szCs w:val="24"/>
          <w:lang w:val="en-GB"/>
        </w:rPr>
        <w:t>2013</w:t>
      </w:r>
      <w:r w:rsidRPr="00FB563D">
        <w:rPr>
          <w:rFonts w:ascii="Times New Roman" w:hAnsi="Times New Roman"/>
          <w:noProof w:val="0"/>
          <w:sz w:val="24"/>
          <w:szCs w:val="24"/>
          <w:lang w:val="en-GB"/>
        </w:rPr>
        <w:t xml:space="preserve">, </w:t>
      </w:r>
      <w:r w:rsidRPr="00FB563D">
        <w:rPr>
          <w:rFonts w:ascii="Times New Roman" w:hAnsi="Times New Roman"/>
          <w:i/>
          <w:noProof w:val="0"/>
          <w:sz w:val="24"/>
          <w:szCs w:val="24"/>
          <w:lang w:val="en-GB"/>
        </w:rPr>
        <w:t>134</w:t>
      </w:r>
      <w:r w:rsidRPr="00FB563D">
        <w:rPr>
          <w:rFonts w:ascii="Times New Roman" w:hAnsi="Times New Roman"/>
          <w:noProof w:val="0"/>
          <w:sz w:val="24"/>
          <w:szCs w:val="24"/>
          <w:lang w:val="en-GB"/>
        </w:rPr>
        <w:t>, 291–303.</w:t>
      </w:r>
    </w:p>
    <w:p w14:paraId="05B54F70" w14:textId="77777777" w:rsidR="009135B1" w:rsidRPr="00FB563D" w:rsidRDefault="009135B1" w:rsidP="00FB563D">
      <w:pPr>
        <w:spacing w:line="360" w:lineRule="auto"/>
        <w:rPr>
          <w:szCs w:val="24"/>
        </w:rPr>
      </w:pPr>
    </w:p>
    <w:sectPr w:rsidR="009135B1" w:rsidRPr="00FB563D">
      <w:pgSz w:w="11906" w:h="16838"/>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250A245F"/>
    <w:multiLevelType w:val="hybridMultilevel"/>
    <w:tmpl w:val="4ABC6C08"/>
    <w:lvl w:ilvl="0" w:tplc="1AF444CE">
      <w:start w:val="1"/>
      <w:numFmt w:val="decimal"/>
      <w:pStyle w:val="MDPI71References"/>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2805051C"/>
    <w:multiLevelType w:val="hybridMultilevel"/>
    <w:tmpl w:val="ACEC86EA"/>
    <w:lvl w:ilvl="0" w:tplc="CDCEE7DA">
      <w:start w:val="1"/>
      <w:numFmt w:val="decimal"/>
      <w:pStyle w:val="MDPI37itemize"/>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2" w15:restartNumberingAfterBreak="0">
    <w:nsid w:val="369A6535"/>
    <w:multiLevelType w:val="hybridMultilevel"/>
    <w:tmpl w:val="67DCF212"/>
    <w:lvl w:ilvl="0" w:tplc="B2367048">
      <w:start w:val="1"/>
      <w:numFmt w:val="bullet"/>
      <w:pStyle w:val="MDPI38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3" w15:restartNumberingAfterBreak="0">
    <w:nsid w:val="4A60194A"/>
    <w:multiLevelType w:val="hybridMultilevel"/>
    <w:tmpl w:val="CE924070"/>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num w:numId="1">
    <w:abstractNumId w:val="1"/>
  </w:num>
  <w:num w:numId="2">
    <w:abstractNumId w:val="2"/>
  </w:num>
  <w:num w:numId="3">
    <w:abstractNumId w:val="0"/>
  </w:num>
  <w:num w:numId="4">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B563D"/>
    <w:rsid w:val="009135B1"/>
    <w:rsid w:val="00BE140D"/>
    <w:rsid w:val="00FB563D"/>
  </w:rsids>
  <m:mathPr>
    <m:mathFont m:val="Cambria Math"/>
    <m:brkBin m:val="before"/>
    <m:brkBinSub m:val="--"/>
    <m:smallFrac m:val="0"/>
    <m:dispDef/>
    <m:lMargin m:val="0"/>
    <m:rMargin m:val="0"/>
    <m:defJc m:val="centerGroup"/>
    <m:wrapIndent m:val="1440"/>
    <m:intLim m:val="subSup"/>
    <m:naryLim m:val="undOvr"/>
  </m:mathPr>
  <w:themeFontLang w:val="en-AU"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8C25898"/>
  <w15:chartTrackingRefBased/>
  <w15:docId w15:val="{C753C4B3-8F09-48D0-9989-3953C32175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n-AU"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563D"/>
    <w:pPr>
      <w:spacing w:after="0" w:line="340" w:lineRule="atLeast"/>
      <w:jc w:val="both"/>
    </w:pPr>
    <w:rPr>
      <w:rFonts w:ascii="Times New Roman" w:eastAsia="Times New Roman" w:hAnsi="Times New Roman" w:cs="Times New Roman"/>
      <w:color w:val="000000"/>
      <w:sz w:val="24"/>
      <w:szCs w:val="20"/>
      <w:lang w:val="en-US" w:eastAsia="de-D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basedOn w:val="MDPI31text"/>
    <w:next w:val="MDPI12title"/>
    <w:qFormat/>
    <w:rsid w:val="00FB563D"/>
    <w:pPr>
      <w:spacing w:before="240" w:line="240" w:lineRule="auto"/>
      <w:ind w:firstLine="0"/>
      <w:jc w:val="left"/>
    </w:pPr>
    <w:rPr>
      <w:i/>
    </w:rPr>
  </w:style>
  <w:style w:type="paragraph" w:customStyle="1" w:styleId="MDPI12title">
    <w:name w:val="MDPI_1.2_title"/>
    <w:next w:val="MDPI13authornames"/>
    <w:qFormat/>
    <w:rsid w:val="00FB563D"/>
    <w:pPr>
      <w:adjustRightInd w:val="0"/>
      <w:snapToGrid w:val="0"/>
      <w:spacing w:after="240" w:line="240" w:lineRule="atLeast"/>
      <w:jc w:val="both"/>
    </w:pPr>
    <w:rPr>
      <w:rFonts w:ascii="Palatino Linotype" w:eastAsia="Times New Roman" w:hAnsi="Palatino Linotype" w:cs="Times New Roman"/>
      <w:b/>
      <w:snapToGrid w:val="0"/>
      <w:color w:val="000000"/>
      <w:sz w:val="36"/>
      <w:szCs w:val="20"/>
      <w:lang w:val="en-US" w:eastAsia="de-DE" w:bidi="en-US"/>
    </w:rPr>
  </w:style>
  <w:style w:type="paragraph" w:customStyle="1" w:styleId="MDPI13authornames">
    <w:name w:val="MDPI_1.3_authornames"/>
    <w:basedOn w:val="MDPI31text"/>
    <w:next w:val="MDPI14history"/>
    <w:qFormat/>
    <w:rsid w:val="00FB563D"/>
    <w:pPr>
      <w:spacing w:after="120"/>
      <w:ind w:firstLine="0"/>
      <w:jc w:val="left"/>
    </w:pPr>
    <w:rPr>
      <w:b/>
      <w:snapToGrid/>
    </w:rPr>
  </w:style>
  <w:style w:type="paragraph" w:customStyle="1" w:styleId="MDPI14history">
    <w:name w:val="MDPI_1.4_history"/>
    <w:basedOn w:val="MDPI62Acknowledgments"/>
    <w:next w:val="MDPI15academiceditor"/>
    <w:qFormat/>
    <w:rsid w:val="00FB563D"/>
    <w:pPr>
      <w:ind w:left="113"/>
      <w:jc w:val="left"/>
    </w:pPr>
    <w:rPr>
      <w:snapToGrid/>
      <w:sz w:val="18"/>
    </w:rPr>
  </w:style>
  <w:style w:type="paragraph" w:customStyle="1" w:styleId="MDPI16affiliation">
    <w:name w:val="MDPI_1.6_affiliation"/>
    <w:basedOn w:val="MDPI62Acknowledgments"/>
    <w:qFormat/>
    <w:rsid w:val="00FB563D"/>
    <w:pPr>
      <w:spacing w:before="0"/>
      <w:ind w:left="311" w:hanging="198"/>
      <w:jc w:val="left"/>
    </w:pPr>
    <w:rPr>
      <w:snapToGrid/>
      <w:sz w:val="18"/>
      <w:szCs w:val="18"/>
    </w:rPr>
  </w:style>
  <w:style w:type="paragraph" w:customStyle="1" w:styleId="MDPI17abstract">
    <w:name w:val="MDPI_1.7_abstract"/>
    <w:basedOn w:val="MDPI31text"/>
    <w:next w:val="MDPI18keywords"/>
    <w:qFormat/>
    <w:rsid w:val="00FB563D"/>
    <w:pPr>
      <w:spacing w:before="240"/>
      <w:ind w:left="113" w:firstLine="0"/>
    </w:pPr>
    <w:rPr>
      <w:snapToGrid/>
    </w:rPr>
  </w:style>
  <w:style w:type="paragraph" w:customStyle="1" w:styleId="MDPI18keywords">
    <w:name w:val="MDPI_1.8_keywords"/>
    <w:basedOn w:val="MDPI31text"/>
    <w:next w:val="MDPI19classification"/>
    <w:qFormat/>
    <w:rsid w:val="00FB563D"/>
    <w:pPr>
      <w:spacing w:before="240"/>
      <w:ind w:left="113" w:firstLine="0"/>
    </w:pPr>
  </w:style>
  <w:style w:type="paragraph" w:customStyle="1" w:styleId="MDPI19line">
    <w:name w:val="MDPI_1.9_line"/>
    <w:basedOn w:val="MDPI31text"/>
    <w:qFormat/>
    <w:rsid w:val="00FB563D"/>
    <w:pPr>
      <w:pBdr>
        <w:bottom w:val="single" w:sz="6" w:space="1" w:color="auto"/>
      </w:pBdr>
      <w:ind w:firstLine="0"/>
    </w:pPr>
    <w:rPr>
      <w:rFonts w:cstheme="minorBidi"/>
      <w:snapToGrid/>
      <w:szCs w:val="24"/>
    </w:rPr>
  </w:style>
  <w:style w:type="table" w:customStyle="1" w:styleId="Mdeck5tablebodythreelines">
    <w:name w:val="M_deck_5_table_body_three_lines"/>
    <w:basedOn w:val="TableNormal"/>
    <w:uiPriority w:val="99"/>
    <w:rsid w:val="00FB563D"/>
    <w:pPr>
      <w:adjustRightInd w:val="0"/>
      <w:snapToGrid w:val="0"/>
      <w:spacing w:after="0" w:line="300" w:lineRule="exact"/>
      <w:jc w:val="center"/>
    </w:pPr>
    <w:rPr>
      <w:rFonts w:ascii="Times New Roman" w:eastAsia="SimSun" w:hAnsi="Times New Roman" w:cs="Times New Roman"/>
      <w:sz w:val="20"/>
      <w:szCs w:val="20"/>
      <w:lang w:val="de-DE" w:eastAsia="de-DE"/>
    </w:rPr>
    <w:tblPr>
      <w:jc w:val="center"/>
      <w:tblBorders>
        <w:bottom w:val="single" w:sz="8" w:space="0" w:color="auto"/>
      </w:tblBorders>
    </w:tblPr>
    <w:trPr>
      <w:jc w:val="center"/>
    </w:trPr>
    <w:tcPr>
      <w:vAlign w:val="center"/>
    </w:tcPr>
    <w:tblStylePr w:type="firstRow">
      <w:pPr>
        <w:wordWrap/>
        <w:adjustRightInd w:val="0"/>
        <w:snapToGrid w:val="0"/>
        <w:spacing w:beforeLines="0" w:beforeAutospacing="0" w:afterLines="0" w:afterAutospacing="0" w:line="300" w:lineRule="exact"/>
        <w:ind w:leftChars="0" w:left="0" w:rightChars="0" w:right="0" w:firstLineChars="0" w:firstLine="0"/>
        <w:contextualSpacing w:val="0"/>
        <w:mirrorIndents w:val="0"/>
        <w:jc w:val="center"/>
        <w:outlineLvl w:val="9"/>
      </w:pPr>
      <w:rPr>
        <w:rFonts w:ascii="Times New Roman" w:eastAsia="Times New Roman" w:hAnsi="Times New Roman"/>
        <w:b w:val="0"/>
        <w:i w:val="0"/>
        <w:snapToGrid w:val="0"/>
        <w:sz w:val="22"/>
      </w:rPr>
      <w:tblPr/>
      <w:tcPr>
        <w:tcBorders>
          <w:top w:val="single" w:sz="8" w:space="0" w:color="auto"/>
          <w:left w:val="nil"/>
          <w:bottom w:val="single" w:sz="4" w:space="0" w:color="auto"/>
          <w:right w:val="nil"/>
          <w:insideH w:val="nil"/>
          <w:insideV w:val="nil"/>
          <w:tl2br w:val="nil"/>
          <w:tr2bl w:val="nil"/>
        </w:tcBorders>
      </w:tcPr>
    </w:tblStylePr>
  </w:style>
  <w:style w:type="table" w:styleId="TableGrid">
    <w:name w:val="Table Grid"/>
    <w:basedOn w:val="TableNormal"/>
    <w:uiPriority w:val="59"/>
    <w:rsid w:val="00FB563D"/>
    <w:pPr>
      <w:spacing w:after="0" w:line="240" w:lineRule="auto"/>
    </w:pPr>
    <w:rPr>
      <w:rFonts w:ascii="Times New Roman" w:eastAsia="SimSun" w:hAnsi="Times New Roman" w:cs="Times New Roman"/>
      <w:sz w:val="20"/>
      <w:szCs w:val="20"/>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rsid w:val="00FB563D"/>
    <w:pPr>
      <w:tabs>
        <w:tab w:val="center" w:pos="4153"/>
        <w:tab w:val="right" w:pos="8306"/>
      </w:tabs>
      <w:snapToGrid w:val="0"/>
      <w:spacing w:line="240" w:lineRule="atLeast"/>
    </w:pPr>
    <w:rPr>
      <w:sz w:val="18"/>
      <w:szCs w:val="18"/>
    </w:rPr>
  </w:style>
  <w:style w:type="character" w:customStyle="1" w:styleId="FooterChar">
    <w:name w:val="Footer Char"/>
    <w:basedOn w:val="DefaultParagraphFont"/>
    <w:link w:val="Footer"/>
    <w:uiPriority w:val="99"/>
    <w:rsid w:val="00FB563D"/>
    <w:rPr>
      <w:rFonts w:ascii="Times New Roman" w:eastAsia="Times New Roman" w:hAnsi="Times New Roman" w:cs="Times New Roman"/>
      <w:color w:val="000000"/>
      <w:sz w:val="18"/>
      <w:szCs w:val="18"/>
      <w:lang w:val="en-US" w:eastAsia="de-DE"/>
    </w:rPr>
  </w:style>
  <w:style w:type="paragraph" w:styleId="Header">
    <w:name w:val="header"/>
    <w:basedOn w:val="Normal"/>
    <w:link w:val="HeaderChar"/>
    <w:uiPriority w:val="99"/>
    <w:rsid w:val="00FB563D"/>
    <w:pPr>
      <w:pBdr>
        <w:bottom w:val="single" w:sz="6" w:space="1" w:color="auto"/>
      </w:pBdr>
      <w:tabs>
        <w:tab w:val="center" w:pos="4153"/>
        <w:tab w:val="right" w:pos="8306"/>
      </w:tabs>
      <w:snapToGrid w:val="0"/>
      <w:spacing w:line="240" w:lineRule="atLeast"/>
      <w:jc w:val="center"/>
    </w:pPr>
    <w:rPr>
      <w:sz w:val="18"/>
      <w:szCs w:val="18"/>
    </w:rPr>
  </w:style>
  <w:style w:type="character" w:customStyle="1" w:styleId="HeaderChar">
    <w:name w:val="Header Char"/>
    <w:basedOn w:val="DefaultParagraphFont"/>
    <w:link w:val="Header"/>
    <w:uiPriority w:val="99"/>
    <w:rsid w:val="00FB563D"/>
    <w:rPr>
      <w:rFonts w:ascii="Times New Roman" w:eastAsia="Times New Roman" w:hAnsi="Times New Roman" w:cs="Times New Roman"/>
      <w:color w:val="000000"/>
      <w:sz w:val="18"/>
      <w:szCs w:val="18"/>
      <w:lang w:val="en-US" w:eastAsia="de-DE"/>
    </w:rPr>
  </w:style>
  <w:style w:type="paragraph" w:customStyle="1" w:styleId="MDPIheaderjournallogo">
    <w:name w:val="MDPI_header_journal_logo"/>
    <w:qFormat/>
    <w:rsid w:val="00FB563D"/>
    <w:pPr>
      <w:adjustRightInd w:val="0"/>
      <w:snapToGrid w:val="0"/>
      <w:spacing w:after="0" w:line="260" w:lineRule="atLeast"/>
      <w:jc w:val="both"/>
    </w:pPr>
    <w:rPr>
      <w:rFonts w:ascii="Palatino Linotype" w:eastAsia="Times New Roman" w:hAnsi="Palatino Linotype" w:cs="Times New Roman"/>
      <w:i/>
      <w:color w:val="000000"/>
      <w:sz w:val="24"/>
      <w:lang w:val="en-US" w:eastAsia="de-CH"/>
    </w:rPr>
  </w:style>
  <w:style w:type="paragraph" w:customStyle="1" w:styleId="MDPI32textnoindent">
    <w:name w:val="MDPI_3.2_text_no_indent"/>
    <w:basedOn w:val="MDPI31text"/>
    <w:qFormat/>
    <w:rsid w:val="00FB563D"/>
    <w:pPr>
      <w:ind w:firstLine="0"/>
    </w:pPr>
  </w:style>
  <w:style w:type="paragraph" w:customStyle="1" w:styleId="MDPI33textspaceafter">
    <w:name w:val="MDPI_3.3_text_space_after"/>
    <w:basedOn w:val="MDPI31text"/>
    <w:qFormat/>
    <w:rsid w:val="00FB563D"/>
    <w:pPr>
      <w:spacing w:after="240"/>
    </w:pPr>
  </w:style>
  <w:style w:type="paragraph" w:customStyle="1" w:styleId="MDPI35textbeforelist">
    <w:name w:val="MDPI_3.5_text_before_list"/>
    <w:basedOn w:val="MDPI31text"/>
    <w:qFormat/>
    <w:rsid w:val="00FB563D"/>
    <w:pPr>
      <w:spacing w:after="120"/>
    </w:pPr>
  </w:style>
  <w:style w:type="paragraph" w:customStyle="1" w:styleId="MDPI36textafterlist">
    <w:name w:val="MDPI_3.6_text_after_list"/>
    <w:basedOn w:val="MDPI31text"/>
    <w:qFormat/>
    <w:rsid w:val="00FB563D"/>
    <w:pPr>
      <w:spacing w:before="120"/>
    </w:pPr>
  </w:style>
  <w:style w:type="paragraph" w:customStyle="1" w:styleId="MDPI37itemize">
    <w:name w:val="MDPI_3.7_itemize"/>
    <w:basedOn w:val="MDPI31text"/>
    <w:qFormat/>
    <w:rsid w:val="00FB563D"/>
    <w:pPr>
      <w:numPr>
        <w:numId w:val="1"/>
      </w:numPr>
      <w:tabs>
        <w:tab w:val="num" w:pos="360"/>
      </w:tabs>
      <w:ind w:left="0" w:firstLine="425"/>
    </w:pPr>
  </w:style>
  <w:style w:type="paragraph" w:customStyle="1" w:styleId="MDPI38bullet">
    <w:name w:val="MDPI_3.8_bullet"/>
    <w:basedOn w:val="MDPI31text"/>
    <w:qFormat/>
    <w:rsid w:val="00FB563D"/>
    <w:pPr>
      <w:numPr>
        <w:numId w:val="2"/>
      </w:numPr>
      <w:tabs>
        <w:tab w:val="num" w:pos="360"/>
      </w:tabs>
      <w:ind w:left="0" w:firstLine="425"/>
    </w:pPr>
  </w:style>
  <w:style w:type="paragraph" w:customStyle="1" w:styleId="MDPI39equation">
    <w:name w:val="MDPI_3.9_equation"/>
    <w:basedOn w:val="MDPI31text"/>
    <w:qFormat/>
    <w:rsid w:val="00FB563D"/>
    <w:pPr>
      <w:spacing w:before="120" w:after="120"/>
      <w:ind w:left="709" w:firstLine="0"/>
      <w:jc w:val="center"/>
    </w:pPr>
  </w:style>
  <w:style w:type="paragraph" w:customStyle="1" w:styleId="MDPI3aequationnumber">
    <w:name w:val="MDPI_3.a_equation_number"/>
    <w:basedOn w:val="MDPI31text"/>
    <w:qFormat/>
    <w:rsid w:val="00FB563D"/>
    <w:pPr>
      <w:spacing w:before="120" w:after="120" w:line="240" w:lineRule="auto"/>
      <w:ind w:firstLine="0"/>
      <w:jc w:val="right"/>
    </w:pPr>
  </w:style>
  <w:style w:type="paragraph" w:customStyle="1" w:styleId="MDPI62Acknowledgments">
    <w:name w:val="MDPI_6.2_Acknowledgments"/>
    <w:qFormat/>
    <w:rsid w:val="00FB563D"/>
    <w:pPr>
      <w:adjustRightInd w:val="0"/>
      <w:snapToGrid w:val="0"/>
      <w:spacing w:before="120" w:after="0" w:line="200" w:lineRule="atLeast"/>
      <w:jc w:val="both"/>
    </w:pPr>
    <w:rPr>
      <w:rFonts w:ascii="Palatino Linotype" w:eastAsia="Times New Roman" w:hAnsi="Palatino Linotype" w:cs="Times New Roman"/>
      <w:snapToGrid w:val="0"/>
      <w:color w:val="000000"/>
      <w:sz w:val="20"/>
      <w:szCs w:val="20"/>
      <w:lang w:val="en-US" w:eastAsia="de-DE" w:bidi="en-US"/>
    </w:rPr>
  </w:style>
  <w:style w:type="paragraph" w:customStyle="1" w:styleId="MDPI41tablecaption">
    <w:name w:val="MDPI_4.1_table_caption"/>
    <w:basedOn w:val="MDPI62Acknowledgments"/>
    <w:qFormat/>
    <w:rsid w:val="00FB563D"/>
    <w:pPr>
      <w:spacing w:before="240" w:after="120" w:line="260" w:lineRule="atLeast"/>
      <w:ind w:left="425" w:right="425"/>
    </w:pPr>
    <w:rPr>
      <w:rFonts w:cstheme="minorBidi"/>
      <w:snapToGrid/>
      <w:sz w:val="18"/>
      <w:szCs w:val="22"/>
    </w:rPr>
  </w:style>
  <w:style w:type="paragraph" w:customStyle="1" w:styleId="MDPI42tablebody">
    <w:name w:val="MDPI_4.2_table_body"/>
    <w:qFormat/>
    <w:rsid w:val="00FB563D"/>
    <w:pPr>
      <w:adjustRightInd w:val="0"/>
      <w:snapToGrid w:val="0"/>
      <w:spacing w:after="0" w:line="260" w:lineRule="atLeast"/>
      <w:jc w:val="center"/>
    </w:pPr>
    <w:rPr>
      <w:rFonts w:ascii="Palatino Linotype" w:eastAsia="Times New Roman" w:hAnsi="Palatino Linotype" w:cs="Times New Roman"/>
      <w:snapToGrid w:val="0"/>
      <w:color w:val="000000"/>
      <w:sz w:val="20"/>
      <w:szCs w:val="20"/>
      <w:lang w:val="en-US" w:eastAsia="de-DE" w:bidi="en-US"/>
    </w:rPr>
  </w:style>
  <w:style w:type="paragraph" w:customStyle="1" w:styleId="MDPI43tablefooter">
    <w:name w:val="MDPI_4.3_table_footer"/>
    <w:basedOn w:val="MDPI41tablecaption"/>
    <w:next w:val="MDPI31text"/>
    <w:qFormat/>
    <w:rsid w:val="00FB563D"/>
    <w:pPr>
      <w:spacing w:before="0" w:after="240"/>
      <w:ind w:left="0" w:right="0"/>
    </w:pPr>
  </w:style>
  <w:style w:type="paragraph" w:customStyle="1" w:styleId="MDPI51figurecaption">
    <w:name w:val="MDPI_5.1_figure_caption"/>
    <w:basedOn w:val="MDPI62Acknowledgments"/>
    <w:qFormat/>
    <w:rsid w:val="00FB563D"/>
    <w:pPr>
      <w:spacing w:after="240" w:line="260" w:lineRule="atLeast"/>
      <w:ind w:left="425" w:right="425"/>
    </w:pPr>
    <w:rPr>
      <w:snapToGrid/>
      <w:sz w:val="18"/>
    </w:rPr>
  </w:style>
  <w:style w:type="paragraph" w:customStyle="1" w:styleId="MDPI52figure">
    <w:name w:val="MDPI_5.2_figure"/>
    <w:qFormat/>
    <w:rsid w:val="00FB563D"/>
    <w:pPr>
      <w:adjustRightInd w:val="0"/>
      <w:snapToGrid w:val="0"/>
      <w:spacing w:before="240" w:after="0" w:line="260" w:lineRule="atLeast"/>
      <w:jc w:val="center"/>
    </w:pPr>
    <w:rPr>
      <w:rFonts w:ascii="Palatino Linotype" w:eastAsia="Times New Roman" w:hAnsi="Palatino Linotype" w:cs="Times New Roman"/>
      <w:snapToGrid w:val="0"/>
      <w:color w:val="000000"/>
      <w:sz w:val="20"/>
      <w:szCs w:val="20"/>
      <w:lang w:val="en-US" w:eastAsia="de-DE" w:bidi="en-US"/>
    </w:rPr>
  </w:style>
  <w:style w:type="paragraph" w:customStyle="1" w:styleId="MDPI61Supplementary">
    <w:name w:val="MDPI_6.1_Supplementary"/>
    <w:basedOn w:val="MDPI62Acknowledgments"/>
    <w:qFormat/>
    <w:rsid w:val="00FB563D"/>
    <w:pPr>
      <w:spacing w:before="240"/>
    </w:pPr>
    <w:rPr>
      <w:lang w:eastAsia="en-US"/>
    </w:rPr>
  </w:style>
  <w:style w:type="paragraph" w:customStyle="1" w:styleId="MDPI63AuthorContributions">
    <w:name w:val="MDPI_6.3_AuthorContributions"/>
    <w:basedOn w:val="MDPI62Acknowledgments"/>
    <w:qFormat/>
    <w:rsid w:val="00FB563D"/>
    <w:rPr>
      <w:rFonts w:eastAsia="SimSun"/>
      <w:color w:val="auto"/>
      <w:sz w:val="18"/>
      <w:lang w:eastAsia="en-US"/>
    </w:rPr>
  </w:style>
  <w:style w:type="paragraph" w:customStyle="1" w:styleId="MDPI64CoI">
    <w:name w:val="MDPI_6.4_CoI"/>
    <w:basedOn w:val="MDPI62Acknowledgments"/>
    <w:qFormat/>
    <w:rsid w:val="00FB563D"/>
  </w:style>
  <w:style w:type="paragraph" w:customStyle="1" w:styleId="MDPIfooterfirstpage">
    <w:name w:val="MDPI_footer_firstpage"/>
    <w:basedOn w:val="MDPIfooter"/>
    <w:qFormat/>
    <w:rsid w:val="00FB563D"/>
    <w:pPr>
      <w:tabs>
        <w:tab w:val="right" w:pos="8845"/>
      </w:tabs>
      <w:spacing w:line="160" w:lineRule="exact"/>
      <w:jc w:val="left"/>
    </w:pPr>
    <w:rPr>
      <w:sz w:val="16"/>
    </w:rPr>
  </w:style>
  <w:style w:type="paragraph" w:customStyle="1" w:styleId="MDPI31text">
    <w:name w:val="MDPI_3.1_text"/>
    <w:link w:val="MDPI31textChar"/>
    <w:qFormat/>
    <w:rsid w:val="00FB563D"/>
    <w:pPr>
      <w:adjustRightInd w:val="0"/>
      <w:snapToGrid w:val="0"/>
      <w:spacing w:after="0" w:line="260" w:lineRule="atLeast"/>
      <w:ind w:firstLine="425"/>
      <w:jc w:val="both"/>
    </w:pPr>
    <w:rPr>
      <w:rFonts w:ascii="Palatino Linotype" w:eastAsia="Times New Roman" w:hAnsi="Palatino Linotype" w:cs="Times New Roman"/>
      <w:snapToGrid w:val="0"/>
      <w:color w:val="000000"/>
      <w:sz w:val="20"/>
      <w:lang w:val="en-US" w:eastAsia="de-DE" w:bidi="en-US"/>
    </w:rPr>
  </w:style>
  <w:style w:type="paragraph" w:customStyle="1" w:styleId="MDPI23heading3">
    <w:name w:val="MDPI_2.3_heading3"/>
    <w:basedOn w:val="MDPI31text"/>
    <w:qFormat/>
    <w:rsid w:val="00FB563D"/>
    <w:pPr>
      <w:spacing w:before="240" w:after="120"/>
      <w:ind w:firstLine="0"/>
      <w:jc w:val="left"/>
      <w:outlineLvl w:val="2"/>
    </w:pPr>
  </w:style>
  <w:style w:type="paragraph" w:customStyle="1" w:styleId="MDPI21heading1">
    <w:name w:val="MDPI_2.1_heading1"/>
    <w:basedOn w:val="MDPI23heading3"/>
    <w:qFormat/>
    <w:rsid w:val="00FB563D"/>
    <w:pPr>
      <w:outlineLvl w:val="0"/>
    </w:pPr>
    <w:rPr>
      <w:b/>
    </w:rPr>
  </w:style>
  <w:style w:type="paragraph" w:customStyle="1" w:styleId="MDPI22heading2">
    <w:name w:val="MDPI_2.2_heading2"/>
    <w:basedOn w:val="MDPItext"/>
    <w:qFormat/>
    <w:rsid w:val="00FB563D"/>
    <w:pPr>
      <w:spacing w:before="240" w:after="120" w:line="260" w:lineRule="atLeast"/>
      <w:ind w:left="0" w:right="0" w:firstLine="0"/>
      <w:jc w:val="left"/>
      <w:outlineLvl w:val="1"/>
    </w:pPr>
    <w:rPr>
      <w:rFonts w:ascii="Palatino Linotype" w:hAnsi="Palatino Linotype"/>
      <w:i/>
      <w:sz w:val="20"/>
    </w:rPr>
  </w:style>
  <w:style w:type="paragraph" w:customStyle="1" w:styleId="MDPI71References">
    <w:name w:val="MDPI_7.1_References"/>
    <w:basedOn w:val="MDPI62Acknowledgments"/>
    <w:qFormat/>
    <w:rsid w:val="00FB563D"/>
    <w:pPr>
      <w:numPr>
        <w:numId w:val="3"/>
      </w:numPr>
      <w:spacing w:before="0" w:line="260" w:lineRule="atLeast"/>
    </w:pPr>
  </w:style>
  <w:style w:type="paragraph" w:styleId="BalloonText">
    <w:name w:val="Balloon Text"/>
    <w:basedOn w:val="Normal"/>
    <w:link w:val="BalloonTextChar"/>
    <w:uiPriority w:val="99"/>
    <w:semiHidden/>
    <w:unhideWhenUsed/>
    <w:rsid w:val="00FB563D"/>
    <w:pPr>
      <w:spacing w:line="240" w:lineRule="auto"/>
    </w:pPr>
    <w:rPr>
      <w:sz w:val="18"/>
      <w:szCs w:val="18"/>
    </w:rPr>
  </w:style>
  <w:style w:type="character" w:customStyle="1" w:styleId="BalloonTextChar">
    <w:name w:val="Balloon Text Char"/>
    <w:basedOn w:val="DefaultParagraphFont"/>
    <w:link w:val="BalloonText"/>
    <w:uiPriority w:val="99"/>
    <w:semiHidden/>
    <w:rsid w:val="00FB563D"/>
    <w:rPr>
      <w:rFonts w:ascii="Times New Roman" w:eastAsia="Times New Roman" w:hAnsi="Times New Roman" w:cs="Times New Roman"/>
      <w:color w:val="000000"/>
      <w:sz w:val="18"/>
      <w:szCs w:val="18"/>
      <w:lang w:val="en-US" w:eastAsia="de-DE"/>
    </w:rPr>
  </w:style>
  <w:style w:type="character" w:styleId="LineNumber">
    <w:name w:val="line number"/>
    <w:basedOn w:val="DefaultParagraphFont"/>
    <w:uiPriority w:val="99"/>
    <w:semiHidden/>
    <w:unhideWhenUsed/>
    <w:rsid w:val="00FB563D"/>
  </w:style>
  <w:style w:type="table" w:customStyle="1" w:styleId="MDPI41threelinetable">
    <w:name w:val="MDPI_4.1_three_line_table"/>
    <w:basedOn w:val="TableNormal"/>
    <w:uiPriority w:val="99"/>
    <w:rsid w:val="00FB563D"/>
    <w:pPr>
      <w:adjustRightInd w:val="0"/>
      <w:snapToGrid w:val="0"/>
      <w:spacing w:after="0" w:line="240" w:lineRule="auto"/>
      <w:jc w:val="center"/>
    </w:pPr>
    <w:rPr>
      <w:rFonts w:ascii="Palatino Linotype" w:hAnsi="Palatino Linotype" w:cs="Times New Roman"/>
      <w:color w:val="000000"/>
      <w:sz w:val="20"/>
      <w:szCs w:val="20"/>
      <w:lang w:val="en-US"/>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unhideWhenUsed/>
    <w:rsid w:val="00FB563D"/>
    <w:rPr>
      <w:color w:val="0563C1"/>
      <w:u w:val="single"/>
    </w:rPr>
  </w:style>
  <w:style w:type="character" w:customStyle="1" w:styleId="UnresolvedMention1">
    <w:name w:val="Unresolved Mention1"/>
    <w:uiPriority w:val="99"/>
    <w:semiHidden/>
    <w:unhideWhenUsed/>
    <w:rsid w:val="00FB563D"/>
    <w:rPr>
      <w:color w:val="605E5C"/>
      <w:shd w:val="clear" w:color="auto" w:fill="E1DFDD"/>
    </w:rPr>
  </w:style>
  <w:style w:type="table" w:styleId="PlainTable4">
    <w:name w:val="Plain Table 4"/>
    <w:basedOn w:val="TableNormal"/>
    <w:uiPriority w:val="44"/>
    <w:rsid w:val="00FB563D"/>
    <w:pPr>
      <w:spacing w:after="0" w:line="240" w:lineRule="auto"/>
    </w:pPr>
    <w:rPr>
      <w:rFonts w:ascii="Calibri" w:eastAsia="SimSun" w:hAnsi="Calibri" w:cs="Times New Roman"/>
      <w:sz w:val="20"/>
      <w:szCs w:val="20"/>
      <w:lang w:eastAsia="en-AU"/>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character" w:styleId="CommentReference">
    <w:name w:val="annotation reference"/>
    <w:basedOn w:val="DefaultParagraphFont"/>
    <w:uiPriority w:val="99"/>
    <w:semiHidden/>
    <w:unhideWhenUsed/>
    <w:rsid w:val="00FB563D"/>
    <w:rPr>
      <w:sz w:val="16"/>
      <w:szCs w:val="16"/>
    </w:rPr>
  </w:style>
  <w:style w:type="paragraph" w:styleId="CommentText">
    <w:name w:val="annotation text"/>
    <w:basedOn w:val="Normal"/>
    <w:link w:val="CommentTextChar"/>
    <w:uiPriority w:val="99"/>
    <w:unhideWhenUsed/>
    <w:rsid w:val="00FB563D"/>
    <w:rPr>
      <w:sz w:val="20"/>
    </w:rPr>
  </w:style>
  <w:style w:type="character" w:customStyle="1" w:styleId="CommentTextChar">
    <w:name w:val="Comment Text Char"/>
    <w:basedOn w:val="DefaultParagraphFont"/>
    <w:link w:val="CommentText"/>
    <w:uiPriority w:val="99"/>
    <w:rsid w:val="00FB563D"/>
    <w:rPr>
      <w:rFonts w:ascii="Times New Roman" w:eastAsia="Times New Roman" w:hAnsi="Times New Roman" w:cs="Times New Roman"/>
      <w:color w:val="000000"/>
      <w:sz w:val="20"/>
      <w:szCs w:val="20"/>
      <w:lang w:val="en-US" w:eastAsia="de-DE"/>
    </w:rPr>
  </w:style>
  <w:style w:type="paragraph" w:styleId="CommentSubject">
    <w:name w:val="annotation subject"/>
    <w:basedOn w:val="CommentText"/>
    <w:next w:val="CommentText"/>
    <w:link w:val="CommentSubjectChar"/>
    <w:uiPriority w:val="99"/>
    <w:semiHidden/>
    <w:unhideWhenUsed/>
    <w:rsid w:val="00FB563D"/>
    <w:rPr>
      <w:b/>
      <w:bCs/>
    </w:rPr>
  </w:style>
  <w:style w:type="character" w:customStyle="1" w:styleId="CommentSubjectChar">
    <w:name w:val="Comment Subject Char"/>
    <w:basedOn w:val="CommentTextChar"/>
    <w:link w:val="CommentSubject"/>
    <w:uiPriority w:val="99"/>
    <w:semiHidden/>
    <w:rsid w:val="00FB563D"/>
    <w:rPr>
      <w:rFonts w:ascii="Times New Roman" w:eastAsia="Times New Roman" w:hAnsi="Times New Roman" w:cs="Times New Roman"/>
      <w:b/>
      <w:bCs/>
      <w:color w:val="000000"/>
      <w:sz w:val="20"/>
      <w:szCs w:val="20"/>
      <w:lang w:val="en-US" w:eastAsia="de-DE"/>
    </w:rPr>
  </w:style>
  <w:style w:type="character" w:customStyle="1" w:styleId="UnresolvedMention2">
    <w:name w:val="Unresolved Mention2"/>
    <w:basedOn w:val="DefaultParagraphFont"/>
    <w:uiPriority w:val="99"/>
    <w:semiHidden/>
    <w:unhideWhenUsed/>
    <w:rsid w:val="00FB563D"/>
    <w:rPr>
      <w:color w:val="605E5C"/>
      <w:shd w:val="clear" w:color="auto" w:fill="E1DFDD"/>
    </w:rPr>
  </w:style>
  <w:style w:type="character" w:styleId="FollowedHyperlink">
    <w:name w:val="FollowedHyperlink"/>
    <w:basedOn w:val="DefaultParagraphFont"/>
    <w:uiPriority w:val="99"/>
    <w:semiHidden/>
    <w:unhideWhenUsed/>
    <w:rsid w:val="00FB563D"/>
    <w:rPr>
      <w:color w:val="954F72" w:themeColor="followedHyperlink"/>
      <w:u w:val="single"/>
    </w:rPr>
  </w:style>
  <w:style w:type="paragraph" w:customStyle="1" w:styleId="EndNoteBibliographyTitle">
    <w:name w:val="EndNote Bibliography Title"/>
    <w:basedOn w:val="Normal"/>
    <w:link w:val="EndNoteBibliographyTitleChar"/>
    <w:rsid w:val="00FB563D"/>
    <w:pPr>
      <w:jc w:val="center"/>
    </w:pPr>
    <w:rPr>
      <w:rFonts w:ascii="Palatino Linotype" w:hAnsi="Palatino Linotype"/>
      <w:noProof/>
      <w:sz w:val="18"/>
      <w:szCs w:val="22"/>
      <w:lang w:val="de-DE" w:bidi="en-US"/>
    </w:rPr>
  </w:style>
  <w:style w:type="character" w:customStyle="1" w:styleId="MDPI31textChar">
    <w:name w:val="MDPI_3.1_text Char"/>
    <w:basedOn w:val="DefaultParagraphFont"/>
    <w:link w:val="MDPI31text"/>
    <w:rsid w:val="00FB563D"/>
    <w:rPr>
      <w:rFonts w:ascii="Palatino Linotype" w:eastAsia="Times New Roman" w:hAnsi="Palatino Linotype" w:cs="Times New Roman"/>
      <w:snapToGrid w:val="0"/>
      <w:color w:val="000000"/>
      <w:sz w:val="20"/>
      <w:lang w:val="en-US" w:eastAsia="de-DE" w:bidi="en-US"/>
    </w:rPr>
  </w:style>
  <w:style w:type="character" w:customStyle="1" w:styleId="EndNoteBibliographyTitleChar">
    <w:name w:val="EndNote Bibliography Title Char"/>
    <w:basedOn w:val="MDPI31textChar"/>
    <w:link w:val="EndNoteBibliographyTitle"/>
    <w:rsid w:val="00FB563D"/>
    <w:rPr>
      <w:rFonts w:ascii="Palatino Linotype" w:eastAsia="Times New Roman" w:hAnsi="Palatino Linotype" w:cs="Times New Roman"/>
      <w:noProof/>
      <w:snapToGrid/>
      <w:color w:val="000000"/>
      <w:sz w:val="18"/>
      <w:lang w:val="de-DE" w:eastAsia="de-DE" w:bidi="en-US"/>
    </w:rPr>
  </w:style>
  <w:style w:type="paragraph" w:customStyle="1" w:styleId="EndNoteBibliography">
    <w:name w:val="EndNote Bibliography"/>
    <w:basedOn w:val="Normal"/>
    <w:link w:val="EndNoteBibliographyChar"/>
    <w:rsid w:val="00FB563D"/>
    <w:pPr>
      <w:spacing w:line="240" w:lineRule="atLeast"/>
    </w:pPr>
    <w:rPr>
      <w:rFonts w:ascii="Palatino Linotype" w:hAnsi="Palatino Linotype"/>
      <w:noProof/>
      <w:sz w:val="18"/>
      <w:szCs w:val="22"/>
      <w:lang w:val="de-DE" w:bidi="en-US"/>
    </w:rPr>
  </w:style>
  <w:style w:type="character" w:customStyle="1" w:styleId="EndNoteBibliographyChar">
    <w:name w:val="EndNote Bibliography Char"/>
    <w:basedOn w:val="MDPI31textChar"/>
    <w:link w:val="EndNoteBibliography"/>
    <w:rsid w:val="00FB563D"/>
    <w:rPr>
      <w:rFonts w:ascii="Palatino Linotype" w:eastAsia="Times New Roman" w:hAnsi="Palatino Linotype" w:cs="Times New Roman"/>
      <w:noProof/>
      <w:snapToGrid/>
      <w:color w:val="000000"/>
      <w:sz w:val="18"/>
      <w:lang w:val="de-DE" w:eastAsia="de-DE" w:bidi="en-US"/>
    </w:rPr>
  </w:style>
  <w:style w:type="paragraph" w:customStyle="1" w:styleId="MDPI15academiceditor">
    <w:name w:val="MDPI_1.5_academic_editor"/>
    <w:basedOn w:val="MDPI62Acknowledgments"/>
    <w:qFormat/>
    <w:rsid w:val="00FB563D"/>
    <w:pPr>
      <w:ind w:left="113"/>
      <w:jc w:val="left"/>
    </w:pPr>
    <w:rPr>
      <w:snapToGrid/>
      <w:szCs w:val="22"/>
    </w:rPr>
  </w:style>
  <w:style w:type="paragraph" w:customStyle="1" w:styleId="MDPI19classification">
    <w:name w:val="MDPI_1.9_classification"/>
    <w:basedOn w:val="MDPI31text"/>
    <w:qFormat/>
    <w:rsid w:val="00FB563D"/>
    <w:pPr>
      <w:spacing w:before="240"/>
      <w:ind w:left="113" w:firstLine="0"/>
    </w:pPr>
    <w:rPr>
      <w:b/>
      <w:snapToGrid/>
    </w:rPr>
  </w:style>
  <w:style w:type="paragraph" w:customStyle="1" w:styleId="MDPI34textspacebefore">
    <w:name w:val="MDPI_3.4_text_space_before"/>
    <w:basedOn w:val="MDPI31text"/>
    <w:qFormat/>
    <w:rsid w:val="00FB563D"/>
    <w:pPr>
      <w:spacing w:before="240"/>
    </w:pPr>
  </w:style>
  <w:style w:type="paragraph" w:customStyle="1" w:styleId="MDPI411onetablecaption">
    <w:name w:val="MDPI_4.1.1_one_table_caption"/>
    <w:basedOn w:val="Normal"/>
    <w:qFormat/>
    <w:rsid w:val="00FB563D"/>
    <w:pPr>
      <w:adjustRightInd w:val="0"/>
      <w:snapToGrid w:val="0"/>
      <w:spacing w:before="120" w:after="240" w:line="260" w:lineRule="atLeast"/>
      <w:jc w:val="center"/>
    </w:pPr>
    <w:rPr>
      <w:rFonts w:ascii="Palatino Linotype" w:eastAsiaTheme="minorEastAsia" w:hAnsi="Palatino Linotype" w:cstheme="minorBidi"/>
      <w:sz w:val="20"/>
      <w:szCs w:val="22"/>
      <w:lang w:eastAsia="zh-CN" w:bidi="en-US"/>
    </w:rPr>
  </w:style>
  <w:style w:type="paragraph" w:customStyle="1" w:styleId="MDPI511onefigurecaption">
    <w:name w:val="MDPI_5.1.1_one_figure_caption"/>
    <w:basedOn w:val="Normal"/>
    <w:qFormat/>
    <w:rsid w:val="00FB563D"/>
    <w:pPr>
      <w:adjustRightInd w:val="0"/>
      <w:snapToGrid w:val="0"/>
      <w:spacing w:before="120" w:after="240" w:line="260" w:lineRule="atLeast"/>
      <w:jc w:val="center"/>
    </w:pPr>
    <w:rPr>
      <w:rFonts w:ascii="Palatino Linotype" w:eastAsiaTheme="minorEastAsia" w:hAnsi="Palatino Linotype"/>
      <w:sz w:val="20"/>
      <w:lang w:eastAsia="zh-CN" w:bidi="en-US"/>
    </w:rPr>
  </w:style>
  <w:style w:type="paragraph" w:customStyle="1" w:styleId="MDPI72Copyright">
    <w:name w:val="MDPI_7.2_Copyright"/>
    <w:basedOn w:val="MDPI71References"/>
    <w:qFormat/>
    <w:rsid w:val="00FB563D"/>
    <w:pPr>
      <w:numPr>
        <w:numId w:val="0"/>
      </w:numPr>
      <w:spacing w:before="400"/>
    </w:pPr>
    <w:rPr>
      <w:noProof/>
      <w:spacing w:val="-2"/>
      <w:lang w:val="en-GB" w:eastAsia="en-GB" w:bidi="ar-SA"/>
    </w:rPr>
  </w:style>
  <w:style w:type="paragraph" w:customStyle="1" w:styleId="MDPI73CopyrightImage">
    <w:name w:val="MDPI_7.3_CopyrightImage"/>
    <w:rsid w:val="00FB563D"/>
    <w:pPr>
      <w:adjustRightInd w:val="0"/>
      <w:snapToGrid w:val="0"/>
      <w:spacing w:after="100" w:line="260" w:lineRule="atLeast"/>
      <w:jc w:val="right"/>
    </w:pPr>
    <w:rPr>
      <w:rFonts w:ascii="Palatino Linotype" w:eastAsia="Times New Roman" w:hAnsi="Palatino Linotype" w:cs="Times New Roman"/>
      <w:color w:val="000000"/>
      <w:sz w:val="20"/>
      <w:szCs w:val="20"/>
      <w:lang w:val="en-US" w:eastAsia="de-CH"/>
    </w:rPr>
  </w:style>
  <w:style w:type="paragraph" w:customStyle="1" w:styleId="MDPI81theorem">
    <w:name w:val="MDPI_8.1_theorem"/>
    <w:basedOn w:val="MDPI32textnoindent"/>
    <w:qFormat/>
    <w:rsid w:val="00FB563D"/>
    <w:rPr>
      <w:i/>
    </w:rPr>
  </w:style>
  <w:style w:type="paragraph" w:customStyle="1" w:styleId="MDPI82proof">
    <w:name w:val="MDPI_8.2_proof"/>
    <w:basedOn w:val="MDPI32textnoindent"/>
    <w:qFormat/>
    <w:rsid w:val="00FB563D"/>
  </w:style>
  <w:style w:type="paragraph" w:customStyle="1" w:styleId="MDPIfooter">
    <w:name w:val="MDPI_footer"/>
    <w:qFormat/>
    <w:rsid w:val="00FB563D"/>
    <w:pPr>
      <w:adjustRightInd w:val="0"/>
      <w:snapToGrid w:val="0"/>
      <w:spacing w:before="120" w:after="0" w:line="260" w:lineRule="atLeast"/>
      <w:jc w:val="center"/>
    </w:pPr>
    <w:rPr>
      <w:rFonts w:ascii="Palatino Linotype" w:eastAsia="Times New Roman" w:hAnsi="Palatino Linotype" w:cs="Times New Roman"/>
      <w:color w:val="000000"/>
      <w:sz w:val="20"/>
      <w:szCs w:val="20"/>
      <w:lang w:val="en-US" w:eastAsia="de-DE"/>
    </w:rPr>
  </w:style>
  <w:style w:type="paragraph" w:customStyle="1" w:styleId="MDPIheader">
    <w:name w:val="MDPI_header"/>
    <w:qFormat/>
    <w:rsid w:val="00FB563D"/>
    <w:pPr>
      <w:adjustRightInd w:val="0"/>
      <w:snapToGrid w:val="0"/>
      <w:spacing w:after="240" w:line="260" w:lineRule="atLeast"/>
      <w:jc w:val="both"/>
    </w:pPr>
    <w:rPr>
      <w:rFonts w:ascii="Palatino Linotype" w:eastAsia="Times New Roman" w:hAnsi="Palatino Linotype" w:cs="Times New Roman"/>
      <w:iCs/>
      <w:color w:val="000000"/>
      <w:sz w:val="16"/>
      <w:szCs w:val="20"/>
      <w:lang w:val="en-US" w:eastAsia="de-DE"/>
    </w:rPr>
  </w:style>
  <w:style w:type="paragraph" w:customStyle="1" w:styleId="MDPIheadercitation">
    <w:name w:val="MDPI_header_citation"/>
    <w:basedOn w:val="MDPI62Acknowledgments"/>
    <w:rsid w:val="00FB563D"/>
    <w:pPr>
      <w:spacing w:before="0" w:after="240" w:line="240" w:lineRule="auto"/>
      <w:jc w:val="left"/>
    </w:pPr>
  </w:style>
  <w:style w:type="paragraph" w:customStyle="1" w:styleId="MDPIheadermdpilogo">
    <w:name w:val="MDPI_header_mdpi_logo"/>
    <w:qFormat/>
    <w:rsid w:val="00FB563D"/>
    <w:pPr>
      <w:adjustRightInd w:val="0"/>
      <w:snapToGrid w:val="0"/>
      <w:spacing w:after="0" w:line="260" w:lineRule="atLeast"/>
      <w:jc w:val="right"/>
    </w:pPr>
    <w:rPr>
      <w:rFonts w:ascii="Palatino Linotype" w:eastAsia="Times New Roman" w:hAnsi="Palatino Linotype" w:cs="Times New Roman"/>
      <w:color w:val="000000"/>
      <w:sz w:val="24"/>
      <w:lang w:val="en-US" w:eastAsia="de-CH"/>
    </w:rPr>
  </w:style>
  <w:style w:type="paragraph" w:customStyle="1" w:styleId="MDPItext">
    <w:name w:val="MDPI_text"/>
    <w:basedOn w:val="Normal"/>
    <w:qFormat/>
    <w:rsid w:val="00FB563D"/>
    <w:pPr>
      <w:kinsoku w:val="0"/>
      <w:overflowPunct w:val="0"/>
      <w:autoSpaceDE w:val="0"/>
      <w:autoSpaceDN w:val="0"/>
      <w:adjustRightInd w:val="0"/>
      <w:snapToGrid w:val="0"/>
      <w:spacing w:line="320" w:lineRule="atLeast"/>
      <w:ind w:left="425" w:right="425" w:firstLine="284"/>
    </w:pPr>
    <w:rPr>
      <w:noProof/>
      <w:snapToGrid w:val="0"/>
      <w:sz w:val="22"/>
      <w:szCs w:val="22"/>
      <w:lang w:bidi="en-US"/>
    </w:rPr>
  </w:style>
  <w:style w:type="paragraph" w:customStyle="1" w:styleId="MDPItitle">
    <w:name w:val="MDPI_title"/>
    <w:qFormat/>
    <w:rsid w:val="00FB563D"/>
    <w:pPr>
      <w:adjustRightInd w:val="0"/>
      <w:snapToGrid w:val="0"/>
      <w:spacing w:after="240" w:line="260" w:lineRule="atLeast"/>
      <w:jc w:val="both"/>
    </w:pPr>
    <w:rPr>
      <w:rFonts w:ascii="Palatino Linotype" w:eastAsia="Times New Roman" w:hAnsi="Palatino Linotype" w:cs="Times New Roman"/>
      <w:b/>
      <w:snapToGrid w:val="0"/>
      <w:color w:val="000000"/>
      <w:sz w:val="36"/>
      <w:szCs w:val="20"/>
      <w:lang w:val="en-US" w:eastAsia="de-DE" w:bidi="en-US"/>
    </w:rPr>
  </w:style>
  <w:style w:type="paragraph" w:styleId="Revision">
    <w:name w:val="Revision"/>
    <w:hidden/>
    <w:uiPriority w:val="99"/>
    <w:semiHidden/>
    <w:rsid w:val="00FB563D"/>
    <w:pPr>
      <w:spacing w:after="0" w:line="240" w:lineRule="auto"/>
    </w:pPr>
    <w:rPr>
      <w:rFonts w:ascii="Times New Roman" w:eastAsia="Times New Roman" w:hAnsi="Times New Roman" w:cs="Times New Roman"/>
      <w:color w:val="000000"/>
      <w:sz w:val="24"/>
      <w:szCs w:val="20"/>
      <w:lang w:val="en-US" w:eastAsia="de-DE"/>
    </w:rPr>
  </w:style>
  <w:style w:type="character" w:customStyle="1" w:styleId="st">
    <w:name w:val="st"/>
    <w:basedOn w:val="DefaultParagraphFont"/>
    <w:rsid w:val="00FB563D"/>
  </w:style>
  <w:style w:type="character" w:styleId="Emphasis">
    <w:name w:val="Emphasis"/>
    <w:basedOn w:val="DefaultParagraphFont"/>
    <w:uiPriority w:val="20"/>
    <w:qFormat/>
    <w:rsid w:val="00FB563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tiff"/><Relationship Id="rId3" Type="http://schemas.openxmlformats.org/officeDocument/2006/relationships/settings" Target="settings.xml"/><Relationship Id="rId7" Type="http://schemas.openxmlformats.org/officeDocument/2006/relationships/image" Target="media/image3.tif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tiff"/><Relationship Id="rId5" Type="http://schemas.openxmlformats.org/officeDocument/2006/relationships/image" Target="media/image1.tiff"/><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4</TotalTime>
  <Pages>22</Pages>
  <Words>6997</Words>
  <Characters>39885</Characters>
  <Application>Microsoft Office Word</Application>
  <DocSecurity>0</DocSecurity>
  <Lines>332</Lines>
  <Paragraphs>93</Paragraphs>
  <ScaleCrop>false</ScaleCrop>
  <Company>University of Technology Sydney</Company>
  <LinksUpToDate>false</LinksUpToDate>
  <CharactersWithSpaces>46789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Hui Chen</dc:creator>
  <cp:keywords/>
  <dc:description/>
  <cp:lastModifiedBy>Hui Chen</cp:lastModifiedBy>
  <cp:revision>2</cp:revision>
  <dcterms:created xsi:type="dcterms:W3CDTF">2019-07-23T02:39:00Z</dcterms:created>
  <dcterms:modified xsi:type="dcterms:W3CDTF">2019-07-23T02:43:00Z</dcterms:modified>
</cp:coreProperties>
</file>