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31643" w14:textId="2F03B1F5" w:rsidR="00492723" w:rsidRDefault="00492723" w:rsidP="00AE7367">
      <w:pPr>
        <w:spacing w:line="360" w:lineRule="auto"/>
        <w:rPr>
          <w:rFonts w:ascii="Times New Roman" w:hAnsi="Times New Roman" w:cs="Times New Roman"/>
          <w:b/>
          <w:sz w:val="28"/>
          <w:szCs w:val="28"/>
        </w:rPr>
      </w:pPr>
      <w:r>
        <w:rPr>
          <w:rFonts w:ascii="Times New Roman" w:hAnsi="Times New Roman" w:cs="Times New Roman"/>
          <w:b/>
          <w:sz w:val="28"/>
          <w:szCs w:val="28"/>
        </w:rPr>
        <w:t>Journal of Banking and Finance</w:t>
      </w:r>
      <w:bookmarkStart w:id="0" w:name="_GoBack"/>
      <w:bookmarkEnd w:id="0"/>
      <w:r>
        <w:rPr>
          <w:rFonts w:ascii="Times New Roman" w:hAnsi="Times New Roman" w:cs="Times New Roman"/>
          <w:b/>
          <w:sz w:val="28"/>
          <w:szCs w:val="28"/>
        </w:rPr>
        <w:t xml:space="preserve"> Law and Practice</w:t>
      </w:r>
    </w:p>
    <w:p w14:paraId="2DA1F080" w14:textId="47B4B796" w:rsidR="00262951" w:rsidRDefault="00262951" w:rsidP="00AE7367">
      <w:pPr>
        <w:spacing w:line="360" w:lineRule="auto"/>
        <w:rPr>
          <w:rFonts w:ascii="Times New Roman" w:hAnsi="Times New Roman" w:cs="Times New Roman"/>
          <w:b/>
          <w:sz w:val="28"/>
          <w:szCs w:val="28"/>
        </w:rPr>
      </w:pPr>
      <w:r>
        <w:rPr>
          <w:rFonts w:ascii="Times New Roman" w:hAnsi="Times New Roman" w:cs="Times New Roman"/>
          <w:b/>
          <w:sz w:val="28"/>
          <w:szCs w:val="28"/>
        </w:rPr>
        <w:t>Challenges for R</w:t>
      </w:r>
      <w:r w:rsidR="00EA6A70" w:rsidRPr="00DD5FF1">
        <w:rPr>
          <w:rFonts w:ascii="Times New Roman" w:hAnsi="Times New Roman" w:cs="Times New Roman"/>
          <w:b/>
          <w:sz w:val="28"/>
          <w:szCs w:val="28"/>
        </w:rPr>
        <w:t>egulatory Reform</w:t>
      </w:r>
      <w:r>
        <w:rPr>
          <w:rFonts w:ascii="Times New Roman" w:hAnsi="Times New Roman" w:cs="Times New Roman"/>
          <w:b/>
          <w:sz w:val="28"/>
          <w:szCs w:val="28"/>
        </w:rPr>
        <w:t xml:space="preserve"> in the Finance Sector</w:t>
      </w:r>
      <w:r w:rsidR="00EA6A70" w:rsidRPr="00DD5FF1">
        <w:rPr>
          <w:rFonts w:ascii="Times New Roman" w:hAnsi="Times New Roman" w:cs="Times New Roman"/>
          <w:b/>
          <w:sz w:val="28"/>
          <w:szCs w:val="28"/>
        </w:rPr>
        <w:t xml:space="preserve">: </w:t>
      </w:r>
      <w:r w:rsidR="00B75F5C">
        <w:rPr>
          <w:rFonts w:ascii="Times New Roman" w:hAnsi="Times New Roman" w:cs="Times New Roman"/>
          <w:b/>
          <w:sz w:val="28"/>
          <w:szCs w:val="28"/>
        </w:rPr>
        <w:t>Learnings from the L</w:t>
      </w:r>
      <w:r>
        <w:rPr>
          <w:rFonts w:ascii="Times New Roman" w:hAnsi="Times New Roman" w:cs="Times New Roman"/>
          <w:b/>
          <w:sz w:val="28"/>
          <w:szCs w:val="28"/>
        </w:rPr>
        <w:t>ast Decade</w:t>
      </w:r>
    </w:p>
    <w:p w14:paraId="7AF3C390" w14:textId="5C3E321F" w:rsidR="00492723" w:rsidRDefault="00492723" w:rsidP="00AE7367">
      <w:pPr>
        <w:spacing w:line="360" w:lineRule="auto"/>
        <w:rPr>
          <w:rFonts w:ascii="Times New Roman" w:hAnsi="Times New Roman" w:cs="Times New Roman"/>
          <w:b/>
          <w:sz w:val="28"/>
          <w:szCs w:val="28"/>
        </w:rPr>
      </w:pPr>
      <w:r>
        <w:rPr>
          <w:rFonts w:ascii="Times New Roman" w:hAnsi="Times New Roman" w:cs="Times New Roman"/>
          <w:b/>
          <w:sz w:val="28"/>
          <w:szCs w:val="28"/>
        </w:rPr>
        <w:t>Dr Alice Klettner</w:t>
      </w:r>
    </w:p>
    <w:p w14:paraId="37B4B6C6" w14:textId="275FEEF5" w:rsidR="00EA6A70" w:rsidRPr="00FC6034" w:rsidRDefault="00D53D46" w:rsidP="00AE7367">
      <w:pPr>
        <w:pStyle w:val="Heading2"/>
        <w:spacing w:line="360" w:lineRule="auto"/>
      </w:pPr>
      <w:r w:rsidRPr="00FC6034">
        <w:t>Abstract</w:t>
      </w:r>
    </w:p>
    <w:p w14:paraId="290CF43D" w14:textId="6D935267" w:rsidR="008165F8" w:rsidRPr="00FC6034" w:rsidRDefault="00A53118"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 the last decade the finance sector has undergone significant scrutiny both globally and locally. Following the global financial crisis, the G-20 led a process of regulatory reform that had an impact internationally, yet the effectiveness of many of </w:t>
      </w:r>
      <w:r w:rsidR="00B706CE">
        <w:rPr>
          <w:rFonts w:ascii="Times New Roman" w:hAnsi="Times New Roman" w:cs="Times New Roman"/>
          <w:sz w:val="24"/>
          <w:szCs w:val="24"/>
          <w:lang w:val="en-US"/>
        </w:rPr>
        <w:t>its</w:t>
      </w:r>
      <w:r>
        <w:rPr>
          <w:rFonts w:ascii="Times New Roman" w:hAnsi="Times New Roman" w:cs="Times New Roman"/>
          <w:sz w:val="24"/>
          <w:szCs w:val="24"/>
          <w:lang w:val="en-US"/>
        </w:rPr>
        <w:t xml:space="preserve"> reforms remains debatable.  Scholarly experts have reviewed, assessed and critiqued the reform efforts yet this work is rarely used to inform new policy regimes.  This article presents a systematic review of the academic literature on post-financial crisis regulatory reform with the aim of drawing out lessons for the future.  The research</w:t>
      </w:r>
      <w:r w:rsidRPr="00FC6034">
        <w:rPr>
          <w:rFonts w:ascii="Times New Roman" w:hAnsi="Times New Roman" w:cs="Times New Roman"/>
          <w:sz w:val="24"/>
          <w:szCs w:val="24"/>
          <w:lang w:val="en-US"/>
        </w:rPr>
        <w:t xml:space="preserve"> finds that </w:t>
      </w:r>
      <w:r>
        <w:rPr>
          <w:rFonts w:ascii="Times New Roman" w:hAnsi="Times New Roman" w:cs="Times New Roman"/>
          <w:sz w:val="24"/>
          <w:szCs w:val="24"/>
          <w:lang w:val="en-US"/>
        </w:rPr>
        <w:t>financial regulation faces</w:t>
      </w:r>
      <w:r w:rsidRPr="00FC6034">
        <w:rPr>
          <w:rFonts w:ascii="Times New Roman" w:hAnsi="Times New Roman" w:cs="Times New Roman"/>
          <w:sz w:val="24"/>
          <w:szCs w:val="24"/>
          <w:lang w:val="en-US"/>
        </w:rPr>
        <w:t xml:space="preserve"> challenges </w:t>
      </w:r>
      <w:r>
        <w:rPr>
          <w:rFonts w:ascii="Times New Roman" w:hAnsi="Times New Roman" w:cs="Times New Roman"/>
          <w:sz w:val="24"/>
          <w:szCs w:val="24"/>
          <w:lang w:val="en-US"/>
        </w:rPr>
        <w:t xml:space="preserve">at three levels: (1) at a structural or architectural level in terms of who regulates what (2) at a processual level in terms of the style </w:t>
      </w:r>
      <w:r w:rsidR="004E3EE4">
        <w:rPr>
          <w:rFonts w:ascii="Times New Roman" w:hAnsi="Times New Roman" w:cs="Times New Roman"/>
          <w:sz w:val="24"/>
          <w:szCs w:val="24"/>
          <w:lang w:val="en-US"/>
        </w:rPr>
        <w:t>and</w:t>
      </w:r>
      <w:r>
        <w:rPr>
          <w:rFonts w:ascii="Times New Roman" w:hAnsi="Times New Roman" w:cs="Times New Roman"/>
          <w:sz w:val="24"/>
          <w:szCs w:val="24"/>
          <w:lang w:val="en-US"/>
        </w:rPr>
        <w:t xml:space="preserve"> mechanism of regulation;</w:t>
      </w:r>
      <w:r w:rsidRPr="00FC6034">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(3) at the level of regulatory </w:t>
      </w:r>
      <w:r w:rsidRPr="00FC6034">
        <w:rPr>
          <w:rFonts w:ascii="Times New Roman" w:hAnsi="Times New Roman" w:cs="Times New Roman"/>
          <w:sz w:val="24"/>
          <w:szCs w:val="24"/>
          <w:lang w:val="en-US"/>
        </w:rPr>
        <w:t>content</w:t>
      </w:r>
      <w:r>
        <w:rPr>
          <w:rFonts w:ascii="Times New Roman" w:hAnsi="Times New Roman" w:cs="Times New Roman"/>
          <w:sz w:val="24"/>
          <w:szCs w:val="24"/>
          <w:lang w:val="en-US"/>
        </w:rPr>
        <w:t xml:space="preserve"> – the details of the rules or standards</w:t>
      </w:r>
      <w:r w:rsidRPr="00FC6034">
        <w:rPr>
          <w:rFonts w:ascii="Times New Roman" w:hAnsi="Times New Roman" w:cs="Times New Roman"/>
          <w:sz w:val="24"/>
          <w:szCs w:val="24"/>
          <w:lang w:val="en-US"/>
        </w:rPr>
        <w:t xml:space="preserve">.  </w:t>
      </w:r>
      <w:r>
        <w:rPr>
          <w:rFonts w:ascii="Times New Roman" w:hAnsi="Times New Roman" w:cs="Times New Roman"/>
          <w:sz w:val="24"/>
          <w:szCs w:val="24"/>
          <w:lang w:val="en-US"/>
        </w:rPr>
        <w:t>In addition, regulatory effectiveness can be facilitated or hindered by power and politics,</w:t>
      </w:r>
      <w:r w:rsidRPr="00FC60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blurred </w:t>
      </w:r>
      <w:r w:rsidRPr="00FC6034">
        <w:rPr>
          <w:rFonts w:ascii="Times New Roman" w:hAnsi="Times New Roman" w:cs="Times New Roman"/>
          <w:sz w:val="24"/>
          <w:szCs w:val="24"/>
          <w:lang w:val="en-US"/>
        </w:rPr>
        <w:t>boundaries</w:t>
      </w:r>
      <w:r>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and assumptions about behavio</w:t>
      </w:r>
      <w:r>
        <w:rPr>
          <w:rFonts w:ascii="Times New Roman" w:hAnsi="Times New Roman" w:cs="Times New Roman"/>
          <w:sz w:val="24"/>
          <w:szCs w:val="24"/>
          <w:lang w:val="en-US"/>
        </w:rPr>
        <w:t>u</w:t>
      </w:r>
      <w:r w:rsidRPr="00FC6034">
        <w:rPr>
          <w:rFonts w:ascii="Times New Roman" w:hAnsi="Times New Roman" w:cs="Times New Roman"/>
          <w:sz w:val="24"/>
          <w:szCs w:val="24"/>
          <w:lang w:val="en-US"/>
        </w:rPr>
        <w:t>r.</w:t>
      </w:r>
      <w:r>
        <w:rPr>
          <w:rFonts w:ascii="Times New Roman" w:hAnsi="Times New Roman" w:cs="Times New Roman"/>
          <w:sz w:val="24"/>
          <w:szCs w:val="24"/>
          <w:lang w:val="en-US"/>
        </w:rPr>
        <w:t xml:space="preserve">  The article discusses these findings in the context of recent evidence of misbehavior in the Australian finance sector.</w:t>
      </w:r>
    </w:p>
    <w:p w14:paraId="10E4C865" w14:textId="50B983F6" w:rsidR="001F2FA9" w:rsidRPr="001F2FA9" w:rsidRDefault="00F16BD1" w:rsidP="00AE7367">
      <w:pPr>
        <w:pStyle w:val="Heading1"/>
        <w:spacing w:line="360" w:lineRule="auto"/>
      </w:pPr>
      <w:r w:rsidRPr="00C657A9">
        <w:t>Introduction</w:t>
      </w:r>
    </w:p>
    <w:p w14:paraId="45C2ABD9" w14:textId="05E5F4EF" w:rsidR="00E85E09" w:rsidRDefault="004E3EE4"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global financial crisis (GFC) that began in 2008 has been analysed in depth by scholars of many disciplines.  </w:t>
      </w:r>
      <w:r w:rsidR="000F0CC1">
        <w:rPr>
          <w:rFonts w:ascii="Times New Roman" w:hAnsi="Times New Roman" w:cs="Times New Roman"/>
          <w:sz w:val="24"/>
          <w:szCs w:val="24"/>
          <w:lang w:val="en-US"/>
        </w:rPr>
        <w:t xml:space="preserve">The </w:t>
      </w:r>
      <w:r>
        <w:rPr>
          <w:rFonts w:ascii="Times New Roman" w:hAnsi="Times New Roman" w:cs="Times New Roman"/>
          <w:sz w:val="24"/>
          <w:szCs w:val="24"/>
          <w:lang w:val="en-US"/>
        </w:rPr>
        <w:t>causes</w:t>
      </w:r>
      <w:r w:rsidR="000F0CC1">
        <w:rPr>
          <w:rFonts w:ascii="Times New Roman" w:hAnsi="Times New Roman" w:cs="Times New Roman"/>
          <w:sz w:val="24"/>
          <w:szCs w:val="24"/>
          <w:lang w:val="en-US"/>
        </w:rPr>
        <w:t xml:space="preserve"> of the crisis</w:t>
      </w:r>
      <w:r>
        <w:rPr>
          <w:rFonts w:ascii="Times New Roman" w:hAnsi="Times New Roman" w:cs="Times New Roman"/>
          <w:sz w:val="24"/>
          <w:szCs w:val="24"/>
          <w:lang w:val="en-US"/>
        </w:rPr>
        <w:t xml:space="preserve"> were extremely complex </w:t>
      </w:r>
      <w:r w:rsidR="00F16BD1" w:rsidRPr="00FC6034">
        <w:rPr>
          <w:rFonts w:ascii="Times New Roman" w:hAnsi="Times New Roman" w:cs="Times New Roman"/>
          <w:sz w:val="24"/>
          <w:szCs w:val="24"/>
          <w:lang w:val="en-US"/>
        </w:rPr>
        <w:t xml:space="preserve">and </w:t>
      </w:r>
      <w:r w:rsidR="00C53CDC" w:rsidRPr="00FC6034">
        <w:rPr>
          <w:rFonts w:ascii="Times New Roman" w:hAnsi="Times New Roman" w:cs="Times New Roman"/>
          <w:sz w:val="24"/>
          <w:szCs w:val="24"/>
          <w:lang w:val="en-US"/>
        </w:rPr>
        <w:t xml:space="preserve">over </w:t>
      </w:r>
      <w:r w:rsidR="00174A9B" w:rsidRPr="00FC6034">
        <w:rPr>
          <w:rFonts w:ascii="Times New Roman" w:hAnsi="Times New Roman" w:cs="Times New Roman"/>
          <w:sz w:val="24"/>
          <w:szCs w:val="24"/>
          <w:lang w:val="en-US"/>
        </w:rPr>
        <w:t xml:space="preserve">a decade later they </w:t>
      </w:r>
      <w:r w:rsidR="00F16BD1" w:rsidRPr="00FC6034">
        <w:rPr>
          <w:rFonts w:ascii="Times New Roman" w:hAnsi="Times New Roman" w:cs="Times New Roman"/>
          <w:sz w:val="24"/>
          <w:szCs w:val="24"/>
          <w:lang w:val="en-US"/>
        </w:rPr>
        <w:t>continue to be debated</w:t>
      </w:r>
      <w:r w:rsidR="00E85E0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
      </w:r>
      <w:r w:rsidR="00425273" w:rsidRPr="00FC6034">
        <w:rPr>
          <w:rFonts w:ascii="Times New Roman" w:hAnsi="Times New Roman" w:cs="Times New Roman"/>
          <w:sz w:val="24"/>
          <w:szCs w:val="24"/>
          <w:lang w:val="en-US"/>
        </w:rPr>
        <w:t xml:space="preserve">  They involve</w:t>
      </w:r>
      <w:r w:rsidR="00DF3E0A" w:rsidRPr="00FC6034">
        <w:rPr>
          <w:rFonts w:ascii="Times New Roman" w:hAnsi="Times New Roman" w:cs="Times New Roman"/>
          <w:sz w:val="24"/>
          <w:szCs w:val="24"/>
          <w:lang w:val="en-US"/>
        </w:rPr>
        <w:t xml:space="preserve"> intricacies of politics, economi</w:t>
      </w:r>
      <w:r w:rsidR="00F16BD1" w:rsidRPr="00FC6034">
        <w:rPr>
          <w:rFonts w:ascii="Times New Roman" w:hAnsi="Times New Roman" w:cs="Times New Roman"/>
          <w:sz w:val="24"/>
          <w:szCs w:val="24"/>
          <w:lang w:val="en-US"/>
        </w:rPr>
        <w:t xml:space="preserve">cs, law, </w:t>
      </w:r>
      <w:r w:rsidR="009B1CF4" w:rsidRPr="00FC6034">
        <w:rPr>
          <w:rFonts w:ascii="Times New Roman" w:hAnsi="Times New Roman" w:cs="Times New Roman"/>
          <w:sz w:val="24"/>
          <w:szCs w:val="24"/>
          <w:lang w:val="en-US"/>
        </w:rPr>
        <w:t xml:space="preserve">governance, </w:t>
      </w:r>
      <w:r w:rsidR="00F16BD1" w:rsidRPr="00FC6034">
        <w:rPr>
          <w:rFonts w:ascii="Times New Roman" w:hAnsi="Times New Roman" w:cs="Times New Roman"/>
          <w:sz w:val="24"/>
          <w:szCs w:val="24"/>
          <w:lang w:val="en-US"/>
        </w:rPr>
        <w:t>finance and banking</w:t>
      </w:r>
      <w:r w:rsidR="0092507C">
        <w:rPr>
          <w:rFonts w:ascii="Times New Roman" w:hAnsi="Times New Roman" w:cs="Times New Roman"/>
          <w:sz w:val="24"/>
          <w:szCs w:val="24"/>
          <w:lang w:val="en-US"/>
        </w:rPr>
        <w:t xml:space="preserve"> not to mention problems of culture and greed</w:t>
      </w:r>
      <w:r w:rsidR="001F2FA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2"/>
      </w:r>
      <w:r w:rsidR="001F2FA9">
        <w:rPr>
          <w:rFonts w:ascii="Times New Roman" w:hAnsi="Times New Roman" w:cs="Times New Roman"/>
          <w:sz w:val="24"/>
          <w:szCs w:val="24"/>
          <w:lang w:val="en-US"/>
        </w:rPr>
        <w:t xml:space="preserve">  </w:t>
      </w:r>
      <w:r w:rsidR="00E85E09">
        <w:rPr>
          <w:rFonts w:ascii="Times New Roman" w:hAnsi="Times New Roman" w:cs="Times New Roman"/>
          <w:sz w:val="24"/>
          <w:szCs w:val="24"/>
          <w:lang w:val="en-US"/>
        </w:rPr>
        <w:t>Consequently t</w:t>
      </w:r>
      <w:r w:rsidR="00E85E09" w:rsidRPr="00FC6034">
        <w:rPr>
          <w:rFonts w:ascii="Times New Roman" w:hAnsi="Times New Roman" w:cs="Times New Roman"/>
          <w:sz w:val="24"/>
          <w:szCs w:val="24"/>
          <w:lang w:val="en-US"/>
        </w:rPr>
        <w:t xml:space="preserve">he </w:t>
      </w:r>
      <w:r w:rsidR="00E85E09">
        <w:rPr>
          <w:rFonts w:ascii="Times New Roman" w:hAnsi="Times New Roman" w:cs="Times New Roman"/>
          <w:sz w:val="24"/>
          <w:szCs w:val="24"/>
          <w:lang w:val="en-US"/>
        </w:rPr>
        <w:t xml:space="preserve">regulatory </w:t>
      </w:r>
      <w:r w:rsidR="00E85E09" w:rsidRPr="00FC6034">
        <w:rPr>
          <w:rFonts w:ascii="Times New Roman" w:hAnsi="Times New Roman" w:cs="Times New Roman"/>
          <w:sz w:val="24"/>
          <w:szCs w:val="24"/>
          <w:lang w:val="en-US"/>
        </w:rPr>
        <w:t>response to the GFC</w:t>
      </w:r>
      <w:r w:rsidR="00E85E09">
        <w:rPr>
          <w:rFonts w:ascii="Times New Roman" w:hAnsi="Times New Roman" w:cs="Times New Roman"/>
          <w:sz w:val="24"/>
          <w:szCs w:val="24"/>
          <w:lang w:val="en-US"/>
        </w:rPr>
        <w:t xml:space="preserve"> was</w:t>
      </w:r>
      <w:r w:rsidR="00E85E09" w:rsidRPr="00FC6034">
        <w:rPr>
          <w:rFonts w:ascii="Times New Roman" w:hAnsi="Times New Roman" w:cs="Times New Roman"/>
          <w:sz w:val="24"/>
          <w:szCs w:val="24"/>
          <w:lang w:val="en-US"/>
        </w:rPr>
        <w:t xml:space="preserve"> also very complex, changes </w:t>
      </w:r>
      <w:r w:rsidR="00E85E09">
        <w:rPr>
          <w:rFonts w:ascii="Times New Roman" w:hAnsi="Times New Roman" w:cs="Times New Roman"/>
          <w:sz w:val="24"/>
          <w:szCs w:val="24"/>
          <w:lang w:val="en-US"/>
        </w:rPr>
        <w:t>were</w:t>
      </w:r>
      <w:r w:rsidR="00E85E09" w:rsidRPr="00FC6034">
        <w:rPr>
          <w:rFonts w:ascii="Times New Roman" w:hAnsi="Times New Roman" w:cs="Times New Roman"/>
          <w:sz w:val="24"/>
          <w:szCs w:val="24"/>
          <w:lang w:val="en-US"/>
        </w:rPr>
        <w:t xml:space="preserve"> made to the structure </w:t>
      </w:r>
      <w:r w:rsidR="00E85E09" w:rsidRPr="00FC6034">
        <w:rPr>
          <w:rFonts w:ascii="Times New Roman" w:hAnsi="Times New Roman" w:cs="Times New Roman"/>
          <w:sz w:val="24"/>
          <w:szCs w:val="24"/>
          <w:lang w:val="en-US"/>
        </w:rPr>
        <w:lastRenderedPageBreak/>
        <w:t>an</w:t>
      </w:r>
      <w:r w:rsidR="0092507C">
        <w:rPr>
          <w:rFonts w:ascii="Times New Roman" w:hAnsi="Times New Roman" w:cs="Times New Roman"/>
          <w:sz w:val="24"/>
          <w:szCs w:val="24"/>
          <w:lang w:val="en-US"/>
        </w:rPr>
        <w:t>d mandate of supervisory organis</w:t>
      </w:r>
      <w:r w:rsidR="00E85E09" w:rsidRPr="00FC6034">
        <w:rPr>
          <w:rFonts w:ascii="Times New Roman" w:hAnsi="Times New Roman" w:cs="Times New Roman"/>
          <w:sz w:val="24"/>
          <w:szCs w:val="24"/>
          <w:lang w:val="en-US"/>
        </w:rPr>
        <w:t xml:space="preserve">ations and reforms </w:t>
      </w:r>
      <w:r w:rsidR="00BF7A72">
        <w:rPr>
          <w:rFonts w:ascii="Times New Roman" w:hAnsi="Times New Roman" w:cs="Times New Roman"/>
          <w:sz w:val="24"/>
          <w:szCs w:val="24"/>
          <w:lang w:val="en-US"/>
        </w:rPr>
        <w:t>were put in place</w:t>
      </w:r>
      <w:r w:rsidR="00E85E09" w:rsidRPr="00FC6034">
        <w:rPr>
          <w:rFonts w:ascii="Times New Roman" w:hAnsi="Times New Roman" w:cs="Times New Roman"/>
          <w:sz w:val="24"/>
          <w:szCs w:val="24"/>
          <w:lang w:val="en-US"/>
        </w:rPr>
        <w:t xml:space="preserve"> at multiple levels: international, regional, national and at the level of particular markets, industries or products.</w:t>
      </w:r>
      <w:r w:rsidR="00E85E09">
        <w:rPr>
          <w:rFonts w:ascii="Times New Roman" w:hAnsi="Times New Roman" w:cs="Times New Roman"/>
          <w:sz w:val="24"/>
          <w:szCs w:val="24"/>
          <w:lang w:val="en-US"/>
        </w:rPr>
        <w:t xml:space="preserve"> </w:t>
      </w:r>
    </w:p>
    <w:p w14:paraId="780846C9" w14:textId="7EED1B68" w:rsidR="001F2FA9" w:rsidRDefault="001F2FA9"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Ten years on many of </w:t>
      </w:r>
      <w:r w:rsidR="00E85E09">
        <w:rPr>
          <w:rFonts w:ascii="Times New Roman" w:hAnsi="Times New Roman" w:cs="Times New Roman"/>
          <w:sz w:val="24"/>
          <w:szCs w:val="24"/>
          <w:lang w:val="en-US"/>
        </w:rPr>
        <w:t>the same</w:t>
      </w:r>
      <w:r>
        <w:rPr>
          <w:rFonts w:ascii="Times New Roman" w:hAnsi="Times New Roman" w:cs="Times New Roman"/>
          <w:sz w:val="24"/>
          <w:szCs w:val="24"/>
          <w:lang w:val="en-US"/>
        </w:rPr>
        <w:t xml:space="preserve"> issues are</w:t>
      </w:r>
      <w:r w:rsidR="00E85E09">
        <w:rPr>
          <w:rFonts w:ascii="Times New Roman" w:hAnsi="Times New Roman" w:cs="Times New Roman"/>
          <w:sz w:val="24"/>
          <w:szCs w:val="24"/>
          <w:lang w:val="en-US"/>
        </w:rPr>
        <w:t xml:space="preserve"> being debated at a national level in Australia in the context of the Royal Commission into Misconduct in the Banking, Superannuation and Financial Services Industry (Royal Commission).</w:t>
      </w:r>
      <w:r w:rsidR="00652E08">
        <w:rPr>
          <w:rStyle w:val="FootnoteReference"/>
          <w:rFonts w:ascii="Times New Roman" w:hAnsi="Times New Roman" w:cs="Times New Roman"/>
          <w:sz w:val="24"/>
          <w:szCs w:val="24"/>
          <w:lang w:val="en-US"/>
        </w:rPr>
        <w:footnoteReference w:id="3"/>
      </w:r>
      <w:r w:rsidR="00BF7A72">
        <w:rPr>
          <w:rFonts w:ascii="Times New Roman" w:hAnsi="Times New Roman" w:cs="Times New Roman"/>
          <w:sz w:val="24"/>
          <w:szCs w:val="24"/>
          <w:lang w:val="en-US"/>
        </w:rPr>
        <w:t xml:space="preserve">  Australia’s corporate and prudential regulators have come under scrutiny and the culture, governance and remuneration structures within the financial sector have been heavily criticised.  </w:t>
      </w:r>
      <w:r w:rsidR="004E3EE4">
        <w:rPr>
          <w:rFonts w:ascii="Times New Roman" w:hAnsi="Times New Roman" w:cs="Times New Roman"/>
          <w:sz w:val="24"/>
          <w:szCs w:val="24"/>
          <w:lang w:val="en-US"/>
        </w:rPr>
        <w:t>As this article is written, r</w:t>
      </w:r>
      <w:r w:rsidR="00BF7A72">
        <w:rPr>
          <w:rFonts w:ascii="Times New Roman" w:hAnsi="Times New Roman" w:cs="Times New Roman"/>
          <w:sz w:val="24"/>
          <w:szCs w:val="24"/>
          <w:lang w:val="en-US"/>
        </w:rPr>
        <w:t xml:space="preserve">egulatory reforms are </w:t>
      </w:r>
      <w:r w:rsidR="004E3EE4">
        <w:rPr>
          <w:rFonts w:ascii="Times New Roman" w:hAnsi="Times New Roman" w:cs="Times New Roman"/>
          <w:sz w:val="24"/>
          <w:szCs w:val="24"/>
          <w:lang w:val="en-US"/>
        </w:rPr>
        <w:t>being developed and implemented</w:t>
      </w:r>
      <w:r w:rsidR="00BF7A72">
        <w:rPr>
          <w:rFonts w:ascii="Times New Roman" w:hAnsi="Times New Roman" w:cs="Times New Roman"/>
          <w:sz w:val="24"/>
          <w:szCs w:val="24"/>
          <w:lang w:val="en-US"/>
        </w:rPr>
        <w:t xml:space="preserve"> </w:t>
      </w:r>
      <w:r w:rsidR="004E3EE4">
        <w:rPr>
          <w:rFonts w:ascii="Times New Roman" w:hAnsi="Times New Roman" w:cs="Times New Roman"/>
          <w:sz w:val="24"/>
          <w:szCs w:val="24"/>
          <w:lang w:val="en-US"/>
        </w:rPr>
        <w:t>based on the recommendations of</w:t>
      </w:r>
      <w:r w:rsidR="00BF7A72">
        <w:rPr>
          <w:rFonts w:ascii="Times New Roman" w:hAnsi="Times New Roman" w:cs="Times New Roman"/>
          <w:sz w:val="24"/>
          <w:szCs w:val="24"/>
          <w:lang w:val="en-US"/>
        </w:rPr>
        <w:t xml:space="preserve"> the Royal Commission’s final report,</w:t>
      </w:r>
      <w:r w:rsidR="000F0CC1">
        <w:rPr>
          <w:rFonts w:ascii="Times New Roman" w:hAnsi="Times New Roman" w:cs="Times New Roman"/>
          <w:sz w:val="24"/>
          <w:szCs w:val="24"/>
          <w:lang w:val="en-US"/>
        </w:rPr>
        <w:t xml:space="preserve"> yet there is little reference to academic learnings.  T</w:t>
      </w:r>
      <w:r w:rsidR="00BF7A72">
        <w:rPr>
          <w:rFonts w:ascii="Times New Roman" w:hAnsi="Times New Roman" w:cs="Times New Roman"/>
          <w:sz w:val="24"/>
          <w:szCs w:val="24"/>
          <w:lang w:val="en-US"/>
        </w:rPr>
        <w:t>his paper asks whether there is anything we can learn from</w:t>
      </w:r>
      <w:r w:rsidR="000F0CC1">
        <w:rPr>
          <w:rFonts w:ascii="Times New Roman" w:hAnsi="Times New Roman" w:cs="Times New Roman"/>
          <w:sz w:val="24"/>
          <w:szCs w:val="24"/>
          <w:lang w:val="en-US"/>
        </w:rPr>
        <w:t xml:space="preserve"> the academic literature on</w:t>
      </w:r>
      <w:r w:rsidR="00BF7A72">
        <w:rPr>
          <w:rFonts w:ascii="Times New Roman" w:hAnsi="Times New Roman" w:cs="Times New Roman"/>
          <w:sz w:val="24"/>
          <w:szCs w:val="24"/>
          <w:lang w:val="en-US"/>
        </w:rPr>
        <w:t xml:space="preserve"> the post-GFC reform process that may assist in designing effective frameworks for the Australian financial sector going forward.</w:t>
      </w:r>
    </w:p>
    <w:p w14:paraId="1D8DBE34" w14:textId="6AA1F25E" w:rsidR="005A7DAB" w:rsidRPr="00FC6034" w:rsidRDefault="00BF7A72"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do this the paper </w:t>
      </w:r>
      <w:r w:rsidR="00702C11">
        <w:rPr>
          <w:rFonts w:ascii="Times New Roman" w:hAnsi="Times New Roman" w:cs="Times New Roman"/>
          <w:sz w:val="24"/>
          <w:szCs w:val="24"/>
          <w:lang w:val="en-US"/>
        </w:rPr>
        <w:t>performs an analysis of the existing</w:t>
      </w:r>
      <w:r w:rsidR="000475EE">
        <w:rPr>
          <w:rFonts w:ascii="Times New Roman" w:hAnsi="Times New Roman" w:cs="Times New Roman"/>
          <w:sz w:val="24"/>
          <w:szCs w:val="24"/>
          <w:lang w:val="en-US"/>
        </w:rPr>
        <w:t xml:space="preserve"> literature on post-GFC regulatory reform</w:t>
      </w:r>
      <w:r w:rsidR="00F16BD1" w:rsidRPr="00FC6034">
        <w:rPr>
          <w:rFonts w:ascii="Times New Roman" w:hAnsi="Times New Roman" w:cs="Times New Roman"/>
          <w:sz w:val="24"/>
          <w:szCs w:val="24"/>
          <w:lang w:val="en-US"/>
        </w:rPr>
        <w:t>.</w:t>
      </w:r>
      <w:r w:rsidR="00B45298" w:rsidRPr="00FC6034">
        <w:rPr>
          <w:rFonts w:ascii="Times New Roman" w:hAnsi="Times New Roman" w:cs="Times New Roman"/>
          <w:sz w:val="24"/>
          <w:szCs w:val="24"/>
          <w:lang w:val="en-US"/>
        </w:rPr>
        <w:t xml:space="preserve">  </w:t>
      </w:r>
      <w:r w:rsidR="000475EE">
        <w:rPr>
          <w:rFonts w:ascii="Times New Roman" w:hAnsi="Times New Roman" w:cs="Times New Roman"/>
          <w:sz w:val="24"/>
          <w:szCs w:val="24"/>
          <w:lang w:val="en-US"/>
        </w:rPr>
        <w:t>These reforms have been very wide-ranging making it</w:t>
      </w:r>
      <w:r w:rsidR="00B45298" w:rsidRPr="00FC6034">
        <w:rPr>
          <w:rFonts w:ascii="Times New Roman" w:hAnsi="Times New Roman" w:cs="Times New Roman"/>
          <w:sz w:val="24"/>
          <w:szCs w:val="24"/>
          <w:lang w:val="en-US"/>
        </w:rPr>
        <w:t xml:space="preserve"> difficult to gain an overall picture of what </w:t>
      </w:r>
      <w:r w:rsidR="000475EE">
        <w:rPr>
          <w:rFonts w:ascii="Times New Roman" w:hAnsi="Times New Roman" w:cs="Times New Roman"/>
          <w:sz w:val="24"/>
          <w:szCs w:val="24"/>
          <w:lang w:val="en-US"/>
        </w:rPr>
        <w:t>has happened</w:t>
      </w:r>
      <w:r w:rsidR="00B45298" w:rsidRPr="00FC6034">
        <w:rPr>
          <w:rFonts w:ascii="Times New Roman" w:hAnsi="Times New Roman" w:cs="Times New Roman"/>
          <w:sz w:val="24"/>
          <w:szCs w:val="24"/>
          <w:lang w:val="en-US"/>
        </w:rPr>
        <w:t xml:space="preserve"> worldwide</w:t>
      </w:r>
      <w:r w:rsidR="009B1CF4" w:rsidRPr="00FC6034">
        <w:rPr>
          <w:rFonts w:ascii="Times New Roman" w:hAnsi="Times New Roman" w:cs="Times New Roman"/>
          <w:sz w:val="24"/>
          <w:szCs w:val="24"/>
          <w:lang w:val="en-US"/>
        </w:rPr>
        <w:t>,</w:t>
      </w:r>
      <w:r w:rsidR="00B45298" w:rsidRPr="00FC6034">
        <w:rPr>
          <w:rFonts w:ascii="Times New Roman" w:hAnsi="Times New Roman" w:cs="Times New Roman"/>
          <w:sz w:val="24"/>
          <w:szCs w:val="24"/>
          <w:lang w:val="en-US"/>
        </w:rPr>
        <w:t xml:space="preserve"> let alone to judge </w:t>
      </w:r>
      <w:r w:rsidR="000F0CC1">
        <w:rPr>
          <w:rFonts w:ascii="Times New Roman" w:hAnsi="Times New Roman" w:cs="Times New Roman"/>
          <w:sz w:val="24"/>
          <w:szCs w:val="24"/>
          <w:lang w:val="en-US"/>
        </w:rPr>
        <w:t>the overall effectiveness of reform efforts</w:t>
      </w:r>
      <w:r w:rsidR="000475EE">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
      </w:r>
      <w:r w:rsidR="00B45298" w:rsidRPr="00FC6034">
        <w:rPr>
          <w:rFonts w:ascii="Times New Roman" w:hAnsi="Times New Roman" w:cs="Times New Roman"/>
          <w:sz w:val="24"/>
          <w:szCs w:val="24"/>
          <w:lang w:val="en-US"/>
        </w:rPr>
        <w:t xml:space="preserve"> </w:t>
      </w:r>
      <w:r w:rsidR="000475EE">
        <w:rPr>
          <w:rFonts w:ascii="Times New Roman" w:hAnsi="Times New Roman" w:cs="Times New Roman"/>
          <w:sz w:val="24"/>
          <w:szCs w:val="24"/>
          <w:lang w:val="en-US"/>
        </w:rPr>
        <w:t xml:space="preserve"> This article uses a method known as</w:t>
      </w:r>
      <w:r w:rsidR="003D6078" w:rsidRPr="00FC6034">
        <w:rPr>
          <w:rFonts w:ascii="Times New Roman" w:hAnsi="Times New Roman" w:cs="Times New Roman"/>
          <w:sz w:val="24"/>
          <w:szCs w:val="24"/>
          <w:lang w:val="en-US"/>
        </w:rPr>
        <w:t xml:space="preserve"> systematic review </w:t>
      </w:r>
      <w:r w:rsidR="000475EE">
        <w:rPr>
          <w:rFonts w:ascii="Times New Roman" w:hAnsi="Times New Roman" w:cs="Times New Roman"/>
          <w:sz w:val="24"/>
          <w:szCs w:val="24"/>
          <w:lang w:val="en-US"/>
        </w:rPr>
        <w:t>to navigate the</w:t>
      </w:r>
      <w:r w:rsidR="003D6078" w:rsidRPr="00FC6034">
        <w:rPr>
          <w:rFonts w:ascii="Times New Roman" w:hAnsi="Times New Roman" w:cs="Times New Roman"/>
          <w:sz w:val="24"/>
          <w:szCs w:val="24"/>
          <w:lang w:val="en-US"/>
        </w:rPr>
        <w:t xml:space="preserve"> </w:t>
      </w:r>
      <w:r w:rsidR="000475EE">
        <w:rPr>
          <w:rFonts w:ascii="Times New Roman" w:hAnsi="Times New Roman" w:cs="Times New Roman"/>
          <w:sz w:val="24"/>
          <w:szCs w:val="24"/>
          <w:lang w:val="en-US"/>
        </w:rPr>
        <w:t>huge</w:t>
      </w:r>
      <w:r w:rsidR="003D6078" w:rsidRPr="00FC6034">
        <w:rPr>
          <w:rFonts w:ascii="Times New Roman" w:hAnsi="Times New Roman" w:cs="Times New Roman"/>
          <w:sz w:val="24"/>
          <w:szCs w:val="24"/>
          <w:lang w:val="en-US"/>
        </w:rPr>
        <w:t xml:space="preserve"> literature</w:t>
      </w:r>
      <w:r w:rsidR="000475EE">
        <w:rPr>
          <w:rFonts w:ascii="Times New Roman" w:hAnsi="Times New Roman" w:cs="Times New Roman"/>
          <w:sz w:val="24"/>
          <w:szCs w:val="24"/>
          <w:lang w:val="en-US"/>
        </w:rPr>
        <w:t xml:space="preserve"> on the GFC and to extract</w:t>
      </w:r>
      <w:r w:rsidR="003D6078" w:rsidRPr="00FC6034">
        <w:rPr>
          <w:rFonts w:ascii="Times New Roman" w:hAnsi="Times New Roman" w:cs="Times New Roman"/>
          <w:sz w:val="24"/>
          <w:szCs w:val="24"/>
          <w:lang w:val="en-US"/>
        </w:rPr>
        <w:t xml:space="preserve"> </w:t>
      </w:r>
      <w:r w:rsidR="000475EE">
        <w:rPr>
          <w:rFonts w:ascii="Times New Roman" w:hAnsi="Times New Roman" w:cs="Times New Roman"/>
          <w:sz w:val="24"/>
          <w:szCs w:val="24"/>
          <w:lang w:val="en-US"/>
        </w:rPr>
        <w:t>scholarly</w:t>
      </w:r>
      <w:r w:rsidR="00B2761B" w:rsidRPr="00FC6034">
        <w:rPr>
          <w:rFonts w:ascii="Times New Roman" w:hAnsi="Times New Roman" w:cs="Times New Roman"/>
          <w:sz w:val="24"/>
          <w:szCs w:val="24"/>
          <w:lang w:val="en-US"/>
        </w:rPr>
        <w:t xml:space="preserve"> </w:t>
      </w:r>
      <w:r w:rsidR="003D6078" w:rsidRPr="00FC6034">
        <w:rPr>
          <w:rFonts w:ascii="Times New Roman" w:hAnsi="Times New Roman" w:cs="Times New Roman"/>
          <w:sz w:val="24"/>
          <w:szCs w:val="24"/>
          <w:lang w:val="en-US"/>
        </w:rPr>
        <w:t xml:space="preserve">opinions on </w:t>
      </w:r>
      <w:r w:rsidR="000475EE">
        <w:rPr>
          <w:rFonts w:ascii="Times New Roman" w:hAnsi="Times New Roman" w:cs="Times New Roman"/>
          <w:sz w:val="24"/>
          <w:szCs w:val="24"/>
          <w:lang w:val="en-US"/>
        </w:rPr>
        <w:t>the effectiveness of</w:t>
      </w:r>
      <w:r w:rsidR="003D6078" w:rsidRPr="00FC6034">
        <w:rPr>
          <w:rFonts w:ascii="Times New Roman" w:hAnsi="Times New Roman" w:cs="Times New Roman"/>
          <w:sz w:val="24"/>
          <w:szCs w:val="24"/>
          <w:lang w:val="en-US"/>
        </w:rPr>
        <w:t xml:space="preserve"> </w:t>
      </w:r>
      <w:r w:rsidR="00B2761B" w:rsidRPr="00FC6034">
        <w:rPr>
          <w:rFonts w:ascii="Times New Roman" w:hAnsi="Times New Roman" w:cs="Times New Roman"/>
          <w:sz w:val="24"/>
          <w:szCs w:val="24"/>
          <w:lang w:val="en-US"/>
        </w:rPr>
        <w:t xml:space="preserve">regulatory </w:t>
      </w:r>
      <w:r w:rsidR="003D6078" w:rsidRPr="00FC6034">
        <w:rPr>
          <w:rFonts w:ascii="Times New Roman" w:hAnsi="Times New Roman" w:cs="Times New Roman"/>
          <w:sz w:val="24"/>
          <w:szCs w:val="24"/>
          <w:lang w:val="en-US"/>
        </w:rPr>
        <w:t xml:space="preserve">reforms, </w:t>
      </w:r>
      <w:r w:rsidR="00230C4F" w:rsidRPr="00FC6034">
        <w:rPr>
          <w:rFonts w:ascii="Times New Roman" w:hAnsi="Times New Roman" w:cs="Times New Roman"/>
          <w:sz w:val="24"/>
          <w:szCs w:val="24"/>
          <w:lang w:val="en-US"/>
        </w:rPr>
        <w:t xml:space="preserve">the factors that may hinder their success, and any ideas for </w:t>
      </w:r>
      <w:r w:rsidR="003D6078" w:rsidRPr="00FC6034">
        <w:rPr>
          <w:rFonts w:ascii="Times New Roman" w:hAnsi="Times New Roman" w:cs="Times New Roman"/>
          <w:sz w:val="24"/>
          <w:szCs w:val="24"/>
          <w:lang w:val="en-US"/>
        </w:rPr>
        <w:t>improvement.</w:t>
      </w:r>
      <w:r w:rsidR="009A7799" w:rsidRPr="00FC6034">
        <w:rPr>
          <w:rFonts w:ascii="Times New Roman" w:hAnsi="Times New Roman" w:cs="Times New Roman"/>
          <w:sz w:val="24"/>
          <w:szCs w:val="24"/>
          <w:lang w:val="en-US"/>
        </w:rPr>
        <w:t xml:space="preserve"> </w:t>
      </w:r>
      <w:r w:rsidR="000F0CC1">
        <w:rPr>
          <w:rFonts w:ascii="Times New Roman" w:hAnsi="Times New Roman" w:cs="Times New Roman"/>
          <w:sz w:val="24"/>
          <w:szCs w:val="24"/>
          <w:lang w:val="en-US"/>
        </w:rPr>
        <w:t xml:space="preserve"> </w:t>
      </w:r>
      <w:r w:rsidR="00EA73BC" w:rsidRPr="00FC6034">
        <w:rPr>
          <w:rFonts w:ascii="Times New Roman" w:hAnsi="Times New Roman" w:cs="Times New Roman"/>
          <w:sz w:val="24"/>
          <w:szCs w:val="24"/>
          <w:lang w:val="en-US"/>
        </w:rPr>
        <w:t xml:space="preserve">By collating work from different disciplines and geographies the paper </w:t>
      </w:r>
      <w:r w:rsidR="00BD5D02" w:rsidRPr="00FC6034">
        <w:rPr>
          <w:rFonts w:ascii="Times New Roman" w:hAnsi="Times New Roman" w:cs="Times New Roman"/>
          <w:sz w:val="24"/>
          <w:szCs w:val="24"/>
          <w:lang w:val="en-US"/>
        </w:rPr>
        <w:t>draws</w:t>
      </w:r>
      <w:r w:rsidR="0076166F" w:rsidRPr="00FC6034">
        <w:rPr>
          <w:rFonts w:ascii="Times New Roman" w:hAnsi="Times New Roman" w:cs="Times New Roman"/>
          <w:sz w:val="24"/>
          <w:szCs w:val="24"/>
          <w:lang w:val="en-US"/>
        </w:rPr>
        <w:t xml:space="preserve"> out both theoretical and practical</w:t>
      </w:r>
      <w:r w:rsidR="00AD5439" w:rsidRPr="00FC6034">
        <w:rPr>
          <w:rFonts w:ascii="Times New Roman" w:hAnsi="Times New Roman" w:cs="Times New Roman"/>
          <w:sz w:val="24"/>
          <w:szCs w:val="24"/>
          <w:lang w:val="en-US"/>
        </w:rPr>
        <w:t xml:space="preserve"> themes </w:t>
      </w:r>
      <w:r w:rsidR="0076166F" w:rsidRPr="00FC6034">
        <w:rPr>
          <w:rFonts w:ascii="Times New Roman" w:hAnsi="Times New Roman" w:cs="Times New Roman"/>
          <w:sz w:val="24"/>
          <w:szCs w:val="24"/>
          <w:lang w:val="en-US"/>
        </w:rPr>
        <w:t>relevant to regulatory effectiveness</w:t>
      </w:r>
      <w:r w:rsidR="00F675A9">
        <w:rPr>
          <w:rFonts w:ascii="Times New Roman" w:hAnsi="Times New Roman" w:cs="Times New Roman"/>
          <w:sz w:val="24"/>
          <w:szCs w:val="24"/>
          <w:lang w:val="en-US"/>
        </w:rPr>
        <w:t xml:space="preserve"> in the finance sector</w:t>
      </w:r>
      <w:r w:rsidR="008D44AD">
        <w:rPr>
          <w:rFonts w:ascii="Times New Roman" w:hAnsi="Times New Roman" w:cs="Times New Roman"/>
          <w:sz w:val="24"/>
          <w:szCs w:val="24"/>
          <w:lang w:val="en-US"/>
        </w:rPr>
        <w:t>.  It</w:t>
      </w:r>
      <w:r w:rsidR="005A7DAB" w:rsidRPr="00FC6034">
        <w:rPr>
          <w:rFonts w:ascii="Times New Roman" w:hAnsi="Times New Roman" w:cs="Times New Roman"/>
          <w:sz w:val="24"/>
          <w:szCs w:val="24"/>
          <w:lang w:val="en-US"/>
        </w:rPr>
        <w:t xml:space="preserve"> </w:t>
      </w:r>
      <w:r w:rsidR="00CD0FFA">
        <w:rPr>
          <w:rFonts w:ascii="Times New Roman" w:hAnsi="Times New Roman" w:cs="Times New Roman"/>
          <w:sz w:val="24"/>
          <w:szCs w:val="24"/>
          <w:lang w:val="en-US"/>
        </w:rPr>
        <w:t xml:space="preserve">identifies learnings that may be helpful in developing </w:t>
      </w:r>
      <w:r w:rsidR="00262951">
        <w:rPr>
          <w:rFonts w:ascii="Times New Roman" w:hAnsi="Times New Roman" w:cs="Times New Roman"/>
          <w:sz w:val="24"/>
          <w:szCs w:val="24"/>
          <w:lang w:val="en-US"/>
        </w:rPr>
        <w:t>regulatory</w:t>
      </w:r>
      <w:r w:rsidR="00CD0FFA">
        <w:rPr>
          <w:rFonts w:ascii="Times New Roman" w:hAnsi="Times New Roman" w:cs="Times New Roman"/>
          <w:sz w:val="24"/>
          <w:szCs w:val="24"/>
          <w:lang w:val="en-US"/>
        </w:rPr>
        <w:t xml:space="preserve"> frameworks in the future</w:t>
      </w:r>
      <w:r w:rsidR="00FA3362">
        <w:rPr>
          <w:rFonts w:ascii="Times New Roman" w:hAnsi="Times New Roman" w:cs="Times New Roman"/>
          <w:sz w:val="24"/>
          <w:szCs w:val="24"/>
          <w:lang w:val="en-US"/>
        </w:rPr>
        <w:t>,</w:t>
      </w:r>
      <w:r w:rsidR="00262951">
        <w:rPr>
          <w:rFonts w:ascii="Times New Roman" w:hAnsi="Times New Roman" w:cs="Times New Roman"/>
          <w:sz w:val="24"/>
          <w:szCs w:val="24"/>
          <w:lang w:val="en-US"/>
        </w:rPr>
        <w:t xml:space="preserve"> both in Australia and elsewhere</w:t>
      </w:r>
      <w:r w:rsidR="0076166F" w:rsidRPr="00FC6034">
        <w:rPr>
          <w:rFonts w:ascii="Times New Roman" w:hAnsi="Times New Roman" w:cs="Times New Roman"/>
          <w:sz w:val="24"/>
          <w:szCs w:val="24"/>
          <w:lang w:val="en-US"/>
        </w:rPr>
        <w:t xml:space="preserve">.  </w:t>
      </w:r>
      <w:r w:rsidR="00262951">
        <w:rPr>
          <w:rFonts w:ascii="Times New Roman" w:hAnsi="Times New Roman" w:cs="Times New Roman"/>
          <w:sz w:val="24"/>
          <w:szCs w:val="24"/>
          <w:lang w:val="en-US"/>
        </w:rPr>
        <w:t>B</w:t>
      </w:r>
      <w:r w:rsidR="009A7799" w:rsidRPr="00FC6034">
        <w:rPr>
          <w:rFonts w:ascii="Times New Roman" w:hAnsi="Times New Roman" w:cs="Times New Roman"/>
          <w:sz w:val="24"/>
          <w:szCs w:val="24"/>
          <w:lang w:val="en-US"/>
        </w:rPr>
        <w:t>y bringing these ideas together in one place</w:t>
      </w:r>
      <w:r w:rsidR="00CD0FFA">
        <w:rPr>
          <w:rFonts w:ascii="Times New Roman" w:hAnsi="Times New Roman" w:cs="Times New Roman"/>
          <w:sz w:val="24"/>
          <w:szCs w:val="24"/>
          <w:lang w:val="en-US"/>
        </w:rPr>
        <w:t>,</w:t>
      </w:r>
      <w:r w:rsidR="009A7799" w:rsidRPr="00FC6034">
        <w:rPr>
          <w:rFonts w:ascii="Times New Roman" w:hAnsi="Times New Roman" w:cs="Times New Roman"/>
          <w:sz w:val="24"/>
          <w:szCs w:val="24"/>
          <w:lang w:val="en-US"/>
        </w:rPr>
        <w:t xml:space="preserve"> this review paper </w:t>
      </w:r>
      <w:r w:rsidR="00740E60" w:rsidRPr="00FC6034">
        <w:rPr>
          <w:rFonts w:ascii="Times New Roman" w:hAnsi="Times New Roman" w:cs="Times New Roman"/>
          <w:sz w:val="24"/>
          <w:szCs w:val="24"/>
          <w:lang w:val="en-US"/>
        </w:rPr>
        <w:t>aims to</w:t>
      </w:r>
      <w:r w:rsidR="009A7799" w:rsidRPr="00FC6034">
        <w:rPr>
          <w:rFonts w:ascii="Times New Roman" w:hAnsi="Times New Roman" w:cs="Times New Roman"/>
          <w:sz w:val="24"/>
          <w:szCs w:val="24"/>
          <w:lang w:val="en-US"/>
        </w:rPr>
        <w:t xml:space="preserve"> make it easier for academic </w:t>
      </w:r>
      <w:r w:rsidR="00D51A82" w:rsidRPr="00FC6034">
        <w:rPr>
          <w:rFonts w:ascii="Times New Roman" w:hAnsi="Times New Roman" w:cs="Times New Roman"/>
          <w:sz w:val="24"/>
          <w:szCs w:val="24"/>
          <w:lang w:val="en-US"/>
        </w:rPr>
        <w:t>research</w:t>
      </w:r>
      <w:r w:rsidR="009A7799" w:rsidRPr="00FC6034">
        <w:rPr>
          <w:rFonts w:ascii="Times New Roman" w:hAnsi="Times New Roman" w:cs="Times New Roman"/>
          <w:sz w:val="24"/>
          <w:szCs w:val="24"/>
          <w:lang w:val="en-US"/>
        </w:rPr>
        <w:t xml:space="preserve"> to influence </w:t>
      </w:r>
      <w:r w:rsidR="00D51A82" w:rsidRPr="00FC6034">
        <w:rPr>
          <w:rFonts w:ascii="Times New Roman" w:hAnsi="Times New Roman" w:cs="Times New Roman"/>
          <w:sz w:val="24"/>
          <w:szCs w:val="24"/>
          <w:lang w:val="en-US"/>
        </w:rPr>
        <w:t>policy d</w:t>
      </w:r>
      <w:r w:rsidR="0052366E" w:rsidRPr="00FC6034">
        <w:rPr>
          <w:rFonts w:ascii="Times New Roman" w:hAnsi="Times New Roman" w:cs="Times New Roman"/>
          <w:sz w:val="24"/>
          <w:szCs w:val="24"/>
          <w:lang w:val="en-US"/>
        </w:rPr>
        <w:t>ebates</w:t>
      </w:r>
      <w:r w:rsidR="00CD0FFA">
        <w:rPr>
          <w:rFonts w:ascii="Times New Roman" w:hAnsi="Times New Roman" w:cs="Times New Roman"/>
          <w:sz w:val="24"/>
          <w:szCs w:val="24"/>
          <w:lang w:val="en-US"/>
        </w:rPr>
        <w:t xml:space="preserve"> in the area of financial regulation</w:t>
      </w:r>
      <w:r w:rsidR="0052366E" w:rsidRPr="00FC6034">
        <w:rPr>
          <w:rFonts w:ascii="Times New Roman" w:hAnsi="Times New Roman" w:cs="Times New Roman"/>
          <w:sz w:val="24"/>
          <w:szCs w:val="24"/>
          <w:lang w:val="en-US"/>
        </w:rPr>
        <w:t xml:space="preserve">.  </w:t>
      </w:r>
    </w:p>
    <w:p w14:paraId="3EC43AC4" w14:textId="452A1368" w:rsidR="008A3793" w:rsidRDefault="006047BA"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In terms of theoretical perspective, the</w:t>
      </w:r>
      <w:r w:rsidR="00230C4F" w:rsidRPr="00FC6034">
        <w:rPr>
          <w:rFonts w:ascii="Times New Roman" w:hAnsi="Times New Roman" w:cs="Times New Roman"/>
          <w:sz w:val="24"/>
          <w:szCs w:val="24"/>
          <w:lang w:val="en-US"/>
        </w:rPr>
        <w:t xml:space="preserve"> research is driven by a desire to better understand the conditions necessary for </w:t>
      </w:r>
      <w:r w:rsidR="00EA73BC" w:rsidRPr="00FC6034">
        <w:rPr>
          <w:rFonts w:ascii="Times New Roman" w:hAnsi="Times New Roman" w:cs="Times New Roman"/>
          <w:sz w:val="24"/>
          <w:szCs w:val="24"/>
          <w:lang w:val="en-US"/>
        </w:rPr>
        <w:t>modern styles of</w:t>
      </w:r>
      <w:r w:rsidR="00230C4F" w:rsidRPr="00FC6034">
        <w:rPr>
          <w:rFonts w:ascii="Times New Roman" w:hAnsi="Times New Roman" w:cs="Times New Roman"/>
          <w:sz w:val="24"/>
          <w:szCs w:val="24"/>
          <w:lang w:val="en-US"/>
        </w:rPr>
        <w:t xml:space="preserve"> regulation to work</w:t>
      </w:r>
      <w:r w:rsidR="00043BD8" w:rsidRPr="00FC6034">
        <w:rPr>
          <w:rFonts w:ascii="Times New Roman" w:hAnsi="Times New Roman" w:cs="Times New Roman"/>
          <w:sz w:val="24"/>
          <w:szCs w:val="24"/>
          <w:lang w:val="en-US"/>
        </w:rPr>
        <w:t xml:space="preserve"> effectively</w:t>
      </w:r>
      <w:r w:rsidR="00230C4F" w:rsidRPr="00FC6034">
        <w:rPr>
          <w:rFonts w:ascii="Times New Roman" w:hAnsi="Times New Roman" w:cs="Times New Roman"/>
          <w:sz w:val="24"/>
          <w:szCs w:val="24"/>
          <w:lang w:val="en-US"/>
        </w:rPr>
        <w:t xml:space="preserve">.  </w:t>
      </w:r>
      <w:r w:rsidR="005E6253" w:rsidRPr="00FC6034">
        <w:rPr>
          <w:rFonts w:ascii="Times New Roman" w:hAnsi="Times New Roman" w:cs="Times New Roman"/>
          <w:sz w:val="24"/>
          <w:szCs w:val="24"/>
          <w:lang w:val="en-US"/>
        </w:rPr>
        <w:t>The n</w:t>
      </w:r>
      <w:r w:rsidR="001A3131" w:rsidRPr="00FC6034">
        <w:rPr>
          <w:rFonts w:ascii="Times New Roman" w:hAnsi="Times New Roman" w:cs="Times New Roman"/>
          <w:sz w:val="24"/>
          <w:szCs w:val="24"/>
          <w:lang w:val="en-US"/>
        </w:rPr>
        <w:t>omenclature</w:t>
      </w:r>
      <w:r w:rsidR="005E6253" w:rsidRPr="00FC6034">
        <w:rPr>
          <w:rFonts w:ascii="Times New Roman" w:hAnsi="Times New Roman" w:cs="Times New Roman"/>
          <w:sz w:val="24"/>
          <w:szCs w:val="24"/>
          <w:lang w:val="en-US"/>
        </w:rPr>
        <w:t xml:space="preserve"> surrounding </w:t>
      </w:r>
      <w:r w:rsidR="008A3793">
        <w:rPr>
          <w:rFonts w:ascii="Times New Roman" w:hAnsi="Times New Roman" w:cs="Times New Roman"/>
          <w:sz w:val="24"/>
          <w:szCs w:val="24"/>
          <w:lang w:val="en-US"/>
        </w:rPr>
        <w:t>contemporary</w:t>
      </w:r>
      <w:r w:rsidR="005E6253" w:rsidRPr="00FC6034">
        <w:rPr>
          <w:rFonts w:ascii="Times New Roman" w:hAnsi="Times New Roman" w:cs="Times New Roman"/>
          <w:sz w:val="24"/>
          <w:szCs w:val="24"/>
          <w:lang w:val="en-US"/>
        </w:rPr>
        <w:t xml:space="preserve"> regulation is unsettled however most non-traditional techniq</w:t>
      </w:r>
      <w:r w:rsidR="0030490F">
        <w:rPr>
          <w:rFonts w:ascii="Times New Roman" w:hAnsi="Times New Roman" w:cs="Times New Roman"/>
          <w:sz w:val="24"/>
          <w:szCs w:val="24"/>
          <w:lang w:val="en-US"/>
        </w:rPr>
        <w:t>ues would fall within the term “</w:t>
      </w:r>
      <w:r w:rsidR="005E6253" w:rsidRPr="00FC6034">
        <w:rPr>
          <w:rFonts w:ascii="Times New Roman" w:hAnsi="Times New Roman" w:cs="Times New Roman"/>
          <w:sz w:val="24"/>
          <w:szCs w:val="24"/>
          <w:lang w:val="en-US"/>
        </w:rPr>
        <w:t>ne</w:t>
      </w:r>
      <w:r w:rsidR="0030490F">
        <w:rPr>
          <w:rFonts w:ascii="Times New Roman" w:hAnsi="Times New Roman" w:cs="Times New Roman"/>
          <w:sz w:val="24"/>
          <w:szCs w:val="24"/>
          <w:lang w:val="en-US"/>
        </w:rPr>
        <w:t>w governance”</w:t>
      </w:r>
      <w:r w:rsidR="00F675A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5"/>
      </w:r>
      <w:r w:rsidR="005E6253" w:rsidRPr="00FC6034">
        <w:rPr>
          <w:rFonts w:ascii="Times New Roman" w:hAnsi="Times New Roman" w:cs="Times New Roman"/>
          <w:sz w:val="24"/>
          <w:szCs w:val="24"/>
          <w:lang w:val="en-US"/>
        </w:rPr>
        <w:t xml:space="preserve"> </w:t>
      </w:r>
      <w:r w:rsidR="001A3131" w:rsidRPr="00FC6034">
        <w:rPr>
          <w:rFonts w:ascii="Times New Roman" w:hAnsi="Times New Roman" w:cs="Times New Roman"/>
          <w:sz w:val="24"/>
          <w:szCs w:val="24"/>
          <w:lang w:val="en-US"/>
        </w:rPr>
        <w:t xml:space="preserve"> </w:t>
      </w:r>
      <w:r w:rsidR="002264D7" w:rsidRPr="00FC6034">
        <w:rPr>
          <w:rFonts w:ascii="Times New Roman" w:hAnsi="Times New Roman" w:cs="Times New Roman"/>
          <w:sz w:val="24"/>
          <w:szCs w:val="24"/>
          <w:lang w:val="en-US"/>
        </w:rPr>
        <w:t xml:space="preserve">Johnson describes new governance as an </w:t>
      </w:r>
      <w:r w:rsidR="002264D7" w:rsidRPr="00FC6034">
        <w:rPr>
          <w:rFonts w:ascii="Times New Roman" w:hAnsi="Times New Roman" w:cs="Times New Roman"/>
          <w:sz w:val="24"/>
          <w:szCs w:val="24"/>
          <w:lang w:val="en-US"/>
        </w:rPr>
        <w:lastRenderedPageBreak/>
        <w:t xml:space="preserve">examination of </w:t>
      </w:r>
      <w:r w:rsidR="002264D7">
        <w:rPr>
          <w:rFonts w:ascii="Times New Roman" w:hAnsi="Times New Roman" w:cs="Times New Roman"/>
          <w:sz w:val="24"/>
          <w:szCs w:val="24"/>
          <w:lang w:val="en-US"/>
        </w:rPr>
        <w:t>“</w:t>
      </w:r>
      <w:r w:rsidR="002264D7" w:rsidRPr="00FC6034">
        <w:rPr>
          <w:rFonts w:ascii="Times New Roman" w:hAnsi="Times New Roman" w:cs="Times New Roman"/>
          <w:sz w:val="24"/>
          <w:szCs w:val="24"/>
          <w:lang w:val="en-US"/>
        </w:rPr>
        <w:t>the contours of the theory of self-regulation</w:t>
      </w:r>
      <w:r w:rsidR="002264D7">
        <w:rPr>
          <w:rFonts w:ascii="Times New Roman" w:hAnsi="Times New Roman" w:cs="Times New Roman"/>
          <w:sz w:val="24"/>
          <w:szCs w:val="24"/>
          <w:lang w:val="en-US"/>
        </w:rPr>
        <w:t>”</w:t>
      </w:r>
      <w:r w:rsidR="00EA5774">
        <w:rPr>
          <w:rFonts w:ascii="Times New Roman" w:hAnsi="Times New Roman" w:cs="Times New Roman"/>
          <w:sz w:val="24"/>
          <w:szCs w:val="24"/>
          <w:lang w:val="en-US"/>
        </w:rPr>
        <w:t>.</w:t>
      </w:r>
      <w:r w:rsidR="002264D7">
        <w:rPr>
          <w:rStyle w:val="FootnoteReference"/>
          <w:rFonts w:ascii="Times New Roman" w:hAnsi="Times New Roman" w:cs="Times New Roman"/>
          <w:sz w:val="24"/>
          <w:szCs w:val="24"/>
          <w:lang w:val="en-US"/>
        </w:rPr>
        <w:footnoteReference w:id="6"/>
      </w:r>
      <w:r w:rsidR="002264D7" w:rsidRPr="00FC6034">
        <w:rPr>
          <w:rFonts w:ascii="Times New Roman" w:hAnsi="Times New Roman" w:cs="Times New Roman"/>
          <w:sz w:val="24"/>
          <w:szCs w:val="24"/>
          <w:lang w:val="en-US"/>
        </w:rPr>
        <w:t xml:space="preserve">  </w:t>
      </w:r>
      <w:r w:rsidR="002264D7">
        <w:rPr>
          <w:rFonts w:ascii="Times New Roman" w:hAnsi="Times New Roman" w:cs="Times New Roman"/>
          <w:sz w:val="24"/>
          <w:szCs w:val="24"/>
          <w:lang w:val="en-US"/>
        </w:rPr>
        <w:t>T</w:t>
      </w:r>
      <w:r w:rsidR="002264D7" w:rsidRPr="00FC6034">
        <w:rPr>
          <w:rFonts w:ascii="Times New Roman" w:hAnsi="Times New Roman" w:cs="Times New Roman"/>
          <w:sz w:val="24"/>
          <w:szCs w:val="24"/>
          <w:lang w:val="en-US"/>
        </w:rPr>
        <w:t xml:space="preserve">heorists are </w:t>
      </w:r>
      <w:r w:rsidR="002264D7">
        <w:rPr>
          <w:rFonts w:ascii="Times New Roman" w:hAnsi="Times New Roman" w:cs="Times New Roman"/>
          <w:sz w:val="24"/>
          <w:szCs w:val="24"/>
          <w:lang w:val="en-US"/>
        </w:rPr>
        <w:t>trying to explain the</w:t>
      </w:r>
      <w:r w:rsidR="002264D7" w:rsidRPr="00FC6034">
        <w:rPr>
          <w:rFonts w:ascii="Times New Roman" w:hAnsi="Times New Roman" w:cs="Times New Roman"/>
          <w:sz w:val="24"/>
          <w:szCs w:val="24"/>
          <w:lang w:val="en-US"/>
        </w:rPr>
        <w:t xml:space="preserve"> increasingly wide range of </w:t>
      </w:r>
      <w:r w:rsidR="008A3793">
        <w:rPr>
          <w:rFonts w:ascii="Times New Roman" w:hAnsi="Times New Roman" w:cs="Times New Roman"/>
          <w:sz w:val="24"/>
          <w:szCs w:val="24"/>
          <w:lang w:val="en-US"/>
        </w:rPr>
        <w:t xml:space="preserve">modern </w:t>
      </w:r>
      <w:r w:rsidR="002264D7" w:rsidRPr="00FC6034">
        <w:rPr>
          <w:rFonts w:ascii="Times New Roman" w:hAnsi="Times New Roman" w:cs="Times New Roman"/>
          <w:sz w:val="24"/>
          <w:szCs w:val="24"/>
          <w:lang w:val="en-US"/>
        </w:rPr>
        <w:t>regulatory systems using labels s</w:t>
      </w:r>
      <w:r w:rsidR="002264D7">
        <w:rPr>
          <w:rFonts w:ascii="Times New Roman" w:hAnsi="Times New Roman" w:cs="Times New Roman"/>
          <w:sz w:val="24"/>
          <w:szCs w:val="24"/>
          <w:lang w:val="en-US"/>
        </w:rPr>
        <w:t>uch as process-based regulation</w:t>
      </w:r>
      <w:r w:rsidR="002264D7">
        <w:rPr>
          <w:rStyle w:val="FootnoteReference"/>
          <w:rFonts w:ascii="Times New Roman" w:hAnsi="Times New Roman" w:cs="Times New Roman"/>
          <w:sz w:val="24"/>
          <w:szCs w:val="24"/>
          <w:lang w:val="en-US"/>
        </w:rPr>
        <w:footnoteReference w:id="7"/>
      </w:r>
      <w:r w:rsidR="002264D7" w:rsidRPr="00FC6034">
        <w:rPr>
          <w:rFonts w:ascii="Times New Roman" w:hAnsi="Times New Roman" w:cs="Times New Roman"/>
          <w:sz w:val="24"/>
          <w:szCs w:val="24"/>
          <w:lang w:val="en-US"/>
        </w:rPr>
        <w:t>; meta-regulation</w:t>
      </w:r>
      <w:r w:rsidR="002264D7">
        <w:rPr>
          <w:rFonts w:ascii="Times New Roman" w:hAnsi="Times New Roman" w:cs="Times New Roman"/>
          <w:sz w:val="24"/>
          <w:szCs w:val="24"/>
          <w:lang w:val="en-US"/>
        </w:rPr>
        <w:t>,</w:t>
      </w:r>
      <w:r w:rsidR="002264D7">
        <w:rPr>
          <w:rStyle w:val="FootnoteReference"/>
          <w:rFonts w:ascii="Times New Roman" w:hAnsi="Times New Roman" w:cs="Times New Roman"/>
          <w:sz w:val="24"/>
          <w:szCs w:val="24"/>
          <w:lang w:val="en-US"/>
        </w:rPr>
        <w:footnoteReference w:id="8"/>
      </w:r>
      <w:r w:rsidR="002264D7">
        <w:rPr>
          <w:rFonts w:ascii="Times New Roman" w:hAnsi="Times New Roman" w:cs="Times New Roman"/>
          <w:sz w:val="24"/>
          <w:szCs w:val="24"/>
          <w:lang w:val="en-US"/>
        </w:rPr>
        <w:t xml:space="preserve"> management-based regulation,</w:t>
      </w:r>
      <w:r w:rsidR="002264D7">
        <w:rPr>
          <w:rStyle w:val="FootnoteReference"/>
          <w:rFonts w:ascii="Times New Roman" w:hAnsi="Times New Roman" w:cs="Times New Roman"/>
          <w:sz w:val="24"/>
          <w:szCs w:val="24"/>
          <w:lang w:val="en-US"/>
        </w:rPr>
        <w:footnoteReference w:id="9"/>
      </w:r>
      <w:r w:rsidR="002264D7" w:rsidRPr="00FC6034">
        <w:rPr>
          <w:rFonts w:ascii="Times New Roman" w:hAnsi="Times New Roman" w:cs="Times New Roman"/>
          <w:sz w:val="24"/>
          <w:szCs w:val="24"/>
          <w:lang w:val="en-US"/>
        </w:rPr>
        <w:t xml:space="preserve"> as well as the widest term</w:t>
      </w:r>
      <w:r w:rsidR="002264D7">
        <w:rPr>
          <w:rFonts w:ascii="Times New Roman" w:hAnsi="Times New Roman" w:cs="Times New Roman"/>
          <w:sz w:val="24"/>
          <w:szCs w:val="24"/>
          <w:lang w:val="en-US"/>
        </w:rPr>
        <w:t>, new governance.</w:t>
      </w:r>
      <w:r w:rsidR="002264D7">
        <w:rPr>
          <w:rStyle w:val="FootnoteReference"/>
          <w:rFonts w:ascii="Times New Roman" w:hAnsi="Times New Roman" w:cs="Times New Roman"/>
          <w:sz w:val="24"/>
          <w:szCs w:val="24"/>
          <w:lang w:val="en-US"/>
        </w:rPr>
        <w:footnoteReference w:id="10"/>
      </w:r>
      <w:r w:rsidR="002264D7" w:rsidRPr="00FC6034">
        <w:rPr>
          <w:rFonts w:ascii="Times New Roman" w:hAnsi="Times New Roman" w:cs="Times New Roman"/>
          <w:sz w:val="24"/>
          <w:szCs w:val="24"/>
          <w:lang w:val="en-US"/>
        </w:rPr>
        <w:t xml:space="preserve">  </w:t>
      </w:r>
      <w:r w:rsidR="005E6253" w:rsidRPr="00FC6034">
        <w:rPr>
          <w:rFonts w:ascii="Times New Roman" w:hAnsi="Times New Roman" w:cs="Times New Roman"/>
          <w:sz w:val="24"/>
          <w:szCs w:val="24"/>
          <w:lang w:val="en-US"/>
        </w:rPr>
        <w:t xml:space="preserve">New governance has been seen to have great potential in fast-moving </w:t>
      </w:r>
      <w:r w:rsidR="00F675A9">
        <w:rPr>
          <w:rFonts w:ascii="Times New Roman" w:hAnsi="Times New Roman" w:cs="Times New Roman"/>
          <w:sz w:val="24"/>
          <w:szCs w:val="24"/>
          <w:lang w:val="en-US"/>
        </w:rPr>
        <w:t>areas such as financial markets</w:t>
      </w:r>
      <w:r w:rsidR="00BD663D">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1"/>
      </w:r>
      <w:r w:rsidR="00230C4F" w:rsidRPr="00FC6034">
        <w:rPr>
          <w:rFonts w:ascii="Times New Roman" w:hAnsi="Times New Roman" w:cs="Times New Roman"/>
          <w:sz w:val="24"/>
          <w:szCs w:val="24"/>
          <w:lang w:val="en-US"/>
        </w:rPr>
        <w:t xml:space="preserve"> </w:t>
      </w:r>
      <w:r w:rsidR="005E6253" w:rsidRPr="00FC6034">
        <w:rPr>
          <w:rFonts w:ascii="Times New Roman" w:hAnsi="Times New Roman" w:cs="Times New Roman"/>
          <w:sz w:val="24"/>
          <w:szCs w:val="24"/>
          <w:lang w:val="en-US"/>
        </w:rPr>
        <w:t xml:space="preserve"> </w:t>
      </w:r>
      <w:r w:rsidR="00230C4F" w:rsidRPr="00FC6034">
        <w:rPr>
          <w:rFonts w:ascii="Times New Roman" w:hAnsi="Times New Roman" w:cs="Times New Roman"/>
          <w:sz w:val="24"/>
          <w:szCs w:val="24"/>
          <w:lang w:val="en-US"/>
        </w:rPr>
        <w:t xml:space="preserve">Yet at the same time it has been heavily </w:t>
      </w:r>
      <w:r w:rsidR="0092507C">
        <w:rPr>
          <w:rFonts w:ascii="Times New Roman" w:hAnsi="Times New Roman" w:cs="Times New Roman"/>
          <w:sz w:val="24"/>
          <w:szCs w:val="24"/>
          <w:lang w:val="en-US"/>
        </w:rPr>
        <w:t>criticis</w:t>
      </w:r>
      <w:r w:rsidR="00322448" w:rsidRPr="00FC6034">
        <w:rPr>
          <w:rFonts w:ascii="Times New Roman" w:hAnsi="Times New Roman" w:cs="Times New Roman"/>
          <w:sz w:val="24"/>
          <w:szCs w:val="24"/>
          <w:lang w:val="en-US"/>
        </w:rPr>
        <w:t>ed</w:t>
      </w:r>
      <w:r w:rsidR="00230C4F" w:rsidRPr="00FC6034">
        <w:rPr>
          <w:rFonts w:ascii="Times New Roman" w:hAnsi="Times New Roman" w:cs="Times New Roman"/>
          <w:sz w:val="24"/>
          <w:szCs w:val="24"/>
          <w:lang w:val="en-US"/>
        </w:rPr>
        <w:t xml:space="preserve"> for failing to curb the </w:t>
      </w:r>
      <w:r w:rsidR="00322448" w:rsidRPr="00FC6034">
        <w:rPr>
          <w:rFonts w:ascii="Times New Roman" w:hAnsi="Times New Roman" w:cs="Times New Roman"/>
          <w:sz w:val="24"/>
          <w:szCs w:val="24"/>
          <w:lang w:val="en-US"/>
        </w:rPr>
        <w:t>behavio</w:t>
      </w:r>
      <w:r w:rsidR="00702C11">
        <w:rPr>
          <w:rFonts w:ascii="Times New Roman" w:hAnsi="Times New Roman" w:cs="Times New Roman"/>
          <w:sz w:val="24"/>
          <w:szCs w:val="24"/>
          <w:lang w:val="en-US"/>
        </w:rPr>
        <w:t>u</w:t>
      </w:r>
      <w:r w:rsidR="00322448" w:rsidRPr="00FC6034">
        <w:rPr>
          <w:rFonts w:ascii="Times New Roman" w:hAnsi="Times New Roman" w:cs="Times New Roman"/>
          <w:sz w:val="24"/>
          <w:szCs w:val="24"/>
          <w:lang w:val="en-US"/>
        </w:rPr>
        <w:t>rs</w:t>
      </w:r>
      <w:r w:rsidR="00230C4F" w:rsidRPr="00FC6034">
        <w:rPr>
          <w:rFonts w:ascii="Times New Roman" w:hAnsi="Times New Roman" w:cs="Times New Roman"/>
          <w:sz w:val="24"/>
          <w:szCs w:val="24"/>
          <w:lang w:val="en-US"/>
        </w:rPr>
        <w:t xml:space="preserve"> that led to the financial crisis</w:t>
      </w:r>
      <w:r w:rsidR="00BD663D">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2"/>
      </w:r>
      <w:r w:rsidR="00230C4F" w:rsidRPr="00FC6034">
        <w:rPr>
          <w:rFonts w:ascii="Times New Roman" w:hAnsi="Times New Roman" w:cs="Times New Roman"/>
          <w:sz w:val="24"/>
          <w:szCs w:val="24"/>
          <w:lang w:val="en-US"/>
        </w:rPr>
        <w:t xml:space="preserve">  </w:t>
      </w:r>
      <w:r w:rsidR="008A3793">
        <w:rPr>
          <w:rFonts w:ascii="Times New Roman" w:hAnsi="Times New Roman" w:cs="Times New Roman"/>
          <w:sz w:val="24"/>
          <w:szCs w:val="24"/>
          <w:lang w:val="en-US"/>
        </w:rPr>
        <w:t>This paper explores some of the challenges of these modern regulatory techniques</w:t>
      </w:r>
      <w:r w:rsidR="0001432F">
        <w:rPr>
          <w:rFonts w:ascii="Times New Roman" w:hAnsi="Times New Roman" w:cs="Times New Roman"/>
          <w:sz w:val="24"/>
          <w:szCs w:val="24"/>
          <w:lang w:val="en-US"/>
        </w:rPr>
        <w:t xml:space="preserve"> and how they might be </w:t>
      </w:r>
      <w:r w:rsidR="008D44AD">
        <w:rPr>
          <w:rFonts w:ascii="Times New Roman" w:hAnsi="Times New Roman" w:cs="Times New Roman"/>
          <w:sz w:val="24"/>
          <w:szCs w:val="24"/>
          <w:lang w:val="en-US"/>
        </w:rPr>
        <w:t xml:space="preserve">improved in the context of the finance sector. </w:t>
      </w:r>
    </w:p>
    <w:p w14:paraId="4DD6FACC" w14:textId="35F7BAF9" w:rsidR="00986F20" w:rsidRPr="00FC6034" w:rsidRDefault="00252FB0"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The</w:t>
      </w:r>
      <w:r w:rsidR="006B5246"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p</w:t>
      </w:r>
      <w:r w:rsidR="002663AB" w:rsidRPr="00FC6034">
        <w:rPr>
          <w:rFonts w:ascii="Times New Roman" w:hAnsi="Times New Roman" w:cs="Times New Roman"/>
          <w:sz w:val="24"/>
          <w:szCs w:val="24"/>
          <w:lang w:val="en-US"/>
        </w:rPr>
        <w:t xml:space="preserve">aper is structured as follows.  </w:t>
      </w:r>
      <w:r w:rsidR="0092507C">
        <w:rPr>
          <w:rFonts w:ascii="Times New Roman" w:hAnsi="Times New Roman" w:cs="Times New Roman"/>
          <w:sz w:val="24"/>
          <w:szCs w:val="24"/>
          <w:lang w:val="en-US"/>
        </w:rPr>
        <w:t>Part</w:t>
      </w:r>
      <w:r w:rsidR="006B5246" w:rsidRPr="00FC6034">
        <w:rPr>
          <w:rFonts w:ascii="Times New Roman" w:hAnsi="Times New Roman" w:cs="Times New Roman"/>
          <w:sz w:val="24"/>
          <w:szCs w:val="24"/>
          <w:lang w:val="en-US"/>
        </w:rPr>
        <w:t xml:space="preserve"> 2</w:t>
      </w:r>
      <w:r w:rsidR="002663AB" w:rsidRPr="00FC6034">
        <w:rPr>
          <w:rFonts w:ascii="Times New Roman" w:hAnsi="Times New Roman" w:cs="Times New Roman"/>
          <w:sz w:val="24"/>
          <w:szCs w:val="24"/>
          <w:lang w:val="en-US"/>
        </w:rPr>
        <w:t xml:space="preserve"> describes the methodology used to review and </w:t>
      </w:r>
      <w:r w:rsidR="0092507C">
        <w:rPr>
          <w:rFonts w:ascii="Times New Roman" w:hAnsi="Times New Roman" w:cs="Times New Roman"/>
          <w:sz w:val="24"/>
          <w:szCs w:val="24"/>
          <w:lang w:val="en-US"/>
        </w:rPr>
        <w:t>analys</w:t>
      </w:r>
      <w:r w:rsidR="00322448" w:rsidRPr="00FC6034">
        <w:rPr>
          <w:rFonts w:ascii="Times New Roman" w:hAnsi="Times New Roman" w:cs="Times New Roman"/>
          <w:sz w:val="24"/>
          <w:szCs w:val="24"/>
          <w:lang w:val="en-US"/>
        </w:rPr>
        <w:t>e</w:t>
      </w:r>
      <w:r w:rsidR="002663AB" w:rsidRPr="00FC6034">
        <w:rPr>
          <w:rFonts w:ascii="Times New Roman" w:hAnsi="Times New Roman" w:cs="Times New Roman"/>
          <w:sz w:val="24"/>
          <w:szCs w:val="24"/>
          <w:lang w:val="en-US"/>
        </w:rPr>
        <w:t xml:space="preserve"> </w:t>
      </w:r>
      <w:r w:rsidR="0001432F">
        <w:rPr>
          <w:rFonts w:ascii="Times New Roman" w:hAnsi="Times New Roman" w:cs="Times New Roman"/>
          <w:sz w:val="24"/>
          <w:szCs w:val="24"/>
          <w:lang w:val="en-US"/>
        </w:rPr>
        <w:t>the</w:t>
      </w:r>
      <w:r w:rsidR="002663AB" w:rsidRPr="00FC6034">
        <w:rPr>
          <w:rFonts w:ascii="Times New Roman" w:hAnsi="Times New Roman" w:cs="Times New Roman"/>
          <w:sz w:val="24"/>
          <w:szCs w:val="24"/>
          <w:lang w:val="en-US"/>
        </w:rPr>
        <w:t xml:space="preserve"> large body of literature</w:t>
      </w:r>
      <w:r w:rsidR="0001432F">
        <w:rPr>
          <w:rFonts w:ascii="Times New Roman" w:hAnsi="Times New Roman" w:cs="Times New Roman"/>
          <w:sz w:val="24"/>
          <w:szCs w:val="24"/>
          <w:lang w:val="en-US"/>
        </w:rPr>
        <w:t xml:space="preserve"> on post-GFC regulatory reform</w:t>
      </w:r>
      <w:r w:rsidR="002663AB" w:rsidRPr="00FC6034">
        <w:rPr>
          <w:rFonts w:ascii="Times New Roman" w:hAnsi="Times New Roman" w:cs="Times New Roman"/>
          <w:sz w:val="24"/>
          <w:szCs w:val="24"/>
          <w:lang w:val="en-US"/>
        </w:rPr>
        <w:t xml:space="preserve">.  </w:t>
      </w:r>
      <w:r w:rsidR="0092507C">
        <w:rPr>
          <w:rFonts w:ascii="Times New Roman" w:hAnsi="Times New Roman" w:cs="Times New Roman"/>
          <w:sz w:val="24"/>
          <w:szCs w:val="24"/>
          <w:lang w:val="en-US"/>
        </w:rPr>
        <w:t>Part</w:t>
      </w:r>
      <w:r w:rsidR="006B5246" w:rsidRPr="00FC6034">
        <w:rPr>
          <w:rFonts w:ascii="Times New Roman" w:hAnsi="Times New Roman" w:cs="Times New Roman"/>
          <w:sz w:val="24"/>
          <w:szCs w:val="24"/>
          <w:lang w:val="en-US"/>
        </w:rPr>
        <w:t xml:space="preserve"> 3</w:t>
      </w:r>
      <w:r w:rsidR="00043BD8" w:rsidRPr="00FC6034">
        <w:rPr>
          <w:rFonts w:ascii="Times New Roman" w:hAnsi="Times New Roman" w:cs="Times New Roman"/>
          <w:sz w:val="24"/>
          <w:szCs w:val="24"/>
          <w:lang w:val="en-US"/>
        </w:rPr>
        <w:t xml:space="preserve"> </w:t>
      </w:r>
      <w:r w:rsidR="005B343D">
        <w:rPr>
          <w:rFonts w:ascii="Times New Roman" w:hAnsi="Times New Roman" w:cs="Times New Roman"/>
          <w:sz w:val="24"/>
          <w:szCs w:val="24"/>
          <w:lang w:val="en-US"/>
        </w:rPr>
        <w:t>discusses the research findings which reveal that financial regulation faces challenges at three levels: (1) at a structural or architectural level in terms of who regulates what (2) at a processual level in terms of the style and mechanism of regulation;</w:t>
      </w:r>
      <w:r w:rsidR="005B343D" w:rsidRPr="00FC6034">
        <w:rPr>
          <w:rFonts w:ascii="Times New Roman" w:hAnsi="Times New Roman" w:cs="Times New Roman"/>
          <w:sz w:val="24"/>
          <w:szCs w:val="24"/>
          <w:lang w:val="en-US"/>
        </w:rPr>
        <w:t xml:space="preserve"> and</w:t>
      </w:r>
      <w:r w:rsidR="005B343D">
        <w:rPr>
          <w:rFonts w:ascii="Times New Roman" w:hAnsi="Times New Roman" w:cs="Times New Roman"/>
          <w:sz w:val="24"/>
          <w:szCs w:val="24"/>
          <w:lang w:val="en-US"/>
        </w:rPr>
        <w:t xml:space="preserve"> (3) at the level of regulatory </w:t>
      </w:r>
      <w:r w:rsidR="005B343D" w:rsidRPr="00FC6034">
        <w:rPr>
          <w:rFonts w:ascii="Times New Roman" w:hAnsi="Times New Roman" w:cs="Times New Roman"/>
          <w:sz w:val="24"/>
          <w:szCs w:val="24"/>
          <w:lang w:val="en-US"/>
        </w:rPr>
        <w:t>content</w:t>
      </w:r>
      <w:r w:rsidR="005B343D">
        <w:rPr>
          <w:rFonts w:ascii="Times New Roman" w:hAnsi="Times New Roman" w:cs="Times New Roman"/>
          <w:sz w:val="24"/>
          <w:szCs w:val="24"/>
          <w:lang w:val="en-US"/>
        </w:rPr>
        <w:t xml:space="preserve"> – the details of the rules or standards.</w:t>
      </w:r>
      <w:r w:rsidR="00A94609" w:rsidRPr="00FC6034">
        <w:rPr>
          <w:rFonts w:ascii="Times New Roman" w:hAnsi="Times New Roman" w:cs="Times New Roman"/>
          <w:sz w:val="24"/>
          <w:szCs w:val="24"/>
          <w:lang w:val="en-US"/>
        </w:rPr>
        <w:t xml:space="preserve"> </w:t>
      </w:r>
      <w:r w:rsidR="006B5246" w:rsidRPr="00FC6034">
        <w:rPr>
          <w:rFonts w:ascii="Times New Roman" w:hAnsi="Times New Roman" w:cs="Times New Roman"/>
          <w:sz w:val="24"/>
          <w:szCs w:val="24"/>
          <w:lang w:val="en-US"/>
        </w:rPr>
        <w:t xml:space="preserve"> </w:t>
      </w:r>
      <w:r w:rsidR="0092507C">
        <w:rPr>
          <w:rFonts w:ascii="Times New Roman" w:hAnsi="Times New Roman" w:cs="Times New Roman"/>
          <w:sz w:val="24"/>
          <w:szCs w:val="24"/>
          <w:lang w:val="en-US"/>
        </w:rPr>
        <w:t>Part</w:t>
      </w:r>
      <w:r w:rsidR="006B5246" w:rsidRPr="00FC6034">
        <w:rPr>
          <w:rFonts w:ascii="Times New Roman" w:hAnsi="Times New Roman" w:cs="Times New Roman"/>
          <w:sz w:val="24"/>
          <w:szCs w:val="24"/>
          <w:lang w:val="en-US"/>
        </w:rPr>
        <w:t xml:space="preserve"> 4</w:t>
      </w:r>
      <w:r w:rsidR="00A94609" w:rsidRPr="00FC6034">
        <w:rPr>
          <w:rFonts w:ascii="Times New Roman" w:hAnsi="Times New Roman" w:cs="Times New Roman"/>
          <w:sz w:val="24"/>
          <w:szCs w:val="24"/>
          <w:lang w:val="en-US"/>
        </w:rPr>
        <w:t xml:space="preserve"> </w:t>
      </w:r>
      <w:r w:rsidR="006B5246" w:rsidRPr="00FC6034">
        <w:rPr>
          <w:rFonts w:ascii="Times New Roman" w:hAnsi="Times New Roman" w:cs="Times New Roman"/>
          <w:sz w:val="24"/>
          <w:szCs w:val="24"/>
          <w:lang w:val="en-US"/>
        </w:rPr>
        <w:t>draws</w:t>
      </w:r>
      <w:r w:rsidR="00A94609" w:rsidRPr="00FC6034">
        <w:rPr>
          <w:rFonts w:ascii="Times New Roman" w:hAnsi="Times New Roman" w:cs="Times New Roman"/>
          <w:sz w:val="24"/>
          <w:szCs w:val="24"/>
          <w:lang w:val="en-US"/>
        </w:rPr>
        <w:t xml:space="preserve"> out higher level themes</w:t>
      </w:r>
      <w:r w:rsidR="0002341C" w:rsidRPr="00FC6034">
        <w:rPr>
          <w:rFonts w:ascii="Times New Roman" w:hAnsi="Times New Roman" w:cs="Times New Roman"/>
          <w:sz w:val="24"/>
          <w:szCs w:val="24"/>
          <w:lang w:val="en-US"/>
        </w:rPr>
        <w:t xml:space="preserve"> around the </w:t>
      </w:r>
      <w:r w:rsidR="00995EBE">
        <w:rPr>
          <w:rFonts w:ascii="Times New Roman" w:hAnsi="Times New Roman" w:cs="Times New Roman"/>
          <w:sz w:val="24"/>
          <w:szCs w:val="24"/>
          <w:lang w:val="en-US"/>
        </w:rPr>
        <w:t xml:space="preserve">factors that facilitate or hinder </w:t>
      </w:r>
      <w:r w:rsidR="0002341C" w:rsidRPr="00FC6034">
        <w:rPr>
          <w:rFonts w:ascii="Times New Roman" w:hAnsi="Times New Roman" w:cs="Times New Roman"/>
          <w:sz w:val="24"/>
          <w:szCs w:val="24"/>
          <w:lang w:val="en-US"/>
        </w:rPr>
        <w:t>effective financial regulation</w:t>
      </w:r>
      <w:r w:rsidR="0092507C">
        <w:rPr>
          <w:rFonts w:ascii="Times New Roman" w:hAnsi="Times New Roman" w:cs="Times New Roman"/>
          <w:sz w:val="24"/>
          <w:szCs w:val="24"/>
          <w:lang w:val="en-US"/>
        </w:rPr>
        <w:t xml:space="preserve">: power and politics; </w:t>
      </w:r>
      <w:r w:rsidR="00995EBE">
        <w:rPr>
          <w:rFonts w:ascii="Times New Roman" w:hAnsi="Times New Roman" w:cs="Times New Roman"/>
          <w:sz w:val="24"/>
          <w:szCs w:val="24"/>
          <w:lang w:val="en-US"/>
        </w:rPr>
        <w:t xml:space="preserve">blurred </w:t>
      </w:r>
      <w:r w:rsidR="0092507C">
        <w:rPr>
          <w:rFonts w:ascii="Times New Roman" w:hAnsi="Times New Roman" w:cs="Times New Roman"/>
          <w:sz w:val="24"/>
          <w:szCs w:val="24"/>
          <w:lang w:val="en-US"/>
        </w:rPr>
        <w:t xml:space="preserve">boundaries and; and assumptions </w:t>
      </w:r>
      <w:r w:rsidR="00995EBE">
        <w:rPr>
          <w:rFonts w:ascii="Times New Roman" w:hAnsi="Times New Roman" w:cs="Times New Roman"/>
          <w:sz w:val="24"/>
          <w:szCs w:val="24"/>
          <w:lang w:val="en-US"/>
        </w:rPr>
        <w:t>about</w:t>
      </w:r>
      <w:r w:rsidR="0092507C">
        <w:rPr>
          <w:rFonts w:ascii="Times New Roman" w:hAnsi="Times New Roman" w:cs="Times New Roman"/>
          <w:sz w:val="24"/>
          <w:szCs w:val="24"/>
          <w:lang w:val="en-US"/>
        </w:rPr>
        <w:t xml:space="preserve"> human behaviour</w:t>
      </w:r>
      <w:r w:rsidR="00A94609" w:rsidRPr="00FC6034">
        <w:rPr>
          <w:rFonts w:ascii="Times New Roman" w:hAnsi="Times New Roman" w:cs="Times New Roman"/>
          <w:sz w:val="24"/>
          <w:szCs w:val="24"/>
          <w:lang w:val="en-US"/>
        </w:rPr>
        <w:t>.</w:t>
      </w:r>
      <w:r w:rsidR="0002341C" w:rsidRPr="00FC6034">
        <w:rPr>
          <w:rFonts w:ascii="Times New Roman" w:hAnsi="Times New Roman" w:cs="Times New Roman"/>
          <w:sz w:val="24"/>
          <w:szCs w:val="24"/>
          <w:lang w:val="en-US"/>
        </w:rPr>
        <w:t xml:space="preserve">  </w:t>
      </w:r>
      <w:r w:rsidR="005C3244">
        <w:rPr>
          <w:rFonts w:ascii="Times New Roman" w:hAnsi="Times New Roman" w:cs="Times New Roman"/>
          <w:sz w:val="24"/>
          <w:szCs w:val="24"/>
          <w:lang w:val="en-US"/>
        </w:rPr>
        <w:t>Part 5</w:t>
      </w:r>
      <w:r w:rsidR="0002341C" w:rsidRPr="00FC6034">
        <w:rPr>
          <w:rFonts w:ascii="Times New Roman" w:hAnsi="Times New Roman" w:cs="Times New Roman"/>
          <w:sz w:val="24"/>
          <w:szCs w:val="24"/>
          <w:lang w:val="en-US"/>
        </w:rPr>
        <w:t xml:space="preserve"> concludes</w:t>
      </w:r>
      <w:r w:rsidR="006B5246" w:rsidRPr="00FC6034">
        <w:rPr>
          <w:rFonts w:ascii="Times New Roman" w:hAnsi="Times New Roman" w:cs="Times New Roman"/>
          <w:sz w:val="24"/>
          <w:szCs w:val="24"/>
          <w:lang w:val="en-US"/>
        </w:rPr>
        <w:t xml:space="preserve"> </w:t>
      </w:r>
      <w:r w:rsidR="005C3244">
        <w:rPr>
          <w:rFonts w:ascii="Times New Roman" w:hAnsi="Times New Roman" w:cs="Times New Roman"/>
          <w:sz w:val="24"/>
          <w:szCs w:val="24"/>
          <w:lang w:val="en-US"/>
        </w:rPr>
        <w:t xml:space="preserve">by discussing these findings in light of the recent Royal Commission in Australia in order to extract any learnings that might inform </w:t>
      </w:r>
      <w:r w:rsidR="008D44AD">
        <w:rPr>
          <w:rFonts w:ascii="Times New Roman" w:hAnsi="Times New Roman" w:cs="Times New Roman"/>
          <w:sz w:val="24"/>
          <w:szCs w:val="24"/>
          <w:lang w:val="en-US"/>
        </w:rPr>
        <w:t xml:space="preserve">future </w:t>
      </w:r>
      <w:r w:rsidR="005C3244">
        <w:rPr>
          <w:rFonts w:ascii="Times New Roman" w:hAnsi="Times New Roman" w:cs="Times New Roman"/>
          <w:sz w:val="24"/>
          <w:szCs w:val="24"/>
          <w:lang w:val="en-US"/>
        </w:rPr>
        <w:t xml:space="preserve">development of regulatory frameworks for </w:t>
      </w:r>
      <w:r w:rsidR="00C96489">
        <w:rPr>
          <w:rFonts w:ascii="Times New Roman" w:hAnsi="Times New Roman" w:cs="Times New Roman"/>
          <w:sz w:val="24"/>
          <w:szCs w:val="24"/>
          <w:lang w:val="en-US"/>
        </w:rPr>
        <w:t>the Australian</w:t>
      </w:r>
      <w:r w:rsidR="005C3244">
        <w:rPr>
          <w:rFonts w:ascii="Times New Roman" w:hAnsi="Times New Roman" w:cs="Times New Roman"/>
          <w:sz w:val="24"/>
          <w:szCs w:val="24"/>
          <w:lang w:val="en-US"/>
        </w:rPr>
        <w:t xml:space="preserve"> financial sector</w:t>
      </w:r>
      <w:r w:rsidR="0002341C" w:rsidRPr="00FC6034">
        <w:rPr>
          <w:rFonts w:ascii="Times New Roman" w:hAnsi="Times New Roman" w:cs="Times New Roman"/>
          <w:sz w:val="24"/>
          <w:szCs w:val="24"/>
          <w:lang w:val="en-US"/>
        </w:rPr>
        <w:t>.</w:t>
      </w:r>
    </w:p>
    <w:p w14:paraId="6D434BE1" w14:textId="4D320FAC" w:rsidR="00827EE1" w:rsidRPr="00FC6034" w:rsidRDefault="00494197" w:rsidP="00AE7367">
      <w:pPr>
        <w:pStyle w:val="Heading1"/>
        <w:spacing w:line="360" w:lineRule="auto"/>
      </w:pPr>
      <w:r w:rsidRPr="00FC6034">
        <w:t>Methodology</w:t>
      </w:r>
    </w:p>
    <w:p w14:paraId="57EA08E6" w14:textId="4A760A82" w:rsidR="00B2761B" w:rsidRPr="00FC6034" w:rsidRDefault="009E1AB5"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The paper uses a methodology, common in the medical sciences and increasingly adapted to </w:t>
      </w:r>
      <w:r w:rsidR="00BD663D">
        <w:rPr>
          <w:rFonts w:ascii="Times New Roman" w:hAnsi="Times New Roman" w:cs="Times New Roman"/>
          <w:sz w:val="24"/>
          <w:szCs w:val="24"/>
          <w:lang w:val="en-US"/>
        </w:rPr>
        <w:t>the social sciences</w:t>
      </w:r>
      <w:r w:rsidRPr="00FC6034">
        <w:rPr>
          <w:rFonts w:ascii="Times New Roman" w:hAnsi="Times New Roman" w:cs="Times New Roman"/>
          <w:sz w:val="24"/>
          <w:szCs w:val="24"/>
          <w:lang w:val="en-US"/>
        </w:rPr>
        <w:t>, known as systematic review</w:t>
      </w:r>
      <w:r w:rsidR="00AB5C22">
        <w:rPr>
          <w:rFonts w:ascii="Times New Roman" w:hAnsi="Times New Roman" w:cs="Times New Roman"/>
          <w:sz w:val="24"/>
          <w:szCs w:val="24"/>
          <w:lang w:val="en-US"/>
        </w:rPr>
        <w:t>.</w:t>
      </w:r>
      <w:r w:rsidR="00AB5C22">
        <w:rPr>
          <w:rStyle w:val="FootnoteReference"/>
          <w:rFonts w:ascii="Times New Roman" w:hAnsi="Times New Roman" w:cs="Times New Roman"/>
          <w:sz w:val="24"/>
          <w:szCs w:val="24"/>
          <w:lang w:val="en-US"/>
        </w:rPr>
        <w:footnoteReference w:id="13"/>
      </w:r>
      <w:r w:rsidRPr="00FC6034">
        <w:rPr>
          <w:rFonts w:ascii="Times New Roman" w:hAnsi="Times New Roman" w:cs="Times New Roman"/>
          <w:sz w:val="24"/>
          <w:szCs w:val="24"/>
          <w:lang w:val="en-US"/>
        </w:rPr>
        <w:t xml:space="preserve">  </w:t>
      </w:r>
      <w:r w:rsidR="00497F8D" w:rsidRPr="00FC6034">
        <w:rPr>
          <w:rFonts w:ascii="Times New Roman" w:hAnsi="Times New Roman" w:cs="Times New Roman"/>
          <w:sz w:val="24"/>
          <w:szCs w:val="24"/>
          <w:lang w:val="en-US"/>
        </w:rPr>
        <w:t xml:space="preserve">This transparent process is well suited for </w:t>
      </w:r>
      <w:r w:rsidR="00497F8D" w:rsidRPr="00FC6034">
        <w:rPr>
          <w:rFonts w:ascii="Times New Roman" w:hAnsi="Times New Roman" w:cs="Times New Roman"/>
          <w:sz w:val="24"/>
          <w:szCs w:val="24"/>
          <w:lang w:val="en-US"/>
        </w:rPr>
        <w:lastRenderedPageBreak/>
        <w:t xml:space="preserve">cataloguing and </w:t>
      </w:r>
      <w:r w:rsidR="00AB5C22">
        <w:rPr>
          <w:rFonts w:ascii="Times New Roman" w:hAnsi="Times New Roman" w:cs="Times New Roman"/>
          <w:sz w:val="24"/>
          <w:szCs w:val="24"/>
          <w:lang w:val="en-US"/>
        </w:rPr>
        <w:t>analys</w:t>
      </w:r>
      <w:r w:rsidR="00322448" w:rsidRPr="00FC6034">
        <w:rPr>
          <w:rFonts w:ascii="Times New Roman" w:hAnsi="Times New Roman" w:cs="Times New Roman"/>
          <w:sz w:val="24"/>
          <w:szCs w:val="24"/>
          <w:lang w:val="en-US"/>
        </w:rPr>
        <w:t>ing</w:t>
      </w:r>
      <w:r w:rsidR="00497F8D" w:rsidRPr="00FC6034">
        <w:rPr>
          <w:rFonts w:ascii="Times New Roman" w:hAnsi="Times New Roman" w:cs="Times New Roman"/>
          <w:sz w:val="24"/>
          <w:szCs w:val="24"/>
          <w:lang w:val="en-US"/>
        </w:rPr>
        <w:t xml:space="preserve"> the vast and multi-disciplinary literature on regulatory reform post-GFC. </w:t>
      </w:r>
      <w:r w:rsidRPr="00FC6034">
        <w:rPr>
          <w:rFonts w:ascii="Times New Roman" w:hAnsi="Times New Roman" w:cs="Times New Roman"/>
          <w:sz w:val="24"/>
          <w:szCs w:val="24"/>
          <w:lang w:val="en-US"/>
        </w:rPr>
        <w:t xml:space="preserve">It </w:t>
      </w:r>
      <w:r w:rsidR="00494197" w:rsidRPr="00FC6034">
        <w:rPr>
          <w:rFonts w:ascii="Times New Roman" w:hAnsi="Times New Roman" w:cs="Times New Roman"/>
          <w:sz w:val="24"/>
          <w:szCs w:val="24"/>
          <w:lang w:val="en-US"/>
        </w:rPr>
        <w:t xml:space="preserve">involves the use of clearly defined parameters to select and </w:t>
      </w:r>
      <w:r w:rsidR="00AB5C22">
        <w:rPr>
          <w:rFonts w:ascii="Times New Roman" w:hAnsi="Times New Roman" w:cs="Times New Roman"/>
          <w:sz w:val="24"/>
          <w:szCs w:val="24"/>
          <w:lang w:val="en-US"/>
        </w:rPr>
        <w:t>analys</w:t>
      </w:r>
      <w:r w:rsidR="00322448" w:rsidRPr="00FC6034">
        <w:rPr>
          <w:rFonts w:ascii="Times New Roman" w:hAnsi="Times New Roman" w:cs="Times New Roman"/>
          <w:sz w:val="24"/>
          <w:szCs w:val="24"/>
          <w:lang w:val="en-US"/>
        </w:rPr>
        <w:t>e</w:t>
      </w:r>
      <w:r w:rsidR="00494197" w:rsidRPr="00FC6034">
        <w:rPr>
          <w:rFonts w:ascii="Times New Roman" w:hAnsi="Times New Roman" w:cs="Times New Roman"/>
          <w:sz w:val="24"/>
          <w:szCs w:val="24"/>
          <w:lang w:val="en-US"/>
        </w:rPr>
        <w:t xml:space="preserve"> a sample of literature </w:t>
      </w:r>
      <w:r w:rsidRPr="00FC6034">
        <w:rPr>
          <w:rFonts w:ascii="Times New Roman" w:hAnsi="Times New Roman" w:cs="Times New Roman"/>
          <w:sz w:val="24"/>
          <w:szCs w:val="24"/>
          <w:lang w:val="en-US"/>
        </w:rPr>
        <w:t>in order to draw conclusions about what is known, and not known, about a certain topic</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4"/>
      </w:r>
      <w:r w:rsidRPr="00FC6034">
        <w:rPr>
          <w:rFonts w:ascii="Times New Roman" w:hAnsi="Times New Roman" w:cs="Times New Roman"/>
          <w:sz w:val="24"/>
          <w:szCs w:val="24"/>
          <w:lang w:val="en-US"/>
        </w:rPr>
        <w:t xml:space="preserve">  </w:t>
      </w:r>
      <w:r w:rsidR="00494197" w:rsidRPr="00FC6034">
        <w:rPr>
          <w:rFonts w:ascii="Times New Roman" w:hAnsi="Times New Roman" w:cs="Times New Roman"/>
          <w:sz w:val="24"/>
          <w:szCs w:val="24"/>
          <w:lang w:val="en-US"/>
        </w:rPr>
        <w:t>It is more than a</w:t>
      </w:r>
      <w:r w:rsidR="00C53CDC" w:rsidRPr="00FC6034">
        <w:rPr>
          <w:rFonts w:ascii="Times New Roman" w:hAnsi="Times New Roman" w:cs="Times New Roman"/>
          <w:sz w:val="24"/>
          <w:szCs w:val="24"/>
          <w:lang w:val="en-US"/>
        </w:rPr>
        <w:t xml:space="preserve"> literature review as its aims, </w:t>
      </w:r>
      <w:r w:rsidR="0030490F">
        <w:rPr>
          <w:rFonts w:ascii="Times New Roman" w:hAnsi="Times New Roman" w:cs="Times New Roman"/>
          <w:sz w:val="24"/>
          <w:szCs w:val="24"/>
          <w:lang w:val="en-US"/>
        </w:rPr>
        <w:t>“</w:t>
      </w:r>
      <w:r w:rsidR="00C53CDC" w:rsidRPr="00FC6034">
        <w:rPr>
          <w:rFonts w:ascii="Times New Roman" w:hAnsi="Times New Roman" w:cs="Times New Roman"/>
          <w:sz w:val="24"/>
          <w:szCs w:val="24"/>
          <w:lang w:val="en-US"/>
        </w:rPr>
        <w:t>t</w:t>
      </w:r>
      <w:r w:rsidR="00B2761B" w:rsidRPr="00FC6034">
        <w:rPr>
          <w:rFonts w:ascii="Times New Roman" w:hAnsi="Times New Roman" w:cs="Times New Roman"/>
          <w:sz w:val="24"/>
          <w:szCs w:val="24"/>
          <w:lang w:val="en-US"/>
        </w:rPr>
        <w:t>o go beyond mere description by recasting the information into a new or different arrangement and developing knowledge that is not apparent from reading the individual studies in isolation</w:t>
      </w:r>
      <w:r w:rsidR="0030490F">
        <w:rPr>
          <w:rFonts w:ascii="Times New Roman" w:hAnsi="Times New Roman" w:cs="Times New Roman"/>
          <w:sz w:val="24"/>
          <w:szCs w:val="24"/>
          <w:lang w:val="en-US"/>
        </w:rPr>
        <w:t>”</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5"/>
      </w:r>
    </w:p>
    <w:p w14:paraId="2E6581D2" w14:textId="4ED37114" w:rsidR="00F46CDA" w:rsidRPr="00FC6034" w:rsidRDefault="00B411DB"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The</w:t>
      </w:r>
      <w:r>
        <w:rPr>
          <w:rFonts w:ascii="Times New Roman" w:hAnsi="Times New Roman" w:cs="Times New Roman"/>
          <w:sz w:val="24"/>
          <w:szCs w:val="24"/>
          <w:lang w:val="en-US"/>
        </w:rPr>
        <w:t xml:space="preserve"> systematic review</w:t>
      </w:r>
      <w:r w:rsidRPr="00FC6034">
        <w:rPr>
          <w:rFonts w:ascii="Times New Roman" w:hAnsi="Times New Roman" w:cs="Times New Roman"/>
          <w:sz w:val="24"/>
          <w:szCs w:val="24"/>
          <w:lang w:val="en-US"/>
        </w:rPr>
        <w:t xml:space="preserve"> process is detailed in </w:t>
      </w:r>
      <w:r w:rsidRPr="00FC6034">
        <w:rPr>
          <w:rFonts w:ascii="Times New Roman" w:hAnsi="Times New Roman" w:cs="Times New Roman"/>
          <w:b/>
          <w:sz w:val="24"/>
          <w:szCs w:val="24"/>
          <w:lang w:val="en-US"/>
        </w:rPr>
        <w:t>Figure 1</w:t>
      </w:r>
      <w:r w:rsidRPr="00FC60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provides a pragmatic and objective method for selecting a relevant sample from a vast literature.  </w:t>
      </w:r>
      <w:r w:rsidR="00F46CDA" w:rsidRPr="00FC6034">
        <w:rPr>
          <w:rFonts w:ascii="Times New Roman" w:hAnsi="Times New Roman" w:cs="Times New Roman"/>
          <w:sz w:val="24"/>
          <w:szCs w:val="24"/>
          <w:lang w:val="en-US"/>
        </w:rPr>
        <w:t xml:space="preserve">The first step was to conduct a </w:t>
      </w:r>
      <w:r w:rsidR="00FD35DE" w:rsidRPr="00FC6034">
        <w:rPr>
          <w:rFonts w:ascii="Times New Roman" w:hAnsi="Times New Roman" w:cs="Times New Roman"/>
          <w:sz w:val="24"/>
          <w:szCs w:val="24"/>
          <w:lang w:val="en-US"/>
        </w:rPr>
        <w:t>broad</w:t>
      </w:r>
      <w:r w:rsidR="00F46CDA" w:rsidRPr="00FC6034">
        <w:rPr>
          <w:rFonts w:ascii="Times New Roman" w:hAnsi="Times New Roman" w:cs="Times New Roman"/>
          <w:sz w:val="24"/>
          <w:szCs w:val="24"/>
          <w:lang w:val="en-US"/>
        </w:rPr>
        <w:t xml:space="preserve"> search for literature on the topic</w:t>
      </w:r>
      <w:r w:rsidR="00C53CDC" w:rsidRPr="00FC6034">
        <w:rPr>
          <w:rFonts w:ascii="Times New Roman" w:hAnsi="Times New Roman" w:cs="Times New Roman"/>
          <w:sz w:val="24"/>
          <w:szCs w:val="24"/>
          <w:lang w:val="en-US"/>
        </w:rPr>
        <w:t xml:space="preserve"> of post-GFC regulatory reform</w:t>
      </w:r>
      <w:r w:rsidR="00F46CDA" w:rsidRPr="00FC6034">
        <w:rPr>
          <w:rFonts w:ascii="Times New Roman" w:hAnsi="Times New Roman" w:cs="Times New Roman"/>
          <w:sz w:val="24"/>
          <w:szCs w:val="24"/>
          <w:lang w:val="en-US"/>
        </w:rPr>
        <w:t xml:space="preserve">.  </w:t>
      </w:r>
      <w:r w:rsidR="00660A27" w:rsidRPr="00FC6034">
        <w:rPr>
          <w:rFonts w:ascii="Times New Roman" w:hAnsi="Times New Roman" w:cs="Times New Roman"/>
          <w:sz w:val="24"/>
          <w:szCs w:val="24"/>
          <w:lang w:val="en-US"/>
        </w:rPr>
        <w:t>The net was cast wide</w:t>
      </w:r>
      <w:r w:rsidR="00F46CDA" w:rsidRPr="00FC6034">
        <w:rPr>
          <w:rFonts w:ascii="Times New Roman" w:hAnsi="Times New Roman" w:cs="Times New Roman"/>
          <w:sz w:val="24"/>
          <w:szCs w:val="24"/>
          <w:lang w:val="en-US"/>
        </w:rPr>
        <w:t xml:space="preserve"> initially </w:t>
      </w:r>
      <w:r w:rsidR="00A94609" w:rsidRPr="00FC6034">
        <w:rPr>
          <w:rFonts w:ascii="Times New Roman" w:hAnsi="Times New Roman" w:cs="Times New Roman"/>
          <w:sz w:val="24"/>
          <w:szCs w:val="24"/>
          <w:lang w:val="en-US"/>
        </w:rPr>
        <w:t xml:space="preserve">in order to catch all </w:t>
      </w:r>
      <w:r w:rsidR="00AC34B2" w:rsidRPr="00FC6034">
        <w:rPr>
          <w:rFonts w:ascii="Times New Roman" w:hAnsi="Times New Roman" w:cs="Times New Roman"/>
          <w:sz w:val="24"/>
          <w:szCs w:val="24"/>
          <w:lang w:val="en-US"/>
        </w:rPr>
        <w:t>disciplines interested in the</w:t>
      </w:r>
      <w:r w:rsidR="00F46CDA" w:rsidRPr="00FC6034">
        <w:rPr>
          <w:rFonts w:ascii="Times New Roman" w:hAnsi="Times New Roman" w:cs="Times New Roman"/>
          <w:sz w:val="24"/>
          <w:szCs w:val="24"/>
          <w:lang w:val="en-US"/>
        </w:rPr>
        <w:t xml:space="preserve"> topic.</w:t>
      </w:r>
      <w:r w:rsidR="00DA7E34" w:rsidRPr="00FC6034">
        <w:rPr>
          <w:rFonts w:ascii="Times New Roman" w:hAnsi="Times New Roman" w:cs="Times New Roman"/>
          <w:sz w:val="24"/>
          <w:szCs w:val="24"/>
          <w:lang w:val="en-US"/>
        </w:rPr>
        <w:t xml:space="preserve">  For this reason searches </w:t>
      </w:r>
      <w:r w:rsidR="00AC34B2" w:rsidRPr="00FC6034">
        <w:rPr>
          <w:rFonts w:ascii="Times New Roman" w:hAnsi="Times New Roman" w:cs="Times New Roman"/>
          <w:sz w:val="24"/>
          <w:szCs w:val="24"/>
          <w:lang w:val="en-US"/>
        </w:rPr>
        <w:t xml:space="preserve">were conducted </w:t>
      </w:r>
      <w:r w:rsidR="00DA7E34" w:rsidRPr="00FC6034">
        <w:rPr>
          <w:rFonts w:ascii="Times New Roman" w:hAnsi="Times New Roman" w:cs="Times New Roman"/>
          <w:sz w:val="24"/>
          <w:szCs w:val="24"/>
          <w:lang w:val="en-US"/>
        </w:rPr>
        <w:t xml:space="preserve">in Google Scholar as a first step and then in discipline-specific databases (EBSCO, Lexis Nexis) as a second step to catch anything not indexed by Google Scholar.  </w:t>
      </w:r>
      <w:r w:rsidR="00B706CE">
        <w:rPr>
          <w:rFonts w:ascii="Times New Roman" w:hAnsi="Times New Roman" w:cs="Times New Roman"/>
          <w:sz w:val="24"/>
          <w:szCs w:val="24"/>
          <w:lang w:val="en-US"/>
        </w:rPr>
        <w:t>The final sample included journals covering law (</w:t>
      </w:r>
      <w:r w:rsidR="007A568F">
        <w:rPr>
          <w:rFonts w:ascii="Times New Roman" w:hAnsi="Times New Roman" w:cs="Times New Roman"/>
          <w:sz w:val="24"/>
          <w:szCs w:val="24"/>
          <w:lang w:val="en-US"/>
        </w:rPr>
        <w:t>58</w:t>
      </w:r>
      <w:r w:rsidR="00B706CE">
        <w:rPr>
          <w:rFonts w:ascii="Times New Roman" w:hAnsi="Times New Roman" w:cs="Times New Roman"/>
          <w:sz w:val="24"/>
          <w:szCs w:val="24"/>
          <w:lang w:val="en-US"/>
        </w:rPr>
        <w:t xml:space="preserve">%); </w:t>
      </w:r>
      <w:r w:rsidR="007A58CF">
        <w:rPr>
          <w:rFonts w:ascii="Times New Roman" w:hAnsi="Times New Roman" w:cs="Times New Roman"/>
          <w:sz w:val="24"/>
          <w:szCs w:val="24"/>
          <w:lang w:val="en-US"/>
        </w:rPr>
        <w:t xml:space="preserve">political science (13%); </w:t>
      </w:r>
      <w:r w:rsidR="00B706CE">
        <w:rPr>
          <w:rFonts w:ascii="Times New Roman" w:hAnsi="Times New Roman" w:cs="Times New Roman"/>
          <w:sz w:val="24"/>
          <w:szCs w:val="24"/>
          <w:lang w:val="en-US"/>
        </w:rPr>
        <w:t>economics</w:t>
      </w:r>
      <w:r w:rsidR="007A568F">
        <w:rPr>
          <w:rFonts w:ascii="Times New Roman" w:hAnsi="Times New Roman" w:cs="Times New Roman"/>
          <w:sz w:val="24"/>
          <w:szCs w:val="24"/>
          <w:lang w:val="en-US"/>
        </w:rPr>
        <w:t xml:space="preserve"> (11%)</w:t>
      </w:r>
      <w:r w:rsidR="00B706CE">
        <w:rPr>
          <w:rFonts w:ascii="Times New Roman" w:hAnsi="Times New Roman" w:cs="Times New Roman"/>
          <w:sz w:val="24"/>
          <w:szCs w:val="24"/>
          <w:lang w:val="en-US"/>
        </w:rPr>
        <w:t>, finance</w:t>
      </w:r>
      <w:r w:rsidR="007A568F">
        <w:rPr>
          <w:rFonts w:ascii="Times New Roman" w:hAnsi="Times New Roman" w:cs="Times New Roman"/>
          <w:sz w:val="24"/>
          <w:szCs w:val="24"/>
          <w:lang w:val="en-US"/>
        </w:rPr>
        <w:t xml:space="preserve"> (11%)</w:t>
      </w:r>
      <w:r w:rsidR="00B706CE">
        <w:rPr>
          <w:rFonts w:ascii="Times New Roman" w:hAnsi="Times New Roman" w:cs="Times New Roman"/>
          <w:sz w:val="24"/>
          <w:szCs w:val="24"/>
          <w:lang w:val="en-US"/>
        </w:rPr>
        <w:t>;</w:t>
      </w:r>
      <w:r w:rsidR="007A58CF">
        <w:rPr>
          <w:rFonts w:ascii="Times New Roman" w:hAnsi="Times New Roman" w:cs="Times New Roman"/>
          <w:sz w:val="24"/>
          <w:szCs w:val="24"/>
          <w:lang w:val="en-US"/>
        </w:rPr>
        <w:t xml:space="preserve"> and</w:t>
      </w:r>
      <w:r w:rsidR="00B706CE">
        <w:rPr>
          <w:rFonts w:ascii="Times New Roman" w:hAnsi="Times New Roman" w:cs="Times New Roman"/>
          <w:sz w:val="24"/>
          <w:szCs w:val="24"/>
          <w:lang w:val="en-US"/>
        </w:rPr>
        <w:t xml:space="preserve"> business</w:t>
      </w:r>
      <w:r w:rsidR="007A568F">
        <w:rPr>
          <w:rFonts w:ascii="Times New Roman" w:hAnsi="Times New Roman" w:cs="Times New Roman"/>
          <w:sz w:val="24"/>
          <w:szCs w:val="24"/>
          <w:lang w:val="en-US"/>
        </w:rPr>
        <w:t xml:space="preserve"> (7%)</w:t>
      </w:r>
      <w:r w:rsidR="00B706CE">
        <w:rPr>
          <w:rFonts w:ascii="Times New Roman" w:hAnsi="Times New Roman" w:cs="Times New Roman"/>
          <w:sz w:val="24"/>
          <w:szCs w:val="24"/>
          <w:lang w:val="en-US"/>
        </w:rPr>
        <w:t xml:space="preserve">. </w:t>
      </w:r>
      <w:r w:rsidR="007A58CF">
        <w:rPr>
          <w:rFonts w:ascii="Times New Roman" w:hAnsi="Times New Roman" w:cs="Times New Roman"/>
          <w:sz w:val="24"/>
          <w:szCs w:val="24"/>
          <w:lang w:val="en-US"/>
        </w:rPr>
        <w:t xml:space="preserve"> </w:t>
      </w:r>
      <w:r w:rsidR="00497F8D" w:rsidRPr="00FC6034">
        <w:rPr>
          <w:rFonts w:ascii="Times New Roman" w:hAnsi="Times New Roman" w:cs="Times New Roman"/>
          <w:sz w:val="24"/>
          <w:szCs w:val="24"/>
          <w:lang w:val="en-US"/>
        </w:rPr>
        <w:t>As the initial searches</w:t>
      </w:r>
      <w:r w:rsidR="0030490F">
        <w:rPr>
          <w:rFonts w:ascii="Times New Roman" w:hAnsi="Times New Roman" w:cs="Times New Roman"/>
          <w:sz w:val="24"/>
          <w:szCs w:val="24"/>
          <w:lang w:val="en-US"/>
        </w:rPr>
        <w:t xml:space="preserve"> for variations on “financial crisis”</w:t>
      </w:r>
      <w:r w:rsidR="00B6268E" w:rsidRPr="00FC6034">
        <w:rPr>
          <w:rFonts w:ascii="Times New Roman" w:hAnsi="Times New Roman" w:cs="Times New Roman"/>
          <w:sz w:val="24"/>
          <w:szCs w:val="24"/>
          <w:lang w:val="en-US"/>
        </w:rPr>
        <w:t xml:space="preserve"> </w:t>
      </w:r>
      <w:r w:rsidR="00986F20" w:rsidRPr="00FC6034">
        <w:rPr>
          <w:rFonts w:ascii="Times New Roman" w:hAnsi="Times New Roman" w:cs="Times New Roman"/>
          <w:sz w:val="24"/>
          <w:szCs w:val="24"/>
          <w:lang w:val="en-US"/>
        </w:rPr>
        <w:t>combined with</w:t>
      </w:r>
      <w:r w:rsidR="0030490F">
        <w:rPr>
          <w:rFonts w:ascii="Times New Roman" w:hAnsi="Times New Roman" w:cs="Times New Roman"/>
          <w:sz w:val="24"/>
          <w:szCs w:val="24"/>
          <w:lang w:val="en-US"/>
        </w:rPr>
        <w:t xml:space="preserve"> “regulation”</w:t>
      </w:r>
      <w:r w:rsidR="00497F8D" w:rsidRPr="00FC6034">
        <w:rPr>
          <w:rFonts w:ascii="Times New Roman" w:hAnsi="Times New Roman" w:cs="Times New Roman"/>
          <w:sz w:val="24"/>
          <w:szCs w:val="24"/>
          <w:lang w:val="en-US"/>
        </w:rPr>
        <w:t xml:space="preserve"> found a huge number of documents </w:t>
      </w:r>
      <w:r w:rsidR="00AC34B2" w:rsidRPr="00FC6034">
        <w:rPr>
          <w:rFonts w:ascii="Times New Roman" w:hAnsi="Times New Roman" w:cs="Times New Roman"/>
          <w:sz w:val="24"/>
          <w:szCs w:val="24"/>
          <w:lang w:val="en-US"/>
        </w:rPr>
        <w:t>it was</w:t>
      </w:r>
      <w:r w:rsidR="00497F8D" w:rsidRPr="00FC6034">
        <w:rPr>
          <w:rFonts w:ascii="Times New Roman" w:hAnsi="Times New Roman" w:cs="Times New Roman"/>
          <w:sz w:val="24"/>
          <w:szCs w:val="24"/>
          <w:lang w:val="en-US"/>
        </w:rPr>
        <w:t xml:space="preserve"> decided to narrow this to only quality journal articles with the </w:t>
      </w:r>
      <w:r w:rsidR="00BD663D">
        <w:rPr>
          <w:rFonts w:ascii="Times New Roman" w:hAnsi="Times New Roman" w:cs="Times New Roman"/>
          <w:sz w:val="24"/>
          <w:szCs w:val="24"/>
          <w:lang w:val="en-US"/>
        </w:rPr>
        <w:t>text</w:t>
      </w:r>
      <w:r w:rsidR="0030490F">
        <w:rPr>
          <w:rFonts w:ascii="Times New Roman" w:hAnsi="Times New Roman" w:cs="Times New Roman"/>
          <w:sz w:val="24"/>
          <w:szCs w:val="24"/>
          <w:lang w:val="en-US"/>
        </w:rPr>
        <w:t xml:space="preserve"> “</w:t>
      </w:r>
      <w:r w:rsidR="00BD663D">
        <w:rPr>
          <w:rFonts w:ascii="Times New Roman" w:hAnsi="Times New Roman" w:cs="Times New Roman"/>
          <w:sz w:val="24"/>
          <w:szCs w:val="24"/>
          <w:lang w:val="en-US"/>
        </w:rPr>
        <w:t>regulat</w:t>
      </w:r>
      <w:r w:rsidR="0030490F">
        <w:rPr>
          <w:rFonts w:ascii="Times New Roman" w:hAnsi="Times New Roman" w:cs="Times New Roman"/>
          <w:sz w:val="24"/>
          <w:szCs w:val="24"/>
          <w:lang w:val="en-US"/>
        </w:rPr>
        <w:t>”</w:t>
      </w:r>
      <w:r w:rsidR="00497F8D" w:rsidRPr="00FC6034">
        <w:rPr>
          <w:rFonts w:ascii="Times New Roman" w:hAnsi="Times New Roman" w:cs="Times New Roman"/>
          <w:sz w:val="24"/>
          <w:szCs w:val="24"/>
          <w:lang w:val="en-US"/>
        </w:rPr>
        <w:t xml:space="preserve"> in the title.  </w:t>
      </w:r>
      <w:r w:rsidR="00B706CE">
        <w:rPr>
          <w:rFonts w:ascii="Times New Roman" w:hAnsi="Times New Roman" w:cs="Times New Roman"/>
          <w:sz w:val="24"/>
          <w:szCs w:val="24"/>
          <w:lang w:val="en-US"/>
        </w:rPr>
        <w:t xml:space="preserve">Quality was measured on the basis of whether the journal was included in the Scimago Journal rankings.  </w:t>
      </w:r>
      <w:r w:rsidR="007A58CF">
        <w:rPr>
          <w:rFonts w:ascii="Times New Roman" w:hAnsi="Times New Roman" w:cs="Times New Roman"/>
          <w:sz w:val="24"/>
          <w:szCs w:val="24"/>
          <w:lang w:val="en-US"/>
        </w:rPr>
        <w:t>By i</w:t>
      </w:r>
      <w:r w:rsidR="00B67C40">
        <w:rPr>
          <w:rFonts w:ascii="Times New Roman" w:hAnsi="Times New Roman" w:cs="Times New Roman"/>
          <w:sz w:val="24"/>
          <w:szCs w:val="24"/>
          <w:lang w:val="en-US"/>
        </w:rPr>
        <w:t>nsisting that each article contained a</w:t>
      </w:r>
      <w:r w:rsidR="000F064C">
        <w:rPr>
          <w:rFonts w:ascii="Times New Roman" w:hAnsi="Times New Roman" w:cs="Times New Roman"/>
          <w:sz w:val="24"/>
          <w:szCs w:val="24"/>
          <w:lang w:val="en-US"/>
        </w:rPr>
        <w:t xml:space="preserve"> stem of the word regulation in the title </w:t>
      </w:r>
      <w:r w:rsidR="007A58CF">
        <w:rPr>
          <w:rFonts w:ascii="Times New Roman" w:hAnsi="Times New Roman" w:cs="Times New Roman"/>
          <w:sz w:val="24"/>
          <w:szCs w:val="24"/>
          <w:lang w:val="en-US"/>
        </w:rPr>
        <w:t xml:space="preserve">it was possible to reduce </w:t>
      </w:r>
      <w:r w:rsidR="000F064C">
        <w:rPr>
          <w:rFonts w:ascii="Times New Roman" w:hAnsi="Times New Roman" w:cs="Times New Roman"/>
          <w:sz w:val="24"/>
          <w:szCs w:val="24"/>
          <w:lang w:val="en-US"/>
        </w:rPr>
        <w:t>the sample</w:t>
      </w:r>
      <w:r w:rsidR="007A58CF">
        <w:rPr>
          <w:rFonts w:ascii="Times New Roman" w:hAnsi="Times New Roman" w:cs="Times New Roman"/>
          <w:sz w:val="24"/>
          <w:szCs w:val="24"/>
          <w:lang w:val="en-US"/>
        </w:rPr>
        <w:t xml:space="preserve"> size</w:t>
      </w:r>
      <w:r w:rsidR="000F064C">
        <w:rPr>
          <w:rFonts w:ascii="Times New Roman" w:hAnsi="Times New Roman" w:cs="Times New Roman"/>
          <w:sz w:val="24"/>
          <w:szCs w:val="24"/>
          <w:lang w:val="en-US"/>
        </w:rPr>
        <w:t xml:space="preserve"> significantly</w:t>
      </w:r>
      <w:r w:rsidR="007A58CF">
        <w:rPr>
          <w:rFonts w:ascii="Times New Roman" w:hAnsi="Times New Roman" w:cs="Times New Roman"/>
          <w:sz w:val="24"/>
          <w:szCs w:val="24"/>
          <w:lang w:val="en-US"/>
        </w:rPr>
        <w:t>.  This</w:t>
      </w:r>
      <w:r w:rsidR="000F064C">
        <w:rPr>
          <w:rFonts w:ascii="Times New Roman" w:hAnsi="Times New Roman" w:cs="Times New Roman"/>
          <w:sz w:val="24"/>
          <w:szCs w:val="24"/>
          <w:lang w:val="en-US"/>
        </w:rPr>
        <w:t xml:space="preserve"> undoubtedly resulted in some relevant articles being excluded</w:t>
      </w:r>
      <w:r w:rsidR="00B67C40">
        <w:rPr>
          <w:rFonts w:ascii="Times New Roman" w:hAnsi="Times New Roman" w:cs="Times New Roman"/>
          <w:sz w:val="24"/>
          <w:szCs w:val="24"/>
          <w:lang w:val="en-US"/>
        </w:rPr>
        <w:t>,</w:t>
      </w:r>
      <w:r w:rsidR="000F064C">
        <w:rPr>
          <w:rFonts w:ascii="Times New Roman" w:hAnsi="Times New Roman" w:cs="Times New Roman"/>
          <w:sz w:val="24"/>
          <w:szCs w:val="24"/>
          <w:lang w:val="en-US"/>
        </w:rPr>
        <w:t xml:space="preserve"> yet </w:t>
      </w:r>
      <w:r w:rsidR="00995EBE">
        <w:rPr>
          <w:rFonts w:ascii="Times New Roman" w:hAnsi="Times New Roman" w:cs="Times New Roman"/>
          <w:sz w:val="24"/>
          <w:szCs w:val="24"/>
          <w:lang w:val="en-US"/>
        </w:rPr>
        <w:t>it</w:t>
      </w:r>
      <w:r w:rsidR="000F064C">
        <w:rPr>
          <w:rFonts w:ascii="Times New Roman" w:hAnsi="Times New Roman" w:cs="Times New Roman"/>
          <w:sz w:val="24"/>
          <w:szCs w:val="24"/>
          <w:lang w:val="en-US"/>
        </w:rPr>
        <w:t xml:space="preserve"> was justified by the ability to objectively reduce the sample to a manageable size with an increased focus on regulation. </w:t>
      </w:r>
      <w:r w:rsidR="00B67C40">
        <w:rPr>
          <w:rFonts w:ascii="Times New Roman" w:hAnsi="Times New Roman" w:cs="Times New Roman"/>
          <w:sz w:val="24"/>
          <w:szCs w:val="24"/>
          <w:lang w:val="en-US"/>
        </w:rPr>
        <w:t xml:space="preserve"> </w:t>
      </w:r>
      <w:r w:rsidR="000F064C">
        <w:rPr>
          <w:rFonts w:ascii="Times New Roman" w:hAnsi="Times New Roman" w:cs="Times New Roman"/>
          <w:sz w:val="24"/>
          <w:szCs w:val="24"/>
          <w:lang w:val="en-US"/>
        </w:rPr>
        <w:t>The last step of the process was to review e</w:t>
      </w:r>
      <w:r w:rsidR="000F2A7F" w:rsidRPr="00FC6034">
        <w:rPr>
          <w:rFonts w:ascii="Times New Roman" w:hAnsi="Times New Roman" w:cs="Times New Roman"/>
          <w:sz w:val="24"/>
          <w:szCs w:val="24"/>
          <w:lang w:val="en-US"/>
        </w:rPr>
        <w:t>ach</w:t>
      </w:r>
      <w:r w:rsidR="000F064C">
        <w:rPr>
          <w:rFonts w:ascii="Times New Roman" w:hAnsi="Times New Roman" w:cs="Times New Roman"/>
          <w:sz w:val="24"/>
          <w:szCs w:val="24"/>
          <w:lang w:val="en-US"/>
        </w:rPr>
        <w:t xml:space="preserve"> of the remaining</w:t>
      </w:r>
      <w:r w:rsidR="000F2A7F" w:rsidRPr="00FC6034">
        <w:rPr>
          <w:rFonts w:ascii="Times New Roman" w:hAnsi="Times New Roman" w:cs="Times New Roman"/>
          <w:sz w:val="24"/>
          <w:szCs w:val="24"/>
          <w:lang w:val="en-US"/>
        </w:rPr>
        <w:t xml:space="preserve"> article</w:t>
      </w:r>
      <w:r w:rsidR="000F064C">
        <w:rPr>
          <w:rFonts w:ascii="Times New Roman" w:hAnsi="Times New Roman" w:cs="Times New Roman"/>
          <w:sz w:val="24"/>
          <w:szCs w:val="24"/>
          <w:lang w:val="en-US"/>
        </w:rPr>
        <w:t>s</w:t>
      </w:r>
      <w:r w:rsidR="000F2A7F" w:rsidRPr="00FC6034">
        <w:rPr>
          <w:rFonts w:ascii="Times New Roman" w:hAnsi="Times New Roman" w:cs="Times New Roman"/>
          <w:sz w:val="24"/>
          <w:szCs w:val="24"/>
          <w:lang w:val="en-US"/>
        </w:rPr>
        <w:t xml:space="preserve"> </w:t>
      </w:r>
      <w:r w:rsidR="00B67C40">
        <w:rPr>
          <w:rFonts w:ascii="Times New Roman" w:hAnsi="Times New Roman" w:cs="Times New Roman"/>
          <w:sz w:val="24"/>
          <w:szCs w:val="24"/>
          <w:lang w:val="en-US"/>
        </w:rPr>
        <w:t>to ensure</w:t>
      </w:r>
      <w:r w:rsidR="000F2A7F" w:rsidRPr="00FC6034">
        <w:rPr>
          <w:rFonts w:ascii="Times New Roman" w:hAnsi="Times New Roman" w:cs="Times New Roman"/>
          <w:sz w:val="24"/>
          <w:szCs w:val="24"/>
          <w:lang w:val="en-US"/>
        </w:rPr>
        <w:t xml:space="preserve"> suitability in terms of focus.  </w:t>
      </w:r>
      <w:r>
        <w:rPr>
          <w:rFonts w:ascii="Times New Roman" w:hAnsi="Times New Roman" w:cs="Times New Roman"/>
          <w:sz w:val="24"/>
          <w:szCs w:val="24"/>
          <w:lang w:val="en-US"/>
        </w:rPr>
        <w:t xml:space="preserve">The test was whether the article </w:t>
      </w:r>
      <w:r w:rsidR="007A58CF">
        <w:rPr>
          <w:rFonts w:ascii="Times New Roman" w:hAnsi="Times New Roman" w:cs="Times New Roman"/>
          <w:sz w:val="24"/>
          <w:szCs w:val="24"/>
          <w:lang w:val="en-US"/>
        </w:rPr>
        <w:t>was directed at a discussion of</w:t>
      </w:r>
      <w:r>
        <w:rPr>
          <w:rFonts w:ascii="Times New Roman" w:hAnsi="Times New Roman" w:cs="Times New Roman"/>
          <w:sz w:val="24"/>
          <w:szCs w:val="24"/>
          <w:lang w:val="en-US"/>
        </w:rPr>
        <w:t xml:space="preserve"> regulatory effectiveness.  </w:t>
      </w:r>
      <w:r w:rsidR="00AC34B2" w:rsidRPr="00FC6034">
        <w:rPr>
          <w:rFonts w:ascii="Times New Roman" w:hAnsi="Times New Roman" w:cs="Times New Roman"/>
          <w:sz w:val="24"/>
          <w:szCs w:val="24"/>
          <w:lang w:val="en-US"/>
        </w:rPr>
        <w:t xml:space="preserve">Any papers </w:t>
      </w:r>
      <w:r w:rsidR="000F2A7F" w:rsidRPr="00FC6034">
        <w:rPr>
          <w:rFonts w:ascii="Times New Roman" w:hAnsi="Times New Roman" w:cs="Times New Roman"/>
          <w:sz w:val="24"/>
          <w:szCs w:val="24"/>
          <w:lang w:val="en-US"/>
        </w:rPr>
        <w:t xml:space="preserve">that were focused </w:t>
      </w:r>
      <w:r>
        <w:rPr>
          <w:rFonts w:ascii="Times New Roman" w:hAnsi="Times New Roman" w:cs="Times New Roman"/>
          <w:sz w:val="24"/>
          <w:szCs w:val="24"/>
          <w:lang w:val="en-US"/>
        </w:rPr>
        <w:t xml:space="preserve">primarily on a </w:t>
      </w:r>
      <w:r w:rsidR="00AC34B2" w:rsidRPr="00FC6034">
        <w:rPr>
          <w:rFonts w:ascii="Times New Roman" w:hAnsi="Times New Roman" w:cs="Times New Roman"/>
          <w:sz w:val="24"/>
          <w:szCs w:val="24"/>
          <w:lang w:val="en-US"/>
        </w:rPr>
        <w:t>financial (rather than regulatory)</w:t>
      </w:r>
      <w:r w:rsidR="000F2A7F" w:rsidRPr="00FC6034">
        <w:rPr>
          <w:rFonts w:ascii="Times New Roman" w:hAnsi="Times New Roman" w:cs="Times New Roman"/>
          <w:sz w:val="24"/>
          <w:szCs w:val="24"/>
          <w:lang w:val="en-US"/>
        </w:rPr>
        <w:t xml:space="preserve"> issue</w:t>
      </w:r>
      <w:r w:rsidR="00AC34B2" w:rsidRPr="00FC6034">
        <w:rPr>
          <w:rFonts w:ascii="Times New Roman" w:hAnsi="Times New Roman" w:cs="Times New Roman"/>
          <w:sz w:val="24"/>
          <w:szCs w:val="24"/>
          <w:lang w:val="en-US"/>
        </w:rPr>
        <w:t xml:space="preserve"> were rejected</w:t>
      </w:r>
      <w:r w:rsidR="0002341C" w:rsidRPr="00FC6034">
        <w:rPr>
          <w:rFonts w:ascii="Times New Roman" w:hAnsi="Times New Roman" w:cs="Times New Roman"/>
          <w:sz w:val="24"/>
          <w:szCs w:val="24"/>
          <w:lang w:val="en-US"/>
        </w:rPr>
        <w:t>,</w:t>
      </w:r>
      <w:r w:rsidR="00AC34B2" w:rsidRPr="00FC6034">
        <w:rPr>
          <w:rFonts w:ascii="Times New Roman" w:hAnsi="Times New Roman" w:cs="Times New Roman"/>
          <w:sz w:val="24"/>
          <w:szCs w:val="24"/>
          <w:lang w:val="en-US"/>
        </w:rPr>
        <w:t xml:space="preserve"> </w:t>
      </w:r>
      <w:r w:rsidR="00986F20" w:rsidRPr="00FC6034">
        <w:rPr>
          <w:rFonts w:ascii="Times New Roman" w:hAnsi="Times New Roman" w:cs="Times New Roman"/>
          <w:sz w:val="24"/>
          <w:szCs w:val="24"/>
          <w:lang w:val="en-US"/>
        </w:rPr>
        <w:t xml:space="preserve">for example, detailed examination </w:t>
      </w:r>
      <w:r w:rsidR="00AB5C22">
        <w:rPr>
          <w:rFonts w:ascii="Times New Roman" w:hAnsi="Times New Roman" w:cs="Times New Roman"/>
          <w:sz w:val="24"/>
          <w:szCs w:val="24"/>
          <w:lang w:val="en-US"/>
        </w:rPr>
        <w:t xml:space="preserve">of the </w:t>
      </w:r>
      <w:r w:rsidR="00B706CE">
        <w:rPr>
          <w:rFonts w:ascii="Times New Roman" w:hAnsi="Times New Roman" w:cs="Times New Roman"/>
          <w:sz w:val="24"/>
          <w:szCs w:val="24"/>
          <w:lang w:val="en-US"/>
        </w:rPr>
        <w:t xml:space="preserve">nature </w:t>
      </w:r>
      <w:r w:rsidR="00AB5C22">
        <w:rPr>
          <w:rFonts w:ascii="Times New Roman" w:hAnsi="Times New Roman" w:cs="Times New Roman"/>
          <w:sz w:val="24"/>
          <w:szCs w:val="24"/>
          <w:lang w:val="en-US"/>
        </w:rPr>
        <w:t>of</w:t>
      </w:r>
      <w:r w:rsidR="0002341C" w:rsidRPr="00FC6034">
        <w:rPr>
          <w:rFonts w:ascii="Times New Roman" w:hAnsi="Times New Roman" w:cs="Times New Roman"/>
          <w:sz w:val="24"/>
          <w:szCs w:val="24"/>
          <w:lang w:val="en-US"/>
        </w:rPr>
        <w:t xml:space="preserve"> derivatives</w:t>
      </w:r>
      <w:r w:rsidR="007A58CF">
        <w:rPr>
          <w:rFonts w:ascii="Times New Roman" w:hAnsi="Times New Roman" w:cs="Times New Roman"/>
          <w:sz w:val="24"/>
          <w:szCs w:val="24"/>
          <w:lang w:val="en-US"/>
        </w:rPr>
        <w:t xml:space="preserve"> or measures of liquidity</w:t>
      </w:r>
      <w:r w:rsidR="000F2A7F" w:rsidRPr="00FC6034">
        <w:rPr>
          <w:rFonts w:ascii="Times New Roman" w:hAnsi="Times New Roman" w:cs="Times New Roman"/>
          <w:sz w:val="24"/>
          <w:szCs w:val="24"/>
          <w:lang w:val="en-US"/>
        </w:rPr>
        <w:t xml:space="preserve">.  </w:t>
      </w:r>
      <w:r w:rsidR="00AC34B2" w:rsidRPr="00FC6034">
        <w:rPr>
          <w:rFonts w:ascii="Times New Roman" w:hAnsi="Times New Roman" w:cs="Times New Roman"/>
          <w:sz w:val="24"/>
          <w:szCs w:val="24"/>
          <w:lang w:val="en-US"/>
        </w:rPr>
        <w:t xml:space="preserve">Also rejected were articles that were </w:t>
      </w:r>
      <w:r w:rsidR="000F2A7F" w:rsidRPr="00FC6034">
        <w:rPr>
          <w:rFonts w:ascii="Times New Roman" w:hAnsi="Times New Roman" w:cs="Times New Roman"/>
          <w:sz w:val="24"/>
          <w:szCs w:val="24"/>
          <w:lang w:val="en-US"/>
        </w:rPr>
        <w:t xml:space="preserve">highly descriptive </w:t>
      </w:r>
      <w:r w:rsidR="00AC34B2" w:rsidRPr="00FC6034">
        <w:rPr>
          <w:rFonts w:ascii="Times New Roman" w:hAnsi="Times New Roman" w:cs="Times New Roman"/>
          <w:sz w:val="24"/>
          <w:szCs w:val="24"/>
          <w:lang w:val="en-US"/>
        </w:rPr>
        <w:t>with</w:t>
      </w:r>
      <w:r w:rsidR="000F2A7F" w:rsidRPr="00FC6034">
        <w:rPr>
          <w:rFonts w:ascii="Times New Roman" w:hAnsi="Times New Roman" w:cs="Times New Roman"/>
          <w:sz w:val="24"/>
          <w:szCs w:val="24"/>
          <w:lang w:val="en-US"/>
        </w:rPr>
        <w:t xml:space="preserve"> no analysis or commentary on </w:t>
      </w:r>
      <w:r w:rsidR="00AC34B2" w:rsidRPr="00FC6034">
        <w:rPr>
          <w:rFonts w:ascii="Times New Roman" w:hAnsi="Times New Roman" w:cs="Times New Roman"/>
          <w:sz w:val="24"/>
          <w:szCs w:val="24"/>
          <w:lang w:val="en-US"/>
        </w:rPr>
        <w:t>regulatory effectiveness</w:t>
      </w:r>
      <w:r w:rsidR="0002341C" w:rsidRPr="00FC6034">
        <w:rPr>
          <w:rFonts w:ascii="Times New Roman" w:hAnsi="Times New Roman" w:cs="Times New Roman"/>
          <w:sz w:val="24"/>
          <w:szCs w:val="24"/>
          <w:lang w:val="en-US"/>
        </w:rPr>
        <w:t xml:space="preserve">, </w:t>
      </w:r>
      <w:r w:rsidR="00986F20" w:rsidRPr="00FC6034">
        <w:rPr>
          <w:rFonts w:ascii="Times New Roman" w:hAnsi="Times New Roman" w:cs="Times New Roman"/>
          <w:sz w:val="24"/>
          <w:szCs w:val="24"/>
          <w:lang w:val="en-US"/>
        </w:rPr>
        <w:t>for example</w:t>
      </w:r>
      <w:r w:rsidR="0002341C" w:rsidRPr="00FC6034">
        <w:rPr>
          <w:rFonts w:ascii="Times New Roman" w:hAnsi="Times New Roman" w:cs="Times New Roman"/>
          <w:sz w:val="24"/>
          <w:szCs w:val="24"/>
          <w:lang w:val="en-US"/>
        </w:rPr>
        <w:t>,</w:t>
      </w:r>
      <w:r w:rsidR="00986F20" w:rsidRPr="00FC6034">
        <w:rPr>
          <w:rFonts w:ascii="Times New Roman" w:hAnsi="Times New Roman" w:cs="Times New Roman"/>
          <w:sz w:val="24"/>
          <w:szCs w:val="24"/>
          <w:lang w:val="en-US"/>
        </w:rPr>
        <w:t xml:space="preserve"> a timeline of national </w:t>
      </w:r>
      <w:r w:rsidR="0002341C" w:rsidRPr="00FC6034">
        <w:rPr>
          <w:rFonts w:ascii="Times New Roman" w:hAnsi="Times New Roman" w:cs="Times New Roman"/>
          <w:sz w:val="24"/>
          <w:szCs w:val="24"/>
          <w:lang w:val="en-US"/>
        </w:rPr>
        <w:t>reforms</w:t>
      </w:r>
      <w:r w:rsidR="000F2A7F" w:rsidRPr="00FC6034">
        <w:rPr>
          <w:rFonts w:ascii="Times New Roman" w:hAnsi="Times New Roman" w:cs="Times New Roman"/>
          <w:sz w:val="24"/>
          <w:szCs w:val="24"/>
          <w:lang w:val="en-US"/>
        </w:rPr>
        <w:t>.</w:t>
      </w:r>
    </w:p>
    <w:p w14:paraId="29583216" w14:textId="49F22FE3" w:rsidR="00DA77A4" w:rsidRPr="00FC6034" w:rsidRDefault="00AC34B2" w:rsidP="00AE7367">
      <w:pPr>
        <w:spacing w:line="360" w:lineRule="auto"/>
        <w:jc w:val="center"/>
        <w:rPr>
          <w:rFonts w:ascii="Times New Roman" w:hAnsi="Times New Roman" w:cs="Times New Roman"/>
          <w:b/>
          <w:sz w:val="24"/>
          <w:szCs w:val="24"/>
          <w:lang w:val="en-US"/>
        </w:rPr>
      </w:pPr>
      <w:r w:rsidRPr="00FC6034">
        <w:rPr>
          <w:rFonts w:ascii="Times New Roman" w:hAnsi="Times New Roman" w:cs="Times New Roman"/>
          <w:b/>
          <w:sz w:val="24"/>
          <w:szCs w:val="24"/>
          <w:lang w:val="en-US"/>
        </w:rPr>
        <w:t>Insert Figure 1</w:t>
      </w:r>
      <w:r w:rsidR="00FA3362">
        <w:rPr>
          <w:rFonts w:ascii="Times New Roman" w:hAnsi="Times New Roman" w:cs="Times New Roman"/>
          <w:b/>
          <w:sz w:val="24"/>
          <w:szCs w:val="24"/>
          <w:lang w:val="en-US"/>
        </w:rPr>
        <w:t>: Systematic review process</w:t>
      </w:r>
    </w:p>
    <w:p w14:paraId="7ACA18A7" w14:textId="207F72FF" w:rsidR="007356D7" w:rsidRDefault="006B5246"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lastRenderedPageBreak/>
        <w:t>At the analysis stage</w:t>
      </w:r>
      <w:r w:rsidR="007356D7" w:rsidRPr="00FC6034">
        <w:rPr>
          <w:rFonts w:ascii="Times New Roman" w:hAnsi="Times New Roman" w:cs="Times New Roman"/>
          <w:sz w:val="24"/>
          <w:szCs w:val="24"/>
          <w:lang w:val="en-US"/>
        </w:rPr>
        <w:t xml:space="preserve"> papers w</w:t>
      </w:r>
      <w:r w:rsidR="009D18AA" w:rsidRPr="00FC6034">
        <w:rPr>
          <w:rFonts w:ascii="Times New Roman" w:hAnsi="Times New Roman" w:cs="Times New Roman"/>
          <w:sz w:val="24"/>
          <w:szCs w:val="24"/>
          <w:lang w:val="en-US"/>
        </w:rPr>
        <w:t xml:space="preserve">ere </w:t>
      </w:r>
      <w:r w:rsidR="00322448" w:rsidRPr="00FC6034">
        <w:rPr>
          <w:rFonts w:ascii="Times New Roman" w:hAnsi="Times New Roman" w:cs="Times New Roman"/>
          <w:sz w:val="24"/>
          <w:szCs w:val="24"/>
          <w:lang w:val="en-US"/>
        </w:rPr>
        <w:t>cate</w:t>
      </w:r>
      <w:r w:rsidR="00501902">
        <w:rPr>
          <w:rFonts w:ascii="Times New Roman" w:hAnsi="Times New Roman" w:cs="Times New Roman"/>
          <w:sz w:val="24"/>
          <w:szCs w:val="24"/>
          <w:lang w:val="en-US"/>
        </w:rPr>
        <w:t>goris</w:t>
      </w:r>
      <w:r w:rsidR="00322448" w:rsidRPr="00FC6034">
        <w:rPr>
          <w:rFonts w:ascii="Times New Roman" w:hAnsi="Times New Roman" w:cs="Times New Roman"/>
          <w:sz w:val="24"/>
          <w:szCs w:val="24"/>
          <w:lang w:val="en-US"/>
        </w:rPr>
        <w:t>ed</w:t>
      </w:r>
      <w:r w:rsidR="009D18AA" w:rsidRPr="00FC6034">
        <w:rPr>
          <w:rFonts w:ascii="Times New Roman" w:hAnsi="Times New Roman" w:cs="Times New Roman"/>
          <w:sz w:val="24"/>
          <w:szCs w:val="24"/>
          <w:lang w:val="en-US"/>
        </w:rPr>
        <w:t xml:space="preserve"> according to both the regulatory topic and the</w:t>
      </w:r>
      <w:r w:rsidR="007356D7" w:rsidRPr="00FC6034">
        <w:rPr>
          <w:rFonts w:ascii="Times New Roman" w:hAnsi="Times New Roman" w:cs="Times New Roman"/>
          <w:sz w:val="24"/>
          <w:szCs w:val="24"/>
          <w:lang w:val="en-US"/>
        </w:rPr>
        <w:t xml:space="preserve"> </w:t>
      </w:r>
      <w:r w:rsidR="00407424" w:rsidRPr="00FC6034">
        <w:rPr>
          <w:rFonts w:ascii="Times New Roman" w:hAnsi="Times New Roman" w:cs="Times New Roman"/>
          <w:sz w:val="24"/>
          <w:szCs w:val="24"/>
          <w:lang w:val="en-US"/>
        </w:rPr>
        <w:t>theories</w:t>
      </w:r>
      <w:r w:rsidR="007356D7" w:rsidRPr="00FC6034">
        <w:rPr>
          <w:rFonts w:ascii="Times New Roman" w:hAnsi="Times New Roman" w:cs="Times New Roman"/>
          <w:sz w:val="24"/>
          <w:szCs w:val="24"/>
          <w:lang w:val="en-US"/>
        </w:rPr>
        <w:t xml:space="preserve"> or argument</w:t>
      </w:r>
      <w:r w:rsidR="00407424" w:rsidRPr="00FC6034">
        <w:rPr>
          <w:rFonts w:ascii="Times New Roman" w:hAnsi="Times New Roman" w:cs="Times New Roman"/>
          <w:sz w:val="24"/>
          <w:szCs w:val="24"/>
          <w:lang w:val="en-US"/>
        </w:rPr>
        <w:t>s</w:t>
      </w:r>
      <w:r w:rsidR="007356D7" w:rsidRPr="00FC6034">
        <w:rPr>
          <w:rFonts w:ascii="Times New Roman" w:hAnsi="Times New Roman" w:cs="Times New Roman"/>
          <w:sz w:val="24"/>
          <w:szCs w:val="24"/>
          <w:lang w:val="en-US"/>
        </w:rPr>
        <w:t xml:space="preserve"> used to explain regulatory effectiveness or ineffectiveness.  </w:t>
      </w:r>
      <w:r w:rsidRPr="00FC6034">
        <w:rPr>
          <w:rFonts w:ascii="Times New Roman" w:hAnsi="Times New Roman" w:cs="Times New Roman"/>
          <w:sz w:val="24"/>
          <w:szCs w:val="24"/>
          <w:lang w:val="en-US"/>
        </w:rPr>
        <w:t xml:space="preserve">Coding decisions were discussed between the author and experienced research assistant until agreement was reached.  </w:t>
      </w:r>
      <w:r w:rsidR="00AB5C22" w:rsidRPr="00AB5C22">
        <w:rPr>
          <w:rFonts w:ascii="Times New Roman" w:hAnsi="Times New Roman" w:cs="Times New Roman"/>
          <w:b/>
          <w:sz w:val="24"/>
          <w:szCs w:val="24"/>
          <w:lang w:val="en-US"/>
        </w:rPr>
        <w:t>Table 1</w:t>
      </w:r>
      <w:r w:rsidR="00AB5C22">
        <w:rPr>
          <w:rFonts w:ascii="Times New Roman" w:hAnsi="Times New Roman" w:cs="Times New Roman"/>
          <w:sz w:val="24"/>
          <w:szCs w:val="24"/>
          <w:lang w:val="en-US"/>
        </w:rPr>
        <w:t xml:space="preserve"> shows the spread of papers across topics.  </w:t>
      </w:r>
      <w:r w:rsidR="00AB5C22" w:rsidRPr="00FC6034">
        <w:rPr>
          <w:rFonts w:ascii="Times New Roman" w:hAnsi="Times New Roman" w:cs="Times New Roman"/>
          <w:sz w:val="24"/>
          <w:szCs w:val="24"/>
          <w:lang w:val="en-US"/>
        </w:rPr>
        <w:t>Of course some articles dealt with more than one topic so were counted in multiple categories.  Hence the total number of papers was less than the</w:t>
      </w:r>
      <w:r w:rsidR="00AB5C22">
        <w:rPr>
          <w:rFonts w:ascii="Times New Roman" w:hAnsi="Times New Roman" w:cs="Times New Roman"/>
          <w:sz w:val="24"/>
          <w:szCs w:val="24"/>
          <w:lang w:val="en-US"/>
        </w:rPr>
        <w:t xml:space="preserve"> sum of all topic references.  </w:t>
      </w:r>
      <w:r w:rsidR="007356D7" w:rsidRPr="00FC6034">
        <w:rPr>
          <w:rFonts w:ascii="Times New Roman" w:hAnsi="Times New Roman" w:cs="Times New Roman"/>
          <w:sz w:val="24"/>
          <w:szCs w:val="24"/>
          <w:lang w:val="en-US"/>
        </w:rPr>
        <w:t xml:space="preserve">Many papers did not explicitly state their theoretical stance, rather they identified conditions affecting regulatory effectiveness.  Thus themes arose from the data in an inductive manner and were merged and consolidated into </w:t>
      </w:r>
      <w:r w:rsidR="0018127D" w:rsidRPr="00FC6034">
        <w:rPr>
          <w:rFonts w:ascii="Times New Roman" w:hAnsi="Times New Roman" w:cs="Times New Roman"/>
          <w:sz w:val="24"/>
          <w:szCs w:val="24"/>
          <w:lang w:val="en-US"/>
        </w:rPr>
        <w:t>structural</w:t>
      </w:r>
      <w:r w:rsidRPr="00FC6034">
        <w:rPr>
          <w:rFonts w:ascii="Times New Roman" w:hAnsi="Times New Roman" w:cs="Times New Roman"/>
          <w:sz w:val="24"/>
          <w:szCs w:val="24"/>
          <w:lang w:val="en-US"/>
        </w:rPr>
        <w:t xml:space="preserve"> levels (presented in </w:t>
      </w:r>
      <w:r w:rsidR="00995EBE">
        <w:rPr>
          <w:rFonts w:ascii="Times New Roman" w:hAnsi="Times New Roman" w:cs="Times New Roman"/>
          <w:sz w:val="24"/>
          <w:szCs w:val="24"/>
          <w:lang w:val="en-US"/>
        </w:rPr>
        <w:t>Part</w:t>
      </w:r>
      <w:r w:rsidRPr="00FC6034">
        <w:rPr>
          <w:rFonts w:ascii="Times New Roman" w:hAnsi="Times New Roman" w:cs="Times New Roman"/>
          <w:sz w:val="24"/>
          <w:szCs w:val="24"/>
          <w:lang w:val="en-US"/>
        </w:rPr>
        <w:t xml:space="preserve"> 3</w:t>
      </w:r>
      <w:r w:rsidR="003B01E2" w:rsidRPr="00FC6034">
        <w:rPr>
          <w:rFonts w:ascii="Times New Roman" w:hAnsi="Times New Roman" w:cs="Times New Roman"/>
          <w:sz w:val="24"/>
          <w:szCs w:val="24"/>
          <w:lang w:val="en-US"/>
        </w:rPr>
        <w:t>)</w:t>
      </w:r>
      <w:r w:rsidR="0018127D" w:rsidRPr="00FC6034">
        <w:rPr>
          <w:rFonts w:ascii="Times New Roman" w:hAnsi="Times New Roman" w:cs="Times New Roman"/>
          <w:sz w:val="24"/>
          <w:szCs w:val="24"/>
          <w:lang w:val="en-US"/>
        </w:rPr>
        <w:t xml:space="preserve"> and higher level themes</w:t>
      </w:r>
      <w:r w:rsidRPr="00FC6034">
        <w:rPr>
          <w:rFonts w:ascii="Times New Roman" w:hAnsi="Times New Roman" w:cs="Times New Roman"/>
          <w:sz w:val="24"/>
          <w:szCs w:val="24"/>
          <w:lang w:val="en-US"/>
        </w:rPr>
        <w:t xml:space="preserve"> (presented in </w:t>
      </w:r>
      <w:r w:rsidR="00995EBE">
        <w:rPr>
          <w:rFonts w:ascii="Times New Roman" w:hAnsi="Times New Roman" w:cs="Times New Roman"/>
          <w:sz w:val="24"/>
          <w:szCs w:val="24"/>
          <w:lang w:val="en-US"/>
        </w:rPr>
        <w:t>Part</w:t>
      </w:r>
      <w:r w:rsidRPr="00FC6034">
        <w:rPr>
          <w:rFonts w:ascii="Times New Roman" w:hAnsi="Times New Roman" w:cs="Times New Roman"/>
          <w:sz w:val="24"/>
          <w:szCs w:val="24"/>
          <w:lang w:val="en-US"/>
        </w:rPr>
        <w:t xml:space="preserve"> 4</w:t>
      </w:r>
      <w:r w:rsidR="003B01E2" w:rsidRPr="00FC6034">
        <w:rPr>
          <w:rFonts w:ascii="Times New Roman" w:hAnsi="Times New Roman" w:cs="Times New Roman"/>
          <w:sz w:val="24"/>
          <w:szCs w:val="24"/>
          <w:lang w:val="en-US"/>
        </w:rPr>
        <w:t>)</w:t>
      </w:r>
      <w:r w:rsidR="007356D7" w:rsidRPr="00FC6034">
        <w:rPr>
          <w:rFonts w:ascii="Times New Roman" w:hAnsi="Times New Roman" w:cs="Times New Roman"/>
          <w:sz w:val="24"/>
          <w:szCs w:val="24"/>
          <w:lang w:val="en-US"/>
        </w:rPr>
        <w:t xml:space="preserve">.  </w:t>
      </w:r>
    </w:p>
    <w:p w14:paraId="2C5CB6F3" w14:textId="5EE9D81E" w:rsidR="00AB5C22" w:rsidRPr="00FC6034" w:rsidRDefault="00AB5C22" w:rsidP="00AE7367">
      <w:pPr>
        <w:spacing w:line="360" w:lineRule="auto"/>
        <w:jc w:val="center"/>
        <w:rPr>
          <w:rFonts w:ascii="Times New Roman" w:hAnsi="Times New Roman" w:cs="Times New Roman"/>
          <w:sz w:val="24"/>
          <w:szCs w:val="24"/>
          <w:lang w:val="en-US"/>
        </w:rPr>
      </w:pPr>
      <w:r w:rsidRPr="00FC6034">
        <w:rPr>
          <w:rFonts w:ascii="Times New Roman" w:hAnsi="Times New Roman" w:cs="Times New Roman"/>
          <w:b/>
          <w:sz w:val="24"/>
          <w:szCs w:val="24"/>
          <w:lang w:val="en-US"/>
        </w:rPr>
        <w:t>Insert Table 1</w:t>
      </w:r>
      <w:r w:rsidR="00FA3362">
        <w:rPr>
          <w:rFonts w:ascii="Times New Roman" w:hAnsi="Times New Roman" w:cs="Times New Roman"/>
          <w:b/>
          <w:sz w:val="24"/>
          <w:szCs w:val="24"/>
          <w:lang w:val="en-US"/>
        </w:rPr>
        <w:t>: Regulatory reform topics</w:t>
      </w:r>
    </w:p>
    <w:p w14:paraId="79575F5F" w14:textId="18FD9660" w:rsidR="007E3464" w:rsidRPr="00FC6034" w:rsidRDefault="00F0627C" w:rsidP="00AE7367">
      <w:pPr>
        <w:pStyle w:val="Heading1"/>
        <w:spacing w:line="360" w:lineRule="auto"/>
      </w:pPr>
      <w:r w:rsidRPr="00FC6034">
        <w:t xml:space="preserve">Regulatory </w:t>
      </w:r>
      <w:r w:rsidR="00407424" w:rsidRPr="00FC6034">
        <w:t>effectiveness</w:t>
      </w:r>
      <w:r w:rsidRPr="00FC6034">
        <w:t xml:space="preserve">: </w:t>
      </w:r>
      <w:r w:rsidR="007356D7" w:rsidRPr="00FC6034">
        <w:t xml:space="preserve">structural </w:t>
      </w:r>
      <w:r w:rsidR="00995EBE">
        <w:t>levels</w:t>
      </w:r>
      <w:r w:rsidRPr="00FC6034">
        <w:t xml:space="preserve"> </w:t>
      </w:r>
    </w:p>
    <w:p w14:paraId="16719D83" w14:textId="4061EAFD" w:rsidR="006B61EB" w:rsidRDefault="006B5246"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The </w:t>
      </w:r>
      <w:r w:rsidR="005F5B92" w:rsidRPr="00FC6034">
        <w:rPr>
          <w:rFonts w:ascii="Times New Roman" w:hAnsi="Times New Roman" w:cs="Times New Roman"/>
          <w:sz w:val="24"/>
          <w:szCs w:val="24"/>
          <w:lang w:val="en-US"/>
        </w:rPr>
        <w:t xml:space="preserve">literature </w:t>
      </w:r>
      <w:r w:rsidR="005B205E" w:rsidRPr="00FC6034">
        <w:rPr>
          <w:rFonts w:ascii="Times New Roman" w:hAnsi="Times New Roman" w:cs="Times New Roman"/>
          <w:sz w:val="24"/>
          <w:szCs w:val="24"/>
          <w:lang w:val="en-US"/>
        </w:rPr>
        <w:t>reveal</w:t>
      </w:r>
      <w:r w:rsidR="005F5B92" w:rsidRPr="00FC6034">
        <w:rPr>
          <w:rFonts w:ascii="Times New Roman" w:hAnsi="Times New Roman" w:cs="Times New Roman"/>
          <w:sz w:val="24"/>
          <w:szCs w:val="24"/>
          <w:lang w:val="en-US"/>
        </w:rPr>
        <w:t>s</w:t>
      </w:r>
      <w:r w:rsidR="00F0627C" w:rsidRPr="00FC6034">
        <w:rPr>
          <w:rFonts w:ascii="Times New Roman" w:hAnsi="Times New Roman" w:cs="Times New Roman"/>
          <w:sz w:val="24"/>
          <w:szCs w:val="24"/>
          <w:lang w:val="en-US"/>
        </w:rPr>
        <w:t xml:space="preserve"> three</w:t>
      </w:r>
      <w:r w:rsidR="00995EBE">
        <w:rPr>
          <w:rFonts w:ascii="Times New Roman" w:hAnsi="Times New Roman" w:cs="Times New Roman"/>
          <w:sz w:val="24"/>
          <w:szCs w:val="24"/>
          <w:lang w:val="en-US"/>
        </w:rPr>
        <w:t xml:space="preserve"> structural</w:t>
      </w:r>
      <w:r w:rsidR="00F0627C" w:rsidRPr="00FC6034">
        <w:rPr>
          <w:rFonts w:ascii="Times New Roman" w:hAnsi="Times New Roman" w:cs="Times New Roman"/>
          <w:sz w:val="24"/>
          <w:szCs w:val="24"/>
          <w:lang w:val="en-US"/>
        </w:rPr>
        <w:t xml:space="preserve"> </w:t>
      </w:r>
      <w:r w:rsidR="00995EBE">
        <w:rPr>
          <w:rFonts w:ascii="Times New Roman" w:hAnsi="Times New Roman" w:cs="Times New Roman"/>
          <w:sz w:val="24"/>
          <w:szCs w:val="24"/>
          <w:lang w:val="en-US"/>
        </w:rPr>
        <w:t>levels</w:t>
      </w:r>
      <w:r w:rsidR="00F0627C" w:rsidRPr="00FC6034">
        <w:rPr>
          <w:rFonts w:ascii="Times New Roman" w:hAnsi="Times New Roman" w:cs="Times New Roman"/>
          <w:sz w:val="24"/>
          <w:szCs w:val="24"/>
          <w:lang w:val="en-US"/>
        </w:rPr>
        <w:t xml:space="preserve"> seen</w:t>
      </w:r>
      <w:r w:rsidR="00BB094A">
        <w:rPr>
          <w:rFonts w:ascii="Times New Roman" w:hAnsi="Times New Roman" w:cs="Times New Roman"/>
          <w:sz w:val="24"/>
          <w:szCs w:val="24"/>
          <w:lang w:val="en-US"/>
        </w:rPr>
        <w:t xml:space="preserve"> by scholars</w:t>
      </w:r>
      <w:r w:rsidR="00F0627C" w:rsidRPr="00FC6034">
        <w:rPr>
          <w:rFonts w:ascii="Times New Roman" w:hAnsi="Times New Roman" w:cs="Times New Roman"/>
          <w:sz w:val="24"/>
          <w:szCs w:val="24"/>
          <w:lang w:val="en-US"/>
        </w:rPr>
        <w:t xml:space="preserve"> to influence regulatory effectiveness</w:t>
      </w:r>
      <w:r w:rsidR="00501902">
        <w:rPr>
          <w:rFonts w:ascii="Times New Roman" w:hAnsi="Times New Roman" w:cs="Times New Roman"/>
          <w:sz w:val="24"/>
          <w:szCs w:val="24"/>
          <w:lang w:val="en-US"/>
        </w:rPr>
        <w:t>, with many paper</w:t>
      </w:r>
      <w:r w:rsidR="007C0612">
        <w:rPr>
          <w:rFonts w:ascii="Times New Roman" w:hAnsi="Times New Roman" w:cs="Times New Roman"/>
          <w:sz w:val="24"/>
          <w:szCs w:val="24"/>
          <w:lang w:val="en-US"/>
        </w:rPr>
        <w:t>s</w:t>
      </w:r>
      <w:r w:rsidR="00501902">
        <w:rPr>
          <w:rFonts w:ascii="Times New Roman" w:hAnsi="Times New Roman" w:cs="Times New Roman"/>
          <w:sz w:val="24"/>
          <w:szCs w:val="24"/>
          <w:lang w:val="en-US"/>
        </w:rPr>
        <w:t xml:space="preserve"> focusing their analysis at only one level</w:t>
      </w:r>
      <w:r w:rsidR="00F0627C" w:rsidRPr="00FC6034">
        <w:rPr>
          <w:rFonts w:ascii="Times New Roman" w:hAnsi="Times New Roman" w:cs="Times New Roman"/>
          <w:sz w:val="24"/>
          <w:szCs w:val="24"/>
          <w:lang w:val="en-US"/>
        </w:rPr>
        <w:t xml:space="preserve">: </w:t>
      </w:r>
      <w:r w:rsidR="00501902">
        <w:rPr>
          <w:rFonts w:ascii="Times New Roman" w:hAnsi="Times New Roman" w:cs="Times New Roman"/>
          <w:sz w:val="24"/>
          <w:szCs w:val="24"/>
          <w:lang w:val="en-US"/>
        </w:rPr>
        <w:t>(1) the architectural level in terms of who regulates what</w:t>
      </w:r>
      <w:r w:rsidR="007C0612">
        <w:rPr>
          <w:rFonts w:ascii="Times New Roman" w:hAnsi="Times New Roman" w:cs="Times New Roman"/>
          <w:sz w:val="24"/>
          <w:szCs w:val="24"/>
          <w:lang w:val="en-US"/>
        </w:rPr>
        <w:t>;</w:t>
      </w:r>
      <w:r w:rsidR="00501902">
        <w:rPr>
          <w:rFonts w:ascii="Times New Roman" w:hAnsi="Times New Roman" w:cs="Times New Roman"/>
          <w:sz w:val="24"/>
          <w:szCs w:val="24"/>
          <w:lang w:val="en-US"/>
        </w:rPr>
        <w:t xml:space="preserve"> (2) the processual level in terms of the style of mechanism of regulation;</w:t>
      </w:r>
      <w:r w:rsidR="00501902" w:rsidRPr="00FC6034">
        <w:rPr>
          <w:rFonts w:ascii="Times New Roman" w:hAnsi="Times New Roman" w:cs="Times New Roman"/>
          <w:sz w:val="24"/>
          <w:szCs w:val="24"/>
          <w:lang w:val="en-US"/>
        </w:rPr>
        <w:t xml:space="preserve"> and</w:t>
      </w:r>
      <w:r w:rsidR="00501902">
        <w:rPr>
          <w:rFonts w:ascii="Times New Roman" w:hAnsi="Times New Roman" w:cs="Times New Roman"/>
          <w:sz w:val="24"/>
          <w:szCs w:val="24"/>
          <w:lang w:val="en-US"/>
        </w:rPr>
        <w:t xml:space="preserve"> (3) the level of regulatory </w:t>
      </w:r>
      <w:r w:rsidR="00501902" w:rsidRPr="00FC6034">
        <w:rPr>
          <w:rFonts w:ascii="Times New Roman" w:hAnsi="Times New Roman" w:cs="Times New Roman"/>
          <w:sz w:val="24"/>
          <w:szCs w:val="24"/>
          <w:lang w:val="en-US"/>
        </w:rPr>
        <w:t>content</w:t>
      </w:r>
      <w:r w:rsidR="00501902">
        <w:rPr>
          <w:rFonts w:ascii="Times New Roman" w:hAnsi="Times New Roman" w:cs="Times New Roman"/>
          <w:sz w:val="24"/>
          <w:szCs w:val="24"/>
          <w:lang w:val="en-US"/>
        </w:rPr>
        <w:t xml:space="preserve"> – the details of the rules or standards</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6"/>
      </w:r>
      <w:r w:rsidR="00F0627C" w:rsidRPr="00FC6034">
        <w:rPr>
          <w:rFonts w:ascii="Times New Roman" w:hAnsi="Times New Roman" w:cs="Times New Roman"/>
          <w:sz w:val="24"/>
          <w:szCs w:val="24"/>
          <w:lang w:val="en-US"/>
        </w:rPr>
        <w:t xml:space="preserve">  </w:t>
      </w:r>
      <w:r w:rsidR="005F5B92" w:rsidRPr="00FC6034">
        <w:rPr>
          <w:rFonts w:ascii="Times New Roman" w:hAnsi="Times New Roman" w:cs="Times New Roman"/>
          <w:sz w:val="24"/>
          <w:szCs w:val="24"/>
          <w:lang w:val="en-US"/>
        </w:rPr>
        <w:t>Each of these three</w:t>
      </w:r>
      <w:r w:rsidR="00557892" w:rsidRPr="00FC6034">
        <w:rPr>
          <w:rFonts w:ascii="Times New Roman" w:hAnsi="Times New Roman" w:cs="Times New Roman"/>
          <w:sz w:val="24"/>
          <w:szCs w:val="24"/>
          <w:lang w:val="en-US"/>
        </w:rPr>
        <w:t xml:space="preserve"> interrelated</w:t>
      </w:r>
      <w:r w:rsidR="005F5B92" w:rsidRPr="00FC6034">
        <w:rPr>
          <w:rFonts w:ascii="Times New Roman" w:hAnsi="Times New Roman" w:cs="Times New Roman"/>
          <w:sz w:val="24"/>
          <w:szCs w:val="24"/>
          <w:lang w:val="en-US"/>
        </w:rPr>
        <w:t xml:space="preserve"> areas is discussed below.  </w:t>
      </w:r>
    </w:p>
    <w:p w14:paraId="54D7BF2C" w14:textId="77777777" w:rsidR="00C97F55" w:rsidRPr="00C657A9" w:rsidRDefault="00C97F55" w:rsidP="00AE7367">
      <w:pPr>
        <w:pStyle w:val="Heading2"/>
        <w:spacing w:line="360" w:lineRule="auto"/>
      </w:pPr>
      <w:r w:rsidRPr="00C657A9">
        <w:t xml:space="preserve">Regulatory architecture </w:t>
      </w:r>
    </w:p>
    <w:p w14:paraId="46525D31" w14:textId="2197D11B" w:rsidR="00B11993" w:rsidRPr="00FC6034" w:rsidRDefault="00BF24F9"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Regulatory architecture refers to the structure of a regulatory regime in term</w:t>
      </w:r>
      <w:r w:rsidR="002B01D1" w:rsidRPr="00FC6034">
        <w:rPr>
          <w:rFonts w:ascii="Times New Roman" w:hAnsi="Times New Roman" w:cs="Times New Roman"/>
          <w:sz w:val="24"/>
          <w:szCs w:val="24"/>
          <w:lang w:val="en-US"/>
        </w:rPr>
        <w:t xml:space="preserve">s of its institutional </w:t>
      </w:r>
      <w:r w:rsidR="00D828C7" w:rsidRPr="00FC6034">
        <w:rPr>
          <w:rFonts w:ascii="Times New Roman" w:hAnsi="Times New Roman" w:cs="Times New Roman"/>
          <w:sz w:val="24"/>
          <w:szCs w:val="24"/>
          <w:lang w:val="en-US"/>
        </w:rPr>
        <w:t xml:space="preserve">and </w:t>
      </w:r>
      <w:r w:rsidR="00DD5FF1">
        <w:rPr>
          <w:rFonts w:ascii="Times New Roman" w:hAnsi="Times New Roman" w:cs="Times New Roman"/>
          <w:sz w:val="24"/>
          <w:szCs w:val="24"/>
          <w:lang w:val="en-US"/>
        </w:rPr>
        <w:t>organis</w:t>
      </w:r>
      <w:r w:rsidR="00322448" w:rsidRPr="00FC6034">
        <w:rPr>
          <w:rFonts w:ascii="Times New Roman" w:hAnsi="Times New Roman" w:cs="Times New Roman"/>
          <w:sz w:val="24"/>
          <w:szCs w:val="24"/>
          <w:lang w:val="en-US"/>
        </w:rPr>
        <w:t>ational</w:t>
      </w:r>
      <w:r w:rsidR="00D828C7" w:rsidRPr="00FC6034">
        <w:rPr>
          <w:rFonts w:ascii="Times New Roman" w:hAnsi="Times New Roman" w:cs="Times New Roman"/>
          <w:sz w:val="24"/>
          <w:szCs w:val="24"/>
          <w:lang w:val="en-US"/>
        </w:rPr>
        <w:t xml:space="preserve"> </w:t>
      </w:r>
      <w:r w:rsidR="002B01D1" w:rsidRPr="00FC6034">
        <w:rPr>
          <w:rFonts w:ascii="Times New Roman" w:hAnsi="Times New Roman" w:cs="Times New Roman"/>
          <w:sz w:val="24"/>
          <w:szCs w:val="24"/>
          <w:lang w:val="en-US"/>
        </w:rPr>
        <w:t xml:space="preserve">design.  </w:t>
      </w:r>
      <w:r w:rsidR="00872EEC" w:rsidRPr="00FC6034">
        <w:rPr>
          <w:rFonts w:ascii="Times New Roman" w:hAnsi="Times New Roman" w:cs="Times New Roman"/>
          <w:sz w:val="24"/>
          <w:szCs w:val="24"/>
          <w:lang w:val="en-US"/>
        </w:rPr>
        <w:t xml:space="preserve">This can be at an international, regional or national level.  </w:t>
      </w:r>
      <w:r w:rsidR="00A6170C" w:rsidRPr="00FC6034">
        <w:rPr>
          <w:rFonts w:ascii="Times New Roman" w:hAnsi="Times New Roman" w:cs="Times New Roman"/>
          <w:sz w:val="24"/>
          <w:szCs w:val="24"/>
          <w:lang w:val="en-US"/>
        </w:rPr>
        <w:t xml:space="preserve">At an international level financial markets have been regulated by a system of codes and standards set up over the last 30-40 years as a response to the </w:t>
      </w:r>
      <w:r w:rsidR="00DD5FF1">
        <w:rPr>
          <w:rFonts w:ascii="Times New Roman" w:hAnsi="Times New Roman" w:cs="Times New Roman"/>
          <w:sz w:val="24"/>
          <w:szCs w:val="24"/>
          <w:lang w:val="en-US"/>
        </w:rPr>
        <w:t>globalis</w:t>
      </w:r>
      <w:r w:rsidR="00322448" w:rsidRPr="00FC6034">
        <w:rPr>
          <w:rFonts w:ascii="Times New Roman" w:hAnsi="Times New Roman" w:cs="Times New Roman"/>
          <w:sz w:val="24"/>
          <w:szCs w:val="24"/>
          <w:lang w:val="en-US"/>
        </w:rPr>
        <w:t>ation</w:t>
      </w:r>
      <w:r w:rsidR="00BB094A">
        <w:rPr>
          <w:rFonts w:ascii="Times New Roman" w:hAnsi="Times New Roman" w:cs="Times New Roman"/>
          <w:sz w:val="24"/>
          <w:szCs w:val="24"/>
          <w:lang w:val="en-US"/>
        </w:rPr>
        <w:t xml:space="preserve"> of finance.</w:t>
      </w:r>
      <w:r w:rsidR="00E85E09">
        <w:rPr>
          <w:rStyle w:val="FootnoteReference"/>
          <w:rFonts w:ascii="Times New Roman" w:hAnsi="Times New Roman" w:cs="Times New Roman"/>
          <w:sz w:val="24"/>
          <w:szCs w:val="24"/>
          <w:lang w:val="en-US"/>
        </w:rPr>
        <w:footnoteReference w:id="17"/>
      </w:r>
      <w:r w:rsidR="00A6170C" w:rsidRPr="00FC6034">
        <w:rPr>
          <w:rFonts w:ascii="Times New Roman" w:hAnsi="Times New Roman" w:cs="Times New Roman"/>
          <w:sz w:val="24"/>
          <w:szCs w:val="24"/>
          <w:lang w:val="en-US"/>
        </w:rPr>
        <w:t xml:space="preserve">  </w:t>
      </w:r>
      <w:r w:rsidR="00BB094A">
        <w:rPr>
          <w:rFonts w:ascii="Times New Roman" w:hAnsi="Times New Roman" w:cs="Times New Roman"/>
          <w:sz w:val="24"/>
          <w:szCs w:val="24"/>
          <w:lang w:val="en-US"/>
        </w:rPr>
        <w:t>Organis</w:t>
      </w:r>
      <w:r w:rsidR="00322448" w:rsidRPr="00FC6034">
        <w:rPr>
          <w:rFonts w:ascii="Times New Roman" w:hAnsi="Times New Roman" w:cs="Times New Roman"/>
          <w:sz w:val="24"/>
          <w:szCs w:val="24"/>
          <w:lang w:val="en-US"/>
        </w:rPr>
        <w:t>ations</w:t>
      </w:r>
      <w:r w:rsidR="00A6170C" w:rsidRPr="00FC6034">
        <w:rPr>
          <w:rFonts w:ascii="Times New Roman" w:hAnsi="Times New Roman" w:cs="Times New Roman"/>
          <w:sz w:val="24"/>
          <w:szCs w:val="24"/>
          <w:lang w:val="en-US"/>
        </w:rPr>
        <w:t xml:space="preserve"> involved in this policy network include the International Monetary Fund (IMF); the Bank of International Settlements (BIS), the Basel Committee on Banking Supervision (</w:t>
      </w:r>
      <w:r w:rsidR="009B3850" w:rsidRPr="00FC6034">
        <w:rPr>
          <w:rFonts w:ascii="Times New Roman" w:hAnsi="Times New Roman" w:cs="Times New Roman"/>
          <w:sz w:val="24"/>
          <w:szCs w:val="24"/>
          <w:lang w:val="en-US"/>
        </w:rPr>
        <w:t>BCBS</w:t>
      </w:r>
      <w:r w:rsidR="00A6170C" w:rsidRPr="00FC6034">
        <w:rPr>
          <w:rFonts w:ascii="Times New Roman" w:hAnsi="Times New Roman" w:cs="Times New Roman"/>
          <w:sz w:val="24"/>
          <w:szCs w:val="24"/>
          <w:lang w:val="en-US"/>
        </w:rPr>
        <w:t>), the International Organisation of Securities Commissions (IOSCO) and the International Ac</w:t>
      </w:r>
      <w:r w:rsidR="00BB094A">
        <w:rPr>
          <w:rFonts w:ascii="Times New Roman" w:hAnsi="Times New Roman" w:cs="Times New Roman"/>
          <w:sz w:val="24"/>
          <w:szCs w:val="24"/>
          <w:lang w:val="en-US"/>
        </w:rPr>
        <w:t>counting Standards Board (IASB).</w:t>
      </w:r>
      <w:r w:rsidR="00E85E09">
        <w:rPr>
          <w:rStyle w:val="FootnoteReference"/>
          <w:rFonts w:ascii="Times New Roman" w:hAnsi="Times New Roman" w:cs="Times New Roman"/>
          <w:sz w:val="24"/>
          <w:szCs w:val="24"/>
          <w:lang w:val="en-US"/>
        </w:rPr>
        <w:footnoteReference w:id="18"/>
      </w:r>
      <w:r w:rsidR="00B11993" w:rsidRPr="00FC6034">
        <w:rPr>
          <w:rFonts w:ascii="Times New Roman" w:hAnsi="Times New Roman" w:cs="Times New Roman"/>
          <w:sz w:val="24"/>
          <w:szCs w:val="24"/>
          <w:lang w:val="en-US"/>
        </w:rPr>
        <w:t xml:space="preserve">  </w:t>
      </w:r>
    </w:p>
    <w:p w14:paraId="0C0FAE21" w14:textId="49FCA323" w:rsidR="00BF7612" w:rsidRPr="00FC6034" w:rsidRDefault="00A6170C"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lastRenderedPageBreak/>
        <w:t>Post-GFC, the G20 initiated renewed efforts to improve these systems beg</w:t>
      </w:r>
      <w:r w:rsidR="0030490F">
        <w:rPr>
          <w:rFonts w:ascii="Times New Roman" w:hAnsi="Times New Roman" w:cs="Times New Roman"/>
          <w:sz w:val="24"/>
          <w:szCs w:val="24"/>
          <w:lang w:val="en-US"/>
        </w:rPr>
        <w:t>inning with its declaration on “</w:t>
      </w:r>
      <w:r w:rsidRPr="00FC6034">
        <w:rPr>
          <w:rFonts w:ascii="Times New Roman" w:hAnsi="Times New Roman" w:cs="Times New Roman"/>
          <w:sz w:val="24"/>
          <w:szCs w:val="24"/>
          <w:lang w:val="en-US"/>
        </w:rPr>
        <w:t>Str</w:t>
      </w:r>
      <w:r w:rsidR="0030490F">
        <w:rPr>
          <w:rFonts w:ascii="Times New Roman" w:hAnsi="Times New Roman" w:cs="Times New Roman"/>
          <w:sz w:val="24"/>
          <w:szCs w:val="24"/>
          <w:lang w:val="en-US"/>
        </w:rPr>
        <w:t>engthening the Financial System”</w:t>
      </w:r>
      <w:r w:rsidRPr="00FC6034">
        <w:rPr>
          <w:rFonts w:ascii="Times New Roman" w:hAnsi="Times New Roman" w:cs="Times New Roman"/>
          <w:sz w:val="24"/>
          <w:szCs w:val="24"/>
          <w:lang w:val="en-US"/>
        </w:rPr>
        <w:t xml:space="preserve"> of 2 April 2009.  Of course, the switch from the G7 to the G20 as the basis for financial oversight was itself an architectural response to the crisis based on wide recognition th</w:t>
      </w:r>
      <w:r w:rsidR="00DD5FF1">
        <w:rPr>
          <w:rFonts w:ascii="Times New Roman" w:hAnsi="Times New Roman" w:cs="Times New Roman"/>
          <w:sz w:val="24"/>
          <w:szCs w:val="24"/>
          <w:lang w:val="en-US"/>
        </w:rPr>
        <w:t>at membership should be broader</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9"/>
      </w:r>
      <w:r w:rsidRPr="00FC6034">
        <w:rPr>
          <w:rFonts w:ascii="Times New Roman" w:hAnsi="Times New Roman" w:cs="Times New Roman"/>
          <w:sz w:val="24"/>
          <w:szCs w:val="24"/>
          <w:lang w:val="en-US"/>
        </w:rPr>
        <w:t xml:space="preserve">  </w:t>
      </w:r>
      <w:r w:rsidR="00BF7612" w:rsidRPr="00FC6034">
        <w:rPr>
          <w:rFonts w:ascii="Times New Roman" w:hAnsi="Times New Roman" w:cs="Times New Roman"/>
          <w:sz w:val="24"/>
          <w:szCs w:val="24"/>
          <w:lang w:val="en-US"/>
        </w:rPr>
        <w:t xml:space="preserve">At the core of the </w:t>
      </w:r>
      <w:r w:rsidR="00B11993" w:rsidRPr="00FC6034">
        <w:rPr>
          <w:rFonts w:ascii="Times New Roman" w:hAnsi="Times New Roman" w:cs="Times New Roman"/>
          <w:sz w:val="24"/>
          <w:szCs w:val="24"/>
          <w:lang w:val="en-US"/>
        </w:rPr>
        <w:t>G20</w:t>
      </w:r>
      <w:r w:rsidR="00BF7612" w:rsidRPr="00FC6034">
        <w:rPr>
          <w:rFonts w:ascii="Times New Roman" w:hAnsi="Times New Roman" w:cs="Times New Roman"/>
          <w:sz w:val="24"/>
          <w:szCs w:val="24"/>
          <w:lang w:val="en-US"/>
        </w:rPr>
        <w:t xml:space="preserve"> plan sits the F</w:t>
      </w:r>
      <w:r w:rsidR="0012106B" w:rsidRPr="00FC6034">
        <w:rPr>
          <w:rFonts w:ascii="Times New Roman" w:hAnsi="Times New Roman" w:cs="Times New Roman"/>
          <w:sz w:val="24"/>
          <w:szCs w:val="24"/>
          <w:lang w:val="en-US"/>
        </w:rPr>
        <w:t xml:space="preserve">inancial Stability Board (FSB), </w:t>
      </w:r>
      <w:r w:rsidR="00BF7612" w:rsidRPr="00FC6034">
        <w:rPr>
          <w:rFonts w:ascii="Times New Roman" w:hAnsi="Times New Roman" w:cs="Times New Roman"/>
          <w:sz w:val="24"/>
          <w:szCs w:val="24"/>
          <w:lang w:val="en-US"/>
        </w:rPr>
        <w:t>successor to the Financial Stability Forum</w:t>
      </w:r>
      <w:r w:rsidR="0012106B" w:rsidRPr="00FC6034">
        <w:rPr>
          <w:rFonts w:ascii="Times New Roman" w:hAnsi="Times New Roman" w:cs="Times New Roman"/>
          <w:sz w:val="24"/>
          <w:szCs w:val="24"/>
          <w:lang w:val="en-US"/>
        </w:rPr>
        <w:t xml:space="preserve"> (FSF</w:t>
      </w:r>
      <w:r w:rsidR="00BF7612" w:rsidRPr="00FC6034">
        <w:rPr>
          <w:rFonts w:ascii="Times New Roman" w:hAnsi="Times New Roman" w:cs="Times New Roman"/>
          <w:sz w:val="24"/>
          <w:szCs w:val="24"/>
          <w:lang w:val="en-US"/>
        </w:rPr>
        <w:t>)</w:t>
      </w:r>
      <w:r w:rsidR="0012106B" w:rsidRPr="00FC6034">
        <w:rPr>
          <w:rFonts w:ascii="Times New Roman" w:hAnsi="Times New Roman" w:cs="Times New Roman"/>
          <w:sz w:val="24"/>
          <w:szCs w:val="24"/>
          <w:lang w:val="en-US"/>
        </w:rPr>
        <w:t>,</w:t>
      </w:r>
      <w:r w:rsidR="00BF7612" w:rsidRPr="00FC6034">
        <w:rPr>
          <w:rFonts w:ascii="Times New Roman" w:hAnsi="Times New Roman" w:cs="Times New Roman"/>
          <w:sz w:val="24"/>
          <w:szCs w:val="24"/>
          <w:lang w:val="en-US"/>
        </w:rPr>
        <w:t xml:space="preserve"> with a</w:t>
      </w:r>
      <w:r w:rsidR="00B11993" w:rsidRPr="00FC6034">
        <w:rPr>
          <w:rFonts w:ascii="Times New Roman" w:hAnsi="Times New Roman" w:cs="Times New Roman"/>
          <w:sz w:val="24"/>
          <w:szCs w:val="24"/>
          <w:lang w:val="en-US"/>
        </w:rPr>
        <w:t xml:space="preserve"> s</w:t>
      </w:r>
      <w:r w:rsidR="0012106B" w:rsidRPr="00FC6034">
        <w:rPr>
          <w:rFonts w:ascii="Times New Roman" w:hAnsi="Times New Roman" w:cs="Times New Roman"/>
          <w:sz w:val="24"/>
          <w:szCs w:val="24"/>
          <w:lang w:val="en-US"/>
        </w:rPr>
        <w:t>t</w:t>
      </w:r>
      <w:r w:rsidR="00B11993" w:rsidRPr="00FC6034">
        <w:rPr>
          <w:rFonts w:ascii="Times New Roman" w:hAnsi="Times New Roman" w:cs="Times New Roman"/>
          <w:sz w:val="24"/>
          <w:szCs w:val="24"/>
          <w:lang w:val="en-US"/>
        </w:rPr>
        <w:t>rengthened</w:t>
      </w:r>
      <w:r w:rsidR="00BF7612" w:rsidRPr="00FC6034">
        <w:rPr>
          <w:rFonts w:ascii="Times New Roman" w:hAnsi="Times New Roman" w:cs="Times New Roman"/>
          <w:sz w:val="24"/>
          <w:szCs w:val="24"/>
          <w:lang w:val="en-US"/>
        </w:rPr>
        <w:t xml:space="preserve"> mandate to monitor national imple</w:t>
      </w:r>
      <w:r w:rsidR="00BB094A">
        <w:rPr>
          <w:rFonts w:ascii="Times New Roman" w:hAnsi="Times New Roman" w:cs="Times New Roman"/>
          <w:sz w:val="24"/>
          <w:szCs w:val="24"/>
          <w:lang w:val="en-US"/>
        </w:rPr>
        <w:t>mentation of the agreed reforms.</w:t>
      </w:r>
      <w:r w:rsidR="00E85E09">
        <w:rPr>
          <w:rStyle w:val="FootnoteReference"/>
          <w:rFonts w:ascii="Times New Roman" w:hAnsi="Times New Roman" w:cs="Times New Roman"/>
          <w:sz w:val="24"/>
          <w:szCs w:val="24"/>
          <w:lang w:val="en-US"/>
        </w:rPr>
        <w:footnoteReference w:id="20"/>
      </w:r>
      <w:r w:rsidR="00BF7612" w:rsidRPr="00FC6034">
        <w:rPr>
          <w:rFonts w:ascii="Times New Roman" w:hAnsi="Times New Roman" w:cs="Times New Roman"/>
          <w:sz w:val="24"/>
          <w:szCs w:val="24"/>
          <w:lang w:val="en-US"/>
        </w:rPr>
        <w:t xml:space="preserve">  </w:t>
      </w:r>
      <w:r w:rsidR="000C1234" w:rsidRPr="00FC6034">
        <w:rPr>
          <w:rFonts w:ascii="Times New Roman" w:hAnsi="Times New Roman" w:cs="Times New Roman"/>
          <w:sz w:val="24"/>
          <w:szCs w:val="24"/>
          <w:lang w:val="en-US"/>
        </w:rPr>
        <w:t>The initial reform agenda set out a plan to:</w:t>
      </w:r>
      <w:r w:rsidR="00B11993" w:rsidRPr="00FC6034">
        <w:rPr>
          <w:rFonts w:ascii="Times New Roman" w:hAnsi="Times New Roman" w:cs="Times New Roman"/>
          <w:sz w:val="24"/>
          <w:szCs w:val="24"/>
          <w:lang w:val="en-US"/>
        </w:rPr>
        <w:t xml:space="preserve"> </w:t>
      </w:r>
      <w:r w:rsidR="000C1234" w:rsidRPr="00FC6034">
        <w:rPr>
          <w:rFonts w:ascii="Times New Roman" w:hAnsi="Times New Roman" w:cs="Times New Roman"/>
          <w:sz w:val="24"/>
          <w:szCs w:val="24"/>
          <w:lang w:val="en-US"/>
        </w:rPr>
        <w:t xml:space="preserve">increase </w:t>
      </w:r>
      <w:r w:rsidR="00B11993" w:rsidRPr="00FC6034">
        <w:rPr>
          <w:rFonts w:ascii="Times New Roman" w:hAnsi="Times New Roman" w:cs="Times New Roman"/>
          <w:sz w:val="24"/>
          <w:szCs w:val="24"/>
          <w:lang w:val="en-US"/>
        </w:rPr>
        <w:t xml:space="preserve">collaboration between the FSB and IMF </w:t>
      </w:r>
      <w:r w:rsidR="00407424" w:rsidRPr="00FC6034">
        <w:rPr>
          <w:rFonts w:ascii="Times New Roman" w:hAnsi="Times New Roman" w:cs="Times New Roman"/>
          <w:sz w:val="24"/>
          <w:szCs w:val="24"/>
          <w:lang w:val="en-US"/>
        </w:rPr>
        <w:t xml:space="preserve">in order </w:t>
      </w:r>
      <w:r w:rsidR="00B11993" w:rsidRPr="00FC6034">
        <w:rPr>
          <w:rFonts w:ascii="Times New Roman" w:hAnsi="Times New Roman" w:cs="Times New Roman"/>
          <w:sz w:val="24"/>
          <w:szCs w:val="24"/>
          <w:lang w:val="en-US"/>
        </w:rPr>
        <w:t>to better</w:t>
      </w:r>
      <w:r w:rsidR="000C1234" w:rsidRPr="00FC6034">
        <w:rPr>
          <w:rFonts w:ascii="Times New Roman" w:hAnsi="Times New Roman" w:cs="Times New Roman"/>
          <w:sz w:val="24"/>
          <w:szCs w:val="24"/>
          <w:lang w:val="en-US"/>
        </w:rPr>
        <w:t xml:space="preserve"> identify macroeconomic risk;</w:t>
      </w:r>
      <w:r w:rsidR="0012106B" w:rsidRPr="00FC6034">
        <w:rPr>
          <w:rFonts w:ascii="Times New Roman" w:hAnsi="Times New Roman" w:cs="Times New Roman"/>
          <w:sz w:val="24"/>
          <w:szCs w:val="24"/>
          <w:lang w:val="en-US"/>
        </w:rPr>
        <w:t xml:space="preserve"> extend regulation to all systemically important financial instituti</w:t>
      </w:r>
      <w:r w:rsidR="000C1234" w:rsidRPr="00FC6034">
        <w:rPr>
          <w:rFonts w:ascii="Times New Roman" w:hAnsi="Times New Roman" w:cs="Times New Roman"/>
          <w:sz w:val="24"/>
          <w:szCs w:val="24"/>
          <w:lang w:val="en-US"/>
        </w:rPr>
        <w:t>ons, instruments and markets;</w:t>
      </w:r>
      <w:r w:rsidR="0012106B" w:rsidRPr="00FC6034">
        <w:rPr>
          <w:rFonts w:ascii="Times New Roman" w:hAnsi="Times New Roman" w:cs="Times New Roman"/>
          <w:sz w:val="24"/>
          <w:szCs w:val="24"/>
          <w:lang w:val="en-US"/>
        </w:rPr>
        <w:t xml:space="preserve"> endorse the FSF’s principles on pay and compensati</w:t>
      </w:r>
      <w:r w:rsidR="000C1234" w:rsidRPr="00FC6034">
        <w:rPr>
          <w:rFonts w:ascii="Times New Roman" w:hAnsi="Times New Roman" w:cs="Times New Roman"/>
          <w:sz w:val="24"/>
          <w:szCs w:val="24"/>
          <w:lang w:val="en-US"/>
        </w:rPr>
        <w:t>on;</w:t>
      </w:r>
      <w:r w:rsidR="0012106B" w:rsidRPr="00FC6034">
        <w:rPr>
          <w:rFonts w:ascii="Times New Roman" w:hAnsi="Times New Roman" w:cs="Times New Roman"/>
          <w:sz w:val="24"/>
          <w:szCs w:val="24"/>
          <w:lang w:val="en-US"/>
        </w:rPr>
        <w:t xml:space="preserve"> improve capital ad</w:t>
      </w:r>
      <w:r w:rsidR="000C1234" w:rsidRPr="00FC6034">
        <w:rPr>
          <w:rFonts w:ascii="Times New Roman" w:hAnsi="Times New Roman" w:cs="Times New Roman"/>
          <w:sz w:val="24"/>
          <w:szCs w:val="24"/>
          <w:lang w:val="en-US"/>
        </w:rPr>
        <w:t>equacy in the banking system;</w:t>
      </w:r>
      <w:r w:rsidR="0012106B" w:rsidRPr="00FC6034">
        <w:rPr>
          <w:rFonts w:ascii="Times New Roman" w:hAnsi="Times New Roman" w:cs="Times New Roman"/>
          <w:sz w:val="24"/>
          <w:szCs w:val="24"/>
          <w:lang w:val="en-US"/>
        </w:rPr>
        <w:t xml:space="preserve"> ta</w:t>
      </w:r>
      <w:r w:rsidR="000C1234" w:rsidRPr="00FC6034">
        <w:rPr>
          <w:rFonts w:ascii="Times New Roman" w:hAnsi="Times New Roman" w:cs="Times New Roman"/>
          <w:sz w:val="24"/>
          <w:szCs w:val="24"/>
          <w:lang w:val="en-US"/>
        </w:rPr>
        <w:t>ke action against tax havens;</w:t>
      </w:r>
      <w:r w:rsidR="0012106B" w:rsidRPr="00FC6034">
        <w:rPr>
          <w:rFonts w:ascii="Times New Roman" w:hAnsi="Times New Roman" w:cs="Times New Roman"/>
          <w:sz w:val="24"/>
          <w:szCs w:val="24"/>
          <w:lang w:val="en-US"/>
        </w:rPr>
        <w:t xml:space="preserve"> impr</w:t>
      </w:r>
      <w:r w:rsidR="000C1234" w:rsidRPr="00FC6034">
        <w:rPr>
          <w:rFonts w:ascii="Times New Roman" w:hAnsi="Times New Roman" w:cs="Times New Roman"/>
          <w:sz w:val="24"/>
          <w:szCs w:val="24"/>
          <w:lang w:val="en-US"/>
        </w:rPr>
        <w:t>ove accounting standards; and</w:t>
      </w:r>
      <w:r w:rsidR="0012106B" w:rsidRPr="00FC6034">
        <w:rPr>
          <w:rFonts w:ascii="Times New Roman" w:hAnsi="Times New Roman" w:cs="Times New Roman"/>
          <w:sz w:val="24"/>
          <w:szCs w:val="24"/>
          <w:lang w:val="en-US"/>
        </w:rPr>
        <w:t xml:space="preserve"> regulate credit rating agencies. </w:t>
      </w:r>
    </w:p>
    <w:p w14:paraId="3E8A249B" w14:textId="1B0932B4" w:rsidR="00A6170C" w:rsidRPr="00FC6034" w:rsidRDefault="000C1234"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Thus the reforms at an international level </w:t>
      </w:r>
      <w:r w:rsidR="00DD5FF1">
        <w:rPr>
          <w:rFonts w:ascii="Times New Roman" w:hAnsi="Times New Roman" w:cs="Times New Roman"/>
          <w:sz w:val="24"/>
          <w:szCs w:val="24"/>
          <w:lang w:val="en-US"/>
        </w:rPr>
        <w:t>were</w:t>
      </w:r>
      <w:r w:rsidRPr="00FC6034">
        <w:rPr>
          <w:rFonts w:ascii="Times New Roman" w:hAnsi="Times New Roman" w:cs="Times New Roman"/>
          <w:sz w:val="24"/>
          <w:szCs w:val="24"/>
          <w:lang w:val="en-US"/>
        </w:rPr>
        <w:t xml:space="preserve"> </w:t>
      </w:r>
      <w:r w:rsidR="00557892" w:rsidRPr="00FC6034">
        <w:rPr>
          <w:rFonts w:ascii="Times New Roman" w:hAnsi="Times New Roman" w:cs="Times New Roman"/>
          <w:sz w:val="24"/>
          <w:szCs w:val="24"/>
          <w:lang w:val="en-US"/>
        </w:rPr>
        <w:t>focused on</w:t>
      </w:r>
      <w:r w:rsidRPr="00FC6034">
        <w:rPr>
          <w:rFonts w:ascii="Times New Roman" w:hAnsi="Times New Roman" w:cs="Times New Roman"/>
          <w:sz w:val="24"/>
          <w:szCs w:val="24"/>
          <w:lang w:val="en-US"/>
        </w:rPr>
        <w:t xml:space="preserve"> coordination and collaboration</w:t>
      </w:r>
      <w:r w:rsidR="00557892" w:rsidRPr="00FC6034">
        <w:rPr>
          <w:rFonts w:ascii="Times New Roman" w:hAnsi="Times New Roman" w:cs="Times New Roman"/>
          <w:sz w:val="24"/>
          <w:szCs w:val="24"/>
          <w:lang w:val="en-US"/>
        </w:rPr>
        <w:t xml:space="preserve"> rather</w:t>
      </w:r>
      <w:r w:rsidRPr="00FC6034">
        <w:rPr>
          <w:rFonts w:ascii="Times New Roman" w:hAnsi="Times New Roman" w:cs="Times New Roman"/>
          <w:sz w:val="24"/>
          <w:szCs w:val="24"/>
          <w:lang w:val="en-US"/>
        </w:rPr>
        <w:t xml:space="preserve"> than</w:t>
      </w:r>
      <w:r w:rsidR="008054F1" w:rsidRPr="00FC6034">
        <w:rPr>
          <w:rFonts w:ascii="Times New Roman" w:hAnsi="Times New Roman" w:cs="Times New Roman"/>
          <w:sz w:val="24"/>
          <w:szCs w:val="24"/>
          <w:lang w:val="en-US"/>
        </w:rPr>
        <w:t xml:space="preserve"> a major </w:t>
      </w:r>
      <w:r w:rsidR="00407424" w:rsidRPr="00FC6034">
        <w:rPr>
          <w:rFonts w:ascii="Times New Roman" w:hAnsi="Times New Roman" w:cs="Times New Roman"/>
          <w:sz w:val="24"/>
          <w:szCs w:val="24"/>
          <w:lang w:val="en-US"/>
        </w:rPr>
        <w:t>architectural</w:t>
      </w:r>
      <w:r w:rsidR="008054F1" w:rsidRPr="00FC6034">
        <w:rPr>
          <w:rFonts w:ascii="Times New Roman" w:hAnsi="Times New Roman" w:cs="Times New Roman"/>
          <w:sz w:val="24"/>
          <w:szCs w:val="24"/>
          <w:lang w:val="en-US"/>
        </w:rPr>
        <w:t xml:space="preserve"> shake up.</w:t>
      </w:r>
      <w:r w:rsidRPr="00FC6034">
        <w:rPr>
          <w:rFonts w:ascii="Times New Roman" w:hAnsi="Times New Roman" w:cs="Times New Roman"/>
          <w:sz w:val="24"/>
          <w:szCs w:val="24"/>
          <w:lang w:val="en-US"/>
        </w:rPr>
        <w:t xml:space="preserve">  </w:t>
      </w:r>
      <w:r w:rsidR="008054F1" w:rsidRPr="00FC6034">
        <w:rPr>
          <w:rFonts w:ascii="Times New Roman" w:hAnsi="Times New Roman" w:cs="Times New Roman"/>
          <w:sz w:val="24"/>
          <w:szCs w:val="24"/>
          <w:lang w:val="en-US"/>
        </w:rPr>
        <w:t>Changes to international standards</w:t>
      </w:r>
      <w:r w:rsidRPr="00FC6034">
        <w:rPr>
          <w:rFonts w:ascii="Times New Roman" w:hAnsi="Times New Roman" w:cs="Times New Roman"/>
          <w:sz w:val="24"/>
          <w:szCs w:val="24"/>
          <w:lang w:val="en-US"/>
        </w:rPr>
        <w:t xml:space="preserve"> focused </w:t>
      </w:r>
      <w:r w:rsidR="00315DE5">
        <w:rPr>
          <w:rFonts w:ascii="Times New Roman" w:hAnsi="Times New Roman" w:cs="Times New Roman"/>
          <w:sz w:val="24"/>
          <w:szCs w:val="24"/>
          <w:lang w:val="en-US"/>
        </w:rPr>
        <w:t>on macro</w:t>
      </w:r>
      <w:r w:rsidR="007C0612">
        <w:rPr>
          <w:rFonts w:ascii="Times New Roman" w:hAnsi="Times New Roman" w:cs="Times New Roman"/>
          <w:sz w:val="24"/>
          <w:szCs w:val="24"/>
          <w:lang w:val="en-US"/>
        </w:rPr>
        <w:t>-</w:t>
      </w:r>
      <w:r w:rsidR="00315DE5">
        <w:rPr>
          <w:rFonts w:ascii="Times New Roman" w:hAnsi="Times New Roman" w:cs="Times New Roman"/>
          <w:sz w:val="24"/>
          <w:szCs w:val="24"/>
          <w:lang w:val="en-US"/>
        </w:rPr>
        <w:t>prudential regulation including how to tackle</w:t>
      </w:r>
      <w:r w:rsidRPr="00FC6034">
        <w:rPr>
          <w:rFonts w:ascii="Times New Roman" w:hAnsi="Times New Roman" w:cs="Times New Roman"/>
          <w:sz w:val="24"/>
          <w:szCs w:val="24"/>
          <w:lang w:val="en-US"/>
        </w:rPr>
        <w:t xml:space="preserve"> s</w:t>
      </w:r>
      <w:r w:rsidR="00DD5FF1">
        <w:rPr>
          <w:rFonts w:ascii="Times New Roman" w:hAnsi="Times New Roman" w:cs="Times New Roman"/>
          <w:sz w:val="24"/>
          <w:szCs w:val="24"/>
          <w:lang w:val="en-US"/>
        </w:rPr>
        <w:t>ystemic risk and shadow banking</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21"/>
      </w:r>
      <w:r w:rsidRPr="00FC6034">
        <w:rPr>
          <w:rFonts w:ascii="Times New Roman" w:hAnsi="Times New Roman" w:cs="Times New Roman"/>
          <w:sz w:val="24"/>
          <w:szCs w:val="24"/>
          <w:lang w:val="en-US"/>
        </w:rPr>
        <w:t xml:space="preserve">  </w:t>
      </w:r>
      <w:r w:rsidR="009B3850" w:rsidRPr="00FC6034">
        <w:rPr>
          <w:rFonts w:ascii="Times New Roman" w:hAnsi="Times New Roman" w:cs="Times New Roman"/>
          <w:sz w:val="24"/>
          <w:szCs w:val="24"/>
          <w:lang w:val="en-US"/>
        </w:rPr>
        <w:t>The IMF, BCBS and FSB are now monitoring financial stability through an international</w:t>
      </w:r>
      <w:r w:rsidR="00DD5FF1">
        <w:rPr>
          <w:rFonts w:ascii="Times New Roman" w:hAnsi="Times New Roman" w:cs="Times New Roman"/>
          <w:sz w:val="24"/>
          <w:szCs w:val="24"/>
          <w:lang w:val="en-US"/>
        </w:rPr>
        <w:t xml:space="preserve"> financial regulatory framework</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22"/>
      </w:r>
      <w:r w:rsidR="009B3850" w:rsidRPr="00FC6034">
        <w:rPr>
          <w:rFonts w:ascii="Times New Roman" w:hAnsi="Times New Roman" w:cs="Times New Roman"/>
          <w:sz w:val="24"/>
          <w:szCs w:val="24"/>
          <w:lang w:val="en-US"/>
        </w:rPr>
        <w:t xml:space="preserve">  However, </w:t>
      </w:r>
      <w:r w:rsidR="00A6170C" w:rsidRPr="00FC6034">
        <w:rPr>
          <w:rFonts w:ascii="Times New Roman" w:hAnsi="Times New Roman" w:cs="Times New Roman"/>
          <w:sz w:val="24"/>
          <w:szCs w:val="24"/>
          <w:lang w:val="en-US"/>
        </w:rPr>
        <w:t>the institutional structure of the financial system</w:t>
      </w:r>
      <w:r w:rsidR="00394566">
        <w:rPr>
          <w:rFonts w:ascii="Times New Roman" w:hAnsi="Times New Roman" w:cs="Times New Roman"/>
          <w:sz w:val="24"/>
          <w:szCs w:val="24"/>
          <w:lang w:val="en-US"/>
        </w:rPr>
        <w:t xml:space="preserve"> is still seen</w:t>
      </w:r>
      <w:r w:rsidR="00A6170C" w:rsidRPr="00FC6034">
        <w:rPr>
          <w:rFonts w:ascii="Times New Roman" w:hAnsi="Times New Roman" w:cs="Times New Roman"/>
          <w:sz w:val="24"/>
          <w:szCs w:val="24"/>
          <w:lang w:val="en-US"/>
        </w:rPr>
        <w:t xml:space="preserve"> as in nee</w:t>
      </w:r>
      <w:r w:rsidR="00DD5FF1">
        <w:rPr>
          <w:rFonts w:ascii="Times New Roman" w:hAnsi="Times New Roman" w:cs="Times New Roman"/>
          <w:sz w:val="24"/>
          <w:szCs w:val="24"/>
          <w:lang w:val="en-US"/>
        </w:rPr>
        <w:t>d of significant further reform</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23"/>
      </w:r>
      <w:r w:rsidR="00A6170C" w:rsidRPr="00FC6034">
        <w:rPr>
          <w:rFonts w:ascii="Times New Roman" w:hAnsi="Times New Roman" w:cs="Times New Roman"/>
          <w:sz w:val="24"/>
          <w:szCs w:val="24"/>
          <w:lang w:val="en-US"/>
        </w:rPr>
        <w:t xml:space="preserve">  </w:t>
      </w:r>
      <w:r w:rsidR="00394566">
        <w:rPr>
          <w:rFonts w:ascii="Times New Roman" w:hAnsi="Times New Roman" w:cs="Times New Roman"/>
          <w:sz w:val="24"/>
          <w:szCs w:val="24"/>
          <w:lang w:val="en-US"/>
        </w:rPr>
        <w:t>Bavoso</w:t>
      </w:r>
      <w:r w:rsidR="00A6170C" w:rsidRPr="00FC6034">
        <w:rPr>
          <w:rFonts w:ascii="Times New Roman" w:hAnsi="Times New Roman" w:cs="Times New Roman"/>
          <w:sz w:val="24"/>
          <w:szCs w:val="24"/>
          <w:lang w:val="en-US"/>
        </w:rPr>
        <w:t xml:space="preserve"> concludes that a drastic redefinition of the relationship between regulators, market players and society is needed in order to shape culture and </w:t>
      </w:r>
      <w:r w:rsidR="00322448" w:rsidRPr="00FC6034">
        <w:rPr>
          <w:rFonts w:ascii="Times New Roman" w:hAnsi="Times New Roman" w:cs="Times New Roman"/>
          <w:sz w:val="24"/>
          <w:szCs w:val="24"/>
          <w:lang w:val="en-US"/>
        </w:rPr>
        <w:t>behavior</w:t>
      </w:r>
      <w:r w:rsidR="00BB094A">
        <w:rPr>
          <w:rFonts w:ascii="Times New Roman" w:hAnsi="Times New Roman" w:cs="Times New Roman"/>
          <w:sz w:val="24"/>
          <w:szCs w:val="24"/>
          <w:lang w:val="en-US"/>
        </w:rPr>
        <w:t xml:space="preserve"> in financial institutions.</w:t>
      </w:r>
      <w:r w:rsidR="00DD5FF1">
        <w:rPr>
          <w:rFonts w:ascii="Times New Roman" w:hAnsi="Times New Roman" w:cs="Times New Roman"/>
          <w:sz w:val="24"/>
          <w:szCs w:val="24"/>
          <w:lang w:val="en-US"/>
        </w:rPr>
        <w:t xml:space="preserve">  </w:t>
      </w:r>
      <w:r w:rsidR="00A6170C" w:rsidRPr="00FC6034">
        <w:rPr>
          <w:rFonts w:ascii="Times New Roman" w:hAnsi="Times New Roman" w:cs="Times New Roman"/>
          <w:sz w:val="24"/>
          <w:szCs w:val="24"/>
          <w:lang w:val="en-US"/>
        </w:rPr>
        <w:t xml:space="preserve">Christophers makes the point that international efforts at reforming regulation will struggle unless they actually penetrate </w:t>
      </w:r>
      <w:r w:rsidR="00322448" w:rsidRPr="00FC6034">
        <w:rPr>
          <w:rFonts w:ascii="Times New Roman" w:hAnsi="Times New Roman" w:cs="Times New Roman"/>
          <w:sz w:val="24"/>
          <w:szCs w:val="24"/>
          <w:lang w:val="en-US"/>
        </w:rPr>
        <w:t>behavior</w:t>
      </w:r>
      <w:r w:rsidR="00A6170C" w:rsidRPr="00FC6034">
        <w:rPr>
          <w:rFonts w:ascii="Times New Roman" w:hAnsi="Times New Roman" w:cs="Times New Roman"/>
          <w:sz w:val="24"/>
          <w:szCs w:val="24"/>
          <w:lang w:val="en-US"/>
        </w:rPr>
        <w:t xml:space="preserve"> on Wall Street and in the City of London where the real power of global finance lies.  </w:t>
      </w:r>
      <w:r w:rsidR="006B61EB">
        <w:rPr>
          <w:rFonts w:ascii="Times New Roman" w:hAnsi="Times New Roman" w:cs="Times New Roman"/>
          <w:sz w:val="24"/>
          <w:szCs w:val="24"/>
          <w:lang w:val="en-US"/>
        </w:rPr>
        <w:t>A</w:t>
      </w:r>
      <w:r w:rsidR="00A6170C" w:rsidRPr="00FC6034">
        <w:rPr>
          <w:rFonts w:ascii="Times New Roman" w:hAnsi="Times New Roman" w:cs="Times New Roman"/>
          <w:sz w:val="24"/>
          <w:szCs w:val="24"/>
          <w:lang w:val="en-US"/>
        </w:rPr>
        <w:t>lthough the G20 reforms are excellent in theory, their effectiveness will depend on national implementation</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24"/>
      </w:r>
      <w:r w:rsidR="00A6170C" w:rsidRPr="00FC6034">
        <w:rPr>
          <w:rFonts w:ascii="Times New Roman" w:hAnsi="Times New Roman" w:cs="Times New Roman"/>
          <w:sz w:val="24"/>
          <w:szCs w:val="24"/>
          <w:lang w:val="en-US"/>
        </w:rPr>
        <w:t xml:space="preserve">  </w:t>
      </w:r>
    </w:p>
    <w:p w14:paraId="746C7324" w14:textId="0B8CDBCA" w:rsidR="0012106B" w:rsidRPr="00FC6034" w:rsidRDefault="00DD5FF1"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Post-crisis</w:t>
      </w:r>
      <w:r w:rsidR="00AF4F62" w:rsidRPr="00FC6034">
        <w:rPr>
          <w:rFonts w:ascii="Times New Roman" w:hAnsi="Times New Roman" w:cs="Times New Roman"/>
          <w:sz w:val="24"/>
          <w:szCs w:val="24"/>
          <w:lang w:val="en-US"/>
        </w:rPr>
        <w:t xml:space="preserve"> nearly all affected countries</w:t>
      </w:r>
      <w:r w:rsidR="005F4125" w:rsidRPr="00FC6034">
        <w:rPr>
          <w:rFonts w:ascii="Times New Roman" w:hAnsi="Times New Roman" w:cs="Times New Roman"/>
          <w:sz w:val="24"/>
          <w:szCs w:val="24"/>
          <w:lang w:val="en-US"/>
        </w:rPr>
        <w:t>, as well as regions such as the European Union,</w:t>
      </w:r>
      <w:r w:rsidR="00AF4F62" w:rsidRPr="00FC6034">
        <w:rPr>
          <w:rFonts w:ascii="Times New Roman" w:hAnsi="Times New Roman" w:cs="Times New Roman"/>
          <w:sz w:val="24"/>
          <w:szCs w:val="24"/>
          <w:lang w:val="en-US"/>
        </w:rPr>
        <w:t xml:space="preserve"> </w:t>
      </w:r>
      <w:r w:rsidR="005D5737" w:rsidRPr="00FC6034">
        <w:rPr>
          <w:rFonts w:ascii="Times New Roman" w:hAnsi="Times New Roman" w:cs="Times New Roman"/>
          <w:sz w:val="24"/>
          <w:szCs w:val="24"/>
          <w:lang w:val="en-US"/>
        </w:rPr>
        <w:t>have considered whether</w:t>
      </w:r>
      <w:r w:rsidR="00AF4F62" w:rsidRPr="00FC6034">
        <w:rPr>
          <w:rFonts w:ascii="Times New Roman" w:hAnsi="Times New Roman" w:cs="Times New Roman"/>
          <w:sz w:val="24"/>
          <w:szCs w:val="24"/>
          <w:lang w:val="en-US"/>
        </w:rPr>
        <w:t xml:space="preserve"> they ought to r</w:t>
      </w:r>
      <w:r w:rsidR="00315DE5">
        <w:rPr>
          <w:rFonts w:ascii="Times New Roman" w:hAnsi="Times New Roman" w:cs="Times New Roman"/>
          <w:sz w:val="24"/>
          <w:szCs w:val="24"/>
          <w:lang w:val="en-US"/>
        </w:rPr>
        <w:t>eshape their supervisory regime</w:t>
      </w:r>
      <w:r w:rsidR="00394566">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25"/>
      </w:r>
      <w:r w:rsidR="002B01D1" w:rsidRPr="00FC6034">
        <w:rPr>
          <w:rFonts w:ascii="Times New Roman" w:hAnsi="Times New Roman" w:cs="Times New Roman"/>
          <w:sz w:val="24"/>
          <w:szCs w:val="24"/>
          <w:lang w:val="en-US"/>
        </w:rPr>
        <w:t xml:space="preserve">  </w:t>
      </w:r>
      <w:r w:rsidR="009B3850" w:rsidRPr="00FC6034">
        <w:rPr>
          <w:rFonts w:ascii="Times New Roman" w:hAnsi="Times New Roman" w:cs="Times New Roman"/>
          <w:sz w:val="24"/>
          <w:szCs w:val="24"/>
          <w:lang w:val="en-US"/>
        </w:rPr>
        <w:t>Five</w:t>
      </w:r>
      <w:r w:rsidR="00745C65" w:rsidRPr="00FC6034">
        <w:rPr>
          <w:rFonts w:ascii="Times New Roman" w:hAnsi="Times New Roman" w:cs="Times New Roman"/>
          <w:sz w:val="24"/>
          <w:szCs w:val="24"/>
          <w:lang w:val="en-US"/>
        </w:rPr>
        <w:t xml:space="preserve"> common financial </w:t>
      </w:r>
      <w:r w:rsidR="00745C65" w:rsidRPr="00FC6034">
        <w:rPr>
          <w:rFonts w:ascii="Times New Roman" w:hAnsi="Times New Roman" w:cs="Times New Roman"/>
          <w:sz w:val="24"/>
          <w:szCs w:val="24"/>
          <w:lang w:val="en-US"/>
        </w:rPr>
        <w:lastRenderedPageBreak/>
        <w:t>regulatory structures</w:t>
      </w:r>
      <w:r w:rsidR="009B3850" w:rsidRPr="00FC6034">
        <w:rPr>
          <w:rFonts w:ascii="Times New Roman" w:hAnsi="Times New Roman" w:cs="Times New Roman"/>
          <w:sz w:val="24"/>
          <w:szCs w:val="24"/>
          <w:lang w:val="en-US"/>
        </w:rPr>
        <w:t xml:space="preserve"> have been identified</w:t>
      </w:r>
      <w:r w:rsidR="00745C65" w:rsidRPr="00FC6034">
        <w:rPr>
          <w:rFonts w:ascii="Times New Roman" w:hAnsi="Times New Roman" w:cs="Times New Roman"/>
          <w:sz w:val="24"/>
          <w:szCs w:val="24"/>
          <w:lang w:val="en-US"/>
        </w:rPr>
        <w:t xml:space="preserve"> whereby the appropriate regulator for any firm is either determined by the firm’s (1) </w:t>
      </w:r>
      <w:r w:rsidR="006C5A65" w:rsidRPr="00FC6034">
        <w:rPr>
          <w:rFonts w:ascii="Times New Roman" w:hAnsi="Times New Roman" w:cs="Times New Roman"/>
          <w:sz w:val="24"/>
          <w:szCs w:val="24"/>
          <w:lang w:val="en-US"/>
        </w:rPr>
        <w:t>industry</w:t>
      </w:r>
      <w:r w:rsidR="00745C65" w:rsidRPr="00FC6034">
        <w:rPr>
          <w:rFonts w:ascii="Times New Roman" w:hAnsi="Times New Roman" w:cs="Times New Roman"/>
          <w:sz w:val="24"/>
          <w:szCs w:val="24"/>
          <w:lang w:val="en-US"/>
        </w:rPr>
        <w:t xml:space="preserve"> sector, (2) institutional structure, or</w:t>
      </w:r>
      <w:r w:rsidR="00B440B1" w:rsidRPr="00FC6034">
        <w:rPr>
          <w:rFonts w:ascii="Times New Roman" w:hAnsi="Times New Roman" w:cs="Times New Roman"/>
          <w:sz w:val="24"/>
          <w:szCs w:val="24"/>
          <w:lang w:val="en-US"/>
        </w:rPr>
        <w:t xml:space="preserve"> (3) </w:t>
      </w:r>
      <w:r w:rsidR="00745C65" w:rsidRPr="00FC6034">
        <w:rPr>
          <w:rFonts w:ascii="Times New Roman" w:hAnsi="Times New Roman" w:cs="Times New Roman"/>
          <w:sz w:val="24"/>
          <w:szCs w:val="24"/>
          <w:lang w:val="en-US"/>
        </w:rPr>
        <w:t>function; alternatively</w:t>
      </w:r>
      <w:r w:rsidR="00557892" w:rsidRPr="00FC6034">
        <w:rPr>
          <w:rFonts w:ascii="Times New Roman" w:hAnsi="Times New Roman" w:cs="Times New Roman"/>
          <w:sz w:val="24"/>
          <w:szCs w:val="24"/>
          <w:lang w:val="en-US"/>
        </w:rPr>
        <w:t>,</w:t>
      </w:r>
      <w:r w:rsidR="00745C65" w:rsidRPr="00FC6034">
        <w:rPr>
          <w:rFonts w:ascii="Times New Roman" w:hAnsi="Times New Roman" w:cs="Times New Roman"/>
          <w:sz w:val="24"/>
          <w:szCs w:val="24"/>
          <w:lang w:val="en-US"/>
        </w:rPr>
        <w:t xml:space="preserve"> (4) there is just one unitary regulator for all firms</w:t>
      </w:r>
      <w:r w:rsidR="00557892" w:rsidRPr="00FC6034">
        <w:rPr>
          <w:rFonts w:ascii="Times New Roman" w:hAnsi="Times New Roman" w:cs="Times New Roman"/>
          <w:sz w:val="24"/>
          <w:szCs w:val="24"/>
          <w:lang w:val="en-US"/>
        </w:rPr>
        <w:t>,</w:t>
      </w:r>
      <w:r w:rsidR="00745C65" w:rsidRPr="00FC6034">
        <w:rPr>
          <w:rFonts w:ascii="Times New Roman" w:hAnsi="Times New Roman" w:cs="Times New Roman"/>
          <w:sz w:val="24"/>
          <w:szCs w:val="24"/>
          <w:lang w:val="en-US"/>
        </w:rPr>
        <w:t xml:space="preserve"> or (5) a twin peaks structure</w:t>
      </w:r>
      <w:r w:rsidR="00394566">
        <w:rPr>
          <w:rFonts w:ascii="Times New Roman" w:hAnsi="Times New Roman" w:cs="Times New Roman"/>
          <w:sz w:val="24"/>
          <w:szCs w:val="24"/>
          <w:lang w:val="en-US"/>
        </w:rPr>
        <w:t xml:space="preserve"> as we have in Australia,</w:t>
      </w:r>
      <w:r w:rsidR="00745C65" w:rsidRPr="00FC6034">
        <w:rPr>
          <w:rFonts w:ascii="Times New Roman" w:hAnsi="Times New Roman" w:cs="Times New Roman"/>
          <w:sz w:val="24"/>
          <w:szCs w:val="24"/>
          <w:lang w:val="en-US"/>
        </w:rPr>
        <w:t xml:space="preserve"> splitting prudential re</w:t>
      </w:r>
      <w:r w:rsidR="00315DE5">
        <w:rPr>
          <w:rFonts w:ascii="Times New Roman" w:hAnsi="Times New Roman" w:cs="Times New Roman"/>
          <w:sz w:val="24"/>
          <w:szCs w:val="24"/>
          <w:lang w:val="en-US"/>
        </w:rPr>
        <w:t>gulation and conduct regulation</w:t>
      </w:r>
      <w:r w:rsidR="00394566">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26"/>
      </w:r>
      <w:r w:rsidR="00745C65" w:rsidRPr="00FC6034">
        <w:rPr>
          <w:rFonts w:ascii="Times New Roman" w:hAnsi="Times New Roman" w:cs="Times New Roman"/>
          <w:sz w:val="24"/>
          <w:szCs w:val="24"/>
          <w:lang w:val="en-US"/>
        </w:rPr>
        <w:t xml:space="preserve">  </w:t>
      </w:r>
    </w:p>
    <w:p w14:paraId="09AFD7D2" w14:textId="5E1227CC" w:rsidR="005D5737" w:rsidRPr="00FC6034" w:rsidRDefault="00315DE5"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Australia, the Financial System Inquiry determined that the Australian framework was generally effective</w:t>
      </w:r>
      <w:r w:rsidR="00BB094A">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w:t>
      </w:r>
      <w:r w:rsidR="00394566">
        <w:rPr>
          <w:rFonts w:ascii="Times New Roman" w:hAnsi="Times New Roman" w:cs="Times New Roman"/>
          <w:sz w:val="24"/>
          <w:szCs w:val="24"/>
          <w:lang w:val="en-US"/>
        </w:rPr>
        <w:t xml:space="preserve">The Australian Securities and Investments Commission (ASIC) regulates corporations, markets and financial services with the Australian Prudential Regulation Authority (APRA) ensuring the safety of banks, insurance and pension funds.  </w:t>
      </w:r>
      <w:r>
        <w:rPr>
          <w:rFonts w:ascii="Times New Roman" w:hAnsi="Times New Roman" w:cs="Times New Roman"/>
          <w:sz w:val="24"/>
          <w:szCs w:val="24"/>
          <w:lang w:val="en-US"/>
        </w:rPr>
        <w:t xml:space="preserve">Indeed, because the Australian economy emerged from the crisis </w:t>
      </w:r>
      <w:r w:rsidRPr="0073347E">
        <w:rPr>
          <w:rFonts w:ascii="Times New Roman" w:hAnsi="Times New Roman" w:cs="Times New Roman"/>
          <w:sz w:val="24"/>
          <w:szCs w:val="24"/>
          <w:lang w:val="en-US"/>
        </w:rPr>
        <w:t>comparatively unscathed</w:t>
      </w:r>
      <w:r w:rsidR="00BB094A" w:rsidRPr="0073347E">
        <w:rPr>
          <w:rFonts w:ascii="Times New Roman" w:hAnsi="Times New Roman" w:cs="Times New Roman"/>
          <w:sz w:val="24"/>
          <w:szCs w:val="24"/>
          <w:lang w:val="en-US"/>
        </w:rPr>
        <w:t>,</w:t>
      </w:r>
      <w:r w:rsidR="00394566" w:rsidRPr="0073347E">
        <w:rPr>
          <w:rFonts w:ascii="Times New Roman" w:hAnsi="Times New Roman" w:cs="Times New Roman"/>
          <w:sz w:val="24"/>
          <w:szCs w:val="24"/>
          <w:lang w:val="en-US"/>
        </w:rPr>
        <w:t xml:space="preserve"> this</w:t>
      </w:r>
      <w:r w:rsidRPr="0073347E">
        <w:rPr>
          <w:rFonts w:ascii="Times New Roman" w:hAnsi="Times New Roman" w:cs="Times New Roman"/>
          <w:sz w:val="24"/>
          <w:szCs w:val="24"/>
          <w:lang w:val="en-US"/>
        </w:rPr>
        <w:t xml:space="preserve"> twin-peaks structure has been lauded as a successful model.  </w:t>
      </w:r>
      <w:r w:rsidR="005D5737" w:rsidRPr="0073347E">
        <w:rPr>
          <w:rFonts w:ascii="Times New Roman" w:hAnsi="Times New Roman" w:cs="Times New Roman"/>
          <w:sz w:val="24"/>
          <w:szCs w:val="24"/>
          <w:lang w:val="en-US"/>
        </w:rPr>
        <w:t>In the U</w:t>
      </w:r>
      <w:r w:rsidR="000E3631" w:rsidRPr="0073347E">
        <w:rPr>
          <w:rFonts w:ascii="Times New Roman" w:hAnsi="Times New Roman" w:cs="Times New Roman"/>
          <w:sz w:val="24"/>
          <w:szCs w:val="24"/>
          <w:lang w:val="en-US"/>
        </w:rPr>
        <w:t xml:space="preserve">nited </w:t>
      </w:r>
      <w:r w:rsidR="005D5737" w:rsidRPr="0073347E">
        <w:rPr>
          <w:rFonts w:ascii="Times New Roman" w:hAnsi="Times New Roman" w:cs="Times New Roman"/>
          <w:sz w:val="24"/>
          <w:szCs w:val="24"/>
          <w:lang w:val="en-US"/>
        </w:rPr>
        <w:t>K</w:t>
      </w:r>
      <w:r w:rsidR="000E3631" w:rsidRPr="0073347E">
        <w:rPr>
          <w:rFonts w:ascii="Times New Roman" w:hAnsi="Times New Roman" w:cs="Times New Roman"/>
          <w:sz w:val="24"/>
          <w:szCs w:val="24"/>
          <w:lang w:val="en-US"/>
        </w:rPr>
        <w:t>ingdom</w:t>
      </w:r>
      <w:r w:rsidR="005D5737" w:rsidRPr="0073347E">
        <w:rPr>
          <w:rFonts w:ascii="Times New Roman" w:hAnsi="Times New Roman" w:cs="Times New Roman"/>
          <w:sz w:val="24"/>
          <w:szCs w:val="24"/>
          <w:lang w:val="en-US"/>
        </w:rPr>
        <w:t>, the pre-crisis tripartite structure of supervision was replaced by a twin-peaks system</w:t>
      </w:r>
      <w:r w:rsidR="005D5737" w:rsidRPr="00FC6034">
        <w:rPr>
          <w:rFonts w:ascii="Times New Roman" w:hAnsi="Times New Roman" w:cs="Times New Roman"/>
          <w:sz w:val="24"/>
          <w:szCs w:val="24"/>
          <w:lang w:val="en-US"/>
        </w:rPr>
        <w:t xml:space="preserve"> </w:t>
      </w:r>
      <w:r w:rsidR="009B3850" w:rsidRPr="00FC6034">
        <w:rPr>
          <w:rFonts w:ascii="Times New Roman" w:hAnsi="Times New Roman" w:cs="Times New Roman"/>
          <w:sz w:val="24"/>
          <w:szCs w:val="24"/>
          <w:lang w:val="en-US"/>
        </w:rPr>
        <w:t>with the Financial Conduct Authority (FCA) and Prudential Regulation Authority (PRA) each taking a more specialist regulatory role</w:t>
      </w:r>
      <w:r w:rsidR="006B61EB">
        <w:rPr>
          <w:rFonts w:ascii="Times New Roman" w:hAnsi="Times New Roman" w:cs="Times New Roman"/>
          <w:sz w:val="24"/>
          <w:szCs w:val="24"/>
          <w:lang w:val="en-US"/>
        </w:rPr>
        <w:t xml:space="preserve"> than the previous Financial Services Authority (FSA)</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28"/>
      </w:r>
      <w:r w:rsidR="005D5737" w:rsidRPr="00FC6034">
        <w:rPr>
          <w:rFonts w:ascii="Times New Roman" w:hAnsi="Times New Roman" w:cs="Times New Roman"/>
          <w:sz w:val="24"/>
          <w:szCs w:val="24"/>
          <w:lang w:val="en-US"/>
        </w:rPr>
        <w:t xml:space="preserve">  Baber </w:t>
      </w:r>
      <w:r w:rsidR="00322448" w:rsidRPr="00FC6034">
        <w:rPr>
          <w:rFonts w:ascii="Times New Roman" w:hAnsi="Times New Roman" w:cs="Times New Roman"/>
          <w:sz w:val="24"/>
          <w:szCs w:val="24"/>
          <w:lang w:val="en-US"/>
        </w:rPr>
        <w:t>criticizes</w:t>
      </w:r>
      <w:r w:rsidR="005D5737" w:rsidRPr="00FC6034">
        <w:rPr>
          <w:rFonts w:ascii="Times New Roman" w:hAnsi="Times New Roman" w:cs="Times New Roman"/>
          <w:sz w:val="24"/>
          <w:szCs w:val="24"/>
          <w:lang w:val="en-US"/>
        </w:rPr>
        <w:t xml:space="preserve"> this replacement of the </w:t>
      </w:r>
      <w:r w:rsidR="006B61EB">
        <w:rPr>
          <w:rFonts w:ascii="Times New Roman" w:hAnsi="Times New Roman" w:cs="Times New Roman"/>
          <w:sz w:val="24"/>
          <w:szCs w:val="24"/>
          <w:lang w:val="en-US"/>
        </w:rPr>
        <w:t>FSA</w:t>
      </w:r>
      <w:r w:rsidR="005D5737" w:rsidRPr="00FC6034">
        <w:rPr>
          <w:rFonts w:ascii="Times New Roman" w:hAnsi="Times New Roman" w:cs="Times New Roman"/>
          <w:sz w:val="24"/>
          <w:szCs w:val="24"/>
          <w:lang w:val="en-US"/>
        </w:rPr>
        <w:t xml:space="preserve"> as introducing more complexity and </w:t>
      </w:r>
      <w:r w:rsidR="001E08D0" w:rsidRPr="00FC6034">
        <w:rPr>
          <w:rFonts w:ascii="Times New Roman" w:hAnsi="Times New Roman" w:cs="Times New Roman"/>
          <w:sz w:val="24"/>
          <w:szCs w:val="24"/>
          <w:lang w:val="en-US"/>
        </w:rPr>
        <w:t xml:space="preserve">thereby </w:t>
      </w:r>
      <w:r w:rsidR="0030490F">
        <w:rPr>
          <w:rFonts w:ascii="Times New Roman" w:hAnsi="Times New Roman" w:cs="Times New Roman"/>
          <w:sz w:val="24"/>
          <w:szCs w:val="24"/>
          <w:lang w:val="en-US"/>
        </w:rPr>
        <w:t>eroding the “light touch”</w:t>
      </w:r>
      <w:r w:rsidR="005D5737" w:rsidRPr="00FC6034">
        <w:rPr>
          <w:rFonts w:ascii="Times New Roman" w:hAnsi="Times New Roman" w:cs="Times New Roman"/>
          <w:sz w:val="24"/>
          <w:szCs w:val="24"/>
          <w:lang w:val="en-US"/>
        </w:rPr>
        <w:t xml:space="preserve"> regulation for which the U</w:t>
      </w:r>
      <w:r w:rsidR="000E3631">
        <w:rPr>
          <w:rFonts w:ascii="Times New Roman" w:hAnsi="Times New Roman" w:cs="Times New Roman"/>
          <w:sz w:val="24"/>
          <w:szCs w:val="24"/>
          <w:lang w:val="en-US"/>
        </w:rPr>
        <w:t xml:space="preserve">nited </w:t>
      </w:r>
      <w:r w:rsidR="005D5737" w:rsidRPr="00FC6034">
        <w:rPr>
          <w:rFonts w:ascii="Times New Roman" w:hAnsi="Times New Roman" w:cs="Times New Roman"/>
          <w:sz w:val="24"/>
          <w:szCs w:val="24"/>
          <w:lang w:val="en-US"/>
        </w:rPr>
        <w:t>K</w:t>
      </w:r>
      <w:r w:rsidR="000E3631">
        <w:rPr>
          <w:rFonts w:ascii="Times New Roman" w:hAnsi="Times New Roman" w:cs="Times New Roman"/>
          <w:sz w:val="24"/>
          <w:szCs w:val="24"/>
          <w:lang w:val="en-US"/>
        </w:rPr>
        <w:t>ingdom</w:t>
      </w:r>
      <w:r>
        <w:rPr>
          <w:rFonts w:ascii="Times New Roman" w:hAnsi="Times New Roman" w:cs="Times New Roman"/>
          <w:sz w:val="24"/>
          <w:szCs w:val="24"/>
          <w:lang w:val="en-US"/>
        </w:rPr>
        <w:t xml:space="preserve"> was known</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29"/>
      </w:r>
      <w:r w:rsidR="005D5737" w:rsidRPr="00FC6034">
        <w:rPr>
          <w:rFonts w:ascii="Times New Roman" w:hAnsi="Times New Roman" w:cs="Times New Roman"/>
          <w:sz w:val="24"/>
          <w:szCs w:val="24"/>
          <w:lang w:val="en-US"/>
        </w:rPr>
        <w:t xml:space="preserve">  In the U</w:t>
      </w:r>
      <w:r w:rsidR="000E3631">
        <w:rPr>
          <w:rFonts w:ascii="Times New Roman" w:hAnsi="Times New Roman" w:cs="Times New Roman"/>
          <w:sz w:val="24"/>
          <w:szCs w:val="24"/>
          <w:lang w:val="en-US"/>
        </w:rPr>
        <w:t xml:space="preserve">nited </w:t>
      </w:r>
      <w:r w:rsidR="005D5737" w:rsidRPr="00FC6034">
        <w:rPr>
          <w:rFonts w:ascii="Times New Roman" w:hAnsi="Times New Roman" w:cs="Times New Roman"/>
          <w:sz w:val="24"/>
          <w:szCs w:val="24"/>
          <w:lang w:val="en-US"/>
        </w:rPr>
        <w:t>S</w:t>
      </w:r>
      <w:r w:rsidR="000E3631">
        <w:rPr>
          <w:rFonts w:ascii="Times New Roman" w:hAnsi="Times New Roman" w:cs="Times New Roman"/>
          <w:sz w:val="24"/>
          <w:szCs w:val="24"/>
          <w:lang w:val="en-US"/>
        </w:rPr>
        <w:t>tates</w:t>
      </w:r>
      <w:r w:rsidR="005D5737" w:rsidRPr="00FC6034">
        <w:rPr>
          <w:rFonts w:ascii="Times New Roman" w:hAnsi="Times New Roman" w:cs="Times New Roman"/>
          <w:sz w:val="24"/>
          <w:szCs w:val="24"/>
          <w:lang w:val="en-US"/>
        </w:rPr>
        <w:t xml:space="preserve"> the pre-crisis regulatory architecture was consistently des</w:t>
      </w:r>
      <w:r w:rsidR="00AE5CE1" w:rsidRPr="00FC6034">
        <w:rPr>
          <w:rFonts w:ascii="Times New Roman" w:hAnsi="Times New Roman" w:cs="Times New Roman"/>
          <w:sz w:val="24"/>
          <w:szCs w:val="24"/>
          <w:lang w:val="en-US"/>
        </w:rPr>
        <w:t>cribed as fragmented and ad hoc:</w:t>
      </w:r>
      <w:r w:rsidR="005D5737" w:rsidRPr="00FC6034">
        <w:rPr>
          <w:rFonts w:ascii="Times New Roman" w:hAnsi="Times New Roman" w:cs="Times New Roman"/>
          <w:sz w:val="24"/>
          <w:szCs w:val="24"/>
          <w:lang w:val="en-US"/>
        </w:rPr>
        <w:t xml:space="preserve"> a patchwork of regulators, some at </w:t>
      </w:r>
      <w:r>
        <w:rPr>
          <w:rFonts w:ascii="Times New Roman" w:hAnsi="Times New Roman" w:cs="Times New Roman"/>
          <w:sz w:val="24"/>
          <w:szCs w:val="24"/>
          <w:lang w:val="en-US"/>
        </w:rPr>
        <w:t>federal and some at state level</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0"/>
      </w:r>
      <w:r w:rsidR="001E08D0" w:rsidRPr="00FC6034">
        <w:rPr>
          <w:rFonts w:ascii="Times New Roman" w:hAnsi="Times New Roman" w:cs="Times New Roman"/>
          <w:sz w:val="24"/>
          <w:szCs w:val="24"/>
          <w:lang w:val="en-US"/>
        </w:rPr>
        <w:t xml:space="preserve">  F</w:t>
      </w:r>
      <w:r w:rsidR="005D5737" w:rsidRPr="00FC6034">
        <w:rPr>
          <w:rFonts w:ascii="Times New Roman" w:hAnsi="Times New Roman" w:cs="Times New Roman"/>
          <w:sz w:val="24"/>
          <w:szCs w:val="24"/>
          <w:lang w:val="en-US"/>
        </w:rPr>
        <w:t>ragmentation</w:t>
      </w:r>
      <w:r w:rsidR="00EA3F52" w:rsidRPr="00FC6034">
        <w:rPr>
          <w:rFonts w:ascii="Times New Roman" w:hAnsi="Times New Roman" w:cs="Times New Roman"/>
          <w:sz w:val="24"/>
          <w:szCs w:val="24"/>
          <w:lang w:val="en-US"/>
        </w:rPr>
        <w:t xml:space="preserve"> has some advantages: it</w:t>
      </w:r>
      <w:r w:rsidR="005D5737" w:rsidRPr="00FC6034">
        <w:rPr>
          <w:rFonts w:ascii="Times New Roman" w:hAnsi="Times New Roman" w:cs="Times New Roman"/>
          <w:sz w:val="24"/>
          <w:szCs w:val="24"/>
          <w:lang w:val="en-US"/>
        </w:rPr>
        <w:t xml:space="preserve"> permits a </w:t>
      </w:r>
      <w:r w:rsidR="0023472C">
        <w:rPr>
          <w:rFonts w:ascii="Times New Roman" w:hAnsi="Times New Roman" w:cs="Times New Roman"/>
          <w:sz w:val="24"/>
          <w:szCs w:val="24"/>
          <w:lang w:val="en-US"/>
        </w:rPr>
        <w:t>“</w:t>
      </w:r>
      <w:r w:rsidR="005D5737" w:rsidRPr="00FC6034">
        <w:rPr>
          <w:rFonts w:ascii="Times New Roman" w:hAnsi="Times New Roman" w:cs="Times New Roman"/>
          <w:sz w:val="24"/>
          <w:szCs w:val="24"/>
          <w:lang w:val="en-US"/>
        </w:rPr>
        <w:t>palette of options</w:t>
      </w:r>
      <w:r w:rsidR="0023472C">
        <w:rPr>
          <w:rFonts w:ascii="Times New Roman" w:hAnsi="Times New Roman" w:cs="Times New Roman"/>
          <w:sz w:val="24"/>
          <w:szCs w:val="24"/>
          <w:lang w:val="en-US"/>
        </w:rPr>
        <w:t>”</w:t>
      </w:r>
      <w:r w:rsidR="005D5737" w:rsidRPr="00FC6034">
        <w:rPr>
          <w:rFonts w:ascii="Times New Roman" w:hAnsi="Times New Roman" w:cs="Times New Roman"/>
          <w:sz w:val="24"/>
          <w:szCs w:val="24"/>
          <w:lang w:val="en-US"/>
        </w:rPr>
        <w:t xml:space="preserve"> and </w:t>
      </w:r>
      <w:r w:rsidR="0023472C">
        <w:rPr>
          <w:rFonts w:ascii="Times New Roman" w:hAnsi="Times New Roman" w:cs="Times New Roman"/>
          <w:sz w:val="24"/>
          <w:szCs w:val="24"/>
          <w:lang w:val="en-US"/>
        </w:rPr>
        <w:t>“</w:t>
      </w:r>
      <w:r w:rsidR="005D5737" w:rsidRPr="00FC6034">
        <w:rPr>
          <w:rFonts w:ascii="Times New Roman" w:hAnsi="Times New Roman" w:cs="Times New Roman"/>
          <w:sz w:val="24"/>
          <w:szCs w:val="24"/>
          <w:lang w:val="en-US"/>
        </w:rPr>
        <w:t>a close fit between regulatory expertise and the targeted firms</w:t>
      </w:r>
      <w:r w:rsidR="0023472C">
        <w:rPr>
          <w:rFonts w:ascii="Times New Roman" w:hAnsi="Times New Roman" w:cs="Times New Roman"/>
          <w:sz w:val="24"/>
          <w:szCs w:val="24"/>
          <w:lang w:val="en-US"/>
        </w:rPr>
        <w:t>”</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1"/>
      </w:r>
      <w:r w:rsidR="005D5737" w:rsidRPr="00FC6034">
        <w:rPr>
          <w:rFonts w:ascii="Times New Roman" w:hAnsi="Times New Roman" w:cs="Times New Roman"/>
          <w:sz w:val="24"/>
          <w:szCs w:val="24"/>
          <w:lang w:val="en-US"/>
        </w:rPr>
        <w:t xml:space="preserve">  </w:t>
      </w:r>
      <w:r w:rsidR="00EA3F52" w:rsidRPr="00FC6034">
        <w:rPr>
          <w:rFonts w:ascii="Times New Roman" w:hAnsi="Times New Roman" w:cs="Times New Roman"/>
          <w:sz w:val="24"/>
          <w:szCs w:val="24"/>
          <w:lang w:val="en-US"/>
        </w:rPr>
        <w:t>However it is poorly sui</w:t>
      </w:r>
      <w:r>
        <w:rPr>
          <w:rFonts w:ascii="Times New Roman" w:hAnsi="Times New Roman" w:cs="Times New Roman"/>
          <w:sz w:val="24"/>
          <w:szCs w:val="24"/>
          <w:lang w:val="en-US"/>
        </w:rPr>
        <w:t>ted to regulating systemic risk</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2"/>
      </w:r>
      <w:r w:rsidR="00EA3F52" w:rsidRPr="00FC6034">
        <w:rPr>
          <w:rFonts w:ascii="Times New Roman" w:hAnsi="Times New Roman" w:cs="Times New Roman"/>
          <w:sz w:val="24"/>
          <w:szCs w:val="24"/>
          <w:lang w:val="en-US"/>
        </w:rPr>
        <w:t xml:space="preserve">  Thus one of the major reforms in the US was to set up the Financial Stability Oversight Council</w:t>
      </w:r>
      <w:r w:rsidR="006C5A65" w:rsidRPr="00FC6034">
        <w:rPr>
          <w:rFonts w:ascii="Times New Roman" w:hAnsi="Times New Roman" w:cs="Times New Roman"/>
          <w:sz w:val="24"/>
          <w:szCs w:val="24"/>
          <w:lang w:val="en-US"/>
        </w:rPr>
        <w:t xml:space="preserve"> (FSOC)</w:t>
      </w:r>
      <w:r w:rsidR="00EA3F52" w:rsidRPr="00FC6034">
        <w:rPr>
          <w:rFonts w:ascii="Times New Roman" w:hAnsi="Times New Roman" w:cs="Times New Roman"/>
          <w:sz w:val="24"/>
          <w:szCs w:val="24"/>
          <w:lang w:val="en-US"/>
        </w:rPr>
        <w:t xml:space="preserve"> </w:t>
      </w:r>
      <w:r w:rsidR="00A70C9F" w:rsidRPr="00FC6034">
        <w:rPr>
          <w:rFonts w:ascii="Times New Roman" w:hAnsi="Times New Roman" w:cs="Times New Roman"/>
          <w:sz w:val="24"/>
          <w:szCs w:val="24"/>
          <w:lang w:val="en-US"/>
        </w:rPr>
        <w:t>with a mandate to identify and respond to emerging threats to</w:t>
      </w:r>
      <w:r w:rsidR="001E08D0" w:rsidRPr="00FC6034">
        <w:rPr>
          <w:rFonts w:ascii="Times New Roman" w:hAnsi="Times New Roman" w:cs="Times New Roman"/>
          <w:sz w:val="24"/>
          <w:szCs w:val="24"/>
          <w:lang w:val="en-US"/>
        </w:rPr>
        <w:t xml:space="preserve"> overall</w:t>
      </w:r>
      <w:r w:rsidR="00A70C9F" w:rsidRPr="00FC6034">
        <w:rPr>
          <w:rFonts w:ascii="Times New Roman" w:hAnsi="Times New Roman" w:cs="Times New Roman"/>
          <w:sz w:val="24"/>
          <w:szCs w:val="24"/>
          <w:lang w:val="en-US"/>
        </w:rPr>
        <w:t xml:space="preserve"> financial stability.</w:t>
      </w:r>
    </w:p>
    <w:p w14:paraId="3B981039" w14:textId="7532D3EA" w:rsidR="00C97F55" w:rsidRPr="00FC6034" w:rsidRDefault="006848FE" w:rsidP="00AE7367">
      <w:pPr>
        <w:pStyle w:val="Heading2"/>
        <w:spacing w:line="360" w:lineRule="auto"/>
      </w:pPr>
      <w:r w:rsidRPr="00FC6034">
        <w:lastRenderedPageBreak/>
        <w:t xml:space="preserve">Regulatory </w:t>
      </w:r>
      <w:r w:rsidR="007C0612">
        <w:t>process</w:t>
      </w:r>
      <w:r w:rsidRPr="00FC6034">
        <w:t xml:space="preserve"> </w:t>
      </w:r>
    </w:p>
    <w:p w14:paraId="41D09B68" w14:textId="39F8B8F6" w:rsidR="00F85802" w:rsidRPr="00FC6034" w:rsidRDefault="00F31C9D"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Regulatory </w:t>
      </w:r>
      <w:r w:rsidR="007C0612">
        <w:rPr>
          <w:rFonts w:ascii="Times New Roman" w:hAnsi="Times New Roman" w:cs="Times New Roman"/>
          <w:sz w:val="24"/>
          <w:szCs w:val="24"/>
          <w:lang w:val="en-US"/>
        </w:rPr>
        <w:t xml:space="preserve">process or </w:t>
      </w:r>
      <w:r w:rsidRPr="00FC6034">
        <w:rPr>
          <w:rFonts w:ascii="Times New Roman" w:hAnsi="Times New Roman" w:cs="Times New Roman"/>
          <w:sz w:val="24"/>
          <w:szCs w:val="24"/>
          <w:lang w:val="en-US"/>
        </w:rPr>
        <w:t xml:space="preserve">style is defined by MacNeil as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a function of the discretion given to the regulator in structuring and </w:t>
      </w:r>
      <w:r w:rsidR="0030490F">
        <w:rPr>
          <w:rFonts w:ascii="Times New Roman" w:hAnsi="Times New Roman" w:cs="Times New Roman"/>
          <w:sz w:val="24"/>
          <w:szCs w:val="24"/>
          <w:lang w:val="en-US"/>
        </w:rPr>
        <w:t>operating the substantive rules”</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3"/>
      </w:r>
      <w:r w:rsidRPr="00FC6034">
        <w:rPr>
          <w:rFonts w:ascii="Times New Roman" w:hAnsi="Times New Roman" w:cs="Times New Roman"/>
          <w:sz w:val="24"/>
          <w:szCs w:val="24"/>
          <w:lang w:val="en-US"/>
        </w:rPr>
        <w:t xml:space="preserve">  </w:t>
      </w:r>
      <w:r w:rsidR="001E08D0" w:rsidRPr="00FC6034">
        <w:rPr>
          <w:rFonts w:ascii="Times New Roman" w:hAnsi="Times New Roman" w:cs="Times New Roman"/>
          <w:sz w:val="24"/>
          <w:szCs w:val="24"/>
          <w:lang w:val="en-US"/>
        </w:rPr>
        <w:t xml:space="preserve">Thus regulatory </w:t>
      </w:r>
      <w:r w:rsidRPr="00FC6034">
        <w:rPr>
          <w:rFonts w:ascii="Times New Roman" w:hAnsi="Times New Roman" w:cs="Times New Roman"/>
          <w:sz w:val="24"/>
          <w:szCs w:val="24"/>
          <w:lang w:val="en-US"/>
        </w:rPr>
        <w:t xml:space="preserve">style is found not only in the structure and form of a regulatory system but in the way in which it is </w:t>
      </w:r>
      <w:r w:rsidR="00322448" w:rsidRPr="00FC6034">
        <w:rPr>
          <w:rFonts w:ascii="Times New Roman" w:hAnsi="Times New Roman" w:cs="Times New Roman"/>
          <w:sz w:val="24"/>
          <w:szCs w:val="24"/>
          <w:lang w:val="en-US"/>
        </w:rPr>
        <w:t>practiced</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4"/>
      </w:r>
      <w:r w:rsidRPr="00FC6034">
        <w:rPr>
          <w:rFonts w:ascii="Times New Roman" w:hAnsi="Times New Roman" w:cs="Times New Roman"/>
          <w:sz w:val="24"/>
          <w:szCs w:val="24"/>
          <w:lang w:val="en-US"/>
        </w:rPr>
        <w:t xml:space="preserve">  </w:t>
      </w:r>
      <w:r w:rsidR="001E08D0" w:rsidRPr="00FC6034">
        <w:rPr>
          <w:rFonts w:ascii="Times New Roman" w:hAnsi="Times New Roman" w:cs="Times New Roman"/>
          <w:sz w:val="24"/>
          <w:szCs w:val="24"/>
          <w:lang w:val="en-US"/>
        </w:rPr>
        <w:t>T</w:t>
      </w:r>
      <w:r w:rsidRPr="00FC6034">
        <w:rPr>
          <w:rFonts w:ascii="Times New Roman" w:hAnsi="Times New Roman" w:cs="Times New Roman"/>
          <w:sz w:val="24"/>
          <w:szCs w:val="24"/>
          <w:lang w:val="en-US"/>
        </w:rPr>
        <w:t xml:space="preserve">erms </w:t>
      </w:r>
      <w:r w:rsidR="001E08D0" w:rsidRPr="00FC6034">
        <w:rPr>
          <w:rFonts w:ascii="Times New Roman" w:hAnsi="Times New Roman" w:cs="Times New Roman"/>
          <w:sz w:val="24"/>
          <w:szCs w:val="24"/>
          <w:lang w:val="en-US"/>
        </w:rPr>
        <w:t xml:space="preserve">such as </w:t>
      </w:r>
      <w:r w:rsidR="0030490F">
        <w:rPr>
          <w:rFonts w:ascii="Times New Roman" w:hAnsi="Times New Roman" w:cs="Times New Roman"/>
          <w:sz w:val="24"/>
          <w:szCs w:val="24"/>
          <w:lang w:val="en-US"/>
        </w:rPr>
        <w:t>“</w:t>
      </w:r>
      <w:r w:rsidR="001E08D0" w:rsidRPr="00FC6034">
        <w:rPr>
          <w:rFonts w:ascii="Times New Roman" w:hAnsi="Times New Roman" w:cs="Times New Roman"/>
          <w:sz w:val="24"/>
          <w:szCs w:val="24"/>
          <w:lang w:val="en-US"/>
        </w:rPr>
        <w:t>principles-based</w:t>
      </w:r>
      <w:r w:rsidR="0030490F">
        <w:rPr>
          <w:rFonts w:ascii="Times New Roman" w:hAnsi="Times New Roman" w:cs="Times New Roman"/>
          <w:sz w:val="24"/>
          <w:szCs w:val="24"/>
          <w:lang w:val="en-US"/>
        </w:rPr>
        <w:t>”</w:t>
      </w:r>
      <w:r w:rsidR="001E08D0" w:rsidRPr="00FC6034">
        <w:rPr>
          <w:rFonts w:ascii="Times New Roman" w:hAnsi="Times New Roman" w:cs="Times New Roman"/>
          <w:sz w:val="24"/>
          <w:szCs w:val="24"/>
          <w:lang w:val="en-US"/>
        </w:rPr>
        <w:t xml:space="preserve"> regulation, </w:t>
      </w:r>
      <w:r w:rsidR="0030490F">
        <w:rPr>
          <w:rFonts w:ascii="Times New Roman" w:hAnsi="Times New Roman" w:cs="Times New Roman"/>
          <w:sz w:val="24"/>
          <w:szCs w:val="24"/>
          <w:lang w:val="en-US"/>
        </w:rPr>
        <w:t>“</w:t>
      </w:r>
      <w:r w:rsidR="001E08D0" w:rsidRPr="00FC6034">
        <w:rPr>
          <w:rFonts w:ascii="Times New Roman" w:hAnsi="Times New Roman" w:cs="Times New Roman"/>
          <w:sz w:val="24"/>
          <w:szCs w:val="24"/>
          <w:lang w:val="en-US"/>
        </w:rPr>
        <w:t>light-touch</w:t>
      </w:r>
      <w:r w:rsidR="0030490F">
        <w:rPr>
          <w:rFonts w:ascii="Times New Roman" w:hAnsi="Times New Roman" w:cs="Times New Roman"/>
          <w:sz w:val="24"/>
          <w:szCs w:val="24"/>
          <w:lang w:val="en-US"/>
        </w:rPr>
        <w:t>”</w:t>
      </w:r>
      <w:r w:rsidR="001E08D0" w:rsidRPr="00FC6034">
        <w:rPr>
          <w:rFonts w:ascii="Times New Roman" w:hAnsi="Times New Roman" w:cs="Times New Roman"/>
          <w:sz w:val="24"/>
          <w:szCs w:val="24"/>
          <w:lang w:val="en-US"/>
        </w:rPr>
        <w:t xml:space="preserve"> regulation and</w:t>
      </w:r>
      <w:r w:rsidRPr="00FC6034">
        <w:rPr>
          <w:rFonts w:ascii="Times New Roman" w:hAnsi="Times New Roman" w:cs="Times New Roman"/>
          <w:sz w:val="24"/>
          <w:szCs w:val="24"/>
          <w:lang w:val="en-US"/>
        </w:rPr>
        <w:t xml:space="preserve">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risk-based</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regulation can refer to the style of implementation and enforcement as well as the way rules are drafted.  </w:t>
      </w:r>
      <w:r w:rsidR="00F85802" w:rsidRPr="00FC6034">
        <w:rPr>
          <w:rFonts w:ascii="Times New Roman" w:hAnsi="Times New Roman" w:cs="Times New Roman"/>
          <w:sz w:val="24"/>
          <w:szCs w:val="24"/>
          <w:lang w:val="en-US"/>
        </w:rPr>
        <w:t xml:space="preserve">Almost all styles that fall outside the traditional </w:t>
      </w:r>
      <w:r w:rsidR="0030490F">
        <w:rPr>
          <w:rFonts w:ascii="Times New Roman" w:hAnsi="Times New Roman" w:cs="Times New Roman"/>
          <w:sz w:val="24"/>
          <w:szCs w:val="24"/>
          <w:lang w:val="en-US"/>
        </w:rPr>
        <w:t>“</w:t>
      </w:r>
      <w:r w:rsidR="00F85802" w:rsidRPr="00FC6034">
        <w:rPr>
          <w:rFonts w:ascii="Times New Roman" w:hAnsi="Times New Roman" w:cs="Times New Roman"/>
          <w:sz w:val="24"/>
          <w:szCs w:val="24"/>
          <w:lang w:val="en-US"/>
        </w:rPr>
        <w:t>command and control</w:t>
      </w:r>
      <w:r w:rsidR="0030490F">
        <w:rPr>
          <w:rFonts w:ascii="Times New Roman" w:hAnsi="Times New Roman" w:cs="Times New Roman"/>
          <w:sz w:val="24"/>
          <w:szCs w:val="24"/>
          <w:lang w:val="en-US"/>
        </w:rPr>
        <w:t>”</w:t>
      </w:r>
      <w:r w:rsidR="00F85802" w:rsidRPr="00FC6034">
        <w:rPr>
          <w:rFonts w:ascii="Times New Roman" w:hAnsi="Times New Roman" w:cs="Times New Roman"/>
          <w:sz w:val="24"/>
          <w:szCs w:val="24"/>
          <w:lang w:val="en-US"/>
        </w:rPr>
        <w:t xml:space="preserve"> strategy of </w:t>
      </w:r>
      <w:r w:rsidR="0023472C">
        <w:rPr>
          <w:rFonts w:ascii="Times New Roman" w:hAnsi="Times New Roman" w:cs="Times New Roman"/>
          <w:sz w:val="24"/>
          <w:szCs w:val="24"/>
          <w:lang w:val="en-US"/>
        </w:rPr>
        <w:t>“</w:t>
      </w:r>
      <w:r w:rsidR="00F85802" w:rsidRPr="00FC6034">
        <w:rPr>
          <w:rFonts w:ascii="Times New Roman" w:hAnsi="Times New Roman" w:cs="Times New Roman"/>
          <w:sz w:val="24"/>
          <w:szCs w:val="24"/>
          <w:lang w:val="en-US"/>
        </w:rPr>
        <w:t>detailed legal rules backed by criminal sanctions</w:t>
      </w:r>
      <w:r w:rsidR="0023472C">
        <w:rPr>
          <w:rFonts w:ascii="Times New Roman" w:hAnsi="Times New Roman" w:cs="Times New Roman"/>
          <w:sz w:val="24"/>
          <w:szCs w:val="24"/>
          <w:lang w:val="en-US"/>
        </w:rPr>
        <w:t xml:space="preserve"> </w:t>
      </w:r>
      <w:r w:rsidR="00F85802" w:rsidRPr="00FC6034">
        <w:rPr>
          <w:rFonts w:ascii="Times New Roman" w:hAnsi="Times New Roman" w:cs="Times New Roman"/>
          <w:sz w:val="24"/>
          <w:szCs w:val="24"/>
          <w:lang w:val="en-US"/>
        </w:rPr>
        <w:t>overseen by a government agency</w:t>
      </w:r>
      <w:r w:rsidR="0023472C">
        <w:rPr>
          <w:rFonts w:ascii="Times New Roman" w:hAnsi="Times New Roman" w:cs="Times New Roman"/>
          <w:sz w:val="24"/>
          <w:szCs w:val="24"/>
          <w:lang w:val="en-US"/>
        </w:rPr>
        <w:t>”</w:t>
      </w:r>
      <w:r w:rsidR="00F85802" w:rsidRPr="00FC6034">
        <w:rPr>
          <w:rFonts w:ascii="Times New Roman" w:hAnsi="Times New Roman" w:cs="Times New Roman"/>
          <w:sz w:val="24"/>
          <w:szCs w:val="24"/>
          <w:lang w:val="en-US"/>
        </w:rPr>
        <w:t xml:space="preserve"> can be classed as </w:t>
      </w:r>
      <w:r w:rsidR="0030490F">
        <w:rPr>
          <w:rFonts w:ascii="Times New Roman" w:hAnsi="Times New Roman" w:cs="Times New Roman"/>
          <w:sz w:val="24"/>
          <w:szCs w:val="24"/>
          <w:lang w:val="en-US"/>
        </w:rPr>
        <w:t>“</w:t>
      </w:r>
      <w:r w:rsidR="00F85802" w:rsidRPr="00FC6034">
        <w:rPr>
          <w:rFonts w:ascii="Times New Roman" w:hAnsi="Times New Roman" w:cs="Times New Roman"/>
          <w:sz w:val="24"/>
          <w:szCs w:val="24"/>
          <w:lang w:val="en-US"/>
        </w:rPr>
        <w:t>new governance</w:t>
      </w:r>
      <w:r w:rsidR="0030490F">
        <w:rPr>
          <w:rFonts w:ascii="Times New Roman" w:hAnsi="Times New Roman" w:cs="Times New Roman"/>
          <w:sz w:val="24"/>
          <w:szCs w:val="24"/>
          <w:lang w:val="en-US"/>
        </w:rPr>
        <w:t>”</w:t>
      </w:r>
      <w:r w:rsidR="00D208FF">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5"/>
      </w:r>
    </w:p>
    <w:p w14:paraId="2CD75A0C" w14:textId="15DC8013" w:rsidR="00F31C9D" w:rsidRPr="00FC6034" w:rsidRDefault="00B97D13"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This paper finds</w:t>
      </w:r>
      <w:r w:rsidR="00F17AA3" w:rsidRPr="00FC6034">
        <w:rPr>
          <w:rFonts w:ascii="Times New Roman" w:hAnsi="Times New Roman" w:cs="Times New Roman"/>
          <w:sz w:val="24"/>
          <w:szCs w:val="24"/>
          <w:lang w:val="en-US"/>
        </w:rPr>
        <w:t xml:space="preserve"> three overlapping debates are ongoing in the literature relating to</w:t>
      </w:r>
      <w:r w:rsidR="00D208FF">
        <w:rPr>
          <w:rFonts w:ascii="Times New Roman" w:hAnsi="Times New Roman" w:cs="Times New Roman"/>
          <w:sz w:val="24"/>
          <w:szCs w:val="24"/>
          <w:lang w:val="en-US"/>
        </w:rPr>
        <w:t xml:space="preserve"> </w:t>
      </w:r>
      <w:r w:rsidR="00140183">
        <w:rPr>
          <w:rFonts w:ascii="Times New Roman" w:hAnsi="Times New Roman" w:cs="Times New Roman"/>
          <w:sz w:val="24"/>
          <w:szCs w:val="24"/>
          <w:lang w:val="en-US"/>
        </w:rPr>
        <w:t>policy decisions</w:t>
      </w:r>
      <w:r w:rsidR="00D208FF">
        <w:rPr>
          <w:rFonts w:ascii="Times New Roman" w:hAnsi="Times New Roman" w:cs="Times New Roman"/>
          <w:sz w:val="24"/>
          <w:szCs w:val="24"/>
          <w:lang w:val="en-US"/>
        </w:rPr>
        <w:t xml:space="preserve"> around</w:t>
      </w:r>
      <w:r w:rsidR="007C0612">
        <w:rPr>
          <w:rFonts w:ascii="Times New Roman" w:hAnsi="Times New Roman" w:cs="Times New Roman"/>
          <w:sz w:val="24"/>
          <w:szCs w:val="24"/>
          <w:lang w:val="en-US"/>
        </w:rPr>
        <w:t xml:space="preserve"> style and process</w:t>
      </w:r>
      <w:r w:rsidR="00AD2966" w:rsidRPr="00FC6034">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(1)</w:t>
      </w:r>
      <w:r w:rsidR="00F17AA3" w:rsidRPr="00FC6034">
        <w:rPr>
          <w:rFonts w:ascii="Times New Roman" w:hAnsi="Times New Roman" w:cs="Times New Roman"/>
          <w:sz w:val="24"/>
          <w:szCs w:val="24"/>
          <w:lang w:val="en-US"/>
        </w:rPr>
        <w:t xml:space="preserve"> drafting style (rules v principles)</w:t>
      </w:r>
      <w:r w:rsidRPr="00FC6034">
        <w:rPr>
          <w:rFonts w:ascii="Times New Roman" w:hAnsi="Times New Roman" w:cs="Times New Roman"/>
          <w:sz w:val="24"/>
          <w:szCs w:val="24"/>
          <w:lang w:val="en-US"/>
        </w:rPr>
        <w:t>; (2)</w:t>
      </w:r>
      <w:r w:rsidR="00F17AA3" w:rsidRPr="00FC6034">
        <w:rPr>
          <w:rFonts w:ascii="Times New Roman" w:hAnsi="Times New Roman" w:cs="Times New Roman"/>
          <w:sz w:val="24"/>
          <w:szCs w:val="24"/>
          <w:lang w:val="en-US"/>
        </w:rPr>
        <w:t xml:space="preserve"> implementation style (outsourcing v supervision); and </w:t>
      </w:r>
      <w:r w:rsidRPr="00FC6034">
        <w:rPr>
          <w:rFonts w:ascii="Times New Roman" w:hAnsi="Times New Roman" w:cs="Times New Roman"/>
          <w:sz w:val="24"/>
          <w:szCs w:val="24"/>
          <w:lang w:val="en-US"/>
        </w:rPr>
        <w:t xml:space="preserve">(3) </w:t>
      </w:r>
      <w:r w:rsidR="00F17AA3" w:rsidRPr="00FC6034">
        <w:rPr>
          <w:rFonts w:ascii="Times New Roman" w:hAnsi="Times New Roman" w:cs="Times New Roman"/>
          <w:sz w:val="24"/>
          <w:szCs w:val="24"/>
          <w:lang w:val="en-US"/>
        </w:rPr>
        <w:t>enforcement style (public v private).</w:t>
      </w:r>
      <w:r w:rsidR="00B10D56" w:rsidRPr="00FC6034">
        <w:rPr>
          <w:rFonts w:ascii="Times New Roman" w:hAnsi="Times New Roman" w:cs="Times New Roman"/>
          <w:sz w:val="24"/>
          <w:szCs w:val="24"/>
          <w:lang w:val="en-US"/>
        </w:rPr>
        <w:t xml:space="preserve">  </w:t>
      </w:r>
      <w:r w:rsidR="003A3DAD" w:rsidRPr="00FC6034">
        <w:rPr>
          <w:rFonts w:ascii="Times New Roman" w:hAnsi="Times New Roman" w:cs="Times New Roman"/>
          <w:sz w:val="24"/>
          <w:szCs w:val="24"/>
          <w:lang w:val="en-US"/>
        </w:rPr>
        <w:t>Drafting style tells the target of</w:t>
      </w:r>
      <w:r w:rsidR="006B61EB">
        <w:rPr>
          <w:rFonts w:ascii="Times New Roman" w:hAnsi="Times New Roman" w:cs="Times New Roman"/>
          <w:sz w:val="24"/>
          <w:szCs w:val="24"/>
          <w:lang w:val="en-US"/>
        </w:rPr>
        <w:t xml:space="preserve"> regulation what they should do;</w:t>
      </w:r>
      <w:r w:rsidR="003A3DAD" w:rsidRPr="00FC6034">
        <w:rPr>
          <w:rFonts w:ascii="Times New Roman" w:hAnsi="Times New Roman" w:cs="Times New Roman"/>
          <w:sz w:val="24"/>
          <w:szCs w:val="24"/>
          <w:lang w:val="en-US"/>
        </w:rPr>
        <w:t xml:space="preserve"> implementation style tells them how to do it</w:t>
      </w:r>
      <w:r w:rsidR="006B61EB">
        <w:rPr>
          <w:rFonts w:ascii="Times New Roman" w:hAnsi="Times New Roman" w:cs="Times New Roman"/>
          <w:sz w:val="24"/>
          <w:szCs w:val="24"/>
          <w:lang w:val="en-US"/>
        </w:rPr>
        <w:t>;</w:t>
      </w:r>
      <w:r w:rsidR="003A3DAD" w:rsidRPr="00FC6034">
        <w:rPr>
          <w:rFonts w:ascii="Times New Roman" w:hAnsi="Times New Roman" w:cs="Times New Roman"/>
          <w:sz w:val="24"/>
          <w:szCs w:val="24"/>
          <w:lang w:val="en-US"/>
        </w:rPr>
        <w:t xml:space="preserve"> and enforcement style checks that it has been done.  </w:t>
      </w:r>
    </w:p>
    <w:p w14:paraId="5CA64970" w14:textId="5E3664AC" w:rsidR="00F31C9D" w:rsidRPr="00FC6034" w:rsidRDefault="0001453F" w:rsidP="00AE7367">
      <w:pPr>
        <w:pStyle w:val="Heading3"/>
        <w:spacing w:line="360" w:lineRule="auto"/>
      </w:pPr>
      <w:r w:rsidRPr="00FC6034">
        <w:t xml:space="preserve">Drafting style: </w:t>
      </w:r>
      <w:r w:rsidR="00F31C9D" w:rsidRPr="00FC6034">
        <w:t>rules</w:t>
      </w:r>
      <w:r w:rsidR="00F17AA3" w:rsidRPr="00FC6034">
        <w:t xml:space="preserve"> v principles</w:t>
      </w:r>
    </w:p>
    <w:p w14:paraId="0A9AEDA0" w14:textId="3347F3B1" w:rsidR="00153FEC" w:rsidRPr="00FC6034" w:rsidRDefault="007D2395"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The theoretical stance taken </w:t>
      </w:r>
      <w:r w:rsidR="00B60A7C" w:rsidRPr="00FC6034">
        <w:rPr>
          <w:rFonts w:ascii="Times New Roman" w:hAnsi="Times New Roman" w:cs="Times New Roman"/>
          <w:sz w:val="24"/>
          <w:szCs w:val="24"/>
          <w:lang w:val="en-US"/>
        </w:rPr>
        <w:t xml:space="preserve">by </w:t>
      </w:r>
      <w:r w:rsidR="0001453F" w:rsidRPr="00FC6034">
        <w:rPr>
          <w:rFonts w:ascii="Times New Roman" w:hAnsi="Times New Roman" w:cs="Times New Roman"/>
          <w:sz w:val="24"/>
          <w:szCs w:val="24"/>
          <w:lang w:val="en-US"/>
        </w:rPr>
        <w:t>many</w:t>
      </w:r>
      <w:r w:rsidR="00B60A7C" w:rsidRPr="00FC6034">
        <w:rPr>
          <w:rFonts w:ascii="Times New Roman" w:hAnsi="Times New Roman" w:cs="Times New Roman"/>
          <w:sz w:val="24"/>
          <w:szCs w:val="24"/>
          <w:lang w:val="en-US"/>
        </w:rPr>
        <w:t xml:space="preserve"> of the</w:t>
      </w:r>
      <w:r w:rsidRPr="00FC6034">
        <w:rPr>
          <w:rFonts w:ascii="Times New Roman" w:hAnsi="Times New Roman" w:cs="Times New Roman"/>
          <w:sz w:val="24"/>
          <w:szCs w:val="24"/>
          <w:lang w:val="en-US"/>
        </w:rPr>
        <w:t xml:space="preserve"> papers </w:t>
      </w:r>
      <w:r w:rsidR="00B60A7C" w:rsidRPr="00FC6034">
        <w:rPr>
          <w:rFonts w:ascii="Times New Roman" w:hAnsi="Times New Roman" w:cs="Times New Roman"/>
          <w:sz w:val="24"/>
          <w:szCs w:val="24"/>
          <w:lang w:val="en-US"/>
        </w:rPr>
        <w:t xml:space="preserve">discussing regulatory style </w:t>
      </w:r>
      <w:r w:rsidR="00140183">
        <w:rPr>
          <w:rFonts w:ascii="Times New Roman" w:hAnsi="Times New Roman" w:cs="Times New Roman"/>
          <w:sz w:val="24"/>
          <w:szCs w:val="24"/>
          <w:lang w:val="en-US"/>
        </w:rPr>
        <w:t>i</w:t>
      </w:r>
      <w:r w:rsidR="00B60A7C" w:rsidRPr="00FC6034">
        <w:rPr>
          <w:rFonts w:ascii="Times New Roman" w:hAnsi="Times New Roman" w:cs="Times New Roman"/>
          <w:sz w:val="24"/>
          <w:szCs w:val="24"/>
          <w:lang w:val="en-US"/>
        </w:rPr>
        <w:t>s</w:t>
      </w:r>
      <w:r w:rsidRPr="00FC6034">
        <w:rPr>
          <w:rFonts w:ascii="Times New Roman" w:hAnsi="Times New Roman" w:cs="Times New Roman"/>
          <w:sz w:val="24"/>
          <w:szCs w:val="24"/>
          <w:lang w:val="en-US"/>
        </w:rPr>
        <w:t xml:space="preserve"> to </w:t>
      </w:r>
      <w:r w:rsidR="006A2FA2" w:rsidRPr="00FC6034">
        <w:rPr>
          <w:rFonts w:ascii="Times New Roman" w:hAnsi="Times New Roman" w:cs="Times New Roman"/>
          <w:sz w:val="24"/>
          <w:szCs w:val="24"/>
          <w:lang w:val="en-US"/>
        </w:rPr>
        <w:t>explain regulation in the context of the</w:t>
      </w:r>
      <w:r w:rsidRPr="00FC6034">
        <w:rPr>
          <w:rFonts w:ascii="Times New Roman" w:hAnsi="Times New Roman" w:cs="Times New Roman"/>
          <w:sz w:val="24"/>
          <w:szCs w:val="24"/>
          <w:lang w:val="en-US"/>
        </w:rPr>
        <w:t xml:space="preserve"> well-known debate between ru</w:t>
      </w:r>
      <w:r w:rsidR="00557892" w:rsidRPr="00FC6034">
        <w:rPr>
          <w:rFonts w:ascii="Times New Roman" w:hAnsi="Times New Roman" w:cs="Times New Roman"/>
          <w:sz w:val="24"/>
          <w:szCs w:val="24"/>
          <w:lang w:val="en-US"/>
        </w:rPr>
        <w:t>les and principles</w:t>
      </w:r>
      <w:r w:rsidR="00153FEC" w:rsidRPr="00FC6034">
        <w:rPr>
          <w:rFonts w:ascii="Times New Roman" w:hAnsi="Times New Roman" w:cs="Times New Roman"/>
          <w:sz w:val="24"/>
          <w:szCs w:val="24"/>
          <w:lang w:val="en-US"/>
        </w:rPr>
        <w:t>;</w:t>
      </w:r>
      <w:r w:rsidR="00557892"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between hard</w:t>
      </w:r>
      <w:r w:rsidR="00153FEC" w:rsidRPr="00FC6034">
        <w:rPr>
          <w:rFonts w:ascii="Times New Roman" w:hAnsi="Times New Roman" w:cs="Times New Roman"/>
          <w:sz w:val="24"/>
          <w:szCs w:val="24"/>
          <w:lang w:val="en-US"/>
        </w:rPr>
        <w:t xml:space="preserve"> legal prescriptions</w:t>
      </w:r>
      <w:r w:rsidRPr="00FC6034">
        <w:rPr>
          <w:rFonts w:ascii="Times New Roman" w:hAnsi="Times New Roman" w:cs="Times New Roman"/>
          <w:sz w:val="24"/>
          <w:szCs w:val="24"/>
          <w:lang w:val="en-US"/>
        </w:rPr>
        <w:t xml:space="preserve"> and soft</w:t>
      </w:r>
      <w:r w:rsidR="00C00B17" w:rsidRPr="00FC6034">
        <w:rPr>
          <w:rFonts w:ascii="Times New Roman" w:hAnsi="Times New Roman" w:cs="Times New Roman"/>
          <w:sz w:val="24"/>
          <w:szCs w:val="24"/>
          <w:lang w:val="en-US"/>
        </w:rPr>
        <w:t>ly-</w:t>
      </w:r>
      <w:r w:rsidR="00153FEC" w:rsidRPr="00FC6034">
        <w:rPr>
          <w:rFonts w:ascii="Times New Roman" w:hAnsi="Times New Roman" w:cs="Times New Roman"/>
          <w:sz w:val="24"/>
          <w:szCs w:val="24"/>
          <w:lang w:val="en-US"/>
        </w:rPr>
        <w:t>worded</w:t>
      </w:r>
      <w:r w:rsidRPr="00FC6034">
        <w:rPr>
          <w:rFonts w:ascii="Times New Roman" w:hAnsi="Times New Roman" w:cs="Times New Roman"/>
          <w:sz w:val="24"/>
          <w:szCs w:val="24"/>
          <w:lang w:val="en-US"/>
        </w:rPr>
        <w:t xml:space="preserve"> </w:t>
      </w:r>
      <w:r w:rsidR="00153FEC" w:rsidRPr="00FC6034">
        <w:rPr>
          <w:rFonts w:ascii="Times New Roman" w:hAnsi="Times New Roman" w:cs="Times New Roman"/>
          <w:sz w:val="24"/>
          <w:szCs w:val="24"/>
          <w:lang w:val="en-US"/>
        </w:rPr>
        <w:t>guidelines</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6"/>
      </w:r>
      <w:r w:rsidR="008957B7" w:rsidRPr="00FC6034">
        <w:rPr>
          <w:rFonts w:ascii="Times New Roman" w:hAnsi="Times New Roman" w:cs="Times New Roman"/>
          <w:sz w:val="24"/>
          <w:szCs w:val="24"/>
          <w:lang w:val="en-US"/>
        </w:rPr>
        <w:t xml:space="preserve">  Principles-based regulation is seen as a </w:t>
      </w:r>
      <w:r w:rsidR="007C0612">
        <w:rPr>
          <w:rFonts w:ascii="Times New Roman" w:hAnsi="Times New Roman" w:cs="Times New Roman"/>
          <w:sz w:val="24"/>
          <w:szCs w:val="24"/>
          <w:lang w:val="en-US"/>
        </w:rPr>
        <w:t>“</w:t>
      </w:r>
      <w:r w:rsidR="008957B7" w:rsidRPr="00FC6034">
        <w:rPr>
          <w:rFonts w:ascii="Times New Roman" w:hAnsi="Times New Roman" w:cs="Times New Roman"/>
          <w:sz w:val="24"/>
          <w:szCs w:val="24"/>
          <w:lang w:val="en-US"/>
        </w:rPr>
        <w:t>new governance</w:t>
      </w:r>
      <w:r w:rsidR="007C0612">
        <w:rPr>
          <w:rFonts w:ascii="Times New Roman" w:hAnsi="Times New Roman" w:cs="Times New Roman"/>
          <w:sz w:val="24"/>
          <w:szCs w:val="24"/>
          <w:lang w:val="en-US"/>
        </w:rPr>
        <w:t>”</w:t>
      </w:r>
      <w:r w:rsidR="008957B7" w:rsidRPr="00FC6034">
        <w:rPr>
          <w:rFonts w:ascii="Times New Roman" w:hAnsi="Times New Roman" w:cs="Times New Roman"/>
          <w:sz w:val="24"/>
          <w:szCs w:val="24"/>
          <w:lang w:val="en-US"/>
        </w:rPr>
        <w:t xml:space="preserve"> strategy while strictly defined rules are seen as a more </w:t>
      </w:r>
      <w:r w:rsidR="00140183">
        <w:rPr>
          <w:rFonts w:ascii="Times New Roman" w:hAnsi="Times New Roman" w:cs="Times New Roman"/>
          <w:sz w:val="24"/>
          <w:szCs w:val="24"/>
          <w:lang w:val="en-US"/>
        </w:rPr>
        <w:t>traditional regulatory approach</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7"/>
      </w:r>
      <w:r w:rsidR="008957B7" w:rsidRPr="00FC6034">
        <w:rPr>
          <w:rFonts w:ascii="Times New Roman" w:hAnsi="Times New Roman" w:cs="Times New Roman"/>
          <w:sz w:val="24"/>
          <w:szCs w:val="24"/>
          <w:lang w:val="en-US"/>
        </w:rPr>
        <w:t xml:space="preserve">  </w:t>
      </w:r>
      <w:r w:rsidR="00153FEC" w:rsidRPr="00FC6034">
        <w:rPr>
          <w:rFonts w:ascii="Times New Roman" w:hAnsi="Times New Roman" w:cs="Times New Roman"/>
          <w:sz w:val="24"/>
          <w:szCs w:val="24"/>
          <w:lang w:val="en-US"/>
        </w:rPr>
        <w:t xml:space="preserve">Important in choosing between these </w:t>
      </w:r>
      <w:r w:rsidR="008957B7" w:rsidRPr="00FC6034">
        <w:rPr>
          <w:rFonts w:ascii="Times New Roman" w:hAnsi="Times New Roman" w:cs="Times New Roman"/>
          <w:sz w:val="24"/>
          <w:szCs w:val="24"/>
          <w:lang w:val="en-US"/>
        </w:rPr>
        <w:t>styles</w:t>
      </w:r>
      <w:r w:rsidR="00153FEC" w:rsidRPr="00FC6034">
        <w:rPr>
          <w:rFonts w:ascii="Times New Roman" w:hAnsi="Times New Roman" w:cs="Times New Roman"/>
          <w:sz w:val="24"/>
          <w:szCs w:val="24"/>
          <w:lang w:val="en-US"/>
        </w:rPr>
        <w:t xml:space="preserve"> is the nature of the regulatory target, in this case complex</w:t>
      </w:r>
      <w:r w:rsidR="00BB094A">
        <w:rPr>
          <w:rFonts w:ascii="Times New Roman" w:hAnsi="Times New Roman" w:cs="Times New Roman"/>
          <w:sz w:val="24"/>
          <w:szCs w:val="24"/>
          <w:lang w:val="en-US"/>
        </w:rPr>
        <w:t xml:space="preserve"> </w:t>
      </w:r>
      <w:r w:rsidR="00153FEC" w:rsidRPr="00FC6034">
        <w:rPr>
          <w:rFonts w:ascii="Times New Roman" w:hAnsi="Times New Roman" w:cs="Times New Roman"/>
          <w:sz w:val="24"/>
          <w:szCs w:val="24"/>
          <w:lang w:val="en-US"/>
        </w:rPr>
        <w:t xml:space="preserve">financial markets.  </w:t>
      </w:r>
      <w:r w:rsidR="00140183">
        <w:rPr>
          <w:rFonts w:ascii="Times New Roman" w:hAnsi="Times New Roman" w:cs="Times New Roman"/>
          <w:sz w:val="24"/>
          <w:szCs w:val="24"/>
          <w:lang w:val="en-US"/>
        </w:rPr>
        <w:t>An increasingly popular</w:t>
      </w:r>
      <w:r w:rsidR="00153FEC" w:rsidRPr="00FC6034">
        <w:rPr>
          <w:rFonts w:ascii="Times New Roman" w:hAnsi="Times New Roman" w:cs="Times New Roman"/>
          <w:sz w:val="24"/>
          <w:szCs w:val="24"/>
          <w:lang w:val="en-US"/>
        </w:rPr>
        <w:t xml:space="preserve"> theory prior to the crisis was that principles are better than rules at regulating fast-moving, complex targets especially those</w:t>
      </w:r>
      <w:r w:rsidR="00140183">
        <w:rPr>
          <w:rFonts w:ascii="Times New Roman" w:hAnsi="Times New Roman" w:cs="Times New Roman"/>
          <w:sz w:val="24"/>
          <w:szCs w:val="24"/>
          <w:lang w:val="en-US"/>
        </w:rPr>
        <w:t xml:space="preserve"> involving high economic stakes</w:t>
      </w:r>
      <w:r w:rsidR="00BB09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8"/>
      </w:r>
      <w:r w:rsidR="00153FEC" w:rsidRPr="00FC6034">
        <w:rPr>
          <w:rFonts w:ascii="Times New Roman" w:hAnsi="Times New Roman" w:cs="Times New Roman"/>
          <w:sz w:val="24"/>
          <w:szCs w:val="24"/>
          <w:lang w:val="en-US"/>
        </w:rPr>
        <w:t xml:space="preserve">  </w:t>
      </w:r>
      <w:r w:rsidR="005F4125" w:rsidRPr="00FC6034">
        <w:rPr>
          <w:rFonts w:ascii="Times New Roman" w:hAnsi="Times New Roman" w:cs="Times New Roman"/>
          <w:sz w:val="24"/>
          <w:szCs w:val="24"/>
          <w:lang w:val="en-US"/>
        </w:rPr>
        <w:t>T</w:t>
      </w:r>
      <w:r w:rsidR="00153FEC" w:rsidRPr="00FC6034">
        <w:rPr>
          <w:rFonts w:ascii="Times New Roman" w:hAnsi="Times New Roman" w:cs="Times New Roman"/>
          <w:sz w:val="24"/>
          <w:szCs w:val="24"/>
          <w:lang w:val="en-US"/>
        </w:rPr>
        <w:t xml:space="preserve">he </w:t>
      </w:r>
      <w:r w:rsidR="00BB094A">
        <w:rPr>
          <w:rFonts w:ascii="Times New Roman" w:hAnsi="Times New Roman" w:cs="Times New Roman"/>
          <w:sz w:val="24"/>
          <w:szCs w:val="24"/>
          <w:lang w:val="en-US"/>
        </w:rPr>
        <w:t>GFC</w:t>
      </w:r>
      <w:r w:rsidR="00153FEC" w:rsidRPr="00FC6034">
        <w:rPr>
          <w:rFonts w:ascii="Times New Roman" w:hAnsi="Times New Roman" w:cs="Times New Roman"/>
          <w:sz w:val="24"/>
          <w:szCs w:val="24"/>
          <w:lang w:val="en-US"/>
        </w:rPr>
        <w:t xml:space="preserve"> </w:t>
      </w:r>
      <w:r w:rsidR="00BB094A">
        <w:rPr>
          <w:rFonts w:ascii="Times New Roman" w:hAnsi="Times New Roman" w:cs="Times New Roman"/>
          <w:sz w:val="24"/>
          <w:szCs w:val="24"/>
          <w:lang w:val="en-US"/>
        </w:rPr>
        <w:t>gave</w:t>
      </w:r>
      <w:r w:rsidR="00153FEC" w:rsidRPr="00FC6034">
        <w:rPr>
          <w:rFonts w:ascii="Times New Roman" w:hAnsi="Times New Roman" w:cs="Times New Roman"/>
          <w:sz w:val="24"/>
          <w:szCs w:val="24"/>
          <w:lang w:val="en-US"/>
        </w:rPr>
        <w:t xml:space="preserve"> this theory a beating but </w:t>
      </w:r>
      <w:r w:rsidR="00BB094A">
        <w:rPr>
          <w:rFonts w:ascii="Times New Roman" w:hAnsi="Times New Roman" w:cs="Times New Roman"/>
          <w:sz w:val="24"/>
          <w:szCs w:val="24"/>
          <w:lang w:val="en-US"/>
        </w:rPr>
        <w:t>did not entirely knock</w:t>
      </w:r>
      <w:r w:rsidR="00153FEC" w:rsidRPr="00FC6034">
        <w:rPr>
          <w:rFonts w:ascii="Times New Roman" w:hAnsi="Times New Roman" w:cs="Times New Roman"/>
          <w:sz w:val="24"/>
          <w:szCs w:val="24"/>
          <w:lang w:val="en-US"/>
        </w:rPr>
        <w:t xml:space="preserve"> it down.  Br</w:t>
      </w:r>
      <w:r w:rsidR="006A392D" w:rsidRPr="00FC6034">
        <w:rPr>
          <w:rFonts w:ascii="Times New Roman" w:hAnsi="Times New Roman" w:cs="Times New Roman"/>
          <w:sz w:val="24"/>
          <w:szCs w:val="24"/>
          <w:lang w:val="en-US"/>
        </w:rPr>
        <w:t>aithwaite calls</w:t>
      </w:r>
      <w:r w:rsidR="00153FEC" w:rsidRPr="00FC6034">
        <w:rPr>
          <w:rFonts w:ascii="Times New Roman" w:hAnsi="Times New Roman" w:cs="Times New Roman"/>
          <w:sz w:val="24"/>
          <w:szCs w:val="24"/>
          <w:lang w:val="en-US"/>
        </w:rPr>
        <w:t xml:space="preserve"> </w:t>
      </w:r>
      <w:r w:rsidR="005F4125" w:rsidRPr="00FC6034">
        <w:rPr>
          <w:rFonts w:ascii="Times New Roman" w:hAnsi="Times New Roman" w:cs="Times New Roman"/>
          <w:sz w:val="24"/>
          <w:szCs w:val="24"/>
          <w:lang w:val="en-US"/>
        </w:rPr>
        <w:t>it</w:t>
      </w:r>
      <w:r w:rsidR="00153FEC" w:rsidRPr="00FC6034">
        <w:rPr>
          <w:rFonts w:ascii="Times New Roman" w:hAnsi="Times New Roman" w:cs="Times New Roman"/>
          <w:sz w:val="24"/>
          <w:szCs w:val="24"/>
          <w:lang w:val="en-US"/>
        </w:rPr>
        <w:t xml:space="preserve"> a theory of legal certainty – </w:t>
      </w:r>
      <w:r w:rsidR="0030490F">
        <w:rPr>
          <w:rFonts w:ascii="Times New Roman" w:hAnsi="Times New Roman" w:cs="Times New Roman"/>
          <w:sz w:val="24"/>
          <w:szCs w:val="24"/>
          <w:lang w:val="en-US"/>
        </w:rPr>
        <w:t>“</w:t>
      </w:r>
      <w:r w:rsidR="00153FEC" w:rsidRPr="00FC6034">
        <w:rPr>
          <w:rFonts w:ascii="Times New Roman" w:hAnsi="Times New Roman" w:cs="Times New Roman"/>
          <w:sz w:val="24"/>
          <w:szCs w:val="24"/>
          <w:lang w:val="en-US"/>
        </w:rPr>
        <w:t>as the regulated phenomena become more complex, principles deliver more consistency than rules</w:t>
      </w:r>
      <w:r w:rsidR="0030490F">
        <w:rPr>
          <w:rFonts w:ascii="Times New Roman" w:hAnsi="Times New Roman" w:cs="Times New Roman"/>
          <w:sz w:val="24"/>
          <w:szCs w:val="24"/>
          <w:lang w:val="en-US"/>
        </w:rPr>
        <w:t>”</w:t>
      </w:r>
      <w:r w:rsidR="00BD7DB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39"/>
      </w:r>
      <w:r w:rsidR="00153FEC" w:rsidRPr="00FC6034">
        <w:rPr>
          <w:rFonts w:ascii="Times New Roman" w:hAnsi="Times New Roman" w:cs="Times New Roman"/>
          <w:sz w:val="24"/>
          <w:szCs w:val="24"/>
          <w:lang w:val="en-US"/>
        </w:rPr>
        <w:t xml:space="preserve">  Some of the reasons </w:t>
      </w:r>
      <w:r w:rsidR="00153FEC" w:rsidRPr="00FC6034">
        <w:rPr>
          <w:rFonts w:ascii="Times New Roman" w:hAnsi="Times New Roman" w:cs="Times New Roman"/>
          <w:sz w:val="24"/>
          <w:szCs w:val="24"/>
          <w:lang w:val="en-US"/>
        </w:rPr>
        <w:lastRenderedPageBreak/>
        <w:t>behind the theory include</w:t>
      </w:r>
      <w:r w:rsidR="00BD7DB9">
        <w:rPr>
          <w:rFonts w:ascii="Times New Roman" w:hAnsi="Times New Roman" w:cs="Times New Roman"/>
          <w:sz w:val="24"/>
          <w:szCs w:val="24"/>
          <w:lang w:val="en-US"/>
        </w:rPr>
        <w:t>:</w:t>
      </w:r>
      <w:r w:rsidR="00153FEC" w:rsidRPr="00FC6034">
        <w:rPr>
          <w:rFonts w:ascii="Times New Roman" w:hAnsi="Times New Roman" w:cs="Times New Roman"/>
          <w:sz w:val="24"/>
          <w:szCs w:val="24"/>
          <w:lang w:val="en-US"/>
        </w:rPr>
        <w:t xml:space="preserve"> (1</w:t>
      </w:r>
      <w:r w:rsidR="00BD7DB9">
        <w:rPr>
          <w:rFonts w:ascii="Times New Roman" w:hAnsi="Times New Roman" w:cs="Times New Roman"/>
          <w:sz w:val="24"/>
          <w:szCs w:val="24"/>
          <w:lang w:val="en-US"/>
        </w:rPr>
        <w:t>) the flexibility of principles;</w:t>
      </w:r>
      <w:r w:rsidR="00153FEC" w:rsidRPr="00FC6034">
        <w:rPr>
          <w:rFonts w:ascii="Times New Roman" w:hAnsi="Times New Roman" w:cs="Times New Roman"/>
          <w:sz w:val="24"/>
          <w:szCs w:val="24"/>
          <w:lang w:val="en-US"/>
        </w:rPr>
        <w:t xml:space="preserve"> (2) their ability to cover the field; and (3) the way they make use of industry knowledge.  </w:t>
      </w:r>
    </w:p>
    <w:p w14:paraId="749ACC11" w14:textId="50A3214F" w:rsidR="00153FEC" w:rsidRPr="00FC6034" w:rsidRDefault="00153FEC" w:rsidP="00AE7367">
      <w:pPr>
        <w:spacing w:line="360" w:lineRule="auto"/>
        <w:jc w:val="both"/>
        <w:rPr>
          <w:rFonts w:ascii="Times New Roman" w:hAnsi="Times New Roman" w:cs="Times New Roman"/>
          <w:sz w:val="24"/>
          <w:szCs w:val="24"/>
          <w:lang w:val="en-US"/>
        </w:rPr>
      </w:pPr>
      <w:r w:rsidRPr="007C0612">
        <w:rPr>
          <w:rFonts w:ascii="Times New Roman" w:hAnsi="Times New Roman" w:cs="Times New Roman"/>
          <w:b/>
          <w:sz w:val="24"/>
          <w:szCs w:val="24"/>
          <w:lang w:val="en-US"/>
        </w:rPr>
        <w:t>Flexibility</w:t>
      </w:r>
      <w:r w:rsidRPr="00394566">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In areas where technology and other innovation is fast-moving, rules can quickly become out of date whereas broad principles can be redefined and adapted to a changing environment thereby main</w:t>
      </w:r>
      <w:r w:rsidR="00140183">
        <w:rPr>
          <w:rFonts w:ascii="Times New Roman" w:hAnsi="Times New Roman" w:cs="Times New Roman"/>
          <w:sz w:val="24"/>
          <w:szCs w:val="24"/>
          <w:lang w:val="en-US"/>
        </w:rPr>
        <w:t>taining consistency of approach</w:t>
      </w:r>
      <w:r w:rsidR="00BD7DB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0"/>
      </w:r>
      <w:r w:rsidRPr="00FC6034">
        <w:rPr>
          <w:rFonts w:ascii="Times New Roman" w:hAnsi="Times New Roman" w:cs="Times New Roman"/>
          <w:sz w:val="24"/>
          <w:szCs w:val="24"/>
          <w:lang w:val="en-US"/>
        </w:rPr>
        <w:t xml:space="preserve">  They are flexible, fa</w:t>
      </w:r>
      <w:r w:rsidR="00394566">
        <w:rPr>
          <w:rFonts w:ascii="Times New Roman" w:hAnsi="Times New Roman" w:cs="Times New Roman"/>
          <w:sz w:val="24"/>
          <w:szCs w:val="24"/>
          <w:lang w:val="en-US"/>
        </w:rPr>
        <w:t>st to create and cost-</w:t>
      </w:r>
      <w:r w:rsidR="00140183">
        <w:rPr>
          <w:rFonts w:ascii="Times New Roman" w:hAnsi="Times New Roman" w:cs="Times New Roman"/>
          <w:sz w:val="24"/>
          <w:szCs w:val="24"/>
          <w:lang w:val="en-US"/>
        </w:rPr>
        <w:t>effective</w:t>
      </w:r>
      <w:r w:rsidR="00BD7DB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1"/>
      </w:r>
      <w:r w:rsidRPr="00FC6034">
        <w:rPr>
          <w:rFonts w:ascii="Times New Roman" w:hAnsi="Times New Roman" w:cs="Times New Roman"/>
          <w:sz w:val="24"/>
          <w:szCs w:val="24"/>
          <w:lang w:val="en-US"/>
        </w:rPr>
        <w:t xml:space="preserve">  </w:t>
      </w:r>
      <w:r w:rsidR="00EC6590">
        <w:rPr>
          <w:rFonts w:ascii="Times New Roman" w:hAnsi="Times New Roman" w:cs="Times New Roman"/>
          <w:sz w:val="24"/>
          <w:szCs w:val="24"/>
          <w:lang w:val="en-US"/>
        </w:rPr>
        <w:t>A</w:t>
      </w:r>
      <w:r w:rsidRPr="00FC6034">
        <w:rPr>
          <w:rFonts w:ascii="Times New Roman" w:hAnsi="Times New Roman" w:cs="Times New Roman"/>
          <w:sz w:val="24"/>
          <w:szCs w:val="24"/>
          <w:lang w:val="en-US"/>
        </w:rPr>
        <w:t>s we cannot turn the clocks back and prevent the spread of financial innovation, we must deal wit</w:t>
      </w:r>
      <w:r w:rsidR="00EC6590">
        <w:rPr>
          <w:rFonts w:ascii="Times New Roman" w:hAnsi="Times New Roman" w:cs="Times New Roman"/>
          <w:sz w:val="24"/>
          <w:szCs w:val="24"/>
          <w:lang w:val="en-US"/>
        </w:rPr>
        <w:t>h it as best we can.</w:t>
      </w:r>
      <w:r w:rsidRPr="00FC6034">
        <w:rPr>
          <w:rFonts w:ascii="Times New Roman" w:hAnsi="Times New Roman" w:cs="Times New Roman"/>
          <w:sz w:val="24"/>
          <w:szCs w:val="24"/>
          <w:lang w:val="en-US"/>
        </w:rPr>
        <w:t xml:space="preserve">  </w:t>
      </w:r>
      <w:r w:rsidR="00EC6590" w:rsidRPr="00FC6034">
        <w:rPr>
          <w:rFonts w:ascii="Times New Roman" w:hAnsi="Times New Roman" w:cs="Times New Roman"/>
          <w:sz w:val="24"/>
          <w:szCs w:val="24"/>
          <w:lang w:val="en-US"/>
        </w:rPr>
        <w:t xml:space="preserve">Ford rightly argues that </w:t>
      </w:r>
      <w:r w:rsidR="00EC6590">
        <w:rPr>
          <w:rFonts w:ascii="Times New Roman" w:hAnsi="Times New Roman" w:cs="Times New Roman"/>
          <w:sz w:val="24"/>
          <w:szCs w:val="24"/>
          <w:lang w:val="en-US"/>
        </w:rPr>
        <w:t>“[d]</w:t>
      </w:r>
      <w:r w:rsidRPr="00FC6034">
        <w:rPr>
          <w:rFonts w:ascii="Times New Roman" w:hAnsi="Times New Roman" w:cs="Times New Roman"/>
          <w:sz w:val="24"/>
          <w:szCs w:val="24"/>
          <w:lang w:val="en-US"/>
        </w:rPr>
        <w:t>etailed rules would be out of date almost as soon as drafted</w:t>
      </w:r>
      <w:r w:rsidR="00EC6590">
        <w:rPr>
          <w:rFonts w:ascii="Times New Roman" w:hAnsi="Times New Roman" w:cs="Times New Roman"/>
          <w:sz w:val="24"/>
          <w:szCs w:val="24"/>
          <w:lang w:val="en-US"/>
        </w:rPr>
        <w:t>”</w:t>
      </w:r>
      <w:r w:rsidR="00BD7DB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2"/>
      </w:r>
      <w:r w:rsidRPr="00FC6034">
        <w:rPr>
          <w:rFonts w:ascii="Times New Roman" w:hAnsi="Times New Roman" w:cs="Times New Roman"/>
          <w:sz w:val="24"/>
          <w:szCs w:val="24"/>
          <w:lang w:val="en-US"/>
        </w:rPr>
        <w:t xml:space="preserve">  Awrey suggests that the nature and pace of change within modern financial markets demonstrates the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desirability of regulation designed and built with the objective of ensuring sufficient flexibility, responsiveness and durability</w:t>
      </w:r>
      <w:r w:rsidR="0030490F">
        <w:rPr>
          <w:rFonts w:ascii="Times New Roman" w:hAnsi="Times New Roman" w:cs="Times New Roman"/>
          <w:sz w:val="24"/>
          <w:szCs w:val="24"/>
          <w:lang w:val="en-US"/>
        </w:rPr>
        <w:t>”</w:t>
      </w:r>
      <w:r w:rsidR="00BD7DB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3"/>
      </w:r>
      <w:r w:rsidRPr="00FC6034">
        <w:rPr>
          <w:rFonts w:ascii="Times New Roman" w:hAnsi="Times New Roman" w:cs="Times New Roman"/>
          <w:sz w:val="24"/>
          <w:szCs w:val="24"/>
          <w:lang w:val="en-US"/>
        </w:rPr>
        <w:t xml:space="preserve"> </w:t>
      </w:r>
    </w:p>
    <w:p w14:paraId="7193AA2C" w14:textId="39C00087" w:rsidR="00153FEC" w:rsidRPr="00FC6034" w:rsidRDefault="00153FEC" w:rsidP="00AE7367">
      <w:pPr>
        <w:spacing w:line="360" w:lineRule="auto"/>
        <w:jc w:val="both"/>
        <w:rPr>
          <w:rFonts w:ascii="Times New Roman" w:hAnsi="Times New Roman" w:cs="Times New Roman"/>
          <w:sz w:val="24"/>
          <w:szCs w:val="24"/>
          <w:lang w:val="en-US"/>
        </w:rPr>
      </w:pPr>
      <w:r w:rsidRPr="00394566">
        <w:rPr>
          <w:rFonts w:ascii="Times New Roman" w:hAnsi="Times New Roman" w:cs="Times New Roman"/>
          <w:b/>
          <w:sz w:val="24"/>
          <w:szCs w:val="24"/>
          <w:lang w:val="en-US"/>
        </w:rPr>
        <w:t>Coverage:</w:t>
      </w:r>
      <w:r w:rsidRPr="00FC6034">
        <w:rPr>
          <w:rFonts w:ascii="Times New Roman" w:hAnsi="Times New Roman" w:cs="Times New Roman"/>
          <w:b/>
          <w:i/>
          <w:sz w:val="24"/>
          <w:szCs w:val="24"/>
          <w:lang w:val="en-US"/>
        </w:rPr>
        <w:t xml:space="preserve"> </w:t>
      </w:r>
      <w:r w:rsidRPr="00FC6034">
        <w:rPr>
          <w:rFonts w:ascii="Times New Roman" w:hAnsi="Times New Roman" w:cs="Times New Roman"/>
          <w:sz w:val="24"/>
          <w:szCs w:val="24"/>
          <w:lang w:val="en-US"/>
        </w:rPr>
        <w:t>When economic stakes are high, there is both incentive and resources for legal game-playing aimed at expanding the grey areas around rules, or dete</w:t>
      </w:r>
      <w:r w:rsidR="00EC6590">
        <w:rPr>
          <w:rFonts w:ascii="Times New Roman" w:hAnsi="Times New Roman" w:cs="Times New Roman"/>
          <w:sz w:val="24"/>
          <w:szCs w:val="24"/>
          <w:lang w:val="en-US"/>
        </w:rPr>
        <w:t>rmining them in a player’s favo</w:t>
      </w:r>
      <w:r w:rsidR="00BD7DB9">
        <w:rPr>
          <w:rFonts w:ascii="Times New Roman" w:hAnsi="Times New Roman" w:cs="Times New Roman"/>
          <w:sz w:val="24"/>
          <w:szCs w:val="24"/>
          <w:lang w:val="en-US"/>
        </w:rPr>
        <w:t>u</w:t>
      </w:r>
      <w:r w:rsidRPr="00FC6034">
        <w:rPr>
          <w:rFonts w:ascii="Times New Roman" w:hAnsi="Times New Roman" w:cs="Times New Roman"/>
          <w:sz w:val="24"/>
          <w:szCs w:val="24"/>
          <w:lang w:val="en-US"/>
        </w:rPr>
        <w:t>r</w:t>
      </w:r>
      <w:r w:rsidR="00BD7DB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4"/>
      </w:r>
      <w:r w:rsidRPr="00FC6034">
        <w:rPr>
          <w:rFonts w:ascii="Times New Roman" w:hAnsi="Times New Roman" w:cs="Times New Roman"/>
          <w:sz w:val="24"/>
          <w:szCs w:val="24"/>
          <w:lang w:val="en-US"/>
        </w:rPr>
        <w:t xml:space="preserve">  This </w:t>
      </w:r>
      <w:r w:rsidR="00322448" w:rsidRPr="00FC6034">
        <w:rPr>
          <w:rFonts w:ascii="Times New Roman" w:hAnsi="Times New Roman" w:cs="Times New Roman"/>
          <w:sz w:val="24"/>
          <w:szCs w:val="24"/>
          <w:lang w:val="en-US"/>
        </w:rPr>
        <w:t>behavio</w:t>
      </w:r>
      <w:r w:rsidR="00BD7DB9">
        <w:rPr>
          <w:rFonts w:ascii="Times New Roman" w:hAnsi="Times New Roman" w:cs="Times New Roman"/>
          <w:sz w:val="24"/>
          <w:szCs w:val="24"/>
          <w:lang w:val="en-US"/>
        </w:rPr>
        <w:t>u</w:t>
      </w:r>
      <w:r w:rsidR="00322448" w:rsidRPr="00FC6034">
        <w:rPr>
          <w:rFonts w:ascii="Times New Roman" w:hAnsi="Times New Roman" w:cs="Times New Roman"/>
          <w:sz w:val="24"/>
          <w:szCs w:val="24"/>
          <w:lang w:val="en-US"/>
        </w:rPr>
        <w:t>r</w:t>
      </w:r>
      <w:r w:rsidR="006B61EB">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known as creative compliance</w:t>
      </w:r>
      <w:r w:rsidR="006B61EB">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engenders a level of unfairness as it provides advantages for those who can afford to employ lawyers and accountants to help them weave a path through loopholes.  Similarly, regulatory arbitrage is a practice whereby firms </w:t>
      </w:r>
      <w:r w:rsidR="00394566">
        <w:rPr>
          <w:rFonts w:ascii="Times New Roman" w:hAnsi="Times New Roman" w:cs="Times New Roman"/>
          <w:sz w:val="24"/>
          <w:szCs w:val="24"/>
          <w:lang w:val="en-US"/>
        </w:rPr>
        <w:t>capitalis</w:t>
      </w:r>
      <w:r w:rsidR="00322448" w:rsidRPr="00FC6034">
        <w:rPr>
          <w:rFonts w:ascii="Times New Roman" w:hAnsi="Times New Roman" w:cs="Times New Roman"/>
          <w:sz w:val="24"/>
          <w:szCs w:val="24"/>
          <w:lang w:val="en-US"/>
        </w:rPr>
        <w:t>e</w:t>
      </w:r>
      <w:r w:rsidRPr="00FC6034">
        <w:rPr>
          <w:rFonts w:ascii="Times New Roman" w:hAnsi="Times New Roman" w:cs="Times New Roman"/>
          <w:sz w:val="24"/>
          <w:szCs w:val="24"/>
          <w:lang w:val="en-US"/>
        </w:rPr>
        <w:t xml:space="preserve"> on loopholes or geographical variations in order to circumvent </w:t>
      </w:r>
      <w:r w:rsidR="00322448" w:rsidRPr="00FC6034">
        <w:rPr>
          <w:rFonts w:ascii="Times New Roman" w:hAnsi="Times New Roman" w:cs="Times New Roman"/>
          <w:sz w:val="24"/>
          <w:szCs w:val="24"/>
          <w:lang w:val="en-US"/>
        </w:rPr>
        <w:t>unfavorable</w:t>
      </w:r>
      <w:r w:rsidRPr="00FC6034">
        <w:rPr>
          <w:rFonts w:ascii="Times New Roman" w:hAnsi="Times New Roman" w:cs="Times New Roman"/>
          <w:sz w:val="24"/>
          <w:szCs w:val="24"/>
          <w:lang w:val="en-US"/>
        </w:rPr>
        <w:t xml:space="preserve"> regulation.  It can create a never-ending spiral of rule-making and rule-evading</w:t>
      </w:r>
      <w:r w:rsidR="00BD7DB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5"/>
      </w:r>
      <w:r w:rsidRPr="00FC6034">
        <w:rPr>
          <w:rFonts w:ascii="Times New Roman" w:hAnsi="Times New Roman" w:cs="Times New Roman"/>
          <w:sz w:val="24"/>
          <w:szCs w:val="24"/>
          <w:lang w:val="en-US"/>
        </w:rPr>
        <w:t xml:space="preserve">  Principles</w:t>
      </w:r>
      <w:r w:rsidR="006A392D" w:rsidRPr="00FC6034">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on the other hand, provide broad concepts regarding acceptable </w:t>
      </w:r>
      <w:r w:rsidR="00322448" w:rsidRPr="00FC6034">
        <w:rPr>
          <w:rFonts w:ascii="Times New Roman" w:hAnsi="Times New Roman" w:cs="Times New Roman"/>
          <w:sz w:val="24"/>
          <w:szCs w:val="24"/>
          <w:lang w:val="en-US"/>
        </w:rPr>
        <w:t>behavior</w:t>
      </w:r>
      <w:r w:rsidRPr="00FC6034">
        <w:rPr>
          <w:rFonts w:ascii="Times New Roman" w:hAnsi="Times New Roman" w:cs="Times New Roman"/>
          <w:sz w:val="24"/>
          <w:szCs w:val="24"/>
          <w:lang w:val="en-US"/>
        </w:rPr>
        <w:t xml:space="preserve"> that are much harder to evade.  Their vagueness works as an advantage in a catching </w:t>
      </w:r>
      <w:r w:rsidR="00322448" w:rsidRPr="00FC6034">
        <w:rPr>
          <w:rFonts w:ascii="Times New Roman" w:hAnsi="Times New Roman" w:cs="Times New Roman"/>
          <w:sz w:val="24"/>
          <w:szCs w:val="24"/>
          <w:lang w:val="en-US"/>
        </w:rPr>
        <w:t>behavior</w:t>
      </w:r>
      <w:r w:rsidRPr="00FC6034">
        <w:rPr>
          <w:rFonts w:ascii="Times New Roman" w:hAnsi="Times New Roman" w:cs="Times New Roman"/>
          <w:sz w:val="24"/>
          <w:szCs w:val="24"/>
          <w:lang w:val="en-US"/>
        </w:rPr>
        <w:t xml:space="preserve"> that fails to comply with the spirit of the regulation.</w:t>
      </w:r>
    </w:p>
    <w:p w14:paraId="48F45FE2" w14:textId="7A7B67EB" w:rsidR="00153FEC" w:rsidRPr="00FC6034" w:rsidRDefault="00153FEC" w:rsidP="00AE7367">
      <w:pPr>
        <w:spacing w:line="360" w:lineRule="auto"/>
        <w:jc w:val="both"/>
        <w:rPr>
          <w:rFonts w:ascii="Times New Roman" w:hAnsi="Times New Roman" w:cs="Times New Roman"/>
          <w:sz w:val="24"/>
          <w:szCs w:val="24"/>
          <w:lang w:val="en-US"/>
        </w:rPr>
      </w:pPr>
      <w:r w:rsidRPr="00394566">
        <w:rPr>
          <w:rFonts w:ascii="Times New Roman" w:hAnsi="Times New Roman" w:cs="Times New Roman"/>
          <w:b/>
          <w:sz w:val="24"/>
          <w:szCs w:val="24"/>
          <w:lang w:val="en-US"/>
        </w:rPr>
        <w:t>Information:</w:t>
      </w:r>
      <w:r w:rsidRPr="00394566">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 xml:space="preserve">Principles also have the ability to trigger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regulatory conversations</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amongst knowledgeable actors that help to interpret and </w:t>
      </w:r>
      <w:r w:rsidR="00140183">
        <w:rPr>
          <w:rFonts w:ascii="Times New Roman" w:hAnsi="Times New Roman" w:cs="Times New Roman"/>
          <w:sz w:val="24"/>
          <w:szCs w:val="24"/>
          <w:lang w:val="en-US"/>
        </w:rPr>
        <w:t>clarify regulatory expectations</w:t>
      </w:r>
      <w:r w:rsidR="00BD7DB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6"/>
      </w:r>
      <w:r w:rsidRPr="00FC6034">
        <w:rPr>
          <w:rFonts w:ascii="Times New Roman" w:hAnsi="Times New Roman" w:cs="Times New Roman"/>
          <w:sz w:val="24"/>
          <w:szCs w:val="24"/>
          <w:lang w:val="en-US"/>
        </w:rPr>
        <w:t xml:space="preserve">  Financial market participants are seen to be in a better position than government when it comes to </w:t>
      </w:r>
      <w:r w:rsidRPr="00FC6034">
        <w:rPr>
          <w:rFonts w:ascii="Times New Roman" w:hAnsi="Times New Roman" w:cs="Times New Roman"/>
          <w:sz w:val="24"/>
          <w:szCs w:val="24"/>
          <w:lang w:val="en-US"/>
        </w:rPr>
        <w:lastRenderedPageBreak/>
        <w:t>understanding complex market develo</w:t>
      </w:r>
      <w:r w:rsidR="00140183">
        <w:rPr>
          <w:rFonts w:ascii="Times New Roman" w:hAnsi="Times New Roman" w:cs="Times New Roman"/>
          <w:sz w:val="24"/>
          <w:szCs w:val="24"/>
          <w:lang w:val="en-US"/>
        </w:rPr>
        <w:t>pments and potential problems</w:t>
      </w:r>
      <w:r w:rsidR="00BD7DB9">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7"/>
      </w:r>
      <w:r w:rsidRPr="00FC6034">
        <w:rPr>
          <w:rFonts w:ascii="Times New Roman" w:hAnsi="Times New Roman" w:cs="Times New Roman"/>
          <w:sz w:val="24"/>
          <w:szCs w:val="24"/>
          <w:lang w:val="en-US"/>
        </w:rPr>
        <w:t xml:space="preserve"> There are huge challenges for regulators in managing risk when financial markets are so dense and dynamic: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opacity and the pace of innovation also render it more difficult for regulators to effectively police financial markets and—in conjunction with interconnectedness and fragmentation—to locate and monitor potential risks</w:t>
      </w:r>
      <w:r w:rsidR="0030490F">
        <w:rPr>
          <w:rFonts w:ascii="Times New Roman" w:hAnsi="Times New Roman" w:cs="Times New Roman"/>
          <w:sz w:val="24"/>
          <w:szCs w:val="24"/>
          <w:lang w:val="en-US"/>
        </w:rPr>
        <w:t>”</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8"/>
      </w:r>
      <w:r w:rsidRPr="00FC6034">
        <w:rPr>
          <w:rFonts w:ascii="Times New Roman" w:hAnsi="Times New Roman" w:cs="Times New Roman"/>
          <w:sz w:val="24"/>
          <w:szCs w:val="24"/>
          <w:lang w:val="en-US"/>
        </w:rPr>
        <w:t xml:space="preserve">  Here we see the advantages of enrolling industry in the regulatory process as an information </w:t>
      </w:r>
      <w:r w:rsidR="005F4125" w:rsidRPr="00FC6034">
        <w:rPr>
          <w:rFonts w:ascii="Times New Roman" w:hAnsi="Times New Roman" w:cs="Times New Roman"/>
          <w:sz w:val="24"/>
          <w:szCs w:val="24"/>
          <w:lang w:val="en-US"/>
        </w:rPr>
        <w:t>gather</w:t>
      </w:r>
      <w:r w:rsidR="003A3DAD" w:rsidRPr="00FC6034">
        <w:rPr>
          <w:rFonts w:ascii="Times New Roman" w:hAnsi="Times New Roman" w:cs="Times New Roman"/>
          <w:sz w:val="24"/>
          <w:szCs w:val="24"/>
          <w:lang w:val="en-US"/>
        </w:rPr>
        <w:t>ing</w:t>
      </w:r>
      <w:r w:rsidRPr="00FC6034">
        <w:rPr>
          <w:rFonts w:ascii="Times New Roman" w:hAnsi="Times New Roman" w:cs="Times New Roman"/>
          <w:sz w:val="24"/>
          <w:szCs w:val="24"/>
          <w:lang w:val="en-US"/>
        </w:rPr>
        <w:t xml:space="preserve"> exercise.  </w:t>
      </w:r>
    </w:p>
    <w:p w14:paraId="6DDDB0EB" w14:textId="35006081" w:rsidR="00153FEC" w:rsidRPr="00FC6034" w:rsidRDefault="00153FEC"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Ford explains that regulation can be comparably more or less principles-based but nearly all workable systems will comprise a m</w:t>
      </w:r>
      <w:r w:rsidR="00140183">
        <w:rPr>
          <w:rFonts w:ascii="Times New Roman" w:hAnsi="Times New Roman" w:cs="Times New Roman"/>
          <w:sz w:val="24"/>
          <w:szCs w:val="24"/>
          <w:lang w:val="en-US"/>
        </w:rPr>
        <w:t>ix of both rules and principles</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49"/>
      </w:r>
      <w:r w:rsidRPr="00FC6034">
        <w:rPr>
          <w:rFonts w:ascii="Times New Roman" w:hAnsi="Times New Roman" w:cs="Times New Roman"/>
          <w:sz w:val="24"/>
          <w:szCs w:val="24"/>
          <w:lang w:val="en-US"/>
        </w:rPr>
        <w:t xml:space="preserve">  Awrey believes that the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rules versus principles</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debate has become stale – modern principles-based regulation is not just about the way standards are worded but about the nature of the relationship between the re</w:t>
      </w:r>
      <w:r w:rsidR="00140183">
        <w:rPr>
          <w:rFonts w:ascii="Times New Roman" w:hAnsi="Times New Roman" w:cs="Times New Roman"/>
          <w:sz w:val="24"/>
          <w:szCs w:val="24"/>
          <w:lang w:val="en-US"/>
        </w:rPr>
        <w:t>gulator and the regulated actor</w:t>
      </w:r>
      <w:r w:rsidR="007C0612">
        <w:rPr>
          <w:rFonts w:ascii="Times New Roman" w:hAnsi="Times New Roman" w:cs="Times New Roman"/>
          <w:sz w:val="24"/>
          <w:szCs w:val="24"/>
          <w:lang w:val="en-US"/>
        </w:rPr>
        <w:t xml:space="preserve"> which includes processes of implementation</w:t>
      </w:r>
      <w:r w:rsidR="00394566">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50"/>
      </w:r>
      <w:r w:rsidRPr="00FC6034">
        <w:rPr>
          <w:rFonts w:ascii="Times New Roman" w:hAnsi="Times New Roman" w:cs="Times New Roman"/>
          <w:sz w:val="24"/>
          <w:szCs w:val="24"/>
          <w:lang w:val="en-US"/>
        </w:rPr>
        <w:t xml:space="preserve"> </w:t>
      </w:r>
    </w:p>
    <w:p w14:paraId="617AF943" w14:textId="42B55F60" w:rsidR="00B60A7C" w:rsidRPr="00FC6034" w:rsidRDefault="0001453F" w:rsidP="00AE7367">
      <w:pPr>
        <w:pStyle w:val="Heading3"/>
        <w:spacing w:line="360" w:lineRule="auto"/>
      </w:pPr>
      <w:r w:rsidRPr="00FC6034">
        <w:t xml:space="preserve">Implementation style: </w:t>
      </w:r>
      <w:r w:rsidR="00F17AA3" w:rsidRPr="00FC6034">
        <w:t>outsourcing v supervision</w:t>
      </w:r>
    </w:p>
    <w:p w14:paraId="5E1C5436" w14:textId="5F63622D" w:rsidR="00AD71EE" w:rsidRPr="00FC6034" w:rsidRDefault="00C00B17"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Another theme in the literature relates to implementation style.  Firms can be given a level of choice over how to </w:t>
      </w:r>
      <w:r w:rsidR="003A3DAD" w:rsidRPr="00FC6034">
        <w:rPr>
          <w:rFonts w:ascii="Times New Roman" w:hAnsi="Times New Roman" w:cs="Times New Roman"/>
          <w:sz w:val="24"/>
          <w:szCs w:val="24"/>
          <w:lang w:val="en-US"/>
        </w:rPr>
        <w:t>achieve desired regulatory outcomes</w:t>
      </w:r>
      <w:r w:rsidRPr="00FC6034">
        <w:rPr>
          <w:rFonts w:ascii="Times New Roman" w:hAnsi="Times New Roman" w:cs="Times New Roman"/>
          <w:sz w:val="24"/>
          <w:szCs w:val="24"/>
          <w:lang w:val="en-US"/>
        </w:rPr>
        <w:t xml:space="preserve"> or they can be closely supervised</w:t>
      </w:r>
      <w:r w:rsidR="003A3DAD" w:rsidRPr="00FC6034">
        <w:rPr>
          <w:rFonts w:ascii="Times New Roman" w:hAnsi="Times New Roman" w:cs="Times New Roman"/>
          <w:sz w:val="24"/>
          <w:szCs w:val="24"/>
          <w:lang w:val="en-US"/>
        </w:rPr>
        <w:t>.  New governance strategies, particularly the concept of management-based regulation have introduced more outsourcing or delegation into regulatory systems</w:t>
      </w:r>
      <w:r w:rsidR="00394566">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51"/>
      </w:r>
      <w:r w:rsidR="003A3DAD" w:rsidRPr="00FC6034">
        <w:rPr>
          <w:rFonts w:ascii="Times New Roman" w:hAnsi="Times New Roman" w:cs="Times New Roman"/>
          <w:sz w:val="24"/>
          <w:szCs w:val="24"/>
          <w:lang w:val="en-US"/>
        </w:rPr>
        <w:t xml:space="preserve">  </w:t>
      </w:r>
    </w:p>
    <w:p w14:paraId="271C91B5" w14:textId="3FAFDDA3" w:rsidR="00F17AA3" w:rsidRPr="00FC6034" w:rsidRDefault="006B61EB"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Gerd</w:t>
      </w:r>
      <w:r w:rsidR="00C45DDB" w:rsidRPr="00FC6034">
        <w:rPr>
          <w:rFonts w:ascii="Times New Roman" w:hAnsi="Times New Roman" w:cs="Times New Roman"/>
          <w:sz w:val="24"/>
          <w:szCs w:val="24"/>
          <w:lang w:val="en-US"/>
        </w:rPr>
        <w:t xml:space="preserve">ing </w:t>
      </w:r>
      <w:r w:rsidR="00322448" w:rsidRPr="00FC6034">
        <w:rPr>
          <w:rFonts w:ascii="Times New Roman" w:hAnsi="Times New Roman" w:cs="Times New Roman"/>
          <w:sz w:val="24"/>
          <w:szCs w:val="24"/>
          <w:lang w:val="en-US"/>
        </w:rPr>
        <w:t>criticizes</w:t>
      </w:r>
      <w:r w:rsidR="00C45DDB" w:rsidRPr="00FC6034">
        <w:rPr>
          <w:rFonts w:ascii="Times New Roman" w:hAnsi="Times New Roman" w:cs="Times New Roman"/>
          <w:sz w:val="24"/>
          <w:szCs w:val="24"/>
          <w:lang w:val="en-US"/>
        </w:rPr>
        <w:t xml:space="preserve"> the regulatory outsourcing</w:t>
      </w:r>
      <w:r w:rsidR="00F17AA3" w:rsidRPr="00FC6034">
        <w:rPr>
          <w:rFonts w:ascii="Times New Roman" w:hAnsi="Times New Roman" w:cs="Times New Roman"/>
          <w:sz w:val="24"/>
          <w:szCs w:val="24"/>
          <w:lang w:val="en-US"/>
        </w:rPr>
        <w:t xml:space="preserve"> set up by Basel II where regulators placed heavy reliance on internal risk-modelling by financial firms</w:t>
      </w:r>
      <w:r w:rsidR="00394566">
        <w:rPr>
          <w:rFonts w:ascii="Times New Roman" w:hAnsi="Times New Roman" w:cs="Times New Roman"/>
          <w:sz w:val="24"/>
          <w:szCs w:val="24"/>
          <w:lang w:val="en-US"/>
        </w:rPr>
        <w:t>.</w:t>
      </w:r>
      <w:r w:rsidR="001A1BE5">
        <w:rPr>
          <w:rStyle w:val="FootnoteReference"/>
          <w:rFonts w:ascii="Times New Roman" w:hAnsi="Times New Roman" w:cs="Times New Roman"/>
          <w:sz w:val="24"/>
          <w:szCs w:val="24"/>
          <w:lang w:val="en-US"/>
        </w:rPr>
        <w:footnoteReference w:id="52"/>
      </w:r>
      <w:r w:rsidR="00F17AA3" w:rsidRPr="00FC6034">
        <w:rPr>
          <w:rFonts w:ascii="Times New Roman" w:hAnsi="Times New Roman" w:cs="Times New Roman"/>
          <w:sz w:val="24"/>
          <w:szCs w:val="24"/>
          <w:lang w:val="en-US"/>
        </w:rPr>
        <w:t xml:space="preserve">  He points out that great faith was placed in the new technology of these risk models which failed to anticipate the wave of mortgage defaults that ultimately </w:t>
      </w:r>
      <w:r w:rsidR="00322448" w:rsidRPr="00FC6034">
        <w:rPr>
          <w:rFonts w:ascii="Times New Roman" w:hAnsi="Times New Roman" w:cs="Times New Roman"/>
          <w:sz w:val="24"/>
          <w:szCs w:val="24"/>
          <w:lang w:val="en-US"/>
        </w:rPr>
        <w:t>spiraled</w:t>
      </w:r>
      <w:r w:rsidR="00F17AA3" w:rsidRPr="00FC6034">
        <w:rPr>
          <w:rFonts w:ascii="Times New Roman" w:hAnsi="Times New Roman" w:cs="Times New Roman"/>
          <w:sz w:val="24"/>
          <w:szCs w:val="24"/>
          <w:lang w:val="en-US"/>
        </w:rPr>
        <w:t xml:space="preserve"> into a global crisis.  His detailed unpacking of the flaws of these risk models </w:t>
      </w:r>
      <w:r w:rsidR="00783415" w:rsidRPr="00FC6034">
        <w:rPr>
          <w:rFonts w:ascii="Times New Roman" w:hAnsi="Times New Roman" w:cs="Times New Roman"/>
          <w:sz w:val="24"/>
          <w:szCs w:val="24"/>
          <w:lang w:val="en-US"/>
        </w:rPr>
        <w:t xml:space="preserve">clearly demonstrates some of the </w:t>
      </w:r>
      <w:r w:rsidR="00F17AA3" w:rsidRPr="00FC6034">
        <w:rPr>
          <w:rFonts w:ascii="Times New Roman" w:hAnsi="Times New Roman" w:cs="Times New Roman"/>
          <w:sz w:val="24"/>
          <w:szCs w:val="24"/>
          <w:lang w:val="en-US"/>
        </w:rPr>
        <w:t xml:space="preserve">weaknesses of </w:t>
      </w:r>
      <w:r w:rsidR="00153FEC" w:rsidRPr="00FC6034">
        <w:rPr>
          <w:rFonts w:ascii="Times New Roman" w:hAnsi="Times New Roman" w:cs="Times New Roman"/>
          <w:sz w:val="24"/>
          <w:szCs w:val="24"/>
          <w:lang w:val="en-US"/>
        </w:rPr>
        <w:t>outsourcing</w:t>
      </w:r>
      <w:r w:rsidR="0054425E" w:rsidRPr="00FC6034">
        <w:rPr>
          <w:rFonts w:ascii="Times New Roman" w:hAnsi="Times New Roman" w:cs="Times New Roman"/>
          <w:sz w:val="24"/>
          <w:szCs w:val="24"/>
          <w:lang w:val="en-US"/>
        </w:rPr>
        <w:t xml:space="preserve">.  </w:t>
      </w:r>
      <w:r w:rsidR="00F17AA3" w:rsidRPr="00FC6034">
        <w:rPr>
          <w:rFonts w:ascii="Times New Roman" w:hAnsi="Times New Roman" w:cs="Times New Roman"/>
          <w:sz w:val="24"/>
          <w:szCs w:val="24"/>
          <w:lang w:val="en-US"/>
        </w:rPr>
        <w:t>The theory behind this kind of regulation is that through delegat</w:t>
      </w:r>
      <w:r w:rsidR="00322448" w:rsidRPr="00FC6034">
        <w:rPr>
          <w:rFonts w:ascii="Times New Roman" w:hAnsi="Times New Roman" w:cs="Times New Roman"/>
          <w:sz w:val="24"/>
          <w:szCs w:val="24"/>
          <w:lang w:val="en-US"/>
        </w:rPr>
        <w:t>ing process-design to regulated actors</w:t>
      </w:r>
      <w:r w:rsidR="00F17AA3" w:rsidRPr="00FC6034">
        <w:rPr>
          <w:rFonts w:ascii="Times New Roman" w:hAnsi="Times New Roman" w:cs="Times New Roman"/>
          <w:sz w:val="24"/>
          <w:szCs w:val="24"/>
          <w:lang w:val="en-US"/>
        </w:rPr>
        <w:t xml:space="preserve"> it makes efficient use of industry knowledge.  However, inherent in this theory is the huge assumption that industry knowledge is superior to that of the regulator.  Gerding shows that it is possible for huge sections of industry to get it wrong, sometimes by mistake but sometimes in order to game the system</w:t>
      </w:r>
      <w:r w:rsidR="00EA5774">
        <w:rPr>
          <w:rFonts w:ascii="Times New Roman" w:hAnsi="Times New Roman" w:cs="Times New Roman"/>
          <w:sz w:val="24"/>
          <w:szCs w:val="24"/>
          <w:lang w:val="en-US"/>
        </w:rPr>
        <w:t>.</w:t>
      </w:r>
      <w:r w:rsidR="00140183">
        <w:rPr>
          <w:rStyle w:val="FootnoteReference"/>
          <w:rFonts w:ascii="Times New Roman" w:hAnsi="Times New Roman" w:cs="Times New Roman"/>
          <w:sz w:val="24"/>
          <w:szCs w:val="24"/>
          <w:lang w:val="en-US"/>
        </w:rPr>
        <w:footnoteReference w:id="53"/>
      </w:r>
      <w:r w:rsidR="00F17AA3" w:rsidRPr="00FC6034">
        <w:rPr>
          <w:rFonts w:ascii="Times New Roman" w:hAnsi="Times New Roman" w:cs="Times New Roman"/>
          <w:sz w:val="24"/>
          <w:szCs w:val="24"/>
          <w:lang w:val="en-US"/>
        </w:rPr>
        <w:t xml:space="preserve">  His conclusion is that regulators cannot outsource </w:t>
      </w:r>
      <w:r w:rsidR="00F17AA3" w:rsidRPr="00FC6034">
        <w:rPr>
          <w:rFonts w:ascii="Times New Roman" w:hAnsi="Times New Roman" w:cs="Times New Roman"/>
          <w:sz w:val="24"/>
          <w:szCs w:val="24"/>
          <w:lang w:val="en-US"/>
        </w:rPr>
        <w:lastRenderedPageBreak/>
        <w:t>oversight to risk models or other internal processes without thoroughly and continuously auditing those processes</w:t>
      </w:r>
      <w:r w:rsidR="00394566">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54"/>
      </w:r>
      <w:r w:rsidR="00F17AA3" w:rsidRPr="00FC6034">
        <w:rPr>
          <w:rFonts w:ascii="Times New Roman" w:hAnsi="Times New Roman" w:cs="Times New Roman"/>
          <w:sz w:val="24"/>
          <w:szCs w:val="24"/>
          <w:lang w:val="en-US"/>
        </w:rPr>
        <w:t xml:space="preserve">  </w:t>
      </w:r>
    </w:p>
    <w:p w14:paraId="778E1A58" w14:textId="0D3C1E75" w:rsidR="00031F7D" w:rsidRPr="00FC6034" w:rsidRDefault="00031F7D"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Credit rating agencies</w:t>
      </w:r>
      <w:r w:rsidR="00F46BD3" w:rsidRPr="00FC6034">
        <w:rPr>
          <w:rFonts w:ascii="Times New Roman" w:hAnsi="Times New Roman" w:cs="Times New Roman"/>
          <w:sz w:val="24"/>
          <w:szCs w:val="24"/>
          <w:lang w:val="en-US"/>
        </w:rPr>
        <w:t xml:space="preserve"> (CRAs)</w:t>
      </w:r>
      <w:r w:rsidRPr="00FC6034">
        <w:rPr>
          <w:rFonts w:ascii="Times New Roman" w:hAnsi="Times New Roman" w:cs="Times New Roman"/>
          <w:sz w:val="24"/>
          <w:szCs w:val="24"/>
          <w:lang w:val="en-US"/>
        </w:rPr>
        <w:t xml:space="preserve"> provide another exampl</w:t>
      </w:r>
      <w:r w:rsidR="00B2027F" w:rsidRPr="00FC6034">
        <w:rPr>
          <w:rFonts w:ascii="Times New Roman" w:hAnsi="Times New Roman" w:cs="Times New Roman"/>
          <w:sz w:val="24"/>
          <w:szCs w:val="24"/>
          <w:lang w:val="en-US"/>
        </w:rPr>
        <w:t>e of the failure of outsourcing.  In the US, ratings have been incorporated into hundreds of rules and regulations giving</w:t>
      </w:r>
      <w:r w:rsidR="00140183">
        <w:rPr>
          <w:rFonts w:ascii="Times New Roman" w:hAnsi="Times New Roman" w:cs="Times New Roman"/>
          <w:sz w:val="24"/>
          <w:szCs w:val="24"/>
          <w:lang w:val="en-US"/>
        </w:rPr>
        <w:t xml:space="preserve"> CRAs a quasi-regulatory status</w:t>
      </w:r>
      <w:r w:rsidR="00394566">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55"/>
      </w:r>
      <w:r w:rsidRPr="00FC6034">
        <w:rPr>
          <w:rFonts w:ascii="Times New Roman" w:hAnsi="Times New Roman" w:cs="Times New Roman"/>
          <w:sz w:val="24"/>
          <w:szCs w:val="24"/>
          <w:lang w:val="en-US"/>
        </w:rPr>
        <w:t xml:space="preserve"> </w:t>
      </w:r>
      <w:r w:rsidR="00B2027F" w:rsidRPr="00FC6034">
        <w:rPr>
          <w:rFonts w:ascii="Times New Roman" w:hAnsi="Times New Roman" w:cs="Times New Roman"/>
          <w:sz w:val="24"/>
          <w:szCs w:val="24"/>
          <w:lang w:val="en-US"/>
        </w:rPr>
        <w:t xml:space="preserve"> The crisis revealed that </w:t>
      </w:r>
      <w:r w:rsidRPr="00FC6034">
        <w:rPr>
          <w:rFonts w:ascii="Times New Roman" w:hAnsi="Times New Roman" w:cs="Times New Roman"/>
          <w:sz w:val="24"/>
          <w:szCs w:val="24"/>
          <w:lang w:val="en-US"/>
        </w:rPr>
        <w:t>they</w:t>
      </w:r>
      <w:r w:rsidR="00B2027F" w:rsidRPr="00FC6034">
        <w:rPr>
          <w:rFonts w:ascii="Times New Roman" w:hAnsi="Times New Roman" w:cs="Times New Roman"/>
          <w:sz w:val="24"/>
          <w:szCs w:val="24"/>
          <w:lang w:val="en-US"/>
        </w:rPr>
        <w:t xml:space="preserve"> had</w:t>
      </w:r>
      <w:r w:rsidRPr="00FC6034">
        <w:rPr>
          <w:rFonts w:ascii="Times New Roman" w:hAnsi="Times New Roman" w:cs="Times New Roman"/>
          <w:sz w:val="24"/>
          <w:szCs w:val="24"/>
          <w:lang w:val="en-US"/>
        </w:rPr>
        <w:t xml:space="preserve"> provided overly high ratings to complex structured products, particularly securities backed by subprime mortgages, which otherwise wo</w:t>
      </w:r>
      <w:r w:rsidR="00140183">
        <w:rPr>
          <w:rFonts w:ascii="Times New Roman" w:hAnsi="Times New Roman" w:cs="Times New Roman"/>
          <w:sz w:val="24"/>
          <w:szCs w:val="24"/>
          <w:lang w:val="en-US"/>
        </w:rPr>
        <w:t>uld not have been so marketable</w:t>
      </w:r>
      <w:r w:rsidR="00394566">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56"/>
      </w:r>
      <w:r w:rsidRPr="00FC6034">
        <w:rPr>
          <w:rFonts w:ascii="Times New Roman" w:hAnsi="Times New Roman" w:cs="Times New Roman"/>
          <w:sz w:val="24"/>
          <w:szCs w:val="24"/>
          <w:lang w:val="en-US"/>
        </w:rPr>
        <w:t xml:space="preserve">  </w:t>
      </w:r>
      <w:r w:rsidR="00B2027F" w:rsidRPr="00FC6034">
        <w:rPr>
          <w:rFonts w:ascii="Times New Roman" w:hAnsi="Times New Roman" w:cs="Times New Roman"/>
          <w:sz w:val="24"/>
          <w:szCs w:val="24"/>
          <w:lang w:val="en-US"/>
        </w:rPr>
        <w:t xml:space="preserve">It also </w:t>
      </w:r>
      <w:r w:rsidR="00B2027F" w:rsidRPr="00E4621D">
        <w:rPr>
          <w:rFonts w:ascii="Times New Roman" w:hAnsi="Times New Roman" w:cs="Times New Roman"/>
          <w:sz w:val="24"/>
          <w:szCs w:val="24"/>
          <w:lang w:val="en-US"/>
        </w:rPr>
        <w:t>highlighted the conflicts of interest inherent in</w:t>
      </w:r>
      <w:r w:rsidR="00B2027F" w:rsidRPr="00FC6034">
        <w:rPr>
          <w:rFonts w:ascii="Times New Roman" w:hAnsi="Times New Roman" w:cs="Times New Roman"/>
          <w:sz w:val="24"/>
          <w:szCs w:val="24"/>
          <w:lang w:val="en-US"/>
        </w:rPr>
        <w:t xml:space="preserve"> providing ratings when it is the issuer, not the investor</w:t>
      </w:r>
      <w:r w:rsidR="00F46BD3" w:rsidRPr="00FC6034">
        <w:rPr>
          <w:rFonts w:ascii="Times New Roman" w:hAnsi="Times New Roman" w:cs="Times New Roman"/>
          <w:sz w:val="24"/>
          <w:szCs w:val="24"/>
          <w:lang w:val="en-US"/>
        </w:rPr>
        <w:t>,</w:t>
      </w:r>
      <w:r w:rsidR="00140183">
        <w:rPr>
          <w:rFonts w:ascii="Times New Roman" w:hAnsi="Times New Roman" w:cs="Times New Roman"/>
          <w:sz w:val="24"/>
          <w:szCs w:val="24"/>
          <w:lang w:val="en-US"/>
        </w:rPr>
        <w:t xml:space="preserve"> who pays for the rating</w:t>
      </w:r>
      <w:r w:rsidR="00E85E09">
        <w:rPr>
          <w:rStyle w:val="FootnoteReference"/>
          <w:rFonts w:ascii="Times New Roman" w:hAnsi="Times New Roman" w:cs="Times New Roman"/>
          <w:sz w:val="24"/>
          <w:szCs w:val="24"/>
          <w:lang w:val="en-US"/>
        </w:rPr>
        <w:footnoteReference w:id="57"/>
      </w:r>
      <w:r w:rsidR="00B2027F"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Regulators must be acutely aware of the incentive structures at play within a system because bad incentives can very quick</w:t>
      </w:r>
      <w:r w:rsidR="00140183">
        <w:rPr>
          <w:rFonts w:ascii="Times New Roman" w:hAnsi="Times New Roman" w:cs="Times New Roman"/>
          <w:sz w:val="24"/>
          <w:szCs w:val="24"/>
          <w:lang w:val="en-US"/>
        </w:rPr>
        <w:t>ly make a good system worthless</w:t>
      </w:r>
      <w:r w:rsidR="00E85E09">
        <w:rPr>
          <w:rStyle w:val="FootnoteReference"/>
          <w:rFonts w:ascii="Times New Roman" w:hAnsi="Times New Roman" w:cs="Times New Roman"/>
          <w:sz w:val="24"/>
          <w:szCs w:val="24"/>
          <w:lang w:val="en-US"/>
        </w:rPr>
        <w:footnoteReference w:id="58"/>
      </w:r>
      <w:r w:rsidRPr="00FC6034">
        <w:rPr>
          <w:rFonts w:ascii="Times New Roman" w:hAnsi="Times New Roman" w:cs="Times New Roman"/>
          <w:sz w:val="24"/>
          <w:szCs w:val="24"/>
          <w:lang w:val="en-US"/>
        </w:rPr>
        <w:t xml:space="preserve">.  </w:t>
      </w:r>
    </w:p>
    <w:p w14:paraId="5DAB3B84" w14:textId="146CAAD4" w:rsidR="000E0166" w:rsidRPr="00FC6034" w:rsidRDefault="0052674A"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Okamoto</w:t>
      </w:r>
      <w:r w:rsidR="00B97D13" w:rsidRPr="00FC6034">
        <w:rPr>
          <w:rFonts w:ascii="Times New Roman" w:hAnsi="Times New Roman" w:cs="Times New Roman"/>
          <w:sz w:val="24"/>
          <w:szCs w:val="24"/>
          <w:lang w:val="en-US"/>
        </w:rPr>
        <w:t xml:space="preserve"> comes up with an innova</w:t>
      </w:r>
      <w:r w:rsidR="001A1BE5">
        <w:rPr>
          <w:rFonts w:ascii="Times New Roman" w:hAnsi="Times New Roman" w:cs="Times New Roman"/>
          <w:sz w:val="24"/>
          <w:szCs w:val="24"/>
          <w:lang w:val="en-US"/>
        </w:rPr>
        <w:t>tive solution to excessive risk-</w:t>
      </w:r>
      <w:r w:rsidR="00B97D13" w:rsidRPr="00FC6034">
        <w:rPr>
          <w:rFonts w:ascii="Times New Roman" w:hAnsi="Times New Roman" w:cs="Times New Roman"/>
          <w:sz w:val="24"/>
          <w:szCs w:val="24"/>
          <w:lang w:val="en-US"/>
        </w:rPr>
        <w:t xml:space="preserve">taking by asset managers suggesting they </w:t>
      </w:r>
      <w:r w:rsidR="006A392D" w:rsidRPr="00FC6034">
        <w:rPr>
          <w:rFonts w:ascii="Times New Roman" w:hAnsi="Times New Roman" w:cs="Times New Roman"/>
          <w:sz w:val="24"/>
          <w:szCs w:val="24"/>
          <w:lang w:val="en-US"/>
        </w:rPr>
        <w:t xml:space="preserve">should be </w:t>
      </w:r>
      <w:r w:rsidR="00B97D13" w:rsidRPr="00FC6034">
        <w:rPr>
          <w:rFonts w:ascii="Times New Roman" w:hAnsi="Times New Roman" w:cs="Times New Roman"/>
          <w:sz w:val="24"/>
          <w:szCs w:val="24"/>
          <w:lang w:val="en-US"/>
        </w:rPr>
        <w:t xml:space="preserve">required to put their own money at risk and </w:t>
      </w:r>
      <w:r w:rsidR="00EC6590">
        <w:rPr>
          <w:rFonts w:ascii="Times New Roman" w:hAnsi="Times New Roman" w:cs="Times New Roman"/>
          <w:sz w:val="24"/>
          <w:szCs w:val="24"/>
          <w:lang w:val="en-US"/>
        </w:rPr>
        <w:t>“</w:t>
      </w:r>
      <w:r w:rsidR="00B97D13" w:rsidRPr="00FC6034">
        <w:rPr>
          <w:rFonts w:ascii="Times New Roman" w:hAnsi="Times New Roman" w:cs="Times New Roman"/>
          <w:sz w:val="24"/>
          <w:szCs w:val="24"/>
          <w:lang w:val="en-US"/>
        </w:rPr>
        <w:t xml:space="preserve">use </w:t>
      </w:r>
      <w:r w:rsidR="00EC6590">
        <w:rPr>
          <w:rFonts w:ascii="Times New Roman" w:hAnsi="Times New Roman" w:cs="Times New Roman"/>
          <w:sz w:val="24"/>
          <w:szCs w:val="24"/>
          <w:lang w:val="en-US"/>
        </w:rPr>
        <w:t>‘</w:t>
      </w:r>
      <w:r w:rsidR="00B97D13" w:rsidRPr="00FC6034">
        <w:rPr>
          <w:rFonts w:ascii="Times New Roman" w:hAnsi="Times New Roman" w:cs="Times New Roman"/>
          <w:sz w:val="24"/>
          <w:szCs w:val="24"/>
          <w:lang w:val="en-US"/>
        </w:rPr>
        <w:t>best practices</w:t>
      </w:r>
      <w:r w:rsidR="00EC6590">
        <w:rPr>
          <w:rFonts w:ascii="Times New Roman" w:hAnsi="Times New Roman" w:cs="Times New Roman"/>
          <w:sz w:val="24"/>
          <w:szCs w:val="24"/>
          <w:lang w:val="en-US"/>
        </w:rPr>
        <w:t>’</w:t>
      </w:r>
      <w:r w:rsidR="0054255F">
        <w:rPr>
          <w:rFonts w:ascii="Times New Roman" w:hAnsi="Times New Roman" w:cs="Times New Roman"/>
          <w:sz w:val="24"/>
          <w:szCs w:val="24"/>
          <w:lang w:val="en-US"/>
        </w:rPr>
        <w:t xml:space="preserve"> in managing risk</w:t>
      </w:r>
      <w:r w:rsidR="00B97D13" w:rsidRPr="00FC6034">
        <w:rPr>
          <w:rFonts w:ascii="Times New Roman" w:hAnsi="Times New Roman" w:cs="Times New Roman"/>
          <w:sz w:val="24"/>
          <w:szCs w:val="24"/>
          <w:lang w:val="en-US"/>
        </w:rPr>
        <w:t xml:space="preserve"> or be subject to legal liability</w:t>
      </w:r>
      <w:r w:rsidR="00EC6590">
        <w:rPr>
          <w:rFonts w:ascii="Times New Roman" w:hAnsi="Times New Roman" w:cs="Times New Roman"/>
          <w:sz w:val="24"/>
          <w:szCs w:val="24"/>
          <w:lang w:val="en-US"/>
        </w:rPr>
        <w:t>”</w:t>
      </w:r>
      <w:r w:rsidR="001A1BE5">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59"/>
      </w:r>
      <w:r w:rsidR="00B97D13" w:rsidRPr="00FC60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still permits </w:t>
      </w:r>
      <w:r w:rsidR="00B97D13" w:rsidRPr="00FC6034">
        <w:rPr>
          <w:rFonts w:ascii="Times New Roman" w:hAnsi="Times New Roman" w:cs="Times New Roman"/>
          <w:sz w:val="24"/>
          <w:szCs w:val="24"/>
          <w:lang w:val="en-US"/>
        </w:rPr>
        <w:t xml:space="preserve">outsourcing </w:t>
      </w:r>
      <w:r>
        <w:rPr>
          <w:rFonts w:ascii="Times New Roman" w:hAnsi="Times New Roman" w:cs="Times New Roman"/>
          <w:sz w:val="24"/>
          <w:szCs w:val="24"/>
          <w:lang w:val="en-US"/>
        </w:rPr>
        <w:t>whilst supporting it</w:t>
      </w:r>
      <w:r w:rsidR="00B97D13" w:rsidRPr="00FC6034">
        <w:rPr>
          <w:rFonts w:ascii="Times New Roman" w:hAnsi="Times New Roman" w:cs="Times New Roman"/>
          <w:sz w:val="24"/>
          <w:szCs w:val="24"/>
          <w:lang w:val="en-US"/>
        </w:rPr>
        <w:t xml:space="preserve"> </w:t>
      </w:r>
      <w:r>
        <w:rPr>
          <w:rFonts w:ascii="Times New Roman" w:hAnsi="Times New Roman" w:cs="Times New Roman"/>
          <w:sz w:val="24"/>
          <w:szCs w:val="24"/>
          <w:lang w:val="en-US"/>
        </w:rPr>
        <w:t>through</w:t>
      </w:r>
      <w:r w:rsidR="00B97D13" w:rsidRPr="00FC6034">
        <w:rPr>
          <w:rFonts w:ascii="Times New Roman" w:hAnsi="Times New Roman" w:cs="Times New Roman"/>
          <w:sz w:val="24"/>
          <w:szCs w:val="24"/>
          <w:lang w:val="en-US"/>
        </w:rPr>
        <w:t xml:space="preserve"> monitoring that can result in both economic and legal sanctions.  </w:t>
      </w:r>
      <w:r w:rsidR="00C96489">
        <w:rPr>
          <w:rFonts w:ascii="Times New Roman" w:hAnsi="Times New Roman" w:cs="Times New Roman"/>
          <w:sz w:val="24"/>
          <w:szCs w:val="24"/>
          <w:lang w:val="en-US"/>
        </w:rPr>
        <w:t xml:space="preserve">Maintaining a strong monitoring presence whilst permitting market actors to identify and control risk is also discussed by </w:t>
      </w:r>
      <w:r w:rsidR="00F17AA3" w:rsidRPr="00FC6034">
        <w:rPr>
          <w:rFonts w:ascii="Times New Roman" w:hAnsi="Times New Roman" w:cs="Times New Roman"/>
          <w:sz w:val="24"/>
          <w:szCs w:val="24"/>
          <w:lang w:val="en-US"/>
        </w:rPr>
        <w:t xml:space="preserve">Listokin-Smith </w:t>
      </w:r>
      <w:r w:rsidR="00C96489">
        <w:rPr>
          <w:rFonts w:ascii="Times New Roman" w:hAnsi="Times New Roman" w:cs="Times New Roman"/>
          <w:sz w:val="24"/>
          <w:szCs w:val="24"/>
          <w:lang w:val="en-US"/>
        </w:rPr>
        <w:t>in the context</w:t>
      </w:r>
      <w:r w:rsidR="00F17AA3" w:rsidRPr="00FC6034">
        <w:rPr>
          <w:rFonts w:ascii="Times New Roman" w:hAnsi="Times New Roman" w:cs="Times New Roman"/>
          <w:sz w:val="24"/>
          <w:szCs w:val="24"/>
          <w:lang w:val="en-US"/>
        </w:rPr>
        <w:t xml:space="preserve"> of OTC derivatives</w:t>
      </w:r>
      <w:r w:rsidR="00EA5774">
        <w:rPr>
          <w:rFonts w:ascii="Times New Roman" w:hAnsi="Times New Roman" w:cs="Times New Roman"/>
          <w:sz w:val="24"/>
          <w:szCs w:val="24"/>
          <w:lang w:val="en-US"/>
        </w:rPr>
        <w:t>.</w:t>
      </w:r>
      <w:r w:rsidR="001A1BE5">
        <w:rPr>
          <w:rStyle w:val="FootnoteReference"/>
          <w:rFonts w:ascii="Times New Roman" w:hAnsi="Times New Roman" w:cs="Times New Roman"/>
          <w:sz w:val="24"/>
          <w:szCs w:val="24"/>
          <w:lang w:val="en-US"/>
        </w:rPr>
        <w:footnoteReference w:id="60"/>
      </w:r>
      <w:r w:rsidR="00F17AA3" w:rsidRPr="00FC6034">
        <w:rPr>
          <w:rFonts w:ascii="Times New Roman" w:hAnsi="Times New Roman" w:cs="Times New Roman"/>
          <w:sz w:val="24"/>
          <w:szCs w:val="24"/>
          <w:lang w:val="en-US"/>
        </w:rPr>
        <w:t xml:space="preserve">  </w:t>
      </w:r>
      <w:r w:rsidR="00C96489">
        <w:rPr>
          <w:rFonts w:ascii="Times New Roman" w:hAnsi="Times New Roman" w:cs="Times New Roman"/>
          <w:sz w:val="24"/>
          <w:szCs w:val="24"/>
          <w:lang w:val="en-US"/>
        </w:rPr>
        <w:t>This kind of hybrid regulation has been termed m</w:t>
      </w:r>
      <w:r w:rsidR="00F17AA3" w:rsidRPr="00FC6034">
        <w:rPr>
          <w:rFonts w:ascii="Times New Roman" w:hAnsi="Times New Roman" w:cs="Times New Roman"/>
          <w:sz w:val="24"/>
          <w:szCs w:val="24"/>
          <w:lang w:val="en-US"/>
        </w:rPr>
        <w:t>eta-regulation</w:t>
      </w:r>
      <w:r w:rsidR="00C96489">
        <w:rPr>
          <w:rFonts w:ascii="Times New Roman" w:hAnsi="Times New Roman" w:cs="Times New Roman"/>
          <w:sz w:val="24"/>
          <w:szCs w:val="24"/>
          <w:lang w:val="en-US"/>
        </w:rPr>
        <w:t xml:space="preserve"> and</w:t>
      </w:r>
      <w:r w:rsidR="00F17AA3" w:rsidRPr="00FC6034">
        <w:rPr>
          <w:rFonts w:ascii="Times New Roman" w:hAnsi="Times New Roman" w:cs="Times New Roman"/>
          <w:sz w:val="24"/>
          <w:szCs w:val="24"/>
          <w:lang w:val="en-US"/>
        </w:rPr>
        <w:t xml:space="preserve"> is often described as layered regulation where one set of rules regulates another</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61"/>
      </w:r>
      <w:r w:rsidR="00F17AA3" w:rsidRPr="00FC6034">
        <w:rPr>
          <w:rFonts w:ascii="Times New Roman" w:hAnsi="Times New Roman" w:cs="Times New Roman"/>
          <w:sz w:val="24"/>
          <w:szCs w:val="24"/>
          <w:lang w:val="en-US"/>
        </w:rPr>
        <w:t xml:space="preserve">  </w:t>
      </w:r>
      <w:r w:rsidR="00C96489">
        <w:rPr>
          <w:rFonts w:ascii="Times New Roman" w:hAnsi="Times New Roman" w:cs="Times New Roman"/>
          <w:sz w:val="24"/>
          <w:szCs w:val="24"/>
          <w:lang w:val="en-US"/>
        </w:rPr>
        <w:t xml:space="preserve">It can be explained using Braithwaite’s theory of responsive regulation whereby enforcement options are </w:t>
      </w:r>
      <w:r w:rsidR="00712AAC">
        <w:rPr>
          <w:rFonts w:ascii="Times New Roman" w:hAnsi="Times New Roman" w:cs="Times New Roman"/>
          <w:sz w:val="24"/>
          <w:szCs w:val="24"/>
          <w:lang w:val="en-US"/>
        </w:rPr>
        <w:t xml:space="preserve">escalated to the extent necessary to </w:t>
      </w:r>
      <w:r w:rsidR="00712AAC">
        <w:rPr>
          <w:rFonts w:ascii="Times New Roman" w:hAnsi="Times New Roman" w:cs="Times New Roman"/>
          <w:sz w:val="24"/>
          <w:szCs w:val="24"/>
          <w:lang w:val="en-US"/>
        </w:rPr>
        <w:lastRenderedPageBreak/>
        <w:t>achieve the desired outcome</w:t>
      </w:r>
      <w:r w:rsidR="00C96489">
        <w:rPr>
          <w:rFonts w:ascii="Times New Roman" w:hAnsi="Times New Roman" w:cs="Times New Roman"/>
          <w:sz w:val="24"/>
          <w:szCs w:val="24"/>
          <w:lang w:val="en-US"/>
        </w:rPr>
        <w:t xml:space="preserve"> </w:t>
      </w:r>
      <w:r w:rsidR="00712AAC">
        <w:rPr>
          <w:rFonts w:ascii="Times New Roman" w:hAnsi="Times New Roman" w:cs="Times New Roman"/>
          <w:sz w:val="24"/>
          <w:szCs w:val="24"/>
          <w:lang w:val="en-US"/>
        </w:rPr>
        <w:t>- if light-</w:t>
      </w:r>
      <w:r w:rsidR="00C96489">
        <w:rPr>
          <w:rFonts w:ascii="Times New Roman" w:hAnsi="Times New Roman" w:cs="Times New Roman"/>
          <w:sz w:val="24"/>
          <w:szCs w:val="24"/>
          <w:lang w:val="en-US"/>
        </w:rPr>
        <w:t xml:space="preserve">touch persuasive techniques fail, </w:t>
      </w:r>
      <w:r w:rsidR="00712AAC">
        <w:rPr>
          <w:rFonts w:ascii="Times New Roman" w:hAnsi="Times New Roman" w:cs="Times New Roman"/>
          <w:sz w:val="24"/>
          <w:szCs w:val="24"/>
          <w:lang w:val="en-US"/>
        </w:rPr>
        <w:t>stronger sanctions can be instigated</w:t>
      </w:r>
      <w:r w:rsidR="00712AAC">
        <w:rPr>
          <w:rStyle w:val="FootnoteReference"/>
          <w:rFonts w:ascii="Times New Roman" w:hAnsi="Times New Roman" w:cs="Times New Roman"/>
          <w:sz w:val="24"/>
          <w:szCs w:val="24"/>
          <w:lang w:val="en-US"/>
        </w:rPr>
        <w:footnoteReference w:id="62"/>
      </w:r>
      <w:r w:rsidR="00712AAC">
        <w:rPr>
          <w:rFonts w:ascii="Times New Roman" w:hAnsi="Times New Roman" w:cs="Times New Roman"/>
          <w:sz w:val="24"/>
          <w:szCs w:val="24"/>
          <w:lang w:val="en-US"/>
        </w:rPr>
        <w:t>.</w:t>
      </w:r>
      <w:r w:rsidR="00C96489">
        <w:rPr>
          <w:rFonts w:ascii="Times New Roman" w:hAnsi="Times New Roman" w:cs="Times New Roman"/>
          <w:sz w:val="24"/>
          <w:szCs w:val="24"/>
          <w:lang w:val="en-US"/>
        </w:rPr>
        <w:t xml:space="preserve"> </w:t>
      </w:r>
    </w:p>
    <w:p w14:paraId="74BC639D" w14:textId="06F62AB1" w:rsidR="0001453F" w:rsidRPr="00FC6034" w:rsidRDefault="0001453F" w:rsidP="00AE7367">
      <w:pPr>
        <w:pStyle w:val="Heading3"/>
        <w:spacing w:line="360" w:lineRule="auto"/>
      </w:pPr>
      <w:r w:rsidRPr="00FC6034">
        <w:t xml:space="preserve">Enforcement style: public v private </w:t>
      </w:r>
    </w:p>
    <w:p w14:paraId="7571FEB0" w14:textId="51C6A9FD" w:rsidR="000E0166" w:rsidRPr="00FC6034" w:rsidRDefault="000E0166"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A third, closely related but distinct issue surrounding regulatory style is how the rules or principle</w:t>
      </w:r>
      <w:r w:rsidR="00C065A6" w:rsidRPr="00FC6034">
        <w:rPr>
          <w:rFonts w:ascii="Times New Roman" w:hAnsi="Times New Roman" w:cs="Times New Roman"/>
          <w:sz w:val="24"/>
          <w:szCs w:val="24"/>
          <w:lang w:val="en-US"/>
        </w:rPr>
        <w:t>s</w:t>
      </w:r>
      <w:r w:rsidRPr="00FC6034">
        <w:rPr>
          <w:rFonts w:ascii="Times New Roman" w:hAnsi="Times New Roman" w:cs="Times New Roman"/>
          <w:sz w:val="24"/>
          <w:szCs w:val="24"/>
          <w:lang w:val="en-US"/>
        </w:rPr>
        <w:t xml:space="preserve"> are enforced</w:t>
      </w:r>
      <w:r w:rsidR="00C065A6" w:rsidRPr="00FC6034">
        <w:rPr>
          <w:rFonts w:ascii="Times New Roman" w:hAnsi="Times New Roman" w:cs="Times New Roman"/>
          <w:sz w:val="24"/>
          <w:szCs w:val="24"/>
          <w:lang w:val="en-US"/>
        </w:rPr>
        <w:t xml:space="preserve"> and by whom. </w:t>
      </w:r>
      <w:r w:rsidR="00140183">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Traditional regulation would leave this</w:t>
      </w:r>
      <w:r w:rsidR="00E5021E">
        <w:rPr>
          <w:rFonts w:ascii="Times New Roman" w:hAnsi="Times New Roman" w:cs="Times New Roman"/>
          <w:sz w:val="24"/>
          <w:szCs w:val="24"/>
          <w:lang w:val="en-US"/>
        </w:rPr>
        <w:t xml:space="preserve"> to a government-led supervisor</w:t>
      </w:r>
      <w:r w:rsidRPr="00FC6034">
        <w:rPr>
          <w:rFonts w:ascii="Times New Roman" w:hAnsi="Times New Roman" w:cs="Times New Roman"/>
          <w:sz w:val="24"/>
          <w:szCs w:val="24"/>
          <w:lang w:val="en-US"/>
        </w:rPr>
        <w:t xml:space="preserve"> however new governance strategies, particularly the idea of smart regulation, have enrolle</w:t>
      </w:r>
      <w:r w:rsidR="00140183">
        <w:rPr>
          <w:rFonts w:ascii="Times New Roman" w:hAnsi="Times New Roman" w:cs="Times New Roman"/>
          <w:sz w:val="24"/>
          <w:szCs w:val="24"/>
          <w:lang w:val="en-US"/>
        </w:rPr>
        <w:t>d other actors into the process</w:t>
      </w:r>
      <w:r w:rsidR="0052674A">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63"/>
      </w:r>
      <w:r w:rsidR="00425A86" w:rsidRPr="00FC6034">
        <w:rPr>
          <w:rFonts w:ascii="Times New Roman" w:hAnsi="Times New Roman" w:cs="Times New Roman"/>
          <w:sz w:val="24"/>
          <w:szCs w:val="24"/>
          <w:lang w:val="en-US"/>
        </w:rPr>
        <w:t xml:space="preserve">  A common technique is for the regulator to require disclosure of information and then let the market determine the consequences.  For example, the </w:t>
      </w:r>
      <w:r w:rsidR="0030490F">
        <w:rPr>
          <w:rFonts w:ascii="Times New Roman" w:hAnsi="Times New Roman" w:cs="Times New Roman"/>
          <w:sz w:val="24"/>
          <w:szCs w:val="24"/>
          <w:lang w:val="en-US"/>
        </w:rPr>
        <w:t>“</w:t>
      </w:r>
      <w:r w:rsidR="00425A86" w:rsidRPr="00FC6034">
        <w:rPr>
          <w:rFonts w:ascii="Times New Roman" w:hAnsi="Times New Roman" w:cs="Times New Roman"/>
          <w:sz w:val="24"/>
          <w:szCs w:val="24"/>
          <w:lang w:val="en-US"/>
        </w:rPr>
        <w:t>comply-or-explain</w:t>
      </w:r>
      <w:r w:rsidR="0030490F">
        <w:rPr>
          <w:rFonts w:ascii="Times New Roman" w:hAnsi="Times New Roman" w:cs="Times New Roman"/>
          <w:sz w:val="24"/>
          <w:szCs w:val="24"/>
          <w:lang w:val="en-US"/>
        </w:rPr>
        <w:t>”</w:t>
      </w:r>
      <w:r w:rsidR="00425A86" w:rsidRPr="00FC6034">
        <w:rPr>
          <w:rFonts w:ascii="Times New Roman" w:hAnsi="Times New Roman" w:cs="Times New Roman"/>
          <w:sz w:val="24"/>
          <w:szCs w:val="24"/>
          <w:lang w:val="en-US"/>
        </w:rPr>
        <w:t xml:space="preserve"> mechanism used by corporate governance regulation encourages the adoption of good governance but leaves it to the investment market to enforce this</w:t>
      </w:r>
      <w:r w:rsidR="004F48D0" w:rsidRPr="00FC6034">
        <w:rPr>
          <w:rFonts w:ascii="Times New Roman" w:hAnsi="Times New Roman" w:cs="Times New Roman"/>
          <w:sz w:val="24"/>
          <w:szCs w:val="24"/>
          <w:lang w:val="en-US"/>
        </w:rPr>
        <w:t xml:space="preserve"> through its valuation of shares</w:t>
      </w:r>
      <w:r w:rsidR="00E5021E">
        <w:rPr>
          <w:rFonts w:ascii="Times New Roman" w:hAnsi="Times New Roman" w:cs="Times New Roman"/>
          <w:sz w:val="24"/>
          <w:szCs w:val="24"/>
          <w:lang w:val="en-US"/>
        </w:rPr>
        <w:t>.</w:t>
      </w:r>
      <w:r w:rsidR="00394566">
        <w:rPr>
          <w:rStyle w:val="FootnoteReference"/>
          <w:rFonts w:ascii="Times New Roman" w:hAnsi="Times New Roman" w:cs="Times New Roman"/>
          <w:sz w:val="24"/>
          <w:szCs w:val="24"/>
          <w:lang w:val="en-US"/>
        </w:rPr>
        <w:footnoteReference w:id="64"/>
      </w:r>
    </w:p>
    <w:p w14:paraId="3A803B43" w14:textId="057594A6" w:rsidR="00C065A6" w:rsidRPr="00FC6034" w:rsidRDefault="000E0166"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There is a clear debate in the literature around whether supervision</w:t>
      </w:r>
      <w:r w:rsidR="00C065A6" w:rsidRPr="00FC6034">
        <w:rPr>
          <w:rFonts w:ascii="Times New Roman" w:hAnsi="Times New Roman" w:cs="Times New Roman"/>
          <w:sz w:val="24"/>
          <w:szCs w:val="24"/>
          <w:lang w:val="en-US"/>
        </w:rPr>
        <w:t xml:space="preserve"> of financial regulation</w:t>
      </w:r>
      <w:r w:rsidRPr="00FC6034">
        <w:rPr>
          <w:rFonts w:ascii="Times New Roman" w:hAnsi="Times New Roman" w:cs="Times New Roman"/>
          <w:sz w:val="24"/>
          <w:szCs w:val="24"/>
          <w:lang w:val="en-US"/>
        </w:rPr>
        <w:t xml:space="preserve"> should </w:t>
      </w:r>
      <w:r w:rsidR="0001453F" w:rsidRPr="00FC6034">
        <w:rPr>
          <w:rFonts w:ascii="Times New Roman" w:hAnsi="Times New Roman" w:cs="Times New Roman"/>
          <w:sz w:val="24"/>
          <w:szCs w:val="24"/>
          <w:lang w:val="en-US"/>
        </w:rPr>
        <w:t>be public (directed by government)</w:t>
      </w:r>
      <w:r w:rsidR="00C065A6" w:rsidRPr="00FC6034">
        <w:rPr>
          <w:rFonts w:ascii="Times New Roman" w:hAnsi="Times New Roman" w:cs="Times New Roman"/>
          <w:sz w:val="24"/>
          <w:szCs w:val="24"/>
          <w:lang w:val="en-US"/>
        </w:rPr>
        <w:t xml:space="preserve">; </w:t>
      </w:r>
      <w:r w:rsidR="0001453F" w:rsidRPr="00FC6034">
        <w:rPr>
          <w:rFonts w:ascii="Times New Roman" w:hAnsi="Times New Roman" w:cs="Times New Roman"/>
          <w:sz w:val="24"/>
          <w:szCs w:val="24"/>
          <w:lang w:val="en-US"/>
        </w:rPr>
        <w:t xml:space="preserve">private (industry self-regulation often based on </w:t>
      </w:r>
      <w:r w:rsidR="0001453F" w:rsidRPr="00BE307C">
        <w:rPr>
          <w:rFonts w:ascii="Times New Roman" w:hAnsi="Times New Roman" w:cs="Times New Roman"/>
          <w:sz w:val="24"/>
          <w:szCs w:val="24"/>
          <w:lang w:val="en-US"/>
        </w:rPr>
        <w:t>contractual agreement)</w:t>
      </w:r>
      <w:r w:rsidR="00C065A6" w:rsidRPr="00BE307C">
        <w:rPr>
          <w:rFonts w:ascii="Times New Roman" w:hAnsi="Times New Roman" w:cs="Times New Roman"/>
          <w:sz w:val="24"/>
          <w:szCs w:val="24"/>
          <w:lang w:val="en-US"/>
        </w:rPr>
        <w:t>;</w:t>
      </w:r>
      <w:r w:rsidR="002D1FDB" w:rsidRPr="00BE307C">
        <w:rPr>
          <w:rFonts w:ascii="Times New Roman" w:hAnsi="Times New Roman" w:cs="Times New Roman"/>
          <w:sz w:val="24"/>
          <w:szCs w:val="24"/>
          <w:lang w:val="en-US"/>
        </w:rPr>
        <w:t xml:space="preserve"> or something in-between</w:t>
      </w:r>
      <w:r w:rsidR="00EA5774" w:rsidRPr="00BE307C">
        <w:rPr>
          <w:rFonts w:ascii="Times New Roman" w:hAnsi="Times New Roman" w:cs="Times New Roman"/>
          <w:sz w:val="24"/>
          <w:szCs w:val="24"/>
          <w:lang w:val="en-US"/>
        </w:rPr>
        <w:t>.</w:t>
      </w:r>
      <w:r w:rsidR="00E85E09" w:rsidRPr="00BE307C">
        <w:rPr>
          <w:rStyle w:val="FootnoteReference"/>
          <w:rFonts w:ascii="Times New Roman" w:hAnsi="Times New Roman" w:cs="Times New Roman"/>
          <w:sz w:val="24"/>
          <w:szCs w:val="24"/>
          <w:lang w:val="en-US"/>
        </w:rPr>
        <w:footnoteReference w:id="65"/>
      </w:r>
      <w:r w:rsidR="0001453F" w:rsidRPr="00BE307C">
        <w:rPr>
          <w:rFonts w:ascii="Times New Roman" w:hAnsi="Times New Roman" w:cs="Times New Roman"/>
          <w:sz w:val="24"/>
          <w:szCs w:val="24"/>
          <w:lang w:val="en-US"/>
        </w:rPr>
        <w:t xml:space="preserve">  </w:t>
      </w:r>
      <w:r w:rsidR="00425A86" w:rsidRPr="00BE307C">
        <w:rPr>
          <w:rFonts w:ascii="Times New Roman" w:hAnsi="Times New Roman" w:cs="Times New Roman"/>
          <w:sz w:val="24"/>
          <w:szCs w:val="24"/>
          <w:lang w:val="en-US"/>
        </w:rPr>
        <w:t>The</w:t>
      </w:r>
      <w:r w:rsidR="0001453F" w:rsidRPr="00BE307C">
        <w:rPr>
          <w:rFonts w:ascii="Times New Roman" w:hAnsi="Times New Roman" w:cs="Times New Roman"/>
          <w:sz w:val="24"/>
          <w:szCs w:val="24"/>
          <w:lang w:val="en-US"/>
        </w:rPr>
        <w:t xml:space="preserve"> crisis</w:t>
      </w:r>
      <w:r w:rsidR="00425A86" w:rsidRPr="00BE307C">
        <w:rPr>
          <w:rFonts w:ascii="Times New Roman" w:hAnsi="Times New Roman" w:cs="Times New Roman"/>
          <w:sz w:val="24"/>
          <w:szCs w:val="24"/>
          <w:lang w:val="en-US"/>
        </w:rPr>
        <w:t xml:space="preserve"> has been seen</w:t>
      </w:r>
      <w:r w:rsidR="0001453F" w:rsidRPr="00BE307C">
        <w:rPr>
          <w:rFonts w:ascii="Times New Roman" w:hAnsi="Times New Roman" w:cs="Times New Roman"/>
          <w:sz w:val="24"/>
          <w:szCs w:val="24"/>
          <w:lang w:val="en-US"/>
        </w:rPr>
        <w:t xml:space="preserve"> as a turning point in shifting authority back towards public regulatory agencies</w:t>
      </w:r>
      <w:r w:rsidR="00EA5774" w:rsidRPr="00BE307C">
        <w:rPr>
          <w:rFonts w:ascii="Times New Roman" w:hAnsi="Times New Roman" w:cs="Times New Roman"/>
          <w:sz w:val="24"/>
          <w:szCs w:val="24"/>
          <w:lang w:val="en-US"/>
        </w:rPr>
        <w:t>.</w:t>
      </w:r>
      <w:r w:rsidR="00E85E09" w:rsidRPr="00BE307C">
        <w:rPr>
          <w:rStyle w:val="FootnoteReference"/>
          <w:rFonts w:ascii="Times New Roman" w:hAnsi="Times New Roman" w:cs="Times New Roman"/>
          <w:sz w:val="24"/>
          <w:szCs w:val="24"/>
          <w:lang w:val="en-US"/>
        </w:rPr>
        <w:footnoteReference w:id="66"/>
      </w:r>
      <w:r w:rsidR="0001453F" w:rsidRPr="00BE307C">
        <w:rPr>
          <w:rFonts w:ascii="Times New Roman" w:hAnsi="Times New Roman" w:cs="Times New Roman"/>
          <w:sz w:val="24"/>
          <w:szCs w:val="24"/>
          <w:lang w:val="en-US"/>
        </w:rPr>
        <w:t xml:space="preserve">  </w:t>
      </w:r>
      <w:r w:rsidR="00C065A6" w:rsidRPr="00BE307C">
        <w:rPr>
          <w:rFonts w:ascii="Times New Roman" w:hAnsi="Times New Roman" w:cs="Times New Roman"/>
          <w:sz w:val="24"/>
          <w:szCs w:val="24"/>
          <w:lang w:val="en-US"/>
        </w:rPr>
        <w:t>Canova</w:t>
      </w:r>
      <w:r w:rsidR="00C065A6" w:rsidRPr="00FC6034">
        <w:rPr>
          <w:rFonts w:ascii="Times New Roman" w:hAnsi="Times New Roman" w:cs="Times New Roman"/>
          <w:sz w:val="24"/>
          <w:szCs w:val="24"/>
          <w:lang w:val="en-US"/>
        </w:rPr>
        <w:t xml:space="preserve"> laments the demise of the Keynesian command and control regime of the 1930s and 40s and </w:t>
      </w:r>
      <w:r w:rsidR="00E5021E">
        <w:rPr>
          <w:rFonts w:ascii="Times New Roman" w:hAnsi="Times New Roman" w:cs="Times New Roman"/>
          <w:sz w:val="24"/>
          <w:szCs w:val="24"/>
          <w:lang w:val="en-US"/>
        </w:rPr>
        <w:t>criticis</w:t>
      </w:r>
      <w:r w:rsidR="00322448" w:rsidRPr="00FC6034">
        <w:rPr>
          <w:rFonts w:ascii="Times New Roman" w:hAnsi="Times New Roman" w:cs="Times New Roman"/>
          <w:sz w:val="24"/>
          <w:szCs w:val="24"/>
          <w:lang w:val="en-US"/>
        </w:rPr>
        <w:t>es</w:t>
      </w:r>
      <w:r w:rsidR="00C065A6" w:rsidRPr="00FC6034">
        <w:rPr>
          <w:rFonts w:ascii="Times New Roman" w:hAnsi="Times New Roman" w:cs="Times New Roman"/>
          <w:sz w:val="24"/>
          <w:szCs w:val="24"/>
          <w:lang w:val="en-US"/>
        </w:rPr>
        <w:t xml:space="preserve"> the movement towards industry self-regulation that began in the 1970s.  Although he focuses on the situation in the United States his message is universal: that without a strict command-and-control system, regulatory capture occurs rendering regulatio</w:t>
      </w:r>
      <w:r w:rsidR="002D1FDB">
        <w:rPr>
          <w:rFonts w:ascii="Times New Roman" w:hAnsi="Times New Roman" w:cs="Times New Roman"/>
          <w:sz w:val="24"/>
          <w:szCs w:val="24"/>
          <w:lang w:val="en-US"/>
        </w:rPr>
        <w:t>n ineffective and uncoordinated</w:t>
      </w:r>
      <w:r w:rsidR="00E5021E">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67"/>
      </w:r>
      <w:r w:rsidR="00C065A6" w:rsidRPr="00FC6034">
        <w:rPr>
          <w:rFonts w:ascii="Times New Roman" w:hAnsi="Times New Roman" w:cs="Times New Roman"/>
          <w:sz w:val="24"/>
          <w:szCs w:val="24"/>
          <w:lang w:val="en-US"/>
        </w:rPr>
        <w:t xml:space="preserve">  </w:t>
      </w:r>
      <w:r w:rsidR="00DB707A" w:rsidRPr="00FC6034">
        <w:rPr>
          <w:rFonts w:ascii="Times New Roman" w:hAnsi="Times New Roman" w:cs="Times New Roman"/>
          <w:sz w:val="24"/>
          <w:szCs w:val="24"/>
          <w:lang w:val="en-US"/>
        </w:rPr>
        <w:t xml:space="preserve">Cukierman concludes boldly that, </w:t>
      </w:r>
      <w:r w:rsidR="0030490F">
        <w:rPr>
          <w:rFonts w:ascii="Times New Roman" w:hAnsi="Times New Roman" w:cs="Times New Roman"/>
          <w:sz w:val="24"/>
          <w:szCs w:val="24"/>
          <w:lang w:val="en-US"/>
        </w:rPr>
        <w:t>“</w:t>
      </w:r>
      <w:r w:rsidR="00DB707A" w:rsidRPr="00FC6034">
        <w:rPr>
          <w:rFonts w:ascii="Times New Roman" w:hAnsi="Times New Roman" w:cs="Times New Roman"/>
          <w:sz w:val="24"/>
          <w:szCs w:val="24"/>
          <w:lang w:val="en-US"/>
        </w:rPr>
        <w:t>in a world with serious asymmetries of information, vigorous financial innovations and incomplete regulatory frameworks, self-regulation does not work</w:t>
      </w:r>
      <w:r w:rsidR="0030490F">
        <w:rPr>
          <w:rFonts w:ascii="Times New Roman" w:hAnsi="Times New Roman" w:cs="Times New Roman"/>
          <w:sz w:val="24"/>
          <w:szCs w:val="24"/>
          <w:lang w:val="en-US"/>
        </w:rPr>
        <w:t>”</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68"/>
      </w:r>
      <w:r w:rsidR="00C065A6" w:rsidRPr="00FC6034">
        <w:rPr>
          <w:rFonts w:ascii="Times New Roman" w:hAnsi="Times New Roman" w:cs="Times New Roman"/>
          <w:sz w:val="24"/>
          <w:szCs w:val="24"/>
          <w:lang w:val="en-US"/>
        </w:rPr>
        <w:t xml:space="preserve">  </w:t>
      </w:r>
    </w:p>
    <w:p w14:paraId="7A467E9C" w14:textId="4A99DF40" w:rsidR="0001453F" w:rsidRPr="00FC6034" w:rsidRDefault="0001453F"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Of course this is </w:t>
      </w:r>
      <w:r w:rsidR="00DB707A" w:rsidRPr="00FC6034">
        <w:rPr>
          <w:rFonts w:ascii="Times New Roman" w:hAnsi="Times New Roman" w:cs="Times New Roman"/>
          <w:sz w:val="24"/>
          <w:szCs w:val="24"/>
          <w:lang w:val="en-US"/>
        </w:rPr>
        <w:t>directly</w:t>
      </w:r>
      <w:r w:rsidRPr="00FC6034">
        <w:rPr>
          <w:rFonts w:ascii="Times New Roman" w:hAnsi="Times New Roman" w:cs="Times New Roman"/>
          <w:sz w:val="24"/>
          <w:szCs w:val="24"/>
          <w:lang w:val="en-US"/>
        </w:rPr>
        <w:t xml:space="preserve"> related to the </w:t>
      </w:r>
      <w:r w:rsidR="00557892" w:rsidRPr="00FC6034">
        <w:rPr>
          <w:rFonts w:ascii="Times New Roman" w:hAnsi="Times New Roman" w:cs="Times New Roman"/>
          <w:sz w:val="24"/>
          <w:szCs w:val="24"/>
          <w:lang w:val="en-US"/>
        </w:rPr>
        <w:t>level</w:t>
      </w:r>
      <w:r w:rsidRPr="00FC6034">
        <w:rPr>
          <w:rFonts w:ascii="Times New Roman" w:hAnsi="Times New Roman" w:cs="Times New Roman"/>
          <w:sz w:val="24"/>
          <w:szCs w:val="24"/>
          <w:lang w:val="en-US"/>
        </w:rPr>
        <w:t xml:space="preserve"> of enforcement </w:t>
      </w:r>
      <w:r w:rsidR="00DB707A" w:rsidRPr="00FC6034">
        <w:rPr>
          <w:rFonts w:ascii="Times New Roman" w:hAnsi="Times New Roman" w:cs="Times New Roman"/>
          <w:sz w:val="24"/>
          <w:szCs w:val="24"/>
          <w:lang w:val="en-US"/>
        </w:rPr>
        <w:t>deemed necessary</w:t>
      </w:r>
      <w:r w:rsidRPr="00FC6034">
        <w:rPr>
          <w:rFonts w:ascii="Times New Roman" w:hAnsi="Times New Roman" w:cs="Times New Roman"/>
          <w:sz w:val="24"/>
          <w:szCs w:val="24"/>
          <w:lang w:val="en-US"/>
        </w:rPr>
        <w:t xml:space="preserve">.  Strict legal sanctions may only be available in the case of public, government-led policy, yet this is not </w:t>
      </w:r>
      <w:r w:rsidRPr="00FC6034">
        <w:rPr>
          <w:rFonts w:ascii="Times New Roman" w:hAnsi="Times New Roman" w:cs="Times New Roman"/>
          <w:sz w:val="24"/>
          <w:szCs w:val="24"/>
          <w:lang w:val="en-US"/>
        </w:rPr>
        <w:lastRenderedPageBreak/>
        <w:t>always the case.  Biggins and Scott tackle this issue in the context of OTC derivatives which, pre-crisis, were regulated primarily by a private, transnational regulatory regime overseen by the powerful International Swaps and Derivatives Association (ISDA).  They explore how this private body has interacted with national governments to give the regime a stronger public dimension</w:t>
      </w:r>
      <w:r w:rsidR="002D1FDB">
        <w:rPr>
          <w:rFonts w:ascii="Times New Roman" w:hAnsi="Times New Roman" w:cs="Times New Roman"/>
          <w:sz w:val="24"/>
          <w:szCs w:val="24"/>
          <w:lang w:val="en-US"/>
        </w:rPr>
        <w:t xml:space="preserve"> through standardis</w:t>
      </w:r>
      <w:r w:rsidR="00832512">
        <w:rPr>
          <w:rFonts w:ascii="Times New Roman" w:hAnsi="Times New Roman" w:cs="Times New Roman"/>
          <w:sz w:val="24"/>
          <w:szCs w:val="24"/>
          <w:lang w:val="en-US"/>
        </w:rPr>
        <w:t>ed contracts</w:t>
      </w:r>
      <w:r w:rsidR="00E5021E">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69"/>
      </w:r>
    </w:p>
    <w:p w14:paraId="6A43C54B" w14:textId="07332E4B" w:rsidR="0001453F" w:rsidRPr="00FC6034" w:rsidRDefault="00E5021E"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Amtenbrink and De Haan</w:t>
      </w:r>
      <w:r w:rsidR="0001453F" w:rsidRPr="00FC6034">
        <w:rPr>
          <w:rFonts w:ascii="Times New Roman" w:hAnsi="Times New Roman" w:cs="Times New Roman"/>
          <w:sz w:val="24"/>
          <w:szCs w:val="24"/>
          <w:lang w:val="en-US"/>
        </w:rPr>
        <w:t xml:space="preserve"> discuss European regulation of credit rating agencies.  This is an interesting example of a legislature (the European Commission) going against the recommendations of industry bodies and implementing a much stricter binding regime instead of a voluntary system.  The Commission’s rationale for this seemed to revolve around a desire for a more robust and stringent regime, involving enforcement options.  This was deemed necessary due to the severe nature of the problems identified and a need to restore confidence in t</w:t>
      </w:r>
      <w:r w:rsidR="002D1FDB">
        <w:rPr>
          <w:rFonts w:ascii="Times New Roman" w:hAnsi="Times New Roman" w:cs="Times New Roman"/>
          <w:sz w:val="24"/>
          <w:szCs w:val="24"/>
          <w:lang w:val="en-US"/>
        </w:rPr>
        <w:t>he market and protect investors</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70"/>
      </w:r>
      <w:r w:rsidR="0001453F" w:rsidRPr="00FC6034">
        <w:rPr>
          <w:rFonts w:ascii="Times New Roman" w:hAnsi="Times New Roman" w:cs="Times New Roman"/>
          <w:sz w:val="24"/>
          <w:szCs w:val="24"/>
          <w:lang w:val="en-US"/>
        </w:rPr>
        <w:t xml:space="preserve">  </w:t>
      </w:r>
      <w:r w:rsidR="0052674A">
        <w:rPr>
          <w:rFonts w:ascii="Times New Roman" w:hAnsi="Times New Roman" w:cs="Times New Roman"/>
          <w:sz w:val="24"/>
          <w:szCs w:val="24"/>
          <w:lang w:val="en-US"/>
        </w:rPr>
        <w:t>Some say that</w:t>
      </w:r>
      <w:r w:rsidR="0001453F" w:rsidRPr="00FC6034">
        <w:rPr>
          <w:rFonts w:ascii="Times New Roman" w:hAnsi="Times New Roman" w:cs="Times New Roman"/>
          <w:sz w:val="24"/>
          <w:szCs w:val="24"/>
          <w:lang w:val="en-US"/>
        </w:rPr>
        <w:t xml:space="preserve"> arguments for </w:t>
      </w:r>
      <w:r w:rsidR="006A392D" w:rsidRPr="00FC6034">
        <w:rPr>
          <w:rFonts w:ascii="Times New Roman" w:hAnsi="Times New Roman" w:cs="Times New Roman"/>
          <w:sz w:val="24"/>
          <w:szCs w:val="24"/>
          <w:lang w:val="en-US"/>
        </w:rPr>
        <w:t>private</w:t>
      </w:r>
      <w:r w:rsidR="00F46BD3" w:rsidRPr="00FC6034">
        <w:rPr>
          <w:rFonts w:ascii="Times New Roman" w:hAnsi="Times New Roman" w:cs="Times New Roman"/>
          <w:sz w:val="24"/>
          <w:szCs w:val="24"/>
          <w:lang w:val="en-US"/>
        </w:rPr>
        <w:t>, self-</w:t>
      </w:r>
      <w:r w:rsidR="006A392D" w:rsidRPr="00FC6034">
        <w:rPr>
          <w:rFonts w:ascii="Times New Roman" w:hAnsi="Times New Roman" w:cs="Times New Roman"/>
          <w:sz w:val="24"/>
          <w:szCs w:val="24"/>
          <w:lang w:val="en-US"/>
        </w:rPr>
        <w:t>regulation</w:t>
      </w:r>
      <w:r w:rsidR="0001453F" w:rsidRPr="00FC6034">
        <w:rPr>
          <w:rFonts w:ascii="Times New Roman" w:hAnsi="Times New Roman" w:cs="Times New Roman"/>
          <w:sz w:val="24"/>
          <w:szCs w:val="24"/>
          <w:lang w:val="en-US"/>
        </w:rPr>
        <w:t xml:space="preserve"> were dismissed rather quickly and the potential disadvantages of a legislative approach not fully considered.  These include the fact that a comprehensive regulatory regime can encourage excessive reliance on ratings by giving a false i</w:t>
      </w:r>
      <w:r w:rsidR="002D1FDB">
        <w:rPr>
          <w:rFonts w:ascii="Times New Roman" w:hAnsi="Times New Roman" w:cs="Times New Roman"/>
          <w:sz w:val="24"/>
          <w:szCs w:val="24"/>
          <w:lang w:val="en-US"/>
        </w:rPr>
        <w:t>mpression of a seal of approval</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71"/>
      </w:r>
      <w:r w:rsidR="009763AC" w:rsidRPr="00FC6034">
        <w:rPr>
          <w:rFonts w:ascii="Times New Roman" w:hAnsi="Times New Roman" w:cs="Times New Roman"/>
          <w:sz w:val="24"/>
          <w:szCs w:val="24"/>
          <w:lang w:val="en-US"/>
        </w:rPr>
        <w:t xml:space="preserve">  T</w:t>
      </w:r>
      <w:r w:rsidR="0001453F" w:rsidRPr="00FC6034">
        <w:rPr>
          <w:rFonts w:ascii="Times New Roman" w:hAnsi="Times New Roman" w:cs="Times New Roman"/>
          <w:sz w:val="24"/>
          <w:szCs w:val="24"/>
          <w:lang w:val="en-US"/>
        </w:rPr>
        <w:t>he main difference between the former re</w:t>
      </w:r>
      <w:r w:rsidR="009763AC" w:rsidRPr="00FC6034">
        <w:rPr>
          <w:rFonts w:ascii="Times New Roman" w:hAnsi="Times New Roman" w:cs="Times New Roman"/>
          <w:sz w:val="24"/>
          <w:szCs w:val="24"/>
          <w:lang w:val="en-US"/>
        </w:rPr>
        <w:t>gime and the new EU Regulation i</w:t>
      </w:r>
      <w:r w:rsidR="0001453F" w:rsidRPr="00FC6034">
        <w:rPr>
          <w:rFonts w:ascii="Times New Roman" w:hAnsi="Times New Roman" w:cs="Times New Roman"/>
          <w:sz w:val="24"/>
          <w:szCs w:val="24"/>
          <w:lang w:val="en-US"/>
        </w:rPr>
        <w:t>s its enforceability which enables a CRA to effectively be banned from operating in the EU throug</w:t>
      </w:r>
      <w:r w:rsidR="002D1FDB">
        <w:rPr>
          <w:rFonts w:ascii="Times New Roman" w:hAnsi="Times New Roman" w:cs="Times New Roman"/>
          <w:sz w:val="24"/>
          <w:szCs w:val="24"/>
          <w:lang w:val="en-US"/>
        </w:rPr>
        <w:t>h removal of their registration</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72"/>
      </w:r>
    </w:p>
    <w:p w14:paraId="3326FC10" w14:textId="51D9677A" w:rsidR="00C065A6" w:rsidRPr="00FC6034" w:rsidRDefault="00C90E1D"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Both public and private enforcement rely on somehow extracting information about whether a firm is complying with the rules or principle</w:t>
      </w:r>
      <w:r w:rsidR="00F46BD3" w:rsidRPr="00FC6034">
        <w:rPr>
          <w:rFonts w:ascii="Times New Roman" w:hAnsi="Times New Roman" w:cs="Times New Roman"/>
          <w:sz w:val="24"/>
          <w:szCs w:val="24"/>
          <w:lang w:val="en-US"/>
        </w:rPr>
        <w:t>s</w:t>
      </w:r>
      <w:r w:rsidRPr="00FC6034">
        <w:rPr>
          <w:rFonts w:ascii="Times New Roman" w:hAnsi="Times New Roman" w:cs="Times New Roman"/>
          <w:sz w:val="24"/>
          <w:szCs w:val="24"/>
          <w:lang w:val="en-US"/>
        </w:rPr>
        <w:t xml:space="preserve"> of the regulatory regime.  </w:t>
      </w:r>
      <w:r w:rsidR="00F46BD3" w:rsidRPr="00FC6034">
        <w:rPr>
          <w:rFonts w:ascii="Times New Roman" w:hAnsi="Times New Roman" w:cs="Times New Roman"/>
          <w:sz w:val="24"/>
          <w:szCs w:val="24"/>
          <w:lang w:val="en-US"/>
        </w:rPr>
        <w:t>Avgouleas and Awrey consider</w:t>
      </w:r>
      <w:r w:rsidR="00C065A6"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 xml:space="preserve">the </w:t>
      </w:r>
      <w:r w:rsidR="00F46BD3" w:rsidRPr="00FC6034">
        <w:rPr>
          <w:rFonts w:ascii="Times New Roman" w:hAnsi="Times New Roman" w:cs="Times New Roman"/>
          <w:sz w:val="24"/>
          <w:szCs w:val="24"/>
          <w:lang w:val="en-US"/>
        </w:rPr>
        <w:t>rise of the disclosure paradigm as the corn</w:t>
      </w:r>
      <w:r w:rsidR="002D1FDB">
        <w:rPr>
          <w:rFonts w:ascii="Times New Roman" w:hAnsi="Times New Roman" w:cs="Times New Roman"/>
          <w:sz w:val="24"/>
          <w:szCs w:val="24"/>
          <w:lang w:val="en-US"/>
        </w:rPr>
        <w:t>erstone of financial regulation</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73"/>
      </w:r>
      <w:r w:rsidRPr="00FC6034">
        <w:rPr>
          <w:rFonts w:ascii="Times New Roman" w:hAnsi="Times New Roman" w:cs="Times New Roman"/>
          <w:sz w:val="24"/>
          <w:szCs w:val="24"/>
          <w:lang w:val="en-US"/>
        </w:rPr>
        <w:t xml:space="preserve">  </w:t>
      </w:r>
      <w:r w:rsidR="00F46BD3" w:rsidRPr="00FC6034">
        <w:rPr>
          <w:rFonts w:ascii="Times New Roman" w:hAnsi="Times New Roman" w:cs="Times New Roman"/>
          <w:sz w:val="24"/>
          <w:szCs w:val="24"/>
          <w:lang w:val="en-US"/>
        </w:rPr>
        <w:t>Awrey</w:t>
      </w:r>
      <w:r w:rsidR="00C065A6" w:rsidRPr="00FC6034">
        <w:rPr>
          <w:rFonts w:ascii="Times New Roman" w:hAnsi="Times New Roman" w:cs="Times New Roman"/>
          <w:sz w:val="24"/>
          <w:szCs w:val="24"/>
          <w:lang w:val="en-US"/>
        </w:rPr>
        <w:t xml:space="preserve"> notes that although timely and comprehensive access to information is undoubtedly a necessary condition for both optimal private contracting and effective public oversight, it is by no means sufficient</w:t>
      </w:r>
      <w:r w:rsidR="00EA5774">
        <w:rPr>
          <w:rFonts w:ascii="Times New Roman" w:hAnsi="Times New Roman" w:cs="Times New Roman"/>
          <w:sz w:val="24"/>
          <w:szCs w:val="24"/>
          <w:lang w:val="en-US"/>
        </w:rPr>
        <w:t>.</w:t>
      </w:r>
      <w:r w:rsidR="00E85E09" w:rsidRPr="002D1FDB">
        <w:rPr>
          <w:rStyle w:val="FootnoteReference"/>
          <w:rFonts w:ascii="Times New Roman" w:hAnsi="Times New Roman" w:cs="Times New Roman"/>
          <w:sz w:val="24"/>
          <w:szCs w:val="24"/>
          <w:lang w:val="en-US"/>
        </w:rPr>
        <w:footnoteReference w:id="74"/>
      </w:r>
      <w:r w:rsidR="00C065A6"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 xml:space="preserve"> </w:t>
      </w:r>
      <w:r w:rsidR="00C065A6" w:rsidRPr="00FC6034">
        <w:rPr>
          <w:rFonts w:ascii="Times New Roman" w:hAnsi="Times New Roman" w:cs="Times New Roman"/>
          <w:sz w:val="24"/>
          <w:szCs w:val="24"/>
          <w:lang w:val="en-US"/>
        </w:rPr>
        <w:t xml:space="preserve">Indeed the dense </w:t>
      </w:r>
      <w:r w:rsidR="0030490F">
        <w:rPr>
          <w:rFonts w:ascii="Times New Roman" w:hAnsi="Times New Roman" w:cs="Times New Roman"/>
          <w:sz w:val="24"/>
          <w:szCs w:val="24"/>
          <w:lang w:val="en-US"/>
        </w:rPr>
        <w:t>“</w:t>
      </w:r>
      <w:r w:rsidR="00C065A6" w:rsidRPr="00FC6034">
        <w:rPr>
          <w:rFonts w:ascii="Times New Roman" w:hAnsi="Times New Roman" w:cs="Times New Roman"/>
          <w:sz w:val="24"/>
          <w:szCs w:val="24"/>
          <w:lang w:val="en-US"/>
        </w:rPr>
        <w:t>information thicket</w:t>
      </w:r>
      <w:r w:rsidR="0030490F">
        <w:rPr>
          <w:rFonts w:ascii="Times New Roman" w:hAnsi="Times New Roman" w:cs="Times New Roman"/>
          <w:sz w:val="24"/>
          <w:szCs w:val="24"/>
          <w:lang w:val="en-US"/>
        </w:rPr>
        <w:t>”</w:t>
      </w:r>
      <w:r w:rsidR="00C065A6" w:rsidRPr="00FC6034">
        <w:rPr>
          <w:rFonts w:ascii="Times New Roman" w:hAnsi="Times New Roman" w:cs="Times New Roman"/>
          <w:sz w:val="24"/>
          <w:szCs w:val="24"/>
          <w:lang w:val="en-US"/>
        </w:rPr>
        <w:t xml:space="preserve"> faced by regulators suggests that the provision of more information is po</w:t>
      </w:r>
      <w:r w:rsidR="002D1FDB">
        <w:rPr>
          <w:rFonts w:ascii="Times New Roman" w:hAnsi="Times New Roman" w:cs="Times New Roman"/>
          <w:sz w:val="24"/>
          <w:szCs w:val="24"/>
          <w:lang w:val="en-US"/>
        </w:rPr>
        <w:t>ssibly the last thing they need</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75"/>
      </w:r>
      <w:r w:rsidR="00C065A6" w:rsidRPr="00FC6034">
        <w:rPr>
          <w:rFonts w:ascii="Times New Roman" w:hAnsi="Times New Roman" w:cs="Times New Roman"/>
          <w:sz w:val="24"/>
          <w:szCs w:val="24"/>
          <w:lang w:val="en-US"/>
        </w:rPr>
        <w:t xml:space="preserve">  Awrey posits two potential answers: we </w:t>
      </w:r>
      <w:r w:rsidR="00C065A6" w:rsidRPr="00FD3DAB">
        <w:rPr>
          <w:rFonts w:ascii="Times New Roman" w:hAnsi="Times New Roman" w:cs="Times New Roman"/>
          <w:sz w:val="24"/>
          <w:szCs w:val="24"/>
          <w:lang w:val="en-US"/>
        </w:rPr>
        <w:t xml:space="preserve">could better fund the regulators to help them </w:t>
      </w:r>
      <w:r w:rsidR="00F46BD3" w:rsidRPr="00FD3DAB">
        <w:rPr>
          <w:rFonts w:ascii="Times New Roman" w:hAnsi="Times New Roman" w:cs="Times New Roman"/>
          <w:sz w:val="24"/>
          <w:szCs w:val="24"/>
          <w:lang w:val="en-US"/>
        </w:rPr>
        <w:t>supervise</w:t>
      </w:r>
      <w:r w:rsidR="00C065A6" w:rsidRPr="00FD3DAB">
        <w:rPr>
          <w:rFonts w:ascii="Times New Roman" w:hAnsi="Times New Roman" w:cs="Times New Roman"/>
          <w:sz w:val="24"/>
          <w:szCs w:val="24"/>
          <w:lang w:val="en-US"/>
        </w:rPr>
        <w:t xml:space="preserve"> complex markets; or we </w:t>
      </w:r>
      <w:r w:rsidR="00C065A6" w:rsidRPr="00FD3DAB">
        <w:rPr>
          <w:rFonts w:ascii="Times New Roman" w:hAnsi="Times New Roman" w:cs="Times New Roman"/>
          <w:sz w:val="24"/>
          <w:szCs w:val="24"/>
          <w:lang w:val="en-US"/>
        </w:rPr>
        <w:lastRenderedPageBreak/>
        <w:t>use hard law to try to reduce complexity, perhaps by p</w:t>
      </w:r>
      <w:r w:rsidR="002D1FDB" w:rsidRPr="00FD3DAB">
        <w:rPr>
          <w:rFonts w:ascii="Times New Roman" w:hAnsi="Times New Roman" w:cs="Times New Roman"/>
          <w:sz w:val="24"/>
          <w:szCs w:val="24"/>
          <w:lang w:val="en-US"/>
        </w:rPr>
        <w:t>rohibiting certain transactions</w:t>
      </w:r>
      <w:r w:rsidR="00EA5774" w:rsidRPr="00FD3DAB">
        <w:rPr>
          <w:rFonts w:ascii="Times New Roman" w:hAnsi="Times New Roman" w:cs="Times New Roman"/>
          <w:sz w:val="24"/>
          <w:szCs w:val="24"/>
          <w:lang w:val="en-US"/>
        </w:rPr>
        <w:t>.</w:t>
      </w:r>
      <w:r w:rsidR="00E85E09" w:rsidRPr="00FD3DAB">
        <w:rPr>
          <w:rStyle w:val="FootnoteReference"/>
          <w:rFonts w:ascii="Times New Roman" w:hAnsi="Times New Roman" w:cs="Times New Roman"/>
          <w:sz w:val="24"/>
          <w:szCs w:val="24"/>
          <w:lang w:val="en-US"/>
        </w:rPr>
        <w:footnoteReference w:id="76"/>
      </w:r>
      <w:r w:rsidR="00C065A6" w:rsidRPr="00FD3DAB">
        <w:rPr>
          <w:rFonts w:ascii="Times New Roman" w:hAnsi="Times New Roman" w:cs="Times New Roman"/>
          <w:sz w:val="24"/>
          <w:szCs w:val="24"/>
          <w:lang w:val="en-US"/>
        </w:rPr>
        <w:t xml:space="preserve">  Darcy explores </w:t>
      </w:r>
      <w:r w:rsidRPr="00FD3DAB">
        <w:rPr>
          <w:rFonts w:ascii="Times New Roman" w:hAnsi="Times New Roman" w:cs="Times New Roman"/>
          <w:sz w:val="24"/>
          <w:szCs w:val="24"/>
          <w:lang w:val="en-US"/>
        </w:rPr>
        <w:t>enforcement of credit rating quality through</w:t>
      </w:r>
      <w:r w:rsidRPr="00FC6034">
        <w:rPr>
          <w:rFonts w:ascii="Times New Roman" w:hAnsi="Times New Roman" w:cs="Times New Roman"/>
          <w:sz w:val="24"/>
          <w:szCs w:val="24"/>
          <w:lang w:val="en-US"/>
        </w:rPr>
        <w:t xml:space="preserve"> </w:t>
      </w:r>
      <w:r w:rsidR="002D1FDB">
        <w:rPr>
          <w:rFonts w:ascii="Times New Roman" w:hAnsi="Times New Roman" w:cs="Times New Roman"/>
          <w:sz w:val="24"/>
          <w:szCs w:val="24"/>
          <w:lang w:val="en-US"/>
        </w:rPr>
        <w:t>performance-based sanctions</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77"/>
      </w:r>
      <w:r w:rsidR="00C065A6"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 xml:space="preserve">If ratings were found to be of poor quality </w:t>
      </w:r>
      <w:r w:rsidR="00C065A6" w:rsidRPr="00FC6034">
        <w:rPr>
          <w:rFonts w:ascii="Times New Roman" w:hAnsi="Times New Roman" w:cs="Times New Roman"/>
          <w:sz w:val="24"/>
          <w:szCs w:val="24"/>
          <w:lang w:val="en-US"/>
        </w:rPr>
        <w:t xml:space="preserve">CRAs </w:t>
      </w:r>
      <w:r w:rsidRPr="00FC6034">
        <w:rPr>
          <w:rFonts w:ascii="Times New Roman" w:hAnsi="Times New Roman" w:cs="Times New Roman"/>
          <w:sz w:val="24"/>
          <w:szCs w:val="24"/>
          <w:lang w:val="en-US"/>
        </w:rPr>
        <w:t>would be suspended from issuing ratings or forced</w:t>
      </w:r>
      <w:r w:rsidR="00C065A6" w:rsidRPr="00FC6034">
        <w:rPr>
          <w:rFonts w:ascii="Times New Roman" w:hAnsi="Times New Roman" w:cs="Times New Roman"/>
          <w:sz w:val="24"/>
          <w:szCs w:val="24"/>
          <w:lang w:val="en-US"/>
        </w:rPr>
        <w:t xml:space="preserve"> to disgorge profits gained from such ratings.  </w:t>
      </w:r>
      <w:r w:rsidR="00892BFC">
        <w:rPr>
          <w:rFonts w:ascii="Times New Roman" w:hAnsi="Times New Roman" w:cs="Times New Roman"/>
          <w:sz w:val="24"/>
          <w:szCs w:val="24"/>
          <w:lang w:val="en-US"/>
        </w:rPr>
        <w:t>These</w:t>
      </w:r>
      <w:r w:rsidR="00C065A6" w:rsidRPr="00FC6034">
        <w:rPr>
          <w:rFonts w:ascii="Times New Roman" w:hAnsi="Times New Roman" w:cs="Times New Roman"/>
          <w:sz w:val="24"/>
          <w:szCs w:val="24"/>
          <w:lang w:val="en-US"/>
        </w:rPr>
        <w:t xml:space="preserve"> </w:t>
      </w:r>
      <w:r w:rsidR="00C065A6" w:rsidRPr="00FD3DAB">
        <w:rPr>
          <w:rFonts w:ascii="Times New Roman" w:hAnsi="Times New Roman" w:cs="Times New Roman"/>
          <w:sz w:val="24"/>
          <w:szCs w:val="24"/>
          <w:lang w:val="en-US"/>
        </w:rPr>
        <w:t>proposals involve command-and-control rules with a quasi, strict liability element– a genuine legal threat.  This was a common theme in the literature: that effective regulation should combine both rules and principles; disclosure and monito</w:t>
      </w:r>
      <w:r w:rsidR="002D1FDB" w:rsidRPr="00FD3DAB">
        <w:rPr>
          <w:rFonts w:ascii="Times New Roman" w:hAnsi="Times New Roman" w:cs="Times New Roman"/>
          <w:sz w:val="24"/>
          <w:szCs w:val="24"/>
          <w:lang w:val="en-US"/>
        </w:rPr>
        <w:t>ring; state and corporate power.</w:t>
      </w:r>
      <w:r w:rsidR="00E85E09" w:rsidRPr="00FD3DAB">
        <w:rPr>
          <w:rStyle w:val="FootnoteReference"/>
          <w:rFonts w:ascii="Times New Roman" w:hAnsi="Times New Roman" w:cs="Times New Roman"/>
          <w:sz w:val="24"/>
          <w:szCs w:val="24"/>
          <w:lang w:val="en-US"/>
        </w:rPr>
        <w:footnoteReference w:id="78"/>
      </w:r>
      <w:r w:rsidR="00C065A6" w:rsidRPr="00FC6034">
        <w:rPr>
          <w:rFonts w:ascii="Times New Roman" w:hAnsi="Times New Roman" w:cs="Times New Roman"/>
          <w:sz w:val="24"/>
          <w:szCs w:val="24"/>
          <w:lang w:val="en-US"/>
        </w:rPr>
        <w:t xml:space="preserve">   </w:t>
      </w:r>
    </w:p>
    <w:p w14:paraId="0C67ACB8" w14:textId="31BADAC7" w:rsidR="00F31C9D" w:rsidRPr="00FC6034" w:rsidRDefault="00827660" w:rsidP="00AE7367">
      <w:pPr>
        <w:pStyle w:val="Heading2"/>
        <w:spacing w:line="360" w:lineRule="auto"/>
      </w:pPr>
      <w:r w:rsidRPr="00FC6034">
        <w:t>Regulatory Content</w:t>
      </w:r>
    </w:p>
    <w:p w14:paraId="409C29AC" w14:textId="37063713" w:rsidR="00AB5C22" w:rsidRPr="00FC6034" w:rsidRDefault="002C1D09" w:rsidP="00AE7367">
      <w:pPr>
        <w:spacing w:line="360" w:lineRule="auto"/>
        <w:jc w:val="both"/>
        <w:rPr>
          <w:rFonts w:ascii="Times New Roman" w:hAnsi="Times New Roman" w:cs="Times New Roman"/>
          <w:b/>
          <w:sz w:val="24"/>
          <w:szCs w:val="24"/>
          <w:lang w:val="en-US"/>
        </w:rPr>
      </w:pPr>
      <w:r w:rsidRPr="00FC6034">
        <w:rPr>
          <w:rFonts w:ascii="Times New Roman" w:hAnsi="Times New Roman" w:cs="Times New Roman"/>
          <w:sz w:val="24"/>
          <w:szCs w:val="24"/>
          <w:lang w:val="en-US"/>
        </w:rPr>
        <w:t>Regulatory content refers to the details of the rules or principles set out in law or as a code, standard or other form</w:t>
      </w:r>
      <w:r w:rsidR="0052674A">
        <w:rPr>
          <w:rFonts w:ascii="Times New Roman" w:hAnsi="Times New Roman" w:cs="Times New Roman"/>
          <w:sz w:val="24"/>
          <w:szCs w:val="24"/>
          <w:lang w:val="en-US"/>
        </w:rPr>
        <w:t>at.  These will be highly topic-</w:t>
      </w:r>
      <w:r w:rsidRPr="00FC6034">
        <w:rPr>
          <w:rFonts w:ascii="Times New Roman" w:hAnsi="Times New Roman" w:cs="Times New Roman"/>
          <w:sz w:val="24"/>
          <w:szCs w:val="24"/>
          <w:lang w:val="en-US"/>
        </w:rPr>
        <w:t xml:space="preserve">specific and it is out of the scope of this article to go into detail regarding all areas of post- crisis regulatory reform discussed in the literature.  </w:t>
      </w:r>
      <w:r w:rsidR="001943E4">
        <w:rPr>
          <w:rFonts w:ascii="Times New Roman" w:hAnsi="Times New Roman" w:cs="Times New Roman"/>
          <w:sz w:val="24"/>
          <w:szCs w:val="24"/>
          <w:lang w:val="en-US"/>
        </w:rPr>
        <w:t xml:space="preserve">The </w:t>
      </w:r>
      <w:r w:rsidR="00E5021E">
        <w:rPr>
          <w:rFonts w:ascii="Times New Roman" w:hAnsi="Times New Roman" w:cs="Times New Roman"/>
          <w:sz w:val="24"/>
          <w:szCs w:val="24"/>
          <w:lang w:val="en-US"/>
        </w:rPr>
        <w:t>key topics discussed</w:t>
      </w:r>
      <w:r w:rsidR="001943E4">
        <w:rPr>
          <w:rFonts w:ascii="Times New Roman" w:hAnsi="Times New Roman" w:cs="Times New Roman"/>
          <w:sz w:val="24"/>
          <w:szCs w:val="24"/>
          <w:lang w:val="en-US"/>
        </w:rPr>
        <w:t xml:space="preserve"> have been summarised in </w:t>
      </w:r>
      <w:r w:rsidR="001943E4" w:rsidRPr="001943E4">
        <w:rPr>
          <w:rFonts w:ascii="Times New Roman" w:hAnsi="Times New Roman" w:cs="Times New Roman"/>
          <w:b/>
          <w:sz w:val="24"/>
          <w:szCs w:val="24"/>
          <w:lang w:val="en-US"/>
        </w:rPr>
        <w:t>Table 1</w:t>
      </w:r>
      <w:r w:rsidR="00E5021E">
        <w:rPr>
          <w:rFonts w:ascii="Times New Roman" w:hAnsi="Times New Roman" w:cs="Times New Roman"/>
          <w:sz w:val="24"/>
          <w:szCs w:val="24"/>
          <w:lang w:val="en-US"/>
        </w:rPr>
        <w:t>.  In general</w:t>
      </w:r>
      <w:r w:rsidR="00E5021E" w:rsidRPr="00FC6034">
        <w:rPr>
          <w:rFonts w:ascii="Times New Roman" w:hAnsi="Times New Roman" w:cs="Times New Roman"/>
          <w:sz w:val="24"/>
          <w:szCs w:val="24"/>
          <w:lang w:val="en-US"/>
        </w:rPr>
        <w:t xml:space="preserve">, regulatory content was seen to be lacking in that it did not </w:t>
      </w:r>
      <w:r w:rsidR="0052674A">
        <w:rPr>
          <w:rFonts w:ascii="Times New Roman" w:hAnsi="Times New Roman" w:cs="Times New Roman"/>
          <w:sz w:val="24"/>
          <w:szCs w:val="24"/>
          <w:lang w:val="en-US"/>
        </w:rPr>
        <w:t>cover</w:t>
      </w:r>
      <w:r w:rsidR="00E5021E" w:rsidRPr="00FC6034">
        <w:rPr>
          <w:rFonts w:ascii="Times New Roman" w:hAnsi="Times New Roman" w:cs="Times New Roman"/>
          <w:sz w:val="24"/>
          <w:szCs w:val="24"/>
          <w:lang w:val="en-US"/>
        </w:rPr>
        <w:t xml:space="preserve"> all risky transactions, particularly in </w:t>
      </w:r>
      <w:r w:rsidR="00E5021E">
        <w:rPr>
          <w:rFonts w:ascii="Times New Roman" w:hAnsi="Times New Roman" w:cs="Times New Roman"/>
          <w:sz w:val="24"/>
          <w:szCs w:val="24"/>
          <w:lang w:val="en-US"/>
        </w:rPr>
        <w:t>the area of derivatives-trading;</w:t>
      </w:r>
      <w:r w:rsidR="00E5021E">
        <w:rPr>
          <w:rStyle w:val="FootnoteReference"/>
          <w:rFonts w:ascii="Times New Roman" w:hAnsi="Times New Roman" w:cs="Times New Roman"/>
          <w:sz w:val="24"/>
          <w:szCs w:val="24"/>
          <w:lang w:val="en-US"/>
        </w:rPr>
        <w:footnoteReference w:id="79"/>
      </w:r>
      <w:r w:rsidR="00E5021E" w:rsidRPr="00FC6034">
        <w:rPr>
          <w:rFonts w:ascii="Times New Roman" w:hAnsi="Times New Roman" w:cs="Times New Roman"/>
          <w:sz w:val="24"/>
          <w:szCs w:val="24"/>
          <w:lang w:val="en-US"/>
        </w:rPr>
        <w:t xml:space="preserve"> or did not adequately </w:t>
      </w:r>
      <w:r w:rsidR="0052674A">
        <w:rPr>
          <w:rFonts w:ascii="Times New Roman" w:hAnsi="Times New Roman" w:cs="Times New Roman"/>
          <w:sz w:val="24"/>
          <w:szCs w:val="24"/>
          <w:lang w:val="en-US"/>
        </w:rPr>
        <w:t>assess the extent of</w:t>
      </w:r>
      <w:r w:rsidR="00E5021E" w:rsidRPr="00FC6034">
        <w:rPr>
          <w:rFonts w:ascii="Times New Roman" w:hAnsi="Times New Roman" w:cs="Times New Roman"/>
          <w:sz w:val="24"/>
          <w:szCs w:val="24"/>
          <w:lang w:val="en-US"/>
        </w:rPr>
        <w:t xml:space="preserve"> </w:t>
      </w:r>
      <w:r w:rsidR="0052674A">
        <w:rPr>
          <w:rFonts w:ascii="Times New Roman" w:hAnsi="Times New Roman" w:cs="Times New Roman"/>
          <w:sz w:val="24"/>
          <w:szCs w:val="24"/>
          <w:lang w:val="en-US"/>
        </w:rPr>
        <w:t>relevant</w:t>
      </w:r>
      <w:r w:rsidR="00E5021E" w:rsidRPr="00FC6034">
        <w:rPr>
          <w:rFonts w:ascii="Times New Roman" w:hAnsi="Times New Roman" w:cs="Times New Roman"/>
          <w:sz w:val="24"/>
          <w:szCs w:val="24"/>
          <w:lang w:val="en-US"/>
        </w:rPr>
        <w:t xml:space="preserve"> risks, for example,</w:t>
      </w:r>
      <w:r w:rsidR="00E5021E">
        <w:rPr>
          <w:rFonts w:ascii="Times New Roman" w:hAnsi="Times New Roman" w:cs="Times New Roman"/>
          <w:sz w:val="24"/>
          <w:szCs w:val="24"/>
          <w:lang w:val="en-US"/>
        </w:rPr>
        <w:t xml:space="preserve"> Basel’s capital adequacy rules.</w:t>
      </w:r>
      <w:r w:rsidR="00E5021E">
        <w:rPr>
          <w:rStyle w:val="FootnoteReference"/>
          <w:rFonts w:ascii="Times New Roman" w:hAnsi="Times New Roman" w:cs="Times New Roman"/>
          <w:sz w:val="24"/>
          <w:szCs w:val="24"/>
          <w:lang w:val="en-US"/>
        </w:rPr>
        <w:footnoteReference w:id="80"/>
      </w:r>
      <w:r w:rsidR="00E5021E" w:rsidRPr="00FC6034">
        <w:rPr>
          <w:rFonts w:ascii="Times New Roman" w:hAnsi="Times New Roman" w:cs="Times New Roman"/>
          <w:sz w:val="24"/>
          <w:szCs w:val="24"/>
          <w:lang w:val="en-US"/>
        </w:rPr>
        <w:t xml:space="preserve">  </w:t>
      </w:r>
    </w:p>
    <w:p w14:paraId="18FA5452" w14:textId="4C14CFD7" w:rsidR="00CE5ECD" w:rsidRPr="00FC6034" w:rsidRDefault="00827660" w:rsidP="00AE7367">
      <w:pPr>
        <w:pStyle w:val="Heading1"/>
        <w:spacing w:line="360" w:lineRule="auto"/>
      </w:pPr>
      <w:r w:rsidRPr="00FC6034">
        <w:t>Higher level themes</w:t>
      </w:r>
      <w:r w:rsidR="00EA73BC" w:rsidRPr="00FC6034">
        <w:t xml:space="preserve"> </w:t>
      </w:r>
    </w:p>
    <w:p w14:paraId="0EFCC517" w14:textId="43CA46D2" w:rsidR="008239A1" w:rsidRDefault="002218F4"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Part</w:t>
      </w:r>
      <w:r w:rsidR="00892BFC">
        <w:rPr>
          <w:rFonts w:ascii="Times New Roman" w:hAnsi="Times New Roman" w:cs="Times New Roman"/>
          <w:sz w:val="24"/>
          <w:szCs w:val="24"/>
          <w:lang w:val="en-US"/>
        </w:rPr>
        <w:t xml:space="preserve"> 3</w:t>
      </w:r>
      <w:r w:rsidR="00827660" w:rsidRPr="00FC6034">
        <w:rPr>
          <w:rFonts w:ascii="Times New Roman" w:hAnsi="Times New Roman" w:cs="Times New Roman"/>
          <w:sz w:val="24"/>
          <w:szCs w:val="24"/>
          <w:lang w:val="en-US"/>
        </w:rPr>
        <w:t xml:space="preserve"> has set forth the ways in which regulatory architecture, </w:t>
      </w:r>
      <w:r w:rsidR="00FA3362">
        <w:rPr>
          <w:rFonts w:ascii="Times New Roman" w:hAnsi="Times New Roman" w:cs="Times New Roman"/>
          <w:sz w:val="24"/>
          <w:szCs w:val="24"/>
          <w:lang w:val="en-US"/>
        </w:rPr>
        <w:t>process</w:t>
      </w:r>
      <w:r w:rsidR="00827660" w:rsidRPr="00FC6034">
        <w:rPr>
          <w:rFonts w:ascii="Times New Roman" w:hAnsi="Times New Roman" w:cs="Times New Roman"/>
          <w:sz w:val="24"/>
          <w:szCs w:val="24"/>
          <w:lang w:val="en-US"/>
        </w:rPr>
        <w:t xml:space="preserve"> and content can influence the effectiveness of financial regulation. </w:t>
      </w:r>
      <w:r w:rsidR="00660A27" w:rsidRPr="00FC6034">
        <w:rPr>
          <w:rFonts w:ascii="Times New Roman" w:hAnsi="Times New Roman" w:cs="Times New Roman"/>
          <w:sz w:val="24"/>
          <w:szCs w:val="24"/>
          <w:lang w:val="en-US"/>
        </w:rPr>
        <w:t xml:space="preserve">However, </w:t>
      </w:r>
      <w:r>
        <w:rPr>
          <w:rFonts w:ascii="Times New Roman" w:hAnsi="Times New Roman" w:cs="Times New Roman"/>
          <w:sz w:val="24"/>
          <w:szCs w:val="24"/>
          <w:lang w:val="en-US"/>
        </w:rPr>
        <w:t>the paper</w:t>
      </w:r>
      <w:r w:rsidR="00442AD9" w:rsidRPr="00FC6034">
        <w:rPr>
          <w:rFonts w:ascii="Times New Roman" w:hAnsi="Times New Roman" w:cs="Times New Roman"/>
          <w:sz w:val="24"/>
          <w:szCs w:val="24"/>
          <w:lang w:val="en-US"/>
        </w:rPr>
        <w:t xml:space="preserve"> also reveals</w:t>
      </w:r>
      <w:r w:rsidR="009763AC" w:rsidRPr="00FC6034">
        <w:rPr>
          <w:rFonts w:ascii="Times New Roman" w:hAnsi="Times New Roman" w:cs="Times New Roman"/>
          <w:sz w:val="24"/>
          <w:szCs w:val="24"/>
          <w:lang w:val="en-US"/>
        </w:rPr>
        <w:t xml:space="preserve"> a</w:t>
      </w:r>
      <w:r w:rsidR="00660A27" w:rsidRPr="00FC6034">
        <w:rPr>
          <w:rFonts w:ascii="Times New Roman" w:hAnsi="Times New Roman" w:cs="Times New Roman"/>
          <w:sz w:val="24"/>
          <w:szCs w:val="24"/>
          <w:lang w:val="en-US"/>
        </w:rPr>
        <w:t xml:space="preserve"> </w:t>
      </w:r>
      <w:r w:rsidR="00827660" w:rsidRPr="00FC6034">
        <w:rPr>
          <w:rFonts w:ascii="Times New Roman" w:hAnsi="Times New Roman" w:cs="Times New Roman"/>
          <w:sz w:val="24"/>
          <w:szCs w:val="24"/>
          <w:lang w:val="en-US"/>
        </w:rPr>
        <w:t xml:space="preserve">higher </w:t>
      </w:r>
      <w:r w:rsidR="00660A27" w:rsidRPr="00FC6034">
        <w:rPr>
          <w:rFonts w:ascii="Times New Roman" w:hAnsi="Times New Roman" w:cs="Times New Roman"/>
          <w:sz w:val="24"/>
          <w:szCs w:val="24"/>
          <w:lang w:val="en-US"/>
        </w:rPr>
        <w:t xml:space="preserve">level of factors that go towards determining the architecture, </w:t>
      </w:r>
      <w:r w:rsidR="00FA3362">
        <w:rPr>
          <w:rFonts w:ascii="Times New Roman" w:hAnsi="Times New Roman" w:cs="Times New Roman"/>
          <w:sz w:val="24"/>
          <w:szCs w:val="24"/>
          <w:lang w:val="en-US"/>
        </w:rPr>
        <w:t>process</w:t>
      </w:r>
      <w:r w:rsidR="00660A27" w:rsidRPr="00FC6034">
        <w:rPr>
          <w:rFonts w:ascii="Times New Roman" w:hAnsi="Times New Roman" w:cs="Times New Roman"/>
          <w:sz w:val="24"/>
          <w:szCs w:val="24"/>
          <w:lang w:val="en-US"/>
        </w:rPr>
        <w:t xml:space="preserve"> and content of any regulatory regime</w:t>
      </w:r>
      <w:r w:rsidR="00FA3362">
        <w:rPr>
          <w:rFonts w:ascii="Times New Roman" w:hAnsi="Times New Roman" w:cs="Times New Roman"/>
          <w:sz w:val="24"/>
          <w:szCs w:val="24"/>
          <w:lang w:val="en-US"/>
        </w:rPr>
        <w:t xml:space="preserve"> and either facilitate or hinder its effectiveness</w:t>
      </w:r>
      <w:r w:rsidR="00660A27" w:rsidRPr="00FC6034">
        <w:rPr>
          <w:rFonts w:ascii="Times New Roman" w:hAnsi="Times New Roman" w:cs="Times New Roman"/>
          <w:sz w:val="24"/>
          <w:szCs w:val="24"/>
          <w:lang w:val="en-US"/>
        </w:rPr>
        <w:t xml:space="preserve">.  These higher level </w:t>
      </w:r>
      <w:r w:rsidR="00FA3362">
        <w:rPr>
          <w:rFonts w:ascii="Times New Roman" w:hAnsi="Times New Roman" w:cs="Times New Roman"/>
          <w:sz w:val="24"/>
          <w:szCs w:val="24"/>
          <w:lang w:val="en-US"/>
        </w:rPr>
        <w:t xml:space="preserve">factors </w:t>
      </w:r>
      <w:r w:rsidR="00660A27" w:rsidRPr="00FC6034">
        <w:rPr>
          <w:rFonts w:ascii="Times New Roman" w:hAnsi="Times New Roman" w:cs="Times New Roman"/>
          <w:sz w:val="24"/>
          <w:szCs w:val="24"/>
          <w:lang w:val="en-US"/>
        </w:rPr>
        <w:t xml:space="preserve">can be grouped into </w:t>
      </w:r>
      <w:r w:rsidR="00442AD9" w:rsidRPr="00FC6034">
        <w:rPr>
          <w:rFonts w:ascii="Times New Roman" w:hAnsi="Times New Roman" w:cs="Times New Roman"/>
          <w:sz w:val="24"/>
          <w:szCs w:val="24"/>
          <w:lang w:val="en-US"/>
        </w:rPr>
        <w:t xml:space="preserve">three </w:t>
      </w:r>
      <w:r w:rsidR="00660A27" w:rsidRPr="00FC6034">
        <w:rPr>
          <w:rFonts w:ascii="Times New Roman" w:hAnsi="Times New Roman" w:cs="Times New Roman"/>
          <w:sz w:val="24"/>
          <w:szCs w:val="24"/>
          <w:lang w:val="en-US"/>
        </w:rPr>
        <w:t xml:space="preserve">categories: (1) power and politics; </w:t>
      </w:r>
      <w:r w:rsidR="008B70A9" w:rsidRPr="00FC6034">
        <w:rPr>
          <w:rFonts w:ascii="Times New Roman" w:hAnsi="Times New Roman" w:cs="Times New Roman"/>
          <w:sz w:val="24"/>
          <w:szCs w:val="24"/>
          <w:lang w:val="en-US"/>
        </w:rPr>
        <w:t xml:space="preserve">(2) </w:t>
      </w:r>
      <w:r w:rsidR="00FA3362">
        <w:rPr>
          <w:rFonts w:ascii="Times New Roman" w:hAnsi="Times New Roman" w:cs="Times New Roman"/>
          <w:sz w:val="24"/>
          <w:szCs w:val="24"/>
          <w:lang w:val="en-US"/>
        </w:rPr>
        <w:t xml:space="preserve">blurred </w:t>
      </w:r>
      <w:r w:rsidR="009763AC" w:rsidRPr="00FC6034">
        <w:rPr>
          <w:rFonts w:ascii="Times New Roman" w:hAnsi="Times New Roman" w:cs="Times New Roman"/>
          <w:sz w:val="24"/>
          <w:szCs w:val="24"/>
          <w:lang w:val="en-US"/>
        </w:rPr>
        <w:t>boundaries</w:t>
      </w:r>
      <w:r w:rsidR="00C90E1D" w:rsidRPr="00FC6034">
        <w:rPr>
          <w:rFonts w:ascii="Times New Roman" w:hAnsi="Times New Roman" w:cs="Times New Roman"/>
          <w:sz w:val="24"/>
          <w:szCs w:val="24"/>
          <w:lang w:val="en-US"/>
        </w:rPr>
        <w:t>;</w:t>
      </w:r>
      <w:r w:rsidR="008B70A9" w:rsidRPr="00FC6034">
        <w:rPr>
          <w:rFonts w:ascii="Times New Roman" w:hAnsi="Times New Roman" w:cs="Times New Roman"/>
          <w:sz w:val="24"/>
          <w:szCs w:val="24"/>
          <w:lang w:val="en-US"/>
        </w:rPr>
        <w:t xml:space="preserve"> </w:t>
      </w:r>
      <w:r w:rsidR="00C90E1D" w:rsidRPr="00FC6034">
        <w:rPr>
          <w:rFonts w:ascii="Times New Roman" w:hAnsi="Times New Roman" w:cs="Times New Roman"/>
          <w:sz w:val="24"/>
          <w:szCs w:val="24"/>
          <w:lang w:val="en-US"/>
        </w:rPr>
        <w:t xml:space="preserve">and </w:t>
      </w:r>
      <w:r w:rsidR="009763AC" w:rsidRPr="00FC6034">
        <w:rPr>
          <w:rFonts w:ascii="Times New Roman" w:hAnsi="Times New Roman" w:cs="Times New Roman"/>
          <w:sz w:val="24"/>
          <w:szCs w:val="24"/>
          <w:lang w:val="en-US"/>
        </w:rPr>
        <w:t xml:space="preserve">(3) </w:t>
      </w:r>
      <w:r w:rsidR="009902EF" w:rsidRPr="00FC6034">
        <w:rPr>
          <w:rFonts w:ascii="Times New Roman" w:hAnsi="Times New Roman" w:cs="Times New Roman"/>
          <w:sz w:val="24"/>
          <w:szCs w:val="24"/>
          <w:lang w:val="en-US"/>
        </w:rPr>
        <w:t xml:space="preserve">assumptions about </w:t>
      </w:r>
      <w:r w:rsidR="00322448" w:rsidRPr="00FC6034">
        <w:rPr>
          <w:rFonts w:ascii="Times New Roman" w:hAnsi="Times New Roman" w:cs="Times New Roman"/>
          <w:sz w:val="24"/>
          <w:szCs w:val="24"/>
          <w:lang w:val="en-US"/>
        </w:rPr>
        <w:t>behavio</w:t>
      </w:r>
      <w:r w:rsidR="00D565EB">
        <w:rPr>
          <w:rFonts w:ascii="Times New Roman" w:hAnsi="Times New Roman" w:cs="Times New Roman"/>
          <w:sz w:val="24"/>
          <w:szCs w:val="24"/>
          <w:lang w:val="en-US"/>
        </w:rPr>
        <w:t>u</w:t>
      </w:r>
      <w:r w:rsidR="00322448" w:rsidRPr="00FC6034">
        <w:rPr>
          <w:rFonts w:ascii="Times New Roman" w:hAnsi="Times New Roman" w:cs="Times New Roman"/>
          <w:sz w:val="24"/>
          <w:szCs w:val="24"/>
          <w:lang w:val="en-US"/>
        </w:rPr>
        <w:t>r</w:t>
      </w:r>
      <w:r w:rsidR="009763AC" w:rsidRPr="00FC6034">
        <w:rPr>
          <w:rFonts w:ascii="Times New Roman" w:hAnsi="Times New Roman" w:cs="Times New Roman"/>
          <w:sz w:val="24"/>
          <w:szCs w:val="24"/>
          <w:lang w:val="en-US"/>
        </w:rPr>
        <w:t>.</w:t>
      </w:r>
      <w:r w:rsidR="008239A1" w:rsidRPr="00FC6034">
        <w:rPr>
          <w:rFonts w:ascii="Times New Roman" w:hAnsi="Times New Roman" w:cs="Times New Roman"/>
          <w:sz w:val="24"/>
          <w:szCs w:val="24"/>
          <w:lang w:val="en-US"/>
        </w:rPr>
        <w:t xml:space="preserve">  </w:t>
      </w:r>
      <w:r w:rsidR="006B5246" w:rsidRPr="00FC6034">
        <w:rPr>
          <w:rFonts w:ascii="Times New Roman" w:hAnsi="Times New Roman" w:cs="Times New Roman"/>
          <w:b/>
          <w:sz w:val="24"/>
          <w:szCs w:val="24"/>
          <w:lang w:val="en-US"/>
        </w:rPr>
        <w:t>Figure 2</w:t>
      </w:r>
      <w:r w:rsidR="00D565EB">
        <w:rPr>
          <w:rFonts w:ascii="Times New Roman" w:hAnsi="Times New Roman" w:cs="Times New Roman"/>
          <w:b/>
          <w:sz w:val="24"/>
          <w:szCs w:val="24"/>
          <w:lang w:val="en-US"/>
        </w:rPr>
        <w:t xml:space="preserve"> </w:t>
      </w:r>
      <w:r w:rsidR="005B205E" w:rsidRPr="00FC6034">
        <w:rPr>
          <w:rFonts w:ascii="Times New Roman" w:hAnsi="Times New Roman" w:cs="Times New Roman"/>
          <w:sz w:val="24"/>
          <w:szCs w:val="24"/>
          <w:lang w:val="en-US"/>
        </w:rPr>
        <w:t>demonstrates how these factors impact on the overall effective</w:t>
      </w:r>
      <w:r w:rsidR="008239A1" w:rsidRPr="00FC6034">
        <w:rPr>
          <w:rFonts w:ascii="Times New Roman" w:hAnsi="Times New Roman" w:cs="Times New Roman"/>
          <w:sz w:val="24"/>
          <w:szCs w:val="24"/>
          <w:lang w:val="en-US"/>
        </w:rPr>
        <w:t>ness of a regulatory regime</w:t>
      </w:r>
      <w:r w:rsidR="00D565EB">
        <w:rPr>
          <w:rFonts w:ascii="Times New Roman" w:hAnsi="Times New Roman" w:cs="Times New Roman"/>
          <w:sz w:val="24"/>
          <w:szCs w:val="24"/>
          <w:lang w:val="en-US"/>
        </w:rPr>
        <w:t>, providing an integrative framework for assessing regulatory design</w:t>
      </w:r>
      <w:r w:rsidR="008239A1" w:rsidRPr="00FC60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Each of these three factors is discussed in more detail below.  </w:t>
      </w:r>
    </w:p>
    <w:p w14:paraId="7D7E57DF" w14:textId="4ECD6541" w:rsidR="00892BFC" w:rsidRPr="00892BFC" w:rsidRDefault="00892BFC" w:rsidP="00AE7367">
      <w:pPr>
        <w:spacing w:line="360" w:lineRule="auto"/>
        <w:jc w:val="center"/>
        <w:rPr>
          <w:rFonts w:ascii="Times New Roman" w:hAnsi="Times New Roman" w:cs="Times New Roman"/>
          <w:b/>
          <w:sz w:val="24"/>
          <w:szCs w:val="24"/>
          <w:lang w:val="en-US"/>
        </w:rPr>
      </w:pPr>
      <w:r w:rsidRPr="00FC6034">
        <w:rPr>
          <w:rFonts w:ascii="Times New Roman" w:hAnsi="Times New Roman" w:cs="Times New Roman"/>
          <w:b/>
          <w:sz w:val="24"/>
          <w:szCs w:val="24"/>
          <w:lang w:val="en-US"/>
        </w:rPr>
        <w:t>Insert Figure 2</w:t>
      </w:r>
      <w:r w:rsidR="00FA3362">
        <w:rPr>
          <w:rFonts w:ascii="Times New Roman" w:hAnsi="Times New Roman" w:cs="Times New Roman"/>
          <w:b/>
          <w:sz w:val="24"/>
          <w:szCs w:val="24"/>
          <w:lang w:val="en-US"/>
        </w:rPr>
        <w:t>: Integrative framework</w:t>
      </w:r>
    </w:p>
    <w:p w14:paraId="43CB3357" w14:textId="4DB62720" w:rsidR="00827660" w:rsidRPr="00FC6034" w:rsidRDefault="00827660" w:rsidP="00AE7367">
      <w:pPr>
        <w:spacing w:line="360" w:lineRule="auto"/>
        <w:jc w:val="both"/>
        <w:rPr>
          <w:rFonts w:ascii="Times New Roman" w:hAnsi="Times New Roman" w:cs="Times New Roman"/>
          <w:sz w:val="24"/>
          <w:szCs w:val="24"/>
          <w:lang w:val="en-US"/>
        </w:rPr>
      </w:pPr>
    </w:p>
    <w:p w14:paraId="657D62E0" w14:textId="77777777" w:rsidR="00827660" w:rsidRPr="00C657A9" w:rsidRDefault="00827660" w:rsidP="00AE7367">
      <w:pPr>
        <w:pStyle w:val="Heading2"/>
        <w:spacing w:line="360" w:lineRule="auto"/>
      </w:pPr>
      <w:r w:rsidRPr="00C657A9">
        <w:t xml:space="preserve">Power and politics </w:t>
      </w:r>
    </w:p>
    <w:p w14:paraId="11830AAE" w14:textId="23AEEAA6" w:rsidR="001A3A59" w:rsidRPr="00FC6034" w:rsidRDefault="002218F4"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w:t>
      </w:r>
      <w:r w:rsidR="001A3A59" w:rsidRPr="00FC6034">
        <w:rPr>
          <w:rFonts w:ascii="Times New Roman" w:hAnsi="Times New Roman" w:cs="Times New Roman"/>
          <w:sz w:val="24"/>
          <w:szCs w:val="24"/>
          <w:lang w:val="en-US"/>
        </w:rPr>
        <w:t>is</w:t>
      </w:r>
      <w:r>
        <w:rPr>
          <w:rFonts w:ascii="Times New Roman" w:hAnsi="Times New Roman" w:cs="Times New Roman"/>
          <w:sz w:val="24"/>
          <w:szCs w:val="24"/>
          <w:lang w:val="en-US"/>
        </w:rPr>
        <w:t xml:space="preserve"> a consensus amongst scholars</w:t>
      </w:r>
      <w:r w:rsidR="001A3A59" w:rsidRPr="00FC6034">
        <w:rPr>
          <w:rFonts w:ascii="Times New Roman" w:hAnsi="Times New Roman" w:cs="Times New Roman"/>
          <w:sz w:val="24"/>
          <w:szCs w:val="24"/>
          <w:lang w:val="en-US"/>
        </w:rPr>
        <w:t xml:space="preserve"> that regulatory reform has been gradual rather than radical</w:t>
      </w:r>
      <w:r w:rsidR="00FA3362">
        <w:rPr>
          <w:rFonts w:ascii="Times New Roman" w:hAnsi="Times New Roman" w:cs="Times New Roman"/>
          <w:sz w:val="24"/>
          <w:szCs w:val="24"/>
          <w:lang w:val="en-US"/>
        </w:rPr>
        <w:t>; incremental rather than transformative.</w:t>
      </w:r>
      <w:r w:rsidR="00FA3362">
        <w:rPr>
          <w:rStyle w:val="FootnoteReference"/>
          <w:rFonts w:ascii="Times New Roman" w:hAnsi="Times New Roman" w:cs="Times New Roman"/>
          <w:sz w:val="24"/>
          <w:szCs w:val="24"/>
          <w:lang w:val="en-US"/>
        </w:rPr>
        <w:footnoteReference w:id="81"/>
      </w:r>
      <w:r w:rsidR="00FA3362">
        <w:rPr>
          <w:rFonts w:ascii="Times New Roman" w:hAnsi="Times New Roman" w:cs="Times New Roman"/>
          <w:sz w:val="24"/>
          <w:szCs w:val="24"/>
          <w:lang w:val="en-US"/>
        </w:rPr>
        <w:t xml:space="preserve">  </w:t>
      </w:r>
      <w:r w:rsidR="001A3A59" w:rsidRPr="00FC6034">
        <w:rPr>
          <w:rFonts w:ascii="Times New Roman" w:hAnsi="Times New Roman" w:cs="Times New Roman"/>
          <w:sz w:val="24"/>
          <w:szCs w:val="24"/>
          <w:lang w:val="en-US"/>
        </w:rPr>
        <w:t xml:space="preserve">Most </w:t>
      </w:r>
      <w:r>
        <w:rPr>
          <w:rFonts w:ascii="Times New Roman" w:hAnsi="Times New Roman" w:cs="Times New Roman"/>
          <w:sz w:val="24"/>
          <w:szCs w:val="24"/>
          <w:lang w:val="en-US"/>
        </w:rPr>
        <w:t>reforms have involved</w:t>
      </w:r>
      <w:r w:rsidR="001A3A59" w:rsidRPr="00FC6034">
        <w:rPr>
          <w:rFonts w:ascii="Times New Roman" w:hAnsi="Times New Roman" w:cs="Times New Roman"/>
          <w:sz w:val="24"/>
          <w:szCs w:val="24"/>
          <w:lang w:val="en-US"/>
        </w:rPr>
        <w:t xml:space="preserve"> tweaking the existing regime rather than scrapping it entirely.  This can be seen as a consequence of power and politics - some of the more aggressive approaches were curbed by active opposition and timid alternatives</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82"/>
      </w:r>
      <w:r w:rsidR="001A3A59" w:rsidRPr="00FC6034">
        <w:rPr>
          <w:rFonts w:ascii="Times New Roman" w:hAnsi="Times New Roman" w:cs="Times New Roman"/>
          <w:sz w:val="24"/>
          <w:szCs w:val="24"/>
          <w:lang w:val="en-US"/>
        </w:rPr>
        <w:t xml:space="preserve">  Davies explains that four years after the crisis, </w:t>
      </w:r>
      <w:r w:rsidR="0030490F">
        <w:rPr>
          <w:rFonts w:ascii="Times New Roman" w:hAnsi="Times New Roman" w:cs="Times New Roman"/>
          <w:sz w:val="24"/>
          <w:szCs w:val="24"/>
          <w:lang w:val="en-US"/>
        </w:rPr>
        <w:t>“</w:t>
      </w:r>
      <w:r w:rsidR="001A3A59" w:rsidRPr="00FC6034">
        <w:rPr>
          <w:rFonts w:ascii="Times New Roman" w:hAnsi="Times New Roman" w:cs="Times New Roman"/>
          <w:sz w:val="24"/>
          <w:szCs w:val="24"/>
          <w:lang w:val="en-US"/>
        </w:rPr>
        <w:t>grander ideas have disappeared from the agenda and the art of the possible has again become the key skill for reformers</w:t>
      </w:r>
      <w:r w:rsidR="0030490F">
        <w:rPr>
          <w:rFonts w:ascii="Times New Roman" w:hAnsi="Times New Roman" w:cs="Times New Roman"/>
          <w:sz w:val="24"/>
          <w:szCs w:val="24"/>
          <w:lang w:val="en-US"/>
        </w:rPr>
        <w:t>”</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83"/>
      </w:r>
    </w:p>
    <w:p w14:paraId="16471627" w14:textId="51646E38" w:rsidR="00827660" w:rsidRPr="00FC6034" w:rsidRDefault="002218F4"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Helleiner and Pagliari </w:t>
      </w:r>
      <w:r w:rsidR="00F46BD3" w:rsidRPr="00FC6034">
        <w:rPr>
          <w:rFonts w:ascii="Times New Roman" w:hAnsi="Times New Roman" w:cs="Times New Roman"/>
          <w:sz w:val="24"/>
          <w:szCs w:val="24"/>
          <w:lang w:val="en-US"/>
        </w:rPr>
        <w:t>discuss</w:t>
      </w:r>
      <w:r w:rsidR="00827660" w:rsidRPr="00FC6034">
        <w:rPr>
          <w:rFonts w:ascii="Times New Roman" w:hAnsi="Times New Roman" w:cs="Times New Roman"/>
          <w:sz w:val="24"/>
          <w:szCs w:val="24"/>
          <w:lang w:val="en-US"/>
        </w:rPr>
        <w:t xml:space="preserve"> the political dynamics associated with global economic policy-making.</w:t>
      </w:r>
      <w:r w:rsidR="002D1FDB">
        <w:rPr>
          <w:rStyle w:val="FootnoteReference"/>
          <w:rFonts w:ascii="Times New Roman" w:hAnsi="Times New Roman" w:cs="Times New Roman"/>
          <w:sz w:val="24"/>
          <w:szCs w:val="24"/>
          <w:lang w:val="en-US"/>
        </w:rPr>
        <w:footnoteReference w:id="84"/>
      </w:r>
      <w:r w:rsidR="00827660" w:rsidRPr="00FC6034">
        <w:rPr>
          <w:rFonts w:ascii="Times New Roman" w:hAnsi="Times New Roman" w:cs="Times New Roman"/>
          <w:sz w:val="24"/>
          <w:szCs w:val="24"/>
          <w:lang w:val="en-US"/>
        </w:rPr>
        <w:t xml:space="preserve">  They point out that the broadening of the group of nations involved in standard-setting may make it more difficult to make decisions despite the fact that the </w:t>
      </w:r>
      <w:r w:rsidR="001E08D0" w:rsidRPr="00FC6034">
        <w:rPr>
          <w:rFonts w:ascii="Times New Roman" w:hAnsi="Times New Roman" w:cs="Times New Roman"/>
          <w:sz w:val="24"/>
          <w:szCs w:val="24"/>
          <w:lang w:val="en-US"/>
        </w:rPr>
        <w:t>FSB</w:t>
      </w:r>
      <w:r w:rsidR="009902EF" w:rsidRPr="00FC6034">
        <w:rPr>
          <w:rFonts w:ascii="Times New Roman" w:hAnsi="Times New Roman" w:cs="Times New Roman"/>
          <w:sz w:val="24"/>
          <w:szCs w:val="24"/>
          <w:lang w:val="en-US"/>
        </w:rPr>
        <w:t xml:space="preserve"> </w:t>
      </w:r>
      <w:r w:rsidR="00827660" w:rsidRPr="00FC6034">
        <w:rPr>
          <w:rFonts w:ascii="Times New Roman" w:hAnsi="Times New Roman" w:cs="Times New Roman"/>
          <w:sz w:val="24"/>
          <w:szCs w:val="24"/>
          <w:lang w:val="en-US"/>
        </w:rPr>
        <w:t>has a more robust structure than its predecessor</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85"/>
      </w:r>
      <w:r w:rsidR="00827660" w:rsidRPr="00FC6034">
        <w:rPr>
          <w:rFonts w:ascii="Times New Roman" w:hAnsi="Times New Roman" w:cs="Times New Roman"/>
          <w:sz w:val="24"/>
          <w:szCs w:val="24"/>
          <w:lang w:val="en-US"/>
        </w:rPr>
        <w:t xml:space="preserve">  Karmel comments that</w:t>
      </w:r>
      <w:r w:rsidR="00D84BA9">
        <w:rPr>
          <w:rFonts w:ascii="Times New Roman" w:hAnsi="Times New Roman" w:cs="Times New Roman"/>
          <w:sz w:val="24"/>
          <w:szCs w:val="24"/>
          <w:lang w:val="en-US"/>
        </w:rPr>
        <w:t xml:space="preserve"> often, due to differences of opinion,</w:t>
      </w:r>
      <w:r w:rsidR="00827660" w:rsidRPr="00FC6034">
        <w:rPr>
          <w:rFonts w:ascii="Times New Roman" w:hAnsi="Times New Roman" w:cs="Times New Roman"/>
          <w:sz w:val="24"/>
          <w:szCs w:val="24"/>
          <w:lang w:val="en-US"/>
        </w:rPr>
        <w:t xml:space="preserve"> </w:t>
      </w:r>
      <w:r w:rsidR="00D84BA9">
        <w:rPr>
          <w:rFonts w:ascii="Times New Roman" w:hAnsi="Times New Roman" w:cs="Times New Roman"/>
          <w:sz w:val="24"/>
          <w:szCs w:val="24"/>
          <w:lang w:val="en-US"/>
        </w:rPr>
        <w:t>“</w:t>
      </w:r>
      <w:r w:rsidR="00827660" w:rsidRPr="00FC6034">
        <w:rPr>
          <w:rFonts w:ascii="Times New Roman" w:hAnsi="Times New Roman" w:cs="Times New Roman"/>
          <w:sz w:val="24"/>
          <w:szCs w:val="24"/>
          <w:lang w:val="en-US"/>
        </w:rPr>
        <w:t xml:space="preserve">politics stand in the way of </w:t>
      </w:r>
      <w:r w:rsidR="00D84BA9">
        <w:rPr>
          <w:rFonts w:ascii="Times New Roman" w:hAnsi="Times New Roman" w:cs="Times New Roman"/>
          <w:sz w:val="24"/>
          <w:szCs w:val="24"/>
          <w:lang w:val="en-US"/>
        </w:rPr>
        <w:t xml:space="preserve">a </w:t>
      </w:r>
      <w:r w:rsidR="00827660" w:rsidRPr="00FC6034">
        <w:rPr>
          <w:rFonts w:ascii="Times New Roman" w:hAnsi="Times New Roman" w:cs="Times New Roman"/>
          <w:sz w:val="24"/>
          <w:szCs w:val="24"/>
          <w:lang w:val="en-US"/>
        </w:rPr>
        <w:t>genuine reform</w:t>
      </w:r>
      <w:r w:rsidR="00D84BA9">
        <w:rPr>
          <w:rFonts w:ascii="Times New Roman" w:hAnsi="Times New Roman" w:cs="Times New Roman"/>
          <w:sz w:val="24"/>
          <w:szCs w:val="24"/>
          <w:lang w:val="en-US"/>
        </w:rPr>
        <w:t>”</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86"/>
      </w:r>
      <w:r w:rsidR="00827660" w:rsidRPr="00FC6034">
        <w:rPr>
          <w:rFonts w:ascii="Times New Roman" w:hAnsi="Times New Roman" w:cs="Times New Roman"/>
          <w:sz w:val="24"/>
          <w:szCs w:val="24"/>
          <w:lang w:val="en-US"/>
        </w:rPr>
        <w:t xml:space="preserve"> </w:t>
      </w:r>
      <w:r w:rsidR="00E90D87" w:rsidRPr="00FC6034">
        <w:rPr>
          <w:rFonts w:ascii="Times New Roman" w:hAnsi="Times New Roman" w:cs="Times New Roman"/>
          <w:sz w:val="24"/>
          <w:szCs w:val="24"/>
          <w:lang w:val="en-US"/>
        </w:rPr>
        <w:t xml:space="preserve">  </w:t>
      </w:r>
      <w:r w:rsidR="00E90D87" w:rsidRPr="00FD3DAB">
        <w:rPr>
          <w:rFonts w:ascii="Times New Roman" w:hAnsi="Times New Roman" w:cs="Times New Roman"/>
          <w:sz w:val="24"/>
          <w:szCs w:val="24"/>
          <w:lang w:val="en-US"/>
        </w:rPr>
        <w:t>Certainly political factors</w:t>
      </w:r>
      <w:r w:rsidR="00827660" w:rsidRPr="00FD3DAB">
        <w:rPr>
          <w:rFonts w:ascii="Times New Roman" w:hAnsi="Times New Roman" w:cs="Times New Roman"/>
          <w:sz w:val="24"/>
          <w:szCs w:val="24"/>
          <w:lang w:val="en-US"/>
        </w:rPr>
        <w:t xml:space="preserve"> are just as important as economic factors in shaping the framework for financial regulation</w:t>
      </w:r>
      <w:r w:rsidR="002D1FDB" w:rsidRPr="00FD3DAB">
        <w:rPr>
          <w:rFonts w:ascii="Times New Roman" w:hAnsi="Times New Roman" w:cs="Times New Roman"/>
          <w:sz w:val="24"/>
          <w:szCs w:val="24"/>
          <w:lang w:val="en-US"/>
        </w:rPr>
        <w:t>.</w:t>
      </w:r>
      <w:r w:rsidR="00E85E09" w:rsidRPr="00FD3DAB">
        <w:rPr>
          <w:rStyle w:val="FootnoteReference"/>
          <w:rFonts w:ascii="Times New Roman" w:hAnsi="Times New Roman" w:cs="Times New Roman"/>
          <w:sz w:val="24"/>
          <w:szCs w:val="24"/>
          <w:lang w:val="en-US"/>
        </w:rPr>
        <w:footnoteReference w:id="87"/>
      </w:r>
      <w:r w:rsidR="00827660" w:rsidRPr="00FD3DAB">
        <w:rPr>
          <w:rFonts w:ascii="Times New Roman" w:hAnsi="Times New Roman" w:cs="Times New Roman"/>
          <w:sz w:val="24"/>
          <w:szCs w:val="24"/>
          <w:lang w:val="en-US"/>
        </w:rPr>
        <w:t xml:space="preserve">  Indeed, commentators have noted the tendency for politicians to focus on the effectiveness of the structure of the regulatory system</w:t>
      </w:r>
      <w:r w:rsidR="00892BFC" w:rsidRPr="00FD3DAB">
        <w:rPr>
          <w:rFonts w:ascii="Times New Roman" w:hAnsi="Times New Roman" w:cs="Times New Roman"/>
          <w:sz w:val="24"/>
          <w:szCs w:val="24"/>
          <w:lang w:val="en-US"/>
        </w:rPr>
        <w:t>, at the architectural level,</w:t>
      </w:r>
      <w:r w:rsidR="00827660" w:rsidRPr="00FD3DAB">
        <w:rPr>
          <w:rFonts w:ascii="Times New Roman" w:hAnsi="Times New Roman" w:cs="Times New Roman"/>
          <w:sz w:val="24"/>
          <w:szCs w:val="24"/>
          <w:lang w:val="en-US"/>
        </w:rPr>
        <w:t xml:space="preserve"> rather than the effectiveness of the regulatory instruments themselves</w:t>
      </w:r>
      <w:r w:rsidR="002D1FDB" w:rsidRPr="00FD3DAB">
        <w:rPr>
          <w:rFonts w:ascii="Times New Roman" w:hAnsi="Times New Roman" w:cs="Times New Roman"/>
          <w:sz w:val="24"/>
          <w:szCs w:val="24"/>
          <w:lang w:val="en-US"/>
        </w:rPr>
        <w:t>.</w:t>
      </w:r>
      <w:r w:rsidR="00E85E09" w:rsidRPr="00FD3DAB">
        <w:rPr>
          <w:rStyle w:val="FootnoteReference"/>
          <w:rFonts w:ascii="Times New Roman" w:hAnsi="Times New Roman" w:cs="Times New Roman"/>
          <w:sz w:val="24"/>
          <w:szCs w:val="24"/>
          <w:lang w:val="en-US"/>
        </w:rPr>
        <w:footnoteReference w:id="88"/>
      </w:r>
    </w:p>
    <w:p w14:paraId="4DD6CEB0" w14:textId="68A9912D" w:rsidR="001E08D0" w:rsidRPr="00FC6034" w:rsidRDefault="001E08D0"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Concerns over international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regulatory arbitrage</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are often raised particularly in EU policy-making</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89"/>
      </w:r>
      <w:r w:rsidRPr="00FC6034">
        <w:rPr>
          <w:rFonts w:ascii="Times New Roman" w:hAnsi="Times New Roman" w:cs="Times New Roman"/>
          <w:sz w:val="24"/>
          <w:szCs w:val="24"/>
          <w:lang w:val="en-US"/>
        </w:rPr>
        <w:t xml:space="preserve">  This refers to the competition between major financial </w:t>
      </w:r>
      <w:r w:rsidR="00322448" w:rsidRPr="00FC6034">
        <w:rPr>
          <w:rFonts w:ascii="Times New Roman" w:hAnsi="Times New Roman" w:cs="Times New Roman"/>
          <w:sz w:val="24"/>
          <w:szCs w:val="24"/>
          <w:lang w:val="en-US"/>
        </w:rPr>
        <w:t>centers</w:t>
      </w:r>
      <w:r w:rsidRPr="00FC6034">
        <w:rPr>
          <w:rFonts w:ascii="Times New Roman" w:hAnsi="Times New Roman" w:cs="Times New Roman"/>
          <w:sz w:val="24"/>
          <w:szCs w:val="24"/>
          <w:lang w:val="en-US"/>
        </w:rPr>
        <w:t xml:space="preserve"> and concerns that unnecessary regulation could reduce the attractiveness of a particular location as comp</w:t>
      </w:r>
      <w:r w:rsidR="002D1FDB">
        <w:rPr>
          <w:rFonts w:ascii="Times New Roman" w:hAnsi="Times New Roman" w:cs="Times New Roman"/>
          <w:sz w:val="24"/>
          <w:szCs w:val="24"/>
          <w:lang w:val="en-US"/>
        </w:rPr>
        <w:t xml:space="preserve">ared to </w:t>
      </w:r>
      <w:r w:rsidR="002D1FDB">
        <w:rPr>
          <w:rFonts w:ascii="Times New Roman" w:hAnsi="Times New Roman" w:cs="Times New Roman"/>
          <w:sz w:val="24"/>
          <w:szCs w:val="24"/>
          <w:lang w:val="en-US"/>
        </w:rPr>
        <w:lastRenderedPageBreak/>
        <w:t>its competitors.  Rixon</w:t>
      </w:r>
      <w:r w:rsidR="00C90E1D" w:rsidRPr="00FC6034">
        <w:rPr>
          <w:rFonts w:ascii="Times New Roman" w:hAnsi="Times New Roman" w:cs="Times New Roman"/>
          <w:sz w:val="24"/>
          <w:szCs w:val="24"/>
          <w:lang w:val="en-US"/>
        </w:rPr>
        <w:t xml:space="preserve"> explains how</w:t>
      </w:r>
      <w:r w:rsidRPr="00FC6034">
        <w:rPr>
          <w:rFonts w:ascii="Times New Roman" w:hAnsi="Times New Roman" w:cs="Times New Roman"/>
          <w:sz w:val="24"/>
          <w:szCs w:val="24"/>
          <w:lang w:val="en-US"/>
        </w:rPr>
        <w:t xml:space="preserve"> jurisdictional competition for financial activity can be a serious obstacle to regulatory reform.</w:t>
      </w:r>
      <w:r w:rsidR="002D1FDB">
        <w:rPr>
          <w:rStyle w:val="FootnoteReference"/>
          <w:rFonts w:ascii="Times New Roman" w:hAnsi="Times New Roman" w:cs="Times New Roman"/>
          <w:sz w:val="24"/>
          <w:szCs w:val="24"/>
          <w:lang w:val="en-US"/>
        </w:rPr>
        <w:footnoteReference w:id="90"/>
      </w:r>
      <w:r w:rsidRPr="00FC6034">
        <w:rPr>
          <w:rFonts w:ascii="Times New Roman" w:hAnsi="Times New Roman" w:cs="Times New Roman"/>
          <w:sz w:val="24"/>
          <w:szCs w:val="24"/>
          <w:lang w:val="en-US"/>
        </w:rPr>
        <w:t xml:space="preserve">  Inte</w:t>
      </w:r>
      <w:r w:rsidR="00C67155">
        <w:rPr>
          <w:rFonts w:ascii="Times New Roman" w:hAnsi="Times New Roman" w:cs="Times New Roman"/>
          <w:sz w:val="24"/>
          <w:szCs w:val="24"/>
          <w:lang w:val="en-US"/>
        </w:rPr>
        <w:t>rnational standards and harmonis</w:t>
      </w:r>
      <w:r w:rsidRPr="00FC6034">
        <w:rPr>
          <w:rFonts w:ascii="Times New Roman" w:hAnsi="Times New Roman" w:cs="Times New Roman"/>
          <w:sz w:val="24"/>
          <w:szCs w:val="24"/>
          <w:lang w:val="en-US"/>
        </w:rPr>
        <w:t xml:space="preserve">ation are seen as the solution to regulatory arbitrage by creating a more equal playing field.  </w:t>
      </w:r>
      <w:r w:rsidR="002D1FDB">
        <w:rPr>
          <w:rFonts w:ascii="Times New Roman" w:hAnsi="Times New Roman" w:cs="Times New Roman"/>
          <w:sz w:val="24"/>
          <w:szCs w:val="24"/>
          <w:lang w:val="en-US"/>
        </w:rPr>
        <w:t>Yet</w:t>
      </w:r>
      <w:r w:rsidRPr="00FC6034">
        <w:rPr>
          <w:rFonts w:ascii="Times New Roman" w:hAnsi="Times New Roman" w:cs="Times New Roman"/>
          <w:sz w:val="24"/>
          <w:szCs w:val="24"/>
          <w:lang w:val="en-US"/>
        </w:rPr>
        <w:t xml:space="preserve"> too much consolidation can create systemic risks by reducing diversity</w:t>
      </w:r>
      <w:r w:rsidR="002D1FDB">
        <w:rPr>
          <w:rFonts w:ascii="Times New Roman" w:hAnsi="Times New Roman" w:cs="Times New Roman"/>
          <w:sz w:val="24"/>
          <w:szCs w:val="24"/>
          <w:lang w:val="en-US"/>
        </w:rPr>
        <w:t>: i</w:t>
      </w:r>
      <w:r w:rsidRPr="00FC6034">
        <w:rPr>
          <w:rFonts w:ascii="Times New Roman" w:hAnsi="Times New Roman" w:cs="Times New Roman"/>
          <w:sz w:val="24"/>
          <w:szCs w:val="24"/>
          <w:lang w:val="en-US"/>
        </w:rPr>
        <w:t>f every financial institution works in the same way there is the potential for them all to collapse in the same way.</w:t>
      </w:r>
      <w:r w:rsidR="002D1FDB">
        <w:rPr>
          <w:rStyle w:val="FootnoteReference"/>
          <w:rFonts w:ascii="Times New Roman" w:hAnsi="Times New Roman" w:cs="Times New Roman"/>
          <w:sz w:val="24"/>
          <w:szCs w:val="24"/>
          <w:lang w:val="en-US"/>
        </w:rPr>
        <w:footnoteReference w:id="91"/>
      </w:r>
      <w:r w:rsidR="00F46BD3" w:rsidRPr="00FC6034">
        <w:rPr>
          <w:rFonts w:ascii="Times New Roman" w:hAnsi="Times New Roman" w:cs="Times New Roman"/>
          <w:sz w:val="24"/>
          <w:szCs w:val="24"/>
          <w:lang w:val="en-US"/>
        </w:rPr>
        <w:t xml:space="preserve"> </w:t>
      </w:r>
      <w:r w:rsidR="002D1FDB">
        <w:rPr>
          <w:rFonts w:ascii="Times New Roman" w:hAnsi="Times New Roman" w:cs="Times New Roman"/>
          <w:sz w:val="24"/>
          <w:szCs w:val="24"/>
          <w:lang w:val="en-US"/>
        </w:rPr>
        <w:t xml:space="preserve"> </w:t>
      </w:r>
      <w:r w:rsidR="00F46BD3" w:rsidRPr="00FC6034">
        <w:rPr>
          <w:rFonts w:ascii="Times New Roman" w:hAnsi="Times New Roman" w:cs="Times New Roman"/>
          <w:sz w:val="24"/>
          <w:szCs w:val="24"/>
          <w:lang w:val="en-US"/>
        </w:rPr>
        <w:t xml:space="preserve">Although there are strong arguments for international coordination of standards through </w:t>
      </w:r>
      <w:r w:rsidR="00322448" w:rsidRPr="00FC6034">
        <w:rPr>
          <w:rFonts w:ascii="Times New Roman" w:hAnsi="Times New Roman" w:cs="Times New Roman"/>
          <w:sz w:val="24"/>
          <w:szCs w:val="24"/>
          <w:lang w:val="en-US"/>
        </w:rPr>
        <w:t>organizations</w:t>
      </w:r>
      <w:r w:rsidR="00F46BD3" w:rsidRPr="00FC6034">
        <w:rPr>
          <w:rFonts w:ascii="Times New Roman" w:hAnsi="Times New Roman" w:cs="Times New Roman"/>
          <w:sz w:val="24"/>
          <w:szCs w:val="24"/>
          <w:lang w:val="en-US"/>
        </w:rPr>
        <w:t xml:space="preserve"> such </w:t>
      </w:r>
      <w:r w:rsidR="002218F4">
        <w:rPr>
          <w:rFonts w:ascii="Times New Roman" w:hAnsi="Times New Roman" w:cs="Times New Roman"/>
          <w:sz w:val="24"/>
          <w:szCs w:val="24"/>
          <w:lang w:val="en-US"/>
        </w:rPr>
        <w:t>as Basel, the FSB and the OECD,</w:t>
      </w:r>
      <w:r w:rsidR="00E85E09">
        <w:rPr>
          <w:rStyle w:val="FootnoteReference"/>
          <w:rFonts w:ascii="Times New Roman" w:hAnsi="Times New Roman" w:cs="Times New Roman"/>
          <w:sz w:val="24"/>
          <w:szCs w:val="24"/>
          <w:lang w:val="en-US"/>
        </w:rPr>
        <w:footnoteReference w:id="92"/>
      </w:r>
      <w:r w:rsidR="00F46BD3" w:rsidRPr="00FC6034">
        <w:rPr>
          <w:rFonts w:ascii="Times New Roman" w:hAnsi="Times New Roman" w:cs="Times New Roman"/>
          <w:sz w:val="24"/>
          <w:szCs w:val="24"/>
          <w:lang w:val="en-US"/>
        </w:rPr>
        <w:t xml:space="preserve"> there is also a need for regulation that permits local innovation and experimentation at corporate level</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93"/>
      </w:r>
      <w:r w:rsidR="00F46BD3" w:rsidRPr="00FC6034">
        <w:rPr>
          <w:rFonts w:ascii="Times New Roman" w:hAnsi="Times New Roman" w:cs="Times New Roman"/>
          <w:sz w:val="24"/>
          <w:szCs w:val="24"/>
          <w:lang w:val="en-US"/>
        </w:rPr>
        <w:t xml:space="preserve">  </w:t>
      </w:r>
    </w:p>
    <w:p w14:paraId="4029836D" w14:textId="2D091820" w:rsidR="00827660" w:rsidRPr="00FC6034" w:rsidRDefault="008B70A9"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P</w:t>
      </w:r>
      <w:r w:rsidR="00827660" w:rsidRPr="00FC6034">
        <w:rPr>
          <w:rFonts w:ascii="Times New Roman" w:hAnsi="Times New Roman" w:cs="Times New Roman"/>
          <w:sz w:val="24"/>
          <w:szCs w:val="24"/>
          <w:lang w:val="en-US"/>
        </w:rPr>
        <w:t xml:space="preserve">ower and </w:t>
      </w:r>
      <w:r w:rsidRPr="00FC6034">
        <w:rPr>
          <w:rFonts w:ascii="Times New Roman" w:hAnsi="Times New Roman" w:cs="Times New Roman"/>
          <w:sz w:val="24"/>
          <w:szCs w:val="24"/>
          <w:lang w:val="en-US"/>
        </w:rPr>
        <w:t>politics can also affect the implementation of regulation.</w:t>
      </w:r>
      <w:r w:rsidR="00827660"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Baker</w:t>
      </w:r>
      <w:r w:rsidR="00827660" w:rsidRPr="00FC6034">
        <w:rPr>
          <w:rFonts w:ascii="Times New Roman" w:hAnsi="Times New Roman" w:cs="Times New Roman"/>
          <w:sz w:val="24"/>
          <w:szCs w:val="24"/>
          <w:lang w:val="en-US"/>
        </w:rPr>
        <w:t xml:space="preserve"> examines the phenomenon of regulatory capture.  He defines this as follows:</w:t>
      </w:r>
    </w:p>
    <w:p w14:paraId="13A3BB5A" w14:textId="3ABAAF0E" w:rsidR="00827660" w:rsidRPr="00FC6034" w:rsidRDefault="00827660" w:rsidP="00AE7367">
      <w:pPr>
        <w:spacing w:line="360" w:lineRule="auto"/>
        <w:ind w:left="720"/>
        <w:jc w:val="both"/>
        <w:rPr>
          <w:rFonts w:ascii="Times New Roman" w:hAnsi="Times New Roman" w:cs="Times New Roman"/>
          <w:sz w:val="24"/>
          <w:szCs w:val="24"/>
          <w:lang w:val="en-US"/>
        </w:rPr>
      </w:pPr>
      <w:r w:rsidRPr="00166D06">
        <w:rPr>
          <w:rFonts w:ascii="Times New Roman" w:hAnsi="Times New Roman" w:cs="Times New Roman"/>
          <w:sz w:val="24"/>
          <w:szCs w:val="24"/>
          <w:lang w:val="en-US"/>
        </w:rPr>
        <w:t>Regulatory capture</w:t>
      </w:r>
      <w:r w:rsidRPr="00FC6034">
        <w:rPr>
          <w:rFonts w:ascii="Times New Roman" w:hAnsi="Times New Roman" w:cs="Times New Roman"/>
          <w:sz w:val="24"/>
          <w:szCs w:val="24"/>
          <w:lang w:val="en-US"/>
        </w:rPr>
        <w:t xml:space="preserve"> occurs when bureaucrats, regulators and politicians cease to serve some notion of a wider collective public interest and begin to systematically favour specific vested interests, usually the very interests they were supposed to regulate and restrain for the wid</w:t>
      </w:r>
      <w:r w:rsidR="002D1FDB">
        <w:rPr>
          <w:rFonts w:ascii="Times New Roman" w:hAnsi="Times New Roman" w:cs="Times New Roman"/>
          <w:sz w:val="24"/>
          <w:szCs w:val="24"/>
          <w:lang w:val="en-US"/>
        </w:rPr>
        <w:t>er public interest.</w:t>
      </w:r>
      <w:r w:rsidR="00E85E09">
        <w:rPr>
          <w:rStyle w:val="FootnoteReference"/>
          <w:rFonts w:ascii="Times New Roman" w:hAnsi="Times New Roman" w:cs="Times New Roman"/>
          <w:sz w:val="24"/>
          <w:szCs w:val="24"/>
          <w:lang w:val="en-US"/>
        </w:rPr>
        <w:footnoteReference w:id="94"/>
      </w:r>
    </w:p>
    <w:p w14:paraId="0B571B81" w14:textId="6CFC5113" w:rsidR="00827660" w:rsidRPr="00FC6034" w:rsidRDefault="00827660"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This can occur via different mechanisms including: (1) lobbying by the finance industry due to its immense power; (2) political salience and/or (lack of) interest in financial regulation; (3) </w:t>
      </w:r>
      <w:r w:rsidR="002218F4">
        <w:rPr>
          <w:rFonts w:ascii="Times New Roman" w:hAnsi="Times New Roman" w:cs="Times New Roman"/>
          <w:sz w:val="24"/>
          <w:szCs w:val="24"/>
          <w:lang w:val="en-US"/>
        </w:rPr>
        <w:t>colonis</w:t>
      </w:r>
      <w:r w:rsidR="00322448" w:rsidRPr="00FC6034">
        <w:rPr>
          <w:rFonts w:ascii="Times New Roman" w:hAnsi="Times New Roman" w:cs="Times New Roman"/>
          <w:sz w:val="24"/>
          <w:szCs w:val="24"/>
          <w:lang w:val="en-US"/>
        </w:rPr>
        <w:t>ation</w:t>
      </w:r>
      <w:r w:rsidRPr="00FC6034">
        <w:rPr>
          <w:rFonts w:ascii="Times New Roman" w:hAnsi="Times New Roman" w:cs="Times New Roman"/>
          <w:sz w:val="24"/>
          <w:szCs w:val="24"/>
          <w:lang w:val="en-US"/>
        </w:rPr>
        <w:t xml:space="preserve"> of regulatory agencies by industry (</w:t>
      </w:r>
      <w:r w:rsidR="00CB7186" w:rsidRPr="00FC6034">
        <w:rPr>
          <w:rFonts w:ascii="Times New Roman" w:hAnsi="Times New Roman" w:cs="Times New Roman"/>
          <w:sz w:val="24"/>
          <w:szCs w:val="24"/>
          <w:lang w:val="en-US"/>
        </w:rPr>
        <w:t xml:space="preserve">due to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revolving doors</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 and (4) intellectual capture – in this case by efficient market theory</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95"/>
      </w:r>
      <w:r w:rsidRPr="00FC6034">
        <w:rPr>
          <w:rFonts w:ascii="Times New Roman" w:hAnsi="Times New Roman" w:cs="Times New Roman"/>
          <w:sz w:val="24"/>
          <w:szCs w:val="24"/>
          <w:lang w:val="en-US"/>
        </w:rPr>
        <w:t xml:space="preserve">  Canova also highlights the problem of regulatory capture giving several examples of the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revolving door</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 the movement of key personnel back and forth between regulators and the regulated</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96"/>
      </w:r>
      <w:r w:rsidR="00E90D87" w:rsidRPr="00FC6034">
        <w:rPr>
          <w:rFonts w:ascii="Times New Roman" w:hAnsi="Times New Roman" w:cs="Times New Roman"/>
          <w:sz w:val="24"/>
          <w:szCs w:val="24"/>
          <w:lang w:val="en-US"/>
        </w:rPr>
        <w:t xml:space="preserve">  Although seen as a problem by some,</w:t>
      </w:r>
      <w:r w:rsidRPr="00FC6034">
        <w:rPr>
          <w:rFonts w:ascii="Times New Roman" w:hAnsi="Times New Roman" w:cs="Times New Roman"/>
          <w:sz w:val="24"/>
          <w:szCs w:val="24"/>
          <w:lang w:val="en-US"/>
        </w:rPr>
        <w:t xml:space="preserve"> this practice </w:t>
      </w:r>
      <w:r w:rsidR="00E90D87" w:rsidRPr="00FC6034">
        <w:rPr>
          <w:rFonts w:ascii="Times New Roman" w:hAnsi="Times New Roman" w:cs="Times New Roman"/>
          <w:sz w:val="24"/>
          <w:szCs w:val="24"/>
          <w:lang w:val="en-US"/>
        </w:rPr>
        <w:t>can have advantages in terms of</w:t>
      </w:r>
      <w:r w:rsidR="008B70A9" w:rsidRPr="00FC6034">
        <w:rPr>
          <w:rFonts w:ascii="Times New Roman" w:hAnsi="Times New Roman" w:cs="Times New Roman"/>
          <w:sz w:val="24"/>
          <w:szCs w:val="24"/>
          <w:lang w:val="en-US"/>
        </w:rPr>
        <w:t xml:space="preserve"> much needed information exchange</w:t>
      </w:r>
      <w:r w:rsidRPr="00FC6034">
        <w:rPr>
          <w:rFonts w:ascii="Times New Roman" w:hAnsi="Times New Roman" w:cs="Times New Roman"/>
          <w:sz w:val="24"/>
          <w:szCs w:val="24"/>
          <w:lang w:val="en-US"/>
        </w:rPr>
        <w:t xml:space="preserve">.  Indeed, it is advocated by Edgar as a solution to the problem of regulators only looking in the </w:t>
      </w:r>
      <w:r w:rsidR="0030490F">
        <w:rPr>
          <w:rFonts w:ascii="Times New Roman" w:hAnsi="Times New Roman" w:cs="Times New Roman"/>
          <w:sz w:val="24"/>
          <w:szCs w:val="24"/>
          <w:lang w:val="en-US"/>
        </w:rPr>
        <w:t>“</w:t>
      </w:r>
      <w:r w:rsidRPr="00FC6034">
        <w:rPr>
          <w:rFonts w:ascii="Times New Roman" w:hAnsi="Times New Roman" w:cs="Times New Roman"/>
          <w:sz w:val="24"/>
          <w:szCs w:val="24"/>
          <w:lang w:val="en-US"/>
        </w:rPr>
        <w:t>rear vision mirror</w:t>
      </w:r>
      <w:r w:rsidR="0030490F">
        <w:rPr>
          <w:rFonts w:ascii="Times New Roman" w:hAnsi="Times New Roman" w:cs="Times New Roman"/>
          <w:sz w:val="24"/>
          <w:szCs w:val="24"/>
          <w:lang w:val="en-US"/>
        </w:rPr>
        <w:t>”</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97"/>
      </w:r>
      <w:r w:rsidRPr="00FC6034">
        <w:rPr>
          <w:rFonts w:ascii="Times New Roman" w:hAnsi="Times New Roman" w:cs="Times New Roman"/>
          <w:sz w:val="24"/>
          <w:szCs w:val="24"/>
          <w:lang w:val="en-US"/>
        </w:rPr>
        <w:t xml:space="preserve">  He suggests that immersion of regulators in industry might help them </w:t>
      </w:r>
      <w:r w:rsidRPr="00FC6034">
        <w:rPr>
          <w:rFonts w:ascii="Times New Roman" w:hAnsi="Times New Roman" w:cs="Times New Roman"/>
          <w:sz w:val="24"/>
          <w:szCs w:val="24"/>
          <w:lang w:val="en-US"/>
        </w:rPr>
        <w:lastRenderedPageBreak/>
        <w:t>to become more forward-looking such that they are better equipped to predict future problems before they occur</w:t>
      </w:r>
      <w:r w:rsidR="002D1FDB">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98"/>
      </w:r>
    </w:p>
    <w:p w14:paraId="33CF751E" w14:textId="6820FCE0" w:rsidR="00B36DA6" w:rsidRPr="00FC6034" w:rsidRDefault="00E90D87" w:rsidP="00AE7367">
      <w:pPr>
        <w:pStyle w:val="Heading2"/>
        <w:spacing w:line="360" w:lineRule="auto"/>
      </w:pPr>
      <w:r w:rsidRPr="00FC6034">
        <w:t>B</w:t>
      </w:r>
      <w:r w:rsidR="000536B7">
        <w:t>lurred b</w:t>
      </w:r>
      <w:r w:rsidRPr="00FC6034">
        <w:t>oundaries</w:t>
      </w:r>
    </w:p>
    <w:p w14:paraId="2A16A4F6" w14:textId="34A0F1FE" w:rsidR="00B10229" w:rsidRDefault="00BC176F"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The</w:t>
      </w:r>
      <w:r w:rsidR="006D1732" w:rsidRPr="00FC6034">
        <w:rPr>
          <w:rFonts w:ascii="Times New Roman" w:hAnsi="Times New Roman" w:cs="Times New Roman"/>
          <w:sz w:val="24"/>
          <w:szCs w:val="24"/>
          <w:lang w:val="en-US"/>
        </w:rPr>
        <w:t xml:space="preserve"> </w:t>
      </w:r>
      <w:r w:rsidR="002D7F15" w:rsidRPr="00FC6034">
        <w:rPr>
          <w:rFonts w:ascii="Times New Roman" w:hAnsi="Times New Roman" w:cs="Times New Roman"/>
          <w:sz w:val="24"/>
          <w:szCs w:val="24"/>
          <w:lang w:val="en-US"/>
        </w:rPr>
        <w:t>process of dividing</w:t>
      </w:r>
      <w:r w:rsidR="002B7AF5" w:rsidRPr="00FC6034">
        <w:rPr>
          <w:rFonts w:ascii="Times New Roman" w:hAnsi="Times New Roman" w:cs="Times New Roman"/>
          <w:sz w:val="24"/>
          <w:szCs w:val="24"/>
          <w:lang w:val="en-US"/>
        </w:rPr>
        <w:t xml:space="preserve"> </w:t>
      </w:r>
      <w:r w:rsidR="006D1732" w:rsidRPr="00FC6034">
        <w:rPr>
          <w:rFonts w:ascii="Times New Roman" w:hAnsi="Times New Roman" w:cs="Times New Roman"/>
          <w:sz w:val="24"/>
          <w:szCs w:val="24"/>
          <w:lang w:val="en-US"/>
        </w:rPr>
        <w:t>the regulatory literature</w:t>
      </w:r>
      <w:r w:rsidR="002B7AF5" w:rsidRPr="00FC6034">
        <w:rPr>
          <w:rFonts w:ascii="Times New Roman" w:hAnsi="Times New Roman" w:cs="Times New Roman"/>
          <w:sz w:val="24"/>
          <w:szCs w:val="24"/>
          <w:lang w:val="en-US"/>
        </w:rPr>
        <w:t xml:space="preserve"> into topics </w:t>
      </w:r>
      <w:r w:rsidRPr="00FC6034">
        <w:rPr>
          <w:rFonts w:ascii="Times New Roman" w:hAnsi="Times New Roman" w:cs="Times New Roman"/>
          <w:sz w:val="24"/>
          <w:szCs w:val="24"/>
          <w:lang w:val="en-US"/>
        </w:rPr>
        <w:t>revealed</w:t>
      </w:r>
      <w:r w:rsidR="002B7AF5" w:rsidRPr="00FC6034">
        <w:rPr>
          <w:rFonts w:ascii="Times New Roman" w:hAnsi="Times New Roman" w:cs="Times New Roman"/>
          <w:sz w:val="24"/>
          <w:szCs w:val="24"/>
          <w:lang w:val="en-US"/>
        </w:rPr>
        <w:t xml:space="preserve"> a high level of overlap</w:t>
      </w:r>
      <w:r w:rsidR="0073347E">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w:t>
      </w:r>
      <w:r w:rsidR="0073347E">
        <w:rPr>
          <w:rFonts w:ascii="Times New Roman" w:hAnsi="Times New Roman" w:cs="Times New Roman"/>
          <w:sz w:val="24"/>
          <w:szCs w:val="24"/>
          <w:lang w:val="en-US"/>
        </w:rPr>
        <w:t>d</w:t>
      </w:r>
      <w:r w:rsidR="002B7AF5" w:rsidRPr="00FC6034">
        <w:rPr>
          <w:rFonts w:ascii="Times New Roman" w:hAnsi="Times New Roman" w:cs="Times New Roman"/>
          <w:sz w:val="24"/>
          <w:szCs w:val="24"/>
          <w:lang w:val="en-US"/>
        </w:rPr>
        <w:t>iscussion</w:t>
      </w:r>
      <w:r w:rsidR="00907841" w:rsidRPr="00FC6034">
        <w:rPr>
          <w:rFonts w:ascii="Times New Roman" w:hAnsi="Times New Roman" w:cs="Times New Roman"/>
          <w:sz w:val="24"/>
          <w:szCs w:val="24"/>
          <w:lang w:val="en-US"/>
        </w:rPr>
        <w:t xml:space="preserve"> of h</w:t>
      </w:r>
      <w:r w:rsidR="002B7AF5" w:rsidRPr="00FC6034">
        <w:rPr>
          <w:rFonts w:ascii="Times New Roman" w:hAnsi="Times New Roman" w:cs="Times New Roman"/>
          <w:sz w:val="24"/>
          <w:szCs w:val="24"/>
          <w:lang w:val="en-US"/>
        </w:rPr>
        <w:t>edge fund regu</w:t>
      </w:r>
      <w:r w:rsidR="00907841" w:rsidRPr="00FC6034">
        <w:rPr>
          <w:rFonts w:ascii="Times New Roman" w:hAnsi="Times New Roman" w:cs="Times New Roman"/>
          <w:sz w:val="24"/>
          <w:szCs w:val="24"/>
          <w:lang w:val="en-US"/>
        </w:rPr>
        <w:t>lation refer</w:t>
      </w:r>
      <w:r w:rsidR="008176CE">
        <w:rPr>
          <w:rFonts w:ascii="Times New Roman" w:hAnsi="Times New Roman" w:cs="Times New Roman"/>
          <w:sz w:val="24"/>
          <w:szCs w:val="24"/>
          <w:lang w:val="en-US"/>
        </w:rPr>
        <w:t>ed</w:t>
      </w:r>
      <w:r w:rsidR="00907841" w:rsidRPr="00FC6034">
        <w:rPr>
          <w:rFonts w:ascii="Times New Roman" w:hAnsi="Times New Roman" w:cs="Times New Roman"/>
          <w:sz w:val="24"/>
          <w:szCs w:val="24"/>
          <w:lang w:val="en-US"/>
        </w:rPr>
        <w:t xml:space="preserve"> to</w:t>
      </w:r>
      <w:r w:rsidR="008176CE">
        <w:rPr>
          <w:rFonts w:ascii="Times New Roman" w:hAnsi="Times New Roman" w:cs="Times New Roman"/>
          <w:sz w:val="24"/>
          <w:szCs w:val="24"/>
          <w:lang w:val="en-US"/>
        </w:rPr>
        <w:t xml:space="preserve"> broader</w:t>
      </w:r>
      <w:r w:rsidR="00907841" w:rsidRPr="00FC6034">
        <w:rPr>
          <w:rFonts w:ascii="Times New Roman" w:hAnsi="Times New Roman" w:cs="Times New Roman"/>
          <w:sz w:val="24"/>
          <w:szCs w:val="24"/>
          <w:lang w:val="en-US"/>
        </w:rPr>
        <w:t xml:space="preserve"> </w:t>
      </w:r>
      <w:r w:rsidR="00B10229">
        <w:rPr>
          <w:rFonts w:ascii="Times New Roman" w:hAnsi="Times New Roman" w:cs="Times New Roman"/>
          <w:sz w:val="24"/>
          <w:szCs w:val="24"/>
          <w:lang w:val="en-US"/>
        </w:rPr>
        <w:t>market</w:t>
      </w:r>
      <w:r w:rsidR="00907841" w:rsidRPr="00FC6034">
        <w:rPr>
          <w:rFonts w:ascii="Times New Roman" w:hAnsi="Times New Roman" w:cs="Times New Roman"/>
          <w:sz w:val="24"/>
          <w:szCs w:val="24"/>
          <w:lang w:val="en-US"/>
        </w:rPr>
        <w:t xml:space="preserve"> risk</w:t>
      </w:r>
      <w:r w:rsidR="008176CE">
        <w:rPr>
          <w:rFonts w:ascii="Times New Roman" w:hAnsi="Times New Roman" w:cs="Times New Roman"/>
          <w:sz w:val="24"/>
          <w:szCs w:val="24"/>
          <w:lang w:val="en-US"/>
        </w:rPr>
        <w:t>s</w:t>
      </w:r>
      <w:r w:rsidR="00907841" w:rsidRPr="00FC6034">
        <w:rPr>
          <w:rFonts w:ascii="Times New Roman" w:hAnsi="Times New Roman" w:cs="Times New Roman"/>
          <w:sz w:val="24"/>
          <w:szCs w:val="24"/>
          <w:lang w:val="en-US"/>
        </w:rPr>
        <w:t xml:space="preserve"> and</w:t>
      </w:r>
      <w:r w:rsidR="002B7AF5" w:rsidRPr="00FC6034">
        <w:rPr>
          <w:rFonts w:ascii="Times New Roman" w:hAnsi="Times New Roman" w:cs="Times New Roman"/>
          <w:sz w:val="24"/>
          <w:szCs w:val="24"/>
          <w:lang w:val="en-US"/>
        </w:rPr>
        <w:t xml:space="preserve"> </w:t>
      </w:r>
      <w:r w:rsidR="00907841" w:rsidRPr="00FC6034">
        <w:rPr>
          <w:rFonts w:ascii="Times New Roman" w:hAnsi="Times New Roman" w:cs="Times New Roman"/>
          <w:sz w:val="24"/>
          <w:szCs w:val="24"/>
          <w:lang w:val="en-US"/>
        </w:rPr>
        <w:t>d</w:t>
      </w:r>
      <w:r w:rsidR="002B7AF5" w:rsidRPr="00FC6034">
        <w:rPr>
          <w:rFonts w:ascii="Times New Roman" w:hAnsi="Times New Roman" w:cs="Times New Roman"/>
          <w:sz w:val="24"/>
          <w:szCs w:val="24"/>
          <w:lang w:val="en-US"/>
        </w:rPr>
        <w:t xml:space="preserve">iscussion of shadow banking </w:t>
      </w:r>
      <w:r w:rsidR="008176CE">
        <w:rPr>
          <w:rFonts w:ascii="Times New Roman" w:hAnsi="Times New Roman" w:cs="Times New Roman"/>
          <w:sz w:val="24"/>
          <w:szCs w:val="24"/>
          <w:lang w:val="en-US"/>
        </w:rPr>
        <w:t>led</w:t>
      </w:r>
      <w:r w:rsidR="002B7AF5" w:rsidRPr="00FC6034">
        <w:rPr>
          <w:rFonts w:ascii="Times New Roman" w:hAnsi="Times New Roman" w:cs="Times New Roman"/>
          <w:sz w:val="24"/>
          <w:szCs w:val="24"/>
          <w:lang w:val="en-US"/>
        </w:rPr>
        <w:t xml:space="preserve"> to credit derivatives and investment schemes.  </w:t>
      </w:r>
      <w:r w:rsidR="008176CE">
        <w:rPr>
          <w:rFonts w:ascii="Times New Roman" w:hAnsi="Times New Roman" w:cs="Times New Roman"/>
          <w:sz w:val="24"/>
          <w:szCs w:val="24"/>
          <w:lang w:val="en-US"/>
        </w:rPr>
        <w:t>This reflects the network of interconnections revealed by the GFC and the lack of attention to what has since been termed systemic risk.  The IMF explains how systemic risks led to</w:t>
      </w:r>
      <w:r w:rsidR="00B10229" w:rsidRPr="00FC6034">
        <w:rPr>
          <w:rFonts w:ascii="Times New Roman" w:hAnsi="Times New Roman" w:cs="Times New Roman"/>
          <w:sz w:val="24"/>
          <w:szCs w:val="24"/>
          <w:lang w:val="en-US"/>
        </w:rPr>
        <w:t xml:space="preserve">: </w:t>
      </w:r>
      <w:r w:rsidR="00B10229">
        <w:rPr>
          <w:rFonts w:ascii="Times New Roman" w:hAnsi="Times New Roman" w:cs="Times New Roman"/>
          <w:sz w:val="24"/>
          <w:szCs w:val="24"/>
          <w:lang w:val="en-US"/>
        </w:rPr>
        <w:t>“</w:t>
      </w:r>
      <w:r w:rsidR="00B10229" w:rsidRPr="00FC6034">
        <w:rPr>
          <w:rFonts w:ascii="Times New Roman" w:hAnsi="Times New Roman" w:cs="Times New Roman"/>
          <w:sz w:val="24"/>
          <w:szCs w:val="24"/>
          <w:lang w:val="en-US"/>
        </w:rPr>
        <w:t>large losses to other financial institutions induced by the failure of a particular institution due to its interconnectedness</w:t>
      </w:r>
      <w:r w:rsidR="00B10229">
        <w:rPr>
          <w:rFonts w:ascii="Times New Roman" w:hAnsi="Times New Roman" w:cs="Times New Roman"/>
          <w:sz w:val="24"/>
          <w:szCs w:val="24"/>
          <w:lang w:val="en-US"/>
        </w:rPr>
        <w:t>”</w:t>
      </w:r>
      <w:r w:rsidR="00B10229" w:rsidRPr="00FC6034">
        <w:rPr>
          <w:rFonts w:ascii="Times New Roman" w:hAnsi="Times New Roman" w:cs="Times New Roman"/>
          <w:sz w:val="24"/>
          <w:szCs w:val="24"/>
          <w:lang w:val="en-US"/>
        </w:rPr>
        <w:t xml:space="preserve"> (IMF 2010, p2).  In other words, although individual market participants made risk-avoiding decisions in relation to their own interests they did not consider or take action to reduce unstable situations at the systemic level</w:t>
      </w:r>
      <w:r w:rsidR="00B10229">
        <w:rPr>
          <w:rFonts w:ascii="Times New Roman" w:hAnsi="Times New Roman" w:cs="Times New Roman"/>
          <w:sz w:val="24"/>
          <w:szCs w:val="24"/>
          <w:lang w:val="en-US"/>
        </w:rPr>
        <w:t>.</w:t>
      </w:r>
      <w:r w:rsidR="00B10229">
        <w:rPr>
          <w:rStyle w:val="FootnoteReference"/>
          <w:rFonts w:ascii="Times New Roman" w:hAnsi="Times New Roman" w:cs="Times New Roman"/>
          <w:sz w:val="24"/>
          <w:szCs w:val="24"/>
          <w:lang w:val="en-US"/>
        </w:rPr>
        <w:footnoteReference w:id="99"/>
      </w:r>
      <w:r w:rsidR="00B10229" w:rsidRPr="00FC6034">
        <w:rPr>
          <w:rFonts w:ascii="Times New Roman" w:hAnsi="Times New Roman" w:cs="Times New Roman"/>
          <w:sz w:val="24"/>
          <w:szCs w:val="24"/>
          <w:lang w:val="en-US"/>
        </w:rPr>
        <w:t xml:space="preserve">  </w:t>
      </w:r>
      <w:r w:rsidR="00346355">
        <w:rPr>
          <w:rFonts w:ascii="Times New Roman" w:hAnsi="Times New Roman" w:cs="Times New Roman"/>
          <w:sz w:val="24"/>
          <w:szCs w:val="24"/>
          <w:lang w:val="en-US"/>
        </w:rPr>
        <w:t>Boundaries were imagined to be in place but in reality did not exist.</w:t>
      </w:r>
    </w:p>
    <w:p w14:paraId="1B77C0C2" w14:textId="368A767B" w:rsidR="00900B58" w:rsidRPr="00FC6034" w:rsidRDefault="002B7AF5"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The topic of moral hazard </w:t>
      </w:r>
      <w:r w:rsidR="00892BFC">
        <w:rPr>
          <w:rFonts w:ascii="Times New Roman" w:hAnsi="Times New Roman" w:cs="Times New Roman"/>
          <w:sz w:val="24"/>
          <w:szCs w:val="24"/>
          <w:lang w:val="en-US"/>
        </w:rPr>
        <w:t>and excessive risk-taking</w:t>
      </w:r>
      <w:r w:rsidR="00892BFC"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 xml:space="preserve">appears both at the level of large </w:t>
      </w:r>
      <w:r w:rsidR="002218F4">
        <w:rPr>
          <w:rFonts w:ascii="Times New Roman" w:hAnsi="Times New Roman" w:cs="Times New Roman"/>
          <w:sz w:val="24"/>
          <w:szCs w:val="24"/>
          <w:lang w:val="en-US"/>
        </w:rPr>
        <w:t>organis</w:t>
      </w:r>
      <w:r w:rsidR="00322448" w:rsidRPr="00FC6034">
        <w:rPr>
          <w:rFonts w:ascii="Times New Roman" w:hAnsi="Times New Roman" w:cs="Times New Roman"/>
          <w:sz w:val="24"/>
          <w:szCs w:val="24"/>
          <w:lang w:val="en-US"/>
        </w:rPr>
        <w:t>ations</w:t>
      </w:r>
      <w:r w:rsidR="00892BFC">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and individual managers</w:t>
      </w:r>
      <w:r w:rsidR="00D05E10">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00"/>
      </w:r>
      <w:r w:rsidR="00BC176F" w:rsidRPr="00FC6034">
        <w:rPr>
          <w:rFonts w:ascii="Times New Roman" w:hAnsi="Times New Roman" w:cs="Times New Roman"/>
          <w:sz w:val="24"/>
          <w:szCs w:val="24"/>
          <w:lang w:val="en-US"/>
        </w:rPr>
        <w:t xml:space="preserve">  </w:t>
      </w:r>
      <w:r w:rsidR="00D05E10">
        <w:rPr>
          <w:rFonts w:ascii="Times New Roman" w:hAnsi="Times New Roman" w:cs="Times New Roman"/>
          <w:sz w:val="24"/>
          <w:szCs w:val="24"/>
          <w:lang w:val="en-US"/>
        </w:rPr>
        <w:t>At the organis</w:t>
      </w:r>
      <w:r w:rsidR="00892BFC">
        <w:rPr>
          <w:rFonts w:ascii="Times New Roman" w:hAnsi="Times New Roman" w:cs="Times New Roman"/>
          <w:sz w:val="24"/>
          <w:szCs w:val="24"/>
          <w:lang w:val="en-US"/>
        </w:rPr>
        <w:t>ational level large banks became comfortable that they would be bailed out by government rather than left to collapse.  Compounding this, at the individual level</w:t>
      </w:r>
      <w:r w:rsidR="00D91371">
        <w:rPr>
          <w:rFonts w:ascii="Times New Roman" w:hAnsi="Times New Roman" w:cs="Times New Roman"/>
          <w:sz w:val="24"/>
          <w:szCs w:val="24"/>
          <w:lang w:val="en-US"/>
        </w:rPr>
        <w:t>,</w:t>
      </w:r>
      <w:r w:rsidR="00892BFC">
        <w:rPr>
          <w:rFonts w:ascii="Times New Roman" w:hAnsi="Times New Roman" w:cs="Times New Roman"/>
          <w:sz w:val="24"/>
          <w:szCs w:val="24"/>
          <w:lang w:val="en-US"/>
        </w:rPr>
        <w:t xml:space="preserve"> managers became comfortable that their personal wealth would not be affected by losses to the firm.</w:t>
      </w:r>
      <w:r w:rsidR="00346355">
        <w:rPr>
          <w:rFonts w:ascii="Times New Roman" w:hAnsi="Times New Roman" w:cs="Times New Roman"/>
          <w:sz w:val="24"/>
          <w:szCs w:val="24"/>
          <w:lang w:val="en-US"/>
        </w:rPr>
        <w:t xml:space="preserve">  In this case, b</w:t>
      </w:r>
      <w:r w:rsidR="00B10229">
        <w:rPr>
          <w:rFonts w:ascii="Times New Roman" w:hAnsi="Times New Roman" w:cs="Times New Roman"/>
          <w:sz w:val="24"/>
          <w:szCs w:val="24"/>
          <w:lang w:val="en-US"/>
        </w:rPr>
        <w:t xml:space="preserve">oundaries were </w:t>
      </w:r>
      <w:r w:rsidR="00346355">
        <w:rPr>
          <w:rFonts w:ascii="Times New Roman" w:hAnsi="Times New Roman" w:cs="Times New Roman"/>
          <w:sz w:val="24"/>
          <w:szCs w:val="24"/>
          <w:lang w:val="en-US"/>
        </w:rPr>
        <w:t>put</w:t>
      </w:r>
      <w:r w:rsidR="00B10229">
        <w:rPr>
          <w:rFonts w:ascii="Times New Roman" w:hAnsi="Times New Roman" w:cs="Times New Roman"/>
          <w:sz w:val="24"/>
          <w:szCs w:val="24"/>
          <w:lang w:val="en-US"/>
        </w:rPr>
        <w:t xml:space="preserve"> in place where t</w:t>
      </w:r>
      <w:r w:rsidR="00346355">
        <w:rPr>
          <w:rFonts w:ascii="Times New Roman" w:hAnsi="Times New Roman" w:cs="Times New Roman"/>
          <w:sz w:val="24"/>
          <w:szCs w:val="24"/>
          <w:lang w:val="en-US"/>
        </w:rPr>
        <w:t xml:space="preserve">hey should not be, encouraging dangerous risk-taking behavior. </w:t>
      </w:r>
    </w:p>
    <w:p w14:paraId="616B2A2E" w14:textId="0C62A770" w:rsidR="00EA22BF" w:rsidRPr="00FC6034" w:rsidRDefault="00346355"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Boundaries were also poorly defined when it came to the</w:t>
      </w:r>
      <w:r w:rsidR="008B70A9" w:rsidRPr="00FC6034">
        <w:rPr>
          <w:rFonts w:ascii="Times New Roman" w:hAnsi="Times New Roman" w:cs="Times New Roman"/>
          <w:sz w:val="24"/>
          <w:szCs w:val="24"/>
          <w:lang w:val="en-US"/>
        </w:rPr>
        <w:t xml:space="preserve"> content of regulation.  </w:t>
      </w:r>
      <w:r w:rsidR="002D7F15" w:rsidRPr="00FC6034">
        <w:rPr>
          <w:rFonts w:ascii="Times New Roman" w:hAnsi="Times New Roman" w:cs="Times New Roman"/>
          <w:sz w:val="24"/>
          <w:szCs w:val="24"/>
          <w:lang w:val="en-US"/>
        </w:rPr>
        <w:t>A</w:t>
      </w:r>
      <w:r w:rsidR="00D03E8E" w:rsidRPr="00FC6034">
        <w:rPr>
          <w:rFonts w:ascii="Times New Roman" w:hAnsi="Times New Roman" w:cs="Times New Roman"/>
          <w:sz w:val="24"/>
          <w:szCs w:val="24"/>
          <w:lang w:val="en-US"/>
        </w:rPr>
        <w:t xml:space="preserve"> key</w:t>
      </w:r>
      <w:r w:rsidR="00907841" w:rsidRPr="00FC6034">
        <w:rPr>
          <w:rFonts w:ascii="Times New Roman" w:hAnsi="Times New Roman" w:cs="Times New Roman"/>
          <w:sz w:val="24"/>
          <w:szCs w:val="24"/>
          <w:lang w:val="en-US"/>
        </w:rPr>
        <w:t xml:space="preserve"> problem hindering</w:t>
      </w:r>
      <w:r w:rsidR="006A731F" w:rsidRPr="00FC6034">
        <w:rPr>
          <w:rFonts w:ascii="Times New Roman" w:hAnsi="Times New Roman" w:cs="Times New Roman"/>
          <w:sz w:val="24"/>
          <w:szCs w:val="24"/>
          <w:lang w:val="en-US"/>
        </w:rPr>
        <w:t xml:space="preserve"> many</w:t>
      </w:r>
      <w:r w:rsidR="00907841" w:rsidRPr="00FC6034">
        <w:rPr>
          <w:rFonts w:ascii="Times New Roman" w:hAnsi="Times New Roman" w:cs="Times New Roman"/>
          <w:sz w:val="24"/>
          <w:szCs w:val="24"/>
          <w:lang w:val="en-US"/>
        </w:rPr>
        <w:t xml:space="preserve"> reform ef</w:t>
      </w:r>
      <w:r w:rsidR="006D4C32" w:rsidRPr="00FC6034">
        <w:rPr>
          <w:rFonts w:ascii="Times New Roman" w:hAnsi="Times New Roman" w:cs="Times New Roman"/>
          <w:sz w:val="24"/>
          <w:szCs w:val="24"/>
          <w:lang w:val="en-US"/>
        </w:rPr>
        <w:t xml:space="preserve">forts </w:t>
      </w:r>
      <w:r>
        <w:rPr>
          <w:rFonts w:ascii="Times New Roman" w:hAnsi="Times New Roman" w:cs="Times New Roman"/>
          <w:sz w:val="24"/>
          <w:szCs w:val="24"/>
          <w:lang w:val="en-US"/>
        </w:rPr>
        <w:t>was, and still is,</w:t>
      </w:r>
      <w:r w:rsidR="006D4C32" w:rsidRPr="00FC6034">
        <w:rPr>
          <w:rFonts w:ascii="Times New Roman" w:hAnsi="Times New Roman" w:cs="Times New Roman"/>
          <w:sz w:val="24"/>
          <w:szCs w:val="24"/>
          <w:lang w:val="en-US"/>
        </w:rPr>
        <w:t xml:space="preserve"> difficulty</w:t>
      </w:r>
      <w:r w:rsidR="00907841" w:rsidRPr="00FC6034">
        <w:rPr>
          <w:rFonts w:ascii="Times New Roman" w:hAnsi="Times New Roman" w:cs="Times New Roman"/>
          <w:sz w:val="24"/>
          <w:szCs w:val="24"/>
          <w:lang w:val="en-US"/>
        </w:rPr>
        <w:t xml:space="preserve"> in labelling, </w:t>
      </w:r>
      <w:r>
        <w:rPr>
          <w:rFonts w:ascii="Times New Roman" w:hAnsi="Times New Roman" w:cs="Times New Roman"/>
          <w:sz w:val="24"/>
          <w:szCs w:val="24"/>
          <w:lang w:val="en-US"/>
        </w:rPr>
        <w:t>categoris</w:t>
      </w:r>
      <w:r w:rsidR="00322448" w:rsidRPr="00FC6034">
        <w:rPr>
          <w:rFonts w:ascii="Times New Roman" w:hAnsi="Times New Roman" w:cs="Times New Roman"/>
          <w:sz w:val="24"/>
          <w:szCs w:val="24"/>
          <w:lang w:val="en-US"/>
        </w:rPr>
        <w:t>ing</w:t>
      </w:r>
      <w:r w:rsidR="00907841" w:rsidRPr="00FC6034">
        <w:rPr>
          <w:rFonts w:ascii="Times New Roman" w:hAnsi="Times New Roman" w:cs="Times New Roman"/>
          <w:sz w:val="24"/>
          <w:szCs w:val="24"/>
          <w:lang w:val="en-US"/>
        </w:rPr>
        <w:t xml:space="preserve"> and </w:t>
      </w:r>
      <w:r w:rsidR="00892BFC">
        <w:rPr>
          <w:rFonts w:ascii="Times New Roman" w:hAnsi="Times New Roman" w:cs="Times New Roman"/>
          <w:sz w:val="24"/>
          <w:szCs w:val="24"/>
          <w:lang w:val="en-US"/>
        </w:rPr>
        <w:t>defining</w:t>
      </w:r>
      <w:r w:rsidR="00907841" w:rsidRPr="00FC6034">
        <w:rPr>
          <w:rFonts w:ascii="Times New Roman" w:hAnsi="Times New Roman" w:cs="Times New Roman"/>
          <w:sz w:val="24"/>
          <w:szCs w:val="24"/>
          <w:lang w:val="en-US"/>
        </w:rPr>
        <w:t xml:space="preserve"> the risky products, processes or </w:t>
      </w:r>
      <w:r>
        <w:rPr>
          <w:rFonts w:ascii="Times New Roman" w:hAnsi="Times New Roman" w:cs="Times New Roman"/>
          <w:sz w:val="24"/>
          <w:szCs w:val="24"/>
          <w:lang w:val="en-US"/>
        </w:rPr>
        <w:t>organis</w:t>
      </w:r>
      <w:r w:rsidR="00322448" w:rsidRPr="00FC6034">
        <w:rPr>
          <w:rFonts w:ascii="Times New Roman" w:hAnsi="Times New Roman" w:cs="Times New Roman"/>
          <w:sz w:val="24"/>
          <w:szCs w:val="24"/>
          <w:lang w:val="en-US"/>
        </w:rPr>
        <w:t>ations</w:t>
      </w:r>
      <w:r w:rsidR="00907841" w:rsidRPr="00FC6034">
        <w:rPr>
          <w:rFonts w:ascii="Times New Roman" w:hAnsi="Times New Roman" w:cs="Times New Roman"/>
          <w:sz w:val="24"/>
          <w:szCs w:val="24"/>
          <w:lang w:val="en-US"/>
        </w:rPr>
        <w:t xml:space="preserve"> that need to be regulated.  For example, </w:t>
      </w:r>
      <w:r w:rsidR="00D03E8E" w:rsidRPr="00FC6034">
        <w:rPr>
          <w:rFonts w:ascii="Times New Roman" w:hAnsi="Times New Roman" w:cs="Times New Roman"/>
          <w:sz w:val="24"/>
          <w:szCs w:val="24"/>
          <w:lang w:val="en-US"/>
        </w:rPr>
        <w:t>do</w:t>
      </w:r>
      <w:r w:rsidR="00907841" w:rsidRPr="00FC6034">
        <w:rPr>
          <w:rFonts w:ascii="Times New Roman" w:hAnsi="Times New Roman" w:cs="Times New Roman"/>
          <w:sz w:val="24"/>
          <w:szCs w:val="24"/>
          <w:lang w:val="en-US"/>
        </w:rPr>
        <w:t xml:space="preserve"> all hedge funds need to be regulated or only the large ones; </w:t>
      </w:r>
      <w:r w:rsidR="00D03E8E" w:rsidRPr="00FC6034">
        <w:rPr>
          <w:rFonts w:ascii="Times New Roman" w:hAnsi="Times New Roman" w:cs="Times New Roman"/>
          <w:sz w:val="24"/>
          <w:szCs w:val="24"/>
          <w:lang w:val="en-US"/>
        </w:rPr>
        <w:t>should</w:t>
      </w:r>
      <w:r w:rsidR="00907841" w:rsidRPr="00FC6034">
        <w:rPr>
          <w:rFonts w:ascii="Times New Roman" w:hAnsi="Times New Roman" w:cs="Times New Roman"/>
          <w:sz w:val="24"/>
          <w:szCs w:val="24"/>
          <w:lang w:val="en-US"/>
        </w:rPr>
        <w:t xml:space="preserve"> all derivatives be regulated or only certain types?  </w:t>
      </w:r>
      <w:r w:rsidR="002D7F15" w:rsidRPr="00FC6034">
        <w:rPr>
          <w:rFonts w:ascii="Times New Roman" w:hAnsi="Times New Roman" w:cs="Times New Roman"/>
          <w:sz w:val="24"/>
          <w:szCs w:val="24"/>
          <w:lang w:val="en-US"/>
        </w:rPr>
        <w:t>Every regulatory scheme has its limits both in terms of who is</w:t>
      </w:r>
      <w:r w:rsidR="00D91371">
        <w:rPr>
          <w:rFonts w:ascii="Times New Roman" w:hAnsi="Times New Roman" w:cs="Times New Roman"/>
          <w:sz w:val="24"/>
          <w:szCs w:val="24"/>
          <w:lang w:val="en-US"/>
        </w:rPr>
        <w:t xml:space="preserve"> regulated and what they can do.</w:t>
      </w:r>
      <w:r w:rsidR="00E85E09">
        <w:rPr>
          <w:rStyle w:val="FootnoteReference"/>
          <w:rFonts w:ascii="Times New Roman" w:hAnsi="Times New Roman" w:cs="Times New Roman"/>
          <w:sz w:val="24"/>
          <w:szCs w:val="24"/>
          <w:lang w:val="en-US"/>
        </w:rPr>
        <w:footnoteReference w:id="101"/>
      </w:r>
      <w:r w:rsidR="002D7F15" w:rsidRPr="00FC6034">
        <w:rPr>
          <w:rFonts w:ascii="Times New Roman" w:hAnsi="Times New Roman" w:cs="Times New Roman"/>
          <w:sz w:val="24"/>
          <w:szCs w:val="24"/>
          <w:lang w:val="en-US"/>
        </w:rPr>
        <w:t xml:space="preserve">  Where do we draw the lines around regulatory regimes and is this even possible?  One aspect of this boundary problem i</w:t>
      </w:r>
      <w:r w:rsidR="00676704" w:rsidRPr="00FC6034">
        <w:rPr>
          <w:rFonts w:ascii="Times New Roman" w:hAnsi="Times New Roman" w:cs="Times New Roman"/>
          <w:sz w:val="24"/>
          <w:szCs w:val="24"/>
          <w:lang w:val="en-US"/>
        </w:rPr>
        <w:t xml:space="preserve">s </w:t>
      </w:r>
      <w:r w:rsidR="00D214F2" w:rsidRPr="00FC6034">
        <w:rPr>
          <w:rFonts w:ascii="Times New Roman" w:hAnsi="Times New Roman" w:cs="Times New Roman"/>
          <w:sz w:val="24"/>
          <w:szCs w:val="24"/>
          <w:lang w:val="en-US"/>
        </w:rPr>
        <w:t>that defining a regulated sector can</w:t>
      </w:r>
      <w:r w:rsidR="006D1732" w:rsidRPr="00FC6034">
        <w:rPr>
          <w:rFonts w:ascii="Times New Roman" w:hAnsi="Times New Roman" w:cs="Times New Roman"/>
          <w:sz w:val="24"/>
          <w:szCs w:val="24"/>
          <w:lang w:val="en-US"/>
        </w:rPr>
        <w:t xml:space="preserve"> </w:t>
      </w:r>
      <w:r w:rsidR="006D1732" w:rsidRPr="00FC6034">
        <w:rPr>
          <w:rFonts w:ascii="Times New Roman" w:hAnsi="Times New Roman" w:cs="Times New Roman"/>
          <w:sz w:val="24"/>
          <w:szCs w:val="24"/>
          <w:lang w:val="en-US"/>
        </w:rPr>
        <w:lastRenderedPageBreak/>
        <w:t>provide</w:t>
      </w:r>
      <w:r w:rsidR="00676704" w:rsidRPr="00FC6034">
        <w:rPr>
          <w:rFonts w:ascii="Times New Roman" w:hAnsi="Times New Roman" w:cs="Times New Roman"/>
          <w:sz w:val="24"/>
          <w:szCs w:val="24"/>
          <w:lang w:val="en-US"/>
        </w:rPr>
        <w:t xml:space="preserve"> incentives for operators to move into the unregulated sector where they </w:t>
      </w:r>
      <w:r w:rsidR="00D03E8E" w:rsidRPr="00FC6034">
        <w:rPr>
          <w:rFonts w:ascii="Times New Roman" w:hAnsi="Times New Roman" w:cs="Times New Roman"/>
          <w:sz w:val="24"/>
          <w:szCs w:val="24"/>
          <w:lang w:val="en-US"/>
        </w:rPr>
        <w:t>have</w:t>
      </w:r>
      <w:r w:rsidR="00676704" w:rsidRPr="00FC6034">
        <w:rPr>
          <w:rFonts w:ascii="Times New Roman" w:hAnsi="Times New Roman" w:cs="Times New Roman"/>
          <w:sz w:val="24"/>
          <w:szCs w:val="24"/>
          <w:lang w:val="en-US"/>
        </w:rPr>
        <w:t xml:space="preserve"> more free</w:t>
      </w:r>
      <w:r w:rsidR="00D03E8E" w:rsidRPr="00FC6034">
        <w:rPr>
          <w:rFonts w:ascii="Times New Roman" w:hAnsi="Times New Roman" w:cs="Times New Roman"/>
          <w:sz w:val="24"/>
          <w:szCs w:val="24"/>
          <w:lang w:val="en-US"/>
        </w:rPr>
        <w:t>dom</w:t>
      </w:r>
      <w:r w:rsidR="00D91371">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02"/>
      </w:r>
      <w:r w:rsidR="00D03E8E" w:rsidRPr="00FC6034">
        <w:rPr>
          <w:rFonts w:ascii="Times New Roman" w:hAnsi="Times New Roman" w:cs="Times New Roman"/>
          <w:sz w:val="24"/>
          <w:szCs w:val="24"/>
          <w:lang w:val="en-US"/>
        </w:rPr>
        <w:t xml:space="preserve">  This is</w:t>
      </w:r>
      <w:r w:rsidR="00676704" w:rsidRPr="00FC6034">
        <w:rPr>
          <w:rFonts w:ascii="Times New Roman" w:hAnsi="Times New Roman" w:cs="Times New Roman"/>
          <w:sz w:val="24"/>
          <w:szCs w:val="24"/>
          <w:lang w:val="en-US"/>
        </w:rPr>
        <w:t xml:space="preserve"> exactly how </w:t>
      </w:r>
      <w:r w:rsidR="00B970F4">
        <w:rPr>
          <w:rFonts w:ascii="Times New Roman" w:hAnsi="Times New Roman" w:cs="Times New Roman"/>
          <w:sz w:val="24"/>
          <w:szCs w:val="24"/>
          <w:lang w:val="en-US"/>
        </w:rPr>
        <w:t>“</w:t>
      </w:r>
      <w:r w:rsidR="00676704" w:rsidRPr="00FC6034">
        <w:rPr>
          <w:rFonts w:ascii="Times New Roman" w:hAnsi="Times New Roman" w:cs="Times New Roman"/>
          <w:sz w:val="24"/>
          <w:szCs w:val="24"/>
          <w:lang w:val="en-US"/>
        </w:rPr>
        <w:t>shadow</w:t>
      </w:r>
      <w:r w:rsidR="00B970F4">
        <w:rPr>
          <w:rFonts w:ascii="Times New Roman" w:hAnsi="Times New Roman" w:cs="Times New Roman"/>
          <w:sz w:val="24"/>
          <w:szCs w:val="24"/>
          <w:lang w:val="en-US"/>
        </w:rPr>
        <w:t>”</w:t>
      </w:r>
      <w:r w:rsidR="00676704" w:rsidRPr="00FC6034">
        <w:rPr>
          <w:rFonts w:ascii="Times New Roman" w:hAnsi="Times New Roman" w:cs="Times New Roman"/>
          <w:sz w:val="24"/>
          <w:szCs w:val="24"/>
          <w:lang w:val="en-US"/>
        </w:rPr>
        <w:t xml:space="preserve"> financial markets arise.  </w:t>
      </w:r>
    </w:p>
    <w:p w14:paraId="04363F30" w14:textId="7D86D7CB" w:rsidR="00907841" w:rsidRPr="00FC6034" w:rsidRDefault="007B5228"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Thus i</w:t>
      </w:r>
      <w:r w:rsidR="00CB7186" w:rsidRPr="00FC6034">
        <w:rPr>
          <w:rFonts w:ascii="Times New Roman" w:hAnsi="Times New Roman" w:cs="Times New Roman"/>
          <w:sz w:val="24"/>
          <w:szCs w:val="24"/>
          <w:lang w:val="en-US"/>
        </w:rPr>
        <w:t xml:space="preserve">t </w:t>
      </w:r>
      <w:r w:rsidR="00907841" w:rsidRPr="00FC6034">
        <w:rPr>
          <w:rFonts w:ascii="Times New Roman" w:hAnsi="Times New Roman" w:cs="Times New Roman"/>
          <w:sz w:val="24"/>
          <w:szCs w:val="24"/>
          <w:lang w:val="en-US"/>
        </w:rPr>
        <w:t>is not just a</w:t>
      </w:r>
      <w:r w:rsidR="00676704" w:rsidRPr="00FC6034">
        <w:rPr>
          <w:rFonts w:ascii="Times New Roman" w:hAnsi="Times New Roman" w:cs="Times New Roman"/>
          <w:sz w:val="24"/>
          <w:szCs w:val="24"/>
          <w:lang w:val="en-US"/>
        </w:rPr>
        <w:t>n</w:t>
      </w:r>
      <w:r w:rsidR="00907841" w:rsidRPr="00FC6034">
        <w:rPr>
          <w:rFonts w:ascii="Times New Roman" w:hAnsi="Times New Roman" w:cs="Times New Roman"/>
          <w:sz w:val="24"/>
          <w:szCs w:val="24"/>
          <w:lang w:val="en-US"/>
        </w:rPr>
        <w:t xml:space="preserve"> </w:t>
      </w:r>
      <w:r w:rsidR="00676704" w:rsidRPr="00FC6034">
        <w:rPr>
          <w:rFonts w:ascii="Times New Roman" w:hAnsi="Times New Roman" w:cs="Times New Roman"/>
          <w:sz w:val="24"/>
          <w:szCs w:val="24"/>
          <w:lang w:val="en-US"/>
        </w:rPr>
        <w:t xml:space="preserve">issue </w:t>
      </w:r>
      <w:r w:rsidR="00907841" w:rsidRPr="00FC6034">
        <w:rPr>
          <w:rFonts w:ascii="Times New Roman" w:hAnsi="Times New Roman" w:cs="Times New Roman"/>
          <w:sz w:val="24"/>
          <w:szCs w:val="24"/>
          <w:lang w:val="en-US"/>
        </w:rPr>
        <w:t xml:space="preserve">of </w:t>
      </w:r>
      <w:r w:rsidR="00B36DA6" w:rsidRPr="00FC6034">
        <w:rPr>
          <w:rFonts w:ascii="Times New Roman" w:hAnsi="Times New Roman" w:cs="Times New Roman"/>
          <w:sz w:val="24"/>
          <w:szCs w:val="24"/>
          <w:lang w:val="en-US"/>
        </w:rPr>
        <w:t>gaps</w:t>
      </w:r>
      <w:r w:rsidR="00676704" w:rsidRPr="00FC6034">
        <w:rPr>
          <w:rFonts w:ascii="Times New Roman" w:hAnsi="Times New Roman" w:cs="Times New Roman"/>
          <w:sz w:val="24"/>
          <w:szCs w:val="24"/>
          <w:lang w:val="en-US"/>
        </w:rPr>
        <w:t xml:space="preserve"> and grey areas</w:t>
      </w:r>
      <w:r w:rsidR="00B36DA6" w:rsidRPr="00FC6034">
        <w:rPr>
          <w:rFonts w:ascii="Times New Roman" w:hAnsi="Times New Roman" w:cs="Times New Roman"/>
          <w:sz w:val="24"/>
          <w:szCs w:val="24"/>
          <w:lang w:val="en-US"/>
        </w:rPr>
        <w:t xml:space="preserve"> between regimes</w:t>
      </w:r>
      <w:r w:rsidR="00907841" w:rsidRPr="00FC6034">
        <w:rPr>
          <w:rFonts w:ascii="Times New Roman" w:hAnsi="Times New Roman" w:cs="Times New Roman"/>
          <w:sz w:val="24"/>
          <w:szCs w:val="24"/>
          <w:lang w:val="en-US"/>
        </w:rPr>
        <w:t xml:space="preserve"> it is a problem of not knowing where to draw the line</w:t>
      </w:r>
      <w:r w:rsidR="00B36DA6" w:rsidRPr="00FC6034">
        <w:rPr>
          <w:rFonts w:ascii="Times New Roman" w:hAnsi="Times New Roman" w:cs="Times New Roman"/>
          <w:sz w:val="24"/>
          <w:szCs w:val="24"/>
          <w:lang w:val="en-US"/>
        </w:rPr>
        <w:t>s</w:t>
      </w:r>
      <w:r w:rsidR="00907841" w:rsidRPr="00FC6034">
        <w:rPr>
          <w:rFonts w:ascii="Times New Roman" w:hAnsi="Times New Roman" w:cs="Times New Roman"/>
          <w:sz w:val="24"/>
          <w:szCs w:val="24"/>
          <w:lang w:val="en-US"/>
        </w:rPr>
        <w:t>.</w:t>
      </w:r>
      <w:r w:rsidR="00820B6B" w:rsidRPr="00FC6034">
        <w:rPr>
          <w:rFonts w:ascii="Times New Roman" w:hAnsi="Times New Roman" w:cs="Times New Roman"/>
          <w:sz w:val="24"/>
          <w:szCs w:val="24"/>
          <w:lang w:val="en-US"/>
        </w:rPr>
        <w:t xml:space="preserve">  Ongoing innovation and change in financial products make it very difficult to define regulatory regimes and to ensure they cover the most risky products</w:t>
      </w:r>
      <w:r w:rsidR="00D214F2" w:rsidRPr="00FC6034">
        <w:rPr>
          <w:rFonts w:ascii="Times New Roman" w:hAnsi="Times New Roman" w:cs="Times New Roman"/>
          <w:sz w:val="24"/>
          <w:szCs w:val="24"/>
          <w:lang w:val="en-US"/>
        </w:rPr>
        <w:t xml:space="preserve"> or </w:t>
      </w:r>
      <w:r w:rsidR="00D91371">
        <w:rPr>
          <w:rFonts w:ascii="Times New Roman" w:hAnsi="Times New Roman" w:cs="Times New Roman"/>
          <w:sz w:val="24"/>
          <w:szCs w:val="24"/>
          <w:lang w:val="en-US"/>
        </w:rPr>
        <w:t>organis</w:t>
      </w:r>
      <w:r w:rsidR="00322448" w:rsidRPr="00FC6034">
        <w:rPr>
          <w:rFonts w:ascii="Times New Roman" w:hAnsi="Times New Roman" w:cs="Times New Roman"/>
          <w:sz w:val="24"/>
          <w:szCs w:val="24"/>
          <w:lang w:val="en-US"/>
        </w:rPr>
        <w:t>ations</w:t>
      </w:r>
      <w:r w:rsidR="00EA5774">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03"/>
      </w:r>
      <w:r w:rsidR="00820B6B" w:rsidRPr="00FC6034">
        <w:rPr>
          <w:rFonts w:ascii="Times New Roman" w:hAnsi="Times New Roman" w:cs="Times New Roman"/>
          <w:sz w:val="24"/>
          <w:szCs w:val="24"/>
          <w:lang w:val="en-US"/>
        </w:rPr>
        <w:t xml:space="preserve">  This is why principles-based regulation still finds </w:t>
      </w:r>
      <w:r w:rsidR="00322448" w:rsidRPr="00FC6034">
        <w:rPr>
          <w:rFonts w:ascii="Times New Roman" w:hAnsi="Times New Roman" w:cs="Times New Roman"/>
          <w:sz w:val="24"/>
          <w:szCs w:val="24"/>
          <w:lang w:val="en-US"/>
        </w:rPr>
        <w:t>favor</w:t>
      </w:r>
      <w:r w:rsidR="00820B6B" w:rsidRPr="00FC6034">
        <w:rPr>
          <w:rFonts w:ascii="Times New Roman" w:hAnsi="Times New Roman" w:cs="Times New Roman"/>
          <w:sz w:val="24"/>
          <w:szCs w:val="24"/>
          <w:lang w:val="en-US"/>
        </w:rPr>
        <w:t xml:space="preserve"> amongst </w:t>
      </w:r>
      <w:r w:rsidR="00D214F2" w:rsidRPr="00FC6034">
        <w:rPr>
          <w:rFonts w:ascii="Times New Roman" w:hAnsi="Times New Roman" w:cs="Times New Roman"/>
          <w:sz w:val="24"/>
          <w:szCs w:val="24"/>
          <w:lang w:val="en-US"/>
        </w:rPr>
        <w:t>both</w:t>
      </w:r>
      <w:r w:rsidR="00820B6B" w:rsidRPr="00FC6034">
        <w:rPr>
          <w:rFonts w:ascii="Times New Roman" w:hAnsi="Times New Roman" w:cs="Times New Roman"/>
          <w:sz w:val="24"/>
          <w:szCs w:val="24"/>
          <w:lang w:val="en-US"/>
        </w:rPr>
        <w:t xml:space="preserve"> scholars</w:t>
      </w:r>
      <w:r w:rsidR="00D214F2" w:rsidRPr="00FC6034">
        <w:rPr>
          <w:rFonts w:ascii="Times New Roman" w:hAnsi="Times New Roman" w:cs="Times New Roman"/>
          <w:sz w:val="24"/>
          <w:szCs w:val="24"/>
          <w:lang w:val="en-US"/>
        </w:rPr>
        <w:t xml:space="preserve"> and policy-makers.</w:t>
      </w:r>
      <w:r w:rsidR="00820B6B" w:rsidRPr="00FC6034">
        <w:rPr>
          <w:rFonts w:ascii="Times New Roman" w:hAnsi="Times New Roman" w:cs="Times New Roman"/>
          <w:sz w:val="24"/>
          <w:szCs w:val="24"/>
          <w:lang w:val="en-US"/>
        </w:rPr>
        <w:t xml:space="preserve">  </w:t>
      </w:r>
      <w:r w:rsidR="00D03E8E" w:rsidRPr="00FC6034">
        <w:rPr>
          <w:rFonts w:ascii="Times New Roman" w:hAnsi="Times New Roman" w:cs="Times New Roman"/>
          <w:sz w:val="24"/>
          <w:szCs w:val="24"/>
          <w:lang w:val="en-US"/>
        </w:rPr>
        <w:t>By using a broad brush</w:t>
      </w:r>
      <w:r w:rsidR="00D214F2" w:rsidRPr="00FC6034">
        <w:rPr>
          <w:rFonts w:ascii="Times New Roman" w:hAnsi="Times New Roman" w:cs="Times New Roman"/>
          <w:sz w:val="24"/>
          <w:szCs w:val="24"/>
          <w:lang w:val="en-US"/>
        </w:rPr>
        <w:t xml:space="preserve"> approach</w:t>
      </w:r>
      <w:r w:rsidR="00D03E8E" w:rsidRPr="00FC6034">
        <w:rPr>
          <w:rFonts w:ascii="Times New Roman" w:hAnsi="Times New Roman" w:cs="Times New Roman"/>
          <w:sz w:val="24"/>
          <w:szCs w:val="24"/>
          <w:lang w:val="en-US"/>
        </w:rPr>
        <w:t xml:space="preserve"> and by measuring outcomes rather than inputs</w:t>
      </w:r>
      <w:r w:rsidR="00EA22BF" w:rsidRPr="00FC6034">
        <w:rPr>
          <w:rFonts w:ascii="Times New Roman" w:hAnsi="Times New Roman" w:cs="Times New Roman"/>
          <w:sz w:val="24"/>
          <w:szCs w:val="24"/>
          <w:lang w:val="en-US"/>
        </w:rPr>
        <w:t>,</w:t>
      </w:r>
      <w:r w:rsidR="00D03E8E" w:rsidRPr="00FC6034">
        <w:rPr>
          <w:rFonts w:ascii="Times New Roman" w:hAnsi="Times New Roman" w:cs="Times New Roman"/>
          <w:sz w:val="24"/>
          <w:szCs w:val="24"/>
          <w:lang w:val="en-US"/>
        </w:rPr>
        <w:t xml:space="preserve"> </w:t>
      </w:r>
      <w:r w:rsidR="00D214F2" w:rsidRPr="00FC6034">
        <w:rPr>
          <w:rFonts w:ascii="Times New Roman" w:hAnsi="Times New Roman" w:cs="Times New Roman"/>
          <w:sz w:val="24"/>
          <w:szCs w:val="24"/>
          <w:lang w:val="en-US"/>
        </w:rPr>
        <w:t>principles have</w:t>
      </w:r>
      <w:r w:rsidR="00D03E8E" w:rsidRPr="00FC6034">
        <w:rPr>
          <w:rFonts w:ascii="Times New Roman" w:hAnsi="Times New Roman" w:cs="Times New Roman"/>
          <w:sz w:val="24"/>
          <w:szCs w:val="24"/>
          <w:lang w:val="en-US"/>
        </w:rPr>
        <w:t xml:space="preserve"> the flexibility to cast a wider net based on risk rather than </w:t>
      </w:r>
      <w:r w:rsidR="00D214F2" w:rsidRPr="00FC6034">
        <w:rPr>
          <w:rFonts w:ascii="Times New Roman" w:hAnsi="Times New Roman" w:cs="Times New Roman"/>
          <w:sz w:val="24"/>
          <w:szCs w:val="24"/>
          <w:lang w:val="en-US"/>
        </w:rPr>
        <w:t>structure.</w:t>
      </w:r>
      <w:r w:rsidR="00CB7186" w:rsidRPr="00FC6034">
        <w:rPr>
          <w:rFonts w:ascii="Times New Roman" w:hAnsi="Times New Roman" w:cs="Times New Roman"/>
          <w:sz w:val="24"/>
          <w:szCs w:val="24"/>
          <w:lang w:val="en-US"/>
        </w:rPr>
        <w:t xml:space="preserve">  The</w:t>
      </w:r>
      <w:r w:rsidR="003F5609" w:rsidRPr="00FC6034">
        <w:rPr>
          <w:rFonts w:ascii="Times New Roman" w:hAnsi="Times New Roman" w:cs="Times New Roman"/>
          <w:sz w:val="24"/>
          <w:szCs w:val="24"/>
          <w:lang w:val="en-US"/>
        </w:rPr>
        <w:t xml:space="preserve"> idea of dividing activit</w:t>
      </w:r>
      <w:r w:rsidR="00094D17" w:rsidRPr="00FC6034">
        <w:rPr>
          <w:rFonts w:ascii="Times New Roman" w:hAnsi="Times New Roman" w:cs="Times New Roman"/>
          <w:sz w:val="24"/>
          <w:szCs w:val="24"/>
          <w:lang w:val="en-US"/>
        </w:rPr>
        <w:t xml:space="preserve">ies by risk rather than function could </w:t>
      </w:r>
      <w:r w:rsidR="00322448" w:rsidRPr="00FC6034">
        <w:rPr>
          <w:rFonts w:ascii="Times New Roman" w:hAnsi="Times New Roman" w:cs="Times New Roman"/>
          <w:sz w:val="24"/>
          <w:szCs w:val="24"/>
          <w:lang w:val="en-US"/>
        </w:rPr>
        <w:t>revolutionize</w:t>
      </w:r>
      <w:r w:rsidR="00094D17" w:rsidRPr="00FC6034">
        <w:rPr>
          <w:rFonts w:ascii="Times New Roman" w:hAnsi="Times New Roman" w:cs="Times New Roman"/>
          <w:sz w:val="24"/>
          <w:szCs w:val="24"/>
          <w:lang w:val="en-US"/>
        </w:rPr>
        <w:t xml:space="preserve"> regulation, permitting stricter rules and self-insurance for high risk products and lighter</w:t>
      </w:r>
      <w:r w:rsidR="00D91371">
        <w:rPr>
          <w:rFonts w:ascii="Times New Roman" w:hAnsi="Times New Roman" w:cs="Times New Roman"/>
          <w:sz w:val="24"/>
          <w:szCs w:val="24"/>
          <w:lang w:val="en-US"/>
        </w:rPr>
        <w:t xml:space="preserve"> treatment for standard banking.</w:t>
      </w:r>
      <w:r w:rsidR="00E85E09">
        <w:rPr>
          <w:rStyle w:val="FootnoteReference"/>
          <w:rFonts w:ascii="Times New Roman" w:hAnsi="Times New Roman" w:cs="Times New Roman"/>
          <w:sz w:val="24"/>
          <w:szCs w:val="24"/>
          <w:lang w:val="en-US"/>
        </w:rPr>
        <w:footnoteReference w:id="104"/>
      </w:r>
    </w:p>
    <w:p w14:paraId="406186C8" w14:textId="5F6E0A35" w:rsidR="00676704" w:rsidRPr="00FC6034" w:rsidRDefault="00322448" w:rsidP="00AE7367">
      <w:pPr>
        <w:pStyle w:val="Heading2"/>
        <w:spacing w:line="360" w:lineRule="auto"/>
      </w:pPr>
      <w:r w:rsidRPr="00FC6034">
        <w:t>Behavioral</w:t>
      </w:r>
      <w:r w:rsidR="008B70A9" w:rsidRPr="00FC6034">
        <w:t xml:space="preserve"> </w:t>
      </w:r>
      <w:r w:rsidR="008B70A9" w:rsidRPr="00EA5774">
        <w:t>assumptions</w:t>
      </w:r>
    </w:p>
    <w:p w14:paraId="27A557E1" w14:textId="253A3C2E" w:rsidR="008B70A9" w:rsidRPr="00FC6034" w:rsidRDefault="00CB7186"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Policy-</w:t>
      </w:r>
      <w:r w:rsidR="00825E8B" w:rsidRPr="00FC6034">
        <w:rPr>
          <w:rFonts w:ascii="Times New Roman" w:hAnsi="Times New Roman" w:cs="Times New Roman"/>
          <w:sz w:val="24"/>
          <w:szCs w:val="24"/>
          <w:lang w:val="en-US"/>
        </w:rPr>
        <w:t xml:space="preserve">makers make assumptions about the way regulation will alter human </w:t>
      </w:r>
      <w:r w:rsidR="00322448" w:rsidRPr="00FC6034">
        <w:rPr>
          <w:rFonts w:ascii="Times New Roman" w:hAnsi="Times New Roman" w:cs="Times New Roman"/>
          <w:sz w:val="24"/>
          <w:szCs w:val="24"/>
          <w:lang w:val="en-US"/>
        </w:rPr>
        <w:t>behavio</w:t>
      </w:r>
      <w:r w:rsidR="001943E4">
        <w:rPr>
          <w:rFonts w:ascii="Times New Roman" w:hAnsi="Times New Roman" w:cs="Times New Roman"/>
          <w:sz w:val="24"/>
          <w:szCs w:val="24"/>
          <w:lang w:val="en-US"/>
        </w:rPr>
        <w:t>u</w:t>
      </w:r>
      <w:r w:rsidR="00322448" w:rsidRPr="00FC6034">
        <w:rPr>
          <w:rFonts w:ascii="Times New Roman" w:hAnsi="Times New Roman" w:cs="Times New Roman"/>
          <w:sz w:val="24"/>
          <w:szCs w:val="24"/>
          <w:lang w:val="en-US"/>
        </w:rPr>
        <w:t>r</w:t>
      </w:r>
      <w:r w:rsidR="00825E8B"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 xml:space="preserve">Behind all of the advantages and disadvantages of different regulatory styles are assumptions about the way market participants will respond.  </w:t>
      </w:r>
      <w:r w:rsidR="00346355">
        <w:rPr>
          <w:rFonts w:ascii="Times New Roman" w:hAnsi="Times New Roman" w:cs="Times New Roman"/>
          <w:sz w:val="24"/>
          <w:szCs w:val="24"/>
          <w:lang w:val="en-US"/>
        </w:rPr>
        <w:t>The literature</w:t>
      </w:r>
      <w:r w:rsidR="00825E8B" w:rsidRPr="00FC6034">
        <w:rPr>
          <w:rFonts w:ascii="Times New Roman" w:hAnsi="Times New Roman" w:cs="Times New Roman"/>
          <w:sz w:val="24"/>
          <w:szCs w:val="24"/>
          <w:lang w:val="en-US"/>
        </w:rPr>
        <w:t xml:space="preserve"> reveals that these</w:t>
      </w:r>
      <w:r w:rsidR="00E90D87" w:rsidRPr="00FC6034">
        <w:rPr>
          <w:rFonts w:ascii="Times New Roman" w:hAnsi="Times New Roman" w:cs="Times New Roman"/>
          <w:sz w:val="24"/>
          <w:szCs w:val="24"/>
          <w:lang w:val="en-US"/>
        </w:rPr>
        <w:t xml:space="preserve"> assumptions</w:t>
      </w:r>
      <w:r w:rsidR="00825E8B" w:rsidRPr="00FC6034">
        <w:rPr>
          <w:rFonts w:ascii="Times New Roman" w:hAnsi="Times New Roman" w:cs="Times New Roman"/>
          <w:sz w:val="24"/>
          <w:szCs w:val="24"/>
          <w:lang w:val="en-US"/>
        </w:rPr>
        <w:t xml:space="preserve"> have been inaccurate at several </w:t>
      </w:r>
      <w:r w:rsidR="00825E8B" w:rsidRPr="00FD3DAB">
        <w:rPr>
          <w:rFonts w:ascii="Times New Roman" w:hAnsi="Times New Roman" w:cs="Times New Roman"/>
          <w:sz w:val="24"/>
          <w:szCs w:val="24"/>
          <w:lang w:val="en-US"/>
        </w:rPr>
        <w:t xml:space="preserve">levels.  </w:t>
      </w:r>
      <w:r w:rsidR="001943E4" w:rsidRPr="00FD3DAB">
        <w:rPr>
          <w:rFonts w:ascii="Times New Roman" w:hAnsi="Times New Roman" w:cs="Times New Roman"/>
          <w:sz w:val="24"/>
          <w:szCs w:val="24"/>
          <w:lang w:val="en-US"/>
        </w:rPr>
        <w:t>The incentives behind</w:t>
      </w:r>
      <w:r w:rsidRPr="00FD3DAB">
        <w:rPr>
          <w:rFonts w:ascii="Times New Roman" w:hAnsi="Times New Roman" w:cs="Times New Roman"/>
          <w:sz w:val="24"/>
          <w:szCs w:val="24"/>
          <w:lang w:val="en-US"/>
        </w:rPr>
        <w:t xml:space="preserve"> both individual and </w:t>
      </w:r>
      <w:r w:rsidR="001943E4" w:rsidRPr="00FD3DAB">
        <w:rPr>
          <w:rFonts w:ascii="Times New Roman" w:hAnsi="Times New Roman" w:cs="Times New Roman"/>
          <w:sz w:val="24"/>
          <w:szCs w:val="24"/>
          <w:lang w:val="en-US"/>
        </w:rPr>
        <w:t>organis</w:t>
      </w:r>
      <w:r w:rsidR="00322448" w:rsidRPr="00FD3DAB">
        <w:rPr>
          <w:rFonts w:ascii="Times New Roman" w:hAnsi="Times New Roman" w:cs="Times New Roman"/>
          <w:sz w:val="24"/>
          <w:szCs w:val="24"/>
          <w:lang w:val="en-US"/>
        </w:rPr>
        <w:t>ational</w:t>
      </w:r>
      <w:r w:rsidRPr="00FD3DAB">
        <w:rPr>
          <w:rFonts w:ascii="Times New Roman" w:hAnsi="Times New Roman" w:cs="Times New Roman"/>
          <w:sz w:val="24"/>
          <w:szCs w:val="24"/>
          <w:lang w:val="en-US"/>
        </w:rPr>
        <w:t xml:space="preserve"> </w:t>
      </w:r>
      <w:r w:rsidR="00322448" w:rsidRPr="00FD3DAB">
        <w:rPr>
          <w:rFonts w:ascii="Times New Roman" w:hAnsi="Times New Roman" w:cs="Times New Roman"/>
          <w:sz w:val="24"/>
          <w:szCs w:val="24"/>
          <w:lang w:val="en-US"/>
        </w:rPr>
        <w:t>behavio</w:t>
      </w:r>
      <w:r w:rsidR="001943E4" w:rsidRPr="00FD3DAB">
        <w:rPr>
          <w:rFonts w:ascii="Times New Roman" w:hAnsi="Times New Roman" w:cs="Times New Roman"/>
          <w:sz w:val="24"/>
          <w:szCs w:val="24"/>
          <w:lang w:val="en-US"/>
        </w:rPr>
        <w:t>u</w:t>
      </w:r>
      <w:r w:rsidR="00322448" w:rsidRPr="00FD3DAB">
        <w:rPr>
          <w:rFonts w:ascii="Times New Roman" w:hAnsi="Times New Roman" w:cs="Times New Roman"/>
          <w:sz w:val="24"/>
          <w:szCs w:val="24"/>
          <w:lang w:val="en-US"/>
        </w:rPr>
        <w:t>r</w:t>
      </w:r>
      <w:r w:rsidRPr="00FD3DAB">
        <w:rPr>
          <w:rFonts w:ascii="Times New Roman" w:hAnsi="Times New Roman" w:cs="Times New Roman"/>
          <w:sz w:val="24"/>
          <w:szCs w:val="24"/>
          <w:lang w:val="en-US"/>
        </w:rPr>
        <w:t xml:space="preserve"> have not been fully explored</w:t>
      </w:r>
      <w:r w:rsidR="00F700B7" w:rsidRPr="00FD3DAB">
        <w:rPr>
          <w:rFonts w:ascii="Times New Roman" w:hAnsi="Times New Roman" w:cs="Times New Roman"/>
          <w:sz w:val="24"/>
          <w:szCs w:val="24"/>
          <w:lang w:val="en-US"/>
        </w:rPr>
        <w:t xml:space="preserve"> and yet</w:t>
      </w:r>
      <w:r w:rsidR="001943E4" w:rsidRPr="00FD3DAB">
        <w:rPr>
          <w:rFonts w:ascii="Times New Roman" w:hAnsi="Times New Roman" w:cs="Times New Roman"/>
          <w:sz w:val="24"/>
          <w:szCs w:val="24"/>
          <w:lang w:val="en-US"/>
        </w:rPr>
        <w:t xml:space="preserve"> understanding</w:t>
      </w:r>
      <w:r w:rsidR="001943E4">
        <w:rPr>
          <w:rFonts w:ascii="Times New Roman" w:hAnsi="Times New Roman" w:cs="Times New Roman"/>
          <w:sz w:val="24"/>
          <w:szCs w:val="24"/>
          <w:lang w:val="en-US"/>
        </w:rPr>
        <w:t xml:space="preserve"> these motivations</w:t>
      </w:r>
      <w:r w:rsidR="00F700B7" w:rsidRPr="00FC6034">
        <w:rPr>
          <w:rFonts w:ascii="Times New Roman" w:hAnsi="Times New Roman" w:cs="Times New Roman"/>
          <w:sz w:val="24"/>
          <w:szCs w:val="24"/>
          <w:lang w:val="en-US"/>
        </w:rPr>
        <w:t xml:space="preserve"> is vital for effective regulation.  </w:t>
      </w:r>
    </w:p>
    <w:p w14:paraId="78B2688F" w14:textId="30F40B90" w:rsidR="001A3A59" w:rsidRPr="00D91371" w:rsidRDefault="00825E8B" w:rsidP="00AE7367">
      <w:pPr>
        <w:pStyle w:val="Heading3"/>
        <w:spacing w:line="360" w:lineRule="auto"/>
      </w:pPr>
      <w:r w:rsidRPr="00D91371">
        <w:t xml:space="preserve">Regulator </w:t>
      </w:r>
      <w:r w:rsidR="00322448" w:rsidRPr="00D91371">
        <w:t>behavior</w:t>
      </w:r>
    </w:p>
    <w:p w14:paraId="0F2115AB" w14:textId="17F0C16C" w:rsidR="00C7028B" w:rsidRPr="00FC6034" w:rsidRDefault="00C7028B" w:rsidP="00AE7367">
      <w:pPr>
        <w:spacing w:line="360" w:lineRule="auto"/>
        <w:jc w:val="both"/>
        <w:rPr>
          <w:rFonts w:ascii="Times New Roman" w:hAnsi="Times New Roman" w:cs="Times New Roman"/>
          <w:b/>
          <w:i/>
          <w:sz w:val="24"/>
          <w:szCs w:val="24"/>
          <w:lang w:val="en-US"/>
        </w:rPr>
      </w:pPr>
      <w:r w:rsidRPr="00FC6034">
        <w:rPr>
          <w:rFonts w:ascii="Times New Roman" w:hAnsi="Times New Roman" w:cs="Times New Roman"/>
          <w:sz w:val="24"/>
          <w:szCs w:val="24"/>
          <w:lang w:val="en-US"/>
        </w:rPr>
        <w:t xml:space="preserve">Ford argues that although principles-based regulation failed to prevent the financial crisis this was not a failure of the regulation itself but of its implementation.  MacNeil also makes this point suggesting that an important distinction needs to be made </w:t>
      </w:r>
      <w:r w:rsidR="00D84BA9">
        <w:rPr>
          <w:rFonts w:ascii="Times New Roman" w:hAnsi="Times New Roman" w:cs="Times New Roman"/>
          <w:sz w:val="24"/>
          <w:szCs w:val="24"/>
          <w:lang w:val="en-US"/>
        </w:rPr>
        <w:t>“</w:t>
      </w:r>
      <w:r w:rsidRPr="00FC6034">
        <w:rPr>
          <w:rFonts w:ascii="Times New Roman" w:hAnsi="Times New Roman" w:cs="Times New Roman"/>
          <w:sz w:val="24"/>
          <w:szCs w:val="24"/>
          <w:lang w:val="en-US"/>
        </w:rPr>
        <w:t>between formal grant of powers</w:t>
      </w:r>
      <w:r w:rsidR="00D84BA9">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to a regulator and </w:t>
      </w:r>
      <w:r w:rsidR="00D84BA9">
        <w:rPr>
          <w:rFonts w:ascii="Times New Roman" w:hAnsi="Times New Roman" w:cs="Times New Roman"/>
          <w:sz w:val="24"/>
          <w:szCs w:val="24"/>
          <w:lang w:val="en-US"/>
        </w:rPr>
        <w:t>“</w:t>
      </w:r>
      <w:r w:rsidRPr="00FC6034">
        <w:rPr>
          <w:rFonts w:ascii="Times New Roman" w:hAnsi="Times New Roman" w:cs="Times New Roman"/>
          <w:sz w:val="24"/>
          <w:szCs w:val="24"/>
          <w:lang w:val="en-US"/>
        </w:rPr>
        <w:t>the capacity or willingness to use them</w:t>
      </w:r>
      <w:r w:rsidR="00D84BA9">
        <w:rPr>
          <w:rFonts w:ascii="Times New Roman" w:hAnsi="Times New Roman" w:cs="Times New Roman"/>
          <w:sz w:val="24"/>
          <w:szCs w:val="24"/>
          <w:lang w:val="en-US"/>
        </w:rPr>
        <w:t>”</w:t>
      </w:r>
      <w:r w:rsidR="00D05E10">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05"/>
      </w:r>
      <w:r w:rsidRPr="00FC6034">
        <w:rPr>
          <w:rFonts w:ascii="Times New Roman" w:hAnsi="Times New Roman" w:cs="Times New Roman"/>
          <w:sz w:val="24"/>
          <w:szCs w:val="24"/>
          <w:lang w:val="en-US"/>
        </w:rPr>
        <w:t xml:space="preserve">  If principles-based regulation is to be effective it requires considerable regulatory capacity and resources which were lacking in many jurisdictions pre-financial crisis</w:t>
      </w:r>
      <w:r w:rsidR="00D91371">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06"/>
      </w:r>
      <w:r w:rsidRPr="00FC6034">
        <w:rPr>
          <w:rFonts w:ascii="Times New Roman" w:hAnsi="Times New Roman" w:cs="Times New Roman"/>
          <w:sz w:val="24"/>
          <w:szCs w:val="24"/>
          <w:lang w:val="en-US"/>
        </w:rPr>
        <w:t xml:space="preserve">  Awrey also raises this point noting that an obvious policy response to the complexity of financial regulation is to enhance the resources and expertise of the </w:t>
      </w:r>
      <w:r w:rsidRPr="008D44AD">
        <w:rPr>
          <w:rFonts w:ascii="Times New Roman" w:hAnsi="Times New Roman" w:cs="Times New Roman"/>
          <w:sz w:val="24"/>
          <w:szCs w:val="24"/>
          <w:lang w:val="en-US"/>
        </w:rPr>
        <w:t>regulators</w:t>
      </w:r>
      <w:r w:rsidR="001943E4" w:rsidRPr="008D44AD">
        <w:rPr>
          <w:rFonts w:ascii="Times New Roman" w:hAnsi="Times New Roman" w:cs="Times New Roman"/>
          <w:sz w:val="24"/>
          <w:szCs w:val="24"/>
          <w:lang w:val="en-US"/>
        </w:rPr>
        <w:t>,</w:t>
      </w:r>
      <w:r w:rsidR="00F700B7" w:rsidRPr="008D44AD">
        <w:rPr>
          <w:rFonts w:ascii="Times New Roman" w:hAnsi="Times New Roman" w:cs="Times New Roman"/>
          <w:sz w:val="24"/>
          <w:szCs w:val="24"/>
          <w:lang w:val="en-US"/>
        </w:rPr>
        <w:t xml:space="preserve"> yet </w:t>
      </w:r>
      <w:r w:rsidRPr="008D44AD">
        <w:rPr>
          <w:rFonts w:ascii="Times New Roman" w:hAnsi="Times New Roman" w:cs="Times New Roman"/>
          <w:sz w:val="24"/>
          <w:szCs w:val="24"/>
          <w:lang w:val="en-US"/>
        </w:rPr>
        <w:t xml:space="preserve">budgets continue to be squeezed rather than </w:t>
      </w:r>
      <w:r w:rsidRPr="008D44AD">
        <w:rPr>
          <w:rFonts w:ascii="Times New Roman" w:hAnsi="Times New Roman" w:cs="Times New Roman"/>
          <w:sz w:val="24"/>
          <w:szCs w:val="24"/>
          <w:lang w:val="en-US"/>
        </w:rPr>
        <w:lastRenderedPageBreak/>
        <w:t>expanded</w:t>
      </w:r>
      <w:r w:rsidR="00D05E10" w:rsidRPr="008D44AD">
        <w:rPr>
          <w:rFonts w:ascii="Times New Roman" w:hAnsi="Times New Roman" w:cs="Times New Roman"/>
          <w:sz w:val="24"/>
          <w:szCs w:val="24"/>
          <w:lang w:val="en-US"/>
        </w:rPr>
        <w:t>.</w:t>
      </w:r>
      <w:r w:rsidR="00E85E09" w:rsidRPr="008D44AD">
        <w:rPr>
          <w:rStyle w:val="FootnoteReference"/>
          <w:rFonts w:ascii="Times New Roman" w:hAnsi="Times New Roman" w:cs="Times New Roman"/>
          <w:sz w:val="24"/>
          <w:szCs w:val="24"/>
          <w:lang w:val="en-US"/>
        </w:rPr>
        <w:footnoteReference w:id="107"/>
      </w:r>
      <w:r w:rsidR="00B339A9" w:rsidRPr="008D44AD">
        <w:rPr>
          <w:rFonts w:ascii="Times New Roman" w:hAnsi="Times New Roman" w:cs="Times New Roman"/>
          <w:sz w:val="24"/>
          <w:szCs w:val="24"/>
          <w:lang w:val="en-US"/>
        </w:rPr>
        <w:t xml:space="preserve">  Kennedy’s paper discussing</w:t>
      </w:r>
      <w:r w:rsidR="00B339A9" w:rsidRPr="00FC6034">
        <w:rPr>
          <w:rFonts w:ascii="Times New Roman" w:hAnsi="Times New Roman" w:cs="Times New Roman"/>
          <w:sz w:val="24"/>
          <w:szCs w:val="24"/>
          <w:lang w:val="en-US"/>
        </w:rPr>
        <w:t xml:space="preserve"> the new Consumer Financial Protection Bureau</w:t>
      </w:r>
      <w:r w:rsidR="006A731F" w:rsidRPr="00FC6034">
        <w:rPr>
          <w:rFonts w:ascii="Times New Roman" w:hAnsi="Times New Roman" w:cs="Times New Roman"/>
          <w:sz w:val="24"/>
          <w:szCs w:val="24"/>
          <w:lang w:val="en-US"/>
        </w:rPr>
        <w:t xml:space="preserve"> (CFPB)</w:t>
      </w:r>
      <w:r w:rsidR="00B339A9" w:rsidRPr="00FC6034">
        <w:rPr>
          <w:rFonts w:ascii="Times New Roman" w:hAnsi="Times New Roman" w:cs="Times New Roman"/>
          <w:sz w:val="24"/>
          <w:szCs w:val="24"/>
          <w:lang w:val="en-US"/>
        </w:rPr>
        <w:t xml:space="preserve"> in the United States is one of the more positive stories.  </w:t>
      </w:r>
      <w:r w:rsidR="006A731F" w:rsidRPr="00FC6034">
        <w:rPr>
          <w:rFonts w:ascii="Times New Roman" w:hAnsi="Times New Roman" w:cs="Times New Roman"/>
          <w:sz w:val="24"/>
          <w:szCs w:val="24"/>
          <w:lang w:val="en-US"/>
        </w:rPr>
        <w:t>He describes how the CFPB has hired experts to study particu</w:t>
      </w:r>
      <w:r w:rsidR="00D05E10">
        <w:rPr>
          <w:rFonts w:ascii="Times New Roman" w:hAnsi="Times New Roman" w:cs="Times New Roman"/>
          <w:sz w:val="24"/>
          <w:szCs w:val="24"/>
          <w:lang w:val="en-US"/>
        </w:rPr>
        <w:t xml:space="preserve">lar consumer financial markets </w:t>
      </w:r>
      <w:r w:rsidR="006A731F" w:rsidRPr="00FC6034">
        <w:rPr>
          <w:rFonts w:ascii="Times New Roman" w:hAnsi="Times New Roman" w:cs="Times New Roman"/>
          <w:sz w:val="24"/>
          <w:szCs w:val="24"/>
          <w:lang w:val="en-US"/>
        </w:rPr>
        <w:t xml:space="preserve">and has increased opportunities for </w:t>
      </w:r>
      <w:r w:rsidR="006A731F" w:rsidRPr="00FD3DAB">
        <w:rPr>
          <w:rFonts w:ascii="Times New Roman" w:hAnsi="Times New Roman" w:cs="Times New Roman"/>
          <w:sz w:val="24"/>
          <w:szCs w:val="24"/>
          <w:lang w:val="en-US"/>
        </w:rPr>
        <w:t>public input and transparency</w:t>
      </w:r>
      <w:r w:rsidR="00D05E10" w:rsidRPr="00FD3DAB">
        <w:rPr>
          <w:rFonts w:ascii="Times New Roman" w:hAnsi="Times New Roman" w:cs="Times New Roman"/>
          <w:sz w:val="24"/>
          <w:szCs w:val="24"/>
          <w:lang w:val="en-US"/>
        </w:rPr>
        <w:t>.</w:t>
      </w:r>
      <w:r w:rsidR="00E85E09" w:rsidRPr="00FD3DAB">
        <w:rPr>
          <w:rStyle w:val="FootnoteReference"/>
          <w:rFonts w:ascii="Times New Roman" w:hAnsi="Times New Roman" w:cs="Times New Roman"/>
          <w:sz w:val="24"/>
          <w:szCs w:val="24"/>
          <w:lang w:val="en-US"/>
        </w:rPr>
        <w:footnoteReference w:id="108"/>
      </w:r>
      <w:r w:rsidR="008D4D49" w:rsidRPr="00FD3DAB">
        <w:rPr>
          <w:rFonts w:ascii="Times New Roman" w:hAnsi="Times New Roman" w:cs="Times New Roman"/>
          <w:sz w:val="24"/>
          <w:szCs w:val="24"/>
          <w:lang w:val="en-US"/>
        </w:rPr>
        <w:t xml:space="preserve"> </w:t>
      </w:r>
      <w:r w:rsidR="00F700B7" w:rsidRPr="00FD3DAB">
        <w:rPr>
          <w:rFonts w:ascii="Times New Roman" w:hAnsi="Times New Roman" w:cs="Times New Roman"/>
          <w:sz w:val="24"/>
          <w:szCs w:val="24"/>
          <w:lang w:val="en-US"/>
        </w:rPr>
        <w:t xml:space="preserve"> </w:t>
      </w:r>
      <w:r w:rsidR="008D4D49" w:rsidRPr="00FD3DAB">
        <w:rPr>
          <w:rFonts w:ascii="Times New Roman" w:hAnsi="Times New Roman" w:cs="Times New Roman"/>
          <w:sz w:val="24"/>
          <w:szCs w:val="24"/>
          <w:lang w:val="en-US"/>
        </w:rPr>
        <w:t xml:space="preserve">Liou also comes up with some positive ideas, pointing out that new communication and information technologies can improve interaction between </w:t>
      </w:r>
      <w:r w:rsidR="0041604A" w:rsidRPr="00FD3DAB">
        <w:rPr>
          <w:rFonts w:ascii="Times New Roman" w:hAnsi="Times New Roman" w:cs="Times New Roman"/>
          <w:sz w:val="24"/>
          <w:szCs w:val="24"/>
          <w:lang w:val="en-US"/>
        </w:rPr>
        <w:t>regulators and firms</w:t>
      </w:r>
      <w:r w:rsidR="00C14DCE" w:rsidRPr="00FD3DAB">
        <w:rPr>
          <w:rFonts w:ascii="Times New Roman" w:hAnsi="Times New Roman" w:cs="Times New Roman"/>
          <w:sz w:val="24"/>
          <w:szCs w:val="24"/>
          <w:lang w:val="en-US"/>
        </w:rPr>
        <w:t xml:space="preserve"> thereby</w:t>
      </w:r>
      <w:r w:rsidR="008D4D49" w:rsidRPr="00FD3DAB">
        <w:rPr>
          <w:rFonts w:ascii="Times New Roman" w:hAnsi="Times New Roman" w:cs="Times New Roman"/>
          <w:sz w:val="24"/>
          <w:szCs w:val="24"/>
          <w:lang w:val="en-US"/>
        </w:rPr>
        <w:t xml:space="preserve"> </w:t>
      </w:r>
      <w:r w:rsidR="0041604A" w:rsidRPr="00FD3DAB">
        <w:rPr>
          <w:rFonts w:ascii="Times New Roman" w:hAnsi="Times New Roman" w:cs="Times New Roman"/>
          <w:sz w:val="24"/>
          <w:szCs w:val="24"/>
          <w:lang w:val="en-US"/>
        </w:rPr>
        <w:t>enhancing</w:t>
      </w:r>
      <w:r w:rsidR="008D4D49" w:rsidRPr="00FD3DAB">
        <w:rPr>
          <w:rFonts w:ascii="Times New Roman" w:hAnsi="Times New Roman" w:cs="Times New Roman"/>
          <w:sz w:val="24"/>
          <w:szCs w:val="24"/>
          <w:lang w:val="en-US"/>
        </w:rPr>
        <w:t xml:space="preserve"> transparency</w:t>
      </w:r>
      <w:r w:rsidR="003E5E88" w:rsidRPr="00FD3DAB">
        <w:rPr>
          <w:rFonts w:ascii="Times New Roman" w:hAnsi="Times New Roman" w:cs="Times New Roman"/>
          <w:sz w:val="24"/>
          <w:szCs w:val="24"/>
          <w:lang w:val="en-US"/>
        </w:rPr>
        <w:t>.</w:t>
      </w:r>
      <w:r w:rsidR="00D91371" w:rsidRPr="00FD3DAB">
        <w:rPr>
          <w:rStyle w:val="FootnoteReference"/>
          <w:rFonts w:ascii="Times New Roman" w:hAnsi="Times New Roman" w:cs="Times New Roman"/>
          <w:sz w:val="24"/>
          <w:szCs w:val="24"/>
          <w:lang w:val="en-US"/>
        </w:rPr>
        <w:footnoteReference w:id="109"/>
      </w:r>
      <w:r w:rsidR="00D05E10">
        <w:rPr>
          <w:rFonts w:ascii="Times New Roman" w:hAnsi="Times New Roman" w:cs="Times New Roman"/>
          <w:sz w:val="24"/>
          <w:szCs w:val="24"/>
          <w:lang w:val="en-US"/>
        </w:rPr>
        <w:t xml:space="preserve">  </w:t>
      </w:r>
    </w:p>
    <w:p w14:paraId="4962F23F" w14:textId="636DA54C" w:rsidR="001A3A59" w:rsidRPr="00FC6034" w:rsidRDefault="001A3A59" w:rsidP="00AE7367">
      <w:pPr>
        <w:pStyle w:val="Heading3"/>
        <w:spacing w:line="360" w:lineRule="auto"/>
      </w:pPr>
      <w:r w:rsidRPr="00FC6034">
        <w:t xml:space="preserve">Market </w:t>
      </w:r>
      <w:r w:rsidR="00322448" w:rsidRPr="00FC6034">
        <w:t>behavior</w:t>
      </w:r>
    </w:p>
    <w:p w14:paraId="587718C2" w14:textId="17D61053" w:rsidR="0041604A" w:rsidRPr="00FC6034" w:rsidRDefault="0041604A"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A recurring theme in the literature has been the flaws in</w:t>
      </w:r>
      <w:r w:rsidR="009D2E49" w:rsidRPr="00FC6034">
        <w:rPr>
          <w:rFonts w:ascii="Times New Roman" w:hAnsi="Times New Roman" w:cs="Times New Roman"/>
          <w:sz w:val="24"/>
          <w:szCs w:val="24"/>
          <w:lang w:val="en-US"/>
        </w:rPr>
        <w:t xml:space="preserve"> the</w:t>
      </w:r>
      <w:r w:rsidRPr="00FC6034">
        <w:rPr>
          <w:rFonts w:ascii="Times New Roman" w:hAnsi="Times New Roman" w:cs="Times New Roman"/>
          <w:sz w:val="24"/>
          <w:szCs w:val="24"/>
          <w:lang w:val="en-US"/>
        </w:rPr>
        <w:t xml:space="preserve"> </w:t>
      </w:r>
      <w:r w:rsidR="009D2E49" w:rsidRPr="00FC6034">
        <w:rPr>
          <w:rFonts w:ascii="Times New Roman" w:hAnsi="Times New Roman" w:cs="Times New Roman"/>
          <w:sz w:val="24"/>
          <w:szCs w:val="24"/>
          <w:lang w:val="en-US"/>
        </w:rPr>
        <w:t>assumptions surrounding</w:t>
      </w:r>
      <w:r w:rsidRPr="00FC6034">
        <w:rPr>
          <w:rFonts w:ascii="Times New Roman" w:hAnsi="Times New Roman" w:cs="Times New Roman"/>
          <w:sz w:val="24"/>
          <w:szCs w:val="24"/>
          <w:lang w:val="en-US"/>
        </w:rPr>
        <w:t xml:space="preserve"> market enforcement.  These assumptions, particularly the rational market actor hypothesis, have had a profound influence on how we regulate fin</w:t>
      </w:r>
      <w:r w:rsidR="00D91371">
        <w:rPr>
          <w:rFonts w:ascii="Times New Roman" w:hAnsi="Times New Roman" w:cs="Times New Roman"/>
          <w:sz w:val="24"/>
          <w:szCs w:val="24"/>
          <w:lang w:val="en-US"/>
        </w:rPr>
        <w:t>ancial markets and institutions.</w:t>
      </w:r>
      <w:r w:rsidR="00E85E09">
        <w:rPr>
          <w:rStyle w:val="FootnoteReference"/>
          <w:rFonts w:ascii="Times New Roman" w:hAnsi="Times New Roman" w:cs="Times New Roman"/>
          <w:sz w:val="24"/>
          <w:szCs w:val="24"/>
          <w:lang w:val="en-US"/>
        </w:rPr>
        <w:footnoteReference w:id="110"/>
      </w:r>
      <w:r w:rsidRPr="00FC6034">
        <w:rPr>
          <w:rFonts w:ascii="Times New Roman" w:hAnsi="Times New Roman" w:cs="Times New Roman"/>
          <w:sz w:val="24"/>
          <w:szCs w:val="24"/>
          <w:lang w:val="en-US"/>
        </w:rPr>
        <w:t xml:space="preserve">  The financial crisis has shattered belief in this paradigm</w:t>
      </w:r>
      <w:r w:rsidR="00D91371">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11"/>
      </w:r>
      <w:r w:rsidRPr="00FC6034">
        <w:rPr>
          <w:rFonts w:ascii="Times New Roman" w:hAnsi="Times New Roman" w:cs="Times New Roman"/>
          <w:sz w:val="24"/>
          <w:szCs w:val="24"/>
          <w:lang w:val="en-US"/>
        </w:rPr>
        <w:t xml:space="preserve"> </w:t>
      </w:r>
      <w:r w:rsidR="009C48CF"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Avgouleas discusses</w:t>
      </w:r>
      <w:r w:rsidR="009C48CF" w:rsidRPr="00FC6034">
        <w:rPr>
          <w:rFonts w:ascii="Times New Roman" w:hAnsi="Times New Roman" w:cs="Times New Roman"/>
          <w:sz w:val="24"/>
          <w:szCs w:val="24"/>
          <w:lang w:val="en-US"/>
        </w:rPr>
        <w:t xml:space="preserve"> the</w:t>
      </w:r>
      <w:r w:rsidRPr="00FC6034">
        <w:rPr>
          <w:rFonts w:ascii="Times New Roman" w:hAnsi="Times New Roman" w:cs="Times New Roman"/>
          <w:sz w:val="24"/>
          <w:szCs w:val="24"/>
          <w:lang w:val="en-US"/>
        </w:rPr>
        <w:t xml:space="preserve"> </w:t>
      </w:r>
      <w:r w:rsidR="00B970F4">
        <w:rPr>
          <w:rFonts w:ascii="Times New Roman" w:hAnsi="Times New Roman" w:cs="Times New Roman"/>
          <w:sz w:val="24"/>
          <w:szCs w:val="24"/>
          <w:lang w:val="en-US"/>
        </w:rPr>
        <w:t>“</w:t>
      </w:r>
      <w:r w:rsidRPr="00FC6034">
        <w:rPr>
          <w:rFonts w:ascii="Times New Roman" w:hAnsi="Times New Roman" w:cs="Times New Roman"/>
          <w:sz w:val="24"/>
          <w:szCs w:val="24"/>
          <w:lang w:val="en-US"/>
        </w:rPr>
        <w:t>misguided reliance on the persuasive power of market discipline</w:t>
      </w:r>
      <w:r w:rsidR="00B970F4">
        <w:rPr>
          <w:rFonts w:ascii="Times New Roman" w:hAnsi="Times New Roman" w:cs="Times New Roman"/>
          <w:sz w:val="24"/>
          <w:szCs w:val="24"/>
          <w:lang w:val="en-US"/>
        </w:rPr>
        <w:t>”</w:t>
      </w:r>
      <w:r w:rsidRPr="00FC6034">
        <w:rPr>
          <w:rFonts w:ascii="Times New Roman" w:hAnsi="Times New Roman" w:cs="Times New Roman"/>
          <w:sz w:val="24"/>
          <w:szCs w:val="24"/>
          <w:lang w:val="en-US"/>
        </w:rPr>
        <w:t xml:space="preserve"> focusing on the fact that market actors do not behave in accorda</w:t>
      </w:r>
      <w:r w:rsidR="00D91371">
        <w:rPr>
          <w:rFonts w:ascii="Times New Roman" w:hAnsi="Times New Roman" w:cs="Times New Roman"/>
          <w:sz w:val="24"/>
          <w:szCs w:val="24"/>
          <w:lang w:val="en-US"/>
        </w:rPr>
        <w:t>nce with rational choice theory.</w:t>
      </w:r>
      <w:r w:rsidR="00E85E09">
        <w:rPr>
          <w:rStyle w:val="FootnoteReference"/>
          <w:rFonts w:ascii="Times New Roman" w:hAnsi="Times New Roman" w:cs="Times New Roman"/>
          <w:sz w:val="24"/>
          <w:szCs w:val="24"/>
          <w:lang w:val="en-US"/>
        </w:rPr>
        <w:footnoteReference w:id="112"/>
      </w:r>
      <w:r w:rsidRPr="00FC6034">
        <w:rPr>
          <w:rFonts w:ascii="Times New Roman" w:hAnsi="Times New Roman" w:cs="Times New Roman"/>
          <w:sz w:val="24"/>
          <w:szCs w:val="24"/>
          <w:lang w:val="en-US"/>
        </w:rPr>
        <w:t xml:space="preserve">  He draws on the work of </w:t>
      </w:r>
      <w:r w:rsidR="00322448" w:rsidRPr="00FC6034">
        <w:rPr>
          <w:rFonts w:ascii="Times New Roman" w:hAnsi="Times New Roman" w:cs="Times New Roman"/>
          <w:sz w:val="24"/>
          <w:szCs w:val="24"/>
          <w:lang w:val="en-US"/>
        </w:rPr>
        <w:t>behavioral</w:t>
      </w:r>
      <w:r w:rsidRPr="00FC6034">
        <w:rPr>
          <w:rFonts w:ascii="Times New Roman" w:hAnsi="Times New Roman" w:cs="Times New Roman"/>
          <w:sz w:val="24"/>
          <w:szCs w:val="24"/>
          <w:lang w:val="en-US"/>
        </w:rPr>
        <w:t xml:space="preserve"> finance scholars to argue that the biggest shortcoming of post-crisis reform is the ongoing lack of attention to non-rational </w:t>
      </w:r>
      <w:r w:rsidR="00322448" w:rsidRPr="00FC6034">
        <w:rPr>
          <w:rFonts w:ascii="Times New Roman" w:hAnsi="Times New Roman" w:cs="Times New Roman"/>
          <w:sz w:val="24"/>
          <w:szCs w:val="24"/>
          <w:lang w:val="en-US"/>
        </w:rPr>
        <w:t>behavior</w:t>
      </w:r>
      <w:r w:rsidR="00D91371">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13"/>
      </w:r>
      <w:r w:rsidRPr="00FC6034">
        <w:rPr>
          <w:rFonts w:ascii="Times New Roman" w:hAnsi="Times New Roman" w:cs="Times New Roman"/>
          <w:sz w:val="24"/>
          <w:szCs w:val="24"/>
          <w:lang w:val="en-US"/>
        </w:rPr>
        <w:t xml:space="preserve">.  </w:t>
      </w:r>
      <w:r w:rsidR="004F48D0" w:rsidRPr="00FC6034">
        <w:rPr>
          <w:rFonts w:ascii="Times New Roman" w:hAnsi="Times New Roman" w:cs="Times New Roman"/>
          <w:sz w:val="24"/>
          <w:szCs w:val="24"/>
          <w:lang w:val="en-US"/>
        </w:rPr>
        <w:t xml:space="preserve">He uses the GFC to draw out three reasons why investors do not always behave rationally: firstly they may fail to fully understand complex products; secondly, they react readily to other market actors’ </w:t>
      </w:r>
      <w:r w:rsidR="00322448" w:rsidRPr="00FC6034">
        <w:rPr>
          <w:rFonts w:ascii="Times New Roman" w:hAnsi="Times New Roman" w:cs="Times New Roman"/>
          <w:sz w:val="24"/>
          <w:szCs w:val="24"/>
          <w:lang w:val="en-US"/>
        </w:rPr>
        <w:t>behavior</w:t>
      </w:r>
      <w:r w:rsidR="004F48D0" w:rsidRPr="00FC6034">
        <w:rPr>
          <w:rFonts w:ascii="Times New Roman" w:hAnsi="Times New Roman" w:cs="Times New Roman"/>
          <w:sz w:val="24"/>
          <w:szCs w:val="24"/>
          <w:lang w:val="en-US"/>
        </w:rPr>
        <w:t xml:space="preserve"> – herding rather than taking rational contrarian positions; and thirdly their </w:t>
      </w:r>
      <w:r w:rsidR="00322448" w:rsidRPr="00FC6034">
        <w:rPr>
          <w:rFonts w:ascii="Times New Roman" w:hAnsi="Times New Roman" w:cs="Times New Roman"/>
          <w:sz w:val="24"/>
          <w:szCs w:val="24"/>
          <w:lang w:val="en-US"/>
        </w:rPr>
        <w:t>behavior</w:t>
      </w:r>
      <w:r w:rsidR="004F48D0" w:rsidRPr="00FC6034">
        <w:rPr>
          <w:rFonts w:ascii="Times New Roman" w:hAnsi="Times New Roman" w:cs="Times New Roman"/>
          <w:sz w:val="24"/>
          <w:szCs w:val="24"/>
          <w:lang w:val="en-US"/>
        </w:rPr>
        <w:t xml:space="preserve"> is influenced by market euphoria</w:t>
      </w:r>
      <w:r w:rsidR="00D91371">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14"/>
      </w:r>
      <w:r w:rsidR="00D91371">
        <w:rPr>
          <w:rFonts w:ascii="Times New Roman" w:hAnsi="Times New Roman" w:cs="Times New Roman"/>
          <w:sz w:val="24"/>
          <w:szCs w:val="24"/>
          <w:lang w:val="en-US"/>
        </w:rPr>
        <w:t xml:space="preserve"> </w:t>
      </w:r>
      <w:r w:rsidR="004F48D0" w:rsidRPr="00FC6034">
        <w:rPr>
          <w:rFonts w:ascii="Times New Roman" w:hAnsi="Times New Roman" w:cs="Times New Roman"/>
          <w:sz w:val="24"/>
          <w:szCs w:val="24"/>
          <w:lang w:val="en-US"/>
        </w:rPr>
        <w:t xml:space="preserve"> </w:t>
      </w:r>
      <w:r w:rsidR="006263BD" w:rsidRPr="00FC6034">
        <w:rPr>
          <w:rFonts w:ascii="Times New Roman" w:hAnsi="Times New Roman" w:cs="Times New Roman"/>
          <w:sz w:val="24"/>
          <w:szCs w:val="24"/>
          <w:lang w:val="en-US"/>
        </w:rPr>
        <w:t>Podolski also refers to managerial myopia (excessive focus on the short-term) and over-confidence</w:t>
      </w:r>
      <w:r w:rsidR="00D91371">
        <w:rPr>
          <w:rFonts w:ascii="Times New Roman" w:hAnsi="Times New Roman" w:cs="Times New Roman"/>
          <w:sz w:val="24"/>
          <w:szCs w:val="24"/>
          <w:lang w:val="en-US"/>
        </w:rPr>
        <w:t>.</w:t>
      </w:r>
      <w:r w:rsidR="00D91371">
        <w:rPr>
          <w:rStyle w:val="FootnoteReference"/>
          <w:rFonts w:ascii="Times New Roman" w:hAnsi="Times New Roman" w:cs="Times New Roman"/>
          <w:sz w:val="24"/>
          <w:szCs w:val="24"/>
          <w:lang w:val="en-US"/>
        </w:rPr>
        <w:footnoteReference w:id="115"/>
      </w:r>
      <w:r w:rsidR="006263BD" w:rsidRPr="00FC6034">
        <w:rPr>
          <w:rFonts w:ascii="Times New Roman" w:hAnsi="Times New Roman" w:cs="Times New Roman"/>
          <w:sz w:val="24"/>
          <w:szCs w:val="24"/>
          <w:lang w:val="en-US"/>
        </w:rPr>
        <w:t xml:space="preserve">  </w:t>
      </w:r>
    </w:p>
    <w:p w14:paraId="1F28C08F" w14:textId="77248D35" w:rsidR="001A3A59" w:rsidRPr="00FC6034" w:rsidRDefault="001A3A59" w:rsidP="00AE7367">
      <w:pPr>
        <w:pStyle w:val="Heading3"/>
        <w:spacing w:line="360" w:lineRule="auto"/>
      </w:pPr>
      <w:r w:rsidRPr="00FC6034">
        <w:lastRenderedPageBreak/>
        <w:t xml:space="preserve">Individual </w:t>
      </w:r>
      <w:r w:rsidR="00322448" w:rsidRPr="00FC6034">
        <w:t>behavior</w:t>
      </w:r>
      <w:r w:rsidRPr="00FC6034">
        <w:t xml:space="preserve"> </w:t>
      </w:r>
    </w:p>
    <w:p w14:paraId="25EA4028" w14:textId="5FE0B14E" w:rsidR="00FA4021" w:rsidRPr="00FC6034" w:rsidRDefault="005B6165" w:rsidP="00AE7367">
      <w:pPr>
        <w:spacing w:line="360" w:lineRule="auto"/>
        <w:jc w:val="both"/>
        <w:rPr>
          <w:rFonts w:ascii="Times New Roman" w:hAnsi="Times New Roman" w:cs="Times New Roman"/>
          <w:b/>
          <w:i/>
          <w:sz w:val="24"/>
          <w:szCs w:val="24"/>
          <w:lang w:val="en-US"/>
        </w:rPr>
      </w:pPr>
      <w:r w:rsidRPr="00FC6034">
        <w:rPr>
          <w:rFonts w:ascii="Times New Roman" w:hAnsi="Times New Roman" w:cs="Times New Roman"/>
          <w:sz w:val="24"/>
          <w:szCs w:val="24"/>
          <w:lang w:val="en-US"/>
        </w:rPr>
        <w:t>The</w:t>
      </w:r>
      <w:r w:rsidR="00D21B7C" w:rsidRPr="00FC6034">
        <w:rPr>
          <w:rFonts w:ascii="Times New Roman" w:hAnsi="Times New Roman" w:cs="Times New Roman"/>
          <w:sz w:val="24"/>
          <w:szCs w:val="24"/>
          <w:lang w:val="en-US"/>
        </w:rPr>
        <w:t xml:space="preserve"> last theme </w:t>
      </w:r>
      <w:r w:rsidR="00322448" w:rsidRPr="00FC6034">
        <w:rPr>
          <w:rFonts w:ascii="Times New Roman" w:hAnsi="Times New Roman" w:cs="Times New Roman"/>
          <w:sz w:val="24"/>
          <w:szCs w:val="24"/>
          <w:lang w:val="en-US"/>
        </w:rPr>
        <w:t>centered</w:t>
      </w:r>
      <w:r w:rsidR="00D21B7C" w:rsidRPr="00FC6034">
        <w:rPr>
          <w:rFonts w:ascii="Times New Roman" w:hAnsi="Times New Roman" w:cs="Times New Roman"/>
          <w:sz w:val="24"/>
          <w:szCs w:val="24"/>
          <w:lang w:val="en-US"/>
        </w:rPr>
        <w:t xml:space="preserve"> on </w:t>
      </w:r>
      <w:r w:rsidR="00322448" w:rsidRPr="00FC6034">
        <w:rPr>
          <w:rFonts w:ascii="Times New Roman" w:hAnsi="Times New Roman" w:cs="Times New Roman"/>
          <w:sz w:val="24"/>
          <w:szCs w:val="24"/>
          <w:lang w:val="en-US"/>
        </w:rPr>
        <w:t>behavior</w:t>
      </w:r>
      <w:r w:rsidR="00D21B7C" w:rsidRPr="00FC6034">
        <w:rPr>
          <w:rFonts w:ascii="Times New Roman" w:hAnsi="Times New Roman" w:cs="Times New Roman"/>
          <w:sz w:val="24"/>
          <w:szCs w:val="24"/>
          <w:lang w:val="en-US"/>
        </w:rPr>
        <w:t xml:space="preserve"> is that of individual greed and irresponsible risk-taking</w:t>
      </w:r>
      <w:r w:rsidR="00D05E10">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16"/>
      </w:r>
      <w:r w:rsidR="00D21B7C" w:rsidRPr="00FC6034">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 xml:space="preserve">Many blame the </w:t>
      </w:r>
      <w:r w:rsidR="00D21B7C" w:rsidRPr="00FC6034">
        <w:rPr>
          <w:rFonts w:ascii="Times New Roman" w:hAnsi="Times New Roman" w:cs="Times New Roman"/>
          <w:sz w:val="24"/>
          <w:szCs w:val="24"/>
          <w:lang w:val="en-US"/>
        </w:rPr>
        <w:t xml:space="preserve">investment bankers </w:t>
      </w:r>
      <w:r w:rsidRPr="00FC6034">
        <w:rPr>
          <w:rFonts w:ascii="Times New Roman" w:hAnsi="Times New Roman" w:cs="Times New Roman"/>
          <w:sz w:val="24"/>
          <w:szCs w:val="24"/>
          <w:lang w:val="en-US"/>
        </w:rPr>
        <w:t xml:space="preserve">for selfishly boosting their bonuses at the expense of firm stability.  However, home-owners in the United States have also been </w:t>
      </w:r>
      <w:r w:rsidR="001943E4">
        <w:rPr>
          <w:rFonts w:ascii="Times New Roman" w:hAnsi="Times New Roman" w:cs="Times New Roman"/>
          <w:sz w:val="24"/>
          <w:szCs w:val="24"/>
          <w:lang w:val="en-US"/>
        </w:rPr>
        <w:t>criticis</w:t>
      </w:r>
      <w:r w:rsidR="00322448" w:rsidRPr="00FC6034">
        <w:rPr>
          <w:rFonts w:ascii="Times New Roman" w:hAnsi="Times New Roman" w:cs="Times New Roman"/>
          <w:sz w:val="24"/>
          <w:szCs w:val="24"/>
          <w:lang w:val="en-US"/>
        </w:rPr>
        <w:t>ed</w:t>
      </w:r>
      <w:r w:rsidR="00672004" w:rsidRPr="00FC6034">
        <w:rPr>
          <w:rFonts w:ascii="Times New Roman" w:hAnsi="Times New Roman" w:cs="Times New Roman"/>
          <w:sz w:val="24"/>
          <w:szCs w:val="24"/>
          <w:lang w:val="en-US"/>
        </w:rPr>
        <w:t xml:space="preserve"> for their greed and financial </w:t>
      </w:r>
      <w:r w:rsidR="00A51E91" w:rsidRPr="00FC6034">
        <w:rPr>
          <w:rFonts w:ascii="Times New Roman" w:hAnsi="Times New Roman" w:cs="Times New Roman"/>
          <w:sz w:val="24"/>
          <w:szCs w:val="24"/>
          <w:lang w:val="en-US"/>
        </w:rPr>
        <w:t>naivety</w:t>
      </w:r>
      <w:r w:rsidRPr="00FC6034">
        <w:rPr>
          <w:rFonts w:ascii="Times New Roman" w:hAnsi="Times New Roman" w:cs="Times New Roman"/>
          <w:sz w:val="24"/>
          <w:szCs w:val="24"/>
          <w:lang w:val="en-US"/>
        </w:rPr>
        <w:t xml:space="preserve"> in buying homes that they could not afford</w:t>
      </w:r>
      <w:r w:rsidR="00D05E10">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17"/>
      </w:r>
      <w:r w:rsidRPr="00FC6034">
        <w:rPr>
          <w:rFonts w:ascii="Times New Roman" w:hAnsi="Times New Roman" w:cs="Times New Roman"/>
          <w:sz w:val="24"/>
          <w:szCs w:val="24"/>
          <w:lang w:val="en-US"/>
        </w:rPr>
        <w:t xml:space="preserve">  Regulatory responses to these problems </w:t>
      </w:r>
      <w:r w:rsidRPr="00605E44">
        <w:rPr>
          <w:rFonts w:ascii="Times New Roman" w:hAnsi="Times New Roman" w:cs="Times New Roman"/>
          <w:sz w:val="24"/>
          <w:szCs w:val="24"/>
          <w:lang w:val="en-US"/>
        </w:rPr>
        <w:t xml:space="preserve">include corporate governance reforms as well as consumer protection regimes.  However </w:t>
      </w:r>
      <w:r w:rsidR="00FC559A" w:rsidRPr="00605E44">
        <w:rPr>
          <w:rFonts w:ascii="Times New Roman" w:hAnsi="Times New Roman" w:cs="Times New Roman"/>
          <w:sz w:val="24"/>
          <w:szCs w:val="24"/>
          <w:lang w:val="en-US"/>
        </w:rPr>
        <w:t xml:space="preserve">implementation of these measures can again be seen to be lacking.  Executive remuneration levels </w:t>
      </w:r>
      <w:r w:rsidR="00672004" w:rsidRPr="00605E44">
        <w:rPr>
          <w:rFonts w:ascii="Times New Roman" w:hAnsi="Times New Roman" w:cs="Times New Roman"/>
          <w:sz w:val="24"/>
          <w:szCs w:val="24"/>
          <w:lang w:val="en-US"/>
        </w:rPr>
        <w:t>remain excessive</w:t>
      </w:r>
      <w:r w:rsidR="00FC559A" w:rsidRPr="00605E44">
        <w:rPr>
          <w:rFonts w:ascii="Times New Roman" w:hAnsi="Times New Roman" w:cs="Times New Roman"/>
          <w:sz w:val="24"/>
          <w:szCs w:val="24"/>
          <w:lang w:val="en-US"/>
        </w:rPr>
        <w:t xml:space="preserve"> and </w:t>
      </w:r>
      <w:r w:rsidR="00605E44" w:rsidRPr="00605E44">
        <w:rPr>
          <w:rFonts w:ascii="Times New Roman" w:hAnsi="Times New Roman" w:cs="Times New Roman"/>
          <w:sz w:val="24"/>
          <w:szCs w:val="24"/>
          <w:lang w:val="en-US"/>
        </w:rPr>
        <w:t xml:space="preserve">reports of </w:t>
      </w:r>
      <w:r w:rsidR="00FC559A" w:rsidRPr="00605E44">
        <w:rPr>
          <w:rFonts w:ascii="Times New Roman" w:hAnsi="Times New Roman" w:cs="Times New Roman"/>
          <w:sz w:val="24"/>
          <w:szCs w:val="24"/>
          <w:lang w:val="en-US"/>
        </w:rPr>
        <w:t xml:space="preserve">claw-back mechanisms </w:t>
      </w:r>
      <w:r w:rsidR="00605E44" w:rsidRPr="00605E44">
        <w:rPr>
          <w:rFonts w:ascii="Times New Roman" w:hAnsi="Times New Roman" w:cs="Times New Roman"/>
          <w:sz w:val="24"/>
          <w:szCs w:val="24"/>
          <w:lang w:val="en-US"/>
        </w:rPr>
        <w:t>actually being</w:t>
      </w:r>
      <w:r w:rsidR="00FC559A" w:rsidRPr="00605E44">
        <w:rPr>
          <w:rFonts w:ascii="Times New Roman" w:hAnsi="Times New Roman" w:cs="Times New Roman"/>
          <w:sz w:val="24"/>
          <w:szCs w:val="24"/>
          <w:lang w:val="en-US"/>
        </w:rPr>
        <w:t xml:space="preserve"> used</w:t>
      </w:r>
      <w:r w:rsidR="00605E44" w:rsidRPr="00605E44">
        <w:rPr>
          <w:rFonts w:ascii="Times New Roman" w:hAnsi="Times New Roman" w:cs="Times New Roman"/>
          <w:sz w:val="24"/>
          <w:szCs w:val="24"/>
          <w:lang w:val="en-US"/>
        </w:rPr>
        <w:t xml:space="preserve"> are hard to find</w:t>
      </w:r>
      <w:r w:rsidR="00FC559A" w:rsidRPr="00605E44">
        <w:rPr>
          <w:rFonts w:ascii="Times New Roman" w:hAnsi="Times New Roman" w:cs="Times New Roman"/>
          <w:sz w:val="24"/>
          <w:szCs w:val="24"/>
          <w:lang w:val="en-US"/>
        </w:rPr>
        <w:t>.</w:t>
      </w:r>
      <w:r w:rsidR="00605E44" w:rsidRPr="00605E44">
        <w:rPr>
          <w:rStyle w:val="FootnoteReference"/>
          <w:rFonts w:ascii="Times New Roman" w:hAnsi="Times New Roman" w:cs="Times New Roman"/>
          <w:sz w:val="24"/>
          <w:szCs w:val="24"/>
          <w:lang w:val="en-US"/>
        </w:rPr>
        <w:footnoteReference w:id="118"/>
      </w:r>
      <w:r w:rsidR="00672004" w:rsidRPr="00FC6034">
        <w:rPr>
          <w:rFonts w:ascii="Times New Roman" w:hAnsi="Times New Roman" w:cs="Times New Roman"/>
          <w:sz w:val="24"/>
          <w:szCs w:val="24"/>
          <w:lang w:val="en-US"/>
        </w:rPr>
        <w:t xml:space="preserve">  Indeed, </w:t>
      </w:r>
      <w:r w:rsidR="005A517F" w:rsidRPr="00FC6034">
        <w:rPr>
          <w:rFonts w:ascii="Times New Roman" w:hAnsi="Times New Roman" w:cs="Times New Roman"/>
          <w:sz w:val="24"/>
          <w:szCs w:val="24"/>
          <w:lang w:val="en-US"/>
        </w:rPr>
        <w:t xml:space="preserve">for the most part </w:t>
      </w:r>
      <w:r w:rsidR="00672004" w:rsidRPr="00FC6034">
        <w:rPr>
          <w:rFonts w:ascii="Times New Roman" w:hAnsi="Times New Roman" w:cs="Times New Roman"/>
          <w:sz w:val="24"/>
          <w:szCs w:val="24"/>
          <w:lang w:val="en-US"/>
        </w:rPr>
        <w:t xml:space="preserve">financial sector </w:t>
      </w:r>
      <w:r w:rsidR="00322448" w:rsidRPr="00FC6034">
        <w:rPr>
          <w:rFonts w:ascii="Times New Roman" w:hAnsi="Times New Roman" w:cs="Times New Roman"/>
          <w:sz w:val="24"/>
          <w:szCs w:val="24"/>
          <w:lang w:val="en-US"/>
        </w:rPr>
        <w:t>behavior</w:t>
      </w:r>
      <w:r w:rsidR="00D91371">
        <w:rPr>
          <w:rFonts w:ascii="Times New Roman" w:hAnsi="Times New Roman" w:cs="Times New Roman"/>
          <w:sz w:val="24"/>
          <w:szCs w:val="24"/>
          <w:lang w:val="en-US"/>
        </w:rPr>
        <w:t xml:space="preserve"> across the globe</w:t>
      </w:r>
      <w:r w:rsidR="00672004" w:rsidRPr="00FC6034">
        <w:rPr>
          <w:rFonts w:ascii="Times New Roman" w:hAnsi="Times New Roman" w:cs="Times New Roman"/>
          <w:sz w:val="24"/>
          <w:szCs w:val="24"/>
          <w:lang w:val="en-US"/>
        </w:rPr>
        <w:t xml:space="preserve"> appears largely uncha</w:t>
      </w:r>
      <w:r w:rsidR="00D05E10">
        <w:rPr>
          <w:rFonts w:ascii="Times New Roman" w:hAnsi="Times New Roman" w:cs="Times New Roman"/>
          <w:sz w:val="24"/>
          <w:szCs w:val="24"/>
          <w:lang w:val="en-US"/>
        </w:rPr>
        <w:t>nged.</w:t>
      </w:r>
      <w:r w:rsidR="00E85E09">
        <w:rPr>
          <w:rStyle w:val="FootnoteReference"/>
          <w:rFonts w:ascii="Times New Roman" w:hAnsi="Times New Roman" w:cs="Times New Roman"/>
          <w:sz w:val="24"/>
          <w:szCs w:val="24"/>
          <w:lang w:val="en-US"/>
        </w:rPr>
        <w:footnoteReference w:id="119"/>
      </w:r>
      <w:r w:rsidR="00672004" w:rsidRPr="00FC6034">
        <w:rPr>
          <w:rFonts w:ascii="Times New Roman" w:hAnsi="Times New Roman" w:cs="Times New Roman"/>
          <w:sz w:val="24"/>
          <w:szCs w:val="24"/>
          <w:lang w:val="en-US"/>
        </w:rPr>
        <w:t xml:space="preserve">  Nicholson et al provide a helpful explanation of the strong influence of social norms in the finance sector</w:t>
      </w:r>
      <w:r w:rsidR="005A517F" w:rsidRPr="00FC6034">
        <w:rPr>
          <w:rFonts w:ascii="Times New Roman" w:hAnsi="Times New Roman" w:cs="Times New Roman"/>
          <w:sz w:val="24"/>
          <w:szCs w:val="24"/>
          <w:lang w:val="en-US"/>
        </w:rPr>
        <w:t>.  These norms can no longer be ignored and must be studied in conjunction with regulatory reform if it is to be successful</w:t>
      </w:r>
      <w:r w:rsidR="00D05E10">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20"/>
      </w:r>
      <w:r w:rsidR="005A517F" w:rsidRPr="00FC6034">
        <w:rPr>
          <w:rFonts w:ascii="Times New Roman" w:hAnsi="Times New Roman" w:cs="Times New Roman"/>
          <w:sz w:val="24"/>
          <w:szCs w:val="24"/>
          <w:lang w:val="en-US"/>
        </w:rPr>
        <w:t xml:space="preserve">  </w:t>
      </w:r>
      <w:r w:rsidR="00D91371">
        <w:rPr>
          <w:rFonts w:ascii="Times New Roman" w:hAnsi="Times New Roman" w:cs="Times New Roman"/>
          <w:sz w:val="24"/>
          <w:szCs w:val="24"/>
          <w:lang w:val="en-US"/>
        </w:rPr>
        <w:t>T</w:t>
      </w:r>
      <w:r w:rsidR="00A51E91" w:rsidRPr="00FC6034">
        <w:rPr>
          <w:rFonts w:ascii="Times New Roman" w:hAnsi="Times New Roman" w:cs="Times New Roman"/>
          <w:sz w:val="24"/>
          <w:szCs w:val="24"/>
          <w:lang w:val="en-US"/>
        </w:rPr>
        <w:t xml:space="preserve">he crisis </w:t>
      </w:r>
      <w:r w:rsidR="00A51E91" w:rsidRPr="00605E44">
        <w:rPr>
          <w:rFonts w:ascii="Times New Roman" w:hAnsi="Times New Roman" w:cs="Times New Roman"/>
          <w:sz w:val="24"/>
          <w:szCs w:val="24"/>
          <w:lang w:val="en-US"/>
        </w:rPr>
        <w:t xml:space="preserve">revealed </w:t>
      </w:r>
      <w:r w:rsidR="001943E4" w:rsidRPr="00605E44">
        <w:rPr>
          <w:rFonts w:ascii="Times New Roman" w:hAnsi="Times New Roman" w:cs="Times New Roman"/>
          <w:sz w:val="24"/>
          <w:szCs w:val="24"/>
          <w:lang w:val="en-US"/>
        </w:rPr>
        <w:t>that the norm of excessive risk-</w:t>
      </w:r>
      <w:r w:rsidR="00A51E91" w:rsidRPr="00605E44">
        <w:rPr>
          <w:rFonts w:ascii="Times New Roman" w:hAnsi="Times New Roman" w:cs="Times New Roman"/>
          <w:sz w:val="24"/>
          <w:szCs w:val="24"/>
          <w:lang w:val="en-US"/>
        </w:rPr>
        <w:t xml:space="preserve">taking had become a systemic problem with the balance of incentives providing a strong force for imprudent </w:t>
      </w:r>
      <w:r w:rsidR="00322448" w:rsidRPr="00605E44">
        <w:rPr>
          <w:rFonts w:ascii="Times New Roman" w:hAnsi="Times New Roman" w:cs="Times New Roman"/>
          <w:sz w:val="24"/>
          <w:szCs w:val="24"/>
          <w:lang w:val="en-US"/>
        </w:rPr>
        <w:t>behavior</w:t>
      </w:r>
      <w:r w:rsidR="00D91371" w:rsidRPr="00605E44">
        <w:rPr>
          <w:rFonts w:ascii="Times New Roman" w:hAnsi="Times New Roman" w:cs="Times New Roman"/>
          <w:sz w:val="24"/>
          <w:szCs w:val="24"/>
          <w:lang w:val="en-US"/>
        </w:rPr>
        <w:t>.</w:t>
      </w:r>
      <w:r w:rsidR="00E85E09" w:rsidRPr="00605E44">
        <w:rPr>
          <w:rStyle w:val="FootnoteReference"/>
          <w:rFonts w:ascii="Times New Roman" w:hAnsi="Times New Roman" w:cs="Times New Roman"/>
          <w:sz w:val="24"/>
          <w:szCs w:val="24"/>
          <w:lang w:val="en-US"/>
        </w:rPr>
        <w:footnoteReference w:id="121"/>
      </w:r>
      <w:r w:rsidR="00410BEB" w:rsidRPr="00605E44">
        <w:rPr>
          <w:rFonts w:ascii="Times New Roman" w:hAnsi="Times New Roman" w:cs="Times New Roman"/>
          <w:sz w:val="24"/>
          <w:szCs w:val="24"/>
          <w:lang w:val="en-US"/>
        </w:rPr>
        <w:t xml:space="preserve">  </w:t>
      </w:r>
      <w:r w:rsidR="00FA4021" w:rsidRPr="00605E44">
        <w:rPr>
          <w:rFonts w:ascii="Times New Roman" w:hAnsi="Times New Roman" w:cs="Times New Roman"/>
          <w:sz w:val="24"/>
          <w:szCs w:val="24"/>
          <w:lang w:val="en-US"/>
        </w:rPr>
        <w:t>How to change the culture and norms of the financial sector has become a</w:t>
      </w:r>
      <w:r w:rsidR="00456471" w:rsidRPr="00605E44">
        <w:rPr>
          <w:rFonts w:ascii="Times New Roman" w:hAnsi="Times New Roman" w:cs="Times New Roman"/>
          <w:sz w:val="24"/>
          <w:szCs w:val="24"/>
          <w:lang w:val="en-US"/>
        </w:rPr>
        <w:t>n important and</w:t>
      </w:r>
      <w:r w:rsidR="00FA4021" w:rsidRPr="00FC6034">
        <w:rPr>
          <w:rFonts w:ascii="Times New Roman" w:hAnsi="Times New Roman" w:cs="Times New Roman"/>
          <w:sz w:val="24"/>
          <w:szCs w:val="24"/>
          <w:lang w:val="en-US"/>
        </w:rPr>
        <w:t xml:space="preserve"> topical issue</w:t>
      </w:r>
      <w:r w:rsidR="003E5E88">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22"/>
      </w:r>
      <w:r w:rsidR="007B5228" w:rsidRPr="00FC6034">
        <w:rPr>
          <w:rFonts w:ascii="Times New Roman" w:hAnsi="Times New Roman" w:cs="Times New Roman"/>
          <w:sz w:val="24"/>
          <w:szCs w:val="24"/>
          <w:lang w:val="en-US"/>
        </w:rPr>
        <w:t xml:space="preserve"> </w:t>
      </w:r>
      <w:r w:rsidR="00FA4021" w:rsidRPr="00FC6034">
        <w:rPr>
          <w:rFonts w:ascii="Times New Roman" w:hAnsi="Times New Roman" w:cs="Times New Roman"/>
          <w:sz w:val="24"/>
          <w:szCs w:val="24"/>
          <w:lang w:val="en-US"/>
        </w:rPr>
        <w:t xml:space="preserve"> For example, in the Netherlands, financial institutions </w:t>
      </w:r>
      <w:r w:rsidR="00764FB6" w:rsidRPr="00FC6034">
        <w:rPr>
          <w:rFonts w:ascii="Times New Roman" w:hAnsi="Times New Roman" w:cs="Times New Roman"/>
          <w:sz w:val="24"/>
          <w:szCs w:val="24"/>
          <w:lang w:val="en-US"/>
        </w:rPr>
        <w:t xml:space="preserve">have been </w:t>
      </w:r>
      <w:r w:rsidR="00FA4021" w:rsidRPr="00FC6034">
        <w:rPr>
          <w:rFonts w:ascii="Times New Roman" w:hAnsi="Times New Roman" w:cs="Times New Roman"/>
          <w:sz w:val="24"/>
          <w:szCs w:val="24"/>
          <w:lang w:val="en-US"/>
        </w:rPr>
        <w:t>required to permit their board meetings to be observed by experts in psychology, governance and change management</w:t>
      </w:r>
      <w:r w:rsidR="00D91371">
        <w:rPr>
          <w:rFonts w:ascii="Times New Roman" w:hAnsi="Times New Roman" w:cs="Times New Roman"/>
          <w:sz w:val="24"/>
          <w:szCs w:val="24"/>
          <w:lang w:val="en-US"/>
        </w:rPr>
        <w:t>.</w:t>
      </w:r>
      <w:r w:rsidR="00E85E09">
        <w:rPr>
          <w:rStyle w:val="FootnoteReference"/>
          <w:rFonts w:ascii="Times New Roman" w:hAnsi="Times New Roman" w:cs="Times New Roman"/>
          <w:sz w:val="24"/>
          <w:szCs w:val="24"/>
          <w:lang w:val="en-US"/>
        </w:rPr>
        <w:footnoteReference w:id="123"/>
      </w:r>
      <w:r w:rsidR="00764FB6" w:rsidRPr="00FC6034">
        <w:rPr>
          <w:rFonts w:ascii="Times New Roman" w:hAnsi="Times New Roman" w:cs="Times New Roman"/>
          <w:sz w:val="24"/>
          <w:szCs w:val="24"/>
          <w:lang w:val="en-US"/>
        </w:rPr>
        <w:t xml:space="preserve">  The Dutch government has also introduced a mandatory </w:t>
      </w:r>
      <w:r w:rsidR="00B970F4">
        <w:rPr>
          <w:rFonts w:ascii="Times New Roman" w:hAnsi="Times New Roman" w:cs="Times New Roman"/>
          <w:sz w:val="24"/>
          <w:szCs w:val="24"/>
          <w:lang w:val="en-US"/>
        </w:rPr>
        <w:t>“</w:t>
      </w:r>
      <w:r w:rsidR="00764FB6" w:rsidRPr="00FC6034">
        <w:rPr>
          <w:rFonts w:ascii="Times New Roman" w:hAnsi="Times New Roman" w:cs="Times New Roman"/>
          <w:sz w:val="24"/>
          <w:szCs w:val="24"/>
          <w:lang w:val="en-US"/>
        </w:rPr>
        <w:t>banker’s oath</w:t>
      </w:r>
      <w:r w:rsidR="00B970F4">
        <w:rPr>
          <w:rFonts w:ascii="Times New Roman" w:hAnsi="Times New Roman" w:cs="Times New Roman"/>
          <w:sz w:val="24"/>
          <w:szCs w:val="24"/>
          <w:lang w:val="en-US"/>
        </w:rPr>
        <w:t>”</w:t>
      </w:r>
      <w:r w:rsidR="00764FB6" w:rsidRPr="00FC6034">
        <w:rPr>
          <w:rFonts w:ascii="Times New Roman" w:hAnsi="Times New Roman" w:cs="Times New Roman"/>
          <w:sz w:val="24"/>
          <w:szCs w:val="24"/>
          <w:lang w:val="en-US"/>
        </w:rPr>
        <w:t xml:space="preserve"> for all employees in the financial sector requiring them to sign a statement </w:t>
      </w:r>
      <w:r w:rsidR="00322448" w:rsidRPr="00FC6034">
        <w:rPr>
          <w:rFonts w:ascii="Times New Roman" w:hAnsi="Times New Roman" w:cs="Times New Roman"/>
          <w:sz w:val="24"/>
          <w:szCs w:val="24"/>
          <w:lang w:val="en-US"/>
        </w:rPr>
        <w:t>emph</w:t>
      </w:r>
      <w:r w:rsidR="00D91371">
        <w:rPr>
          <w:rFonts w:ascii="Times New Roman" w:hAnsi="Times New Roman" w:cs="Times New Roman"/>
          <w:sz w:val="24"/>
          <w:szCs w:val="24"/>
          <w:lang w:val="en-US"/>
        </w:rPr>
        <w:t>asis</w:t>
      </w:r>
      <w:r w:rsidR="00322448" w:rsidRPr="00FC6034">
        <w:rPr>
          <w:rFonts w:ascii="Times New Roman" w:hAnsi="Times New Roman" w:cs="Times New Roman"/>
          <w:sz w:val="24"/>
          <w:szCs w:val="24"/>
          <w:lang w:val="en-US"/>
        </w:rPr>
        <w:t>ing</w:t>
      </w:r>
      <w:r w:rsidR="00764FB6" w:rsidRPr="00FC6034">
        <w:rPr>
          <w:rFonts w:ascii="Times New Roman" w:hAnsi="Times New Roman" w:cs="Times New Roman"/>
          <w:sz w:val="24"/>
          <w:szCs w:val="24"/>
          <w:lang w:val="en-US"/>
        </w:rPr>
        <w:t xml:space="preserve"> their responsibility</w:t>
      </w:r>
      <w:r w:rsidR="00D91371">
        <w:rPr>
          <w:rFonts w:ascii="Times New Roman" w:hAnsi="Times New Roman" w:cs="Times New Roman"/>
          <w:sz w:val="24"/>
          <w:szCs w:val="24"/>
          <w:lang w:val="en-US"/>
        </w:rPr>
        <w:t xml:space="preserve"> to act with integrity and care.</w:t>
      </w:r>
      <w:r w:rsidR="00E85E09">
        <w:rPr>
          <w:rStyle w:val="FootnoteReference"/>
          <w:rFonts w:ascii="Times New Roman" w:hAnsi="Times New Roman" w:cs="Times New Roman"/>
          <w:sz w:val="24"/>
          <w:szCs w:val="24"/>
          <w:lang w:val="en-US"/>
        </w:rPr>
        <w:footnoteReference w:id="124"/>
      </w:r>
      <w:r w:rsidR="00764FB6" w:rsidRPr="00FC6034">
        <w:rPr>
          <w:rFonts w:ascii="Times New Roman" w:hAnsi="Times New Roman" w:cs="Times New Roman"/>
          <w:sz w:val="24"/>
          <w:szCs w:val="24"/>
          <w:lang w:val="en-US"/>
        </w:rPr>
        <w:t xml:space="preserve">  </w:t>
      </w:r>
    </w:p>
    <w:p w14:paraId="09EAFA87" w14:textId="62E8FB04" w:rsidR="005B205E" w:rsidRPr="00C657A9" w:rsidRDefault="00F00BB8" w:rsidP="00AE7367">
      <w:pPr>
        <w:pStyle w:val="Heading1"/>
        <w:spacing w:line="360" w:lineRule="auto"/>
      </w:pPr>
      <w:r>
        <w:lastRenderedPageBreak/>
        <w:t xml:space="preserve">Discussion and </w:t>
      </w:r>
      <w:r w:rsidR="005B205E" w:rsidRPr="00C657A9">
        <w:t>Conclusions</w:t>
      </w:r>
    </w:p>
    <w:p w14:paraId="23DA683C" w14:textId="5572DBDA" w:rsidR="004A207C" w:rsidRDefault="002D4CA9"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paper presents a review of scholarly analysis of post-GFC regulatory reform</w:t>
      </w:r>
      <w:r w:rsidR="00D565EB">
        <w:rPr>
          <w:rFonts w:ascii="Times New Roman" w:hAnsi="Times New Roman" w:cs="Times New Roman"/>
          <w:sz w:val="24"/>
          <w:szCs w:val="24"/>
          <w:lang w:val="en-US"/>
        </w:rPr>
        <w:t xml:space="preserve"> and develops an integrative framework for </w:t>
      </w:r>
      <w:r w:rsidR="00F6392A">
        <w:rPr>
          <w:rFonts w:ascii="Times New Roman" w:hAnsi="Times New Roman" w:cs="Times New Roman"/>
          <w:sz w:val="24"/>
          <w:szCs w:val="24"/>
          <w:lang w:val="en-US"/>
        </w:rPr>
        <w:t xml:space="preserve">assessing regulatory </w:t>
      </w:r>
      <w:r w:rsidR="002B227F">
        <w:rPr>
          <w:rFonts w:ascii="Times New Roman" w:hAnsi="Times New Roman" w:cs="Times New Roman"/>
          <w:sz w:val="24"/>
          <w:szCs w:val="24"/>
          <w:lang w:val="en-US"/>
        </w:rPr>
        <w:t>design</w:t>
      </w:r>
      <w:r w:rsidR="00F6392A">
        <w:rPr>
          <w:rFonts w:ascii="Times New Roman" w:hAnsi="Times New Roman" w:cs="Times New Roman"/>
          <w:sz w:val="24"/>
          <w:szCs w:val="24"/>
          <w:lang w:val="en-US"/>
        </w:rPr>
        <w:t xml:space="preserve"> (see </w:t>
      </w:r>
      <w:r w:rsidR="00F6392A" w:rsidRPr="00F6392A">
        <w:rPr>
          <w:rFonts w:ascii="Times New Roman" w:hAnsi="Times New Roman" w:cs="Times New Roman"/>
          <w:b/>
          <w:sz w:val="24"/>
          <w:szCs w:val="24"/>
          <w:lang w:val="en-US"/>
        </w:rPr>
        <w:t>Figure 2</w:t>
      </w:r>
      <w:r w:rsidR="00F6392A">
        <w:rPr>
          <w:rFonts w:ascii="Times New Roman" w:hAnsi="Times New Roman" w:cs="Times New Roman"/>
          <w:sz w:val="24"/>
          <w:szCs w:val="24"/>
          <w:lang w:val="en-US"/>
        </w:rPr>
        <w:t>)</w:t>
      </w:r>
      <w:r>
        <w:rPr>
          <w:rFonts w:ascii="Times New Roman" w:hAnsi="Times New Roman" w:cs="Times New Roman"/>
          <w:sz w:val="24"/>
          <w:szCs w:val="24"/>
          <w:lang w:val="en-US"/>
        </w:rPr>
        <w:t xml:space="preserve">.  It </w:t>
      </w:r>
      <w:r w:rsidR="00DF5258">
        <w:rPr>
          <w:rFonts w:ascii="Times New Roman" w:hAnsi="Times New Roman" w:cs="Times New Roman"/>
          <w:sz w:val="24"/>
          <w:szCs w:val="24"/>
          <w:lang w:val="en-US"/>
        </w:rPr>
        <w:t>identifies</w:t>
      </w:r>
      <w:r>
        <w:rPr>
          <w:rFonts w:ascii="Times New Roman" w:hAnsi="Times New Roman" w:cs="Times New Roman"/>
          <w:sz w:val="24"/>
          <w:szCs w:val="24"/>
          <w:lang w:val="en-US"/>
        </w:rPr>
        <w:t xml:space="preserve"> three structural levels at which reforms </w:t>
      </w:r>
      <w:r w:rsidR="00F6392A">
        <w:rPr>
          <w:rFonts w:ascii="Times New Roman" w:hAnsi="Times New Roman" w:cs="Times New Roman"/>
          <w:sz w:val="24"/>
          <w:szCs w:val="24"/>
          <w:lang w:val="en-US"/>
        </w:rPr>
        <w:t>ar</w:t>
      </w:r>
      <w:r w:rsidR="00CF3A32">
        <w:rPr>
          <w:rFonts w:ascii="Times New Roman" w:hAnsi="Times New Roman" w:cs="Times New Roman"/>
          <w:sz w:val="24"/>
          <w:szCs w:val="24"/>
          <w:lang w:val="en-US"/>
        </w:rPr>
        <w:t>e</w:t>
      </w:r>
      <w:r>
        <w:rPr>
          <w:rFonts w:ascii="Times New Roman" w:hAnsi="Times New Roman" w:cs="Times New Roman"/>
          <w:sz w:val="24"/>
          <w:szCs w:val="24"/>
          <w:lang w:val="en-US"/>
        </w:rPr>
        <w:t xml:space="preserve"> implemented as well as factors </w:t>
      </w:r>
      <w:r w:rsidR="00CF3A32">
        <w:rPr>
          <w:rFonts w:ascii="Times New Roman" w:hAnsi="Times New Roman" w:cs="Times New Roman"/>
          <w:sz w:val="24"/>
          <w:szCs w:val="24"/>
          <w:lang w:val="en-US"/>
        </w:rPr>
        <w:t>seen to</w:t>
      </w:r>
      <w:r w:rsidR="00DF5258">
        <w:rPr>
          <w:rFonts w:ascii="Times New Roman" w:hAnsi="Times New Roman" w:cs="Times New Roman"/>
          <w:sz w:val="24"/>
          <w:szCs w:val="24"/>
          <w:lang w:val="en-US"/>
        </w:rPr>
        <w:t xml:space="preserve"> hinder or facilitate</w:t>
      </w:r>
      <w:r>
        <w:rPr>
          <w:rFonts w:ascii="Times New Roman" w:hAnsi="Times New Roman" w:cs="Times New Roman"/>
          <w:sz w:val="24"/>
          <w:szCs w:val="24"/>
          <w:lang w:val="en-US"/>
        </w:rPr>
        <w:t xml:space="preserve"> the effectiveness of </w:t>
      </w:r>
      <w:r w:rsidR="00CF3A32">
        <w:rPr>
          <w:rFonts w:ascii="Times New Roman" w:hAnsi="Times New Roman" w:cs="Times New Roman"/>
          <w:sz w:val="24"/>
          <w:szCs w:val="24"/>
          <w:lang w:val="en-US"/>
        </w:rPr>
        <w:t xml:space="preserve">financial </w:t>
      </w:r>
      <w:r>
        <w:rPr>
          <w:rFonts w:ascii="Times New Roman" w:hAnsi="Times New Roman" w:cs="Times New Roman"/>
          <w:sz w:val="24"/>
          <w:szCs w:val="24"/>
          <w:lang w:val="en-US"/>
        </w:rPr>
        <w:t>regulation.  Many of these findings are pertinent to the situation in Australia following the Royal Commission</w:t>
      </w:r>
      <w:r w:rsidR="005C3244">
        <w:rPr>
          <w:rFonts w:ascii="Times New Roman" w:hAnsi="Times New Roman" w:cs="Times New Roman"/>
          <w:sz w:val="24"/>
          <w:szCs w:val="24"/>
          <w:lang w:val="en-US"/>
        </w:rPr>
        <w:t xml:space="preserve"> into misconduct in the finance sector</w:t>
      </w:r>
      <w:r>
        <w:rPr>
          <w:rFonts w:ascii="Times New Roman" w:hAnsi="Times New Roman" w:cs="Times New Roman"/>
          <w:sz w:val="24"/>
          <w:szCs w:val="24"/>
          <w:lang w:val="en-US"/>
        </w:rPr>
        <w:t xml:space="preserve">.  </w:t>
      </w:r>
      <w:r w:rsidR="005C3244">
        <w:rPr>
          <w:rFonts w:ascii="Times New Roman" w:hAnsi="Times New Roman" w:cs="Times New Roman"/>
          <w:sz w:val="24"/>
          <w:szCs w:val="24"/>
          <w:lang w:val="en-US"/>
        </w:rPr>
        <w:t xml:space="preserve">Although the Commission was asked to investigate issues around consumer protection rather than broader macro-prudential reform, the resultant questions follow a similar pattern: should we alter the architecture, style or content of regulation?  How can we mitigate any problems stemming from power and politics, regulatory boundaries and human behaviour?  This Part 5 </w:t>
      </w:r>
      <w:r w:rsidR="00F6392A">
        <w:rPr>
          <w:rFonts w:ascii="Times New Roman" w:hAnsi="Times New Roman" w:cs="Times New Roman"/>
          <w:sz w:val="24"/>
          <w:szCs w:val="24"/>
          <w:lang w:val="en-US"/>
        </w:rPr>
        <w:t>applies the integrative framework to the findings of the Royal Commission and considers how this might</w:t>
      </w:r>
      <w:r w:rsidR="008D58A3">
        <w:rPr>
          <w:rFonts w:ascii="Times New Roman" w:hAnsi="Times New Roman" w:cs="Times New Roman"/>
          <w:sz w:val="24"/>
          <w:szCs w:val="24"/>
          <w:lang w:val="en-US"/>
        </w:rPr>
        <w:t xml:space="preserve"> inform future regulatory reform in Australia. </w:t>
      </w:r>
    </w:p>
    <w:p w14:paraId="4CB648D1" w14:textId="77777777" w:rsidR="006C2F6E" w:rsidRDefault="008F34DB"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terms of the architecture of financial supervision in Australia</w:t>
      </w:r>
      <w:r w:rsidR="00CF3A32">
        <w:rPr>
          <w:rFonts w:ascii="Times New Roman" w:hAnsi="Times New Roman" w:cs="Times New Roman"/>
          <w:sz w:val="24"/>
          <w:szCs w:val="24"/>
          <w:lang w:val="en-US"/>
        </w:rPr>
        <w:t>,</w:t>
      </w:r>
      <w:r>
        <w:rPr>
          <w:rFonts w:ascii="Times New Roman" w:hAnsi="Times New Roman" w:cs="Times New Roman"/>
          <w:sz w:val="24"/>
          <w:szCs w:val="24"/>
          <w:lang w:val="en-US"/>
        </w:rPr>
        <w:t xml:space="preserve"> the Royal Commission reviewed the twin peaks model and recommended improved collaboration between ASIC and APRA including a duty to cooperate and mandatory information sharing.</w:t>
      </w:r>
      <w:r>
        <w:rPr>
          <w:rStyle w:val="FootnoteReference"/>
          <w:rFonts w:ascii="Times New Roman" w:hAnsi="Times New Roman" w:cs="Times New Roman"/>
          <w:sz w:val="24"/>
          <w:szCs w:val="24"/>
          <w:lang w:val="en-US"/>
        </w:rPr>
        <w:footnoteReference w:id="125"/>
      </w:r>
      <w:r>
        <w:rPr>
          <w:rFonts w:ascii="Times New Roman" w:hAnsi="Times New Roman" w:cs="Times New Roman"/>
          <w:sz w:val="24"/>
          <w:szCs w:val="24"/>
          <w:lang w:val="en-US"/>
        </w:rPr>
        <w:t xml:space="preserve">  </w:t>
      </w:r>
      <w:r w:rsidR="00CF3A32">
        <w:rPr>
          <w:rFonts w:ascii="Times New Roman" w:hAnsi="Times New Roman" w:cs="Times New Roman"/>
          <w:sz w:val="24"/>
          <w:szCs w:val="24"/>
          <w:lang w:val="en-US"/>
        </w:rPr>
        <w:t>Here we see a new way of tackling the issue of blurred boundaries and fragmentation.  Although each regulator will maintain its specialist focus the boundaries between them will be reduced rather than re</w:t>
      </w:r>
      <w:r w:rsidR="0073347E">
        <w:rPr>
          <w:rFonts w:ascii="Times New Roman" w:hAnsi="Times New Roman" w:cs="Times New Roman"/>
          <w:sz w:val="24"/>
          <w:szCs w:val="24"/>
          <w:lang w:val="en-US"/>
        </w:rPr>
        <w:t>-de</w:t>
      </w:r>
      <w:r w:rsidR="00CF3A32">
        <w:rPr>
          <w:rFonts w:ascii="Times New Roman" w:hAnsi="Times New Roman" w:cs="Times New Roman"/>
          <w:sz w:val="24"/>
          <w:szCs w:val="24"/>
          <w:lang w:val="en-US"/>
        </w:rPr>
        <w:t xml:space="preserve">fined.  </w:t>
      </w:r>
      <w:r w:rsidR="008D58A3">
        <w:rPr>
          <w:rFonts w:ascii="Times New Roman" w:hAnsi="Times New Roman" w:cs="Times New Roman"/>
          <w:sz w:val="24"/>
          <w:szCs w:val="24"/>
          <w:lang w:val="en-US"/>
        </w:rPr>
        <w:t xml:space="preserve">The review of </w:t>
      </w:r>
      <w:r w:rsidR="0073347E">
        <w:rPr>
          <w:rFonts w:ascii="Times New Roman" w:hAnsi="Times New Roman" w:cs="Times New Roman"/>
          <w:sz w:val="24"/>
          <w:szCs w:val="24"/>
          <w:lang w:val="en-US"/>
        </w:rPr>
        <w:t xml:space="preserve">post-GFC </w:t>
      </w:r>
      <w:r w:rsidR="008D58A3">
        <w:rPr>
          <w:rFonts w:ascii="Times New Roman" w:hAnsi="Times New Roman" w:cs="Times New Roman"/>
          <w:sz w:val="24"/>
          <w:szCs w:val="24"/>
          <w:lang w:val="en-US"/>
        </w:rPr>
        <w:t xml:space="preserve">literature </w:t>
      </w:r>
      <w:r w:rsidR="0073347E">
        <w:rPr>
          <w:rFonts w:ascii="Times New Roman" w:hAnsi="Times New Roman" w:cs="Times New Roman"/>
          <w:sz w:val="24"/>
          <w:szCs w:val="24"/>
          <w:lang w:val="en-US"/>
        </w:rPr>
        <w:t xml:space="preserve">would suggest this </w:t>
      </w:r>
      <w:r w:rsidR="008176CE">
        <w:rPr>
          <w:rFonts w:ascii="Times New Roman" w:hAnsi="Times New Roman" w:cs="Times New Roman"/>
          <w:sz w:val="24"/>
          <w:szCs w:val="24"/>
          <w:lang w:val="en-US"/>
        </w:rPr>
        <w:t xml:space="preserve">improved coordination </w:t>
      </w:r>
      <w:r w:rsidR="00A22697">
        <w:rPr>
          <w:rFonts w:ascii="Times New Roman" w:hAnsi="Times New Roman" w:cs="Times New Roman"/>
          <w:sz w:val="24"/>
          <w:szCs w:val="24"/>
          <w:lang w:val="en-US"/>
        </w:rPr>
        <w:t>may assist in</w:t>
      </w:r>
      <w:r w:rsidR="0073347E">
        <w:rPr>
          <w:rFonts w:ascii="Times New Roman" w:hAnsi="Times New Roman" w:cs="Times New Roman"/>
          <w:sz w:val="24"/>
          <w:szCs w:val="24"/>
          <w:lang w:val="en-US"/>
        </w:rPr>
        <w:t xml:space="preserve"> reducing regulatory arbitrage</w:t>
      </w:r>
      <w:r w:rsidR="008176CE">
        <w:rPr>
          <w:rFonts w:ascii="Times New Roman" w:hAnsi="Times New Roman" w:cs="Times New Roman"/>
          <w:sz w:val="24"/>
          <w:szCs w:val="24"/>
          <w:lang w:val="en-US"/>
        </w:rPr>
        <w:t>.</w:t>
      </w:r>
      <w:r w:rsidR="00510162">
        <w:rPr>
          <w:rStyle w:val="FootnoteReference"/>
          <w:rFonts w:ascii="Times New Roman" w:hAnsi="Times New Roman" w:cs="Times New Roman"/>
          <w:sz w:val="24"/>
          <w:szCs w:val="24"/>
          <w:lang w:val="en-US"/>
        </w:rPr>
        <w:footnoteReference w:id="126"/>
      </w:r>
      <w:r w:rsidR="008176CE">
        <w:rPr>
          <w:rFonts w:ascii="Times New Roman" w:hAnsi="Times New Roman" w:cs="Times New Roman"/>
          <w:sz w:val="24"/>
          <w:szCs w:val="24"/>
          <w:lang w:val="en-US"/>
        </w:rPr>
        <w:t xml:space="preserve"> </w:t>
      </w:r>
      <w:r w:rsidR="0073347E">
        <w:rPr>
          <w:rFonts w:ascii="Times New Roman" w:hAnsi="Times New Roman" w:cs="Times New Roman"/>
          <w:sz w:val="24"/>
          <w:szCs w:val="24"/>
          <w:lang w:val="en-US"/>
        </w:rPr>
        <w:t xml:space="preserve"> </w:t>
      </w:r>
      <w:r w:rsidR="008D58A3">
        <w:rPr>
          <w:rFonts w:ascii="Times New Roman" w:hAnsi="Times New Roman" w:cs="Times New Roman"/>
          <w:sz w:val="24"/>
          <w:szCs w:val="24"/>
          <w:lang w:val="en-US"/>
        </w:rPr>
        <w:t xml:space="preserve">Commissioner </w:t>
      </w:r>
      <w:r>
        <w:rPr>
          <w:rFonts w:ascii="Times New Roman" w:hAnsi="Times New Roman" w:cs="Times New Roman"/>
          <w:sz w:val="24"/>
          <w:szCs w:val="24"/>
          <w:lang w:val="en-US"/>
        </w:rPr>
        <w:t>Hayne also recommended</w:t>
      </w:r>
      <w:r w:rsidR="008D58A3">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a new and permanent oversight body be established with a mandate to assess the effectiveness of </w:t>
      </w:r>
      <w:r w:rsidR="008D58A3">
        <w:rPr>
          <w:rFonts w:ascii="Times New Roman" w:hAnsi="Times New Roman" w:cs="Times New Roman"/>
          <w:sz w:val="24"/>
          <w:szCs w:val="24"/>
          <w:lang w:val="en-US"/>
        </w:rPr>
        <w:t>ASIC and APRA</w:t>
      </w:r>
      <w:r>
        <w:rPr>
          <w:rFonts w:ascii="Times New Roman" w:hAnsi="Times New Roman" w:cs="Times New Roman"/>
          <w:sz w:val="24"/>
          <w:szCs w:val="24"/>
          <w:lang w:val="en-US"/>
        </w:rPr>
        <w:t xml:space="preserve"> in meeting their statutory objects.</w:t>
      </w:r>
      <w:r>
        <w:rPr>
          <w:rStyle w:val="FootnoteReference"/>
          <w:rFonts w:ascii="Times New Roman" w:hAnsi="Times New Roman" w:cs="Times New Roman"/>
          <w:sz w:val="24"/>
          <w:szCs w:val="24"/>
          <w:lang w:val="en-US"/>
        </w:rPr>
        <w:footnoteReference w:id="127"/>
      </w:r>
      <w:r w:rsidR="00CF3A32">
        <w:rPr>
          <w:rFonts w:ascii="Times New Roman" w:hAnsi="Times New Roman" w:cs="Times New Roman"/>
          <w:sz w:val="24"/>
          <w:szCs w:val="24"/>
          <w:lang w:val="en-US"/>
        </w:rPr>
        <w:t xml:space="preserve">  This again ought to help counter </w:t>
      </w:r>
      <w:r w:rsidR="0073347E">
        <w:rPr>
          <w:rFonts w:ascii="Times New Roman" w:hAnsi="Times New Roman" w:cs="Times New Roman"/>
          <w:sz w:val="24"/>
          <w:szCs w:val="24"/>
          <w:lang w:val="en-US"/>
        </w:rPr>
        <w:t>any boundary problems</w:t>
      </w:r>
      <w:r w:rsidR="00CF3A32">
        <w:rPr>
          <w:rFonts w:ascii="Times New Roman" w:hAnsi="Times New Roman" w:cs="Times New Roman"/>
          <w:sz w:val="24"/>
          <w:szCs w:val="24"/>
          <w:lang w:val="en-US"/>
        </w:rPr>
        <w:t xml:space="preserve"> by providing overall oversight and a broader view of the regulatory playing field.</w:t>
      </w:r>
      <w:r w:rsidR="00F6392A">
        <w:rPr>
          <w:rStyle w:val="FootnoteReference"/>
          <w:rFonts w:ascii="Times New Roman" w:hAnsi="Times New Roman" w:cs="Times New Roman"/>
          <w:sz w:val="24"/>
          <w:szCs w:val="24"/>
          <w:lang w:val="en-US"/>
        </w:rPr>
        <w:footnoteReference w:id="128"/>
      </w:r>
      <w:r w:rsidR="0073347E">
        <w:rPr>
          <w:rFonts w:ascii="Times New Roman" w:hAnsi="Times New Roman" w:cs="Times New Roman"/>
          <w:sz w:val="24"/>
          <w:szCs w:val="24"/>
          <w:lang w:val="en-US"/>
        </w:rPr>
        <w:t xml:space="preserve"> </w:t>
      </w:r>
      <w:r w:rsidR="00C20496">
        <w:rPr>
          <w:rFonts w:ascii="Times New Roman" w:hAnsi="Times New Roman" w:cs="Times New Roman"/>
          <w:sz w:val="24"/>
          <w:szCs w:val="24"/>
          <w:lang w:val="en-US"/>
        </w:rPr>
        <w:t xml:space="preserve"> Depending on its composition</w:t>
      </w:r>
      <w:r w:rsidR="008D44AD">
        <w:rPr>
          <w:rFonts w:ascii="Times New Roman" w:hAnsi="Times New Roman" w:cs="Times New Roman"/>
          <w:sz w:val="24"/>
          <w:szCs w:val="24"/>
          <w:lang w:val="en-US"/>
        </w:rPr>
        <w:t>,</w:t>
      </w:r>
      <w:r w:rsidR="00C20496">
        <w:rPr>
          <w:rFonts w:ascii="Times New Roman" w:hAnsi="Times New Roman" w:cs="Times New Roman"/>
          <w:sz w:val="24"/>
          <w:szCs w:val="24"/>
          <w:lang w:val="en-US"/>
        </w:rPr>
        <w:t xml:space="preserve"> </w:t>
      </w:r>
      <w:r w:rsidR="008D58A3">
        <w:rPr>
          <w:rFonts w:ascii="Times New Roman" w:hAnsi="Times New Roman" w:cs="Times New Roman"/>
          <w:sz w:val="24"/>
          <w:szCs w:val="24"/>
          <w:lang w:val="en-US"/>
        </w:rPr>
        <w:t>the oversight body</w:t>
      </w:r>
      <w:r w:rsidR="00C20496">
        <w:rPr>
          <w:rFonts w:ascii="Times New Roman" w:hAnsi="Times New Roman" w:cs="Times New Roman"/>
          <w:sz w:val="24"/>
          <w:szCs w:val="24"/>
          <w:lang w:val="en-US"/>
        </w:rPr>
        <w:t xml:space="preserve"> may also help to reduce the negative effects of power and politics.  </w:t>
      </w:r>
    </w:p>
    <w:p w14:paraId="4DD38E04" w14:textId="5A7A6218" w:rsidR="00A22697" w:rsidRDefault="00C20496"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Interestingly, </w:t>
      </w:r>
      <w:r w:rsidR="008176CE">
        <w:rPr>
          <w:rFonts w:ascii="Times New Roman" w:hAnsi="Times New Roman" w:cs="Times New Roman"/>
          <w:sz w:val="24"/>
          <w:szCs w:val="24"/>
          <w:lang w:val="en-US"/>
        </w:rPr>
        <w:t xml:space="preserve">Hayne </w:t>
      </w:r>
      <w:r w:rsidR="004B519D">
        <w:rPr>
          <w:rFonts w:ascii="Times New Roman" w:hAnsi="Times New Roman" w:cs="Times New Roman"/>
          <w:sz w:val="24"/>
          <w:szCs w:val="24"/>
          <w:lang w:val="en-US"/>
        </w:rPr>
        <w:t>considered altering the</w:t>
      </w:r>
      <w:r w:rsidR="008176CE">
        <w:rPr>
          <w:rFonts w:ascii="Times New Roman" w:hAnsi="Times New Roman" w:cs="Times New Roman"/>
          <w:sz w:val="24"/>
          <w:szCs w:val="24"/>
          <w:lang w:val="en-US"/>
        </w:rPr>
        <w:t xml:space="preserve"> composition of the governing bodies of ASIC and APRA to include non-executive members.  </w:t>
      </w:r>
      <w:r>
        <w:rPr>
          <w:rFonts w:ascii="Times New Roman" w:hAnsi="Times New Roman" w:cs="Times New Roman"/>
          <w:sz w:val="24"/>
          <w:szCs w:val="24"/>
          <w:lang w:val="en-US"/>
        </w:rPr>
        <w:t xml:space="preserve">In light of </w:t>
      </w:r>
      <w:r w:rsidR="00E97F1E">
        <w:rPr>
          <w:rFonts w:ascii="Times New Roman" w:hAnsi="Times New Roman" w:cs="Times New Roman"/>
          <w:sz w:val="24"/>
          <w:szCs w:val="24"/>
          <w:lang w:val="en-US"/>
        </w:rPr>
        <w:t>his other recommendations this proposal</w:t>
      </w:r>
      <w:r>
        <w:rPr>
          <w:rFonts w:ascii="Times New Roman" w:hAnsi="Times New Roman" w:cs="Times New Roman"/>
          <w:sz w:val="24"/>
          <w:szCs w:val="24"/>
          <w:lang w:val="en-US"/>
        </w:rPr>
        <w:t xml:space="preserve"> was not put forward</w:t>
      </w:r>
      <w:r w:rsidR="00A22697">
        <w:rPr>
          <w:rFonts w:ascii="Times New Roman" w:hAnsi="Times New Roman" w:cs="Times New Roman"/>
          <w:sz w:val="24"/>
          <w:szCs w:val="24"/>
          <w:lang w:val="en-US"/>
        </w:rPr>
        <w:t>,</w:t>
      </w:r>
      <w:r>
        <w:rPr>
          <w:rFonts w:ascii="Times New Roman" w:hAnsi="Times New Roman" w:cs="Times New Roman"/>
          <w:sz w:val="24"/>
          <w:szCs w:val="24"/>
          <w:lang w:val="en-US"/>
        </w:rPr>
        <w:t xml:space="preserve"> yet the findings of this paper would suggest it is something that perhaps should be revisited as </w:t>
      </w:r>
      <w:r w:rsidR="00273B93">
        <w:rPr>
          <w:rFonts w:ascii="Times New Roman" w:hAnsi="Times New Roman" w:cs="Times New Roman"/>
          <w:sz w:val="24"/>
          <w:szCs w:val="24"/>
          <w:lang w:val="en-US"/>
        </w:rPr>
        <w:t xml:space="preserve">an additional </w:t>
      </w:r>
      <w:r>
        <w:rPr>
          <w:rFonts w:ascii="Times New Roman" w:hAnsi="Times New Roman" w:cs="Times New Roman"/>
          <w:sz w:val="24"/>
          <w:szCs w:val="24"/>
          <w:lang w:val="en-US"/>
        </w:rPr>
        <w:t xml:space="preserve">mechanism to balance </w:t>
      </w:r>
      <w:r w:rsidR="008D44AD">
        <w:rPr>
          <w:rFonts w:ascii="Times New Roman" w:hAnsi="Times New Roman" w:cs="Times New Roman"/>
          <w:sz w:val="24"/>
          <w:szCs w:val="24"/>
          <w:lang w:val="en-US"/>
        </w:rPr>
        <w:t xml:space="preserve">the effects of </w:t>
      </w:r>
      <w:r>
        <w:rPr>
          <w:rFonts w:ascii="Times New Roman" w:hAnsi="Times New Roman" w:cs="Times New Roman"/>
          <w:sz w:val="24"/>
          <w:szCs w:val="24"/>
          <w:lang w:val="en-US"/>
        </w:rPr>
        <w:t xml:space="preserve">power and politics.  </w:t>
      </w:r>
      <w:r w:rsidR="00E97F1E">
        <w:rPr>
          <w:rFonts w:ascii="Times New Roman" w:hAnsi="Times New Roman" w:cs="Times New Roman"/>
          <w:sz w:val="24"/>
          <w:szCs w:val="24"/>
          <w:lang w:val="en-US"/>
        </w:rPr>
        <w:t>Instead, Commissioner Hayne suggested that both ASIC and APRA should</w:t>
      </w:r>
      <w:r w:rsidR="008A120B">
        <w:rPr>
          <w:rFonts w:ascii="Times New Roman" w:hAnsi="Times New Roman" w:cs="Times New Roman"/>
          <w:sz w:val="24"/>
          <w:szCs w:val="24"/>
          <w:lang w:val="en-US"/>
        </w:rPr>
        <w:t xml:space="preserve">, in consultation </w:t>
      </w:r>
      <w:r w:rsidR="008A120B">
        <w:rPr>
          <w:rFonts w:ascii="Times New Roman" w:hAnsi="Times New Roman" w:cs="Times New Roman"/>
          <w:sz w:val="24"/>
          <w:szCs w:val="24"/>
          <w:lang w:val="en-US"/>
        </w:rPr>
        <w:lastRenderedPageBreak/>
        <w:t>with the oversight body,</w:t>
      </w:r>
      <w:r w:rsidR="00E97F1E">
        <w:rPr>
          <w:rFonts w:ascii="Times New Roman" w:hAnsi="Times New Roman" w:cs="Times New Roman"/>
          <w:sz w:val="24"/>
          <w:szCs w:val="24"/>
          <w:lang w:val="en-US"/>
        </w:rPr>
        <w:t xml:space="preserve"> apply the tenets of the new Banking Executive Accountability Regime (the BEAR) to their own management structures to improve personal accountability.</w:t>
      </w:r>
      <w:r w:rsidR="00E97F1E">
        <w:rPr>
          <w:rStyle w:val="FootnoteReference"/>
          <w:rFonts w:ascii="Times New Roman" w:hAnsi="Times New Roman" w:cs="Times New Roman"/>
          <w:sz w:val="24"/>
          <w:szCs w:val="24"/>
          <w:lang w:val="en-US"/>
        </w:rPr>
        <w:footnoteReference w:id="129"/>
      </w:r>
      <w:r w:rsidR="00E97F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will be discussed next, ASIC was heavily criticised </w:t>
      </w:r>
      <w:r w:rsidR="008A120B">
        <w:rPr>
          <w:rFonts w:ascii="Times New Roman" w:hAnsi="Times New Roman" w:cs="Times New Roman"/>
          <w:sz w:val="24"/>
          <w:szCs w:val="24"/>
          <w:lang w:val="en-US"/>
        </w:rPr>
        <w:t xml:space="preserve">during the Royal Commission hearings </w:t>
      </w:r>
      <w:r>
        <w:rPr>
          <w:rFonts w:ascii="Times New Roman" w:hAnsi="Times New Roman" w:cs="Times New Roman"/>
          <w:sz w:val="24"/>
          <w:szCs w:val="24"/>
          <w:lang w:val="en-US"/>
        </w:rPr>
        <w:t xml:space="preserve">over its enforcement </w:t>
      </w:r>
      <w:r w:rsidR="00A22697">
        <w:rPr>
          <w:rFonts w:ascii="Times New Roman" w:hAnsi="Times New Roman" w:cs="Times New Roman"/>
          <w:sz w:val="24"/>
          <w:szCs w:val="24"/>
          <w:lang w:val="en-US"/>
        </w:rPr>
        <w:t xml:space="preserve">style.  </w:t>
      </w:r>
      <w:r w:rsidR="00510162">
        <w:rPr>
          <w:rFonts w:ascii="Times New Roman" w:hAnsi="Times New Roman" w:cs="Times New Roman"/>
          <w:sz w:val="24"/>
          <w:szCs w:val="24"/>
          <w:lang w:val="en-US"/>
        </w:rPr>
        <w:t>It became obvious that ASIC had</w:t>
      </w:r>
      <w:r w:rsidR="008A120B">
        <w:rPr>
          <w:rFonts w:ascii="Times New Roman" w:hAnsi="Times New Roman" w:cs="Times New Roman"/>
          <w:sz w:val="24"/>
          <w:szCs w:val="24"/>
          <w:lang w:val="en-US"/>
        </w:rPr>
        <w:t>,</w:t>
      </w:r>
      <w:r w:rsidR="00510162">
        <w:rPr>
          <w:rFonts w:ascii="Times New Roman" w:hAnsi="Times New Roman" w:cs="Times New Roman"/>
          <w:sz w:val="24"/>
          <w:szCs w:val="24"/>
          <w:lang w:val="en-US"/>
        </w:rPr>
        <w:t xml:space="preserve"> to some extent</w:t>
      </w:r>
      <w:r w:rsidR="008A120B">
        <w:rPr>
          <w:rFonts w:ascii="Times New Roman" w:hAnsi="Times New Roman" w:cs="Times New Roman"/>
          <w:sz w:val="24"/>
          <w:szCs w:val="24"/>
          <w:lang w:val="en-US"/>
        </w:rPr>
        <w:t>,</w:t>
      </w:r>
      <w:r w:rsidR="00510162">
        <w:rPr>
          <w:rFonts w:ascii="Times New Roman" w:hAnsi="Times New Roman" w:cs="Times New Roman"/>
          <w:sz w:val="24"/>
          <w:szCs w:val="24"/>
          <w:lang w:val="en-US"/>
        </w:rPr>
        <w:t xml:space="preserve"> been captured by the powerful </w:t>
      </w:r>
      <w:r w:rsidR="008A120B">
        <w:rPr>
          <w:rFonts w:ascii="Times New Roman" w:hAnsi="Times New Roman" w:cs="Times New Roman"/>
          <w:sz w:val="24"/>
          <w:szCs w:val="24"/>
          <w:lang w:val="en-US"/>
        </w:rPr>
        <w:t>‘</w:t>
      </w:r>
      <w:r w:rsidR="00510162">
        <w:rPr>
          <w:rFonts w:ascii="Times New Roman" w:hAnsi="Times New Roman" w:cs="Times New Roman"/>
          <w:sz w:val="24"/>
          <w:szCs w:val="24"/>
          <w:lang w:val="en-US"/>
        </w:rPr>
        <w:t>big end</w:t>
      </w:r>
      <w:r w:rsidR="008A120B">
        <w:rPr>
          <w:rFonts w:ascii="Times New Roman" w:hAnsi="Times New Roman" w:cs="Times New Roman"/>
          <w:sz w:val="24"/>
          <w:szCs w:val="24"/>
          <w:lang w:val="en-US"/>
        </w:rPr>
        <w:t>’</w:t>
      </w:r>
      <w:r w:rsidR="00510162">
        <w:rPr>
          <w:rFonts w:ascii="Times New Roman" w:hAnsi="Times New Roman" w:cs="Times New Roman"/>
          <w:sz w:val="24"/>
          <w:szCs w:val="24"/>
          <w:lang w:val="en-US"/>
        </w:rPr>
        <w:t xml:space="preserve"> of town, failing to tackle the shortcomings of the major banks and focusing instead on small operators that were easier and cheaper to prosecute.</w:t>
      </w:r>
      <w:r w:rsidR="00510162">
        <w:rPr>
          <w:rStyle w:val="FootnoteReference"/>
          <w:rFonts w:ascii="Times New Roman" w:hAnsi="Times New Roman" w:cs="Times New Roman"/>
          <w:sz w:val="24"/>
          <w:szCs w:val="24"/>
          <w:lang w:val="en-US"/>
        </w:rPr>
        <w:footnoteReference w:id="130"/>
      </w:r>
      <w:r w:rsidR="00510162">
        <w:rPr>
          <w:rFonts w:ascii="Times New Roman" w:hAnsi="Times New Roman" w:cs="Times New Roman"/>
          <w:sz w:val="24"/>
          <w:szCs w:val="24"/>
          <w:lang w:val="en-US"/>
        </w:rPr>
        <w:t xml:space="preserve">  </w:t>
      </w:r>
      <w:r w:rsidR="00A22697">
        <w:rPr>
          <w:rFonts w:ascii="Times New Roman" w:hAnsi="Times New Roman" w:cs="Times New Roman"/>
          <w:sz w:val="24"/>
          <w:szCs w:val="24"/>
          <w:lang w:val="en-US"/>
        </w:rPr>
        <w:t xml:space="preserve">Learnings from post-GFC literature would suggest that </w:t>
      </w:r>
      <w:r w:rsidR="00503329">
        <w:rPr>
          <w:rFonts w:ascii="Times New Roman" w:hAnsi="Times New Roman" w:cs="Times New Roman"/>
          <w:sz w:val="24"/>
          <w:szCs w:val="24"/>
          <w:lang w:val="en-US"/>
        </w:rPr>
        <w:t>a</w:t>
      </w:r>
      <w:r w:rsidR="00A22697">
        <w:rPr>
          <w:rFonts w:ascii="Times New Roman" w:hAnsi="Times New Roman" w:cs="Times New Roman"/>
          <w:sz w:val="24"/>
          <w:szCs w:val="24"/>
          <w:lang w:val="en-US"/>
        </w:rPr>
        <w:t xml:space="preserve"> new oversight body </w:t>
      </w:r>
      <w:r w:rsidR="006C2F6E">
        <w:rPr>
          <w:rFonts w:ascii="Times New Roman" w:hAnsi="Times New Roman" w:cs="Times New Roman"/>
          <w:sz w:val="24"/>
          <w:szCs w:val="24"/>
          <w:lang w:val="en-US"/>
        </w:rPr>
        <w:t>could have an important role</w:t>
      </w:r>
      <w:r w:rsidR="00273B93">
        <w:rPr>
          <w:rFonts w:ascii="Times New Roman" w:hAnsi="Times New Roman" w:cs="Times New Roman"/>
          <w:sz w:val="24"/>
          <w:szCs w:val="24"/>
          <w:lang w:val="en-US"/>
        </w:rPr>
        <w:t xml:space="preserve"> in monitoring against</w:t>
      </w:r>
      <w:r w:rsidR="00A22697">
        <w:rPr>
          <w:rFonts w:ascii="Times New Roman" w:hAnsi="Times New Roman" w:cs="Times New Roman"/>
          <w:sz w:val="24"/>
          <w:szCs w:val="24"/>
          <w:lang w:val="en-US"/>
        </w:rPr>
        <w:t xml:space="preserve"> ‘regulatory capture’ and ought to carefully consider the composition of ASIC and APRA’s governing bodies through the lens of power and politics.</w:t>
      </w:r>
    </w:p>
    <w:p w14:paraId="3B441B35" w14:textId="24294CE7" w:rsidR="00A22697" w:rsidRDefault="00605E44"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Indeed, </w:t>
      </w:r>
      <w:r w:rsidR="00A22697">
        <w:rPr>
          <w:rFonts w:ascii="Times New Roman" w:hAnsi="Times New Roman" w:cs="Times New Roman"/>
          <w:sz w:val="24"/>
          <w:szCs w:val="24"/>
          <w:lang w:val="en-US"/>
        </w:rPr>
        <w:t>Commis</w:t>
      </w:r>
      <w:r w:rsidR="00E66F72">
        <w:rPr>
          <w:rFonts w:ascii="Times New Roman" w:hAnsi="Times New Roman" w:cs="Times New Roman"/>
          <w:sz w:val="24"/>
          <w:szCs w:val="24"/>
          <w:lang w:val="en-US"/>
        </w:rPr>
        <w:t>s</w:t>
      </w:r>
      <w:r w:rsidR="00A22697">
        <w:rPr>
          <w:rFonts w:ascii="Times New Roman" w:hAnsi="Times New Roman" w:cs="Times New Roman"/>
          <w:sz w:val="24"/>
          <w:szCs w:val="24"/>
          <w:lang w:val="en-US"/>
        </w:rPr>
        <w:t xml:space="preserve">ioner Hayne </w:t>
      </w:r>
      <w:r w:rsidR="00510162">
        <w:rPr>
          <w:rFonts w:ascii="Times New Roman" w:hAnsi="Times New Roman" w:cs="Times New Roman"/>
          <w:sz w:val="24"/>
          <w:szCs w:val="24"/>
          <w:lang w:val="en-US"/>
        </w:rPr>
        <w:t>expressly referred to</w:t>
      </w:r>
      <w:r w:rsidR="00A22697">
        <w:rPr>
          <w:rFonts w:ascii="Times New Roman" w:hAnsi="Times New Roman" w:cs="Times New Roman"/>
          <w:sz w:val="24"/>
          <w:szCs w:val="24"/>
          <w:lang w:val="en-US"/>
        </w:rPr>
        <w:t xml:space="preserve"> theories concerning </w:t>
      </w:r>
      <w:r w:rsidR="00273B93">
        <w:rPr>
          <w:rFonts w:ascii="Times New Roman" w:hAnsi="Times New Roman" w:cs="Times New Roman"/>
          <w:sz w:val="24"/>
          <w:szCs w:val="24"/>
          <w:lang w:val="en-US"/>
        </w:rPr>
        <w:t xml:space="preserve">regulatory </w:t>
      </w:r>
      <w:r w:rsidR="00A22697">
        <w:rPr>
          <w:rFonts w:ascii="Times New Roman" w:hAnsi="Times New Roman" w:cs="Times New Roman"/>
          <w:sz w:val="24"/>
          <w:szCs w:val="24"/>
          <w:lang w:val="en-US"/>
        </w:rPr>
        <w:t xml:space="preserve">capture in discussing ASIC’s </w:t>
      </w:r>
      <w:r w:rsidR="00F85F34">
        <w:rPr>
          <w:rFonts w:ascii="Times New Roman" w:hAnsi="Times New Roman" w:cs="Times New Roman"/>
          <w:sz w:val="24"/>
          <w:szCs w:val="24"/>
          <w:lang w:val="en-US"/>
        </w:rPr>
        <w:t>enforcement style.</w:t>
      </w:r>
      <w:r w:rsidR="00F85F34">
        <w:rPr>
          <w:rStyle w:val="FootnoteReference"/>
          <w:rFonts w:ascii="Times New Roman" w:hAnsi="Times New Roman" w:cs="Times New Roman"/>
          <w:sz w:val="24"/>
          <w:szCs w:val="24"/>
          <w:lang w:val="en-US"/>
        </w:rPr>
        <w:footnoteReference w:id="131"/>
      </w:r>
      <w:r w:rsidR="00F85F34">
        <w:rPr>
          <w:rFonts w:ascii="Times New Roman" w:hAnsi="Times New Roman" w:cs="Times New Roman"/>
          <w:sz w:val="24"/>
          <w:szCs w:val="24"/>
          <w:lang w:val="en-US"/>
        </w:rPr>
        <w:t xml:space="preserve">  </w:t>
      </w:r>
      <w:r w:rsidR="00510162">
        <w:rPr>
          <w:rFonts w:ascii="Times New Roman" w:hAnsi="Times New Roman" w:cs="Times New Roman"/>
          <w:sz w:val="24"/>
          <w:szCs w:val="24"/>
          <w:lang w:val="en-US"/>
        </w:rPr>
        <w:t>H</w:t>
      </w:r>
      <w:r w:rsidR="00F85F34">
        <w:rPr>
          <w:rFonts w:ascii="Times New Roman" w:hAnsi="Times New Roman" w:cs="Times New Roman"/>
          <w:sz w:val="24"/>
          <w:szCs w:val="24"/>
          <w:lang w:val="en-US"/>
        </w:rPr>
        <w:t>e questioned ASIC’s heavy reliance on negotiated compliance rather than public denunciation and punishment.</w:t>
      </w:r>
      <w:r w:rsidR="00F85F34">
        <w:rPr>
          <w:rStyle w:val="FootnoteReference"/>
          <w:rFonts w:ascii="Times New Roman" w:hAnsi="Times New Roman" w:cs="Times New Roman"/>
          <w:sz w:val="24"/>
          <w:szCs w:val="24"/>
          <w:lang w:val="en-US"/>
        </w:rPr>
        <w:footnoteReference w:id="132"/>
      </w:r>
      <w:r w:rsidR="00ED0030">
        <w:rPr>
          <w:rFonts w:ascii="Times New Roman" w:hAnsi="Times New Roman" w:cs="Times New Roman"/>
          <w:sz w:val="24"/>
          <w:szCs w:val="24"/>
          <w:lang w:val="en-US"/>
        </w:rPr>
        <w:t xml:space="preserve">  </w:t>
      </w:r>
      <w:r w:rsidR="00510162">
        <w:rPr>
          <w:rFonts w:ascii="Times New Roman" w:hAnsi="Times New Roman" w:cs="Times New Roman"/>
          <w:sz w:val="24"/>
          <w:szCs w:val="24"/>
          <w:lang w:val="en-US"/>
        </w:rPr>
        <w:t xml:space="preserve">As this paper has revealed, regulatory failures often result from the way discretion has been exercised within the existing regulatory system rather than the system itself.  </w:t>
      </w:r>
      <w:r w:rsidR="00ED0030">
        <w:rPr>
          <w:rFonts w:ascii="Times New Roman" w:hAnsi="Times New Roman" w:cs="Times New Roman"/>
          <w:sz w:val="24"/>
          <w:szCs w:val="24"/>
          <w:lang w:val="en-US"/>
        </w:rPr>
        <w:t xml:space="preserve">Although </w:t>
      </w:r>
      <w:r w:rsidR="00510162">
        <w:rPr>
          <w:rFonts w:ascii="Times New Roman" w:hAnsi="Times New Roman" w:cs="Times New Roman"/>
          <w:sz w:val="24"/>
          <w:szCs w:val="24"/>
          <w:lang w:val="en-US"/>
        </w:rPr>
        <w:t>Hayne</w:t>
      </w:r>
      <w:r w:rsidR="00ED0030">
        <w:rPr>
          <w:rFonts w:ascii="Times New Roman" w:hAnsi="Times New Roman" w:cs="Times New Roman"/>
          <w:sz w:val="24"/>
          <w:szCs w:val="24"/>
          <w:lang w:val="en-US"/>
        </w:rPr>
        <w:t xml:space="preserve"> considered transferring ASIC’s civil penalty enforcement powers to an independent </w:t>
      </w:r>
      <w:r w:rsidR="005E0B4C">
        <w:rPr>
          <w:rFonts w:ascii="Times New Roman" w:hAnsi="Times New Roman" w:cs="Times New Roman"/>
          <w:sz w:val="24"/>
          <w:szCs w:val="24"/>
          <w:lang w:val="en-US"/>
        </w:rPr>
        <w:t>agency he decided against this on the basis of ASICs acknowledgement of a need for significant changes to its enforcement culture.</w:t>
      </w:r>
      <w:r w:rsidR="005E0B4C">
        <w:rPr>
          <w:rStyle w:val="FootnoteReference"/>
          <w:rFonts w:ascii="Times New Roman" w:hAnsi="Times New Roman" w:cs="Times New Roman"/>
          <w:sz w:val="24"/>
          <w:szCs w:val="24"/>
          <w:lang w:val="en-US"/>
        </w:rPr>
        <w:footnoteReference w:id="133"/>
      </w:r>
      <w:r w:rsidR="005E0B4C">
        <w:rPr>
          <w:rFonts w:ascii="Times New Roman" w:hAnsi="Times New Roman" w:cs="Times New Roman"/>
          <w:sz w:val="24"/>
          <w:szCs w:val="24"/>
          <w:lang w:val="en-US"/>
        </w:rPr>
        <w:t xml:space="preserve"> </w:t>
      </w:r>
      <w:r w:rsidR="00273B93">
        <w:rPr>
          <w:rFonts w:ascii="Times New Roman" w:hAnsi="Times New Roman" w:cs="Times New Roman"/>
          <w:sz w:val="24"/>
          <w:szCs w:val="24"/>
          <w:lang w:val="en-US"/>
        </w:rPr>
        <w:t xml:space="preserve"> </w:t>
      </w:r>
      <w:r w:rsidR="005E0B4C">
        <w:rPr>
          <w:rFonts w:ascii="Times New Roman" w:hAnsi="Times New Roman" w:cs="Times New Roman"/>
          <w:sz w:val="24"/>
          <w:szCs w:val="24"/>
          <w:lang w:val="en-US"/>
        </w:rPr>
        <w:t xml:space="preserve">It will be vital for </w:t>
      </w:r>
      <w:r w:rsidR="00503329">
        <w:rPr>
          <w:rFonts w:ascii="Times New Roman" w:hAnsi="Times New Roman" w:cs="Times New Roman"/>
          <w:sz w:val="24"/>
          <w:szCs w:val="24"/>
          <w:lang w:val="en-US"/>
        </w:rPr>
        <w:t>any</w:t>
      </w:r>
      <w:r w:rsidR="005E0B4C">
        <w:rPr>
          <w:rFonts w:ascii="Times New Roman" w:hAnsi="Times New Roman" w:cs="Times New Roman"/>
          <w:sz w:val="24"/>
          <w:szCs w:val="24"/>
          <w:lang w:val="en-US"/>
        </w:rPr>
        <w:t xml:space="preserve"> new oversight body to remain vigilant against regulatory capture and the effects of power and politics on enforcement strategy.  The Royal Commission referred many times to Braithwaite’s pyramid of responsive regulation and there was consensus that </w:t>
      </w:r>
      <w:r w:rsidR="00776F79">
        <w:rPr>
          <w:rFonts w:ascii="Times New Roman" w:hAnsi="Times New Roman" w:cs="Times New Roman"/>
          <w:sz w:val="24"/>
          <w:szCs w:val="24"/>
          <w:lang w:val="en-US"/>
        </w:rPr>
        <w:t>although negotiated settlements have their uses, banks must feel threatened by court action if they are to take financial regulation seriously.</w:t>
      </w:r>
      <w:r w:rsidR="00166D06">
        <w:rPr>
          <w:rStyle w:val="FootnoteReference"/>
          <w:rFonts w:ascii="Times New Roman" w:hAnsi="Times New Roman" w:cs="Times New Roman"/>
          <w:sz w:val="24"/>
          <w:szCs w:val="24"/>
          <w:lang w:val="en-US"/>
        </w:rPr>
        <w:footnoteReference w:id="134"/>
      </w:r>
      <w:r w:rsidR="00510162">
        <w:rPr>
          <w:rFonts w:ascii="Times New Roman" w:hAnsi="Times New Roman" w:cs="Times New Roman"/>
          <w:sz w:val="24"/>
          <w:szCs w:val="24"/>
          <w:lang w:val="en-US"/>
        </w:rPr>
        <w:t xml:space="preserve"> If ASIC </w:t>
      </w:r>
      <w:r w:rsidR="00640BAC">
        <w:rPr>
          <w:rFonts w:ascii="Times New Roman" w:hAnsi="Times New Roman" w:cs="Times New Roman"/>
          <w:sz w:val="24"/>
          <w:szCs w:val="24"/>
          <w:lang w:val="en-US"/>
        </w:rPr>
        <w:t>is</w:t>
      </w:r>
      <w:r w:rsidR="00510162">
        <w:rPr>
          <w:rFonts w:ascii="Times New Roman" w:hAnsi="Times New Roman" w:cs="Times New Roman"/>
          <w:sz w:val="24"/>
          <w:szCs w:val="24"/>
          <w:lang w:val="en-US"/>
        </w:rPr>
        <w:t xml:space="preserve"> to retain discretion over enforcement strategy </w:t>
      </w:r>
      <w:r w:rsidR="00640BAC">
        <w:rPr>
          <w:rFonts w:ascii="Times New Roman" w:hAnsi="Times New Roman" w:cs="Times New Roman"/>
          <w:sz w:val="24"/>
          <w:szCs w:val="24"/>
          <w:lang w:val="en-US"/>
        </w:rPr>
        <w:t>its choices</w:t>
      </w:r>
      <w:r w:rsidR="00510162">
        <w:rPr>
          <w:rFonts w:ascii="Times New Roman" w:hAnsi="Times New Roman" w:cs="Times New Roman"/>
          <w:sz w:val="24"/>
          <w:szCs w:val="24"/>
          <w:lang w:val="en-US"/>
        </w:rPr>
        <w:t xml:space="preserve"> must be closely monitored.</w:t>
      </w:r>
    </w:p>
    <w:p w14:paraId="0B41D1B5" w14:textId="5EB29B31" w:rsidR="00166D06" w:rsidRDefault="003922D7"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Other changes to regulatory mechanisms can be seen in the Commission’s recommendations</w:t>
      </w:r>
      <w:r w:rsidR="008D44AD">
        <w:rPr>
          <w:rFonts w:ascii="Times New Roman" w:hAnsi="Times New Roman" w:cs="Times New Roman"/>
          <w:sz w:val="24"/>
          <w:szCs w:val="24"/>
          <w:lang w:val="en-US"/>
        </w:rPr>
        <w:t xml:space="preserve"> regarding industry codes</w:t>
      </w:r>
      <w:r>
        <w:rPr>
          <w:rFonts w:ascii="Times New Roman" w:hAnsi="Times New Roman" w:cs="Times New Roman"/>
          <w:sz w:val="24"/>
          <w:szCs w:val="24"/>
          <w:lang w:val="en-US"/>
        </w:rPr>
        <w:t xml:space="preserve">.  </w:t>
      </w:r>
      <w:r w:rsidR="008D44AD">
        <w:rPr>
          <w:rFonts w:ascii="Times New Roman" w:hAnsi="Times New Roman" w:cs="Times New Roman"/>
          <w:sz w:val="24"/>
          <w:szCs w:val="24"/>
          <w:lang w:val="en-US"/>
        </w:rPr>
        <w:t xml:space="preserve">Hayne concluded that </w:t>
      </w:r>
      <w:r w:rsidR="00273B93">
        <w:rPr>
          <w:rFonts w:ascii="Times New Roman" w:hAnsi="Times New Roman" w:cs="Times New Roman"/>
          <w:sz w:val="24"/>
          <w:szCs w:val="24"/>
          <w:lang w:val="en-US"/>
        </w:rPr>
        <w:t>industry</w:t>
      </w:r>
      <w:r w:rsidR="00166D06">
        <w:rPr>
          <w:rFonts w:ascii="Times New Roman" w:hAnsi="Times New Roman" w:cs="Times New Roman"/>
          <w:sz w:val="24"/>
          <w:szCs w:val="24"/>
          <w:lang w:val="en-US"/>
        </w:rPr>
        <w:t xml:space="preserve"> self-regula</w:t>
      </w:r>
      <w:r w:rsidR="00510162">
        <w:rPr>
          <w:rFonts w:ascii="Times New Roman" w:hAnsi="Times New Roman" w:cs="Times New Roman"/>
          <w:sz w:val="24"/>
          <w:szCs w:val="24"/>
          <w:lang w:val="en-US"/>
        </w:rPr>
        <w:t>tion in the form of codes,</w:t>
      </w:r>
      <w:r w:rsidR="00166D06">
        <w:rPr>
          <w:rFonts w:ascii="Times New Roman" w:hAnsi="Times New Roman" w:cs="Times New Roman"/>
          <w:sz w:val="24"/>
          <w:szCs w:val="24"/>
          <w:lang w:val="en-US"/>
        </w:rPr>
        <w:t xml:space="preserve"> such as the Banking Code, should become enforceable.  </w:t>
      </w:r>
      <w:r w:rsidR="008D0E5E">
        <w:rPr>
          <w:rFonts w:ascii="Times New Roman" w:hAnsi="Times New Roman" w:cs="Times New Roman"/>
          <w:sz w:val="24"/>
          <w:szCs w:val="24"/>
          <w:lang w:val="en-US"/>
        </w:rPr>
        <w:t>Academic t</w:t>
      </w:r>
      <w:r w:rsidR="00DF7C34">
        <w:rPr>
          <w:rFonts w:ascii="Times New Roman" w:hAnsi="Times New Roman" w:cs="Times New Roman"/>
          <w:sz w:val="24"/>
          <w:szCs w:val="24"/>
          <w:lang w:val="en-US"/>
        </w:rPr>
        <w:t xml:space="preserve">heories of new governance, particularly the concept of meta-regulation, help to explain these </w:t>
      </w:r>
      <w:r w:rsidR="008D0E5E">
        <w:rPr>
          <w:rFonts w:ascii="Times New Roman" w:hAnsi="Times New Roman" w:cs="Times New Roman"/>
          <w:sz w:val="24"/>
          <w:szCs w:val="24"/>
          <w:lang w:val="en-US"/>
        </w:rPr>
        <w:t xml:space="preserve">practical </w:t>
      </w:r>
      <w:r w:rsidR="00DF7C34">
        <w:rPr>
          <w:rFonts w:ascii="Times New Roman" w:hAnsi="Times New Roman" w:cs="Times New Roman"/>
          <w:sz w:val="24"/>
          <w:szCs w:val="24"/>
          <w:lang w:val="en-US"/>
        </w:rPr>
        <w:t>developments.  Financial regulation is becoming increasingly layered such that industry codes are approved and monitored by some sort of supervisory body and non-compliance can</w:t>
      </w:r>
      <w:r>
        <w:rPr>
          <w:rFonts w:ascii="Times New Roman" w:hAnsi="Times New Roman" w:cs="Times New Roman"/>
          <w:sz w:val="24"/>
          <w:szCs w:val="24"/>
          <w:lang w:val="en-US"/>
        </w:rPr>
        <w:t xml:space="preserve"> then</w:t>
      </w:r>
      <w:r w:rsidR="00DF7C34">
        <w:rPr>
          <w:rFonts w:ascii="Times New Roman" w:hAnsi="Times New Roman" w:cs="Times New Roman"/>
          <w:sz w:val="24"/>
          <w:szCs w:val="24"/>
          <w:lang w:val="en-US"/>
        </w:rPr>
        <w:t xml:space="preserve"> result in </w:t>
      </w:r>
      <w:r w:rsidR="00DF7C34">
        <w:rPr>
          <w:rFonts w:ascii="Times New Roman" w:hAnsi="Times New Roman" w:cs="Times New Roman"/>
          <w:sz w:val="24"/>
          <w:szCs w:val="24"/>
          <w:lang w:val="en-US"/>
        </w:rPr>
        <w:lastRenderedPageBreak/>
        <w:t>sanctions</w:t>
      </w:r>
      <w:r w:rsidR="005E625D">
        <w:rPr>
          <w:rFonts w:ascii="Times New Roman" w:hAnsi="Times New Roman" w:cs="Times New Roman"/>
          <w:sz w:val="24"/>
          <w:szCs w:val="24"/>
          <w:lang w:val="en-US"/>
        </w:rPr>
        <w:t>,</w:t>
      </w:r>
      <w:r w:rsidR="00DF7C34">
        <w:rPr>
          <w:rFonts w:ascii="Times New Roman" w:hAnsi="Times New Roman" w:cs="Times New Roman"/>
          <w:sz w:val="24"/>
          <w:szCs w:val="24"/>
          <w:lang w:val="en-US"/>
        </w:rPr>
        <w:t xml:space="preserve"> whether these be implemented through contracts or public law.</w:t>
      </w:r>
      <w:r w:rsidR="00DF7C34">
        <w:rPr>
          <w:rStyle w:val="FootnoteReference"/>
          <w:rFonts w:ascii="Times New Roman" w:hAnsi="Times New Roman" w:cs="Times New Roman"/>
          <w:sz w:val="24"/>
          <w:szCs w:val="24"/>
          <w:lang w:val="en-US"/>
        </w:rPr>
        <w:footnoteReference w:id="135"/>
      </w:r>
      <w:r>
        <w:rPr>
          <w:rFonts w:ascii="Times New Roman" w:hAnsi="Times New Roman" w:cs="Times New Roman"/>
          <w:sz w:val="24"/>
          <w:szCs w:val="24"/>
          <w:lang w:val="en-US"/>
        </w:rPr>
        <w:t xml:space="preserve">  </w:t>
      </w:r>
      <w:r w:rsidR="00510162">
        <w:rPr>
          <w:rFonts w:ascii="Times New Roman" w:hAnsi="Times New Roman" w:cs="Times New Roman"/>
          <w:sz w:val="24"/>
          <w:szCs w:val="24"/>
          <w:lang w:val="en-US"/>
        </w:rPr>
        <w:t>Here we see a shift in the balance from private self-regulation to public enforcement yet in a responsive way</w:t>
      </w:r>
      <w:r w:rsidR="008D0E5E">
        <w:rPr>
          <w:rFonts w:ascii="Times New Roman" w:hAnsi="Times New Roman" w:cs="Times New Roman"/>
          <w:sz w:val="24"/>
          <w:szCs w:val="24"/>
          <w:lang w:val="en-US"/>
        </w:rPr>
        <w:t>,</w:t>
      </w:r>
      <w:r w:rsidR="00510162">
        <w:rPr>
          <w:rFonts w:ascii="Times New Roman" w:hAnsi="Times New Roman" w:cs="Times New Roman"/>
          <w:sz w:val="24"/>
          <w:szCs w:val="24"/>
          <w:lang w:val="en-US"/>
        </w:rPr>
        <w:t xml:space="preserve"> </w:t>
      </w:r>
      <w:r w:rsidR="008D0E5E">
        <w:rPr>
          <w:rFonts w:ascii="Times New Roman" w:hAnsi="Times New Roman" w:cs="Times New Roman"/>
          <w:sz w:val="24"/>
          <w:szCs w:val="24"/>
          <w:lang w:val="en-US"/>
        </w:rPr>
        <w:t xml:space="preserve">designed </w:t>
      </w:r>
      <w:r w:rsidR="005E625D">
        <w:rPr>
          <w:rFonts w:ascii="Times New Roman" w:hAnsi="Times New Roman" w:cs="Times New Roman"/>
          <w:sz w:val="24"/>
          <w:szCs w:val="24"/>
          <w:lang w:val="en-US"/>
        </w:rPr>
        <w:t>such that</w:t>
      </w:r>
      <w:r w:rsidR="008D0E5E">
        <w:rPr>
          <w:rFonts w:ascii="Times New Roman" w:hAnsi="Times New Roman" w:cs="Times New Roman"/>
          <w:sz w:val="24"/>
          <w:szCs w:val="24"/>
          <w:lang w:val="en-US"/>
        </w:rPr>
        <w:t xml:space="preserve"> the</w:t>
      </w:r>
      <w:r w:rsidR="00BE307C">
        <w:rPr>
          <w:rFonts w:ascii="Times New Roman" w:hAnsi="Times New Roman" w:cs="Times New Roman"/>
          <w:sz w:val="24"/>
          <w:szCs w:val="24"/>
          <w:lang w:val="en-US"/>
        </w:rPr>
        <w:t xml:space="preserve"> stricter sanctions</w:t>
      </w:r>
      <w:r w:rsidR="005E625D">
        <w:rPr>
          <w:rFonts w:ascii="Times New Roman" w:hAnsi="Times New Roman" w:cs="Times New Roman"/>
          <w:sz w:val="24"/>
          <w:szCs w:val="24"/>
          <w:lang w:val="en-US"/>
        </w:rPr>
        <w:t xml:space="preserve"> are used</w:t>
      </w:r>
      <w:r w:rsidR="00BE307C">
        <w:rPr>
          <w:rFonts w:ascii="Times New Roman" w:hAnsi="Times New Roman" w:cs="Times New Roman"/>
          <w:sz w:val="24"/>
          <w:szCs w:val="24"/>
          <w:lang w:val="en-US"/>
        </w:rPr>
        <w:t xml:space="preserve"> only </w:t>
      </w:r>
      <w:r w:rsidR="008D0E5E">
        <w:rPr>
          <w:rFonts w:ascii="Times New Roman" w:hAnsi="Times New Roman" w:cs="Times New Roman"/>
          <w:sz w:val="24"/>
          <w:szCs w:val="24"/>
          <w:lang w:val="en-US"/>
        </w:rPr>
        <w:t>when</w:t>
      </w:r>
      <w:r w:rsidR="00BE307C">
        <w:rPr>
          <w:rFonts w:ascii="Times New Roman" w:hAnsi="Times New Roman" w:cs="Times New Roman"/>
          <w:sz w:val="24"/>
          <w:szCs w:val="24"/>
          <w:lang w:val="en-US"/>
        </w:rPr>
        <w:t xml:space="preserve"> </w:t>
      </w:r>
      <w:r w:rsidR="008D0E5E">
        <w:rPr>
          <w:rFonts w:ascii="Times New Roman" w:hAnsi="Times New Roman" w:cs="Times New Roman"/>
          <w:sz w:val="24"/>
          <w:szCs w:val="24"/>
          <w:lang w:val="en-US"/>
        </w:rPr>
        <w:t>other options fail</w:t>
      </w:r>
      <w:r w:rsidR="00BE307C">
        <w:rPr>
          <w:rFonts w:ascii="Times New Roman" w:hAnsi="Times New Roman" w:cs="Times New Roman"/>
          <w:sz w:val="24"/>
          <w:szCs w:val="24"/>
          <w:lang w:val="en-US"/>
        </w:rPr>
        <w:t>.</w:t>
      </w:r>
      <w:r w:rsidR="00BE307C">
        <w:rPr>
          <w:rStyle w:val="FootnoteReference"/>
          <w:rFonts w:ascii="Times New Roman" w:hAnsi="Times New Roman" w:cs="Times New Roman"/>
          <w:sz w:val="24"/>
          <w:szCs w:val="24"/>
          <w:lang w:val="en-US"/>
        </w:rPr>
        <w:footnoteReference w:id="136"/>
      </w:r>
    </w:p>
    <w:p w14:paraId="6598C965" w14:textId="77C4486D" w:rsidR="00E8093A" w:rsidRDefault="00640BAC"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Problems around implementation of regulation were also revealed by the</w:t>
      </w:r>
      <w:r w:rsidR="00605E44">
        <w:rPr>
          <w:rFonts w:ascii="Times New Roman" w:hAnsi="Times New Roman" w:cs="Times New Roman"/>
          <w:sz w:val="24"/>
          <w:szCs w:val="24"/>
          <w:lang w:val="en-US"/>
        </w:rPr>
        <w:t xml:space="preserve"> Royal</w:t>
      </w:r>
      <w:r>
        <w:rPr>
          <w:rFonts w:ascii="Times New Roman" w:hAnsi="Times New Roman" w:cs="Times New Roman"/>
          <w:sz w:val="24"/>
          <w:szCs w:val="24"/>
          <w:lang w:val="en-US"/>
        </w:rPr>
        <w:t xml:space="preserve"> Commission.  </w:t>
      </w:r>
      <w:r w:rsidR="00E8093A">
        <w:rPr>
          <w:rFonts w:ascii="Times New Roman" w:hAnsi="Times New Roman" w:cs="Times New Roman"/>
          <w:sz w:val="24"/>
          <w:szCs w:val="24"/>
          <w:lang w:val="en-US"/>
        </w:rPr>
        <w:t xml:space="preserve">Although post-GFC there was much activity internationally around improving culture and remuneration systems, these issues </w:t>
      </w:r>
      <w:r>
        <w:rPr>
          <w:rFonts w:ascii="Times New Roman" w:hAnsi="Times New Roman" w:cs="Times New Roman"/>
          <w:sz w:val="24"/>
          <w:szCs w:val="24"/>
          <w:lang w:val="en-US"/>
        </w:rPr>
        <w:t>were</w:t>
      </w:r>
      <w:r w:rsidR="00605E44">
        <w:rPr>
          <w:rFonts w:ascii="Times New Roman" w:hAnsi="Times New Roman" w:cs="Times New Roman"/>
          <w:sz w:val="24"/>
          <w:szCs w:val="24"/>
          <w:lang w:val="en-US"/>
        </w:rPr>
        <w:t xml:space="preserve"> still</w:t>
      </w:r>
      <w:r w:rsidR="00E8093A">
        <w:rPr>
          <w:rFonts w:ascii="Times New Roman" w:hAnsi="Times New Roman" w:cs="Times New Roman"/>
          <w:sz w:val="24"/>
          <w:szCs w:val="24"/>
          <w:lang w:val="en-US"/>
        </w:rPr>
        <w:t xml:space="preserve"> found to be at the core of misconduct in Australia.  </w:t>
      </w:r>
      <w:r>
        <w:rPr>
          <w:rFonts w:ascii="Times New Roman" w:hAnsi="Times New Roman" w:cs="Times New Roman"/>
          <w:sz w:val="24"/>
          <w:szCs w:val="24"/>
          <w:lang w:val="en-US"/>
        </w:rPr>
        <w:t>Commissioner Hayne observed that misconduct stemmed from at least four issues: firstly reward systems that incentivised pursuit of profit to the detriment of consumers, secondly, power imbalances due to information asymmetry between advisers and clients which were taken advantage of; thirdly conflicts of interest that were not managed; and lastly individuals and entities who were not held to account.</w:t>
      </w:r>
      <w:r>
        <w:rPr>
          <w:rStyle w:val="FootnoteReference"/>
          <w:rFonts w:ascii="Times New Roman" w:hAnsi="Times New Roman" w:cs="Times New Roman"/>
          <w:sz w:val="24"/>
          <w:szCs w:val="24"/>
          <w:lang w:val="en-US"/>
        </w:rPr>
        <w:footnoteReference w:id="137"/>
      </w:r>
      <w:r>
        <w:rPr>
          <w:rFonts w:ascii="Times New Roman" w:hAnsi="Times New Roman" w:cs="Times New Roman"/>
          <w:sz w:val="24"/>
          <w:szCs w:val="24"/>
          <w:lang w:val="en-US"/>
        </w:rPr>
        <w:t xml:space="preserve">  We must first discuss the problems around reward systems because they have been raised so many times before.</w:t>
      </w:r>
      <w:r w:rsidR="00FC5520">
        <w:rPr>
          <w:rStyle w:val="FootnoteReference"/>
          <w:rFonts w:ascii="Times New Roman" w:hAnsi="Times New Roman" w:cs="Times New Roman"/>
          <w:sz w:val="24"/>
          <w:szCs w:val="24"/>
          <w:lang w:val="en-US"/>
        </w:rPr>
        <w:footnoteReference w:id="138"/>
      </w:r>
      <w:r>
        <w:rPr>
          <w:rFonts w:ascii="Times New Roman" w:hAnsi="Times New Roman" w:cs="Times New Roman"/>
          <w:sz w:val="24"/>
          <w:szCs w:val="24"/>
          <w:lang w:val="en-US"/>
        </w:rPr>
        <w:t xml:space="preserve">  Why are incentive schemes still promoting bad behaviour despite significant international</w:t>
      </w:r>
      <w:r w:rsidR="00C850B9">
        <w:rPr>
          <w:rFonts w:ascii="Times New Roman" w:hAnsi="Times New Roman" w:cs="Times New Roman"/>
          <w:sz w:val="24"/>
          <w:szCs w:val="24"/>
          <w:lang w:val="en-US"/>
        </w:rPr>
        <w:t xml:space="preserve"> and national</w:t>
      </w:r>
      <w:r>
        <w:rPr>
          <w:rFonts w:ascii="Times New Roman" w:hAnsi="Times New Roman" w:cs="Times New Roman"/>
          <w:sz w:val="24"/>
          <w:szCs w:val="24"/>
          <w:lang w:val="en-US"/>
        </w:rPr>
        <w:t xml:space="preserve"> reform efforts?</w:t>
      </w:r>
      <w:r w:rsidR="00C850B9">
        <w:rPr>
          <w:rStyle w:val="FootnoteReference"/>
          <w:rFonts w:ascii="Times New Roman" w:hAnsi="Times New Roman" w:cs="Times New Roman"/>
          <w:sz w:val="24"/>
          <w:szCs w:val="24"/>
          <w:lang w:val="en-US"/>
        </w:rPr>
        <w:footnoteReference w:id="139"/>
      </w:r>
      <w:r>
        <w:rPr>
          <w:rFonts w:ascii="Times New Roman" w:hAnsi="Times New Roman" w:cs="Times New Roman"/>
          <w:sz w:val="24"/>
          <w:szCs w:val="24"/>
          <w:lang w:val="en-US"/>
        </w:rPr>
        <w:t xml:space="preserve">  With </w:t>
      </w:r>
      <w:r w:rsidR="00E8093A">
        <w:rPr>
          <w:rFonts w:ascii="Times New Roman" w:hAnsi="Times New Roman" w:cs="Times New Roman"/>
          <w:sz w:val="24"/>
          <w:szCs w:val="24"/>
          <w:lang w:val="en-US"/>
        </w:rPr>
        <w:t>hindsight it is thought that this was a problem of implementation: that the</w:t>
      </w:r>
      <w:r>
        <w:rPr>
          <w:rFonts w:ascii="Times New Roman" w:hAnsi="Times New Roman" w:cs="Times New Roman"/>
          <w:sz w:val="24"/>
          <w:szCs w:val="24"/>
          <w:lang w:val="en-US"/>
        </w:rPr>
        <w:t xml:space="preserve"> Australian</w:t>
      </w:r>
      <w:r w:rsidR="00E8093A">
        <w:rPr>
          <w:rFonts w:ascii="Times New Roman" w:hAnsi="Times New Roman" w:cs="Times New Roman"/>
          <w:sz w:val="24"/>
          <w:szCs w:val="24"/>
          <w:lang w:val="en-US"/>
        </w:rPr>
        <w:t xml:space="preserve"> finance sector interpreted the FSB</w:t>
      </w:r>
      <w:r w:rsidR="00177099">
        <w:rPr>
          <w:rFonts w:ascii="Times New Roman" w:hAnsi="Times New Roman" w:cs="Times New Roman"/>
          <w:sz w:val="24"/>
          <w:szCs w:val="24"/>
          <w:lang w:val="en-US"/>
        </w:rPr>
        <w:t xml:space="preserve"> principles on Sound Compensation Practices in a narrow way</w:t>
      </w:r>
      <w:r>
        <w:rPr>
          <w:rFonts w:ascii="Times New Roman" w:hAnsi="Times New Roman" w:cs="Times New Roman"/>
          <w:sz w:val="24"/>
          <w:szCs w:val="24"/>
          <w:lang w:val="en-US"/>
        </w:rPr>
        <w:t xml:space="preserve"> (looking primarily at financial rather than non-financial risks)</w:t>
      </w:r>
      <w:r w:rsidR="00177099">
        <w:rPr>
          <w:rFonts w:ascii="Times New Roman" w:hAnsi="Times New Roman" w:cs="Times New Roman"/>
          <w:sz w:val="24"/>
          <w:szCs w:val="24"/>
          <w:lang w:val="en-US"/>
        </w:rPr>
        <w:t xml:space="preserve"> and that this was permitted through a lack of adequate guidance</w:t>
      </w:r>
      <w:r w:rsidR="007B64A3">
        <w:rPr>
          <w:rFonts w:ascii="Times New Roman" w:hAnsi="Times New Roman" w:cs="Times New Roman"/>
          <w:sz w:val="24"/>
          <w:szCs w:val="24"/>
          <w:lang w:val="en-US"/>
        </w:rPr>
        <w:t xml:space="preserve"> from APRA</w:t>
      </w:r>
      <w:r w:rsidR="00177099">
        <w:rPr>
          <w:rFonts w:ascii="Times New Roman" w:hAnsi="Times New Roman" w:cs="Times New Roman"/>
          <w:sz w:val="24"/>
          <w:szCs w:val="24"/>
          <w:lang w:val="en-US"/>
        </w:rPr>
        <w:t>.</w:t>
      </w:r>
      <w:r w:rsidR="00177099">
        <w:rPr>
          <w:rStyle w:val="FootnoteReference"/>
          <w:rFonts w:ascii="Times New Roman" w:hAnsi="Times New Roman" w:cs="Times New Roman"/>
          <w:sz w:val="24"/>
          <w:szCs w:val="24"/>
          <w:lang w:val="en-US"/>
        </w:rPr>
        <w:footnoteReference w:id="140"/>
      </w:r>
      <w:r w:rsidR="00F85F34">
        <w:rPr>
          <w:rFonts w:ascii="Times New Roman" w:hAnsi="Times New Roman" w:cs="Times New Roman"/>
          <w:sz w:val="24"/>
          <w:szCs w:val="24"/>
          <w:lang w:val="en-US"/>
        </w:rPr>
        <w:t xml:space="preserve">  Here we see a strong disadvantage in the vagueness of principals and the level of discretion that they give to their targets.  Learnings from post-G</w:t>
      </w:r>
      <w:r w:rsidR="005E625D">
        <w:rPr>
          <w:rFonts w:ascii="Times New Roman" w:hAnsi="Times New Roman" w:cs="Times New Roman"/>
          <w:sz w:val="24"/>
          <w:szCs w:val="24"/>
          <w:lang w:val="en-US"/>
        </w:rPr>
        <w:t>FC reforms help to classify this, not simply as a problem of drafting style but</w:t>
      </w:r>
      <w:r w:rsidR="00F85F34">
        <w:rPr>
          <w:rFonts w:ascii="Times New Roman" w:hAnsi="Times New Roman" w:cs="Times New Roman"/>
          <w:sz w:val="24"/>
          <w:szCs w:val="24"/>
          <w:lang w:val="en-US"/>
        </w:rPr>
        <w:t xml:space="preserve"> as a failure of outsourcing of implementation</w:t>
      </w:r>
      <w:r w:rsidR="005E625D">
        <w:rPr>
          <w:rFonts w:ascii="Times New Roman" w:hAnsi="Times New Roman" w:cs="Times New Roman"/>
          <w:sz w:val="24"/>
          <w:szCs w:val="24"/>
          <w:lang w:val="en-US"/>
        </w:rPr>
        <w:t>,</w:t>
      </w:r>
      <w:r w:rsidR="00F85F34">
        <w:rPr>
          <w:rFonts w:ascii="Times New Roman" w:hAnsi="Times New Roman" w:cs="Times New Roman"/>
          <w:sz w:val="24"/>
          <w:szCs w:val="24"/>
          <w:lang w:val="en-US"/>
        </w:rPr>
        <w:t xml:space="preserve"> including too much reliance on industry to </w:t>
      </w:r>
      <w:r w:rsidR="00ED0030">
        <w:rPr>
          <w:rFonts w:ascii="Times New Roman" w:hAnsi="Times New Roman" w:cs="Times New Roman"/>
          <w:sz w:val="24"/>
          <w:szCs w:val="24"/>
          <w:lang w:val="en-US"/>
        </w:rPr>
        <w:t xml:space="preserve">interpret risk in its widest sense.  </w:t>
      </w:r>
      <w:r w:rsidR="00FC5520">
        <w:rPr>
          <w:rFonts w:ascii="Times New Roman" w:hAnsi="Times New Roman" w:cs="Times New Roman"/>
          <w:sz w:val="24"/>
          <w:szCs w:val="24"/>
          <w:lang w:val="en-US"/>
        </w:rPr>
        <w:t xml:space="preserve">Zalewska argues that due to the unique nature of the banking sector, remuneration systems in banks should not be treated in the same way as for other firms and require </w:t>
      </w:r>
      <w:r w:rsidR="003704A2">
        <w:rPr>
          <w:rFonts w:ascii="Times New Roman" w:hAnsi="Times New Roman" w:cs="Times New Roman"/>
          <w:sz w:val="24"/>
          <w:szCs w:val="24"/>
          <w:lang w:val="en-US"/>
        </w:rPr>
        <w:t xml:space="preserve">increased </w:t>
      </w:r>
      <w:r w:rsidR="00FC5520">
        <w:rPr>
          <w:rFonts w:ascii="Times New Roman" w:hAnsi="Times New Roman" w:cs="Times New Roman"/>
          <w:sz w:val="24"/>
          <w:szCs w:val="24"/>
          <w:lang w:val="en-US"/>
        </w:rPr>
        <w:t xml:space="preserve">regulatory </w:t>
      </w:r>
      <w:r w:rsidR="003704A2">
        <w:rPr>
          <w:rFonts w:ascii="Times New Roman" w:hAnsi="Times New Roman" w:cs="Times New Roman"/>
          <w:sz w:val="24"/>
          <w:szCs w:val="24"/>
          <w:lang w:val="en-US"/>
        </w:rPr>
        <w:t>scrutiny.</w:t>
      </w:r>
      <w:r w:rsidR="003704A2">
        <w:rPr>
          <w:rStyle w:val="FootnoteReference"/>
          <w:rFonts w:ascii="Times New Roman" w:hAnsi="Times New Roman" w:cs="Times New Roman"/>
          <w:sz w:val="24"/>
          <w:szCs w:val="24"/>
          <w:lang w:val="en-US"/>
        </w:rPr>
        <w:footnoteReference w:id="141"/>
      </w:r>
      <w:r w:rsidR="003704A2">
        <w:rPr>
          <w:rFonts w:ascii="Times New Roman" w:hAnsi="Times New Roman" w:cs="Times New Roman"/>
          <w:sz w:val="24"/>
          <w:szCs w:val="24"/>
          <w:lang w:val="en-US"/>
        </w:rPr>
        <w:t xml:space="preserve">  </w:t>
      </w:r>
      <w:r w:rsidR="00605E44">
        <w:rPr>
          <w:rFonts w:ascii="Times New Roman" w:hAnsi="Times New Roman" w:cs="Times New Roman"/>
          <w:sz w:val="24"/>
          <w:szCs w:val="24"/>
          <w:lang w:val="en-US"/>
        </w:rPr>
        <w:t xml:space="preserve">The literature </w:t>
      </w:r>
      <w:r w:rsidR="008D0E5E">
        <w:rPr>
          <w:rFonts w:ascii="Times New Roman" w:hAnsi="Times New Roman" w:cs="Times New Roman"/>
          <w:sz w:val="24"/>
          <w:szCs w:val="24"/>
          <w:lang w:val="en-US"/>
        </w:rPr>
        <w:t xml:space="preserve">therefore </w:t>
      </w:r>
      <w:r w:rsidR="00605E44">
        <w:rPr>
          <w:rFonts w:ascii="Times New Roman" w:hAnsi="Times New Roman" w:cs="Times New Roman"/>
          <w:sz w:val="24"/>
          <w:szCs w:val="24"/>
          <w:lang w:val="en-US"/>
        </w:rPr>
        <w:t xml:space="preserve">supports the Commission recommendations that call for improved supervision by </w:t>
      </w:r>
      <w:r w:rsidR="00C850B9">
        <w:rPr>
          <w:rFonts w:ascii="Times New Roman" w:hAnsi="Times New Roman" w:cs="Times New Roman"/>
          <w:sz w:val="24"/>
          <w:szCs w:val="24"/>
          <w:lang w:val="en-US"/>
        </w:rPr>
        <w:t>APRA</w:t>
      </w:r>
      <w:r w:rsidR="003704A2">
        <w:rPr>
          <w:rFonts w:ascii="Times New Roman" w:hAnsi="Times New Roman" w:cs="Times New Roman"/>
          <w:sz w:val="24"/>
          <w:szCs w:val="24"/>
          <w:lang w:val="en-US"/>
        </w:rPr>
        <w:t xml:space="preserve"> in th</w:t>
      </w:r>
      <w:r w:rsidR="00605E44">
        <w:rPr>
          <w:rFonts w:ascii="Times New Roman" w:hAnsi="Times New Roman" w:cs="Times New Roman"/>
          <w:sz w:val="24"/>
          <w:szCs w:val="24"/>
          <w:lang w:val="en-US"/>
        </w:rPr>
        <w:t>is area.  APRA has amended its Prudential Standard CPS 150 yet is still relying on self-evaluation</w:t>
      </w:r>
      <w:r w:rsidR="008D0E5E">
        <w:rPr>
          <w:rFonts w:ascii="Times New Roman" w:hAnsi="Times New Roman" w:cs="Times New Roman"/>
          <w:sz w:val="24"/>
          <w:szCs w:val="24"/>
          <w:lang w:val="en-US"/>
        </w:rPr>
        <w:t xml:space="preserve"> and disclosure</w:t>
      </w:r>
      <w:r w:rsidR="00605E44">
        <w:rPr>
          <w:rFonts w:ascii="Times New Roman" w:hAnsi="Times New Roman" w:cs="Times New Roman"/>
          <w:sz w:val="24"/>
          <w:szCs w:val="24"/>
          <w:lang w:val="en-US"/>
        </w:rPr>
        <w:t xml:space="preserve"> </w:t>
      </w:r>
      <w:r w:rsidR="00605E44">
        <w:rPr>
          <w:rFonts w:ascii="Times New Roman" w:hAnsi="Times New Roman" w:cs="Times New Roman"/>
          <w:sz w:val="24"/>
          <w:szCs w:val="24"/>
          <w:lang w:val="en-US"/>
        </w:rPr>
        <w:lastRenderedPageBreak/>
        <w:t>by regulated institutions.</w:t>
      </w:r>
      <w:r w:rsidR="00C850B9">
        <w:rPr>
          <w:rStyle w:val="FootnoteReference"/>
          <w:rFonts w:ascii="Times New Roman" w:hAnsi="Times New Roman" w:cs="Times New Roman"/>
          <w:sz w:val="24"/>
          <w:szCs w:val="24"/>
          <w:lang w:val="en-US"/>
        </w:rPr>
        <w:footnoteReference w:id="142"/>
      </w:r>
      <w:r w:rsidR="008D0E5E">
        <w:rPr>
          <w:rFonts w:ascii="Times New Roman" w:hAnsi="Times New Roman" w:cs="Times New Roman"/>
          <w:sz w:val="24"/>
          <w:szCs w:val="24"/>
          <w:lang w:val="en-US"/>
        </w:rPr>
        <w:t xml:space="preserve">  Improved monitoring efforts will be essential to support these changes and review their impact.</w:t>
      </w:r>
    </w:p>
    <w:p w14:paraId="7C857FD1" w14:textId="3104F106" w:rsidR="00301024" w:rsidRDefault="00301024"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Royal Commission placed a strong focus on behavioural incentives and culture within the finance sector.</w:t>
      </w:r>
      <w:r>
        <w:rPr>
          <w:rStyle w:val="FootnoteReference"/>
          <w:rFonts w:ascii="Times New Roman" w:hAnsi="Times New Roman" w:cs="Times New Roman"/>
          <w:sz w:val="24"/>
          <w:szCs w:val="24"/>
          <w:lang w:val="en-US"/>
        </w:rPr>
        <w:footnoteReference w:id="143"/>
      </w:r>
      <w:r>
        <w:rPr>
          <w:rFonts w:ascii="Times New Roman" w:hAnsi="Times New Roman" w:cs="Times New Roman"/>
          <w:sz w:val="24"/>
          <w:szCs w:val="24"/>
          <w:lang w:val="en-US"/>
        </w:rPr>
        <w:t xml:space="preserve">  It identified greed, for personal wealth and organisational profit, as one of the main drivers for misconduct in the banking sector.</w:t>
      </w:r>
      <w:r>
        <w:rPr>
          <w:rStyle w:val="FootnoteReference"/>
          <w:rFonts w:ascii="Times New Roman" w:hAnsi="Times New Roman" w:cs="Times New Roman"/>
          <w:sz w:val="24"/>
          <w:szCs w:val="24"/>
          <w:lang w:val="en-US"/>
        </w:rPr>
        <w:footnoteReference w:id="144"/>
      </w:r>
      <w:r>
        <w:rPr>
          <w:rFonts w:ascii="Times New Roman" w:hAnsi="Times New Roman" w:cs="Times New Roman"/>
          <w:sz w:val="24"/>
          <w:szCs w:val="24"/>
          <w:lang w:val="en-US"/>
        </w:rPr>
        <w:t xml:space="preserve">  Incentives inherent in remuneration schemes and investment markets were much stronger than any fear of consequences for misbehaviour.  Thus market incentives were at odds with regulatory objectives such as consumer protection.  Safeguards such as risk management and corporate governance failed to identify or prevent misguided decision-making and conflicts of interest.  Although laws were in place to provide remedies they were not enforced by the regulator and penalties were seen to be too small to act as a deterrent.  Much of this is rightly explained by culture: individuals n</w:t>
      </w:r>
      <w:r w:rsidR="00FD3DAB">
        <w:rPr>
          <w:rFonts w:ascii="Times New Roman" w:hAnsi="Times New Roman" w:cs="Times New Roman"/>
          <w:sz w:val="24"/>
          <w:szCs w:val="24"/>
          <w:lang w:val="en-US"/>
        </w:rPr>
        <w:t>ot only weigh</w:t>
      </w:r>
      <w:r>
        <w:rPr>
          <w:rFonts w:ascii="Times New Roman" w:hAnsi="Times New Roman" w:cs="Times New Roman"/>
          <w:sz w:val="24"/>
          <w:szCs w:val="24"/>
          <w:lang w:val="en-US"/>
        </w:rPr>
        <w:t>ed up economic advantages but followed norms of behaviour entrenched over many years.</w:t>
      </w:r>
      <w:r w:rsidR="00FD3DAB">
        <w:rPr>
          <w:rFonts w:ascii="Times New Roman" w:hAnsi="Times New Roman" w:cs="Times New Roman"/>
          <w:sz w:val="24"/>
          <w:szCs w:val="24"/>
          <w:lang w:val="en-US"/>
        </w:rPr>
        <w:t xml:space="preserve">  Commissioner Hayne</w:t>
      </w:r>
      <w:r w:rsidR="00E97F1E">
        <w:rPr>
          <w:rFonts w:ascii="Times New Roman" w:hAnsi="Times New Roman" w:cs="Times New Roman"/>
          <w:sz w:val="24"/>
          <w:szCs w:val="24"/>
          <w:lang w:val="en-US"/>
        </w:rPr>
        <w:t xml:space="preserve"> advocated</w:t>
      </w:r>
      <w:r w:rsidR="00FD3DAB">
        <w:rPr>
          <w:rFonts w:ascii="Times New Roman" w:hAnsi="Times New Roman" w:cs="Times New Roman"/>
          <w:sz w:val="24"/>
          <w:szCs w:val="24"/>
          <w:lang w:val="en-US"/>
        </w:rPr>
        <w:t xml:space="preserve"> going back to simple principles with ethics at their core: obey the law; do not mislead; be fair; provide services that are fit for purpose; deliver them with due care and skill; and when acting for another, act in their interests.</w:t>
      </w:r>
      <w:r w:rsidR="00FD3DAB">
        <w:rPr>
          <w:rStyle w:val="FootnoteReference"/>
          <w:rFonts w:ascii="Times New Roman" w:hAnsi="Times New Roman" w:cs="Times New Roman"/>
          <w:sz w:val="24"/>
          <w:szCs w:val="24"/>
          <w:lang w:val="en-US"/>
        </w:rPr>
        <w:footnoteReference w:id="145"/>
      </w:r>
      <w:r w:rsidR="00E97F1E">
        <w:rPr>
          <w:rFonts w:ascii="Times New Roman" w:hAnsi="Times New Roman" w:cs="Times New Roman"/>
          <w:sz w:val="24"/>
          <w:szCs w:val="24"/>
          <w:lang w:val="en-US"/>
        </w:rPr>
        <w:t xml:space="preserve">  He </w:t>
      </w:r>
      <w:r w:rsidR="005E625D">
        <w:rPr>
          <w:rFonts w:ascii="Times New Roman" w:hAnsi="Times New Roman" w:cs="Times New Roman"/>
          <w:sz w:val="24"/>
          <w:szCs w:val="24"/>
          <w:lang w:val="en-US"/>
        </w:rPr>
        <w:t>has recommended</w:t>
      </w:r>
      <w:r w:rsidR="001167A7">
        <w:rPr>
          <w:rFonts w:ascii="Times New Roman" w:hAnsi="Times New Roman" w:cs="Times New Roman"/>
          <w:sz w:val="24"/>
          <w:szCs w:val="24"/>
          <w:lang w:val="en-US"/>
        </w:rPr>
        <w:t xml:space="preserve"> extending the scope of</w:t>
      </w:r>
      <w:r w:rsidR="00E97F1E">
        <w:rPr>
          <w:rFonts w:ascii="Times New Roman" w:hAnsi="Times New Roman" w:cs="Times New Roman"/>
          <w:sz w:val="24"/>
          <w:szCs w:val="24"/>
          <w:lang w:val="en-US"/>
        </w:rPr>
        <w:t xml:space="preserve"> the </w:t>
      </w:r>
      <w:r w:rsidR="001167A7">
        <w:rPr>
          <w:rFonts w:ascii="Times New Roman" w:hAnsi="Times New Roman" w:cs="Times New Roman"/>
          <w:sz w:val="24"/>
          <w:szCs w:val="24"/>
          <w:lang w:val="en-US"/>
        </w:rPr>
        <w:t>BEAR</w:t>
      </w:r>
      <w:r w:rsidR="00E97F1E">
        <w:rPr>
          <w:rFonts w:ascii="Times New Roman" w:hAnsi="Times New Roman" w:cs="Times New Roman"/>
          <w:sz w:val="24"/>
          <w:szCs w:val="24"/>
          <w:lang w:val="en-US"/>
        </w:rPr>
        <w:t xml:space="preserve"> </w:t>
      </w:r>
      <w:r w:rsidR="001167A7">
        <w:rPr>
          <w:rFonts w:ascii="Times New Roman" w:hAnsi="Times New Roman" w:cs="Times New Roman"/>
          <w:sz w:val="24"/>
          <w:szCs w:val="24"/>
          <w:lang w:val="en-US"/>
        </w:rPr>
        <w:t>to</w:t>
      </w:r>
      <w:r w:rsidR="00E97F1E">
        <w:rPr>
          <w:rFonts w:ascii="Times New Roman" w:hAnsi="Times New Roman" w:cs="Times New Roman"/>
          <w:sz w:val="24"/>
          <w:szCs w:val="24"/>
          <w:lang w:val="en-US"/>
        </w:rPr>
        <w:t xml:space="preserve"> assist in bring</w:t>
      </w:r>
      <w:r w:rsidR="005E625D">
        <w:rPr>
          <w:rFonts w:ascii="Times New Roman" w:hAnsi="Times New Roman" w:cs="Times New Roman"/>
          <w:sz w:val="24"/>
          <w:szCs w:val="24"/>
          <w:lang w:val="en-US"/>
        </w:rPr>
        <w:t>ing</w:t>
      </w:r>
      <w:r w:rsidR="00E97F1E">
        <w:rPr>
          <w:rFonts w:ascii="Times New Roman" w:hAnsi="Times New Roman" w:cs="Times New Roman"/>
          <w:sz w:val="24"/>
          <w:szCs w:val="24"/>
          <w:lang w:val="en-US"/>
        </w:rPr>
        <w:t xml:space="preserve"> personal accountability back into the equation.</w:t>
      </w:r>
      <w:r w:rsidR="001167A7">
        <w:rPr>
          <w:rStyle w:val="FootnoteReference"/>
          <w:rFonts w:ascii="Times New Roman" w:hAnsi="Times New Roman" w:cs="Times New Roman"/>
          <w:sz w:val="24"/>
          <w:szCs w:val="24"/>
          <w:lang w:val="en-US"/>
        </w:rPr>
        <w:footnoteReference w:id="146"/>
      </w:r>
    </w:p>
    <w:p w14:paraId="2A9EA4AB" w14:textId="28C37259" w:rsidR="001167A7" w:rsidRDefault="001167A7" w:rsidP="00AE7367">
      <w:pPr>
        <w:spacing w:line="36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t xml:space="preserve">What is clear from this review is that </w:t>
      </w:r>
      <w:r w:rsidR="00720AD6">
        <w:rPr>
          <w:rFonts w:ascii="Times New Roman" w:hAnsi="Times New Roman" w:cs="Times New Roman"/>
          <w:sz w:val="24"/>
          <w:szCs w:val="24"/>
          <w:lang w:val="en-US"/>
        </w:rPr>
        <w:t>a</w:t>
      </w:r>
      <w:r w:rsidRPr="00FC6034">
        <w:rPr>
          <w:rFonts w:ascii="Times New Roman" w:hAnsi="Times New Roman" w:cs="Times New Roman"/>
          <w:sz w:val="24"/>
          <w:szCs w:val="24"/>
          <w:lang w:val="en-US"/>
        </w:rPr>
        <w:t>lthough most regulation is created to serve the public interest, it is often private interests that influence the style and form of a regulatory system and ultimately its effectiveness.  These can include the private interests of political parties, industry groups, trade unions, consumer</w:t>
      </w:r>
      <w:r w:rsidR="00196C10">
        <w:rPr>
          <w:rFonts w:ascii="Times New Roman" w:hAnsi="Times New Roman" w:cs="Times New Roman"/>
          <w:sz w:val="24"/>
          <w:szCs w:val="24"/>
          <w:lang w:val="en-US"/>
        </w:rPr>
        <w:t>s</w:t>
      </w:r>
      <w:r w:rsidRPr="00FC6034">
        <w:rPr>
          <w:rFonts w:ascii="Times New Roman" w:hAnsi="Times New Roman" w:cs="Times New Roman"/>
          <w:sz w:val="24"/>
          <w:szCs w:val="24"/>
          <w:lang w:val="en-US"/>
        </w:rPr>
        <w:t xml:space="preserve"> or investor groups</w:t>
      </w:r>
      <w:r>
        <w:rPr>
          <w:rFonts w:ascii="Times New Roman" w:hAnsi="Times New Roman" w:cs="Times New Roman"/>
          <w:sz w:val="24"/>
          <w:szCs w:val="24"/>
          <w:lang w:val="en-US"/>
        </w:rPr>
        <w:t>.</w:t>
      </w:r>
      <w:r w:rsidR="00720AD6">
        <w:rPr>
          <w:rStyle w:val="FootnoteReference"/>
          <w:rFonts w:ascii="Times New Roman" w:hAnsi="Times New Roman" w:cs="Times New Roman"/>
          <w:sz w:val="24"/>
          <w:szCs w:val="24"/>
          <w:lang w:val="en-US"/>
        </w:rPr>
        <w:footnoteReference w:id="147"/>
      </w:r>
      <w:r w:rsidRPr="00FC6034">
        <w:rPr>
          <w:rFonts w:ascii="Times New Roman" w:hAnsi="Times New Roman" w:cs="Times New Roman"/>
          <w:sz w:val="24"/>
          <w:szCs w:val="24"/>
          <w:lang w:val="en-US"/>
        </w:rPr>
        <w:t xml:space="preserve">  Also the interests of the individuals working in the finance industry who may be searching for wealth, thrills</w:t>
      </w:r>
      <w:r>
        <w:rPr>
          <w:rFonts w:ascii="Times New Roman" w:hAnsi="Times New Roman" w:cs="Times New Roman"/>
          <w:sz w:val="24"/>
          <w:szCs w:val="24"/>
          <w:lang w:val="en-US"/>
        </w:rPr>
        <w:t xml:space="preserve"> or simply a sense of belonging</w:t>
      </w:r>
      <w:r w:rsidRPr="00FC6034">
        <w:rPr>
          <w:rFonts w:ascii="Times New Roman" w:hAnsi="Times New Roman" w:cs="Times New Roman"/>
          <w:sz w:val="24"/>
          <w:szCs w:val="24"/>
          <w:lang w:val="en-US"/>
        </w:rPr>
        <w:t xml:space="preserve">.  </w:t>
      </w:r>
      <w:r w:rsidR="00720AD6">
        <w:rPr>
          <w:rFonts w:ascii="Times New Roman" w:hAnsi="Times New Roman" w:cs="Times New Roman"/>
          <w:sz w:val="24"/>
          <w:szCs w:val="24"/>
          <w:lang w:val="en-US"/>
        </w:rPr>
        <w:t>G</w:t>
      </w:r>
      <w:r w:rsidR="00720AD6" w:rsidRPr="00FC6034">
        <w:rPr>
          <w:rFonts w:ascii="Times New Roman" w:hAnsi="Times New Roman" w:cs="Times New Roman"/>
          <w:sz w:val="24"/>
          <w:szCs w:val="24"/>
          <w:lang w:val="en-US"/>
        </w:rPr>
        <w:t xml:space="preserve">overnments must facilitate competitive economic growth </w:t>
      </w:r>
      <w:r w:rsidR="00720AD6">
        <w:rPr>
          <w:rFonts w:ascii="Times New Roman" w:hAnsi="Times New Roman" w:cs="Times New Roman"/>
          <w:sz w:val="24"/>
          <w:szCs w:val="24"/>
          <w:lang w:val="en-US"/>
        </w:rPr>
        <w:t>whilst also</w:t>
      </w:r>
      <w:r w:rsidR="00720AD6" w:rsidRPr="00FC6034">
        <w:rPr>
          <w:rFonts w:ascii="Times New Roman" w:hAnsi="Times New Roman" w:cs="Times New Roman"/>
          <w:sz w:val="24"/>
          <w:szCs w:val="24"/>
          <w:lang w:val="en-US"/>
        </w:rPr>
        <w:t xml:space="preserve"> protect</w:t>
      </w:r>
      <w:r w:rsidR="00720AD6">
        <w:rPr>
          <w:rFonts w:ascii="Times New Roman" w:hAnsi="Times New Roman" w:cs="Times New Roman"/>
          <w:sz w:val="24"/>
          <w:szCs w:val="24"/>
          <w:lang w:val="en-US"/>
        </w:rPr>
        <w:t>ing</w:t>
      </w:r>
      <w:r w:rsidR="00720AD6" w:rsidRPr="00FC6034">
        <w:rPr>
          <w:rFonts w:ascii="Times New Roman" w:hAnsi="Times New Roman" w:cs="Times New Roman"/>
          <w:sz w:val="24"/>
          <w:szCs w:val="24"/>
          <w:lang w:val="en-US"/>
        </w:rPr>
        <w:t xml:space="preserve"> public welfare</w:t>
      </w:r>
      <w:r w:rsidR="00720AD6">
        <w:rPr>
          <w:rFonts w:ascii="Times New Roman" w:hAnsi="Times New Roman" w:cs="Times New Roman"/>
          <w:sz w:val="24"/>
          <w:szCs w:val="24"/>
          <w:lang w:val="en-US"/>
        </w:rPr>
        <w:t>.</w:t>
      </w:r>
      <w:r w:rsidR="00720AD6">
        <w:rPr>
          <w:rStyle w:val="FootnoteReference"/>
          <w:rFonts w:ascii="Times New Roman" w:hAnsi="Times New Roman" w:cs="Times New Roman"/>
          <w:sz w:val="24"/>
          <w:szCs w:val="24"/>
          <w:lang w:val="en-US"/>
        </w:rPr>
        <w:footnoteReference w:id="148"/>
      </w:r>
      <w:r w:rsidR="00720AD6" w:rsidRPr="00FC6034">
        <w:rPr>
          <w:rFonts w:ascii="Times New Roman" w:hAnsi="Times New Roman" w:cs="Times New Roman"/>
          <w:sz w:val="24"/>
          <w:szCs w:val="24"/>
          <w:lang w:val="en-US"/>
        </w:rPr>
        <w:t xml:space="preserve">  </w:t>
      </w:r>
      <w:r w:rsidR="00720AD6">
        <w:rPr>
          <w:rFonts w:ascii="Times New Roman" w:hAnsi="Times New Roman" w:cs="Times New Roman"/>
          <w:sz w:val="24"/>
          <w:szCs w:val="24"/>
          <w:lang w:val="en-US"/>
        </w:rPr>
        <w:t xml:space="preserve">The </w:t>
      </w:r>
      <w:r w:rsidR="00B75F5C">
        <w:rPr>
          <w:rFonts w:ascii="Times New Roman" w:hAnsi="Times New Roman" w:cs="Times New Roman"/>
          <w:sz w:val="24"/>
          <w:szCs w:val="24"/>
          <w:lang w:val="en-US"/>
        </w:rPr>
        <w:t xml:space="preserve">initial </w:t>
      </w:r>
      <w:r w:rsidR="00720AD6">
        <w:rPr>
          <w:rFonts w:ascii="Times New Roman" w:hAnsi="Times New Roman" w:cs="Times New Roman"/>
          <w:sz w:val="24"/>
          <w:szCs w:val="24"/>
          <w:lang w:val="en-US"/>
        </w:rPr>
        <w:t xml:space="preserve">political reluctance to initiate </w:t>
      </w:r>
      <w:r w:rsidR="005E625D">
        <w:rPr>
          <w:rFonts w:ascii="Times New Roman" w:hAnsi="Times New Roman" w:cs="Times New Roman"/>
          <w:sz w:val="24"/>
          <w:szCs w:val="24"/>
          <w:lang w:val="en-US"/>
        </w:rPr>
        <w:t>a Royal Commission on this issue</w:t>
      </w:r>
      <w:r w:rsidR="00720AD6">
        <w:rPr>
          <w:rFonts w:ascii="Times New Roman" w:hAnsi="Times New Roman" w:cs="Times New Roman"/>
          <w:sz w:val="24"/>
          <w:szCs w:val="24"/>
          <w:lang w:val="en-US"/>
        </w:rPr>
        <w:t xml:space="preserve"> demonstrates the ongoing need for vigilance against the immense power of the finance sector.  It was only when the banks requested an inquiry that the politicians agreed.  </w:t>
      </w:r>
      <w:r w:rsidR="00196C10" w:rsidRPr="00FC6034">
        <w:rPr>
          <w:rFonts w:ascii="Times New Roman" w:hAnsi="Times New Roman" w:cs="Times New Roman"/>
          <w:sz w:val="24"/>
          <w:szCs w:val="24"/>
          <w:lang w:val="en-US"/>
        </w:rPr>
        <w:t xml:space="preserve">Levine </w:t>
      </w:r>
      <w:r w:rsidR="00196C10">
        <w:rPr>
          <w:rFonts w:ascii="Times New Roman" w:hAnsi="Times New Roman" w:cs="Times New Roman"/>
          <w:sz w:val="24"/>
          <w:szCs w:val="24"/>
          <w:lang w:val="en-US"/>
        </w:rPr>
        <w:t>describes</w:t>
      </w:r>
      <w:r w:rsidR="00196C10" w:rsidRPr="00FC6034">
        <w:rPr>
          <w:rFonts w:ascii="Times New Roman" w:hAnsi="Times New Roman" w:cs="Times New Roman"/>
          <w:sz w:val="24"/>
          <w:szCs w:val="24"/>
          <w:lang w:val="en-US"/>
        </w:rPr>
        <w:t xml:space="preserve"> </w:t>
      </w:r>
      <w:r w:rsidR="00196C10" w:rsidRPr="00FC6034">
        <w:rPr>
          <w:rFonts w:ascii="Times New Roman" w:hAnsi="Times New Roman" w:cs="Times New Roman"/>
          <w:sz w:val="24"/>
          <w:szCs w:val="24"/>
          <w:lang w:val="en-US"/>
        </w:rPr>
        <w:lastRenderedPageBreak/>
        <w:t>the lack of public input (or input from democratically elected representatives) into financial policy and regulation as a key problem in finding an appropriate balance</w:t>
      </w:r>
      <w:r w:rsidR="00196C10">
        <w:rPr>
          <w:rFonts w:ascii="Times New Roman" w:hAnsi="Times New Roman" w:cs="Times New Roman"/>
          <w:sz w:val="24"/>
          <w:szCs w:val="24"/>
          <w:lang w:val="en-US"/>
        </w:rPr>
        <w:t>.</w:t>
      </w:r>
      <w:r w:rsidR="00196C10">
        <w:rPr>
          <w:rStyle w:val="FootnoteReference"/>
          <w:rFonts w:ascii="Times New Roman" w:hAnsi="Times New Roman" w:cs="Times New Roman"/>
          <w:sz w:val="24"/>
          <w:szCs w:val="24"/>
          <w:lang w:val="en-US"/>
        </w:rPr>
        <w:footnoteReference w:id="149"/>
      </w:r>
      <w:r w:rsidR="00196C10">
        <w:rPr>
          <w:rFonts w:ascii="Times New Roman" w:hAnsi="Times New Roman" w:cs="Times New Roman"/>
          <w:sz w:val="24"/>
          <w:szCs w:val="24"/>
          <w:lang w:val="en-US"/>
        </w:rPr>
        <w:t xml:space="preserve">  The public hearings of the Royal Commission and its use of individual case studies have helped to bring the views of civil society into the reform debate.  </w:t>
      </w:r>
      <w:r w:rsidR="00720AD6" w:rsidRPr="00FC6034">
        <w:rPr>
          <w:rFonts w:ascii="Times New Roman" w:hAnsi="Times New Roman" w:cs="Times New Roman"/>
          <w:sz w:val="24"/>
          <w:szCs w:val="24"/>
          <w:lang w:val="en-US"/>
        </w:rPr>
        <w:t>The ultimate purpose of financial regulation is to strike the right balance between ensuring the safety</w:t>
      </w:r>
      <w:r w:rsidR="00720AD6">
        <w:rPr>
          <w:rFonts w:ascii="Times New Roman" w:hAnsi="Times New Roman" w:cs="Times New Roman"/>
          <w:sz w:val="24"/>
          <w:szCs w:val="24"/>
          <w:lang w:val="en-US"/>
        </w:rPr>
        <w:t xml:space="preserve"> and fairness</w:t>
      </w:r>
      <w:r w:rsidR="00720AD6" w:rsidRPr="00FC6034">
        <w:rPr>
          <w:rFonts w:ascii="Times New Roman" w:hAnsi="Times New Roman" w:cs="Times New Roman"/>
          <w:sz w:val="24"/>
          <w:szCs w:val="24"/>
          <w:lang w:val="en-US"/>
        </w:rPr>
        <w:t xml:space="preserve"> of the financial system and encouraging d</w:t>
      </w:r>
      <w:r w:rsidR="00720AD6">
        <w:rPr>
          <w:rFonts w:ascii="Times New Roman" w:hAnsi="Times New Roman" w:cs="Times New Roman"/>
          <w:sz w:val="24"/>
          <w:szCs w:val="24"/>
          <w:lang w:val="en-US"/>
        </w:rPr>
        <w:t>evelopment of financial markets.</w:t>
      </w:r>
      <w:r w:rsidR="00720AD6">
        <w:rPr>
          <w:rStyle w:val="FootnoteReference"/>
          <w:rFonts w:ascii="Times New Roman" w:hAnsi="Times New Roman" w:cs="Times New Roman"/>
          <w:sz w:val="24"/>
          <w:szCs w:val="24"/>
          <w:lang w:val="en-US"/>
        </w:rPr>
        <w:footnoteReference w:id="150"/>
      </w:r>
      <w:r w:rsidR="00720AD6" w:rsidRPr="00FC6034">
        <w:rPr>
          <w:rFonts w:ascii="Times New Roman" w:hAnsi="Times New Roman" w:cs="Times New Roman"/>
          <w:sz w:val="24"/>
          <w:szCs w:val="24"/>
          <w:lang w:val="en-US"/>
        </w:rPr>
        <w:t xml:space="preserve">  </w:t>
      </w:r>
    </w:p>
    <w:p w14:paraId="7F08C1AE" w14:textId="5DE520F9" w:rsidR="001167A7" w:rsidRPr="00FC6034" w:rsidRDefault="001167A7" w:rsidP="00AE73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History demonstrates that </w:t>
      </w:r>
      <w:r w:rsidR="007B64A3" w:rsidRPr="00FC6034">
        <w:rPr>
          <w:rFonts w:ascii="Times New Roman" w:hAnsi="Times New Roman" w:cs="Times New Roman"/>
          <w:sz w:val="24"/>
          <w:szCs w:val="24"/>
          <w:lang w:val="en-US"/>
        </w:rPr>
        <w:t xml:space="preserve">much financial regulation is </w:t>
      </w:r>
      <w:r w:rsidR="007B64A3">
        <w:rPr>
          <w:rFonts w:ascii="Times New Roman" w:hAnsi="Times New Roman" w:cs="Times New Roman"/>
          <w:sz w:val="24"/>
          <w:szCs w:val="24"/>
          <w:lang w:val="en-US"/>
        </w:rPr>
        <w:t>“</w:t>
      </w:r>
      <w:r w:rsidR="007B64A3" w:rsidRPr="00FC6034">
        <w:rPr>
          <w:rFonts w:ascii="Times New Roman" w:hAnsi="Times New Roman" w:cs="Times New Roman"/>
          <w:sz w:val="24"/>
          <w:szCs w:val="24"/>
          <w:lang w:val="en-US"/>
        </w:rPr>
        <w:t>a well-meaning but hasty overreaction to an unfortunate episode</w:t>
      </w:r>
      <w:r w:rsidR="007B64A3">
        <w:rPr>
          <w:rFonts w:ascii="Times New Roman" w:hAnsi="Times New Roman" w:cs="Times New Roman"/>
          <w:sz w:val="24"/>
          <w:szCs w:val="24"/>
          <w:lang w:val="en-US"/>
        </w:rPr>
        <w:t>”.</w:t>
      </w:r>
      <w:r w:rsidR="007B64A3">
        <w:rPr>
          <w:rStyle w:val="FootnoteReference"/>
          <w:rFonts w:ascii="Times New Roman" w:hAnsi="Times New Roman" w:cs="Times New Roman"/>
          <w:sz w:val="24"/>
          <w:szCs w:val="24"/>
          <w:lang w:val="en-US"/>
        </w:rPr>
        <w:footnoteReference w:id="151"/>
      </w:r>
      <w:r w:rsidR="003922D7">
        <w:rPr>
          <w:rFonts w:ascii="Times New Roman" w:hAnsi="Times New Roman" w:cs="Times New Roman"/>
          <w:sz w:val="24"/>
          <w:szCs w:val="24"/>
          <w:lang w:val="en-US"/>
        </w:rPr>
        <w:t xml:space="preserve">  </w:t>
      </w:r>
      <w:r w:rsidR="002264D7" w:rsidRPr="00FC6034">
        <w:rPr>
          <w:rFonts w:ascii="Times New Roman" w:hAnsi="Times New Roman" w:cs="Times New Roman"/>
          <w:sz w:val="24"/>
          <w:szCs w:val="24"/>
          <w:lang w:val="en-US"/>
        </w:rPr>
        <w:t xml:space="preserve">The aim of this paper is to try to mitigate this kind of reaction by drawing out common factors impacting on regulatory effectiveness that may guide future policy-making.  </w:t>
      </w:r>
      <w:r w:rsidR="00BE307C" w:rsidRPr="00FC6034">
        <w:rPr>
          <w:rFonts w:ascii="Times New Roman" w:hAnsi="Times New Roman" w:cs="Times New Roman"/>
          <w:sz w:val="24"/>
          <w:szCs w:val="24"/>
          <w:lang w:val="en-US"/>
        </w:rPr>
        <w:t>A regulatory regime must take into account the limits of existing architecture, the political situation, powerful actors and the incentives likely to drive behavio</w:t>
      </w:r>
      <w:r w:rsidR="00BE307C">
        <w:rPr>
          <w:rFonts w:ascii="Times New Roman" w:hAnsi="Times New Roman" w:cs="Times New Roman"/>
          <w:sz w:val="24"/>
          <w:szCs w:val="24"/>
          <w:lang w:val="en-US"/>
        </w:rPr>
        <w:t>u</w:t>
      </w:r>
      <w:r w:rsidR="00BE307C" w:rsidRPr="00FC6034">
        <w:rPr>
          <w:rFonts w:ascii="Times New Roman" w:hAnsi="Times New Roman" w:cs="Times New Roman"/>
          <w:sz w:val="24"/>
          <w:szCs w:val="24"/>
          <w:lang w:val="en-US"/>
        </w:rPr>
        <w:t>r.  Regulation, whether hard or soft, needs to carefully alter incentives in order to align public and private objectives.</w:t>
      </w:r>
      <w:r w:rsidR="00BE307C">
        <w:rPr>
          <w:rFonts w:ascii="Times New Roman" w:hAnsi="Times New Roman" w:cs="Times New Roman"/>
          <w:sz w:val="24"/>
          <w:szCs w:val="24"/>
          <w:lang w:val="en-US"/>
        </w:rPr>
        <w:t xml:space="preserve">  </w:t>
      </w:r>
      <w:r w:rsidRPr="00FC6034">
        <w:rPr>
          <w:rFonts w:ascii="Times New Roman" w:hAnsi="Times New Roman" w:cs="Times New Roman"/>
          <w:sz w:val="24"/>
          <w:szCs w:val="24"/>
          <w:lang w:val="en-US"/>
        </w:rPr>
        <w:t>If the finance industry fails to self-regulate in accordance with public policy goals it must expect interference in its freedoms.</w:t>
      </w:r>
      <w:r>
        <w:rPr>
          <w:rStyle w:val="FootnoteReference"/>
          <w:rFonts w:ascii="Times New Roman" w:hAnsi="Times New Roman" w:cs="Times New Roman"/>
          <w:sz w:val="24"/>
          <w:szCs w:val="24"/>
          <w:lang w:val="en-US"/>
        </w:rPr>
        <w:footnoteReference w:id="152"/>
      </w:r>
      <w:r w:rsidRPr="00FC6034">
        <w:rPr>
          <w:rFonts w:ascii="Times New Roman" w:hAnsi="Times New Roman" w:cs="Times New Roman"/>
          <w:sz w:val="24"/>
          <w:szCs w:val="24"/>
          <w:lang w:val="en-US"/>
        </w:rPr>
        <w:t xml:space="preserve">  Thus a responsive system of escalating interference is likely the best solution to many of the regulatory dilemmas </w:t>
      </w:r>
      <w:r w:rsidR="00720AD6">
        <w:rPr>
          <w:rFonts w:ascii="Times New Roman" w:hAnsi="Times New Roman" w:cs="Times New Roman"/>
          <w:sz w:val="24"/>
          <w:szCs w:val="24"/>
          <w:lang w:val="en-US"/>
        </w:rPr>
        <w:t>explored in this paper</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53"/>
      </w:r>
      <w:r w:rsidRPr="00FC60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Following the revelations of the Royal Commission</w:t>
      </w:r>
      <w:r w:rsidR="00720AD6">
        <w:rPr>
          <w:rFonts w:ascii="Times New Roman" w:hAnsi="Times New Roman" w:cs="Times New Roman"/>
          <w:sz w:val="24"/>
          <w:szCs w:val="24"/>
          <w:lang w:val="en-US"/>
        </w:rPr>
        <w:t>,</w:t>
      </w:r>
      <w:r>
        <w:rPr>
          <w:rFonts w:ascii="Times New Roman" w:hAnsi="Times New Roman" w:cs="Times New Roman"/>
          <w:sz w:val="24"/>
          <w:szCs w:val="24"/>
          <w:lang w:val="en-US"/>
        </w:rPr>
        <w:t xml:space="preserve"> the Australian </w:t>
      </w:r>
      <w:r w:rsidR="00196C10">
        <w:rPr>
          <w:rFonts w:ascii="Times New Roman" w:hAnsi="Times New Roman" w:cs="Times New Roman"/>
          <w:sz w:val="24"/>
          <w:szCs w:val="24"/>
          <w:lang w:val="en-US"/>
        </w:rPr>
        <w:t>finance</w:t>
      </w:r>
      <w:r>
        <w:rPr>
          <w:rFonts w:ascii="Times New Roman" w:hAnsi="Times New Roman" w:cs="Times New Roman"/>
          <w:sz w:val="24"/>
          <w:szCs w:val="24"/>
          <w:lang w:val="en-US"/>
        </w:rPr>
        <w:t xml:space="preserve"> sector will </w:t>
      </w:r>
      <w:r w:rsidR="00196C10">
        <w:rPr>
          <w:rFonts w:ascii="Times New Roman" w:hAnsi="Times New Roman" w:cs="Times New Roman"/>
          <w:sz w:val="24"/>
          <w:szCs w:val="24"/>
          <w:lang w:val="en-US"/>
        </w:rPr>
        <w:t xml:space="preserve">find itself monitored much more heavily with increasing consequences for </w:t>
      </w:r>
      <w:r w:rsidR="0048375E">
        <w:rPr>
          <w:rFonts w:ascii="Times New Roman" w:hAnsi="Times New Roman" w:cs="Times New Roman"/>
          <w:sz w:val="24"/>
          <w:szCs w:val="24"/>
          <w:lang w:val="en-US"/>
        </w:rPr>
        <w:t>misbehaviour</w:t>
      </w:r>
      <w:r>
        <w:rPr>
          <w:rFonts w:ascii="Times New Roman" w:hAnsi="Times New Roman" w:cs="Times New Roman"/>
          <w:sz w:val="24"/>
          <w:szCs w:val="24"/>
          <w:lang w:val="en-US"/>
        </w:rPr>
        <w:t xml:space="preserve">.  </w:t>
      </w:r>
    </w:p>
    <w:p w14:paraId="6CEF6373" w14:textId="5480C1FD" w:rsidR="00FE0B64" w:rsidRDefault="00FE0B64" w:rsidP="00E83517">
      <w:pPr>
        <w:spacing w:line="24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br w:type="page"/>
      </w:r>
    </w:p>
    <w:p w14:paraId="72330697" w14:textId="77777777" w:rsidR="00321F93" w:rsidRPr="00FC6034" w:rsidRDefault="00321F93" w:rsidP="00E83517">
      <w:pPr>
        <w:spacing w:line="240" w:lineRule="auto"/>
        <w:jc w:val="both"/>
        <w:rPr>
          <w:rFonts w:ascii="Times New Roman" w:hAnsi="Times New Roman" w:cs="Times New Roman"/>
          <w:sz w:val="24"/>
          <w:szCs w:val="24"/>
          <w:lang w:val="en-US"/>
        </w:rPr>
      </w:pPr>
    </w:p>
    <w:p w14:paraId="1810D283" w14:textId="77777777" w:rsidR="00FE0B64" w:rsidRPr="00FC6034" w:rsidRDefault="00FE0B64" w:rsidP="00E83517">
      <w:pPr>
        <w:spacing w:line="240" w:lineRule="auto"/>
        <w:jc w:val="both"/>
        <w:rPr>
          <w:rFonts w:ascii="Times New Roman" w:hAnsi="Times New Roman" w:cs="Times New Roman"/>
          <w:b/>
          <w:sz w:val="24"/>
          <w:szCs w:val="24"/>
          <w:lang w:val="en-US"/>
        </w:rPr>
      </w:pPr>
      <w:r w:rsidRPr="00FC6034">
        <w:rPr>
          <w:rFonts w:ascii="Times New Roman" w:hAnsi="Times New Roman" w:cs="Times New Roman"/>
          <w:b/>
          <w:sz w:val="24"/>
          <w:szCs w:val="24"/>
          <w:lang w:val="en-US"/>
        </w:rPr>
        <w:t xml:space="preserve">Table 1: Regulatory reform topics </w:t>
      </w:r>
    </w:p>
    <w:tbl>
      <w:tblPr>
        <w:tblStyle w:val="TableGrid"/>
        <w:tblW w:w="5000" w:type="pct"/>
        <w:tblLook w:val="04A0" w:firstRow="1" w:lastRow="0" w:firstColumn="1" w:lastColumn="0" w:noHBand="0" w:noVBand="1"/>
      </w:tblPr>
      <w:tblGrid>
        <w:gridCol w:w="337"/>
        <w:gridCol w:w="5826"/>
        <w:gridCol w:w="1205"/>
        <w:gridCol w:w="1648"/>
      </w:tblGrid>
      <w:tr w:rsidR="00FE0B64" w:rsidRPr="00FC6034" w14:paraId="5F3C5BD1" w14:textId="77777777" w:rsidTr="00696269">
        <w:tc>
          <w:tcPr>
            <w:tcW w:w="187" w:type="pct"/>
          </w:tcPr>
          <w:p w14:paraId="58689C11" w14:textId="77777777" w:rsidR="00FE0B64" w:rsidRPr="00FC6034" w:rsidRDefault="00FE0B64" w:rsidP="00E83517">
            <w:pPr>
              <w:jc w:val="both"/>
              <w:rPr>
                <w:rFonts w:ascii="Times New Roman" w:hAnsi="Times New Roman" w:cs="Times New Roman"/>
                <w:b/>
                <w:sz w:val="24"/>
                <w:szCs w:val="24"/>
                <w:lang w:val="en-US"/>
              </w:rPr>
            </w:pPr>
          </w:p>
        </w:tc>
        <w:tc>
          <w:tcPr>
            <w:tcW w:w="3231" w:type="pct"/>
          </w:tcPr>
          <w:p w14:paraId="40382605" w14:textId="77777777" w:rsidR="00FE0B64" w:rsidRPr="0054255F" w:rsidRDefault="00FE0B64" w:rsidP="00E83517">
            <w:pPr>
              <w:jc w:val="both"/>
              <w:rPr>
                <w:rFonts w:ascii="Times New Roman" w:hAnsi="Times New Roman" w:cs="Times New Roman"/>
                <w:b/>
                <w:sz w:val="20"/>
                <w:szCs w:val="20"/>
                <w:lang w:val="en-US"/>
              </w:rPr>
            </w:pPr>
            <w:r w:rsidRPr="0054255F">
              <w:rPr>
                <w:rFonts w:ascii="Times New Roman" w:hAnsi="Times New Roman" w:cs="Times New Roman"/>
                <w:b/>
                <w:sz w:val="20"/>
                <w:szCs w:val="20"/>
                <w:lang w:val="en-US"/>
              </w:rPr>
              <w:t>Topic</w:t>
            </w:r>
          </w:p>
        </w:tc>
        <w:tc>
          <w:tcPr>
            <w:tcW w:w="668" w:type="pct"/>
          </w:tcPr>
          <w:p w14:paraId="45177298" w14:textId="09EFC9F7" w:rsidR="00FE0B64" w:rsidRPr="0054255F" w:rsidRDefault="00FE0B64" w:rsidP="00E83517">
            <w:pPr>
              <w:jc w:val="both"/>
              <w:rPr>
                <w:rFonts w:ascii="Times New Roman" w:hAnsi="Times New Roman" w:cs="Times New Roman"/>
                <w:b/>
                <w:sz w:val="20"/>
                <w:szCs w:val="20"/>
                <w:lang w:val="en-US"/>
              </w:rPr>
            </w:pPr>
            <w:r w:rsidRPr="0054255F">
              <w:rPr>
                <w:rFonts w:ascii="Times New Roman" w:hAnsi="Times New Roman" w:cs="Times New Roman"/>
                <w:b/>
                <w:sz w:val="20"/>
                <w:szCs w:val="20"/>
                <w:lang w:val="en-US"/>
              </w:rPr>
              <w:t>References (total 178)</w:t>
            </w:r>
          </w:p>
        </w:tc>
        <w:tc>
          <w:tcPr>
            <w:tcW w:w="914" w:type="pct"/>
          </w:tcPr>
          <w:p w14:paraId="2F9416D3" w14:textId="52340CF1" w:rsidR="00FE0B64" w:rsidRPr="0054255F" w:rsidRDefault="00FE0B64" w:rsidP="00E83517">
            <w:pPr>
              <w:jc w:val="both"/>
              <w:rPr>
                <w:rFonts w:ascii="Times New Roman" w:hAnsi="Times New Roman" w:cs="Times New Roman"/>
                <w:b/>
                <w:sz w:val="20"/>
                <w:szCs w:val="20"/>
                <w:lang w:val="en-US"/>
              </w:rPr>
            </w:pPr>
            <w:r w:rsidRPr="0054255F">
              <w:rPr>
                <w:rFonts w:ascii="Times New Roman" w:hAnsi="Times New Roman" w:cs="Times New Roman"/>
                <w:b/>
                <w:sz w:val="20"/>
                <w:szCs w:val="20"/>
                <w:lang w:val="en-US"/>
              </w:rPr>
              <w:t>% of papers (total 122)</w:t>
            </w:r>
          </w:p>
        </w:tc>
      </w:tr>
      <w:tr w:rsidR="00FE0B64" w:rsidRPr="00FC6034" w14:paraId="48C924F6" w14:textId="77777777" w:rsidTr="00696269">
        <w:tc>
          <w:tcPr>
            <w:tcW w:w="187" w:type="pct"/>
          </w:tcPr>
          <w:p w14:paraId="299B3F7D" w14:textId="77777777" w:rsidR="00FE0B64" w:rsidRPr="00E4621D" w:rsidRDefault="00FE0B64" w:rsidP="00E83517">
            <w:pPr>
              <w:jc w:val="both"/>
              <w:rPr>
                <w:rFonts w:ascii="Times New Roman" w:hAnsi="Times New Roman" w:cs="Times New Roman"/>
                <w:sz w:val="20"/>
                <w:szCs w:val="20"/>
                <w:lang w:val="en-US"/>
              </w:rPr>
            </w:pPr>
            <w:r w:rsidRPr="00E4621D">
              <w:rPr>
                <w:rFonts w:ascii="Times New Roman" w:hAnsi="Times New Roman" w:cs="Times New Roman"/>
                <w:sz w:val="20"/>
                <w:szCs w:val="20"/>
                <w:lang w:val="en-US"/>
              </w:rPr>
              <w:t>1</w:t>
            </w:r>
          </w:p>
        </w:tc>
        <w:tc>
          <w:tcPr>
            <w:tcW w:w="3231" w:type="pct"/>
          </w:tcPr>
          <w:p w14:paraId="43DF5ABA" w14:textId="76C8537C"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Systemic risk and regulation of institutions deemed ‘too-big-to fail’</w:t>
            </w:r>
          </w:p>
        </w:tc>
        <w:tc>
          <w:tcPr>
            <w:tcW w:w="668" w:type="pct"/>
          </w:tcPr>
          <w:p w14:paraId="6AA873E0"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21</w:t>
            </w:r>
          </w:p>
        </w:tc>
        <w:tc>
          <w:tcPr>
            <w:tcW w:w="914" w:type="pct"/>
          </w:tcPr>
          <w:p w14:paraId="5B723E34"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17</w:t>
            </w:r>
          </w:p>
        </w:tc>
      </w:tr>
      <w:tr w:rsidR="00FE0B64" w:rsidRPr="00FC6034" w14:paraId="3A51B855" w14:textId="77777777" w:rsidTr="00696269">
        <w:tc>
          <w:tcPr>
            <w:tcW w:w="187" w:type="pct"/>
          </w:tcPr>
          <w:p w14:paraId="679BC390" w14:textId="77777777" w:rsidR="00FE0B64" w:rsidRPr="00E4621D" w:rsidRDefault="00FE0B64" w:rsidP="00E83517">
            <w:pPr>
              <w:jc w:val="both"/>
              <w:rPr>
                <w:rFonts w:ascii="Times New Roman" w:hAnsi="Times New Roman" w:cs="Times New Roman"/>
                <w:sz w:val="20"/>
                <w:szCs w:val="20"/>
                <w:lang w:val="en-US"/>
              </w:rPr>
            </w:pPr>
            <w:r w:rsidRPr="00E4621D">
              <w:rPr>
                <w:rFonts w:ascii="Times New Roman" w:hAnsi="Times New Roman" w:cs="Times New Roman"/>
                <w:sz w:val="20"/>
                <w:szCs w:val="20"/>
                <w:lang w:val="en-US"/>
              </w:rPr>
              <w:t>2</w:t>
            </w:r>
          </w:p>
        </w:tc>
        <w:tc>
          <w:tcPr>
            <w:tcW w:w="3231" w:type="pct"/>
          </w:tcPr>
          <w:p w14:paraId="5DAA4F1E" w14:textId="73F07C7E"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Banking regulation - the Basel Committee and its Basel III regulatory framework</w:t>
            </w:r>
          </w:p>
        </w:tc>
        <w:tc>
          <w:tcPr>
            <w:tcW w:w="668" w:type="pct"/>
          </w:tcPr>
          <w:p w14:paraId="69AA09A3"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14</w:t>
            </w:r>
          </w:p>
        </w:tc>
        <w:tc>
          <w:tcPr>
            <w:tcW w:w="914" w:type="pct"/>
          </w:tcPr>
          <w:p w14:paraId="3B40A6F4"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11</w:t>
            </w:r>
          </w:p>
        </w:tc>
      </w:tr>
      <w:tr w:rsidR="00FE0B64" w:rsidRPr="00FC6034" w14:paraId="5A91F6F4" w14:textId="77777777" w:rsidTr="00696269">
        <w:tc>
          <w:tcPr>
            <w:tcW w:w="187" w:type="pct"/>
          </w:tcPr>
          <w:p w14:paraId="6C19589D" w14:textId="77777777" w:rsidR="00FE0B64" w:rsidRPr="00E4621D" w:rsidRDefault="00FE0B64" w:rsidP="00E83517">
            <w:pPr>
              <w:jc w:val="both"/>
              <w:rPr>
                <w:rFonts w:ascii="Times New Roman" w:hAnsi="Times New Roman" w:cs="Times New Roman"/>
                <w:sz w:val="20"/>
                <w:szCs w:val="20"/>
                <w:lang w:val="en-US"/>
              </w:rPr>
            </w:pPr>
            <w:r w:rsidRPr="00E4621D">
              <w:rPr>
                <w:rFonts w:ascii="Times New Roman" w:hAnsi="Times New Roman" w:cs="Times New Roman"/>
                <w:sz w:val="20"/>
                <w:szCs w:val="20"/>
                <w:lang w:val="en-US"/>
              </w:rPr>
              <w:t>3</w:t>
            </w:r>
          </w:p>
        </w:tc>
        <w:tc>
          <w:tcPr>
            <w:tcW w:w="3231" w:type="pct"/>
          </w:tcPr>
          <w:p w14:paraId="236960AB"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Shadow banking and hedge funds</w:t>
            </w:r>
          </w:p>
        </w:tc>
        <w:tc>
          <w:tcPr>
            <w:tcW w:w="668" w:type="pct"/>
          </w:tcPr>
          <w:p w14:paraId="1CAE4DAD"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10</w:t>
            </w:r>
          </w:p>
        </w:tc>
        <w:tc>
          <w:tcPr>
            <w:tcW w:w="914" w:type="pct"/>
          </w:tcPr>
          <w:p w14:paraId="65E6993F"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8</w:t>
            </w:r>
          </w:p>
        </w:tc>
      </w:tr>
      <w:tr w:rsidR="00FE0B64" w:rsidRPr="00FC6034" w14:paraId="4CF5B132" w14:textId="77777777" w:rsidTr="00696269">
        <w:tc>
          <w:tcPr>
            <w:tcW w:w="187" w:type="pct"/>
          </w:tcPr>
          <w:p w14:paraId="2CBBCC27" w14:textId="77777777" w:rsidR="00FE0B64" w:rsidRPr="00E4621D" w:rsidRDefault="00FE0B64" w:rsidP="00E83517">
            <w:pPr>
              <w:jc w:val="both"/>
              <w:rPr>
                <w:rFonts w:ascii="Times New Roman" w:hAnsi="Times New Roman" w:cs="Times New Roman"/>
                <w:sz w:val="20"/>
                <w:szCs w:val="20"/>
                <w:lang w:val="en-US"/>
              </w:rPr>
            </w:pPr>
            <w:r w:rsidRPr="00E4621D">
              <w:rPr>
                <w:rFonts w:ascii="Times New Roman" w:hAnsi="Times New Roman" w:cs="Times New Roman"/>
                <w:sz w:val="20"/>
                <w:szCs w:val="20"/>
                <w:lang w:val="en-US"/>
              </w:rPr>
              <w:t>4</w:t>
            </w:r>
          </w:p>
        </w:tc>
        <w:tc>
          <w:tcPr>
            <w:tcW w:w="3231" w:type="pct"/>
          </w:tcPr>
          <w:p w14:paraId="3B93C205"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Derivatives markets including OTC derivatives and credit derivatives</w:t>
            </w:r>
          </w:p>
        </w:tc>
        <w:tc>
          <w:tcPr>
            <w:tcW w:w="668" w:type="pct"/>
          </w:tcPr>
          <w:p w14:paraId="2E870918"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24</w:t>
            </w:r>
          </w:p>
        </w:tc>
        <w:tc>
          <w:tcPr>
            <w:tcW w:w="914" w:type="pct"/>
          </w:tcPr>
          <w:p w14:paraId="0D7497F1"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20</w:t>
            </w:r>
          </w:p>
        </w:tc>
      </w:tr>
      <w:tr w:rsidR="00FE0B64" w:rsidRPr="00FC6034" w14:paraId="3E736408" w14:textId="77777777" w:rsidTr="00696269">
        <w:tc>
          <w:tcPr>
            <w:tcW w:w="187" w:type="pct"/>
          </w:tcPr>
          <w:p w14:paraId="089BB14C" w14:textId="77777777" w:rsidR="00FE0B64" w:rsidRPr="00E4621D" w:rsidRDefault="00FE0B64" w:rsidP="00E83517">
            <w:pPr>
              <w:jc w:val="both"/>
              <w:rPr>
                <w:rFonts w:ascii="Times New Roman" w:hAnsi="Times New Roman" w:cs="Times New Roman"/>
                <w:sz w:val="20"/>
                <w:szCs w:val="20"/>
                <w:lang w:val="en-US"/>
              </w:rPr>
            </w:pPr>
            <w:r w:rsidRPr="00E4621D">
              <w:rPr>
                <w:rFonts w:ascii="Times New Roman" w:hAnsi="Times New Roman" w:cs="Times New Roman"/>
                <w:sz w:val="20"/>
                <w:szCs w:val="20"/>
                <w:lang w:val="en-US"/>
              </w:rPr>
              <w:t>5</w:t>
            </w:r>
          </w:p>
        </w:tc>
        <w:tc>
          <w:tcPr>
            <w:tcW w:w="3231" w:type="pct"/>
          </w:tcPr>
          <w:p w14:paraId="57ED53D3"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Credit rating agencies</w:t>
            </w:r>
          </w:p>
        </w:tc>
        <w:tc>
          <w:tcPr>
            <w:tcW w:w="668" w:type="pct"/>
          </w:tcPr>
          <w:p w14:paraId="46B5ADBA"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27</w:t>
            </w:r>
          </w:p>
        </w:tc>
        <w:tc>
          <w:tcPr>
            <w:tcW w:w="914" w:type="pct"/>
          </w:tcPr>
          <w:p w14:paraId="42D69DE0"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22</w:t>
            </w:r>
          </w:p>
        </w:tc>
      </w:tr>
      <w:tr w:rsidR="00FE0B64" w:rsidRPr="00FC6034" w14:paraId="43F6E606" w14:textId="77777777" w:rsidTr="00696269">
        <w:tc>
          <w:tcPr>
            <w:tcW w:w="187" w:type="pct"/>
          </w:tcPr>
          <w:p w14:paraId="6BD14F96" w14:textId="77777777" w:rsidR="00FE0B64" w:rsidRPr="00E4621D" w:rsidRDefault="00FE0B64" w:rsidP="00E83517">
            <w:pPr>
              <w:jc w:val="both"/>
              <w:rPr>
                <w:rFonts w:ascii="Times New Roman" w:hAnsi="Times New Roman" w:cs="Times New Roman"/>
                <w:sz w:val="20"/>
                <w:szCs w:val="20"/>
                <w:lang w:val="en-US"/>
              </w:rPr>
            </w:pPr>
            <w:r w:rsidRPr="00E4621D">
              <w:rPr>
                <w:rFonts w:ascii="Times New Roman" w:hAnsi="Times New Roman" w:cs="Times New Roman"/>
                <w:sz w:val="20"/>
                <w:szCs w:val="20"/>
                <w:lang w:val="en-US"/>
              </w:rPr>
              <w:t>6</w:t>
            </w:r>
          </w:p>
        </w:tc>
        <w:tc>
          <w:tcPr>
            <w:tcW w:w="3231" w:type="pct"/>
          </w:tcPr>
          <w:p w14:paraId="57E70EAC"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Corporate governance and executive remuneration</w:t>
            </w:r>
          </w:p>
        </w:tc>
        <w:tc>
          <w:tcPr>
            <w:tcW w:w="668" w:type="pct"/>
          </w:tcPr>
          <w:p w14:paraId="562ACCF3"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21</w:t>
            </w:r>
          </w:p>
        </w:tc>
        <w:tc>
          <w:tcPr>
            <w:tcW w:w="914" w:type="pct"/>
          </w:tcPr>
          <w:p w14:paraId="430578C5"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17</w:t>
            </w:r>
          </w:p>
        </w:tc>
      </w:tr>
      <w:tr w:rsidR="00FE0B64" w:rsidRPr="00FC6034" w14:paraId="08F927E3" w14:textId="77777777" w:rsidTr="00696269">
        <w:tc>
          <w:tcPr>
            <w:tcW w:w="187" w:type="pct"/>
          </w:tcPr>
          <w:p w14:paraId="71E34074" w14:textId="77777777" w:rsidR="00FE0B64" w:rsidRPr="00E4621D" w:rsidRDefault="00FE0B64" w:rsidP="00E83517">
            <w:pPr>
              <w:jc w:val="both"/>
              <w:rPr>
                <w:rFonts w:ascii="Times New Roman" w:hAnsi="Times New Roman" w:cs="Times New Roman"/>
                <w:sz w:val="20"/>
                <w:szCs w:val="20"/>
                <w:lang w:val="en-US"/>
              </w:rPr>
            </w:pPr>
            <w:r w:rsidRPr="00E4621D">
              <w:rPr>
                <w:rFonts w:ascii="Times New Roman" w:hAnsi="Times New Roman" w:cs="Times New Roman"/>
                <w:sz w:val="20"/>
                <w:szCs w:val="20"/>
                <w:lang w:val="en-US"/>
              </w:rPr>
              <w:t>7</w:t>
            </w:r>
          </w:p>
        </w:tc>
        <w:tc>
          <w:tcPr>
            <w:tcW w:w="3231" w:type="pct"/>
          </w:tcPr>
          <w:p w14:paraId="362C9EE6"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Consumer protection and accounting standards</w:t>
            </w:r>
          </w:p>
        </w:tc>
        <w:tc>
          <w:tcPr>
            <w:tcW w:w="668" w:type="pct"/>
          </w:tcPr>
          <w:p w14:paraId="68D8A1AA"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11</w:t>
            </w:r>
          </w:p>
        </w:tc>
        <w:tc>
          <w:tcPr>
            <w:tcW w:w="914" w:type="pct"/>
          </w:tcPr>
          <w:p w14:paraId="59BED4DE"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9</w:t>
            </w:r>
          </w:p>
        </w:tc>
      </w:tr>
      <w:tr w:rsidR="00FE0B64" w:rsidRPr="00FC6034" w14:paraId="2C0D7FFE" w14:textId="77777777" w:rsidTr="00696269">
        <w:tc>
          <w:tcPr>
            <w:tcW w:w="187" w:type="pct"/>
          </w:tcPr>
          <w:p w14:paraId="597BDDC5" w14:textId="77777777" w:rsidR="00FE0B64" w:rsidRPr="00E4621D" w:rsidRDefault="00FE0B64" w:rsidP="00E83517">
            <w:pPr>
              <w:jc w:val="both"/>
              <w:rPr>
                <w:rFonts w:ascii="Times New Roman" w:hAnsi="Times New Roman" w:cs="Times New Roman"/>
                <w:sz w:val="20"/>
                <w:szCs w:val="20"/>
                <w:lang w:val="en-US"/>
              </w:rPr>
            </w:pPr>
            <w:r w:rsidRPr="00E4621D">
              <w:rPr>
                <w:rFonts w:ascii="Times New Roman" w:hAnsi="Times New Roman" w:cs="Times New Roman"/>
                <w:sz w:val="20"/>
                <w:szCs w:val="20"/>
                <w:lang w:val="en-US"/>
              </w:rPr>
              <w:t>8</w:t>
            </w:r>
          </w:p>
        </w:tc>
        <w:tc>
          <w:tcPr>
            <w:tcW w:w="3231" w:type="pct"/>
          </w:tcPr>
          <w:p w14:paraId="7FF7B224"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Financial regulation overall</w:t>
            </w:r>
          </w:p>
        </w:tc>
        <w:tc>
          <w:tcPr>
            <w:tcW w:w="668" w:type="pct"/>
          </w:tcPr>
          <w:p w14:paraId="5C7A1EA4"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50</w:t>
            </w:r>
          </w:p>
        </w:tc>
        <w:tc>
          <w:tcPr>
            <w:tcW w:w="914" w:type="pct"/>
          </w:tcPr>
          <w:p w14:paraId="53F65451" w14:textId="77777777" w:rsidR="00FE0B64" w:rsidRPr="0054255F" w:rsidRDefault="00FE0B64" w:rsidP="00E83517">
            <w:pPr>
              <w:jc w:val="both"/>
              <w:rPr>
                <w:rFonts w:ascii="Times New Roman" w:hAnsi="Times New Roman" w:cs="Times New Roman"/>
                <w:sz w:val="20"/>
                <w:szCs w:val="20"/>
                <w:lang w:val="en-US"/>
              </w:rPr>
            </w:pPr>
            <w:r w:rsidRPr="0054255F">
              <w:rPr>
                <w:rFonts w:ascii="Times New Roman" w:hAnsi="Times New Roman" w:cs="Times New Roman"/>
                <w:sz w:val="20"/>
                <w:szCs w:val="20"/>
                <w:lang w:val="en-US"/>
              </w:rPr>
              <w:t>41</w:t>
            </w:r>
          </w:p>
        </w:tc>
      </w:tr>
    </w:tbl>
    <w:p w14:paraId="1CF40193" w14:textId="77777777" w:rsidR="00FE0B64" w:rsidRPr="00FC6034" w:rsidRDefault="00FE0B64" w:rsidP="00E83517">
      <w:pPr>
        <w:spacing w:line="240" w:lineRule="auto"/>
        <w:jc w:val="both"/>
        <w:rPr>
          <w:rFonts w:ascii="Times New Roman" w:hAnsi="Times New Roman" w:cs="Times New Roman"/>
          <w:sz w:val="24"/>
          <w:szCs w:val="24"/>
          <w:lang w:val="en-US"/>
        </w:rPr>
      </w:pPr>
    </w:p>
    <w:p w14:paraId="15876812" w14:textId="1DB7E455" w:rsidR="00FE0B64" w:rsidRPr="00FC6034" w:rsidRDefault="00FE0B64" w:rsidP="00E83517">
      <w:pPr>
        <w:spacing w:line="24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br w:type="page"/>
      </w:r>
    </w:p>
    <w:p w14:paraId="32BF525E" w14:textId="77777777" w:rsidR="00FE0B64" w:rsidRPr="00FC6034" w:rsidRDefault="00FE0B64" w:rsidP="00E83517">
      <w:pPr>
        <w:spacing w:line="240" w:lineRule="auto"/>
        <w:jc w:val="both"/>
        <w:rPr>
          <w:rFonts w:ascii="Times New Roman" w:hAnsi="Times New Roman" w:cs="Times New Roman"/>
          <w:sz w:val="24"/>
          <w:szCs w:val="24"/>
          <w:lang w:val="en-US"/>
        </w:rPr>
      </w:pPr>
    </w:p>
    <w:p w14:paraId="68846E5D" w14:textId="77777777" w:rsidR="00FE0B64" w:rsidRPr="00FC6034" w:rsidRDefault="00FE0B64" w:rsidP="00E83517">
      <w:pPr>
        <w:spacing w:line="240" w:lineRule="auto"/>
        <w:jc w:val="both"/>
        <w:rPr>
          <w:rFonts w:ascii="Times New Roman" w:hAnsi="Times New Roman" w:cs="Times New Roman"/>
          <w:sz w:val="24"/>
          <w:szCs w:val="24"/>
          <w:lang w:val="en-US"/>
        </w:rPr>
      </w:pPr>
    </w:p>
    <w:p w14:paraId="578C6E0B" w14:textId="77777777" w:rsidR="0054255F" w:rsidRPr="0054255F" w:rsidRDefault="0054255F" w:rsidP="00E83517">
      <w:pPr>
        <w:spacing w:line="240" w:lineRule="auto"/>
        <w:rPr>
          <w:rFonts w:ascii="Times New Roman" w:hAnsi="Times New Roman" w:cs="Times New Roman"/>
          <w:b/>
          <w:sz w:val="24"/>
          <w:szCs w:val="24"/>
        </w:rPr>
      </w:pPr>
      <w:r w:rsidRPr="0054255F">
        <w:rPr>
          <w:rFonts w:ascii="Times New Roman" w:hAnsi="Times New Roman" w:cs="Times New Roman"/>
          <w:b/>
          <w:sz w:val="24"/>
          <w:szCs w:val="24"/>
        </w:rPr>
        <w:t>Figure 1: An overview of the systematic review process</w:t>
      </w:r>
    </w:p>
    <w:p w14:paraId="41667B28" w14:textId="77777777" w:rsidR="0054255F" w:rsidRDefault="0054255F" w:rsidP="00E83517">
      <w:pPr>
        <w:spacing w:line="240" w:lineRule="auto"/>
      </w:pPr>
      <w:r>
        <w:rPr>
          <w:noProof/>
          <w:lang w:val="en-AU" w:eastAsia="en-AU"/>
        </w:rPr>
        <mc:AlternateContent>
          <mc:Choice Requires="wpc">
            <w:drawing>
              <wp:inline distT="0" distB="0" distL="0" distR="0" wp14:anchorId="138F7B3C" wp14:editId="02776E23">
                <wp:extent cx="5486400" cy="57150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514350" y="295275"/>
                            <a:ext cx="4352925" cy="590550"/>
                          </a:xfrm>
                          <a:prstGeom prst="rect">
                            <a:avLst/>
                          </a:prstGeom>
                        </wps:spPr>
                        <wps:style>
                          <a:lnRef idx="2">
                            <a:schemeClr val="dk1"/>
                          </a:lnRef>
                          <a:fillRef idx="1">
                            <a:schemeClr val="lt1"/>
                          </a:fillRef>
                          <a:effectRef idx="0">
                            <a:schemeClr val="dk1"/>
                          </a:effectRef>
                          <a:fontRef idx="minor">
                            <a:schemeClr val="dk1"/>
                          </a:fontRef>
                        </wps:style>
                        <wps:txbx>
                          <w:txbxContent>
                            <w:p w14:paraId="55F68DF3"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Establishing the research question</w:t>
                              </w:r>
                            </w:p>
                            <w:p w14:paraId="6EB0844F" w14:textId="77777777" w:rsidR="00A3352B" w:rsidRPr="0054255F" w:rsidRDefault="00A3352B" w:rsidP="0054255F">
                              <w:pPr>
                                <w:jc w:val="center"/>
                                <w:rPr>
                                  <w:rFonts w:ascii="Times New Roman" w:hAnsi="Times New Roman" w:cs="Times New Roman"/>
                                  <w:sz w:val="18"/>
                                  <w:szCs w:val="18"/>
                                </w:rPr>
                              </w:pPr>
                              <w:r w:rsidRPr="0054255F">
                                <w:rPr>
                                  <w:rFonts w:ascii="Times New Roman" w:hAnsi="Times New Roman" w:cs="Times New Roman"/>
                                  <w:sz w:val="18"/>
                                  <w:szCs w:val="18"/>
                                </w:rPr>
                                <w:t>What factors are thought to impact on the effectiveness of post-GFC reforms?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7150" y="1123950"/>
                            <a:ext cx="53340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04D0AD29" w14:textId="77777777" w:rsidR="00A3352B" w:rsidRPr="0054255F" w:rsidRDefault="00A3352B" w:rsidP="0054255F">
                              <w:pPr>
                                <w:jc w:val="center"/>
                                <w:rPr>
                                  <w:rFonts w:ascii="Times New Roman" w:hAnsi="Times New Roman" w:cs="Times New Roman"/>
                                  <w:b/>
                                  <w:sz w:val="18"/>
                                  <w:szCs w:val="18"/>
                                </w:rPr>
                              </w:pPr>
                              <w:r w:rsidRPr="0054255F">
                                <w:rPr>
                                  <w:rFonts w:ascii="Times New Roman" w:hAnsi="Times New Roman" w:cs="Times New Roman"/>
                                  <w:b/>
                                  <w:sz w:val="18"/>
                                  <w:szCs w:val="18"/>
                                </w:rPr>
                                <w:t>Search: Initial inclusion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209550" y="1400175"/>
                            <a:ext cx="1200150" cy="704850"/>
                          </a:xfrm>
                          <a:prstGeom prst="rect">
                            <a:avLst/>
                          </a:prstGeom>
                        </wps:spPr>
                        <wps:style>
                          <a:lnRef idx="2">
                            <a:schemeClr val="dk1"/>
                          </a:lnRef>
                          <a:fillRef idx="1">
                            <a:schemeClr val="lt1"/>
                          </a:fillRef>
                          <a:effectRef idx="0">
                            <a:schemeClr val="dk1"/>
                          </a:effectRef>
                          <a:fontRef idx="minor">
                            <a:schemeClr val="dk1"/>
                          </a:fontRef>
                        </wps:style>
                        <wps:txbx>
                          <w:txbxContent>
                            <w:p w14:paraId="548FA515"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Sources</w:t>
                              </w:r>
                            </w:p>
                            <w:p w14:paraId="25BCF065" w14:textId="77777777" w:rsidR="00A3352B" w:rsidRPr="0054255F" w:rsidRDefault="00A3352B" w:rsidP="0054255F">
                              <w:pPr>
                                <w:spacing w:after="0" w:line="240" w:lineRule="auto"/>
                                <w:rPr>
                                  <w:rFonts w:ascii="Times New Roman" w:hAnsi="Times New Roman" w:cs="Times New Roman"/>
                                  <w:sz w:val="18"/>
                                  <w:szCs w:val="18"/>
                                </w:rPr>
                              </w:pPr>
                              <w:r w:rsidRPr="0054255F">
                                <w:rPr>
                                  <w:rFonts w:ascii="Times New Roman" w:hAnsi="Times New Roman" w:cs="Times New Roman"/>
                                  <w:sz w:val="18"/>
                                  <w:szCs w:val="18"/>
                                </w:rPr>
                                <w:t>Google Scholar</w:t>
                              </w:r>
                            </w:p>
                            <w:p w14:paraId="5C5F1D65" w14:textId="77777777" w:rsidR="00A3352B" w:rsidRPr="0054255F" w:rsidRDefault="00A3352B" w:rsidP="0054255F">
                              <w:pPr>
                                <w:spacing w:after="0" w:line="240" w:lineRule="auto"/>
                                <w:rPr>
                                  <w:rFonts w:ascii="Times New Roman" w:hAnsi="Times New Roman" w:cs="Times New Roman"/>
                                  <w:sz w:val="18"/>
                                  <w:szCs w:val="18"/>
                                </w:rPr>
                              </w:pPr>
                              <w:r w:rsidRPr="0054255F">
                                <w:rPr>
                                  <w:rFonts w:ascii="Times New Roman" w:hAnsi="Times New Roman" w:cs="Times New Roman"/>
                                  <w:sz w:val="18"/>
                                  <w:szCs w:val="18"/>
                                </w:rPr>
                                <w:t>EBSCO</w:t>
                              </w:r>
                            </w:p>
                            <w:p w14:paraId="47F78934" w14:textId="77777777" w:rsidR="00A3352B" w:rsidRPr="0054255F" w:rsidRDefault="00A3352B" w:rsidP="0054255F">
                              <w:pPr>
                                <w:spacing w:after="0" w:line="240" w:lineRule="auto"/>
                                <w:rPr>
                                  <w:rFonts w:ascii="Times New Roman" w:hAnsi="Times New Roman" w:cs="Times New Roman"/>
                                  <w:sz w:val="18"/>
                                  <w:szCs w:val="18"/>
                                </w:rPr>
                              </w:pPr>
                              <w:r w:rsidRPr="0054255F">
                                <w:rPr>
                                  <w:rFonts w:ascii="Times New Roman" w:hAnsi="Times New Roman" w:cs="Times New Roman"/>
                                  <w:sz w:val="18"/>
                                  <w:szCs w:val="18"/>
                                </w:rPr>
                                <w:t>Lexis Nexis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1619250" y="1400175"/>
                            <a:ext cx="2133600" cy="752475"/>
                          </a:xfrm>
                          <a:prstGeom prst="rect">
                            <a:avLst/>
                          </a:prstGeom>
                        </wps:spPr>
                        <wps:style>
                          <a:lnRef idx="2">
                            <a:schemeClr val="dk1"/>
                          </a:lnRef>
                          <a:fillRef idx="1">
                            <a:schemeClr val="lt1"/>
                          </a:fillRef>
                          <a:effectRef idx="0">
                            <a:schemeClr val="dk1"/>
                          </a:effectRef>
                          <a:fontRef idx="minor">
                            <a:schemeClr val="dk1"/>
                          </a:fontRef>
                        </wps:style>
                        <wps:txbx>
                          <w:txbxContent>
                            <w:p w14:paraId="7E575DBD"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Keywords and search strings</w:t>
                              </w:r>
                            </w:p>
                            <w:p w14:paraId="78B4114B"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‘global financial crisis’ AND regulat*</w:t>
                              </w:r>
                            </w:p>
                            <w:p w14:paraId="2F087158"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‘financial crisis’ AND regulat*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4000500" y="1428750"/>
                            <a:ext cx="123825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71F103A0"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Time period</w:t>
                              </w:r>
                            </w:p>
                            <w:p w14:paraId="4624F5FA"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Jan 2008 to Dec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1552575" y="2352675"/>
                            <a:ext cx="2286000" cy="428625"/>
                          </a:xfrm>
                          <a:prstGeom prst="rect">
                            <a:avLst/>
                          </a:prstGeom>
                        </wps:spPr>
                        <wps:style>
                          <a:lnRef idx="2">
                            <a:schemeClr val="dk1"/>
                          </a:lnRef>
                          <a:fillRef idx="1">
                            <a:schemeClr val="lt1"/>
                          </a:fillRef>
                          <a:effectRef idx="0">
                            <a:schemeClr val="dk1"/>
                          </a:effectRef>
                          <a:fontRef idx="minor">
                            <a:schemeClr val="dk1"/>
                          </a:fontRef>
                        </wps:style>
                        <wps:txbx>
                          <w:txbxContent>
                            <w:p w14:paraId="12FD648B"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Total items sourced</w:t>
                              </w:r>
                            </w:p>
                            <w:p w14:paraId="1E06F17B"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839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1581150" y="2933699"/>
                            <a:ext cx="2209800" cy="638176"/>
                          </a:xfrm>
                          <a:prstGeom prst="rect">
                            <a:avLst/>
                          </a:prstGeom>
                        </wps:spPr>
                        <wps:style>
                          <a:lnRef idx="2">
                            <a:schemeClr val="dk1"/>
                          </a:lnRef>
                          <a:fillRef idx="1">
                            <a:schemeClr val="lt1"/>
                          </a:fillRef>
                          <a:effectRef idx="0">
                            <a:schemeClr val="dk1"/>
                          </a:effectRef>
                          <a:fontRef idx="minor">
                            <a:schemeClr val="dk1"/>
                          </a:fontRef>
                        </wps:style>
                        <wps:txbx>
                          <w:txbxContent>
                            <w:p w14:paraId="0B6AAC04"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Type and Title screening</w:t>
                              </w:r>
                            </w:p>
                            <w:p w14:paraId="1655CF00"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Journal articles only</w:t>
                              </w:r>
                            </w:p>
                            <w:p w14:paraId="74F2F9A8"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Regulat* in the title</w:t>
                              </w:r>
                            </w:p>
                            <w:p w14:paraId="286086E3"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152 items</w:t>
                              </w:r>
                            </w:p>
                            <w:p w14:paraId="1A2378D3" w14:textId="77777777" w:rsidR="00A3352B" w:rsidRPr="00F64761" w:rsidRDefault="00A3352B" w:rsidP="0054255F">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1247775" y="3724275"/>
                            <a:ext cx="3133725" cy="638175"/>
                          </a:xfrm>
                          <a:prstGeom prst="rect">
                            <a:avLst/>
                          </a:prstGeom>
                        </wps:spPr>
                        <wps:style>
                          <a:lnRef idx="2">
                            <a:schemeClr val="dk1"/>
                          </a:lnRef>
                          <a:fillRef idx="1">
                            <a:schemeClr val="lt1"/>
                          </a:fillRef>
                          <a:effectRef idx="0">
                            <a:schemeClr val="dk1"/>
                          </a:effectRef>
                          <a:fontRef idx="minor">
                            <a:schemeClr val="dk1"/>
                          </a:fontRef>
                        </wps:style>
                        <wps:txbx>
                          <w:txbxContent>
                            <w:p w14:paraId="5DDEFFA2"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b/>
                                  <w:sz w:val="18"/>
                                  <w:szCs w:val="18"/>
                                </w:rPr>
                                <w:t>Quality and focus screening</w:t>
                              </w:r>
                              <w:r w:rsidRPr="0054255F">
                                <w:rPr>
                                  <w:rFonts w:ascii="Times New Roman" w:hAnsi="Times New Roman" w:cs="Times New Roman"/>
                                  <w:b/>
                                  <w:sz w:val="18"/>
                                  <w:szCs w:val="18"/>
                                </w:rPr>
                                <w:br/>
                              </w:r>
                              <w:r w:rsidRPr="0054255F">
                                <w:rPr>
                                  <w:rFonts w:ascii="Times New Roman" w:hAnsi="Times New Roman" w:cs="Times New Roman"/>
                                  <w:sz w:val="18"/>
                                  <w:szCs w:val="18"/>
                                </w:rPr>
                                <w:t>Schimago journal ranking</w:t>
                              </w:r>
                            </w:p>
                            <w:p w14:paraId="4F01C08B"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Full-text analysis</w:t>
                              </w:r>
                            </w:p>
                            <w:p w14:paraId="11447468" w14:textId="5A312212" w:rsidR="00A3352B" w:rsidRPr="0054255F" w:rsidRDefault="00A3352B" w:rsidP="0054255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120</w:t>
                              </w:r>
                              <w:r w:rsidRPr="0054255F">
                                <w:rPr>
                                  <w:rFonts w:ascii="Times New Roman" w:hAnsi="Times New Roman" w:cs="Times New Roman"/>
                                  <w:b/>
                                  <w:sz w:val="18"/>
                                  <w:szCs w:val="18"/>
                                </w:rPr>
                                <w:t xml:space="preserve"> items</w:t>
                              </w:r>
                            </w:p>
                            <w:p w14:paraId="0A328071" w14:textId="77777777" w:rsidR="00A3352B" w:rsidRPr="00F64761" w:rsidRDefault="00A3352B" w:rsidP="0054255F">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10"/>
                        <wps:cNvSpPr/>
                        <wps:spPr>
                          <a:xfrm>
                            <a:off x="571500" y="4486274"/>
                            <a:ext cx="44577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4E762D8A"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Data analysis</w:t>
                              </w:r>
                            </w:p>
                            <w:p w14:paraId="26BDF3B5"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Initial coding categories piloted by two individuals</w:t>
                              </w:r>
                            </w:p>
                            <w:p w14:paraId="603B21CC"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Subsequent validation through cross-comparison and refining of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38F7B3C" id="Canvas 1" o:spid="_x0000_s1026" editas="canvas" style="width:6in;height:450pt;mso-position-horizontal-relative:char;mso-position-vertical-relative:line" coordsize="54864,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150;visibility:visible;mso-wrap-style:square">
                  <v:fill o:detectmouseclick="t"/>
                  <v:path o:connecttype="none"/>
                </v:shape>
                <v:rect id="Rectangle 2" o:spid="_x0000_s1028" style="position:absolute;left:5143;top:2952;width:43529;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14:paraId="55F68DF3"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Establishing the research question</w:t>
                        </w:r>
                      </w:p>
                      <w:p w14:paraId="6EB0844F" w14:textId="77777777" w:rsidR="00A3352B" w:rsidRPr="0054255F" w:rsidRDefault="00A3352B" w:rsidP="0054255F">
                        <w:pPr>
                          <w:jc w:val="center"/>
                          <w:rPr>
                            <w:rFonts w:ascii="Times New Roman" w:hAnsi="Times New Roman" w:cs="Times New Roman"/>
                            <w:sz w:val="18"/>
                            <w:szCs w:val="18"/>
                          </w:rPr>
                        </w:pPr>
                        <w:r w:rsidRPr="0054255F">
                          <w:rPr>
                            <w:rFonts w:ascii="Times New Roman" w:hAnsi="Times New Roman" w:cs="Times New Roman"/>
                            <w:sz w:val="18"/>
                            <w:szCs w:val="18"/>
                          </w:rPr>
                          <w:t>What factors are thought to impact on the effectiveness of post-GFC reforms?</w:t>
                        </w:r>
                      </w:p>
                    </w:txbxContent>
                  </v:textbox>
                </v:rect>
                <v:rect id="Rectangle 3" o:spid="_x0000_s1029" style="position:absolute;left:571;top:11239;width:5334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kRsMA&#10;AADaAAAADwAAAGRycy9kb3ducmV2LnhtbESP0WrCQBRE3wX/YbkFX0qz0TalRFdRQWh9kDbNB1yy&#10;1yQ0ezfsrjH9+25B8HGYmTPMajOaTgzkfGtZwTxJQRBXVrdcKyi/D09vIHxA1thZJgW/5GGznk5W&#10;mGt75S8ailCLCGGfo4ImhD6X0lcNGfSJ7Ymjd7bOYIjS1VI7vEa46eQiTV+lwZbjQoM97RuqfoqL&#10;UXDK5DFjLP1WFy+PfjfU7UfxqdTsYdwuQQQawz18a79rBc/wfyX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TkRsMAAADaAAAADwAAAAAAAAAAAAAAAACYAgAAZHJzL2Rv&#10;d25yZXYueG1sUEsFBgAAAAAEAAQA9QAAAIgDAAAAAA==&#10;" fillcolor="white [3201]" strokecolor="black [3200]" strokeweight="1pt">
                  <v:textbox>
                    <w:txbxContent>
                      <w:p w14:paraId="04D0AD29" w14:textId="77777777" w:rsidR="00A3352B" w:rsidRPr="0054255F" w:rsidRDefault="00A3352B" w:rsidP="0054255F">
                        <w:pPr>
                          <w:jc w:val="center"/>
                          <w:rPr>
                            <w:rFonts w:ascii="Times New Roman" w:hAnsi="Times New Roman" w:cs="Times New Roman"/>
                            <w:b/>
                            <w:sz w:val="18"/>
                            <w:szCs w:val="18"/>
                          </w:rPr>
                        </w:pPr>
                        <w:r w:rsidRPr="0054255F">
                          <w:rPr>
                            <w:rFonts w:ascii="Times New Roman" w:hAnsi="Times New Roman" w:cs="Times New Roman"/>
                            <w:b/>
                            <w:sz w:val="18"/>
                            <w:szCs w:val="18"/>
                          </w:rPr>
                          <w:t>Search: Initial inclusion criteria</w:t>
                        </w:r>
                      </w:p>
                    </w:txbxContent>
                  </v:textbox>
                </v:rect>
                <v:rect id="Rectangle 4" o:spid="_x0000_s1030" style="position:absolute;left:2095;top:14001;width:12002;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8MsIA&#10;AADaAAAADwAAAGRycy9kb3ducmV2LnhtbESP0YrCMBRE34X9h3AXfBFNV3RZalNxBUF9ELfrB1ya&#10;a1tsbkoTa/17Iwg+DjNzhkmWvalFR62rLCv4mkQgiHOrKy4UnP434x8QziNrrC2Tgjs5WKYfgwRj&#10;bW/8R13mCxEg7GJUUHrfxFK6vCSDbmIb4uCdbWvQB9kWUrd4C3BTy2kUfUuDFYeFEhtal5RfsqtR&#10;cJjL/Zzx5FY6m43cb1dUu+yo1PCzXy1AeOr9O/xqb7WCGTyvhBs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XwywgAAANoAAAAPAAAAAAAAAAAAAAAAAJgCAABkcnMvZG93&#10;bnJldi54bWxQSwUGAAAAAAQABAD1AAAAhwMAAAAA&#10;" fillcolor="white [3201]" strokecolor="black [3200]" strokeweight="1pt">
                  <v:textbox>
                    <w:txbxContent>
                      <w:p w14:paraId="548FA515"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Sources</w:t>
                        </w:r>
                      </w:p>
                      <w:p w14:paraId="25BCF065" w14:textId="77777777" w:rsidR="00A3352B" w:rsidRPr="0054255F" w:rsidRDefault="00A3352B" w:rsidP="0054255F">
                        <w:pPr>
                          <w:spacing w:after="0" w:line="240" w:lineRule="auto"/>
                          <w:rPr>
                            <w:rFonts w:ascii="Times New Roman" w:hAnsi="Times New Roman" w:cs="Times New Roman"/>
                            <w:sz w:val="18"/>
                            <w:szCs w:val="18"/>
                          </w:rPr>
                        </w:pPr>
                        <w:r w:rsidRPr="0054255F">
                          <w:rPr>
                            <w:rFonts w:ascii="Times New Roman" w:hAnsi="Times New Roman" w:cs="Times New Roman"/>
                            <w:sz w:val="18"/>
                            <w:szCs w:val="18"/>
                          </w:rPr>
                          <w:t>Google Scholar</w:t>
                        </w:r>
                      </w:p>
                      <w:p w14:paraId="5C5F1D65" w14:textId="77777777" w:rsidR="00A3352B" w:rsidRPr="0054255F" w:rsidRDefault="00A3352B" w:rsidP="0054255F">
                        <w:pPr>
                          <w:spacing w:after="0" w:line="240" w:lineRule="auto"/>
                          <w:rPr>
                            <w:rFonts w:ascii="Times New Roman" w:hAnsi="Times New Roman" w:cs="Times New Roman"/>
                            <w:sz w:val="18"/>
                            <w:szCs w:val="18"/>
                          </w:rPr>
                        </w:pPr>
                        <w:r w:rsidRPr="0054255F">
                          <w:rPr>
                            <w:rFonts w:ascii="Times New Roman" w:hAnsi="Times New Roman" w:cs="Times New Roman"/>
                            <w:sz w:val="18"/>
                            <w:szCs w:val="18"/>
                          </w:rPr>
                          <w:t>EBSCO</w:t>
                        </w:r>
                      </w:p>
                      <w:p w14:paraId="47F78934" w14:textId="77777777" w:rsidR="00A3352B" w:rsidRPr="0054255F" w:rsidRDefault="00A3352B" w:rsidP="0054255F">
                        <w:pPr>
                          <w:spacing w:after="0" w:line="240" w:lineRule="auto"/>
                          <w:rPr>
                            <w:rFonts w:ascii="Times New Roman" w:hAnsi="Times New Roman" w:cs="Times New Roman"/>
                            <w:sz w:val="18"/>
                            <w:szCs w:val="18"/>
                          </w:rPr>
                        </w:pPr>
                        <w:r w:rsidRPr="0054255F">
                          <w:rPr>
                            <w:rFonts w:ascii="Times New Roman" w:hAnsi="Times New Roman" w:cs="Times New Roman"/>
                            <w:sz w:val="18"/>
                            <w:szCs w:val="18"/>
                          </w:rPr>
                          <w:t>Lexis Nexis</w:t>
                        </w:r>
                      </w:p>
                    </w:txbxContent>
                  </v:textbox>
                </v:rect>
                <v:rect id="Rectangle 5" o:spid="_x0000_s1031" style="position:absolute;left:16192;top:14001;width:21336;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ZqcMA&#10;AADaAAAADwAAAGRycy9kb3ducmV2LnhtbESPwWrDMBBE74H+g9hALqGWE+pQXCshDRTSHkLr+AMW&#10;a2ubWCsjqY7z91WhkOMwM2+YYjeZXozkfGdZwSpJQRDXVnfcKKjOb4/PIHxA1thbJgU38rDbPswK&#10;zLW98heNZWhEhLDPUUEbwpBL6euWDPrEDsTR+7bOYIjSNVI7vEa46eU6TTfSYMdxocWBDi3Vl/LH&#10;KDhl8iNjrPxel09L/zo23Xv5qdRiPu1fQASawj383z5qBRn8XY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HZqcMAAADaAAAADwAAAAAAAAAAAAAAAACYAgAAZHJzL2Rv&#10;d25yZXYueG1sUEsFBgAAAAAEAAQA9QAAAIgDAAAAAA==&#10;" fillcolor="white [3201]" strokecolor="black [3200]" strokeweight="1pt">
                  <v:textbox>
                    <w:txbxContent>
                      <w:p w14:paraId="7E575DBD"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Keywords and search strings</w:t>
                        </w:r>
                      </w:p>
                      <w:p w14:paraId="78B4114B"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‘global financial crisis’ AND regulat*</w:t>
                        </w:r>
                      </w:p>
                      <w:p w14:paraId="2F087158"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‘financial crisis’ AND regulat*</w:t>
                        </w:r>
                      </w:p>
                    </w:txbxContent>
                  </v:textbox>
                </v:rect>
                <v:rect id="Rectangle 6" o:spid="_x0000_s1032" style="position:absolute;left:40005;top:14287;width:12382;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H3sIA&#10;AADaAAAADwAAAGRycy9kb3ducmV2LnhtbESP0YrCMBRE34X9h3AXfBGbKipSG8UVFtQHcbt+wKW5&#10;tmWbm9Jka/17Iwg+DjNzhkk3valFR62rLCuYRDEI4tzqigsFl9/v8RKE88gaa8uk4E4ONuuPQYqJ&#10;tjf+oS7zhQgQdgkqKL1vEildXpJBF9mGOHhX2xr0QbaF1C3eAtzUchrHC2mw4rBQYkO7kvK/7N8o&#10;OM3lcc54cVudzUbuqyuqQ3ZWavjZb1cgPPX+HX6191rBAp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0fewgAAANoAAAAPAAAAAAAAAAAAAAAAAJgCAABkcnMvZG93&#10;bnJldi54bWxQSwUGAAAAAAQABAD1AAAAhwMAAAAA&#10;" fillcolor="white [3201]" strokecolor="black [3200]" strokeweight="1pt">
                  <v:textbox>
                    <w:txbxContent>
                      <w:p w14:paraId="71F103A0"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Time period</w:t>
                        </w:r>
                      </w:p>
                      <w:p w14:paraId="4624F5FA"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Jan 2008 to Dec 2016</w:t>
                        </w:r>
                      </w:p>
                    </w:txbxContent>
                  </v:textbox>
                </v:rect>
                <v:rect id="Rectangle 7" o:spid="_x0000_s1033" style="position:absolute;left:15525;top:23526;width:22860;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RcMA&#10;AADaAAAADwAAAGRycy9kb3ducmV2LnhtbESP0WrCQBRE34X+w3ILvkizqWhbUldJC4L6IG3qB1yy&#10;t0lo9m7Y3Sbx711B8HGYmTPMajOaVvTkfGNZwXOSgiAurW64UnD62T69gfABWWNrmRScycNm/TBZ&#10;YabtwN/UF6ESEcI+QwV1CF0mpS9rMugT2xFH79c6gyFKV0ntcIhw08p5mr5Igw3HhRo7+qyp/Cv+&#10;jYLjUh6WjCef62Ix8x991eyLL6Wmj2P+DiLQGO7hW3unFbzC9Uq8A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iRcMAAADaAAAADwAAAAAAAAAAAAAAAACYAgAAZHJzL2Rv&#10;d25yZXYueG1sUEsFBgAAAAAEAAQA9QAAAIgDAAAAAA==&#10;" fillcolor="white [3201]" strokecolor="black [3200]" strokeweight="1pt">
                  <v:textbox>
                    <w:txbxContent>
                      <w:p w14:paraId="12FD648B"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Total items sourced</w:t>
                        </w:r>
                      </w:p>
                      <w:p w14:paraId="1E06F17B"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839 items</w:t>
                        </w:r>
                      </w:p>
                    </w:txbxContent>
                  </v:textbox>
                </v:rect>
                <v:rect id="Rectangle 8" o:spid="_x0000_s1034" style="position:absolute;left:15811;top:29336;width:22098;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2N78A&#10;AADaAAAADwAAAGRycy9kb3ducmV2LnhtbERPzYrCMBC+C/sOYRa8iKa76CLVtLjCgnoQt/YBhmZs&#10;i82kNLHWtzcHwePH979OB9OInjpXW1bwNYtAEBdW11wqyM9/0yUI55E1NpZJwYMcpMnHaI2xtnf+&#10;pz7zpQgh7GJUUHnfxlK6oiKDbmZb4sBdbGfQB9iVUnd4D+Gmkd9R9CMN1hwaKmxpW1FxzW5GwXEh&#10;DwvG3G10Np+4376s99lJqfHnsFmB8DT4t/jl3mkFYWu4Em6AT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oHY3vwAAANoAAAAPAAAAAAAAAAAAAAAAAJgCAABkcnMvZG93bnJl&#10;di54bWxQSwUGAAAAAAQABAD1AAAAhAMAAAAA&#10;" fillcolor="white [3201]" strokecolor="black [3200]" strokeweight="1pt">
                  <v:textbox>
                    <w:txbxContent>
                      <w:p w14:paraId="0B6AAC04"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Type and Title screening</w:t>
                        </w:r>
                      </w:p>
                      <w:p w14:paraId="1655CF00"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Journal articles only</w:t>
                        </w:r>
                      </w:p>
                      <w:p w14:paraId="74F2F9A8"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Regulat* in the title</w:t>
                        </w:r>
                      </w:p>
                      <w:p w14:paraId="286086E3"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152 items</w:t>
                        </w:r>
                      </w:p>
                      <w:p w14:paraId="1A2378D3" w14:textId="77777777" w:rsidR="00A3352B" w:rsidRPr="00F64761" w:rsidRDefault="00A3352B" w:rsidP="0054255F">
                        <w:pPr>
                          <w:spacing w:after="0" w:line="240" w:lineRule="auto"/>
                          <w:jc w:val="center"/>
                          <w:rPr>
                            <w:sz w:val="18"/>
                            <w:szCs w:val="18"/>
                          </w:rPr>
                        </w:pPr>
                      </w:p>
                    </w:txbxContent>
                  </v:textbox>
                </v:rect>
                <v:rect id="Rectangle 9" o:spid="_x0000_s1035" style="position:absolute;left:12477;top:37242;width:31338;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rMMA&#10;AADaAAAADwAAAGRycy9kb3ducmV2LnhtbESP0WrCQBRE34X+w3ILvkizqWhpU1dJC4L6IG3qB1yy&#10;t0lo9m7Y3Sbx711B8HGYmTPMajOaVvTkfGNZwXOSgiAurW64UnD62T69gvABWWNrmRScycNm/TBZ&#10;YabtwN/UF6ESEcI+QwV1CF0mpS9rMugT2xFH79c6gyFKV0ntcIhw08p5mr5Igw3HhRo7+qyp/Cv+&#10;jYLjUh6WjCef62Ix8x991eyLL6Wmj2P+DiLQGO7hW3unFbzB9Uq8A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TrMMAAADaAAAADwAAAAAAAAAAAAAAAACYAgAAZHJzL2Rv&#10;d25yZXYueG1sUEsFBgAAAAAEAAQA9QAAAIgDAAAAAA==&#10;" fillcolor="white [3201]" strokecolor="black [3200]" strokeweight="1pt">
                  <v:textbox>
                    <w:txbxContent>
                      <w:p w14:paraId="5DDEFFA2"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b/>
                            <w:sz w:val="18"/>
                            <w:szCs w:val="18"/>
                          </w:rPr>
                          <w:t>Quality and focus screening</w:t>
                        </w:r>
                        <w:r w:rsidRPr="0054255F">
                          <w:rPr>
                            <w:rFonts w:ascii="Times New Roman" w:hAnsi="Times New Roman" w:cs="Times New Roman"/>
                            <w:b/>
                            <w:sz w:val="18"/>
                            <w:szCs w:val="18"/>
                          </w:rPr>
                          <w:br/>
                        </w:r>
                        <w:r w:rsidRPr="0054255F">
                          <w:rPr>
                            <w:rFonts w:ascii="Times New Roman" w:hAnsi="Times New Roman" w:cs="Times New Roman"/>
                            <w:sz w:val="18"/>
                            <w:szCs w:val="18"/>
                          </w:rPr>
                          <w:t>Schimago journal ranking</w:t>
                        </w:r>
                      </w:p>
                      <w:p w14:paraId="4F01C08B"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Full-text analysis</w:t>
                        </w:r>
                      </w:p>
                      <w:p w14:paraId="11447468" w14:textId="5A312212" w:rsidR="00A3352B" w:rsidRPr="0054255F" w:rsidRDefault="00A3352B" w:rsidP="0054255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120</w:t>
                        </w:r>
                        <w:r w:rsidRPr="0054255F">
                          <w:rPr>
                            <w:rFonts w:ascii="Times New Roman" w:hAnsi="Times New Roman" w:cs="Times New Roman"/>
                            <w:b/>
                            <w:sz w:val="18"/>
                            <w:szCs w:val="18"/>
                          </w:rPr>
                          <w:t xml:space="preserve"> items</w:t>
                        </w:r>
                      </w:p>
                      <w:p w14:paraId="0A328071" w14:textId="77777777" w:rsidR="00A3352B" w:rsidRPr="00F64761" w:rsidRDefault="00A3352B" w:rsidP="0054255F">
                        <w:pPr>
                          <w:spacing w:after="0" w:line="240" w:lineRule="auto"/>
                          <w:jc w:val="center"/>
                          <w:rPr>
                            <w:sz w:val="18"/>
                            <w:szCs w:val="18"/>
                          </w:rPr>
                        </w:pPr>
                      </w:p>
                    </w:txbxContent>
                  </v:textbox>
                </v:rect>
                <v:rect id="Rectangle 10" o:spid="_x0000_s1036" style="position:absolute;left:5715;top:44862;width:4457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YG8MA&#10;AADbAAAADwAAAGRycy9kb3ducmV2LnhtbESPQWvCQBCF74L/YRmhF9GNolKiq2hBqB6KpvkBQ3aa&#10;hGZnQ3Yb03/fOQi9zfDevPfN7jC4RvXUhdqzgcU8AUVceFtzaSD/PM9eQYWIbLHxTAZ+KcBhPx7t&#10;MLX+wXfqs1gqCeGQooEqxjbVOhQVOQxz3xKL9uU7h1HWrtS2w4eEu0Yvk2SjHdYsDRW29FZR8Z39&#10;OAMfa31dM+bhaLPVNJz6sr5kN2NeJsNxCyrSEP/Nz+t3K/hCL7/IAH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aYG8MAAADbAAAADwAAAAAAAAAAAAAAAACYAgAAZHJzL2Rv&#10;d25yZXYueG1sUEsFBgAAAAAEAAQA9QAAAIgDAAAAAA==&#10;" fillcolor="white [3201]" strokecolor="black [3200]" strokeweight="1pt">
                  <v:textbox>
                    <w:txbxContent>
                      <w:p w14:paraId="4E762D8A" w14:textId="77777777" w:rsidR="00A3352B" w:rsidRPr="0054255F" w:rsidRDefault="00A3352B" w:rsidP="0054255F">
                        <w:pPr>
                          <w:spacing w:after="0" w:line="240" w:lineRule="auto"/>
                          <w:jc w:val="center"/>
                          <w:rPr>
                            <w:rFonts w:ascii="Times New Roman" w:hAnsi="Times New Roman" w:cs="Times New Roman"/>
                            <w:b/>
                            <w:sz w:val="18"/>
                            <w:szCs w:val="18"/>
                          </w:rPr>
                        </w:pPr>
                        <w:r w:rsidRPr="0054255F">
                          <w:rPr>
                            <w:rFonts w:ascii="Times New Roman" w:hAnsi="Times New Roman" w:cs="Times New Roman"/>
                            <w:b/>
                            <w:sz w:val="18"/>
                            <w:szCs w:val="18"/>
                          </w:rPr>
                          <w:t>Data analysis</w:t>
                        </w:r>
                      </w:p>
                      <w:p w14:paraId="26BDF3B5"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Initial coding categories piloted by two individuals</w:t>
                        </w:r>
                      </w:p>
                      <w:p w14:paraId="603B21CC" w14:textId="77777777" w:rsidR="00A3352B" w:rsidRPr="0054255F" w:rsidRDefault="00A3352B" w:rsidP="0054255F">
                        <w:pPr>
                          <w:spacing w:after="0" w:line="240" w:lineRule="auto"/>
                          <w:jc w:val="center"/>
                          <w:rPr>
                            <w:rFonts w:ascii="Times New Roman" w:hAnsi="Times New Roman" w:cs="Times New Roman"/>
                            <w:sz w:val="18"/>
                            <w:szCs w:val="18"/>
                          </w:rPr>
                        </w:pPr>
                        <w:r w:rsidRPr="0054255F">
                          <w:rPr>
                            <w:rFonts w:ascii="Times New Roman" w:hAnsi="Times New Roman" w:cs="Times New Roman"/>
                            <w:sz w:val="18"/>
                            <w:szCs w:val="18"/>
                          </w:rPr>
                          <w:t>Subsequent validation through cross-comparison and refining of categories</w:t>
                        </w:r>
                      </w:p>
                    </w:txbxContent>
                  </v:textbox>
                </v:rect>
                <w10:anchorlock/>
              </v:group>
            </w:pict>
          </mc:Fallback>
        </mc:AlternateContent>
      </w:r>
    </w:p>
    <w:p w14:paraId="76E0BEEA" w14:textId="41ADAF97" w:rsidR="0021762E" w:rsidRPr="00FC6034" w:rsidRDefault="0021762E" w:rsidP="00E83517">
      <w:pPr>
        <w:spacing w:line="240" w:lineRule="auto"/>
        <w:jc w:val="both"/>
        <w:rPr>
          <w:rFonts w:ascii="Times New Roman" w:hAnsi="Times New Roman" w:cs="Times New Roman"/>
          <w:sz w:val="24"/>
          <w:szCs w:val="24"/>
          <w:lang w:val="en-US"/>
        </w:rPr>
      </w:pPr>
      <w:r w:rsidRPr="00FC6034">
        <w:rPr>
          <w:rFonts w:ascii="Times New Roman" w:hAnsi="Times New Roman" w:cs="Times New Roman"/>
          <w:sz w:val="24"/>
          <w:szCs w:val="24"/>
          <w:lang w:val="en-US"/>
        </w:rPr>
        <w:br w:type="page"/>
      </w:r>
    </w:p>
    <w:p w14:paraId="3F36048E" w14:textId="77777777" w:rsidR="000A089E" w:rsidRPr="00FC6034" w:rsidRDefault="000A089E" w:rsidP="00E83517">
      <w:pPr>
        <w:spacing w:line="240" w:lineRule="auto"/>
        <w:jc w:val="both"/>
        <w:rPr>
          <w:rFonts w:ascii="Times New Roman" w:hAnsi="Times New Roman" w:cs="Times New Roman"/>
          <w:sz w:val="24"/>
          <w:szCs w:val="24"/>
          <w:lang w:val="en-US"/>
        </w:rPr>
      </w:pPr>
    </w:p>
    <w:p w14:paraId="4A0961AC" w14:textId="2F356F7F" w:rsidR="00B022F0" w:rsidRDefault="006E7E80" w:rsidP="00E83517">
      <w:pPr>
        <w:spacing w:line="240" w:lineRule="auto"/>
        <w:jc w:val="both"/>
        <w:rPr>
          <w:rFonts w:ascii="Times New Roman" w:hAnsi="Times New Roman" w:cs="Times New Roman"/>
          <w:b/>
          <w:sz w:val="24"/>
          <w:szCs w:val="24"/>
          <w:lang w:val="en-US"/>
        </w:rPr>
      </w:pPr>
      <w:r w:rsidRPr="00FC6034">
        <w:rPr>
          <w:rFonts w:ascii="Times New Roman" w:hAnsi="Times New Roman" w:cs="Times New Roman"/>
          <w:b/>
          <w:sz w:val="24"/>
          <w:szCs w:val="24"/>
          <w:lang w:val="en-US"/>
        </w:rPr>
        <w:t>Figure 2</w:t>
      </w:r>
      <w:r w:rsidR="00B022F0" w:rsidRPr="00FC6034">
        <w:rPr>
          <w:rFonts w:ascii="Times New Roman" w:hAnsi="Times New Roman" w:cs="Times New Roman"/>
          <w:b/>
          <w:sz w:val="24"/>
          <w:szCs w:val="24"/>
          <w:lang w:val="en-US"/>
        </w:rPr>
        <w:t xml:space="preserve">: </w:t>
      </w:r>
      <w:r w:rsidRPr="00FC6034">
        <w:rPr>
          <w:rFonts w:ascii="Times New Roman" w:hAnsi="Times New Roman" w:cs="Times New Roman"/>
          <w:b/>
          <w:sz w:val="24"/>
          <w:szCs w:val="24"/>
          <w:lang w:val="en-US"/>
        </w:rPr>
        <w:t xml:space="preserve">An </w:t>
      </w:r>
      <w:r w:rsidR="005E614F" w:rsidRPr="00FC6034">
        <w:rPr>
          <w:rFonts w:ascii="Times New Roman" w:hAnsi="Times New Roman" w:cs="Times New Roman"/>
          <w:b/>
          <w:sz w:val="24"/>
          <w:szCs w:val="24"/>
          <w:lang w:val="en-US"/>
        </w:rPr>
        <w:t>Integrative Framework for Assessing Regulatory Design</w:t>
      </w:r>
    </w:p>
    <w:p w14:paraId="0E6FCC42" w14:textId="77777777" w:rsidR="0054255F" w:rsidRPr="00322448" w:rsidRDefault="0054255F" w:rsidP="00E83517">
      <w:pPr>
        <w:spacing w:line="240" w:lineRule="auto"/>
        <w:jc w:val="both"/>
        <w:rPr>
          <w:lang w:val="en-US"/>
        </w:rPr>
      </w:pPr>
      <w:r w:rsidRPr="00322448">
        <w:rPr>
          <w:noProof/>
          <w:lang w:val="en-AU" w:eastAsia="en-AU"/>
        </w:rPr>
        <mc:AlternateContent>
          <mc:Choice Requires="wpc">
            <w:drawing>
              <wp:inline distT="0" distB="0" distL="0" distR="0" wp14:anchorId="638733A0" wp14:editId="59D4A3F8">
                <wp:extent cx="5400040" cy="3876675"/>
                <wp:effectExtent l="0" t="0" r="1016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Rectangle 11"/>
                        <wps:cNvSpPr/>
                        <wps:spPr>
                          <a:xfrm>
                            <a:off x="1" y="259080"/>
                            <a:ext cx="426719" cy="3314699"/>
                          </a:xfrm>
                          <a:prstGeom prst="rect">
                            <a:avLst/>
                          </a:prstGeom>
                        </wps:spPr>
                        <wps:style>
                          <a:lnRef idx="2">
                            <a:schemeClr val="dk1"/>
                          </a:lnRef>
                          <a:fillRef idx="1">
                            <a:schemeClr val="lt1"/>
                          </a:fillRef>
                          <a:effectRef idx="0">
                            <a:schemeClr val="dk1"/>
                          </a:effectRef>
                          <a:fontRef idx="minor">
                            <a:schemeClr val="dk1"/>
                          </a:fontRef>
                        </wps:style>
                        <wps:txbx>
                          <w:txbxContent>
                            <w:p w14:paraId="1E9AD269" w14:textId="77777777" w:rsidR="00A3352B" w:rsidRPr="00E4621D" w:rsidRDefault="00A3352B" w:rsidP="0054255F">
                              <w:pPr>
                                <w:jc w:val="center"/>
                                <w:rPr>
                                  <w:rFonts w:ascii="Times New Roman" w:hAnsi="Times New Roman" w:cs="Times New Roman"/>
                                  <w:sz w:val="20"/>
                                  <w:szCs w:val="20"/>
                                </w:rPr>
                              </w:pPr>
                              <w:r w:rsidRPr="00E4621D">
                                <w:rPr>
                                  <w:rFonts w:ascii="Times New Roman" w:hAnsi="Times New Roman" w:cs="Times New Roman"/>
                                  <w:sz w:val="20"/>
                                  <w:szCs w:val="20"/>
                                </w:rPr>
                                <w:t>Power and politics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1" name="Rectangle 21"/>
                        <wps:cNvSpPr/>
                        <wps:spPr>
                          <a:xfrm>
                            <a:off x="4945380" y="243840"/>
                            <a:ext cx="454660" cy="3307079"/>
                          </a:xfrm>
                          <a:prstGeom prst="rect">
                            <a:avLst/>
                          </a:prstGeom>
                        </wps:spPr>
                        <wps:style>
                          <a:lnRef idx="2">
                            <a:schemeClr val="dk1"/>
                          </a:lnRef>
                          <a:fillRef idx="1">
                            <a:schemeClr val="lt1"/>
                          </a:fillRef>
                          <a:effectRef idx="0">
                            <a:schemeClr val="dk1"/>
                          </a:effectRef>
                          <a:fontRef idx="minor">
                            <a:schemeClr val="dk1"/>
                          </a:fontRef>
                        </wps:style>
                        <wps:txbx>
                          <w:txbxContent>
                            <w:p w14:paraId="33DBA8C6" w14:textId="400E125F" w:rsidR="00A3352B" w:rsidRPr="00E4621D" w:rsidRDefault="00A3352B" w:rsidP="0054255F">
                              <w:pPr>
                                <w:jc w:val="center"/>
                                <w:rPr>
                                  <w:rFonts w:ascii="Times New Roman" w:hAnsi="Times New Roman" w:cs="Times New Roman"/>
                                  <w:sz w:val="20"/>
                                  <w:szCs w:val="20"/>
                                </w:rPr>
                              </w:pPr>
                              <w:r w:rsidRPr="00E4621D">
                                <w:rPr>
                                  <w:rFonts w:ascii="Times New Roman" w:hAnsi="Times New Roman" w:cs="Times New Roman"/>
                                  <w:sz w:val="20"/>
                                  <w:szCs w:val="20"/>
                                </w:rPr>
                                <w:t>Boundaries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2" name="Rectangle 22"/>
                        <wps:cNvSpPr/>
                        <wps:spPr>
                          <a:xfrm>
                            <a:off x="1066800" y="600075"/>
                            <a:ext cx="32385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02586192" w14:textId="77777777" w:rsidR="00A3352B" w:rsidRPr="00E4621D" w:rsidRDefault="00A3352B" w:rsidP="0054255F">
                              <w:pPr>
                                <w:jc w:val="center"/>
                                <w:rPr>
                                  <w:rFonts w:ascii="Times New Roman" w:hAnsi="Times New Roman" w:cs="Times New Roman"/>
                                  <w:smallCaps/>
                                  <w:sz w:val="20"/>
                                  <w:szCs w:val="20"/>
                                </w:rPr>
                              </w:pPr>
                              <w:r w:rsidRPr="00E4621D">
                                <w:rPr>
                                  <w:rFonts w:ascii="Times New Roman" w:hAnsi="Times New Roman" w:cs="Times New Roman"/>
                                  <w:smallCaps/>
                                  <w:sz w:val="20"/>
                                  <w:szCs w:val="20"/>
                                </w:rPr>
                                <w:t>Architecture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632461" y="1276350"/>
                            <a:ext cx="4130040" cy="847725"/>
                          </a:xfrm>
                          <a:prstGeom prst="rect">
                            <a:avLst/>
                          </a:prstGeom>
                        </wps:spPr>
                        <wps:style>
                          <a:lnRef idx="2">
                            <a:schemeClr val="dk1"/>
                          </a:lnRef>
                          <a:fillRef idx="1">
                            <a:schemeClr val="lt1"/>
                          </a:fillRef>
                          <a:effectRef idx="0">
                            <a:schemeClr val="dk1"/>
                          </a:effectRef>
                          <a:fontRef idx="minor">
                            <a:schemeClr val="dk1"/>
                          </a:fontRef>
                        </wps:style>
                        <wps:txbx>
                          <w:txbxContent>
                            <w:p w14:paraId="10DCED48" w14:textId="71C5CC38" w:rsidR="00A3352B" w:rsidRPr="00E4621D" w:rsidRDefault="00A3352B" w:rsidP="0054255F">
                              <w:pPr>
                                <w:jc w:val="center"/>
                                <w:rPr>
                                  <w:rFonts w:ascii="Times New Roman" w:hAnsi="Times New Roman" w:cs="Times New Roman"/>
                                  <w:smallCaps/>
                                  <w:sz w:val="20"/>
                                  <w:szCs w:val="20"/>
                                </w:rPr>
                              </w:pPr>
                              <w:r w:rsidRPr="00E4621D">
                                <w:rPr>
                                  <w:rFonts w:ascii="Times New Roman" w:hAnsi="Times New Roman" w:cs="Times New Roman"/>
                                  <w:smallCaps/>
                                  <w:sz w:val="20"/>
                                  <w:szCs w:val="20"/>
                                </w:rPr>
                                <w:t>Process/Style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25"/>
                        <wps:cNvSpPr/>
                        <wps:spPr>
                          <a:xfrm>
                            <a:off x="342901" y="1897380"/>
                            <a:ext cx="1276350" cy="674370"/>
                          </a:xfrm>
                          <a:prstGeom prst="rect">
                            <a:avLst/>
                          </a:prstGeom>
                        </wps:spPr>
                        <wps:style>
                          <a:lnRef idx="2">
                            <a:schemeClr val="dk1"/>
                          </a:lnRef>
                          <a:fillRef idx="1">
                            <a:schemeClr val="lt1"/>
                          </a:fillRef>
                          <a:effectRef idx="0">
                            <a:schemeClr val="dk1"/>
                          </a:effectRef>
                          <a:fontRef idx="minor">
                            <a:schemeClr val="dk1"/>
                          </a:fontRef>
                        </wps:style>
                        <wps:txbx>
                          <w:txbxContent>
                            <w:p w14:paraId="1DBB5338" w14:textId="77777777" w:rsidR="00A3352B" w:rsidRPr="00E4621D" w:rsidRDefault="00A3352B" w:rsidP="0054255F">
                              <w:pPr>
                                <w:jc w:val="center"/>
                                <w:rPr>
                                  <w:rFonts w:ascii="Times New Roman" w:hAnsi="Times New Roman" w:cs="Times New Roman"/>
                                  <w:sz w:val="20"/>
                                  <w:szCs w:val="20"/>
                                </w:rPr>
                              </w:pPr>
                              <w:r w:rsidRPr="00E4621D">
                                <w:rPr>
                                  <w:rFonts w:ascii="Times New Roman" w:hAnsi="Times New Roman" w:cs="Times New Roman"/>
                                  <w:sz w:val="20"/>
                                  <w:szCs w:val="20"/>
                                </w:rPr>
                                <w:t>Drafting style</w:t>
                              </w:r>
                              <w:r w:rsidRPr="00E4621D">
                                <w:rPr>
                                  <w:rFonts w:ascii="Times New Roman" w:hAnsi="Times New Roman" w:cs="Times New Roman"/>
                                  <w:sz w:val="20"/>
                                  <w:szCs w:val="20"/>
                                </w:rPr>
                                <w:br/>
                                <w:t>rules/principles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781175" y="1897380"/>
                            <a:ext cx="1623060" cy="687705"/>
                          </a:xfrm>
                          <a:prstGeom prst="rect">
                            <a:avLst/>
                          </a:prstGeom>
                        </wps:spPr>
                        <wps:style>
                          <a:lnRef idx="2">
                            <a:schemeClr val="dk1"/>
                          </a:lnRef>
                          <a:fillRef idx="1">
                            <a:schemeClr val="lt1"/>
                          </a:fillRef>
                          <a:effectRef idx="0">
                            <a:schemeClr val="dk1"/>
                          </a:effectRef>
                          <a:fontRef idx="minor">
                            <a:schemeClr val="dk1"/>
                          </a:fontRef>
                        </wps:style>
                        <wps:txbx>
                          <w:txbxContent>
                            <w:p w14:paraId="2869441F" w14:textId="77777777" w:rsidR="00A3352B" w:rsidRPr="00E4621D" w:rsidRDefault="00A3352B" w:rsidP="0054255F">
                              <w:pPr>
                                <w:pStyle w:val="NormalWeb"/>
                                <w:spacing w:before="0" w:beforeAutospacing="0" w:after="160" w:afterAutospacing="0" w:line="256" w:lineRule="auto"/>
                                <w:jc w:val="center"/>
                                <w:rPr>
                                  <w:sz w:val="20"/>
                                  <w:szCs w:val="20"/>
                                </w:rPr>
                              </w:pPr>
                              <w:r w:rsidRPr="00E4621D">
                                <w:rPr>
                                  <w:rFonts w:eastAsia="Calibri"/>
                                  <w:sz w:val="20"/>
                                  <w:szCs w:val="20"/>
                                </w:rPr>
                                <w:t>Implementation style</w:t>
                              </w:r>
                              <w:r w:rsidRPr="00E4621D">
                                <w:rPr>
                                  <w:rFonts w:eastAsia="Calibri"/>
                                  <w:sz w:val="20"/>
                                  <w:szCs w:val="20"/>
                                </w:rPr>
                                <w:br/>
                              </w:r>
                              <w:r w:rsidRPr="00E4621D">
                                <w:rPr>
                                  <w:sz w:val="20"/>
                                  <w:szCs w:val="20"/>
                                </w:rPr>
                                <w:t>supervision/outsourcing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551850" y="1897380"/>
                            <a:ext cx="1410675" cy="687705"/>
                          </a:xfrm>
                          <a:prstGeom prst="rect">
                            <a:avLst/>
                          </a:prstGeom>
                        </wps:spPr>
                        <wps:style>
                          <a:lnRef idx="2">
                            <a:schemeClr val="dk1"/>
                          </a:lnRef>
                          <a:fillRef idx="1">
                            <a:schemeClr val="lt1"/>
                          </a:fillRef>
                          <a:effectRef idx="0">
                            <a:schemeClr val="dk1"/>
                          </a:effectRef>
                          <a:fontRef idx="minor">
                            <a:schemeClr val="dk1"/>
                          </a:fontRef>
                        </wps:style>
                        <wps:txbx>
                          <w:txbxContent>
                            <w:p w14:paraId="34AABA71" w14:textId="77777777" w:rsidR="00A3352B" w:rsidRPr="00E4621D" w:rsidRDefault="00A3352B" w:rsidP="0054255F">
                              <w:pPr>
                                <w:pStyle w:val="NormalWeb"/>
                                <w:spacing w:before="0" w:beforeAutospacing="0" w:after="160" w:afterAutospacing="0" w:line="254" w:lineRule="auto"/>
                                <w:jc w:val="center"/>
                                <w:rPr>
                                  <w:sz w:val="20"/>
                                  <w:szCs w:val="20"/>
                                </w:rPr>
                              </w:pPr>
                              <w:r w:rsidRPr="00E4621D">
                                <w:rPr>
                                  <w:rFonts w:eastAsia="Calibri"/>
                                  <w:sz w:val="20"/>
                                  <w:szCs w:val="20"/>
                                </w:rPr>
                                <w:t>Enforcement style</w:t>
                              </w:r>
                              <w:r w:rsidRPr="00E4621D">
                                <w:rPr>
                                  <w:rFonts w:eastAsia="Calibri"/>
                                  <w:sz w:val="20"/>
                                  <w:szCs w:val="20"/>
                                </w:rPr>
                                <w:br/>
                                <w:t>sanctions/incentives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133475" y="2789850"/>
                            <a:ext cx="321564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0942EEB5" w14:textId="77777777" w:rsidR="00A3352B" w:rsidRPr="00E4621D" w:rsidRDefault="00A3352B" w:rsidP="0054255F">
                              <w:pPr>
                                <w:pStyle w:val="NormalWeb"/>
                                <w:spacing w:before="0" w:beforeAutospacing="0" w:after="160" w:afterAutospacing="0" w:line="256" w:lineRule="auto"/>
                                <w:jc w:val="center"/>
                                <w:rPr>
                                  <w:smallCaps/>
                                  <w:sz w:val="20"/>
                                  <w:szCs w:val="20"/>
                                </w:rPr>
                              </w:pPr>
                              <w:r w:rsidRPr="00E4621D">
                                <w:rPr>
                                  <w:rFonts w:eastAsia="Calibri"/>
                                  <w:smallCaps/>
                                  <w:sz w:val="20"/>
                                  <w:szCs w:val="20"/>
                                </w:rPr>
                                <w:t>Content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Bent Arrow 29"/>
                        <wps:cNvSpPr/>
                        <wps:spPr>
                          <a:xfrm rot="16200000">
                            <a:off x="971175" y="2247525"/>
                            <a:ext cx="657750" cy="100035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Bent Arrow 30"/>
                        <wps:cNvSpPr/>
                        <wps:spPr>
                          <a:xfrm rot="5400000">
                            <a:off x="3323680" y="942430"/>
                            <a:ext cx="1334590" cy="7620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Left-Right Arrow 31"/>
                        <wps:cNvSpPr/>
                        <wps:spPr>
                          <a:xfrm>
                            <a:off x="3267075" y="2343150"/>
                            <a:ext cx="400050" cy="257175"/>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Left-Right Arrow 32"/>
                        <wps:cNvSpPr/>
                        <wps:spPr>
                          <a:xfrm>
                            <a:off x="1484925" y="2343150"/>
                            <a:ext cx="400050" cy="257175"/>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609725" y="1543050"/>
                            <a:ext cx="234315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219E1F91" w14:textId="77777777" w:rsidR="00A3352B" w:rsidRPr="00E4621D" w:rsidRDefault="00A3352B" w:rsidP="0054255F">
                              <w:pPr>
                                <w:jc w:val="center"/>
                                <w:rPr>
                                  <w:rFonts w:ascii="Times New Roman" w:hAnsi="Times New Roman" w:cs="Times New Roman"/>
                                  <w:sz w:val="20"/>
                                  <w:szCs w:val="20"/>
                                </w:rPr>
                              </w:pPr>
                              <w:r w:rsidRPr="00E4621D">
                                <w:rPr>
                                  <w:rFonts w:ascii="Times New Roman" w:hAnsi="Times New Roman" w:cs="Times New Roman"/>
                                  <w:sz w:val="20"/>
                                  <w:szCs w:val="20"/>
                                </w:rPr>
                                <w:t>Assumptions about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a:off x="142875" y="600074"/>
                            <a:ext cx="1038225" cy="5048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9A328" w14:textId="5D0DCF8D" w:rsidR="00A3352B" w:rsidRPr="0066229F" w:rsidRDefault="00A3352B" w:rsidP="0066229F">
                              <w:pPr>
                                <w:jc w:val="center"/>
                                <w:rPr>
                                  <w:rFonts w:ascii="Times New Roman" w:hAnsi="Times New Roman" w:cs="Times New Roman"/>
                                  <w:color w:val="000000" w:themeColor="text1"/>
                                  <w:sz w:val="18"/>
                                  <w:szCs w:val="18"/>
                                </w:rPr>
                              </w:pPr>
                              <w:r w:rsidRPr="0066229F">
                                <w:rPr>
                                  <w:rFonts w:ascii="Times New Roman" w:hAnsi="Times New Roman" w:cs="Times New Roman"/>
                                  <w:color w:val="000000" w:themeColor="text1"/>
                                  <w:sz w:val="18"/>
                                  <w:szCs w:val="18"/>
                                </w:rPr>
                                <w:t>B</w:t>
                              </w:r>
                              <w:r>
                                <w:rPr>
                                  <w:rFonts w:ascii="Times New Roman" w:hAnsi="Times New Roman" w:cs="Times New Roman"/>
                                  <w:color w:val="000000" w:themeColor="text1"/>
                                  <w:sz w:val="18"/>
                                  <w:szCs w:val="18"/>
                                </w:rPr>
                                <w:t>u</w:t>
                              </w:r>
                              <w:r w:rsidRPr="0066229F">
                                <w:rPr>
                                  <w:rFonts w:ascii="Times New Roman" w:hAnsi="Times New Roman" w:cs="Times New Roman"/>
                                  <w:color w:val="000000" w:themeColor="text1"/>
                                  <w:sz w:val="18"/>
                                  <w:szCs w:val="18"/>
                                </w:rPr>
                                <w:t>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ight Arrow 35"/>
                        <wps:cNvSpPr/>
                        <wps:spPr>
                          <a:xfrm>
                            <a:off x="46650" y="2923200"/>
                            <a:ext cx="1038225" cy="5048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43C28" w14:textId="61761A67" w:rsidR="00A3352B" w:rsidRDefault="00A3352B" w:rsidP="0066229F">
                              <w:pPr>
                                <w:pStyle w:val="NormalWeb"/>
                                <w:spacing w:before="0" w:beforeAutospacing="0" w:after="160" w:afterAutospacing="0" w:line="256" w:lineRule="auto"/>
                                <w:jc w:val="center"/>
                              </w:pPr>
                              <w:r>
                                <w:rPr>
                                  <w:rFonts w:eastAsia="Calibri"/>
                                  <w:color w:val="000000"/>
                                  <w:sz w:val="18"/>
                                  <w:szCs w:val="18"/>
                                </w:rPr>
                                <w:t>Lobbying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Left Arrow 14"/>
                        <wps:cNvSpPr/>
                        <wps:spPr>
                          <a:xfrm>
                            <a:off x="4267201" y="504825"/>
                            <a:ext cx="914400" cy="53340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7CB62" w14:textId="0ADA92DC" w:rsidR="00A3352B" w:rsidRDefault="00A3352B" w:rsidP="0066229F">
                              <w:pPr>
                                <w:jc w:val="center"/>
                              </w:pPr>
                              <w:r w:rsidRPr="0066229F">
                                <w:rPr>
                                  <w:rFonts w:ascii="Times New Roman" w:hAnsi="Times New Roman" w:cs="Times New Roman"/>
                                  <w:color w:val="000000" w:themeColor="text1"/>
                                  <w:sz w:val="18"/>
                                  <w:szCs w:val="18"/>
                                </w:rPr>
                                <w:t>Mandate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Left Arrow 37"/>
                        <wps:cNvSpPr/>
                        <wps:spPr>
                          <a:xfrm>
                            <a:off x="4237650" y="2827950"/>
                            <a:ext cx="953475" cy="53340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20F15" w14:textId="06D09C0D" w:rsidR="00A3352B" w:rsidRDefault="00A3352B" w:rsidP="0066229F">
                              <w:pPr>
                                <w:pStyle w:val="NormalWeb"/>
                                <w:spacing w:before="0" w:beforeAutospacing="0" w:after="160" w:afterAutospacing="0" w:line="256" w:lineRule="auto"/>
                                <w:jc w:val="center"/>
                              </w:pPr>
                              <w:r>
                                <w:rPr>
                                  <w:rFonts w:eastAsia="Calibri"/>
                                  <w:color w:val="000000"/>
                                  <w:sz w:val="18"/>
                                  <w:szCs w:val="18"/>
                                </w:rPr>
                                <w:t>Definitions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38733A0" id="Canvas 34" o:spid="_x0000_s1037" editas="canvas" style="width:425.2pt;height:305.25pt;mso-position-horizontal-relative:char;mso-position-vertical-relative:line" coordsize="54000,3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">
                <v:shape id="_x0000_s1038" type="#_x0000_t75" style="position:absolute;width:54000;height:38766;visibility:visible;mso-wrap-style:square">
                  <v:fill o:detectmouseclick="t"/>
                  <v:path o:connecttype="none"/>
                </v:shape>
                <v:rect id="Rectangle 11" o:spid="_x0000_s1039" style="position:absolute;top:2590;width:4267;height:33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q4cIA&#10;AADbAAAADwAAAGRycy9kb3ducmV2LnhtbERPPW+DMBDdK+U/WBepW2PokCY0ToQiVcnAUEiWbCd8&#10;BQI+I+wA/fd1pUrd7ul93u4wm06MNLjGsoJ4FYEgLq1uuFJwvXy8bEA4j6yxs0wKvsnBYb942mGi&#10;7cQ5jYWvRAhhl6CC2vs+kdKVNRl0K9sTB+7LDgZ9gEMl9YBTCDedfI2itTTYcGiosadjTWVbPIyC&#10;1GzTdkPXtB3fPm1+z7LbiTKlnpdz+g7C0+z/xX/usw7zY/j9JRw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SrhwgAAANsAAAAPAAAAAAAAAAAAAAAAAJgCAABkcnMvZG93&#10;bnJldi54bWxQSwUGAAAAAAQABAD1AAAAhwMAAAAA&#10;" fillcolor="white [3201]" strokecolor="black [3200]" strokeweight="1pt">
                  <v:textbox style="layout-flow:vertical;mso-layout-flow-alt:bottom-to-top">
                    <w:txbxContent>
                      <w:p w14:paraId="1E9AD269" w14:textId="77777777" w:rsidR="00A3352B" w:rsidRPr="00E4621D" w:rsidRDefault="00A3352B" w:rsidP="0054255F">
                        <w:pPr>
                          <w:jc w:val="center"/>
                          <w:rPr>
                            <w:rFonts w:ascii="Times New Roman" w:hAnsi="Times New Roman" w:cs="Times New Roman"/>
                            <w:sz w:val="20"/>
                            <w:szCs w:val="20"/>
                          </w:rPr>
                        </w:pPr>
                        <w:r w:rsidRPr="00E4621D">
                          <w:rPr>
                            <w:rFonts w:ascii="Times New Roman" w:hAnsi="Times New Roman" w:cs="Times New Roman"/>
                            <w:sz w:val="20"/>
                            <w:szCs w:val="20"/>
                          </w:rPr>
                          <w:t>Power and politics</w:t>
                        </w:r>
                      </w:p>
                    </w:txbxContent>
                  </v:textbox>
                </v:rect>
                <v:rect id="Rectangle 21" o:spid="_x0000_s1040" style="position:absolute;left:49453;top:2438;width:4547;height:33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gXMIA&#10;AADbAAAADwAAAGRycy9kb3ducmV2LnhtbESPQYvCMBSE7wv+h/AEb2uqB9etRimC6KEHdb14ezTP&#10;trZ5KU2s9d+bBcHjMDPfMMt1b2rRUetKywom4wgEcWZ1ybmC89/2ew7CeWSNtWVS8CQH69Xga4mx&#10;tg8+UnfyuQgQdjEqKLxvYildVpBBN7YNcfCutjXog2xzqVt8BLip5TSKZtJgyWGhwIY2BWXV6W4U&#10;JOY3qeZ0Tqru52CPtzS97ChVajTskwUIT73/hN/tvVYwncD/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eBcwgAAANsAAAAPAAAAAAAAAAAAAAAAAJgCAABkcnMvZG93&#10;bnJldi54bWxQSwUGAAAAAAQABAD1AAAAhwMAAAAA&#10;" fillcolor="white [3201]" strokecolor="black [3200]" strokeweight="1pt">
                  <v:textbox style="layout-flow:vertical;mso-layout-flow-alt:bottom-to-top">
                    <w:txbxContent>
                      <w:p w14:paraId="33DBA8C6" w14:textId="400E125F" w:rsidR="00A3352B" w:rsidRPr="00E4621D" w:rsidRDefault="00A3352B" w:rsidP="0054255F">
                        <w:pPr>
                          <w:jc w:val="center"/>
                          <w:rPr>
                            <w:rFonts w:ascii="Times New Roman" w:hAnsi="Times New Roman" w:cs="Times New Roman"/>
                            <w:sz w:val="20"/>
                            <w:szCs w:val="20"/>
                          </w:rPr>
                        </w:pPr>
                        <w:r w:rsidRPr="00E4621D">
                          <w:rPr>
                            <w:rFonts w:ascii="Times New Roman" w:hAnsi="Times New Roman" w:cs="Times New Roman"/>
                            <w:sz w:val="20"/>
                            <w:szCs w:val="20"/>
                          </w:rPr>
                          <w:t>Boundaries</w:t>
                        </w:r>
                      </w:p>
                    </w:txbxContent>
                  </v:textbox>
                </v:rect>
                <v:rect id="Rectangle 22" o:spid="_x0000_s1041" style="position:absolute;left:10668;top:6000;width:32385;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textbox>
                    <w:txbxContent>
                      <w:p w14:paraId="02586192" w14:textId="77777777" w:rsidR="00A3352B" w:rsidRPr="00E4621D" w:rsidRDefault="00A3352B" w:rsidP="0054255F">
                        <w:pPr>
                          <w:jc w:val="center"/>
                          <w:rPr>
                            <w:rFonts w:ascii="Times New Roman" w:hAnsi="Times New Roman" w:cs="Times New Roman"/>
                            <w:smallCaps/>
                            <w:sz w:val="20"/>
                            <w:szCs w:val="20"/>
                          </w:rPr>
                        </w:pPr>
                        <w:r w:rsidRPr="00E4621D">
                          <w:rPr>
                            <w:rFonts w:ascii="Times New Roman" w:hAnsi="Times New Roman" w:cs="Times New Roman"/>
                            <w:smallCaps/>
                            <w:sz w:val="20"/>
                            <w:szCs w:val="20"/>
                          </w:rPr>
                          <w:t>Architecture</w:t>
                        </w:r>
                      </w:p>
                    </w:txbxContent>
                  </v:textbox>
                </v:rect>
                <v:rect id="Rectangle 24" o:spid="_x0000_s1042" style="position:absolute;left:6324;top:12763;width:41301;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UpcEA&#10;AADbAAAADwAAAGRycy9kb3ducmV2LnhtbESP0YrCMBRE3wX/IVzBF1lTRWXpGkUFQX0QrX7Apbnb&#10;Fpub0sRa/94Igo/DzJxh5svWlKKh2hWWFYyGEQji1OqCMwXXy/bnF4TzyBpLy6TgSQ6Wi25njrG2&#10;Dz5Tk/hMBAi7GBXk3lexlC7NyaAb2oo4eP+2NuiDrDOpa3wEuCnlOIpm0mDBYSHHijY5pbfkbhQc&#10;p/IwZby6lU4mA7dusmKfnJTq99rVHwhPrf+GP+2dVjCewPt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BVKXBAAAA2wAAAA8AAAAAAAAAAAAAAAAAmAIAAGRycy9kb3du&#10;cmV2LnhtbFBLBQYAAAAABAAEAPUAAACGAwAAAAA=&#10;" fillcolor="white [3201]" strokecolor="black [3200]" strokeweight="1pt">
                  <v:textbox>
                    <w:txbxContent>
                      <w:p w14:paraId="10DCED48" w14:textId="71C5CC38" w:rsidR="00A3352B" w:rsidRPr="00E4621D" w:rsidRDefault="00A3352B" w:rsidP="0054255F">
                        <w:pPr>
                          <w:jc w:val="center"/>
                          <w:rPr>
                            <w:rFonts w:ascii="Times New Roman" w:hAnsi="Times New Roman" w:cs="Times New Roman"/>
                            <w:smallCaps/>
                            <w:sz w:val="20"/>
                            <w:szCs w:val="20"/>
                          </w:rPr>
                        </w:pPr>
                        <w:r w:rsidRPr="00E4621D">
                          <w:rPr>
                            <w:rFonts w:ascii="Times New Roman" w:hAnsi="Times New Roman" w:cs="Times New Roman"/>
                            <w:smallCaps/>
                            <w:sz w:val="20"/>
                            <w:szCs w:val="20"/>
                          </w:rPr>
                          <w:t>Process/Style</w:t>
                        </w:r>
                      </w:p>
                    </w:txbxContent>
                  </v:textbox>
                </v:rect>
                <v:rect id="Rectangle 25" o:spid="_x0000_s1043" style="position:absolute;left:3429;top:18973;width:12763;height:6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w:txbxContent>
                      <w:p w14:paraId="1DBB5338" w14:textId="77777777" w:rsidR="00A3352B" w:rsidRPr="00E4621D" w:rsidRDefault="00A3352B" w:rsidP="0054255F">
                        <w:pPr>
                          <w:jc w:val="center"/>
                          <w:rPr>
                            <w:rFonts w:ascii="Times New Roman" w:hAnsi="Times New Roman" w:cs="Times New Roman"/>
                            <w:sz w:val="20"/>
                            <w:szCs w:val="20"/>
                          </w:rPr>
                        </w:pPr>
                        <w:r w:rsidRPr="00E4621D">
                          <w:rPr>
                            <w:rFonts w:ascii="Times New Roman" w:hAnsi="Times New Roman" w:cs="Times New Roman"/>
                            <w:sz w:val="20"/>
                            <w:szCs w:val="20"/>
                          </w:rPr>
                          <w:t>Drafting style</w:t>
                        </w:r>
                        <w:r w:rsidRPr="00E4621D">
                          <w:rPr>
                            <w:rFonts w:ascii="Times New Roman" w:hAnsi="Times New Roman" w:cs="Times New Roman"/>
                            <w:sz w:val="20"/>
                            <w:szCs w:val="20"/>
                          </w:rPr>
                          <w:br/>
                          <w:t>rules/principles</w:t>
                        </w:r>
                      </w:p>
                    </w:txbxContent>
                  </v:textbox>
                </v:rect>
                <v:rect id="Rectangle 26" o:spid="_x0000_s1044" style="position:absolute;left:17811;top:18973;width:16231;height:6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EjsQA&#10;AADbAAAADwAAAGRycy9kb3ducmV2LnhtbESPQWvCQBSE70L/w/IKvemmHqJGN0GKQqGlYtqDx0f2&#10;NQnNvg272yT++65Q8DjMzDfMrphMJwZyvrWs4HmRgCCurG65VvD1eZyvQfiArLGzTAqu5KHIH2Y7&#10;zLQd+UxDGWoRIewzVNCE0GdS+qohg35he+LofVtnMETpaqkdjhFuOrlMklQabDkuNNjTS0PVT/lr&#10;FNhTe+32bvMxvNPq8nYKyTilB6WeHqf9FkSgKdzD/+1XrWCZ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xI7EAAAA2wAAAA8AAAAAAAAAAAAAAAAAmAIAAGRycy9k&#10;b3ducmV2LnhtbFBLBQYAAAAABAAEAPUAAACJAwAAAAA=&#10;" fillcolor="white [3201]" strokecolor="black [3200]" strokeweight="1pt">
                  <v:textbox>
                    <w:txbxContent>
                      <w:p w14:paraId="2869441F" w14:textId="77777777" w:rsidR="00A3352B" w:rsidRPr="00E4621D" w:rsidRDefault="00A3352B" w:rsidP="0054255F">
                        <w:pPr>
                          <w:pStyle w:val="NormalWeb"/>
                          <w:spacing w:before="0" w:beforeAutospacing="0" w:after="160" w:afterAutospacing="0" w:line="256" w:lineRule="auto"/>
                          <w:jc w:val="center"/>
                          <w:rPr>
                            <w:sz w:val="20"/>
                            <w:szCs w:val="20"/>
                          </w:rPr>
                        </w:pPr>
                        <w:r w:rsidRPr="00E4621D">
                          <w:rPr>
                            <w:rFonts w:eastAsia="Calibri"/>
                            <w:sz w:val="20"/>
                            <w:szCs w:val="20"/>
                          </w:rPr>
                          <w:t>Implementation style</w:t>
                        </w:r>
                        <w:r w:rsidRPr="00E4621D">
                          <w:rPr>
                            <w:rFonts w:eastAsia="Calibri"/>
                            <w:sz w:val="20"/>
                            <w:szCs w:val="20"/>
                          </w:rPr>
                          <w:br/>
                        </w:r>
                        <w:r w:rsidRPr="00E4621D">
                          <w:rPr>
                            <w:sz w:val="20"/>
                            <w:szCs w:val="20"/>
                          </w:rPr>
                          <w:t>supervision/outsourcing</w:t>
                        </w:r>
                      </w:p>
                    </w:txbxContent>
                  </v:textbox>
                </v:rect>
                <v:rect id="Rectangle 27" o:spid="_x0000_s1045" style="position:absolute;left:35518;top:18973;width:14107;height:6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14:paraId="34AABA71" w14:textId="77777777" w:rsidR="00A3352B" w:rsidRPr="00E4621D" w:rsidRDefault="00A3352B" w:rsidP="0054255F">
                        <w:pPr>
                          <w:pStyle w:val="NormalWeb"/>
                          <w:spacing w:before="0" w:beforeAutospacing="0" w:after="160" w:afterAutospacing="0" w:line="254" w:lineRule="auto"/>
                          <w:jc w:val="center"/>
                          <w:rPr>
                            <w:sz w:val="20"/>
                            <w:szCs w:val="20"/>
                          </w:rPr>
                        </w:pPr>
                        <w:r w:rsidRPr="00E4621D">
                          <w:rPr>
                            <w:rFonts w:eastAsia="Calibri"/>
                            <w:sz w:val="20"/>
                            <w:szCs w:val="20"/>
                          </w:rPr>
                          <w:t>Enforcement style</w:t>
                        </w:r>
                        <w:r w:rsidRPr="00E4621D">
                          <w:rPr>
                            <w:rFonts w:eastAsia="Calibri"/>
                            <w:sz w:val="20"/>
                            <w:szCs w:val="20"/>
                          </w:rPr>
                          <w:br/>
                          <w:t>sanctions/incentives</w:t>
                        </w:r>
                      </w:p>
                    </w:txbxContent>
                  </v:textbox>
                </v:rect>
                <v:rect id="Rectangle 28" o:spid="_x0000_s1046" style="position:absolute;left:11334;top:27898;width:32157;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textbox>
                    <w:txbxContent>
                      <w:p w14:paraId="0942EEB5" w14:textId="77777777" w:rsidR="00A3352B" w:rsidRPr="00E4621D" w:rsidRDefault="00A3352B" w:rsidP="0054255F">
                        <w:pPr>
                          <w:pStyle w:val="NormalWeb"/>
                          <w:spacing w:before="0" w:beforeAutospacing="0" w:after="160" w:afterAutospacing="0" w:line="256" w:lineRule="auto"/>
                          <w:jc w:val="center"/>
                          <w:rPr>
                            <w:smallCaps/>
                            <w:sz w:val="20"/>
                            <w:szCs w:val="20"/>
                          </w:rPr>
                        </w:pPr>
                        <w:r w:rsidRPr="00E4621D">
                          <w:rPr>
                            <w:rFonts w:eastAsia="Calibri"/>
                            <w:smallCaps/>
                            <w:sz w:val="20"/>
                            <w:szCs w:val="20"/>
                          </w:rPr>
                          <w:t>Content</w:t>
                        </w:r>
                      </w:p>
                    </w:txbxContent>
                  </v:textbox>
                </v:rect>
                <v:shape id="Bent Arrow 29" o:spid="_x0000_s1047" style="position:absolute;left:9711;top:22475;width:6577;height:10004;rotation:-90;visibility:visible;mso-wrap-style:square;v-text-anchor:middle" coordsize="657750,10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WNgcIA&#10;AADbAAAADwAAAGRycy9kb3ducmV2LnhtbESPS4vCQBCE74L/YWjBm0704CPrJKyC6EFwfbDnJtMm&#10;YTM9ITOa+O8dQdhjUVVfUau0M5V4UONKywom4wgEcWZ1ybmC62U7WoBwHlljZZkUPMlBmvR7K4y1&#10;bflEj7PPRYCwi1FB4X0dS+myggy6sa2Jg3ezjUEfZJNL3WAb4KaS0yiaSYMlh4UCa9oUlP2d70ZB&#10;3drf/WwxP3pcX36Q7Y5vB1ZqOOi+v0B46vx/+NPeawXTJby/hB8g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Y2BwgAAANsAAAAPAAAAAAAAAAAAAAAAAJgCAABkcnMvZG93&#10;bnJldi54bWxQSwUGAAAAAAQABAD1AAAAhwMAAAAA&#10;" path="m,1000350l,369984c,211055,128837,82218,287766,82218r205547,1l493313,,657750,164438,493313,328875r,-82219l287766,246656v-68112,,-123328,55216,-123328,123328l164438,1000350,,1000350xe" fillcolor="white [3201]" strokecolor="black [3200]" strokeweight="1pt">
                  <v:stroke joinstyle="miter"/>
                  <v:path arrowok="t" o:connecttype="custom" o:connectlocs="0,1000350;0,369984;287766,82218;493313,82219;493313,0;657750,164438;493313,328875;493313,246656;287766,246656;164438,369984;164438,1000350;0,1000350" o:connectangles="0,0,0,0,0,0,0,0,0,0,0,0"/>
                </v:shape>
                <v:shape id="Bent Arrow 30" o:spid="_x0000_s1048" style="position:absolute;left:33236;top:9424;width:13346;height:7620;rotation:90;visibility:visible;mso-wrap-style:square;v-text-anchor:middle" coordsize="133459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A3b8UA&#10;AADbAAAADwAAAGRycy9kb3ducmV2LnhtbESPTUsDMRCG7wX/QxjBW5u0Silr0yKCUEEtrR94HDdj&#10;dnEzCZvYrv/eORR6HN55n5lnuR5Cpw7U5zayhenEgCKuo2vZW3h7fRgvQOWC7LCLTBb+KMN6dTFa&#10;YuXikXd02BevBMK5QgtNKanSOtcNBcyTmIgl+459wCJj77Xr8Sjw0OmZMXMdsGW50GCi+4bqn/1v&#10;EMrHSzubPm5v6Mn4d/9p0ub5K1l7dTnc3YIqNJTz8qm9cRau5XtxEQ/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DdvxQAAANsAAAAPAAAAAAAAAAAAAAAAAJgCAABkcnMv&#10;ZG93bnJldi54bWxQSwUGAAAAAAQABAD1AAAAigMAAAAA&#10;" path="m,762000l,428625c,244507,149257,95250,333375,95250r810715,l1144090,r190500,190500l1144090,381000r,-95250l333375,285750v-78908,,-142875,63967,-142875,142875l190500,762000,,762000xe" fillcolor="white [3201]" strokecolor="black [3200]" strokeweight="1pt">
                  <v:stroke joinstyle="miter"/>
                  <v:path arrowok="t" o:connecttype="custom" o:connectlocs="0,762000;0,428625;333375,95250;1144090,95250;1144090,0;1334590,190500;1144090,381000;1144090,285750;333375,285750;190500,428625;190500,762000;0,762000" o:connectangles="0,0,0,0,0,0,0,0,0,0,0,0"/>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1" o:spid="_x0000_s1049" type="#_x0000_t69" style="position:absolute;left:32670;top:23431;width:4001;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34MQA&#10;AADbAAAADwAAAGRycy9kb3ducmV2LnhtbESPUWvCQBCE34X+h2MLfdOLLUiJniJNC6VKoak/YMmt&#10;STS3l+a2Jv57TxB8HGbmG2axGlyjTtSF2rOB6SQBRVx4W3NpYPf7MX4FFQTZYuOZDJwpwGr5MFpg&#10;an3PP3TKpVQRwiFFA5VIm2odioocholviaO3951DibIrte2wj3DX6OckmWmHNceFClt6q6g45v/O&#10;QLt1h63M3v++1/WhzDZis6+zNebpcVjPQQkNcg/f2p/WwMsUrl/iD9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Y9+DEAAAA2wAAAA8AAAAAAAAAAAAAAAAAmAIAAGRycy9k&#10;b3ducmV2LnhtbFBLBQYAAAAABAAEAPUAAACJAwAAAAA=&#10;" adj="6943" fillcolor="white [3201]" strokecolor="black [3200]" strokeweight="1pt"/>
                <v:shape id="Left-Right Arrow 32" o:spid="_x0000_s1050" type="#_x0000_t69" style="position:absolute;left:14849;top:23431;width:4000;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pl8MA&#10;AADbAAAADwAAAGRycy9kb3ducmV2LnhtbESPUWvCQBCE34X+h2MLvumlFkRST5FqoagIxv6AJbdN&#10;YnN7MbfV+O89QfBxmJlvmOm8c7U6Uxsqzwbehgko4tzbigsDP4evwQRUEGSLtWcycKUA89lLb4qp&#10;9Rfe0zmTQkUIhxQNlCJNqnXIS3IYhr4hjt6vbx1KlG2hbYuXCHe1HiXJWDusOC6U2NBnSflf9u8M&#10;NFt33Mp4ddotqmOx3Ihdrq/WmP5rt/gAJdTJM/xof1sD7yO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ppl8MAAADbAAAADwAAAAAAAAAAAAAAAACYAgAAZHJzL2Rv&#10;d25yZXYueG1sUEsFBgAAAAAEAAQA9QAAAIgDAAAAAA==&#10;" adj="6943" fillcolor="white [3201]" strokecolor="black [3200]" strokeweight="1pt"/>
                <v:rect id="Rectangle 33" o:spid="_x0000_s1051" style="position:absolute;left:16097;top:15430;width:23431;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xy8QA&#10;AADbAAAADwAAAGRycy9kb3ducmV2LnhtbESPQWvCQBSE74X+h+UVvNVNK9g2dROkKAhKpakHj4/s&#10;axKafRt21yT+e1cQPA4z8w2zyEfTip6cbywreJkmIIhLqxuuFBx+18/vIHxA1thaJgVn8pBnjw8L&#10;TLUd+If6IlQiQtinqKAOoUul9GVNBv3UdsTR+7POYIjSVVI7HCLctPI1SebSYMNxocaOvmoq/4uT&#10;UWD3zblduo/vfkdvx+0+JMM4Xyk1eRqXnyACjeEevrU3WsFsBt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V8cvEAAAA2wAAAA8AAAAAAAAAAAAAAAAAmAIAAGRycy9k&#10;b3ducmV2LnhtbFBLBQYAAAAABAAEAPUAAACJAwAAAAA=&#10;" fillcolor="white [3201]" strokecolor="black [3200]" strokeweight="1pt">
                  <v:textbox>
                    <w:txbxContent>
                      <w:p w14:paraId="219E1F91" w14:textId="77777777" w:rsidR="00A3352B" w:rsidRPr="00E4621D" w:rsidRDefault="00A3352B" w:rsidP="0054255F">
                        <w:pPr>
                          <w:jc w:val="center"/>
                          <w:rPr>
                            <w:rFonts w:ascii="Times New Roman" w:hAnsi="Times New Roman" w:cs="Times New Roman"/>
                            <w:sz w:val="20"/>
                            <w:szCs w:val="20"/>
                          </w:rPr>
                        </w:pPr>
                        <w:r w:rsidRPr="00E4621D">
                          <w:rPr>
                            <w:rFonts w:ascii="Times New Roman" w:hAnsi="Times New Roman" w:cs="Times New Roman"/>
                            <w:sz w:val="20"/>
                            <w:szCs w:val="20"/>
                          </w:rPr>
                          <w:t>Assumptions about behaviour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52" type="#_x0000_t13" style="position:absolute;left:1428;top:6000;width:10383;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SccEA&#10;AADbAAAADwAAAGRycy9kb3ducmV2LnhtbERPTYvCMBC9C/6HMIK3NbWHRbpGUUFdEWS3Cl6HZmyL&#10;zaQ2Uau/3iwseJvH+5zxtDWVuFHjSssKhoMIBHFmdcm5gsN++TEC4TyyxsoyKXiQg+mk2xljou2d&#10;f+mW+lyEEHYJKii8rxMpXVaQQTewNXHgTrYx6ANscqkbvIdwU8k4ij6lwZJDQ4E1LQrKzunVKNhd&#10;N6c6/TlmZhVvn5fywna+XCvV77WzLxCeWv8W/7u/dZgfw98v4QA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UnHBAAAA2wAAAA8AAAAAAAAAAAAAAAAAmAIAAGRycy9kb3du&#10;cmV2LnhtbFBLBQYAAAAABAAEAPUAAACGAwAAAAA=&#10;" adj="16349" fillcolor="white [3212]" strokecolor="black [3213]" strokeweight="1pt">
                  <v:textbox>
                    <w:txbxContent>
                      <w:p w14:paraId="7E09A328" w14:textId="5D0DCF8D" w:rsidR="00A3352B" w:rsidRPr="0066229F" w:rsidRDefault="00A3352B" w:rsidP="0066229F">
                        <w:pPr>
                          <w:jc w:val="center"/>
                          <w:rPr>
                            <w:rFonts w:ascii="Times New Roman" w:hAnsi="Times New Roman" w:cs="Times New Roman"/>
                            <w:color w:val="000000" w:themeColor="text1"/>
                            <w:sz w:val="18"/>
                            <w:szCs w:val="18"/>
                          </w:rPr>
                        </w:pPr>
                        <w:r w:rsidRPr="0066229F">
                          <w:rPr>
                            <w:rFonts w:ascii="Times New Roman" w:hAnsi="Times New Roman" w:cs="Times New Roman"/>
                            <w:color w:val="000000" w:themeColor="text1"/>
                            <w:sz w:val="18"/>
                            <w:szCs w:val="18"/>
                          </w:rPr>
                          <w:t>B</w:t>
                        </w:r>
                        <w:r>
                          <w:rPr>
                            <w:rFonts w:ascii="Times New Roman" w:hAnsi="Times New Roman" w:cs="Times New Roman"/>
                            <w:color w:val="000000" w:themeColor="text1"/>
                            <w:sz w:val="18"/>
                            <w:szCs w:val="18"/>
                          </w:rPr>
                          <w:t>u</w:t>
                        </w:r>
                        <w:r w:rsidRPr="0066229F">
                          <w:rPr>
                            <w:rFonts w:ascii="Times New Roman" w:hAnsi="Times New Roman" w:cs="Times New Roman"/>
                            <w:color w:val="000000" w:themeColor="text1"/>
                            <w:sz w:val="18"/>
                            <w:szCs w:val="18"/>
                          </w:rPr>
                          <w:t>dget</w:t>
                        </w:r>
                      </w:p>
                    </w:txbxContent>
                  </v:textbox>
                </v:shape>
                <v:shape id="Right Arrow 35" o:spid="_x0000_s1053" type="#_x0000_t13" style="position:absolute;left:466;top:29232;width:103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CWZcQA&#10;AADbAAAADwAAAGRycy9kb3ducmV2LnhtbESPQWvCQBSE74L/YXmCt7pRsUh0FS3YVgqiUfD6yD6T&#10;YPZtzK4a/fXdQsHjMDPfMNN5Y0pxo9oVlhX0exEI4tTqgjMFh/3qbQzCeWSNpWVS8CAH81m7NcVY&#10;2zvv6Jb4TAQIuxgV5N5XsZQuzcmg69mKOHgnWxv0QdaZ1DXeA9yUchBF79JgwWEhx4o+ckrPydUo&#10;2FzXpyrZHlPzOfh5XooL2+XqS6lup1lMQHhq/Cv83/7WCoYj+Ps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lmXEAAAA2wAAAA8AAAAAAAAAAAAAAAAAmAIAAGRycy9k&#10;b3ducmV2LnhtbFBLBQYAAAAABAAEAPUAAACJAwAAAAA=&#10;" adj="16349" fillcolor="white [3212]" strokecolor="black [3213]" strokeweight="1pt">
                  <v:textbox>
                    <w:txbxContent>
                      <w:p w14:paraId="2A343C28" w14:textId="61761A67" w:rsidR="00A3352B" w:rsidRDefault="00A3352B" w:rsidP="0066229F">
                        <w:pPr>
                          <w:pStyle w:val="NormalWeb"/>
                          <w:spacing w:before="0" w:beforeAutospacing="0" w:after="160" w:afterAutospacing="0" w:line="256" w:lineRule="auto"/>
                          <w:jc w:val="center"/>
                        </w:pPr>
                        <w:r>
                          <w:rPr>
                            <w:rFonts w:eastAsia="Calibri"/>
                            <w:color w:val="000000"/>
                            <w:sz w:val="18"/>
                            <w:szCs w:val="18"/>
                          </w:rPr>
                          <w:t>Lobbying</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54" type="#_x0000_t66" style="position:absolute;left:42672;top:5048;width:914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4ZTMMA&#10;AADbAAAADwAAAGRycy9kb3ducmV2LnhtbERP32vCMBB+H+x/CDfYy5ipIiLVtAxxQ2FMdIqvZ3Nr&#10;is2lNJl2/vVmIPh2H9/Pm+adrcWJWl85VtDvJSCIC6crLhVsv99fxyB8QNZYOyYFf+Qhzx4fpphq&#10;d+Y1nTahFDGEfYoKTAhNKqUvDFn0PdcQR+7HtRZDhG0pdYvnGG5rOUiSkbRYcWww2NDMUHHc/FoF&#10;yRKHh7Ge15ew3328fH3KwcGslHp+6t4mIAJ14S6+uRc6zh/C/y/xA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4ZTMMAAADbAAAADwAAAAAAAAAAAAAAAACYAgAAZHJzL2Rv&#10;d25yZXYueG1sUEsFBgAAAAAEAAQA9QAAAIgDAAAAAA==&#10;" adj="6300" fillcolor="white [3212]" strokecolor="black [3213]" strokeweight="1pt">
                  <v:textbox>
                    <w:txbxContent>
                      <w:p w14:paraId="64A7CB62" w14:textId="0ADA92DC" w:rsidR="00A3352B" w:rsidRDefault="00A3352B" w:rsidP="0066229F">
                        <w:pPr>
                          <w:jc w:val="center"/>
                        </w:pPr>
                        <w:r w:rsidRPr="0066229F">
                          <w:rPr>
                            <w:rFonts w:ascii="Times New Roman" w:hAnsi="Times New Roman" w:cs="Times New Roman"/>
                            <w:color w:val="000000" w:themeColor="text1"/>
                            <w:sz w:val="18"/>
                            <w:szCs w:val="18"/>
                          </w:rPr>
                          <w:t>Mandate</w:t>
                        </w:r>
                      </w:p>
                    </w:txbxContent>
                  </v:textbox>
                </v:shape>
                <v:shape id="Left Arrow 37" o:spid="_x0000_s1055" type="#_x0000_t66" style="position:absolute;left:42376;top:28279;width:953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rqcMA&#10;AADbAAAADwAAAGRycy9kb3ducmV2LnhtbESP3WoCMRCF7wu+QxjBm6JZtWjZGqUVBMUrVx9g2Ew3&#10;oZvJuom6+vSmUOjl4fx8nMWqc7W4UhusZwXjUQaCuPTacqXgdNwM30GEiKyx9kwK7hRgtey9LDDX&#10;/sYHuhaxEmmEQ44KTIxNLmUoDTkMI98QJ+/btw5jkm0ldYu3NO5qOcmymXRoOREMNrQ2VP4UF5cg&#10;67fisZsEOd2P968XszvbL3tWatDvPj9AROrif/ivvdUKpnP4/Z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2rqcMAAADbAAAADwAAAAAAAAAAAAAAAACYAgAAZHJzL2Rv&#10;d25yZXYueG1sUEsFBgAAAAAEAAQA9QAAAIgDAAAAAA==&#10;" adj="6042" fillcolor="white [3212]" strokecolor="black [3213]" strokeweight="1pt">
                  <v:textbox>
                    <w:txbxContent>
                      <w:p w14:paraId="66720F15" w14:textId="06D09C0D" w:rsidR="00A3352B" w:rsidRDefault="00A3352B" w:rsidP="0066229F">
                        <w:pPr>
                          <w:pStyle w:val="NormalWeb"/>
                          <w:spacing w:before="0" w:beforeAutospacing="0" w:after="160" w:afterAutospacing="0" w:line="256" w:lineRule="auto"/>
                          <w:jc w:val="center"/>
                        </w:pPr>
                        <w:r>
                          <w:rPr>
                            <w:rFonts w:eastAsia="Calibri"/>
                            <w:color w:val="000000"/>
                            <w:sz w:val="18"/>
                            <w:szCs w:val="18"/>
                          </w:rPr>
                          <w:t>Definitions</w:t>
                        </w:r>
                      </w:p>
                    </w:txbxContent>
                  </v:textbox>
                </v:shape>
                <w10:anchorlock/>
              </v:group>
            </w:pict>
          </mc:Fallback>
        </mc:AlternateContent>
      </w:r>
    </w:p>
    <w:p w14:paraId="71FBCA27" w14:textId="77777777" w:rsidR="0054255F" w:rsidRPr="003D49F0" w:rsidRDefault="0054255F" w:rsidP="00E83517">
      <w:pPr>
        <w:spacing w:line="240" w:lineRule="auto"/>
      </w:pPr>
    </w:p>
    <w:sectPr w:rsidR="0054255F" w:rsidRPr="003D49F0" w:rsidSect="00B970F4">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62EE9" w14:textId="77777777" w:rsidR="00894079" w:rsidRDefault="00894079" w:rsidP="00A81732">
      <w:pPr>
        <w:spacing w:after="0" w:line="240" w:lineRule="auto"/>
      </w:pPr>
      <w:r>
        <w:separator/>
      </w:r>
    </w:p>
  </w:endnote>
  <w:endnote w:type="continuationSeparator" w:id="0">
    <w:p w14:paraId="692ABFE7" w14:textId="77777777" w:rsidR="00894079" w:rsidRDefault="00894079" w:rsidP="00A8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88496"/>
      <w:docPartObj>
        <w:docPartGallery w:val="Page Numbers (Bottom of Page)"/>
        <w:docPartUnique/>
      </w:docPartObj>
    </w:sdtPr>
    <w:sdtEndPr>
      <w:rPr>
        <w:noProof/>
      </w:rPr>
    </w:sdtEndPr>
    <w:sdtContent>
      <w:p w14:paraId="2038B056" w14:textId="14F18B49" w:rsidR="00A3352B" w:rsidRDefault="00A3352B">
        <w:pPr>
          <w:pStyle w:val="Footer"/>
          <w:jc w:val="right"/>
        </w:pPr>
        <w:r>
          <w:fldChar w:fldCharType="begin"/>
        </w:r>
        <w:r>
          <w:instrText xml:space="preserve"> PAGE   \* MERGEFORMAT </w:instrText>
        </w:r>
        <w:r>
          <w:fldChar w:fldCharType="separate"/>
        </w:r>
        <w:r w:rsidR="00D56A1F">
          <w:rPr>
            <w:noProof/>
          </w:rPr>
          <w:t>28</w:t>
        </w:r>
        <w:r>
          <w:rPr>
            <w:noProof/>
          </w:rPr>
          <w:fldChar w:fldCharType="end"/>
        </w:r>
      </w:p>
    </w:sdtContent>
  </w:sdt>
  <w:p w14:paraId="4EDAD195" w14:textId="77777777" w:rsidR="00A3352B" w:rsidRDefault="00A33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3CA0" w14:textId="77777777" w:rsidR="00894079" w:rsidRDefault="00894079" w:rsidP="00A81732">
      <w:pPr>
        <w:spacing w:after="0" w:line="240" w:lineRule="auto"/>
      </w:pPr>
      <w:r>
        <w:separator/>
      </w:r>
    </w:p>
  </w:footnote>
  <w:footnote w:type="continuationSeparator" w:id="0">
    <w:p w14:paraId="496219E6" w14:textId="77777777" w:rsidR="00894079" w:rsidRDefault="00894079" w:rsidP="00A81732">
      <w:pPr>
        <w:spacing w:after="0" w:line="240" w:lineRule="auto"/>
      </w:pPr>
      <w:r>
        <w:continuationSeparator/>
      </w:r>
    </w:p>
  </w:footnote>
  <w:footnote w:id="1">
    <w:p w14:paraId="39151284" w14:textId="358D2382" w:rsidR="00A3352B" w:rsidRPr="00E4621D" w:rsidRDefault="00A3352B">
      <w:pPr>
        <w:pStyle w:val="FootnoteText"/>
        <w:rPr>
          <w:rFonts w:cstheme="minorHAnsi"/>
        </w:rPr>
      </w:pPr>
      <w:r>
        <w:rPr>
          <w:rStyle w:val="FootnoteReference"/>
        </w:rPr>
        <w:footnoteRef/>
      </w:r>
      <w:r>
        <w:t xml:space="preserve"> </w:t>
      </w:r>
      <w:r w:rsidRPr="00E4621D">
        <w:rPr>
          <w:rFonts w:cstheme="minorHAnsi"/>
        </w:rPr>
        <w:t xml:space="preserve">Julia Black, ‘Paradoxes and Failures: “New Governance” Techniques and the Financial Crisis’ (2012) 75(6) </w:t>
      </w:r>
      <w:r w:rsidRPr="00E4621D">
        <w:rPr>
          <w:rFonts w:cstheme="minorHAnsi"/>
          <w:i/>
          <w:iCs/>
        </w:rPr>
        <w:t>The Modern Law Review</w:t>
      </w:r>
      <w:r w:rsidR="00F43323">
        <w:rPr>
          <w:rFonts w:cstheme="minorHAnsi"/>
        </w:rPr>
        <w:t xml:space="preserve"> 1037</w:t>
      </w:r>
      <w:r w:rsidRPr="00E4621D">
        <w:rPr>
          <w:rFonts w:cstheme="minorHAnsi"/>
        </w:rPr>
        <w:t xml:space="preserve">; KJ Hopt, ‘Corporate Governance of Banks and Other Financial Institutions After the Financial Crisis’ (2013) 13(2) </w:t>
      </w:r>
      <w:r w:rsidRPr="00E4621D">
        <w:rPr>
          <w:rFonts w:cstheme="minorHAnsi"/>
          <w:i/>
          <w:iCs/>
        </w:rPr>
        <w:t>Journal of Corporate Law Studies</w:t>
      </w:r>
      <w:r w:rsidRPr="00E4621D">
        <w:rPr>
          <w:rFonts w:cstheme="minorHAnsi"/>
        </w:rPr>
        <w:t xml:space="preserve"> 219; Iain MacNeil, ‘The Trajectory of Regulatory Reform in the UK in the Wake of the Financial Crisis’ (2010) 11(04) </w:t>
      </w:r>
      <w:r w:rsidRPr="00E4621D">
        <w:rPr>
          <w:rFonts w:cstheme="minorHAnsi"/>
          <w:i/>
          <w:iCs/>
        </w:rPr>
        <w:t>European Business Organization Law Review</w:t>
      </w:r>
      <w:r w:rsidRPr="00E4621D">
        <w:rPr>
          <w:rFonts w:cstheme="minorHAnsi"/>
        </w:rPr>
        <w:t xml:space="preserve"> 483.</w:t>
      </w:r>
    </w:p>
  </w:footnote>
  <w:footnote w:id="2">
    <w:p w14:paraId="26AE280D" w14:textId="3ACD0799" w:rsidR="00A3352B" w:rsidRPr="00E4621D" w:rsidRDefault="00A3352B" w:rsidP="00E85E09">
      <w:pPr>
        <w:pStyle w:val="FootnoteText"/>
        <w:rPr>
          <w:rFonts w:cstheme="minorHAnsi"/>
        </w:rPr>
      </w:pPr>
      <w:r w:rsidRPr="00E4621D">
        <w:rPr>
          <w:rStyle w:val="FootnoteReference"/>
          <w:rFonts w:cstheme="minorHAnsi"/>
        </w:rPr>
        <w:footnoteRef/>
      </w:r>
      <w:r w:rsidRPr="00E4621D">
        <w:rPr>
          <w:rFonts w:cstheme="minorHAnsi"/>
        </w:rPr>
        <w:t xml:space="preserve"> Christopher Arup, ‘The Global Financial Crisis: Learning from Regulatory and Governance Studies’ (2010) 32(3) </w:t>
      </w:r>
      <w:r w:rsidRPr="00E4621D">
        <w:rPr>
          <w:rFonts w:cstheme="minorHAnsi"/>
          <w:i/>
          <w:iCs/>
        </w:rPr>
        <w:t>Law &amp; Policy</w:t>
      </w:r>
      <w:r w:rsidRPr="00E4621D">
        <w:rPr>
          <w:rFonts w:cstheme="minorHAnsi"/>
        </w:rPr>
        <w:t xml:space="preserve"> 363.</w:t>
      </w:r>
    </w:p>
  </w:footnote>
  <w:footnote w:id="3">
    <w:p w14:paraId="6941735E" w14:textId="4B9164EE" w:rsidR="00A3352B" w:rsidRDefault="00A3352B">
      <w:pPr>
        <w:pStyle w:val="FootnoteText"/>
      </w:pPr>
      <w:r>
        <w:rPr>
          <w:rStyle w:val="FootnoteReference"/>
        </w:rPr>
        <w:footnoteRef/>
      </w:r>
      <w:r>
        <w:t xml:space="preserve"> </w:t>
      </w:r>
      <w:r w:rsidRPr="00652E08">
        <w:rPr>
          <w:rFonts w:ascii="Calibri" w:hAnsi="Calibri" w:cs="Calibri"/>
          <w:szCs w:val="24"/>
        </w:rPr>
        <w:t xml:space="preserve">Honourable Kenneth Madison Hayne AC QC, </w:t>
      </w:r>
      <w:r w:rsidRPr="00652E08">
        <w:rPr>
          <w:rFonts w:ascii="Calibri" w:hAnsi="Calibri" w:cs="Calibri"/>
          <w:i/>
          <w:iCs/>
          <w:szCs w:val="24"/>
        </w:rPr>
        <w:t>Final Report Royal Commission into Misconduct in the Banking, Superannuation and Financial Services Industry</w:t>
      </w:r>
      <w:r w:rsidRPr="00652E08">
        <w:rPr>
          <w:rFonts w:ascii="Calibri" w:hAnsi="Calibri" w:cs="Calibri"/>
          <w:szCs w:val="24"/>
        </w:rPr>
        <w:t xml:space="preserve"> (February 2019).</w:t>
      </w:r>
    </w:p>
  </w:footnote>
  <w:footnote w:id="4">
    <w:p w14:paraId="6BF5A42A" w14:textId="7611AB28" w:rsidR="00A3352B" w:rsidRPr="00E4621D" w:rsidRDefault="00A3352B">
      <w:pPr>
        <w:pStyle w:val="FootnoteText"/>
        <w:rPr>
          <w:rFonts w:cstheme="minorHAnsi"/>
        </w:rPr>
      </w:pPr>
      <w:r>
        <w:rPr>
          <w:rStyle w:val="FootnoteReference"/>
        </w:rPr>
        <w:footnoteRef/>
      </w:r>
      <w:r>
        <w:t xml:space="preserve"> </w:t>
      </w:r>
      <w:r w:rsidRPr="00E4621D">
        <w:rPr>
          <w:rFonts w:cstheme="minorHAnsi"/>
        </w:rPr>
        <w:t xml:space="preserve">Martin Lodge and Kai Wegrich, ‘Arguing about Financial Regulation: Comparing National Discourses on the Global Financial Crisis’ (2011) 44(4) </w:t>
      </w:r>
      <w:r w:rsidRPr="00E4621D">
        <w:rPr>
          <w:rFonts w:cstheme="minorHAnsi"/>
          <w:i/>
          <w:iCs/>
        </w:rPr>
        <w:t>PS, Political Science &amp; Politics</w:t>
      </w:r>
      <w:r w:rsidR="00F43323">
        <w:rPr>
          <w:rFonts w:cstheme="minorHAnsi"/>
        </w:rPr>
        <w:t xml:space="preserve"> 726, 726</w:t>
      </w:r>
      <w:r w:rsidRPr="00E4621D">
        <w:rPr>
          <w:rFonts w:cstheme="minorHAnsi"/>
        </w:rPr>
        <w:t>.</w:t>
      </w:r>
    </w:p>
  </w:footnote>
  <w:footnote w:id="5">
    <w:p w14:paraId="252C5C52" w14:textId="1814E84D" w:rsidR="00A3352B" w:rsidRPr="00E4621D" w:rsidRDefault="00A3352B">
      <w:pPr>
        <w:pStyle w:val="FootnoteText"/>
        <w:rPr>
          <w:rFonts w:cstheme="minorHAnsi"/>
        </w:rPr>
      </w:pPr>
      <w:r w:rsidRPr="00E4621D">
        <w:rPr>
          <w:rStyle w:val="FootnoteReference"/>
          <w:rFonts w:cstheme="minorHAnsi"/>
        </w:rPr>
        <w:footnoteRef/>
      </w:r>
      <w:r w:rsidRPr="00E4621D">
        <w:rPr>
          <w:rFonts w:cstheme="minorHAnsi"/>
        </w:rPr>
        <w:t xml:space="preserve"> Orly Lobel, ‘Setting the Agenda for New Governance Research’ (2004) 89 </w:t>
      </w:r>
      <w:r w:rsidRPr="00E4621D">
        <w:rPr>
          <w:rFonts w:cstheme="minorHAnsi"/>
          <w:i/>
          <w:iCs/>
        </w:rPr>
        <w:t>Minn. L. Rev.</w:t>
      </w:r>
      <w:r w:rsidRPr="00E4621D">
        <w:rPr>
          <w:rFonts w:cstheme="minorHAnsi"/>
        </w:rPr>
        <w:t xml:space="preserve"> 498.</w:t>
      </w:r>
    </w:p>
  </w:footnote>
  <w:footnote w:id="6">
    <w:p w14:paraId="5D326A12" w14:textId="1EE0077C" w:rsidR="00A3352B" w:rsidRPr="00E4621D" w:rsidRDefault="00A3352B" w:rsidP="002264D7">
      <w:pPr>
        <w:pStyle w:val="FootnoteText"/>
        <w:rPr>
          <w:rFonts w:cstheme="minorHAnsi"/>
        </w:rPr>
      </w:pPr>
      <w:r w:rsidRPr="00E4621D">
        <w:rPr>
          <w:rStyle w:val="FootnoteReference"/>
          <w:rFonts w:cstheme="minorHAnsi"/>
        </w:rPr>
        <w:footnoteRef/>
      </w:r>
      <w:r w:rsidRPr="00E4621D">
        <w:rPr>
          <w:rFonts w:cstheme="minorHAnsi"/>
        </w:rPr>
        <w:t xml:space="preserve"> Kristin N Johnson, ‘Governing Financial Markets: Regulating Conflicts’ (2013) 88(1) </w:t>
      </w:r>
      <w:r w:rsidRPr="00E4621D">
        <w:rPr>
          <w:rFonts w:cstheme="minorHAnsi"/>
          <w:i/>
          <w:iCs/>
        </w:rPr>
        <w:t>Washington Law Review</w:t>
      </w:r>
      <w:r w:rsidRPr="00E4621D">
        <w:rPr>
          <w:rFonts w:cstheme="minorHAnsi"/>
        </w:rPr>
        <w:t xml:space="preserve"> 185, 235.</w:t>
      </w:r>
    </w:p>
  </w:footnote>
  <w:footnote w:id="7">
    <w:p w14:paraId="61C824B5" w14:textId="753D75EE" w:rsidR="00A3352B" w:rsidRPr="00E4621D" w:rsidRDefault="00A3352B" w:rsidP="002264D7">
      <w:pPr>
        <w:pStyle w:val="FootnoteText"/>
        <w:rPr>
          <w:rFonts w:cstheme="minorHAnsi"/>
        </w:rPr>
      </w:pPr>
      <w:r w:rsidRPr="00E4621D">
        <w:rPr>
          <w:rStyle w:val="FootnoteReference"/>
          <w:rFonts w:cstheme="minorHAnsi"/>
        </w:rPr>
        <w:footnoteRef/>
      </w:r>
      <w:r w:rsidRPr="00E4621D">
        <w:rPr>
          <w:rFonts w:cstheme="minorHAnsi"/>
        </w:rPr>
        <w:t xml:space="preserve"> Sharon Gilad, ‘Institutionalizing Fairness in Financial Markets: Mission Impossible?’ (2011) 5(3) </w:t>
      </w:r>
      <w:r w:rsidRPr="00E4621D">
        <w:rPr>
          <w:rFonts w:cstheme="minorHAnsi"/>
          <w:i/>
          <w:iCs/>
        </w:rPr>
        <w:t>Regulation &amp; Governance</w:t>
      </w:r>
      <w:r w:rsidR="00EF335A">
        <w:rPr>
          <w:rFonts w:cstheme="minorHAnsi"/>
        </w:rPr>
        <w:t xml:space="preserve"> 309</w:t>
      </w:r>
      <w:r w:rsidRPr="00E4621D">
        <w:rPr>
          <w:rFonts w:cstheme="minorHAnsi"/>
        </w:rPr>
        <w:t>.</w:t>
      </w:r>
    </w:p>
  </w:footnote>
  <w:footnote w:id="8">
    <w:p w14:paraId="563531B5" w14:textId="6694D34C" w:rsidR="00A3352B" w:rsidRPr="00E4621D" w:rsidRDefault="00A3352B" w:rsidP="002264D7">
      <w:pPr>
        <w:pStyle w:val="FootnoteText"/>
        <w:rPr>
          <w:rFonts w:cstheme="minorHAnsi"/>
        </w:rPr>
      </w:pPr>
      <w:r w:rsidRPr="00E4621D">
        <w:rPr>
          <w:rStyle w:val="FootnoteReference"/>
          <w:rFonts w:cstheme="minorHAnsi"/>
        </w:rPr>
        <w:footnoteRef/>
      </w:r>
      <w:r w:rsidRPr="00E4621D">
        <w:rPr>
          <w:rFonts w:cstheme="minorHAnsi"/>
        </w:rPr>
        <w:t xml:space="preserve"> Siona Listokin-Smith, ‘Meta-Regulation of OTC Derivatives Contracts Post Reform’ (2013) 21(2) </w:t>
      </w:r>
      <w:r w:rsidRPr="00E4621D">
        <w:rPr>
          <w:rFonts w:cstheme="minorHAnsi"/>
          <w:i/>
          <w:iCs/>
        </w:rPr>
        <w:t>Journal of Financial Regulation and Compliance</w:t>
      </w:r>
      <w:r w:rsidRPr="00E4621D">
        <w:rPr>
          <w:rFonts w:cstheme="minorHAnsi"/>
        </w:rPr>
        <w:t xml:space="preserve"> 188; Christine Parker, </w:t>
      </w:r>
      <w:r w:rsidRPr="00E4621D">
        <w:rPr>
          <w:rFonts w:cstheme="minorHAnsi"/>
          <w:i/>
          <w:iCs/>
        </w:rPr>
        <w:t>The Open Corporation: Effective Self-Regulation and Democracy</w:t>
      </w:r>
      <w:r w:rsidRPr="00E4621D">
        <w:rPr>
          <w:rFonts w:cstheme="minorHAnsi"/>
        </w:rPr>
        <w:t xml:space="preserve"> (Cambridge University Press, 2002).</w:t>
      </w:r>
    </w:p>
  </w:footnote>
  <w:footnote w:id="9">
    <w:p w14:paraId="51C0D38E" w14:textId="5E7B65E6" w:rsidR="00A3352B" w:rsidRPr="00E4621D" w:rsidRDefault="00A3352B" w:rsidP="002264D7">
      <w:pPr>
        <w:pStyle w:val="FootnoteText"/>
        <w:rPr>
          <w:rFonts w:cstheme="minorHAnsi"/>
        </w:rPr>
      </w:pPr>
      <w:r w:rsidRPr="00E4621D">
        <w:rPr>
          <w:rStyle w:val="FootnoteReference"/>
          <w:rFonts w:cstheme="minorHAnsi"/>
        </w:rPr>
        <w:footnoteRef/>
      </w:r>
      <w:r w:rsidRPr="00E4621D">
        <w:rPr>
          <w:rFonts w:cstheme="minorHAnsi"/>
        </w:rPr>
        <w:t xml:space="preserve"> Cary Coglianese and David Lazer, ‘Management-Based Regulation: Prescribing Private Management to Achieve Public Goals’ (2003) 37(4) </w:t>
      </w:r>
      <w:r w:rsidRPr="00E4621D">
        <w:rPr>
          <w:rFonts w:cstheme="minorHAnsi"/>
          <w:i/>
          <w:iCs/>
        </w:rPr>
        <w:t>Law &amp; Society Review</w:t>
      </w:r>
      <w:r w:rsidRPr="00E4621D">
        <w:rPr>
          <w:rFonts w:cstheme="minorHAnsi"/>
        </w:rPr>
        <w:t xml:space="preserve"> 691.</w:t>
      </w:r>
    </w:p>
  </w:footnote>
  <w:footnote w:id="10">
    <w:p w14:paraId="6D80D084" w14:textId="6519AB9C" w:rsidR="00A3352B" w:rsidRPr="00E4621D" w:rsidRDefault="00A3352B" w:rsidP="002264D7">
      <w:pPr>
        <w:pStyle w:val="FootnoteText"/>
        <w:rPr>
          <w:rFonts w:cstheme="minorHAnsi"/>
        </w:rPr>
      </w:pPr>
      <w:r w:rsidRPr="00E4621D">
        <w:rPr>
          <w:rStyle w:val="FootnoteReference"/>
          <w:rFonts w:cstheme="minorHAnsi"/>
        </w:rPr>
        <w:footnoteRef/>
      </w:r>
      <w:r>
        <w:rPr>
          <w:rFonts w:cstheme="minorHAnsi"/>
        </w:rPr>
        <w:t xml:space="preserve"> Black, n 1</w:t>
      </w:r>
      <w:r w:rsidRPr="00E4621D">
        <w:rPr>
          <w:rFonts w:cstheme="minorHAnsi"/>
        </w:rPr>
        <w:t xml:space="preserve">; Cristie Ford, ‘New Governance in the Teeth of Human Frailty: Lessons from Financial Regulation’ [2010] (2) </w:t>
      </w:r>
      <w:r w:rsidRPr="00E4621D">
        <w:rPr>
          <w:rFonts w:cstheme="minorHAnsi"/>
          <w:i/>
          <w:iCs/>
        </w:rPr>
        <w:t>Wisconsin Law Review</w:t>
      </w:r>
      <w:r w:rsidRPr="00E4621D">
        <w:rPr>
          <w:rFonts w:cstheme="minorHAnsi"/>
        </w:rPr>
        <w:t xml:space="preserve"> 441.</w:t>
      </w:r>
    </w:p>
  </w:footnote>
  <w:footnote w:id="11">
    <w:p w14:paraId="2A1E4F12" w14:textId="20735359" w:rsidR="00A3352B" w:rsidRPr="00E4621D" w:rsidRDefault="00A3352B">
      <w:pPr>
        <w:pStyle w:val="FootnoteText"/>
        <w:rPr>
          <w:rFonts w:cstheme="minorHAnsi"/>
        </w:rPr>
      </w:pPr>
      <w:r w:rsidRPr="00E4621D">
        <w:rPr>
          <w:rStyle w:val="FootnoteReference"/>
          <w:rFonts w:cstheme="minorHAnsi"/>
        </w:rPr>
        <w:footnoteRef/>
      </w:r>
      <w:r>
        <w:rPr>
          <w:rFonts w:cstheme="minorHAnsi"/>
        </w:rPr>
        <w:t xml:space="preserve"> Black, n 1</w:t>
      </w:r>
      <w:r w:rsidR="00F43323">
        <w:rPr>
          <w:rFonts w:cstheme="minorHAnsi"/>
        </w:rPr>
        <w:t>; Ford, n 10</w:t>
      </w:r>
      <w:r w:rsidRPr="00E4621D">
        <w:rPr>
          <w:rFonts w:cstheme="minorHAnsi"/>
        </w:rPr>
        <w:t>.</w:t>
      </w:r>
    </w:p>
  </w:footnote>
  <w:footnote w:id="12">
    <w:p w14:paraId="0661C3AB" w14:textId="28A1A42E" w:rsidR="00A3352B" w:rsidRPr="00E4621D" w:rsidRDefault="00A3352B">
      <w:pPr>
        <w:pStyle w:val="FootnoteText"/>
        <w:rPr>
          <w:rFonts w:cstheme="minorHAnsi"/>
        </w:rPr>
      </w:pPr>
      <w:r w:rsidRPr="00E4621D">
        <w:rPr>
          <w:rStyle w:val="FootnoteReference"/>
          <w:rFonts w:cstheme="minorHAnsi"/>
        </w:rPr>
        <w:footnoteRef/>
      </w:r>
      <w:r>
        <w:rPr>
          <w:rFonts w:cstheme="minorHAnsi"/>
        </w:rPr>
        <w:t xml:space="preserve"> Black, n 1</w:t>
      </w:r>
      <w:r w:rsidRPr="00E4621D">
        <w:rPr>
          <w:rFonts w:cstheme="minorHAnsi"/>
        </w:rPr>
        <w:t xml:space="preserve">; Julia Black and Robert Baldwin, ‘Really Responsive Risk‐Based Regulation’ (2010) 32(2) </w:t>
      </w:r>
      <w:r w:rsidRPr="00E4621D">
        <w:rPr>
          <w:rFonts w:cstheme="minorHAnsi"/>
          <w:i/>
          <w:iCs/>
        </w:rPr>
        <w:t>Law &amp; Policy</w:t>
      </w:r>
      <w:r w:rsidRPr="00E4621D">
        <w:rPr>
          <w:rFonts w:cstheme="minorHAnsi"/>
        </w:rPr>
        <w:t xml:space="preserve"> 181.</w:t>
      </w:r>
    </w:p>
  </w:footnote>
  <w:footnote w:id="13">
    <w:p w14:paraId="41A18213" w14:textId="36E54C5C" w:rsidR="00A3352B" w:rsidRPr="00AB5C22" w:rsidRDefault="00A3352B">
      <w:pPr>
        <w:pStyle w:val="FootnoteText"/>
        <w:rPr>
          <w:lang w:val="en-AU"/>
        </w:rPr>
      </w:pPr>
      <w:r>
        <w:rPr>
          <w:rStyle w:val="FootnoteReference"/>
        </w:rPr>
        <w:footnoteRef/>
      </w:r>
      <w:r>
        <w:t xml:space="preserve"> </w:t>
      </w:r>
      <w:r w:rsidRPr="00AB5C22">
        <w:rPr>
          <w:rFonts w:ascii="Calibri" w:hAnsi="Calibri" w:cs="Calibri"/>
          <w:szCs w:val="24"/>
        </w:rPr>
        <w:t>David Denyer and David Tranfield, ‘Producing a Systematic Review.’</w:t>
      </w:r>
      <w:r>
        <w:rPr>
          <w:rFonts w:ascii="Calibri" w:hAnsi="Calibri" w:cs="Calibri"/>
          <w:szCs w:val="24"/>
        </w:rPr>
        <w:t xml:space="preserve"> </w:t>
      </w:r>
      <w:r w:rsidR="00F43323" w:rsidRPr="00F43323">
        <w:rPr>
          <w:rFonts w:ascii="Calibri" w:hAnsi="Calibri" w:cs="Calibri"/>
          <w:i/>
          <w:szCs w:val="24"/>
        </w:rPr>
        <w:t>The Sage Handbook of Organizational Research</w:t>
      </w:r>
      <w:r w:rsidR="00F43323">
        <w:rPr>
          <w:rFonts w:ascii="Calibri" w:hAnsi="Calibri" w:cs="Calibri"/>
          <w:szCs w:val="24"/>
        </w:rPr>
        <w:t xml:space="preserve"> 2009</w:t>
      </w:r>
      <w:r w:rsidR="00EF335A">
        <w:rPr>
          <w:rFonts w:ascii="Calibri" w:hAnsi="Calibri" w:cs="Calibri"/>
          <w:szCs w:val="24"/>
        </w:rPr>
        <w:t>; David Tranfield</w:t>
      </w:r>
      <w:r w:rsidR="00F43323">
        <w:rPr>
          <w:rFonts w:ascii="Calibri" w:hAnsi="Calibri" w:cs="Calibri"/>
          <w:szCs w:val="24"/>
        </w:rPr>
        <w:t>,</w:t>
      </w:r>
      <w:r w:rsidR="00EF335A">
        <w:rPr>
          <w:rFonts w:ascii="Calibri" w:hAnsi="Calibri" w:cs="Calibri"/>
          <w:szCs w:val="24"/>
        </w:rPr>
        <w:t xml:space="preserve"> David Denyer and Palminder Smart, ‘Toward a Methodology for Developing Evidence-Informed Management Knowledge by Means of Syst</w:t>
      </w:r>
      <w:r w:rsidR="00F43323">
        <w:rPr>
          <w:rFonts w:ascii="Calibri" w:hAnsi="Calibri" w:cs="Calibri"/>
          <w:szCs w:val="24"/>
        </w:rPr>
        <w:t>e</w:t>
      </w:r>
      <w:r w:rsidR="00EF335A">
        <w:rPr>
          <w:rFonts w:ascii="Calibri" w:hAnsi="Calibri" w:cs="Calibri"/>
          <w:szCs w:val="24"/>
        </w:rPr>
        <w:t xml:space="preserve">matic Review’ (2003) 14 </w:t>
      </w:r>
      <w:r w:rsidR="00EF335A" w:rsidRPr="00EF335A">
        <w:rPr>
          <w:rFonts w:ascii="Calibri" w:hAnsi="Calibri" w:cs="Calibri"/>
          <w:i/>
          <w:szCs w:val="24"/>
        </w:rPr>
        <w:t>British Journal of Management</w:t>
      </w:r>
      <w:r w:rsidR="00EF335A">
        <w:rPr>
          <w:rFonts w:ascii="Calibri" w:hAnsi="Calibri" w:cs="Calibri"/>
          <w:szCs w:val="24"/>
        </w:rPr>
        <w:t xml:space="preserve"> 207</w:t>
      </w:r>
      <w:r w:rsidRPr="00AB5C22">
        <w:rPr>
          <w:rFonts w:ascii="Calibri" w:hAnsi="Calibri" w:cs="Calibri"/>
          <w:szCs w:val="24"/>
        </w:rPr>
        <w:t>.</w:t>
      </w:r>
    </w:p>
  </w:footnote>
  <w:footnote w:id="14">
    <w:p w14:paraId="322BE1B4" w14:textId="7E3C62AC" w:rsidR="00A3352B" w:rsidRPr="00E4621D" w:rsidRDefault="00A3352B">
      <w:pPr>
        <w:pStyle w:val="FootnoteText"/>
        <w:rPr>
          <w:rFonts w:cstheme="minorHAnsi"/>
        </w:rPr>
      </w:pPr>
      <w:r>
        <w:rPr>
          <w:rStyle w:val="FootnoteReference"/>
        </w:rPr>
        <w:footnoteRef/>
      </w:r>
      <w:r>
        <w:t xml:space="preserve"> </w:t>
      </w:r>
      <w:r w:rsidRPr="00E4621D">
        <w:rPr>
          <w:rFonts w:cstheme="minorHAnsi"/>
        </w:rPr>
        <w:t xml:space="preserve">Doyin Atewologun et al, ‘Individual-Level Foci of Identification at Work: A Systematic Review of the Literature’ (2017) 19(3) </w:t>
      </w:r>
      <w:r w:rsidRPr="00E4621D">
        <w:rPr>
          <w:rFonts w:cstheme="minorHAnsi"/>
          <w:i/>
          <w:iCs/>
        </w:rPr>
        <w:t>International Journal of Management Reviews</w:t>
      </w:r>
      <w:r>
        <w:rPr>
          <w:rFonts w:cstheme="minorHAnsi"/>
        </w:rPr>
        <w:t xml:space="preserve"> 273</w:t>
      </w:r>
      <w:r w:rsidRPr="00E4621D">
        <w:rPr>
          <w:rFonts w:cstheme="minorHAnsi"/>
        </w:rPr>
        <w:t>.</w:t>
      </w:r>
    </w:p>
  </w:footnote>
  <w:footnote w:id="15">
    <w:p w14:paraId="6DDC338E" w14:textId="6628E5E8" w:rsidR="00A3352B" w:rsidRPr="00E4621D" w:rsidRDefault="00A3352B">
      <w:pPr>
        <w:pStyle w:val="FootnoteText"/>
        <w:rPr>
          <w:rFonts w:cstheme="minorHAnsi"/>
        </w:rPr>
      </w:pPr>
      <w:r w:rsidRPr="00E4621D">
        <w:rPr>
          <w:rStyle w:val="FootnoteReference"/>
          <w:rFonts w:cstheme="minorHAnsi"/>
        </w:rPr>
        <w:footnoteRef/>
      </w:r>
      <w:r w:rsidRPr="00E4621D">
        <w:rPr>
          <w:rFonts w:cstheme="minorHAnsi"/>
        </w:rPr>
        <w:t xml:space="preserve"> Denyer and Tranfield</w:t>
      </w:r>
      <w:r>
        <w:rPr>
          <w:rFonts w:cstheme="minorHAnsi"/>
        </w:rPr>
        <w:t>, n 13,</w:t>
      </w:r>
      <w:r w:rsidRPr="00E4621D">
        <w:rPr>
          <w:rFonts w:cstheme="minorHAnsi"/>
        </w:rPr>
        <w:t xml:space="preserve"> 685.</w:t>
      </w:r>
    </w:p>
  </w:footnote>
  <w:footnote w:id="16">
    <w:p w14:paraId="6E781565" w14:textId="360EA5C1" w:rsidR="00A3352B" w:rsidRPr="00E4621D" w:rsidRDefault="00A3352B">
      <w:pPr>
        <w:pStyle w:val="FootnoteText"/>
        <w:rPr>
          <w:rFonts w:cstheme="minorHAnsi"/>
        </w:rPr>
      </w:pPr>
      <w:r>
        <w:rPr>
          <w:rStyle w:val="FootnoteReference"/>
        </w:rPr>
        <w:footnoteRef/>
      </w:r>
      <w:r>
        <w:t xml:space="preserve"> </w:t>
      </w:r>
      <w:r w:rsidRPr="00E4621D">
        <w:rPr>
          <w:rFonts w:cstheme="minorHAnsi"/>
        </w:rPr>
        <w:t xml:space="preserve">Howard Davies, ‘The Financial Crisis and the Regulatory Response: An Interim Assessment’ (2012) 9(3) </w:t>
      </w:r>
      <w:r w:rsidRPr="00E4621D">
        <w:rPr>
          <w:rFonts w:cstheme="minorHAnsi"/>
          <w:i/>
          <w:iCs/>
        </w:rPr>
        <w:t>International Journal of Disclosure and Governance</w:t>
      </w:r>
      <w:r>
        <w:rPr>
          <w:rFonts w:cstheme="minorHAnsi"/>
        </w:rPr>
        <w:t xml:space="preserve"> 206; MacNeil, n 1</w:t>
      </w:r>
      <w:r w:rsidRPr="00E4621D">
        <w:rPr>
          <w:rFonts w:cstheme="minorHAnsi"/>
        </w:rPr>
        <w:t>.</w:t>
      </w:r>
    </w:p>
  </w:footnote>
  <w:footnote w:id="17">
    <w:p w14:paraId="7D2ACB2E" w14:textId="6EB5D722" w:rsidR="00A3352B" w:rsidRPr="00E4621D" w:rsidRDefault="00A3352B">
      <w:pPr>
        <w:pStyle w:val="FootnoteText"/>
        <w:rPr>
          <w:rFonts w:cstheme="minorHAnsi"/>
        </w:rPr>
      </w:pPr>
      <w:r w:rsidRPr="00E4621D">
        <w:rPr>
          <w:rStyle w:val="FootnoteReference"/>
          <w:rFonts w:cstheme="minorHAnsi"/>
        </w:rPr>
        <w:footnoteRef/>
      </w:r>
      <w:r w:rsidRPr="00E4621D">
        <w:rPr>
          <w:rFonts w:cstheme="minorHAnsi"/>
        </w:rPr>
        <w:t xml:space="preserve"> Douglas W Arner and Michael W Taylor, ‘Global Financial Crisis and the Financial Stability Board: Hardening the Soft Law of International Financial Regulation, The’ (2009) 32 </w:t>
      </w:r>
      <w:r w:rsidRPr="00E4621D">
        <w:rPr>
          <w:rFonts w:cstheme="minorHAnsi"/>
          <w:i/>
          <w:iCs/>
        </w:rPr>
        <w:t>UNSWLJ</w:t>
      </w:r>
      <w:r w:rsidR="00017F6E">
        <w:rPr>
          <w:rFonts w:cstheme="minorHAnsi"/>
        </w:rPr>
        <w:t xml:space="preserve"> 488</w:t>
      </w:r>
      <w:r w:rsidRPr="00E4621D">
        <w:rPr>
          <w:rFonts w:cstheme="minorHAnsi"/>
        </w:rPr>
        <w:t xml:space="preserve">; Ross P Buckley, ‘G20’s Performance in Global Financial Regulation, The’ (2014) 37 </w:t>
      </w:r>
      <w:r w:rsidRPr="00E4621D">
        <w:rPr>
          <w:rFonts w:cstheme="minorHAnsi"/>
          <w:i/>
          <w:iCs/>
        </w:rPr>
        <w:t>UNSWLJ</w:t>
      </w:r>
      <w:r w:rsidRPr="00E4621D">
        <w:rPr>
          <w:rFonts w:cstheme="minorHAnsi"/>
        </w:rPr>
        <w:t xml:space="preserve"> 63.</w:t>
      </w:r>
    </w:p>
  </w:footnote>
  <w:footnote w:id="18">
    <w:p w14:paraId="585B0ED1" w14:textId="118EBA48" w:rsidR="00A3352B" w:rsidRPr="00E4621D" w:rsidRDefault="00A3352B">
      <w:pPr>
        <w:pStyle w:val="FootnoteText"/>
        <w:rPr>
          <w:rFonts w:cstheme="minorHAnsi"/>
        </w:rPr>
      </w:pPr>
      <w:r w:rsidRPr="00E4621D">
        <w:rPr>
          <w:rStyle w:val="FootnoteReference"/>
          <w:rFonts w:cstheme="minorHAnsi"/>
        </w:rPr>
        <w:footnoteRef/>
      </w:r>
      <w:r w:rsidRPr="00E4621D">
        <w:rPr>
          <w:rFonts w:cstheme="minorHAnsi"/>
        </w:rPr>
        <w:t xml:space="preserve"> Emily Lee, ‘The Soft Law Nature of Basel III and International Financial Regulations’ (2014) 29(10) </w:t>
      </w:r>
      <w:r w:rsidRPr="00E4621D">
        <w:rPr>
          <w:rFonts w:cstheme="minorHAnsi"/>
          <w:i/>
          <w:iCs/>
        </w:rPr>
        <w:t>Journal of International Banking Law and Regulation</w:t>
      </w:r>
      <w:r w:rsidRPr="00E4621D">
        <w:rPr>
          <w:rFonts w:cstheme="minorHAnsi"/>
        </w:rPr>
        <w:t xml:space="preserve"> 603.</w:t>
      </w:r>
    </w:p>
  </w:footnote>
  <w:footnote w:id="19">
    <w:p w14:paraId="5A008368" w14:textId="45747209" w:rsidR="00A3352B" w:rsidRPr="00E4621D" w:rsidRDefault="00A3352B">
      <w:pPr>
        <w:pStyle w:val="FootnoteText"/>
        <w:rPr>
          <w:rFonts w:cstheme="minorHAnsi"/>
        </w:rPr>
      </w:pPr>
      <w:r w:rsidRPr="00E4621D">
        <w:rPr>
          <w:rStyle w:val="FootnoteReference"/>
          <w:rFonts w:cstheme="minorHAnsi"/>
        </w:rPr>
        <w:footnoteRef/>
      </w:r>
      <w:r>
        <w:rPr>
          <w:rFonts w:cstheme="minorHAnsi"/>
        </w:rPr>
        <w:t xml:space="preserve"> Davies, n 16; Lee, n 18</w:t>
      </w:r>
      <w:r w:rsidRPr="00E4621D">
        <w:rPr>
          <w:rFonts w:cstheme="minorHAnsi"/>
        </w:rPr>
        <w:t>.</w:t>
      </w:r>
    </w:p>
  </w:footnote>
  <w:footnote w:id="20">
    <w:p w14:paraId="35E4D328" w14:textId="3497FD77" w:rsidR="00A3352B" w:rsidRPr="00E4621D" w:rsidRDefault="00A3352B">
      <w:pPr>
        <w:pStyle w:val="FootnoteText"/>
        <w:rPr>
          <w:rFonts w:cstheme="minorHAnsi"/>
        </w:rPr>
      </w:pPr>
      <w:r w:rsidRPr="00E4621D">
        <w:rPr>
          <w:rStyle w:val="FootnoteReference"/>
          <w:rFonts w:cstheme="minorHAnsi"/>
        </w:rPr>
        <w:footnoteRef/>
      </w:r>
      <w:r>
        <w:rPr>
          <w:rFonts w:cstheme="minorHAnsi"/>
        </w:rPr>
        <w:t xml:space="preserve"> Arner and Taylor, n 17</w:t>
      </w:r>
      <w:r w:rsidRPr="00E4621D">
        <w:rPr>
          <w:rFonts w:cstheme="minorHAnsi"/>
        </w:rPr>
        <w:t>.</w:t>
      </w:r>
    </w:p>
  </w:footnote>
  <w:footnote w:id="21">
    <w:p w14:paraId="1399B629" w14:textId="5801BC7B"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Rolf H Weber et al, ‘Addressing Systemic Risk: Financial Regulatory Design’ (2014) 49(2) </w:t>
      </w:r>
      <w:r w:rsidRPr="00EB3E51">
        <w:rPr>
          <w:rFonts w:cstheme="minorHAnsi"/>
          <w:i/>
          <w:iCs/>
        </w:rPr>
        <w:t>Texas International Law Journal</w:t>
      </w:r>
      <w:r w:rsidRPr="00EB3E51">
        <w:rPr>
          <w:rFonts w:cstheme="minorHAnsi"/>
        </w:rPr>
        <w:t xml:space="preserve"> </w:t>
      </w:r>
      <w:r w:rsidR="00F43323">
        <w:rPr>
          <w:rFonts w:cstheme="minorHAnsi"/>
        </w:rPr>
        <w:t>149</w:t>
      </w:r>
      <w:r w:rsidRPr="00EB3E51">
        <w:rPr>
          <w:rFonts w:cstheme="minorHAnsi"/>
        </w:rPr>
        <w:t xml:space="preserve">; Federico Lupo-Pasini and Ross P Buckley, ‘Global Systemic Risk and International Regulatory Coordination: Squaring Sovereignty and Financial Stability’ (2015) 30(4) </w:t>
      </w:r>
      <w:r w:rsidRPr="00EB3E51">
        <w:rPr>
          <w:rFonts w:cstheme="minorHAnsi"/>
          <w:i/>
          <w:iCs/>
        </w:rPr>
        <w:t>American University International Law Review</w:t>
      </w:r>
      <w:r w:rsidR="00F43323">
        <w:rPr>
          <w:rFonts w:cstheme="minorHAnsi"/>
        </w:rPr>
        <w:t xml:space="preserve"> 665</w:t>
      </w:r>
      <w:r w:rsidRPr="00EB3E51">
        <w:rPr>
          <w:rFonts w:cstheme="minorHAnsi"/>
        </w:rPr>
        <w:t>.</w:t>
      </w:r>
    </w:p>
  </w:footnote>
  <w:footnote w:id="22">
    <w:p w14:paraId="51AEEAFA" w14:textId="71BE0B8C"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Emilios Avgouleas, </w:t>
      </w:r>
      <w:r w:rsidRPr="00EB3E51">
        <w:rPr>
          <w:rFonts w:cstheme="minorHAnsi"/>
          <w:i/>
          <w:iCs/>
        </w:rPr>
        <w:t>Governance of Global Financial Markets: The Law, the Economics, the Politics</w:t>
      </w:r>
      <w:r w:rsidRPr="00EB3E51">
        <w:rPr>
          <w:rFonts w:cstheme="minorHAnsi"/>
        </w:rPr>
        <w:t xml:space="preserve"> (Camb</w:t>
      </w:r>
      <w:r w:rsidR="00017F6E">
        <w:rPr>
          <w:rFonts w:cstheme="minorHAnsi"/>
        </w:rPr>
        <w:t>ridge University Press, 2012)</w:t>
      </w:r>
      <w:r>
        <w:rPr>
          <w:rFonts w:cstheme="minorHAnsi"/>
        </w:rPr>
        <w:t>; Lupo-Pasini and Buckley, n 21</w:t>
      </w:r>
      <w:r w:rsidRPr="00EB3E51">
        <w:rPr>
          <w:rFonts w:cstheme="minorHAnsi"/>
        </w:rPr>
        <w:t>.</w:t>
      </w:r>
    </w:p>
  </w:footnote>
  <w:footnote w:id="23">
    <w:p w14:paraId="6B9CBA6B" w14:textId="4E75B15D" w:rsidR="00A3352B" w:rsidRPr="00EB3E51" w:rsidRDefault="00A3352B">
      <w:pPr>
        <w:pStyle w:val="FootnoteText"/>
        <w:rPr>
          <w:rFonts w:cstheme="minorHAnsi"/>
        </w:rPr>
      </w:pPr>
      <w:r w:rsidRPr="00EB3E51">
        <w:rPr>
          <w:rStyle w:val="FootnoteReference"/>
          <w:rFonts w:cstheme="minorHAnsi"/>
        </w:rPr>
        <w:footnoteRef/>
      </w:r>
      <w:r w:rsidR="00F43323">
        <w:rPr>
          <w:rFonts w:cstheme="minorHAnsi"/>
        </w:rPr>
        <w:t xml:space="preserve"> Vincenzo Bavoso</w:t>
      </w:r>
      <w:r w:rsidR="00017F6E">
        <w:rPr>
          <w:rFonts w:cstheme="minorHAnsi"/>
        </w:rPr>
        <w:t xml:space="preserve"> </w:t>
      </w:r>
      <w:r w:rsidRPr="00EB3E51">
        <w:rPr>
          <w:rFonts w:cstheme="minorHAnsi"/>
        </w:rPr>
        <w:t xml:space="preserve">‘Financial Innovation, Derivatives and the UK and US Interest Rate Swap Scandals: Drawing New Boundaries for the Regulation of Financial Innovation’ (2016) 7(2) </w:t>
      </w:r>
      <w:r w:rsidRPr="00EB3E51">
        <w:rPr>
          <w:rFonts w:cstheme="minorHAnsi"/>
          <w:i/>
          <w:iCs/>
        </w:rPr>
        <w:t>Global Policy</w:t>
      </w:r>
      <w:r w:rsidR="00017F6E">
        <w:rPr>
          <w:rFonts w:cstheme="minorHAnsi"/>
        </w:rPr>
        <w:t xml:space="preserve"> 227, 234</w:t>
      </w:r>
      <w:r w:rsidRPr="00EB3E51">
        <w:rPr>
          <w:rFonts w:cstheme="minorHAnsi"/>
        </w:rPr>
        <w:t>.</w:t>
      </w:r>
    </w:p>
  </w:footnote>
  <w:footnote w:id="24">
    <w:p w14:paraId="04EDF7B7" w14:textId="06986902"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Buckley, n 17</w:t>
      </w:r>
      <w:r w:rsidRPr="00EB3E51">
        <w:rPr>
          <w:rFonts w:cstheme="minorHAnsi"/>
        </w:rPr>
        <w:t>.</w:t>
      </w:r>
    </w:p>
  </w:footnote>
  <w:footnote w:id="25">
    <w:p w14:paraId="4BF5D36C" w14:textId="23653236"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Donato Masciandaro and Marc Quintyn, ‘Regulating the Regulators: The Changing Face of Financial Supervision Architectures before and after the Crisis’ (2009) 6(5) </w:t>
      </w:r>
      <w:r w:rsidRPr="00EB3E51">
        <w:rPr>
          <w:rFonts w:cstheme="minorHAnsi"/>
          <w:i/>
          <w:iCs/>
        </w:rPr>
        <w:t>European Company Law</w:t>
      </w:r>
      <w:r w:rsidRPr="00EB3E51">
        <w:rPr>
          <w:rFonts w:cstheme="minorHAnsi"/>
        </w:rPr>
        <w:t xml:space="preserve"> 1</w:t>
      </w:r>
      <w:r w:rsidR="00017F6E">
        <w:rPr>
          <w:rFonts w:cstheme="minorHAnsi"/>
        </w:rPr>
        <w:t>87</w:t>
      </w:r>
      <w:r w:rsidRPr="00EB3E51">
        <w:rPr>
          <w:rFonts w:cstheme="minorHAnsi"/>
        </w:rPr>
        <w:t xml:space="preserve">; Eric J Pan, ‘Structural Reform of Financial Regulation’ (2011) 19(3) </w:t>
      </w:r>
      <w:r w:rsidRPr="00EB3E51">
        <w:rPr>
          <w:rFonts w:cstheme="minorHAnsi"/>
          <w:i/>
          <w:iCs/>
        </w:rPr>
        <w:t>Transnational Law &amp; Contemporary Problems</w:t>
      </w:r>
      <w:r w:rsidRPr="00EB3E51">
        <w:rPr>
          <w:rFonts w:cstheme="minorHAnsi"/>
        </w:rPr>
        <w:t xml:space="preserve"> 796.</w:t>
      </w:r>
    </w:p>
  </w:footnote>
  <w:footnote w:id="26">
    <w:p w14:paraId="6DB8E495" w14:textId="57E5C309"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Weber </w:t>
      </w:r>
      <w:r>
        <w:rPr>
          <w:rFonts w:cstheme="minorHAnsi"/>
        </w:rPr>
        <w:t>et al, n 21</w:t>
      </w:r>
      <w:r w:rsidRPr="00EB3E51">
        <w:rPr>
          <w:rFonts w:cstheme="minorHAnsi"/>
        </w:rPr>
        <w:t>.</w:t>
      </w:r>
    </w:p>
  </w:footnote>
  <w:footnote w:id="27">
    <w:p w14:paraId="463260D6" w14:textId="67C52B27" w:rsidR="00A3352B" w:rsidRDefault="00A3352B" w:rsidP="00315DE5">
      <w:pPr>
        <w:pStyle w:val="FootnoteText"/>
      </w:pPr>
      <w:r>
        <w:rPr>
          <w:rStyle w:val="FootnoteReference"/>
        </w:rPr>
        <w:footnoteRef/>
      </w:r>
      <w:r>
        <w:t xml:space="preserve"> </w:t>
      </w:r>
      <w:r w:rsidRPr="00315DE5">
        <w:rPr>
          <w:rFonts w:ascii="Calibri" w:hAnsi="Calibri" w:cs="Calibri"/>
          <w:szCs w:val="24"/>
        </w:rPr>
        <w:t>Steve Kourabas, ‘Improving Australia’s Regulatory Framework for</w:t>
      </w:r>
      <w:r w:rsidR="00F43323">
        <w:rPr>
          <w:rFonts w:ascii="Calibri" w:hAnsi="Calibri" w:cs="Calibri"/>
          <w:szCs w:val="24"/>
        </w:rPr>
        <w:t xml:space="preserve"> Systemic Financial Stability’ (2018)</w:t>
      </w:r>
      <w:r w:rsidRPr="00315DE5">
        <w:rPr>
          <w:rFonts w:ascii="Calibri" w:hAnsi="Calibri" w:cs="Calibri"/>
          <w:szCs w:val="24"/>
        </w:rPr>
        <w:t xml:space="preserve"> </w:t>
      </w:r>
      <w:r w:rsidRPr="00315DE5">
        <w:rPr>
          <w:rFonts w:ascii="Calibri" w:hAnsi="Calibri" w:cs="Calibri"/>
          <w:i/>
          <w:iCs/>
          <w:szCs w:val="24"/>
        </w:rPr>
        <w:t>JBFLP</w:t>
      </w:r>
      <w:r w:rsidRPr="00315DE5">
        <w:rPr>
          <w:rFonts w:ascii="Calibri" w:hAnsi="Calibri" w:cs="Calibri"/>
          <w:szCs w:val="24"/>
        </w:rPr>
        <w:t xml:space="preserve"> 183.</w:t>
      </w:r>
    </w:p>
  </w:footnote>
  <w:footnote w:id="28">
    <w:p w14:paraId="2DC3CCE9" w14:textId="2C902131"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Alison Lui, ‘Single or Twin? The UK Financial Regulatory Landscape after the Financial Crisis of 2007-2009’ (2012) 13(1) </w:t>
      </w:r>
      <w:r w:rsidRPr="00EB3E51">
        <w:rPr>
          <w:rFonts w:cstheme="minorHAnsi"/>
          <w:i/>
          <w:iCs/>
        </w:rPr>
        <w:t>Journal of Banking Regulation</w:t>
      </w:r>
      <w:r>
        <w:rPr>
          <w:rFonts w:cstheme="minorHAnsi"/>
        </w:rPr>
        <w:t xml:space="preserve"> 24</w:t>
      </w:r>
      <w:r w:rsidRPr="00EB3E51">
        <w:rPr>
          <w:rFonts w:cstheme="minorHAnsi"/>
        </w:rPr>
        <w:t>.</w:t>
      </w:r>
    </w:p>
  </w:footnote>
  <w:footnote w:id="29">
    <w:p w14:paraId="3B7853F0" w14:textId="4969400B"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‘Legislative and Regulatory Responses to the Global Financial Crisis from within the United Kingdom’ (2014) 21(2) </w:t>
      </w:r>
      <w:r w:rsidRPr="00EB3E51">
        <w:rPr>
          <w:rFonts w:cstheme="minorHAnsi"/>
          <w:i/>
          <w:iCs/>
        </w:rPr>
        <w:t>Journal of Financial Crime</w:t>
      </w:r>
      <w:r w:rsidRPr="00EB3E51">
        <w:rPr>
          <w:rFonts w:cstheme="minorHAnsi"/>
        </w:rPr>
        <w:t xml:space="preserve"> 124, 134.</w:t>
      </w:r>
    </w:p>
  </w:footnote>
  <w:footnote w:id="30">
    <w:p w14:paraId="4257D034" w14:textId="7AB7C6E8"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Lawrence A Cunningham and David Zaring, ‘The Three or Four Approaches to Financial Regulation: A Cautionary Analysis against Exuberance in Crisis Response’ (2009) 78 </w:t>
      </w:r>
      <w:r w:rsidRPr="00EB3E51">
        <w:rPr>
          <w:rFonts w:cstheme="minorHAnsi"/>
          <w:i/>
          <w:iCs/>
        </w:rPr>
        <w:t>Geo. Wash. L. Rev</w:t>
      </w:r>
      <w:r>
        <w:rPr>
          <w:rFonts w:cstheme="minorHAnsi"/>
        </w:rPr>
        <w:t xml:space="preserve"> 39</w:t>
      </w:r>
      <w:r w:rsidRPr="00EB3E51">
        <w:rPr>
          <w:rFonts w:cstheme="minorHAnsi"/>
        </w:rPr>
        <w:t xml:space="preserve">; Frank D’Souza, Nan S Ellis and Lisa M Fairchild, ‘Illuminating the Need for Regulation in Dark Markets: Proposed Regulation of the OTC Derivatives Market’ (2009) 12(2) </w:t>
      </w:r>
      <w:r w:rsidRPr="00EB3E51">
        <w:rPr>
          <w:rFonts w:cstheme="minorHAnsi"/>
          <w:i/>
          <w:iCs/>
        </w:rPr>
        <w:t>University of Pennsylvania Journal of Business Law</w:t>
      </w:r>
      <w:r>
        <w:rPr>
          <w:rFonts w:cstheme="minorHAnsi"/>
        </w:rPr>
        <w:t xml:space="preserve"> 473</w:t>
      </w:r>
      <w:r w:rsidRPr="00EB3E51">
        <w:rPr>
          <w:rFonts w:cstheme="minorHAnsi"/>
        </w:rPr>
        <w:t xml:space="preserve">; Sylvia Maxfield, ‘US Financial Regulations Circa 2010: The Coup De Grace of Dodd and Frank’s Legislative Careers?’ (2011) 10(3) </w:t>
      </w:r>
      <w:r w:rsidRPr="00EB3E51">
        <w:rPr>
          <w:rFonts w:cstheme="minorHAnsi"/>
          <w:i/>
          <w:iCs/>
        </w:rPr>
        <w:t>European Political Science: EPS</w:t>
      </w:r>
      <w:r>
        <w:rPr>
          <w:rFonts w:cstheme="minorHAnsi"/>
        </w:rPr>
        <w:t xml:space="preserve"> 393</w:t>
      </w:r>
      <w:r w:rsidRPr="00EB3E51">
        <w:rPr>
          <w:rFonts w:cstheme="minorHAnsi"/>
        </w:rPr>
        <w:t>.</w:t>
      </w:r>
    </w:p>
  </w:footnote>
  <w:footnote w:id="31">
    <w:p w14:paraId="1B827AAD" w14:textId="63C952BD"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Cunningham and Zaring, n 30,</w:t>
      </w:r>
      <w:r w:rsidRPr="00EB3E51">
        <w:rPr>
          <w:rFonts w:cstheme="minorHAnsi"/>
        </w:rPr>
        <w:t xml:space="preserve"> 8.</w:t>
      </w:r>
    </w:p>
  </w:footnote>
  <w:footnote w:id="32">
    <w:p w14:paraId="2043A243" w14:textId="71D6321C"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Roberta S Karmel, ‘The Controversy over Systemic Risk Regulation’ (2010) 35(3) </w:t>
      </w:r>
      <w:r w:rsidRPr="00EB3E51">
        <w:rPr>
          <w:rFonts w:cstheme="minorHAnsi"/>
          <w:i/>
          <w:iCs/>
        </w:rPr>
        <w:t>Brooklyn Journal of International Law</w:t>
      </w:r>
      <w:r w:rsidRPr="00EB3E51">
        <w:rPr>
          <w:rFonts w:cstheme="minorHAnsi"/>
        </w:rPr>
        <w:t>.</w:t>
      </w:r>
    </w:p>
  </w:footnote>
  <w:footnote w:id="33">
    <w:p w14:paraId="476D47EE" w14:textId="6CB9D169"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MacNeil, n 1,</w:t>
      </w:r>
      <w:r w:rsidRPr="00EB3E51">
        <w:rPr>
          <w:rFonts w:cstheme="minorHAnsi"/>
        </w:rPr>
        <w:t xml:space="preserve"> 486.</w:t>
      </w:r>
    </w:p>
  </w:footnote>
  <w:footnote w:id="34">
    <w:p w14:paraId="649C27DF" w14:textId="33C30FBE"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MacNeil, </w:t>
      </w:r>
      <w:r w:rsidRPr="00EB3E51">
        <w:rPr>
          <w:rFonts w:cstheme="minorHAnsi"/>
        </w:rPr>
        <w:t xml:space="preserve">n </w:t>
      </w:r>
      <w:r>
        <w:rPr>
          <w:rFonts w:cstheme="minorHAnsi"/>
        </w:rPr>
        <w:t>1</w:t>
      </w:r>
      <w:r w:rsidRPr="00EB3E51">
        <w:rPr>
          <w:rFonts w:cstheme="minorHAnsi"/>
        </w:rPr>
        <w:t>.</w:t>
      </w:r>
    </w:p>
  </w:footnote>
  <w:footnote w:id="35">
    <w:p w14:paraId="7A126F0E" w14:textId="7C43F7C9"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Black, n 1</w:t>
      </w:r>
      <w:r w:rsidR="00017F6E">
        <w:rPr>
          <w:rFonts w:cstheme="minorHAnsi"/>
        </w:rPr>
        <w:t>,</w:t>
      </w:r>
      <w:r w:rsidRPr="00EB3E51">
        <w:rPr>
          <w:rFonts w:cstheme="minorHAnsi"/>
        </w:rPr>
        <w:t xml:space="preserve"> 1041.</w:t>
      </w:r>
    </w:p>
  </w:footnote>
  <w:footnote w:id="36">
    <w:p w14:paraId="721E6672" w14:textId="5E14B849"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Aldo Caliari, ‘Assessing Global Regulatory Impacts of the US Subprime Mortgage Meltdown: International Banking Supervision and the Regulation of Credit Rating Agencies’ (2010) 19 </w:t>
      </w:r>
      <w:r w:rsidRPr="00EB3E51">
        <w:rPr>
          <w:rFonts w:cstheme="minorHAnsi"/>
          <w:i/>
          <w:iCs/>
        </w:rPr>
        <w:t>Transnat’l L. &amp; Contemp. Probs.</w:t>
      </w:r>
      <w:r w:rsidRPr="00EB3E51">
        <w:rPr>
          <w:rFonts w:cstheme="minorHAnsi"/>
        </w:rPr>
        <w:t xml:space="preserve"> 145; Conrad CH Ruppel, ‘Dimensions of the Global Financial Crisis: The Future of Corporate Governance and Regulation’ (2009) 9(2) </w:t>
      </w:r>
      <w:r w:rsidRPr="00EB3E51">
        <w:rPr>
          <w:rFonts w:cstheme="minorHAnsi"/>
          <w:i/>
          <w:iCs/>
        </w:rPr>
        <w:t>International Journal of Regulation and Governance</w:t>
      </w:r>
      <w:r w:rsidRPr="00EB3E51">
        <w:rPr>
          <w:rFonts w:cstheme="minorHAnsi"/>
        </w:rPr>
        <w:t xml:space="preserve"> 71.</w:t>
      </w:r>
    </w:p>
  </w:footnote>
  <w:footnote w:id="37">
    <w:p w14:paraId="4F24C53B" w14:textId="730CF03B"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Black, n 1</w:t>
      </w:r>
      <w:r w:rsidRPr="00EB3E51">
        <w:rPr>
          <w:rFonts w:cstheme="minorHAnsi"/>
        </w:rPr>
        <w:t>.</w:t>
      </w:r>
    </w:p>
  </w:footnote>
  <w:footnote w:id="38">
    <w:p w14:paraId="230765E9" w14:textId="709A69C4"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John Braithwaite, ‘Rules and Principles: A Theory of Legal Certainty’ (2002) 27 </w:t>
      </w:r>
      <w:r w:rsidRPr="00EB3E51">
        <w:rPr>
          <w:rFonts w:cstheme="minorHAnsi"/>
          <w:i/>
          <w:iCs/>
        </w:rPr>
        <w:t>Austl. J. Leg. Phil.</w:t>
      </w:r>
      <w:r>
        <w:rPr>
          <w:rFonts w:cstheme="minorHAnsi"/>
        </w:rPr>
        <w:t xml:space="preserve"> 47</w:t>
      </w:r>
      <w:r w:rsidRPr="00EB3E51">
        <w:rPr>
          <w:rFonts w:cstheme="minorHAnsi"/>
        </w:rPr>
        <w:t>.</w:t>
      </w:r>
    </w:p>
  </w:footnote>
  <w:footnote w:id="39">
    <w:p w14:paraId="6B8DB1AC" w14:textId="1BA6943F"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w:t>
      </w:r>
      <w:r>
        <w:rPr>
          <w:rFonts w:cstheme="minorHAnsi"/>
        </w:rPr>
        <w:t>Braithwaite n 38,</w:t>
      </w:r>
      <w:r w:rsidRPr="00EB3E51">
        <w:rPr>
          <w:rFonts w:cstheme="minorHAnsi"/>
        </w:rPr>
        <w:t xml:space="preserve"> 47.</w:t>
      </w:r>
    </w:p>
  </w:footnote>
  <w:footnote w:id="40">
    <w:p w14:paraId="600C4629" w14:textId="7A37304C"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Cristie Ford, ‘Principles-Based Securities Regulation in the Wake of the Global Financial Crisis’ (2010) 55(2) </w:t>
      </w:r>
      <w:r w:rsidRPr="00EB3E51">
        <w:rPr>
          <w:rFonts w:cstheme="minorHAnsi"/>
          <w:i/>
          <w:iCs/>
        </w:rPr>
        <w:t>McGill Law Journal</w:t>
      </w:r>
      <w:r w:rsidRPr="00EB3E51">
        <w:rPr>
          <w:rFonts w:cstheme="minorHAnsi"/>
        </w:rPr>
        <w:t xml:space="preserve"> 257; Tobias Johansson, ‘Regulating Credit Rating Agencies: The Issue of Conflicts of Interest in the Rating of Structured Finance Products’ (2010) 12(1) </w:t>
      </w:r>
      <w:r w:rsidRPr="00EB3E51">
        <w:rPr>
          <w:rFonts w:cstheme="minorHAnsi"/>
          <w:i/>
          <w:iCs/>
        </w:rPr>
        <w:t>Journal of Banking Regulation</w:t>
      </w:r>
      <w:r>
        <w:rPr>
          <w:rFonts w:cstheme="minorHAnsi"/>
        </w:rPr>
        <w:t xml:space="preserve"> 1</w:t>
      </w:r>
      <w:r w:rsidRPr="00EB3E51">
        <w:rPr>
          <w:rFonts w:cstheme="minorHAnsi"/>
        </w:rPr>
        <w:t>.</w:t>
      </w:r>
    </w:p>
  </w:footnote>
  <w:footnote w:id="41">
    <w:p w14:paraId="055506AA" w14:textId="14C91E86"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Ruppel, n 36</w:t>
      </w:r>
      <w:r w:rsidRPr="00EB3E51">
        <w:rPr>
          <w:rFonts w:cstheme="minorHAnsi"/>
        </w:rPr>
        <w:t>.</w:t>
      </w:r>
    </w:p>
  </w:footnote>
  <w:footnote w:id="42">
    <w:p w14:paraId="7EDE5B7A" w14:textId="6EB228B7" w:rsidR="00A3352B" w:rsidRPr="00EB3E51" w:rsidRDefault="00A3352B">
      <w:pPr>
        <w:pStyle w:val="FootnoteText"/>
        <w:rPr>
          <w:rFonts w:cstheme="minorHAnsi"/>
        </w:rPr>
      </w:pPr>
      <w:r w:rsidRPr="00EB3E51">
        <w:rPr>
          <w:rStyle w:val="FootnoteReference"/>
          <w:rFonts w:cstheme="minorHAnsi"/>
        </w:rPr>
        <w:footnoteRef/>
      </w:r>
      <w:r w:rsidR="00F43323">
        <w:rPr>
          <w:rFonts w:cstheme="minorHAnsi"/>
        </w:rPr>
        <w:t xml:space="preserve"> Ford, n 40,</w:t>
      </w:r>
      <w:r w:rsidRPr="00EB3E51">
        <w:rPr>
          <w:rFonts w:cstheme="minorHAnsi"/>
        </w:rPr>
        <w:t xml:space="preserve"> 306.</w:t>
      </w:r>
    </w:p>
  </w:footnote>
  <w:footnote w:id="43">
    <w:p w14:paraId="6195F2C6" w14:textId="3A0C240D"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‘Complexity, Innovation and the Regulation of Modern Financial Markets’ (2012) 2(2) </w:t>
      </w:r>
      <w:r w:rsidRPr="00EB3E51">
        <w:rPr>
          <w:rFonts w:cstheme="minorHAnsi"/>
          <w:i/>
          <w:iCs/>
        </w:rPr>
        <w:t>Harvard Business Law Review</w:t>
      </w:r>
      <w:r w:rsidRPr="00EB3E51">
        <w:rPr>
          <w:rFonts w:cstheme="minorHAnsi"/>
        </w:rPr>
        <w:t xml:space="preserve"> 235, 242.</w:t>
      </w:r>
    </w:p>
  </w:footnote>
  <w:footnote w:id="44">
    <w:p w14:paraId="32DF3DE8" w14:textId="02E3217E"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Braithwaite, n 38</w:t>
      </w:r>
      <w:r w:rsidRPr="00EB3E51">
        <w:rPr>
          <w:rFonts w:cstheme="minorHAnsi"/>
        </w:rPr>
        <w:t>.</w:t>
      </w:r>
    </w:p>
  </w:footnote>
  <w:footnote w:id="45">
    <w:p w14:paraId="66313DFA" w14:textId="6525E611"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Omarova, ‘Wall Street as Community of Fate: Toward Financial Industry Self-Regulation’ (2011) 159(2) </w:t>
      </w:r>
      <w:r w:rsidRPr="00EB3E51">
        <w:rPr>
          <w:rFonts w:cstheme="minorHAnsi"/>
          <w:i/>
          <w:iCs/>
        </w:rPr>
        <w:t>University of Pennsylvania Law Review</w:t>
      </w:r>
      <w:r>
        <w:rPr>
          <w:rFonts w:cstheme="minorHAnsi"/>
        </w:rPr>
        <w:t xml:space="preserve"> 41</w:t>
      </w:r>
      <w:r w:rsidRPr="00EB3E51">
        <w:rPr>
          <w:rFonts w:cstheme="minorHAnsi"/>
        </w:rPr>
        <w:t>.</w:t>
      </w:r>
    </w:p>
  </w:footnote>
  <w:footnote w:id="46">
    <w:p w14:paraId="67FEC394" w14:textId="397C061F"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Julia Black, ‘Regulatory Conversations’ (2002) 29(1) </w:t>
      </w:r>
      <w:r w:rsidRPr="00EB3E51">
        <w:rPr>
          <w:rFonts w:cstheme="minorHAnsi"/>
          <w:i/>
          <w:iCs/>
        </w:rPr>
        <w:t>Journal of Law and Society</w:t>
      </w:r>
      <w:r w:rsidRPr="00EB3E51">
        <w:rPr>
          <w:rFonts w:cstheme="minorHAnsi"/>
        </w:rPr>
        <w:t xml:space="preserve"> 163; Gilad Sharon, ‘Beyond Endogeneity: How Firms and Regulators Co‐Construct the Meaning of Regulation’ (2014) 36(2) </w:t>
      </w:r>
      <w:r w:rsidRPr="00EB3E51">
        <w:rPr>
          <w:rFonts w:cstheme="minorHAnsi"/>
          <w:i/>
          <w:iCs/>
        </w:rPr>
        <w:t>Law &amp; Policy</w:t>
      </w:r>
      <w:r>
        <w:rPr>
          <w:rFonts w:cstheme="minorHAnsi"/>
        </w:rPr>
        <w:t xml:space="preserve"> 134</w:t>
      </w:r>
      <w:r w:rsidRPr="00EB3E51">
        <w:rPr>
          <w:rFonts w:cstheme="minorHAnsi"/>
        </w:rPr>
        <w:t>.</w:t>
      </w:r>
    </w:p>
  </w:footnote>
  <w:footnote w:id="47">
    <w:p w14:paraId="30F25DE5" w14:textId="32458104"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Pan, n 25,</w:t>
      </w:r>
      <w:r w:rsidRPr="00EB3E51">
        <w:rPr>
          <w:rFonts w:cstheme="minorHAnsi"/>
        </w:rPr>
        <w:t xml:space="preserve"> 810.</w:t>
      </w:r>
    </w:p>
  </w:footnote>
  <w:footnote w:id="48">
    <w:p w14:paraId="1D275F79" w14:textId="4BFA88DA"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Awrey, n 43,</w:t>
      </w:r>
      <w:r w:rsidRPr="00EB3E51">
        <w:rPr>
          <w:rFonts w:cstheme="minorHAnsi"/>
        </w:rPr>
        <w:t xml:space="preserve"> 275.</w:t>
      </w:r>
    </w:p>
  </w:footnote>
  <w:footnote w:id="49">
    <w:p w14:paraId="6E87856A" w14:textId="18FBFC64"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Ford, n 40,</w:t>
      </w:r>
      <w:r w:rsidRPr="00EB3E51">
        <w:rPr>
          <w:rFonts w:cstheme="minorHAnsi"/>
        </w:rPr>
        <w:t xml:space="preserve"> 265.</w:t>
      </w:r>
    </w:p>
  </w:footnote>
  <w:footnote w:id="50">
    <w:p w14:paraId="11E0E7F3" w14:textId="2DF6F950"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Dan Awrey, ‘Regulating Financial Innovation: A More Principles-Based Proposal?’ (2011) 5(2) </w:t>
      </w:r>
      <w:r w:rsidRPr="00EB3E51">
        <w:rPr>
          <w:rFonts w:cstheme="minorHAnsi"/>
          <w:i/>
          <w:iCs/>
        </w:rPr>
        <w:t>Brooklyn Journal of Corporate, Financial &amp; Commercial Law</w:t>
      </w:r>
      <w:r>
        <w:rPr>
          <w:rFonts w:cstheme="minorHAnsi"/>
        </w:rPr>
        <w:t xml:space="preserve"> 273</w:t>
      </w:r>
      <w:r w:rsidRPr="00EB3E51">
        <w:rPr>
          <w:rFonts w:cstheme="minorHAnsi"/>
        </w:rPr>
        <w:t>.</w:t>
      </w:r>
    </w:p>
  </w:footnote>
  <w:footnote w:id="51">
    <w:p w14:paraId="397EEEEE" w14:textId="0D965100"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Coglianese and Lazer, n 9</w:t>
      </w:r>
      <w:r w:rsidRPr="00EB3E51">
        <w:rPr>
          <w:rFonts w:cstheme="minorHAnsi"/>
        </w:rPr>
        <w:t>.</w:t>
      </w:r>
    </w:p>
  </w:footnote>
  <w:footnote w:id="52">
    <w:p w14:paraId="7E45FE4B" w14:textId="77C1F3AC" w:rsidR="00A3352B" w:rsidRPr="00EB3E51" w:rsidRDefault="00A3352B" w:rsidP="001A1BE5">
      <w:pPr>
        <w:pStyle w:val="FootnoteText"/>
        <w:rPr>
          <w:rFonts w:cstheme="minorHAnsi"/>
        </w:rPr>
      </w:pPr>
      <w:r w:rsidRPr="00EB3E51">
        <w:rPr>
          <w:rStyle w:val="FootnoteReference"/>
          <w:rFonts w:cstheme="minorHAnsi"/>
        </w:rPr>
        <w:footnoteRef/>
      </w:r>
      <w:r w:rsidRPr="00EB3E51">
        <w:rPr>
          <w:rFonts w:cstheme="minorHAnsi"/>
        </w:rPr>
        <w:t xml:space="preserve"> Erik F Gerding, ‘Code, Crash, and Open Source: The Outsourcing of Financial Regulation to Risk Models and the Global Financial Crisis’ (2009) 84 </w:t>
      </w:r>
      <w:r w:rsidRPr="00EB3E51">
        <w:rPr>
          <w:rFonts w:cstheme="minorHAnsi"/>
          <w:i/>
          <w:iCs/>
        </w:rPr>
        <w:t>Wash. L. Rev.</w:t>
      </w:r>
      <w:r>
        <w:rPr>
          <w:rFonts w:cstheme="minorHAnsi"/>
        </w:rPr>
        <w:t xml:space="preserve"> 127</w:t>
      </w:r>
      <w:r w:rsidRPr="00EB3E51">
        <w:rPr>
          <w:rFonts w:cstheme="minorHAnsi"/>
        </w:rPr>
        <w:t>.</w:t>
      </w:r>
    </w:p>
  </w:footnote>
  <w:footnote w:id="53">
    <w:p w14:paraId="4AC354B9" w14:textId="33126005" w:rsidR="00A3352B" w:rsidRPr="00EB3E51" w:rsidRDefault="00A3352B" w:rsidP="00140183">
      <w:pPr>
        <w:pStyle w:val="FootnoteText"/>
        <w:rPr>
          <w:rFonts w:cstheme="minorHAnsi"/>
        </w:rPr>
      </w:pPr>
      <w:r>
        <w:rPr>
          <w:rStyle w:val="FootnoteReference"/>
        </w:rPr>
        <w:footnoteRef/>
      </w:r>
      <w:r>
        <w:t xml:space="preserve"> </w:t>
      </w:r>
      <w:r>
        <w:rPr>
          <w:rFonts w:cstheme="minorHAnsi"/>
        </w:rPr>
        <w:t>Gerding, n 52</w:t>
      </w:r>
      <w:r w:rsidRPr="00EB3E51">
        <w:rPr>
          <w:rFonts w:cstheme="minorHAnsi"/>
        </w:rPr>
        <w:t>.</w:t>
      </w:r>
    </w:p>
  </w:footnote>
  <w:footnote w:id="54">
    <w:p w14:paraId="2457E21B" w14:textId="36253117"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Gerding, n 52</w:t>
      </w:r>
      <w:r w:rsidRPr="00EB3E51">
        <w:rPr>
          <w:rFonts w:cstheme="minorHAnsi"/>
        </w:rPr>
        <w:t>.</w:t>
      </w:r>
    </w:p>
  </w:footnote>
  <w:footnote w:id="55">
    <w:p w14:paraId="06CB344D" w14:textId="17A51E12"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Rolf H Weber and Aline Darbellay, ‘The Regulatory Use of Credit Ratings in Bank Capital Requirement Regulations’ (2008) 10(1) </w:t>
      </w:r>
      <w:r w:rsidRPr="00EB3E51">
        <w:rPr>
          <w:rFonts w:cstheme="minorHAnsi"/>
          <w:i/>
          <w:iCs/>
        </w:rPr>
        <w:t>Journal of Banking Regulation</w:t>
      </w:r>
      <w:r w:rsidRPr="00EB3E51">
        <w:rPr>
          <w:rFonts w:cstheme="minorHAnsi"/>
        </w:rPr>
        <w:t xml:space="preserve"> 1.</w:t>
      </w:r>
    </w:p>
  </w:footnote>
  <w:footnote w:id="56">
    <w:p w14:paraId="189FE9AA" w14:textId="39D4832C"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Fabian Amtenbrink and Jakob De Haan, ‘Regulating Credit Ratings in the European Union: A Critical First Assessment of Regulation 1060/2009 on Credit Rating Agencies’ (2009) 46(6) </w:t>
      </w:r>
      <w:r w:rsidRPr="00EB3E51">
        <w:rPr>
          <w:rFonts w:cstheme="minorHAnsi"/>
          <w:i/>
          <w:iCs/>
        </w:rPr>
        <w:t>Common market law review</w:t>
      </w:r>
      <w:r w:rsidRPr="00EB3E51">
        <w:rPr>
          <w:rFonts w:cstheme="minorHAnsi"/>
        </w:rPr>
        <w:t xml:space="preserve"> 191</w:t>
      </w:r>
      <w:r>
        <w:rPr>
          <w:rFonts w:cstheme="minorHAnsi"/>
        </w:rPr>
        <w:t>5</w:t>
      </w:r>
      <w:r w:rsidRPr="00EB3E51">
        <w:rPr>
          <w:rFonts w:cstheme="minorHAnsi"/>
        </w:rPr>
        <w:t xml:space="preserve">; Deryn Darcy, ‘Credit Rating Agencies and the Credit Crisis: How the Issuer Pays Conflict Contributed and What Regulators Might Do about It’ [2009] </w:t>
      </w:r>
      <w:r w:rsidRPr="00EB3E51">
        <w:rPr>
          <w:rFonts w:cstheme="minorHAnsi"/>
          <w:i/>
          <w:iCs/>
        </w:rPr>
        <w:t>Colum. Bus. L. Rev.</w:t>
      </w:r>
      <w:r w:rsidR="00017F6E">
        <w:rPr>
          <w:rFonts w:cstheme="minorHAnsi"/>
        </w:rPr>
        <w:t xml:space="preserve"> 605</w:t>
      </w:r>
      <w:r w:rsidRPr="00EB3E51">
        <w:rPr>
          <w:rFonts w:cstheme="minorHAnsi"/>
        </w:rPr>
        <w:t xml:space="preserve">; Kenneth W Dam, ‘The Subprime Crisis and Financial Regulation: International and Comparative Perspectives’ (2010) 10(2) </w:t>
      </w:r>
      <w:r w:rsidRPr="00EB3E51">
        <w:rPr>
          <w:rFonts w:cstheme="minorHAnsi"/>
          <w:i/>
          <w:iCs/>
        </w:rPr>
        <w:t>Chicago Journal of International Law</w:t>
      </w:r>
      <w:r w:rsidRPr="00EB3E51">
        <w:rPr>
          <w:rFonts w:cstheme="minorHAnsi"/>
        </w:rPr>
        <w:t>.</w:t>
      </w:r>
    </w:p>
  </w:footnote>
  <w:footnote w:id="57">
    <w:p w14:paraId="09C21293" w14:textId="1B2AB64F" w:rsidR="00A3352B" w:rsidRPr="00EB3E51" w:rsidRDefault="00A3352B">
      <w:pPr>
        <w:pStyle w:val="FootnoteText"/>
        <w:rPr>
          <w:rFonts w:cstheme="minorHAnsi"/>
        </w:rPr>
      </w:pPr>
      <w:r w:rsidRPr="00EB3E51">
        <w:rPr>
          <w:rStyle w:val="FootnoteReference"/>
          <w:rFonts w:cstheme="minorHAnsi"/>
        </w:rPr>
        <w:footnoteRef/>
      </w:r>
      <w:r w:rsidR="00017F6E">
        <w:rPr>
          <w:rFonts w:cstheme="minorHAnsi"/>
        </w:rPr>
        <w:t xml:space="preserve"> Dam, n 56; Darcy, n 56</w:t>
      </w:r>
      <w:r w:rsidRPr="00EB3E51">
        <w:rPr>
          <w:rFonts w:cstheme="minorHAnsi"/>
        </w:rPr>
        <w:t xml:space="preserve">; Timothy E Lynch, ‘Deeply Persistently Conflicted: Credit Rating Agencies in the Current Regulatory Environment’ (2008) 59(2/3) </w:t>
      </w:r>
      <w:r w:rsidRPr="00EB3E51">
        <w:rPr>
          <w:rFonts w:cstheme="minorHAnsi"/>
          <w:i/>
          <w:iCs/>
        </w:rPr>
        <w:t>Case W. Res. L. Rev.</w:t>
      </w:r>
      <w:r w:rsidR="00017F6E">
        <w:rPr>
          <w:rFonts w:cstheme="minorHAnsi"/>
        </w:rPr>
        <w:t xml:space="preserve"> 227</w:t>
      </w:r>
      <w:r w:rsidRPr="00EB3E51">
        <w:rPr>
          <w:rFonts w:cstheme="minorHAnsi"/>
        </w:rPr>
        <w:t>.</w:t>
      </w:r>
    </w:p>
  </w:footnote>
  <w:footnote w:id="58">
    <w:p w14:paraId="47A6F082" w14:textId="7D1A388D" w:rsidR="00A3352B" w:rsidRPr="00EB3E51" w:rsidRDefault="00A3352B">
      <w:pPr>
        <w:pStyle w:val="FootnoteText"/>
        <w:rPr>
          <w:rFonts w:cstheme="minorHAnsi"/>
        </w:rPr>
      </w:pPr>
      <w:r w:rsidRPr="00EB3E51">
        <w:rPr>
          <w:rStyle w:val="FootnoteReference"/>
          <w:rFonts w:cstheme="minorHAnsi"/>
        </w:rPr>
        <w:footnoteRef/>
      </w:r>
      <w:r w:rsidR="00017F6E">
        <w:rPr>
          <w:rFonts w:cstheme="minorHAnsi"/>
        </w:rPr>
        <w:t xml:space="preserve"> Gerding, n 52</w:t>
      </w:r>
      <w:r w:rsidRPr="00EB3E51">
        <w:rPr>
          <w:rFonts w:cstheme="minorHAnsi"/>
        </w:rPr>
        <w:t>.</w:t>
      </w:r>
    </w:p>
  </w:footnote>
  <w:footnote w:id="59">
    <w:p w14:paraId="3E7B1590" w14:textId="3826023E"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Karl S Okamoto, ‘After the Bailout: Regulating Systemic Moral Hazard’ (2009) 57 </w:t>
      </w:r>
      <w:r w:rsidRPr="00EB3E51">
        <w:rPr>
          <w:rFonts w:cstheme="minorHAnsi"/>
          <w:i/>
          <w:iCs/>
        </w:rPr>
        <w:t>UCLA Law Review</w:t>
      </w:r>
      <w:r w:rsidR="00017F6E">
        <w:rPr>
          <w:rFonts w:cstheme="minorHAnsi"/>
        </w:rPr>
        <w:t xml:space="preserve"> 183, 191</w:t>
      </w:r>
      <w:r w:rsidRPr="00EB3E51">
        <w:rPr>
          <w:rFonts w:cstheme="minorHAnsi"/>
        </w:rPr>
        <w:t>.</w:t>
      </w:r>
    </w:p>
  </w:footnote>
  <w:footnote w:id="60">
    <w:p w14:paraId="4FDB3BE6" w14:textId="57410BC2" w:rsidR="00A3352B" w:rsidRPr="00EB3E51" w:rsidRDefault="00A3352B" w:rsidP="001A1BE5">
      <w:pPr>
        <w:pStyle w:val="FootnoteText"/>
        <w:rPr>
          <w:rFonts w:cstheme="minorHAnsi"/>
        </w:rPr>
      </w:pPr>
      <w:r w:rsidRPr="00EB3E51">
        <w:rPr>
          <w:rStyle w:val="FootnoteReference"/>
          <w:rFonts w:cstheme="minorHAnsi"/>
        </w:rPr>
        <w:footnoteRef/>
      </w:r>
      <w:r w:rsidRPr="00EB3E51">
        <w:rPr>
          <w:rFonts w:cstheme="minorHAnsi"/>
        </w:rPr>
        <w:t xml:space="preserve"> </w:t>
      </w:r>
      <w:r w:rsidR="00017F6E" w:rsidRPr="00E4621D">
        <w:rPr>
          <w:rFonts w:cstheme="minorHAnsi"/>
        </w:rPr>
        <w:t>Listokin-Smith</w:t>
      </w:r>
      <w:r w:rsidR="00017F6E">
        <w:rPr>
          <w:rFonts w:cstheme="minorHAnsi"/>
        </w:rPr>
        <w:t>, n 8</w:t>
      </w:r>
      <w:r w:rsidRPr="00EB3E51">
        <w:rPr>
          <w:rFonts w:cstheme="minorHAnsi"/>
        </w:rPr>
        <w:t>.</w:t>
      </w:r>
    </w:p>
  </w:footnote>
  <w:footnote w:id="61">
    <w:p w14:paraId="6BE7E434" w14:textId="28D89915"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Sharon Gilad, ‘It Runs in the Family: Meta-Regulation and Its Siblings’ (2010) 4(4) </w:t>
      </w:r>
      <w:r w:rsidRPr="00EB3E51">
        <w:rPr>
          <w:rFonts w:cstheme="minorHAnsi"/>
          <w:i/>
          <w:iCs/>
        </w:rPr>
        <w:t>Regulation &amp; Governance</w:t>
      </w:r>
      <w:r w:rsidR="00017F6E">
        <w:rPr>
          <w:rFonts w:cstheme="minorHAnsi"/>
        </w:rPr>
        <w:t xml:space="preserve"> 485</w:t>
      </w:r>
      <w:r w:rsidRPr="00EB3E51">
        <w:rPr>
          <w:rFonts w:cstheme="minorHAnsi"/>
        </w:rPr>
        <w:t>; Christine Parker, ‘Meta-Regulation: Legal Accountability for Corporate Social Respo</w:t>
      </w:r>
      <w:r w:rsidR="00017F6E">
        <w:rPr>
          <w:rFonts w:cstheme="minorHAnsi"/>
        </w:rPr>
        <w:t xml:space="preserve">nsibility’ in </w:t>
      </w:r>
      <w:r w:rsidR="00F43323" w:rsidRPr="00F43323">
        <w:rPr>
          <w:rFonts w:cstheme="minorHAnsi"/>
          <w:i/>
        </w:rPr>
        <w:t>The New Corporate Accountability: Corporate Social Responsibility and the Law</w:t>
      </w:r>
      <w:r w:rsidR="00F43323">
        <w:rPr>
          <w:rFonts w:cstheme="minorHAnsi"/>
        </w:rPr>
        <w:t>, Doreen McBarnet, Aurora Voiculescu and Tom Campbell eds, Cambridge University Press</w:t>
      </w:r>
      <w:r w:rsidRPr="00EB3E51">
        <w:rPr>
          <w:rFonts w:cstheme="minorHAnsi"/>
        </w:rPr>
        <w:t>.</w:t>
      </w:r>
    </w:p>
  </w:footnote>
  <w:footnote w:id="62">
    <w:p w14:paraId="03CF97E1" w14:textId="7A73113C"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Ian Ayres and John Braithwaite, </w:t>
      </w:r>
      <w:r w:rsidRPr="00EB3E51">
        <w:rPr>
          <w:rFonts w:cstheme="minorHAnsi"/>
          <w:i/>
          <w:iCs/>
        </w:rPr>
        <w:t>Responsive Regulation: Transcending the Deregulation Debate</w:t>
      </w:r>
      <w:r w:rsidRPr="00EB3E51">
        <w:rPr>
          <w:rFonts w:cstheme="minorHAnsi"/>
        </w:rPr>
        <w:t xml:space="preserve"> (Oxford Univ</w:t>
      </w:r>
      <w:r w:rsidR="00017F6E">
        <w:rPr>
          <w:rFonts w:cstheme="minorHAnsi"/>
        </w:rPr>
        <w:t>ersity Press, 1992)</w:t>
      </w:r>
      <w:r w:rsidRPr="00EB3E51">
        <w:rPr>
          <w:rFonts w:cstheme="minorHAnsi"/>
        </w:rPr>
        <w:t>.</w:t>
      </w:r>
    </w:p>
  </w:footnote>
  <w:footnote w:id="63">
    <w:p w14:paraId="46C55C37" w14:textId="24DC8397"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Neil Gunningham, Peter N Grabosky and Darren Sinclair, </w:t>
      </w:r>
      <w:r w:rsidRPr="00EB3E51">
        <w:rPr>
          <w:rFonts w:cstheme="minorHAnsi"/>
          <w:i/>
          <w:iCs/>
        </w:rPr>
        <w:t>Smart Regulation: Designing Environmental Policy</w:t>
      </w:r>
      <w:r w:rsidRPr="00EB3E51">
        <w:rPr>
          <w:rFonts w:cstheme="minorHAnsi"/>
        </w:rPr>
        <w:t xml:space="preserve"> (O</w:t>
      </w:r>
      <w:r w:rsidR="00017F6E">
        <w:rPr>
          <w:rFonts w:cstheme="minorHAnsi"/>
        </w:rPr>
        <w:t>xford University Press, 1998)</w:t>
      </w:r>
      <w:r w:rsidR="00F43323">
        <w:rPr>
          <w:rFonts w:cstheme="minorHAnsi"/>
        </w:rPr>
        <w:t>; Black, n 1</w:t>
      </w:r>
      <w:r w:rsidRPr="00EB3E51">
        <w:rPr>
          <w:rFonts w:cstheme="minorHAnsi"/>
        </w:rPr>
        <w:t>.</w:t>
      </w:r>
    </w:p>
  </w:footnote>
  <w:footnote w:id="64">
    <w:p w14:paraId="188DA407" w14:textId="24DA1A72" w:rsidR="00A3352B" w:rsidRPr="00EB3E51" w:rsidRDefault="00A3352B">
      <w:pPr>
        <w:pStyle w:val="FootnoteText"/>
        <w:rPr>
          <w:rFonts w:cstheme="minorHAnsi"/>
          <w:lang w:val="en-AU"/>
        </w:rPr>
      </w:pPr>
      <w:r w:rsidRPr="00EB3E51">
        <w:rPr>
          <w:rStyle w:val="FootnoteReference"/>
          <w:rFonts w:cstheme="minorHAnsi"/>
        </w:rPr>
        <w:footnoteRef/>
      </w:r>
      <w:r w:rsidRPr="00EB3E51">
        <w:rPr>
          <w:rFonts w:cstheme="minorHAnsi"/>
        </w:rPr>
        <w:t xml:space="preserve"> Alice Klettner, </w:t>
      </w:r>
      <w:r w:rsidRPr="00EB3E51">
        <w:rPr>
          <w:rFonts w:cstheme="minorHAnsi"/>
          <w:i/>
          <w:iCs/>
        </w:rPr>
        <w:t>Corporate Governance Regulation: The Changing Roles and Responsibilities of Boards of Directors</w:t>
      </w:r>
      <w:r w:rsidRPr="00EB3E51">
        <w:rPr>
          <w:rFonts w:cstheme="minorHAnsi"/>
        </w:rPr>
        <w:t xml:space="preserve"> (Taylor &amp; Fran</w:t>
      </w:r>
      <w:r w:rsidR="00017F6E">
        <w:rPr>
          <w:rFonts w:cstheme="minorHAnsi"/>
        </w:rPr>
        <w:t>cis, 2017) 9</w:t>
      </w:r>
      <w:r w:rsidRPr="00EB3E51">
        <w:rPr>
          <w:rFonts w:cstheme="minorHAnsi"/>
        </w:rPr>
        <w:t>.</w:t>
      </w:r>
    </w:p>
  </w:footnote>
  <w:footnote w:id="65">
    <w:p w14:paraId="59DB1470" w14:textId="691CE7F6" w:rsidR="00A3352B" w:rsidRPr="00EB3E51" w:rsidRDefault="00A3352B">
      <w:pPr>
        <w:pStyle w:val="FootnoteText"/>
        <w:rPr>
          <w:rFonts w:cstheme="minorHAnsi"/>
        </w:rPr>
      </w:pPr>
      <w:r w:rsidRPr="00EB3E51">
        <w:rPr>
          <w:rStyle w:val="FootnoteReference"/>
          <w:rFonts w:cstheme="minorHAnsi"/>
        </w:rPr>
        <w:footnoteRef/>
      </w:r>
      <w:r w:rsidR="00017F6E">
        <w:rPr>
          <w:rFonts w:cstheme="minorHAnsi"/>
        </w:rPr>
        <w:t xml:space="preserve"> Johnson, n 6</w:t>
      </w:r>
      <w:r w:rsidRPr="00EB3E51">
        <w:rPr>
          <w:rFonts w:cstheme="minorHAnsi"/>
        </w:rPr>
        <w:t xml:space="preserve">; Stefano Pagliari, ‘Who Governs Finance? The Shifting Public–Private Divide in the Regulation of Derivatives, Rating Agencies and Hedge Funds’ (2012) 18(1) </w:t>
      </w:r>
      <w:r w:rsidRPr="00EB3E51">
        <w:rPr>
          <w:rFonts w:cstheme="minorHAnsi"/>
          <w:i/>
          <w:iCs/>
        </w:rPr>
        <w:t>European Law Journal</w:t>
      </w:r>
      <w:r w:rsidR="00017F6E">
        <w:rPr>
          <w:rFonts w:cstheme="minorHAnsi"/>
        </w:rPr>
        <w:t xml:space="preserve"> 44</w:t>
      </w:r>
      <w:r w:rsidRPr="00EB3E51">
        <w:rPr>
          <w:rFonts w:cstheme="minorHAnsi"/>
        </w:rPr>
        <w:t>.</w:t>
      </w:r>
    </w:p>
  </w:footnote>
  <w:footnote w:id="66">
    <w:p w14:paraId="1D212956" w14:textId="00A87DAE" w:rsidR="00A3352B" w:rsidRPr="00EB3E51" w:rsidRDefault="00A3352B">
      <w:pPr>
        <w:pStyle w:val="FootnoteText"/>
        <w:rPr>
          <w:rFonts w:cstheme="minorHAnsi"/>
        </w:rPr>
      </w:pPr>
      <w:r w:rsidRPr="00EB3E51">
        <w:rPr>
          <w:rStyle w:val="FootnoteReference"/>
          <w:rFonts w:cstheme="minorHAnsi"/>
        </w:rPr>
        <w:footnoteRef/>
      </w:r>
      <w:r w:rsidR="00017F6E">
        <w:rPr>
          <w:rFonts w:cstheme="minorHAnsi"/>
        </w:rPr>
        <w:t xml:space="preserve"> Pagliari, n 65</w:t>
      </w:r>
      <w:r w:rsidRPr="00EB3E51">
        <w:rPr>
          <w:rFonts w:cstheme="minorHAnsi"/>
        </w:rPr>
        <w:t>.</w:t>
      </w:r>
    </w:p>
  </w:footnote>
  <w:footnote w:id="67">
    <w:p w14:paraId="192E3B81" w14:textId="01F28276"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Timothy A Canova, ‘Financial Market Failure as a Crisis in the Rule of Law: From Market Fundamentalism to a New Keynesian Regulatory Model’ (2009) 3 </w:t>
      </w:r>
      <w:r w:rsidRPr="00EB3E51">
        <w:rPr>
          <w:rFonts w:cstheme="minorHAnsi"/>
          <w:i/>
          <w:iCs/>
        </w:rPr>
        <w:t>Harvard Law &amp; Policy Review</w:t>
      </w:r>
      <w:r w:rsidR="00017F6E">
        <w:rPr>
          <w:rFonts w:cstheme="minorHAnsi"/>
        </w:rPr>
        <w:t xml:space="preserve"> 9</w:t>
      </w:r>
      <w:r w:rsidRPr="00EB3E51">
        <w:rPr>
          <w:rFonts w:cstheme="minorHAnsi"/>
        </w:rPr>
        <w:t>.</w:t>
      </w:r>
    </w:p>
  </w:footnote>
  <w:footnote w:id="68">
    <w:p w14:paraId="355CFCE7" w14:textId="168A7432" w:rsidR="00A3352B" w:rsidRDefault="00A3352B">
      <w:pPr>
        <w:pStyle w:val="FootnoteText"/>
      </w:pPr>
      <w:r w:rsidRPr="00EB3E51">
        <w:rPr>
          <w:rStyle w:val="FootnoteReference"/>
          <w:rFonts w:cstheme="minorHAnsi"/>
        </w:rPr>
        <w:footnoteRef/>
      </w:r>
      <w:r w:rsidRPr="00EB3E51">
        <w:rPr>
          <w:rFonts w:cstheme="minorHAnsi"/>
        </w:rPr>
        <w:t xml:space="preserve"> ‘Reflections on the Crisis and on Its Lessons for Regulatory Reform and for Central Bank Policies’ (2011) 7(1) </w:t>
      </w:r>
      <w:r w:rsidRPr="00EB3E51">
        <w:rPr>
          <w:rFonts w:cstheme="minorHAnsi"/>
          <w:i/>
          <w:iCs/>
        </w:rPr>
        <w:t>Journal of Financial Stability</w:t>
      </w:r>
      <w:r w:rsidRPr="00EB3E51">
        <w:rPr>
          <w:rFonts w:cstheme="minorHAnsi"/>
        </w:rPr>
        <w:t xml:space="preserve"> 26, 26.</w:t>
      </w:r>
    </w:p>
  </w:footnote>
  <w:footnote w:id="69">
    <w:p w14:paraId="24FDB928" w14:textId="4968E135"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John Biggins and Colin Scott, ‘Public-Private Relations in a Transnational Private Regulatory Regime: ISDA, the State and OTC Derivatives Market Reform’ (2012) 13(3) </w:t>
      </w:r>
      <w:r w:rsidRPr="00EB3E51">
        <w:rPr>
          <w:rFonts w:cstheme="minorHAnsi"/>
          <w:i/>
          <w:iCs/>
        </w:rPr>
        <w:t>European Business Organization Law Review</w:t>
      </w:r>
      <w:r w:rsidR="00017F6E">
        <w:rPr>
          <w:rFonts w:cstheme="minorHAnsi"/>
        </w:rPr>
        <w:t xml:space="preserve"> 309</w:t>
      </w:r>
      <w:r w:rsidRPr="00EB3E51">
        <w:rPr>
          <w:rFonts w:cstheme="minorHAnsi"/>
        </w:rPr>
        <w:t>.</w:t>
      </w:r>
    </w:p>
  </w:footnote>
  <w:footnote w:id="70">
    <w:p w14:paraId="31C2DC1E" w14:textId="73746EF3"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Amtenbrink and De Haan</w:t>
      </w:r>
      <w:r>
        <w:rPr>
          <w:rFonts w:cstheme="minorHAnsi"/>
        </w:rPr>
        <w:t>, n 56</w:t>
      </w:r>
      <w:r w:rsidRPr="00EB3E51">
        <w:rPr>
          <w:rFonts w:cstheme="minorHAnsi"/>
        </w:rPr>
        <w:t>.</w:t>
      </w:r>
    </w:p>
  </w:footnote>
  <w:footnote w:id="71">
    <w:p w14:paraId="15559523" w14:textId="69065241"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Amtenbrink and De Haan</w:t>
      </w:r>
      <w:r>
        <w:rPr>
          <w:rFonts w:cstheme="minorHAnsi"/>
        </w:rPr>
        <w:t>, n 56</w:t>
      </w:r>
      <w:r w:rsidRPr="00EB3E51">
        <w:rPr>
          <w:rFonts w:cstheme="minorHAnsi"/>
        </w:rPr>
        <w:t>.</w:t>
      </w:r>
    </w:p>
  </w:footnote>
  <w:footnote w:id="72">
    <w:p w14:paraId="73602915" w14:textId="1CAA8064"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Amtenbrink and De Haan</w:t>
      </w:r>
      <w:r>
        <w:rPr>
          <w:rFonts w:cstheme="minorHAnsi"/>
        </w:rPr>
        <w:t>, n 56</w:t>
      </w:r>
      <w:r w:rsidRPr="00EB3E51">
        <w:rPr>
          <w:rFonts w:cstheme="minorHAnsi"/>
        </w:rPr>
        <w:t>.</w:t>
      </w:r>
    </w:p>
  </w:footnote>
  <w:footnote w:id="73">
    <w:p w14:paraId="0E33CF59" w14:textId="5EE37572"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Emilios Avgouleas, ‘The Global Financial Crisis and the Disclosure Paradigm in European Financial Regulation: The Case for Reform’ (2009) 6(4) </w:t>
      </w:r>
      <w:r w:rsidRPr="00EB3E51">
        <w:rPr>
          <w:rFonts w:cstheme="minorHAnsi"/>
          <w:i/>
          <w:iCs/>
        </w:rPr>
        <w:t>European Company &amp; Financial Law Review</w:t>
      </w:r>
      <w:r w:rsidR="00017F6E">
        <w:rPr>
          <w:rFonts w:cstheme="minorHAnsi"/>
        </w:rPr>
        <w:t xml:space="preserve"> 440</w:t>
      </w:r>
      <w:r w:rsidR="00F43323">
        <w:rPr>
          <w:rFonts w:cstheme="minorHAnsi"/>
        </w:rPr>
        <w:t>; Awrey, n 43</w:t>
      </w:r>
      <w:r w:rsidRPr="00EB3E51">
        <w:rPr>
          <w:rFonts w:cstheme="minorHAnsi"/>
        </w:rPr>
        <w:t>.</w:t>
      </w:r>
    </w:p>
  </w:footnote>
  <w:footnote w:id="74">
    <w:p w14:paraId="6CA3518B" w14:textId="6B7DDFEE"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Awrey</w:t>
      </w:r>
      <w:r>
        <w:rPr>
          <w:rFonts w:cstheme="minorHAnsi"/>
        </w:rPr>
        <w:t>, n 43</w:t>
      </w:r>
      <w:r w:rsidRPr="00EB3E51">
        <w:rPr>
          <w:rFonts w:cstheme="minorHAnsi"/>
        </w:rPr>
        <w:t>.</w:t>
      </w:r>
    </w:p>
  </w:footnote>
  <w:footnote w:id="75">
    <w:p w14:paraId="3A9C2F59" w14:textId="71E76089"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w:t>
      </w:r>
      <w:r w:rsidRPr="00EB3E51">
        <w:rPr>
          <w:rFonts w:cstheme="minorHAnsi"/>
        </w:rPr>
        <w:t>Awrey</w:t>
      </w:r>
      <w:r>
        <w:rPr>
          <w:rFonts w:cstheme="minorHAnsi"/>
        </w:rPr>
        <w:t>, n 43,</w:t>
      </w:r>
      <w:r w:rsidRPr="00EB3E51">
        <w:rPr>
          <w:rFonts w:cstheme="minorHAnsi"/>
        </w:rPr>
        <w:t xml:space="preserve"> 289.</w:t>
      </w:r>
    </w:p>
  </w:footnote>
  <w:footnote w:id="76">
    <w:p w14:paraId="042D88EF" w14:textId="68CBEA46"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w:t>
      </w:r>
      <w:r w:rsidRPr="00EB3E51">
        <w:rPr>
          <w:rFonts w:cstheme="minorHAnsi"/>
        </w:rPr>
        <w:t>Awrey</w:t>
      </w:r>
      <w:r>
        <w:rPr>
          <w:rFonts w:cstheme="minorHAnsi"/>
        </w:rPr>
        <w:t>, n 43,</w:t>
      </w:r>
      <w:r w:rsidRPr="00EB3E51">
        <w:rPr>
          <w:rFonts w:cstheme="minorHAnsi"/>
        </w:rPr>
        <w:t xml:space="preserve"> 290.</w:t>
      </w:r>
    </w:p>
  </w:footnote>
  <w:footnote w:id="77">
    <w:p w14:paraId="4FE59C93" w14:textId="5A09F003"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Darcy</w:t>
      </w:r>
      <w:r>
        <w:rPr>
          <w:rFonts w:cstheme="minorHAnsi"/>
        </w:rPr>
        <w:t>, n 56</w:t>
      </w:r>
      <w:r w:rsidRPr="00EB3E51">
        <w:rPr>
          <w:rFonts w:cstheme="minorHAnsi"/>
        </w:rPr>
        <w:t>.</w:t>
      </w:r>
    </w:p>
  </w:footnote>
  <w:footnote w:id="78">
    <w:p w14:paraId="137F6F56" w14:textId="750FE666"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Arup</w:t>
      </w:r>
      <w:r>
        <w:rPr>
          <w:rFonts w:cstheme="minorHAnsi"/>
        </w:rPr>
        <w:t>, n 2</w:t>
      </w:r>
      <w:r w:rsidRPr="00EB3E51">
        <w:rPr>
          <w:rFonts w:cstheme="minorHAnsi"/>
        </w:rPr>
        <w:t>.</w:t>
      </w:r>
    </w:p>
  </w:footnote>
  <w:footnote w:id="79">
    <w:p w14:paraId="7E440199" w14:textId="3E00D573" w:rsidR="00A3352B" w:rsidRPr="00EB3E51" w:rsidRDefault="00A3352B" w:rsidP="00E5021E">
      <w:pPr>
        <w:pStyle w:val="FootnoteText"/>
        <w:rPr>
          <w:rFonts w:cstheme="minorHAnsi"/>
        </w:rPr>
      </w:pPr>
      <w:r>
        <w:rPr>
          <w:rStyle w:val="FootnoteReference"/>
        </w:rPr>
        <w:footnoteRef/>
      </w:r>
      <w:r>
        <w:t xml:space="preserve"> </w:t>
      </w:r>
      <w:r w:rsidRPr="00EB3E51">
        <w:rPr>
          <w:rFonts w:cstheme="minorHAnsi"/>
        </w:rPr>
        <w:t>D’Souza, Ellis and Fairchild</w:t>
      </w:r>
      <w:r>
        <w:rPr>
          <w:rFonts w:cstheme="minorHAnsi"/>
        </w:rPr>
        <w:t>, n 30</w:t>
      </w:r>
      <w:r w:rsidRPr="00EB3E51">
        <w:rPr>
          <w:rFonts w:cstheme="minorHAnsi"/>
        </w:rPr>
        <w:t>.</w:t>
      </w:r>
    </w:p>
  </w:footnote>
  <w:footnote w:id="80">
    <w:p w14:paraId="11FE42FF" w14:textId="4785EA73" w:rsidR="00A3352B" w:rsidRPr="00EB3E51" w:rsidRDefault="00A3352B" w:rsidP="00E5021E">
      <w:pPr>
        <w:pStyle w:val="FootnoteText"/>
        <w:rPr>
          <w:rFonts w:cstheme="minorHAnsi"/>
        </w:rPr>
      </w:pPr>
      <w:r w:rsidRPr="00EB3E51">
        <w:rPr>
          <w:rStyle w:val="FootnoteReference"/>
          <w:rFonts w:cstheme="minorHAnsi"/>
        </w:rPr>
        <w:footnoteRef/>
      </w:r>
      <w:r w:rsidRPr="00EB3E51">
        <w:rPr>
          <w:rFonts w:cstheme="minorHAnsi"/>
        </w:rPr>
        <w:t xml:space="preserve"> Ranjit Lall, ‘From Failure to Failure: The Politics of International Banking Regulation’ (2012) 19(4) </w:t>
      </w:r>
      <w:r w:rsidRPr="00EB3E51">
        <w:rPr>
          <w:rFonts w:cstheme="minorHAnsi"/>
          <w:i/>
          <w:iCs/>
        </w:rPr>
        <w:t>Review of International Political Economy</w:t>
      </w:r>
      <w:r w:rsidR="00017F6E">
        <w:rPr>
          <w:rFonts w:cstheme="minorHAnsi"/>
        </w:rPr>
        <w:t xml:space="preserve"> 609</w:t>
      </w:r>
      <w:r w:rsidRPr="00EB3E51">
        <w:rPr>
          <w:rFonts w:cstheme="minorHAnsi"/>
        </w:rPr>
        <w:t xml:space="preserve">; Cory Howard, ‘Basel III’s Corporate Governance Impact: How Increased Banking Regulations Pose Challenges to Corporate Compliance While Simultaneously Furthering Stakeholder Objectives’ (2014) 9(1) </w:t>
      </w:r>
      <w:r w:rsidRPr="00EB3E51">
        <w:rPr>
          <w:rFonts w:cstheme="minorHAnsi"/>
          <w:i/>
          <w:iCs/>
        </w:rPr>
        <w:t>Journal of Business Systems, Governance &amp; Ethics</w:t>
      </w:r>
      <w:r w:rsidR="00017F6E">
        <w:rPr>
          <w:rFonts w:cstheme="minorHAnsi"/>
        </w:rPr>
        <w:t xml:space="preserve"> 39</w:t>
      </w:r>
      <w:r w:rsidRPr="00EB3E51">
        <w:rPr>
          <w:rFonts w:cstheme="minorHAnsi"/>
        </w:rPr>
        <w:t>.</w:t>
      </w:r>
    </w:p>
  </w:footnote>
  <w:footnote w:id="81">
    <w:p w14:paraId="7D3E942B" w14:textId="5FDCFF86" w:rsidR="00A3352B" w:rsidRPr="00EB3E51" w:rsidRDefault="00A3352B" w:rsidP="00FA3362">
      <w:pPr>
        <w:pStyle w:val="FootnoteText"/>
        <w:rPr>
          <w:rFonts w:cstheme="minorHAnsi"/>
        </w:rPr>
      </w:pPr>
      <w:r w:rsidRPr="00EB3E51">
        <w:rPr>
          <w:rStyle w:val="FootnoteReference"/>
          <w:rFonts w:cstheme="minorHAnsi"/>
        </w:rPr>
        <w:footnoteRef/>
      </w:r>
      <w:r w:rsidRPr="00EB3E51">
        <w:rPr>
          <w:rFonts w:cstheme="minorHAnsi"/>
        </w:rPr>
        <w:t xml:space="preserve"> Thomas Rixen, ‘Why Reregulation after the Crisis Is Feeble: Shadow Banking, Offshore Financial Centers, and Jurisdictional Competition’ (2013) 7(4) </w:t>
      </w:r>
      <w:r w:rsidRPr="00EB3E51">
        <w:rPr>
          <w:rFonts w:cstheme="minorHAnsi"/>
          <w:i/>
          <w:iCs/>
        </w:rPr>
        <w:t>Regulation &amp; Governance</w:t>
      </w:r>
      <w:r w:rsidR="00017F6E">
        <w:rPr>
          <w:rFonts w:cstheme="minorHAnsi"/>
        </w:rPr>
        <w:t xml:space="preserve"> 435</w:t>
      </w:r>
      <w:r w:rsidRPr="00EB3E51">
        <w:rPr>
          <w:rFonts w:cstheme="minorHAnsi"/>
        </w:rPr>
        <w:t xml:space="preserve">; Manuela Moschella and Eleni Tsingou, ‘Regulating Finance after the Crisis: Unveiling the Different Dynamics of the Regulatory Process’ (2013) 7(4) </w:t>
      </w:r>
      <w:r w:rsidRPr="00EB3E51">
        <w:rPr>
          <w:rFonts w:cstheme="minorHAnsi"/>
          <w:i/>
          <w:iCs/>
        </w:rPr>
        <w:t>Regulation &amp; Governance</w:t>
      </w:r>
      <w:r w:rsidR="00F43323">
        <w:rPr>
          <w:rFonts w:cstheme="minorHAnsi"/>
        </w:rPr>
        <w:t xml:space="preserve"> 407</w:t>
      </w:r>
      <w:r w:rsidRPr="00EB3E51">
        <w:rPr>
          <w:rFonts w:cstheme="minorHAnsi"/>
        </w:rPr>
        <w:t xml:space="preserve">; Brett Christophers, ‘Geographies of Finance III Regulation and “after-Crisis” Financial Futures’ (2016) 40(1) </w:t>
      </w:r>
      <w:r w:rsidRPr="00EB3E51">
        <w:rPr>
          <w:rFonts w:cstheme="minorHAnsi"/>
          <w:i/>
          <w:iCs/>
        </w:rPr>
        <w:t>Progress in Human Geography</w:t>
      </w:r>
      <w:r w:rsidRPr="00EB3E51">
        <w:rPr>
          <w:rFonts w:cstheme="minorHAnsi"/>
        </w:rPr>
        <w:t xml:space="preserve"> 138.</w:t>
      </w:r>
    </w:p>
  </w:footnote>
  <w:footnote w:id="82">
    <w:p w14:paraId="18FB93DF" w14:textId="70F0276C" w:rsidR="00A3352B" w:rsidRPr="00EB3E51" w:rsidRDefault="00A3352B">
      <w:pPr>
        <w:pStyle w:val="FootnoteText"/>
        <w:rPr>
          <w:rFonts w:cstheme="minorHAnsi"/>
        </w:rPr>
      </w:pPr>
      <w:r w:rsidRPr="00EB3E51">
        <w:rPr>
          <w:rStyle w:val="FootnoteReference"/>
          <w:rFonts w:cstheme="minorHAnsi"/>
        </w:rPr>
        <w:footnoteRef/>
      </w:r>
      <w:r w:rsidR="00017F6E">
        <w:rPr>
          <w:rFonts w:cstheme="minorHAnsi"/>
        </w:rPr>
        <w:t xml:space="preserve"> Christophers, n 81; Karmel, n 32</w:t>
      </w:r>
      <w:r w:rsidRPr="00EB3E51">
        <w:rPr>
          <w:rFonts w:cstheme="minorHAnsi"/>
        </w:rPr>
        <w:t>.</w:t>
      </w:r>
    </w:p>
  </w:footnote>
  <w:footnote w:id="83">
    <w:p w14:paraId="3FB4F1B1" w14:textId="17DB06FF" w:rsidR="00A3352B" w:rsidRPr="00EB3E51" w:rsidRDefault="00A3352B">
      <w:pPr>
        <w:pStyle w:val="FootnoteText"/>
        <w:rPr>
          <w:rFonts w:cstheme="minorHAnsi"/>
        </w:rPr>
      </w:pPr>
      <w:r w:rsidRPr="00EB3E51">
        <w:rPr>
          <w:rStyle w:val="FootnoteReference"/>
          <w:rFonts w:cstheme="minorHAnsi"/>
        </w:rPr>
        <w:footnoteRef/>
      </w:r>
      <w:r w:rsidR="00017F6E">
        <w:rPr>
          <w:rFonts w:cstheme="minorHAnsi"/>
        </w:rPr>
        <w:t xml:space="preserve"> Davies, n 16,</w:t>
      </w:r>
      <w:r w:rsidRPr="00EB3E51">
        <w:rPr>
          <w:rFonts w:cstheme="minorHAnsi"/>
        </w:rPr>
        <w:t xml:space="preserve"> 215.</w:t>
      </w:r>
    </w:p>
  </w:footnote>
  <w:footnote w:id="84">
    <w:p w14:paraId="358C66EF" w14:textId="2886A32F" w:rsidR="00A3352B" w:rsidRPr="00EB3E51" w:rsidRDefault="00A3352B" w:rsidP="002D1FDB">
      <w:pPr>
        <w:pStyle w:val="FootnoteText"/>
        <w:rPr>
          <w:rFonts w:cstheme="minorHAnsi"/>
        </w:rPr>
      </w:pPr>
      <w:r>
        <w:rPr>
          <w:rStyle w:val="FootnoteReference"/>
        </w:rPr>
        <w:footnoteRef/>
      </w:r>
      <w:r>
        <w:t xml:space="preserve"> </w:t>
      </w:r>
      <w:r w:rsidRPr="00EB3E51">
        <w:rPr>
          <w:rFonts w:cstheme="minorHAnsi"/>
        </w:rPr>
        <w:t xml:space="preserve">Eric Helleiner and Stefano Pagliari, ‘The End of an Era in International Financial Regulation? A Postcrisis Research Agenda’ (2011) 65(1) </w:t>
      </w:r>
      <w:r w:rsidRPr="00EB3E51">
        <w:rPr>
          <w:rFonts w:cstheme="minorHAnsi"/>
          <w:i/>
          <w:iCs/>
        </w:rPr>
        <w:t>International Organization</w:t>
      </w:r>
      <w:r w:rsidRPr="00EB3E51">
        <w:rPr>
          <w:rFonts w:cstheme="minorHAnsi"/>
        </w:rPr>
        <w:t xml:space="preserve"> </w:t>
      </w:r>
      <w:r w:rsidR="00017F6E">
        <w:rPr>
          <w:rFonts w:cstheme="minorHAnsi"/>
        </w:rPr>
        <w:t>169</w:t>
      </w:r>
      <w:r w:rsidRPr="00EB3E51">
        <w:rPr>
          <w:rFonts w:cstheme="minorHAnsi"/>
        </w:rPr>
        <w:t>.</w:t>
      </w:r>
    </w:p>
  </w:footnote>
  <w:footnote w:id="85">
    <w:p w14:paraId="78121803" w14:textId="4E7B44DA"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Helleiner and Pagliari, n 84</w:t>
      </w:r>
      <w:r w:rsidRPr="00EB3E51">
        <w:rPr>
          <w:rFonts w:cstheme="minorHAnsi"/>
        </w:rPr>
        <w:t>.</w:t>
      </w:r>
    </w:p>
  </w:footnote>
  <w:footnote w:id="86">
    <w:p w14:paraId="1A5C1598" w14:textId="724E8D47"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Karmel</w:t>
      </w:r>
      <w:r>
        <w:rPr>
          <w:rFonts w:cstheme="minorHAnsi"/>
        </w:rPr>
        <w:t>, n 32,</w:t>
      </w:r>
      <w:r w:rsidRPr="00EB3E51">
        <w:rPr>
          <w:rFonts w:cstheme="minorHAnsi"/>
        </w:rPr>
        <w:t xml:space="preserve"> 842.</w:t>
      </w:r>
    </w:p>
  </w:footnote>
  <w:footnote w:id="87">
    <w:p w14:paraId="02771FDC" w14:textId="313010EE"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Lucia Quaglia, ‘Financial Regulation and Supervision in the European Union after the Crisis’ (2013) 16(1) </w:t>
      </w:r>
      <w:r w:rsidRPr="00EB3E51">
        <w:rPr>
          <w:rFonts w:cstheme="minorHAnsi"/>
          <w:i/>
          <w:iCs/>
        </w:rPr>
        <w:t>Journal of Economic Policy Reform</w:t>
      </w:r>
      <w:r w:rsidRPr="00EB3E51">
        <w:rPr>
          <w:rFonts w:cstheme="minorHAnsi"/>
        </w:rPr>
        <w:t xml:space="preserve"> 17.</w:t>
      </w:r>
    </w:p>
  </w:footnote>
  <w:footnote w:id="88">
    <w:p w14:paraId="23BCAE90" w14:textId="184916B0"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Omarova and Adam Feibelman, ‘Risks, Rules, and Institutions: A Process for Reforming Financial Regulation’ (2008) 39 </w:t>
      </w:r>
      <w:r w:rsidRPr="00EB3E51">
        <w:rPr>
          <w:rFonts w:cstheme="minorHAnsi"/>
          <w:i/>
          <w:iCs/>
        </w:rPr>
        <w:t>University of Memphis Law Review</w:t>
      </w:r>
      <w:r w:rsidR="00F43323">
        <w:rPr>
          <w:rFonts w:cstheme="minorHAnsi"/>
        </w:rPr>
        <w:t xml:space="preserve"> 881</w:t>
      </w:r>
      <w:r w:rsidRPr="00EB3E51">
        <w:rPr>
          <w:rFonts w:cstheme="minorHAnsi"/>
        </w:rPr>
        <w:t xml:space="preserve">; Roberta Romano, ‘Against Financial Regulation Harmonization: A Comment’ [2010] (414) </w:t>
      </w:r>
      <w:r w:rsidRPr="00EB3E51">
        <w:rPr>
          <w:rFonts w:cstheme="minorHAnsi"/>
          <w:i/>
          <w:iCs/>
        </w:rPr>
        <w:t>Yale Law &amp; Economics Research Paper</w:t>
      </w:r>
      <w:r w:rsidRPr="00EB3E51">
        <w:rPr>
          <w:rFonts w:cstheme="minorHAnsi"/>
        </w:rPr>
        <w:t>.</w:t>
      </w:r>
    </w:p>
  </w:footnote>
  <w:footnote w:id="89">
    <w:p w14:paraId="7255043E" w14:textId="4D33F547"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Lucia Quaglia, ‘The “Old” and “New” Politics of Financial Services Regulation in the European Union’ (2012) 17(4) </w:t>
      </w:r>
      <w:r w:rsidRPr="00EB3E51">
        <w:rPr>
          <w:rFonts w:cstheme="minorHAnsi"/>
          <w:i/>
          <w:iCs/>
        </w:rPr>
        <w:t>New Political Economy</w:t>
      </w:r>
      <w:r w:rsidRPr="00EB3E51">
        <w:rPr>
          <w:rFonts w:cstheme="minorHAnsi"/>
        </w:rPr>
        <w:t xml:space="preserve"> 515, 525.</w:t>
      </w:r>
    </w:p>
  </w:footnote>
  <w:footnote w:id="90">
    <w:p w14:paraId="75FB0A65" w14:textId="74D2E765" w:rsidR="00A3352B" w:rsidRPr="00EB3E51" w:rsidRDefault="00A3352B" w:rsidP="002D1FDB">
      <w:pPr>
        <w:pStyle w:val="FootnoteText"/>
        <w:rPr>
          <w:rFonts w:cstheme="minorHAnsi"/>
        </w:rPr>
      </w:pPr>
      <w:r w:rsidRPr="00EB3E51">
        <w:rPr>
          <w:rStyle w:val="FootnoteReference"/>
          <w:rFonts w:cstheme="minorHAnsi"/>
        </w:rPr>
        <w:footnoteRef/>
      </w:r>
      <w:r w:rsidR="00EF335A">
        <w:rPr>
          <w:rFonts w:cstheme="minorHAnsi"/>
        </w:rPr>
        <w:t xml:space="preserve"> Rixen, n 81</w:t>
      </w:r>
      <w:r w:rsidRPr="00EB3E51">
        <w:rPr>
          <w:rFonts w:cstheme="minorHAnsi"/>
        </w:rPr>
        <w:t>.</w:t>
      </w:r>
    </w:p>
  </w:footnote>
  <w:footnote w:id="91">
    <w:p w14:paraId="7C33D11F" w14:textId="17527EB1" w:rsidR="00A3352B" w:rsidRPr="00EB3E51" w:rsidRDefault="00A3352B" w:rsidP="002D1FDB">
      <w:pPr>
        <w:pStyle w:val="FootnoteText"/>
        <w:rPr>
          <w:rFonts w:cstheme="minorHAnsi"/>
        </w:rPr>
      </w:pPr>
      <w:r w:rsidRPr="00EB3E51">
        <w:rPr>
          <w:rStyle w:val="FootnoteReference"/>
          <w:rFonts w:cstheme="minorHAnsi"/>
        </w:rPr>
        <w:footnoteRef/>
      </w:r>
      <w:r w:rsidR="00EF335A">
        <w:rPr>
          <w:rFonts w:cstheme="minorHAnsi"/>
        </w:rPr>
        <w:t xml:space="preserve"> Romano , n 88</w:t>
      </w:r>
      <w:r w:rsidRPr="00EB3E51">
        <w:rPr>
          <w:rFonts w:cstheme="minorHAnsi"/>
        </w:rPr>
        <w:t>.</w:t>
      </w:r>
    </w:p>
  </w:footnote>
  <w:footnote w:id="92">
    <w:p w14:paraId="18D6FD3B" w14:textId="4504300A" w:rsidR="00A3352B" w:rsidRPr="00EB3E51" w:rsidRDefault="00A3352B">
      <w:pPr>
        <w:pStyle w:val="FootnoteText"/>
        <w:rPr>
          <w:rFonts w:cstheme="minorHAnsi"/>
        </w:rPr>
      </w:pPr>
      <w:r w:rsidRPr="00EB3E51">
        <w:rPr>
          <w:rStyle w:val="FootnoteReference"/>
          <w:rFonts w:cstheme="minorHAnsi"/>
        </w:rPr>
        <w:footnoteRef/>
      </w:r>
      <w:r w:rsidR="00EF335A">
        <w:rPr>
          <w:rFonts w:cstheme="minorHAnsi"/>
        </w:rPr>
        <w:t xml:space="preserve"> Lee, </w:t>
      </w:r>
      <w:r w:rsidRPr="00EB3E51">
        <w:rPr>
          <w:rFonts w:cstheme="minorHAnsi"/>
        </w:rPr>
        <w:t xml:space="preserve">n </w:t>
      </w:r>
      <w:r w:rsidR="00EF335A">
        <w:rPr>
          <w:rFonts w:cstheme="minorHAnsi"/>
        </w:rPr>
        <w:t>18</w:t>
      </w:r>
      <w:r w:rsidRPr="00EB3E51">
        <w:rPr>
          <w:rFonts w:cstheme="minorHAnsi"/>
        </w:rPr>
        <w:t xml:space="preserve">; Fariborz Moshirian, ‘The Global Financial Crisis and the Evolution of Markets, Institutions and Regulation’ (2011) 35(3) </w:t>
      </w:r>
      <w:r w:rsidRPr="00EB3E51">
        <w:rPr>
          <w:rFonts w:cstheme="minorHAnsi"/>
          <w:i/>
          <w:iCs/>
        </w:rPr>
        <w:t>Journal of Banking &amp; Finance</w:t>
      </w:r>
      <w:r w:rsidRPr="00EB3E51">
        <w:rPr>
          <w:rFonts w:cstheme="minorHAnsi"/>
        </w:rPr>
        <w:t xml:space="preserve"> 502.</w:t>
      </w:r>
    </w:p>
  </w:footnote>
  <w:footnote w:id="93">
    <w:p w14:paraId="32385B30" w14:textId="637537F8" w:rsidR="00A3352B" w:rsidRDefault="00A3352B">
      <w:pPr>
        <w:pStyle w:val="FootnoteText"/>
      </w:pPr>
      <w:r w:rsidRPr="00EB3E51">
        <w:rPr>
          <w:rStyle w:val="FootnoteReference"/>
          <w:rFonts w:cstheme="minorHAnsi"/>
        </w:rPr>
        <w:footnoteRef/>
      </w:r>
      <w:r w:rsidRPr="00EB3E51">
        <w:rPr>
          <w:rFonts w:cstheme="minorHAnsi"/>
        </w:rPr>
        <w:t xml:space="preserve"> Niamh Moloney, ‘The European Securities and Markets Authority and Institutional Design for the EU Financial Market – A Tale of Two Competences: Part (1) Rule-Making’ (2011) 12(1) </w:t>
      </w:r>
      <w:r w:rsidRPr="00EB3E51">
        <w:rPr>
          <w:rFonts w:cstheme="minorHAnsi"/>
          <w:i/>
          <w:iCs/>
        </w:rPr>
        <w:t>European Business Organization Law Review</w:t>
      </w:r>
      <w:r w:rsidRPr="00EB3E51">
        <w:rPr>
          <w:rFonts w:cstheme="minorHAnsi"/>
        </w:rPr>
        <w:t xml:space="preserve"> 4</w:t>
      </w:r>
      <w:r w:rsidR="00EF335A">
        <w:rPr>
          <w:rFonts w:cstheme="minorHAnsi"/>
        </w:rPr>
        <w:t>1</w:t>
      </w:r>
      <w:r w:rsidRPr="00EB3E51">
        <w:rPr>
          <w:rFonts w:cstheme="minorHAnsi"/>
        </w:rPr>
        <w:t>.</w:t>
      </w:r>
    </w:p>
  </w:footnote>
  <w:footnote w:id="94">
    <w:p w14:paraId="0865359C" w14:textId="5ED7D801"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Andrew Baker, ‘Restraining Regulatory Capture? Anglo-America, Crisis Politics and Trajectories of Change in Global Financial Governance’ (2010) 86(3) </w:t>
      </w:r>
      <w:r w:rsidRPr="00EB3E51">
        <w:rPr>
          <w:rFonts w:cstheme="minorHAnsi"/>
          <w:i/>
          <w:iCs/>
        </w:rPr>
        <w:t>International Affairs</w:t>
      </w:r>
      <w:r w:rsidR="00EF335A">
        <w:rPr>
          <w:rFonts w:cstheme="minorHAnsi"/>
        </w:rPr>
        <w:t xml:space="preserve"> 647, 648</w:t>
      </w:r>
      <w:r w:rsidRPr="00EB3E51">
        <w:rPr>
          <w:rFonts w:cstheme="minorHAnsi"/>
        </w:rPr>
        <w:t>.</w:t>
      </w:r>
    </w:p>
  </w:footnote>
  <w:footnote w:id="95">
    <w:p w14:paraId="5F422E98" w14:textId="1A8BC74B" w:rsidR="00A3352B" w:rsidRPr="00EB3E51" w:rsidRDefault="00A3352B">
      <w:pPr>
        <w:pStyle w:val="FootnoteText"/>
        <w:rPr>
          <w:rFonts w:cstheme="minorHAnsi"/>
        </w:rPr>
      </w:pPr>
      <w:r w:rsidRPr="00EB3E51">
        <w:rPr>
          <w:rStyle w:val="FootnoteReference"/>
          <w:rFonts w:cstheme="minorHAnsi"/>
        </w:rPr>
        <w:footnoteRef/>
      </w:r>
      <w:r w:rsidR="00EF335A">
        <w:rPr>
          <w:rFonts w:cstheme="minorHAnsi"/>
        </w:rPr>
        <w:t xml:space="preserve"> Baker, n 94</w:t>
      </w:r>
      <w:r w:rsidRPr="00EB3E51">
        <w:rPr>
          <w:rFonts w:cstheme="minorHAnsi"/>
        </w:rPr>
        <w:t>.</w:t>
      </w:r>
    </w:p>
  </w:footnote>
  <w:footnote w:id="96">
    <w:p w14:paraId="0B62E79E" w14:textId="40F993F5" w:rsidR="00A3352B" w:rsidRPr="00EB3E51" w:rsidRDefault="00A3352B">
      <w:pPr>
        <w:pStyle w:val="FootnoteText"/>
        <w:rPr>
          <w:rFonts w:cstheme="minorHAnsi"/>
        </w:rPr>
      </w:pPr>
      <w:r w:rsidRPr="00EB3E51">
        <w:rPr>
          <w:rStyle w:val="FootnoteReference"/>
          <w:rFonts w:cstheme="minorHAnsi"/>
        </w:rPr>
        <w:footnoteRef/>
      </w:r>
      <w:r w:rsidR="00EF335A">
        <w:rPr>
          <w:rFonts w:cstheme="minorHAnsi"/>
        </w:rPr>
        <w:t xml:space="preserve"> Canova, </w:t>
      </w:r>
      <w:r w:rsidRPr="00EB3E51">
        <w:rPr>
          <w:rFonts w:cstheme="minorHAnsi"/>
        </w:rPr>
        <w:t>n 67</w:t>
      </w:r>
      <w:r w:rsidR="00EF335A">
        <w:rPr>
          <w:rFonts w:cstheme="minorHAnsi"/>
        </w:rPr>
        <w:t>,</w:t>
      </w:r>
      <w:r w:rsidRPr="00EB3E51">
        <w:rPr>
          <w:rFonts w:cstheme="minorHAnsi"/>
        </w:rPr>
        <w:t xml:space="preserve"> 384.</w:t>
      </w:r>
    </w:p>
  </w:footnote>
  <w:footnote w:id="97">
    <w:p w14:paraId="700F3075" w14:textId="0492B920"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RJ Edgar, ‘The Future of Financial Regulation: Lessons from the Global Financial Crisis’ (2009) 42(4) </w:t>
      </w:r>
      <w:r w:rsidRPr="00EB3E51">
        <w:rPr>
          <w:rFonts w:cstheme="minorHAnsi"/>
          <w:i/>
          <w:iCs/>
        </w:rPr>
        <w:t>Australian Economic Review</w:t>
      </w:r>
      <w:r w:rsidR="00EF335A">
        <w:rPr>
          <w:rFonts w:cstheme="minorHAnsi"/>
        </w:rPr>
        <w:t xml:space="preserve"> 470, 473</w:t>
      </w:r>
      <w:r w:rsidRPr="00EB3E51">
        <w:rPr>
          <w:rFonts w:cstheme="minorHAnsi"/>
        </w:rPr>
        <w:t>.</w:t>
      </w:r>
    </w:p>
  </w:footnote>
  <w:footnote w:id="98">
    <w:p w14:paraId="541C1463" w14:textId="70BBC8E1" w:rsidR="00A3352B" w:rsidRPr="00EB3E51" w:rsidRDefault="00A3352B">
      <w:pPr>
        <w:pStyle w:val="FootnoteText"/>
        <w:rPr>
          <w:rFonts w:cstheme="minorHAnsi"/>
        </w:rPr>
      </w:pPr>
      <w:r w:rsidRPr="00EB3E51">
        <w:rPr>
          <w:rStyle w:val="FootnoteReference"/>
          <w:rFonts w:cstheme="minorHAnsi"/>
        </w:rPr>
        <w:footnoteRef/>
      </w:r>
      <w:r w:rsidR="00EF335A">
        <w:rPr>
          <w:rFonts w:cstheme="minorHAnsi"/>
        </w:rPr>
        <w:t xml:space="preserve"> Edgar, n 97</w:t>
      </w:r>
      <w:r w:rsidRPr="00EB3E51">
        <w:rPr>
          <w:rFonts w:cstheme="minorHAnsi"/>
        </w:rPr>
        <w:t>.</w:t>
      </w:r>
    </w:p>
  </w:footnote>
  <w:footnote w:id="99">
    <w:p w14:paraId="062A037E" w14:textId="61238308" w:rsidR="00A3352B" w:rsidRPr="00EB3E51" w:rsidRDefault="00A3352B" w:rsidP="00B10229">
      <w:pPr>
        <w:pStyle w:val="FootnoteText"/>
        <w:rPr>
          <w:rFonts w:cstheme="minorHAnsi"/>
        </w:rPr>
      </w:pPr>
      <w:r w:rsidRPr="00EB3E51">
        <w:rPr>
          <w:rStyle w:val="FootnoteReference"/>
          <w:rFonts w:cstheme="minorHAnsi"/>
        </w:rPr>
        <w:footnoteRef/>
      </w:r>
      <w:r w:rsidRPr="00EB3E51">
        <w:rPr>
          <w:rFonts w:cstheme="minorHAnsi"/>
        </w:rPr>
        <w:t xml:space="preserve"> Kuotsai Tom Liou, ‘The Financial Crisis and the Challenge of Government Regulation’ (2013) 37(2) </w:t>
      </w:r>
      <w:r w:rsidRPr="00EB3E51">
        <w:rPr>
          <w:rFonts w:cstheme="minorHAnsi"/>
          <w:i/>
          <w:iCs/>
        </w:rPr>
        <w:t>Public Performance &amp; Management Review</w:t>
      </w:r>
      <w:r w:rsidRPr="00EB3E51">
        <w:rPr>
          <w:rFonts w:cstheme="minorHAnsi"/>
        </w:rPr>
        <w:t xml:space="preserve"> 208.</w:t>
      </w:r>
    </w:p>
  </w:footnote>
  <w:footnote w:id="100">
    <w:p w14:paraId="42DA7FED" w14:textId="66C90B0C"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Liou, n 99</w:t>
      </w:r>
      <w:r w:rsidRPr="00EB3E51">
        <w:rPr>
          <w:rFonts w:cstheme="minorHAnsi"/>
        </w:rPr>
        <w:t>.</w:t>
      </w:r>
    </w:p>
  </w:footnote>
  <w:footnote w:id="101">
    <w:p w14:paraId="76975D87" w14:textId="4FDC2996"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Charles Goodhart, ‘The Boundary Problem in Financial Regulation’ (2008) 206(1) </w:t>
      </w:r>
      <w:r w:rsidRPr="00EB3E51">
        <w:rPr>
          <w:rFonts w:cstheme="minorHAnsi"/>
          <w:i/>
          <w:iCs/>
        </w:rPr>
        <w:t>National Institute Economic Review</w:t>
      </w:r>
      <w:r w:rsidRPr="00EB3E51">
        <w:rPr>
          <w:rFonts w:cstheme="minorHAnsi"/>
        </w:rPr>
        <w:t xml:space="preserve"> 48.</w:t>
      </w:r>
    </w:p>
  </w:footnote>
  <w:footnote w:id="102">
    <w:p w14:paraId="5383FDE1" w14:textId="1F976F8A"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Goodhart, n 101</w:t>
      </w:r>
      <w:r w:rsidRPr="00EB3E51">
        <w:rPr>
          <w:rFonts w:cstheme="minorHAnsi"/>
        </w:rPr>
        <w:t>.</w:t>
      </w:r>
    </w:p>
  </w:footnote>
  <w:footnote w:id="103">
    <w:p w14:paraId="53CF983F" w14:textId="50A635EE"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Omarova, n 45</w:t>
      </w:r>
      <w:r w:rsidRPr="00EB3E51">
        <w:rPr>
          <w:rFonts w:cstheme="minorHAnsi"/>
        </w:rPr>
        <w:t>.</w:t>
      </w:r>
    </w:p>
  </w:footnote>
  <w:footnote w:id="104">
    <w:p w14:paraId="3678DC0E" w14:textId="4E00049D"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Emilios Avgouleas, ‘The Global Financial Crisis, Behavioural Finance and Financial Regulation: In Search of a New Orthodoxy’ (2009) 9(1) </w:t>
      </w:r>
      <w:r w:rsidRPr="00EB3E51">
        <w:rPr>
          <w:rFonts w:cstheme="minorHAnsi"/>
          <w:i/>
          <w:iCs/>
        </w:rPr>
        <w:t>Journal of Corporate Law Studies</w:t>
      </w:r>
      <w:r w:rsidR="00EF335A">
        <w:rPr>
          <w:rFonts w:cstheme="minorHAnsi"/>
        </w:rPr>
        <w:t xml:space="preserve"> 23</w:t>
      </w:r>
      <w:r w:rsidRPr="00EB3E51">
        <w:rPr>
          <w:rFonts w:cstheme="minorHAnsi"/>
        </w:rPr>
        <w:t>; Omarova</w:t>
      </w:r>
      <w:r>
        <w:rPr>
          <w:rFonts w:cstheme="minorHAnsi"/>
        </w:rPr>
        <w:t>, n 45</w:t>
      </w:r>
      <w:r w:rsidRPr="00EB3E51">
        <w:rPr>
          <w:rFonts w:cstheme="minorHAnsi"/>
        </w:rPr>
        <w:t>.</w:t>
      </w:r>
    </w:p>
  </w:footnote>
  <w:footnote w:id="105">
    <w:p w14:paraId="2685683F" w14:textId="48926B04" w:rsidR="00A3352B" w:rsidRPr="00EB3E51" w:rsidRDefault="00A3352B">
      <w:pPr>
        <w:pStyle w:val="FootnoteText"/>
        <w:rPr>
          <w:rFonts w:cstheme="minorHAnsi"/>
        </w:rPr>
      </w:pPr>
      <w:r w:rsidRPr="00EB3E51">
        <w:rPr>
          <w:rStyle w:val="FootnoteReference"/>
          <w:rFonts w:cstheme="minorHAnsi"/>
        </w:rPr>
        <w:footnoteRef/>
      </w:r>
      <w:r w:rsidR="00EF335A">
        <w:rPr>
          <w:rFonts w:cstheme="minorHAnsi"/>
        </w:rPr>
        <w:t xml:space="preserve"> MacNeil, n 1,</w:t>
      </w:r>
      <w:r w:rsidRPr="00EB3E51">
        <w:rPr>
          <w:rFonts w:cstheme="minorHAnsi"/>
        </w:rPr>
        <w:t xml:space="preserve"> 486.</w:t>
      </w:r>
    </w:p>
  </w:footnote>
  <w:footnote w:id="106">
    <w:p w14:paraId="1E1B12CF" w14:textId="62A6A976" w:rsidR="00A3352B" w:rsidRPr="00EB3E51" w:rsidRDefault="00A3352B">
      <w:pPr>
        <w:pStyle w:val="FootnoteText"/>
        <w:rPr>
          <w:rFonts w:cstheme="minorHAnsi"/>
        </w:rPr>
      </w:pPr>
      <w:r w:rsidRPr="00EB3E51">
        <w:rPr>
          <w:rStyle w:val="FootnoteReference"/>
          <w:rFonts w:cstheme="minorHAnsi"/>
        </w:rPr>
        <w:footnoteRef/>
      </w:r>
      <w:r w:rsidR="00EF335A">
        <w:rPr>
          <w:rFonts w:cstheme="minorHAnsi"/>
        </w:rPr>
        <w:t xml:space="preserve"> Ford, n 40; Liou, n 99</w:t>
      </w:r>
      <w:r w:rsidRPr="00EB3E51">
        <w:rPr>
          <w:rFonts w:cstheme="minorHAnsi"/>
        </w:rPr>
        <w:t>.</w:t>
      </w:r>
    </w:p>
  </w:footnote>
  <w:footnote w:id="107">
    <w:p w14:paraId="6BCCC369" w14:textId="570F9382" w:rsidR="00A3352B" w:rsidRPr="00EB3E51" w:rsidRDefault="00A3352B">
      <w:pPr>
        <w:pStyle w:val="FootnoteText"/>
        <w:rPr>
          <w:rFonts w:cstheme="minorHAnsi"/>
        </w:rPr>
      </w:pPr>
      <w:r w:rsidRPr="00EB3E51">
        <w:rPr>
          <w:rStyle w:val="FootnoteReference"/>
          <w:rFonts w:cstheme="minorHAnsi"/>
        </w:rPr>
        <w:footnoteRef/>
      </w:r>
      <w:r w:rsidR="00EF335A">
        <w:rPr>
          <w:rFonts w:cstheme="minorHAnsi"/>
        </w:rPr>
        <w:t xml:space="preserve"> Awrey, n 43</w:t>
      </w:r>
      <w:r w:rsidRPr="00EB3E51">
        <w:rPr>
          <w:rFonts w:cstheme="minorHAnsi"/>
        </w:rPr>
        <w:t>.</w:t>
      </w:r>
    </w:p>
  </w:footnote>
  <w:footnote w:id="108">
    <w:p w14:paraId="61AA9138" w14:textId="56CDB8DF"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Leonard J Kennedy, Patricia A McCoy and Ethan Bernstein, ‘The Consumer Financial Protection Bureau: Financial Regulation for the Twenty-First Century’ (2011) 97 </w:t>
      </w:r>
      <w:r w:rsidRPr="00EB3E51">
        <w:rPr>
          <w:rFonts w:cstheme="minorHAnsi"/>
          <w:i/>
          <w:iCs/>
        </w:rPr>
        <w:t>Cornell Law Review</w:t>
      </w:r>
      <w:r w:rsidR="00EF335A">
        <w:rPr>
          <w:rFonts w:cstheme="minorHAnsi"/>
        </w:rPr>
        <w:t xml:space="preserve"> 1141</w:t>
      </w:r>
      <w:r w:rsidRPr="00EB3E51">
        <w:rPr>
          <w:rFonts w:cstheme="minorHAnsi"/>
        </w:rPr>
        <w:t>.</w:t>
      </w:r>
    </w:p>
  </w:footnote>
  <w:footnote w:id="109">
    <w:p w14:paraId="18D45BA1" w14:textId="5FB2EF57" w:rsidR="00A3352B" w:rsidRPr="00EB3E51" w:rsidRDefault="00A3352B" w:rsidP="00D91371">
      <w:pPr>
        <w:pStyle w:val="FootnoteText"/>
        <w:rPr>
          <w:rFonts w:cstheme="minorHAnsi"/>
        </w:rPr>
      </w:pPr>
      <w:r w:rsidRPr="00EB3E51">
        <w:rPr>
          <w:rStyle w:val="FootnoteReference"/>
          <w:rFonts w:cstheme="minorHAnsi"/>
        </w:rPr>
        <w:footnoteRef/>
      </w:r>
      <w:r w:rsidR="00EF335A">
        <w:rPr>
          <w:rFonts w:cstheme="minorHAnsi"/>
        </w:rPr>
        <w:t xml:space="preserve"> Liou, n 99</w:t>
      </w:r>
      <w:r w:rsidRPr="00EB3E51">
        <w:rPr>
          <w:rFonts w:cstheme="minorHAnsi"/>
        </w:rPr>
        <w:t>.</w:t>
      </w:r>
    </w:p>
  </w:footnote>
  <w:footnote w:id="110">
    <w:p w14:paraId="69B0FDD0" w14:textId="2555E6B4" w:rsidR="00A3352B" w:rsidRPr="00EB3E51" w:rsidRDefault="00A3352B">
      <w:pPr>
        <w:pStyle w:val="FootnoteText"/>
        <w:rPr>
          <w:rFonts w:cstheme="minorHAnsi"/>
        </w:rPr>
      </w:pPr>
      <w:r w:rsidRPr="00EB3E51">
        <w:rPr>
          <w:rStyle w:val="FootnoteReference"/>
          <w:rFonts w:cstheme="minorHAnsi"/>
        </w:rPr>
        <w:footnoteRef/>
      </w:r>
      <w:r w:rsidR="00EF335A">
        <w:rPr>
          <w:rFonts w:cstheme="minorHAnsi"/>
        </w:rPr>
        <w:t xml:space="preserve"> Awrey, n 43</w:t>
      </w:r>
      <w:r w:rsidRPr="00EB3E51">
        <w:rPr>
          <w:rFonts w:cstheme="minorHAnsi"/>
        </w:rPr>
        <w:t>.</w:t>
      </w:r>
    </w:p>
  </w:footnote>
  <w:footnote w:id="111">
    <w:p w14:paraId="40E63ED7" w14:textId="5DB513C1"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Dirk Heremans and Katrien Bosquet, ‘The Future of Law and Finance after the Financial Crisis: New Perspectives on Regulation and Corporate Governance for Banks Symposium: Law and Economics Conference to Honor Thomas S. Ulen’ (2011) 2011 </w:t>
      </w:r>
      <w:r w:rsidRPr="00EB3E51">
        <w:rPr>
          <w:rFonts w:cstheme="minorHAnsi"/>
          <w:i/>
          <w:iCs/>
        </w:rPr>
        <w:t>University of Illinois Law Review</w:t>
      </w:r>
      <w:r w:rsidRPr="00EB3E51">
        <w:rPr>
          <w:rFonts w:cstheme="minorHAnsi"/>
        </w:rPr>
        <w:t xml:space="preserve"> 1</w:t>
      </w:r>
      <w:r w:rsidR="00EF335A">
        <w:rPr>
          <w:rFonts w:cstheme="minorHAnsi"/>
        </w:rPr>
        <w:t>551</w:t>
      </w:r>
      <w:r w:rsidRPr="00EB3E51">
        <w:rPr>
          <w:rFonts w:cstheme="minorHAnsi"/>
        </w:rPr>
        <w:t xml:space="preserve">; Thomas MJ Möllers, ‘Regulating Credit Rating Agencies: The New US and EU Law—Important Steps or Much Ado about Nothing?’ (2009) 4(4) </w:t>
      </w:r>
      <w:r w:rsidRPr="00EB3E51">
        <w:rPr>
          <w:rFonts w:cstheme="minorHAnsi"/>
          <w:i/>
          <w:iCs/>
        </w:rPr>
        <w:t>Capital Markets Law Journal</w:t>
      </w:r>
      <w:r w:rsidR="00EF335A">
        <w:rPr>
          <w:rFonts w:cstheme="minorHAnsi"/>
        </w:rPr>
        <w:t xml:space="preserve"> 476</w:t>
      </w:r>
      <w:r w:rsidRPr="00EB3E51">
        <w:rPr>
          <w:rFonts w:cstheme="minorHAnsi"/>
        </w:rPr>
        <w:t>.</w:t>
      </w:r>
    </w:p>
  </w:footnote>
  <w:footnote w:id="112">
    <w:p w14:paraId="4EBEF686" w14:textId="62A09D42" w:rsidR="00A3352B" w:rsidRPr="00EB3E51" w:rsidRDefault="00A3352B">
      <w:pPr>
        <w:pStyle w:val="FootnoteText"/>
        <w:rPr>
          <w:rFonts w:cstheme="minorHAnsi"/>
        </w:rPr>
      </w:pPr>
      <w:r w:rsidRPr="00EB3E51">
        <w:rPr>
          <w:rStyle w:val="FootnoteReference"/>
          <w:rFonts w:cstheme="minorHAnsi"/>
        </w:rPr>
        <w:footnoteRef/>
      </w:r>
      <w:r w:rsidR="00EF335A">
        <w:rPr>
          <w:rFonts w:cstheme="minorHAnsi"/>
        </w:rPr>
        <w:t xml:space="preserve"> Avgouleas, n 104,</w:t>
      </w:r>
      <w:r w:rsidRPr="00EB3E51">
        <w:rPr>
          <w:rFonts w:cstheme="minorHAnsi"/>
        </w:rPr>
        <w:t xml:space="preserve"> 28.</w:t>
      </w:r>
    </w:p>
  </w:footnote>
  <w:footnote w:id="113">
    <w:p w14:paraId="1C8B0614" w14:textId="3FCF8B33"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Avgouleas, </w:t>
      </w:r>
      <w:r w:rsidR="00EF335A">
        <w:rPr>
          <w:rFonts w:cstheme="minorHAnsi"/>
        </w:rPr>
        <w:t>n 104</w:t>
      </w:r>
      <w:r w:rsidRPr="00EB3E51">
        <w:rPr>
          <w:rFonts w:cstheme="minorHAnsi"/>
        </w:rPr>
        <w:t>.</w:t>
      </w:r>
    </w:p>
  </w:footnote>
  <w:footnote w:id="114">
    <w:p w14:paraId="0693A83D" w14:textId="555FC95B"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Avgou</w:t>
      </w:r>
      <w:r w:rsidR="00EF335A">
        <w:rPr>
          <w:rFonts w:cstheme="minorHAnsi"/>
        </w:rPr>
        <w:t>leas, n 73</w:t>
      </w:r>
      <w:r w:rsidRPr="00EB3E51">
        <w:rPr>
          <w:rFonts w:cstheme="minorHAnsi"/>
        </w:rPr>
        <w:t>.</w:t>
      </w:r>
    </w:p>
  </w:footnote>
  <w:footnote w:id="115">
    <w:p w14:paraId="420A53FA" w14:textId="192C2217" w:rsidR="00A3352B" w:rsidRPr="00EB3E51" w:rsidRDefault="00A3352B" w:rsidP="00D91371">
      <w:pPr>
        <w:pStyle w:val="FootnoteText"/>
        <w:rPr>
          <w:rFonts w:cstheme="minorHAnsi"/>
        </w:rPr>
      </w:pPr>
      <w:r w:rsidRPr="00EB3E51">
        <w:rPr>
          <w:rStyle w:val="FootnoteReference"/>
          <w:rFonts w:cstheme="minorHAnsi"/>
        </w:rPr>
        <w:footnoteRef/>
      </w:r>
      <w:r w:rsidRPr="00EB3E51">
        <w:rPr>
          <w:rFonts w:cstheme="minorHAnsi"/>
        </w:rPr>
        <w:t xml:space="preserve"> </w:t>
      </w:r>
      <w:r w:rsidR="00EF335A">
        <w:rPr>
          <w:rFonts w:cstheme="minorHAnsi"/>
        </w:rPr>
        <w:t xml:space="preserve">Podolski, </w:t>
      </w:r>
      <w:r w:rsidRPr="00EB3E51">
        <w:rPr>
          <w:rFonts w:cstheme="minorHAnsi"/>
        </w:rPr>
        <w:t xml:space="preserve">‘Regulating Synthetic Securitisation Following the Global Financial Crisis’ (2012) 45(1) </w:t>
      </w:r>
      <w:r w:rsidRPr="00EB3E51">
        <w:rPr>
          <w:rFonts w:cstheme="minorHAnsi"/>
          <w:i/>
          <w:iCs/>
        </w:rPr>
        <w:t>Australian Economic Review</w:t>
      </w:r>
      <w:r w:rsidRPr="00EB3E51">
        <w:rPr>
          <w:rFonts w:cstheme="minorHAnsi"/>
        </w:rPr>
        <w:t xml:space="preserve"> 14.</w:t>
      </w:r>
    </w:p>
  </w:footnote>
  <w:footnote w:id="116">
    <w:p w14:paraId="150C0DEF" w14:textId="0CE0FF56" w:rsidR="00A3352B" w:rsidRPr="00EB3E51" w:rsidRDefault="00A3352B">
      <w:pPr>
        <w:pStyle w:val="FootnoteText"/>
        <w:rPr>
          <w:rFonts w:cstheme="minorHAnsi"/>
        </w:rPr>
      </w:pPr>
      <w:r w:rsidRPr="00EB3E51">
        <w:rPr>
          <w:rStyle w:val="FootnoteReference"/>
          <w:rFonts w:cstheme="minorHAnsi"/>
        </w:rPr>
        <w:footnoteRef/>
      </w:r>
      <w:r w:rsidR="00F43323">
        <w:rPr>
          <w:rFonts w:cstheme="minorHAnsi"/>
        </w:rPr>
        <w:t xml:space="preserve"> Okamoto, n 59</w:t>
      </w:r>
      <w:r w:rsidRPr="00EB3E51">
        <w:rPr>
          <w:rFonts w:cstheme="minorHAnsi"/>
        </w:rPr>
        <w:t xml:space="preserve">; Dorit Samuel, ‘Subprime Mortgage Crisis: Will New Regulations Help Avoid Future Financial Debacles, The’ (2009) 2 </w:t>
      </w:r>
      <w:r w:rsidRPr="00EB3E51">
        <w:rPr>
          <w:rFonts w:cstheme="minorHAnsi"/>
          <w:i/>
          <w:iCs/>
        </w:rPr>
        <w:t>Albany Government Law Review</w:t>
      </w:r>
      <w:r w:rsidRPr="00EB3E51">
        <w:rPr>
          <w:rFonts w:cstheme="minorHAnsi"/>
        </w:rPr>
        <w:t xml:space="preserve"> 217, </w:t>
      </w:r>
      <w:r w:rsidR="00EF335A">
        <w:rPr>
          <w:rFonts w:cstheme="minorHAnsi"/>
        </w:rPr>
        <w:t>221</w:t>
      </w:r>
      <w:r w:rsidRPr="00EB3E51">
        <w:rPr>
          <w:rFonts w:cstheme="minorHAnsi"/>
        </w:rPr>
        <w:t>.</w:t>
      </w:r>
    </w:p>
  </w:footnote>
  <w:footnote w:id="117">
    <w:p w14:paraId="1070FD96" w14:textId="7DFAF3EE" w:rsidR="00A3352B" w:rsidRDefault="00A3352B">
      <w:pPr>
        <w:pStyle w:val="FootnoteText"/>
      </w:pPr>
      <w:r w:rsidRPr="00EB3E51">
        <w:rPr>
          <w:rStyle w:val="FootnoteReference"/>
          <w:rFonts w:cstheme="minorHAnsi"/>
        </w:rPr>
        <w:footnoteRef/>
      </w:r>
      <w:r w:rsidRPr="00EB3E51">
        <w:rPr>
          <w:rFonts w:cstheme="minorHAnsi"/>
        </w:rPr>
        <w:t xml:space="preserve"> Imtiaz Mazumder, Nazneen Ahmad and Nazneen Ahmad, ‘Greed, Financial Innovation or Laxity of Regulation? A Close Look into the 2007-2009 Financial Crisis and Stock Market Volatility’ (2010) 27(2) </w:t>
      </w:r>
      <w:r w:rsidRPr="00EB3E51">
        <w:rPr>
          <w:rFonts w:cstheme="minorHAnsi"/>
          <w:i/>
          <w:iCs/>
        </w:rPr>
        <w:t>Studies in Economics and Finance</w:t>
      </w:r>
      <w:r w:rsidR="00EF335A">
        <w:rPr>
          <w:rFonts w:cstheme="minorHAnsi"/>
        </w:rPr>
        <w:t xml:space="preserve"> 110</w:t>
      </w:r>
      <w:r w:rsidRPr="00EB3E51">
        <w:rPr>
          <w:rFonts w:cstheme="minorHAnsi"/>
        </w:rPr>
        <w:t xml:space="preserve">; David Schmudde, ‘Responding to the Subprime Mess: The New Regulatory Landscape’ (2009) 14(4) </w:t>
      </w:r>
      <w:r w:rsidRPr="00EB3E51">
        <w:rPr>
          <w:rFonts w:cstheme="minorHAnsi"/>
          <w:i/>
          <w:iCs/>
        </w:rPr>
        <w:t>Fordham J. Corp. &amp; Fin. L.</w:t>
      </w:r>
      <w:r w:rsidR="00EF335A">
        <w:rPr>
          <w:rFonts w:cstheme="minorHAnsi"/>
        </w:rPr>
        <w:t xml:space="preserve"> 709</w:t>
      </w:r>
      <w:r w:rsidRPr="00EB3E51">
        <w:rPr>
          <w:rFonts w:cstheme="minorHAnsi"/>
        </w:rPr>
        <w:t>.</w:t>
      </w:r>
    </w:p>
  </w:footnote>
  <w:footnote w:id="118">
    <w:p w14:paraId="49FEF7FE" w14:textId="68A1E82B" w:rsidR="00A3352B" w:rsidRDefault="00A3352B">
      <w:pPr>
        <w:pStyle w:val="FootnoteText"/>
      </w:pPr>
      <w:r>
        <w:rPr>
          <w:rStyle w:val="FootnoteReference"/>
        </w:rPr>
        <w:footnoteRef/>
      </w:r>
      <w:r>
        <w:t xml:space="preserve"> </w:t>
      </w:r>
      <w:r w:rsidRPr="00605E44">
        <w:rPr>
          <w:rFonts w:ascii="Calibri" w:hAnsi="Calibri" w:cs="Calibri"/>
          <w:szCs w:val="24"/>
        </w:rPr>
        <w:t xml:space="preserve">Anna Zalewska, ‘A New Look at Regulating Bankers’ Remuneration’ (2016) 24(3) </w:t>
      </w:r>
      <w:r w:rsidRPr="00605E44">
        <w:rPr>
          <w:rFonts w:ascii="Calibri" w:hAnsi="Calibri" w:cs="Calibri"/>
          <w:i/>
          <w:iCs/>
          <w:szCs w:val="24"/>
        </w:rPr>
        <w:t>Corporate Governance: An International Review</w:t>
      </w:r>
      <w:r w:rsidRPr="00605E44">
        <w:rPr>
          <w:rFonts w:ascii="Calibri" w:hAnsi="Calibri" w:cs="Calibri"/>
          <w:szCs w:val="24"/>
        </w:rPr>
        <w:t xml:space="preserve"> 322.</w:t>
      </w:r>
    </w:p>
  </w:footnote>
  <w:footnote w:id="119">
    <w:p w14:paraId="0545E55F" w14:textId="473939AC" w:rsidR="00A3352B" w:rsidRPr="00EB3E51" w:rsidRDefault="00A3352B">
      <w:pPr>
        <w:pStyle w:val="FootnoteText"/>
        <w:rPr>
          <w:rFonts w:cstheme="minorHAnsi"/>
        </w:rPr>
      </w:pPr>
      <w:r>
        <w:rPr>
          <w:rStyle w:val="FootnoteReference"/>
        </w:rPr>
        <w:footnoteRef/>
      </w:r>
      <w:r>
        <w:t xml:space="preserve"> </w:t>
      </w:r>
      <w:r w:rsidRPr="00EB3E51">
        <w:rPr>
          <w:rFonts w:cstheme="minorHAnsi"/>
        </w:rPr>
        <w:t xml:space="preserve">Gavin Nicholson, Geoffrey Kiel and Scott Kiel-Chisholm, ‘The Contribution of Social Norms to the Global Financial Crisis: A Systemic Actor Focused Model and Proposal for Regulatory Change’ (2011) 19(5) </w:t>
      </w:r>
      <w:r w:rsidRPr="00EB3E51">
        <w:rPr>
          <w:rFonts w:cstheme="minorHAnsi"/>
          <w:i/>
          <w:iCs/>
        </w:rPr>
        <w:t>Corporate Governance: An International Review</w:t>
      </w:r>
      <w:r w:rsidR="00EF335A">
        <w:rPr>
          <w:rFonts w:cstheme="minorHAnsi"/>
        </w:rPr>
        <w:t xml:space="preserve"> 471</w:t>
      </w:r>
      <w:r w:rsidRPr="00EB3E51">
        <w:rPr>
          <w:rFonts w:cstheme="minorHAnsi"/>
        </w:rPr>
        <w:t>.</w:t>
      </w:r>
    </w:p>
  </w:footnote>
  <w:footnote w:id="120">
    <w:p w14:paraId="179669BE" w14:textId="73A0A035" w:rsidR="00A3352B" w:rsidRPr="00EB3E51" w:rsidRDefault="00A3352B">
      <w:pPr>
        <w:pStyle w:val="FootnoteText"/>
        <w:rPr>
          <w:rFonts w:cstheme="minorHAnsi"/>
        </w:rPr>
      </w:pPr>
      <w:r w:rsidRPr="00EB3E51">
        <w:rPr>
          <w:rStyle w:val="FootnoteReference"/>
          <w:rFonts w:cstheme="minorHAnsi"/>
        </w:rPr>
        <w:footnoteRef/>
      </w:r>
      <w:r>
        <w:rPr>
          <w:rFonts w:cstheme="minorHAnsi"/>
        </w:rPr>
        <w:t xml:space="preserve"> Nicholson et al, n 119</w:t>
      </w:r>
      <w:r w:rsidRPr="00EB3E51">
        <w:rPr>
          <w:rFonts w:cstheme="minorHAnsi"/>
        </w:rPr>
        <w:t>.</w:t>
      </w:r>
    </w:p>
  </w:footnote>
  <w:footnote w:id="121">
    <w:p w14:paraId="16DCABA6" w14:textId="6C9DE1AD"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Okamoto</w:t>
      </w:r>
      <w:r>
        <w:rPr>
          <w:rFonts w:cstheme="minorHAnsi"/>
        </w:rPr>
        <w:t>, n 59</w:t>
      </w:r>
      <w:r w:rsidRPr="00EB3E51">
        <w:rPr>
          <w:rFonts w:cstheme="minorHAnsi"/>
        </w:rPr>
        <w:t>.</w:t>
      </w:r>
    </w:p>
  </w:footnote>
  <w:footnote w:id="122">
    <w:p w14:paraId="3CFE72D2" w14:textId="0ADA3F45"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Arup</w:t>
      </w:r>
      <w:r>
        <w:rPr>
          <w:rFonts w:cstheme="minorHAnsi"/>
        </w:rPr>
        <w:t>, n 2</w:t>
      </w:r>
      <w:r w:rsidRPr="00EB3E51">
        <w:rPr>
          <w:rFonts w:cstheme="minorHAnsi"/>
        </w:rPr>
        <w:t>.</w:t>
      </w:r>
    </w:p>
  </w:footnote>
  <w:footnote w:id="123">
    <w:p w14:paraId="18BA8ECE" w14:textId="67DB2C31" w:rsidR="00A3352B" w:rsidRPr="00EB3E51" w:rsidRDefault="00A3352B">
      <w:pPr>
        <w:pStyle w:val="FootnoteText"/>
        <w:rPr>
          <w:rFonts w:cstheme="minorHAnsi"/>
        </w:rPr>
      </w:pPr>
      <w:r w:rsidRPr="00EB3E51">
        <w:rPr>
          <w:rStyle w:val="FootnoteReference"/>
          <w:rFonts w:cstheme="minorHAnsi"/>
        </w:rPr>
        <w:footnoteRef/>
      </w:r>
      <w:r w:rsidRPr="00EB3E51">
        <w:rPr>
          <w:rFonts w:cstheme="minorHAnsi"/>
        </w:rPr>
        <w:t xml:space="preserve"> DNB, </w:t>
      </w:r>
      <w:r w:rsidRPr="00EB3E51">
        <w:rPr>
          <w:rFonts w:cstheme="minorHAnsi"/>
          <w:i/>
          <w:iCs/>
        </w:rPr>
        <w:t>Supervision of Behaviour and Culture</w:t>
      </w:r>
      <w:r w:rsidRPr="00EB3E51">
        <w:rPr>
          <w:rFonts w:cstheme="minorHAnsi"/>
        </w:rPr>
        <w:t xml:space="preserve"> (2015); Alastair Tyler, ‘Behavioural Risk and Banking: The Dutch Central Bank Approach’, </w:t>
      </w:r>
      <w:r w:rsidRPr="00EB3E51">
        <w:rPr>
          <w:rFonts w:cstheme="minorHAnsi"/>
          <w:i/>
          <w:iCs/>
        </w:rPr>
        <w:t>The London Institute of Banking and Finance</w:t>
      </w:r>
      <w:r w:rsidRPr="00EB3E51">
        <w:rPr>
          <w:rFonts w:cstheme="minorHAnsi"/>
        </w:rPr>
        <w:t>.</w:t>
      </w:r>
    </w:p>
  </w:footnote>
  <w:footnote w:id="124">
    <w:p w14:paraId="013ACD34" w14:textId="4E13FFE6" w:rsidR="00A3352B" w:rsidRDefault="00A3352B">
      <w:pPr>
        <w:pStyle w:val="FootnoteText"/>
      </w:pPr>
      <w:r w:rsidRPr="00EB3E51">
        <w:rPr>
          <w:rStyle w:val="FootnoteReference"/>
          <w:rFonts w:cstheme="minorHAnsi"/>
        </w:rPr>
        <w:footnoteRef/>
      </w:r>
      <w:r w:rsidRPr="00EB3E51">
        <w:rPr>
          <w:rFonts w:cstheme="minorHAnsi"/>
        </w:rPr>
        <w:t xml:space="preserve"> Tom Loonen and Mark R Rutgers, ‘Swearing to Be a Good Banker: Perceptions of the Obligatory Banker’s Oath in the Netherlands’ (2017) 18(1) </w:t>
      </w:r>
      <w:r w:rsidRPr="00EB3E51">
        <w:rPr>
          <w:rFonts w:cstheme="minorHAnsi"/>
          <w:i/>
          <w:iCs/>
        </w:rPr>
        <w:t>Journal of Banking Regulation</w:t>
      </w:r>
      <w:r w:rsidR="00EF335A">
        <w:rPr>
          <w:rFonts w:cstheme="minorHAnsi"/>
        </w:rPr>
        <w:t xml:space="preserve"> 28</w:t>
      </w:r>
      <w:r w:rsidRPr="00EB3E51">
        <w:rPr>
          <w:rFonts w:cstheme="minorHAnsi"/>
        </w:rPr>
        <w:t>.</w:t>
      </w:r>
    </w:p>
  </w:footnote>
  <w:footnote w:id="125">
    <w:p w14:paraId="6448EDEF" w14:textId="3747754F" w:rsidR="00A3352B" w:rsidRDefault="00A3352B">
      <w:pPr>
        <w:pStyle w:val="FootnoteText"/>
      </w:pPr>
      <w:r>
        <w:rPr>
          <w:rStyle w:val="FootnoteReference"/>
        </w:rPr>
        <w:footnoteRef/>
      </w:r>
      <w:r>
        <w:t xml:space="preserve"> </w:t>
      </w:r>
      <w:r w:rsidR="00EF335A">
        <w:rPr>
          <w:rFonts w:ascii="Calibri" w:hAnsi="Calibri" w:cs="Calibri"/>
          <w:szCs w:val="24"/>
        </w:rPr>
        <w:t>Hayne, n 3,</w:t>
      </w:r>
      <w:r w:rsidRPr="008F34DB">
        <w:rPr>
          <w:rFonts w:ascii="Calibri" w:hAnsi="Calibri" w:cs="Calibri"/>
          <w:szCs w:val="24"/>
        </w:rPr>
        <w:t xml:space="preserve"> 460–462.</w:t>
      </w:r>
    </w:p>
  </w:footnote>
  <w:footnote w:id="126">
    <w:p w14:paraId="0558E174" w14:textId="16285AFC" w:rsidR="00A3352B" w:rsidRDefault="00A3352B">
      <w:pPr>
        <w:pStyle w:val="FootnoteText"/>
      </w:pPr>
      <w:r>
        <w:rPr>
          <w:rStyle w:val="FootnoteReference"/>
        </w:rPr>
        <w:footnoteRef/>
      </w:r>
      <w:r>
        <w:t xml:space="preserve"> </w:t>
      </w:r>
      <w:r w:rsidRPr="00510162">
        <w:rPr>
          <w:rFonts w:ascii="Calibri" w:hAnsi="Calibri" w:cs="Calibri"/>
          <w:szCs w:val="24"/>
        </w:rPr>
        <w:t xml:space="preserve">Victor Fleischer, ‘Regulatory Arbitrage’ (2010) 89 </w:t>
      </w:r>
      <w:r w:rsidRPr="00510162">
        <w:rPr>
          <w:rFonts w:ascii="Calibri" w:hAnsi="Calibri" w:cs="Calibri"/>
          <w:i/>
          <w:iCs/>
          <w:szCs w:val="24"/>
        </w:rPr>
        <w:t>Tex. L. Rev.</w:t>
      </w:r>
      <w:r w:rsidRPr="00510162">
        <w:rPr>
          <w:rFonts w:ascii="Calibri" w:hAnsi="Calibri" w:cs="Calibri"/>
          <w:szCs w:val="24"/>
        </w:rPr>
        <w:t xml:space="preserve"> 227.</w:t>
      </w:r>
    </w:p>
  </w:footnote>
  <w:footnote w:id="127">
    <w:p w14:paraId="193E69E3" w14:textId="481FA58C" w:rsidR="00A3352B" w:rsidRDefault="00A3352B">
      <w:pPr>
        <w:pStyle w:val="FootnoteText"/>
      </w:pPr>
      <w:r>
        <w:rPr>
          <w:rStyle w:val="FootnoteReference"/>
        </w:rPr>
        <w:footnoteRef/>
      </w:r>
      <w:r>
        <w:t xml:space="preserve"> </w:t>
      </w:r>
      <w:r w:rsidR="00EF335A">
        <w:rPr>
          <w:rFonts w:ascii="Calibri" w:hAnsi="Calibri" w:cs="Calibri"/>
        </w:rPr>
        <w:t>Hayne, n 3,</w:t>
      </w:r>
      <w:r w:rsidRPr="00510162">
        <w:rPr>
          <w:rFonts w:ascii="Calibri" w:hAnsi="Calibri" w:cs="Calibri"/>
        </w:rPr>
        <w:t xml:space="preserve"> 476.</w:t>
      </w:r>
    </w:p>
  </w:footnote>
  <w:footnote w:id="128">
    <w:p w14:paraId="258DB5A4" w14:textId="794C4FC4" w:rsidR="00A3352B" w:rsidRDefault="00A3352B">
      <w:pPr>
        <w:pStyle w:val="FootnoteText"/>
      </w:pPr>
      <w:r>
        <w:rPr>
          <w:rStyle w:val="FootnoteReference"/>
        </w:rPr>
        <w:footnoteRef/>
      </w:r>
      <w:r>
        <w:t xml:space="preserve"> </w:t>
      </w:r>
      <w:r w:rsidR="00EF335A">
        <w:rPr>
          <w:rFonts w:ascii="Calibri" w:hAnsi="Calibri" w:cs="Calibri"/>
        </w:rPr>
        <w:t>Omarova and Feibelman, n 88,</w:t>
      </w:r>
      <w:r w:rsidRPr="00F6392A">
        <w:rPr>
          <w:rFonts w:ascii="Calibri" w:hAnsi="Calibri" w:cs="Calibri"/>
        </w:rPr>
        <w:t xml:space="preserve"> 923.</w:t>
      </w:r>
    </w:p>
  </w:footnote>
  <w:footnote w:id="129">
    <w:p w14:paraId="31E466B9" w14:textId="21D68941" w:rsidR="00A3352B" w:rsidRDefault="00A3352B">
      <w:pPr>
        <w:pStyle w:val="FootnoteText"/>
      </w:pPr>
      <w:r>
        <w:rPr>
          <w:rStyle w:val="FootnoteReference"/>
        </w:rPr>
        <w:footnoteRef/>
      </w:r>
      <w:r>
        <w:t xml:space="preserve"> </w:t>
      </w:r>
      <w:r w:rsidR="00EF335A">
        <w:rPr>
          <w:rFonts w:ascii="Calibri" w:hAnsi="Calibri" w:cs="Calibri"/>
        </w:rPr>
        <w:t>Hayne, n 3,</w:t>
      </w:r>
      <w:r w:rsidRPr="00E97F1E">
        <w:rPr>
          <w:rFonts w:ascii="Calibri" w:hAnsi="Calibri" w:cs="Calibri"/>
        </w:rPr>
        <w:t xml:space="preserve"> 470.</w:t>
      </w:r>
    </w:p>
  </w:footnote>
  <w:footnote w:id="130">
    <w:p w14:paraId="43CC4A78" w14:textId="4E8C73F3" w:rsidR="00A3352B" w:rsidRDefault="00A3352B" w:rsidP="00510162">
      <w:pPr>
        <w:pStyle w:val="FootnoteText"/>
      </w:pPr>
      <w:r>
        <w:rPr>
          <w:rStyle w:val="FootnoteReference"/>
        </w:rPr>
        <w:footnoteRef/>
      </w:r>
      <w:r>
        <w:t xml:space="preserve"> </w:t>
      </w:r>
      <w:r w:rsidRPr="00776F79">
        <w:rPr>
          <w:rFonts w:ascii="Calibri" w:hAnsi="Calibri" w:cs="Calibri"/>
          <w:szCs w:val="24"/>
        </w:rPr>
        <w:t xml:space="preserve">Rod Maddock, ‘It’s Not Lack of Resources: Hayne Report Shows Regulator ASIC Has Been Captured’, </w:t>
      </w:r>
      <w:r w:rsidRPr="00776F79">
        <w:rPr>
          <w:rFonts w:ascii="Calibri" w:hAnsi="Calibri" w:cs="Calibri"/>
          <w:i/>
          <w:iCs/>
          <w:szCs w:val="24"/>
        </w:rPr>
        <w:t>Australian Financial Review</w:t>
      </w:r>
      <w:r w:rsidRPr="00776F79">
        <w:rPr>
          <w:rFonts w:ascii="Calibri" w:hAnsi="Calibri" w:cs="Calibri"/>
          <w:szCs w:val="24"/>
        </w:rPr>
        <w:t xml:space="preserve"> (30 September 2018).</w:t>
      </w:r>
    </w:p>
  </w:footnote>
  <w:footnote w:id="131">
    <w:p w14:paraId="3A528F19" w14:textId="555E2356" w:rsidR="00A3352B" w:rsidRDefault="00A3352B">
      <w:pPr>
        <w:pStyle w:val="FootnoteText"/>
      </w:pPr>
      <w:r>
        <w:rPr>
          <w:rStyle w:val="FootnoteReference"/>
        </w:rPr>
        <w:footnoteRef/>
      </w:r>
      <w:r>
        <w:t xml:space="preserve"> </w:t>
      </w:r>
      <w:r>
        <w:rPr>
          <w:rFonts w:ascii="Calibri" w:hAnsi="Calibri" w:cs="Calibri"/>
        </w:rPr>
        <w:t>Hayne, n 3,</w:t>
      </w:r>
      <w:r w:rsidRPr="00F6392A">
        <w:rPr>
          <w:rFonts w:ascii="Calibri" w:hAnsi="Calibri" w:cs="Calibri"/>
        </w:rPr>
        <w:t xml:space="preserve"> 424.</w:t>
      </w:r>
    </w:p>
  </w:footnote>
  <w:footnote w:id="132">
    <w:p w14:paraId="6D69E013" w14:textId="2C6246BA" w:rsidR="00A3352B" w:rsidRDefault="00A3352B">
      <w:pPr>
        <w:pStyle w:val="FootnoteText"/>
      </w:pPr>
      <w:r>
        <w:rPr>
          <w:rStyle w:val="FootnoteReference"/>
        </w:rPr>
        <w:footnoteRef/>
      </w:r>
      <w:r>
        <w:t xml:space="preserve"> </w:t>
      </w:r>
      <w:r>
        <w:rPr>
          <w:rFonts w:ascii="Calibri" w:hAnsi="Calibri" w:cs="Calibri"/>
        </w:rPr>
        <w:t>Hayne, n 3,</w:t>
      </w:r>
      <w:r w:rsidRPr="00BE307C">
        <w:rPr>
          <w:rFonts w:ascii="Calibri" w:hAnsi="Calibri" w:cs="Calibri"/>
        </w:rPr>
        <w:t xml:space="preserve"> 425.</w:t>
      </w:r>
    </w:p>
  </w:footnote>
  <w:footnote w:id="133">
    <w:p w14:paraId="669780F5" w14:textId="0E3C6511" w:rsidR="00A3352B" w:rsidRDefault="00A3352B">
      <w:pPr>
        <w:pStyle w:val="FootnoteText"/>
      </w:pPr>
      <w:r>
        <w:rPr>
          <w:rStyle w:val="FootnoteReference"/>
        </w:rPr>
        <w:footnoteRef/>
      </w:r>
      <w:r>
        <w:t xml:space="preserve"> </w:t>
      </w:r>
      <w:r>
        <w:rPr>
          <w:rFonts w:ascii="Calibri" w:hAnsi="Calibri" w:cs="Calibri"/>
        </w:rPr>
        <w:t>Hayne, n 3,</w:t>
      </w:r>
      <w:r w:rsidRPr="005E0B4C">
        <w:rPr>
          <w:rFonts w:ascii="Calibri" w:hAnsi="Calibri" w:cs="Calibri"/>
        </w:rPr>
        <w:t xml:space="preserve"> 431.</w:t>
      </w:r>
    </w:p>
  </w:footnote>
  <w:footnote w:id="134">
    <w:p w14:paraId="18D79CE1" w14:textId="3E5C5137" w:rsidR="00A3352B" w:rsidRDefault="00A3352B">
      <w:pPr>
        <w:pStyle w:val="FootnoteText"/>
      </w:pPr>
      <w:r>
        <w:rPr>
          <w:rStyle w:val="FootnoteReference"/>
        </w:rPr>
        <w:footnoteRef/>
      </w:r>
      <w:r>
        <w:t xml:space="preserve"> </w:t>
      </w:r>
      <w:r>
        <w:rPr>
          <w:rFonts w:ascii="Calibri" w:hAnsi="Calibri" w:cs="Calibri"/>
        </w:rPr>
        <w:t>Hayne, n 3,</w:t>
      </w:r>
      <w:r w:rsidRPr="005E0B4C">
        <w:rPr>
          <w:rFonts w:ascii="Calibri" w:hAnsi="Calibri" w:cs="Calibri"/>
        </w:rPr>
        <w:t xml:space="preserve"> </w:t>
      </w:r>
      <w:r w:rsidRPr="00DF7C34">
        <w:rPr>
          <w:rFonts w:ascii="Calibri" w:hAnsi="Calibri" w:cs="Calibri"/>
        </w:rPr>
        <w:t>433.</w:t>
      </w:r>
    </w:p>
  </w:footnote>
  <w:footnote w:id="135">
    <w:p w14:paraId="5BA355B6" w14:textId="76A47335" w:rsidR="00A3352B" w:rsidRDefault="00A3352B">
      <w:pPr>
        <w:pStyle w:val="FootnoteText"/>
      </w:pPr>
      <w:r>
        <w:rPr>
          <w:rStyle w:val="FootnoteReference"/>
        </w:rPr>
        <w:footnoteRef/>
      </w:r>
      <w:r>
        <w:t xml:space="preserve"> </w:t>
      </w:r>
      <w:r>
        <w:rPr>
          <w:rFonts w:ascii="Calibri" w:hAnsi="Calibri" w:cs="Calibri"/>
        </w:rPr>
        <w:t>Hayne, n 3,</w:t>
      </w:r>
      <w:r w:rsidRPr="005E0B4C">
        <w:rPr>
          <w:rFonts w:ascii="Calibri" w:hAnsi="Calibri" w:cs="Calibri"/>
        </w:rPr>
        <w:t xml:space="preserve"> </w:t>
      </w:r>
      <w:r w:rsidRPr="00DF7C34">
        <w:rPr>
          <w:rFonts w:ascii="Calibri" w:hAnsi="Calibri" w:cs="Calibri"/>
          <w:szCs w:val="24"/>
        </w:rPr>
        <w:t>106–110.</w:t>
      </w:r>
    </w:p>
  </w:footnote>
  <w:footnote w:id="136">
    <w:p w14:paraId="155389B2" w14:textId="24F1491A" w:rsidR="00A3352B" w:rsidRDefault="00A3352B">
      <w:pPr>
        <w:pStyle w:val="FootnoteText"/>
      </w:pPr>
      <w:r>
        <w:rPr>
          <w:rStyle w:val="FootnoteReference"/>
        </w:rPr>
        <w:footnoteRef/>
      </w:r>
      <w:r>
        <w:t xml:space="preserve"> </w:t>
      </w:r>
      <w:r w:rsidR="00EF335A">
        <w:rPr>
          <w:rFonts w:ascii="Calibri" w:hAnsi="Calibri" w:cs="Calibri"/>
        </w:rPr>
        <w:t>Ayres and Braithwaite, n 62</w:t>
      </w:r>
      <w:r w:rsidRPr="00BE307C">
        <w:rPr>
          <w:rFonts w:ascii="Calibri" w:hAnsi="Calibri" w:cs="Calibri"/>
        </w:rPr>
        <w:t>; Pagliar</w:t>
      </w:r>
      <w:r w:rsidR="00EF335A">
        <w:rPr>
          <w:rFonts w:ascii="Calibri" w:hAnsi="Calibri" w:cs="Calibri"/>
        </w:rPr>
        <w:t>i, n 65</w:t>
      </w:r>
      <w:r w:rsidRPr="00BE307C">
        <w:rPr>
          <w:rFonts w:ascii="Calibri" w:hAnsi="Calibri" w:cs="Calibri"/>
        </w:rPr>
        <w:t>.</w:t>
      </w:r>
    </w:p>
  </w:footnote>
  <w:footnote w:id="137">
    <w:p w14:paraId="4C90B9AF" w14:textId="4550C693" w:rsidR="00A3352B" w:rsidRDefault="00A3352B" w:rsidP="00640BAC">
      <w:pPr>
        <w:pStyle w:val="FootnoteText"/>
      </w:pPr>
      <w:r>
        <w:rPr>
          <w:rStyle w:val="FootnoteReference"/>
        </w:rPr>
        <w:footnoteRef/>
      </w:r>
      <w:r>
        <w:t xml:space="preserve"> </w:t>
      </w:r>
      <w:r>
        <w:rPr>
          <w:rFonts w:ascii="Calibri" w:hAnsi="Calibri" w:cs="Calibri"/>
          <w:szCs w:val="24"/>
        </w:rPr>
        <w:t>Hayne, n 3,</w:t>
      </w:r>
      <w:r w:rsidRPr="00BE307C">
        <w:rPr>
          <w:rFonts w:ascii="Calibri" w:hAnsi="Calibri" w:cs="Calibri"/>
          <w:szCs w:val="24"/>
        </w:rPr>
        <w:t xml:space="preserve"> 1–3.</w:t>
      </w:r>
    </w:p>
  </w:footnote>
  <w:footnote w:id="138">
    <w:p w14:paraId="27C881B8" w14:textId="5F0B3148" w:rsidR="00A3352B" w:rsidRDefault="00A3352B">
      <w:pPr>
        <w:pStyle w:val="FootnoteText"/>
      </w:pPr>
      <w:r>
        <w:rPr>
          <w:rStyle w:val="FootnoteReference"/>
        </w:rPr>
        <w:footnoteRef/>
      </w:r>
      <w:r>
        <w:t xml:space="preserve"> </w:t>
      </w:r>
      <w:r w:rsidRPr="00605E44">
        <w:rPr>
          <w:rFonts w:ascii="Calibri" w:hAnsi="Calibri" w:cs="Calibri"/>
          <w:szCs w:val="24"/>
        </w:rPr>
        <w:t xml:space="preserve">Maree Gee Wilson, ‘You Get What You Reward: Lessons from the Global Financial Crisis’, ed Nichola Robertson, Paul Harrison and Michael Drew (2010) 3(1) </w:t>
      </w:r>
      <w:r w:rsidRPr="00605E44">
        <w:rPr>
          <w:rFonts w:ascii="Calibri" w:hAnsi="Calibri" w:cs="Calibri"/>
          <w:i/>
          <w:iCs/>
          <w:szCs w:val="24"/>
        </w:rPr>
        <w:t>Deakin Business Review</w:t>
      </w:r>
      <w:r w:rsidR="00EF335A">
        <w:rPr>
          <w:rFonts w:ascii="Calibri" w:hAnsi="Calibri" w:cs="Calibri"/>
          <w:szCs w:val="24"/>
        </w:rPr>
        <w:t xml:space="preserve"> 38; Zalewska, n 118</w:t>
      </w:r>
      <w:r w:rsidRPr="00605E44">
        <w:rPr>
          <w:rFonts w:ascii="Calibri" w:hAnsi="Calibri" w:cs="Calibri"/>
          <w:szCs w:val="24"/>
        </w:rPr>
        <w:t>.</w:t>
      </w:r>
    </w:p>
  </w:footnote>
  <w:footnote w:id="139">
    <w:p w14:paraId="1978D0A4" w14:textId="37B08453" w:rsidR="00A3352B" w:rsidRDefault="00A3352B">
      <w:pPr>
        <w:pStyle w:val="FootnoteText"/>
      </w:pPr>
      <w:r>
        <w:rPr>
          <w:rStyle w:val="FootnoteReference"/>
        </w:rPr>
        <w:footnoteRef/>
      </w:r>
      <w:r>
        <w:t xml:space="preserve"> </w:t>
      </w:r>
      <w:r w:rsidRPr="00C850B9">
        <w:rPr>
          <w:rFonts w:ascii="Calibri" w:hAnsi="Calibri" w:cs="Calibri"/>
          <w:szCs w:val="24"/>
        </w:rPr>
        <w:t xml:space="preserve">APRA, </w:t>
      </w:r>
      <w:r w:rsidRPr="00C850B9">
        <w:rPr>
          <w:rFonts w:ascii="Calibri" w:hAnsi="Calibri" w:cs="Calibri"/>
          <w:i/>
          <w:iCs/>
          <w:szCs w:val="24"/>
        </w:rPr>
        <w:t>Information Paper: Remuneration Practices at Large Financial Institutions</w:t>
      </w:r>
      <w:r w:rsidRPr="00C850B9">
        <w:rPr>
          <w:rFonts w:ascii="Calibri" w:hAnsi="Calibri" w:cs="Calibri"/>
          <w:szCs w:val="24"/>
        </w:rPr>
        <w:t xml:space="preserve"> (April 2018).</w:t>
      </w:r>
    </w:p>
  </w:footnote>
  <w:footnote w:id="140">
    <w:p w14:paraId="52E097FC" w14:textId="4805F5B8" w:rsidR="00A3352B" w:rsidRDefault="00A3352B">
      <w:pPr>
        <w:pStyle w:val="FootnoteText"/>
      </w:pPr>
      <w:r>
        <w:rPr>
          <w:rStyle w:val="FootnoteReference"/>
        </w:rPr>
        <w:footnoteRef/>
      </w:r>
      <w:r>
        <w:t xml:space="preserve"> </w:t>
      </w:r>
      <w:r>
        <w:rPr>
          <w:rFonts w:ascii="Calibri" w:hAnsi="Calibri" w:cs="Calibri"/>
          <w:szCs w:val="24"/>
        </w:rPr>
        <w:t>Hayne, n 3,</w:t>
      </w:r>
      <w:r w:rsidRPr="00FC5520">
        <w:rPr>
          <w:rFonts w:ascii="Calibri" w:hAnsi="Calibri" w:cs="Calibri"/>
          <w:szCs w:val="24"/>
        </w:rPr>
        <w:t xml:space="preserve"> 337–339, 344.</w:t>
      </w:r>
    </w:p>
  </w:footnote>
  <w:footnote w:id="141">
    <w:p w14:paraId="5D115DFB" w14:textId="560E0BB0" w:rsidR="00A3352B" w:rsidRDefault="00A3352B">
      <w:pPr>
        <w:pStyle w:val="FootnoteText"/>
      </w:pPr>
      <w:r>
        <w:rPr>
          <w:rStyle w:val="FootnoteReference"/>
        </w:rPr>
        <w:footnoteRef/>
      </w:r>
      <w:r>
        <w:t xml:space="preserve"> </w:t>
      </w:r>
      <w:r>
        <w:rPr>
          <w:rFonts w:ascii="Calibri" w:hAnsi="Calibri" w:cs="Calibri"/>
        </w:rPr>
        <w:t>Zalewska, n 118</w:t>
      </w:r>
      <w:r w:rsidRPr="00605E44">
        <w:rPr>
          <w:rFonts w:ascii="Calibri" w:hAnsi="Calibri" w:cs="Calibri"/>
        </w:rPr>
        <w:t>.</w:t>
      </w:r>
    </w:p>
  </w:footnote>
  <w:footnote w:id="142">
    <w:p w14:paraId="62436BD2" w14:textId="3372645E" w:rsidR="00A3352B" w:rsidRDefault="00A3352B">
      <w:pPr>
        <w:pStyle w:val="FootnoteText"/>
      </w:pPr>
      <w:r>
        <w:rPr>
          <w:rStyle w:val="FootnoteReference"/>
        </w:rPr>
        <w:footnoteRef/>
      </w:r>
      <w:r>
        <w:t xml:space="preserve"> </w:t>
      </w:r>
      <w:r w:rsidRPr="00C850B9">
        <w:rPr>
          <w:rFonts w:ascii="Calibri" w:hAnsi="Calibri" w:cs="Calibri"/>
          <w:szCs w:val="24"/>
        </w:rPr>
        <w:t xml:space="preserve">APRA, </w:t>
      </w:r>
      <w:r w:rsidRPr="00C850B9">
        <w:rPr>
          <w:rFonts w:ascii="Calibri" w:hAnsi="Calibri" w:cs="Calibri"/>
          <w:i/>
          <w:iCs/>
          <w:szCs w:val="24"/>
        </w:rPr>
        <w:t>Information Paper: Self-Assessments of Governance, Accountability and Culture</w:t>
      </w:r>
      <w:r w:rsidRPr="00C850B9">
        <w:rPr>
          <w:rFonts w:ascii="Calibri" w:hAnsi="Calibri" w:cs="Calibri"/>
          <w:szCs w:val="24"/>
        </w:rPr>
        <w:t xml:space="preserve"> (22 May 2019).</w:t>
      </w:r>
    </w:p>
  </w:footnote>
  <w:footnote w:id="143">
    <w:p w14:paraId="747951CE" w14:textId="179913AF" w:rsidR="00A3352B" w:rsidRDefault="00A3352B">
      <w:pPr>
        <w:pStyle w:val="FootnoteText"/>
      </w:pPr>
      <w:r>
        <w:rPr>
          <w:rStyle w:val="FootnoteReference"/>
        </w:rPr>
        <w:footnoteRef/>
      </w:r>
      <w:r>
        <w:t xml:space="preserve"> </w:t>
      </w:r>
      <w:r>
        <w:rPr>
          <w:rFonts w:ascii="Calibri" w:hAnsi="Calibri" w:cs="Calibri"/>
        </w:rPr>
        <w:t>Hayne, n 3,</w:t>
      </w:r>
      <w:r w:rsidRPr="00301024">
        <w:rPr>
          <w:rFonts w:ascii="Calibri" w:hAnsi="Calibri" w:cs="Calibri"/>
        </w:rPr>
        <w:t xml:space="preserve"> 375.</w:t>
      </w:r>
    </w:p>
  </w:footnote>
  <w:footnote w:id="144">
    <w:p w14:paraId="7B819AD9" w14:textId="6A898EEC" w:rsidR="00A3352B" w:rsidRDefault="00A3352B">
      <w:pPr>
        <w:pStyle w:val="FootnoteText"/>
      </w:pPr>
      <w:r>
        <w:rPr>
          <w:rStyle w:val="FootnoteReference"/>
        </w:rPr>
        <w:footnoteRef/>
      </w:r>
      <w:r>
        <w:t xml:space="preserve"> </w:t>
      </w:r>
      <w:r w:rsidR="00EF335A">
        <w:rPr>
          <w:rFonts w:ascii="Calibri" w:hAnsi="Calibri" w:cs="Calibri"/>
          <w:szCs w:val="24"/>
        </w:rPr>
        <w:t>Hayne, n. 3,</w:t>
      </w:r>
      <w:r w:rsidRPr="00301024">
        <w:rPr>
          <w:rFonts w:ascii="Calibri" w:hAnsi="Calibri" w:cs="Calibri"/>
          <w:szCs w:val="24"/>
        </w:rPr>
        <w:t xml:space="preserve"> 138; Hayne, </w:t>
      </w:r>
      <w:r w:rsidRPr="00301024">
        <w:rPr>
          <w:rFonts w:ascii="Calibri" w:hAnsi="Calibri" w:cs="Calibri"/>
          <w:i/>
          <w:iCs/>
          <w:szCs w:val="24"/>
        </w:rPr>
        <w:t>Interim Report of the Financial Services Royal Commission into Misconduct in the Banking, Superannuation and Financial Services Industry</w:t>
      </w:r>
      <w:r w:rsidRPr="00301024">
        <w:rPr>
          <w:rFonts w:ascii="Calibri" w:hAnsi="Calibri" w:cs="Calibri"/>
          <w:szCs w:val="24"/>
        </w:rPr>
        <w:t xml:space="preserve"> (September 2018) xix.</w:t>
      </w:r>
    </w:p>
  </w:footnote>
  <w:footnote w:id="145">
    <w:p w14:paraId="30BFAD03" w14:textId="4C69D7F6" w:rsidR="00A3352B" w:rsidRPr="008A3CE9" w:rsidRDefault="00A3352B" w:rsidP="00FD3DAB">
      <w:pPr>
        <w:pStyle w:val="FootnoteText"/>
        <w:rPr>
          <w:lang w:val="en-AU"/>
        </w:rPr>
      </w:pPr>
      <w:r>
        <w:rPr>
          <w:rStyle w:val="FootnoteReference"/>
        </w:rPr>
        <w:footnoteRef/>
      </w:r>
      <w:r>
        <w:t xml:space="preserve"> </w:t>
      </w:r>
      <w:r>
        <w:rPr>
          <w:rFonts w:ascii="Calibri" w:hAnsi="Calibri" w:cs="Calibri"/>
        </w:rPr>
        <w:t>Hayne, n 144,</w:t>
      </w:r>
      <w:r w:rsidRPr="00E97F1E">
        <w:rPr>
          <w:rFonts w:ascii="Calibri" w:hAnsi="Calibri" w:cs="Calibri"/>
        </w:rPr>
        <w:t xml:space="preserve"> 290.</w:t>
      </w:r>
    </w:p>
  </w:footnote>
  <w:footnote w:id="146">
    <w:p w14:paraId="47E109E9" w14:textId="656D13BD" w:rsidR="00A3352B" w:rsidRDefault="00A3352B">
      <w:pPr>
        <w:pStyle w:val="FootnoteText"/>
      </w:pPr>
      <w:r>
        <w:rPr>
          <w:rStyle w:val="FootnoteReference"/>
        </w:rPr>
        <w:footnoteRef/>
      </w:r>
      <w:r>
        <w:t xml:space="preserve"> </w:t>
      </w:r>
      <w:r>
        <w:rPr>
          <w:rFonts w:ascii="Calibri" w:hAnsi="Calibri" w:cs="Calibri"/>
        </w:rPr>
        <w:t>Hayne, n 3,</w:t>
      </w:r>
      <w:r w:rsidRPr="001167A7">
        <w:rPr>
          <w:rFonts w:ascii="Calibri" w:hAnsi="Calibri" w:cs="Calibri"/>
        </w:rPr>
        <w:t xml:space="preserve"> 24 and 318.</w:t>
      </w:r>
    </w:p>
  </w:footnote>
  <w:footnote w:id="147">
    <w:p w14:paraId="091E638E" w14:textId="48FC0A75" w:rsidR="00A3352B" w:rsidRPr="00B75F5C" w:rsidRDefault="00A3352B" w:rsidP="00720AD6">
      <w:pPr>
        <w:pStyle w:val="FootnoteText"/>
        <w:rPr>
          <w:rFonts w:cstheme="minorHAnsi"/>
        </w:rPr>
      </w:pPr>
      <w:r>
        <w:rPr>
          <w:rStyle w:val="FootnoteReference"/>
        </w:rPr>
        <w:footnoteRef/>
      </w:r>
      <w:r>
        <w:t xml:space="preserve"> </w:t>
      </w:r>
      <w:r w:rsidRPr="00B75F5C">
        <w:rPr>
          <w:rFonts w:cstheme="minorHAnsi"/>
        </w:rPr>
        <w:t xml:space="preserve">Kevin Young, ‘Financial Industry Groups’ Adaptation to the Post-Crisis Regulatory Environment: Changing Approaches to the Policy Cycle’ (2013) 7(4) </w:t>
      </w:r>
      <w:r w:rsidRPr="00B75F5C">
        <w:rPr>
          <w:rFonts w:cstheme="minorHAnsi"/>
          <w:i/>
          <w:iCs/>
        </w:rPr>
        <w:t>Regulation &amp; Governance</w:t>
      </w:r>
      <w:r w:rsidR="00EF335A">
        <w:rPr>
          <w:rFonts w:cstheme="minorHAnsi"/>
        </w:rPr>
        <w:t xml:space="preserve"> 460</w:t>
      </w:r>
      <w:r w:rsidRPr="00B75F5C">
        <w:rPr>
          <w:rFonts w:cstheme="minorHAnsi"/>
        </w:rPr>
        <w:t>.</w:t>
      </w:r>
    </w:p>
  </w:footnote>
  <w:footnote w:id="148">
    <w:p w14:paraId="662F5344" w14:textId="260EF4C3" w:rsidR="00A3352B" w:rsidRPr="00E4621D" w:rsidRDefault="00A3352B" w:rsidP="00720AD6">
      <w:pPr>
        <w:pStyle w:val="FootnoteText"/>
        <w:rPr>
          <w:rFonts w:cstheme="minorHAnsi"/>
        </w:rPr>
      </w:pPr>
      <w:r>
        <w:rPr>
          <w:rStyle w:val="FootnoteReference"/>
        </w:rPr>
        <w:footnoteRef/>
      </w:r>
      <w:r>
        <w:t xml:space="preserve"> </w:t>
      </w:r>
      <w:r w:rsidRPr="00E4621D">
        <w:rPr>
          <w:rFonts w:cstheme="minorHAnsi"/>
        </w:rPr>
        <w:t>Liou</w:t>
      </w:r>
      <w:r>
        <w:rPr>
          <w:rFonts w:cstheme="minorHAnsi"/>
        </w:rPr>
        <w:t>, n 99</w:t>
      </w:r>
      <w:r w:rsidRPr="00E4621D">
        <w:rPr>
          <w:rFonts w:cstheme="minorHAnsi"/>
        </w:rPr>
        <w:t>.</w:t>
      </w:r>
    </w:p>
  </w:footnote>
  <w:footnote w:id="149">
    <w:p w14:paraId="1135DD39" w14:textId="100AA122" w:rsidR="00A3352B" w:rsidRPr="00E4621D" w:rsidRDefault="00A3352B" w:rsidP="00196C10">
      <w:pPr>
        <w:pStyle w:val="FootnoteText"/>
        <w:rPr>
          <w:rFonts w:cstheme="minorHAnsi"/>
        </w:rPr>
      </w:pPr>
      <w:r w:rsidRPr="00E4621D">
        <w:rPr>
          <w:rStyle w:val="FootnoteReference"/>
          <w:rFonts w:cstheme="minorHAnsi"/>
        </w:rPr>
        <w:footnoteRef/>
      </w:r>
      <w:r w:rsidRPr="00E4621D">
        <w:rPr>
          <w:rFonts w:cstheme="minorHAnsi"/>
        </w:rPr>
        <w:t xml:space="preserve"> Ross Levine, ‘The Governance of Financial Regulation: Reform Lessons from the Recent Crisis’ (2012) 12(1) </w:t>
      </w:r>
      <w:r w:rsidRPr="00E4621D">
        <w:rPr>
          <w:rFonts w:cstheme="minorHAnsi"/>
          <w:i/>
          <w:iCs/>
        </w:rPr>
        <w:t>International Review of Finance</w:t>
      </w:r>
      <w:r w:rsidR="00EF335A">
        <w:rPr>
          <w:rFonts w:cstheme="minorHAnsi"/>
        </w:rPr>
        <w:t xml:space="preserve"> 39</w:t>
      </w:r>
      <w:r w:rsidRPr="00E4621D">
        <w:rPr>
          <w:rFonts w:cstheme="minorHAnsi"/>
        </w:rPr>
        <w:t>.</w:t>
      </w:r>
    </w:p>
  </w:footnote>
  <w:footnote w:id="150">
    <w:p w14:paraId="409A354A" w14:textId="6788E92D" w:rsidR="00A3352B" w:rsidRPr="00E4621D" w:rsidRDefault="00A3352B" w:rsidP="00720AD6">
      <w:pPr>
        <w:pStyle w:val="FootnoteText"/>
        <w:rPr>
          <w:rFonts w:cstheme="minorHAnsi"/>
        </w:rPr>
      </w:pPr>
      <w:r w:rsidRPr="00E4621D">
        <w:rPr>
          <w:rStyle w:val="FootnoteReference"/>
          <w:rFonts w:cstheme="minorHAnsi"/>
        </w:rPr>
        <w:footnoteRef/>
      </w:r>
      <w:r w:rsidRPr="00E4621D">
        <w:rPr>
          <w:rFonts w:cstheme="minorHAnsi"/>
        </w:rPr>
        <w:t xml:space="preserve"> Pan</w:t>
      </w:r>
      <w:r>
        <w:rPr>
          <w:rFonts w:cstheme="minorHAnsi"/>
        </w:rPr>
        <w:t>, n 25</w:t>
      </w:r>
      <w:r w:rsidRPr="00E4621D">
        <w:rPr>
          <w:rFonts w:cstheme="minorHAnsi"/>
        </w:rPr>
        <w:t>.</w:t>
      </w:r>
    </w:p>
  </w:footnote>
  <w:footnote w:id="151">
    <w:p w14:paraId="63119625" w14:textId="73A9B38A" w:rsidR="00A3352B" w:rsidRPr="00E4621D" w:rsidRDefault="00A3352B" w:rsidP="007B64A3">
      <w:pPr>
        <w:pStyle w:val="FootnoteText"/>
        <w:rPr>
          <w:rFonts w:cstheme="minorHAnsi"/>
        </w:rPr>
      </w:pPr>
      <w:r w:rsidRPr="00E4621D">
        <w:rPr>
          <w:rStyle w:val="FootnoteReference"/>
          <w:rFonts w:cstheme="minorHAnsi"/>
        </w:rPr>
        <w:footnoteRef/>
      </w:r>
      <w:r w:rsidRPr="00E4621D">
        <w:rPr>
          <w:rFonts w:cstheme="minorHAnsi"/>
        </w:rPr>
        <w:t xml:space="preserve"> </w:t>
      </w:r>
      <w:r>
        <w:rPr>
          <w:rFonts w:cstheme="minorHAnsi"/>
        </w:rPr>
        <w:t>Davies, n 16,</w:t>
      </w:r>
      <w:r w:rsidRPr="00E4621D">
        <w:rPr>
          <w:rFonts w:cstheme="minorHAnsi"/>
        </w:rPr>
        <w:t xml:space="preserve"> 208.</w:t>
      </w:r>
    </w:p>
  </w:footnote>
  <w:footnote w:id="152">
    <w:p w14:paraId="0DFB2434" w14:textId="2825F82A" w:rsidR="00A3352B" w:rsidRPr="00E4621D" w:rsidRDefault="00A3352B" w:rsidP="001167A7">
      <w:pPr>
        <w:pStyle w:val="FootnoteText"/>
        <w:rPr>
          <w:rFonts w:cstheme="minorHAnsi"/>
        </w:rPr>
      </w:pPr>
      <w:r w:rsidRPr="00E4621D">
        <w:rPr>
          <w:rStyle w:val="FootnoteReference"/>
          <w:rFonts w:cstheme="minorHAnsi"/>
        </w:rPr>
        <w:footnoteRef/>
      </w:r>
      <w:r>
        <w:rPr>
          <w:rFonts w:cstheme="minorHAnsi"/>
        </w:rPr>
        <w:t xml:space="preserve"> Omarova, n 45</w:t>
      </w:r>
      <w:r w:rsidRPr="00E4621D">
        <w:rPr>
          <w:rFonts w:cstheme="minorHAnsi"/>
        </w:rPr>
        <w:t>.</w:t>
      </w:r>
    </w:p>
  </w:footnote>
  <w:footnote w:id="153">
    <w:p w14:paraId="76A89942" w14:textId="448BFD23" w:rsidR="00A3352B" w:rsidRPr="00E4621D" w:rsidRDefault="00A3352B" w:rsidP="001167A7">
      <w:pPr>
        <w:pStyle w:val="FootnoteText"/>
        <w:rPr>
          <w:rFonts w:cstheme="minorHAnsi"/>
        </w:rPr>
      </w:pPr>
      <w:r w:rsidRPr="00E4621D">
        <w:rPr>
          <w:rStyle w:val="FootnoteReference"/>
          <w:rFonts w:cstheme="minorHAnsi"/>
        </w:rPr>
        <w:footnoteRef/>
      </w:r>
      <w:r>
        <w:rPr>
          <w:rFonts w:cstheme="minorHAnsi"/>
        </w:rPr>
        <w:t xml:space="preserve"> Ayres and Braithwaite, n 62</w:t>
      </w:r>
      <w:r w:rsidRPr="00E4621D">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4EBB" w14:textId="60AF4002" w:rsidR="00492723" w:rsidRPr="00492723" w:rsidRDefault="00492723" w:rsidP="00492723">
    <w:pPr>
      <w:pStyle w:val="Header"/>
      <w:jc w:val="right"/>
      <w:rPr>
        <w:lang w:val="en-AU"/>
      </w:rPr>
    </w:pPr>
    <w:r>
      <w:rPr>
        <w:lang w:val="en-AU"/>
      </w:rPr>
      <w:t>Draft June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736"/>
    <w:multiLevelType w:val="hybridMultilevel"/>
    <w:tmpl w:val="77B84B22"/>
    <w:lvl w:ilvl="0" w:tplc="5E2C2DA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768A7"/>
    <w:multiLevelType w:val="hybridMultilevel"/>
    <w:tmpl w:val="5644D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4739A"/>
    <w:multiLevelType w:val="hybridMultilevel"/>
    <w:tmpl w:val="34180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F1E66"/>
    <w:multiLevelType w:val="hybridMultilevel"/>
    <w:tmpl w:val="48AAFBAE"/>
    <w:lvl w:ilvl="0" w:tplc="034CD124">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8A255A"/>
    <w:multiLevelType w:val="hybridMultilevel"/>
    <w:tmpl w:val="4648BE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173954"/>
    <w:multiLevelType w:val="hybridMultilevel"/>
    <w:tmpl w:val="0CF2E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C0A68"/>
    <w:multiLevelType w:val="hybridMultilevel"/>
    <w:tmpl w:val="F06A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03547"/>
    <w:multiLevelType w:val="hybridMultilevel"/>
    <w:tmpl w:val="667A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E3892"/>
    <w:multiLevelType w:val="hybridMultilevel"/>
    <w:tmpl w:val="CCFC7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184F2C"/>
    <w:multiLevelType w:val="hybridMultilevel"/>
    <w:tmpl w:val="06EAB18C"/>
    <w:lvl w:ilvl="0" w:tplc="3E5EF6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06139"/>
    <w:multiLevelType w:val="hybridMultilevel"/>
    <w:tmpl w:val="3BA2488E"/>
    <w:lvl w:ilvl="0" w:tplc="432C6D7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3964EEF"/>
    <w:multiLevelType w:val="hybridMultilevel"/>
    <w:tmpl w:val="E78A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F79C7"/>
    <w:multiLevelType w:val="hybridMultilevel"/>
    <w:tmpl w:val="0DBA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4085C"/>
    <w:multiLevelType w:val="hybridMultilevel"/>
    <w:tmpl w:val="ED14BB38"/>
    <w:lvl w:ilvl="0" w:tplc="3E5EF6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51AD5"/>
    <w:multiLevelType w:val="hybridMultilevel"/>
    <w:tmpl w:val="0D40B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3"/>
  </w:num>
  <w:num w:numId="3">
    <w:abstractNumId w:val="9"/>
  </w:num>
  <w:num w:numId="4">
    <w:abstractNumId w:val="11"/>
  </w:num>
  <w:num w:numId="5">
    <w:abstractNumId w:val="6"/>
  </w:num>
  <w:num w:numId="6">
    <w:abstractNumId w:val="2"/>
  </w:num>
  <w:num w:numId="7">
    <w:abstractNumId w:val="8"/>
  </w:num>
  <w:num w:numId="8">
    <w:abstractNumId w:val="10"/>
  </w:num>
  <w:num w:numId="9">
    <w:abstractNumId w:val="7"/>
  </w:num>
  <w:num w:numId="10">
    <w:abstractNumId w:val="14"/>
  </w:num>
  <w:num w:numId="11">
    <w:abstractNumId w:val="5"/>
  </w:num>
  <w:num w:numId="12">
    <w:abstractNumId w:val="1"/>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5E"/>
    <w:rsid w:val="000042CA"/>
    <w:rsid w:val="000055A0"/>
    <w:rsid w:val="00012740"/>
    <w:rsid w:val="0001432F"/>
    <w:rsid w:val="0001453F"/>
    <w:rsid w:val="00017F6E"/>
    <w:rsid w:val="0002341C"/>
    <w:rsid w:val="00024E66"/>
    <w:rsid w:val="00031F7D"/>
    <w:rsid w:val="00032A66"/>
    <w:rsid w:val="00035990"/>
    <w:rsid w:val="00040AA6"/>
    <w:rsid w:val="000425E0"/>
    <w:rsid w:val="00043BD8"/>
    <w:rsid w:val="00045AE9"/>
    <w:rsid w:val="000475EE"/>
    <w:rsid w:val="000479F3"/>
    <w:rsid w:val="000536B7"/>
    <w:rsid w:val="00057654"/>
    <w:rsid w:val="00057C93"/>
    <w:rsid w:val="00063CEA"/>
    <w:rsid w:val="000810A8"/>
    <w:rsid w:val="000843F6"/>
    <w:rsid w:val="0008666A"/>
    <w:rsid w:val="00094D17"/>
    <w:rsid w:val="000A089E"/>
    <w:rsid w:val="000A13CD"/>
    <w:rsid w:val="000A28DD"/>
    <w:rsid w:val="000A73A4"/>
    <w:rsid w:val="000B2A8C"/>
    <w:rsid w:val="000C1234"/>
    <w:rsid w:val="000C1C85"/>
    <w:rsid w:val="000C2B1B"/>
    <w:rsid w:val="000C4CA1"/>
    <w:rsid w:val="000D321F"/>
    <w:rsid w:val="000D4D4A"/>
    <w:rsid w:val="000E0166"/>
    <w:rsid w:val="000E1A0A"/>
    <w:rsid w:val="000E3631"/>
    <w:rsid w:val="000F064C"/>
    <w:rsid w:val="000F0CC1"/>
    <w:rsid w:val="000F2A7F"/>
    <w:rsid w:val="000F4217"/>
    <w:rsid w:val="000F5508"/>
    <w:rsid w:val="00103DEA"/>
    <w:rsid w:val="0010404D"/>
    <w:rsid w:val="001068A4"/>
    <w:rsid w:val="00113EF1"/>
    <w:rsid w:val="00115E81"/>
    <w:rsid w:val="001167A7"/>
    <w:rsid w:val="00117C4C"/>
    <w:rsid w:val="0012106B"/>
    <w:rsid w:val="0012193A"/>
    <w:rsid w:val="00123060"/>
    <w:rsid w:val="00123327"/>
    <w:rsid w:val="001367D8"/>
    <w:rsid w:val="00136A3F"/>
    <w:rsid w:val="00140183"/>
    <w:rsid w:val="001410B8"/>
    <w:rsid w:val="001443D7"/>
    <w:rsid w:val="00145381"/>
    <w:rsid w:val="0015141A"/>
    <w:rsid w:val="00153FEC"/>
    <w:rsid w:val="00160EAF"/>
    <w:rsid w:val="001617C9"/>
    <w:rsid w:val="00166D06"/>
    <w:rsid w:val="00174A9B"/>
    <w:rsid w:val="00177099"/>
    <w:rsid w:val="0018127D"/>
    <w:rsid w:val="0018404F"/>
    <w:rsid w:val="00187C95"/>
    <w:rsid w:val="00191F05"/>
    <w:rsid w:val="001937D9"/>
    <w:rsid w:val="001943E4"/>
    <w:rsid w:val="00196C10"/>
    <w:rsid w:val="001A1669"/>
    <w:rsid w:val="001A1BE5"/>
    <w:rsid w:val="001A3131"/>
    <w:rsid w:val="001A3A59"/>
    <w:rsid w:val="001A6282"/>
    <w:rsid w:val="001A6BB2"/>
    <w:rsid w:val="001A78F5"/>
    <w:rsid w:val="001B283F"/>
    <w:rsid w:val="001B3DE9"/>
    <w:rsid w:val="001C244B"/>
    <w:rsid w:val="001C374D"/>
    <w:rsid w:val="001C43BF"/>
    <w:rsid w:val="001D542F"/>
    <w:rsid w:val="001E08D0"/>
    <w:rsid w:val="001E41FD"/>
    <w:rsid w:val="001F2FA9"/>
    <w:rsid w:val="001F4FB9"/>
    <w:rsid w:val="001F7F7E"/>
    <w:rsid w:val="00200F9A"/>
    <w:rsid w:val="002016A3"/>
    <w:rsid w:val="00203F3E"/>
    <w:rsid w:val="0020478F"/>
    <w:rsid w:val="0021145C"/>
    <w:rsid w:val="0021390B"/>
    <w:rsid w:val="0021762E"/>
    <w:rsid w:val="002218F4"/>
    <w:rsid w:val="00224AB5"/>
    <w:rsid w:val="00225927"/>
    <w:rsid w:val="002264D7"/>
    <w:rsid w:val="00230C4F"/>
    <w:rsid w:val="0023472C"/>
    <w:rsid w:val="002356C3"/>
    <w:rsid w:val="00236369"/>
    <w:rsid w:val="00247982"/>
    <w:rsid w:val="00252FB0"/>
    <w:rsid w:val="0025335C"/>
    <w:rsid w:val="00262951"/>
    <w:rsid w:val="002663AB"/>
    <w:rsid w:val="00273B93"/>
    <w:rsid w:val="00280643"/>
    <w:rsid w:val="00282AA4"/>
    <w:rsid w:val="00285F69"/>
    <w:rsid w:val="00287888"/>
    <w:rsid w:val="00290CAF"/>
    <w:rsid w:val="00294355"/>
    <w:rsid w:val="00295707"/>
    <w:rsid w:val="002A0A3A"/>
    <w:rsid w:val="002A2AF2"/>
    <w:rsid w:val="002A5649"/>
    <w:rsid w:val="002A59FE"/>
    <w:rsid w:val="002B01D1"/>
    <w:rsid w:val="002B0D83"/>
    <w:rsid w:val="002B227F"/>
    <w:rsid w:val="002B42C0"/>
    <w:rsid w:val="002B7AF5"/>
    <w:rsid w:val="002C1C58"/>
    <w:rsid w:val="002C1D09"/>
    <w:rsid w:val="002C4A73"/>
    <w:rsid w:val="002D02A6"/>
    <w:rsid w:val="002D0F88"/>
    <w:rsid w:val="002D1FDB"/>
    <w:rsid w:val="002D3A57"/>
    <w:rsid w:val="002D4CA9"/>
    <w:rsid w:val="002D53CC"/>
    <w:rsid w:val="002D7F15"/>
    <w:rsid w:val="002E12B4"/>
    <w:rsid w:val="002E434A"/>
    <w:rsid w:val="002E59A5"/>
    <w:rsid w:val="002F2804"/>
    <w:rsid w:val="00301024"/>
    <w:rsid w:val="0030490F"/>
    <w:rsid w:val="003060A4"/>
    <w:rsid w:val="00306344"/>
    <w:rsid w:val="00306430"/>
    <w:rsid w:val="003105FF"/>
    <w:rsid w:val="00312511"/>
    <w:rsid w:val="00315097"/>
    <w:rsid w:val="00315DE5"/>
    <w:rsid w:val="00317504"/>
    <w:rsid w:val="00317EA8"/>
    <w:rsid w:val="00321F93"/>
    <w:rsid w:val="00322448"/>
    <w:rsid w:val="00322DC2"/>
    <w:rsid w:val="00324F16"/>
    <w:rsid w:val="00327D73"/>
    <w:rsid w:val="00337C1A"/>
    <w:rsid w:val="00346355"/>
    <w:rsid w:val="00346554"/>
    <w:rsid w:val="00351688"/>
    <w:rsid w:val="00352F20"/>
    <w:rsid w:val="00353A8D"/>
    <w:rsid w:val="00353F76"/>
    <w:rsid w:val="003567C7"/>
    <w:rsid w:val="00360BCF"/>
    <w:rsid w:val="003617B0"/>
    <w:rsid w:val="003704A2"/>
    <w:rsid w:val="003742BC"/>
    <w:rsid w:val="003752CE"/>
    <w:rsid w:val="00377E19"/>
    <w:rsid w:val="003833DA"/>
    <w:rsid w:val="00383BF2"/>
    <w:rsid w:val="00383EA3"/>
    <w:rsid w:val="0038764F"/>
    <w:rsid w:val="00390B67"/>
    <w:rsid w:val="003922D7"/>
    <w:rsid w:val="00394566"/>
    <w:rsid w:val="003A3DAD"/>
    <w:rsid w:val="003A7925"/>
    <w:rsid w:val="003B01E2"/>
    <w:rsid w:val="003C632E"/>
    <w:rsid w:val="003C6ECA"/>
    <w:rsid w:val="003C7770"/>
    <w:rsid w:val="003C7942"/>
    <w:rsid w:val="003D42B3"/>
    <w:rsid w:val="003D6078"/>
    <w:rsid w:val="003E2B5E"/>
    <w:rsid w:val="003E5388"/>
    <w:rsid w:val="003E5E88"/>
    <w:rsid w:val="003F4FF3"/>
    <w:rsid w:val="003F5609"/>
    <w:rsid w:val="00401BA0"/>
    <w:rsid w:val="004042BC"/>
    <w:rsid w:val="0040508C"/>
    <w:rsid w:val="00407424"/>
    <w:rsid w:val="0041037B"/>
    <w:rsid w:val="00410BEB"/>
    <w:rsid w:val="00410CCE"/>
    <w:rsid w:val="00412075"/>
    <w:rsid w:val="00412C0F"/>
    <w:rsid w:val="00413FAE"/>
    <w:rsid w:val="00414748"/>
    <w:rsid w:val="0041593F"/>
    <w:rsid w:val="0041604A"/>
    <w:rsid w:val="004160CA"/>
    <w:rsid w:val="0042029A"/>
    <w:rsid w:val="004234EF"/>
    <w:rsid w:val="00425273"/>
    <w:rsid w:val="00425A86"/>
    <w:rsid w:val="0042680A"/>
    <w:rsid w:val="0042731D"/>
    <w:rsid w:val="004304B4"/>
    <w:rsid w:val="00432BDA"/>
    <w:rsid w:val="004347AB"/>
    <w:rsid w:val="0043695D"/>
    <w:rsid w:val="00437B1F"/>
    <w:rsid w:val="004409CB"/>
    <w:rsid w:val="0044213B"/>
    <w:rsid w:val="00442AD9"/>
    <w:rsid w:val="004448BC"/>
    <w:rsid w:val="00445908"/>
    <w:rsid w:val="0045281C"/>
    <w:rsid w:val="00452DB4"/>
    <w:rsid w:val="00456471"/>
    <w:rsid w:val="004568A1"/>
    <w:rsid w:val="00465AC1"/>
    <w:rsid w:val="00466D08"/>
    <w:rsid w:val="00474A80"/>
    <w:rsid w:val="00474CC9"/>
    <w:rsid w:val="00480CA7"/>
    <w:rsid w:val="0048375E"/>
    <w:rsid w:val="00487634"/>
    <w:rsid w:val="00492723"/>
    <w:rsid w:val="00494197"/>
    <w:rsid w:val="00494993"/>
    <w:rsid w:val="00495C37"/>
    <w:rsid w:val="00497F67"/>
    <w:rsid w:val="00497F8D"/>
    <w:rsid w:val="004A207C"/>
    <w:rsid w:val="004A5B5E"/>
    <w:rsid w:val="004B0271"/>
    <w:rsid w:val="004B2DB6"/>
    <w:rsid w:val="004B519D"/>
    <w:rsid w:val="004B7136"/>
    <w:rsid w:val="004C4E28"/>
    <w:rsid w:val="004C6EAD"/>
    <w:rsid w:val="004D5E43"/>
    <w:rsid w:val="004E3EE4"/>
    <w:rsid w:val="004E732B"/>
    <w:rsid w:val="004E7CF3"/>
    <w:rsid w:val="004F48D0"/>
    <w:rsid w:val="00501184"/>
    <w:rsid w:val="00501902"/>
    <w:rsid w:val="00503329"/>
    <w:rsid w:val="00510162"/>
    <w:rsid w:val="00512FA3"/>
    <w:rsid w:val="00517848"/>
    <w:rsid w:val="00517D1F"/>
    <w:rsid w:val="0052366E"/>
    <w:rsid w:val="0052376A"/>
    <w:rsid w:val="0052674A"/>
    <w:rsid w:val="005273FF"/>
    <w:rsid w:val="00530DA1"/>
    <w:rsid w:val="00533148"/>
    <w:rsid w:val="005419FB"/>
    <w:rsid w:val="0054255F"/>
    <w:rsid w:val="00542BE2"/>
    <w:rsid w:val="00543676"/>
    <w:rsid w:val="00543F4F"/>
    <w:rsid w:val="0054425E"/>
    <w:rsid w:val="005478DB"/>
    <w:rsid w:val="00557892"/>
    <w:rsid w:val="005613AA"/>
    <w:rsid w:val="0056240A"/>
    <w:rsid w:val="00571CFE"/>
    <w:rsid w:val="005724DB"/>
    <w:rsid w:val="0058067E"/>
    <w:rsid w:val="00581CB3"/>
    <w:rsid w:val="00582A5E"/>
    <w:rsid w:val="005859FD"/>
    <w:rsid w:val="00592187"/>
    <w:rsid w:val="005A222B"/>
    <w:rsid w:val="005A517F"/>
    <w:rsid w:val="005A7DAB"/>
    <w:rsid w:val="005B008A"/>
    <w:rsid w:val="005B08AB"/>
    <w:rsid w:val="005B0A95"/>
    <w:rsid w:val="005B1E88"/>
    <w:rsid w:val="005B205E"/>
    <w:rsid w:val="005B343D"/>
    <w:rsid w:val="005B3E96"/>
    <w:rsid w:val="005B4185"/>
    <w:rsid w:val="005B6165"/>
    <w:rsid w:val="005C0D3D"/>
    <w:rsid w:val="005C3244"/>
    <w:rsid w:val="005D2FE6"/>
    <w:rsid w:val="005D5737"/>
    <w:rsid w:val="005D6BCE"/>
    <w:rsid w:val="005E0163"/>
    <w:rsid w:val="005E0B4C"/>
    <w:rsid w:val="005E34A7"/>
    <w:rsid w:val="005E4945"/>
    <w:rsid w:val="005E614F"/>
    <w:rsid w:val="005E6253"/>
    <w:rsid w:val="005E625D"/>
    <w:rsid w:val="005F4125"/>
    <w:rsid w:val="005F5B92"/>
    <w:rsid w:val="006047BA"/>
    <w:rsid w:val="006059FA"/>
    <w:rsid w:val="00605E44"/>
    <w:rsid w:val="00606060"/>
    <w:rsid w:val="006074ED"/>
    <w:rsid w:val="00620669"/>
    <w:rsid w:val="00622BE4"/>
    <w:rsid w:val="00623211"/>
    <w:rsid w:val="0062514A"/>
    <w:rsid w:val="006263BD"/>
    <w:rsid w:val="00631F27"/>
    <w:rsid w:val="006323C0"/>
    <w:rsid w:val="00633BCA"/>
    <w:rsid w:val="006364AC"/>
    <w:rsid w:val="0063738E"/>
    <w:rsid w:val="00640BAC"/>
    <w:rsid w:val="006452F1"/>
    <w:rsid w:val="006467C0"/>
    <w:rsid w:val="00652E08"/>
    <w:rsid w:val="00660A27"/>
    <w:rsid w:val="0066229F"/>
    <w:rsid w:val="00665F0C"/>
    <w:rsid w:val="00672004"/>
    <w:rsid w:val="00675979"/>
    <w:rsid w:val="00676704"/>
    <w:rsid w:val="00677D9F"/>
    <w:rsid w:val="006830E5"/>
    <w:rsid w:val="006838F6"/>
    <w:rsid w:val="00683E76"/>
    <w:rsid w:val="006848FE"/>
    <w:rsid w:val="00691153"/>
    <w:rsid w:val="006925E0"/>
    <w:rsid w:val="0069385F"/>
    <w:rsid w:val="00696269"/>
    <w:rsid w:val="006A030A"/>
    <w:rsid w:val="006A07A7"/>
    <w:rsid w:val="006A2FA2"/>
    <w:rsid w:val="006A392D"/>
    <w:rsid w:val="006A3A8A"/>
    <w:rsid w:val="006A3C63"/>
    <w:rsid w:val="006A59D9"/>
    <w:rsid w:val="006A731F"/>
    <w:rsid w:val="006B5246"/>
    <w:rsid w:val="006B61EB"/>
    <w:rsid w:val="006B669E"/>
    <w:rsid w:val="006C2F6E"/>
    <w:rsid w:val="006C4B47"/>
    <w:rsid w:val="006C5A65"/>
    <w:rsid w:val="006D09A1"/>
    <w:rsid w:val="006D1732"/>
    <w:rsid w:val="006D4C32"/>
    <w:rsid w:val="006D4F93"/>
    <w:rsid w:val="006E5321"/>
    <w:rsid w:val="006E7E80"/>
    <w:rsid w:val="006F0491"/>
    <w:rsid w:val="006F1F05"/>
    <w:rsid w:val="006F329B"/>
    <w:rsid w:val="006F59AD"/>
    <w:rsid w:val="006F6039"/>
    <w:rsid w:val="006F7049"/>
    <w:rsid w:val="00702585"/>
    <w:rsid w:val="00702A8E"/>
    <w:rsid w:val="00702C11"/>
    <w:rsid w:val="00706FE4"/>
    <w:rsid w:val="007075FE"/>
    <w:rsid w:val="00712568"/>
    <w:rsid w:val="00712AAC"/>
    <w:rsid w:val="007132A3"/>
    <w:rsid w:val="00714C76"/>
    <w:rsid w:val="0071711D"/>
    <w:rsid w:val="00720AD6"/>
    <w:rsid w:val="0073347E"/>
    <w:rsid w:val="007356D7"/>
    <w:rsid w:val="0074006E"/>
    <w:rsid w:val="007401C2"/>
    <w:rsid w:val="00740E60"/>
    <w:rsid w:val="00744552"/>
    <w:rsid w:val="00745C65"/>
    <w:rsid w:val="00753D17"/>
    <w:rsid w:val="00755EFA"/>
    <w:rsid w:val="00756C24"/>
    <w:rsid w:val="0076166F"/>
    <w:rsid w:val="007623CA"/>
    <w:rsid w:val="00764FB6"/>
    <w:rsid w:val="00767E34"/>
    <w:rsid w:val="00776F79"/>
    <w:rsid w:val="007771F4"/>
    <w:rsid w:val="00782522"/>
    <w:rsid w:val="00783415"/>
    <w:rsid w:val="00784225"/>
    <w:rsid w:val="00785884"/>
    <w:rsid w:val="007A0345"/>
    <w:rsid w:val="007A568F"/>
    <w:rsid w:val="007A58CF"/>
    <w:rsid w:val="007A7E5C"/>
    <w:rsid w:val="007B5228"/>
    <w:rsid w:val="007B5C21"/>
    <w:rsid w:val="007B64A3"/>
    <w:rsid w:val="007C05A5"/>
    <w:rsid w:val="007C0612"/>
    <w:rsid w:val="007C0ADD"/>
    <w:rsid w:val="007C2F78"/>
    <w:rsid w:val="007C3871"/>
    <w:rsid w:val="007C3FC5"/>
    <w:rsid w:val="007D0D2A"/>
    <w:rsid w:val="007D1549"/>
    <w:rsid w:val="007D1D6E"/>
    <w:rsid w:val="007D22BD"/>
    <w:rsid w:val="007D2395"/>
    <w:rsid w:val="007D35E4"/>
    <w:rsid w:val="007D67CE"/>
    <w:rsid w:val="007E2139"/>
    <w:rsid w:val="007E3464"/>
    <w:rsid w:val="007E43E3"/>
    <w:rsid w:val="007F72F3"/>
    <w:rsid w:val="0080206E"/>
    <w:rsid w:val="008054F1"/>
    <w:rsid w:val="0080759E"/>
    <w:rsid w:val="008125D5"/>
    <w:rsid w:val="008165F8"/>
    <w:rsid w:val="008176CE"/>
    <w:rsid w:val="0081775B"/>
    <w:rsid w:val="00820B6B"/>
    <w:rsid w:val="00823867"/>
    <w:rsid w:val="008239A1"/>
    <w:rsid w:val="00825E8B"/>
    <w:rsid w:val="00827660"/>
    <w:rsid w:val="00827EE1"/>
    <w:rsid w:val="00832512"/>
    <w:rsid w:val="00835AC3"/>
    <w:rsid w:val="00841BB4"/>
    <w:rsid w:val="00850A49"/>
    <w:rsid w:val="00853AA7"/>
    <w:rsid w:val="00862AB9"/>
    <w:rsid w:val="00862C24"/>
    <w:rsid w:val="0086302A"/>
    <w:rsid w:val="00863938"/>
    <w:rsid w:val="00865009"/>
    <w:rsid w:val="00867DCF"/>
    <w:rsid w:val="00872EEC"/>
    <w:rsid w:val="0087443B"/>
    <w:rsid w:val="00875CFD"/>
    <w:rsid w:val="0087613D"/>
    <w:rsid w:val="00876C70"/>
    <w:rsid w:val="00877AF8"/>
    <w:rsid w:val="008825F8"/>
    <w:rsid w:val="00892375"/>
    <w:rsid w:val="00892BFC"/>
    <w:rsid w:val="00894079"/>
    <w:rsid w:val="008957B7"/>
    <w:rsid w:val="008A11D1"/>
    <w:rsid w:val="008A120B"/>
    <w:rsid w:val="008A16D8"/>
    <w:rsid w:val="008A28CA"/>
    <w:rsid w:val="008A3165"/>
    <w:rsid w:val="008A3793"/>
    <w:rsid w:val="008A3CE9"/>
    <w:rsid w:val="008A445B"/>
    <w:rsid w:val="008A5692"/>
    <w:rsid w:val="008A77CA"/>
    <w:rsid w:val="008B5856"/>
    <w:rsid w:val="008B70A9"/>
    <w:rsid w:val="008C56D9"/>
    <w:rsid w:val="008C7AB8"/>
    <w:rsid w:val="008D0E5E"/>
    <w:rsid w:val="008D189F"/>
    <w:rsid w:val="008D30DD"/>
    <w:rsid w:val="008D41C1"/>
    <w:rsid w:val="008D44AD"/>
    <w:rsid w:val="008D4D49"/>
    <w:rsid w:val="008D58A3"/>
    <w:rsid w:val="008E01CE"/>
    <w:rsid w:val="008E31F1"/>
    <w:rsid w:val="008E5E40"/>
    <w:rsid w:val="008F31C8"/>
    <w:rsid w:val="008F34DB"/>
    <w:rsid w:val="008F4512"/>
    <w:rsid w:val="00900B58"/>
    <w:rsid w:val="00902226"/>
    <w:rsid w:val="00903008"/>
    <w:rsid w:val="00904A63"/>
    <w:rsid w:val="00907314"/>
    <w:rsid w:val="00907841"/>
    <w:rsid w:val="0092375D"/>
    <w:rsid w:val="00924599"/>
    <w:rsid w:val="0092507C"/>
    <w:rsid w:val="0093381A"/>
    <w:rsid w:val="009547E3"/>
    <w:rsid w:val="00970564"/>
    <w:rsid w:val="0097506D"/>
    <w:rsid w:val="009763AC"/>
    <w:rsid w:val="00977335"/>
    <w:rsid w:val="00977BA3"/>
    <w:rsid w:val="00986F20"/>
    <w:rsid w:val="00990262"/>
    <w:rsid w:val="009902EF"/>
    <w:rsid w:val="00995EBE"/>
    <w:rsid w:val="00996D97"/>
    <w:rsid w:val="009A657B"/>
    <w:rsid w:val="009A759F"/>
    <w:rsid w:val="009A7799"/>
    <w:rsid w:val="009B0CD2"/>
    <w:rsid w:val="009B1CF4"/>
    <w:rsid w:val="009B3850"/>
    <w:rsid w:val="009B543F"/>
    <w:rsid w:val="009B6815"/>
    <w:rsid w:val="009B79D7"/>
    <w:rsid w:val="009C48CF"/>
    <w:rsid w:val="009C4E05"/>
    <w:rsid w:val="009D18AA"/>
    <w:rsid w:val="009D2E49"/>
    <w:rsid w:val="009D396A"/>
    <w:rsid w:val="009D3976"/>
    <w:rsid w:val="009D465B"/>
    <w:rsid w:val="009D6243"/>
    <w:rsid w:val="009E1AB5"/>
    <w:rsid w:val="009E3593"/>
    <w:rsid w:val="009E5535"/>
    <w:rsid w:val="009F3578"/>
    <w:rsid w:val="00A042A4"/>
    <w:rsid w:val="00A14DB3"/>
    <w:rsid w:val="00A209EB"/>
    <w:rsid w:val="00A22697"/>
    <w:rsid w:val="00A24271"/>
    <w:rsid w:val="00A24D14"/>
    <w:rsid w:val="00A3352B"/>
    <w:rsid w:val="00A3685C"/>
    <w:rsid w:val="00A47822"/>
    <w:rsid w:val="00A51E91"/>
    <w:rsid w:val="00A52176"/>
    <w:rsid w:val="00A53118"/>
    <w:rsid w:val="00A53748"/>
    <w:rsid w:val="00A539D5"/>
    <w:rsid w:val="00A546B0"/>
    <w:rsid w:val="00A61487"/>
    <w:rsid w:val="00A615B1"/>
    <w:rsid w:val="00A6170C"/>
    <w:rsid w:val="00A6427E"/>
    <w:rsid w:val="00A666D4"/>
    <w:rsid w:val="00A67817"/>
    <w:rsid w:val="00A709CD"/>
    <w:rsid w:val="00A70C9F"/>
    <w:rsid w:val="00A719F7"/>
    <w:rsid w:val="00A731F5"/>
    <w:rsid w:val="00A7734C"/>
    <w:rsid w:val="00A7759F"/>
    <w:rsid w:val="00A81732"/>
    <w:rsid w:val="00A83979"/>
    <w:rsid w:val="00A83D05"/>
    <w:rsid w:val="00A84A91"/>
    <w:rsid w:val="00A84E29"/>
    <w:rsid w:val="00A94609"/>
    <w:rsid w:val="00AA630A"/>
    <w:rsid w:val="00AB1023"/>
    <w:rsid w:val="00AB5C22"/>
    <w:rsid w:val="00AB7529"/>
    <w:rsid w:val="00AC19F3"/>
    <w:rsid w:val="00AC2085"/>
    <w:rsid w:val="00AC34B2"/>
    <w:rsid w:val="00AC6458"/>
    <w:rsid w:val="00AD1430"/>
    <w:rsid w:val="00AD2966"/>
    <w:rsid w:val="00AD34C7"/>
    <w:rsid w:val="00AD3737"/>
    <w:rsid w:val="00AD52C8"/>
    <w:rsid w:val="00AD5439"/>
    <w:rsid w:val="00AD71EE"/>
    <w:rsid w:val="00AE0920"/>
    <w:rsid w:val="00AE2752"/>
    <w:rsid w:val="00AE5CE1"/>
    <w:rsid w:val="00AE7367"/>
    <w:rsid w:val="00AF2335"/>
    <w:rsid w:val="00AF4407"/>
    <w:rsid w:val="00AF4F62"/>
    <w:rsid w:val="00B00870"/>
    <w:rsid w:val="00B0189C"/>
    <w:rsid w:val="00B022F0"/>
    <w:rsid w:val="00B03CA9"/>
    <w:rsid w:val="00B0591C"/>
    <w:rsid w:val="00B10229"/>
    <w:rsid w:val="00B10D56"/>
    <w:rsid w:val="00B11128"/>
    <w:rsid w:val="00B11993"/>
    <w:rsid w:val="00B132AF"/>
    <w:rsid w:val="00B1559E"/>
    <w:rsid w:val="00B17940"/>
    <w:rsid w:val="00B2027F"/>
    <w:rsid w:val="00B24128"/>
    <w:rsid w:val="00B2761B"/>
    <w:rsid w:val="00B27876"/>
    <w:rsid w:val="00B27D3D"/>
    <w:rsid w:val="00B3148B"/>
    <w:rsid w:val="00B339A9"/>
    <w:rsid w:val="00B36DA6"/>
    <w:rsid w:val="00B373CB"/>
    <w:rsid w:val="00B4029B"/>
    <w:rsid w:val="00B411DB"/>
    <w:rsid w:val="00B4168E"/>
    <w:rsid w:val="00B43030"/>
    <w:rsid w:val="00B440B1"/>
    <w:rsid w:val="00B45298"/>
    <w:rsid w:val="00B515AE"/>
    <w:rsid w:val="00B57A83"/>
    <w:rsid w:val="00B60A7C"/>
    <w:rsid w:val="00B6268E"/>
    <w:rsid w:val="00B6544A"/>
    <w:rsid w:val="00B67C40"/>
    <w:rsid w:val="00B706CE"/>
    <w:rsid w:val="00B721C5"/>
    <w:rsid w:val="00B72F93"/>
    <w:rsid w:val="00B73234"/>
    <w:rsid w:val="00B75F5C"/>
    <w:rsid w:val="00B76BA2"/>
    <w:rsid w:val="00B864C5"/>
    <w:rsid w:val="00B87E7A"/>
    <w:rsid w:val="00B94BF7"/>
    <w:rsid w:val="00B970F4"/>
    <w:rsid w:val="00B971DE"/>
    <w:rsid w:val="00B97557"/>
    <w:rsid w:val="00B97D13"/>
    <w:rsid w:val="00BA092F"/>
    <w:rsid w:val="00BB094A"/>
    <w:rsid w:val="00BB17AA"/>
    <w:rsid w:val="00BB2F94"/>
    <w:rsid w:val="00BB3007"/>
    <w:rsid w:val="00BC0B89"/>
    <w:rsid w:val="00BC176F"/>
    <w:rsid w:val="00BC370E"/>
    <w:rsid w:val="00BD09E3"/>
    <w:rsid w:val="00BD2535"/>
    <w:rsid w:val="00BD2A37"/>
    <w:rsid w:val="00BD5D02"/>
    <w:rsid w:val="00BD663D"/>
    <w:rsid w:val="00BD7DB9"/>
    <w:rsid w:val="00BE307C"/>
    <w:rsid w:val="00BE3CFF"/>
    <w:rsid w:val="00BE6152"/>
    <w:rsid w:val="00BE6BE7"/>
    <w:rsid w:val="00BF1550"/>
    <w:rsid w:val="00BF24F9"/>
    <w:rsid w:val="00BF449E"/>
    <w:rsid w:val="00BF7612"/>
    <w:rsid w:val="00BF7882"/>
    <w:rsid w:val="00BF7A72"/>
    <w:rsid w:val="00C00B17"/>
    <w:rsid w:val="00C065A6"/>
    <w:rsid w:val="00C11330"/>
    <w:rsid w:val="00C14DCE"/>
    <w:rsid w:val="00C17EC7"/>
    <w:rsid w:val="00C20496"/>
    <w:rsid w:val="00C27EEA"/>
    <w:rsid w:val="00C341D4"/>
    <w:rsid w:val="00C40D40"/>
    <w:rsid w:val="00C42591"/>
    <w:rsid w:val="00C44308"/>
    <w:rsid w:val="00C4497B"/>
    <w:rsid w:val="00C45DDB"/>
    <w:rsid w:val="00C513B0"/>
    <w:rsid w:val="00C513C5"/>
    <w:rsid w:val="00C53BE9"/>
    <w:rsid w:val="00C53CDC"/>
    <w:rsid w:val="00C5622A"/>
    <w:rsid w:val="00C6021A"/>
    <w:rsid w:val="00C6155F"/>
    <w:rsid w:val="00C63EEB"/>
    <w:rsid w:val="00C64F85"/>
    <w:rsid w:val="00C657A9"/>
    <w:rsid w:val="00C67155"/>
    <w:rsid w:val="00C7028B"/>
    <w:rsid w:val="00C709F3"/>
    <w:rsid w:val="00C735B1"/>
    <w:rsid w:val="00C7456F"/>
    <w:rsid w:val="00C8162E"/>
    <w:rsid w:val="00C821EA"/>
    <w:rsid w:val="00C8270A"/>
    <w:rsid w:val="00C850B9"/>
    <w:rsid w:val="00C8782D"/>
    <w:rsid w:val="00C905E7"/>
    <w:rsid w:val="00C90E1D"/>
    <w:rsid w:val="00C913C6"/>
    <w:rsid w:val="00C95480"/>
    <w:rsid w:val="00C962DC"/>
    <w:rsid w:val="00C96489"/>
    <w:rsid w:val="00C97520"/>
    <w:rsid w:val="00C97F55"/>
    <w:rsid w:val="00CA3FE2"/>
    <w:rsid w:val="00CA43F8"/>
    <w:rsid w:val="00CA78EE"/>
    <w:rsid w:val="00CB0CF1"/>
    <w:rsid w:val="00CB7186"/>
    <w:rsid w:val="00CC25BB"/>
    <w:rsid w:val="00CC3565"/>
    <w:rsid w:val="00CD0FFA"/>
    <w:rsid w:val="00CE24B2"/>
    <w:rsid w:val="00CE5ECD"/>
    <w:rsid w:val="00CF0C05"/>
    <w:rsid w:val="00CF38AB"/>
    <w:rsid w:val="00CF3A32"/>
    <w:rsid w:val="00D02632"/>
    <w:rsid w:val="00D038C0"/>
    <w:rsid w:val="00D03E8E"/>
    <w:rsid w:val="00D05E10"/>
    <w:rsid w:val="00D13C8C"/>
    <w:rsid w:val="00D14886"/>
    <w:rsid w:val="00D169FD"/>
    <w:rsid w:val="00D17E3D"/>
    <w:rsid w:val="00D208FF"/>
    <w:rsid w:val="00D214F2"/>
    <w:rsid w:val="00D21B7C"/>
    <w:rsid w:val="00D21F22"/>
    <w:rsid w:val="00D249E7"/>
    <w:rsid w:val="00D260AE"/>
    <w:rsid w:val="00D273F8"/>
    <w:rsid w:val="00D2761D"/>
    <w:rsid w:val="00D27D9B"/>
    <w:rsid w:val="00D33AF6"/>
    <w:rsid w:val="00D346FF"/>
    <w:rsid w:val="00D37AF5"/>
    <w:rsid w:val="00D43876"/>
    <w:rsid w:val="00D50D78"/>
    <w:rsid w:val="00D51A82"/>
    <w:rsid w:val="00D53907"/>
    <w:rsid w:val="00D53D46"/>
    <w:rsid w:val="00D543AA"/>
    <w:rsid w:val="00D55229"/>
    <w:rsid w:val="00D565EB"/>
    <w:rsid w:val="00D56A1F"/>
    <w:rsid w:val="00D56FC1"/>
    <w:rsid w:val="00D67EA9"/>
    <w:rsid w:val="00D77E03"/>
    <w:rsid w:val="00D828C7"/>
    <w:rsid w:val="00D84B95"/>
    <w:rsid w:val="00D84BA9"/>
    <w:rsid w:val="00D8639A"/>
    <w:rsid w:val="00D91371"/>
    <w:rsid w:val="00D91C9D"/>
    <w:rsid w:val="00DA0D79"/>
    <w:rsid w:val="00DA4CE4"/>
    <w:rsid w:val="00DA5D44"/>
    <w:rsid w:val="00DA77A4"/>
    <w:rsid w:val="00DA7E34"/>
    <w:rsid w:val="00DB1A21"/>
    <w:rsid w:val="00DB3430"/>
    <w:rsid w:val="00DB6C01"/>
    <w:rsid w:val="00DB707A"/>
    <w:rsid w:val="00DC335F"/>
    <w:rsid w:val="00DC3568"/>
    <w:rsid w:val="00DC389D"/>
    <w:rsid w:val="00DC44AC"/>
    <w:rsid w:val="00DC5DAB"/>
    <w:rsid w:val="00DC68A5"/>
    <w:rsid w:val="00DD16E2"/>
    <w:rsid w:val="00DD2202"/>
    <w:rsid w:val="00DD5FF1"/>
    <w:rsid w:val="00DD701B"/>
    <w:rsid w:val="00DE3F0D"/>
    <w:rsid w:val="00DF3E0A"/>
    <w:rsid w:val="00DF4D84"/>
    <w:rsid w:val="00DF5258"/>
    <w:rsid w:val="00DF6AE5"/>
    <w:rsid w:val="00DF7020"/>
    <w:rsid w:val="00DF7C34"/>
    <w:rsid w:val="00E0020B"/>
    <w:rsid w:val="00E02084"/>
    <w:rsid w:val="00E03606"/>
    <w:rsid w:val="00E118D8"/>
    <w:rsid w:val="00E210DA"/>
    <w:rsid w:val="00E2452F"/>
    <w:rsid w:val="00E2520F"/>
    <w:rsid w:val="00E26270"/>
    <w:rsid w:val="00E26878"/>
    <w:rsid w:val="00E26B38"/>
    <w:rsid w:val="00E3167E"/>
    <w:rsid w:val="00E316B7"/>
    <w:rsid w:val="00E363F9"/>
    <w:rsid w:val="00E36F25"/>
    <w:rsid w:val="00E4621D"/>
    <w:rsid w:val="00E47351"/>
    <w:rsid w:val="00E5021E"/>
    <w:rsid w:val="00E54B89"/>
    <w:rsid w:val="00E57F48"/>
    <w:rsid w:val="00E61659"/>
    <w:rsid w:val="00E66F72"/>
    <w:rsid w:val="00E765D3"/>
    <w:rsid w:val="00E767F2"/>
    <w:rsid w:val="00E8093A"/>
    <w:rsid w:val="00E834A2"/>
    <w:rsid w:val="00E83517"/>
    <w:rsid w:val="00E85E09"/>
    <w:rsid w:val="00E873CE"/>
    <w:rsid w:val="00E9061D"/>
    <w:rsid w:val="00E90D87"/>
    <w:rsid w:val="00E936CE"/>
    <w:rsid w:val="00E95F75"/>
    <w:rsid w:val="00E96B6A"/>
    <w:rsid w:val="00E97F1E"/>
    <w:rsid w:val="00EA08C9"/>
    <w:rsid w:val="00EA22BF"/>
    <w:rsid w:val="00EA2BA8"/>
    <w:rsid w:val="00EA3F52"/>
    <w:rsid w:val="00EA5774"/>
    <w:rsid w:val="00EA6A70"/>
    <w:rsid w:val="00EA73BC"/>
    <w:rsid w:val="00EB3E51"/>
    <w:rsid w:val="00EB6E42"/>
    <w:rsid w:val="00EC6590"/>
    <w:rsid w:val="00EC6DA3"/>
    <w:rsid w:val="00ED0030"/>
    <w:rsid w:val="00ED0596"/>
    <w:rsid w:val="00ED0878"/>
    <w:rsid w:val="00ED16AA"/>
    <w:rsid w:val="00ED1E2D"/>
    <w:rsid w:val="00EE1A92"/>
    <w:rsid w:val="00EF03B5"/>
    <w:rsid w:val="00EF335A"/>
    <w:rsid w:val="00EF5E29"/>
    <w:rsid w:val="00F00BB8"/>
    <w:rsid w:val="00F0627C"/>
    <w:rsid w:val="00F10BB9"/>
    <w:rsid w:val="00F1107B"/>
    <w:rsid w:val="00F1292F"/>
    <w:rsid w:val="00F1450F"/>
    <w:rsid w:val="00F16BD1"/>
    <w:rsid w:val="00F17AA3"/>
    <w:rsid w:val="00F221FA"/>
    <w:rsid w:val="00F263B8"/>
    <w:rsid w:val="00F31C9D"/>
    <w:rsid w:val="00F32098"/>
    <w:rsid w:val="00F42CC3"/>
    <w:rsid w:val="00F43323"/>
    <w:rsid w:val="00F46BD3"/>
    <w:rsid w:val="00F46CDA"/>
    <w:rsid w:val="00F553E7"/>
    <w:rsid w:val="00F62152"/>
    <w:rsid w:val="00F6392A"/>
    <w:rsid w:val="00F64761"/>
    <w:rsid w:val="00F64CC9"/>
    <w:rsid w:val="00F675A9"/>
    <w:rsid w:val="00F700B7"/>
    <w:rsid w:val="00F7527D"/>
    <w:rsid w:val="00F853D8"/>
    <w:rsid w:val="00F85802"/>
    <w:rsid w:val="00F85F34"/>
    <w:rsid w:val="00F91AD8"/>
    <w:rsid w:val="00F91BD1"/>
    <w:rsid w:val="00F92405"/>
    <w:rsid w:val="00F961E6"/>
    <w:rsid w:val="00FA211C"/>
    <w:rsid w:val="00FA3362"/>
    <w:rsid w:val="00FA4021"/>
    <w:rsid w:val="00FB0645"/>
    <w:rsid w:val="00FB4023"/>
    <w:rsid w:val="00FC0783"/>
    <w:rsid w:val="00FC11B8"/>
    <w:rsid w:val="00FC4101"/>
    <w:rsid w:val="00FC5520"/>
    <w:rsid w:val="00FC559A"/>
    <w:rsid w:val="00FC6034"/>
    <w:rsid w:val="00FD1FB9"/>
    <w:rsid w:val="00FD2F1C"/>
    <w:rsid w:val="00FD35DE"/>
    <w:rsid w:val="00FD3DAB"/>
    <w:rsid w:val="00FD47C2"/>
    <w:rsid w:val="00FE034B"/>
    <w:rsid w:val="00FE0B64"/>
    <w:rsid w:val="00FE793D"/>
    <w:rsid w:val="00FF2BC7"/>
    <w:rsid w:val="00FF338A"/>
    <w:rsid w:val="00FF51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E082B"/>
  <w15:docId w15:val="{352E4F72-0FE3-45FD-9688-CAD7A89C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57A9"/>
    <w:pPr>
      <w:keepNext/>
      <w:keepLines/>
      <w:numPr>
        <w:numId w:val="15"/>
      </w:numPr>
      <w:spacing w:before="480" w:after="0" w:line="480" w:lineRule="auto"/>
      <w:jc w:val="both"/>
      <w:outlineLvl w:val="0"/>
    </w:pPr>
    <w:rPr>
      <w:rFonts w:ascii="Times New Roman" w:eastAsiaTheme="majorEastAsia" w:hAnsi="Times New Roman" w:cs="Times New Roman"/>
      <w:b/>
      <w:bCs/>
      <w:smallCaps/>
      <w:sz w:val="24"/>
      <w:szCs w:val="24"/>
      <w:lang w:val="en-US"/>
    </w:rPr>
  </w:style>
  <w:style w:type="paragraph" w:styleId="Heading2">
    <w:name w:val="heading 2"/>
    <w:basedOn w:val="Normal"/>
    <w:next w:val="Normal"/>
    <w:link w:val="Heading2Char"/>
    <w:uiPriority w:val="9"/>
    <w:unhideWhenUsed/>
    <w:qFormat/>
    <w:rsid w:val="00C657A9"/>
    <w:pPr>
      <w:keepNext/>
      <w:keepLines/>
      <w:spacing w:before="200" w:after="0" w:line="480" w:lineRule="auto"/>
      <w:jc w:val="both"/>
      <w:outlineLvl w:val="1"/>
    </w:pPr>
    <w:rPr>
      <w:rFonts w:ascii="Times New Roman" w:eastAsiaTheme="majorEastAsia" w:hAnsi="Times New Roman" w:cs="Times New Roman"/>
      <w:b/>
      <w:bCs/>
      <w:sz w:val="24"/>
      <w:szCs w:val="24"/>
      <w:lang w:val="en-US"/>
    </w:rPr>
  </w:style>
  <w:style w:type="paragraph" w:styleId="Heading3">
    <w:name w:val="heading 3"/>
    <w:basedOn w:val="Normal"/>
    <w:next w:val="Normal"/>
    <w:link w:val="Heading3Char"/>
    <w:uiPriority w:val="9"/>
    <w:unhideWhenUsed/>
    <w:qFormat/>
    <w:rsid w:val="00C657A9"/>
    <w:pPr>
      <w:keepNext/>
      <w:keepLines/>
      <w:spacing w:before="40" w:after="0" w:line="480" w:lineRule="auto"/>
      <w:jc w:val="both"/>
      <w:outlineLvl w:val="2"/>
    </w:pPr>
    <w:rPr>
      <w:rFonts w:ascii="Times New Roman" w:eastAsiaTheme="majorEastAsia" w:hAnsi="Times New Roman" w:cs="Times New Roman"/>
      <w:b/>
      <w:sz w:val="24"/>
      <w:szCs w:val="24"/>
      <w:lang w:val="en-US"/>
    </w:rPr>
  </w:style>
  <w:style w:type="paragraph" w:styleId="Heading4">
    <w:name w:val="heading 4"/>
    <w:basedOn w:val="Normal"/>
    <w:next w:val="Normal"/>
    <w:link w:val="Heading4Char"/>
    <w:uiPriority w:val="9"/>
    <w:unhideWhenUsed/>
    <w:qFormat/>
    <w:rsid w:val="00EA57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B5E"/>
    <w:pPr>
      <w:ind w:left="720"/>
      <w:contextualSpacing/>
    </w:pPr>
  </w:style>
  <w:style w:type="table" w:styleId="TableGrid">
    <w:name w:val="Table Grid"/>
    <w:basedOn w:val="TableNormal"/>
    <w:uiPriority w:val="39"/>
    <w:rsid w:val="004E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4DB"/>
    <w:rPr>
      <w:color w:val="0563C1" w:themeColor="hyperlink"/>
      <w:u w:val="single"/>
    </w:rPr>
  </w:style>
  <w:style w:type="paragraph" w:styleId="Bibliography">
    <w:name w:val="Bibliography"/>
    <w:basedOn w:val="Normal"/>
    <w:next w:val="Normal"/>
    <w:uiPriority w:val="37"/>
    <w:unhideWhenUsed/>
    <w:rsid w:val="00145381"/>
    <w:pPr>
      <w:spacing w:after="240" w:line="240" w:lineRule="auto"/>
    </w:pPr>
  </w:style>
  <w:style w:type="character" w:customStyle="1" w:styleId="Heading1Char">
    <w:name w:val="Heading 1 Char"/>
    <w:basedOn w:val="DefaultParagraphFont"/>
    <w:link w:val="Heading1"/>
    <w:uiPriority w:val="9"/>
    <w:rsid w:val="00C657A9"/>
    <w:rPr>
      <w:rFonts w:ascii="Times New Roman" w:eastAsiaTheme="majorEastAsia" w:hAnsi="Times New Roman" w:cs="Times New Roman"/>
      <w:b/>
      <w:bCs/>
      <w:smallCaps/>
      <w:sz w:val="24"/>
      <w:szCs w:val="24"/>
      <w:lang w:val="en-US"/>
    </w:rPr>
  </w:style>
  <w:style w:type="character" w:customStyle="1" w:styleId="Heading2Char">
    <w:name w:val="Heading 2 Char"/>
    <w:basedOn w:val="DefaultParagraphFont"/>
    <w:link w:val="Heading2"/>
    <w:uiPriority w:val="9"/>
    <w:rsid w:val="00C657A9"/>
    <w:rPr>
      <w:rFonts w:ascii="Times New Roman" w:eastAsiaTheme="majorEastAsia" w:hAnsi="Times New Roman" w:cs="Times New Roman"/>
      <w:b/>
      <w:bCs/>
      <w:sz w:val="24"/>
      <w:szCs w:val="24"/>
      <w:lang w:val="en-US"/>
    </w:rPr>
  </w:style>
  <w:style w:type="character" w:customStyle="1" w:styleId="Heading3Char">
    <w:name w:val="Heading 3 Char"/>
    <w:basedOn w:val="DefaultParagraphFont"/>
    <w:link w:val="Heading3"/>
    <w:uiPriority w:val="9"/>
    <w:rsid w:val="00C657A9"/>
    <w:rPr>
      <w:rFonts w:ascii="Times New Roman" w:eastAsiaTheme="majorEastAsia" w:hAnsi="Times New Roman" w:cs="Times New Roman"/>
      <w:b/>
      <w:sz w:val="24"/>
      <w:szCs w:val="24"/>
      <w:lang w:val="en-US"/>
    </w:rPr>
  </w:style>
  <w:style w:type="paragraph" w:styleId="Header">
    <w:name w:val="header"/>
    <w:basedOn w:val="Normal"/>
    <w:link w:val="HeaderChar"/>
    <w:uiPriority w:val="99"/>
    <w:unhideWhenUsed/>
    <w:rsid w:val="00A81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732"/>
  </w:style>
  <w:style w:type="paragraph" w:styleId="Footer">
    <w:name w:val="footer"/>
    <w:basedOn w:val="Normal"/>
    <w:link w:val="FooterChar"/>
    <w:uiPriority w:val="99"/>
    <w:unhideWhenUsed/>
    <w:rsid w:val="00A81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732"/>
  </w:style>
  <w:style w:type="paragraph" w:styleId="NormalWeb">
    <w:name w:val="Normal (Web)"/>
    <w:basedOn w:val="Normal"/>
    <w:uiPriority w:val="99"/>
    <w:semiHidden/>
    <w:unhideWhenUsed/>
    <w:rsid w:val="00683E7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A61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87"/>
    <w:rPr>
      <w:rFonts w:ascii="Segoe UI" w:hAnsi="Segoe UI" w:cs="Segoe UI"/>
      <w:sz w:val="18"/>
      <w:szCs w:val="18"/>
    </w:rPr>
  </w:style>
  <w:style w:type="paragraph" w:styleId="FootnoteText">
    <w:name w:val="footnote text"/>
    <w:basedOn w:val="Normal"/>
    <w:link w:val="FootnoteTextChar"/>
    <w:uiPriority w:val="99"/>
    <w:semiHidden/>
    <w:unhideWhenUsed/>
    <w:rsid w:val="00E85E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E09"/>
    <w:rPr>
      <w:sz w:val="20"/>
      <w:szCs w:val="20"/>
    </w:rPr>
  </w:style>
  <w:style w:type="character" w:styleId="FootnoteReference">
    <w:name w:val="footnote reference"/>
    <w:basedOn w:val="DefaultParagraphFont"/>
    <w:uiPriority w:val="99"/>
    <w:semiHidden/>
    <w:unhideWhenUsed/>
    <w:rsid w:val="00E85E09"/>
    <w:rPr>
      <w:vertAlign w:val="superscript"/>
    </w:rPr>
  </w:style>
  <w:style w:type="character" w:customStyle="1" w:styleId="Heading4Char">
    <w:name w:val="Heading 4 Char"/>
    <w:basedOn w:val="DefaultParagraphFont"/>
    <w:link w:val="Heading4"/>
    <w:uiPriority w:val="9"/>
    <w:rsid w:val="00EA5774"/>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52674A"/>
    <w:rPr>
      <w:sz w:val="16"/>
      <w:szCs w:val="16"/>
    </w:rPr>
  </w:style>
  <w:style w:type="paragraph" w:styleId="CommentText">
    <w:name w:val="annotation text"/>
    <w:basedOn w:val="Normal"/>
    <w:link w:val="CommentTextChar"/>
    <w:uiPriority w:val="99"/>
    <w:semiHidden/>
    <w:unhideWhenUsed/>
    <w:rsid w:val="0052674A"/>
    <w:pPr>
      <w:spacing w:line="240" w:lineRule="auto"/>
    </w:pPr>
    <w:rPr>
      <w:sz w:val="20"/>
      <w:szCs w:val="20"/>
    </w:rPr>
  </w:style>
  <w:style w:type="character" w:customStyle="1" w:styleId="CommentTextChar">
    <w:name w:val="Comment Text Char"/>
    <w:basedOn w:val="DefaultParagraphFont"/>
    <w:link w:val="CommentText"/>
    <w:uiPriority w:val="99"/>
    <w:semiHidden/>
    <w:rsid w:val="0052674A"/>
    <w:rPr>
      <w:sz w:val="20"/>
      <w:szCs w:val="20"/>
    </w:rPr>
  </w:style>
  <w:style w:type="paragraph" w:styleId="CommentSubject">
    <w:name w:val="annotation subject"/>
    <w:basedOn w:val="CommentText"/>
    <w:next w:val="CommentText"/>
    <w:link w:val="CommentSubjectChar"/>
    <w:uiPriority w:val="99"/>
    <w:semiHidden/>
    <w:unhideWhenUsed/>
    <w:rsid w:val="0052674A"/>
    <w:rPr>
      <w:b/>
      <w:bCs/>
    </w:rPr>
  </w:style>
  <w:style w:type="character" w:customStyle="1" w:styleId="CommentSubjectChar">
    <w:name w:val="Comment Subject Char"/>
    <w:basedOn w:val="CommentTextChar"/>
    <w:link w:val="CommentSubject"/>
    <w:uiPriority w:val="99"/>
    <w:semiHidden/>
    <w:rsid w:val="0052674A"/>
    <w:rPr>
      <w:b/>
      <w:bCs/>
      <w:sz w:val="20"/>
      <w:szCs w:val="20"/>
    </w:rPr>
  </w:style>
  <w:style w:type="paragraph" w:styleId="Revision">
    <w:name w:val="Revision"/>
    <w:hidden/>
    <w:uiPriority w:val="99"/>
    <w:semiHidden/>
    <w:rsid w:val="00526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70762">
      <w:bodyDiv w:val="1"/>
      <w:marLeft w:val="0"/>
      <w:marRight w:val="0"/>
      <w:marTop w:val="0"/>
      <w:marBottom w:val="0"/>
      <w:divBdr>
        <w:top w:val="none" w:sz="0" w:space="0" w:color="auto"/>
        <w:left w:val="none" w:sz="0" w:space="0" w:color="auto"/>
        <w:bottom w:val="none" w:sz="0" w:space="0" w:color="auto"/>
        <w:right w:val="none" w:sz="0" w:space="0" w:color="auto"/>
      </w:divBdr>
      <w:divsChild>
        <w:div w:id="172575158">
          <w:marLeft w:val="0"/>
          <w:marRight w:val="0"/>
          <w:marTop w:val="0"/>
          <w:marBottom w:val="0"/>
          <w:divBdr>
            <w:top w:val="none" w:sz="0" w:space="0" w:color="auto"/>
            <w:left w:val="none" w:sz="0" w:space="0" w:color="auto"/>
            <w:bottom w:val="none" w:sz="0" w:space="0" w:color="auto"/>
            <w:right w:val="none" w:sz="0" w:space="0" w:color="auto"/>
          </w:divBdr>
        </w:div>
        <w:div w:id="1353847204">
          <w:marLeft w:val="0"/>
          <w:marRight w:val="0"/>
          <w:marTop w:val="0"/>
          <w:marBottom w:val="0"/>
          <w:divBdr>
            <w:top w:val="none" w:sz="0" w:space="0" w:color="auto"/>
            <w:left w:val="none" w:sz="0" w:space="0" w:color="auto"/>
            <w:bottom w:val="none" w:sz="0" w:space="0" w:color="auto"/>
            <w:right w:val="none" w:sz="0" w:space="0" w:color="auto"/>
          </w:divBdr>
        </w:div>
        <w:div w:id="1682734561">
          <w:marLeft w:val="0"/>
          <w:marRight w:val="0"/>
          <w:marTop w:val="0"/>
          <w:marBottom w:val="0"/>
          <w:divBdr>
            <w:top w:val="none" w:sz="0" w:space="0" w:color="auto"/>
            <w:left w:val="none" w:sz="0" w:space="0" w:color="auto"/>
            <w:bottom w:val="none" w:sz="0" w:space="0" w:color="auto"/>
            <w:right w:val="none" w:sz="0" w:space="0" w:color="auto"/>
          </w:divBdr>
        </w:div>
      </w:divsChild>
    </w:div>
    <w:div w:id="1167940956">
      <w:bodyDiv w:val="1"/>
      <w:marLeft w:val="0"/>
      <w:marRight w:val="0"/>
      <w:marTop w:val="0"/>
      <w:marBottom w:val="0"/>
      <w:divBdr>
        <w:top w:val="none" w:sz="0" w:space="0" w:color="auto"/>
        <w:left w:val="none" w:sz="0" w:space="0" w:color="auto"/>
        <w:bottom w:val="none" w:sz="0" w:space="0" w:color="auto"/>
        <w:right w:val="none" w:sz="0" w:space="0" w:color="auto"/>
      </w:divBdr>
      <w:divsChild>
        <w:div w:id="1603806287">
          <w:marLeft w:val="0"/>
          <w:marRight w:val="0"/>
          <w:marTop w:val="0"/>
          <w:marBottom w:val="0"/>
          <w:divBdr>
            <w:top w:val="none" w:sz="0" w:space="0" w:color="auto"/>
            <w:left w:val="none" w:sz="0" w:space="0" w:color="auto"/>
            <w:bottom w:val="none" w:sz="0" w:space="0" w:color="auto"/>
            <w:right w:val="none" w:sz="0" w:space="0" w:color="auto"/>
          </w:divBdr>
        </w:div>
        <w:div w:id="2063091337">
          <w:marLeft w:val="0"/>
          <w:marRight w:val="0"/>
          <w:marTop w:val="0"/>
          <w:marBottom w:val="0"/>
          <w:divBdr>
            <w:top w:val="none" w:sz="0" w:space="0" w:color="auto"/>
            <w:left w:val="none" w:sz="0" w:space="0" w:color="auto"/>
            <w:bottom w:val="none" w:sz="0" w:space="0" w:color="auto"/>
            <w:right w:val="none" w:sz="0" w:space="0" w:color="auto"/>
          </w:divBdr>
        </w:div>
        <w:div w:id="348336444">
          <w:marLeft w:val="0"/>
          <w:marRight w:val="0"/>
          <w:marTop w:val="0"/>
          <w:marBottom w:val="0"/>
          <w:divBdr>
            <w:top w:val="none" w:sz="0" w:space="0" w:color="auto"/>
            <w:left w:val="none" w:sz="0" w:space="0" w:color="auto"/>
            <w:bottom w:val="none" w:sz="0" w:space="0" w:color="auto"/>
            <w:right w:val="none" w:sz="0" w:space="0" w:color="auto"/>
          </w:divBdr>
        </w:div>
        <w:div w:id="1350452249">
          <w:marLeft w:val="0"/>
          <w:marRight w:val="0"/>
          <w:marTop w:val="0"/>
          <w:marBottom w:val="0"/>
          <w:divBdr>
            <w:top w:val="none" w:sz="0" w:space="0" w:color="auto"/>
            <w:left w:val="none" w:sz="0" w:space="0" w:color="auto"/>
            <w:bottom w:val="none" w:sz="0" w:space="0" w:color="auto"/>
            <w:right w:val="none" w:sz="0" w:space="0" w:color="auto"/>
          </w:divBdr>
        </w:div>
        <w:div w:id="489641114">
          <w:marLeft w:val="0"/>
          <w:marRight w:val="0"/>
          <w:marTop w:val="0"/>
          <w:marBottom w:val="0"/>
          <w:divBdr>
            <w:top w:val="none" w:sz="0" w:space="0" w:color="auto"/>
            <w:left w:val="none" w:sz="0" w:space="0" w:color="auto"/>
            <w:bottom w:val="none" w:sz="0" w:space="0" w:color="auto"/>
            <w:right w:val="none" w:sz="0" w:space="0" w:color="auto"/>
          </w:divBdr>
        </w:div>
        <w:div w:id="641154708">
          <w:marLeft w:val="0"/>
          <w:marRight w:val="0"/>
          <w:marTop w:val="0"/>
          <w:marBottom w:val="0"/>
          <w:divBdr>
            <w:top w:val="none" w:sz="0" w:space="0" w:color="auto"/>
            <w:left w:val="none" w:sz="0" w:space="0" w:color="auto"/>
            <w:bottom w:val="none" w:sz="0" w:space="0" w:color="auto"/>
            <w:right w:val="none" w:sz="0" w:space="0" w:color="auto"/>
          </w:divBdr>
        </w:div>
      </w:divsChild>
    </w:div>
    <w:div w:id="1353605725">
      <w:bodyDiv w:val="1"/>
      <w:marLeft w:val="0"/>
      <w:marRight w:val="0"/>
      <w:marTop w:val="0"/>
      <w:marBottom w:val="0"/>
      <w:divBdr>
        <w:top w:val="none" w:sz="0" w:space="0" w:color="auto"/>
        <w:left w:val="none" w:sz="0" w:space="0" w:color="auto"/>
        <w:bottom w:val="none" w:sz="0" w:space="0" w:color="auto"/>
        <w:right w:val="none" w:sz="0" w:space="0" w:color="auto"/>
      </w:divBdr>
      <w:divsChild>
        <w:div w:id="1079715988">
          <w:marLeft w:val="0"/>
          <w:marRight w:val="0"/>
          <w:marTop w:val="0"/>
          <w:marBottom w:val="0"/>
          <w:divBdr>
            <w:top w:val="none" w:sz="0" w:space="0" w:color="auto"/>
            <w:left w:val="none" w:sz="0" w:space="0" w:color="auto"/>
            <w:bottom w:val="none" w:sz="0" w:space="0" w:color="auto"/>
            <w:right w:val="none" w:sz="0" w:space="0" w:color="auto"/>
          </w:divBdr>
        </w:div>
        <w:div w:id="1466892397">
          <w:marLeft w:val="0"/>
          <w:marRight w:val="0"/>
          <w:marTop w:val="0"/>
          <w:marBottom w:val="0"/>
          <w:divBdr>
            <w:top w:val="none" w:sz="0" w:space="0" w:color="auto"/>
            <w:left w:val="none" w:sz="0" w:space="0" w:color="auto"/>
            <w:bottom w:val="none" w:sz="0" w:space="0" w:color="auto"/>
            <w:right w:val="none" w:sz="0" w:space="0" w:color="auto"/>
          </w:divBdr>
        </w:div>
        <w:div w:id="1471484767">
          <w:marLeft w:val="0"/>
          <w:marRight w:val="0"/>
          <w:marTop w:val="0"/>
          <w:marBottom w:val="0"/>
          <w:divBdr>
            <w:top w:val="none" w:sz="0" w:space="0" w:color="auto"/>
            <w:left w:val="none" w:sz="0" w:space="0" w:color="auto"/>
            <w:bottom w:val="none" w:sz="0" w:space="0" w:color="auto"/>
            <w:right w:val="none" w:sz="0" w:space="0" w:color="auto"/>
          </w:divBdr>
        </w:div>
        <w:div w:id="694422929">
          <w:marLeft w:val="0"/>
          <w:marRight w:val="0"/>
          <w:marTop w:val="0"/>
          <w:marBottom w:val="0"/>
          <w:divBdr>
            <w:top w:val="none" w:sz="0" w:space="0" w:color="auto"/>
            <w:left w:val="none" w:sz="0" w:space="0" w:color="auto"/>
            <w:bottom w:val="none" w:sz="0" w:space="0" w:color="auto"/>
            <w:right w:val="none" w:sz="0" w:space="0" w:color="auto"/>
          </w:divBdr>
        </w:div>
        <w:div w:id="2062556603">
          <w:marLeft w:val="0"/>
          <w:marRight w:val="0"/>
          <w:marTop w:val="0"/>
          <w:marBottom w:val="0"/>
          <w:divBdr>
            <w:top w:val="none" w:sz="0" w:space="0" w:color="auto"/>
            <w:left w:val="none" w:sz="0" w:space="0" w:color="auto"/>
            <w:bottom w:val="none" w:sz="0" w:space="0" w:color="auto"/>
            <w:right w:val="none" w:sz="0" w:space="0" w:color="auto"/>
          </w:divBdr>
        </w:div>
        <w:div w:id="330181137">
          <w:marLeft w:val="0"/>
          <w:marRight w:val="0"/>
          <w:marTop w:val="0"/>
          <w:marBottom w:val="0"/>
          <w:divBdr>
            <w:top w:val="none" w:sz="0" w:space="0" w:color="auto"/>
            <w:left w:val="none" w:sz="0" w:space="0" w:color="auto"/>
            <w:bottom w:val="none" w:sz="0" w:space="0" w:color="auto"/>
            <w:right w:val="none" w:sz="0" w:space="0" w:color="auto"/>
          </w:divBdr>
        </w:div>
      </w:divsChild>
    </w:div>
    <w:div w:id="1538466853">
      <w:bodyDiv w:val="1"/>
      <w:marLeft w:val="0"/>
      <w:marRight w:val="0"/>
      <w:marTop w:val="0"/>
      <w:marBottom w:val="0"/>
      <w:divBdr>
        <w:top w:val="none" w:sz="0" w:space="0" w:color="auto"/>
        <w:left w:val="none" w:sz="0" w:space="0" w:color="auto"/>
        <w:bottom w:val="none" w:sz="0" w:space="0" w:color="auto"/>
        <w:right w:val="none" w:sz="0" w:space="0" w:color="auto"/>
      </w:divBdr>
      <w:divsChild>
        <w:div w:id="448014440">
          <w:marLeft w:val="0"/>
          <w:marRight w:val="0"/>
          <w:marTop w:val="0"/>
          <w:marBottom w:val="0"/>
          <w:divBdr>
            <w:top w:val="none" w:sz="0" w:space="0" w:color="auto"/>
            <w:left w:val="none" w:sz="0" w:space="0" w:color="auto"/>
            <w:bottom w:val="none" w:sz="0" w:space="0" w:color="auto"/>
            <w:right w:val="none" w:sz="0" w:space="0" w:color="auto"/>
          </w:divBdr>
        </w:div>
        <w:div w:id="768966453">
          <w:marLeft w:val="0"/>
          <w:marRight w:val="0"/>
          <w:marTop w:val="0"/>
          <w:marBottom w:val="0"/>
          <w:divBdr>
            <w:top w:val="none" w:sz="0" w:space="0" w:color="auto"/>
            <w:left w:val="none" w:sz="0" w:space="0" w:color="auto"/>
            <w:bottom w:val="none" w:sz="0" w:space="0" w:color="auto"/>
            <w:right w:val="none" w:sz="0" w:space="0" w:color="auto"/>
          </w:divBdr>
        </w:div>
        <w:div w:id="772358046">
          <w:marLeft w:val="0"/>
          <w:marRight w:val="0"/>
          <w:marTop w:val="0"/>
          <w:marBottom w:val="0"/>
          <w:divBdr>
            <w:top w:val="none" w:sz="0" w:space="0" w:color="auto"/>
            <w:left w:val="none" w:sz="0" w:space="0" w:color="auto"/>
            <w:bottom w:val="none" w:sz="0" w:space="0" w:color="auto"/>
            <w:right w:val="none" w:sz="0" w:space="0" w:color="auto"/>
          </w:divBdr>
        </w:div>
        <w:div w:id="776679226">
          <w:marLeft w:val="0"/>
          <w:marRight w:val="0"/>
          <w:marTop w:val="0"/>
          <w:marBottom w:val="0"/>
          <w:divBdr>
            <w:top w:val="none" w:sz="0" w:space="0" w:color="auto"/>
            <w:left w:val="none" w:sz="0" w:space="0" w:color="auto"/>
            <w:bottom w:val="none" w:sz="0" w:space="0" w:color="auto"/>
            <w:right w:val="none" w:sz="0" w:space="0" w:color="auto"/>
          </w:divBdr>
        </w:div>
        <w:div w:id="1090273032">
          <w:marLeft w:val="0"/>
          <w:marRight w:val="0"/>
          <w:marTop w:val="0"/>
          <w:marBottom w:val="0"/>
          <w:divBdr>
            <w:top w:val="none" w:sz="0" w:space="0" w:color="auto"/>
            <w:left w:val="none" w:sz="0" w:space="0" w:color="auto"/>
            <w:bottom w:val="none" w:sz="0" w:space="0" w:color="auto"/>
            <w:right w:val="none" w:sz="0" w:space="0" w:color="auto"/>
          </w:divBdr>
        </w:div>
        <w:div w:id="1423184266">
          <w:marLeft w:val="0"/>
          <w:marRight w:val="0"/>
          <w:marTop w:val="0"/>
          <w:marBottom w:val="0"/>
          <w:divBdr>
            <w:top w:val="none" w:sz="0" w:space="0" w:color="auto"/>
            <w:left w:val="none" w:sz="0" w:space="0" w:color="auto"/>
            <w:bottom w:val="none" w:sz="0" w:space="0" w:color="auto"/>
            <w:right w:val="none" w:sz="0" w:space="0" w:color="auto"/>
          </w:divBdr>
        </w:div>
        <w:div w:id="162215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E841-C019-4DAE-A924-DF877B52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7810</Words>
  <Characters>44519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Alice Klettner</cp:lastModifiedBy>
  <cp:revision>2</cp:revision>
  <cp:lastPrinted>2018-12-11T05:14:00Z</cp:lastPrinted>
  <dcterms:created xsi:type="dcterms:W3CDTF">2019-11-13T02:08:00Z</dcterms:created>
  <dcterms:modified xsi:type="dcterms:W3CDTF">2019-11-13T02:08:00Z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id="AF2PZxV4"/&gt;&lt;style id="http://www.zotero.org/styles/australian-guide-to-legal-citation" hasBibliography="1" bibliographyStyleHasBeenSet="1"/&gt;&lt;prefs&gt;&lt;pref name="fieldType" value="Field"/&gt;&lt;pref name</vt:lpwstr>
  </property>
  <property fmtid="{D5CDD505-2E9C-101B-9397-08002B2CF9AE}" pid="3" name="ZOTERO_PREF_2">
    <vt:lpwstr>="storeReferences" value="true"/&gt;&lt;pref name="dontAskDelayCitationUpdates" value="true"/&gt;&lt;pref name="noteType" value="1"/&gt;&lt;/prefs&gt;&lt;/data&gt;</vt:lpwstr>
  </property>
</Properties>
</file>