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EDA7C" w14:textId="042FB60B" w:rsidR="00601035" w:rsidRDefault="00601035">
      <w:pPr>
        <w:rPr>
          <w:b/>
        </w:rPr>
      </w:pPr>
      <w:r w:rsidRPr="00ED3E4F">
        <w:rPr>
          <w:b/>
        </w:rPr>
        <w:t xml:space="preserve">Dementia Capability </w:t>
      </w:r>
      <w:r w:rsidR="00A3589B">
        <w:rPr>
          <w:b/>
        </w:rPr>
        <w:t>for Legal Professionals</w:t>
      </w:r>
    </w:p>
    <w:p w14:paraId="35676BEF" w14:textId="34E00952" w:rsidR="00A3589B" w:rsidRPr="00A3589B" w:rsidRDefault="00A3589B">
      <w:r>
        <w:t>Prof Nola Ries, Faculty of Law, University of Technology Sydney (UTS) and UTS Ageing Research Collaborative</w:t>
      </w:r>
    </w:p>
    <w:p w14:paraId="12BA03BD" w14:textId="707B0087" w:rsidR="00E96013" w:rsidRDefault="00A3589B">
      <w:r>
        <w:t xml:space="preserve">Every day, around 300 people in Australia are diagnosed with dementia. According to best practice guidelines, a </w:t>
      </w:r>
      <w:r w:rsidR="00E96013">
        <w:t xml:space="preserve">referral </w:t>
      </w:r>
      <w:r>
        <w:t>to a legal professional</w:t>
      </w:r>
      <w:r w:rsidR="00E96013">
        <w:t xml:space="preserve"> should be a cornerstone of </w:t>
      </w:r>
      <w:r>
        <w:t>their</w:t>
      </w:r>
      <w:r w:rsidR="00E96013">
        <w:t xml:space="preserve"> post-diagnosis care and support</w:t>
      </w:r>
      <w:r>
        <w:t xml:space="preserve"> (</w:t>
      </w:r>
      <w:r w:rsidR="00055F63">
        <w:t xml:space="preserve">Australian Dementia Network, 2024; </w:t>
      </w:r>
      <w:r w:rsidR="0020071A" w:rsidRPr="00017982">
        <w:rPr>
          <w:rFonts w:cstheme="minorHAnsi"/>
          <w:szCs w:val="24"/>
        </w:rPr>
        <w:t>Cognitive Decline Partnership Centre</w:t>
      </w:r>
      <w:r w:rsidR="0020071A">
        <w:rPr>
          <w:rFonts w:cstheme="minorHAnsi"/>
          <w:szCs w:val="24"/>
        </w:rPr>
        <w:t>, 2016</w:t>
      </w:r>
      <w:r>
        <w:t>).</w:t>
      </w:r>
    </w:p>
    <w:p w14:paraId="41C0FD8A" w14:textId="4819E7CF" w:rsidR="002E6A8F" w:rsidRDefault="008B2E97" w:rsidP="002E6A8F">
      <w:r>
        <w:t xml:space="preserve">A diagnosis of dementia </w:t>
      </w:r>
      <w:r w:rsidR="00D0152C">
        <w:t xml:space="preserve">has numerous legal implications. </w:t>
      </w:r>
      <w:r w:rsidR="002E6A8F">
        <w:t>P</w:t>
      </w:r>
      <w:r w:rsidR="00992381">
        <w:t>lan</w:t>
      </w:r>
      <w:r w:rsidR="002E6A8F">
        <w:t>ning</w:t>
      </w:r>
      <w:r w:rsidR="00992381">
        <w:t xml:space="preserve"> for the future is </w:t>
      </w:r>
      <w:r w:rsidR="002E6A8F">
        <w:t>a key concern for people living with dementia and their care partners. Legal considerations include: a</w:t>
      </w:r>
      <w:r w:rsidR="00D0152C" w:rsidRPr="00F6286F">
        <w:t>ppointing</w:t>
      </w:r>
      <w:r w:rsidR="00D0152C">
        <w:t xml:space="preserve"> trusted people </w:t>
      </w:r>
      <w:r w:rsidR="002E6A8F">
        <w:t>into decision-support and decision-making roles, such as Enduring Power of Attorney</w:t>
      </w:r>
      <w:r w:rsidR="00D0152C">
        <w:t>; preparing</w:t>
      </w:r>
      <w:r w:rsidR="00D0152C" w:rsidRPr="00F6286F">
        <w:t xml:space="preserve"> advance directives</w:t>
      </w:r>
      <w:r w:rsidR="002E6A8F">
        <w:t xml:space="preserve"> to document wishes and preferences, especially for future medical care</w:t>
      </w:r>
      <w:r w:rsidR="00D0152C">
        <w:t>; and making a will and other estate planning arrangements</w:t>
      </w:r>
      <w:r w:rsidR="004C47A0">
        <w:t xml:space="preserve"> (Bryant, 2023). </w:t>
      </w:r>
      <w:r w:rsidR="002E6A8F">
        <w:t>People with younger onset dementia may have specific legal concerns related to employment and finances (</w:t>
      </w:r>
      <w:proofErr w:type="spellStart"/>
      <w:r w:rsidR="002E6A8F">
        <w:t>Kilty</w:t>
      </w:r>
      <w:proofErr w:type="spellEnd"/>
      <w:r w:rsidR="002E6A8F">
        <w:t xml:space="preserve">, 2023). </w:t>
      </w:r>
    </w:p>
    <w:p w14:paraId="3102C07A" w14:textId="44BF892F" w:rsidR="002E6A8F" w:rsidRDefault="003038D3">
      <w:r>
        <w:t>The importance of comprehensive legal advice for people diagnosed with dementia means that legal professionals need to be able to work effectively with this client group – they need ‘dementia capability.’</w:t>
      </w:r>
    </w:p>
    <w:p w14:paraId="0D586861" w14:textId="30C0C323" w:rsidR="003038D3" w:rsidRPr="003038D3" w:rsidRDefault="003038D3">
      <w:pPr>
        <w:rPr>
          <w:b/>
        </w:rPr>
      </w:pPr>
      <w:r>
        <w:rPr>
          <w:b/>
        </w:rPr>
        <w:t>Dementia capability</w:t>
      </w:r>
    </w:p>
    <w:p w14:paraId="5EED2FC9" w14:textId="391252DC" w:rsidR="00E96013" w:rsidRDefault="003038D3">
      <w:r w:rsidRPr="00624388">
        <w:rPr>
          <w:rFonts w:cstheme="minorHAnsi"/>
        </w:rPr>
        <w:t>Being dementia</w:t>
      </w:r>
      <w:r w:rsidRPr="00624388">
        <w:rPr>
          <w:rFonts w:cstheme="minorHAnsi"/>
        </w:rPr>
        <w:t xml:space="preserve"> </w:t>
      </w:r>
      <w:r w:rsidRPr="00624388">
        <w:rPr>
          <w:rFonts w:cstheme="minorHAnsi"/>
        </w:rPr>
        <w:t>capable means professionals have the knowledge, skills, attitudes and behaviours necessary to</w:t>
      </w:r>
      <w:r w:rsidR="00624388">
        <w:rPr>
          <w:rFonts w:cstheme="minorHAnsi"/>
        </w:rPr>
        <w:t xml:space="preserve"> provide high quality services to</w:t>
      </w:r>
      <w:r w:rsidRPr="00624388">
        <w:rPr>
          <w:rFonts w:cstheme="minorHAnsi"/>
        </w:rPr>
        <w:t xml:space="preserve"> people living with dementia and those who support them. </w:t>
      </w:r>
      <w:r w:rsidR="00DB560B" w:rsidRPr="00624388">
        <w:t>Australia’s</w:t>
      </w:r>
      <w:r w:rsidR="009E2CA9" w:rsidRPr="00624388">
        <w:t xml:space="preserve"> </w:t>
      </w:r>
      <w:hyperlink r:id="rId11" w:history="1">
        <w:r w:rsidR="009E2CA9" w:rsidRPr="00624388">
          <w:rPr>
            <w:rStyle w:val="Hyperlink"/>
          </w:rPr>
          <w:t>National Dementia Action Plan</w:t>
        </w:r>
      </w:hyperlink>
      <w:r w:rsidR="009E2CA9" w:rsidRPr="00624388">
        <w:t xml:space="preserve"> </w:t>
      </w:r>
      <w:r w:rsidR="00F357F5" w:rsidRPr="00624388">
        <w:t xml:space="preserve">identifies dementia capable workforces as a priority objective. </w:t>
      </w:r>
      <w:r w:rsidR="00624388">
        <w:t xml:space="preserve">Attention to dementia capability has </w:t>
      </w:r>
      <w:r w:rsidR="0091489D">
        <w:t>mainly</w:t>
      </w:r>
      <w:r w:rsidR="00624388">
        <w:t xml:space="preserve"> focused on health and aged care workforces, but is also vital for the legal profession</w:t>
      </w:r>
      <w:r w:rsidR="0091489D">
        <w:t>.</w:t>
      </w:r>
    </w:p>
    <w:p w14:paraId="31484360" w14:textId="38758D99" w:rsidR="007C77D4" w:rsidRDefault="007C77D4" w:rsidP="007C77D4">
      <w:pPr>
        <w:ind w:left="720" w:right="1088"/>
      </w:pPr>
      <w:r w:rsidRPr="002579CE">
        <w:rPr>
          <w:i/>
        </w:rPr>
        <w:t>“From the minute a person is diagnosed, a pathway [to legal advice is needed]. There is a big gap here, because we need the legal side to come in, in a big way for people with dementia. And it covers every aspect from the day we are diagnosed … the legal side is the priority.”</w:t>
      </w:r>
      <w:r>
        <w:t xml:space="preserve"> Person living with dementia*</w:t>
      </w:r>
    </w:p>
    <w:p w14:paraId="743EC6B4" w14:textId="576BA777" w:rsidR="00100A12" w:rsidRDefault="00421BD2" w:rsidP="00100A12">
      <w:pPr>
        <w:spacing w:after="0"/>
        <w:rPr>
          <w:rFonts w:cstheme="minorHAnsi"/>
          <w:szCs w:val="24"/>
        </w:rPr>
      </w:pPr>
      <w:r w:rsidRPr="00100A12">
        <w:rPr>
          <w:rFonts w:cstheme="minorHAnsi"/>
          <w:szCs w:val="24"/>
        </w:rPr>
        <w:t>Improving dementia capability can help to overcome d</w:t>
      </w:r>
      <w:r w:rsidRPr="00100A12">
        <w:rPr>
          <w:rFonts w:cstheme="minorHAnsi"/>
          <w:szCs w:val="24"/>
        </w:rPr>
        <w:t>eficiencies in</w:t>
      </w:r>
      <w:r w:rsidRPr="00100A12">
        <w:rPr>
          <w:rFonts w:cstheme="minorHAnsi"/>
          <w:szCs w:val="24"/>
        </w:rPr>
        <w:t xml:space="preserve"> knowledge and practices</w:t>
      </w:r>
      <w:r w:rsidR="00D031BB" w:rsidRPr="00100A12">
        <w:rPr>
          <w:rFonts w:cstheme="minorHAnsi"/>
          <w:szCs w:val="24"/>
        </w:rPr>
        <w:t xml:space="preserve">, such as: </w:t>
      </w:r>
      <w:r w:rsidRPr="00100A12">
        <w:rPr>
          <w:rFonts w:cstheme="minorHAnsi"/>
          <w:szCs w:val="24"/>
        </w:rPr>
        <w:t xml:space="preserve">poor processes for assessing </w:t>
      </w:r>
      <w:r w:rsidRPr="00100A12">
        <w:rPr>
          <w:rFonts w:cstheme="minorHAnsi"/>
          <w:szCs w:val="24"/>
        </w:rPr>
        <w:t xml:space="preserve">a </w:t>
      </w:r>
      <w:r w:rsidRPr="00100A12">
        <w:rPr>
          <w:rFonts w:cstheme="minorHAnsi"/>
          <w:szCs w:val="24"/>
        </w:rPr>
        <w:t>client</w:t>
      </w:r>
      <w:r w:rsidRPr="00100A12">
        <w:rPr>
          <w:rFonts w:cstheme="minorHAnsi"/>
          <w:szCs w:val="24"/>
        </w:rPr>
        <w:t xml:space="preserve">’s </w:t>
      </w:r>
      <w:r w:rsidRPr="00100A12">
        <w:rPr>
          <w:rFonts w:cstheme="minorHAnsi"/>
          <w:szCs w:val="24"/>
        </w:rPr>
        <w:t>capacity</w:t>
      </w:r>
      <w:r w:rsidRPr="00100A12">
        <w:rPr>
          <w:rFonts w:cstheme="minorHAnsi"/>
          <w:szCs w:val="24"/>
        </w:rPr>
        <w:t xml:space="preserve"> to make decisions about legal matters</w:t>
      </w:r>
      <w:r w:rsidRPr="00100A12">
        <w:rPr>
          <w:rFonts w:cstheme="minorHAnsi"/>
          <w:szCs w:val="24"/>
        </w:rPr>
        <w:t xml:space="preserve">; unfamiliarity with strategies to support </w:t>
      </w:r>
      <w:r w:rsidRPr="00100A12">
        <w:rPr>
          <w:rFonts w:cstheme="minorHAnsi"/>
          <w:szCs w:val="24"/>
        </w:rPr>
        <w:t xml:space="preserve">the </w:t>
      </w:r>
      <w:r w:rsidRPr="00100A12">
        <w:rPr>
          <w:rFonts w:cstheme="minorHAnsi"/>
          <w:szCs w:val="24"/>
        </w:rPr>
        <w:t>decision-making</w:t>
      </w:r>
      <w:r w:rsidRPr="00100A12">
        <w:rPr>
          <w:rFonts w:cstheme="minorHAnsi"/>
          <w:szCs w:val="24"/>
        </w:rPr>
        <w:t xml:space="preserve"> capacity of a person living with dementia</w:t>
      </w:r>
      <w:r w:rsidRPr="00100A12">
        <w:rPr>
          <w:rFonts w:cstheme="minorHAnsi"/>
          <w:szCs w:val="24"/>
        </w:rPr>
        <w:t>; use of stigmatising language</w:t>
      </w:r>
      <w:r w:rsidRPr="00100A12">
        <w:rPr>
          <w:rFonts w:cstheme="minorHAnsi"/>
          <w:szCs w:val="24"/>
        </w:rPr>
        <w:t xml:space="preserve"> about dementia</w:t>
      </w:r>
      <w:r w:rsidRPr="00100A12">
        <w:rPr>
          <w:rFonts w:cstheme="minorHAnsi"/>
          <w:szCs w:val="24"/>
        </w:rPr>
        <w:t>; inadequate advice about legal rights for planning ahead; and unwittingly facilitating</w:t>
      </w:r>
      <w:r w:rsidRPr="00100A12">
        <w:rPr>
          <w:rFonts w:cstheme="minorHAnsi"/>
          <w:szCs w:val="24"/>
        </w:rPr>
        <w:t xml:space="preserve"> the</w:t>
      </w:r>
      <w:r w:rsidRPr="00100A12">
        <w:rPr>
          <w:rFonts w:cstheme="minorHAnsi"/>
          <w:szCs w:val="24"/>
        </w:rPr>
        <w:t xml:space="preserve"> abuse of people with dementia by their legal representatives</w:t>
      </w:r>
      <w:r w:rsidR="00D031BB" w:rsidRPr="00100A12">
        <w:rPr>
          <w:rFonts w:cstheme="minorHAnsi"/>
          <w:szCs w:val="24"/>
        </w:rPr>
        <w:t xml:space="preserve"> (Ries 2018; Barry 2018; Sinclair 2021). </w:t>
      </w:r>
    </w:p>
    <w:p w14:paraId="58047125" w14:textId="3D758E61" w:rsidR="002579CE" w:rsidRDefault="002579CE" w:rsidP="00100A12">
      <w:pPr>
        <w:spacing w:after="0"/>
        <w:rPr>
          <w:rFonts w:cstheme="minorHAnsi"/>
          <w:szCs w:val="24"/>
        </w:rPr>
      </w:pPr>
    </w:p>
    <w:p w14:paraId="1206A0AB" w14:textId="6B885411" w:rsidR="002579CE" w:rsidRDefault="002579CE" w:rsidP="002579CE">
      <w:pPr>
        <w:spacing w:after="0"/>
        <w:ind w:left="720" w:right="1088"/>
        <w:rPr>
          <w:rFonts w:cstheme="minorHAnsi"/>
          <w:szCs w:val="24"/>
        </w:rPr>
      </w:pPr>
      <w:r>
        <w:rPr>
          <w:rFonts w:cstheme="minorHAnsi"/>
          <w:i/>
          <w:szCs w:val="24"/>
        </w:rPr>
        <w:t xml:space="preserve">“We need to get a grip on our ageing population and the increasing numbers of clients with dementia. We just need to have a much broader, a much more detailed understanding of how to support clients with dementia.” </w:t>
      </w:r>
      <w:r>
        <w:rPr>
          <w:rFonts w:cstheme="minorHAnsi"/>
          <w:szCs w:val="24"/>
        </w:rPr>
        <w:t>Legal practitioner*</w:t>
      </w:r>
    </w:p>
    <w:p w14:paraId="5EA7C418" w14:textId="651ABAF0" w:rsidR="00803479" w:rsidRDefault="00803479" w:rsidP="00100A12">
      <w:pPr>
        <w:spacing w:after="0"/>
        <w:rPr>
          <w:rFonts w:cstheme="minorHAnsi"/>
          <w:szCs w:val="24"/>
        </w:rPr>
      </w:pPr>
    </w:p>
    <w:p w14:paraId="4D826A72" w14:textId="719FBCC9" w:rsidR="00803479" w:rsidRDefault="00803479" w:rsidP="00100A12">
      <w:pPr>
        <w:spacing w:after="0"/>
      </w:pPr>
      <w:r>
        <w:rPr>
          <w:rFonts w:cstheme="minorHAnsi"/>
          <w:szCs w:val="24"/>
        </w:rPr>
        <w:t>The need for</w:t>
      </w:r>
      <w:r>
        <w:t xml:space="preserve"> dementia capability in the legal profession</w:t>
      </w:r>
      <w:r>
        <w:t xml:space="preserve"> </w:t>
      </w:r>
      <w:r>
        <w:rPr>
          <w:rFonts w:cstheme="minorHAnsi"/>
          <w:szCs w:val="24"/>
        </w:rPr>
        <w:t xml:space="preserve">sparked two innovative projects – the first of their kind </w:t>
      </w:r>
      <w:r w:rsidR="00065245">
        <w:rPr>
          <w:rFonts w:cstheme="minorHAnsi"/>
          <w:szCs w:val="24"/>
        </w:rPr>
        <w:t>internationally</w:t>
      </w:r>
      <w:r>
        <w:rPr>
          <w:rFonts w:cstheme="minorHAnsi"/>
          <w:szCs w:val="24"/>
        </w:rPr>
        <w:t xml:space="preserve"> – that  </w:t>
      </w:r>
      <w:r>
        <w:t xml:space="preserve">were supported with funding from the </w:t>
      </w:r>
      <w:hyperlink r:id="rId12" w:history="1">
        <w:r w:rsidRPr="00421BD2">
          <w:rPr>
            <w:rStyle w:val="Hyperlink"/>
          </w:rPr>
          <w:t>Australian Community of Practice on Research on Dementia</w:t>
        </w:r>
      </w:hyperlink>
      <w:r w:rsidR="00B57318">
        <w:t>.</w:t>
      </w:r>
      <w:bookmarkStart w:id="0" w:name="_GoBack"/>
      <w:bookmarkEnd w:id="0"/>
    </w:p>
    <w:p w14:paraId="67070BF6" w14:textId="77777777" w:rsidR="00055F63" w:rsidRDefault="00055F63" w:rsidP="00100A12">
      <w:pPr>
        <w:spacing w:after="0"/>
        <w:rPr>
          <w:rFonts w:cstheme="minorHAnsi"/>
          <w:szCs w:val="24"/>
        </w:rPr>
      </w:pPr>
    </w:p>
    <w:p w14:paraId="49D02AD3" w14:textId="1C3BE18B" w:rsidR="005B777D" w:rsidRDefault="005B777D">
      <w:pPr>
        <w:rPr>
          <w:b/>
        </w:rPr>
      </w:pPr>
      <w:r w:rsidRPr="00ED3E4F">
        <w:rPr>
          <w:b/>
        </w:rPr>
        <w:t>Attributes of a dementia capable legal professional</w:t>
      </w:r>
    </w:p>
    <w:p w14:paraId="3F408889" w14:textId="4BA87F0C" w:rsidR="00065245" w:rsidRPr="00065245" w:rsidRDefault="00065245" w:rsidP="00065245">
      <w:r>
        <w:lastRenderedPageBreak/>
        <w:t xml:space="preserve">One </w:t>
      </w:r>
      <w:r w:rsidR="00803479">
        <w:t>project aimed to</w:t>
      </w:r>
      <w:r w:rsidR="00DC6A96">
        <w:t xml:space="preserve"> develop a set of</w:t>
      </w:r>
      <w:r>
        <w:t xml:space="preserve"> attributes of dementia capability, based on input from legal </w:t>
      </w:r>
      <w:r>
        <w:t>practitioners</w:t>
      </w:r>
      <w:r w:rsidR="00773B73">
        <w:t xml:space="preserve"> across Australia</w:t>
      </w:r>
      <w:r>
        <w:t>, people living with dementia and carers</w:t>
      </w:r>
      <w:r>
        <w:t xml:space="preserve">. </w:t>
      </w:r>
      <w:r>
        <w:rPr>
          <w:rFonts w:cstheme="minorHAnsi"/>
        </w:rPr>
        <w:t>The</w:t>
      </w:r>
      <w:r w:rsidR="00DC6A96">
        <w:rPr>
          <w:rFonts w:cstheme="minorHAnsi"/>
        </w:rPr>
        <w:t xml:space="preserve"> identified</w:t>
      </w:r>
      <w:r>
        <w:rPr>
          <w:rFonts w:cstheme="minorHAnsi"/>
        </w:rPr>
        <w:t xml:space="preserve"> </w:t>
      </w:r>
      <w:r w:rsidRPr="0095464F">
        <w:rPr>
          <w:rFonts w:ascii="Calibri" w:hAnsi="Calibri"/>
          <w:color w:val="444444"/>
          <w:shd w:val="clear" w:color="auto" w:fill="FCFCFC"/>
        </w:rPr>
        <w:t xml:space="preserve">attributes </w:t>
      </w:r>
      <w:r>
        <w:rPr>
          <w:rFonts w:ascii="Calibri" w:hAnsi="Calibri"/>
          <w:color w:val="444444"/>
          <w:shd w:val="clear" w:color="auto" w:fill="FCFCFC"/>
        </w:rPr>
        <w:t>span</w:t>
      </w:r>
      <w:r w:rsidRPr="0095464F">
        <w:rPr>
          <w:rFonts w:ascii="Calibri" w:hAnsi="Calibri"/>
          <w:color w:val="444444"/>
          <w:shd w:val="clear" w:color="auto" w:fill="FCFCFC"/>
        </w:rPr>
        <w:t xml:space="preserve"> five categories: </w:t>
      </w:r>
    </w:p>
    <w:p w14:paraId="29C2CBA2" w14:textId="5DF8226B" w:rsidR="00065245" w:rsidRPr="00A80EF5" w:rsidRDefault="00065245" w:rsidP="00065245">
      <w:pPr>
        <w:pStyle w:val="ListParagraph"/>
        <w:numPr>
          <w:ilvl w:val="0"/>
          <w:numId w:val="2"/>
        </w:numPr>
        <w:spacing w:after="160" w:line="259" w:lineRule="auto"/>
        <w:rPr>
          <w:rFonts w:ascii="Calibri" w:hAnsi="Calibri"/>
          <w:i/>
          <w:color w:val="444444"/>
          <w:sz w:val="20"/>
          <w:szCs w:val="22"/>
          <w:shd w:val="clear" w:color="auto" w:fill="FCFCFC"/>
        </w:rPr>
      </w:pPr>
      <w:r>
        <w:rPr>
          <w:rFonts w:ascii="Calibri" w:hAnsi="Calibri"/>
          <w:color w:val="444444"/>
          <w:sz w:val="22"/>
          <w:szCs w:val="22"/>
          <w:shd w:val="clear" w:color="auto" w:fill="FCFCFC"/>
        </w:rPr>
        <w:t>k</w:t>
      </w:r>
      <w:r w:rsidRPr="00065245">
        <w:rPr>
          <w:rFonts w:ascii="Calibri" w:hAnsi="Calibri"/>
          <w:color w:val="444444"/>
          <w:sz w:val="22"/>
          <w:szCs w:val="22"/>
          <w:shd w:val="clear" w:color="auto" w:fill="FCFCFC"/>
        </w:rPr>
        <w:t>nowledge</w:t>
      </w:r>
      <w:r w:rsidR="00A80EF5">
        <w:rPr>
          <w:rFonts w:ascii="Calibri" w:hAnsi="Calibri"/>
          <w:color w:val="444444"/>
          <w:sz w:val="22"/>
          <w:szCs w:val="22"/>
          <w:shd w:val="clear" w:color="auto" w:fill="FCFCFC"/>
        </w:rPr>
        <w:t>;</w:t>
      </w:r>
      <w:r w:rsidR="00A80EF5">
        <w:rPr>
          <w:rFonts w:ascii="Calibri" w:hAnsi="Calibri"/>
          <w:color w:val="444444"/>
          <w:sz w:val="22"/>
          <w:shd w:val="clear" w:color="auto" w:fill="FCFCFC"/>
        </w:rPr>
        <w:t xml:space="preserve"> </w:t>
      </w:r>
    </w:p>
    <w:p w14:paraId="310AD3DA" w14:textId="06F7CCB9" w:rsidR="00065245" w:rsidRPr="00065245" w:rsidRDefault="00065245" w:rsidP="00065245">
      <w:pPr>
        <w:pStyle w:val="ListParagraph"/>
        <w:numPr>
          <w:ilvl w:val="0"/>
          <w:numId w:val="2"/>
        </w:numPr>
        <w:spacing w:after="160" w:line="259" w:lineRule="auto"/>
        <w:rPr>
          <w:rFonts w:ascii="Calibri" w:hAnsi="Calibri"/>
          <w:i/>
          <w:color w:val="444444"/>
          <w:sz w:val="22"/>
          <w:szCs w:val="22"/>
          <w:shd w:val="clear" w:color="auto" w:fill="FCFCFC"/>
        </w:rPr>
      </w:pPr>
      <w:r w:rsidRPr="00065245">
        <w:rPr>
          <w:rFonts w:ascii="Calibri" w:hAnsi="Calibri"/>
          <w:color w:val="444444"/>
          <w:sz w:val="22"/>
          <w:szCs w:val="22"/>
          <w:shd w:val="clear" w:color="auto" w:fill="FCFCFC"/>
        </w:rPr>
        <w:t>legal rights and risks</w:t>
      </w:r>
      <w:r w:rsidR="00A80EF5">
        <w:rPr>
          <w:rFonts w:ascii="Calibri" w:hAnsi="Calibri"/>
          <w:color w:val="444444"/>
          <w:sz w:val="22"/>
          <w:szCs w:val="22"/>
          <w:shd w:val="clear" w:color="auto" w:fill="FCFCFC"/>
        </w:rPr>
        <w:t>;</w:t>
      </w:r>
    </w:p>
    <w:p w14:paraId="076E2F69" w14:textId="77777777" w:rsidR="00065245" w:rsidRPr="00065245" w:rsidRDefault="00065245" w:rsidP="00065245">
      <w:pPr>
        <w:pStyle w:val="ListParagraph"/>
        <w:numPr>
          <w:ilvl w:val="0"/>
          <w:numId w:val="2"/>
        </w:numPr>
        <w:spacing w:after="160" w:line="259" w:lineRule="auto"/>
        <w:rPr>
          <w:rFonts w:ascii="Calibri" w:hAnsi="Calibri"/>
          <w:i/>
          <w:color w:val="444444"/>
          <w:sz w:val="22"/>
          <w:szCs w:val="22"/>
          <w:shd w:val="clear" w:color="auto" w:fill="FCFCFC"/>
        </w:rPr>
      </w:pPr>
      <w:r w:rsidRPr="00065245">
        <w:rPr>
          <w:rFonts w:ascii="Calibri" w:hAnsi="Calibri"/>
          <w:color w:val="444444"/>
          <w:sz w:val="22"/>
          <w:szCs w:val="22"/>
          <w:shd w:val="clear" w:color="auto" w:fill="FCFCFC"/>
        </w:rPr>
        <w:t xml:space="preserve">capacity; </w:t>
      </w:r>
    </w:p>
    <w:p w14:paraId="291D8120" w14:textId="77777777" w:rsidR="00065245" w:rsidRPr="00065245" w:rsidRDefault="00065245" w:rsidP="00065245">
      <w:pPr>
        <w:pStyle w:val="ListParagraph"/>
        <w:numPr>
          <w:ilvl w:val="0"/>
          <w:numId w:val="2"/>
        </w:numPr>
        <w:spacing w:after="160" w:line="259" w:lineRule="auto"/>
        <w:rPr>
          <w:rFonts w:ascii="Calibri" w:hAnsi="Calibri"/>
          <w:i/>
          <w:color w:val="444444"/>
          <w:sz w:val="22"/>
          <w:szCs w:val="22"/>
          <w:shd w:val="clear" w:color="auto" w:fill="FCFCFC"/>
        </w:rPr>
      </w:pPr>
      <w:r w:rsidRPr="00065245">
        <w:rPr>
          <w:rFonts w:ascii="Calibri" w:hAnsi="Calibri"/>
          <w:color w:val="444444"/>
          <w:sz w:val="22"/>
          <w:szCs w:val="22"/>
          <w:shd w:val="clear" w:color="auto" w:fill="FCFCFC"/>
        </w:rPr>
        <w:t xml:space="preserve">communication; and </w:t>
      </w:r>
    </w:p>
    <w:p w14:paraId="6BEF6205" w14:textId="77777777" w:rsidR="00065245" w:rsidRPr="00065245" w:rsidRDefault="00065245" w:rsidP="00065245">
      <w:pPr>
        <w:pStyle w:val="ListParagraph"/>
        <w:numPr>
          <w:ilvl w:val="0"/>
          <w:numId w:val="2"/>
        </w:numPr>
        <w:spacing w:after="160" w:line="259" w:lineRule="auto"/>
        <w:rPr>
          <w:rFonts w:ascii="Calibri" w:hAnsi="Calibri"/>
          <w:i/>
          <w:color w:val="444444"/>
          <w:sz w:val="22"/>
          <w:szCs w:val="22"/>
          <w:shd w:val="clear" w:color="auto" w:fill="FCFCFC"/>
        </w:rPr>
      </w:pPr>
      <w:r w:rsidRPr="00065245">
        <w:rPr>
          <w:rFonts w:ascii="Calibri" w:hAnsi="Calibri"/>
          <w:color w:val="444444"/>
          <w:sz w:val="22"/>
          <w:szCs w:val="22"/>
          <w:shd w:val="clear" w:color="auto" w:fill="FCFCFC"/>
        </w:rPr>
        <w:t xml:space="preserve">advocacy. </w:t>
      </w:r>
    </w:p>
    <w:p w14:paraId="3B10532E" w14:textId="73C1727A" w:rsidR="00065245" w:rsidRDefault="00065245" w:rsidP="00065245">
      <w:pPr>
        <w:pStyle w:val="font8"/>
        <w:spacing w:before="0" w:beforeAutospacing="0" w:after="0" w:afterAutospacing="0"/>
        <w:textAlignment w:val="baseline"/>
        <w:rPr>
          <w:rFonts w:ascii="Calibri" w:hAnsi="Calibri"/>
          <w:color w:val="444444"/>
          <w:sz w:val="22"/>
          <w:szCs w:val="22"/>
          <w:shd w:val="clear" w:color="auto" w:fill="FCFCFC"/>
        </w:rPr>
      </w:pPr>
      <w:r w:rsidRPr="00065245">
        <w:rPr>
          <w:rFonts w:ascii="Calibri" w:hAnsi="Calibri"/>
          <w:color w:val="444444"/>
          <w:sz w:val="22"/>
          <w:szCs w:val="22"/>
          <w:shd w:val="clear" w:color="auto" w:fill="FCFCFC"/>
        </w:rPr>
        <w:t>Strengths-based approaches are at the core of the</w:t>
      </w:r>
      <w:r w:rsidR="00DC6A96">
        <w:rPr>
          <w:rFonts w:ascii="Calibri" w:hAnsi="Calibri"/>
          <w:color w:val="444444"/>
          <w:sz w:val="22"/>
          <w:szCs w:val="22"/>
          <w:shd w:val="clear" w:color="auto" w:fill="FCFCFC"/>
        </w:rPr>
        <w:t>se</w:t>
      </w:r>
      <w:r w:rsidRPr="00065245">
        <w:rPr>
          <w:rFonts w:ascii="Calibri" w:hAnsi="Calibri"/>
          <w:color w:val="444444"/>
          <w:sz w:val="22"/>
          <w:szCs w:val="22"/>
          <w:shd w:val="clear" w:color="auto" w:fill="FCFCFC"/>
        </w:rPr>
        <w:t xml:space="preserve"> attributes. </w:t>
      </w:r>
      <w:r w:rsidR="00A80EF5">
        <w:rPr>
          <w:rFonts w:ascii="Calibri" w:hAnsi="Calibri"/>
          <w:color w:val="444444"/>
          <w:sz w:val="22"/>
          <w:shd w:val="clear" w:color="auto" w:fill="FCFCFC"/>
        </w:rPr>
        <w:t>Each person living with a dementia diagnosis will have their own unique needs and abilities</w:t>
      </w:r>
      <w:r w:rsidR="00A80EF5">
        <w:rPr>
          <w:rFonts w:ascii="Calibri" w:hAnsi="Calibri"/>
          <w:color w:val="444444"/>
          <w:sz w:val="22"/>
          <w:shd w:val="clear" w:color="auto" w:fill="FCFCFC"/>
        </w:rPr>
        <w:t xml:space="preserve">. A diagnosis of dementia must not </w:t>
      </w:r>
      <w:r w:rsidR="005C0806">
        <w:rPr>
          <w:rFonts w:ascii="Calibri" w:hAnsi="Calibri"/>
          <w:color w:val="444444"/>
          <w:sz w:val="22"/>
          <w:shd w:val="clear" w:color="auto" w:fill="FCFCFC"/>
        </w:rPr>
        <w:t>lead to</w:t>
      </w:r>
      <w:r w:rsidR="00A80EF5">
        <w:rPr>
          <w:rFonts w:ascii="Calibri" w:hAnsi="Calibri"/>
          <w:color w:val="444444"/>
          <w:sz w:val="22"/>
          <w:shd w:val="clear" w:color="auto" w:fill="FCFCFC"/>
        </w:rPr>
        <w:t xml:space="preserve"> an assumption of incapacity. Instead, </w:t>
      </w:r>
      <w:r w:rsidR="00A80EF5">
        <w:rPr>
          <w:rFonts w:ascii="Calibri" w:hAnsi="Calibri"/>
          <w:color w:val="444444"/>
          <w:sz w:val="22"/>
          <w:szCs w:val="22"/>
          <w:shd w:val="clear" w:color="auto" w:fill="FCFCFC"/>
        </w:rPr>
        <w:t>de</w:t>
      </w:r>
      <w:r w:rsidRPr="00065245">
        <w:rPr>
          <w:rFonts w:ascii="Calibri" w:hAnsi="Calibri"/>
          <w:color w:val="444444"/>
          <w:sz w:val="22"/>
          <w:szCs w:val="22"/>
          <w:shd w:val="clear" w:color="auto" w:fill="FCFCFC"/>
        </w:rPr>
        <w:t xml:space="preserve">cision-making capacity </w:t>
      </w:r>
      <w:r w:rsidR="00DC6A96">
        <w:rPr>
          <w:rFonts w:ascii="Calibri" w:hAnsi="Calibri"/>
          <w:color w:val="444444"/>
          <w:sz w:val="22"/>
          <w:szCs w:val="22"/>
          <w:shd w:val="clear" w:color="auto" w:fill="FCFCFC"/>
        </w:rPr>
        <w:t>should</w:t>
      </w:r>
      <w:r w:rsidR="00773B73">
        <w:rPr>
          <w:rFonts w:ascii="Calibri" w:hAnsi="Calibri"/>
          <w:color w:val="444444"/>
          <w:sz w:val="22"/>
          <w:szCs w:val="22"/>
          <w:shd w:val="clear" w:color="auto" w:fill="FCFCFC"/>
        </w:rPr>
        <w:t xml:space="preserve"> be enhanced through appropriate supports</w:t>
      </w:r>
      <w:r w:rsidRPr="00065245">
        <w:rPr>
          <w:rFonts w:ascii="Calibri" w:hAnsi="Calibri"/>
          <w:color w:val="444444"/>
          <w:sz w:val="22"/>
          <w:szCs w:val="22"/>
          <w:shd w:val="clear" w:color="auto" w:fill="FCFCFC"/>
        </w:rPr>
        <w:t xml:space="preserve">. Communication-related attributes </w:t>
      </w:r>
      <w:r w:rsidR="00D95A47">
        <w:rPr>
          <w:rFonts w:ascii="Calibri" w:hAnsi="Calibri"/>
          <w:color w:val="444444"/>
          <w:sz w:val="22"/>
          <w:szCs w:val="22"/>
          <w:shd w:val="clear" w:color="auto" w:fill="FCFCFC"/>
        </w:rPr>
        <w:t>promote</w:t>
      </w:r>
      <w:r w:rsidRPr="00065245">
        <w:rPr>
          <w:rFonts w:ascii="Calibri" w:hAnsi="Calibri"/>
          <w:color w:val="444444"/>
          <w:sz w:val="22"/>
          <w:szCs w:val="22"/>
          <w:shd w:val="clear" w:color="auto" w:fill="FCFCFC"/>
        </w:rPr>
        <w:t xml:space="preserve"> effective and respectful communication. </w:t>
      </w:r>
      <w:r w:rsidR="00D95A47">
        <w:rPr>
          <w:rFonts w:ascii="Calibri" w:hAnsi="Calibri"/>
          <w:color w:val="444444"/>
          <w:sz w:val="22"/>
          <w:szCs w:val="22"/>
          <w:shd w:val="clear" w:color="auto" w:fill="FCFCFC"/>
        </w:rPr>
        <w:t>S</w:t>
      </w:r>
      <w:r w:rsidRPr="00065245">
        <w:rPr>
          <w:rFonts w:ascii="Calibri" w:hAnsi="Calibri"/>
          <w:color w:val="444444"/>
          <w:sz w:val="22"/>
          <w:szCs w:val="22"/>
          <w:shd w:val="clear" w:color="auto" w:fill="FCFCFC"/>
        </w:rPr>
        <w:t xml:space="preserve">ystemic advocacy </w:t>
      </w:r>
      <w:r w:rsidR="00D95A47">
        <w:rPr>
          <w:rFonts w:ascii="Calibri" w:hAnsi="Calibri"/>
          <w:color w:val="444444"/>
          <w:sz w:val="22"/>
          <w:szCs w:val="22"/>
          <w:shd w:val="clear" w:color="auto" w:fill="FCFCFC"/>
        </w:rPr>
        <w:t>focuses on reforms to</w:t>
      </w:r>
      <w:r w:rsidRPr="00065245">
        <w:rPr>
          <w:rFonts w:ascii="Calibri" w:hAnsi="Calibri"/>
          <w:color w:val="444444"/>
          <w:sz w:val="22"/>
          <w:szCs w:val="22"/>
          <w:shd w:val="clear" w:color="auto" w:fill="FCFCFC"/>
        </w:rPr>
        <w:t xml:space="preserve"> laws</w:t>
      </w:r>
      <w:r w:rsidR="00773B73">
        <w:rPr>
          <w:rFonts w:ascii="Calibri" w:hAnsi="Calibri"/>
          <w:color w:val="444444"/>
          <w:sz w:val="22"/>
          <w:szCs w:val="22"/>
          <w:shd w:val="clear" w:color="auto" w:fill="FCFCFC"/>
        </w:rPr>
        <w:t xml:space="preserve"> and policies to advance </w:t>
      </w:r>
      <w:r w:rsidRPr="00065245">
        <w:rPr>
          <w:rFonts w:ascii="Calibri" w:hAnsi="Calibri"/>
          <w:color w:val="444444"/>
          <w:sz w:val="22"/>
          <w:szCs w:val="22"/>
          <w:shd w:val="clear" w:color="auto" w:fill="FCFCFC"/>
        </w:rPr>
        <w:t xml:space="preserve">the rights of </w:t>
      </w:r>
      <w:r w:rsidR="00D95A47">
        <w:rPr>
          <w:rFonts w:ascii="Calibri" w:hAnsi="Calibri"/>
          <w:color w:val="444444"/>
          <w:sz w:val="22"/>
          <w:szCs w:val="22"/>
          <w:shd w:val="clear" w:color="auto" w:fill="FCFCFC"/>
        </w:rPr>
        <w:t>people living with dementia</w:t>
      </w:r>
      <w:r w:rsidR="00753E82">
        <w:rPr>
          <w:rFonts w:ascii="Calibri" w:hAnsi="Calibri"/>
          <w:color w:val="444444"/>
          <w:sz w:val="22"/>
          <w:szCs w:val="22"/>
          <w:shd w:val="clear" w:color="auto" w:fill="FCFCFC"/>
        </w:rPr>
        <w:t xml:space="preserve"> and their carers.</w:t>
      </w:r>
    </w:p>
    <w:p w14:paraId="3DFD2D98" w14:textId="77777777" w:rsidR="00D95A47" w:rsidRPr="00065245" w:rsidRDefault="00D95A47" w:rsidP="00065245">
      <w:pPr>
        <w:pStyle w:val="font8"/>
        <w:spacing w:before="0" w:beforeAutospacing="0" w:after="0" w:afterAutospacing="0"/>
        <w:textAlignment w:val="baseline"/>
        <w:rPr>
          <w:rFonts w:ascii="Arial" w:hAnsi="Arial" w:cs="Arial"/>
          <w:color w:val="091405"/>
          <w:sz w:val="22"/>
          <w:szCs w:val="22"/>
        </w:rPr>
      </w:pPr>
    </w:p>
    <w:p w14:paraId="61F77F99" w14:textId="2298B206" w:rsidR="0020071A" w:rsidRDefault="0020071A" w:rsidP="0020071A">
      <w:pPr>
        <w:rPr>
          <w:rFonts w:ascii="Calibri" w:hAnsi="Calibri"/>
          <w:color w:val="444444"/>
          <w:shd w:val="clear" w:color="auto" w:fill="FCFCFC"/>
        </w:rPr>
      </w:pPr>
      <w:r>
        <w:rPr>
          <w:rFonts w:ascii="Calibri" w:hAnsi="Calibri"/>
          <w:color w:val="444444"/>
          <w:shd w:val="clear" w:color="auto" w:fill="FCFCFC"/>
        </w:rPr>
        <w:t>The full report on</w:t>
      </w:r>
      <w:r>
        <w:rPr>
          <w:rFonts w:ascii="Calibri" w:hAnsi="Calibri"/>
          <w:color w:val="444444"/>
          <w:shd w:val="clear" w:color="auto" w:fill="FCFCFC"/>
        </w:rPr>
        <w:t xml:space="preserve"> the attributes of</w:t>
      </w:r>
      <w:r>
        <w:rPr>
          <w:rFonts w:ascii="Calibri" w:hAnsi="Calibri"/>
          <w:color w:val="444444"/>
          <w:shd w:val="clear" w:color="auto" w:fill="FCFCFC"/>
        </w:rPr>
        <w:t xml:space="preserve"> dementia capability is available here: </w:t>
      </w:r>
      <w:hyperlink r:id="rId13" w:history="1">
        <w:r w:rsidRPr="00BA132C">
          <w:rPr>
            <w:rStyle w:val="Hyperlink"/>
            <w:rFonts w:ascii="Calibri" w:hAnsi="Calibri"/>
            <w:shd w:val="clear" w:color="auto" w:fill="FCFCFC"/>
          </w:rPr>
          <w:t>https://www.dementialawnetwork.org/dementia-capability</w:t>
        </w:r>
      </w:hyperlink>
      <w:r>
        <w:rPr>
          <w:rFonts w:ascii="Calibri" w:hAnsi="Calibri"/>
          <w:color w:val="444444"/>
          <w:shd w:val="clear" w:color="auto" w:fill="FCFCFC"/>
        </w:rPr>
        <w:t xml:space="preserve">. </w:t>
      </w:r>
    </w:p>
    <w:p w14:paraId="6E33C123" w14:textId="61AC36D9" w:rsidR="00ED3E4F" w:rsidRDefault="00ED3E4F">
      <w:pPr>
        <w:rPr>
          <w:b/>
        </w:rPr>
      </w:pPr>
      <w:r>
        <w:rPr>
          <w:b/>
        </w:rPr>
        <w:t>Dementia training to build the attributes</w:t>
      </w:r>
    </w:p>
    <w:p w14:paraId="6FB6C32E" w14:textId="4DB1246C" w:rsidR="00ED3E4F" w:rsidRDefault="00676CBE" w:rsidP="006A4161">
      <w:r w:rsidRPr="006A4161">
        <w:t xml:space="preserve">The project on dementia capability </w:t>
      </w:r>
      <w:r w:rsidR="006A4161" w:rsidRPr="006A4161">
        <w:t xml:space="preserve">emphasised the need for tailored training and resources to equip legal professionals with relevant knowledge and skills. </w:t>
      </w:r>
    </w:p>
    <w:p w14:paraId="137CFE2B" w14:textId="4338AA3A" w:rsidR="000134E8" w:rsidRDefault="006A4161" w:rsidP="0042708F">
      <w:r w:rsidRPr="000134E8">
        <w:t xml:space="preserve">Three online short courses </w:t>
      </w:r>
      <w:r w:rsidR="000134E8" w:rsidRPr="000134E8">
        <w:t xml:space="preserve">were developed </w:t>
      </w:r>
      <w:r w:rsidR="0042708F">
        <w:t>at</w:t>
      </w:r>
      <w:r w:rsidR="000134E8" w:rsidRPr="000134E8">
        <w:t xml:space="preserve"> the Faculty of Law, University of Technology Sydney: (1) Understanding Dementia: Facts and Foundation: (2) Planning Ahead: Focus on Advance Care Planning; and (3) Elder Abuse: Strategies for Prevention. </w:t>
      </w:r>
      <w:r w:rsidR="000134E8">
        <w:t>The</w:t>
      </w:r>
      <w:r w:rsidR="000134E8" w:rsidRPr="000134E8">
        <w:t xml:space="preserve"> courses </w:t>
      </w:r>
      <w:r w:rsidR="000134E8">
        <w:t>incorporated</w:t>
      </w:r>
      <w:r w:rsidR="000134E8" w:rsidRPr="000134E8">
        <w:t xml:space="preserve"> </w:t>
      </w:r>
      <w:r w:rsidR="0042708F">
        <w:t>up-to-date</w:t>
      </w:r>
      <w:r w:rsidR="000134E8" w:rsidRPr="000134E8">
        <w:t xml:space="preserve"> research and provide</w:t>
      </w:r>
      <w:r w:rsidR="0042708F">
        <w:t>d</w:t>
      </w:r>
      <w:r w:rsidR="000134E8" w:rsidRPr="000134E8">
        <w:t xml:space="preserve"> insights from medical and legal practitioners and dementia advocates. </w:t>
      </w:r>
      <w:r w:rsidR="0042708F">
        <w:t xml:space="preserve">The course content prompted practitioners </w:t>
      </w:r>
      <w:r w:rsidR="000134E8" w:rsidRPr="000134E8">
        <w:t xml:space="preserve">to </w:t>
      </w:r>
      <w:r w:rsidR="0042708F">
        <w:t>download resources to create</w:t>
      </w:r>
      <w:r w:rsidR="000134E8" w:rsidRPr="000134E8">
        <w:t xml:space="preserve"> their own Dementia-Capable Toolkit. </w:t>
      </w:r>
    </w:p>
    <w:p w14:paraId="6FE75BF8" w14:textId="5B5DAF60" w:rsidR="0042708F" w:rsidRDefault="0042708F" w:rsidP="0042708F">
      <w:r>
        <w:t>A pilot evaluation involv</w:t>
      </w:r>
      <w:r w:rsidR="000273A3">
        <w:t>ing practitioners in New South Wales and Victoria found that the courses rated highly in</w:t>
      </w:r>
      <w:r w:rsidR="004316FD">
        <w:t xml:space="preserve"> being relevant and useful for legal professionals</w:t>
      </w:r>
      <w:r w:rsidR="0005018E">
        <w:t>, as well as increasing their confidence in working with clients with dementia</w:t>
      </w:r>
      <w:r w:rsidR="004316FD">
        <w:t xml:space="preserve"> (Ries</w:t>
      </w:r>
      <w:r w:rsidR="002E647B">
        <w:t>,</w:t>
      </w:r>
      <w:r w:rsidR="004316FD">
        <w:t xml:space="preserve"> 2024)</w:t>
      </w:r>
      <w:r w:rsidR="000273A3">
        <w:t>. As one solicitor commented:</w:t>
      </w:r>
    </w:p>
    <w:p w14:paraId="5A929A96" w14:textId="739E962A" w:rsidR="000273A3" w:rsidRDefault="000273A3" w:rsidP="000273A3">
      <w:pPr>
        <w:ind w:left="720" w:right="1088"/>
        <w:rPr>
          <w:szCs w:val="24"/>
        </w:rPr>
      </w:pPr>
      <w:r w:rsidRPr="000273A3">
        <w:rPr>
          <w:i/>
          <w:szCs w:val="24"/>
        </w:rPr>
        <w:t xml:space="preserve">“I didn’t realise how one dimensional my experience has been to the huge range of dementia related considerations. It has led me to review my own inclinations and potential prejudices which to at least some extent I had not been aware of. … </w:t>
      </w:r>
      <w:r w:rsidRPr="000273A3">
        <w:rPr>
          <w:i/>
          <w:szCs w:val="24"/>
        </w:rPr>
        <w:t>[W]</w:t>
      </w:r>
      <w:r w:rsidRPr="000273A3">
        <w:rPr>
          <w:i/>
          <w:szCs w:val="24"/>
        </w:rPr>
        <w:t>hat I have been exposed to in this course will have a profound impact on my level of awareness.”</w:t>
      </w:r>
      <w:r>
        <w:rPr>
          <w:i/>
          <w:szCs w:val="24"/>
        </w:rPr>
        <w:t xml:space="preserve"> </w:t>
      </w:r>
      <w:r>
        <w:rPr>
          <w:szCs w:val="24"/>
        </w:rPr>
        <w:t>Legal practitioner*</w:t>
      </w:r>
    </w:p>
    <w:p w14:paraId="307FB400" w14:textId="00B2F415" w:rsidR="006B1085" w:rsidRDefault="004316FD" w:rsidP="004316FD">
      <w:pPr>
        <w:ind w:right="1088"/>
        <w:rPr>
          <w:szCs w:val="24"/>
        </w:rPr>
      </w:pPr>
      <w:r>
        <w:rPr>
          <w:szCs w:val="24"/>
        </w:rPr>
        <w:t xml:space="preserve">Importantly, </w:t>
      </w:r>
      <w:r w:rsidR="006B1085">
        <w:rPr>
          <w:szCs w:val="24"/>
        </w:rPr>
        <w:t xml:space="preserve">a </w:t>
      </w:r>
      <w:r>
        <w:rPr>
          <w:szCs w:val="24"/>
        </w:rPr>
        <w:t xml:space="preserve">follow-up </w:t>
      </w:r>
      <w:r w:rsidR="006B1085">
        <w:rPr>
          <w:szCs w:val="24"/>
        </w:rPr>
        <w:t xml:space="preserve">survey </w:t>
      </w:r>
      <w:r>
        <w:rPr>
          <w:szCs w:val="24"/>
        </w:rPr>
        <w:t>with participants several months after completing the courses found evidence of changes in their practices. More than half reported that what they learned had</w:t>
      </w:r>
      <w:r w:rsidR="002E647B">
        <w:rPr>
          <w:szCs w:val="24"/>
        </w:rPr>
        <w:t xml:space="preserve"> greatly or moderately</w:t>
      </w:r>
      <w:r>
        <w:rPr>
          <w:szCs w:val="24"/>
        </w:rPr>
        <w:t xml:space="preserve"> </w:t>
      </w:r>
      <w:r w:rsidRPr="004316FD">
        <w:rPr>
          <w:szCs w:val="24"/>
        </w:rPr>
        <w:t>influenced how they work with clients</w:t>
      </w:r>
      <w:r w:rsidR="002E647B">
        <w:rPr>
          <w:szCs w:val="24"/>
        </w:rPr>
        <w:t xml:space="preserve">. </w:t>
      </w:r>
    </w:p>
    <w:p w14:paraId="6C4A8CB0" w14:textId="56920399" w:rsidR="006B1085" w:rsidRPr="004316FD" w:rsidRDefault="006B1085" w:rsidP="004316FD">
      <w:pPr>
        <w:ind w:right="1088"/>
        <w:rPr>
          <w:szCs w:val="24"/>
        </w:rPr>
      </w:pPr>
      <w:r>
        <w:rPr>
          <w:szCs w:val="24"/>
        </w:rPr>
        <w:t xml:space="preserve">Continuing education for lawyers in the broader field of elder law is a priority for legal professional bodies in Australia. In August 2024, the NSW Law Society announced a new </w:t>
      </w:r>
      <w:hyperlink r:id="rId14" w:history="1">
        <w:r w:rsidRPr="005B34EF">
          <w:rPr>
            <w:rStyle w:val="Hyperlink"/>
            <w:szCs w:val="24"/>
          </w:rPr>
          <w:t>Specialist Accreditation in Elder Law</w:t>
        </w:r>
      </w:hyperlink>
      <w:r>
        <w:rPr>
          <w:szCs w:val="24"/>
        </w:rPr>
        <w:t xml:space="preserve"> that will be available to solicitors across the country</w:t>
      </w:r>
      <w:r w:rsidR="005B34EF">
        <w:rPr>
          <w:szCs w:val="24"/>
        </w:rPr>
        <w:t xml:space="preserve"> from 2026.</w:t>
      </w:r>
      <w:r w:rsidR="00055F63">
        <w:rPr>
          <w:szCs w:val="24"/>
        </w:rPr>
        <w:t xml:space="preserve"> This new accreditation presents a significant opportunity to build dementia capability and ensure high quality legal services for </w:t>
      </w:r>
      <w:r w:rsidR="00B11E46">
        <w:rPr>
          <w:szCs w:val="24"/>
        </w:rPr>
        <w:t xml:space="preserve">clients seeking to plan ahead </w:t>
      </w:r>
      <w:r w:rsidR="00B21D72">
        <w:rPr>
          <w:szCs w:val="24"/>
        </w:rPr>
        <w:t xml:space="preserve">and safeguard their rights into the future. </w:t>
      </w:r>
    </w:p>
    <w:p w14:paraId="38A7BD6D" w14:textId="77777777" w:rsidR="00055F63" w:rsidRDefault="00055F63" w:rsidP="00055F63">
      <w:pPr>
        <w:rPr>
          <w:rFonts w:ascii="Calibri" w:hAnsi="Calibri"/>
          <w:color w:val="444444"/>
          <w:shd w:val="clear" w:color="auto" w:fill="FCFCFC"/>
        </w:rPr>
      </w:pPr>
      <w:r>
        <w:rPr>
          <w:rFonts w:ascii="Calibri" w:hAnsi="Calibri"/>
          <w:color w:val="444444"/>
          <w:shd w:val="clear" w:color="auto" w:fill="FCFCFC"/>
        </w:rPr>
        <w:lastRenderedPageBreak/>
        <w:t xml:space="preserve">*Quotes are from participants who took part in the projects on dementia capability and dementia training for the legal profession, which were approved by the UTS Human Research Ethics Committee (ETH22-7743 and </w:t>
      </w:r>
      <w:r w:rsidRPr="00E02C67">
        <w:t>ETH22-6995</w:t>
      </w:r>
      <w:r>
        <w:rPr>
          <w:rFonts w:ascii="Calibri" w:hAnsi="Calibri"/>
          <w:color w:val="444444"/>
          <w:shd w:val="clear" w:color="auto" w:fill="FCFCFC"/>
        </w:rPr>
        <w:t>).</w:t>
      </w:r>
    </w:p>
    <w:p w14:paraId="1201C4CA" w14:textId="77777777" w:rsidR="00D42BD0" w:rsidRDefault="00D42BD0" w:rsidP="00C95CD4">
      <w:pPr>
        <w:rPr>
          <w:rFonts w:ascii="Calibri" w:hAnsi="Calibri"/>
          <w:color w:val="444444"/>
          <w:shd w:val="clear" w:color="auto" w:fill="FCFCFC"/>
        </w:rPr>
      </w:pPr>
    </w:p>
    <w:p w14:paraId="7BBD8FC2" w14:textId="22E4A7F1" w:rsidR="00C95CD4" w:rsidRDefault="002E6A8F">
      <w:pPr>
        <w:rPr>
          <w:b/>
        </w:rPr>
      </w:pPr>
      <w:r>
        <w:rPr>
          <w:b/>
        </w:rPr>
        <w:t>References</w:t>
      </w:r>
    </w:p>
    <w:p w14:paraId="555DC664" w14:textId="2EB26D95" w:rsidR="00055F63" w:rsidRPr="00055F63" w:rsidRDefault="00055F63" w:rsidP="00055F63">
      <w:r>
        <w:rPr>
          <w:rFonts w:cstheme="minorHAnsi"/>
          <w:color w:val="222222"/>
          <w:szCs w:val="20"/>
          <w:shd w:val="clear" w:color="auto" w:fill="FFFFFF"/>
        </w:rPr>
        <w:t xml:space="preserve">Australian Dementia Network, </w:t>
      </w:r>
      <w:r w:rsidRPr="00055F63">
        <w:rPr>
          <w:rFonts w:cstheme="minorHAnsi"/>
          <w:i/>
          <w:color w:val="222222"/>
          <w:szCs w:val="20"/>
          <w:shd w:val="clear" w:color="auto" w:fill="FFFFFF"/>
        </w:rPr>
        <w:t>Memory and Cognition</w:t>
      </w:r>
      <w:r w:rsidRPr="00055F63">
        <w:rPr>
          <w:rFonts w:cstheme="minorHAnsi"/>
          <w:i/>
          <w:color w:val="222222"/>
          <w:szCs w:val="20"/>
          <w:shd w:val="clear" w:color="auto" w:fill="FFFFFF"/>
        </w:rPr>
        <w:t xml:space="preserve"> </w:t>
      </w:r>
      <w:r w:rsidRPr="00055F63">
        <w:rPr>
          <w:rFonts w:cstheme="minorHAnsi"/>
          <w:i/>
          <w:color w:val="222222"/>
          <w:szCs w:val="20"/>
          <w:shd w:val="clear" w:color="auto" w:fill="FFFFFF"/>
        </w:rPr>
        <w:t>Clinic Guidelines</w:t>
      </w:r>
      <w:r>
        <w:t xml:space="preserve"> (2024), </w:t>
      </w:r>
      <w:hyperlink r:id="rId15" w:history="1">
        <w:r w:rsidRPr="00014BD9">
          <w:rPr>
            <w:rStyle w:val="Hyperlink"/>
          </w:rPr>
          <w:t>https://memoryandcognitionclinic.com.au/wp-content/uploads/2024/05/ADNeT_MC_Clinic_Guidelines_Version_2.pdf</w:t>
        </w:r>
      </w:hyperlink>
      <w:r>
        <w:t xml:space="preserve">. </w:t>
      </w:r>
    </w:p>
    <w:p w14:paraId="215E9B04" w14:textId="77777777" w:rsidR="00A17984" w:rsidRDefault="00A17984" w:rsidP="00A17984">
      <w:pPr>
        <w:rPr>
          <w:rFonts w:cstheme="minorHAnsi"/>
          <w:szCs w:val="24"/>
        </w:rPr>
      </w:pPr>
      <w:r w:rsidRPr="00017982">
        <w:rPr>
          <w:rFonts w:cstheme="minorHAnsi"/>
          <w:szCs w:val="24"/>
        </w:rPr>
        <w:t>Barry</w:t>
      </w:r>
      <w:r>
        <w:rPr>
          <w:rFonts w:cstheme="minorHAnsi"/>
          <w:szCs w:val="24"/>
        </w:rPr>
        <w:t xml:space="preserve"> L. </w:t>
      </w:r>
      <w:r w:rsidRPr="00017982">
        <w:rPr>
          <w:rFonts w:cstheme="minorHAnsi"/>
          <w:szCs w:val="24"/>
        </w:rPr>
        <w:t>“He Was Wearing Street Clothes, Not Pyjamas”: Common Mistakes in Lawyers’ Assessment of Legal Capacity for Vulnerable Older Clients</w:t>
      </w:r>
      <w:r>
        <w:rPr>
          <w:rFonts w:cstheme="minorHAnsi"/>
          <w:szCs w:val="24"/>
        </w:rPr>
        <w:t>.</w:t>
      </w:r>
      <w:r w:rsidRPr="00017982">
        <w:rPr>
          <w:rFonts w:cstheme="minorHAnsi"/>
          <w:szCs w:val="24"/>
        </w:rPr>
        <w:t xml:space="preserve"> </w:t>
      </w:r>
      <w:r w:rsidRPr="00017982">
        <w:rPr>
          <w:rFonts w:cstheme="minorHAnsi"/>
          <w:i/>
          <w:iCs/>
          <w:szCs w:val="24"/>
        </w:rPr>
        <w:t>Legal Ethics</w:t>
      </w:r>
      <w:r w:rsidRPr="00017982">
        <w:rPr>
          <w:rFonts w:cstheme="minorHAnsi"/>
          <w:szCs w:val="24"/>
        </w:rPr>
        <w:t xml:space="preserve"> </w:t>
      </w:r>
      <w:r>
        <w:rPr>
          <w:rFonts w:cstheme="minorHAnsi"/>
          <w:szCs w:val="24"/>
        </w:rPr>
        <w:t>2018:21(1):</w:t>
      </w:r>
      <w:r w:rsidRPr="00017982">
        <w:rPr>
          <w:rFonts w:cstheme="minorHAnsi"/>
          <w:szCs w:val="24"/>
        </w:rPr>
        <w:t>3</w:t>
      </w:r>
      <w:r>
        <w:rPr>
          <w:rFonts w:cstheme="minorHAnsi"/>
          <w:szCs w:val="24"/>
        </w:rPr>
        <w:t>-22.</w:t>
      </w:r>
    </w:p>
    <w:p w14:paraId="192D4F0F" w14:textId="11AA5C71" w:rsidR="00D27405" w:rsidRPr="00D27405" w:rsidRDefault="00D27405" w:rsidP="00055F63">
      <w:pPr>
        <w:rPr>
          <w:rFonts w:cstheme="minorHAnsi"/>
          <w:sz w:val="24"/>
        </w:rPr>
      </w:pPr>
      <w:r w:rsidRPr="00D27405">
        <w:rPr>
          <w:rFonts w:cstheme="minorHAnsi"/>
          <w:color w:val="222222"/>
          <w:szCs w:val="20"/>
          <w:shd w:val="clear" w:color="auto" w:fill="FFFFFF"/>
        </w:rPr>
        <w:t>Bryant</w:t>
      </w:r>
      <w:r>
        <w:rPr>
          <w:rFonts w:cstheme="minorHAnsi"/>
          <w:color w:val="222222"/>
          <w:szCs w:val="20"/>
          <w:shd w:val="clear" w:color="auto" w:fill="FFFFFF"/>
        </w:rPr>
        <w:t xml:space="preserve"> </w:t>
      </w:r>
      <w:r w:rsidRPr="00D27405">
        <w:rPr>
          <w:rFonts w:cstheme="minorHAnsi"/>
          <w:color w:val="222222"/>
          <w:szCs w:val="20"/>
          <w:shd w:val="clear" w:color="auto" w:fill="FFFFFF"/>
        </w:rPr>
        <w:t>J, Mansfield</w:t>
      </w:r>
      <w:r>
        <w:rPr>
          <w:rFonts w:cstheme="minorHAnsi"/>
          <w:color w:val="222222"/>
          <w:szCs w:val="20"/>
          <w:shd w:val="clear" w:color="auto" w:fill="FFFFFF"/>
        </w:rPr>
        <w:t xml:space="preserve"> E</w:t>
      </w:r>
      <w:r w:rsidRPr="00D27405">
        <w:rPr>
          <w:rFonts w:cstheme="minorHAnsi"/>
          <w:color w:val="222222"/>
          <w:szCs w:val="20"/>
          <w:shd w:val="clear" w:color="auto" w:fill="FFFFFF"/>
        </w:rPr>
        <w:t>, Cameron</w:t>
      </w:r>
      <w:r>
        <w:rPr>
          <w:rFonts w:cstheme="minorHAnsi"/>
          <w:color w:val="222222"/>
          <w:szCs w:val="20"/>
          <w:shd w:val="clear" w:color="auto" w:fill="FFFFFF"/>
        </w:rPr>
        <w:t xml:space="preserve"> E</w:t>
      </w:r>
      <w:r w:rsidRPr="00D27405">
        <w:rPr>
          <w:rFonts w:cstheme="minorHAnsi"/>
          <w:color w:val="222222"/>
          <w:szCs w:val="20"/>
          <w:shd w:val="clear" w:color="auto" w:fill="FFFFFF"/>
        </w:rPr>
        <w:t xml:space="preserve">, &amp; </w:t>
      </w:r>
      <w:proofErr w:type="spellStart"/>
      <w:r w:rsidRPr="00D27405">
        <w:rPr>
          <w:rFonts w:cstheme="minorHAnsi"/>
          <w:color w:val="222222"/>
          <w:szCs w:val="20"/>
          <w:shd w:val="clear" w:color="auto" w:fill="FFFFFF"/>
        </w:rPr>
        <w:t>Sanson</w:t>
      </w:r>
      <w:proofErr w:type="spellEnd"/>
      <w:r w:rsidRPr="00D27405">
        <w:rPr>
          <w:rFonts w:cstheme="minorHAnsi"/>
          <w:color w:val="222222"/>
          <w:szCs w:val="20"/>
          <w:shd w:val="clear" w:color="auto" w:fill="FFFFFF"/>
        </w:rPr>
        <w:t>-Fisher R. Experiences and preferences for advance care planning following a diagnosis of dementia: Findings from a cross-sectional survey of carers. </w:t>
      </w:r>
      <w:proofErr w:type="spellStart"/>
      <w:r w:rsidRPr="00D27405">
        <w:rPr>
          <w:rFonts w:cstheme="minorHAnsi"/>
          <w:i/>
          <w:iCs/>
          <w:color w:val="222222"/>
          <w:szCs w:val="20"/>
          <w:shd w:val="clear" w:color="auto" w:fill="FFFFFF"/>
        </w:rPr>
        <w:t>PLoS</w:t>
      </w:r>
      <w:proofErr w:type="spellEnd"/>
      <w:r w:rsidRPr="00D27405">
        <w:rPr>
          <w:rFonts w:cstheme="minorHAnsi"/>
          <w:i/>
          <w:iCs/>
          <w:color w:val="222222"/>
          <w:szCs w:val="20"/>
          <w:shd w:val="clear" w:color="auto" w:fill="FFFFFF"/>
        </w:rPr>
        <w:t xml:space="preserve"> One</w:t>
      </w:r>
      <w:r w:rsidR="00A17984">
        <w:rPr>
          <w:rFonts w:cstheme="minorHAnsi"/>
          <w:color w:val="222222"/>
          <w:szCs w:val="20"/>
          <w:shd w:val="clear" w:color="auto" w:fill="FFFFFF"/>
        </w:rPr>
        <w:t xml:space="preserve">. </w:t>
      </w:r>
      <w:r>
        <w:rPr>
          <w:rFonts w:cstheme="minorHAnsi"/>
          <w:color w:val="222222"/>
          <w:szCs w:val="20"/>
          <w:shd w:val="clear" w:color="auto" w:fill="FFFFFF"/>
        </w:rPr>
        <w:t>2023;</w:t>
      </w:r>
      <w:r w:rsidRPr="00D27405">
        <w:rPr>
          <w:rFonts w:cstheme="minorHAnsi"/>
          <w:iCs/>
          <w:color w:val="222222"/>
          <w:szCs w:val="20"/>
          <w:shd w:val="clear" w:color="auto" w:fill="FFFFFF"/>
        </w:rPr>
        <w:t>18</w:t>
      </w:r>
      <w:r w:rsidRPr="00D27405">
        <w:rPr>
          <w:rFonts w:cstheme="minorHAnsi"/>
          <w:color w:val="222222"/>
          <w:szCs w:val="20"/>
          <w:shd w:val="clear" w:color="auto" w:fill="FFFFFF"/>
        </w:rPr>
        <w:t>(6)</w:t>
      </w:r>
      <w:r w:rsidRPr="00D27405">
        <w:rPr>
          <w:rFonts w:cstheme="minorHAnsi"/>
          <w:color w:val="222222"/>
          <w:szCs w:val="20"/>
          <w:shd w:val="clear" w:color="auto" w:fill="FFFFFF"/>
        </w:rPr>
        <w:t>:</w:t>
      </w:r>
      <w:r>
        <w:rPr>
          <w:rFonts w:cstheme="minorHAnsi"/>
          <w:color w:val="222222"/>
          <w:szCs w:val="20"/>
          <w:shd w:val="clear" w:color="auto" w:fill="FFFFFF"/>
        </w:rPr>
        <w:t xml:space="preserve"> </w:t>
      </w:r>
      <w:r w:rsidRPr="00D27405">
        <w:rPr>
          <w:rFonts w:cstheme="minorHAnsi"/>
          <w:color w:val="222222"/>
          <w:szCs w:val="20"/>
          <w:shd w:val="clear" w:color="auto" w:fill="FFFFFF"/>
        </w:rPr>
        <w:t>e0286261.</w:t>
      </w:r>
    </w:p>
    <w:p w14:paraId="26DAB36D" w14:textId="2F221385" w:rsidR="0020071A" w:rsidRDefault="0020071A">
      <w:r w:rsidRPr="00017982">
        <w:rPr>
          <w:rFonts w:cstheme="minorHAnsi"/>
        </w:rPr>
        <w:fldChar w:fldCharType="begin"/>
      </w:r>
      <w:r w:rsidRPr="00017982">
        <w:rPr>
          <w:rFonts w:cstheme="minorHAnsi"/>
        </w:rPr>
        <w:instrText xml:space="preserve"> ADDIN ZOTERO_ITEM CSL_CITATION {"citationID":"kMqII5xd","properties":{"formattedCitation":"Guideline Adaptation Committe, \\uc0\\u8216{}Clinical Practice Guidelines and Principles of Care for People with Dementia\\uc0\\u8217{} (Guideline Adaptation Committee, 2016) &lt;https://cdpc.sydney.edu.au/wp-content/uploads/2019/06/CDPC-Dementia-Guidelines_WEB.pdf&gt;.","plainCitation":"Guideline Adaptation Committe, ‘Clinical Practice Guidelines and Principles of Care for People with Dementia’ (Guideline Adaptation Committee, 2016) &lt;https://cdpc.sydney.edu.au/wp-content/uploads/2019/06/CDPC-Dementia-Guidelines_WEB.pdf&gt;.","dontUpdate":true,"noteIndex":9},"citationItems":[{"id":2717,"uris":["http://zotero.org/users/5291206/items/U3AZ78CJ"],"uri":["http://zotero.org/users/5291206/items/U3AZ78CJ"],"itemData":{"id":2717,"type":"article","publisher":"Guideline Adaptation Committee","title":"Clinical Practice Guidelines and Principles of Care for People with Dementia","URL":"https://cdpc.sydney.edu.au/wp-content/uploads/2019/06/CDPC-Dementia-Guidelines_WEB.pdf","author":[{"family":"Guideline Adaptation Committe","given":""}],"issued":{"date-parts":[["2016"]]}}}],"schema":"https://github.com/citation-style-language/schema/raw/master/csl-citation.json"} </w:instrText>
      </w:r>
      <w:r w:rsidRPr="00017982">
        <w:rPr>
          <w:rFonts w:cstheme="minorHAnsi"/>
        </w:rPr>
        <w:fldChar w:fldCharType="separate"/>
      </w:r>
      <w:r w:rsidRPr="00017982">
        <w:rPr>
          <w:rFonts w:cstheme="minorHAnsi"/>
          <w:szCs w:val="24"/>
        </w:rPr>
        <w:t xml:space="preserve">Cognitive Decline Partnership Centre, </w:t>
      </w:r>
      <w:r w:rsidRPr="00017982">
        <w:rPr>
          <w:rFonts w:cstheme="minorHAnsi"/>
          <w:i/>
          <w:szCs w:val="24"/>
        </w:rPr>
        <w:t>Clinical Practice Guidelines and Principles of Care for People with Dementia</w:t>
      </w:r>
      <w:r w:rsidRPr="00017982">
        <w:rPr>
          <w:rFonts w:cstheme="minorHAnsi"/>
          <w:szCs w:val="24"/>
        </w:rPr>
        <w:t xml:space="preserve"> (Guideline Adaptation Committee, 2016).</w:t>
      </w:r>
      <w:r w:rsidRPr="00017982">
        <w:rPr>
          <w:rFonts w:cstheme="minorHAnsi"/>
        </w:rPr>
        <w:fldChar w:fldCharType="end"/>
      </w:r>
    </w:p>
    <w:p w14:paraId="1B2259A4" w14:textId="3DEEC5F0" w:rsidR="00D031BB" w:rsidRPr="00A17984" w:rsidRDefault="002E6A8F">
      <w:proofErr w:type="spellStart"/>
      <w:r w:rsidRPr="00F4394F">
        <w:t>Kilty</w:t>
      </w:r>
      <w:proofErr w:type="spellEnd"/>
      <w:r w:rsidRPr="00F4394F">
        <w:t xml:space="preserve"> C, Cahill S, Foley T, Fox S. Young onset dementia: implications for employment and finances. </w:t>
      </w:r>
      <w:r w:rsidRPr="00D27405">
        <w:rPr>
          <w:i/>
        </w:rPr>
        <w:t>Dementia</w:t>
      </w:r>
      <w:r w:rsidRPr="00F4394F">
        <w:t>. 2023;22(1):68-84.</w:t>
      </w:r>
    </w:p>
    <w:p w14:paraId="1F5FA8B4" w14:textId="2A44C42A" w:rsidR="00D031BB" w:rsidRDefault="00D031BB">
      <w:pPr>
        <w:rPr>
          <w:rFonts w:cstheme="minorHAnsi"/>
          <w:szCs w:val="24"/>
        </w:rPr>
      </w:pPr>
      <w:r w:rsidRPr="00017982">
        <w:rPr>
          <w:rFonts w:cstheme="minorHAnsi"/>
        </w:rPr>
        <w:fldChar w:fldCharType="begin"/>
      </w:r>
      <w:r w:rsidRPr="00017982">
        <w:rPr>
          <w:rFonts w:cstheme="minorHAnsi"/>
        </w:rPr>
        <w:instrText xml:space="preserve"> ADDIN ZOTERO_ITEM CSL_CITATION {"citationID":"S7zKzjNn","properties":{"formattedCitation":"Nola M Ries, \\uc0\\u8216{}Elder Abuse and Lawyers\\uc0\\u8217{} Ethical Responsibilities: Incorporating Screening into Practice\\uc0\\u8217{} (2018) 21(1) {\\i{}Legal Ethics} 23 (\\uc0\\u8216{}Elder Abuse and Lawyers\\uc0\\u8217{} Ethical Responsibilities\\uc0\\u8217{}); Lise Barry, \\uc0\\u8216{}\\uc0\\u8220{}He Was Wearing Street Clothes, Not Pyjamas\\uc0\\u8221{}: Common Mistakes in Lawyers\\uc0\\u8217{} Assessment of Legal Capacity for Vulnerable Older Clients\\uc0\\u8217{} (2018) 21(1) {\\i{}Legal Ethics} 3 (\\uc0\\u8216{}\\uc0\\u8220{}He Was Wearing Street Clothes, Not Pyjamas\\uc0\\u8221{}\\uc0\\u8217{}); Craig Sinclair et al, \\uc0\\u8216{}Professionals\\uc0\\u8217{} Views and Experiences in Supporting Decision-Making Involvement for People Living with Dementia:\\uc0\\u8217{} [2019] {\\i{}Dementia} &lt;http://journals.sagepub.com/doi/10.1177/1471301219864849&gt; (\\uc0\\u8216{}Professionals\\uc0\\u8217{} Views and Experiences in Supporting Decision-Making Involvement for People Living with Dementia\\uc0\\u8217{}).","plainCitation":"Nola M Ries, ‘Elder Abuse and Lawyers’ Ethical Responsibilities: Incorporating Screening into Practice’ (2018) 21(1) Legal Ethics 23 (‘Elder Abuse and Lawyers’ Ethical Responsibilities’); Lise Barry, ‘“He Was Wearing Street Clothes, Not Pyjamas”: Common Mistakes in Lawyers’ Assessment of Legal Capacity for Vulnerable Older Clients’ (2018) 21(1) Legal Ethics 3 (‘“He Was Wearing Street Clothes, Not Pyjamas”’); Craig Sinclair et al, ‘Professionals’ Views and Experiences in Supporting Decision-Making Involvement for People Living with Dementia:’ [2019] Dementia &lt;http://journals.sagepub.com/doi/10.1177/1471301219864849&gt; (‘Professionals’ Views and Experiences in Supporting Decision-Making Involvement for People Living with Dementia’).","dontUpdate":true,"noteIndex":10},"citationItems":[{"id":324,"uris":["http://zotero.org/users/5291206/items/9WIJD32B"],"uri":["http://zotero.org/users/5291206/items/9WIJD32B"],"itemData":{"id":324,"type":"article-journal","abstract":"Elder abuse is a serious and under-detected problem. Law reform agencies and legal profession regulatory authorities have called for action to ensure that lawyers meet their ethical obligations to older clients, including identifying and acting on risk factors for abuse. Screening tools to detect situations of elder abuse exist, but they are targeted mainly at health and social care practitioners. Drawing on international literature, this article identifies and discusses screening tools that could be adapted for use by legal professionals. Three general categories of screening are relevant for lawyers who serve older clients: (1) elder abuse screening tools that cover all domains of abuse or target specific behaviours, such as financial exploitation; (2) screening for decision-making capacity, especially taking account of the impact of abuse or neglect on capacity; and (3) screening to probe the suitability of a person to act in a formal decision-making role for an older person. The article emphasises the importance of implementing screening processes and follow-up actions in a manner that fosters a therapeutic relationship between the older client and the lawyer. It concludes with recommendations for further research in this important area.","container-title":"Legal Ethics","DOI":"10.1080/1460728x.2018.1502965","ISSN":"1460-728X","issue":"1","page":"23-45","source":"Taylor and Francis+NEJM","title":"Elder abuse and lawyers’ ethical responsibilities: incorporating screening into practice","title-short":"Elder abuse and lawyers’ ethical responsibilities","volume":"21","author":[{"family":"Ries","given":"Nola M."}],"issued":{"date-parts":[["2018",1,2]]}}},{"id":436,"uris":["http://zotero.org/users/5291206/items/4LBFPRQD"],"uri":["http://zotero.org/users/5291206/items/4LBFPRQD"],"itemData":{"id":436,"type":"article-journal","abstract":"Lawyers are increasingly called upon to deal with older clients and have ethical responsibilities to attest to their capacity for legal decision-making. As witnesses to enduring documents, the making of wills and other signiﬁcant advance planning transactions, lawyers play a role in preventing elder abuse and in upholding the rights of older people. To date however, there has been very little empirical research examining how lawyers assess an older person’s legal decision-making capacity. This article presents research examining three years of capacity complaints made to the New South Wales Oﬃce of Legal Services Commissioner. Four case studies from the complaint ﬁles expose some common failings in the way that lawyers interact with older clients who have experienced cognitive impairment. The process of capacity assessment is viewed through the theoretical lens of vulnerability to highlight how the actions of lawyers and regulators can exacerbate the inherent and situational vulnerability of older people with a cognitive impairment. The author argues that improvements in capacity guidelines, legal education and robust enforcement of ethical rules are required to safeguard the rights of older clients and help prevent abuse. The ﬁndings will have implications for lawyers and regulators everywhere dealing with an ageing population.","container-title":"Legal Ethics","DOI":"10.1080/1460728x.2018.1493070","ISSN":"1460-728X, 1757-8450","issue":"1","language":"en","page":"3-22","source":"Crossref","title":"‘He was wearing street clothes, not pyjamas’: common mistakes in lawyers’ assessment of legal capacity for vulnerable older clients","title-short":"‘He was wearing street clothes, not pyjamas’","volume":"21","author":[{"family":"Barry","given":"Lise"}],"issued":{"date-parts":[["2018",1,2]]}}},{"id":803,"uris":["http://zotero.org/users/5291206/items/KH3235BL"],"uri":["http://zotero.org/users/5291206/items/KH3235BL"],"itemData":{"id":803,"type":"article-journal","abstract":"BackgroundThe provision of supported decision-making for people living with disabilities is an emerging area of practice and rights-based law reform, and is required under international law.Objecti...","archive_location":"Sage UK: London, England","container-title":"Dementia","DOI":"10.1177/1471301219864849","issue":"1","language":"en","note":"publisher: SAGE PublicationsSage UK: London, England","page":"84-105","source":"journals-sagepub-com.ezproxy.lib.uts.edu.au","title":"Professionals’ views and experiences in supporting decision-making involvement for people living with dementia:","title-short":"Professionals’ views and experiences in supporting decision-making involvement for people living with dementia","volume":"20","author":[{"family":"Sinclair","given":"Craig"},{"family":"Bajic-Smith","given":"Julie"},{"family":"Gresham","given":"Meredith"},{"family":"Blake","given":"Meredith"},{"family":"Bucks","given":"Romola S."},{"family":"Field","given":"Sue"},{"family":"Clayton","given":"Josephine M."},{"family":"Radoslovich","given":"Helen"},{"family":"Agar","given":"Meera"},{"family":"Kurrle","given":"Susan"}],"issued":{"date-parts":[["2021"]]}}}],"schema":"https://github.com/citation-style-language/schema/raw/master/csl-citation.json"} </w:instrText>
      </w:r>
      <w:r w:rsidRPr="00017982">
        <w:rPr>
          <w:rFonts w:cstheme="minorHAnsi"/>
        </w:rPr>
        <w:fldChar w:fldCharType="separate"/>
      </w:r>
      <w:r w:rsidRPr="00017982">
        <w:rPr>
          <w:rFonts w:cstheme="minorHAnsi"/>
          <w:szCs w:val="24"/>
        </w:rPr>
        <w:t>Ries</w:t>
      </w:r>
      <w:r w:rsidR="00A17984">
        <w:rPr>
          <w:rFonts w:cstheme="minorHAnsi"/>
          <w:szCs w:val="24"/>
        </w:rPr>
        <w:t xml:space="preserve"> N.</w:t>
      </w:r>
      <w:r w:rsidRPr="00017982">
        <w:rPr>
          <w:rFonts w:cstheme="minorHAnsi"/>
          <w:szCs w:val="24"/>
        </w:rPr>
        <w:t xml:space="preserve"> Elder Abuse and Lawyers’ Ethical Responsibilities: Incorporating Screening into Practice</w:t>
      </w:r>
      <w:r w:rsidR="00A17984">
        <w:rPr>
          <w:rFonts w:cstheme="minorHAnsi"/>
          <w:szCs w:val="24"/>
        </w:rPr>
        <w:t xml:space="preserve">. </w:t>
      </w:r>
      <w:r w:rsidRPr="00017982">
        <w:rPr>
          <w:rFonts w:cstheme="minorHAnsi"/>
          <w:i/>
          <w:iCs/>
          <w:szCs w:val="24"/>
        </w:rPr>
        <w:t>Legal Ethics</w:t>
      </w:r>
      <w:r w:rsidRPr="00017982">
        <w:rPr>
          <w:rFonts w:cstheme="minorHAnsi"/>
          <w:szCs w:val="24"/>
        </w:rPr>
        <w:t xml:space="preserve"> </w:t>
      </w:r>
      <w:r w:rsidR="00A17984">
        <w:rPr>
          <w:rFonts w:cstheme="minorHAnsi"/>
          <w:szCs w:val="24"/>
        </w:rPr>
        <w:t>2018;21(1)</w:t>
      </w:r>
      <w:r w:rsidRPr="00017982">
        <w:rPr>
          <w:rFonts w:cstheme="minorHAnsi"/>
          <w:szCs w:val="24"/>
        </w:rPr>
        <w:t>23</w:t>
      </w:r>
      <w:r w:rsidR="00A17984">
        <w:rPr>
          <w:rFonts w:cstheme="minorHAnsi"/>
          <w:szCs w:val="24"/>
        </w:rPr>
        <w:t>-45.</w:t>
      </w:r>
    </w:p>
    <w:p w14:paraId="72E733E3" w14:textId="16091BCD" w:rsidR="000273A3" w:rsidRDefault="000273A3">
      <w:pPr>
        <w:rPr>
          <w:rFonts w:cstheme="minorHAnsi"/>
          <w:szCs w:val="24"/>
        </w:rPr>
      </w:pPr>
      <w:r w:rsidRPr="00940714">
        <w:t>Ries N</w:t>
      </w:r>
      <w:r w:rsidR="00A17984">
        <w:t>,</w:t>
      </w:r>
      <w:r w:rsidRPr="00940714">
        <w:t xml:space="preserve"> Johnston B. </w:t>
      </w:r>
      <w:r w:rsidRPr="00A17984">
        <w:t>Dementia tr</w:t>
      </w:r>
      <w:r w:rsidRPr="00A17984">
        <w:t>a</w:t>
      </w:r>
      <w:r w:rsidRPr="00A17984">
        <w:t>ining for lawyers: results from a pilot evaluation study and implications for building dementia capability in the legal profession</w:t>
      </w:r>
      <w:r w:rsidRPr="00940714">
        <w:t>. Psychiatry, Psychology and Law,</w:t>
      </w:r>
      <w:r w:rsidR="00A17984">
        <w:t xml:space="preserve"> 2024;</w:t>
      </w:r>
      <w:r w:rsidRPr="00940714">
        <w:t xml:space="preserve"> 1–22.</w:t>
      </w:r>
    </w:p>
    <w:p w14:paraId="488E7333" w14:textId="2248666F" w:rsidR="00100A12" w:rsidRDefault="00D031BB">
      <w:pPr>
        <w:rPr>
          <w:b/>
        </w:rPr>
      </w:pPr>
      <w:r w:rsidRPr="00017982">
        <w:rPr>
          <w:rFonts w:cstheme="minorHAnsi"/>
          <w:szCs w:val="24"/>
        </w:rPr>
        <w:t xml:space="preserve">Sinclair </w:t>
      </w:r>
      <w:r w:rsidR="00326ED8">
        <w:rPr>
          <w:rFonts w:cstheme="minorHAnsi"/>
          <w:szCs w:val="24"/>
        </w:rPr>
        <w:t>C et al.</w:t>
      </w:r>
      <w:r w:rsidRPr="00017982">
        <w:rPr>
          <w:rFonts w:cstheme="minorHAnsi"/>
          <w:szCs w:val="24"/>
        </w:rPr>
        <w:t xml:space="preserve"> Professionals’ Views and Experiences in Supporting Decision-Making Involvement for People Living with Dementia</w:t>
      </w:r>
      <w:r w:rsidR="00326ED8">
        <w:rPr>
          <w:rFonts w:cstheme="minorHAnsi"/>
          <w:szCs w:val="24"/>
        </w:rPr>
        <w:t xml:space="preserve">. </w:t>
      </w:r>
      <w:r w:rsidRPr="00017982">
        <w:rPr>
          <w:rFonts w:cstheme="minorHAnsi"/>
          <w:i/>
          <w:iCs/>
          <w:szCs w:val="24"/>
        </w:rPr>
        <w:t>Dementia</w:t>
      </w:r>
      <w:r w:rsidR="00326ED8">
        <w:rPr>
          <w:rFonts w:cstheme="minorHAnsi"/>
          <w:i/>
          <w:iCs/>
          <w:szCs w:val="24"/>
        </w:rPr>
        <w:t xml:space="preserve"> </w:t>
      </w:r>
      <w:r w:rsidR="00326ED8">
        <w:rPr>
          <w:rFonts w:cstheme="minorHAnsi"/>
          <w:iCs/>
          <w:szCs w:val="24"/>
        </w:rPr>
        <w:t>2021;20(1):</w:t>
      </w:r>
      <w:r w:rsidRPr="00017982">
        <w:rPr>
          <w:rFonts w:cstheme="minorHAnsi"/>
          <w:szCs w:val="24"/>
        </w:rPr>
        <w:t>84</w:t>
      </w:r>
      <w:r w:rsidR="00326ED8">
        <w:rPr>
          <w:rFonts w:cstheme="minorHAnsi"/>
          <w:szCs w:val="24"/>
        </w:rPr>
        <w:t>-105</w:t>
      </w:r>
      <w:r w:rsidRPr="00017982">
        <w:rPr>
          <w:rFonts w:cstheme="minorHAnsi"/>
          <w:szCs w:val="24"/>
        </w:rPr>
        <w:t>.</w:t>
      </w:r>
      <w:r w:rsidRPr="00017982">
        <w:rPr>
          <w:rFonts w:cstheme="minorHAnsi"/>
        </w:rPr>
        <w:fldChar w:fldCharType="end"/>
      </w:r>
    </w:p>
    <w:p w14:paraId="6EA09A8E" w14:textId="5836EB82" w:rsidR="00100A12" w:rsidRDefault="00100A12">
      <w:pPr>
        <w:rPr>
          <w:b/>
        </w:rPr>
      </w:pPr>
      <w:r>
        <w:rPr>
          <w:b/>
        </w:rPr>
        <w:t>Acknowledgements</w:t>
      </w:r>
    </w:p>
    <w:p w14:paraId="4DF5BCFB" w14:textId="798B2946" w:rsidR="00100A12" w:rsidRDefault="00100A12">
      <w:r>
        <w:t xml:space="preserve">Karen Donner and Briony Johnston, both PhD candidates with the UTS Faculty of Law, provided </w:t>
      </w:r>
      <w:r w:rsidR="00384DCC">
        <w:t xml:space="preserve">invaluable </w:t>
      </w:r>
      <w:r>
        <w:t>research assistance for the project</w:t>
      </w:r>
      <w:r w:rsidR="00384DCC">
        <w:t>s summarised in this article.</w:t>
      </w:r>
    </w:p>
    <w:p w14:paraId="15D80FC5" w14:textId="5638D0D1" w:rsidR="007C77D4" w:rsidRDefault="007C77D4">
      <w:r>
        <w:t>The Australian Community of Practice in Research in Dementia is supported by the National Health and Medical Research Council via a Dementia Research Team Grant (APP1095078).</w:t>
      </w:r>
    </w:p>
    <w:p w14:paraId="619F553A" w14:textId="77777777" w:rsidR="00B21D72" w:rsidRDefault="00B21D72" w:rsidP="00B21D72">
      <w:pPr>
        <w:rPr>
          <w:rFonts w:ascii="Calibri" w:hAnsi="Calibri"/>
          <w:color w:val="444444"/>
          <w:shd w:val="clear" w:color="auto" w:fill="FCFCFC"/>
        </w:rPr>
      </w:pPr>
      <w:r>
        <w:rPr>
          <w:rFonts w:ascii="Calibri" w:hAnsi="Calibri"/>
          <w:color w:val="444444"/>
          <w:shd w:val="clear" w:color="auto" w:fill="FCFCFC"/>
        </w:rPr>
        <w:t>For information and resources on planning ahead, see:</w:t>
      </w:r>
    </w:p>
    <w:p w14:paraId="38957427" w14:textId="77777777" w:rsidR="00B21D72" w:rsidRDefault="00B21D72" w:rsidP="00B21D72">
      <w:pPr>
        <w:rPr>
          <w:rFonts w:ascii="Calibri" w:hAnsi="Calibri"/>
          <w:color w:val="444444"/>
          <w:shd w:val="clear" w:color="auto" w:fill="FCFCFC"/>
        </w:rPr>
      </w:pPr>
      <w:hyperlink r:id="rId16" w:history="1">
        <w:r w:rsidRPr="00014BD9">
          <w:rPr>
            <w:rStyle w:val="Hyperlink"/>
            <w:rFonts w:ascii="Calibri" w:hAnsi="Calibri"/>
            <w:shd w:val="clear" w:color="auto" w:fill="FCFCFC"/>
          </w:rPr>
          <w:t>https://www.dementia.org.au/living-dementia/what-next-after-your-diagnosis/planning-ahead</w:t>
        </w:r>
      </w:hyperlink>
    </w:p>
    <w:p w14:paraId="65944EAA" w14:textId="5CAFBF23" w:rsidR="007C77D4" w:rsidRPr="00100A12" w:rsidRDefault="007C77D4"/>
    <w:sectPr w:rsidR="007C77D4" w:rsidRPr="00100A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00643" w14:textId="77777777" w:rsidR="00ED3E4F" w:rsidRDefault="00ED3E4F" w:rsidP="00ED3E4F">
      <w:pPr>
        <w:spacing w:after="0" w:line="240" w:lineRule="auto"/>
      </w:pPr>
      <w:r>
        <w:separator/>
      </w:r>
    </w:p>
  </w:endnote>
  <w:endnote w:type="continuationSeparator" w:id="0">
    <w:p w14:paraId="57539C9E" w14:textId="77777777" w:rsidR="00ED3E4F" w:rsidRDefault="00ED3E4F" w:rsidP="00ED3E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7B97A4" w14:textId="77777777" w:rsidR="00ED3E4F" w:rsidRDefault="00ED3E4F" w:rsidP="00ED3E4F">
      <w:pPr>
        <w:spacing w:after="0" w:line="240" w:lineRule="auto"/>
      </w:pPr>
      <w:r>
        <w:separator/>
      </w:r>
    </w:p>
  </w:footnote>
  <w:footnote w:type="continuationSeparator" w:id="0">
    <w:p w14:paraId="38B012C3" w14:textId="77777777" w:rsidR="00ED3E4F" w:rsidRDefault="00ED3E4F" w:rsidP="00ED3E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95C8E"/>
    <w:multiLevelType w:val="hybridMultilevel"/>
    <w:tmpl w:val="F17CCC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677379FF"/>
    <w:multiLevelType w:val="hybridMultilevel"/>
    <w:tmpl w:val="3C341896"/>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035"/>
    <w:rsid w:val="000134E8"/>
    <w:rsid w:val="000273A3"/>
    <w:rsid w:val="0005018E"/>
    <w:rsid w:val="00055F63"/>
    <w:rsid w:val="00065245"/>
    <w:rsid w:val="00100A12"/>
    <w:rsid w:val="0020071A"/>
    <w:rsid w:val="0022462E"/>
    <w:rsid w:val="002579CE"/>
    <w:rsid w:val="002E647B"/>
    <w:rsid w:val="002E6A8F"/>
    <w:rsid w:val="003038D3"/>
    <w:rsid w:val="00326ED8"/>
    <w:rsid w:val="00384DCC"/>
    <w:rsid w:val="003A5E14"/>
    <w:rsid w:val="00421BD2"/>
    <w:rsid w:val="0042651D"/>
    <w:rsid w:val="0042708F"/>
    <w:rsid w:val="004316FD"/>
    <w:rsid w:val="004A6E4D"/>
    <w:rsid w:val="004C47A0"/>
    <w:rsid w:val="005B34EF"/>
    <w:rsid w:val="005B777D"/>
    <w:rsid w:val="005C0806"/>
    <w:rsid w:val="00601035"/>
    <w:rsid w:val="00624388"/>
    <w:rsid w:val="00676CBE"/>
    <w:rsid w:val="006A4161"/>
    <w:rsid w:val="006B1085"/>
    <w:rsid w:val="007525E6"/>
    <w:rsid w:val="00753E82"/>
    <w:rsid w:val="00773B73"/>
    <w:rsid w:val="00794D0B"/>
    <w:rsid w:val="007C77D4"/>
    <w:rsid w:val="00803479"/>
    <w:rsid w:val="00866432"/>
    <w:rsid w:val="008B2E97"/>
    <w:rsid w:val="0091489D"/>
    <w:rsid w:val="00992381"/>
    <w:rsid w:val="009E2CA9"/>
    <w:rsid w:val="00A05C86"/>
    <w:rsid w:val="00A17984"/>
    <w:rsid w:val="00A3589B"/>
    <w:rsid w:val="00A80EF5"/>
    <w:rsid w:val="00B11E46"/>
    <w:rsid w:val="00B20225"/>
    <w:rsid w:val="00B21D72"/>
    <w:rsid w:val="00B57318"/>
    <w:rsid w:val="00B82B22"/>
    <w:rsid w:val="00C95CD4"/>
    <w:rsid w:val="00D0152C"/>
    <w:rsid w:val="00D031BB"/>
    <w:rsid w:val="00D27405"/>
    <w:rsid w:val="00D42BD0"/>
    <w:rsid w:val="00D95A47"/>
    <w:rsid w:val="00DB560B"/>
    <w:rsid w:val="00DC6A96"/>
    <w:rsid w:val="00E02C67"/>
    <w:rsid w:val="00E96013"/>
    <w:rsid w:val="00ED3E4F"/>
    <w:rsid w:val="00F33F59"/>
    <w:rsid w:val="00F357F5"/>
    <w:rsid w:val="00F4394F"/>
    <w:rsid w:val="00FB292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60A48"/>
  <w15:chartTrackingRefBased/>
  <w15:docId w15:val="{2602DC47-BFB3-4B14-86E6-FCA1C42E1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3E4F"/>
    <w:rPr>
      <w:color w:val="0563C1" w:themeColor="hyperlink"/>
      <w:u w:val="single"/>
    </w:rPr>
  </w:style>
  <w:style w:type="paragraph" w:styleId="ListParagraph">
    <w:name w:val="List Paragraph"/>
    <w:basedOn w:val="Normal"/>
    <w:uiPriority w:val="34"/>
    <w:qFormat/>
    <w:rsid w:val="00ED3E4F"/>
    <w:pPr>
      <w:spacing w:after="0" w:line="240" w:lineRule="auto"/>
      <w:ind w:left="720"/>
      <w:contextualSpacing/>
    </w:pPr>
    <w:rPr>
      <w:rFonts w:ascii="Times New Roman" w:eastAsia="Times New Roman" w:hAnsi="Times New Roman" w:cs="Times New Roman"/>
      <w:sz w:val="24"/>
      <w:szCs w:val="24"/>
      <w:lang w:eastAsia="en-AU"/>
    </w:rPr>
  </w:style>
  <w:style w:type="paragraph" w:styleId="FootnoteText">
    <w:name w:val="footnote text"/>
    <w:basedOn w:val="Normal"/>
    <w:link w:val="FootnoteTextChar"/>
    <w:uiPriority w:val="99"/>
    <w:unhideWhenUsed/>
    <w:rsid w:val="00ED3E4F"/>
    <w:pPr>
      <w:spacing w:after="0" w:line="240" w:lineRule="auto"/>
    </w:pPr>
    <w:rPr>
      <w:rFonts w:ascii="Times New Roman" w:eastAsia="Arial Unicode MS" w:hAnsi="Times New Roman" w:cs="Times New Roman"/>
      <w:sz w:val="20"/>
      <w:szCs w:val="20"/>
      <w:lang w:val="en-US"/>
    </w:rPr>
  </w:style>
  <w:style w:type="character" w:customStyle="1" w:styleId="FootnoteTextChar">
    <w:name w:val="Footnote Text Char"/>
    <w:basedOn w:val="DefaultParagraphFont"/>
    <w:link w:val="FootnoteText"/>
    <w:uiPriority w:val="99"/>
    <w:rsid w:val="00ED3E4F"/>
    <w:rPr>
      <w:rFonts w:ascii="Times New Roman" w:eastAsia="Arial Unicode MS" w:hAnsi="Times New Roman" w:cs="Times New Roman"/>
      <w:sz w:val="20"/>
      <w:szCs w:val="20"/>
      <w:lang w:val="en-US"/>
    </w:rPr>
  </w:style>
  <w:style w:type="character" w:styleId="FootnoteReference">
    <w:name w:val="footnote reference"/>
    <w:basedOn w:val="DefaultParagraphFont"/>
    <w:uiPriority w:val="99"/>
    <w:unhideWhenUsed/>
    <w:rsid w:val="00ED3E4F"/>
    <w:rPr>
      <w:vertAlign w:val="superscript"/>
    </w:rPr>
  </w:style>
  <w:style w:type="character" w:customStyle="1" w:styleId="normaltextrun">
    <w:name w:val="normaltextrun"/>
    <w:basedOn w:val="DefaultParagraphFont"/>
    <w:rsid w:val="00ED3E4F"/>
  </w:style>
  <w:style w:type="character" w:customStyle="1" w:styleId="eop">
    <w:name w:val="eop"/>
    <w:basedOn w:val="DefaultParagraphFont"/>
    <w:rsid w:val="00ED3E4F"/>
  </w:style>
  <w:style w:type="character" w:styleId="UnresolvedMention">
    <w:name w:val="Unresolved Mention"/>
    <w:basedOn w:val="DefaultParagraphFont"/>
    <w:uiPriority w:val="99"/>
    <w:semiHidden/>
    <w:unhideWhenUsed/>
    <w:rsid w:val="003A5E14"/>
    <w:rPr>
      <w:color w:val="605E5C"/>
      <w:shd w:val="clear" w:color="auto" w:fill="E1DFDD"/>
    </w:rPr>
  </w:style>
  <w:style w:type="paragraph" w:customStyle="1" w:styleId="font8">
    <w:name w:val="font_8"/>
    <w:basedOn w:val="Normal"/>
    <w:rsid w:val="00065245"/>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NormalWeb">
    <w:name w:val="Normal (Web)"/>
    <w:basedOn w:val="Normal"/>
    <w:uiPriority w:val="99"/>
    <w:semiHidden/>
    <w:unhideWhenUsed/>
    <w:rsid w:val="000134E8"/>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0273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4657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ementialawnetwork.org/dementia-capabilit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ementiaaccord.org.a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dementia.org.au/living-dementia/what-next-after-your-diagnosis/planning-ahea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alth.gov.au/our-work/national-dementia-action-plan" TargetMode="External"/><Relationship Id="rId5" Type="http://schemas.openxmlformats.org/officeDocument/2006/relationships/numbering" Target="numbering.xml"/><Relationship Id="rId15" Type="http://schemas.openxmlformats.org/officeDocument/2006/relationships/hyperlink" Target="https://memoryandcognitionclinic.com.au/wp-content/uploads/2024/05/ADNeT_MC_Clinic_Guidelines_Version_2.pdf"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awsociety.com.au/specialist-elder-law-program-benefit-older-australi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9D29F63789BE4BAE6AD9473E5DBD43" ma:contentTypeVersion="20" ma:contentTypeDescription="Create a new document." ma:contentTypeScope="" ma:versionID="64a03bf313c1a22a2ad39a37d5583648">
  <xsd:schema xmlns:xsd="http://www.w3.org/2001/XMLSchema" xmlns:xs="http://www.w3.org/2001/XMLSchema" xmlns:p="http://schemas.microsoft.com/office/2006/metadata/properties" xmlns:ns1="http://schemas.microsoft.com/sharepoint/v3" xmlns:ns3="b87dfbdf-65fc-4b16-b132-3436c9e9ed42" xmlns:ns4="11f176b0-f8a0-49ff-9b4f-0335b85fcd29" targetNamespace="http://schemas.microsoft.com/office/2006/metadata/properties" ma:root="true" ma:fieldsID="7147e791716165424d27453827956e5f" ns1:_="" ns3:_="" ns4:_="">
    <xsd:import namespace="http://schemas.microsoft.com/sharepoint/v3"/>
    <xsd:import namespace="b87dfbdf-65fc-4b16-b132-3436c9e9ed42"/>
    <xsd:import namespace="11f176b0-f8a0-49ff-9b4f-0335b85fcd2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4:SharedWithUsers" minOccurs="0"/>
                <xsd:element ref="ns4:SharedWithDetails" minOccurs="0"/>
                <xsd:element ref="ns4:SharingHintHash" minOccurs="0"/>
                <xsd:element ref="ns3:MediaServiceOCR" minOccurs="0"/>
                <xsd:element ref="ns1:_ip_UnifiedCompliancePolicyProperties" minOccurs="0"/>
                <xsd:element ref="ns1:_ip_UnifiedCompliancePolicyUIAction"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ServiceObjectDetectorVersions" minOccurs="0"/>
                <xsd:element ref="ns3:MediaLengthInSeconds" minOccurs="0"/>
                <xsd:element ref="ns3:MediaServiceSystemTag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7dfbdf-65fc-4b16-b132-3436c9e9ed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_activity" ma:index="27"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f176b0-f8a0-49ff-9b4f-0335b85fcd2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activity xmlns="b87dfbdf-65fc-4b16-b132-3436c9e9ed42"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EB403D-BF54-43F1-AD87-D9DFF1F136D3}">
  <ds:schemaRefs>
    <ds:schemaRef ds:uri="http://schemas.microsoft.com/sharepoint/v3/contenttype/forms"/>
  </ds:schemaRefs>
</ds:datastoreItem>
</file>

<file path=customXml/itemProps2.xml><?xml version="1.0" encoding="utf-8"?>
<ds:datastoreItem xmlns:ds="http://schemas.openxmlformats.org/officeDocument/2006/customXml" ds:itemID="{D58091BE-DF76-441E-9E7A-B6B84B3B64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7dfbdf-65fc-4b16-b132-3436c9e9ed42"/>
    <ds:schemaRef ds:uri="11f176b0-f8a0-49ff-9b4f-0335b85fcd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0A65F1-1C0E-4839-A4F2-3902455555A3}">
  <ds:schemaRefs>
    <ds:schemaRef ds:uri="http://purl.org/dc/elements/1.1/"/>
    <ds:schemaRef ds:uri="http://schemas.microsoft.com/office/2006/documentManagement/types"/>
    <ds:schemaRef ds:uri="http://schemas.microsoft.com/sharepoint/v3"/>
    <ds:schemaRef ds:uri="http://purl.org/dc/terms/"/>
    <ds:schemaRef ds:uri="http://schemas.openxmlformats.org/package/2006/metadata/core-properties"/>
    <ds:schemaRef ds:uri="http://schemas.microsoft.com/office/infopath/2007/PartnerControls"/>
    <ds:schemaRef ds:uri="11f176b0-f8a0-49ff-9b4f-0335b85fcd29"/>
    <ds:schemaRef ds:uri="http://schemas.microsoft.com/office/2006/metadata/properties"/>
    <ds:schemaRef ds:uri="b87dfbdf-65fc-4b16-b132-3436c9e9ed42"/>
    <ds:schemaRef ds:uri="http://www.w3.org/XML/1998/namespace"/>
    <ds:schemaRef ds:uri="http://purl.org/dc/dcmitype/"/>
  </ds:schemaRefs>
</ds:datastoreItem>
</file>

<file path=customXml/itemProps4.xml><?xml version="1.0" encoding="utf-8"?>
<ds:datastoreItem xmlns:ds="http://schemas.openxmlformats.org/officeDocument/2006/customXml" ds:itemID="{AEA074CE-7E6F-45BE-9470-87A1FA62A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3</Pages>
  <Words>2568</Words>
  <Characters>14638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University of Technology Sydney</Company>
  <LinksUpToDate>false</LinksUpToDate>
  <CharactersWithSpaces>17172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 Ries</dc:creator>
  <cp:keywords/>
  <dc:description/>
  <cp:lastModifiedBy>Nola Ries</cp:lastModifiedBy>
  <cp:revision>41</cp:revision>
  <dcterms:created xsi:type="dcterms:W3CDTF">2024-11-24T23:47:00Z</dcterms:created>
  <dcterms:modified xsi:type="dcterms:W3CDTF">2024-11-28T06:17:00Z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0x010100679D29F63789BE4BAE6AD9473E5DBD43</vt:lpwstr>
  </property>
</Properties>
</file>